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hint="eastAsia" w:ascii="宋体" w:hAnsi="宋体" w:eastAsia="宋体" w:cs="宋体"/>
          <w:b/>
          <w:bCs/>
          <w:color w:val="000000" w:themeColor="text1"/>
          <w:sz w:val="35"/>
          <w:szCs w:val="35"/>
          <w:lang w:eastAsia="zh-CN"/>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w:t>
      </w:r>
      <w:r>
        <w:rPr>
          <w:rFonts w:hint="eastAsia" w:ascii="宋体" w:hAnsi="宋体" w:cs="宋体"/>
          <w:b/>
          <w:bCs/>
          <w:color w:val="000000" w:themeColor="text1"/>
          <w:spacing w:val="6"/>
          <w:sz w:val="35"/>
          <w:szCs w:val="35"/>
          <w:lang w:eastAsia="zh-CN"/>
          <w14:textFill>
            <w14:solidFill>
              <w14:schemeClr w14:val="tx1"/>
            </w14:solidFill>
          </w14:textFill>
        </w:rPr>
        <w:t>北京第四实验学校教育教学设备购置项目(二期)</w:t>
      </w:r>
    </w:p>
    <w:p>
      <w:pPr>
        <w:spacing w:before="150" w:line="360" w:lineRule="auto"/>
        <w:ind w:left="853"/>
        <w:rPr>
          <w:rFonts w:ascii="宋体" w:hAnsi="宋体" w:cs="宋体"/>
          <w:b/>
          <w:bCs/>
          <w:color w:val="000000" w:themeColor="text1"/>
          <w:spacing w:val="1"/>
          <w:sz w:val="35"/>
          <w:szCs w:val="35"/>
          <w:highlight w:val="none"/>
          <w14:textFill>
            <w14:solidFill>
              <w14:schemeClr w14:val="tx1"/>
            </w14:solidFill>
          </w14:textFill>
        </w:rPr>
      </w:pPr>
      <w:r>
        <w:rPr>
          <w:rFonts w:hint="eastAsia" w:ascii="宋体" w:hAnsi="宋体" w:cs="宋体"/>
          <w:b/>
          <w:bCs/>
          <w:spacing w:val="1"/>
          <w:sz w:val="35"/>
          <w:szCs w:val="35"/>
          <w:highlight w:val="none"/>
        </w:rPr>
        <w:t>项目编号/包号：</w:t>
      </w:r>
      <w:r>
        <w:rPr>
          <w:rFonts w:hint="eastAsia" w:ascii="宋体" w:hAnsi="宋体" w:cs="宋体"/>
          <w:b/>
          <w:bCs/>
          <w:spacing w:val="1"/>
          <w:sz w:val="35"/>
          <w:szCs w:val="35"/>
          <w:highlight w:val="none"/>
          <w:lang w:eastAsia="zh-CN"/>
        </w:rPr>
        <w:t>11000026210200173725-XM001</w:t>
      </w:r>
      <w:r>
        <w:rPr>
          <w:rFonts w:ascii="宋体" w:hAnsi="宋体" w:cs="宋体"/>
          <w:b/>
          <w:bCs/>
          <w:spacing w:val="1"/>
          <w:sz w:val="35"/>
          <w:szCs w:val="35"/>
          <w:highlight w:val="none"/>
        </w:rPr>
        <w:t>/1</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采购人：北京第四实验学校</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18620565"/>
      <w:bookmarkStart w:id="2" w:name="_Toc26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4"/>
        <w:rPr>
          <w:rFonts w:cstheme="minorBidi"/>
          <w:b w:val="0"/>
          <w:sz w:val="21"/>
          <w:szCs w:val="22"/>
        </w:rPr>
      </w:pPr>
      <w:r>
        <w:fldChar w:fldCharType="begin"/>
      </w:r>
      <w:r>
        <w:instrText xml:space="preserve">TOC \o "1-1" \h \u </w:instrText>
      </w:r>
      <w:r>
        <w:fldChar w:fldCharType="separate"/>
      </w:r>
    </w:p>
    <w:p>
      <w:pPr>
        <w:pStyle w:val="34"/>
        <w:rPr>
          <w:rFonts w:cstheme="minorBidi"/>
          <w:b w:val="0"/>
          <w:sz w:val="21"/>
          <w:szCs w:val="22"/>
        </w:rPr>
      </w:pPr>
      <w:r>
        <w:fldChar w:fldCharType="begin"/>
      </w:r>
      <w:r>
        <w:instrText xml:space="preserve"> HYPERLINK \l "_Toc218620566" </w:instrText>
      </w:r>
      <w:r>
        <w:fldChar w:fldCharType="separate"/>
      </w:r>
      <w:r>
        <w:rPr>
          <w:rStyle w:val="59"/>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4"/>
        <w:rPr>
          <w:rFonts w:cstheme="minorBidi"/>
          <w:b w:val="0"/>
          <w:sz w:val="21"/>
          <w:szCs w:val="22"/>
        </w:rPr>
      </w:pPr>
      <w:r>
        <w:fldChar w:fldCharType="begin"/>
      </w:r>
      <w:r>
        <w:instrText xml:space="preserve"> HYPERLINK \l "_Toc218620567" </w:instrText>
      </w:r>
      <w:r>
        <w:fldChar w:fldCharType="separate"/>
      </w:r>
      <w:r>
        <w:rPr>
          <w:rStyle w:val="59"/>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4"/>
        <w:rPr>
          <w:rFonts w:cstheme="minorBidi"/>
          <w:b w:val="0"/>
          <w:sz w:val="21"/>
          <w:szCs w:val="22"/>
        </w:rPr>
      </w:pPr>
      <w:r>
        <w:fldChar w:fldCharType="begin"/>
      </w:r>
      <w:r>
        <w:instrText xml:space="preserve"> HYPERLINK \l "_Toc218620568" </w:instrText>
      </w:r>
      <w:r>
        <w:fldChar w:fldCharType="separate"/>
      </w:r>
      <w:r>
        <w:rPr>
          <w:rStyle w:val="59"/>
          <w:rFonts w:cs="宋体"/>
        </w:rPr>
        <w:t>第三章   资格审查</w:t>
      </w:r>
      <w:r>
        <w:tab/>
      </w:r>
      <w:r>
        <w:fldChar w:fldCharType="begin"/>
      </w:r>
      <w:r>
        <w:instrText xml:space="preserve"> PAGEREF _Toc218620568 \h </w:instrText>
      </w:r>
      <w:r>
        <w:fldChar w:fldCharType="separate"/>
      </w:r>
      <w:r>
        <w:t>25</w:t>
      </w:r>
      <w:r>
        <w:fldChar w:fldCharType="end"/>
      </w:r>
      <w:r>
        <w:fldChar w:fldCharType="end"/>
      </w:r>
    </w:p>
    <w:p>
      <w:pPr>
        <w:pStyle w:val="34"/>
        <w:rPr>
          <w:rFonts w:cstheme="minorBidi"/>
          <w:b w:val="0"/>
          <w:sz w:val="21"/>
          <w:szCs w:val="22"/>
        </w:rPr>
      </w:pPr>
      <w:r>
        <w:fldChar w:fldCharType="begin"/>
      </w:r>
      <w:r>
        <w:instrText xml:space="preserve"> HYPERLINK \l "_Toc218620569" </w:instrText>
      </w:r>
      <w:r>
        <w:fldChar w:fldCharType="separate"/>
      </w:r>
      <w:r>
        <w:rPr>
          <w:rStyle w:val="59"/>
          <w:rFonts w:cs="宋体"/>
        </w:rPr>
        <w:t>第四章   评标程序、评标方法和评标标准</w:t>
      </w:r>
      <w:r>
        <w:tab/>
      </w:r>
      <w:r>
        <w:fldChar w:fldCharType="begin"/>
      </w:r>
      <w:r>
        <w:instrText xml:space="preserve"> PAGEREF _Toc218620569 \h </w:instrText>
      </w:r>
      <w:r>
        <w:fldChar w:fldCharType="separate"/>
      </w:r>
      <w:r>
        <w:t>28</w:t>
      </w:r>
      <w:r>
        <w:fldChar w:fldCharType="end"/>
      </w:r>
      <w:r>
        <w:fldChar w:fldCharType="end"/>
      </w:r>
    </w:p>
    <w:p>
      <w:pPr>
        <w:pStyle w:val="34"/>
        <w:rPr>
          <w:rFonts w:cstheme="minorBidi"/>
          <w:b w:val="0"/>
          <w:sz w:val="21"/>
          <w:szCs w:val="22"/>
        </w:rPr>
      </w:pPr>
      <w:r>
        <w:fldChar w:fldCharType="begin"/>
      </w:r>
      <w:r>
        <w:instrText xml:space="preserve"> HYPERLINK \l "_Toc218620570" </w:instrText>
      </w:r>
      <w:r>
        <w:fldChar w:fldCharType="separate"/>
      </w:r>
      <w:r>
        <w:rPr>
          <w:rStyle w:val="59"/>
          <w:rFonts w:cs="宋体"/>
        </w:rPr>
        <w:t>第五章   采购需求</w:t>
      </w:r>
      <w:r>
        <w:tab/>
      </w:r>
      <w:r>
        <w:fldChar w:fldCharType="begin"/>
      </w:r>
      <w:r>
        <w:instrText xml:space="preserve"> PAGEREF _Toc218620570 \h </w:instrText>
      </w:r>
      <w:r>
        <w:fldChar w:fldCharType="separate"/>
      </w:r>
      <w:r>
        <w:t>36</w:t>
      </w:r>
      <w:r>
        <w:fldChar w:fldCharType="end"/>
      </w:r>
      <w:r>
        <w:fldChar w:fldCharType="end"/>
      </w:r>
    </w:p>
    <w:p>
      <w:pPr>
        <w:pStyle w:val="34"/>
        <w:rPr>
          <w:rFonts w:cstheme="minorBidi"/>
          <w:b w:val="0"/>
          <w:sz w:val="21"/>
          <w:szCs w:val="22"/>
        </w:rPr>
      </w:pPr>
      <w:r>
        <w:fldChar w:fldCharType="begin"/>
      </w:r>
      <w:r>
        <w:instrText xml:space="preserve"> HYPERLINK \l "_Toc218620574" </w:instrText>
      </w:r>
      <w:r>
        <w:fldChar w:fldCharType="separate"/>
      </w:r>
      <w:r>
        <w:rPr>
          <w:rStyle w:val="59"/>
          <w:rFonts w:cs="宋体"/>
        </w:rPr>
        <w:t>第六章   拟签订的合同文本</w:t>
      </w:r>
      <w:r>
        <w:tab/>
      </w:r>
      <w:r>
        <w:fldChar w:fldCharType="begin"/>
      </w:r>
      <w:r>
        <w:instrText xml:space="preserve"> PAGEREF _Toc218620574 \h </w:instrText>
      </w:r>
      <w:r>
        <w:fldChar w:fldCharType="separate"/>
      </w:r>
      <w:r>
        <w:t>355</w:t>
      </w:r>
      <w:r>
        <w:fldChar w:fldCharType="end"/>
      </w:r>
      <w:r>
        <w:fldChar w:fldCharType="end"/>
      </w:r>
    </w:p>
    <w:p>
      <w:pPr>
        <w:pStyle w:val="34"/>
        <w:rPr>
          <w:rFonts w:cstheme="minorBidi"/>
          <w:b w:val="0"/>
          <w:sz w:val="21"/>
          <w:szCs w:val="22"/>
        </w:rPr>
      </w:pPr>
      <w:r>
        <w:fldChar w:fldCharType="begin"/>
      </w:r>
      <w:r>
        <w:instrText xml:space="preserve"> HYPERLINK \l "_Toc218620575" </w:instrText>
      </w:r>
      <w:r>
        <w:fldChar w:fldCharType="separate"/>
      </w:r>
      <w:r>
        <w:rPr>
          <w:rStyle w:val="59"/>
          <w:rFonts w:cs="宋体"/>
        </w:rPr>
        <w:t>第七章   投标文件格式</w:t>
      </w:r>
      <w:r>
        <w:tab/>
      </w:r>
      <w:r>
        <w:fldChar w:fldCharType="begin"/>
      </w:r>
      <w:r>
        <w:instrText xml:space="preserve"> PAGEREF _Toc218620575 \h </w:instrText>
      </w:r>
      <w:r>
        <w:fldChar w:fldCharType="separate"/>
      </w:r>
      <w:r>
        <w:t>366</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99301419"/>
      <w:bookmarkStart w:id="4" w:name="_Toc218620566"/>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28359079"/>
      <w:bookmarkStart w:id="6" w:name="_Toc35393621"/>
      <w:bookmarkStart w:id="7" w:name="_Toc28359002"/>
      <w:bookmarkStart w:id="8" w:name="_Toc35393790"/>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0"/>
        <w:spacing w:before="38" w:line="360" w:lineRule="auto"/>
        <w:ind w:firstLine="480" w:firstLineChars="200"/>
        <w:rPr>
          <w:rFonts w:hint="eastAsia" w:eastAsia="宋体" w:cs="宋体"/>
          <w:lang w:eastAsia="zh-CN"/>
        </w:rPr>
      </w:pPr>
      <w:bookmarkStart w:id="10" w:name="OLE_LINK45"/>
      <w:r>
        <w:rPr>
          <w:rFonts w:hint="eastAsia" w:cs="宋体"/>
        </w:rPr>
        <w:t>1.项目编号：</w:t>
      </w:r>
      <w:r>
        <w:rPr>
          <w:rFonts w:hint="eastAsia" w:cs="宋体"/>
          <w:lang w:eastAsia="zh-CN"/>
        </w:rPr>
        <w:t>11000026210200173725-XM001</w:t>
      </w:r>
    </w:p>
    <w:p>
      <w:pPr>
        <w:pStyle w:val="20"/>
        <w:spacing w:before="38" w:line="360" w:lineRule="auto"/>
        <w:ind w:firstLine="480" w:firstLineChars="200"/>
        <w:rPr>
          <w:rFonts w:hint="eastAsia" w:eastAsia="宋体" w:cs="宋体"/>
          <w:u w:val="single"/>
          <w:lang w:eastAsia="zh-CN"/>
        </w:rPr>
      </w:pPr>
      <w:r>
        <w:rPr>
          <w:rFonts w:hint="eastAsia" w:cs="宋体"/>
        </w:rPr>
        <w:t>2.项目名称：</w:t>
      </w:r>
      <w:bookmarkStart w:id="1070" w:name="_GoBack"/>
      <w:bookmarkEnd w:id="1070"/>
      <w:r>
        <w:rPr>
          <w:rFonts w:hint="eastAsia" w:cs="宋体"/>
          <w:u w:val="single"/>
          <w:lang w:eastAsia="zh-CN"/>
        </w:rPr>
        <w:t>北京第四实验学校教育教学设备购置项目(二期)</w:t>
      </w:r>
    </w:p>
    <w:p>
      <w:pPr>
        <w:pStyle w:val="20"/>
        <w:spacing w:before="38" w:line="360" w:lineRule="auto"/>
        <w:ind w:firstLine="480" w:firstLineChars="200"/>
        <w:rPr>
          <w:rFonts w:cs="宋体"/>
        </w:rPr>
      </w:pPr>
      <w:r>
        <w:rPr>
          <w:rFonts w:hint="eastAsia" w:cs="宋体"/>
        </w:rPr>
        <w:t>3.项目预算金额：</w:t>
      </w:r>
      <w:r>
        <w:rPr>
          <w:rFonts w:cs="宋体"/>
          <w:u w:val="single"/>
        </w:rPr>
        <w:t>2361.353915</w:t>
      </w:r>
      <w:r>
        <w:rPr>
          <w:rFonts w:hint="eastAsia" w:cs="宋体"/>
        </w:rPr>
        <w:t>万元、项目最高限价（如有）：</w:t>
      </w:r>
      <w:r>
        <w:rPr>
          <w:rFonts w:hint="eastAsia" w:cs="宋体"/>
          <w:u w:val="single"/>
        </w:rPr>
        <w:t>2361.353915</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该项目共分5个包，本招标文件作为整体项目的第</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包进行招标，要求投标人需对整包进行投标，中标后不得分包。</w:t>
      </w:r>
      <w:bookmarkEnd w:id="11"/>
    </w:p>
    <w:bookmarkEnd w:id="10"/>
    <w:tbl>
      <w:tblPr>
        <w:tblStyle w:val="51"/>
        <w:tblW w:w="8503"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129"/>
        <w:gridCol w:w="1701"/>
        <w:gridCol w:w="709"/>
        <w:gridCol w:w="2100"/>
        <w:gridCol w:w="11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vAlign w:val="center"/>
          </w:tcPr>
          <w:p>
            <w:pPr>
              <w:autoSpaceDE w:val="0"/>
              <w:autoSpaceDN w:val="0"/>
              <w:spacing w:before="86" w:line="211" w:lineRule="auto"/>
              <w:ind w:firstLine="1"/>
              <w:jc w:val="center"/>
              <w:rPr>
                <w:rFonts w:ascii="宋体" w:hAnsi="宋体" w:cs="宋体"/>
                <w:sz w:val="24"/>
              </w:rPr>
            </w:pPr>
            <w:r>
              <w:rPr>
                <w:rFonts w:hint="eastAsia" w:ascii="宋体" w:hAnsi="宋体" w:cs="宋体"/>
                <w:spacing w:val="7"/>
                <w:sz w:val="24"/>
              </w:rPr>
              <w:t>包号</w:t>
            </w:r>
          </w:p>
        </w:tc>
        <w:tc>
          <w:tcPr>
            <w:tcW w:w="2129"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701" w:type="dxa"/>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709"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100"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157"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7" w:type="dxa"/>
            <w:vAlign w:val="center"/>
          </w:tcPr>
          <w:p>
            <w:pPr>
              <w:autoSpaceDE w:val="0"/>
              <w:autoSpaceDN w:val="0"/>
              <w:spacing w:before="86" w:line="211" w:lineRule="auto"/>
              <w:ind w:firstLine="1"/>
              <w:jc w:val="center"/>
              <w:rPr>
                <w:rFonts w:ascii="宋体" w:hAnsi="宋体" w:cs="宋体"/>
                <w:spacing w:val="7"/>
                <w:sz w:val="24"/>
              </w:rPr>
            </w:pPr>
            <w:bookmarkStart w:id="12" w:name="_Hlk188519384"/>
            <w:r>
              <w:rPr>
                <w:rFonts w:hint="eastAsia" w:ascii="宋体" w:hAnsi="宋体" w:cs="宋体"/>
                <w:spacing w:val="7"/>
                <w:sz w:val="24"/>
              </w:rPr>
              <w:t>01</w:t>
            </w:r>
          </w:p>
        </w:tc>
        <w:tc>
          <w:tcPr>
            <w:tcW w:w="2129" w:type="dxa"/>
            <w:vAlign w:val="center"/>
          </w:tcPr>
          <w:p>
            <w:pPr>
              <w:jc w:val="center"/>
              <w:rPr>
                <w:rFonts w:ascii="宋体" w:hAnsi="宋体" w:cs="宋体"/>
                <w:spacing w:val="7"/>
                <w:sz w:val="24"/>
              </w:rPr>
            </w:pPr>
            <w:r>
              <w:rPr>
                <w:rFonts w:hint="eastAsia"/>
                <w:bCs/>
                <w:szCs w:val="21"/>
              </w:rPr>
              <w:t>专业教室及仪器设备购置</w:t>
            </w:r>
          </w:p>
        </w:tc>
        <w:tc>
          <w:tcPr>
            <w:tcW w:w="1701" w:type="dxa"/>
            <w:vAlign w:val="center"/>
          </w:tcPr>
          <w:p>
            <w:pPr>
              <w:jc w:val="center"/>
              <w:rPr>
                <w:rFonts w:ascii="宋体" w:hAnsi="宋体" w:cs="宋体"/>
                <w:sz w:val="24"/>
              </w:rPr>
            </w:pPr>
            <w:r>
              <w:rPr>
                <w:rFonts w:ascii="宋体" w:hAnsi="宋体" w:cs="宋体"/>
                <w:sz w:val="24"/>
              </w:rPr>
              <w:t>1402.657732</w:t>
            </w:r>
          </w:p>
        </w:tc>
        <w:tc>
          <w:tcPr>
            <w:tcW w:w="709" w:type="dxa"/>
            <w:vAlign w:val="center"/>
          </w:tcPr>
          <w:p>
            <w:pPr>
              <w:jc w:val="center"/>
              <w:rPr>
                <w:rFonts w:ascii="宋体" w:hAnsi="宋体" w:cs="宋体"/>
                <w:sz w:val="24"/>
              </w:rPr>
            </w:pPr>
            <w:r>
              <w:rPr>
                <w:rFonts w:hint="eastAsia"/>
                <w:bCs/>
                <w:szCs w:val="21"/>
              </w:rPr>
              <w:t>1批</w:t>
            </w:r>
          </w:p>
        </w:tc>
        <w:tc>
          <w:tcPr>
            <w:tcW w:w="2100" w:type="dxa"/>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157"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2"/>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w:t>
      </w:r>
      <w:r>
        <w:rPr>
          <w:rFonts w:hint="eastAsia" w:ascii="宋体" w:hAnsi="宋体" w:cs="宋体"/>
          <w:sz w:val="24"/>
        </w:rPr>
        <w:t>合同签订生效后，计划于202</w:t>
      </w:r>
      <w:r>
        <w:rPr>
          <w:rFonts w:ascii="宋体" w:hAnsi="宋体" w:cs="宋体"/>
          <w:sz w:val="24"/>
        </w:rPr>
        <w:t>6</w:t>
      </w:r>
      <w:r>
        <w:rPr>
          <w:rFonts w:hint="eastAsia" w:ascii="宋体" w:hAnsi="宋体" w:cs="宋体"/>
          <w:sz w:val="24"/>
        </w:rPr>
        <w:t>年8月20日之前完成供货、安装、调试、验收，具体进场时间以采购人通知为准。同时服从学校主体工程竣工验收及开学前等工作安排。</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3" w:name="_Toc28359080"/>
      <w:bookmarkStart w:id="14" w:name="_Toc35393622"/>
      <w:bookmarkStart w:id="15" w:name="_Toc35393791"/>
      <w:bookmarkStart w:id="16" w:name="_Toc28359003"/>
      <w:r>
        <w:rPr>
          <w:rFonts w:hint="eastAsia" w:ascii="宋体" w:hAnsi="宋体" w:cs="宋体"/>
          <w:b/>
          <w:color w:val="000000" w:themeColor="text1"/>
          <w:sz w:val="24"/>
          <w14:textFill>
            <w14:solidFill>
              <w14:schemeClr w14:val="tx1"/>
            </w14:solidFill>
          </w14:textFill>
        </w:rPr>
        <w:t>二、申请人的资格要求（须同时满足）</w:t>
      </w:r>
      <w:bookmarkEnd w:id="13"/>
      <w:bookmarkEnd w:id="14"/>
      <w:bookmarkEnd w:id="15"/>
      <w:bookmarkEnd w:id="16"/>
    </w:p>
    <w:p>
      <w:pPr>
        <w:pStyle w:val="20"/>
        <w:spacing w:before="185" w:line="200" w:lineRule="auto"/>
        <w:ind w:firstLine="480" w:firstLineChars="200"/>
        <w:rPr>
          <w:rFonts w:cs="宋体"/>
          <w:color w:val="000000" w:themeColor="text1"/>
          <w14:textFill>
            <w14:solidFill>
              <w14:schemeClr w14:val="tx1"/>
            </w14:solidFill>
          </w14:textFill>
        </w:rPr>
      </w:pPr>
      <w:bookmarkStart w:id="17" w:name="_Toc28359081"/>
      <w:bookmarkStart w:id="18" w:name="_Toc28359004"/>
      <w:r>
        <w:rPr>
          <w:rFonts w:hint="eastAsia" w:cs="宋体"/>
          <w:color w:val="000000" w:themeColor="text1"/>
          <w14:textFill>
            <w14:solidFill>
              <w14:schemeClr w14:val="tx1"/>
            </w14:solidFill>
          </w14:textFill>
        </w:rPr>
        <w:t xml:space="preserve">1.满足《中华人民共和国政府采购法》第二十二条规定； </w:t>
      </w:r>
    </w:p>
    <w:p>
      <w:pPr>
        <w:pStyle w:val="20"/>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0"/>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0"/>
        <w:spacing w:before="185" w:line="240" w:lineRule="auto"/>
        <w:ind w:firstLine="480" w:firstLineChars="200"/>
        <w:rPr>
          <w:rFonts w:cs="宋体"/>
        </w:rPr>
      </w:pPr>
      <w:r>
        <w:rPr>
          <w:rFonts w:hint="eastAsia" w:cs="宋体"/>
        </w:rPr>
        <w:t>■本项目不专门面向中小企业预留采购份额。</w:t>
      </w:r>
    </w:p>
    <w:p>
      <w:pPr>
        <w:pStyle w:val="20"/>
        <w:spacing w:before="185" w:line="240" w:lineRule="auto"/>
        <w:ind w:firstLine="480" w:firstLineChars="200"/>
        <w:rPr>
          <w:rFonts w:cs="宋体"/>
        </w:rPr>
      </w:pPr>
      <w:r>
        <w:rPr>
          <w:rFonts w:hint="eastAsia" w:cs="宋体"/>
        </w:rPr>
        <w:t>□本项目专门面向   □中小  □小微企业  采购。即：提供的货物全部</w:t>
      </w:r>
    </w:p>
    <w:p>
      <w:pPr>
        <w:pStyle w:val="20"/>
        <w:spacing w:before="185" w:line="240" w:lineRule="auto"/>
        <w:rPr>
          <w:rFonts w:cs="宋体"/>
        </w:rPr>
      </w:pPr>
      <w:r>
        <w:rPr>
          <w:rFonts w:hint="eastAsia" w:cs="宋体"/>
        </w:rPr>
        <w:t>由符合政策要求的小微企业制造、服务全部由符合政策要求的小微企业承接。</w:t>
      </w:r>
    </w:p>
    <w:p>
      <w:pPr>
        <w:pStyle w:val="20"/>
        <w:spacing w:before="185"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bCs/>
          <w:color w:val="000000" w:themeColor="text1"/>
          <w:u w:val="single"/>
          <w14:textFill>
            <w14:solidFill>
              <w14:schemeClr w14:val="tx1"/>
            </w14:solidFill>
          </w14:textFill>
        </w:rPr>
        <w:t>/</w:t>
      </w:r>
      <w:r>
        <w:rPr>
          <w:rFonts w:hint="eastAsia" w:cs="宋体"/>
        </w:rPr>
        <w:t>。</w:t>
      </w:r>
    </w:p>
    <w:p>
      <w:pPr>
        <w:pStyle w:val="20"/>
        <w:spacing w:before="178"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0"/>
        <w:spacing w:before="185" w:line="240" w:lineRule="auto"/>
        <w:ind w:firstLine="480" w:firstLineChars="200"/>
        <w:rPr>
          <w:rFonts w:cs="宋体"/>
          <w:color w:val="000000" w:themeColor="text1"/>
          <w14:textFill>
            <w14:solidFill>
              <w14:schemeClr w14:val="tx1"/>
            </w14:solidFill>
          </w14:textFill>
        </w:rPr>
      </w:pPr>
      <w:bookmarkStart w:id="19" w:name="OLE_LINK16"/>
      <w:r>
        <w:rPr>
          <w:rFonts w:hint="eastAsia" w:cs="宋体"/>
          <w:color w:val="000000" w:themeColor="text1"/>
          <w14:textFill>
            <w14:solidFill>
              <w14:schemeClr w14:val="tx1"/>
            </w14:solidFill>
          </w14:textFill>
        </w:rPr>
        <w:t>3.本项目的特定资格要求：</w:t>
      </w:r>
    </w:p>
    <w:bookmarkEnd w:id="19"/>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0"/>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0"/>
        <w:spacing w:before="176" w:line="240" w:lineRule="auto"/>
        <w:ind w:firstLine="488" w:firstLineChars="200"/>
        <w:rPr>
          <w:rFonts w:cs="宋体"/>
          <w:spacing w:val="2"/>
          <w:u w:val="single"/>
        </w:rPr>
      </w:pPr>
      <w:r>
        <w:rPr>
          <w:rFonts w:hint="eastAsia" w:cs="宋体"/>
          <w:color w:val="000000" w:themeColor="text1"/>
          <w:spacing w:val="2"/>
          <w14:textFill>
            <w14:solidFill>
              <w14:schemeClr w14:val="tx1"/>
            </w14:solidFill>
          </w14:textFill>
        </w:rPr>
        <w:t>3.2 其他特定资格要求：</w:t>
      </w:r>
      <w:bookmarkEnd w:id="17"/>
      <w:bookmarkEnd w:id="18"/>
      <w:bookmarkStart w:id="20" w:name="_Toc35393792"/>
      <w:bookmarkStart w:id="21" w:name="_Toc35393623"/>
      <w:r>
        <w:rPr>
          <w:rFonts w:cs="宋体"/>
          <w:spacing w:val="2"/>
          <w:u w:val="single"/>
        </w:rPr>
        <w:t>/</w:t>
      </w:r>
    </w:p>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0"/>
      <w:bookmarkEnd w:id="21"/>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lang w:val="en-US" w:eastAsia="zh-CN" w:bidi="ar"/>
        </w:rPr>
        <w:t>8</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2" w:name="_Toc28359005"/>
      <w:bookmarkStart w:id="23" w:name="_Toc28359082"/>
      <w:bookmarkStart w:id="24" w:name="_Toc35393793"/>
      <w:bookmarkStart w:id="25" w:name="_Toc35393624"/>
      <w:r>
        <w:rPr>
          <w:rFonts w:hint="eastAsia" w:ascii="宋体" w:hAnsi="宋体" w:cs="宋体"/>
          <w:b/>
          <w:color w:val="000000" w:themeColor="text1"/>
          <w:sz w:val="24"/>
          <w14:textFill>
            <w14:solidFill>
              <w14:schemeClr w14:val="tx1"/>
            </w14:solidFill>
          </w14:textFill>
        </w:rPr>
        <w:t>四、提交投标文件</w:t>
      </w:r>
      <w:bookmarkEnd w:id="22"/>
      <w:bookmarkEnd w:id="23"/>
      <w:r>
        <w:rPr>
          <w:rFonts w:hint="eastAsia" w:ascii="宋体" w:hAnsi="宋体" w:cs="宋体"/>
          <w:b/>
          <w:color w:val="000000" w:themeColor="text1"/>
          <w:sz w:val="24"/>
          <w14:textFill>
            <w14:solidFill>
              <w14:schemeClr w14:val="tx1"/>
            </w14:solidFill>
          </w14:textFill>
        </w:rPr>
        <w:t>截止时间、开标时间和地点</w:t>
      </w:r>
      <w:bookmarkEnd w:id="24"/>
      <w:bookmarkEnd w:id="25"/>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24</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注:本项目开标顺序为</w:t>
      </w:r>
      <w:r>
        <w:rPr>
          <w:rFonts w:hint="eastAsia" w:ascii="宋体" w:hAnsi="宋体" w:cs="宋体"/>
          <w:bCs/>
          <w:color w:val="000000" w:themeColor="text1"/>
          <w:sz w:val="24"/>
          <w:u w:val="single"/>
          <w:lang w:val="en-US" w:eastAsia="zh-CN"/>
          <w14:textFill>
            <w14:solidFill>
              <w14:schemeClr w14:val="tx1"/>
            </w14:solidFill>
          </w14:textFill>
        </w:rPr>
        <w:t>按包号依次开标</w:t>
      </w:r>
      <w:r>
        <w:rPr>
          <w:rFonts w:hint="eastAsia" w:ascii="宋体" w:hAnsi="宋体" w:cs="宋体"/>
          <w:bCs/>
          <w:color w:val="000000" w:themeColor="text1"/>
          <w:sz w:val="24"/>
          <w:u w:val="single"/>
          <w14:textFill>
            <w14:solidFill>
              <w14:schemeClr w14:val="tx1"/>
            </w14:solidFill>
          </w14:textFill>
        </w:rPr>
        <w:t>。投标人届时登录系统后请耐心等待。</w:t>
      </w:r>
    </w:p>
    <w:p>
      <w:pPr>
        <w:spacing w:line="360" w:lineRule="auto"/>
        <w:jc w:val="left"/>
        <w:rPr>
          <w:rFonts w:ascii="宋体" w:hAnsi="宋体" w:cs="宋体"/>
          <w:b/>
          <w:color w:val="000000" w:themeColor="text1"/>
          <w:sz w:val="24"/>
          <w14:textFill>
            <w14:solidFill>
              <w14:schemeClr w14:val="tx1"/>
            </w14:solidFill>
          </w14:textFill>
        </w:rPr>
      </w:pPr>
      <w:bookmarkStart w:id="26" w:name="_Toc28359084"/>
      <w:bookmarkStart w:id="27" w:name="_Toc35393625"/>
      <w:bookmarkStart w:id="28" w:name="_Toc35393794"/>
      <w:bookmarkStart w:id="29" w:name="_Toc28359007"/>
      <w:r>
        <w:rPr>
          <w:rFonts w:hint="eastAsia" w:ascii="宋体" w:hAnsi="宋体" w:cs="宋体"/>
          <w:b/>
          <w:color w:val="000000" w:themeColor="text1"/>
          <w:sz w:val="24"/>
          <w14:textFill>
            <w14:solidFill>
              <w14:schemeClr w14:val="tx1"/>
            </w14:solidFill>
          </w14:textFill>
        </w:rPr>
        <w:t>五、公告期限</w:t>
      </w:r>
      <w:bookmarkEnd w:id="26"/>
      <w:bookmarkEnd w:id="27"/>
      <w:bookmarkEnd w:id="28"/>
      <w:bookmarkEnd w:id="29"/>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0" w:name="_Toc35393626"/>
      <w:bookmarkStart w:id="31" w:name="_Toc35393795"/>
      <w:r>
        <w:rPr>
          <w:rFonts w:hint="eastAsia" w:ascii="宋体" w:hAnsi="宋体" w:cs="宋体"/>
          <w:b/>
          <w:color w:val="000000" w:themeColor="text1"/>
          <w:sz w:val="24"/>
          <w14:textFill>
            <w14:solidFill>
              <w14:schemeClr w14:val="tx1"/>
            </w14:solidFill>
          </w14:textFill>
        </w:rPr>
        <w:t>六、其他补充事宜</w:t>
      </w:r>
      <w:bookmarkEnd w:id="30"/>
      <w:bookmarkEnd w:id="31"/>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2" w:name="OLE_LINK176"/>
      <w:bookmarkStart w:id="33" w:name="OLE_LINK17"/>
      <w:bookmarkStart w:id="34" w:name="OLE_LINK132"/>
      <w:bookmarkStart w:id="35" w:name="OLE_LINK14"/>
      <w:r>
        <w:rPr>
          <w:rFonts w:hint="eastAsia" w:ascii="宋体" w:hAnsi="宋体" w:cs="宋体"/>
          <w:sz w:val="24"/>
        </w:rPr>
        <w:t>（1）执行</w:t>
      </w:r>
      <w:bookmarkStart w:id="36" w:name="OLE_LINK172"/>
      <w:bookmarkStart w:id="37"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8" w:name="OLE_LINK151"/>
      <w:bookmarkStart w:id="39" w:name="OLE_LINK167"/>
      <w:r>
        <w:rPr>
          <w:rFonts w:hint="eastAsia" w:ascii="宋体" w:hAnsi="宋体" w:cs="宋体"/>
          <w:sz w:val="24"/>
        </w:rPr>
        <w:t>《关于印发节能产品政府采购品目清单的通知》</w:t>
      </w:r>
      <w:bookmarkEnd w:id="38"/>
      <w:bookmarkEnd w:id="39"/>
      <w:r>
        <w:rPr>
          <w:rFonts w:hint="eastAsia" w:ascii="宋体" w:hAnsi="宋体" w:cs="宋体"/>
          <w:sz w:val="24"/>
        </w:rPr>
        <w:t>（财库〔2019〕19号）</w:t>
      </w:r>
      <w:r>
        <w:rPr>
          <w:rFonts w:hint="eastAsia" w:ascii="宋体" w:hAnsi="宋体" w:cs="宋体"/>
          <w:sz w:val="24"/>
        </w:rPr>
        <w:fldChar w:fldCharType="end"/>
      </w:r>
      <w:bookmarkEnd w:id="36"/>
      <w:bookmarkEnd w:id="37"/>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0" w:name="OLE_LINK171"/>
      <w:r>
        <w:rPr>
          <w:rFonts w:hint="eastAsia" w:ascii="宋体" w:hAnsi="宋体" w:cs="宋体"/>
          <w:sz w:val="24"/>
        </w:rPr>
        <w:t>（财库[2014]68号）</w:t>
      </w:r>
      <w:bookmarkEnd w:id="40"/>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1" w:name="OLE_LINK166"/>
      <w:r>
        <w:rPr>
          <w:rFonts w:hint="eastAsia" w:ascii="宋体" w:hAnsi="宋体" w:cs="宋体"/>
          <w:sz w:val="24"/>
        </w:rPr>
        <w:t>财政部关于在政府采购活动中查询及使用信用记录有关问题的通知</w:t>
      </w:r>
      <w:bookmarkEnd w:id="41"/>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2"/>
      <w:r>
        <w:rPr>
          <w:rFonts w:hint="eastAsia" w:ascii="宋体" w:hAnsi="宋体" w:cs="宋体"/>
          <w:sz w:val="24"/>
        </w:rPr>
        <w:t>行《关于进一步加大政府采购支持中小企业力度的通知》（财库〔2022〕19号）；</w:t>
      </w:r>
    </w:p>
    <w:bookmarkEnd w:id="33"/>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4"/>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5"/>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2" w:name="_Toc35393627"/>
      <w:bookmarkStart w:id="43" w:name="_Toc28359008"/>
      <w:bookmarkStart w:id="44" w:name="_Toc28359085"/>
      <w:bookmarkStart w:id="45" w:name="_Toc35393796"/>
      <w:r>
        <w:rPr>
          <w:rFonts w:hint="eastAsia" w:ascii="宋体" w:hAnsi="宋体" w:cs="宋体"/>
          <w:b/>
          <w:color w:val="000000" w:themeColor="text1"/>
          <w:sz w:val="24"/>
          <w14:textFill>
            <w14:solidFill>
              <w14:schemeClr w14:val="tx1"/>
            </w14:solidFill>
          </w14:textFill>
        </w:rPr>
        <w:t>七、对本次招标提出询问，请按以下方式联系。</w:t>
      </w:r>
      <w:bookmarkEnd w:id="42"/>
      <w:bookmarkEnd w:id="43"/>
      <w:bookmarkEnd w:id="44"/>
      <w:bookmarkEnd w:id="45"/>
    </w:p>
    <w:p>
      <w:pPr>
        <w:widowControl/>
        <w:spacing w:line="360" w:lineRule="auto"/>
        <w:jc w:val="left"/>
        <w:rPr>
          <w:rFonts w:ascii="宋体" w:hAnsi="宋体" w:cs="宋体"/>
          <w:b/>
          <w:sz w:val="24"/>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6" w:name="_Toc28359086"/>
      <w:bookmarkStart w:id="47" w:name="_Toc28359009"/>
      <w:r>
        <w:rPr>
          <w:rFonts w:hint="eastAsia" w:ascii="宋体" w:hAnsi="宋体" w:cs="宋体"/>
          <w:sz w:val="24"/>
        </w:rPr>
        <w:t>名    称：</w:t>
      </w:r>
      <w:r>
        <w:rPr>
          <w:rFonts w:hint="eastAsia" w:ascii="宋体" w:hAnsi="宋体" w:cs="宋体"/>
          <w:color w:val="000000"/>
          <w:sz w:val="24"/>
          <w:u w:val="single"/>
        </w:rPr>
        <w:t>北京第四实验学校</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北京市大兴区榆垡镇恒祥街6号院</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李老师 010-66528086</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6"/>
      <w:bookmarkEnd w:id="47"/>
    </w:p>
    <w:p>
      <w:pPr>
        <w:spacing w:line="360" w:lineRule="auto"/>
        <w:ind w:left="1079" w:leftChars="371" w:hanging="300" w:hangingChars="125"/>
        <w:jc w:val="left"/>
        <w:rPr>
          <w:rFonts w:ascii="宋体" w:hAnsi="宋体" w:cs="宋体"/>
          <w:sz w:val="24"/>
          <w:u w:val="single"/>
        </w:rPr>
      </w:pPr>
      <w:bookmarkStart w:id="48" w:name="_Toc28359087"/>
      <w:bookmarkStart w:id="49" w:name="_Toc28359010"/>
      <w:r>
        <w:rPr>
          <w:rFonts w:hint="eastAsia" w:ascii="宋体" w:hAnsi="宋体" w:cs="宋体"/>
          <w:sz w:val="24"/>
        </w:rPr>
        <w:t>名    称：</w:t>
      </w:r>
      <w:r>
        <w:rPr>
          <w:rFonts w:hint="eastAsia" w:ascii="宋体" w:hAnsi="宋体" w:cs="宋体"/>
          <w:color w:val="000000"/>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color w:val="000000"/>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张超、李丁、马若莎、王康康、姚凤阳、杨栋010-67169727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48"/>
      <w:bookmarkEnd w:id="49"/>
    </w:p>
    <w:p>
      <w:pPr>
        <w:pStyle w:val="27"/>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color w:val="000000"/>
          <w:sz w:val="24"/>
          <w:szCs w:val="24"/>
          <w:u w:val="single"/>
        </w:rPr>
        <w:t>张超、李丁、马若莎、王康康、姚凤阳、杨栋</w:t>
      </w:r>
    </w:p>
    <w:p>
      <w:pPr>
        <w:pStyle w:val="27"/>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sz w:val="24"/>
        </w:rPr>
        <w:t>电      话：</w:t>
      </w:r>
      <w:r>
        <w:rPr>
          <w:rFonts w:hAnsi="宋体" w:cs="宋体"/>
          <w:color w:val="000000"/>
          <w:sz w:val="24"/>
          <w:szCs w:val="24"/>
          <w:u w:val="single"/>
        </w:rPr>
        <w:t>67169727</w:t>
      </w:r>
    </w:p>
    <w:p>
      <w:pPr>
        <w:widowControl/>
        <w:jc w:val="left"/>
        <w:rPr>
          <w:rFonts w:ascii="宋体" w:hAnsi="宋体" w:cs="宋体"/>
          <w:b/>
          <w:color w:val="000000" w:themeColor="text1"/>
          <w:sz w:val="36"/>
          <w:szCs w:val="36"/>
          <w14:textFill>
            <w14:solidFill>
              <w14:schemeClr w14:val="tx1"/>
            </w14:solidFill>
          </w14:textFill>
        </w:rPr>
      </w:pPr>
      <w:bookmarkStart w:id="50" w:name="_Toc226965856"/>
      <w:bookmarkStart w:id="51" w:name="_Toc99301420"/>
      <w:bookmarkStart w:id="52" w:name="_Toc353825548"/>
      <w:bookmarkStart w:id="53" w:name="_Toc127151777"/>
      <w:bookmarkStart w:id="54" w:name="_Toc264969275"/>
      <w:bookmarkStart w:id="55" w:name="_Toc195842950"/>
      <w:bookmarkStart w:id="56" w:name="_Toc353873938"/>
      <w:bookmarkStart w:id="57" w:name="_Toc512937850"/>
      <w:bookmarkStart w:id="58" w:name="_Toc150774783"/>
      <w:bookmarkStart w:id="59" w:name="_Toc305158854"/>
      <w:bookmarkStart w:id="60" w:name="_Toc127161488"/>
      <w:bookmarkStart w:id="61" w:name="_Toc265228423"/>
      <w:bookmarkStart w:id="62" w:name="_Toc305158928"/>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3" w:name="_Toc218620567"/>
      <w:r>
        <w:rPr>
          <w:rFonts w:hint="eastAsia" w:ascii="宋体" w:hAnsi="宋体" w:cs="宋体"/>
          <w:b/>
          <w:color w:val="000000" w:themeColor="text1"/>
          <w:sz w:val="36"/>
          <w:szCs w:val="36"/>
          <w14:textFill>
            <w14:solidFill>
              <w14:schemeClr w14:val="tx1"/>
            </w14:solidFill>
          </w14:textFill>
        </w:rPr>
        <w:t>第二章   投标人须知</w:t>
      </w:r>
      <w:bookmarkEnd w:id="50"/>
      <w:bookmarkEnd w:id="51"/>
      <w:bookmarkEnd w:id="52"/>
      <w:bookmarkEnd w:id="53"/>
      <w:bookmarkEnd w:id="54"/>
      <w:bookmarkEnd w:id="55"/>
      <w:bookmarkEnd w:id="56"/>
      <w:bookmarkEnd w:id="57"/>
      <w:bookmarkEnd w:id="58"/>
      <w:bookmarkEnd w:id="59"/>
      <w:bookmarkEnd w:id="60"/>
      <w:bookmarkEnd w:id="61"/>
      <w:bookmarkEnd w:id="62"/>
      <w:bookmarkEnd w:id="63"/>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4" w:name="_Toc151193689"/>
      <w:bookmarkStart w:id="65" w:name="_Toc127151720"/>
      <w:bookmarkStart w:id="66" w:name="_Toc195842884"/>
      <w:bookmarkStart w:id="67" w:name="_Toc164608633"/>
      <w:bookmarkStart w:id="68" w:name="_Toc520356144"/>
      <w:bookmarkStart w:id="69" w:name="_Toc142311021"/>
      <w:bookmarkStart w:id="70" w:name="_Toc226309763"/>
      <w:bookmarkStart w:id="71" w:name="_Toc150774724"/>
      <w:bookmarkStart w:id="72" w:name="_Toc164608788"/>
      <w:bookmarkStart w:id="73" w:name="_Toc164229360"/>
      <w:bookmarkStart w:id="74" w:name="_Toc149720812"/>
      <w:bookmarkStart w:id="75" w:name="_Toc151190146"/>
      <w:bookmarkStart w:id="76" w:name="_Toc151193617"/>
      <w:bookmarkStart w:id="77" w:name="_Toc226337215"/>
      <w:bookmarkStart w:id="78" w:name="_Toc151193833"/>
      <w:bookmarkStart w:id="79" w:name="_Toc151193761"/>
      <w:bookmarkStart w:id="80" w:name="_Toc164229214"/>
      <w:bookmarkStart w:id="81" w:name="_Toc151193907"/>
      <w:bookmarkStart w:id="82" w:name="_Toc226965792"/>
      <w:bookmarkStart w:id="83" w:name="_Toc150509270"/>
      <w:bookmarkStart w:id="84" w:name="_Toc127161433"/>
      <w:bookmarkStart w:id="85" w:name="_Toc226965709"/>
      <w:bookmarkStart w:id="86" w:name="_Toc127151519"/>
      <w:bookmarkStart w:id="87" w:name="_Toc150480757"/>
      <w:bookmarkStart w:id="88" w:name="_Toc164351613"/>
      <w:bookmarkStart w:id="89" w:name="_Toc150774619"/>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1"/>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□本项目_</w:t>
            </w:r>
            <w:r>
              <w:rPr>
                <w:rFonts w:hint="eastAsia" w:ascii="宋体" w:hAnsi="宋体" w:cs="宋体"/>
                <w:sz w:val="24"/>
                <w:u w:val="single"/>
              </w:rPr>
              <w:t>/</w:t>
            </w:r>
            <w:r>
              <w:rPr>
                <w:rFonts w:hint="eastAsia" w:ascii="宋体" w:hAnsi="宋体" w:cs="宋体"/>
                <w:sz w:val="24"/>
              </w:rPr>
              <w:t>_包为单一产品采购项目。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本项目_</w:t>
            </w:r>
            <w:r>
              <w:rPr>
                <w:rFonts w:ascii="宋体" w:hAnsi="宋体" w:cs="宋体"/>
                <w:sz w:val="24"/>
                <w:u w:val="single"/>
              </w:rPr>
              <w:t>1</w:t>
            </w:r>
            <w:r>
              <w:rPr>
                <w:rFonts w:hint="eastAsia" w:ascii="宋体" w:hAnsi="宋体" w:cs="宋体"/>
                <w:sz w:val="24"/>
              </w:rPr>
              <w:t>_包为非单一产品采购项目 ，核心产品为：</w:t>
            </w:r>
            <w:r>
              <w:rPr>
                <w:rFonts w:hint="eastAsia" w:ascii="宋体" w:hAnsi="宋体" w:cs="宋体"/>
                <w:sz w:val="24"/>
                <w:u w:val="single"/>
              </w:rPr>
              <w:t>仪器柜</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58"/>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1"/>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b/>
                      <w:sz w:val="24"/>
                    </w:rPr>
                  </w:pPr>
                  <w:bookmarkStart w:id="90" w:name="OLE_LINK5"/>
                  <w:bookmarkStart w:id="91" w:name="OLE_LINK7"/>
                  <w:r>
                    <w:rPr>
                      <w:rFonts w:hint="eastAsia" w:ascii="宋体" w:hAnsi="宋体" w:cs="宋体"/>
                      <w:b/>
                      <w:sz w:val="24"/>
                    </w:rPr>
                    <w:t>序号</w:t>
                  </w:r>
                </w:p>
              </w:tc>
              <w:tc>
                <w:tcPr>
                  <w:tcW w:w="3236" w:type="dxa"/>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vAlign w:val="center"/>
                </w:tcPr>
                <w:p>
                  <w:pPr>
                    <w:widowControl/>
                    <w:jc w:val="center"/>
                    <w:rPr>
                      <w:rFonts w:ascii="宋体" w:hAnsi="宋体" w:cs="宋体"/>
                      <w:kern w:val="0"/>
                      <w:szCs w:val="21"/>
                    </w:rPr>
                  </w:pPr>
                  <w:r>
                    <w:rPr>
                      <w:rFonts w:hint="eastAsia" w:ascii="宋体" w:hAnsi="宋体" w:cs="宋体"/>
                      <w:spacing w:val="7"/>
                      <w:sz w:val="24"/>
                    </w:rPr>
                    <w:t>详见第五章采购需求项目明细名称，每个货物须逐项列明</w:t>
                  </w:r>
                </w:p>
              </w:tc>
              <w:tc>
                <w:tcPr>
                  <w:tcW w:w="2127" w:type="dxa"/>
                  <w:vAlign w:val="center"/>
                </w:tcPr>
                <w:p>
                  <w:pPr>
                    <w:pStyle w:val="258"/>
                    <w:jc w:val="center"/>
                    <w:rPr>
                      <w:rFonts w:ascii="宋体" w:hAnsi="宋体" w:eastAsia="宋体" w:cs="宋体"/>
                      <w:color w:val="auto"/>
                      <w:lang w:eastAsia="zh-CN"/>
                    </w:rPr>
                  </w:pPr>
                  <w:r>
                    <w:rPr>
                      <w:rFonts w:hint="eastAsia" w:ascii="宋体" w:hAnsi="宋体" w:eastAsia="宋体" w:cs="宋体"/>
                      <w:color w:val="auto"/>
                      <w:lang w:eastAsia="zh-CN"/>
                    </w:rPr>
                    <w:t>工业</w:t>
                  </w:r>
                </w:p>
              </w:tc>
            </w:tr>
            <w:bookmarkEnd w:id="90"/>
            <w:bookmarkEnd w:id="91"/>
          </w:tbl>
          <w:p>
            <w:pPr>
              <w:pStyle w:val="258"/>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ascii="宋体" w:hAnsi="宋体" w:cs="宋体"/>
                <w:sz w:val="24"/>
                <w:u w:val="single"/>
              </w:rPr>
              <w:t>1</w:t>
            </w:r>
            <w:r>
              <w:rPr>
                <w:rFonts w:hint="eastAsia" w:ascii="宋体" w:hAnsi="宋体" w:cs="宋体"/>
                <w:sz w:val="24"/>
                <w:u w:val="single"/>
              </w:rPr>
              <w:t>0</w:t>
            </w:r>
            <w:r>
              <w:rPr>
                <w:rFonts w:ascii="宋体" w:hAnsi="宋体" w:cs="宋体"/>
                <w:sz w:val="24"/>
                <w:u w:val="single"/>
              </w:rPr>
              <w:t>0000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58"/>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58"/>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8"/>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2" w:name="_Hlt188370718"/>
            <w:bookmarkEnd w:id="92"/>
            <w:bookmarkStart w:id="93" w:name="_Hlt188370709"/>
            <w:bookmarkEnd w:id="93"/>
            <w:bookmarkStart w:id="94" w:name="_Hlt188370710"/>
            <w:bookmarkEnd w:id="94"/>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58"/>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58"/>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5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sz w:val="24"/>
                <w:szCs w:val="24"/>
                <w:u w:val="single"/>
                <w:lang w:eastAsia="zh-CN"/>
              </w:rPr>
              <w:t>参照“国家计委关于印发《招标代理服务收费管理暂行办法》的通知”（计价格[2002]1980号）和“国家发展改革委办公厅关于招标代理服务收费有关问题的通知”（发改办价格[2003]857号）标准，下浮10%向中标人收取招标服务费。以最终中标金额为基数计算为准。</w:t>
            </w:r>
          </w:p>
          <w:p>
            <w:pPr>
              <w:pStyle w:val="258"/>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58"/>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95" w:name="_Toc226337213"/>
      <w:bookmarkStart w:id="96" w:name="_Toc265228355"/>
      <w:bookmarkStart w:id="97" w:name="_Toc150480755"/>
      <w:bookmarkStart w:id="98" w:name="_Toc305158785"/>
      <w:bookmarkStart w:id="99" w:name="_Toc195842882"/>
      <w:bookmarkStart w:id="100" w:name="_Toc353825542"/>
      <w:bookmarkStart w:id="101" w:name="_Toc142311019"/>
      <w:bookmarkStart w:id="102" w:name="_Toc127151517"/>
      <w:bookmarkStart w:id="103" w:name="_Toc226965790"/>
      <w:bookmarkStart w:id="104" w:name="_Toc353873932"/>
      <w:bookmarkStart w:id="105" w:name="_Toc305158859"/>
      <w:bookmarkStart w:id="106" w:name="_Toc264969207"/>
      <w:bookmarkStart w:id="107" w:name="_Toc353873662"/>
      <w:bookmarkStart w:id="108" w:name="_Toc150774722"/>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4"/>
        <w:rPr>
          <w:rStyle w:val="461"/>
          <w:rFonts w:hint="default" w:ascii="宋体" w:hAnsi="宋体"/>
          <w:b/>
          <w:szCs w:val="28"/>
        </w:rPr>
      </w:pPr>
      <w:bookmarkStart w:id="109" w:name="_Toc195842883"/>
      <w:bookmarkStart w:id="110" w:name="_Toc264969208"/>
      <w:bookmarkStart w:id="111" w:name="_Toc151193760"/>
      <w:bookmarkStart w:id="112" w:name="_Toc142311020"/>
      <w:bookmarkStart w:id="113" w:name="_Toc305158786"/>
      <w:bookmarkStart w:id="114" w:name="_Toc305158860"/>
      <w:bookmarkStart w:id="115" w:name="_Toc150774723"/>
      <w:bookmarkStart w:id="116" w:name="_Toc151190145"/>
      <w:bookmarkStart w:id="117" w:name="_Toc226965708"/>
      <w:bookmarkStart w:id="118" w:name="_Toc150509269"/>
      <w:bookmarkStart w:id="119" w:name="_Toc151193688"/>
      <w:bookmarkStart w:id="120" w:name="_Toc127151518"/>
      <w:bookmarkStart w:id="121" w:name="_Toc520356143"/>
      <w:bookmarkStart w:id="122" w:name="_Toc151193832"/>
      <w:bookmarkStart w:id="123" w:name="_Toc226965791"/>
      <w:bookmarkStart w:id="124" w:name="_Toc265228356"/>
      <w:bookmarkStart w:id="125" w:name="_Toc150480756"/>
      <w:bookmarkStart w:id="126" w:name="_Toc150774618"/>
      <w:bookmarkStart w:id="127" w:name="_Toc226337214"/>
      <w:bookmarkStart w:id="128" w:name="_Toc226309762"/>
      <w:bookmarkStart w:id="129" w:name="_Toc151193616"/>
      <w:bookmarkStart w:id="130" w:name="_Toc151193906"/>
      <w:r>
        <w:rPr>
          <w:rStyle w:val="461"/>
          <w:rFonts w:hint="default" w:ascii="宋体" w:hAnsi="宋体"/>
          <w:b/>
          <w:szCs w:val="28"/>
        </w:rPr>
        <w:t>一   说  明</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1" w:name="_Toc264969209"/>
      <w:bookmarkStart w:id="132" w:name="_Toc305158861"/>
      <w:bookmarkStart w:id="133" w:name="_Toc305158787"/>
      <w:bookmarkStart w:id="134" w:name="_Toc265228357"/>
      <w:r>
        <w:rPr>
          <w:rFonts w:hint="eastAsia" w:ascii="宋体" w:hAnsi="宋体" w:cs="宋体"/>
          <w:color w:val="000000" w:themeColor="text1"/>
          <w:sz w:val="24"/>
          <w14:textFill>
            <w14:solidFill>
              <w14:schemeClr w14:val="tx1"/>
            </w14:solidFill>
          </w14:textFill>
        </w:rPr>
        <w:t>采购人、采购代理机构、投标人</w:t>
      </w:r>
      <w:bookmarkEnd w:id="131"/>
      <w:bookmarkEnd w:id="132"/>
      <w:bookmarkEnd w:id="133"/>
      <w:bookmarkEnd w:id="134"/>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5" w:name="_Toc151193762"/>
      <w:bookmarkStart w:id="136" w:name="_Toc164229215"/>
      <w:bookmarkStart w:id="137" w:name="_Toc150509271"/>
      <w:bookmarkStart w:id="138" w:name="_Toc151193690"/>
      <w:bookmarkStart w:id="139" w:name="_Toc164608789"/>
      <w:bookmarkStart w:id="140" w:name="_Toc305158788"/>
      <w:bookmarkStart w:id="141" w:name="_Toc151193618"/>
      <w:bookmarkStart w:id="142" w:name="_Toc150480758"/>
      <w:bookmarkStart w:id="143" w:name="_Toc150774725"/>
      <w:bookmarkStart w:id="144" w:name="_Toc195842885"/>
      <w:bookmarkStart w:id="145" w:name="_Toc226337216"/>
      <w:bookmarkStart w:id="146" w:name="_Toc265228358"/>
      <w:bookmarkStart w:id="147" w:name="_Toc142311022"/>
      <w:bookmarkStart w:id="148" w:name="_Toc151193908"/>
      <w:bookmarkStart w:id="149" w:name="_Toc127161434"/>
      <w:bookmarkStart w:id="150" w:name="_Toc226965793"/>
      <w:bookmarkStart w:id="151" w:name="_Toc305158862"/>
      <w:bookmarkStart w:id="152" w:name="_Toc226965710"/>
      <w:bookmarkStart w:id="153" w:name="_Toc164608634"/>
      <w:bookmarkStart w:id="154" w:name="_Toc151193834"/>
      <w:bookmarkStart w:id="155" w:name="_Toc127151721"/>
      <w:bookmarkStart w:id="156" w:name="_Toc150774620"/>
      <w:bookmarkStart w:id="157" w:name="_Toc264969210"/>
      <w:bookmarkStart w:id="158" w:name="_Toc149720813"/>
      <w:bookmarkStart w:id="159" w:name="_Toc151190147"/>
      <w:bookmarkStart w:id="160" w:name="_Toc164351614"/>
      <w:bookmarkStart w:id="161" w:name="_Toc226309764"/>
      <w:bookmarkStart w:id="162" w:name="_Toc164229361"/>
      <w:bookmarkStart w:id="163" w:name="_Toc127151520"/>
      <w:r>
        <w:rPr>
          <w:rFonts w:hint="eastAsia" w:ascii="宋体" w:hAnsi="宋体" w:cs="宋体"/>
          <w:color w:val="000000" w:themeColor="text1"/>
          <w:sz w:val="24"/>
          <w14:textFill>
            <w14:solidFill>
              <w14:schemeClr w14:val="tx1"/>
            </w14:solidFill>
          </w14:textFill>
        </w:rPr>
        <w:t>资金来源</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4" w:name="_Toc305158790"/>
      <w:bookmarkStart w:id="165" w:name="_Toc150480760"/>
      <w:bookmarkStart w:id="166" w:name="_Toc151190149"/>
      <w:bookmarkStart w:id="167" w:name="_Toc226965712"/>
      <w:bookmarkStart w:id="168" w:name="_Toc127151522"/>
      <w:bookmarkStart w:id="169" w:name="_Toc195842887"/>
      <w:bookmarkStart w:id="170" w:name="_Toc226965795"/>
      <w:bookmarkStart w:id="171" w:name="_Toc142311024"/>
      <w:bookmarkStart w:id="172" w:name="_Toc264969212"/>
      <w:bookmarkStart w:id="173" w:name="_Toc151193764"/>
      <w:bookmarkStart w:id="174" w:name="_Toc150774727"/>
      <w:bookmarkStart w:id="175" w:name="_Toc151193836"/>
      <w:bookmarkStart w:id="176" w:name="_Toc150774622"/>
      <w:bookmarkStart w:id="177" w:name="_Toc150509273"/>
      <w:bookmarkStart w:id="178" w:name="_Toc305158864"/>
      <w:bookmarkStart w:id="179" w:name="_Toc151193910"/>
      <w:bookmarkStart w:id="180" w:name="_Toc226337218"/>
      <w:bookmarkStart w:id="181" w:name="_Toc151193620"/>
      <w:bookmarkStart w:id="182" w:name="_Toc226309766"/>
      <w:bookmarkStart w:id="183" w:name="_Toc520356146"/>
      <w:bookmarkStart w:id="184" w:name="_Toc151193692"/>
      <w:bookmarkStart w:id="185" w:name="_Toc265228360"/>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86" w:name="OLE_LINK24"/>
      <w:bookmarkStart w:id="187"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6"/>
      <w:bookmarkEnd w:id="187"/>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88" w:name="OLE_LINK29"/>
      <w:bookmarkStart w:id="189" w:name="OLE_LINK28"/>
      <w:r>
        <w:rPr>
          <w:rFonts w:hint="eastAsia" w:ascii="宋体" w:hAnsi="宋体" w:cs="宋体"/>
          <w:color w:val="000000" w:themeColor="text1"/>
          <w:sz w:val="24"/>
          <w14:textFill>
            <w14:solidFill>
              <w14:schemeClr w14:val="tx1"/>
            </w14:solidFill>
          </w14:textFill>
        </w:rPr>
        <w:t>根据</w:t>
      </w:r>
      <w:bookmarkStart w:id="190" w:name="OLE_LINK26"/>
      <w:bookmarkStart w:id="191" w:name="OLE_LINK33"/>
      <w:bookmarkStart w:id="192" w:name="OLE_LINK32"/>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0"/>
      <w:r>
        <w:rPr>
          <w:rFonts w:hint="eastAsia" w:ascii="宋体" w:hAnsi="宋体" w:cs="宋体"/>
          <w:color w:val="000000" w:themeColor="text1"/>
          <w:sz w:val="24"/>
          <w14:textFill>
            <w14:solidFill>
              <w14:schemeClr w14:val="tx1"/>
            </w14:solidFill>
          </w14:textFill>
        </w:rPr>
        <w:t>（2023年第1号）</w:t>
      </w:r>
      <w:bookmarkEnd w:id="191"/>
      <w:bookmarkEnd w:id="192"/>
      <w:r>
        <w:rPr>
          <w:rFonts w:hint="eastAsia" w:ascii="宋体" w:hAnsi="宋体" w:cs="宋体"/>
          <w:color w:val="000000" w:themeColor="text1"/>
          <w:sz w:val="24"/>
          <w14:textFill>
            <w14:solidFill>
              <w14:schemeClr w14:val="tx1"/>
            </w14:solidFill>
          </w14:textFill>
        </w:rPr>
        <w:t>，所提供产品属于列入</w:t>
      </w:r>
      <w:bookmarkStart w:id="193"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3"/>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88"/>
      <w:bookmarkEnd w:id="189"/>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4" w:name="OLE_LINK62"/>
      <w:bookmarkStart w:id="195" w:name="OLE_LINK61"/>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4"/>
    <w:bookmarkEnd w:id="195"/>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196" w:name="_1.8_计量单位"/>
      <w:bookmarkEnd w:id="196"/>
    </w:p>
    <w:p>
      <w:pPr>
        <w:pStyle w:val="4"/>
        <w:rPr>
          <w:rStyle w:val="461"/>
          <w:rFonts w:hint="default" w:ascii="宋体" w:hAnsi="宋体"/>
          <w:b/>
        </w:rPr>
      </w:pPr>
      <w:r>
        <w:rPr>
          <w:rStyle w:val="461"/>
          <w:rFonts w:hint="default" w:ascii="宋体" w:hAnsi="宋体"/>
          <w:b/>
        </w:rPr>
        <w:t>二   招标文件</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97" w:name="_Toc226337219"/>
      <w:bookmarkStart w:id="198" w:name="_Toc226965713"/>
      <w:bookmarkStart w:id="199" w:name="_Toc150774623"/>
      <w:bookmarkStart w:id="200" w:name="_Toc151193837"/>
      <w:bookmarkStart w:id="201" w:name="_Toc150509274"/>
      <w:bookmarkStart w:id="202" w:name="_Toc164229218"/>
      <w:bookmarkStart w:id="203" w:name="_Toc151193693"/>
      <w:bookmarkStart w:id="204" w:name="_Toc265228361"/>
      <w:bookmarkStart w:id="205" w:name="_Toc142311025"/>
      <w:bookmarkStart w:id="206" w:name="_Toc127161437"/>
      <w:bookmarkStart w:id="207" w:name="_Toc127151523"/>
      <w:bookmarkStart w:id="208" w:name="_Toc151193911"/>
      <w:bookmarkStart w:id="209" w:name="_Toc195842888"/>
      <w:bookmarkStart w:id="210" w:name="_Toc164608792"/>
      <w:bookmarkStart w:id="211" w:name="_Toc305158865"/>
      <w:bookmarkStart w:id="212" w:name="_Toc151190150"/>
      <w:bookmarkStart w:id="213" w:name="_Toc150480761"/>
      <w:bookmarkStart w:id="214" w:name="_Toc164229364"/>
      <w:bookmarkStart w:id="215" w:name="_Toc264969213"/>
      <w:bookmarkStart w:id="216" w:name="_Toc164608637"/>
      <w:bookmarkStart w:id="217" w:name="_Toc305158791"/>
      <w:bookmarkStart w:id="218" w:name="_Toc151193621"/>
      <w:bookmarkStart w:id="219" w:name="_Toc226965796"/>
      <w:bookmarkStart w:id="220" w:name="_Toc150774728"/>
      <w:bookmarkStart w:id="221" w:name="_Toc520356147"/>
      <w:bookmarkStart w:id="222" w:name="_Toc149720816"/>
      <w:bookmarkStart w:id="223" w:name="_Toc226309767"/>
      <w:bookmarkStart w:id="224" w:name="_Toc151193765"/>
      <w:bookmarkStart w:id="225" w:name="_Toc164351617"/>
      <w:bookmarkStart w:id="226" w:name="_Toc127151724"/>
      <w:r>
        <w:rPr>
          <w:rFonts w:hint="eastAsia" w:ascii="宋体" w:hAnsi="宋体" w:cs="宋体"/>
          <w:color w:val="000000" w:themeColor="text1"/>
          <w:sz w:val="24"/>
          <w14:textFill>
            <w14:solidFill>
              <w14:schemeClr w14:val="tx1"/>
            </w14:solidFill>
          </w14:textFill>
        </w:rPr>
        <w:t>招标文件构</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27" w:name="_Toc516367020"/>
      <w:bookmarkStart w:id="228" w:name="_Toc264969216"/>
      <w:bookmarkStart w:id="229" w:name="_Toc151193840"/>
      <w:bookmarkStart w:id="230" w:name="_Toc150774731"/>
      <w:bookmarkStart w:id="231" w:name="_Toc142311028"/>
      <w:bookmarkStart w:id="232" w:name="_Toc150509277"/>
      <w:bookmarkStart w:id="233" w:name="_Toc127151526"/>
      <w:bookmarkStart w:id="234" w:name="_Toc195842891"/>
      <w:bookmarkStart w:id="235" w:name="_Toc151190153"/>
      <w:bookmarkStart w:id="236" w:name="_Toc520356150"/>
      <w:bookmarkStart w:id="237" w:name="_Toc305158794"/>
      <w:bookmarkStart w:id="238" w:name="_Toc305158868"/>
      <w:bookmarkStart w:id="239" w:name="_Toc151193696"/>
      <w:bookmarkStart w:id="240" w:name="_Toc151193768"/>
      <w:bookmarkStart w:id="241" w:name="_Toc226309770"/>
      <w:bookmarkStart w:id="242" w:name="_Toc150774626"/>
      <w:bookmarkStart w:id="243" w:name="_Toc151193914"/>
      <w:bookmarkStart w:id="244" w:name="_Toc150480764"/>
      <w:bookmarkStart w:id="245" w:name="_Toc226965799"/>
      <w:bookmarkStart w:id="246" w:name="_Toc151193624"/>
      <w:bookmarkStart w:id="247" w:name="_Toc226965716"/>
      <w:bookmarkStart w:id="248" w:name="_Toc265228364"/>
      <w:bookmarkStart w:id="249" w:name="_Toc226337222"/>
    </w:p>
    <w:p>
      <w:pPr>
        <w:pStyle w:val="4"/>
        <w:rPr>
          <w:rStyle w:val="461"/>
          <w:rFonts w:hint="default" w:ascii="宋体" w:hAnsi="宋体"/>
          <w:b/>
        </w:rPr>
      </w:pPr>
      <w:r>
        <w:rPr>
          <w:rStyle w:val="461"/>
          <w:rFonts w:hint="default" w:ascii="宋体" w:hAnsi="宋体"/>
          <w:b/>
        </w:rPr>
        <w:t>三   投标文件</w:t>
      </w:r>
      <w:bookmarkEnd w:id="227"/>
      <w:r>
        <w:rPr>
          <w:rStyle w:val="461"/>
          <w:rFonts w:hint="default" w:ascii="宋体" w:hAnsi="宋体"/>
          <w:b/>
        </w:rPr>
        <w:t>的编制</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50" w:name="_Toc264969217"/>
      <w:bookmarkStart w:id="251" w:name="_Toc226965800"/>
      <w:bookmarkStart w:id="252" w:name="_Toc142311029"/>
      <w:bookmarkStart w:id="253" w:name="_Toc151193697"/>
      <w:bookmarkStart w:id="254" w:name="_Toc151190154"/>
      <w:bookmarkStart w:id="255" w:name="_Toc195842892"/>
      <w:bookmarkStart w:id="256" w:name="_Toc150774732"/>
      <w:bookmarkStart w:id="257" w:name="_Toc127151728"/>
      <w:bookmarkStart w:id="258" w:name="_Toc150509278"/>
      <w:bookmarkStart w:id="259" w:name="_Toc151193625"/>
      <w:bookmarkStart w:id="260" w:name="_Toc164608641"/>
      <w:bookmarkStart w:id="261" w:name="_Toc164229222"/>
      <w:bookmarkStart w:id="262" w:name="_Toc164229368"/>
      <w:bookmarkStart w:id="263" w:name="_Toc149720820"/>
      <w:bookmarkStart w:id="264" w:name="_Toc265228365"/>
      <w:bookmarkStart w:id="265" w:name="_Toc226309771"/>
      <w:bookmarkStart w:id="266" w:name="_Toc127151527"/>
      <w:bookmarkStart w:id="267" w:name="_Toc305158869"/>
      <w:bookmarkStart w:id="268" w:name="_Toc127161441"/>
      <w:bookmarkStart w:id="269" w:name="_Toc151193769"/>
      <w:bookmarkStart w:id="270" w:name="_Toc226337223"/>
      <w:bookmarkStart w:id="271" w:name="_Toc226965717"/>
      <w:bookmarkStart w:id="272" w:name="_Toc164351621"/>
      <w:bookmarkStart w:id="273" w:name="_Toc150480765"/>
      <w:bookmarkStart w:id="274" w:name="_Toc520356151"/>
      <w:bookmarkStart w:id="275" w:name="_Toc151193841"/>
      <w:bookmarkStart w:id="276" w:name="_Toc150774627"/>
      <w:bookmarkStart w:id="277" w:name="_Toc305158795"/>
      <w:bookmarkStart w:id="278" w:name="_Toc516367021"/>
      <w:bookmarkStart w:id="279" w:name="_Toc164608796"/>
      <w:bookmarkStart w:id="280" w:name="_Toc151193915"/>
      <w:r>
        <w:rPr>
          <w:rFonts w:hint="eastAsia" w:ascii="宋体" w:hAnsi="宋体" w:cs="宋体"/>
          <w:color w:val="000000" w:themeColor="text1"/>
          <w:sz w:val="24"/>
          <w14:textFill>
            <w14:solidFill>
              <w14:schemeClr w14:val="tx1"/>
            </w14:solidFill>
          </w14:textFill>
        </w:rPr>
        <w:t>投标范围、投标文件中计量单位的使用</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1" w:name="_Ref467306676"/>
      <w:bookmarkStart w:id="282" w:name="_Ref467306195"/>
      <w:bookmarkStart w:id="283" w:name="_Toc516367022"/>
      <w:bookmarkStart w:id="284" w:name="_Toc150774628"/>
      <w:bookmarkStart w:id="285" w:name="_Toc150480766"/>
      <w:bookmarkStart w:id="286" w:name="_Toc195842893"/>
      <w:bookmarkStart w:id="287" w:name="_Toc149720821"/>
      <w:bookmarkStart w:id="288" w:name="_Toc151193626"/>
      <w:bookmarkStart w:id="289" w:name="_Toc164608797"/>
      <w:bookmarkStart w:id="290" w:name="_Toc151193770"/>
      <w:bookmarkStart w:id="291" w:name="_Toc305158796"/>
      <w:bookmarkStart w:id="292" w:name="_Toc151193698"/>
      <w:bookmarkStart w:id="293" w:name="_Toc305158870"/>
      <w:bookmarkStart w:id="294" w:name="_Toc164608642"/>
      <w:bookmarkStart w:id="295" w:name="_Toc226965801"/>
      <w:bookmarkStart w:id="296" w:name="_Toc151190155"/>
      <w:bookmarkStart w:id="297" w:name="_Toc164351622"/>
      <w:bookmarkStart w:id="298" w:name="_Toc164229369"/>
      <w:bookmarkStart w:id="299" w:name="_Toc264969218"/>
      <w:bookmarkStart w:id="300" w:name="_Toc226309772"/>
      <w:bookmarkStart w:id="301" w:name="_Toc127151528"/>
      <w:bookmarkStart w:id="302" w:name="_Toc265228366"/>
      <w:bookmarkStart w:id="303" w:name="_Toc164229223"/>
      <w:bookmarkStart w:id="304" w:name="_Toc226337224"/>
      <w:bookmarkStart w:id="305" w:name="_Toc151193842"/>
      <w:bookmarkStart w:id="306" w:name="_Toc127151729"/>
      <w:bookmarkStart w:id="307" w:name="_Toc150509279"/>
      <w:bookmarkStart w:id="308" w:name="_Toc127161442"/>
      <w:bookmarkStart w:id="309" w:name="_Toc226965718"/>
      <w:bookmarkStart w:id="310" w:name="_Toc520356152"/>
      <w:bookmarkStart w:id="311" w:name="_Toc142311030"/>
      <w:bookmarkStart w:id="312" w:name="_Toc151193916"/>
      <w:bookmarkStart w:id="313" w:name="_Toc150774733"/>
      <w:r>
        <w:rPr>
          <w:rFonts w:hint="eastAsia" w:ascii="宋体" w:hAnsi="宋体" w:cs="宋体"/>
          <w:color w:val="000000" w:themeColor="text1"/>
          <w:sz w:val="24"/>
          <w14:textFill>
            <w14:solidFill>
              <w14:schemeClr w14:val="tx1"/>
            </w14:solidFill>
          </w14:textFill>
        </w:rPr>
        <w:t>投标文件</w:t>
      </w:r>
      <w:bookmarkEnd w:id="281"/>
      <w:bookmarkEnd w:id="282"/>
      <w:bookmarkEnd w:id="283"/>
      <w:r>
        <w:rPr>
          <w:rFonts w:hint="eastAsia" w:ascii="宋体" w:hAnsi="宋体" w:cs="宋体"/>
          <w:color w:val="000000" w:themeColor="text1"/>
          <w:sz w:val="24"/>
          <w14:textFill>
            <w14:solidFill>
              <w14:schemeClr w14:val="tx1"/>
            </w14:solidFill>
          </w14:textFill>
        </w:rPr>
        <w:t>构成</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4"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15" w:name="_Toc127151731"/>
      <w:bookmarkStart w:id="316" w:name="_Toc151193772"/>
      <w:bookmarkStart w:id="317" w:name="_Toc151193700"/>
      <w:bookmarkStart w:id="318" w:name="_Toc164229371"/>
      <w:bookmarkStart w:id="319" w:name="_Toc151193628"/>
      <w:bookmarkStart w:id="320" w:name="_Toc151193844"/>
      <w:bookmarkStart w:id="321" w:name="_Toc164608799"/>
      <w:bookmarkStart w:id="322" w:name="_Toc127161444"/>
      <w:bookmarkStart w:id="323" w:name="_Toc151193918"/>
      <w:bookmarkStart w:id="324" w:name="_Toc150774735"/>
      <w:bookmarkStart w:id="325" w:name="_Toc150774630"/>
      <w:bookmarkStart w:id="326" w:name="_Toc149720823"/>
      <w:bookmarkStart w:id="327" w:name="_Toc150480768"/>
      <w:bookmarkStart w:id="328" w:name="_Toc520356155"/>
      <w:bookmarkStart w:id="329" w:name="_Toc127151530"/>
      <w:bookmarkStart w:id="330" w:name="_Toc150509281"/>
      <w:bookmarkStart w:id="331" w:name="_Toc164608644"/>
      <w:bookmarkStart w:id="332" w:name="_Toc164229225"/>
      <w:bookmarkStart w:id="333" w:name="_Toc151190157"/>
      <w:bookmarkStart w:id="334" w:name="_Toc142311032"/>
      <w:bookmarkStart w:id="335" w:name="_Toc195842895"/>
      <w:bookmarkStart w:id="336" w:name="_Toc164351624"/>
      <w:r>
        <w:rPr>
          <w:rFonts w:hint="eastAsia" w:ascii="宋体" w:hAnsi="宋体" w:cs="宋体"/>
          <w:color w:val="000000" w:themeColor="text1"/>
          <w:sz w:val="24"/>
          <w14:textFill>
            <w14:solidFill>
              <w14:schemeClr w14:val="tx1"/>
            </w14:solidFill>
          </w14:textFill>
        </w:rPr>
        <w:t>投标报价</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37" w:name="_Ref467306513"/>
      <w:bookmarkStart w:id="338" w:name="_Toc151193773"/>
      <w:bookmarkStart w:id="339" w:name="_Toc127161445"/>
      <w:bookmarkStart w:id="340" w:name="_Toc150774631"/>
      <w:bookmarkStart w:id="341" w:name="_Toc151190158"/>
      <w:bookmarkStart w:id="342" w:name="_Toc226309775"/>
      <w:bookmarkStart w:id="343" w:name="_Toc149720824"/>
      <w:bookmarkStart w:id="344" w:name="_Toc127151732"/>
      <w:bookmarkStart w:id="345" w:name="_Toc305158873"/>
      <w:bookmarkStart w:id="346" w:name="_Toc151193919"/>
      <w:bookmarkStart w:id="347" w:name="_Toc164608645"/>
      <w:bookmarkStart w:id="348" w:name="_Toc164608800"/>
      <w:bookmarkStart w:id="349" w:name="_Toc226965721"/>
      <w:bookmarkStart w:id="350" w:name="_Toc164351625"/>
      <w:bookmarkStart w:id="351" w:name="_Toc164229372"/>
      <w:bookmarkStart w:id="352" w:name="_Toc264969221"/>
      <w:bookmarkStart w:id="353" w:name="_Toc151193701"/>
      <w:bookmarkStart w:id="354" w:name="_Toc226965804"/>
      <w:bookmarkStart w:id="355" w:name="_Toc195842896"/>
      <w:bookmarkStart w:id="356" w:name="_Toc142311033"/>
      <w:bookmarkStart w:id="357" w:name="_Toc127151531"/>
      <w:bookmarkStart w:id="358" w:name="_Toc150509282"/>
      <w:bookmarkStart w:id="359" w:name="_Toc520356156"/>
      <w:bookmarkStart w:id="360" w:name="_Toc151193845"/>
      <w:bookmarkStart w:id="361" w:name="_Toc164229226"/>
      <w:bookmarkStart w:id="362" w:name="_Toc305158799"/>
      <w:bookmarkStart w:id="363" w:name="_Toc265228369"/>
      <w:bookmarkStart w:id="364" w:name="_Toc150480769"/>
      <w:bookmarkStart w:id="365" w:name="_Toc150774736"/>
      <w:bookmarkStart w:id="366" w:name="_Toc151193629"/>
      <w:bookmarkStart w:id="367" w:name="_Toc226337227"/>
      <w:r>
        <w:rPr>
          <w:rFonts w:hint="eastAsia" w:ascii="宋体" w:hAnsi="宋体" w:cs="宋体"/>
          <w:color w:val="000000" w:themeColor="text1"/>
          <w:sz w:val="24"/>
          <w14:textFill>
            <w14:solidFill>
              <w14:schemeClr w14:val="tx1"/>
            </w14:solidFill>
          </w14:textFill>
        </w:rPr>
        <w:t>投标保证金</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68"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68"/>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69" w:name="_Toc151193774"/>
      <w:bookmarkStart w:id="370" w:name="_Toc127161446"/>
      <w:bookmarkStart w:id="371" w:name="_Toc151193846"/>
      <w:bookmarkStart w:id="372" w:name="_Toc142311034"/>
      <w:bookmarkStart w:id="373" w:name="_Toc226965805"/>
      <w:bookmarkStart w:id="374" w:name="_Toc151193630"/>
      <w:bookmarkStart w:id="375" w:name="_Toc164229373"/>
      <w:bookmarkStart w:id="376" w:name="_Toc127151733"/>
      <w:bookmarkStart w:id="377" w:name="_Toc226337228"/>
      <w:bookmarkStart w:id="378" w:name="_Toc151193702"/>
      <w:bookmarkStart w:id="379" w:name="_Toc195842897"/>
      <w:bookmarkStart w:id="380" w:name="_Toc149720825"/>
      <w:bookmarkStart w:id="381" w:name="_Toc305158874"/>
      <w:bookmarkStart w:id="382" w:name="_Toc164608646"/>
      <w:bookmarkStart w:id="383" w:name="_Toc305158800"/>
      <w:bookmarkStart w:id="384" w:name="_Toc265228370"/>
      <w:bookmarkStart w:id="385" w:name="_Toc164608801"/>
      <w:bookmarkStart w:id="386" w:name="_Toc150480770"/>
      <w:bookmarkStart w:id="387" w:name="_Toc164229227"/>
      <w:bookmarkStart w:id="388" w:name="_Toc151193920"/>
      <w:bookmarkStart w:id="389" w:name="_Toc226965722"/>
      <w:bookmarkStart w:id="390" w:name="_Toc150774737"/>
      <w:bookmarkStart w:id="391" w:name="_Toc150509283"/>
      <w:bookmarkStart w:id="392" w:name="_Toc127151532"/>
      <w:bookmarkStart w:id="393" w:name="_Toc520356157"/>
      <w:bookmarkStart w:id="394" w:name="_Toc151190159"/>
      <w:bookmarkStart w:id="395" w:name="_Toc164351626"/>
      <w:bookmarkStart w:id="396" w:name="_Toc226309776"/>
      <w:bookmarkStart w:id="397" w:name="_Toc150774632"/>
      <w:bookmarkStart w:id="398" w:name="_Toc264969222"/>
      <w:r>
        <w:rPr>
          <w:rFonts w:hint="eastAsia" w:ascii="宋体" w:hAnsi="宋体" w:cs="宋体"/>
          <w:color w:val="000000" w:themeColor="text1"/>
          <w:sz w:val="24"/>
          <w14:textFill>
            <w14:solidFill>
              <w14:schemeClr w14:val="tx1"/>
            </w14:solidFill>
          </w14:textFill>
        </w:rPr>
        <w:t>投标有效期</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99" w:name="_Toc151193775"/>
      <w:bookmarkStart w:id="400" w:name="_Toc127151734"/>
      <w:bookmarkStart w:id="401" w:name="_Toc164608802"/>
      <w:bookmarkStart w:id="402" w:name="_Toc151193631"/>
      <w:bookmarkStart w:id="403" w:name="_Toc127151533"/>
      <w:bookmarkStart w:id="404" w:name="_Toc265228371"/>
      <w:bookmarkStart w:id="405" w:name="_Toc164229374"/>
      <w:bookmarkStart w:id="406" w:name="_Toc151193921"/>
      <w:bookmarkStart w:id="407" w:name="_Toc150774633"/>
      <w:bookmarkStart w:id="408" w:name="_Toc151193847"/>
      <w:bookmarkStart w:id="409" w:name="_Toc195842898"/>
      <w:bookmarkStart w:id="410" w:name="_Toc264969223"/>
      <w:bookmarkStart w:id="411" w:name="_Toc226309777"/>
      <w:bookmarkStart w:id="412" w:name="_Toc305158875"/>
      <w:bookmarkStart w:id="413" w:name="_Toc164351627"/>
      <w:bookmarkStart w:id="414" w:name="_Toc151190160"/>
      <w:bookmarkStart w:id="415" w:name="_Toc226337229"/>
      <w:bookmarkStart w:id="416" w:name="_Toc149720826"/>
      <w:bookmarkStart w:id="417" w:name="_Toc142311035"/>
      <w:bookmarkStart w:id="418" w:name="_Toc150774738"/>
      <w:bookmarkStart w:id="419" w:name="_Toc151193703"/>
      <w:bookmarkStart w:id="420" w:name="_Toc226965806"/>
      <w:bookmarkStart w:id="421" w:name="_Toc150509284"/>
      <w:bookmarkStart w:id="422" w:name="_Toc164608647"/>
      <w:bookmarkStart w:id="423" w:name="_Toc520356158"/>
      <w:bookmarkStart w:id="424" w:name="_Toc226965723"/>
      <w:bookmarkStart w:id="425" w:name="_Toc150480771"/>
      <w:bookmarkStart w:id="426" w:name="_Toc305158801"/>
      <w:bookmarkStart w:id="427" w:name="_Toc127161447"/>
      <w:bookmarkStart w:id="428" w:name="_Toc164229228"/>
      <w:r>
        <w:rPr>
          <w:rFonts w:hint="eastAsia" w:ascii="宋体" w:hAnsi="宋体" w:cs="宋体"/>
          <w:color w:val="000000" w:themeColor="text1"/>
          <w:sz w:val="24"/>
          <w14:textFill>
            <w14:solidFill>
              <w14:schemeClr w14:val="tx1"/>
            </w14:solidFill>
          </w14:textFill>
        </w:rPr>
        <w:t>投标文件的签署</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29" w:name="_Toc305158876"/>
      <w:bookmarkStart w:id="430" w:name="_Toc151193922"/>
      <w:bookmarkStart w:id="431" w:name="_Toc265228372"/>
      <w:bookmarkStart w:id="432" w:name="_Toc226965724"/>
      <w:bookmarkStart w:id="433" w:name="_Toc520356159"/>
      <w:bookmarkStart w:id="434" w:name="_Toc127151534"/>
      <w:bookmarkStart w:id="435" w:name="_Toc305158802"/>
      <w:bookmarkStart w:id="436" w:name="_Toc150774739"/>
      <w:bookmarkStart w:id="437" w:name="_Toc226965807"/>
      <w:bookmarkStart w:id="438" w:name="_Toc151190161"/>
      <w:bookmarkStart w:id="439" w:name="_Toc151193776"/>
      <w:bookmarkStart w:id="440" w:name="_Toc142311036"/>
      <w:bookmarkStart w:id="441" w:name="_Toc264969224"/>
      <w:bookmarkStart w:id="442" w:name="_Toc150774634"/>
      <w:bookmarkStart w:id="443" w:name="_Toc151193632"/>
      <w:bookmarkStart w:id="444" w:name="_Toc226337230"/>
      <w:bookmarkStart w:id="445" w:name="_Toc150509285"/>
      <w:bookmarkStart w:id="446" w:name="_Toc151193704"/>
      <w:bookmarkStart w:id="447" w:name="_Toc226309778"/>
      <w:bookmarkStart w:id="448" w:name="_Toc151193848"/>
      <w:bookmarkStart w:id="449" w:name="_Toc195842899"/>
      <w:bookmarkStart w:id="450" w:name="_Toc150480772"/>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1"/>
          <w:rFonts w:hint="default" w:ascii="宋体" w:hAnsi="宋体"/>
          <w:b/>
        </w:rPr>
      </w:pPr>
      <w:r>
        <w:rPr>
          <w:rStyle w:val="461"/>
          <w:rFonts w:hint="default" w:ascii="宋体" w:hAnsi="宋体"/>
          <w:b/>
        </w:rPr>
        <w:t>四   投标文件的提交</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1" w:name="_Toc265228373"/>
      <w:bookmarkStart w:id="452" w:name="_Toc142311037"/>
      <w:bookmarkStart w:id="453" w:name="_Toc151193705"/>
      <w:bookmarkStart w:id="454" w:name="_Toc164608804"/>
      <w:bookmarkStart w:id="455" w:name="_Toc226965725"/>
      <w:bookmarkStart w:id="456" w:name="_Toc164229230"/>
      <w:bookmarkStart w:id="457" w:name="_Toc127151736"/>
      <w:bookmarkStart w:id="458" w:name="_Toc264969225"/>
      <w:bookmarkStart w:id="459" w:name="_Toc164229376"/>
      <w:bookmarkStart w:id="460" w:name="_Toc226309779"/>
      <w:bookmarkStart w:id="461" w:name="_Toc127151535"/>
      <w:bookmarkStart w:id="462" w:name="_Toc151193923"/>
      <w:bookmarkStart w:id="463" w:name="_Toc151193777"/>
      <w:bookmarkStart w:id="464" w:name="_Toc150774740"/>
      <w:bookmarkStart w:id="465" w:name="_Toc195842900"/>
      <w:bookmarkStart w:id="466" w:name="_Toc127161449"/>
      <w:bookmarkStart w:id="467" w:name="_Toc520356160"/>
      <w:bookmarkStart w:id="468" w:name="_Toc164351629"/>
      <w:bookmarkStart w:id="469" w:name="_Toc151193633"/>
      <w:bookmarkStart w:id="470" w:name="_Toc305158877"/>
      <w:bookmarkStart w:id="471" w:name="_Toc226965808"/>
      <w:bookmarkStart w:id="472" w:name="_Toc150480773"/>
      <w:bookmarkStart w:id="473" w:name="_Toc150774635"/>
      <w:bookmarkStart w:id="474" w:name="_Toc164608649"/>
      <w:bookmarkStart w:id="475" w:name="_Toc150509286"/>
      <w:bookmarkStart w:id="476" w:name="_Toc305158803"/>
      <w:bookmarkStart w:id="477" w:name="_Toc151193849"/>
      <w:bookmarkStart w:id="478" w:name="_Toc151190162"/>
      <w:bookmarkStart w:id="479" w:name="_Toc149720828"/>
      <w:bookmarkStart w:id="480" w:name="_Toc226337231"/>
      <w:r>
        <w:rPr>
          <w:rFonts w:hint="eastAsia" w:ascii="宋体" w:hAnsi="宋体" w:cs="宋体"/>
          <w:color w:val="000000" w:themeColor="text1"/>
          <w:sz w:val="24"/>
          <w14:textFill>
            <w14:solidFill>
              <w14:schemeClr w14:val="tx1"/>
            </w14:solidFill>
          </w14:textFill>
        </w:rPr>
        <w:t>投标文件的</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1" w:name="_Toc127151737"/>
      <w:bookmarkStart w:id="482" w:name="_Toc226309780"/>
      <w:bookmarkStart w:id="483" w:name="_Toc151190163"/>
      <w:bookmarkStart w:id="484" w:name="_Toc150774741"/>
      <w:bookmarkStart w:id="485" w:name="_Toc164608805"/>
      <w:bookmarkStart w:id="486" w:name="_Toc265228374"/>
      <w:bookmarkStart w:id="487" w:name="_Toc149720829"/>
      <w:bookmarkStart w:id="488" w:name="_Toc164351630"/>
      <w:bookmarkStart w:id="489" w:name="_Toc520356161"/>
      <w:bookmarkStart w:id="490" w:name="_Toc305158878"/>
      <w:bookmarkStart w:id="491" w:name="_Toc226965809"/>
      <w:bookmarkStart w:id="492" w:name="_Toc151193778"/>
      <w:bookmarkStart w:id="493" w:name="_Toc164608650"/>
      <w:bookmarkStart w:id="494" w:name="_Toc151193706"/>
      <w:bookmarkStart w:id="495" w:name="_Toc150480774"/>
      <w:bookmarkStart w:id="496" w:name="_Toc150774636"/>
      <w:bookmarkStart w:id="497" w:name="_Toc127161450"/>
      <w:bookmarkStart w:id="498" w:name="_Toc226965726"/>
      <w:bookmarkStart w:id="499" w:name="_Toc305158804"/>
      <w:bookmarkStart w:id="500" w:name="_Toc127151536"/>
      <w:bookmarkStart w:id="501" w:name="_Toc151193924"/>
      <w:bookmarkStart w:id="502" w:name="_Toc264969226"/>
      <w:bookmarkStart w:id="503" w:name="_Toc150509287"/>
      <w:bookmarkStart w:id="504" w:name="_Toc151193634"/>
      <w:bookmarkStart w:id="505" w:name="_Toc151193850"/>
      <w:bookmarkStart w:id="506" w:name="_Toc195842901"/>
      <w:bookmarkStart w:id="507" w:name="_Toc164229377"/>
      <w:bookmarkStart w:id="508" w:name="_Toc142311038"/>
      <w:bookmarkStart w:id="509" w:name="_Toc226337232"/>
      <w:bookmarkStart w:id="510" w:name="_Toc164229231"/>
      <w:r>
        <w:rPr>
          <w:rFonts w:hint="eastAsia" w:ascii="宋体" w:hAnsi="宋体" w:cs="宋体"/>
          <w:color w:val="000000" w:themeColor="text1"/>
          <w:sz w:val="24"/>
          <w14:textFill>
            <w14:solidFill>
              <w14:schemeClr w14:val="tx1"/>
            </w14:solidFill>
          </w14:textFill>
        </w:rPr>
        <w:t>投标截止</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1" w:name="_Toc164351631"/>
      <w:bookmarkStart w:id="512" w:name="_Toc150774637"/>
      <w:bookmarkStart w:id="513" w:name="_Toc164608651"/>
      <w:bookmarkStart w:id="514" w:name="_Toc226309781"/>
      <w:bookmarkStart w:id="515" w:name="_Toc226965810"/>
      <w:bookmarkStart w:id="516" w:name="_Toc164229378"/>
      <w:bookmarkStart w:id="517" w:name="_Toc127151738"/>
      <w:bookmarkStart w:id="518" w:name="_Toc195842902"/>
      <w:bookmarkStart w:id="519" w:name="_Toc226337233"/>
      <w:bookmarkStart w:id="520" w:name="_Toc150774742"/>
      <w:bookmarkStart w:id="521" w:name="_Toc305158805"/>
      <w:bookmarkStart w:id="522" w:name="_Toc264969227"/>
      <w:bookmarkStart w:id="523" w:name="_Toc265228375"/>
      <w:bookmarkStart w:id="524" w:name="_Toc150480775"/>
      <w:bookmarkStart w:id="525" w:name="_Toc151193779"/>
      <w:bookmarkStart w:id="526" w:name="_Toc151193707"/>
      <w:bookmarkStart w:id="527" w:name="_Toc164229232"/>
      <w:bookmarkStart w:id="528" w:name="_Toc142311039"/>
      <w:bookmarkStart w:id="529" w:name="_Toc150509288"/>
      <w:bookmarkStart w:id="530" w:name="_Toc127161451"/>
      <w:bookmarkStart w:id="531" w:name="_Toc151193851"/>
      <w:bookmarkStart w:id="532" w:name="_Toc164608806"/>
      <w:bookmarkStart w:id="533" w:name="_Toc151190164"/>
      <w:bookmarkStart w:id="534" w:name="_Toc520356162"/>
      <w:bookmarkStart w:id="535" w:name="_Toc226965727"/>
      <w:bookmarkStart w:id="536" w:name="_Toc305158879"/>
      <w:bookmarkStart w:id="537" w:name="_Toc127151537"/>
      <w:bookmarkStart w:id="538" w:name="_Toc151193635"/>
      <w:bookmarkStart w:id="539" w:name="_Toc151193925"/>
      <w:bookmarkStart w:id="540" w:name="_Toc149720830"/>
      <w:r>
        <w:rPr>
          <w:rFonts w:hint="eastAsia" w:ascii="宋体" w:hAnsi="宋体" w:cs="宋体"/>
          <w:color w:val="000000" w:themeColor="text1"/>
          <w:sz w:val="24"/>
          <w14:textFill>
            <w14:solidFill>
              <w14:schemeClr w14:val="tx1"/>
            </w14:solidFill>
          </w14:textFill>
        </w:rPr>
        <w:t>投标文件的修改与撤回</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1"/>
          <w:rFonts w:hint="default" w:ascii="宋体" w:hAnsi="宋体"/>
          <w:b/>
        </w:rPr>
      </w:pPr>
      <w:bookmarkStart w:id="541" w:name="_Toc151193780"/>
      <w:bookmarkStart w:id="542" w:name="_Toc150509289"/>
      <w:bookmarkStart w:id="543" w:name="_Toc150774638"/>
      <w:bookmarkStart w:id="544" w:name="_Toc127151538"/>
      <w:bookmarkStart w:id="545" w:name="_Toc226965811"/>
      <w:bookmarkStart w:id="546" w:name="_Toc264969228"/>
      <w:bookmarkStart w:id="547" w:name="_Toc151190165"/>
      <w:bookmarkStart w:id="548" w:name="_Toc265228376"/>
      <w:bookmarkStart w:id="549" w:name="_Toc305158880"/>
      <w:bookmarkStart w:id="550" w:name="_Toc226337234"/>
      <w:bookmarkStart w:id="551" w:name="_Toc305158806"/>
      <w:bookmarkStart w:id="552" w:name="_Toc151193708"/>
      <w:bookmarkStart w:id="553" w:name="_Toc150774743"/>
      <w:bookmarkStart w:id="554" w:name="_Toc151193852"/>
      <w:bookmarkStart w:id="555" w:name="_Toc151193926"/>
      <w:bookmarkStart w:id="556" w:name="_Toc520356163"/>
      <w:bookmarkStart w:id="557" w:name="_Toc150480776"/>
      <w:bookmarkStart w:id="558" w:name="_Toc195842903"/>
      <w:bookmarkStart w:id="559" w:name="_Toc142311040"/>
      <w:bookmarkStart w:id="560" w:name="_Toc226965728"/>
      <w:bookmarkStart w:id="561" w:name="_Toc151193636"/>
      <w:bookmarkStart w:id="562" w:name="_Toc226309782"/>
      <w:r>
        <w:rPr>
          <w:rStyle w:val="461"/>
          <w:rFonts w:hint="default" w:ascii="宋体" w:hAnsi="宋体"/>
          <w:b/>
        </w:rPr>
        <w:t>五   开标、资格审查及评标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3" w:name="_Toc164351633"/>
      <w:bookmarkStart w:id="564" w:name="_Toc151193853"/>
      <w:bookmarkStart w:id="565" w:name="_Toc226965812"/>
      <w:bookmarkStart w:id="566" w:name="_Toc265228377"/>
      <w:bookmarkStart w:id="567" w:name="_Toc149720832"/>
      <w:bookmarkStart w:id="568" w:name="_Toc150774639"/>
      <w:bookmarkStart w:id="569" w:name="_Toc142311041"/>
      <w:bookmarkStart w:id="570" w:name="_Toc150480777"/>
      <w:bookmarkStart w:id="571" w:name="_Toc226309783"/>
      <w:bookmarkStart w:id="572" w:name="_Toc150509290"/>
      <w:bookmarkStart w:id="573" w:name="_Toc150774744"/>
      <w:bookmarkStart w:id="574" w:name="_Toc305158807"/>
      <w:bookmarkStart w:id="575" w:name="_Toc151193927"/>
      <w:bookmarkStart w:id="576" w:name="_Toc164229234"/>
      <w:bookmarkStart w:id="577" w:name="_Toc151193709"/>
      <w:bookmarkStart w:id="578" w:name="_Toc127161453"/>
      <w:bookmarkStart w:id="579" w:name="_Toc195842904"/>
      <w:bookmarkStart w:id="580" w:name="_Toc164229380"/>
      <w:bookmarkStart w:id="581" w:name="_Toc264969229"/>
      <w:bookmarkStart w:id="582" w:name="_Toc305158881"/>
      <w:bookmarkStart w:id="583" w:name="_Toc164608808"/>
      <w:bookmarkStart w:id="584" w:name="_Toc151190166"/>
      <w:bookmarkStart w:id="585" w:name="_Toc127151740"/>
      <w:bookmarkStart w:id="586" w:name="_Toc164608653"/>
      <w:bookmarkStart w:id="587" w:name="_Toc151193781"/>
      <w:bookmarkStart w:id="588" w:name="_Toc520356164"/>
      <w:bookmarkStart w:id="589" w:name="_Toc151193637"/>
      <w:bookmarkStart w:id="590" w:name="_Toc226337235"/>
      <w:bookmarkStart w:id="591" w:name="_Toc127151539"/>
      <w:bookmarkStart w:id="592" w:name="_Toc226965729"/>
      <w:r>
        <w:rPr>
          <w:rFonts w:hint="eastAsia" w:ascii="宋体" w:hAnsi="宋体" w:cs="宋体"/>
          <w:color w:val="000000" w:themeColor="text1"/>
          <w:sz w:val="24"/>
          <w14:textFill>
            <w14:solidFill>
              <w14:schemeClr w14:val="tx1"/>
            </w14:solidFill>
          </w14:textFill>
        </w:rPr>
        <w:t>开标</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3"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3"/>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4" w:name="_Toc127151540"/>
      <w:bookmarkStart w:id="595" w:name="_Toc305158808"/>
      <w:bookmarkStart w:id="596" w:name="_Toc164229235"/>
      <w:bookmarkStart w:id="597" w:name="_Toc226337236"/>
      <w:bookmarkStart w:id="598" w:name="_Toc195842905"/>
      <w:bookmarkStart w:id="599" w:name="_Toc151193782"/>
      <w:bookmarkStart w:id="600" w:name="_Toc149720833"/>
      <w:bookmarkStart w:id="601" w:name="_Toc164229381"/>
      <w:bookmarkStart w:id="602" w:name="_Toc150480778"/>
      <w:bookmarkStart w:id="603" w:name="_Toc226965813"/>
      <w:bookmarkStart w:id="604" w:name="_Toc151193638"/>
      <w:bookmarkStart w:id="605" w:name="_Toc151193928"/>
      <w:bookmarkStart w:id="606" w:name="_Toc127161454"/>
      <w:bookmarkStart w:id="607" w:name="_Toc150774640"/>
      <w:bookmarkStart w:id="608" w:name="_Toc164608809"/>
      <w:bookmarkStart w:id="609" w:name="_Toc265228378"/>
      <w:bookmarkStart w:id="610" w:name="_Toc151193710"/>
      <w:bookmarkStart w:id="611" w:name="_Toc226965730"/>
      <w:bookmarkStart w:id="612" w:name="_Toc150509291"/>
      <w:bookmarkStart w:id="613" w:name="_Toc151190167"/>
      <w:bookmarkStart w:id="614" w:name="_Toc264969230"/>
      <w:bookmarkStart w:id="615" w:name="_Toc151193854"/>
      <w:bookmarkStart w:id="616" w:name="_Toc164608654"/>
      <w:bookmarkStart w:id="617" w:name="_Toc127151741"/>
      <w:bookmarkStart w:id="618" w:name="_Toc226309784"/>
      <w:bookmarkStart w:id="619" w:name="_Toc305158882"/>
      <w:bookmarkStart w:id="620" w:name="_Toc142311042"/>
      <w:bookmarkStart w:id="621" w:name="_Toc164351634"/>
      <w:bookmarkStart w:id="622" w:name="_Toc150774745"/>
      <w:r>
        <w:rPr>
          <w:rFonts w:hint="eastAsia" w:ascii="宋体" w:hAnsi="宋体" w:cs="宋体"/>
          <w:color w:val="000000" w:themeColor="text1"/>
          <w:sz w:val="24"/>
          <w14:textFill>
            <w14:solidFill>
              <w14:schemeClr w14:val="tx1"/>
            </w14:solidFill>
          </w14:textFill>
        </w:rPr>
        <w:t>评标委员会</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3"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3"/>
      <w:bookmarkStart w:id="624"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1"/>
          <w:rFonts w:hint="default" w:ascii="宋体" w:hAnsi="宋体"/>
          <w:b/>
        </w:rPr>
      </w:pPr>
      <w:bookmarkStart w:id="625" w:name="_Toc151193787"/>
      <w:bookmarkStart w:id="626" w:name="_Toc127151545"/>
      <w:bookmarkStart w:id="627" w:name="_Toc226965818"/>
      <w:bookmarkStart w:id="628" w:name="_Toc151193715"/>
      <w:bookmarkStart w:id="629" w:name="_Toc151193859"/>
      <w:bookmarkStart w:id="630" w:name="_Toc195842910"/>
      <w:bookmarkStart w:id="631" w:name="_Toc305158887"/>
      <w:bookmarkStart w:id="632" w:name="_Toc226337241"/>
      <w:bookmarkStart w:id="633" w:name="_Toc305158813"/>
      <w:bookmarkStart w:id="634" w:name="_Toc150480783"/>
      <w:bookmarkStart w:id="635" w:name="_Toc151193933"/>
      <w:bookmarkStart w:id="636" w:name="_Toc265228383"/>
      <w:bookmarkStart w:id="637" w:name="_Toc264969235"/>
      <w:bookmarkStart w:id="638" w:name="_Toc151193643"/>
      <w:bookmarkStart w:id="639" w:name="_Toc150774750"/>
      <w:bookmarkStart w:id="640" w:name="_Toc226965735"/>
      <w:bookmarkStart w:id="641" w:name="_Toc142311047"/>
      <w:bookmarkStart w:id="642" w:name="_Toc150774645"/>
      <w:bookmarkStart w:id="643" w:name="_Toc151190172"/>
      <w:bookmarkStart w:id="644" w:name="_Toc150509296"/>
      <w:bookmarkStart w:id="645" w:name="_Toc226309789"/>
      <w:r>
        <w:rPr>
          <w:rStyle w:val="461"/>
          <w:rFonts w:hint="default" w:ascii="宋体" w:hAnsi="宋体"/>
          <w:b/>
        </w:rPr>
        <w:t xml:space="preserve">六   </w:t>
      </w:r>
      <w:bookmarkEnd w:id="624"/>
      <w:r>
        <w:rPr>
          <w:rStyle w:val="461"/>
          <w:rFonts w:hint="default" w:ascii="宋体" w:hAnsi="宋体"/>
          <w:b/>
        </w:rPr>
        <w:t>确定中标</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Start w:id="646" w:name="_Toc149720840"/>
      <w:bookmarkStart w:id="647" w:name="_Toc164608816"/>
      <w:bookmarkStart w:id="648" w:name="_Toc226337243"/>
      <w:bookmarkStart w:id="649" w:name="_Toc142311049"/>
      <w:bookmarkStart w:id="650" w:name="_Toc150509298"/>
      <w:bookmarkStart w:id="651" w:name="_Toc305158889"/>
      <w:bookmarkStart w:id="652" w:name="_Toc264969237"/>
      <w:bookmarkStart w:id="653" w:name="_Toc164608661"/>
      <w:bookmarkStart w:id="654" w:name="_Toc150774752"/>
      <w:bookmarkStart w:id="655" w:name="_Toc195842912"/>
      <w:bookmarkStart w:id="656" w:name="_Toc151193717"/>
      <w:bookmarkStart w:id="657" w:name="_Toc151193935"/>
      <w:bookmarkStart w:id="658" w:name="_Toc150480785"/>
      <w:bookmarkStart w:id="659" w:name="_Toc265228385"/>
      <w:bookmarkStart w:id="660" w:name="_Toc151193789"/>
      <w:bookmarkStart w:id="661" w:name="_Toc226965737"/>
      <w:bookmarkStart w:id="662" w:name="_Toc151193861"/>
      <w:bookmarkStart w:id="663" w:name="_Toc164229388"/>
      <w:bookmarkStart w:id="664" w:name="_Toc127151748"/>
      <w:bookmarkStart w:id="665" w:name="_Toc226965820"/>
      <w:bookmarkStart w:id="666" w:name="_Toc150774647"/>
      <w:bookmarkStart w:id="667" w:name="_Toc305158815"/>
      <w:bookmarkStart w:id="668" w:name="_Toc151190174"/>
      <w:bookmarkStart w:id="669" w:name="_Toc151193645"/>
      <w:bookmarkStart w:id="670" w:name="_Toc164351641"/>
      <w:bookmarkStart w:id="671" w:name="_Toc164229242"/>
      <w:bookmarkStart w:id="672" w:name="_Toc226309791"/>
      <w:bookmarkStart w:id="673" w:name="_Toc127161461"/>
      <w:bookmarkStart w:id="674" w:name="_Toc12715154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75" w:name="_Toc305158817"/>
      <w:bookmarkStart w:id="676" w:name="_Toc305158891"/>
      <w:bookmarkStart w:id="677" w:name="_Toc265228387"/>
      <w:bookmarkStart w:id="678" w:name="_Toc127161463"/>
      <w:bookmarkStart w:id="679" w:name="_Toc264969239"/>
      <w:bookmarkStart w:id="680" w:name="_Toc226965822"/>
      <w:bookmarkStart w:id="681" w:name="_Toc150480787"/>
      <w:bookmarkStart w:id="682" w:name="_Toc226309793"/>
      <w:bookmarkStart w:id="683" w:name="_Toc151193937"/>
      <w:bookmarkStart w:id="684" w:name="_Toc142311051"/>
      <w:bookmarkStart w:id="685" w:name="_Toc151193647"/>
      <w:bookmarkStart w:id="686" w:name="_Toc151193719"/>
      <w:bookmarkStart w:id="687" w:name="_Toc150774649"/>
      <w:bookmarkStart w:id="688" w:name="_Toc164351643"/>
      <w:bookmarkStart w:id="689" w:name="_Toc226965739"/>
      <w:bookmarkStart w:id="690" w:name="_Toc150509300"/>
      <w:bookmarkStart w:id="691" w:name="_Toc127151549"/>
      <w:bookmarkStart w:id="692" w:name="_Toc164608818"/>
      <w:bookmarkStart w:id="693" w:name="_Toc151193863"/>
      <w:bookmarkStart w:id="694" w:name="_Toc151193791"/>
      <w:bookmarkStart w:id="695" w:name="_Toc164229390"/>
      <w:bookmarkStart w:id="696" w:name="_Toc127151750"/>
      <w:bookmarkStart w:id="697" w:name="_Toc151190176"/>
      <w:bookmarkStart w:id="698" w:name="_Toc164229244"/>
      <w:bookmarkStart w:id="699" w:name="_Toc226337245"/>
      <w:bookmarkStart w:id="700" w:name="_Toc150774754"/>
      <w:bookmarkStart w:id="701" w:name="_Toc149720842"/>
      <w:bookmarkStart w:id="702" w:name="_Toc164608663"/>
      <w:bookmarkStart w:id="703" w:name="_Toc195842914"/>
      <w:bookmarkStart w:id="704" w:name="_Ref467307090"/>
      <w:bookmarkStart w:id="705" w:name="_Toc520356176"/>
      <w:bookmarkStart w:id="706" w:name="_Ref467306425"/>
      <w:r>
        <w:rPr>
          <w:rFonts w:hint="eastAsia" w:ascii="宋体" w:hAnsi="宋体" w:cs="宋体"/>
          <w:color w:val="000000" w:themeColor="text1"/>
          <w:sz w:val="24"/>
          <w14:textFill>
            <w14:solidFill>
              <w14:schemeClr w14:val="tx1"/>
            </w14:solidFill>
          </w14:textFill>
        </w:rPr>
        <w:t>中标公告与中标通知书</w:t>
      </w:r>
      <w:bookmarkEnd w:id="675"/>
      <w:bookmarkEnd w:id="67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07" w:name="_Ref467306978"/>
      <w:bookmarkStart w:id="708" w:name="_Toc150480788"/>
      <w:bookmarkStart w:id="709" w:name="_Toc151190177"/>
      <w:bookmarkStart w:id="710" w:name="_Toc151193938"/>
      <w:bookmarkStart w:id="711" w:name="_Ref467306377"/>
      <w:bookmarkStart w:id="712" w:name="_Toc164351644"/>
      <w:bookmarkStart w:id="713" w:name="_Toc164229245"/>
      <w:bookmarkStart w:id="714" w:name="_Toc151193792"/>
      <w:bookmarkStart w:id="715" w:name="_Toc151193720"/>
      <w:bookmarkStart w:id="716" w:name="_Toc164229391"/>
      <w:bookmarkStart w:id="717" w:name="_Toc195842915"/>
      <w:bookmarkStart w:id="718" w:name="_Toc164608664"/>
      <w:bookmarkStart w:id="719" w:name="_Toc305158818"/>
      <w:bookmarkStart w:id="720" w:name="_Toc520356175"/>
      <w:bookmarkStart w:id="721" w:name="_Toc151193864"/>
      <w:bookmarkStart w:id="722" w:name="_Toc305158892"/>
      <w:bookmarkStart w:id="723" w:name="_Toc164608819"/>
      <w:bookmarkStart w:id="724" w:name="_Toc226965740"/>
      <w:bookmarkStart w:id="725" w:name="_Ref467307204"/>
      <w:bookmarkStart w:id="726" w:name="_Toc150774650"/>
      <w:bookmarkStart w:id="727" w:name="_Toc151193648"/>
      <w:bookmarkStart w:id="728" w:name="_Toc142311052"/>
      <w:bookmarkStart w:id="729" w:name="_Ref467307062"/>
      <w:bookmarkStart w:id="730" w:name="_Toc127161464"/>
      <w:bookmarkStart w:id="731" w:name="_Toc127151751"/>
      <w:bookmarkStart w:id="732" w:name="_Toc226309794"/>
      <w:bookmarkStart w:id="733" w:name="_Toc265228388"/>
      <w:bookmarkStart w:id="734" w:name="_Toc264969240"/>
      <w:bookmarkStart w:id="735" w:name="_Toc226337246"/>
      <w:bookmarkStart w:id="736" w:name="_Toc226965823"/>
      <w:bookmarkStart w:id="737" w:name="_Toc150509301"/>
      <w:bookmarkStart w:id="738" w:name="_Toc150774755"/>
      <w:bookmarkStart w:id="739" w:name="_Toc127151550"/>
      <w:bookmarkStart w:id="740" w:name="_Toc149720843"/>
      <w:r>
        <w:rPr>
          <w:rFonts w:hint="eastAsia" w:ascii="宋体" w:hAnsi="宋体" w:cs="宋体"/>
          <w:color w:val="000000" w:themeColor="text1"/>
          <w:sz w:val="24"/>
          <w14:textFill>
            <w14:solidFill>
              <w14:schemeClr w14:val="tx1"/>
            </w14:solidFill>
          </w14:textFill>
        </w:rPr>
        <w:t>签订合同</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4"/>
    <w:bookmarkEnd w:id="705"/>
    <w:bookmarkEnd w:id="706"/>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p>
    <w:p>
      <w:pPr>
        <w:tabs>
          <w:tab w:val="left" w:pos="360"/>
          <w:tab w:val="left" w:pos="1080"/>
        </w:tabs>
        <w:snapToGrid w:val="0"/>
        <w:spacing w:line="360" w:lineRule="auto"/>
        <w:ind w:left="360"/>
        <w:rPr>
          <w:rFonts w:ascii="宋体" w:hAnsi="宋体" w:cs="宋体"/>
          <w:color w:val="000000" w:themeColor="text1"/>
          <w:sz w:val="24"/>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1" w:name="_Toc305158896"/>
      <w:bookmarkStart w:id="742" w:name="_Toc305158822"/>
      <w:bookmarkStart w:id="743" w:name="_Toc150774759"/>
      <w:bookmarkStart w:id="744" w:name="_Toc150480792"/>
      <w:bookmarkStart w:id="745" w:name="_Toc264969244"/>
      <w:bookmarkStart w:id="746" w:name="_Toc142311056"/>
      <w:bookmarkStart w:id="747" w:name="_Toc265228392"/>
      <w:bookmarkStart w:id="748" w:name="_Toc226337250"/>
      <w:bookmarkStart w:id="749" w:name="_Toc226965827"/>
      <w:bookmarkStart w:id="750" w:name="_Toc353873664"/>
      <w:bookmarkStart w:id="751" w:name="_Toc127151554"/>
      <w:bookmarkStart w:id="752" w:name="_Toc353825544"/>
      <w:bookmarkStart w:id="753" w:name="_Toc353873934"/>
      <w:r>
        <w:rPr>
          <w:rFonts w:hint="eastAsia" w:ascii="宋体" w:hAnsi="宋体" w:cs="宋体"/>
          <w:color w:val="000000" w:themeColor="text1"/>
          <w:sz w:val="24"/>
          <w14:textFill>
            <w14:solidFill>
              <w14:schemeClr w14:val="tx1"/>
            </w14:solidFill>
          </w14:textFill>
        </w:rPr>
        <w:br w:type="page"/>
      </w:r>
      <w:bookmarkStart w:id="754" w:name="_Toc218620568"/>
      <w:bookmarkStart w:id="755" w:name="_Toc99301421"/>
      <w:r>
        <w:rPr>
          <w:rFonts w:hint="eastAsia" w:ascii="宋体" w:hAnsi="宋体" w:cs="宋体"/>
          <w:b/>
          <w:color w:val="000000" w:themeColor="text1"/>
          <w:sz w:val="36"/>
          <w:szCs w:val="36"/>
          <w14:textFill>
            <w14:solidFill>
              <w14:schemeClr w14:val="tx1"/>
            </w14:solidFill>
          </w14:textFill>
        </w:rPr>
        <w:t xml:space="preserve">第三章   </w:t>
      </w:r>
      <w:bookmarkEnd w:id="741"/>
      <w:bookmarkEnd w:id="742"/>
      <w:bookmarkEnd w:id="743"/>
      <w:bookmarkEnd w:id="744"/>
      <w:bookmarkEnd w:id="745"/>
      <w:bookmarkEnd w:id="746"/>
      <w:bookmarkEnd w:id="747"/>
      <w:bookmarkEnd w:id="748"/>
      <w:bookmarkEnd w:id="749"/>
      <w:bookmarkEnd w:id="750"/>
      <w:bookmarkEnd w:id="751"/>
      <w:bookmarkEnd w:id="752"/>
      <w:bookmarkEnd w:id="753"/>
      <w:r>
        <w:rPr>
          <w:rFonts w:hint="eastAsia" w:ascii="宋体" w:hAnsi="宋体" w:cs="宋体"/>
          <w:b/>
          <w:color w:val="000000" w:themeColor="text1"/>
          <w:sz w:val="36"/>
          <w:szCs w:val="36"/>
          <w14:textFill>
            <w14:solidFill>
              <w14:schemeClr w14:val="tx1"/>
            </w14:solidFill>
          </w14:textFill>
        </w:rPr>
        <w:t>资格审查</w:t>
      </w:r>
      <w:bookmarkEnd w:id="754"/>
      <w:bookmarkEnd w:id="755"/>
      <w:bookmarkStart w:id="756"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57" w:name="_Toc99301422"/>
      <w:r>
        <w:rPr>
          <w:rFonts w:hint="eastAsia" w:ascii="宋体" w:hAnsi="宋体" w:cs="宋体"/>
          <w:b/>
          <w:color w:val="000000" w:themeColor="text1"/>
          <w:sz w:val="24"/>
          <w14:textFill>
            <w14:solidFill>
              <w14:schemeClr w14:val="tx1"/>
            </w14:solidFill>
          </w14:textFill>
        </w:rPr>
        <w:t>一、资格审查程序</w:t>
      </w:r>
      <w:bookmarkEnd w:id="757"/>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1"/>
        <w:tblW w:w="89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654"/>
        <w:gridCol w:w="5047"/>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58" w:name="_Hlt487972895"/>
            <w:bookmarkEnd w:id="758"/>
            <w:r>
              <w:rPr>
                <w:rFonts w:hint="eastAsia" w:ascii="宋体" w:hAnsi="宋体" w:cs="宋体"/>
                <w:b/>
                <w:color w:val="000000" w:themeColor="text1"/>
                <w:sz w:val="24"/>
                <w14:textFill>
                  <w14:solidFill>
                    <w14:schemeClr w14:val="tx1"/>
                  </w14:solidFill>
                </w14:textFill>
              </w:rPr>
              <w:t>序号</w:t>
            </w:r>
          </w:p>
        </w:tc>
        <w:tc>
          <w:tcPr>
            <w:tcW w:w="1654"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047"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4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654"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42"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r>
              <w:rPr>
                <w:rFonts w:hint="eastAsia" w:ascii="宋体" w:hAnsi="宋体" w:cs="宋体"/>
                <w:sz w:val="24"/>
              </w:rPr>
              <w:t>（不适用）</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59" w:name="OLE_LINK123"/>
            <w:bookmarkStart w:id="760" w:name="OLE_LINK122"/>
            <w:r>
              <w:rPr>
                <w:rFonts w:hint="eastAsia" w:ascii="宋体" w:hAnsi="宋体" w:cs="宋体"/>
                <w:color w:val="000000" w:themeColor="text1"/>
                <w:sz w:val="24"/>
                <w14:textFill>
                  <w14:solidFill>
                    <w14:schemeClr w14:val="tx1"/>
                  </w14:solidFill>
                </w14:textFill>
              </w:rPr>
              <w:t>（本项目不适用）</w:t>
            </w:r>
            <w:bookmarkEnd w:id="759"/>
            <w:bookmarkEnd w:id="760"/>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047"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1" w:name="_Hlt487900425"/>
        <w:bookmarkStart w:id="762"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654"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047"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42"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756"/>
      <w:bookmarkEnd w:id="761"/>
      <w:bookmarkEnd w:id="762"/>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3" w:name="_Toc353825550"/>
      <w:bookmarkStart w:id="764" w:name="_Toc127161490"/>
      <w:bookmarkStart w:id="765" w:name="_Toc226965858"/>
      <w:bookmarkStart w:id="766" w:name="_Toc127151779"/>
      <w:bookmarkStart w:id="767" w:name="_Toc353873940"/>
      <w:bookmarkStart w:id="768" w:name="_Toc99301423"/>
      <w:r>
        <w:rPr>
          <w:rFonts w:hint="eastAsia" w:ascii="宋体" w:hAnsi="宋体" w:cs="宋体"/>
          <w:b/>
          <w:color w:val="000000" w:themeColor="text1"/>
          <w:sz w:val="36"/>
          <w:szCs w:val="36"/>
          <w14:textFill>
            <w14:solidFill>
              <w14:schemeClr w14:val="tx1"/>
            </w14:solidFill>
          </w14:textFill>
        </w:rPr>
        <w:br w:type="page"/>
      </w:r>
      <w:bookmarkStart w:id="769" w:name="_Toc218620569"/>
      <w:r>
        <w:rPr>
          <w:rFonts w:hint="eastAsia" w:ascii="宋体" w:hAnsi="宋体" w:cs="宋体"/>
          <w:b/>
          <w:color w:val="000000" w:themeColor="text1"/>
          <w:sz w:val="36"/>
          <w:szCs w:val="36"/>
          <w14:textFill>
            <w14:solidFill>
              <w14:schemeClr w14:val="tx1"/>
            </w14:solidFill>
          </w14:textFill>
        </w:rPr>
        <w:t xml:space="preserve">第四章   </w:t>
      </w:r>
      <w:bookmarkEnd w:id="763"/>
      <w:bookmarkEnd w:id="764"/>
      <w:bookmarkEnd w:id="765"/>
      <w:bookmarkEnd w:id="766"/>
      <w:bookmarkEnd w:id="767"/>
      <w:bookmarkStart w:id="770" w:name="_Hlt164229061"/>
      <w:bookmarkEnd w:id="770"/>
      <w:r>
        <w:rPr>
          <w:rFonts w:hint="eastAsia" w:ascii="宋体" w:hAnsi="宋体" w:cs="宋体"/>
          <w:b/>
          <w:color w:val="000000" w:themeColor="text1"/>
          <w:sz w:val="36"/>
          <w:szCs w:val="36"/>
          <w14:textFill>
            <w14:solidFill>
              <w14:schemeClr w14:val="tx1"/>
            </w14:solidFill>
          </w14:textFill>
        </w:rPr>
        <w:t>评标程序、评标方法和评标标准</w:t>
      </w:r>
      <w:bookmarkEnd w:id="768"/>
      <w:bookmarkEnd w:id="769"/>
    </w:p>
    <w:p>
      <w:pPr>
        <w:pStyle w:val="4"/>
        <w:rPr>
          <w:rStyle w:val="461"/>
          <w:rFonts w:hint="default" w:ascii="宋体" w:hAnsi="宋体"/>
          <w:b/>
          <w:szCs w:val="28"/>
        </w:rPr>
      </w:pPr>
      <w:r>
        <w:rPr>
          <w:rStyle w:val="461"/>
          <w:rFonts w:hint="default" w:ascii="宋体" w:hAnsi="宋体"/>
          <w:b/>
          <w:szCs w:val="28"/>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1" w:name="_Toc150480779"/>
      <w:bookmarkStart w:id="772" w:name="_Toc164608810"/>
      <w:bookmarkStart w:id="773" w:name="_Toc195842906"/>
      <w:bookmarkStart w:id="774" w:name="_Toc151193783"/>
      <w:bookmarkStart w:id="775" w:name="_Toc305158809"/>
      <w:bookmarkStart w:id="776" w:name="_Toc164229382"/>
      <w:bookmarkStart w:id="777" w:name="_Toc164229236"/>
      <w:bookmarkStart w:id="778" w:name="_Toc151193855"/>
      <w:bookmarkStart w:id="779" w:name="_Toc142311043"/>
      <w:bookmarkStart w:id="780" w:name="_Toc127151541"/>
      <w:bookmarkStart w:id="781" w:name="_Toc264969231"/>
      <w:bookmarkStart w:id="782" w:name="_Toc226309785"/>
      <w:bookmarkStart w:id="783" w:name="_Toc150509292"/>
      <w:bookmarkStart w:id="784" w:name="_Toc151193711"/>
      <w:bookmarkStart w:id="785" w:name="_Toc226337237"/>
      <w:bookmarkStart w:id="786" w:name="_Toc164351635"/>
      <w:bookmarkStart w:id="787" w:name="_Toc149720834"/>
      <w:bookmarkStart w:id="788" w:name="_Toc127161455"/>
      <w:bookmarkStart w:id="789" w:name="_Toc164608655"/>
      <w:bookmarkStart w:id="790" w:name="_Toc151193929"/>
      <w:bookmarkStart w:id="791" w:name="_Toc127151742"/>
      <w:bookmarkStart w:id="792" w:name="_Toc226965814"/>
      <w:bookmarkStart w:id="793" w:name="_Toc150774746"/>
      <w:bookmarkStart w:id="794" w:name="_Toc151190168"/>
      <w:bookmarkStart w:id="795" w:name="_Toc265228379"/>
      <w:bookmarkStart w:id="796" w:name="_Toc151193639"/>
      <w:bookmarkStart w:id="797" w:name="_Toc226965731"/>
      <w:bookmarkStart w:id="798" w:name="_Toc305158883"/>
      <w:bookmarkStart w:id="799" w:name="_Toc150774641"/>
      <w:bookmarkStart w:id="800" w:name="_Toc353825551"/>
      <w:bookmarkStart w:id="801" w:name="_Toc353873941"/>
      <w:bookmarkStart w:id="802" w:name="_Toc127151555"/>
      <w:bookmarkStart w:id="803" w:name="_Toc226965828"/>
      <w:bookmarkStart w:id="804" w:name="_Toc264969245"/>
      <w:bookmarkStart w:id="805" w:name="_Toc305158897"/>
      <w:bookmarkStart w:id="806" w:name="_Toc150774760"/>
      <w:bookmarkStart w:id="807" w:name="_Toc353825545"/>
      <w:bookmarkStart w:id="808" w:name="_Toc226337251"/>
      <w:bookmarkStart w:id="809" w:name="_Toc353873665"/>
      <w:bookmarkStart w:id="810" w:name="_Toc305158823"/>
      <w:bookmarkStart w:id="811" w:name="_Toc195842920"/>
      <w:bookmarkStart w:id="812" w:name="_Toc150480793"/>
      <w:bookmarkStart w:id="813" w:name="_Toc265228393"/>
      <w:bookmarkStart w:id="814" w:name="_Toc353873935"/>
      <w:bookmarkStart w:id="815" w:name="_Toc142311057"/>
      <w:r>
        <w:rPr>
          <w:rFonts w:hint="eastAsia" w:ascii="宋体" w:hAnsi="宋体" w:cs="宋体"/>
          <w:color w:val="000000" w:themeColor="text1"/>
          <w:sz w:val="24"/>
          <w14:textFill>
            <w14:solidFill>
              <w14:schemeClr w14:val="tx1"/>
            </w14:solidFill>
          </w14:textFill>
        </w:rPr>
        <w:t>投标文件的符合性审查</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16"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6"/>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17" w:name="OLE_LINK4"/>
      <w:bookmarkStart w:id="818" w:name="OLE_LINK3"/>
      <w:r>
        <w:rPr>
          <w:rFonts w:hint="eastAsia" w:ascii="宋体" w:hAnsi="宋体" w:cs="宋体"/>
          <w:color w:val="000000" w:themeColor="text1"/>
          <w:sz w:val="24"/>
          <w14:textFill>
            <w14:solidFill>
              <w14:schemeClr w14:val="tx1"/>
            </w14:solidFill>
          </w14:textFill>
        </w:rPr>
        <w:t>应当按照招标文件给定的格式出具</w:t>
      </w:r>
      <w:bookmarkEnd w:id="817"/>
      <w:bookmarkEnd w:id="818"/>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19"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19"/>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0"/>
      <w:bookmarkEnd w:id="801"/>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0" w:name="_Toc127161460"/>
      <w:bookmarkStart w:id="821" w:name="_Toc151193716"/>
      <w:bookmarkStart w:id="822" w:name="_Toc305158814"/>
      <w:bookmarkStart w:id="823" w:name="_Toc164229387"/>
      <w:bookmarkStart w:id="824" w:name="_Toc164608815"/>
      <w:bookmarkStart w:id="825" w:name="_Toc150774751"/>
      <w:bookmarkStart w:id="826" w:name="_Toc226965819"/>
      <w:bookmarkStart w:id="827" w:name="_Toc164608660"/>
      <w:bookmarkStart w:id="828" w:name="_Toc150480784"/>
      <w:bookmarkStart w:id="829" w:name="_Toc164229241"/>
      <w:bookmarkStart w:id="830" w:name="_Toc195842911"/>
      <w:bookmarkStart w:id="831" w:name="_Toc520356170"/>
      <w:bookmarkStart w:id="832" w:name="_Toc142311048"/>
      <w:bookmarkStart w:id="833" w:name="_Toc151193644"/>
      <w:bookmarkStart w:id="834" w:name="_Toc151193934"/>
      <w:bookmarkStart w:id="835" w:name="_Toc226337242"/>
      <w:bookmarkStart w:id="836" w:name="_Toc150509297"/>
      <w:bookmarkStart w:id="837" w:name="_Toc151193788"/>
      <w:bookmarkStart w:id="838" w:name="_Toc127151546"/>
      <w:bookmarkStart w:id="839" w:name="_Toc164351640"/>
      <w:bookmarkStart w:id="840" w:name="_Toc151190173"/>
      <w:bookmarkStart w:id="841" w:name="_Toc151193860"/>
      <w:bookmarkStart w:id="842" w:name="_Toc265228384"/>
      <w:bookmarkStart w:id="843" w:name="_Toc226309790"/>
      <w:bookmarkStart w:id="844" w:name="_Ref467307010"/>
      <w:bookmarkStart w:id="845" w:name="_Toc305158888"/>
      <w:bookmarkStart w:id="846" w:name="_Toc127151747"/>
      <w:bookmarkStart w:id="847" w:name="_Toc264969236"/>
      <w:bookmarkStart w:id="848" w:name="_Toc149720839"/>
      <w:bookmarkStart w:id="849" w:name="_Toc150774646"/>
      <w:bookmarkStart w:id="850" w:name="_Toc226965736"/>
      <w:r>
        <w:rPr>
          <w:rFonts w:hint="eastAsia" w:ascii="宋体" w:hAnsi="宋体" w:cs="宋体"/>
          <w:color w:val="000000" w:themeColor="text1"/>
          <w:sz w:val="24"/>
          <w14:textFill>
            <w14:solidFill>
              <w14:schemeClr w14:val="tx1"/>
            </w14:solidFill>
          </w14:textFill>
        </w:rPr>
        <w:t>中标候选人名单</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4"/>
        <w:rPr>
          <w:rStyle w:val="461"/>
          <w:rFonts w:hint="default" w:ascii="宋体" w:hAnsi="宋体"/>
          <w:b/>
          <w:szCs w:val="28"/>
        </w:rPr>
      </w:pPr>
      <w:r>
        <w:rPr>
          <w:rStyle w:val="461"/>
          <w:rFonts w:hint="default" w:ascii="宋体" w:hAnsi="宋体"/>
          <w:b/>
          <w:szCs w:val="28"/>
        </w:rPr>
        <w:t>二、评标标准</w:t>
      </w:r>
    </w:p>
    <w:tbl>
      <w:tblPr>
        <w:tblStyle w:val="51"/>
        <w:tblW w:w="90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516"/>
        <w:gridCol w:w="945"/>
        <w:gridCol w:w="6807"/>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bookmarkStart w:id="851" w:name="_Toc218620570"/>
            <w:bookmarkStart w:id="852" w:name="_Toc209958496"/>
            <w:bookmarkStart w:id="853" w:name="_Toc99301425"/>
            <w:r>
              <w:rPr>
                <w:rFonts w:hint="eastAsia" w:ascii="宋体" w:hAnsi="宋体" w:cs="宋体"/>
              </w:rPr>
              <w:t>序号</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评分因素</w:t>
            </w:r>
          </w:p>
        </w:tc>
        <w:tc>
          <w:tcPr>
            <w:tcW w:w="6807"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评分说明</w:t>
            </w:r>
          </w:p>
        </w:tc>
        <w:tc>
          <w:tcPr>
            <w:tcW w:w="828" w:type="dxa"/>
          </w:tcPr>
          <w:p>
            <w:pPr>
              <w:ind w:leftChars="-1" w:hanging="2" w:hangingChars="1"/>
              <w:jc w:val="center"/>
              <w:rPr>
                <w:rFonts w:ascii="宋体" w:hAnsi="宋体" w:cs="宋体"/>
              </w:rPr>
            </w:pPr>
            <w:r>
              <w:rPr>
                <w:rFonts w:hint="eastAsia" w:ascii="宋体" w:hAnsi="宋体" w:cs="宋体"/>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1</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价格</w:t>
            </w:r>
          </w:p>
        </w:tc>
        <w:tc>
          <w:tcPr>
            <w:tcW w:w="6807" w:type="dxa"/>
            <w:tcMar>
              <w:top w:w="15" w:type="dxa"/>
              <w:left w:w="15" w:type="dxa"/>
              <w:bottom w:w="0" w:type="dxa"/>
              <w:right w:w="15" w:type="dxa"/>
            </w:tcMar>
            <w:vAlign w:val="center"/>
          </w:tcPr>
          <w:p>
            <w:pPr>
              <w:widowControl/>
              <w:snapToGrid w:val="0"/>
              <w:rPr>
                <w:rFonts w:ascii="新宋体" w:hAnsi="新宋体" w:eastAsia="新宋体"/>
                <w:kern w:val="0"/>
                <w:sz w:val="20"/>
                <w:szCs w:val="20"/>
              </w:rPr>
            </w:pPr>
            <w:r>
              <w:rPr>
                <w:rFonts w:hint="eastAsia" w:ascii="新宋体" w:hAnsi="新宋体" w:eastAsia="新宋体"/>
                <w:kern w:val="0"/>
                <w:sz w:val="20"/>
                <w:szCs w:val="20"/>
              </w:rPr>
              <w:t xml:space="preserve">满足招标文件要求且投标报价最低的评审价格为评标基准价，其价格为满分。报价得分按照下列公式计算： </w:t>
            </w:r>
          </w:p>
          <w:p>
            <w:pPr>
              <w:widowControl/>
              <w:snapToGrid w:val="0"/>
              <w:rPr>
                <w:rFonts w:ascii="新宋体" w:hAnsi="新宋体" w:eastAsia="新宋体"/>
                <w:kern w:val="0"/>
                <w:sz w:val="20"/>
                <w:szCs w:val="20"/>
              </w:rPr>
            </w:pPr>
            <w:r>
              <w:rPr>
                <w:rFonts w:hint="eastAsia" w:ascii="新宋体" w:hAnsi="新宋体" w:eastAsia="新宋体"/>
                <w:kern w:val="0"/>
                <w:sz w:val="20"/>
                <w:szCs w:val="20"/>
              </w:rPr>
              <w:t>投标报价得分=（评标基准价/投标报价）×30。</w:t>
            </w:r>
          </w:p>
          <w:p>
            <w:pPr>
              <w:rPr>
                <w:rFonts w:ascii="宋体" w:hAnsi="宋体" w:cs="宋体"/>
              </w:rPr>
            </w:pPr>
            <w:r>
              <w:rPr>
                <w:rFonts w:hint="eastAsia" w:ascii="新宋体" w:hAnsi="新宋体" w:eastAsia="新宋体"/>
                <w:kern w:val="0"/>
                <w:sz w:val="20"/>
                <w:szCs w:val="20"/>
              </w:rPr>
              <w:t>保留至小数点后两位，第三位四舍五入。</w:t>
            </w:r>
          </w:p>
        </w:tc>
        <w:tc>
          <w:tcPr>
            <w:tcW w:w="828" w:type="dxa"/>
            <w:vAlign w:val="center"/>
          </w:tcPr>
          <w:p>
            <w:pPr>
              <w:ind w:leftChars="-1" w:hanging="2" w:hangingChars="1"/>
              <w:jc w:val="center"/>
              <w:rPr>
                <w:rFonts w:ascii="宋体" w:hAnsi="宋体" w:cs="宋体"/>
              </w:rPr>
            </w:pPr>
            <w:r>
              <w:rPr>
                <w:rFonts w:hint="eastAsia" w:ascii="宋体" w:hAnsi="宋体" w:cs="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2</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相关业绩</w:t>
            </w:r>
          </w:p>
        </w:tc>
        <w:tc>
          <w:tcPr>
            <w:tcW w:w="6807" w:type="dxa"/>
            <w:tcMar>
              <w:top w:w="15" w:type="dxa"/>
              <w:left w:w="15" w:type="dxa"/>
              <w:bottom w:w="0" w:type="dxa"/>
              <w:right w:w="15" w:type="dxa"/>
            </w:tcMar>
            <w:vAlign w:val="center"/>
          </w:tcPr>
          <w:p>
            <w:pPr>
              <w:jc w:val="left"/>
              <w:rPr>
                <w:rFonts w:ascii="宋体" w:hAnsi="宋体" w:cs="宋体"/>
                <w:szCs w:val="21"/>
              </w:rPr>
            </w:pPr>
            <w:r>
              <w:rPr>
                <w:rFonts w:hint="eastAsia" w:ascii="宋体" w:hAnsi="宋体" w:cs="宋体"/>
                <w:szCs w:val="21"/>
              </w:rPr>
              <w:t>投标人需提供近三年（自202</w:t>
            </w:r>
            <w:r>
              <w:rPr>
                <w:rFonts w:ascii="宋体" w:hAnsi="宋体" w:cs="宋体"/>
                <w:szCs w:val="21"/>
              </w:rPr>
              <w:t>3</w:t>
            </w:r>
            <w:r>
              <w:rPr>
                <w:rFonts w:hint="eastAsia" w:ascii="宋体" w:hAnsi="宋体" w:cs="宋体"/>
                <w:szCs w:val="21"/>
              </w:rPr>
              <w:t>年</w:t>
            </w:r>
            <w:r>
              <w:rPr>
                <w:rFonts w:ascii="宋体" w:hAnsi="宋体" w:cs="宋体"/>
                <w:szCs w:val="21"/>
              </w:rPr>
              <w:t>6</w:t>
            </w:r>
            <w:r>
              <w:rPr>
                <w:rFonts w:hint="eastAsia" w:ascii="宋体" w:hAnsi="宋体" w:cs="宋体"/>
                <w:szCs w:val="21"/>
              </w:rPr>
              <w:t>月1日至本项目招标公告发布之日止，以合同签订时间为准）已完成的类似项目案例，每提供一个有效业绩得2分，满分6分。</w:t>
            </w:r>
          </w:p>
          <w:p>
            <w:pPr>
              <w:rPr>
                <w:rFonts w:ascii="宋体" w:hAnsi="宋体" w:cs="宋体"/>
              </w:rPr>
            </w:pPr>
            <w:r>
              <w:rPr>
                <w:rFonts w:hint="eastAsia" w:ascii="宋体" w:hAnsi="宋体" w:cs="宋体"/>
                <w:szCs w:val="21"/>
              </w:rPr>
              <w:t>注：提供合同关键页复印件（包含但不限于合同首页、合同标的页（能够显示项目主要采购内容）、签署日期页及盖章页等），未提供或证明材料不完整或不清晰，不得分。</w:t>
            </w:r>
          </w:p>
        </w:tc>
        <w:tc>
          <w:tcPr>
            <w:tcW w:w="828" w:type="dxa"/>
            <w:vAlign w:val="center"/>
          </w:tcPr>
          <w:p>
            <w:pPr>
              <w:ind w:leftChars="-1" w:hanging="2" w:hangingChars="1"/>
              <w:jc w:val="center"/>
              <w:rPr>
                <w:rFonts w:ascii="宋体" w:hAnsi="宋体" w:cs="宋体"/>
              </w:rPr>
            </w:pPr>
            <w:r>
              <w:rPr>
                <w:rFonts w:ascii="宋体" w:hAnsi="宋体" w:cs="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3</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节能环保</w:t>
            </w:r>
          </w:p>
        </w:tc>
        <w:tc>
          <w:tcPr>
            <w:tcW w:w="6807" w:type="dxa"/>
            <w:tcMar>
              <w:top w:w="15" w:type="dxa"/>
              <w:left w:w="15" w:type="dxa"/>
              <w:bottom w:w="0" w:type="dxa"/>
              <w:right w:w="15" w:type="dxa"/>
            </w:tcMar>
            <w:vAlign w:val="center"/>
          </w:tcPr>
          <w:p>
            <w:pPr>
              <w:rPr>
                <w:rFonts w:ascii="宋体" w:hAnsi="宋体" w:cs="宋体"/>
              </w:rPr>
            </w:pPr>
            <w:r>
              <w:rPr>
                <w:rFonts w:hint="eastAsia" w:ascii="宋体" w:hAnsi="宋体" w:cs="宋体"/>
              </w:rPr>
              <w:t>1.投标产品中有属于品目清单范围内优先采购节能产品的（提供由国家确定的认证机构出具的、处于有效期之内的认证证书复印件），得0.5分，否则不得分。</w:t>
            </w:r>
          </w:p>
          <w:p>
            <w:pPr>
              <w:rPr>
                <w:rFonts w:ascii="宋体" w:hAnsi="宋体" w:cs="宋体"/>
              </w:rPr>
            </w:pPr>
            <w:r>
              <w:rPr>
                <w:rFonts w:hint="eastAsia" w:ascii="宋体" w:hAnsi="宋体" w:cs="宋体"/>
              </w:rPr>
              <w:t>注：以上复印件需加盖投标人公章；属于政府强制采购节能产品的不加分。</w:t>
            </w:r>
          </w:p>
          <w:p>
            <w:pPr>
              <w:rPr>
                <w:rFonts w:ascii="宋体" w:hAnsi="宋体" w:cs="宋体"/>
              </w:rPr>
            </w:pPr>
            <w:r>
              <w:rPr>
                <w:rFonts w:hint="eastAsia" w:ascii="宋体" w:hAnsi="宋体" w:cs="宋体"/>
              </w:rPr>
              <w:t>2.投标产品中有属于品目清单范围内环境标志产品的（提供由国家确定的认证机构出具的、处于有效期之内的认证证书复印件），得0.5分，否则不得分。</w:t>
            </w:r>
          </w:p>
          <w:p>
            <w:pPr>
              <w:rPr>
                <w:rFonts w:ascii="宋体" w:hAnsi="宋体" w:cs="宋体"/>
              </w:rPr>
            </w:pPr>
            <w:r>
              <w:rPr>
                <w:rFonts w:hint="eastAsia" w:ascii="宋体" w:hAnsi="宋体" w:cs="宋体"/>
              </w:rPr>
              <w:t>注：以上复印件需加盖投标人公章。</w:t>
            </w:r>
          </w:p>
        </w:tc>
        <w:tc>
          <w:tcPr>
            <w:tcW w:w="828" w:type="dxa"/>
            <w:vAlign w:val="center"/>
          </w:tcPr>
          <w:p>
            <w:pPr>
              <w:ind w:left="-2" w:leftChars="-1"/>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4</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基础分</w:t>
            </w:r>
          </w:p>
        </w:tc>
        <w:tc>
          <w:tcPr>
            <w:tcW w:w="6807" w:type="dxa"/>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供应商逐条响应技术指标，得基础分3</w:t>
            </w:r>
            <w:r>
              <w:rPr>
                <w:rFonts w:ascii="宋体" w:hAnsi="宋体" w:cs="宋体"/>
                <w:szCs w:val="21"/>
              </w:rPr>
              <w:t>7</w:t>
            </w:r>
            <w:r>
              <w:rPr>
                <w:rFonts w:hint="eastAsia" w:ascii="宋体" w:hAnsi="宋体" w:cs="宋体"/>
                <w:szCs w:val="21"/>
              </w:rPr>
              <w:t>分；</w:t>
            </w:r>
          </w:p>
          <w:p>
            <w:pPr>
              <w:rPr>
                <w:rFonts w:ascii="宋体" w:hAnsi="宋体" w:cs="宋体"/>
                <w:szCs w:val="21"/>
              </w:rPr>
            </w:pPr>
            <w:r>
              <w:rPr>
                <w:rFonts w:hint="eastAsia" w:ascii="宋体" w:hAnsi="宋体" w:cs="宋体"/>
                <w:szCs w:val="21"/>
              </w:rPr>
              <w:t>1.供应商所报产品技术指标全部满足招标文件要求，不扣分；</w:t>
            </w:r>
          </w:p>
          <w:p>
            <w:pPr>
              <w:rPr>
                <w:rFonts w:ascii="宋体" w:hAnsi="宋体" w:cs="宋体"/>
                <w:szCs w:val="21"/>
              </w:rPr>
            </w:pPr>
            <w:r>
              <w:rPr>
                <w:rFonts w:hint="eastAsia" w:ascii="宋体" w:hAnsi="宋体" w:cs="宋体"/>
                <w:szCs w:val="21"/>
              </w:rPr>
              <w:t>2.每项标注“</w:t>
            </w:r>
            <w:r>
              <w:rPr>
                <w:rFonts w:hint="eastAsia" w:ascii="宋体" w:hAnsi="宋体" w:cs="宋体"/>
                <w:bCs/>
                <w:szCs w:val="21"/>
              </w:rPr>
              <w:t>#</w:t>
            </w:r>
            <w:r>
              <w:rPr>
                <w:rFonts w:hint="eastAsia" w:ascii="宋体" w:hAnsi="宋体" w:cs="宋体"/>
                <w:szCs w:val="21"/>
              </w:rPr>
              <w:t>”的主要投标参数无法提供证明材料的，扣1分。</w:t>
            </w:r>
          </w:p>
          <w:p>
            <w:pPr>
              <w:rPr>
                <w:rFonts w:ascii="宋体" w:hAnsi="宋体" w:cs="宋体"/>
                <w:szCs w:val="21"/>
              </w:rPr>
            </w:pPr>
            <w:r>
              <w:rPr>
                <w:rFonts w:hint="eastAsia" w:ascii="宋体" w:hAnsi="宋体" w:cs="宋体"/>
                <w:szCs w:val="21"/>
              </w:rPr>
              <w:t>3.其他参数每项负偏离或不满足的，扣0.</w:t>
            </w:r>
            <w:r>
              <w:rPr>
                <w:rFonts w:ascii="宋体" w:hAnsi="宋体" w:cs="宋体"/>
                <w:szCs w:val="21"/>
              </w:rPr>
              <w:t>1</w:t>
            </w:r>
            <w:r>
              <w:rPr>
                <w:rFonts w:hint="eastAsia" w:ascii="宋体" w:hAnsi="宋体" w:cs="宋体"/>
                <w:szCs w:val="21"/>
              </w:rPr>
              <w:t>分。</w:t>
            </w:r>
          </w:p>
          <w:p>
            <w:pPr>
              <w:widowControl/>
              <w:adjustRightInd w:val="0"/>
              <w:snapToGrid w:val="0"/>
              <w:jc w:val="left"/>
              <w:textAlignment w:val="baseline"/>
              <w:rPr>
                <w:rFonts w:ascii="宋体" w:hAnsi="宋体" w:cs="宋体"/>
                <w:szCs w:val="21"/>
              </w:rPr>
            </w:pPr>
            <w:r>
              <w:rPr>
                <w:rFonts w:hint="eastAsia" w:ascii="宋体" w:hAnsi="宋体" w:cs="宋体"/>
                <w:szCs w:val="21"/>
              </w:rPr>
              <w:t>4.总计扣分不超过3</w:t>
            </w:r>
            <w:r>
              <w:rPr>
                <w:rFonts w:ascii="宋体" w:hAnsi="宋体" w:cs="宋体"/>
                <w:szCs w:val="21"/>
              </w:rPr>
              <w:t>7</w:t>
            </w:r>
            <w:r>
              <w:rPr>
                <w:rFonts w:hint="eastAsia" w:ascii="宋体" w:hAnsi="宋体" w:cs="宋体"/>
                <w:szCs w:val="21"/>
              </w:rPr>
              <w:t>分</w:t>
            </w:r>
          </w:p>
          <w:p>
            <w:pPr>
              <w:pStyle w:val="46"/>
              <w:rPr>
                <w:rFonts w:ascii="宋体" w:hAnsi="宋体" w:cs="宋体"/>
              </w:rPr>
            </w:pPr>
            <w:r>
              <w:rPr>
                <w:rFonts w:hint="eastAsia" w:ascii="宋体" w:hAnsi="宋体" w:cs="宋体"/>
                <w:szCs w:val="21"/>
              </w:rPr>
              <w:t>注：如招标文件“技术参数要求”有明确需要提供的相关证明文件，投标人需明确写明相关证明文件所在页码；数量有误或漏报技术条款视为“#”号负偏离扣分。</w:t>
            </w:r>
          </w:p>
        </w:tc>
        <w:tc>
          <w:tcPr>
            <w:tcW w:w="828" w:type="dxa"/>
            <w:vAlign w:val="center"/>
          </w:tcPr>
          <w:p>
            <w:pPr>
              <w:ind w:left="-2" w:leftChars="-1"/>
              <w:jc w:val="center"/>
              <w:rPr>
                <w:rFonts w:ascii="宋体" w:hAnsi="宋体" w:cs="宋体"/>
              </w:rPr>
            </w:pPr>
            <w:r>
              <w:rPr>
                <w:rFonts w:ascii="宋体" w:hAnsi="宋体" w:cs="宋体"/>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5</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实施组织方案及各项保障措施</w:t>
            </w:r>
          </w:p>
        </w:tc>
        <w:tc>
          <w:tcPr>
            <w:tcW w:w="6807" w:type="dxa"/>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安装调试方案完整，各项保障措施合理可行，得5分；</w:t>
            </w:r>
          </w:p>
          <w:p>
            <w:pPr>
              <w:rPr>
                <w:rFonts w:ascii="宋体" w:hAnsi="宋体" w:cs="宋体"/>
                <w:szCs w:val="21"/>
              </w:rPr>
            </w:pPr>
            <w:r>
              <w:rPr>
                <w:rFonts w:hint="eastAsia" w:ascii="宋体" w:hAnsi="宋体" w:cs="宋体"/>
                <w:szCs w:val="21"/>
              </w:rPr>
              <w:t>安装调试方案较完整，各项保障措施较合理可行，得3分；</w:t>
            </w:r>
          </w:p>
          <w:p>
            <w:pPr>
              <w:rPr>
                <w:rFonts w:ascii="宋体" w:hAnsi="宋体" w:cs="宋体"/>
                <w:szCs w:val="21"/>
              </w:rPr>
            </w:pPr>
            <w:r>
              <w:rPr>
                <w:rFonts w:hint="eastAsia" w:ascii="宋体" w:hAnsi="宋体" w:cs="宋体"/>
                <w:szCs w:val="21"/>
              </w:rPr>
              <w:t>安装调试方案有欠缺，各项保障措施存在不足，得1分；</w:t>
            </w:r>
          </w:p>
          <w:p>
            <w:pPr>
              <w:rPr>
                <w:rFonts w:ascii="宋体" w:hAnsi="宋体" w:cs="宋体"/>
              </w:rPr>
            </w:pPr>
            <w:r>
              <w:rPr>
                <w:rFonts w:hint="eastAsia" w:ascii="宋体" w:hAnsi="宋体" w:cs="宋体"/>
                <w:szCs w:val="21"/>
              </w:rPr>
              <w:t>未提供调试方案，得0分。</w:t>
            </w:r>
          </w:p>
        </w:tc>
        <w:tc>
          <w:tcPr>
            <w:tcW w:w="828" w:type="dxa"/>
            <w:vAlign w:val="center"/>
          </w:tcPr>
          <w:p>
            <w:pPr>
              <w:ind w:left="-2" w:leftChars="-1"/>
              <w:jc w:val="center"/>
              <w:rPr>
                <w:rFonts w:ascii="宋体" w:hAnsi="宋体" w:cs="宋体"/>
              </w:rPr>
            </w:pPr>
            <w:r>
              <w:rPr>
                <w:rFonts w:hint="eastAsia"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6</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售后服务体系及售后响应时间</w:t>
            </w:r>
          </w:p>
        </w:tc>
        <w:tc>
          <w:tcPr>
            <w:tcW w:w="6807" w:type="dxa"/>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售后服务体系和服务方案完善、备品备件齐全、人员配置安排合理，响应时间迅速得：5分；</w:t>
            </w:r>
          </w:p>
          <w:p>
            <w:pPr>
              <w:rPr>
                <w:rFonts w:ascii="宋体" w:hAnsi="宋体" w:cs="宋体"/>
                <w:szCs w:val="21"/>
              </w:rPr>
            </w:pPr>
            <w:r>
              <w:rPr>
                <w:rFonts w:hint="eastAsia" w:ascii="宋体" w:hAnsi="宋体" w:cs="宋体"/>
                <w:szCs w:val="21"/>
              </w:rPr>
              <w:t>售后服务体系和服务方案较完善、备品备件一般、人员配置安排较合理，响应时间较迅速得：3分；</w:t>
            </w:r>
          </w:p>
          <w:p>
            <w:pPr>
              <w:rPr>
                <w:rFonts w:ascii="宋体" w:hAnsi="宋体" w:cs="宋体"/>
                <w:szCs w:val="21"/>
              </w:rPr>
            </w:pPr>
            <w:r>
              <w:rPr>
                <w:rFonts w:hint="eastAsia" w:ascii="宋体" w:hAnsi="宋体" w:cs="宋体"/>
                <w:szCs w:val="21"/>
              </w:rPr>
              <w:t>售后服务体系和服务方案不完善、备品备件较差、人员配置安排不合理，响应时间慢，得：1分；</w:t>
            </w:r>
          </w:p>
          <w:p>
            <w:pPr>
              <w:rPr>
                <w:rFonts w:ascii="宋体" w:hAnsi="宋体" w:cs="宋体"/>
              </w:rPr>
            </w:pPr>
            <w:r>
              <w:rPr>
                <w:rFonts w:hint="eastAsia" w:ascii="宋体" w:hAnsi="宋体" w:cs="宋体"/>
                <w:szCs w:val="21"/>
              </w:rPr>
              <w:t>无售后服务体系或服务方案，得0分。</w:t>
            </w:r>
          </w:p>
        </w:tc>
        <w:tc>
          <w:tcPr>
            <w:tcW w:w="828" w:type="dxa"/>
            <w:vAlign w:val="center"/>
          </w:tcPr>
          <w:p>
            <w:pPr>
              <w:ind w:left="-2" w:leftChars="-1"/>
              <w:jc w:val="center"/>
              <w:rPr>
                <w:rFonts w:ascii="宋体" w:hAnsi="宋体" w:cs="宋体"/>
              </w:rPr>
            </w:pPr>
            <w:r>
              <w:rPr>
                <w:rFonts w:hint="eastAsia"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7</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质保期</w:t>
            </w:r>
          </w:p>
        </w:tc>
        <w:tc>
          <w:tcPr>
            <w:tcW w:w="6807" w:type="dxa"/>
            <w:tcMar>
              <w:top w:w="15" w:type="dxa"/>
              <w:left w:w="15" w:type="dxa"/>
              <w:bottom w:w="0" w:type="dxa"/>
              <w:right w:w="15" w:type="dxa"/>
            </w:tcMar>
            <w:vAlign w:val="center"/>
          </w:tcPr>
          <w:p>
            <w:pPr>
              <w:rPr>
                <w:rFonts w:ascii="宋体" w:hAnsi="宋体" w:cs="宋体"/>
              </w:rPr>
            </w:pPr>
            <w:r>
              <w:rPr>
                <w:rFonts w:hint="eastAsia" w:ascii="宋体" w:hAnsi="宋体" w:cs="宋体"/>
                <w:szCs w:val="21"/>
              </w:rPr>
              <w:t>满足招标文件质保期要求的基础上，所有产品质保期每增加一年加 1分，质保期最高得3分。(1年以上不足1整年的不加分，投标人须写明具体年限不得有“超过”“不少于”等不确定性的描述）</w:t>
            </w:r>
          </w:p>
        </w:tc>
        <w:tc>
          <w:tcPr>
            <w:tcW w:w="828" w:type="dxa"/>
            <w:vAlign w:val="center"/>
          </w:tcPr>
          <w:p>
            <w:pPr>
              <w:ind w:left="-2" w:leftChars="-1"/>
              <w:jc w:val="center"/>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8</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原厂售后服务承诺</w:t>
            </w:r>
          </w:p>
        </w:tc>
        <w:tc>
          <w:tcPr>
            <w:tcW w:w="6807" w:type="dxa"/>
            <w:tcMar>
              <w:top w:w="15" w:type="dxa"/>
              <w:left w:w="15" w:type="dxa"/>
              <w:bottom w:w="0" w:type="dxa"/>
              <w:right w:w="15" w:type="dxa"/>
            </w:tcMar>
            <w:vAlign w:val="center"/>
          </w:tcPr>
          <w:p>
            <w:pPr>
              <w:rPr>
                <w:rFonts w:ascii="宋体" w:hAnsi="宋体" w:cs="宋体"/>
              </w:rPr>
            </w:pPr>
            <w:r>
              <w:rPr>
                <w:rFonts w:hint="eastAsia" w:ascii="宋体" w:hAnsi="宋体" w:cs="宋体"/>
                <w:szCs w:val="21"/>
              </w:rPr>
              <w:t>提供制造商针对本项目以下所投产品：1、教师演示台，2、英语听说模拟考试软件，3、</w:t>
            </w:r>
            <w:r>
              <w:rPr>
                <w:rFonts w:hint="eastAsia" w:ascii="宋体" w:hAnsi="宋体" w:cs="宋体"/>
                <w:kern w:val="0"/>
                <w:szCs w:val="21"/>
                <w:lang w:bidi="ar"/>
              </w:rPr>
              <w:t>净气型通风柜，4、教师用数码生物显微镜,5、数字星球系统,6、全金属微型铣圆机</w:t>
            </w:r>
            <w:r>
              <w:rPr>
                <w:rFonts w:hint="eastAsia" w:ascii="宋体" w:hAnsi="宋体" w:cs="宋体"/>
                <w:szCs w:val="21"/>
              </w:rPr>
              <w:t>的原厂售后服务承诺函(必须加盖制造厂商公章)，每提供1个得</w:t>
            </w:r>
            <w:r>
              <w:rPr>
                <w:rFonts w:ascii="宋体" w:hAnsi="宋体" w:cs="宋体"/>
                <w:szCs w:val="21"/>
              </w:rPr>
              <w:t>0.5</w:t>
            </w:r>
            <w:r>
              <w:rPr>
                <w:rFonts w:hint="eastAsia" w:ascii="宋体" w:hAnsi="宋体" w:cs="宋体"/>
                <w:szCs w:val="21"/>
              </w:rPr>
              <w:t>分，本项评分最多得</w:t>
            </w:r>
            <w:r>
              <w:rPr>
                <w:rFonts w:ascii="宋体" w:hAnsi="宋体" w:cs="宋体"/>
                <w:szCs w:val="21"/>
              </w:rPr>
              <w:t>3</w:t>
            </w:r>
            <w:r>
              <w:rPr>
                <w:rFonts w:hint="eastAsia" w:ascii="宋体" w:hAnsi="宋体" w:cs="宋体"/>
                <w:szCs w:val="21"/>
              </w:rPr>
              <w:t>分，未提供的不得分。注：如供应商为所投产品的制造商，除原厂售后服务承诺函原件外，还需提供加盖供应商单位公章的制造商资格声明函作为审核依据，否则不子认定。</w:t>
            </w:r>
          </w:p>
        </w:tc>
        <w:tc>
          <w:tcPr>
            <w:tcW w:w="828" w:type="dxa"/>
            <w:vAlign w:val="center"/>
          </w:tcPr>
          <w:p>
            <w:pPr>
              <w:ind w:left="-2" w:leftChars="-1"/>
              <w:jc w:val="center"/>
              <w:rPr>
                <w:rFonts w:ascii="宋体" w:hAnsi="宋体" w:cs="宋体"/>
              </w:rPr>
            </w:pPr>
            <w:r>
              <w:rPr>
                <w:rFonts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9</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供货方案</w:t>
            </w:r>
          </w:p>
        </w:tc>
        <w:tc>
          <w:tcPr>
            <w:tcW w:w="6807" w:type="dxa"/>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供货方案科学合理，内容全面，与本项目契合度高，体现供货能力强，保障度高，得5分</w:t>
            </w:r>
          </w:p>
          <w:p>
            <w:pPr>
              <w:rPr>
                <w:rFonts w:ascii="宋体" w:hAnsi="宋体" w:cs="宋体"/>
                <w:szCs w:val="21"/>
              </w:rPr>
            </w:pPr>
            <w:r>
              <w:rPr>
                <w:rFonts w:hint="eastAsia" w:ascii="宋体" w:hAnsi="宋体" w:cs="宋体"/>
                <w:szCs w:val="21"/>
              </w:rPr>
              <w:t>供货方案合理完整，与本项目比较适合，能体现供货能力与保障，得3分</w:t>
            </w:r>
          </w:p>
          <w:p>
            <w:pPr>
              <w:rPr>
                <w:rFonts w:ascii="宋体" w:hAnsi="宋体" w:cs="宋体"/>
                <w:szCs w:val="21"/>
              </w:rPr>
            </w:pPr>
            <w:r>
              <w:rPr>
                <w:rFonts w:hint="eastAsia" w:ascii="宋体" w:hAnsi="宋体" w:cs="宋体"/>
                <w:szCs w:val="21"/>
              </w:rPr>
              <w:t>供货方案不合理不完整，得1分</w:t>
            </w:r>
          </w:p>
          <w:p>
            <w:pPr>
              <w:rPr>
                <w:rFonts w:ascii="宋体" w:hAnsi="宋体" w:cs="宋体"/>
              </w:rPr>
            </w:pPr>
            <w:r>
              <w:rPr>
                <w:rFonts w:hint="eastAsia" w:ascii="宋体" w:hAnsi="宋体" w:cs="宋体"/>
                <w:szCs w:val="21"/>
              </w:rPr>
              <w:t>未提供供货方案得0分</w:t>
            </w:r>
          </w:p>
        </w:tc>
        <w:tc>
          <w:tcPr>
            <w:tcW w:w="828" w:type="dxa"/>
            <w:vAlign w:val="center"/>
          </w:tcPr>
          <w:p>
            <w:pPr>
              <w:ind w:left="-2" w:leftChars="-1"/>
              <w:jc w:val="center"/>
              <w:rPr>
                <w:rFonts w:ascii="宋体" w:hAnsi="宋体" w:cs="宋体"/>
              </w:rPr>
            </w:pPr>
            <w:r>
              <w:rPr>
                <w:rFonts w:hint="eastAsia"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516"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10</w:t>
            </w:r>
          </w:p>
        </w:tc>
        <w:tc>
          <w:tcPr>
            <w:tcW w:w="945" w:type="dxa"/>
            <w:tcMar>
              <w:top w:w="15" w:type="dxa"/>
              <w:left w:w="15" w:type="dxa"/>
              <w:bottom w:w="0" w:type="dxa"/>
              <w:right w:w="15" w:type="dxa"/>
            </w:tcMar>
            <w:vAlign w:val="center"/>
          </w:tcPr>
          <w:p>
            <w:pPr>
              <w:jc w:val="center"/>
              <w:rPr>
                <w:rFonts w:ascii="宋体" w:hAnsi="宋体" w:cs="宋体"/>
              </w:rPr>
            </w:pPr>
            <w:r>
              <w:rPr>
                <w:rFonts w:hint="eastAsia" w:ascii="宋体" w:hAnsi="宋体" w:cs="宋体"/>
              </w:rPr>
              <w:t>培训方案</w:t>
            </w:r>
          </w:p>
        </w:tc>
        <w:tc>
          <w:tcPr>
            <w:tcW w:w="6807" w:type="dxa"/>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培训方案计划完善，培训时间安排合理、师资力量雄厚，得：5分；</w:t>
            </w:r>
          </w:p>
          <w:p>
            <w:pPr>
              <w:rPr>
                <w:rFonts w:ascii="宋体" w:hAnsi="宋体" w:cs="宋体"/>
                <w:szCs w:val="21"/>
              </w:rPr>
            </w:pPr>
            <w:r>
              <w:rPr>
                <w:rFonts w:hint="eastAsia" w:ascii="宋体" w:hAnsi="宋体" w:cs="宋体"/>
                <w:szCs w:val="21"/>
              </w:rPr>
              <w:t>培训方案计划较完善，培训时间安排较合理、师资力量较好，得：3分；</w:t>
            </w:r>
          </w:p>
          <w:p>
            <w:pPr>
              <w:rPr>
                <w:rFonts w:ascii="宋体" w:hAnsi="宋体" w:cs="宋体"/>
                <w:szCs w:val="21"/>
              </w:rPr>
            </w:pPr>
            <w:r>
              <w:rPr>
                <w:rFonts w:hint="eastAsia" w:ascii="宋体" w:hAnsi="宋体" w:cs="宋体"/>
                <w:szCs w:val="21"/>
              </w:rPr>
              <w:t>培训方案计划不完善，培训时间安排不合理，师资力量较弱，得：1分。</w:t>
            </w:r>
          </w:p>
          <w:p>
            <w:pPr>
              <w:rPr>
                <w:rFonts w:ascii="宋体" w:hAnsi="宋体" w:cs="宋体"/>
              </w:rPr>
            </w:pPr>
            <w:r>
              <w:rPr>
                <w:rFonts w:hint="eastAsia" w:ascii="宋体" w:hAnsi="宋体" w:cs="宋体"/>
                <w:szCs w:val="21"/>
              </w:rPr>
              <w:t>无培训方案不得分。</w:t>
            </w:r>
          </w:p>
        </w:tc>
        <w:tc>
          <w:tcPr>
            <w:tcW w:w="828" w:type="dxa"/>
            <w:vAlign w:val="center"/>
          </w:tcPr>
          <w:p>
            <w:pPr>
              <w:ind w:leftChars="-1" w:hanging="2" w:hangingChars="1"/>
              <w:jc w:val="center"/>
              <w:rPr>
                <w:rFonts w:ascii="宋体" w:hAnsi="宋体" w:cs="宋体"/>
              </w:rPr>
            </w:pPr>
            <w:r>
              <w:rPr>
                <w:rFonts w:hint="eastAsia"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c>
          <w:tcPr>
            <w:tcW w:w="8268" w:type="dxa"/>
            <w:gridSpan w:val="3"/>
            <w:tcMar>
              <w:top w:w="15" w:type="dxa"/>
              <w:left w:w="15" w:type="dxa"/>
              <w:bottom w:w="0" w:type="dxa"/>
              <w:right w:w="15" w:type="dxa"/>
            </w:tcMar>
            <w:vAlign w:val="center"/>
          </w:tcPr>
          <w:p>
            <w:pPr>
              <w:jc w:val="center"/>
              <w:rPr>
                <w:rFonts w:ascii="宋体" w:hAnsi="宋体" w:cs="宋体"/>
                <w:szCs w:val="21"/>
              </w:rPr>
            </w:pPr>
            <w:r>
              <w:rPr>
                <w:rFonts w:hint="eastAsia" w:ascii="宋体" w:hAnsi="宋体" w:cs="宋体"/>
              </w:rPr>
              <w:t>合计</w:t>
            </w:r>
          </w:p>
        </w:tc>
        <w:tc>
          <w:tcPr>
            <w:tcW w:w="828" w:type="dxa"/>
            <w:vAlign w:val="center"/>
          </w:tcPr>
          <w:p>
            <w:pPr>
              <w:ind w:leftChars="-1" w:hanging="2" w:hangingChars="1"/>
              <w:jc w:val="center"/>
              <w:rPr>
                <w:rFonts w:ascii="宋体" w:hAnsi="宋体" w:cs="宋体"/>
              </w:rPr>
            </w:pPr>
            <w:r>
              <w:rPr>
                <w:rFonts w:hint="eastAsia" w:ascii="宋体" w:hAnsi="宋体" w:cs="宋体"/>
              </w:rPr>
              <w:t>100</w:t>
            </w:r>
          </w:p>
        </w:tc>
      </w:tr>
    </w:tbl>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1"/>
      <w:bookmarkEnd w:id="852"/>
    </w:p>
    <w:p>
      <w:pPr>
        <w:pStyle w:val="3"/>
        <w:numPr>
          <w:ilvl w:val="0"/>
          <w:numId w:val="14"/>
        </w:numPr>
        <w:jc w:val="left"/>
        <w:rPr>
          <w:rFonts w:hAnsi="宋体"/>
          <w:sz w:val="24"/>
          <w:szCs w:val="24"/>
        </w:rPr>
      </w:pPr>
      <w:bookmarkStart w:id="854" w:name="_Toc218620571"/>
      <w:bookmarkStart w:id="855" w:name="_Toc209958497"/>
      <w:r>
        <w:rPr>
          <w:rFonts w:hint="eastAsia" w:hAnsi="宋体"/>
          <w:sz w:val="24"/>
          <w:szCs w:val="24"/>
        </w:rPr>
        <w:t>采购标的</w:t>
      </w:r>
      <w:bookmarkEnd w:id="854"/>
      <w:bookmarkEnd w:id="855"/>
    </w:p>
    <w:p>
      <w:pPr>
        <w:spacing w:line="360" w:lineRule="auto"/>
        <w:contextualSpacing/>
        <w:rPr>
          <w:rFonts w:ascii="宋体" w:hAnsi="宋体" w:cs="宋体"/>
          <w:bCs/>
          <w:sz w:val="24"/>
        </w:rPr>
      </w:pPr>
      <w:r>
        <w:rPr>
          <w:rFonts w:hint="eastAsia" w:ascii="宋体" w:hAnsi="宋体" w:cs="宋体"/>
          <w:bCs/>
          <w:sz w:val="24"/>
        </w:rPr>
        <w:t>1.采购标的（货物需求一览表或简要服务内容及数量）</w:t>
      </w:r>
    </w:p>
    <w:p>
      <w:pPr>
        <w:spacing w:line="360" w:lineRule="auto"/>
        <w:ind w:firstLine="480" w:firstLineChars="200"/>
        <w:rPr>
          <w:rFonts w:ascii="宋体" w:hAnsi="宋体" w:cs="宋体"/>
          <w:sz w:val="24"/>
        </w:rPr>
      </w:pPr>
      <w:r>
        <w:rPr>
          <w:rFonts w:hint="eastAsia" w:ascii="宋体" w:hAnsi="宋体" w:cs="宋体"/>
          <w:sz w:val="24"/>
        </w:rPr>
        <w:t>该项目共分5个包，本招标文件作为整体项目的第</w:t>
      </w:r>
      <w:r>
        <w:rPr>
          <w:rFonts w:ascii="宋体" w:hAnsi="宋体" w:cs="宋体"/>
          <w:sz w:val="24"/>
        </w:rPr>
        <w:t>1</w:t>
      </w:r>
      <w:r>
        <w:rPr>
          <w:rFonts w:hint="eastAsia" w:ascii="宋体" w:hAnsi="宋体" w:cs="宋体"/>
          <w:sz w:val="24"/>
        </w:rPr>
        <w:t>包进行招标，要求投标人需对整包进行投标，中标后不得分包</w:t>
      </w:r>
    </w:p>
    <w:tbl>
      <w:tblPr>
        <w:tblStyle w:val="51"/>
        <w:tblW w:w="8856"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2067"/>
        <w:gridCol w:w="1652"/>
        <w:gridCol w:w="688"/>
        <w:gridCol w:w="2039"/>
        <w:gridCol w:w="17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1" w:hRule="atLeast"/>
        </w:trPr>
        <w:tc>
          <w:tcPr>
            <w:tcW w:w="686" w:type="dxa"/>
            <w:vAlign w:val="center"/>
          </w:tcPr>
          <w:p>
            <w:pPr>
              <w:autoSpaceDE w:val="0"/>
              <w:autoSpaceDN w:val="0"/>
              <w:spacing w:before="86" w:line="211" w:lineRule="auto"/>
              <w:ind w:firstLine="1"/>
              <w:jc w:val="center"/>
              <w:rPr>
                <w:rFonts w:ascii="宋体" w:hAnsi="宋体" w:cs="宋体"/>
                <w:sz w:val="24"/>
              </w:rPr>
            </w:pPr>
            <w:bookmarkStart w:id="856" w:name="OLE_LINK137"/>
            <w:bookmarkStart w:id="857" w:name="OLE_LINK136"/>
            <w:r>
              <w:rPr>
                <w:rFonts w:hint="eastAsia" w:ascii="宋体" w:hAnsi="宋体" w:cs="宋体"/>
                <w:spacing w:val="7"/>
                <w:sz w:val="24"/>
              </w:rPr>
              <w:t>包号</w:t>
            </w:r>
          </w:p>
        </w:tc>
        <w:tc>
          <w:tcPr>
            <w:tcW w:w="2067"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652" w:type="dxa"/>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688"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039"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724"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6"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01</w:t>
            </w:r>
          </w:p>
        </w:tc>
        <w:tc>
          <w:tcPr>
            <w:tcW w:w="2067" w:type="dxa"/>
            <w:vAlign w:val="center"/>
          </w:tcPr>
          <w:p>
            <w:pPr>
              <w:jc w:val="center"/>
              <w:rPr>
                <w:rFonts w:ascii="宋体" w:hAnsi="宋体" w:cs="宋体"/>
                <w:spacing w:val="7"/>
                <w:sz w:val="24"/>
              </w:rPr>
            </w:pPr>
            <w:r>
              <w:rPr>
                <w:rFonts w:hint="eastAsia"/>
                <w:bCs/>
                <w:szCs w:val="21"/>
              </w:rPr>
              <w:t>专业教室及仪器设备购置</w:t>
            </w:r>
          </w:p>
        </w:tc>
        <w:tc>
          <w:tcPr>
            <w:tcW w:w="1652" w:type="dxa"/>
            <w:vAlign w:val="center"/>
          </w:tcPr>
          <w:p>
            <w:pPr>
              <w:jc w:val="center"/>
              <w:rPr>
                <w:rFonts w:ascii="宋体" w:hAnsi="宋体" w:cs="宋体"/>
                <w:sz w:val="24"/>
              </w:rPr>
            </w:pPr>
            <w:r>
              <w:rPr>
                <w:rFonts w:ascii="宋体" w:hAnsi="宋体" w:cs="宋体"/>
                <w:sz w:val="24"/>
              </w:rPr>
              <w:t>1402.657732</w:t>
            </w:r>
          </w:p>
        </w:tc>
        <w:tc>
          <w:tcPr>
            <w:tcW w:w="688" w:type="dxa"/>
            <w:vAlign w:val="center"/>
          </w:tcPr>
          <w:p>
            <w:pPr>
              <w:jc w:val="center"/>
              <w:rPr>
                <w:rFonts w:ascii="宋体" w:hAnsi="宋体" w:cs="宋体"/>
                <w:sz w:val="24"/>
              </w:rPr>
            </w:pPr>
            <w:r>
              <w:rPr>
                <w:rFonts w:hint="eastAsia"/>
                <w:bCs/>
                <w:szCs w:val="21"/>
              </w:rPr>
              <w:t>1批</w:t>
            </w:r>
          </w:p>
        </w:tc>
        <w:tc>
          <w:tcPr>
            <w:tcW w:w="2039" w:type="dxa"/>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724"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56"/>
    <w:bookmarkEnd w:id="857"/>
    <w:p>
      <w:pPr>
        <w:pStyle w:val="3"/>
        <w:numPr>
          <w:ilvl w:val="0"/>
          <w:numId w:val="14"/>
        </w:numPr>
        <w:jc w:val="left"/>
        <w:rPr>
          <w:rFonts w:hAnsi="宋体"/>
          <w:sz w:val="24"/>
          <w:szCs w:val="24"/>
        </w:rPr>
      </w:pPr>
      <w:bookmarkStart w:id="858" w:name="_Toc209958498"/>
      <w:bookmarkStart w:id="859" w:name="_Toc218620572"/>
      <w:r>
        <w:rPr>
          <w:rFonts w:hint="eastAsia" w:hAnsi="宋体"/>
          <w:sz w:val="24"/>
          <w:szCs w:val="24"/>
        </w:rPr>
        <w:t>商务要求</w:t>
      </w:r>
      <w:bookmarkEnd w:id="858"/>
      <w:bookmarkEnd w:id="859"/>
    </w:p>
    <w:p>
      <w:pPr>
        <w:tabs>
          <w:tab w:val="left" w:pos="900"/>
          <w:tab w:val="left" w:pos="1980"/>
        </w:tabs>
        <w:spacing w:line="360" w:lineRule="auto"/>
        <w:outlineLvl w:val="1"/>
        <w:rPr>
          <w:rFonts w:ascii="宋体" w:hAnsi="宋体" w:cs="宋体"/>
          <w:b/>
          <w:bCs/>
          <w:sz w:val="24"/>
        </w:rPr>
      </w:pPr>
      <w:bookmarkStart w:id="860" w:name="_Toc194046417"/>
      <w:r>
        <w:rPr>
          <w:rFonts w:hint="eastAsia" w:ascii="宋体" w:hAnsi="宋体" w:cs="宋体"/>
          <w:b/>
          <w:bCs/>
          <w:sz w:val="24"/>
        </w:rPr>
        <w:t>1．供货要求</w:t>
      </w:r>
      <w:bookmarkEnd w:id="860"/>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1.1投标人投标提供的设备必须是全新的，配置与装箱单相符；数量、质量及性能不低于本招标文件中提出的要求；应准确无误地表明设备型号、规格、制造厂商；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1.2所供货物不得侵犯任何第三方知识产权；</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1.3送货地址：采购人指定地点。</w:t>
      </w:r>
    </w:p>
    <w:p>
      <w:pPr>
        <w:tabs>
          <w:tab w:val="left" w:pos="900"/>
          <w:tab w:val="left" w:pos="1980"/>
        </w:tabs>
        <w:spacing w:line="360" w:lineRule="auto"/>
        <w:outlineLvl w:val="1"/>
        <w:rPr>
          <w:rFonts w:ascii="宋体" w:hAnsi="宋体" w:cs="宋体"/>
          <w:b/>
          <w:bCs/>
          <w:sz w:val="24"/>
        </w:rPr>
      </w:pPr>
      <w:bookmarkStart w:id="861" w:name="_Toc194046418"/>
      <w:r>
        <w:rPr>
          <w:rFonts w:hint="eastAsia" w:ascii="宋体" w:hAnsi="宋体" w:cs="宋体"/>
          <w:b/>
          <w:bCs/>
          <w:sz w:val="24"/>
        </w:rPr>
        <w:t>二、售后服务及培训要求</w:t>
      </w:r>
      <w:bookmarkEnd w:id="861"/>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1．安装和调试：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1.1中标方负责安装、调试、培训及售后服务，所有辅材辅料均包含在报价中。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1.2中标方负责实施电和网络到桌或者设备指定位置，安装线路需满足国家相关标准。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1.3中标方负责派技术人员到现场免费进行安装调试，直至验收合格；中标方应在货物运抵现场一周前，向买方提供安装调试及运行的进度计划表。</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1.4中标后送样：中标方需满足甲方送样要求，甲方可根据样品及现场实际情况进行调整，以甲方最终结果确认为准。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1.5满足甲方拍摄需求：中标方需满足甲方根据实际情况，双方协商部分设备提前送达现场及完成安装，配合及满足甲方拍摄宣传需求。</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1.6安装调试完成后，甲方进行环境检测，若检测不符合国家相关标准，中标方需按照甲方要求配合整改，直到环境检测合格为止，再进行验收工作，并承担相应责任，无偿配合甲方办公及开学节点需求。</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2．技术培训：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中标方应负责对甲方人员进行专业培训，直至甲方能完全操作（投标人列明具体培训计划方案），提供详细培训计划并定期进行回访。</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3．售后服务承诺：</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3.1提供</w:t>
      </w:r>
      <w:r>
        <w:rPr>
          <w:rFonts w:ascii="宋体" w:hAnsi="宋体" w:cs="宋体"/>
          <w:sz w:val="24"/>
        </w:rPr>
        <w:t>2</w:t>
      </w:r>
      <w:r>
        <w:rPr>
          <w:rFonts w:hint="eastAsia" w:ascii="宋体" w:hAnsi="宋体" w:cs="宋体"/>
          <w:sz w:val="24"/>
        </w:rPr>
        <w:t>年或以上质保，具体年限在投标文件中体现。满足相关国家规定，质保时间从全部设备正式验收合格并签署相关文件之日起开始计算（采购需求内特殊要求以采购需求为准）。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3.2 提供免费终身维护。</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4．验收标准和验收方法：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4.1设备按国家行业标准进行验收。</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4.2产品质量达到设计要求，安装调试各项指标符合技术参数。</w:t>
      </w:r>
    </w:p>
    <w:p>
      <w:pPr>
        <w:tabs>
          <w:tab w:val="left" w:pos="900"/>
          <w:tab w:val="left" w:pos="1980"/>
        </w:tabs>
        <w:spacing w:line="360" w:lineRule="auto"/>
        <w:outlineLvl w:val="1"/>
        <w:rPr>
          <w:rFonts w:ascii="宋体" w:hAnsi="宋体" w:cs="宋体"/>
          <w:b/>
          <w:bCs/>
          <w:sz w:val="24"/>
        </w:rPr>
      </w:pPr>
      <w:bookmarkStart w:id="862" w:name="_Toc194046419"/>
      <w:r>
        <w:rPr>
          <w:rFonts w:hint="eastAsia" w:ascii="宋体" w:hAnsi="宋体" w:cs="宋体"/>
          <w:b/>
          <w:bCs/>
          <w:sz w:val="24"/>
        </w:rPr>
        <w:t>三、付款方式</w:t>
      </w:r>
      <w:bookmarkEnd w:id="862"/>
    </w:p>
    <w:p>
      <w:pPr>
        <w:tabs>
          <w:tab w:val="left" w:pos="900"/>
          <w:tab w:val="left" w:pos="1980"/>
        </w:tabs>
        <w:spacing w:line="360" w:lineRule="auto"/>
        <w:rPr>
          <w:rFonts w:ascii="宋体" w:hAnsi="宋体" w:cs="宋体"/>
          <w:b/>
          <w:bCs/>
          <w:sz w:val="24"/>
        </w:rPr>
      </w:pPr>
      <w:r>
        <w:rPr>
          <w:rFonts w:hint="eastAsia" w:ascii="宋体" w:hAnsi="宋体" w:cs="宋体"/>
          <w:sz w:val="24"/>
        </w:rPr>
        <w:t>1．合同签订后，支付合同金额的</w:t>
      </w:r>
      <w:r>
        <w:rPr>
          <w:rFonts w:ascii="宋体" w:hAnsi="宋体" w:cs="宋体"/>
          <w:sz w:val="24"/>
        </w:rPr>
        <w:t>50</w:t>
      </w:r>
      <w:r>
        <w:rPr>
          <w:rFonts w:hint="eastAsia" w:ascii="宋体" w:hAnsi="宋体" w:cs="宋体"/>
          <w:sz w:val="24"/>
        </w:rPr>
        <w:t>%。货到现场并完成安装、调试、验收合格等工作后，支付不高于合同金额的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中标方不得就甲方因费用拨付不到位而因此导致的逾期付款提出索赔</w:t>
      </w:r>
      <w:r>
        <w:rPr>
          <w:rFonts w:hint="eastAsia" w:ascii="宋体" w:hAnsi="宋体" w:cs="宋体"/>
          <w:bCs/>
          <w:sz w:val="24"/>
        </w:rPr>
        <w:t>。</w:t>
      </w:r>
    </w:p>
    <w:p>
      <w:pPr>
        <w:tabs>
          <w:tab w:val="left" w:pos="900"/>
          <w:tab w:val="left" w:pos="1980"/>
        </w:tabs>
        <w:spacing w:line="360" w:lineRule="auto"/>
        <w:rPr>
          <w:rFonts w:ascii="宋体" w:hAnsi="宋体" w:cs="宋体"/>
          <w:sz w:val="24"/>
        </w:rPr>
      </w:pPr>
      <w:r>
        <w:rPr>
          <w:rFonts w:hint="eastAsia" w:ascii="宋体" w:hAnsi="宋体"/>
          <w:sz w:val="24"/>
          <w:szCs w:val="22"/>
        </w:rPr>
        <w:t>2．每次付款之前，中标方应按照甲方要求出具等额合规的增值税发票，如中标方提供的发票金额少于付款金额，甲方有权依据发票金额进行付款。因中标方未及时向甲方开具发票或因其开具的发票不规范、不合法或涉嫌虚开发票等问题，甲方有权拒绝付款且不构成违约。</w:t>
      </w:r>
    </w:p>
    <w:p>
      <w:pPr>
        <w:pStyle w:val="3"/>
        <w:numPr>
          <w:ilvl w:val="0"/>
          <w:numId w:val="14"/>
        </w:numPr>
        <w:jc w:val="left"/>
        <w:rPr>
          <w:rFonts w:hAnsi="宋体"/>
          <w:sz w:val="24"/>
          <w:szCs w:val="24"/>
        </w:rPr>
      </w:pPr>
      <w:bookmarkStart w:id="863" w:name="OLE_LINK140"/>
      <w:bookmarkStart w:id="864" w:name="_Toc209958503"/>
      <w:bookmarkStart w:id="865" w:name="_Toc218620573"/>
      <w:bookmarkStart w:id="866" w:name="OLE_LINK138"/>
      <w:bookmarkStart w:id="867" w:name="OLE_LINK115"/>
      <w:bookmarkStart w:id="868" w:name="OLE_LINK116"/>
      <w:r>
        <w:rPr>
          <w:rFonts w:hint="eastAsia" w:hAnsi="宋体"/>
          <w:sz w:val="24"/>
          <w:szCs w:val="24"/>
        </w:rPr>
        <w:t>技术要求</w:t>
      </w:r>
      <w:bookmarkEnd w:id="863"/>
      <w:bookmarkEnd w:id="864"/>
      <w:bookmarkEnd w:id="865"/>
      <w:bookmarkEnd w:id="866"/>
    </w:p>
    <w:bookmarkEnd w:id="867"/>
    <w:bookmarkEnd w:id="868"/>
    <w:p>
      <w:pPr>
        <w:pStyle w:val="4"/>
        <w:jc w:val="left"/>
        <w:rPr>
          <w:rFonts w:ascii="宋体" w:hAnsi="宋体" w:eastAsia="宋体"/>
          <w:sz w:val="24"/>
          <w:szCs w:val="24"/>
        </w:rPr>
      </w:pPr>
      <w:r>
        <w:rPr>
          <w:rFonts w:hint="eastAsia" w:ascii="宋体" w:hAnsi="宋体" w:eastAsia="宋体"/>
          <w:sz w:val="24"/>
          <w:szCs w:val="24"/>
        </w:rPr>
        <w:t>1.基本要求</w:t>
      </w:r>
    </w:p>
    <w:p>
      <w:pPr>
        <w:spacing w:line="360" w:lineRule="auto"/>
        <w:contextualSpacing/>
        <w:rPr>
          <w:rFonts w:ascii="宋体" w:hAnsi="宋体" w:cs="宋体"/>
          <w:b/>
          <w:bCs/>
          <w:sz w:val="24"/>
        </w:rPr>
      </w:pPr>
      <w:r>
        <w:rPr>
          <w:rFonts w:hint="eastAsia" w:ascii="宋体" w:hAnsi="宋体" w:cs="宋体"/>
          <w:b/>
          <w:bCs/>
          <w:sz w:val="24"/>
        </w:rPr>
        <w:t>1.1采购标的需实现的功能或者目标</w:t>
      </w:r>
    </w:p>
    <w:p>
      <w:pPr>
        <w:adjustRightInd w:val="0"/>
        <w:snapToGrid w:val="0"/>
        <w:spacing w:line="360" w:lineRule="auto"/>
        <w:ind w:firstLine="480" w:firstLineChars="200"/>
        <w:rPr>
          <w:rFonts w:ascii="宋体" w:hAnsi="宋体" w:cs="宋体"/>
          <w:sz w:val="24"/>
        </w:rPr>
      </w:pPr>
      <w:r>
        <w:rPr>
          <w:rFonts w:hint="eastAsia" w:ascii="宋体" w:hAnsi="宋体"/>
          <w:bCs/>
          <w:sz w:val="24"/>
        </w:rPr>
        <w:t>满足北京第四实验学校实际办学需求。</w:t>
      </w:r>
    </w:p>
    <w:p>
      <w:pPr>
        <w:spacing w:line="360" w:lineRule="auto"/>
        <w:contextualSpacing/>
        <w:rPr>
          <w:rFonts w:ascii="宋体" w:hAnsi="宋体" w:cs="宋体"/>
          <w:b/>
          <w:bCs/>
          <w:sz w:val="24"/>
        </w:rPr>
      </w:pPr>
      <w:r>
        <w:rPr>
          <w:rFonts w:hint="eastAsia" w:ascii="宋体" w:hAnsi="宋体" w:cs="宋体"/>
          <w:b/>
          <w:bCs/>
          <w:sz w:val="24"/>
        </w:rPr>
        <w:t>1.2需执行的国家相关标准、行业标准、地方标准或者其他标准、规范</w:t>
      </w:r>
    </w:p>
    <w:p>
      <w:pPr>
        <w:spacing w:line="360" w:lineRule="auto"/>
        <w:ind w:firstLine="480" w:firstLineChars="200"/>
        <w:contextualSpacing/>
        <w:rPr>
          <w:rFonts w:ascii="宋体" w:hAnsi="宋体" w:cs="宋体"/>
          <w:sz w:val="24"/>
        </w:rPr>
      </w:pPr>
      <w:bookmarkStart w:id="869" w:name="OLE_LINK19"/>
      <w:r>
        <w:rPr>
          <w:rFonts w:hint="eastAsia" w:ascii="宋体" w:hAnsi="宋体" w:cs="宋体"/>
          <w:sz w:val="24"/>
        </w:rPr>
        <w:t>按照国家或行业内相关标准及规范及本项目规定的标准与法规的最高标准执行</w:t>
      </w:r>
      <w:r>
        <w:rPr>
          <w:rFonts w:ascii="宋体" w:hAnsi="宋体" w:cs="宋体"/>
          <w:sz w:val="24"/>
        </w:rPr>
        <w:t>，</w:t>
      </w:r>
      <w:bookmarkEnd w:id="869"/>
      <w:r>
        <w:rPr>
          <w:rFonts w:ascii="宋体" w:hAnsi="宋体" w:cs="宋体"/>
          <w:sz w:val="24"/>
        </w:rPr>
        <w:t>且若前述标准或规范存在最新版本，</w:t>
      </w:r>
      <w:r>
        <w:rPr>
          <w:rFonts w:hint="eastAsia" w:ascii="宋体" w:hAnsi="宋体" w:cs="宋体"/>
          <w:sz w:val="24"/>
        </w:rPr>
        <w:t>则</w:t>
      </w:r>
      <w:r>
        <w:rPr>
          <w:rFonts w:ascii="宋体" w:hAnsi="宋体" w:cs="宋体"/>
          <w:sz w:val="24"/>
        </w:rPr>
        <w:t>以该最新版本为准</w:t>
      </w:r>
      <w:r>
        <w:rPr>
          <w:rFonts w:hint="eastAsia" w:ascii="宋体" w:hAnsi="宋体" w:cs="宋体"/>
          <w:sz w:val="24"/>
        </w:rPr>
        <w:t>；</w:t>
      </w:r>
    </w:p>
    <w:p>
      <w:pPr>
        <w:spacing w:line="360" w:lineRule="auto"/>
        <w:ind w:firstLine="480" w:firstLineChars="200"/>
        <w:contextualSpacing/>
        <w:rPr>
          <w:rFonts w:ascii="宋体" w:hAnsi="宋体" w:cs="宋体"/>
          <w:sz w:val="24"/>
        </w:rPr>
      </w:pPr>
      <w:r>
        <w:rPr>
          <w:rFonts w:hint="eastAsia" w:ascii="宋体" w:hAnsi="宋体" w:cs="宋体"/>
          <w:sz w:val="24"/>
        </w:rPr>
        <w:t>（1）国家标准</w:t>
      </w:r>
    </w:p>
    <w:p>
      <w:pPr>
        <w:spacing w:line="360" w:lineRule="auto"/>
        <w:ind w:firstLine="480" w:firstLineChars="200"/>
        <w:contextualSpacing/>
        <w:rPr>
          <w:rFonts w:ascii="宋体" w:hAnsi="宋体" w:cs="宋体"/>
          <w:sz w:val="24"/>
        </w:rPr>
      </w:pPr>
      <w:r>
        <w:rPr>
          <w:rFonts w:hint="eastAsia" w:ascii="宋体" w:hAnsi="宋体" w:cs="宋体"/>
          <w:sz w:val="24"/>
        </w:rPr>
        <w:t>1.GB/T 45657-2025《信息化教学环境视听技术要求》</w:t>
      </w:r>
    </w:p>
    <w:p>
      <w:pPr>
        <w:spacing w:line="360" w:lineRule="auto"/>
        <w:ind w:firstLine="480" w:firstLineChars="200"/>
        <w:contextualSpacing/>
        <w:rPr>
          <w:rFonts w:ascii="宋体" w:hAnsi="宋体" w:cs="宋体"/>
          <w:sz w:val="24"/>
        </w:rPr>
      </w:pPr>
      <w:r>
        <w:rPr>
          <w:rFonts w:hint="eastAsia" w:ascii="宋体" w:hAnsi="宋体" w:cs="宋体"/>
          <w:sz w:val="24"/>
        </w:rPr>
        <w:t>2.GB/T 36447-2018《多媒体教学环境设计要求》</w:t>
      </w:r>
    </w:p>
    <w:p>
      <w:pPr>
        <w:spacing w:line="360" w:lineRule="auto"/>
        <w:ind w:firstLine="480" w:firstLineChars="200"/>
        <w:contextualSpacing/>
        <w:rPr>
          <w:rFonts w:ascii="宋体" w:hAnsi="宋体" w:cs="宋体"/>
          <w:sz w:val="24"/>
        </w:rPr>
      </w:pPr>
      <w:r>
        <w:rPr>
          <w:rFonts w:hint="eastAsia" w:ascii="宋体" w:hAnsi="宋体" w:cs="宋体"/>
          <w:sz w:val="24"/>
        </w:rPr>
        <w:t>3.</w:t>
      </w:r>
      <w:r>
        <w:t xml:space="preserve"> </w:t>
      </w:r>
      <w:r>
        <w:rPr>
          <w:rFonts w:ascii="宋体" w:hAnsi="宋体" w:cs="宋体"/>
          <w:sz w:val="24"/>
        </w:rPr>
        <w:t>GB50311-2016</w:t>
      </w:r>
      <w:r>
        <w:rPr>
          <w:rFonts w:hint="eastAsia" w:ascii="宋体" w:hAnsi="宋体" w:cs="宋体"/>
          <w:sz w:val="24"/>
        </w:rPr>
        <w:t xml:space="preserve">《综合布线系统工程设计规范》 </w:t>
      </w:r>
    </w:p>
    <w:p>
      <w:pPr>
        <w:spacing w:line="360" w:lineRule="auto"/>
        <w:ind w:firstLine="480" w:firstLineChars="200"/>
        <w:contextualSpacing/>
        <w:rPr>
          <w:rFonts w:ascii="宋体" w:hAnsi="宋体" w:cs="宋体"/>
          <w:sz w:val="24"/>
        </w:rPr>
      </w:pPr>
      <w:r>
        <w:rPr>
          <w:rFonts w:hint="eastAsia" w:ascii="宋体" w:hAnsi="宋体" w:cs="宋体"/>
          <w:sz w:val="24"/>
        </w:rPr>
        <w:t>4.GB/T 36342-2018《智慧校园总体框架》</w:t>
      </w:r>
    </w:p>
    <w:p>
      <w:pPr>
        <w:spacing w:line="360" w:lineRule="auto"/>
        <w:ind w:firstLine="480" w:firstLineChars="200"/>
        <w:contextualSpacing/>
        <w:rPr>
          <w:rFonts w:ascii="宋体" w:hAnsi="宋体" w:cs="宋体"/>
          <w:sz w:val="24"/>
        </w:rPr>
      </w:pPr>
      <w:r>
        <w:rPr>
          <w:rFonts w:hint="eastAsia" w:ascii="宋体" w:hAnsi="宋体" w:cs="宋体"/>
          <w:sz w:val="24"/>
        </w:rPr>
        <w:t>5.</w:t>
      </w:r>
      <w:bookmarkStart w:id="870" w:name="OLE_LINK20"/>
      <w:r>
        <w:rPr>
          <w:rFonts w:hint="eastAsia" w:ascii="宋体" w:hAnsi="宋体" w:cs="宋体"/>
          <w:sz w:val="24"/>
        </w:rPr>
        <w:t>GB 50799-2012《电子会议系统工程设计规范》</w:t>
      </w:r>
    </w:p>
    <w:bookmarkEnd w:id="870"/>
    <w:p>
      <w:pPr>
        <w:spacing w:line="360" w:lineRule="auto"/>
        <w:ind w:firstLine="480" w:firstLineChars="200"/>
        <w:contextualSpacing/>
        <w:rPr>
          <w:rFonts w:ascii="宋体" w:hAnsi="宋体" w:cs="宋体"/>
          <w:sz w:val="24"/>
        </w:rPr>
      </w:pPr>
      <w:r>
        <w:rPr>
          <w:rFonts w:hint="eastAsia" w:ascii="宋体" w:hAnsi="宋体" w:cs="宋体"/>
          <w:sz w:val="24"/>
        </w:rPr>
        <w:t>6.</w:t>
      </w:r>
      <w:r>
        <w:rPr>
          <w:rFonts w:hint="eastAsia"/>
        </w:rPr>
        <w:t xml:space="preserve"> </w:t>
      </w:r>
      <w:r>
        <w:rPr>
          <w:rFonts w:hint="eastAsia" w:ascii="宋体" w:hAnsi="宋体" w:cs="宋体"/>
          <w:sz w:val="24"/>
        </w:rPr>
        <w:t xml:space="preserve">GB50348-2018 《安全防范工程技术标准》  </w:t>
      </w:r>
    </w:p>
    <w:p>
      <w:pPr>
        <w:spacing w:line="360" w:lineRule="auto"/>
        <w:ind w:firstLine="480" w:firstLineChars="200"/>
        <w:contextualSpacing/>
        <w:rPr>
          <w:rFonts w:ascii="宋体" w:hAnsi="宋体" w:cs="宋体"/>
          <w:sz w:val="24"/>
        </w:rPr>
      </w:pPr>
      <w:r>
        <w:rPr>
          <w:rFonts w:hint="eastAsia" w:ascii="宋体" w:hAnsi="宋体" w:cs="宋体"/>
          <w:sz w:val="24"/>
        </w:rPr>
        <w:t>7.</w:t>
      </w:r>
      <w:r>
        <w:rPr>
          <w:rFonts w:hint="eastAsia"/>
        </w:rPr>
        <w:t xml:space="preserve"> </w:t>
      </w:r>
      <w:r>
        <w:rPr>
          <w:rFonts w:hint="eastAsia" w:ascii="宋体" w:hAnsi="宋体" w:cs="宋体"/>
          <w:sz w:val="24"/>
        </w:rPr>
        <w:t>GB4943.1-2022《音视频、信息技术和通信技术设备第1部分:安全要求》</w:t>
      </w:r>
    </w:p>
    <w:p>
      <w:pPr>
        <w:spacing w:line="360" w:lineRule="auto"/>
        <w:ind w:firstLine="480" w:firstLineChars="200"/>
        <w:contextualSpacing/>
        <w:rPr>
          <w:rFonts w:ascii="宋体" w:hAnsi="宋体" w:cs="宋体"/>
          <w:sz w:val="24"/>
        </w:rPr>
      </w:pPr>
      <w:r>
        <w:rPr>
          <w:rFonts w:hint="eastAsia" w:ascii="宋体" w:hAnsi="宋体" w:cs="宋体"/>
          <w:sz w:val="24"/>
        </w:rPr>
        <w:t>8.</w:t>
      </w:r>
      <w:r>
        <w:rPr>
          <w:rFonts w:hint="eastAsia"/>
        </w:rPr>
        <w:t xml:space="preserve"> </w:t>
      </w:r>
      <w:r>
        <w:rPr>
          <w:rFonts w:hint="eastAsia" w:ascii="宋体" w:hAnsi="宋体" w:cs="宋体"/>
          <w:sz w:val="24"/>
        </w:rPr>
        <w:t>GB 18580-2025《室内装饰装修材料 人造板及其制品甲醛释放限量》</w:t>
      </w:r>
    </w:p>
    <w:p>
      <w:pPr>
        <w:spacing w:line="360" w:lineRule="auto"/>
        <w:ind w:firstLine="480" w:firstLineChars="200"/>
        <w:contextualSpacing/>
        <w:rPr>
          <w:rFonts w:ascii="宋体" w:hAnsi="宋体" w:cs="宋体"/>
          <w:sz w:val="24"/>
        </w:rPr>
      </w:pPr>
      <w:r>
        <w:rPr>
          <w:rFonts w:hint="eastAsia" w:ascii="宋体" w:hAnsi="宋体" w:cs="宋体"/>
          <w:sz w:val="24"/>
        </w:rPr>
        <w:t>（2）其它标准</w:t>
      </w:r>
    </w:p>
    <w:p>
      <w:pPr>
        <w:spacing w:line="360" w:lineRule="auto"/>
        <w:ind w:firstLine="480" w:firstLineChars="200"/>
        <w:contextualSpacing/>
        <w:rPr>
          <w:rFonts w:ascii="宋体" w:hAnsi="宋体" w:cs="宋体"/>
          <w:sz w:val="24"/>
        </w:rPr>
      </w:pPr>
      <w:r>
        <w:rPr>
          <w:rFonts w:hint="eastAsia" w:ascii="宋体" w:hAnsi="宋体" w:cs="宋体"/>
          <w:sz w:val="24"/>
        </w:rPr>
        <w:t>1.教育部《教育信息化标准化工作管理办法》</w:t>
      </w:r>
    </w:p>
    <w:p>
      <w:pPr>
        <w:spacing w:line="360" w:lineRule="auto"/>
        <w:ind w:firstLine="480" w:firstLineChars="200"/>
        <w:contextualSpacing/>
        <w:rPr>
          <w:rFonts w:ascii="宋体" w:hAnsi="宋体" w:cs="宋体"/>
          <w:sz w:val="24"/>
        </w:rPr>
      </w:pPr>
      <w:r>
        <w:rPr>
          <w:rFonts w:hint="eastAsia" w:ascii="宋体" w:hAnsi="宋体" w:cs="宋体"/>
          <w:sz w:val="24"/>
        </w:rPr>
        <w:t>2.《多媒体教学环境工程建设规范》</w:t>
      </w:r>
    </w:p>
    <w:p>
      <w:pPr>
        <w:spacing w:line="360" w:lineRule="auto"/>
        <w:ind w:firstLine="480" w:firstLineChars="200"/>
        <w:contextualSpacing/>
        <w:rPr>
          <w:rFonts w:ascii="宋体" w:hAnsi="宋体" w:cs="宋体"/>
          <w:sz w:val="24"/>
        </w:rPr>
      </w:pPr>
      <w:r>
        <w:rPr>
          <w:rFonts w:hint="eastAsia" w:ascii="宋体" w:hAnsi="宋体" w:cs="宋体"/>
          <w:sz w:val="24"/>
        </w:rPr>
        <w:t>3.《国家重要考试考场手机信号屏蔽设备管理规定（试行）》</w:t>
      </w:r>
    </w:p>
    <w:p>
      <w:pPr>
        <w:spacing w:line="360" w:lineRule="auto"/>
        <w:ind w:firstLine="480" w:firstLineChars="200"/>
        <w:contextualSpacing/>
        <w:rPr>
          <w:rFonts w:ascii="宋体" w:hAnsi="宋体" w:cs="宋体"/>
          <w:sz w:val="24"/>
        </w:rPr>
      </w:pPr>
      <w:r>
        <w:rPr>
          <w:rFonts w:hint="eastAsia" w:ascii="宋体" w:hAnsi="宋体" w:cs="宋体"/>
          <w:sz w:val="24"/>
        </w:rPr>
        <w:t>4.北京市人民政府第318号令发布的《北京市无线电管理规定》</w:t>
      </w:r>
    </w:p>
    <w:p>
      <w:pPr>
        <w:pStyle w:val="4"/>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货物技术要求</w:t>
      </w:r>
    </w:p>
    <w:p>
      <w:pPr>
        <w:pStyle w:val="4"/>
        <w:jc w:val="left"/>
        <w:rPr>
          <w:rFonts w:ascii="宋体" w:hAnsi="宋体" w:eastAsia="宋体" w:cs="宋体"/>
          <w:spacing w:val="-1"/>
          <w:sz w:val="24"/>
          <w:szCs w:val="24"/>
        </w:rPr>
      </w:pPr>
      <w:r>
        <w:rPr>
          <w:rFonts w:hint="eastAsia" w:ascii="宋体" w:hAnsi="宋体" w:eastAsia="宋体"/>
          <w:sz w:val="24"/>
          <w:szCs w:val="24"/>
        </w:rPr>
        <w:t>2.1</w:t>
      </w:r>
      <w:r>
        <w:rPr>
          <w:rFonts w:hint="eastAsia" w:ascii="宋体" w:hAnsi="宋体" w:eastAsia="宋体" w:cs="宋体"/>
          <w:spacing w:val="-1"/>
          <w:sz w:val="24"/>
          <w:szCs w:val="24"/>
        </w:rPr>
        <w:t>采购标的需满足的性能、材料、结构、外观、质量、安全、技术规格、物理特性等要求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说明：一般指标项指未标注“#”、“★”号的条款。</w:t>
      </w:r>
    </w:p>
    <w:tbl>
      <w:tblPr>
        <w:tblStyle w:val="51"/>
        <w:tblW w:w="9581" w:type="dxa"/>
        <w:tblInd w:w="93" w:type="dxa"/>
        <w:tblLayout w:type="autofit"/>
        <w:tblCellMar>
          <w:top w:w="0" w:type="dxa"/>
          <w:left w:w="108" w:type="dxa"/>
          <w:bottom w:w="0" w:type="dxa"/>
          <w:right w:w="108" w:type="dxa"/>
        </w:tblCellMar>
      </w:tblPr>
      <w:tblGrid>
        <w:gridCol w:w="816"/>
        <w:gridCol w:w="916"/>
        <w:gridCol w:w="6916"/>
        <w:gridCol w:w="417"/>
        <w:gridCol w:w="516"/>
      </w:tblGrid>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项目明细名称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内容描述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数量</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实验科学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多媒体讲台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1.尺寸：≥1500*600*1012mm；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4.功能：（1）可倾斜方便操作。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半圆组合桌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1、单个面板：</w:t>
            </w:r>
            <w:r>
              <w:rPr>
                <w:rStyle w:val="526"/>
                <w:rFonts w:hint="default"/>
                <w:lang w:bidi="ar"/>
              </w:rPr>
              <w:br w:type="textWrapping"/>
            </w:r>
            <w:r>
              <w:rPr>
                <w:rStyle w:val="526"/>
                <w:rFonts w:hint="default"/>
                <w:lang w:bidi="ar"/>
              </w:rPr>
              <w:t>1.1 规格：≥W700mm*D1200mm，厚25mm（两张桌组合后尺寸</w:t>
            </w:r>
            <w:r>
              <w:rPr>
                <w:rStyle w:val="527"/>
                <w:lang w:bidi="ar"/>
              </w:rPr>
              <w:t>φ</w:t>
            </w:r>
            <w:r>
              <w:rPr>
                <w:rStyle w:val="526"/>
                <w:rFonts w:hint="default"/>
                <w:lang w:bidi="ar"/>
              </w:rPr>
              <w:t>1200mm*H750mm）</w:t>
            </w:r>
            <w:r>
              <w:rPr>
                <w:rStyle w:val="526"/>
                <w:rFonts w:hint="default"/>
                <w:lang w:bidi="ar"/>
              </w:rPr>
              <w:br w:type="textWrapping"/>
            </w:r>
            <w:r>
              <w:rPr>
                <w:rStyle w:val="526"/>
                <w:rFonts w:hint="default"/>
                <w:lang w:bidi="ar"/>
              </w:rPr>
              <w:t>1.2 主要材质：刨花板</w:t>
            </w:r>
            <w:r>
              <w:rPr>
                <w:rStyle w:val="526"/>
                <w:rFonts w:hint="default"/>
                <w:lang w:bidi="ar"/>
              </w:rPr>
              <w:br w:type="textWrapping"/>
            </w:r>
            <w:r>
              <w:rPr>
                <w:rStyle w:val="526"/>
                <w:rFonts w:hint="default"/>
                <w:lang w:bidi="ar"/>
              </w:rPr>
              <w:t>1.3 工艺：桌面采用E0级≥25mm厚饰面刨花板，不规则月牙形状设计。</w:t>
            </w:r>
            <w:r>
              <w:rPr>
                <w:rStyle w:val="526"/>
                <w:rFonts w:hint="default"/>
                <w:lang w:bidi="ar"/>
              </w:rPr>
              <w:br w:type="textWrapping"/>
            </w:r>
            <w:r>
              <w:rPr>
                <w:rStyle w:val="526"/>
                <w:rFonts w:hint="default"/>
                <w:lang w:bidi="ar"/>
              </w:rPr>
              <w:t>2、桌架（4号脚钢架带脚垫）：</w:t>
            </w:r>
            <w:r>
              <w:rPr>
                <w:rStyle w:val="526"/>
                <w:rFonts w:hint="default"/>
                <w:lang w:bidi="ar"/>
              </w:rPr>
              <w:br w:type="textWrapping"/>
            </w:r>
            <w:r>
              <w:rPr>
                <w:rStyle w:val="526"/>
                <w:rFonts w:hint="default"/>
                <w:lang w:bidi="ar"/>
              </w:rPr>
              <w:t>桌脚采用</w:t>
            </w:r>
            <w:r>
              <w:rPr>
                <w:rStyle w:val="527"/>
                <w:lang w:bidi="ar"/>
              </w:rPr>
              <w:t>φ</w:t>
            </w:r>
            <w:r>
              <w:rPr>
                <w:rStyle w:val="526"/>
                <w:rFonts w:hint="default"/>
                <w:lang w:bidi="ar"/>
              </w:rPr>
              <w:t>38mm×1.5mm钢制圆管，横梁采用40mm*20mm*1.5mm的矩形管，门字形桌架采用满焊焊接而成，构成整个桌架，稳定性好，牢固度强。采用固定调节脚垫，可实现高度调节以应对地面不平整。桌架高725mm（其中脚垫高15mm）。</w:t>
            </w:r>
            <w:r>
              <w:rPr>
                <w:rStyle w:val="526"/>
                <w:rFonts w:hint="default"/>
                <w:lang w:bidi="ar"/>
              </w:rPr>
              <w:br w:type="textWrapping"/>
            </w:r>
            <w:r>
              <w:rPr>
                <w:rStyle w:val="526"/>
                <w:rFonts w:hint="default"/>
                <w:lang w:bidi="ar"/>
              </w:rPr>
              <w:t>功能：</w:t>
            </w:r>
            <w:r>
              <w:rPr>
                <w:rStyle w:val="526"/>
                <w:rFonts w:hint="default"/>
                <w:lang w:bidi="ar"/>
              </w:rPr>
              <w:br w:type="textWrapping"/>
            </w:r>
            <w:r>
              <w:rPr>
                <w:rStyle w:val="526"/>
                <w:rFonts w:hint="default"/>
                <w:lang w:bidi="ar"/>
              </w:rPr>
              <w:t>①可2张合成圆形桌，也可作为单人课桌灵活使用；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1.椅面：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尺寸：≥W450*D439*H437mm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材质：采用PP+GF耐冲击材料改性一级新料整体注塑成型。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椅背左右两侧包覆，中心内凹；椅背上部设有异形孔，起到把手作用。椅面L形折角处有5条加强筋，保证椅面强度和一定的弹性。座板采用下凹式曲线弧度设计，座板底部前侧有两个U型卡槽，后侧有两个半圆形卡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2.椅架：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尺寸：弯管尺寸为34*16mm，壁厚≥1.8mm椭圆管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材质：采弓形椭圆管、方管和钢板满焊焊接，钢架表面经磷化处理，静电粉末喷涂。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功能：课椅钢架和椅面安装无需螺钉，只需通过卡槽卡入圆管，可快速顺畅秒装课椅。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材质：采用 TPU软胶脚垫。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功能：脚垫采用圆弧形设计，方便多角度着地；软胶材质能更好保护地面，防滑防刮伤地面。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1.尺寸：≥5000*450/600*2000mm；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2.材质：实木多层板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提供实木多层板依据为GB/T 35601-2024;GB/T 39600-2021;GB/T 9846-2015关于含水率5~16%；胶合强度≥0.70MPa；静曲强度顺纹≥24.0MPa、横纹≥18.0MPa；弹性模量顺纹≥5500MPa、横纹≥3500MPa；甲醛释放量≤0.050mg/m³；苯A≤2ug/m³；甲苯≤10ug/m³；二甲苯≤10ug/m³；总挥发性有机化合物（TVOC)A级≤100ug/m³的检测报告复印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3.工艺：采用国家标准E1级板，厚度≥18/25mm,基材采用优质实木多层板，PVC直封边制作。五金件采用液压铰链；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4.功能：置物抽屉方便物品分类收纳，采用玻璃柜门，收纳物件清晰明了，可调节层板，方便于各类大小物件的摆放。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声学实验箱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共鸣盒、音叉（128HZ）、音叉（256HZ）、塑料手鼓、小铜锣、小铜钹、鼓膜振动演示仪、泡沫小球、两用听诊器、琴码、橡皮筋、透明胶带、乒乓球、铝片琴、一次性纸杯、回形针、棉线、消音盒、消音棉、音乐盒（带发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共鸣盒：规格：≥110×110×38mm；材质：ABS；壁厚：≥2mm；工艺：塑料注塑成型；表面处理：咬花细纹；功能：为满足实验要求，设两个音叉安插口，演示声波共振现象，增加接触面积及稳定性；共鸣盒设有出音口，增加共振发音；盒体设计外接扩音口，直观呈现音色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音叉（128HZ）：规格：≥215mm×42mm×28mm；材质：铝合金；级别：医用；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音叉（256HZ）：规格：≥180mm×42mm×22mm；材质：铝合金；级别：医用；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塑料手鼓：由手鼓和小锤组成，手鼓规格：≥200mm×30mm，材质：ABS；工艺：塑料注塑成型；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功能描述：本实验箱要求实现如下实验：1、声音的产生实验；2、声音的变化实验；3、声音的传播实验；4、鼓膜振动模拟实验；5、噪音减少实验等。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光学实验箱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块、小孔板、F支架、凸透镜、光具座、F光源、成像屏、水槽、茶色屏、刻度板、激光源、曲面镜、三棱镜（砖）、玻璃砖、凸透镜（砖）、凹透镜（砖）、凹透镜、电池盒、电影原理纸带、导线、蜡烛、潜望镜、成像器、三棱镜、固定圆盘、鸟进笼翻板、旋转调速底座、七色盘、七色盘配件、光栅板、手电筒、面粉、万花筒套材、皮尺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凸透镜：规格：≥36mm×94mm×12mm，镜框材质：ABS工艺：模具注塑成型，表面处理：高光；支架为金属材质；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F支架：规格：≥64mm×48mm×12mm，材质：ABS工艺：模具注塑成型，表面处理：咬花细纹；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光具座：由两侧光具座支撑架和导轨组成。规格：≥500×122×100mm，支撑架材质：ABS工艺：模具注塑成型，表面处理：高光；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F光源：规格：≥110mm×60mm×20mm，材质：ABS工艺：模具注塑成型，表面处理：咬花细纹,；F字由18个发光二极管组成，实验效果好；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激光源：规格：≥90mm×60mm×26mm，材质：ABS工艺：模具注塑成型，表面处理：咬花细纹。内置2节7号干电池；三路线激光，每路激光都可以单独调节角度，单独控制；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旋转调速底座：规格：≥110mm×110mm×38mm，材质：ABS工艺：模具注塑成型，表面处理：咬花细纹。调速底座模块支持速度可调。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功能描述：本实验箱要求实现如下实验：1、光的传播实验；2、光的折射、散射、色散、反射实验；3、显微镜原理实验；4、幻灯机实验；5、视觉残留装置等。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电学实验箱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橡胶棒、玻璃棒、泡沫小球、丝绸、毛皮、电珠模块、电池盒模块、红色双头U形导线、黑色双头U形导线、定值电阻模块、电路暗盒模块、5号电池、单刀单掷开关、单刀双掷开关、导电材质测试模块、金属片（铁板）、金属片（铝板）、金属片（铜板）、木片（木板）、塑料条（亚克力）、2mm滚针、不锈钢指南针、滑动变阻器、小学指针式电压表、小学指针式电流表、灯座、小电珠、人体导电、储物盒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刀单掷开关：规格：≥81mm×40mm×27mm；材质：ABS；手柄注塑一体成型；表面处理：咬花细纹；金属件定制冲压模具一体成型，表面电镀处理，可以改善材料的外观、耐腐蚀性、硬度和耐磨性，提高导电性能；控制电路的接通和保护电路；外形圆弧化一体设计，握感舒适；连通设计依靠弹性形变，疲劳强度控制范围内实现轻松的闭合和开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刀双掷开关：规格：≥102mm×40mm×27mm；材质：ABS；手柄注塑一体成型；表面处理：咬花细纹；金属件定制冲压模具一体成型，表面电镀处理，可以改善材料的外观、耐腐蚀性、硬度和耐磨性，提高导电性能；控制电路的接通和保护电路；连通设计依靠弹性形变，疲劳强度控制范围内实现轻松的闭合和开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定值电阻模块：规格：≥76mm×71mm×21mm；材质：ABS；验证闭合电路中，电流生热；外形圆弧化一体设计，握感舒适；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珠模块：规格：≥76mm×40mm×20mm；材质：ABS；连接电路，验证基本电路；外形圆弧化一体设计，握感舒适；电珠盒操作简便，可分别完成电路的串联和并联电路，也可搭建复杂电路，在不拆卸的情况下；可实现多样的串并电路或复杂电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电池盒模块：规格：≥82mm×40mm×28mm；材质：ABS；可实现多个电池盒串联或并联，组装便捷，可以直观的学习电路原理；外形圆弧化一体设计，握感舒适；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人体导电：规格：≥90×90×25mm；材质主体为ABS，模块里有电子器件，人体导电模块工作时有人体图案，主要用于探究人体导电系列实验。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小学指针式电压表：规格：≥116×102×44mm，ABS材质，折叠式，人体工程学设计，方便学生观察和考评系统AI智能识别，测量范围：-1V—0—3V，-5V—0—15V，测量精度：2.5级，用于测量直流电路中的电压；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小学指针式电流表：规格：≥116×102×44mm，ABS材质，折叠式，人体工程学设计，方便学生观察和考评系统AI智能识别，测量范围：-0.2A—0—0.6A，-1A—3A，测量精度：2.5级，用于测量直流电路中的电流。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功能描述：本实验箱要求实现如下实验：1、摩擦起电实验；2、基本电路实验；3、电流的热效应磁效应实验；4、人体导电实验；5、电路综合实验盒的探究实验等。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磁学实验箱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实验箱规格：</w:t>
            </w:r>
            <w:r>
              <w:rPr>
                <w:rStyle w:val="526"/>
                <w:rFonts w:hint="default"/>
                <w:lang w:bidi="ar"/>
              </w:rPr>
              <w:br w:type="textWrapping"/>
            </w:r>
            <w:r>
              <w:rPr>
                <w:rStyle w:val="526"/>
                <w:rFonts w:hint="default"/>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Style w:val="526"/>
                <w:rFonts w:hint="default"/>
                <w:lang w:bidi="ar"/>
              </w:rPr>
              <w:br w:type="textWrapping"/>
            </w:r>
            <w:r>
              <w:rPr>
                <w:rStyle w:val="526"/>
                <w:rFonts w:hint="default"/>
                <w:lang w:bidi="ar"/>
              </w:rPr>
              <w:t>箱体内部结构：箱体背部为蜂巢式加强筋，符合加强筋设计原理，增强产品的结构性。珍珠棉隔离填充材料，每种实验器材有相对应插槽，每种实验器材独立内嵌式放置，便于使用后仪器归位还原；</w:t>
            </w:r>
            <w:r>
              <w:rPr>
                <w:rStyle w:val="526"/>
                <w:rFonts w:hint="default"/>
                <w:lang w:bidi="ar"/>
              </w:rPr>
              <w:br w:type="textWrapping"/>
            </w:r>
            <w:r>
              <w:rPr>
                <w:rStyle w:val="526"/>
                <w:rFonts w:hint="default"/>
                <w:lang w:bidi="ar"/>
              </w:rPr>
              <w:t>材质：ABS阻燃性材料一次成型，磨抗压，抗氧化功能强，长期使用也不会产生开裂现象；最大承重50公斤；</w:t>
            </w:r>
            <w:r>
              <w:rPr>
                <w:rStyle w:val="526"/>
                <w:rFonts w:hint="default"/>
                <w:lang w:bidi="ar"/>
              </w:rPr>
              <w:br w:type="textWrapping"/>
            </w:r>
            <w:r>
              <w:rPr>
                <w:rStyle w:val="526"/>
                <w:rFonts w:hint="default"/>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Style w:val="526"/>
                <w:rFonts w:hint="default"/>
                <w:lang w:bidi="ar"/>
              </w:rPr>
              <w:br w:type="textWrapping"/>
            </w:r>
            <w:r>
              <w:rPr>
                <w:rStyle w:val="526"/>
                <w:rFonts w:hint="default"/>
                <w:lang w:bidi="ar"/>
              </w:rPr>
              <w:t>主要配置及用材：</w:t>
            </w:r>
            <w:r>
              <w:rPr>
                <w:rStyle w:val="526"/>
                <w:rFonts w:hint="default"/>
                <w:lang w:bidi="ar"/>
              </w:rPr>
              <w:br w:type="textWrapping"/>
            </w:r>
            <w:r>
              <w:rPr>
                <w:rStyle w:val="526"/>
                <w:rFonts w:hint="default"/>
                <w:lang w:bidi="ar"/>
              </w:rPr>
              <w:t>回形针、圆环磁铁、条形磁铁、磁力小车、U型磁铁、塑料板、磁悬浮套装、360°旋转磁铁套件、滚针、翼型磁针、不锈钢指南针、指南针、磁力线模拟装置、磁饼、磁饼支架、塑料小车、塑料卡通娃娃、迷宫塑料板、手持磁铁等。</w:t>
            </w:r>
            <w:r>
              <w:rPr>
                <w:rStyle w:val="526"/>
                <w:rFonts w:hint="default"/>
                <w:lang w:bidi="ar"/>
              </w:rPr>
              <w:br w:type="textWrapping"/>
            </w:r>
            <w:r>
              <w:rPr>
                <w:rStyle w:val="526"/>
                <w:rFonts w:hint="default"/>
                <w:lang w:bidi="ar"/>
              </w:rPr>
              <w:t>核心产品：</w:t>
            </w:r>
            <w:r>
              <w:rPr>
                <w:rStyle w:val="526"/>
                <w:rFonts w:hint="default"/>
                <w:lang w:bidi="ar"/>
              </w:rPr>
              <w:br w:type="textWrapping"/>
            </w:r>
            <w:r>
              <w:rPr>
                <w:rStyle w:val="526"/>
                <w:rFonts w:hint="default"/>
                <w:lang w:bidi="ar"/>
              </w:rPr>
              <w:t>磁饼：规格：≥</w:t>
            </w:r>
            <w:r>
              <w:rPr>
                <w:rStyle w:val="527"/>
                <w:lang w:bidi="ar"/>
              </w:rPr>
              <w:t>φ</w:t>
            </w:r>
            <w:r>
              <w:rPr>
                <w:rStyle w:val="526"/>
                <w:rFonts w:hint="default"/>
                <w:lang w:bidi="ar"/>
              </w:rPr>
              <w:t>35mm×10mm；工艺：塑料注塑成型；表面处理：高光；材质：ABS；双色拼接成型（红色N极，蓝色S极）；</w:t>
            </w:r>
            <w:r>
              <w:rPr>
                <w:rStyle w:val="526"/>
                <w:rFonts w:hint="default"/>
                <w:lang w:bidi="ar"/>
              </w:rPr>
              <w:br w:type="textWrapping"/>
            </w:r>
            <w:r>
              <w:rPr>
                <w:rStyle w:val="526"/>
                <w:rFonts w:hint="default"/>
                <w:lang w:bidi="ar"/>
              </w:rPr>
              <w:t>磁饼支架：规格：≥44mm×40mm×108mm；工艺：塑料注塑成型；表面处理：高光；材质：ABS；</w:t>
            </w:r>
            <w:r>
              <w:rPr>
                <w:rStyle w:val="526"/>
                <w:rFonts w:hint="default"/>
                <w:lang w:bidi="ar"/>
              </w:rPr>
              <w:br w:type="textWrapping"/>
            </w:r>
            <w:r>
              <w:rPr>
                <w:rStyle w:val="526"/>
                <w:rFonts w:hint="default"/>
                <w:lang w:bidi="ar"/>
              </w:rPr>
              <w:t>塑料小车：规格：≥104mm×65mm×39mm；工艺：塑料注塑成型；表面处理：高光；材质：ABS；</w:t>
            </w:r>
            <w:r>
              <w:rPr>
                <w:rStyle w:val="526"/>
                <w:rFonts w:hint="default"/>
                <w:lang w:bidi="ar"/>
              </w:rPr>
              <w:br w:type="textWrapping"/>
            </w:r>
            <w:r>
              <w:rPr>
                <w:rStyle w:val="526"/>
                <w:rFonts w:hint="default"/>
                <w:lang w:bidi="ar"/>
              </w:rPr>
              <w:t>塑料卡通娃娃：规格：≥30mm×30mm×83mm；工艺：塑料注塑成型；表面处理：高光；材质：ABS，内置磁铁；</w:t>
            </w:r>
            <w:r>
              <w:rPr>
                <w:rStyle w:val="526"/>
                <w:rFonts w:hint="default"/>
                <w:lang w:bidi="ar"/>
              </w:rPr>
              <w:br w:type="textWrapping"/>
            </w:r>
            <w:r>
              <w:rPr>
                <w:rStyle w:val="526"/>
                <w:rFonts w:hint="default"/>
                <w:lang w:bidi="ar"/>
              </w:rPr>
              <w:t>迷宫塑料板：规格：≥293mm×228mm×12mm；工艺：塑料注塑成型；表面处理：高光；材质：ABS；</w:t>
            </w:r>
            <w:r>
              <w:rPr>
                <w:rStyle w:val="526"/>
                <w:rFonts w:hint="default"/>
                <w:lang w:bidi="ar"/>
              </w:rPr>
              <w:br w:type="textWrapping"/>
            </w:r>
            <w:r>
              <w:rPr>
                <w:rStyle w:val="526"/>
                <w:rFonts w:hint="default"/>
                <w:lang w:bidi="ar"/>
              </w:rPr>
              <w:t>手持磁铁：规格：≥210mm×175mm×25mm；工艺：塑料注塑成型；表面处理：高光；材质：ABS，内置磁铁；</w:t>
            </w:r>
            <w:r>
              <w:rPr>
                <w:rStyle w:val="526"/>
                <w:rFonts w:hint="default"/>
                <w:lang w:bidi="ar"/>
              </w:rPr>
              <w:br w:type="textWrapping"/>
            </w:r>
            <w:r>
              <w:rPr>
                <w:rStyle w:val="526"/>
                <w:rFonts w:hint="default"/>
                <w:lang w:bidi="ar"/>
              </w:rPr>
              <w:t>功能描述：要求实现如下实验：1、磁铁的性质实验；2、磁力线实验；3、指南针原理等。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电与磁实验箱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双头U形导线、电池盒模块、单刀单掷开关、灯座、小电珠、小学指针式电压表、小学指针式电流表、电动机模块、电磁铁、不锈钢棒、单芯导线、手摇发电机模块、5号电池、电磁秋千套装、不锈钢指南针等。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刀单掷开关：≥81mm×40mm×27mm；材质：ABS；手柄注塑一体成型；表面处理：咬花细纹；金属件定制冲压模具一体成型，表面电镀处理，可以改善材料的外观、耐腐蚀性、硬度和耐磨性，提高导电性能；控制电路的接通和保护电路；连通设计依靠弹性形变，疲劳强度控制范围内实现轻松的闭合和开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电池盒模块：规格：≥82mm×40mm×28mm；材质：ABS；可实现多个电池盒串联或并联，组装便捷，可以直观的学习电路原理；外形圆弧化一体设计，握感舒适；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电动机模块：规格：≥76mm×60mm×44mm；材质：ABS；可直观的观察到电动机的结构原理，学生可以自己动手拆装模型，组装便捷，可以直观的学习电路原理；外形圆弧化一体设计，握感舒适；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手摇发电机模块：规格：≥193mm×65mm×83mm；材质：ABS；结构原理采用皮带传动，发电效率高，可通过接线柱口外接模块，测量发电量；外形圆弧化一体设计，握感舒适；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小学指针式电压表：规格：≥116×102×44mm，ABS材质，折叠式，人体工程学设计，方便学生观察和考评系统AI智能识别，测量范围：-1V—0—3V，-5V—0—15V，测量精度：2.5级，用于测量直流电路中的电压；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小学指针式电流表：规格：≥116×102×44mm，ABS材质，折叠式，人体工程学设计，方便学生观察和考评系统AI智能识别，测量范围：-0.2A—0—0.6A，-1A—3A，测量精度：2.5级，用于测量直流电路中的电流。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功能描述：要求实现如下实验：1、电磁转换实验；2、机械能发电实验；3、电动机构造等。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力与机械（一）实验箱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实验箱规格：</w:t>
            </w:r>
            <w:r>
              <w:rPr>
                <w:rStyle w:val="526"/>
                <w:rFonts w:hint="default"/>
                <w:lang w:bidi="ar"/>
              </w:rPr>
              <w:br w:type="textWrapping"/>
            </w:r>
            <w:r>
              <w:rPr>
                <w:rStyle w:val="526"/>
                <w:rFonts w:hint="default"/>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Style w:val="526"/>
                <w:rFonts w:hint="default"/>
                <w:lang w:bidi="ar"/>
              </w:rPr>
              <w:br w:type="textWrapping"/>
            </w:r>
            <w:r>
              <w:rPr>
                <w:rStyle w:val="526"/>
                <w:rFonts w:hint="default"/>
                <w:lang w:bidi="ar"/>
              </w:rPr>
              <w:t>箱体内部结构：箱体背部为蜂巢式加强筋，符合加强筋设计原理，增强产品的结构性。珍珠棉隔离填充材料，每种实验器材有相对应插槽，每种实验器材独立内嵌式放置，便于使用后仪器归位还原；</w:t>
            </w:r>
            <w:r>
              <w:rPr>
                <w:rStyle w:val="526"/>
                <w:rFonts w:hint="default"/>
                <w:lang w:bidi="ar"/>
              </w:rPr>
              <w:br w:type="textWrapping"/>
            </w:r>
            <w:r>
              <w:rPr>
                <w:rStyle w:val="526"/>
                <w:rFonts w:hint="default"/>
                <w:lang w:bidi="ar"/>
              </w:rPr>
              <w:t>材质：ABS阻燃性材料一次成型，磨抗压，抗氧化功能强，长期使用也不会产生开裂现象；最大承重50公斤；</w:t>
            </w:r>
            <w:r>
              <w:rPr>
                <w:rStyle w:val="526"/>
                <w:rFonts w:hint="default"/>
                <w:lang w:bidi="ar"/>
              </w:rPr>
              <w:br w:type="textWrapping"/>
            </w:r>
            <w:r>
              <w:rPr>
                <w:rStyle w:val="526"/>
                <w:rFonts w:hint="default"/>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Style w:val="526"/>
                <w:rFonts w:hint="default"/>
                <w:lang w:bidi="ar"/>
              </w:rPr>
              <w:br w:type="textWrapping"/>
            </w:r>
            <w:r>
              <w:rPr>
                <w:rStyle w:val="526"/>
                <w:rFonts w:hint="default"/>
                <w:lang w:bidi="ar"/>
              </w:rPr>
              <w:t>主要配置及用材：</w:t>
            </w:r>
            <w:r>
              <w:rPr>
                <w:rStyle w:val="526"/>
                <w:rFonts w:hint="default"/>
                <w:lang w:bidi="ar"/>
              </w:rPr>
              <w:br w:type="textWrapping"/>
            </w:r>
            <w:r>
              <w:rPr>
                <w:rStyle w:val="526"/>
                <w:rFonts w:hint="default"/>
                <w:lang w:bidi="ar"/>
              </w:rPr>
              <w:t>轮轴、摆动刻度盘、棉线、圆筒测力计2.5N、圆筒测力计1N、钩码、压强小桌、海绵块、多功能小车、不干胶绒布、天平平衡尺、天平底座、金属立杆、金属立杆连接件、天平旋钮、天平立杆、平衡螺母、长销、螺丝、单滑轮、双滑轮、斜面支架、斜面面板、天平托盘、托盘挂钩、S钩等。</w:t>
            </w:r>
            <w:r>
              <w:rPr>
                <w:rStyle w:val="526"/>
                <w:rFonts w:hint="default"/>
                <w:lang w:bidi="ar"/>
              </w:rPr>
              <w:br w:type="textWrapping"/>
            </w:r>
            <w:r>
              <w:rPr>
                <w:rStyle w:val="526"/>
                <w:rFonts w:hint="default"/>
                <w:lang w:bidi="ar"/>
              </w:rPr>
              <w:t>核心产品：</w:t>
            </w:r>
            <w:r>
              <w:rPr>
                <w:rStyle w:val="526"/>
                <w:rFonts w:hint="default"/>
                <w:lang w:bidi="ar"/>
              </w:rPr>
              <w:br w:type="textWrapping"/>
            </w:r>
            <w:r>
              <w:rPr>
                <w:rStyle w:val="526"/>
                <w:rFonts w:hint="default"/>
                <w:lang w:bidi="ar"/>
              </w:rPr>
              <w:t>轮轴：规格：≥</w:t>
            </w:r>
            <w:r>
              <w:rPr>
                <w:rStyle w:val="527"/>
                <w:lang w:bidi="ar"/>
              </w:rPr>
              <w:t>φ</w:t>
            </w:r>
            <w:r>
              <w:rPr>
                <w:rStyle w:val="526"/>
                <w:rFonts w:hint="default"/>
                <w:lang w:bidi="ar"/>
              </w:rPr>
              <w:t>64mm×24mm，材质：ABS工艺：模具注塑成型，表面处理：咬花细纹；</w:t>
            </w:r>
            <w:r>
              <w:rPr>
                <w:rStyle w:val="526"/>
                <w:rFonts w:hint="default"/>
                <w:lang w:bidi="ar"/>
              </w:rPr>
              <w:br w:type="textWrapping"/>
            </w:r>
            <w:r>
              <w:rPr>
                <w:rStyle w:val="526"/>
                <w:rFonts w:hint="default"/>
                <w:lang w:bidi="ar"/>
              </w:rPr>
              <w:t>压强小桌：规格：≥90mm×90mm×62mm；</w:t>
            </w:r>
            <w:r>
              <w:rPr>
                <w:rStyle w:val="526"/>
                <w:rFonts w:hint="default"/>
                <w:lang w:bidi="ar"/>
              </w:rPr>
              <w:br w:type="textWrapping"/>
            </w:r>
            <w:r>
              <w:rPr>
                <w:rStyle w:val="526"/>
                <w:rFonts w:hint="default"/>
                <w:lang w:bidi="ar"/>
              </w:rPr>
              <w:t>天平平衡尺：规格：≥340mm×25mm×15mm，材质：ABS工艺：模具注塑成型，表面处理：咬花细纹；两端调节螺柱须采用一体注塑形式；</w:t>
            </w:r>
            <w:r>
              <w:rPr>
                <w:rStyle w:val="526"/>
                <w:rFonts w:hint="default"/>
                <w:lang w:bidi="ar"/>
              </w:rPr>
              <w:br w:type="textWrapping"/>
            </w:r>
            <w:r>
              <w:rPr>
                <w:rStyle w:val="526"/>
                <w:rFonts w:hint="default"/>
                <w:lang w:bidi="ar"/>
              </w:rPr>
              <w:t>天平底座：规格：≥</w:t>
            </w:r>
            <w:r>
              <w:rPr>
                <w:rStyle w:val="527"/>
                <w:lang w:bidi="ar"/>
              </w:rPr>
              <w:t>φ</w:t>
            </w:r>
            <w:r>
              <w:rPr>
                <w:rStyle w:val="526"/>
                <w:rFonts w:hint="default"/>
                <w:lang w:bidi="ar"/>
              </w:rPr>
              <w:t>119mm×13mm，材质：ABS工艺：模具注塑成型，表面处理：咬花细纹；</w:t>
            </w:r>
            <w:r>
              <w:rPr>
                <w:rStyle w:val="526"/>
                <w:rFonts w:hint="default"/>
                <w:lang w:bidi="ar"/>
              </w:rPr>
              <w:br w:type="textWrapping"/>
            </w:r>
            <w:r>
              <w:rPr>
                <w:rStyle w:val="526"/>
                <w:rFonts w:hint="default"/>
                <w:lang w:bidi="ar"/>
              </w:rPr>
              <w:t>金属立杆：规格：≥</w:t>
            </w:r>
            <w:r>
              <w:rPr>
                <w:rStyle w:val="527"/>
                <w:lang w:bidi="ar"/>
              </w:rPr>
              <w:t>φ</w:t>
            </w:r>
            <w:r>
              <w:rPr>
                <w:rStyle w:val="526"/>
                <w:rFonts w:hint="default"/>
                <w:lang w:bidi="ar"/>
              </w:rPr>
              <w:t>10mm×230mm，材质：铝合金；表面处理：阳极氧化黑色；</w:t>
            </w:r>
            <w:r>
              <w:rPr>
                <w:rStyle w:val="526"/>
                <w:rFonts w:hint="default"/>
                <w:lang w:bidi="ar"/>
              </w:rPr>
              <w:br w:type="textWrapping"/>
            </w:r>
            <w:r>
              <w:rPr>
                <w:rStyle w:val="526"/>
                <w:rFonts w:hint="default"/>
                <w:lang w:bidi="ar"/>
              </w:rPr>
              <w:t>斜面支架：规格：≥120mm×25mm×5mm，材质：ABS工艺：模具注塑成型，表面处理：咬花细纹；</w:t>
            </w:r>
            <w:r>
              <w:rPr>
                <w:rStyle w:val="526"/>
                <w:rFonts w:hint="default"/>
                <w:lang w:bidi="ar"/>
              </w:rPr>
              <w:br w:type="textWrapping"/>
            </w:r>
            <w:r>
              <w:rPr>
                <w:rStyle w:val="526"/>
                <w:rFonts w:hint="default"/>
                <w:lang w:bidi="ar"/>
              </w:rPr>
              <w:t>斜面面板：规格：≥232mm×100mm×6mm，材质：ABS工艺：模具注塑成型，表面处理：咬花细纹；</w:t>
            </w:r>
            <w:r>
              <w:rPr>
                <w:rStyle w:val="526"/>
                <w:rFonts w:hint="default"/>
                <w:lang w:bidi="ar"/>
              </w:rPr>
              <w:br w:type="textWrapping"/>
            </w:r>
            <w:r>
              <w:rPr>
                <w:rStyle w:val="526"/>
                <w:rFonts w:hint="default"/>
                <w:lang w:bidi="ar"/>
              </w:rPr>
              <w:t>天平托盘：规格：≥</w:t>
            </w:r>
            <w:r>
              <w:rPr>
                <w:rStyle w:val="527"/>
                <w:lang w:bidi="ar"/>
              </w:rPr>
              <w:t>φ</w:t>
            </w:r>
            <w:r>
              <w:rPr>
                <w:rStyle w:val="526"/>
                <w:rFonts w:hint="default"/>
                <w:lang w:bidi="ar"/>
              </w:rPr>
              <w:t>109mm×22mm，材质：ABS工艺：模具注塑成型，表面处理：咬花细纹；</w:t>
            </w:r>
            <w:r>
              <w:rPr>
                <w:rStyle w:val="526"/>
                <w:rFonts w:hint="default"/>
                <w:lang w:bidi="ar"/>
              </w:rPr>
              <w:br w:type="textWrapping"/>
            </w:r>
            <w:r>
              <w:rPr>
                <w:rStyle w:val="526"/>
                <w:rFonts w:hint="default"/>
                <w:lang w:bidi="ar"/>
              </w:rPr>
              <w:t>功能描述：要求实现如下实验：1、简易天平实验；2、摆的探究；3、摩擦力实验；4、杠杆、轮轴、滑轮、斜面等。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力与机械（二）实验箱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实验箱规格：</w:t>
            </w:r>
            <w:r>
              <w:rPr>
                <w:rStyle w:val="526"/>
                <w:rFonts w:hint="default"/>
                <w:lang w:bidi="ar"/>
              </w:rPr>
              <w:br w:type="textWrapping"/>
            </w:r>
            <w:r>
              <w:rPr>
                <w:rStyle w:val="526"/>
                <w:rFonts w:hint="default"/>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Style w:val="526"/>
                <w:rFonts w:hint="default"/>
                <w:lang w:bidi="ar"/>
              </w:rPr>
              <w:br w:type="textWrapping"/>
            </w:r>
            <w:r>
              <w:rPr>
                <w:rStyle w:val="526"/>
                <w:rFonts w:hint="default"/>
                <w:lang w:bidi="ar"/>
              </w:rPr>
              <w:t>箱体内部结构：箱体背部为蜂巢式加强筋，符合加强筋设计原理，增强产品的结构性。珍珠棉隔离填充材料，每种实验器材有相对应插槽，每种实验器材独立内嵌式放置，便于使用后仪器归位还原；</w:t>
            </w:r>
            <w:r>
              <w:rPr>
                <w:rStyle w:val="526"/>
                <w:rFonts w:hint="default"/>
                <w:lang w:bidi="ar"/>
              </w:rPr>
              <w:br w:type="textWrapping"/>
            </w:r>
            <w:r>
              <w:rPr>
                <w:rStyle w:val="526"/>
                <w:rFonts w:hint="default"/>
                <w:lang w:bidi="ar"/>
              </w:rPr>
              <w:t>材质：ABS阻燃性材料一次成型，磨抗压，抗氧化功能强，长期使用也不会产生开裂现象；最大承重50公斤；</w:t>
            </w:r>
            <w:r>
              <w:rPr>
                <w:rStyle w:val="526"/>
                <w:rFonts w:hint="default"/>
                <w:lang w:bidi="ar"/>
              </w:rPr>
              <w:br w:type="textWrapping"/>
            </w:r>
            <w:r>
              <w:rPr>
                <w:rStyle w:val="526"/>
                <w:rFonts w:hint="default"/>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Style w:val="526"/>
                <w:rFonts w:hint="default"/>
                <w:lang w:bidi="ar"/>
              </w:rPr>
              <w:br w:type="textWrapping"/>
            </w:r>
            <w:r>
              <w:rPr>
                <w:rStyle w:val="526"/>
                <w:rFonts w:hint="default"/>
                <w:lang w:bidi="ar"/>
              </w:rPr>
              <w:t>主要配置及用材：</w:t>
            </w:r>
            <w:r>
              <w:rPr>
                <w:rStyle w:val="526"/>
                <w:rFonts w:hint="default"/>
                <w:lang w:bidi="ar"/>
              </w:rPr>
              <w:br w:type="textWrapping"/>
            </w:r>
            <w:r>
              <w:rPr>
                <w:rStyle w:val="526"/>
                <w:rFonts w:hint="default"/>
                <w:lang w:bidi="ar"/>
              </w:rPr>
              <w:t>多功能小车、金属立杆、天平立杆、长销、小滑轮、棉线、钩码、橡皮筋、空气压缩小车、弹簧、变径喷嘴、气球、两用打气筒、圆桶、圆桶上盖、旋转组件、反冲旋转件、EVA 胶带、颜料、漏斗、不倒翁底座、不倒翁中心螺柱、不倒翁调节螺母、帆船、舵板、水槽等。</w:t>
            </w:r>
            <w:r>
              <w:rPr>
                <w:rStyle w:val="526"/>
                <w:rFonts w:hint="default"/>
                <w:lang w:bidi="ar"/>
              </w:rPr>
              <w:br w:type="textWrapping"/>
            </w:r>
            <w:r>
              <w:rPr>
                <w:rStyle w:val="526"/>
                <w:rFonts w:hint="default"/>
                <w:lang w:bidi="ar"/>
              </w:rPr>
              <w:t>核心产品：</w:t>
            </w:r>
            <w:r>
              <w:rPr>
                <w:rStyle w:val="526"/>
                <w:rFonts w:hint="default"/>
                <w:lang w:bidi="ar"/>
              </w:rPr>
              <w:br w:type="textWrapping"/>
            </w:r>
            <w:r>
              <w:rPr>
                <w:rStyle w:val="526"/>
                <w:rFonts w:hint="default"/>
                <w:lang w:bidi="ar"/>
              </w:rPr>
              <w:t>多功能小车：规格：≥135×85×42mm；材质：ABS；注塑一体成型；</w:t>
            </w:r>
            <w:r>
              <w:rPr>
                <w:rStyle w:val="526"/>
                <w:rFonts w:hint="default"/>
                <w:lang w:bidi="ar"/>
              </w:rPr>
              <w:br w:type="textWrapping"/>
            </w:r>
            <w:r>
              <w:rPr>
                <w:rStyle w:val="526"/>
                <w:rFonts w:hint="default"/>
                <w:lang w:bidi="ar"/>
              </w:rPr>
              <w:t>不倒翁：由不倒翁底座、不倒翁底座透明上盖、不倒翁中心螺柱、不倒翁调节螺母组成。规格：≥</w:t>
            </w:r>
            <w:r>
              <w:rPr>
                <w:rStyle w:val="527"/>
                <w:lang w:bidi="ar"/>
              </w:rPr>
              <w:t>φ</w:t>
            </w:r>
            <w:r>
              <w:rPr>
                <w:rStyle w:val="526"/>
                <w:rFonts w:hint="default"/>
                <w:lang w:bidi="ar"/>
              </w:rPr>
              <w:t>80mm×105mm；工艺：塑料注塑成型，材质：PC透明材质；不倒翁分上盖和底座，上盖规格：≥</w:t>
            </w:r>
            <w:r>
              <w:rPr>
                <w:rStyle w:val="527"/>
                <w:lang w:bidi="ar"/>
              </w:rPr>
              <w:t>φ</w:t>
            </w:r>
            <w:r>
              <w:rPr>
                <w:rStyle w:val="526"/>
                <w:rFonts w:hint="default"/>
                <w:lang w:bidi="ar"/>
              </w:rPr>
              <w:t>80mm×65mm,，底座为半圆设计，内置调节金属块及不锈钢金属螺丝杆。根据配重块的调配高度，观察不倒翁的“倾倒”现象；外形设计符合人机工程学，方便与美观；</w:t>
            </w:r>
            <w:r>
              <w:rPr>
                <w:rStyle w:val="526"/>
                <w:rFonts w:hint="default"/>
                <w:lang w:bidi="ar"/>
              </w:rPr>
              <w:br w:type="textWrapping"/>
            </w:r>
            <w:r>
              <w:rPr>
                <w:rStyle w:val="526"/>
                <w:rFonts w:hint="default"/>
                <w:lang w:bidi="ar"/>
              </w:rPr>
              <w:t>功能描述：要求实现如下实验：1.动力小车实验；2.不倒翁的稳定性探究实验；3.空气与水的反冲实验；4.小帆船稳定性实验等。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热学实验箱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热传导装置、烧杯、铁架台、升降块、万能夹、铁圈、温差发电仪、液体对流管、酒精灯、颜料、热膨胀仪、锥形瓶、烧杯、石棉网、气球、玻璃管、橡胶塞、橡皮筋、沙屋、玻璃表面皿、橡皮泥、温度计、线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热传导装置：规格：≥143mm×70mm×14mm，五种材质导热效果演示，铜、铝、锌、锌铜合金、铁。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温差发电仪：规格：≥110mm×110mm×38mm，材质：ABS工艺：模具注塑成型，表面处理：咬花细纹。通过水的温差来带动小风扇转动。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酒精灯：规格：≥200ml插口；材质：不锈钢；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液体对流管：规格：≥145mm×125mm×12mm，材质：玻璃材质；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玻璃表面皿：规格：≥φ90mm，厚度≥2mm。边沿磨平、倒角的圆弧形玻璃皿。材质：普通玻璃。工艺：经过高温融化塑形而成；功能描述：用硬料玻璃生产，适用于化验室做定量分析。在生物化学分析上用两片表面皿合成培养室，做悬浮滴培养试验用。气室反应观察白色沉淀、微量溶解、蒸发等。用窗玻璃生产的表面皿，仅能用于烧杯、蒸发皿、结晶皿、漏斗等仪器的盖子，防止灰尘落入，保持操作时物质的纯洁。在作升华操作时用以防止物质的异化，使异化的物质停留在表面皿的底部。对有腐蚀性物质称量时，可代替天平的秤盘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功能描述：本实验箱要求实现如下实验：1、热传导实验；2、铜球热胀冷缩实验；3、模拟大自然水循环实验；4、热对流实验等。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兴趣科学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多媒体讲台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1.尺寸：≥1500*600*1012mm；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4.功能：（1）可倾斜方便操作。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三角组合桌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1.尺寸：≥576*576*650mm；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2.桌面：材质采用抗倍特一体成型。耐80度以上高温。防水：浸水24小时后的膨胀指数不多于0.1mm，面板四周采CNC修边，四周倒角，圆润光滑无任何毛边。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（1）.材质及形状：桌腿圆型钢管。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（2）.尺寸：桌腿尺寸：ф42-15ｘ640ｘ1.2ｍｍ。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（3）.表面涂装：高温粉体烤漆。长时间使用也不会产生表面漆剥落现象。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（1）.材质：采用优质白色塑料+铁镀蓝锌。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（2）尺寸：≥ф32*M10*40mm。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低背椅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1.尺寸：≥W430xD425xH550-座高450mm；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2.材质：PP+钢管；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PP新料一体注塑成型。椅腿钢管尺寸：钢管直径22mm，壁厚≥1.8mm，满焊焊接，表面采用高温粉体烤漆，耐腐蚀，不易生锈；脚垫采用PP纤维质塑胶一体成型，防滑、耐用、耐摩擦；坐凳下配有防滑垫，便于悬挂于桌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1.尺寸：≥5000*450/600*2000mm；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2.材质：实木多层板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3.工艺：采用国家标准E1级板，厚度≥18/25mm,基材采用优质实木多层板，PVC直封边制作。五金件采用液压铰链；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4.功能：置物抽屉方便物品分类收纳，采用玻璃柜门，收纳物件清晰明了，可调节层板，方便于各类大小物件的摆放。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空气实验箱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气球、抽滤瓶、水槽、漏斗、橡胶塞、硅胶管、色素、小车套装、玻璃杯、塑料片、塑料烧杯、模拟马德堡半球套装、风的形成实验盒、蜡烛、线香、通风管、火柴、气垫底座、两用打气筒、气嘴、小火箭套装等,各种器材有序嵌放于珍珠棉发泡成型的空间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 1.模拟气压火箭实验2.模拟马德堡半球实验3.风的形成实验4.气球小车实验等。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水桶、压力压强演示器、软管、U型压强计、铁架台、色素、玻璃烧杯、注射器、水轮小木马积木套装、水槽、塑料漏斗、潜水艇模型套装、玻璃棒、水净化套装、小铁圈、升降块、石棉网、玻璃烧杯、玻璃表面皿、酒精灯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功能描述：本实验箱要求实现如下实验：1.水的压力实验2.水流有力量式样3.潜水艇演示实验4.净化水实验等。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人体结构实验箱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箱体内部结构：箱体背部为蜂巢式加强筋，符合加强筋设计原理，增强产品的结构性。珍珠棉隔离填充材料，每种实验器材有相对应插槽，每种实验器材独立内嵌式放置，便于使用后仪器归位还原；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人的眼睛结构模型、人的耳朵结构模型、人的颅和头骨结构模型、人的手结构模型、人的牙齿结构模型、人体躯干结构模型、智能交互版人体结构模型、智能交互版人体结构模型底座、智能识别卡、器官贴纸、干电池、螺丝刀、简易肺活量测量袋、独立包装吸管、人体结构内部器官围裙，各种器材有序嵌放于珍珠棉发泡成型的空间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智能交互版人体结构模型：组装好整体尺寸：≥200×145×290mm，模型由身体外壳、头部前外壳、头部后外壳、头骨&amp;脑、肌肉、手臂骨骼、 胸肋骨、肺、肝、心脏、喉管、胃、肾、小肠&amp;大肠、底座、智能识别卡、器官贴纸等组成。在拼装的过程中，孩子们可以根据人体分布图，认识人体的各个部位。从外到内，从上到下，给大家展示下包含的器官。拆装的过程，就完成了对器官及其位置的认知。拼好之后，可以把底座安上电池，在底座卡片槽处插入智能识别卡，了解人体的系统知识。专业语音讲解，通过智能卡片识别了解人体七大系统（骨骼系统、免疫系统、呼吸系统、泌尿系统、神经系统、循环系统和消化系统）相应的器官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人的眼睛结构模型：独立包装储物盒，尺寸：≥115×104×70mm；模型尺寸：≥100×58×126mm；；功能：通过模型的细节展示，使学生更加直观的观察到人的眼睛的结构。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人的耳朵结构模型：独立包装储物盒，尺寸：≥115×104×70mm；模型尺寸：≥106×59×90mm；；功能：通过模型的细节展示，使学生更加直观的观察到人的耳朵的结构。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人的颅和头骨结构模型：独立包装储物盒，尺寸：≥115×104×70mm；模型尺寸：≥98×54×134mm；；功能：通过模型的细节展示，使学生更加直观的观察到人的颅和头骨的结构。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人的手结构模型：独立包装储物盒，尺寸：≥115×104×70mm；模型尺寸：≥106×69×150mm；；功能：通过模型的细节展示，使学生更加直观的观察到人的手的结构。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人体躯干结构模型：独立包装储物盒，尺寸：≥115×104×70mm；模型尺寸：≥60×39×116mm；功能：通过模型的细节展示，使学生更加直观的观察到人的躯干的结构。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人的牙齿结构模型：尺寸：≥95×73×55mm；材质：PVC；功能：通过模型的细节展示，使学生更加直观的观察到人的牙齿的结构。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结构：纯手工拼装模型。模型按人体正常比例缩小，部件之间以“榫”结构彼此镶嵌，可供反复拆装，拼装的过程中需要左右手配合，手眼配合及一定的空间想象力，对模型各个部件的观察能更直观去了解人体的自身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要求该箱之人体模型可以进一步拆分和组装，使学生更加了解人体构造。本实验箱要求实现如下实验：1、测量肺活量；2、认识人体结构内部器官；3、观察认识人的眼睛结构；4、观察认识人的耳朵结构；5、观察认识人的颅和头骨结构；6、观察认识人的手的结构；7、观察认识人体躯干结构；8、观察认识人的牙齿结构；9、认识我们的身体器官；10、认识血液循环功能；11、认识神经系统功能；12、认识泌尿系统功能；13、认识呼吸系统功能；14、认识消化系统功能；15、认识骨骼系统功能；16、认识免疫系统功能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清洁能源实验箱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箱体内部结构：箱体背部蜂巢式加强筋，符合加强筋设计原理。珍珠棉隔离填充材料，每种实验器材有相对应插槽，每种实验器材独立内嵌式放置，便于使用后仪器归位还原；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箱体内部结构：箱体背部为蜂巢式加强筋，符合加强筋设计原理，体现产品美观性、实用性，增强产品的结构性。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太阳能电池板、电动机模块、红色20cm双头U形导线、黑色20cm双头U形导线、风力电机模块、发电电机模块、发电电机底板、新能源电池/电解电池、新能源电池/发电电池、新能源电池/再生电池、氢氧储气罐、电池盒、一次性针筒/注射器、硅胶堵帽、硅胶管、氢能小车、新能源电池底座、5号电池等,各种器材有序嵌放于珍珠棉发泡成型的空间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太阳能电池板：规格：≥110×110×38mm；材质：ABS；壁厚：≥2mm；工艺：塑料注塑成型；表面处理：咬花细纹；太阳能电池板平面大小≥196×80mm，功率Max=1W，单晶滴胶工艺。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功能描述：本实验箱要求体现一套实验室级别的清洁能源系统，氢动力小车实验。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标本实验箱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箱体内部结构：箱体背部蜂巢式加强筋，符合加强筋设计原理。珍珠棉隔离填充材料，每种实验器材有相对应插槽，每种实验器材独立内嵌式放置，便于使用后仪器归位还原；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家蚕生活史包埋标本，桑蚕生活史包埋标本，昆虫（六种益虫）包埋标本，昆虫（六种害虫）包埋标本，玉米发芽过程标本，豆芽发芽过程标本，水稻发芽过程标本，花生发芽过程标本，小麦发芽过程标本，青蛙发育顺序标本，菜粉蝶生活史标本（亚克力包埋）。15种常见矿石标本，15种常见化石标本，15种常见岩石标本，各种器材有序嵌放于珍珠棉发泡成型的空间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核心产品：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家蚕生活史包埋标本：140×64×18mm；通过对标本的学习，使学生对桑蚕的生活史有完整的认识；亚克力包埋工艺封装，查看标本更直观，易保存。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桑蚕生活史包埋标本：164×78×20mm；通过对标本的学习，使学生对桑蚕的整体有完整的认识；亚克力包埋工艺封装，查看标本更直观，易保存。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昆虫（六种益虫）包埋标本：140×64×18mm；通过对标本的学习，使学生对昆虫世界中的益虫有完整的认识；亚克力包埋工艺封装，查看标本更直观，易保存。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昆虫（六种害虫）包埋标本：140×64×18mm；通过对标本的学习，使学生对昆虫世界中的害虫有完整的认识；亚克力包埋工艺封装，查看标本更直观，易保存。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玉米发芽过程标本：164×78×20mm；通过对标本的学习，使学生对玉米发芽过程的整体有完整的认识；亚克力包埋工艺封装，查看标本更直观，易保存。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豆芽发芽过程标本：164×78×20mm；通过对标本的学习，使学生对大豆发芽过程的整体有完整的认识；亚克力包埋工艺封装，查看标本更直观，易保存。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水稻发芽过程标本：164×78×20mm；通过对标本的学习，使学生对水稻的发芽过程有完整的认识；亚克力包埋工艺封装，查看标本更直观，易保存。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花生发芽过程标本：164×78×20mm；通过对标本的学习，使学生对菜粉蝶的整体有完整的认识；亚克力包埋工艺封装，查看标本更直观，易保存。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小麦发芽过程标本：164×78×20mm；通过对标本的学习，使学生对小麦的发芽过程有完整的认识；亚克力包埋工艺封装，查看标本更直观，易保存。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青蛙发育顺序标本：140×64×18mm；通过对标本的学习，使学生对蛙的整体有完整的认识；亚克力包埋工艺封装，查看标本更直观，易保存。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菜粉蝶生活史标本：140×64×18mm；通过对标本的学习，使学生对菜粉蝶的整体有完整的认识；包埋工艺封装，查看标本更直观，易保存。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要求实现如下实验：观察和了解家蚕生活史观察和了解桑蚕生活史，观察和了解昆虫（六种益虫），观察和了解昆虫（六种害虫），观察和了解玉米发芽过程，观察和了解豆芽发芽过程，观察和了解水稻发芽过程，观察和了解花生发芽过程，观察和了解青蛙发育顺序，观察和了解小麦发芽过程，观察和了解菜粉蝶生活史，观察和了解15种常见矿石，观察和了解15种常见化石，观察和了解15种常见岩石，观察和了解12种常见植物的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地形地貌模型与图片实验箱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实验箱规格：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尺寸：箱体≥470×360×210mm，壁厚≥3mm；手提翻盖式；箱体底部横竖各四条井字型加强筋设计，井字形支撑加强结构厚度≥2.5mm；箱盖≥470×360×40mm，厚度≥2.3mm，箱盖背面为井字型加强筋设计，井字形支撑加强结构厚度≥2.5mm，背面设有卡片槽；箱盖拉手≥381×135×25mm；旋转锁机构：≥115×65×12mm；箱体顶部及旋盖上有方向指示标识，箱盖把手周围斜切面过渡平滑，箱盖背面设有装箱清单卡片槽；使用0.5mm厚的PVC背胶板（3M）印刷全套（正面3张，左右侧边各1张，3种尺寸规格，共5张）铭牌，不起皱，不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箱体内部结构：箱体背部蜂巢式加强筋，符合加强筋设计原理。珍珠棉隔离填充材料，每种实验器材有相对应插槽，每种实验器材独立内嵌式放置，便于使用后仪器归位还原；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材质：ABS阻燃性材料一次成型，磨抗压，抗氧化功能强，长期使用也不会产生开裂现象；最大承重50公斤；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多个堆叠摆放，实验箱组合设有旋转倒扣装置，旋扣式机构锁合，通过旋转机构转动，可以与下方的箱体形成一个整体，可使上下实验箱体互相之间锁止，结构强度支持可达5-8层高可倚靠实验室墙边落地摆放，可存放于实验台面或实验台储物柜，还可收纳到仪器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主要配置及用材：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组合地形地貌模型：由9个模型模块组成，材质：ABS；工艺：塑料注塑成型。单个模块产品外形尺寸不小于160mm×110mm×60mm；它由高原地形、平原地形、山地地形、丘陵地形、盆地地形组成。高原地形模型（2种）、平原地形模型（2种）、山地地形模型（2种）、丘陵地形模型（1种）、盆地地形模型（2种）。图片：采用照片纸制成；照片覆膜包装，尺寸不小于：125mm×90mm±5；图片应不脱色。展示五种地形的图片，典型地貌图片，照片数量不少于60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资源包要求实现如下观察1.利用组合式地形模型，首先进行拼接，构成一个立体地形。认识地表的凹凸起伏。结合地形图片，认识与地形模型对应的五大地形分类。2.利用地貌图片，认识典型的地貌。从成因上，包括风成地貌、水成地貌、岩溶地貌等。3.利用水体图片，认识洋、海、江、河、湖泊等地表水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智能系统控制柜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规格：≥530*200*800mm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1、外壳：采用厚≥1.0mm（含）以上优质镀锌钢板冲压成型制作，表面经耐酸碱环氧树脂喷涂处理；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2、内设置中央处理器一套，总漏电保护一组、分组漏电保护器十六组，紧急控制系统一套、工作指示灯一套、工业串口模块一个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3、10寸控制屏一套，用于显示控制操作系统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（1）可显示系统设置、系统初始化、密码更改、分组设置等功能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（2）可显示220V电源控制系统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（3）可显示交直流低压控制系统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（4）可显示智能升降机构升降控制系统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智能升降电源控制系统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1、可进行系统设置、系统初始化、密码更改、分组设置等功能；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2、可控制220V电源系统：控制学生端220V供电开关，每组可以单独控制，可以组合控制，可以全部同时控制。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3、可控制交直流低压控制系统：控制学生端交直流低压，每组可以单独控制，可以组合控制，可以全部同时控制，教师锁定时,学生自己无法操作。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4、可控制智能升降机构升降：每组可以单独控制，可以组合控制，可以全部同时控制。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顶部多模块电源供应装置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采用ABS材质，模具一体成型。模块内预留2组高压、2组低压安装位置。内装限位器，具备保护功能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模块储藏装置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1、壳体材质：ABS注塑一体成型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2、氛围模块：采用铝基板高亮度白光LED灯珠贴片工艺焊接完成，具有更高的导热性和重复一致性，由恒流驱动模块实现无频闪点亮。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智能升降电源低压模块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交互控制模块：采用1.28英寸螺纹圆形旋钮屏作为交互载体，MCU为核心，通过增加表面摩擦力，有效防止手指打滑，从而可以对电压设置更加精准操控，物理触感加视觉一体反馈更容易增强记忆，一体成型的结构设计抗油污、抗磨损更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交流输出模块：支持由学生端或教师端操作输出0-24V交流电压，分辨率为1V，额定电流2A，具有过载保护智能检测功能，支持教师对学生电压进行锁定操作，锁定后只有教师端可以进行设置电压，学生端将不可以设置,避免学生的误操作。教师端可以分组或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直流输出模块：支持由学生端或教师端操作输出1.5-24V直流电压，分辨率为0.1V,额定电流2A,具有过载保护智能检测功能，支持教师对学生电压进行锁定操作，锁定后只有教师端可以进行设置电压，学生端将不可以设置，避免学生的误操作。教师端可以分组或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4、网口模块：接口类型为RJ45*2，传输速率为10/100Mbps 自适应。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5、扩展模块：≥2组，每组输出接口为一个USBA接口、一个type-c接口；每组输出额定电压为5V,额定电流为1A。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智能升降电源高压模块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模块：≥2组，每组含2个220V 5孔，每组总带载≤5A。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智能升降电源升降机构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1、升降机构：采用24V 大扭矩直流电机驱动轮毂式旋转线槽对线缆进行平稳收放，配合收放导向模块，上下限位模块，增强线缆保护，保障旋转收放过程不跳线，降低维修率，实现自动平稳安全的升降动作。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2、固定箱体：采用≥1mm冷轧钢板折弯焊接成型，经酸洗磷化前处理，表面经环氧树脂粉喷涂处理，坚固耐腐蚀。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综合布线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220V供电:采用2.5平方电线;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控制线:采用1.5平方双绞屏蔽电源线。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安装辅件及支架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1、支架采用环氧树脂喷涂金属吊杆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2、其它安装辅件，采用国标五金件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室</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系统调试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1、系统结构调试；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2、系统控制调试；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3、供电系统调试；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4、升降调试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室</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标准化安装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标准化安装，含桌椅、塔吊系统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室</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两层双面试剂架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规格：≥1550×300×700mm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架采用优质≥1.2mm厚100*50mm方形钢材支撑挂片，侧支撑挂片采用优质1.5mm厚钢片加工，层板下用50*30mm方管加固，钢材表面经纳米陶瓷镀膜防锈处理。隔板采用12mm厚钢化玻璃，边缘有可活动不锈钢圆管挡边，防止物体滑落，试剂架层板高度可随立柱侧孔调整高度，含五孔插座3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PP药品柜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规格尺寸：≥1000x500x2020mm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柜体：1、柜子主体采用优质环保级PP材质，立体构成式设计，采用榫卯结构连接并合理布局加强筋，配有专用塑料紧固件，模具注塑成型；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2、柜体内部配有三块活动层板，内衬镀锌钢管，两头配有密封装置，整体无裸露金 属，表面平整、坚固，具有承重力强，使用灵活等特点。背板采用塑钢挤出中空双面板设计，整体坚实平和；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3、柜门采用优质环保PP材质嵌配≥4mm钢化烤漆玻璃，对开门、外扣式设计，两门缝中间配套雌雄密封整体塑料扣手，柜门配有防盗插销，防止从外部撬开柜门，合理的设计保证了柜子的密封性和安全性；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4、柜子固定层板上设有换气接口，药品柜可打开换气口接通风排气功能， 配专用药品器物阶梯；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劳技课教室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结构：演示台设有储物柜，中间为演示台，预留多媒体设备（主机、显示器、）的位置预留。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结构：钢木结构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桌身：方形桌架为方管，整体钢制烤漆骨架，耐腐蚀，不易生锈。带储物柜；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功能：天然实木，坚固耐用。桌侧边带有电源；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规格：≥1000mm×600mm×850mm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台面：采用≥40mm机制齿接实木樟子松木板精致加工。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桌身：采用60*40mm方钢烤漆骨架。下部带柜子，可存放工具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延米</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7.5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规格：≥360*260*450mm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材质：实木+钢架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工艺：凳架采用钢管，壁厚≥1.2mm；四腿、四望、工字形枨，满焊结构；表面静电喷塑处理；配尼龙套脚。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凳面：采用硬杂木实木，厚度≥18mm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1.尺寸：≥5000*450/600*2000mm；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2.材质：实木多层板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3.工艺：采用国家标准E1级板，厚度≥18/25mm,基材采用优质实木多层板，PVC直封边制作。五金件采用液压铰链；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4.功能：置物抽屉方便物品分类收纳，采用玻璃柜门，收纳物件清晰明了，可调节层板，方便于各类大小物件的摆放。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方孔≥1200*500mm幅面2组，≥1.7mm厚板，加厚冷轧钢，折边宽度为2cm铁，悬挂方式：膨胀螺丝固定。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7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微型机床设备套装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1、马达转速：13500转/分钟，电机空载转速：2025转/分钟；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3、台板为六边形设计，边长：75mm，面积:不小于14600mm²；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4、夹头加持范围：1-6mm；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5、锯床锯条到弓臂最大距离：245mm；（单面最大加工长度）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6、锯床锯割深度：硬木≤10mm、三合板≤15mm、软木≤20mm、薄铝片≤2mm、有机玻璃≤5mm、泡沫≤20mm、皮革≤15mm、橡胶≤15mm；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7、磨床砂轮盘直径50mm，具有9个等分排列的排气孔；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8、车床与木工车床中心高:25mm，车床配备自锁夹盘，夹盘可夹持工件的最大直径：50mm，木工车床配备中心驱动器；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9、车床与木工车床加工材料最大长度：160mm（X轴滑块的最大行程为160mm）；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10、木工车床车刀支撑架尺寸：60*60*22mm，手持车刀刀柄长：95mm，手柄长：160mm；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11、车床与木工车床顶尾座轴上具有刻度线，可直观看到伸缩数值，方便快速定位，可伸缩范围：0-30mm，具有锁紧装置；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12、分度机床分度盘定位精度：2°；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13、X轴滑块长度210mm行程160mm，Y轴滑块长度135mm行程40mm，Z轴滑块长度290mm行程255mm；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14、X轴手轮、Y轴手轮，具有0.02mm精度的刻度线，增加机床加工工件的精确度，机器手轮采用3/4半圆结构，方便拆装机床连接块；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15、配备底板并带有EVA防滑胶垫，提升机床稳定性，底板规格长350mm宽250mm厚20mm，采用复合实木材质，胡桃木面板加黑冰木封边撞色拼接，圆角处理。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1、套装包含弓臂锯床2台、台式磨床、车床、木工车床、台式钻床、分度机床各1台，共六种7台微型机床设备。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金属联体主轴箱、基座、增高基座、顶尾座、锯箱、齿轮、台板、加宽梁基座、皮带轮、连接块、侧盖、小滑块、大滑块、分度定位器、皮带盖、砂轮盘等均采用金属结构，电机密封盖、基座侧盖、皮带盖、锯箱、弓臂、台板、砂轮盘等零件采用低温黑色金属表面处理工艺，机床主轴箱、基座、滑块、增高基座等零件采用高压灰色金属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3、电源适配器具有双重绝缘与漏电保护安全措施，连接头采用锁止结构，防止加工时移动设备导致电源断开；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4、台板上带有模具一次成型的数字显示刻度用以辅助定位，提高锯切精度；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5、锯床线锯箱采用加强板加强固定，防止加工时位移，提高加工精度与稳定性；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6、锯床可以进行剪裁、直线和曲线任意切割，加工材料：木材、皮革、橡胶、工程塑料、软金属(铝、铜等)；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7、磨床可以进行抛光、打磨，加工材料：木材、皮革、橡胶、工程塑料、软金属(铝、铜等)；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8、车床采用加宽梁基座加宽，防止加工过程频繁更换或移动刀具位置，增大车削范围，提高加工精度；车床夹盘为自锁结构，X轴具有限位装置，防止车床加工时车刀与机器发生碰撞；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9、车床可以进行车削、截断，可加工各种形状的圆柱，如花瓶、酒杯等，主要加工材料为木材、亚克力、铜材和铝材；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10、木工车床中心驱动器采用六角顶尖加中心顶尖设计，加工过程更加牢靠防止工件滑落；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11、木工车床手持车刀手柄材质为榉木且表面进行防滑处理，符合人体工程学；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12、木工车床车刀支撑架为金属材质，支撑架与平面成45°夹角，方便支撑车刀，加工更灵活；；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13、木工车床可以进行车削、截断，可加工各种形状的圆柱，如花瓶、酒杯等，主要加工材料为木材、亚克力、塑料、环氧树脂；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14、钻床可以进行钻孔、扩孔、铰孔、攻丝、锪孔，适用加工：木料、软金属（金、银、铜、铝）、有机玻璃、PVC、塑胶、皮革等；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分度机床分度盘为三角止锁结构，模具压铸一体成型，夹持更加稳定牢固，分度盘上具有刻度线，可旋转进行角度加工，在加工时可快速在任意刻度自锁紧定位，可从0到360度区间进行连续角度调整，具备快速分度定位加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16、分度机床可以进行等分钻孔、等分铣削、加工齿轮，适用加工：木料、软金属（金、银、铜、铝）、有机玻璃、PVC、塑胶、皮革等；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17、Z轴采用升降丝杠式移动，不需要手动调节主轴箱小滑块高度，具有限位装置，保证加工高度一致，加工精度更高；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18、小滑块、大滑块侧面有防松螺母设计，防止在机床使用过程中由于振动过大而产生间隙，提高加工精度；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19、连接块采用圆弧燕尾型结构，与机床零件的每个槽位相匹配，为防止孔内螺丝滑动，孔内螺丝采用四方螺母固定，提高连接块的稳定性和使用寿命；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20、机器经过特殊安全设计,锯齿碰到皮肤只会引起轻微的振动,不会割伤，安全不伤手；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1、锯条5根，齿数：31±1，总长度40mm；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2、圆砂纸2片，直径48mm带背胶，沙粒度120；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3、中心定位尺（圆心尺）1把，外形尺寸49*65mm，材质：塑料；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4、六角扳手2支，2mm、3mm各1支；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5、螺丝2颗，M2*8mm；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6、自锁螺丝8颗，M6*10mm、M6*12mm各8支；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7、说明书合格证1份；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8、专用配套定位珍珠棉内衬，采用十字交叉结构与侧面填充式包裹，防止运输过程中设备由于碰撞发生损坏。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全金属微型铣圆机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4、回转盘为压铸一体成型，尺寸：底座50*50*18mm，旋转盘</w:t>
            </w:r>
            <w:r>
              <w:rPr>
                <w:rStyle w:val="527"/>
                <w:lang w:bidi="ar"/>
              </w:rPr>
              <w:t>Φ</w:t>
            </w:r>
            <w:r>
              <w:rPr>
                <w:rStyle w:val="526"/>
                <w:rFonts w:hint="default"/>
                <w:lang w:bidi="ar"/>
              </w:rPr>
              <w:t>50mm，总高25mm；</w:t>
            </w:r>
            <w:r>
              <w:rPr>
                <w:rStyle w:val="526"/>
                <w:rFonts w:hint="default"/>
                <w:lang w:bidi="ar"/>
              </w:rPr>
              <w:br w:type="textWrapping"/>
            </w:r>
            <w:r>
              <w:rPr>
                <w:rStyle w:val="526"/>
                <w:rFonts w:hint="default"/>
                <w:lang w:bidi="ar"/>
              </w:rPr>
              <w:t>5、回转盘顶部具有五孔固定连接功能，具有数字显示刻度，内嵌轴承，旋转更加流畅；</w:t>
            </w:r>
            <w:r>
              <w:rPr>
                <w:rStyle w:val="526"/>
                <w:rFonts w:hint="default"/>
                <w:lang w:bidi="ar"/>
              </w:rPr>
              <w:br w:type="textWrapping"/>
            </w:r>
            <w:r>
              <w:rPr>
                <w:rStyle w:val="526"/>
                <w:rFonts w:hint="default"/>
                <w:lang w:bidi="ar"/>
              </w:rPr>
              <w:t>6、回转盘具有快速分度定位功能，在加工时可快速在任意刻度自锁紧定位，分度定位从0到360度区间连续角度调整，定位精度为2度；</w:t>
            </w:r>
            <w:r>
              <w:rPr>
                <w:rStyle w:val="526"/>
                <w:rFonts w:hint="default"/>
                <w:lang w:bidi="ar"/>
              </w:rPr>
              <w:br w:type="textWrapping"/>
            </w:r>
            <w:r>
              <w:rPr>
                <w:rStyle w:val="526"/>
                <w:rFonts w:hint="default"/>
                <w:lang w:bidi="ar"/>
              </w:rPr>
              <w:t>7、最大加工半径：130mm；最大加工高度：0-120mm（可伸缩调节至130mm）；</w:t>
            </w:r>
            <w:r>
              <w:rPr>
                <w:rStyle w:val="526"/>
                <w:rFonts w:hint="default"/>
                <w:lang w:bidi="ar"/>
              </w:rPr>
              <w:br w:type="textWrapping"/>
            </w:r>
            <w:r>
              <w:rPr>
                <w:rStyle w:val="526"/>
                <w:rFonts w:hint="default"/>
                <w:lang w:bidi="ar"/>
              </w:rPr>
              <w:t>#8、Y轴滑块长度210mm行程160mm，Z轴滑块长度290mm行程255mm；（提供带有CMA、CNAS标识的检测报告复印件并加盖制造商公章）</w:t>
            </w:r>
            <w:r>
              <w:rPr>
                <w:rStyle w:val="526"/>
                <w:rFonts w:hint="default"/>
                <w:lang w:bidi="ar"/>
              </w:rPr>
              <w:br w:type="textWrapping"/>
            </w:r>
            <w:r>
              <w:rPr>
                <w:rStyle w:val="526"/>
                <w:rFonts w:hint="default"/>
                <w:lang w:bidi="ar"/>
              </w:rPr>
              <w:t>9、Y轴手轮和Z轴手轮，具有0.02mm精度的刻度线，增加机床加工工件的精确度，机器手轮采用3/4半圆结构，方便拆装机床连接块；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10、配备底板并带有EVA防滑胶垫，提升机床稳定性，底板规格长350mm宽250mm厚20mm，采用复合实木材质，胡桃木面板加黑冰木封边撞色拼接，圆角处理。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回转盘、连接块、皮带保护盖等均采用金属结构，机床电机密封盖、基座侧盖、皮带盖、虎钳、手轮等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3、Z轴采用升降丝杠式移动，不需要手动调节主轴箱小滑块高度，Z轴具有限位装置，保证加工高度一致，加工精度更高；</w:t>
            </w:r>
            <w:r>
              <w:rPr>
                <w:rStyle w:val="526"/>
                <w:rFonts w:hint="default"/>
                <w:lang w:bidi="ar"/>
              </w:rPr>
              <w:br w:type="textWrapping"/>
            </w:r>
            <w:r>
              <w:rPr>
                <w:rStyle w:val="526"/>
                <w:rFonts w:hint="default"/>
                <w:lang w:bidi="ar"/>
              </w:rPr>
              <w:t>4、小滑块、大滑块侧面有防松螺母设计，防止在机床使用过程中由于振动过大而产生间隙，提高加工精度；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5、连接块采用圆弧燕尾型结构，与机床零件的每个槽位相匹配，为防止孔内螺丝滑动，空内螺丝采用四方螺母固定，提高连接块的稳定性和使用寿命；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6、铣圆机可以进行加工阶梯圆，扇形圆，可加工等分沟槽圆形等，适用加工：木料、软金属（金、银、铜、铝）、有机玻璃、PVC、塑胶、皮革等；</w:t>
            </w:r>
            <w:r>
              <w:rPr>
                <w:rStyle w:val="526"/>
                <w:rFonts w:hint="default"/>
                <w:lang w:bidi="ar"/>
              </w:rPr>
              <w:br w:type="textWrapping"/>
            </w:r>
            <w:r>
              <w:rPr>
                <w:rStyle w:val="526"/>
                <w:rFonts w:hint="default"/>
                <w:lang w:bidi="ar"/>
              </w:rPr>
              <w:t>7、机床采用安全圆角处理技术，预防金属件划伤皮肤。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全金属手持软轴打磨机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4、软轴长度不少于1060mm，保障使用半径的便利性；</w:t>
            </w:r>
            <w:r>
              <w:rPr>
                <w:rStyle w:val="526"/>
                <w:rFonts w:hint="default"/>
                <w:lang w:bidi="ar"/>
              </w:rPr>
              <w:br w:type="textWrapping"/>
            </w:r>
            <w:r>
              <w:rPr>
                <w:rStyle w:val="526"/>
                <w:rFonts w:hint="default"/>
                <w:lang w:bidi="ar"/>
              </w:rPr>
              <w:t>5、配备软轴打磨配件40件套，羊毛抛光轮4个、陶瓷磨头5个、钢丝刷2个、砂圈夹杆2个、自攻杆1个、通用切片安装杆1个、麻花钻1个、砂圈6个、砂磨针3个、磨砂纸5片、切割片6片、砂轮1个、转接头1个、六角扳手1个、开口扳手1个。</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1、金属联体主轴箱、皮带轮、皮带保护盖等均采用金属结构，皮带保护盖、软轴固定板等零件采用黑色表面处理工艺；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3、软轴固定板与主轴箱采用两颗金属螺丝拧紧固定，坚固耐用，非卡扣或粘贴等其它方式固定，无需考虑震动松动或日晒脱落；</w:t>
            </w:r>
            <w:r>
              <w:rPr>
                <w:rStyle w:val="526"/>
                <w:rFonts w:hint="default"/>
                <w:lang w:bidi="ar"/>
              </w:rPr>
              <w:br w:type="textWrapping"/>
            </w:r>
            <w:r>
              <w:rPr>
                <w:rStyle w:val="526"/>
                <w:rFonts w:hint="default"/>
                <w:lang w:bidi="ar"/>
              </w:rPr>
              <w:t>#4、软轴两端外缘用金属弹簧带包裹保护，防折弯和延长使用年限；打磨端手柄握处采用三切面防滑处理技术，手持加工时更牢固；（提供带有CMA、CNAS标识的检测报告复印件并加盖制造商公章）</w:t>
            </w:r>
            <w:r>
              <w:rPr>
                <w:rStyle w:val="526"/>
                <w:rFonts w:hint="default"/>
                <w:lang w:bidi="ar"/>
              </w:rPr>
              <w:br w:type="textWrapping"/>
            </w:r>
            <w:r>
              <w:rPr>
                <w:rStyle w:val="526"/>
                <w:rFonts w:hint="default"/>
                <w:lang w:bidi="ar"/>
              </w:rPr>
              <w:t>5、可以用来钻、铣、雕刻、抛光、打磨及各种角度研磨等；</w:t>
            </w:r>
            <w:r>
              <w:rPr>
                <w:rStyle w:val="526"/>
                <w:rFonts w:hint="default"/>
                <w:lang w:bidi="ar"/>
              </w:rPr>
              <w:br w:type="textWrapping"/>
            </w:r>
            <w:r>
              <w:rPr>
                <w:rStyle w:val="526"/>
                <w:rFonts w:hint="default"/>
                <w:lang w:bidi="ar"/>
              </w:rPr>
              <w:t>6、加工材料：木材、工程塑料、软金属(金银铜铝等)。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床身上工件最大回转直径：180mm；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最大工件长度：300mm；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主轴通孔直径：20mm；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主轴内孔锥度：莫氏3号；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尾轴孔锥度：莫氏2号；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主轴转速范围（无级调速）：低速：100-1100转/分±10%，高速：100-2500转/分±10%；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拖板横向行程：65mm；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可加工螺纹范围：公制0.4-2.0毫米（10种规格）；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电机输出功率：250W；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金工工具箱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配套工具箱55件套，含26种必备常用工具，工具箱内定点定位，方便使用和管理。工具包括：钢丝钳，1把，7"，45钢；尖嘴钳，1把，6"，45钢；钢直尺，1把，300mm钢直尺；扁锉刀，1把，200mm尖头；半圆锉刀，1把，200mm半圆；三角锉，1把，200mm三角；圆锉刀，1把，200mm圆锉；划针，1把，200mm；划规，1把，150mm划规；样冲，1把，GP100C-2ΦD2mm，L100mm；什锦锉，6件/套（轴承钢，半圆锉、三角锉、方锉、圆锉、尖头扁锉、齐头扁锉）；钳工锤，1把，300g木柄；圆头锤，1把，0.45kg木柄圆头；丝锤、扳牙扳手，12件/套；钢卷尺，1把，3m*12.5mmABS；两用扳手，4件/套；内六角扳手，9件/套，1.5-10mm；三叉扳手，1套；螺丝刀，2把，6*100mm+-PH2；螺丝刀，2把，5*75mm+-PH1；活动扳手，1把，8”；钢丝刷，1把，6排木柄；钢锯架，1把，铁皮活动钢锯架；铁皮剪，1把，8”美式铁皮剪；自行车钢丝扳手，1把；三角尺，1把，20*40mm不锈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木工工具箱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配套工具箱20件套，含18种必备常用工具，工具箱内定点定位，方便使用和管理。工具包括：木工凿子，1把，3/4”；美工刀，1把，包胶；木工锉，1把，8"半圆；剪刀，1把，多用；羊角锤，1把，0.5KG木柄；鸟刨，1把；手推刨，1把；钢角尺，1把，300mm；螺丝刀，1把，6*125+-铬钒钢，芝麻柄；老虎钳，1把，8"黄黑双色柄；卷尺，1把，3m*12.5mm；G形夹，1把，3"；有机玻璃钩刀，1把，钩刀带两把刀片；木工鸡尾锯，1把，锰钢三面齿，磨齿锯；木工铅笔，1支；小水平尺，1把，S93型，塑料，三水泡，45°、90°、180°；墨斗，1个，新型迷你墨斗；磨刀石一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2.5寸，铸铁铸造，用于钻床、铣床等进行各种平面、沟槽、角度、打孔等操作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铣刀刀具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铣刀，铣刀7件套，包含4mm、6mm、8mm、10mm、12mm、14mm、16mm不同规格；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车削刀具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车刀，合金车刀11件套，包含直刀、端面刀、螺纹刀、切断刀、90°外圆车刀正刀、90°外圆车刀反刀、85°外圆车刀、75°外圆车刀、45°外圆车刀及内孔刀2把；一般适用于车床的外圆、端面、内孔、螺纹、平面、台阶、凹槽及切断等工序的加工，采用高速钢材质，可按需磨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≥长1500mm×前后宽600mm×桌面高780mm，受教室实际面积影响，在需方要求或同意的情况下，可对尺寸进行合理调整；板材颜色可选；功能及技术参数需满足以下需求：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注：以上为标准讲台桌尺寸，受教室实际面积影响，在需方同意或要求的情况下，可对尺寸进行合理调整；板材颜色可选；功能及技术参数须满足以下要求。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应采用厚度≥25mm、其它应采用厚度≥16mm的E1级及以上环保型实木颗粒板双面贴三聚氰胺饰面板，具有环保、耐磨、耐高温、耐腐蚀、防水的优点；四边同色优质PVC封边条由自动封边机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2、桌面四角倒圆弧处理，可防磕碰、划伤，提升安全性；桌面设过线孔并使用优质电镀锌合金专用孔盖。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下方配有木质键鼠托抽屉，其右侧为镶嵌中控器的专用抽屉，左侧是正常抽屉；抽屉滑轨应采用冷轧钢材质静音滑轨，内置高精度实心钢珠，久不生锈，保证顺滑手感，且承重能力强、耐用，抽拉顺滑、平稳，配有缓冲胶垫，避免推拉碰撞产生噪音，配有弹性防脱卡扣限位牢固，且拆卸方便。各抽屉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键鼠托抽屉下方是线材柜，可保障地面线孔及引到桌体内线材的安全；右侧中控器抽屉下是储物柜；左侧抽屉下是电脑柜，可并排摆放两台标准电脑主机或一台塔式服务器；柜门可90°打开，选用优质不锈钢静音缓冲铰链，液压泵壳体应为铜质，二段力结构，具备＜45°角时缓冲闭合防撞击、≥45°角时可任意停留定位的功能；柜门应选用优质铝合金拉手，弧形圆角设计，简单大方、结实耐用。各柜体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置中控器用于控制考场智能卡座屏风挡板的升降，为增加耐用度，需采用亚克力面板和轻触控制方式，无机械按键，操控便捷、准确，不易损坏、结实耐用；支持五组（A、B、C、D、E）分组控制模式，和一键全升、全降统一控制模式，具有开关机键和暂停键；分组功能可根据老师的需要选择、组合，使操控更加便捷，应用更加灵活；和考场智能卡座之间的信号控制线缆应采用圆形五针有线连接，插拔式设计，带防脱落紧固卡，连接可靠避免松动，有效降低故障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讲台配有一个座椅，长约580mm，宽约480mm，高约820mm；椅子坐垫和靠背采用PP塑料一体注塑成型，坐垫加装优质皮革垫，靠背弧形设计，符合人体工学；座椅可升降，采用液压升降杆，可升降不低于20000次，椅脚采用钢制五脚设计，表面电镀防锈处理，五脚安装静音优质滑轮可滑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双联卡座尺寸：左右宽≥1400mm ×前后长600×桌面高780mm x 屏风高900mm（降下）/1200mm（升起）；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受教室实际面积影响，在需方同意或要求的情况下，可对尺寸进行合理调整；板材颜色可选；功能及技术参数须满足以下要求。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屏风升起时，应能起到良好的隔音隔断效果，最大程度降低考试时相邻考生之间的干扰或影响；屏风降下后，可恢复成普通无遮挡的课桌，方便进行教学活动，实现考场的一室多用、考学结合；屏风升降由设置在讲台教师桌内的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板材厚度≥25mm、屏风厚度≥15mm、其它部位板材厚度≥16mm，均使用E1级或以上环保型实木颗粒板双面贴三聚氰胺饰面板，具有环保、耐磨、耐高温、耐腐蚀、防水的优点；板材四边优质PVC封边条由自动封边机直线封边，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3、桌面左右宽度≥715mm，前后深度≥500mm，与桌体应采用金属连接件，通过螺丝连接固定，确保稳固、耐用，也便于安装、维修；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4、屏风结构牢固，两侧转角使用铝合金型材做为立柱提高整体性，柱顶端使用电镀锌合金压铸件嵌入封口，弧形流线设计保障使用者安全；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5、为确保屏风耐久性，正常升降次数应≥30000次，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6、为保障隔音效果，屏风的隔声性能需≥25dB，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屏风升降驱动器，应采用高品质推杆电机，工作电压为DC24V安全电压，负载≥100公斤使其在重压下不会晃动或下滑，功率≤60瓦，噪音≤40分贝，寿命≥30000次；外壳应采用金属材质，以承受大扭矩和冲击荷载；具有自锁功能，可在任意高度锁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为使屏风升降平稳、安静、无异常摩擦并使用安全，用于支撑屏风并运动导向的导轨组件，双座≥5组，单座≥2组；驱动器固定于桌面下一处桌壁的外侧面上并有专用护罩保护，便于快速更换电机无需拆卸桌体，其它升降装置均隐藏于桌壁的双层结构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桌面下方须配有键盘托，采用二折隐藏托底静音滑轨设计，抽拉顺滑、平稳；滑轨选用冷轧钢材质，承重能力强，耐腐蚀；滑轨内置须为高精度实心钢珠,保证久不生锈，顺滑手感；采用缓冲胶垫，避免推拉碰撞产生噪音；滑轨须配有弹性防脱卡扣限位牢固，具有自动回弹功能，且拆卸方便；轨道必须固定在左、右桌壁上，以增加承重性和耐用性；键盘托下可安装带通用锁的对开柜门，柜内可容纳标准尺寸计算机主机并具备良好的散热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为提高有效使用面积，桌壁的双层结构所形成屏风腔体空间宽度应≤25mm；桌壁四边加装铝合金型材做梁柱形成主体框架，板材镶嵌其中得到保护，使结构牢固、耐用、可整体移动；铝合金型材梁柱结合部位顶端，使用电镀锌合金压铸件嵌入封口，弧形流线设计保障使用者不被边角磕碰、划伤，提升安全性；腔体与屏风之间的缝隙被毛条填充,避免异物进入腔体，毛条耐磨且具有一定防水功能,插接在铝合金框架上的专用插槽上不会脱落；铝合金型材底座安装钢塑防滑地脚，地脚直径≥52mm以加强桌体的稳定性，可根据地面平整度调节高低，可调高度行程≥40mm，也提升整桌的防水、防潮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英语听说模拟考试软件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#7、提供电磁兼容性、声学声压、安全可靠性、产品质量等方面等第三方权威机构检测报告复印件；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课堂管理软件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共享白板：支持主控端通过共享白板与选定的学生端共同完成学习任务，并提供多种工具，包括插入图片、插入时实截图、设置背景颜色、图片等，还可选择画笔、图形、颜色、文本、填充、橡皮擦等功能，主控端和学生端可同时绘画。支持查看历史记录，白板历史内容记录，支持批量导入和导出白板记录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#2.多系统兼容支持：全面兼容Windows 10、Windows 11操作系统，以及银河麒麟、统信、中科方德、Ubuntu等国产桌面操作系统，支持Windows操作系统和国产桌面操作系统的混合使用。（厂家提供功能截图加盖投标人公章）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屏幕广播：学生在接收屏幕广播时可进行拍照保存、自主更改显示模式包括自动对焦、平移、缩放显示三种。支持主控端选定一台学生机来远程控制主控机，代替主控端来完成相关教学操作。支持4K画质的屏幕广播和多种画面质量的调节。支持扩展屏广播模式，教师机连接两个显示器，可在广播时选择将任意一个显示器的内容广播到学生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4.学生演示：可以选择一名或多名学生，让其向主讲屏、分组屏和其他学生机演示其桌面上的操作。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5.文件收集：可预定义多个文件收集任务，预设文件收集类型、收集路径、收集后保存路径，从而实现对学生文件的批量收集，支持收集前清空主控端端文件夹或收集后删除学生端文件。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6.文件共享:支持通过课件点播实现主控端上传文件供学生查看和下载；支持通过共享中心实现主控端和学生上传文件，供全体师生查看和下载。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讨论：支持主控端发起分组讨论或主题讨论，分组支持按随机、配对等方式将学生分成若干组，同组的组员之间可以相互讨论，主控端可以参加任意组的讨论；主题讨论支持主控端建立若干个主题，学生选择自己感兴趣的主题开展讨论。在讨论对话框，支持发送文字、画布、图片、文件等与学生进行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8.学生举手：支持学生发起举手寻求主控端的帮助，主控端端可远程遥控帮助学生解决问题。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9.多模式互动：支持主控端实时截屏、添加本地图片、手动输入问题三种模式发起互动答题，答题类型支持单选、多选、判断、算数、简答、投票、演示等，答题模式支持全体作答、挑人、抢答。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10.答题统计：支持主控端对客观题预设答案，学生作答完成后即时接收反馈，全体学生作答完成后，主控端将会收到学生的作答详情及答题数据统计。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11.课堂报告：支持主控端查看正在进行课堂和已结束课堂的参与人数、发起答题数、答题正确率、答题详情、答案分布等信息。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#12.考试：支持对全体学生发起统一的考试，支持添加ABCD卷对不同组别的学生发送不同试卷。支持主控端实时查看学生答题进度。（厂家提供功能截图加盖投标人公章）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试卷编辑：主控端可通过答题卡编辑器插入图片，直接生成答题卡用于学生作答，试题类型包含选择题、判断题、填空题、论述题和手写题。主控端可在答题卡中为客观题设置正确答案，为主观题设置参考答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14.快速考试：主控端可使用快速答题卡用于学生作答，输入考试名称、考试时间、试题类型、试题数量和试题分数即可快速发起考试，试题类型包含选择题、判断题、填空题、论述题和手写题。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15.网络影院：采用流媒体技术，可实现教师机播放的视频同步无延时广播到学生机，学生无需下载该文件，教师也无需共享该文件。支持VCD、DVD、AVI等主流文件格式，支持720p、1080p、4K高清视频。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16.签到：提供学生名单管理工具，为软件和考试模块提供实名验证。提供点名功能，支持保留学生多次登录记录、考勤统计、签到信息的导出与对比，支持csv 格式的导出。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17.分组讨论：可以进行主控端将学生分组，同组的组员可以相互讨论，主控端可以参加任意组的讨论。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18.主题讨论：可以进行主控端建立主题，学生选择主题进行讨论。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19.文件收集：可以选择接收和拒绝学生提交的文件，并可限制学生提交文件的数目和大小。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20.自动锁屏：独有的断线保护自动锁屏技术，通过网卡的是否激活来锁定屏幕，避免学生拔掉网线违反纪律。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21.班级模型：支持创建和编辑不同班级的学生名单列表，并支持将学生名单导入和导出。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22.防杀进程：为安全起见，学生端程序运行后，防止学生通过任务管理器结束学生端程序进程来逃脱主控端控制。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23.请求帮助：学生端遇到问题可请求帮助，主控端端可远程遥控帮助学生解决问题。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24.黑屏肃静：主控端可以对单一、部分、全体学生执行或解除黑屏操作，主控端可自定义黑屏的内容与图片。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25.键鼠禁用：主控端可以对单一、部分、全体学生禁用键鼠操作，禁用时学生端鼠标和键盘被锁定，学生无法进行任何操作。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26.网页限制：支持对学生访问网站权限的设定（全部开放、黑名单、白名单、完全阻止四种策略），对学生可以访问的Internet站点进行管理，并支持多浏览器限制。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27.学生属性：支持主控端远程查看学生机登录名、IP地址、系统类型、MAC地址、磁盘空间、进程、CPU使用情况、内存使用情况、网络利用率等信息。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28.控制中心：支持通过单独的控制中心界面，快速开启或关闭面向学生机的行为控制，包括自动连接、黑屏安静、联网权限、举手权限、发送消息权限、发送文件权限、键鼠权限、U盘权限等。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远程设置：支持选择学生机连接主控端机的登录方式包括选择主控端登录、自动登录、IP段登录；支持调节音量、设置学生端密码、学生机是否自动登录计算机、学生恶意离线时是否锁定学生机屏幕、是否隐藏设置名称按钮、是否显示学生端浮动工具栏等高级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30.远程消息：支持主控端与学生使用远程消息进行交流，并支持设置消息在学生机显示时长、消息提示音等。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31.远程命令：可以远程启动、关闭、重启、注销学生电脑;可以远程关闭学生电脑上的应用程序;可以远程执行自定义命令;可以远程打开学生电脑上的网页。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32.图标监看：可以显示学生机桌面的缩图，并可控制缩图的大小。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33.另具备屏幕广播、学生演示、网络影院、远程开关机、远程命令、屏幕监看、举手、发言、防杀进程、黑屏肃静、文件分发、文件收集、屏幕录制、屏幕笔等功能。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34.加密方式：服务器端授权、在线序列号加密、离线文件加密、自定义短码激活、mac地址预置激活等多种方式的激活方式。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35.学生限制：可以对学生机设置U盘、网页、应用程序的使用限制。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36.集控管理：支持本地服务器通过主控端对多个教室的电脑进行远程管控、合班授课、分发文件、监控、广播等功能，实现和机房教学同样的管理。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37.大屏广播：支持司令官配套终端设置功能，匹配成功后，可通过用户自带安卓、ios、windwos/国产系统、摄像机等终端进行同映射到大屏上，同时通过系统中的大屏广播功能下发学生电脑显示器，还可将任意学生电脑画面和其他自带终端画面同时发送到教室大屏中对比点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38.弹幕消息：支持开启消息弹幕，教师和学生发送的消息都以弹幕的形式在教师机和学生机屏幕上进行滚动播放，支持弹幕循环显示，设置弹幕的显示区域大小、文字大小、文字颜色、背景色，并对弹幕效果进行预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39.多视图模式：提供学生列表视图、文件分发视图、文件提交视图、文件共享视图、策略管理视图、课程报告视图、考试试图、共享白板视图等。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科学教室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2、具备1个86型220V交流电源输出插座（额定电流：6A)。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8、标准AC220V输入时，直流高压分240V、300V两档分别输出（空载时±2V），额定电流≥100ma，9V直流大电流输出，空载时偏差±1v,20S±2s自动关断。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11、具备RJ45网口、USB、HDMI等外引信号线的拓展接口。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规格：≥2800×600×780mm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台面：采用≥12.7mm双面膜实芯理化板，≥2.8米长平板台面。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结构：台面为双面膜实芯理化板一体化成型，桌身由桌腿、立柱、前横梁、中横梁、后横梁及加强横支撑件组成。学生位设书包斗。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桌腿：主体材料均采用优质铝镁合金型材和ABS工程塑料件连接组合框架，材料表面经高压静电喷涂环氧树脂防护层，耐酸碱，耐腐蚀处理。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侧上腿规格：长580mm×宽50mm×高130mm。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下腿规格：长505mm×宽50mm×高130mm。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立柱：采用50mm×100mm，壁厚≥1.2mm，十字加强筋壁厚≥1.8mm。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前横梁：采用40mm×43mm，壁厚≥1.2mm。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中横梁：采用32mm×27mm，壁厚≥1.2mm。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后横梁：采用95mm×43mm，壁厚0.9-1.5mm，造型截面为后端连续相切弧形，顶端高出台面≥42mm，可防止台面物体向后滑落、实验用水溢出。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加强横支撑件：采用11mm×100mm，壁厚≥1.1mm。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书包斗：壁厚4.5mm，采用环保型ABS工程塑料一次性注塑成型。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桌腿侧面安装五孔电源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柜体箱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规格：≥380×220×730mm，壁厚≥3mm，采用环保型ABS工程塑料一次性注塑成型。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规格：≥500×535×760mm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材质：整体采用环保型ABS工程塑料一次性注塑成型，表面木纹与光面项结合处理。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结构：榫卯连接结构并合理布局加强筋，安装时不用胶水粘结，不用任何金属螺丝，使用产品自身力量相互连接，产品不变形，不扭曲。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门板：合页采用尼龙塑料铰链，高强度耐磨，防水、永不生锈。门板与侧板并安装有防盗插销，防止从外部撬开柜门。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锁具：前后门均带锁、内嵌式塑料扣手。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水槽：外径：≥440×350×355mmmm，内径：≥380×290×255mmmm，水槽采用环保型PP材料一次性注塑成型，耐强酸碱、耐有机溶剂、耐高温，具有防溢出功能。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含水槽1套。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唱歌教室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自动演奏钢琴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 ≥约L1530mm×H1210mm×W610mm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2.颜色: 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3.铁板: 大尺寸全围铁牌，采用传统翻砂铸造工艺，高度≥113cm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4.弦槌: 纯羊毛毡，优质红木榔头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5.制音毡: 平板毡、三角毡和坑毡采用欧洲顶级羊毛毡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6.琴弦: 圆形弦，镀锡防锈钢线,最大有效弦长 118.5cm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7.击弦机: 运动木制件为优质实木材料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8.驱动：系统能驱动钢琴及键盘进行自动演奏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9.音板 :优质云杉木制作的加强实木音板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10.肋木: 11根优质云杉木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11.弦轴板 :18层优质硬木交错拼接弦轴板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12.键盘 :实木云杉木黑键，砝码平衡加铅处理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13.支持自主弹奏录制、任意位置播放以及循环播放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14.音头纽: 不易变形优质角木材料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15.连接顶杆: 不易变形优质角木材料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16.中盘 :优质松木细木工板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17.弦码 :榉木多层板制作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18.支持与教室交互式电子白板或交互式触摸一体机等教学显示设备及计算机等连接；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19.背柱: 优质云杉，五根背柱榫接技术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20.钢琴凳: 原装实木皮革升降琴凳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21.五金配件: 精钢五金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备注: 所有钢琴配有内置缓降器、键盘布 、擦琴手套、脚轮脚垫 、保养 剂、防潮管。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无感麦克风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1.高精密咪头，高精度分离式线路；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2.咪头具有全向等指向特性，高灵敏度拾音；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3.频响宽，失真小，动态范围大；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4.灵敏度衰减开关，应对大动态拾音场合；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5.低功耗，使用时间更持久。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6.双向互动，高效沟通，终端机上备有2支麦克风2支麦克风可同时使用技术，教学满足教师、学生使用麦克风双向沟通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7.电池容量：200mAh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8.充电时间：&lt;2H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9.充电输入接口:TYPE-C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10.关机功耗:仓内&lt;20uA，仓外200uA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智慧终端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1.壁挂式安装，设备收放自如；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2.双话筒、线路输入、输出，学生、老师高效双向沟通；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3.带蓝牙无线连接、AUX接口，更方便快捷的连接方式，可直接同步电脑、手机音频，播放WMA、MP3、MP4等格式音频；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4、内置DSP数字信号处理算法，实时抑制环境噪音与设备啸叫，还原人声真实质感，降低教学声污染，尤其适合多设备共存的复杂环境；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5.采用NFC卡片解锁技术，设备需授权卡片触碰方可启动，防止学生误操作或盗用，保障教学秩序:后台可配置多用户权限，支持分级管理；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6.设备即放即充，快速充电；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7.多EQ选择，适应不同教学环境。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8.终端机尺寸：约148*109*43mm；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9.终端机重量：约267g；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10.音频输出接口：Aux、RCA接口；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11.充电电压：5V；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12.充电电流：&lt; 500mA；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空间阵列模组主音箱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1.扬声器总功率：≥20W；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2.喇叭额定阻抗：8Ω；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3.特性灵敏度：1.6KHZ（0 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4.输出声压级：1M 1W  88d；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5.额定频率范围:20HZ~20KHZ；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6.音频频率响应范围：20HZ~20KHZ；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7.覆盖角度H×V：135°；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8.扬声器单元：2*4；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9.扬声器尺寸:约148*109*43mm；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10.扬声器主机：1868g；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11.扬声器副机：1800g * 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12.音频输入接口：RCA接口；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13.多点M8吊挂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14.网圆形孔径在不影响声音传播的前提下，对声波有一定的散射和折射，使声音更加均匀地扩散，改善音箱的指向性和扩散性，提升整体的声学效果；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15.可280°调节音响角度，适应不同安装环境。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空间阵列模组辅音箱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1.辅助扬声器总功率：≥20W*3；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2.喇叭额定阻抗：8Ω；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3.特性灵敏度：1.6KHZ（0 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4.输出声压级：1M 1W  88d；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5.额定频率范围:20HZ~20KHZ；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6.音频频率响应范围：20HZ~20KHZ；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7.覆盖角度H×V：135°；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8.扬声器单元：2*4；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9.扬声器尺寸:约148*109*43mm；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10.扬声器主机：1868g；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11.扬声器副机：1800g * 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12.音频输入接口：RCA接口；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13.多点M8吊挂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14.铁网圆形孔径在不影响声音传播的前提下，对声波有一定的散射和折射，使声音更加均匀地扩散，改善音箱的指向性和扩散性，提升整体的声学效果；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15.可280°调节音响角度，适应不同安装环境。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规格：≥2000*600*900mm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基 材：选用E1级环保MFC板，游离甲醛释放量为0.4mg/L。板面厚度为≥18mm，密度为850kg/立方米，承重力强。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 材：采用三聚氰胺防火饰面板材，阻燃、耐磨、抗静电。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颜 色：黑射线。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五线谱识读教具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一、节奏卡：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2、尺寸、数量：单个卡片尺寸不小于78*78mm、正反面均由音符、一套的数量18个、正反数量相加不低于34个。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3、包含：四分音符、八分音符、十六分音符、前八后十六音符、前十六后八音符、切分音音符、前附点音符、三连音音符、后附点音符等。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二、五线谱磁力板：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2、尺寸：不小于1250*140mm，共一张、切3等分、对应音符卡片可直接吸附在五线谱磁力板上进行讲解。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三、磁力音符：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符包含：全音符、二分音符、四分音符、八分音符、十六分音符、附点、四分休止符、八分休止符、十六分休止符、高音谱号、低音谱号、强记号、升音记号、降音记号、还原记号、保持音、反复记号、弱记号、三连音、前八后十六音符、后附点音符、前附点音符、前十六后八音符、切分音音符、八分音符、十六分音符、小节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四、磁力音符包含：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音符、二分音符、四分音符、八音音符、十六分音符、附点全音符、附点二分音符、附点四分音符、附点八分音符、四分休止符、八分休止符、十六分休止符、高音谱号、低音谱号、强、弱、升记号、降记号、还原记号、Do、Re、Mi、Fa、Sol、La、Si、Do（高音）、Do（低音）、Re（低音）、Mi（低音）、Fa（低音）、Sol（低音）、La（低音）、Si（低音）、Do（中音）、重降记号、重升记号、三连音、前十六后八、前八后十六、四个十六、两个八分、切分节奏、附点节奏6个、全休止符、二分休止符、顿音记号、回音记号、波音记号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五线谱识读学具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一、音符卡片收纳学习板：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1.尺寸：长≥460mm宽 ≥200mm 高度≥30mm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2.材质：采用ABS一体注成，环保无异味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3.音符卡片可放置于内部，利于储存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4.8个小圆球相互扣到对应孔位，防止移位，且合起后方便老师发放收起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5.上附五线谱表，可将音符卡片直接进行摆放重复利用，无需书写。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二、节奏卡（纸卡）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2、尺寸、数量：单个卡片尺寸不小于78*78mm、正反面均由音符、一套的数量18个、正反数量相加不低于34个。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3、包含：四分音符、八分音符、十六分音符、前八后十六音符、前十六后八音符、切分音音符、前附点音符、三连音音符、后附点音符等。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三、磁性音符：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材质：磁性底材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符包含：全音符、二分音符、四分音符、八分音符、十六分音符、附点、四分休止符、八分休止符、十六分休止符、高音谱号、低音谱号、强记号、升音记号、降音记号、还原记号、保持音、反复记号、弱记号、三连音、前八后十六音符、后附点音符、前附点音符、前十六后八音符、切分音音符、八分音符、十六分音符、小节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四、音符卡片包含：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音符、二分音符、四分音符、八音音符、十六分音符、附点全音符、附点二分音符、附点四分音符、附点八分音符、四分休止符、八分休止符、十六分休止符、高音谱号、低音谱号、强、弱、升记号、降记号、还原记号、Do、Re、Mi、Fa、Sol、La、Si、Do（高音）、Do（低音）、Re（低音）、Mi（低音）、Fa（低音）、Sol（低音）、La（低音）、Si（低音）、Do（中音）、重降记号、重升记号、三连音、前十六后八、前八后十六、四个十六、两个八分、切分节奏、附点节奏6个、全休止符、二分休止符、顿音记号、回音记号、波音记号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谱台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 加粗大谱架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尺寸：三节升降，最高可达165CM，50*35CM支架折叠后为54CM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颜色：黑色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乐谱夹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加厚环保塑料，防止乐谱过厚导致自动翻页，尺寸:长15cm*最宽处5cm。手工测量可能会有误差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数字音乐教学系统（教学端）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一、文生文部分：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1、集合大模型具有虚拟人物对话功能可实现文字、语音对话、生成音乐相关教学内容。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2、虚拟人可进行语音对话、生成的文字可复制插入到课件中。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二、智能音乐创作：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1.1具有AI音乐创编系统，支持旋律创作、自由创编。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1.2旋律创作：输入歌词或者主题、歌曲名称后系统自动生成歌曲音频，音频包含前奏、主歌、副歌、尾奏等、生成后音频支持保存到本地。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1.3保存到本地的音频支持插入到创作备课模块进行曲谱同步、插入后音频支持选择音频波形长度、波形高度进行同步。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2.1自由创编功能：输入歌词、歌曲名称、选择音乐风格、场景氛围、人声类型、人声特征、歌曲时长后系统自动生成歌曲。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2.2音乐风格包含：国风、流行、电子、朋克、嘻哈、摇滚、民谣、爵士、DJ等。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2.3场景氛围：鼓舞、快乐、兴奋、怀旧、浪漫、伤感、思念、放松等。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2.4人声类型包含：男声、女声。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2.5人声特征包含：温暖、明亮、烟嗓、电音等。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2.6歌曲时长选择包含：30秒、1分钟、2分钟、全曲等。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三、AI演唱评价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1、AI演唱评分结合当地配套教材对学生歌唱掌握情况进行课程现场演唱测评，辅助教师进行演唱评价与重点难点深度学习。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2、AI演唱评分功能：歌曲支持演唱模式演唱过程中具有音频伴奏、音高线提示、音高时值实时显示分值、演唱完成后显示演唱得分，音准、节奏、完成度等百分比。支持音频回放、重新演唱。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3、演唱结果完成度分析：系统自动生成数据报告，得分包含：综合评分、音准评分、节奏评分、完整度评分等。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4、演唱过程支持视频回看功能。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5、曲谱播放速度可调：通过滑动速度条进行速度调节40-208，其中含5种直选键：0.5、0.75、1（还原）、1.25、1.5倍速可调。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6、曲谱播放调试可调：移调选择，移调快捷键：降全音、降半音、原调、升半调、升全音，也可以直接选择对应调式。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包括：乐理电教板、智能电教板、教材、音基课堂、素养训练等五个模块。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四、音乐理论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乐理电教板：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1、虚拟键盘：具有一组大谱表、88键/61键/实体键/三种可选的虚拟键盘，弹奏外接设备的同时，虚拟键盘、谱表及简谱窗口同时高亮显示。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2、支持88键/61键/实体键三种虚拟键备组的显示，包含大字组、小字组、小字一组、小字二组等。分别有不同颜色区分键盘组。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3、具备键盘、谱表和简谱窗口三位一体同步功能，支持≥14种调式讲解，≥10组音程尺，≥28组和弦同时对照讲解。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4、钢琴自动演：点击谱表或虚拟键/可通过钢琴自动演奏进行发声。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5、无限延伸漫游功能：该功能可保留音符在谱表上的位置，且谱表具有无限延伸漫游功能，所呈现内容可左右拖动，进行标注笔迹且与谱表同步移动。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6、五度调式循环图：外圈调号、中圈大调、内圈小调，点击调号可直接更改谱表调式。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7、提供乐理书籍进行内容展示包括：基础知识、乐音体系、谱号五线谱音律、自然半音、自然全音、三连音、为旋律配和声、音乐主题等。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智能电教板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1.界面五线谱谱表或简谱谱表与虚拟键盘组成支持简谱、五线谱、高低音谱表、大谱表四种模式进行教学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2.五线谱谱表或简谱谱表支持四小节到八小节的编辑和输入教学，编辑后可进行播放。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3.五线谱谱表或简谱谱表输入音符时，音符可通过上下拖动改变音高。点击音符符杆可添加变音记号和符杠。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4.五线谱谱表或简谱谱表输入音符时可选择时值、音符及休止符，谱表小节自动识别时值。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5.四种拍号：可设置≥4种拍号，包含:四二拍、四三拍、四四拍、八六拍。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音基课堂：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1、变调记号：调号和临时记号、升记号、降记号、还原记号。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2、节奏：后附点节奏、认识附点、八分音符前附点、八分音符后附点。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奏型：四分音符三连音、大切分节奏的变形、八分音符三连音、四分音符三连音、小切分、四个十六分音符、四个十六分、前十六后八、前十六后八节奏、前八后十六节奏、前八后十六、两个八分音符、附点四分音符、大切分节奏、大切分、八分音符三连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4、拍子：一拍与半拍、一拍与两拍、变换拍号、认识四四拍、认识四三拍、认识四二拍、单拍子复拍子、四四拍、四三拍。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5、强弱：四二拍强弱规律、四三拍强弱规律、四四拍强弱规律、切分节奏的强弱规律、认识很强很弱力度记号、认识中强中弱力度记号。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6、速度：庄板、中板、行板、小行板、柔板、慢板、渐弱、渐强、渐慢、渐快、回到原速、广板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五线谱：认识五线谱、认识高音谱号、认识do在五线谱上的位置、认识re在五线谱上的位置、认识mi在五线谱上的位置、认识fa在五线谱上的位置、认识sol在五线谱上的位置、认识la在五线谱上的位置、认识si在五线谱上的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8、小节：小节、小节线、小节、小节线、小节、小节线、增值线、增值线、圆滑线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9、休止符：八分休止符、附点八分休止符、二分休止符、全休止符、十六分休止符、四分休止符、附点四分休止符、附点二分休止符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10、音符：认识全音符、认识二分音符、认识四分音符、认识八分音符、认识二分附点音符、认识四分附点音符、认识八分附点音符、认识八分附点音符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11、音乐记号：装饰音、重音记号、休止符省略记号、换气记号、滑音、跳房子反复、对联反复、顿音、大反复记号、大反复记号、保持音、延音连线、延长音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12、音名：do的音名、Re的音名、Mi的音名、Fa的音名、Sol的音名、La的音名、Si的音名、认识嘟嘟蕊蕊、认识依依菲菲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13、知识点：音区、音级的概念、认识音符和休止符、认识领唱、认识结束句、认识歌曲欠揍、认识歌曲间奏、高音点、认识独唱和合唱、认识大调音阶、七个音的介绍、高音点、初步认识小调音阶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素养训练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1.包含识音找名称，识琴键找音，识音找琴键三种模式训练。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2.训练中可显示答题总次数与正确次数统计，显示正确率百分比，以及答题时长。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3.选项设置：可选择训练的谱号、调号、变音记号、音符等范围。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4.提示设置：可选择线间提示显示，八度提示显示。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5.更多功能：重置分数，隐藏计时器，显示答案，跳过问题，显示进度报告。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6.音程识别：具有音程识别功能,根据展示的音程,选择对应选项。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和弦识别：具有和弦识别功能,根据展示的和弦,选择对应和弦名称。调号识别：具有调号识别功能,根据展示的调号,选择对应调号名称。音阶识别：具有音阶识别功能,根据展示内容,选择对应音阶名称。（需在CMA或CNAS标识的软件测试报告体现此条功能，提供测试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五、授课教学：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1、运用AI技术支持自动识别谱曲、音符、音高、歌词等进行一键AI女生、童声试唱播放功能。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2、运用人工智能技术把谱曲进行一键转换为：简线双谱、节奏谱、钢琴谱、生成旋律线、唱名、音名、手势图、强弱对照、歌词拼音等功能。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3、支持谱曲一键生成：竖笛、萧、葫芦丝、陶笛等小乐器指法、生成后乐器指法和对应音符上下排列。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4、支持原有五线谱一键生成唱名、音名与五线谱音符上下对照排列。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#5、应课件包含教学参考、示例课件且支持编辑模式和教学模式，设有巩固训练，更好的实现课堂互动（需在CMA或CNAS标识的软件测试报告体现此条功能，提供测试报告复印件并加盖投标人公章）。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6、支持插入PPT格式课件、方便教师在同一系统内结合使用系统课件与PPT课件双模式授课。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7、包含缩略图、课件库两部分、缩略图内可以添加新建页、删除页、更换背景颜色、打印。课件库选择教学版本、年级上下册及其他乐谱。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8、谱曲教唱模式包含：谱曲播放、男生唱名、女生唱名、真人唱名、伴奏+旋律、范唱、伴奏、男声节奏、女声节奏、女声试唱、童声试唱等不低于十一种播放模式、播放时可选择播放、循环播放。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9、多声部谱曲支持不同声部音量调节、可关掉一个或多个声部音量、也可单独设定不同声部播放音量，音量可调节范围：0-100之间可选择。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10、可链接自动演奏钢琴，进行钢琴自动演奏，播放设置可以变调、变速。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11、多声部谱曲可通过选择歌词、音符确定播放起始点进行播放。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12、可以对于合唱教学、乐队总谱等多声部曲谱，可进行选择性播放，以及对每个声部进行不同音量的比例调节；支持总音量一键重置，各声部一键静音。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13、可选择课件的播放的音色，包含直选键：钢琴、小提琴、单簧管、古筝、颤音琴等，之外还有不低于120种音色可选。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14、可选择课件的速度：包含播放倍速直选键：0.5、0.75、1、1.25、1.5等之外还可手动调节播放速度：40-208之间可选。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15、播放进度提示：可选次指针模式、乐谱音符模式。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16、快捷功能按键包含：页面漫游、放大、缩小、撤销、恢复、上一页、下一页等操作。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17、支持五线谱、简谱课件一键互转、并可生成符合钢琴谱表。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18、支持显示虚拟键盘、键位数量：61、88键位可选，并可一键生成虚拟键盘对应的音名、唱名。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19、可将播放的乐曲转换到音乐创作界面进行改编，编辑内容包括：移调、变速、改变音高、歌词等，编辑完成后支持再次播放，编辑后课件可另存为在任意位置。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20、修改课件的音符音高、歌词、音符力度后均可进行直接播放。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21、最近使用功能，切换其他功能模块后，可直接返回最近一次的教学内容，依然保留板书及各项设置。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22、AI伴奏：可对五线谱、简谱课件生成不同曲风音频伴奏，伴奏类型包含：乡村民谣、流行、国潮、电子、摇滚等。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23、支持对课件音符进行改编、改编后AI伴奏可重新识别曲谱生成不同风格的伴奏。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24、生成后的AI伴奏支持于伴奏+人声同时播放、伴奏音频支持插入到课件中。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工具包：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包含：截图、录屏、护眼色、课件打印、使用帮助、播放进度提示选择、节拍机、识谱图、幕布、指挥、五线谱本、隐藏白板、课堂互动等功能。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1、截图：支持当前功能界面截图、保存到任意路径。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2、录屏：可讲授课过程、画面、声音进行录制并保存到任意路径。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3、护眼色：为了减轻蓝光对眼睛的伤害可一键打开护眼色。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4、课件打印：可讲当前授课见面进行打印。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5、节拍机：1、2、3、4、5、6等不同拍型可选、播放音量：1-10可选、播放速度：40-208可选。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6、幕布功能：打开幕布可选择上下左右、左上、右上、左下、右下等八个方向调节幕布遮挡范围。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7、具有指挥视频：包含四二拍、四三拍、四四拍、八六拍等四个指挥视频可选、指挥视频播放倍速：0.5、0.75、1、1.25、1.5、2.0可选，播放音量：0-100可选。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8、五线谱本：打开后已五线谱绿板展现，支持板书授课。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9、课堂互动：包含大转盘、随机点名、计时器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#9.1、大工具包-课堂互动中，含有大转盘，可进行编辑、抽奖等功能（需在CMA或CNAS标识的软件测试报告体现此条功能，提供测试报告复印件并加盖投标人公章）。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9.2、计时器：可设置倒计时时间、来限制课堂活动的时间。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六、鉴赏拓展：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1.包括≥5大模块：中国音乐、西方音乐、世界音乐、其它音乐、音乐周边等。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2.中国音乐≥190种拓展知识、包括中国乐器、中国歌唱家、中国作词作曲家、中国舞蹈、中国戏曲、中国话剧、中国戏曲等。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3.西方音乐：≥190种拓展知识、包括西洋乐器、西方音乐家、西方歌剧、西方指挥家、西方舞蹈、西方乐团等。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4.世界音乐：≥20种拓展知识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5.其他音乐：≥20种拓展知识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6.音乐周边：≥20种拓展知识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7.鉴赏拓展内容支持一键文字播放，可进行音量调节。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8.支持使用铅笔、荧光笔书写，可对笔的颜色、粗细进行调节，具有橡皮擦除与全部擦除功能。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9.可支持PPT、Word、视频、及系统曲谱等文件进行教学，方便教师直接用PPT进行授课。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10.PPT教学时支持白板书写进行圈画，支持截屏、录屏，节拍机，识谱图，和虚拟键盘配合教师教学使用。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智能美育测评系（教师端评价端）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1.随机生成试卷：可以根据题库内容新建随机试卷，每位考生的试卷都是在指定范围内、难以度相同下随机生成。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2.精准考试：从题库里下发单元、月度、期中考试、期末考试、模拟考试。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3.试卷及班级学生管理：一键打印试卷、一键导入学生信息、班级管理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4.查看学生数据：查看考试数据,以图表的形式对考生数量详情(总人数、未通过、已通过、未考核)、完成率、通过率和平均分进行统计。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考试分数、班级分析数据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5.题库专业：包括音及音高、音律、记谱法、调式总论、以五声调式为基础的各种调式(民族调式)、大调式和小调式(作品中调的明确法)、音程、和弦、节奏节拍、音乐的速度与力度。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6.题库类型：听力、单选、多选、填空、判断、分析、问答、演唱、演奏、手写绘制、织体动作。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智能美育测评系统（学生端评价端）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1.实践与创造（录音）：开始录制、停止录制、删除录制、重新录制、确认提交。录制时间不超过五分钟。重新录制会复盖上次内容。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2.实践与创造（录像）：开始录制、停止录制、删除录制、重新录制、确认提交。可调整录制声音大小、显示录制时间，可调整播放进度。重新录制会复盖上次内容。暂停和播放音频。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3.考试：可实现考试名称、答卷倒计时显示，答题进度，每个类型题目的分数，切换题目，不同颜色显示题目的状态。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4.模拟考试：选择模拟考试试卷，开始考试、答卷倒计时显示，显示试卷全部类型题目数和每个类型题的分数。交卷后自动调整到考试结果页面。不同颜色显示题目状态。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5.个人中心：加入班级，显示学生姓名、班级、学习次数、学习时长、可以收藏练习模块的题目。我的错题可以反复练习，查看/删除。我的模考显示20次的成绩。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6.我的考试：考试详情查看显示客观题得分、主观题得分、错误题数、正确率、总得分、考试等级。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教学互动系统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哑鼓精灵：系统分为：通关课程、PK课程、专属课程三个模块、游戏小诺人物四种形态可选、课程背景两种可选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一、通关课程：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通关课程难度选择为：启蒙、初级、中级、高级四级可选。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1、可选择课程：课程不低于60课时可选择、不同课程不同训练内容：如全音符、全音符与全音休止符、四分音符、四分音符双跳、四分音符复合跳、二分音符、四分休止符等。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2、每个课时均可选择趣味模式、鼓谱模式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2.1、趣味模式以大战外星人游戏为主题、外星人和精灵已对战模式进行节奏、节拍的练习。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2.2、节奏速度0.6-3.0倍速可选、在节奏敲击过程中会显示：Perfect、Good、Miss等各多少次。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2.3、谱曲进度在屏幕上已进度条形式体现，延迟进度：-2000至2000之间可选。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2.4、练习完成后可显示个人练习信息、成绩结算、系统排名等。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2.5鼓谱模式：直接展现为谱曲内容、进度条指引练习进度、演奏完成后可显示课件演奏通过率、max bo co、Perfect、Good、Miss等信息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二、PK课程：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PK课程分为：手速王、节奏王、耐力王三个模块。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1、手速王：挑战时间可选为：30、60、90、120、150、180等，选择每个时间后可选择击打次数选择：击打次数300-2300次可选。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1.1、开始后打击次数：已游戏射箭模式开始、可同步显示打击次数、时间进度等。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1.2、打击结束后可查看个人练习信息、打击次数、系统排名等。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2、节奏王：分为初级、中级、高级三个级别、级别难度同步增加。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2.1、点击开始后谱曲已进度滚动呈现、打击中的音符已绿色表示、未中音符为红色表示、打击中动画人物也同步动态刺稻草人。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3、耐力王：分为80、100、120、140、180、200BPM耐力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3.1选择不同耐力阶段可进入打击游戏、可根据节奏进行打击、完成后可显示得分、排名。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三、专属课程分为：考级课程、漠旗精遐、名师课堂、冠军日常等模块。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1、考级课程：具有全国社会艺术水平考级课程，阶段分为：启蒙、初级、中级、高级等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1.1、进入不同难度阶段后可选择不同课程：课程分为：四分，八分十六分音符基本手法、四分，八分音符练习（1-4）、八分，十六分音符练习（1-4）、综合练习等不低于40课程可选。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2、漠旗精遐：精选朱杰文老师课程等不低于6课程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3、名师课堂：集合赵牧阳、靳宇、吴松波、朱杰文、龙江浩、杨一郎、聂鑫、峻树、阮柏柏等名师不低于200课程可选。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冠军日常：集合黄祖盛、佟金翰、李欣悦、李梓宣、胡朗、杨睿涵、易子越、潘锐恺、王洲理、袁海博等不低于25个冠军选手的150课程可选。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哑鼓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小军鼓练习曲、流行、儿歌、金属、摇滚、funk、布鲁斯、爵士等都集合在里面，提高孩子对节奏律动多样化的适应能力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尺寸：10英寸 27*27*1.5cm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材质：硅胶+楠竹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配件：鼓锤、转接线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支持手机、平板（Type-C接口）；以及64位系统的电脑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1.8个一组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2.频率分别为：256、288、320、341.3、384、426.6、480、512hz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3.结构：音叉+小木槌+木盒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节拍器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1.节拍速度：40-208拍/分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2.拍子型：0、2、3、4、6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3.节拍音色：机械声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4.尺寸：110*110*220mm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5.颜色：黒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6.结构：金属大机芯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口风琴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 约570mm*145mm*50mm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键数 37键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音域 f-f3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包装 帆布软包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附赠原厂配件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琴包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桌奏吹管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立式吹口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擦琴手帕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吹奏 说明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音阶尺1套尺寸为手工测量，会存在少许误差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竖笛</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1．采用优质塑料制作。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2．采用十二平均律；标准音小字一组a音为440Hz。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优美、饱满、全音域均匀统一；音程准确、谐和；音量均匀，能表现强、弱音，富有表现力；发音灵敏自如；吹奏通畅、省力；手感舒适，便于演奏；笛口光滑舒适，无毛刺；音孔光滑，无毛刺；竖笛坚实圆整、光滑、无划痕、无裂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4．能够满足小学音乐教学实际需要。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5.材质：ABS树脂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6.长度：约33cm左右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7.配套竖笛教学小程序，不低于80个视频与曲谱双展现形式教程。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8.教程均为视频与曲谱双展现形式、内容为乐器指法与曲谱同步高亮显示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9.视频播放倍速：0.5、0.75、1.0、1.25、1.5、2.0倍速可调节。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10.包含学习足迹、精品课程等，课程可进行搜索。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陶笛</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1、律制：采用十二平均律；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2、a′为440.00-442.55HZ；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3、音域：单管不少于一又二分之一个八度，多管不少于两个八度；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4、各音音准允许误差：-20-+20音分；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五、音质：高级品高音明亮，中音柔和、圆润，低音浑厚，音色统一，音区间过渡自然，无啸叫、哑音、杂音；普及品高音明亮，中音柔和、圆润，低音浑厚，无啸叫、哑音等杂音；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六、结构：高级品复管；普及品单管；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七、演奏性能：发音灵敏，音量变化丰富；吹奏省力，按音孔设置手感舒适，便于演奏；音栓灵敏、有效；检测符合QB/T 4842-2015要求；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八、发音孔圆润、光滑，表面无裂缝；涂膜牢固；图案、字迹清晰，共鸣腔内洁净；人体接触部位无锐利斜薄边及毛刺；无收缩、变形及其他影响使用性能的缺陷；配件挂绳牢固，不影响发音。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葫芦丝</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1、演奏性能：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发音灵敏，富有表现力；按音孔的孔位准确，孔壁向内呈倒锥形倾斜；按音孔手感舒适，便于演奏；各插接部位严密，无漏气；接口式调音插口设置的调节范围≤5，插接时灵敏有效；主管附加键、副管启闭钮灵敏、有效，不漏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2、外观及工艺：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管体表面涂饰光亮，色泽均匀，涂膜牢固；图案、字迹清晰，金属件洁净、光亮；人体接触到的部位光滑，无锐利斜薄边及毛刺；胶合部位牢固，无开裂；音簧固定牢固，无开裂和破损，间隙均匀；木质材料无裂缝、劈裂和疤节；竹质材料坚硬，没有沟节、虫蛀；共鸣体使用的天然葫芦外形端正、美观；ABS工程塑料无裂痕、缩印、变形和污迹。外观和性能符合QB/T4841-2015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3、声学品质：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3.1律制：采用十二平均律；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3.2标准音：a1音为440HZ；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3.3各音音准允许误差：主管-15～+15音分；副管-20～+20音分；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3.4主管相邻两音音准误差之差≤15音分；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3.5音质音色：优美、圆润、发音流畅。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口琴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音域:28孔28音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材质:不锈钢盖板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调性:复音C调/重音C调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音簧:磷青铜音簧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尺寸:约210*30*24MM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配套打击乐器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每类乐器都配有橡木实木板，原木色漆面的专用收纳箱，共计163件乐器。</w:t>
            </w:r>
            <w:r>
              <w:rPr>
                <w:rStyle w:val="526"/>
                <w:rFonts w:hint="default"/>
                <w:lang w:bidi="ar"/>
              </w:rPr>
              <w:br w:type="textWrapping"/>
            </w:r>
            <w:r>
              <w:rPr>
                <w:rStyle w:val="526"/>
                <w:rFonts w:hint="default"/>
                <w:lang w:bidi="ar"/>
              </w:rPr>
              <w:t>木质类</w:t>
            </w:r>
            <w:r>
              <w:rPr>
                <w:rStyle w:val="526"/>
                <w:rFonts w:hint="default"/>
                <w:lang w:bidi="ar"/>
              </w:rPr>
              <w:br w:type="textWrapping"/>
            </w:r>
            <w:r>
              <w:rPr>
                <w:rStyle w:val="526"/>
                <w:rFonts w:hint="default"/>
                <w:lang w:bidi="ar"/>
              </w:rPr>
              <w:t>1.鱼蛙筒8副：材质：榉木，原木色漆面，尺寸：面长25cm，直径5cm；</w:t>
            </w:r>
            <w:r>
              <w:rPr>
                <w:rStyle w:val="526"/>
                <w:rFonts w:hint="default"/>
                <w:lang w:bidi="ar"/>
              </w:rPr>
              <w:br w:type="textWrapping"/>
            </w:r>
            <w:r>
              <w:rPr>
                <w:rStyle w:val="526"/>
                <w:rFonts w:hint="default"/>
                <w:lang w:bidi="ar"/>
              </w:rPr>
              <w:t>2.打棒8对：材质：榉木，原木色漆面，尺寸：长17cm，直径2cm；</w:t>
            </w:r>
            <w:r>
              <w:rPr>
                <w:rStyle w:val="526"/>
                <w:rFonts w:hint="default"/>
                <w:lang w:bidi="ar"/>
              </w:rPr>
              <w:br w:type="textWrapping"/>
            </w:r>
            <w:r>
              <w:rPr>
                <w:rStyle w:val="526"/>
                <w:rFonts w:hint="default"/>
                <w:lang w:bidi="ar"/>
              </w:rPr>
              <w:t>3.圆舞板8对：材质：榉木，原木色漆面，黑色松紧带，尺寸：直径5.7cm，厚度2.8cm；</w:t>
            </w:r>
            <w:r>
              <w:rPr>
                <w:rStyle w:val="526"/>
                <w:rFonts w:hint="default"/>
                <w:lang w:bidi="ar"/>
              </w:rPr>
              <w:br w:type="textWrapping"/>
            </w:r>
            <w:r>
              <w:rPr>
                <w:rStyle w:val="526"/>
                <w:rFonts w:hint="default"/>
                <w:lang w:bidi="ar"/>
              </w:rPr>
              <w:t>4.单响筒8副：材质：榉木，原木色漆面，尺寸：长19cm，直径4cm；</w:t>
            </w:r>
            <w:r>
              <w:rPr>
                <w:rStyle w:val="526"/>
                <w:rFonts w:hint="default"/>
                <w:lang w:bidi="ar"/>
              </w:rPr>
              <w:br w:type="textWrapping"/>
            </w:r>
            <w:r>
              <w:rPr>
                <w:rStyle w:val="526"/>
                <w:rFonts w:hint="default"/>
                <w:lang w:bidi="ar"/>
              </w:rPr>
              <w:t>5.双响筒8副：材质：榉木，原木色漆面，尺寸：长19cm，直径3.5cm；</w:t>
            </w:r>
            <w:r>
              <w:rPr>
                <w:rStyle w:val="526"/>
                <w:rFonts w:hint="default"/>
                <w:lang w:bidi="ar"/>
              </w:rPr>
              <w:br w:type="textWrapping"/>
            </w:r>
            <w:r>
              <w:rPr>
                <w:rStyle w:val="526"/>
                <w:rFonts w:hint="default"/>
                <w:lang w:bidi="ar"/>
              </w:rPr>
              <w:t>6.高低梆子8副：材质：榉木，原木色漆面，尺寸：长21cm，宽10cm，响筒直径4cm；</w:t>
            </w:r>
            <w:r>
              <w:rPr>
                <w:rStyle w:val="526"/>
                <w:rFonts w:hint="default"/>
                <w:lang w:bidi="ar"/>
              </w:rPr>
              <w:br w:type="textWrapping"/>
            </w:r>
            <w:r>
              <w:rPr>
                <w:rStyle w:val="526"/>
                <w:rFonts w:hint="default"/>
                <w:lang w:bidi="ar"/>
              </w:rPr>
              <w:t>7.方梆子8副：材质：榉木，黑色漆面，尺寸：长20cm，高4.5cm。</w:t>
            </w:r>
            <w:r>
              <w:rPr>
                <w:rStyle w:val="526"/>
                <w:rFonts w:hint="default"/>
                <w:lang w:bidi="ar"/>
              </w:rPr>
              <w:br w:type="textWrapping"/>
            </w:r>
            <w:r>
              <w:rPr>
                <w:rStyle w:val="526"/>
                <w:rFonts w:hint="default"/>
                <w:lang w:bidi="ar"/>
              </w:rPr>
              <w:t>散响类</w:t>
            </w:r>
            <w:r>
              <w:rPr>
                <w:rStyle w:val="526"/>
                <w:rFonts w:hint="default"/>
                <w:lang w:bidi="ar"/>
              </w:rPr>
              <w:br w:type="textWrapping"/>
            </w:r>
            <w:r>
              <w:rPr>
                <w:rStyle w:val="526"/>
                <w:rFonts w:hint="default"/>
                <w:lang w:bidi="ar"/>
              </w:rPr>
              <w:t>1.沙锤8对：材质：榉木，原木色漆面，内置钢砂，尺寸：长20cm，头部直径5cm；</w:t>
            </w:r>
            <w:r>
              <w:rPr>
                <w:rStyle w:val="526"/>
                <w:rFonts w:hint="default"/>
                <w:lang w:bidi="ar"/>
              </w:rPr>
              <w:br w:type="textWrapping"/>
            </w:r>
            <w:r>
              <w:rPr>
                <w:rStyle w:val="526"/>
                <w:rFonts w:hint="default"/>
                <w:lang w:bidi="ar"/>
              </w:rPr>
              <w:t>2.沙蛋20对：材质：蓝色ABS外壳，内置钢砂，尺寸：直径4cm，高5.5cm；</w:t>
            </w:r>
            <w:r>
              <w:rPr>
                <w:rStyle w:val="526"/>
                <w:rFonts w:hint="default"/>
                <w:lang w:bidi="ar"/>
              </w:rPr>
              <w:br w:type="textWrapping"/>
            </w:r>
            <w:r>
              <w:rPr>
                <w:rStyle w:val="526"/>
                <w:rFonts w:hint="default"/>
                <w:lang w:bidi="ar"/>
              </w:rPr>
              <w:t>3.手摇铃10个：材质：橡木原木色手柄，电镀银色金属铃铛，黑色皮带5对铃铛，尺寸：手柄长度11CM；</w:t>
            </w:r>
            <w:r>
              <w:rPr>
                <w:rStyle w:val="526"/>
                <w:rFonts w:hint="default"/>
                <w:lang w:bidi="ar"/>
              </w:rPr>
              <w:br w:type="textWrapping"/>
            </w:r>
            <w:r>
              <w:rPr>
                <w:rStyle w:val="526"/>
                <w:rFonts w:hint="default"/>
                <w:lang w:bidi="ar"/>
              </w:rPr>
              <w:t>4.串铃8个：材质：榉木手柄，黑色漆面，电镀银色金属铃铛，尺寸：长21CM；</w:t>
            </w:r>
            <w:r>
              <w:rPr>
                <w:rStyle w:val="526"/>
                <w:rFonts w:hint="default"/>
                <w:lang w:bidi="ar"/>
              </w:rPr>
              <w:br w:type="textWrapping"/>
            </w:r>
            <w:r>
              <w:rPr>
                <w:rStyle w:val="526"/>
                <w:rFonts w:hint="default"/>
                <w:lang w:bidi="ar"/>
              </w:rPr>
              <w:t>5.双排铃圈4个：材质：桦木棕色铃圈，电镀银色金属镲片，尺寸：铃圈直径20cm，高5cm；</w:t>
            </w:r>
            <w:r>
              <w:rPr>
                <w:rStyle w:val="526"/>
                <w:rFonts w:hint="default"/>
                <w:lang w:bidi="ar"/>
              </w:rPr>
              <w:br w:type="textWrapping"/>
            </w:r>
            <w:r>
              <w:rPr>
                <w:rStyle w:val="526"/>
                <w:rFonts w:hint="default"/>
                <w:lang w:bidi="ar"/>
              </w:rPr>
              <w:t>6.小号卡巴萨2个：材质：榉木黑色手柄，电镀银色金属珠链，尺寸：长17cm，直径6.5cm；</w:t>
            </w:r>
            <w:r>
              <w:rPr>
                <w:rStyle w:val="526"/>
                <w:rFonts w:hint="default"/>
                <w:lang w:bidi="ar"/>
              </w:rPr>
              <w:br w:type="textWrapping"/>
            </w:r>
            <w:r>
              <w:rPr>
                <w:rStyle w:val="526"/>
                <w:rFonts w:hint="default"/>
                <w:lang w:bidi="ar"/>
              </w:rPr>
              <w:t>7.大号卡巴萨2个：材质：榉木黑色手柄，电镀银色金属珠链，尺寸：长18.5cm，直径10.8cm；</w:t>
            </w:r>
            <w:r>
              <w:rPr>
                <w:rStyle w:val="526"/>
                <w:rFonts w:hint="default"/>
                <w:lang w:bidi="ar"/>
              </w:rPr>
              <w:br w:type="textWrapping"/>
            </w:r>
            <w:r>
              <w:rPr>
                <w:rStyle w:val="526"/>
                <w:rFonts w:hint="default"/>
                <w:lang w:bidi="ar"/>
              </w:rPr>
              <w:t>金属类</w:t>
            </w:r>
            <w:r>
              <w:rPr>
                <w:rStyle w:val="526"/>
                <w:rFonts w:hint="default"/>
                <w:lang w:bidi="ar"/>
              </w:rPr>
              <w:br w:type="textWrapping"/>
            </w:r>
            <w:r>
              <w:rPr>
                <w:rStyle w:val="526"/>
                <w:rFonts w:hint="default"/>
                <w:lang w:bidi="ar"/>
              </w:rPr>
              <w:t>1.碰钟（棒钟）8对：材质：榉木，原木色漆面，尺寸：长15cm，碰钟直径3.2cm；</w:t>
            </w:r>
            <w:r>
              <w:rPr>
                <w:rStyle w:val="526"/>
                <w:rFonts w:hint="default"/>
                <w:lang w:bidi="ar"/>
              </w:rPr>
              <w:br w:type="textWrapping"/>
            </w:r>
            <w:r>
              <w:rPr>
                <w:rStyle w:val="526"/>
                <w:rFonts w:hint="default"/>
                <w:lang w:bidi="ar"/>
              </w:rPr>
              <w:t>2.三角铁8副：材质：榉木原木色提手，电镀银色金属角铁，尺寸：边长12cm；</w:t>
            </w:r>
            <w:r>
              <w:rPr>
                <w:rStyle w:val="526"/>
                <w:rFonts w:hint="default"/>
                <w:lang w:bidi="ar"/>
              </w:rPr>
              <w:br w:type="textWrapping"/>
            </w:r>
            <w:r>
              <w:rPr>
                <w:rStyle w:val="526"/>
                <w:rFonts w:hint="default"/>
                <w:lang w:bidi="ar"/>
              </w:rPr>
              <w:t>皮革类</w:t>
            </w:r>
            <w:r>
              <w:rPr>
                <w:rStyle w:val="526"/>
                <w:rFonts w:hint="default"/>
                <w:lang w:bidi="ar"/>
              </w:rPr>
              <w:br w:type="textWrapping"/>
            </w:r>
            <w:r>
              <w:rPr>
                <w:rStyle w:val="526"/>
                <w:rFonts w:hint="default"/>
                <w:lang w:bidi="ar"/>
              </w:rPr>
              <w:t>1.铃鼓8个：材质：羊皮鼓面，电镀银色金属镲片，尺寸：鼓面</w:t>
            </w:r>
            <w:r>
              <w:rPr>
                <w:rStyle w:val="527"/>
                <w:lang w:bidi="ar"/>
              </w:rPr>
              <w:t>Φ</w:t>
            </w:r>
            <w:r>
              <w:rPr>
                <w:rStyle w:val="526"/>
                <w:rFonts w:hint="default"/>
                <w:lang w:bidi="ar"/>
              </w:rPr>
              <w:t>200 mm，鼓高43 mm；</w:t>
            </w:r>
            <w:r>
              <w:rPr>
                <w:rStyle w:val="526"/>
                <w:rFonts w:hint="default"/>
                <w:lang w:bidi="ar"/>
              </w:rPr>
              <w:br w:type="textWrapping"/>
            </w:r>
            <w:r>
              <w:rPr>
                <w:rStyle w:val="526"/>
                <w:rFonts w:hint="default"/>
                <w:lang w:bidi="ar"/>
              </w:rPr>
              <w:t>2.手鼓 8个：材质：羊皮鼓面，尺寸：鼓面</w:t>
            </w:r>
            <w:r>
              <w:rPr>
                <w:rStyle w:val="527"/>
                <w:lang w:bidi="ar"/>
              </w:rPr>
              <w:t>Φ</w:t>
            </w:r>
            <w:r>
              <w:rPr>
                <w:rStyle w:val="526"/>
                <w:rFonts w:hint="default"/>
                <w:lang w:bidi="ar"/>
              </w:rPr>
              <w:t>200 mm，鼓高43 mm；</w:t>
            </w:r>
            <w:r>
              <w:rPr>
                <w:rStyle w:val="526"/>
                <w:rFonts w:hint="default"/>
                <w:lang w:bidi="ar"/>
              </w:rPr>
              <w:br w:type="textWrapping"/>
            </w:r>
            <w:r>
              <w:rPr>
                <w:rStyle w:val="526"/>
                <w:rFonts w:hint="default"/>
                <w:lang w:bidi="ar"/>
              </w:rPr>
              <w:t>固音高类</w:t>
            </w:r>
            <w:r>
              <w:rPr>
                <w:rStyle w:val="526"/>
                <w:rFonts w:hint="default"/>
                <w:lang w:bidi="ar"/>
              </w:rPr>
              <w:br w:type="textWrapping"/>
            </w:r>
            <w:r>
              <w:rPr>
                <w:rStyle w:val="526"/>
                <w:rFonts w:hint="default"/>
                <w:lang w:bidi="ar"/>
              </w:rPr>
              <w:t>1.高音合成键打琴1台：材质：橡木琴箱，原木色漆面，红木琴片，ABS琴锤，尺寸：长度58CM；</w:t>
            </w:r>
            <w:r>
              <w:rPr>
                <w:rStyle w:val="526"/>
                <w:rFonts w:hint="default"/>
                <w:lang w:bidi="ar"/>
              </w:rPr>
              <w:br w:type="textWrapping"/>
            </w:r>
            <w:r>
              <w:rPr>
                <w:rStyle w:val="526"/>
                <w:rFonts w:hint="default"/>
                <w:lang w:bidi="ar"/>
              </w:rPr>
              <w:t>2.中音合成键打琴1台：材质：橡木琴箱，原木色漆面，红木琴片，ABS琴锤，尺寸：长度62CM</w:t>
            </w:r>
            <w:r>
              <w:rPr>
                <w:rStyle w:val="526"/>
                <w:rFonts w:hint="default"/>
                <w:lang w:bidi="ar"/>
              </w:rPr>
              <w:br w:type="textWrapping"/>
            </w:r>
            <w:r>
              <w:rPr>
                <w:rStyle w:val="526"/>
                <w:rFonts w:hint="default"/>
                <w:lang w:bidi="ar"/>
              </w:rPr>
              <w:t>3.低音合成键打琴1台：材质：橡木琴箱，原木色漆面，红木琴片，ABS琴锤，尺寸：长度83CM；</w:t>
            </w:r>
            <w:r>
              <w:rPr>
                <w:rStyle w:val="526"/>
                <w:rFonts w:hint="default"/>
                <w:lang w:bidi="ar"/>
              </w:rPr>
              <w:br w:type="textWrapping"/>
            </w:r>
            <w:r>
              <w:rPr>
                <w:rStyle w:val="526"/>
                <w:rFonts w:hint="default"/>
                <w:lang w:bidi="ar"/>
              </w:rPr>
              <w:t>4.高音金属键打琴1台：材质：橡木黑色琴架，铝制银色琴片，ABS琴锤，尺寸：长度58CM</w:t>
            </w:r>
            <w:r>
              <w:rPr>
                <w:rStyle w:val="526"/>
                <w:rFonts w:hint="default"/>
                <w:lang w:bidi="ar"/>
              </w:rPr>
              <w:br w:type="textWrapping"/>
            </w:r>
            <w:r>
              <w:rPr>
                <w:rStyle w:val="526"/>
                <w:rFonts w:hint="default"/>
                <w:lang w:bidi="ar"/>
              </w:rPr>
              <w:t>5.高音金属键打琴1台：材质：橡木黑色琴架，铝制银色琴片，ABS琴锤，尺寸：长度62CM；</w:t>
            </w:r>
            <w:r>
              <w:rPr>
                <w:rStyle w:val="526"/>
                <w:rFonts w:hint="default"/>
                <w:lang w:bidi="ar"/>
              </w:rPr>
              <w:br w:type="textWrapping"/>
            </w:r>
            <w:r>
              <w:rPr>
                <w:rStyle w:val="526"/>
                <w:rFonts w:hint="default"/>
                <w:lang w:bidi="ar"/>
              </w:rPr>
              <w:t>6.高音金属键打琴 1台：材质：橡木黑色琴架，铝制银色琴片，ABS琴锤，尺寸：长度83CM；</w:t>
            </w:r>
            <w:r>
              <w:rPr>
                <w:rStyle w:val="526"/>
                <w:rFonts w:hint="default"/>
                <w:lang w:bidi="ar"/>
              </w:rPr>
              <w:br w:type="textWrapping"/>
            </w:r>
            <w:r>
              <w:rPr>
                <w:rStyle w:val="526"/>
                <w:rFonts w:hint="default"/>
                <w:lang w:bidi="ar"/>
              </w:rPr>
              <w:t>音效类</w:t>
            </w:r>
            <w:r>
              <w:rPr>
                <w:rStyle w:val="526"/>
                <w:rFonts w:hint="default"/>
                <w:lang w:bidi="ar"/>
              </w:rPr>
              <w:br w:type="textWrapping"/>
            </w:r>
            <w:r>
              <w:rPr>
                <w:rStyle w:val="526"/>
                <w:rFonts w:hint="default"/>
                <w:lang w:bidi="ar"/>
              </w:rPr>
              <w:t xml:space="preserve">1.海鼓1个：材质：桦木棕色鼓圈，羊皮/PVC鼓面，内置钢砂，尺寸：30cm,高度6.5cm； </w:t>
            </w:r>
            <w:r>
              <w:rPr>
                <w:rStyle w:val="526"/>
                <w:rFonts w:hint="default"/>
                <w:lang w:bidi="ar"/>
              </w:rPr>
              <w:br w:type="textWrapping"/>
            </w:r>
            <w:r>
              <w:rPr>
                <w:rStyle w:val="526"/>
                <w:rFonts w:hint="default"/>
                <w:lang w:bidi="ar"/>
              </w:rPr>
              <w:t xml:space="preserve">2.海鼓1个：材质：桦木棕色鼓圈，羊皮/PVC鼓面，内置钢砂，尺寸：36cm,高度7cm； </w:t>
            </w:r>
            <w:r>
              <w:rPr>
                <w:rStyle w:val="526"/>
                <w:rFonts w:hint="default"/>
                <w:lang w:bidi="ar"/>
              </w:rPr>
              <w:br w:type="textWrapping"/>
            </w:r>
            <w:r>
              <w:rPr>
                <w:rStyle w:val="526"/>
                <w:rFonts w:hint="default"/>
                <w:lang w:bidi="ar"/>
              </w:rPr>
              <w:t>3.台式风铃1组：材质：榉木黑色风铃架，铝制银色音管，尺寸：20管桌式风铃，长40cm,高度26.5cm；</w:t>
            </w:r>
            <w:r>
              <w:rPr>
                <w:rStyle w:val="526"/>
                <w:rFonts w:hint="default"/>
                <w:lang w:bidi="ar"/>
              </w:rPr>
              <w:br w:type="textWrapping"/>
            </w:r>
            <w:r>
              <w:rPr>
                <w:rStyle w:val="526"/>
                <w:rFonts w:hint="default"/>
                <w:lang w:bidi="ar"/>
              </w:rPr>
              <w:t>4.雨声筒1个：材质：榉木，原木色漆面，内置钢砂；尺寸：35CM；</w:t>
            </w:r>
            <w:r>
              <w:rPr>
                <w:rStyle w:val="526"/>
                <w:rFonts w:hint="default"/>
                <w:lang w:bidi="ar"/>
              </w:rPr>
              <w:br w:type="textWrapping"/>
            </w:r>
            <w:r>
              <w:rPr>
                <w:rStyle w:val="526"/>
                <w:rFonts w:hint="default"/>
                <w:lang w:bidi="ar"/>
              </w:rPr>
              <w:t>5.雨声筒1个：材质：榉木，原木色漆面，内置钢砂；尺寸：40CM；</w:t>
            </w:r>
            <w:r>
              <w:rPr>
                <w:rStyle w:val="526"/>
                <w:rFonts w:hint="default"/>
                <w:lang w:bidi="ar"/>
              </w:rPr>
              <w:br w:type="textWrapping"/>
            </w:r>
            <w:r>
              <w:rPr>
                <w:rStyle w:val="526"/>
                <w:rFonts w:hint="default"/>
                <w:lang w:bidi="ar"/>
              </w:rPr>
              <w:t>6.多音响筒8副：材质：榉木，原木色漆面，尺寸：长25cm，直径11cm；</w:t>
            </w:r>
            <w:r>
              <w:rPr>
                <w:rStyle w:val="526"/>
                <w:rFonts w:hint="default"/>
                <w:lang w:bidi="ar"/>
              </w:rPr>
              <w:br w:type="textWrapping"/>
            </w:r>
            <w:r>
              <w:rPr>
                <w:rStyle w:val="526"/>
                <w:rFonts w:hint="default"/>
                <w:lang w:bidi="ar"/>
              </w:rPr>
              <w:t>7.火车笛1个：材质：榉木，原木色漆面，尺寸：长29CM,直径3.5CM；</w:t>
            </w:r>
            <w:r>
              <w:rPr>
                <w:rStyle w:val="526"/>
                <w:rFonts w:hint="default"/>
                <w:lang w:bidi="ar"/>
              </w:rPr>
              <w:br w:type="textWrapping"/>
            </w:r>
            <w:r>
              <w:rPr>
                <w:rStyle w:val="526"/>
                <w:rFonts w:hint="default"/>
                <w:lang w:bidi="ar"/>
              </w:rPr>
              <w:t>8.振动器1个：材质：榉木黑色漆面，电镀银色金属配件，尺寸：长24cm，梆子长9cm。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1、响铜材质。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2、外圆直径300mm；重量0.85-1.15kg。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3、音色：打出 hèng 音，发出“虎”音，衰减时间：≥5s；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4、外观质量：加工无漏刀，无非正常加工的刀伤划痕； 边缘无锐利边角；锣光内无重皮。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1.1音色音质：洪亮、低沉、谐音丰富、无明显颤音、转音。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1.2延音时长：不少于3s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2、规格尺寸要求：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2.1直径：（215）mm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外延厚度：（2）mm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2.3、中心脐直径：（85）mm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2.4重量：（0.4）kg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2.5锣槌直径：（ 215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2.6锣槌长度：（ 230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3、材质及工艺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 锣体：响铜材质、厚度均匀、平整、无毛刺、无裂缝。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3.2槌：木制、表面无疤痕。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3.3槌头： 用新棉布缠绕、硬实耐用。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4、外观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4.1表面抛光氧化处理，制作精细、逛街、无毛刺。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4.2锣边平滑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材质：响铜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尺寸：约30cm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响铜22cm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堂鼓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1、外观：鼓体着色均匀，无流挂现象；鼓锤表面打磨光滑，无疤疖,无腐蚀，无黑线；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2、声音饱满，浑厚；延音≥2S；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3、尺寸:鼓面直径约220mm，鼓体高度约320-330mm；鼓锤锤头直径13-15mm；鼓锤长度：225-230mm；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4、装配：铁质万向轮鼓架，挂环安装牢固；鼓皮无褶皱，破损，张力适度；鼓钉色泽光亮，安装牢固，间隔均匀。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橡木，原木色漆面，附2槌.14.5cm*10cm ,17.5cm*11.5cm,17.5cm*13.5cm ,21cm*15.5cm23cm*18cm，厚5cm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大军鼓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发音灵敏、清晰、音色可调性强、无杂音、响带（砂带）反应灵敏；发音持续时间≥3S；鼓外径650~660mm；鼓腔厚度6.1~6.7mm；鼓腔圆度≤5mm；鼓高300~302mm；鼓膜压圈内经与外径差2.7~4.0mm；演奏状态下的鼓膜静压力在（98士1) N 时，不破裂；鼓膜耐久性,在鼓膜任意一点用（40士2) N 的力以100次／ min 的频率，连续敲击3000次后鼓膜不破裂。符合QB/T 2838-2014要求；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2、装配工艺：鼓膜与压边圈结合紧密、牢固；各卡具配合紧密，各螺丝调节时灵活、轻便、有效；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3、鼓腔表面：光滑、平整，装饰面贴合应严密、牢固、无划痕、破损，漆膜色泽协调；鼓膜表面：平整、无折痕、无波纹、无损伤；各金属件表面镀层：牢固、完整、光亮，无脱皮、露底；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4、鼓膜：选用天然皮膜或人工合成皮膜；金属零件：按其性能要求选用适宜的金属材料。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面</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小军鼓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发音灵敏、清晰、音色可调性强、无杂音、响带（砂带）反应灵敏；发音持续时间≥3S；鼓外径350-355mm；鼓腔厚度6.1~6.5mm；鼓腔圆度≤5mm；鼓高144~146mm；鼓膜压圈内经与外径差2.5~3.0mm；演奏状态下的鼓膜静压力在（98士1) N 时，不破裂；鼓膜耐久性,在鼓膜任意一点用（40士2) N 的力以100次／ min 的频率，连续敲击3000次后鼓膜不破裂。符合QB/T 2838-2014；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2、工艺：鼓膜与压边圈结合紧密、牢固；各卡具配合紧密，各螺丝调节时灵活、轻便、有效；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3、鼓腔表面：光滑、平整，装饰面贴合严密、牢固、无划痕、破损，漆膜色泽协调；鼓膜表面：平整、无折痕、无波纹、无损伤；各金属件表面镀层：牢固、完整、光亮，无脱皮、露底；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4、鼓膜：选用天然皮膜或人工合成皮膜；金属零件：按其性能要求选用适宜的金属材料。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面</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箱鼓音乐凳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尺寸：≥300mm*300mm*450mm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材质：桦木箱体，水曲柳面，亚光PU漆面，粉色、黄色、绿色、蓝色、颜色随机。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音质：内置响弦音色细致，低音饱满。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八音琴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金属彩色8音音砖 120mm-85mm 塑料音块+金属琴片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音域：中音C到高音C，分别是C/D/E/F/G/A/B/C1、八个音高。分别以：红橙黄绿青蓝紫、颜色区分。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尺寸分别是：C：音板长：≥240mm、宽：≥32mm、厚：≥6mm。延音筒长：≥270mm、直径：≥50mm、高：≥60mm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D：音板长：≥225mm、宽：≥32mm、厚：≥6mm。延音筒长：≥255mm、直径：≥50mm、高：≥60mm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E：音板长：≥210mm、宽：≥32mm、厚：≥6mm。延音筒长：≥245mm、直径：≥50mm、高：≥60mm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F：音板长：≥205mm、宽：≥32mm、厚：≥6mm。延音筒长：≥235mm、直径：≥50mm、高：≥60mm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G：音板长：≥195mm、宽：≥32mm、厚：≥6mm。延音筒长：≥225mm、直径：≥50mm、高：≥60mm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A：音板长：≥185mm、宽：≥32mm、厚：≥6mm。延音筒长：≥215mm、直径：≥50mm、高：≥60mm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B：音板长：≥173mm、宽：≥32mm、厚：≥6mm。延音筒长：≥200mm、直径：≥50mm、高：≥60mm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C1：音板长：≥170mm、宽：≥32mm、厚：≥6mm。延音筒长：≥200mm、直径：≥50mm、高：≥60mm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铝塑音板与塑料音筒完美结合，敲击即可发声，声音可延长≥15秒。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36音音束 附架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材质：黄铜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高度调节：76-125cm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尺寸：约105*25*12cm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语言教室2</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≥长1500mm×前后宽600mm×桌面高780mm，受教室实际面积影响，在需方要求或同意的情况下，可对尺寸进行合理调整；板材颜色可选；功能及技术参数需满足以下需求：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注：以上为标准讲台桌尺寸，受教室实际面积影响，在需方同意或要求的情况下，可对尺寸进行合理调整；板材颜色可选；功能及技术参数须满足以下要求。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应采用厚度≥25mm、其它应采用厚度≥16mm的E1级及以上环保型实木颗粒板双面贴三聚氰胺饰面板，具有环保、耐磨、耐高温、耐腐蚀、防水的优点；四边同色优质PVC封边条由自动封边机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2、桌面四角倒圆弧处理，可防磕碰、划伤，提升安全性；桌面设过线孔并使用优质电镀锌合金专用孔盖。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下方配有木质键鼠托抽屉，其右侧为镶嵌中控器的专用抽屉，左侧是正常抽屉；抽屉滑轨应采用冷轧钢材质静音滑轨，内置高精度实心钢珠，久不生锈，保证顺滑手感，且承重能力强、耐用，抽拉顺滑、平稳，配有缓冲胶垫，避免推拉碰撞产生噪音，配有弹性防脱卡扣限位牢固，且拆卸方便。各抽屉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键鼠托抽屉下方是线材柜，可保障地面线孔及引到桌体内线材的安全；右侧中控器抽屉下是储物柜；左侧抽屉下是电脑柜，可并排摆放两台标准电脑主机或一台塔式服务器；柜门可90°打开，选用优质不锈钢静音缓冲铰链，液压泵壳体应为铜质，二段力结构，具备＜45°角时缓冲闭合防撞击、≥45°角时可任意停留定位的功能；柜门应选用优质铝合金拉手，弧形圆角设计，简单大方、结实耐用。各柜体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置中控器用于控制考场智能卡座屏风挡板的升降，为增加耐用度，需采用亚克力面板和轻触控制方式，无机械按键，操控便捷、准确，不易损坏、结实耐用；支持五组（A、B、C、D、E）分组控制模式，和一键全升、全降统一控制模式，具有开关机键和暂停键；分组功能可根据老师的需要选择、组合，使操控更加便捷，应用更加灵活；和考场智能卡座之间的信号控制线缆应采用圆形五针有线连接，插拔式设计，带防脱落紧固卡，连接可靠避免松动，有效降低故障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讲台配有一个座椅，长约580mm，宽约480mm，高约820mm；椅子坐垫和靠背采用PP塑料一体注塑成型，坐垫加装优质皮革垫，靠背弧形设计，符合人体工学；座椅可升降，采用液压升降杆，可升降不低于20000次，椅脚采用钢制五脚设计，表面电镀防锈处理，五脚安装静音优质滑轮可滑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双联卡座尺寸：左右宽≥1400mm x 前后长600x 桌面高780mm x 屏风高900mm（降下）/1200mm（升起）；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受教室实际面积影响，在需方同意或要求的情况下，可对尺寸进行合理调整；板材颜色可选；功能及技术参数须满足以下要求。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屏风升起时，应能起到良好的隔音隔断效果，最大程度降低考试时相邻考生之间的干扰或影响；屏风降下后，可恢复成普通无遮挡的课桌，方便进行教学活动，实现考场的一室多用、考学结合；屏风升降由设置在讲台教师桌内的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板材厚度≥25mm、屏风厚度≥15mm、其它部位板材厚度≥16mm，均使用E1级或以上环保型实木颗粒板双面贴三聚氰胺饰面板，具有环保、耐磨、耐高温、耐腐蚀、防水的优点；板材四边优质PVC封边条由自动封边机直线封边，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3、桌面左右宽度≥715mm，前后深度≥500mm，与桌体应采用金属连接件，通过螺丝连接固定，确保稳固、耐用，也便于安装、维修；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4、屏风结构牢固，两侧转角使用铝合金型材做为立柱提高整体性，柱顶端使用电镀锌合金压铸件嵌入封口，弧形流线设计保障使用者安全；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5、为确保屏风耐久性，正常升降次数应≥30000次，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6、为保障隔音效果，屏风的隔声性能需≥25dB，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屏风升降驱动器，应采用高品质推杆电机，工作电压为DC24V安全电压，负载≥100公斤使其在重压下不会晃动或下滑，功率≤60瓦，噪音≤40分贝，寿命≥30000次；外壳应采用金属材质，以承受大扭矩和冲击荷载；具有自锁功能，可在任意高度锁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为使屏风升降平稳、安静、无异常摩擦并使用安全，用于支撑屏风并运动导向的导轨组件，双座≥5组，单座≥2组；驱动器固定于桌面下一处桌壁的外侧面上并有专用护罩保护，便于快速更换电机无需拆卸桌体，其它升降装置均隐藏于桌壁的双层结构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桌面下方须配有键盘托，采用二折隐藏托底静音滑轨设计，抽拉顺滑、平稳；滑轨选用冷轧钢材质，承重能力强，耐腐蚀；滑轨内置须为高精度实心钢珠,保证久不生锈，顺滑手感；采用缓冲胶垫，避免推拉碰撞产生噪音；滑轨须配有弹性防脱卡扣限位牢固，具有自动回弹功能，且拆卸方便；轨道必须固定在左、右桌壁上，以增加承重性和耐用性；键盘托下可安装带通用锁的对开柜门，柜内可容纳标准尺寸计算机主机并具备良好的散热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为提高有效使用面积，桌壁的双层结构所形成屏风腔体空间宽度应≤25mm；桌壁四边加装铝合金型材做梁柱形成主体框架，板材镶嵌其中得到保护，使结构牢固、耐用、可整体移动；铝合金型材梁柱结合部位顶端，使用电镀锌合金压铸件嵌入封口，弧形流线设计保障使用者不被边角磕碰、划伤，提升安全性；腔体与屏风之间的缝隙被毛条填充,避免异物进入腔体，毛条耐磨且具有一定防水功能,插接在铝合金框架上的专用插槽上不会脱落；铝合金型材底座安装钢塑防滑地脚，地脚直径≥52mm以加强桌体的稳定性，可根据地面平整度调节高低，可调高度行程≥40mm，也提升整桌的防水、防潮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英语听说模拟考试软件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课堂管理软件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共享白板：支持主控端通过共享白板与选定的学生端共同完成学习任务，并提供多种工具，包括插入图片、插入时实截图、设置背景颜色、图片等，还可选择画笔、图形、颜色、文本、填充、橡皮擦等功能，主控端和学生端可同时绘画。支持查看历史记录，白板历史内容记录，支持批量导入和导出白板记录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2.多系统兼容支持：全面兼容Windows 10、Windows 11操作系统，以及银河麒麟、统信、中科方德、Ubuntu等国产桌面操作系统，支持Windows操作系统和国产桌面操作系统的混合使用。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屏幕广播：学生在接收屏幕广播时可进行拍照保存、自主更改显示模式包括自动对焦、平移、缩放显示三种。支持主控端选定一台学生机来远程控制主控机，代替主控端来完成相关教学操作。支持4K画质的屏幕广播和多种画面质量的调节。支持扩展屏广播模式，教师机连接两个显示器，可在广播时选择将任意一个显示器的内容广播到学生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4.学生演示：可以选择一名或多名学生，让其向主讲屏、分组屏和其他学生机演示其桌面上的操作。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5.文件收集：可预定义多个文件收集任务，预设文件收集类型、收集路径、收集后保存路径，从而实现对学生文件的批量收集，支持收集前清空主控端端文件夹或收集后删除学生端文件。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6.文件共享:支持通过课件点播实现主控端上传文件供学生查看和下载；支持通过共享中心实现主控端和学生上传文件，供全体师生查看和下载。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讨论：支持主控端发起分组讨论或主题讨论，分组支持按随机、配对等方式将学生分成若干组，同组的组员之间可以相互讨论，主控端可以参加任意组的讨论；主题讨论支持主控端建立若干个主题，学生选择自己感兴趣的主题开展讨论。在讨论对话框，支持发送文字、画布、图片、文件等与学生进行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8.学生举手：支持学生发起举手寻求主控端的帮助，主控端端可远程遥控帮助学生解决问题。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9.多模式互动：支持主控端实时截屏、添加本地图片、手动输入问题三种模式发起互动答题，答题类型支持单选、多选、判断、算数、简答、投票、演示等，答题模式支持全体作答、挑人、抢答。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10.答题统计：支持主控端对客观题预设答案，学生作答完成后即时接收反馈，全体学生作答完成后，主控端将会收到学生的作答详情及答题数据统计。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11.课堂报告：支持主控端查看正在进行课堂和已结束课堂的参与人数、发起答题数、答题正确率、答题详情、答案分布等信息。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12.考试：支持对全体学生发起统一的考试，支持添加ABCD卷对不同组别的学生发送不同试卷。支持主控端实时查看学生答题进度。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试卷编辑：主控端可通过答题卡编辑器插入图片，直接生成答题卡用于学生作答，试题类型包含选择题、判断题、填空题、论述题和手写题。主控端可在答题卡中为客观题设置正确答案，为主观题设置参考答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14.快速考试：主控端可使用快速答题卡用于学生作答，输入考试名称、考试时间、试题类型、试题数量和试题分数即可快速发起考试，试题类型包含选择题、判断题、填空题、论述题和手写题。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15.网络影院：采用流媒体技术，可实现教师机播放的视频同步无延时广播到学生机，学生无需下载该文件，教师也无需共享该文件。支持VCD、DVD、AVI等主流文件格式，支持720p、1080p、4K高清视频。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16.签到：提供学生名单管理工具，为软件和考试模块提供实名验证。提供点名功能，支持保留学生多次登录记录、考勤统计、签到信息的导出与对比，支持csv 格式的导出。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17.分组讨论：可以进行主控端将学生分组，同组的组员可以相互讨论，主控端可以参加任意组的讨论。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18.主题讨论：可以进行主控端建立主题，学生选择主题进行讨论。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19.文件收集：可以选择接收和拒绝学生提交的文件，并可限制学生提交文件的数目和大小。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20.自动锁屏：独有的断线保护自动锁屏技术，通过网卡的是否激活来锁定屏幕，避免学生拔掉网线违反纪律。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21.班级模型：支持创建和编辑不同班级的学生名单列表，并支持将学生名单导入和导出。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22.防杀进程：为安全起见，学生端程序运行后，防止学生通过任务管理器结束学生端程序进程来逃脱主控端控制。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23.请求帮助：学生端遇到问题可请求帮助，主控端端可远程遥控帮助学生解决问题。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24.黑屏肃静：主控端可以对单一、部分、全体学生执行或解除黑屏操作，主控端可自定义黑屏的内容与图片。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25.键鼠禁用：主控端可以对单一、部分、全体学生禁用键鼠操作，禁用时学生端鼠标和键盘被锁定，学生无法进行任何操作。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26.网页限制：支持对学生访问网站权限的设定（全部开放、黑名单、白名单、完全阻止四种策略），对学生可以访问的Internet站点进行管理，并支持多浏览器限制。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27.学生属性：支持主控端远程查看学生机登录名、IP地址、系统类型、MAC地址、磁盘空间、进程、CPU使用情况、内存使用情况、网络利用率等信息。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28.控制中心：支持通过单独的控制中心界面，快速开启或关闭面向学生机的行为控制，包括自动连接、黑屏安静、联网权限、举手权限、发送消息权限、发送文件权限、键鼠权限、U盘权限等。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远程设置：支持选择学生机连接主控端机的登录方式包括选择主控端登录、自动登录、IP段登录；支持调节音量、设置学生端密码、学生机是否自动登录计算机、学生恶意离线时是否锁定学生机屏幕、是否隐藏设置名称按钮、是否显示学生端浮动工具栏等高级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30.远程消息：支持主控端与学生使用远程消息进行交流，并支持设置消息在学生机显示时长、消息提示音等。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31.远程命令：可以远程启动、关闭、重启、注销学生电脑;可以远程关闭学生电脑上的应用程序;可以远程执行自定义命令;可以远程打开学生电脑上的网页。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32.图标监看：可以显示学生机桌面的缩图，并可控制缩图的大小。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33.另具备屏幕广播、学生演示、网络影院、远程开关机、远程命令、屏幕监看、举手、发言、防杀进程、黑屏肃静、文件分发、文件收集、屏幕录制、屏幕笔等功能。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34.加密方式：服务器端授权、在线序列号加密、离线文件加密、自定义短码激活、mac地址预置激活等多种方式的激活方式。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35.学生限制：可以对学生机设置U盘、网页、应用程序的使用限制。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36.集控管理：支持本地服务器通过主控端对多个教室的电脑进行远程管控、合班授课、分发文件、监控、广播等功能，实现和机房教学同样的管理。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37.大屏广播：支持司令官配套终端设置功能，匹配成功后，可通过用户自带安卓、ios、windwos/国产系统、摄像机等终端进行同映射到大屏上，同时通过系统中的大屏广播功能下发学生电脑显示器，还可将任意学生电脑画面和其他自带终端画面同时发送到教室大屏中对比点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38.弹幕消息：支持开启消息弹幕，教师和学生发送的消息都以弹幕的形式在教师机和学生机屏幕上进行滚动播放，支持弹幕循环显示，设置弹幕的显示区域大小、文字大小、文字颜色、背景色，并对弹幕效果进行预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39.多视图模式：提供学生列表视图、文件分发视图、文件提交视图、文件共享视图、策略管理视图、课程报告视图、考试试图、共享白板视图等。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语言教室辅房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器材架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计算机辅助用房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器材架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2#楼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通用技术教室1-金工</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结构：演示台设有储物柜，中间为演示台，预留多媒体设备（主机、显示器、）的位置预留。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结构：钢木结构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桌身：方形桌架为方管，整体钢制烤漆骨架，耐腐蚀，不易生锈。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功能：天然实木，坚固耐用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1、规格：≥7900*600*850mm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储物柜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1、规格：≥3800*500*2000mm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3、门板采用，板材采用≥18mm厚E1级三聚氰胺双贴饰面板，外侧板截面采用优质1.5mm厚PVC封边。可调节层板，根据现场定制。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≥3000*600mm，根据墙面尺寸定制，≥1.7mm厚板，加厚冷轧钢，折边宽度为2cm铁，悬挂方式：膨胀螺丝固定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卷轴电源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采用手动升降方式，线长≥5m；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额定电压：‌AC 220–250V‌（国标）；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最大电流：‌10–13A‌（对应负载2500–3250W）；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面板：磨砂PC（绝缘耐高温）；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筒身：阻燃ABS+防火材料。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调速曲线锯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无极调速，可以进行直线切割、小曲线切割、中曲线切割和大曲线切割，可以根据需要进行调节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电压220V  50Hz，功率180W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转速400-1600Rpm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切割厚度50mm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切割喉深405mm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锯条长度128-133mm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机器自带照明灯，保证光线充足，切割更加精准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底座为铸铁设计，使整机更加稳重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1、马达转速：13500转/分钟，电机空载转速：2025转/分钟；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3、X轴滑块长度210mm行程160mm，具有限位装置，防止车刀撞刀，Y轴滑块长度135mm行程40mm；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4、中心高25mm，配备夹盘，夹盘为自锁结构设计，可夹持工件的最大直径50mm；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5、加工材料最大长度：160mm（X轴滑块的最大行程为160mm）；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6、顶尾座轴上具有刻度线，可直观看到伸缩数值，方便快速定位，可伸缩范围：0-30mm，具有锁紧装置；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7、X轴手轮、Y轴手轮，具有0.02mm精度的刻度线，增加机床加工工件的精确度，机器手轮采用3/4半圆结构，方便拆装机床连接块；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8、配备底板并带有EVA防滑胶垫，提升机床稳定性，底板规格长350mm宽250mm厚20mm，采用复合实木材质，胡桃木面板加黑冰木封边撞色拼接，圆角处理。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金属联体主轴箱、顶尾座、加宽梁基座、皮带轮、连接块、皮带盖等均采用金属结构，电机密封盖、顶尾座密封盖、基座侧盖、皮带盖、手轮等零件采用黑色表面处理工艺，机床主轴箱、基座、滑块、增高块等零件采用灰色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2、电源适配器具有双重绝缘与漏电保护安全措施，连接头采用锁止结构，防止加工时移动设备导致电源断开；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3、X轴具有限位装置，防止机床加工时车刀与机器发生碰撞；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4、防止加工过程频繁更换或移动刀具位置，采用加宽梁基座加宽，增大车削范围，提高加工精度；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5、小滑块、大滑块侧面有防松螺母设计，防止在机床使用过程中由于振动过大而产生间隙，提高加工精度；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6、连接块采用圆弧燕尾型结构，与机床零件的每个槽位相匹配，为防止孔内螺丝滑动，空内螺丝采用四方螺母固定，提高连接块的稳定性和使用寿命；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7、车床可以进行车削、截断，可加工各种形状的圆柱，如花瓶、酒杯等，主要加工材料为木材、亚克力、铜材和铝材；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8、机床采用安全圆角处理技术，有效预防金属件划伤皮肤。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全金属手持软轴打磨机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4、软轴长度不少于1060mm，保障使用半径的便利性；</w:t>
            </w:r>
            <w:r>
              <w:rPr>
                <w:rStyle w:val="526"/>
                <w:rFonts w:hint="default"/>
                <w:lang w:bidi="ar"/>
              </w:rPr>
              <w:br w:type="textWrapping"/>
            </w:r>
            <w:r>
              <w:rPr>
                <w:rStyle w:val="526"/>
                <w:rFonts w:hint="default"/>
                <w:lang w:bidi="ar"/>
              </w:rPr>
              <w:t>5、配备软轴打磨配件40件套，羊毛抛光轮4个、陶瓷磨头5个、钢丝刷2个、砂圈夹杆2个、自攻杆1个、通用切片安装杆1个、麻花钻1个、砂圈6个、砂磨针3个、磨砂纸5片、切割片6片、砂轮1个、转接头1个、六角扳手1个、开口扳手1个。</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1、金属联体主轴箱、皮带轮、皮带保护盖等均采用金属结构，皮带保护盖、软轴固定板等零件采用黑色表面处理工艺；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3、软轴固定板与主轴箱采用两颗金属螺丝拧紧固定，坚固耐用，非卡扣或粘贴等其它方式固定，无需考虑震动松动或日晒脱落；</w:t>
            </w:r>
            <w:r>
              <w:rPr>
                <w:rStyle w:val="526"/>
                <w:rFonts w:hint="default"/>
                <w:lang w:bidi="ar"/>
              </w:rPr>
              <w:br w:type="textWrapping"/>
            </w:r>
            <w:r>
              <w:rPr>
                <w:rStyle w:val="526"/>
                <w:rFonts w:hint="default"/>
                <w:lang w:bidi="ar"/>
              </w:rPr>
              <w:t>4、软轴两端外缘用金属弹簧带包裹保护，防折弯和延长使用年限；</w:t>
            </w:r>
            <w:r>
              <w:rPr>
                <w:rStyle w:val="526"/>
                <w:rFonts w:hint="default"/>
                <w:lang w:bidi="ar"/>
              </w:rPr>
              <w:br w:type="textWrapping"/>
            </w:r>
            <w:r>
              <w:rPr>
                <w:rStyle w:val="526"/>
                <w:rFonts w:hint="default"/>
                <w:lang w:bidi="ar"/>
              </w:rPr>
              <w:t>5、打磨端手柄握处采用三切面防滑处理技术，手持加工时更牢固；</w:t>
            </w:r>
            <w:r>
              <w:rPr>
                <w:rStyle w:val="526"/>
                <w:rFonts w:hint="default"/>
                <w:lang w:bidi="ar"/>
              </w:rPr>
              <w:br w:type="textWrapping"/>
            </w:r>
            <w:r>
              <w:rPr>
                <w:rStyle w:val="526"/>
                <w:rFonts w:hint="default"/>
                <w:lang w:bidi="ar"/>
              </w:rPr>
              <w:t>6、可以用来钻、铣、雕刻、抛光、打磨及各种角度研磨等；</w:t>
            </w:r>
            <w:r>
              <w:rPr>
                <w:rStyle w:val="526"/>
                <w:rFonts w:hint="default"/>
                <w:lang w:bidi="ar"/>
              </w:rPr>
              <w:br w:type="textWrapping"/>
            </w:r>
            <w:r>
              <w:rPr>
                <w:rStyle w:val="526"/>
                <w:rFonts w:hint="default"/>
                <w:lang w:bidi="ar"/>
              </w:rPr>
              <w:t>7、加工材料：木材、工程塑料、软金属(金银铜铝等)。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全金属微型立式铣床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4、虎钳尺寸：50*150mm，夹持范围：0-105mm；</w:t>
            </w:r>
            <w:r>
              <w:rPr>
                <w:rStyle w:val="526"/>
                <w:rFonts w:hint="default"/>
                <w:lang w:bidi="ar"/>
              </w:rPr>
              <w:br w:type="textWrapping"/>
            </w:r>
            <w:r>
              <w:rPr>
                <w:rStyle w:val="526"/>
                <w:rFonts w:hint="default"/>
                <w:lang w:bidi="ar"/>
              </w:rPr>
              <w:t>5、虎钳具有可移动档位设计，每隔35mm为一档，可根据夹持不同尺寸工件来选择档位；</w:t>
            </w:r>
            <w:r>
              <w:rPr>
                <w:rStyle w:val="526"/>
                <w:rFonts w:hint="default"/>
                <w:lang w:bidi="ar"/>
              </w:rPr>
              <w:br w:type="textWrapping"/>
            </w:r>
            <w:r>
              <w:rPr>
                <w:rStyle w:val="526"/>
                <w:rFonts w:hint="default"/>
                <w:lang w:bidi="ar"/>
              </w:rPr>
              <w:t>6、X轴滑块长度210mm行程160mm，Y轴滑块长度135mm行程40mm，Z轴滑块长度290mm行程255mm；</w:t>
            </w:r>
            <w:r>
              <w:rPr>
                <w:rStyle w:val="526"/>
                <w:rFonts w:hint="default"/>
                <w:lang w:bidi="ar"/>
              </w:rPr>
              <w:br w:type="textWrapping"/>
            </w:r>
            <w:r>
              <w:rPr>
                <w:rStyle w:val="526"/>
                <w:rFonts w:hint="default"/>
                <w:lang w:bidi="ar"/>
              </w:rPr>
              <w:t>7、X轴手轮、Y轴手轮和Z轴手轮，具有0.02mm精度的刻度线，增加机床加工工件的精确度，机器手轮采用3/4半圆结构，方便拆装机床连接块；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8、配备底板并带有EVA防滑胶垫，提升机床稳定性，底板规格长350mm宽250mm厚20mm，采用复合实木材质，胡桃木面板加黑冰木封边撞色拼接，圆角处理。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虎钳、连接块、皮带保护盖等均采用金属结构，机床电机密封盖、基座侧盖、皮带盖、虎钳、手轮等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3、Z轴采用升降丝杠式移动，不需要手动调节主轴箱小滑块高度，具有限位装置，保证加工高度一致，加工精度更高；</w:t>
            </w:r>
            <w:r>
              <w:rPr>
                <w:rStyle w:val="526"/>
                <w:rFonts w:hint="default"/>
                <w:lang w:bidi="ar"/>
              </w:rPr>
              <w:br w:type="textWrapping"/>
            </w:r>
            <w:r>
              <w:rPr>
                <w:rStyle w:val="526"/>
                <w:rFonts w:hint="default"/>
                <w:lang w:bidi="ar"/>
              </w:rPr>
              <w:t>4、小滑块、大滑块侧面有防松螺母设计，防止在机床使用过程中由于振动过大而产生间隙，提高加工精度；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5、连接块采用圆弧燕尾型结构，与机床零件的每个槽位相匹配，为防止孔内螺丝滑动，空内螺丝采用四方螺母固定，提高连接块的稳定性和使用寿命；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6、铣床可以进行铣削平面、沟槽、和花键轴，适用加工：木料、软金属（金、银、铜、铝）、有机玻璃、PVC、塑胶、皮革等；</w:t>
            </w:r>
            <w:r>
              <w:rPr>
                <w:rStyle w:val="526"/>
                <w:rFonts w:hint="default"/>
                <w:lang w:bidi="ar"/>
              </w:rPr>
              <w:br w:type="textWrapping"/>
            </w:r>
            <w:r>
              <w:rPr>
                <w:rStyle w:val="526"/>
                <w:rFonts w:hint="default"/>
                <w:lang w:bidi="ar"/>
              </w:rPr>
              <w:t>7、机床采用安全圆角处理技术，预防金属件划伤皮肤。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全金属微型多功能机床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4、中心高25mm，配备夹盘，夹盘为自锁结构设计，可夹持工件的最大直径50mm；</w:t>
            </w:r>
            <w:r>
              <w:rPr>
                <w:rStyle w:val="526"/>
                <w:rFonts w:hint="default"/>
                <w:lang w:bidi="ar"/>
              </w:rPr>
              <w:br w:type="textWrapping"/>
            </w:r>
            <w:r>
              <w:rPr>
                <w:rStyle w:val="526"/>
                <w:rFonts w:hint="default"/>
                <w:lang w:bidi="ar"/>
              </w:rPr>
              <w:t>5、车刀刀柄长：95mm，手柄长：160mm，手柄材质为榉木且表面进行防滑处理，符合人体工程学；</w:t>
            </w:r>
            <w:r>
              <w:rPr>
                <w:rStyle w:val="526"/>
                <w:rFonts w:hint="default"/>
                <w:lang w:bidi="ar"/>
              </w:rPr>
              <w:br w:type="textWrapping"/>
            </w:r>
            <w:r>
              <w:rPr>
                <w:rStyle w:val="526"/>
                <w:rFonts w:hint="default"/>
                <w:lang w:bidi="ar"/>
              </w:rPr>
              <w:t>6、木工车刀支撑架为金属材质，尺寸60*60*22mm，车刀支撑架与平面成45°夹角，方便车刀支撑架支撑车刀，加工更灵活；</w:t>
            </w:r>
            <w:r>
              <w:rPr>
                <w:rStyle w:val="526"/>
                <w:rFonts w:hint="default"/>
                <w:lang w:bidi="ar"/>
              </w:rPr>
              <w:br w:type="textWrapping"/>
            </w:r>
            <w:r>
              <w:rPr>
                <w:rStyle w:val="526"/>
                <w:rFonts w:hint="default"/>
                <w:lang w:bidi="ar"/>
              </w:rPr>
              <w:t>7、加工材料最大长度：160mm（X轴滑块的最大行程为160mm）；</w:t>
            </w:r>
            <w:r>
              <w:rPr>
                <w:rStyle w:val="526"/>
                <w:rFonts w:hint="default"/>
                <w:lang w:bidi="ar"/>
              </w:rPr>
              <w:br w:type="textWrapping"/>
            </w:r>
            <w:r>
              <w:rPr>
                <w:rStyle w:val="526"/>
                <w:rFonts w:hint="default"/>
                <w:lang w:bidi="ar"/>
              </w:rPr>
              <w:t>8、X轴滑块长度210mm行程160mm，Y轴滑块长度135mm行程40mm，Z轴滑块长度290mm行程255mm；</w:t>
            </w:r>
            <w:r>
              <w:rPr>
                <w:rStyle w:val="526"/>
                <w:rFonts w:hint="default"/>
                <w:lang w:bidi="ar"/>
              </w:rPr>
              <w:br w:type="textWrapping"/>
            </w:r>
            <w:r>
              <w:rPr>
                <w:rStyle w:val="526"/>
                <w:rFonts w:hint="default"/>
                <w:lang w:bidi="ar"/>
              </w:rPr>
              <w:t>9、X轴手轮、Y轴手轮和Z轴手轮，具有0.02mm精度的刻度线，增加机床加工工件的精确度，机器手轮采用3/4半圆结构，方便拆装机床连接块；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10、配备底板并带有EVA防滑胶垫，提升机床稳定性，底板规格长350mm宽250mm厚20mm，采用复合实木材质，胡桃木面板加黑冰木封边撞色拼接，圆角处理。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分度定位器、连接块、皮带保护盖等均采用金属结构，机床电机密封盖、基座侧盖、皮带盖、虎钳、手轮等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3、Z轴采用升降丝杠式移动，不需要手动调节主轴箱小滑块高度，具有限位装置，保证加工高度一致，加工精度更高；</w:t>
            </w:r>
            <w:r>
              <w:rPr>
                <w:rStyle w:val="526"/>
                <w:rFonts w:hint="default"/>
                <w:lang w:bidi="ar"/>
              </w:rPr>
              <w:br w:type="textWrapping"/>
            </w:r>
            <w:r>
              <w:rPr>
                <w:rStyle w:val="526"/>
                <w:rFonts w:hint="default"/>
                <w:lang w:bidi="ar"/>
              </w:rPr>
              <w:t>4、双电机，具有可同时使用可交替使用的功能；Z轴可以上下左右移动，实现四向移动加工功能；</w:t>
            </w:r>
            <w:r>
              <w:rPr>
                <w:rStyle w:val="526"/>
                <w:rFonts w:hint="default"/>
                <w:lang w:bidi="ar"/>
              </w:rPr>
              <w:br w:type="textWrapping"/>
            </w:r>
            <w:r>
              <w:rPr>
                <w:rStyle w:val="526"/>
                <w:rFonts w:hint="default"/>
                <w:lang w:bidi="ar"/>
              </w:rPr>
              <w:t>5、小滑块、大滑块侧面有防松螺母设计，防止在机床使用过程中由于振动过大而产生间隙，提高加工精度；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6、连接块采用圆弧燕尾型结构，与机床零件的每个槽位相匹配，为防止孔内螺丝滑动，空内螺丝采用四方螺母固定，提高连接块的稳定性和使用寿命；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7、多功能机床配备手持车刀，可实现车、钻、铣多种机械及齿轮加工工艺，适用加工：木料、软金属（金、银、铜、铝）、有机玻璃、PVC、塑胶、皮革等；</w:t>
            </w:r>
            <w:r>
              <w:rPr>
                <w:rStyle w:val="526"/>
                <w:rFonts w:hint="default"/>
                <w:lang w:bidi="ar"/>
              </w:rPr>
              <w:br w:type="textWrapping"/>
            </w:r>
            <w:r>
              <w:rPr>
                <w:rStyle w:val="526"/>
                <w:rFonts w:hint="default"/>
                <w:lang w:bidi="ar"/>
              </w:rPr>
              <w:t>8、机床采用安全圆角处理技术，预防金属件划伤皮肤。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床身上工件最大回转直径：180mm；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最大工件长度：300mm；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主轴通孔直径：20mm；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主轴内孔锥度：莫氏3号；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尾轴孔锥度：莫氏2号；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主轴转速范围（无级调速）：低速：100-1100转/分±10%，高速：100-2500转/分±10%；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拖板横向行程：65mm；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可加工螺纹范围：公制0.4-2.0毫米（10种规格）；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电机输出功率：250W；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小型多功能机床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机身上工件最大回转直径：140mm；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最大工件长度：250mm；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主轴通孔直径：10mm；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主轴孔莫氏锥度：莫氏2号；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尾轴孔莫氏锥度：莫氏1号；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主轴跳动精度：0.02mm；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主轴转速范围：100-2000转/分±10%；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拖板横向行程：50mm；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螺纹加工范围：公制：0.5-1.25毫米（5种螺距）、英制：16-24牙/英寸（5种螺距）；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输出功率：150W钻孔与铣削；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最大钻孔/铣削直径：10mm；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钻孔/铣削主轴行程：30mm；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钻孔/铣削主轴转速：100-1500转/分±10%；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T型槽宽度：8mm；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输出功率：150W；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随机附件：80mm的三爪卡盘、10mm的钻夹头、莫氏2号、呆顶尖、扳手套件、油壶。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全金属微型二轴数控车削机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金属联体主轴箱、顶尾座、加宽梁基座、皮带轮、连接块、皮带保护盖等均采用金属结构，机床电机密封盖、顶尾座密封盖、基座侧盖、皮带盖、手轮等零件采用低温黑色金属表面处理工艺，机床主轴箱、基座、滑块等零件采用高压灰色金属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2、整机净重：不小于6.6公斤；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3、马达转速：13500转/分钟，电机空载转速：不小于2000转/分钟；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5、电源适配器具有双重绝缘、安全电压和漏电保护安全措施；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6、电源适配器连接头采用锁止结构，防止加工时移动设备导致电源断开，提高加工安全性；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7、中心高25mm，X轴滑块长度210mm行程160mm，具有限位装置，防止车刀撞刀，Y轴滑块长度135mm行程40mm；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8、夹盘为自锁结构设计，可夹持工件的最大直径50mm；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9、主轴与步进电机采用十字滑轨联轴器连接，直径25mm，总长35mm，动能传输更稳定，加工精度更高；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10、传动盒采用双滑轨五面封闭设计，尺寸：长53mm宽56mm高56mm，减少传动能的流失，保证加工精度；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11、控制器：X、Y二轴可控，实现2轴联动加工；二轴联动，回转体旋转加工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12、步进电机：电流3A，步距角1.8°，相数2相；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13、加工范围：X=160mm Y=40mm；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14、加工精度：≤0.05mm；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15、加工材料：木材，塑料,亚克力，金银铜铝等各种软金属；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16、电脑编程，无需手工操作；传输端口：U盘/网络；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17、支持标准的 G 代码、PLT 格式指令；支持国内外主流CAM软件，如：Type3、Artcam、UG、Pro/E、MasterCAM、Cimatron、文泰等软件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具备掉电保护功能。加工中断电瞬间系统自动保存当前加工信息（文件名、当前加工行号、加工速度、主轴档位），再次上电完成回机床原点动作后，系统自动提示用户恢复断电前加工，将加工操作变得更人性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19、高精度的步进驱动系统和高精度的传动丝扛；高精度电机，实现主轴无级调速；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20、数制盒外观尺寸：220mm*150mm*70mm，处理器：DSP，电压：24V，内置存储：512M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21、数控盒内置入电机调速控制器，可与电机直接连接，不需要外置电源连接电机。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22、数控可控I/O端口：多I/O点控制方式，标准配备I/O信号节点各有6输入、4输出信号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23、数控控制手柄：包含24个按键，3.0寸液晶显示屏；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24、独立数控手柄的屏幕具有实时加工进程信息显示功能；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25、具有脱机独立加工功能；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26、支持断点记忆、文件选行加工，可保存 8 个不同断点加工信息；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27、支持运行中调整加工速度，用户可通过按键调整加工速度倍率来调整加工速度和空运行速度。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全金属微型三轴数控雕铣机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金属联体主轴箱、手轮、齿轮、小滑块、侧盖、大滑块、虎钳、连接块、皮带保护盖等均采用金属结构，机床电机密封盖、基座侧盖、皮带盖、虎钳、手轮等零件采用低温黑色金属表面处理工艺，机床主轴箱、基座、滑块等零件采用高压灰色金属表面处理工艺；</w:t>
            </w:r>
            <w:r>
              <w:rPr>
                <w:rStyle w:val="526"/>
                <w:rFonts w:hint="default"/>
                <w:lang w:bidi="ar"/>
              </w:rPr>
              <w:br w:type="textWrapping"/>
            </w:r>
            <w:r>
              <w:rPr>
                <w:rStyle w:val="526"/>
                <w:rFonts w:hint="default"/>
                <w:lang w:bidi="ar"/>
              </w:rPr>
              <w:t>2、整机净重不小于7.5公斤；</w:t>
            </w:r>
            <w:r>
              <w:rPr>
                <w:rStyle w:val="526"/>
                <w:rFonts w:hint="default"/>
                <w:lang w:bidi="ar"/>
              </w:rPr>
              <w:br w:type="textWrapping"/>
            </w:r>
            <w:r>
              <w:rPr>
                <w:rStyle w:val="526"/>
                <w:rFonts w:hint="default"/>
                <w:lang w:bidi="ar"/>
              </w:rPr>
              <w:t>3、马达转速：13500转/分钟，电机空载转速：不小于2000转/分钟；</w:t>
            </w:r>
            <w:r>
              <w:rPr>
                <w:rStyle w:val="526"/>
                <w:rFonts w:hint="default"/>
                <w:lang w:bidi="ar"/>
              </w:rPr>
              <w:br w:type="textWrapping"/>
            </w:r>
            <w:r>
              <w:rPr>
                <w:rStyle w:val="526"/>
                <w:rFonts w:hint="default"/>
                <w:lang w:bidi="ar"/>
              </w:rPr>
              <w:t>4、输入电压/电流/功率：12VDC/4A/48W；</w:t>
            </w:r>
            <w:r>
              <w:rPr>
                <w:rStyle w:val="526"/>
                <w:rFonts w:hint="default"/>
                <w:lang w:bidi="ar"/>
              </w:rPr>
              <w:br w:type="textWrapping"/>
            </w:r>
            <w:r>
              <w:rPr>
                <w:rStyle w:val="526"/>
                <w:rFonts w:hint="default"/>
                <w:lang w:bidi="ar"/>
              </w:rPr>
              <w:t>5、电源适配器具有双重绝缘、安全电压和漏电保护安全措施；</w:t>
            </w:r>
            <w:r>
              <w:rPr>
                <w:rStyle w:val="526"/>
                <w:rFonts w:hint="default"/>
                <w:lang w:bidi="ar"/>
              </w:rPr>
              <w:br w:type="textWrapping"/>
            </w:r>
            <w:r>
              <w:rPr>
                <w:rStyle w:val="526"/>
                <w:rFonts w:hint="default"/>
                <w:lang w:bidi="ar"/>
              </w:rPr>
              <w:t>6、电源适配器连接头采用锁止结构，防止加工时移动设备导致电源断开，提高加工安全性；</w:t>
            </w:r>
            <w:r>
              <w:rPr>
                <w:rStyle w:val="526"/>
                <w:rFonts w:hint="default"/>
                <w:lang w:bidi="ar"/>
              </w:rPr>
              <w:br w:type="textWrapping"/>
            </w:r>
            <w:r>
              <w:rPr>
                <w:rStyle w:val="526"/>
                <w:rFonts w:hint="default"/>
                <w:lang w:bidi="ar"/>
              </w:rPr>
              <w:t>7、夹头：1-6mm，规格：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8、虎钳为模具压铸成型，尺寸：50*150mm，夹持范围：0-105mm；</w:t>
            </w:r>
            <w:r>
              <w:rPr>
                <w:rStyle w:val="526"/>
                <w:rFonts w:hint="default"/>
                <w:lang w:bidi="ar"/>
              </w:rPr>
              <w:br w:type="textWrapping"/>
            </w:r>
            <w:r>
              <w:rPr>
                <w:rStyle w:val="526"/>
                <w:rFonts w:hint="default"/>
                <w:lang w:bidi="ar"/>
              </w:rPr>
              <w:t>9、虎钳具有可移动档位设计，每隔35mm为一档，可根据夹持不同尺寸工件来选择档位；</w:t>
            </w:r>
            <w:r>
              <w:rPr>
                <w:rStyle w:val="526"/>
                <w:rFonts w:hint="default"/>
                <w:lang w:bidi="ar"/>
              </w:rPr>
              <w:br w:type="textWrapping"/>
            </w:r>
            <w:r>
              <w:rPr>
                <w:rStyle w:val="526"/>
                <w:rFonts w:hint="default"/>
                <w:lang w:bidi="ar"/>
              </w:rPr>
              <w:t>10、主轴与步进电机采用十字滑轨联轴器连接，直径25mm，总长35mm，动能传输更稳定，加工精度更高；</w:t>
            </w:r>
            <w:r>
              <w:rPr>
                <w:rStyle w:val="526"/>
                <w:rFonts w:hint="default"/>
                <w:lang w:bidi="ar"/>
              </w:rPr>
              <w:br w:type="textWrapping"/>
            </w:r>
            <w:r>
              <w:rPr>
                <w:rStyle w:val="526"/>
                <w:rFonts w:hint="default"/>
                <w:lang w:bidi="ar"/>
              </w:rPr>
              <w:t>11、传动盒采用双滑轨五面封闭设计，尺寸：长53mm宽56mm高56mm，减少传动能的流失，保证加工精度；</w:t>
            </w:r>
            <w:r>
              <w:rPr>
                <w:rStyle w:val="526"/>
                <w:rFonts w:hint="default"/>
                <w:lang w:bidi="ar"/>
              </w:rPr>
              <w:br w:type="textWrapping"/>
            </w:r>
            <w:r>
              <w:rPr>
                <w:rStyle w:val="526"/>
                <w:rFonts w:hint="default"/>
                <w:lang w:bidi="ar"/>
              </w:rPr>
              <w:t>12、控制器：X、Y、Z三轴可控，实现2、3轴联动加工；三轴联动，三维曲面加工；</w:t>
            </w:r>
            <w:r>
              <w:rPr>
                <w:rStyle w:val="526"/>
                <w:rFonts w:hint="default"/>
                <w:lang w:bidi="ar"/>
              </w:rPr>
              <w:br w:type="textWrapping"/>
            </w:r>
            <w:r>
              <w:rPr>
                <w:rStyle w:val="526"/>
                <w:rFonts w:hint="default"/>
                <w:lang w:bidi="ar"/>
              </w:rPr>
              <w:t>13、步进电机：电流3A，步距角1.8°，相数2相；</w:t>
            </w:r>
            <w:r>
              <w:rPr>
                <w:rStyle w:val="526"/>
                <w:rFonts w:hint="default"/>
                <w:lang w:bidi="ar"/>
              </w:rPr>
              <w:br w:type="textWrapping"/>
            </w:r>
            <w:r>
              <w:rPr>
                <w:rStyle w:val="526"/>
                <w:rFonts w:hint="default"/>
                <w:lang w:bidi="ar"/>
              </w:rPr>
              <w:t>14、加工范围：X=160mm Y=40mm Z=255mm ；</w:t>
            </w:r>
            <w:r>
              <w:rPr>
                <w:rStyle w:val="526"/>
                <w:rFonts w:hint="default"/>
                <w:lang w:bidi="ar"/>
              </w:rPr>
              <w:br w:type="textWrapping"/>
            </w:r>
            <w:r>
              <w:rPr>
                <w:rStyle w:val="526"/>
                <w:rFonts w:hint="default"/>
                <w:lang w:bidi="ar"/>
              </w:rPr>
              <w:t>15、加工精度：≤0.05mm；</w:t>
            </w:r>
            <w:r>
              <w:rPr>
                <w:rStyle w:val="526"/>
                <w:rFonts w:hint="default"/>
                <w:lang w:bidi="ar"/>
              </w:rPr>
              <w:br w:type="textWrapping"/>
            </w:r>
            <w:r>
              <w:rPr>
                <w:rStyle w:val="526"/>
                <w:rFonts w:hint="default"/>
                <w:lang w:bidi="ar"/>
              </w:rPr>
              <w:t>16、加工材料：木材，塑料,亚克力，金银铜铝等各种软金属；</w:t>
            </w:r>
            <w:r>
              <w:rPr>
                <w:rStyle w:val="526"/>
                <w:rFonts w:hint="default"/>
                <w:lang w:bidi="ar"/>
              </w:rPr>
              <w:br w:type="textWrapping"/>
            </w:r>
            <w:r>
              <w:rPr>
                <w:rStyle w:val="526"/>
                <w:rFonts w:hint="default"/>
                <w:lang w:bidi="ar"/>
              </w:rPr>
              <w:t>17、电脑编程，无需手工操作；传输端口：U盘/网络；</w:t>
            </w:r>
            <w:r>
              <w:rPr>
                <w:rStyle w:val="526"/>
                <w:rFonts w:hint="default"/>
                <w:lang w:bidi="ar"/>
              </w:rPr>
              <w:br w:type="textWrapping"/>
            </w:r>
            <w:r>
              <w:rPr>
                <w:rStyle w:val="526"/>
                <w:rFonts w:hint="default"/>
                <w:lang w:bidi="ar"/>
              </w:rPr>
              <w:t>18、支持标准的 G 代码、PLT 格式指令；支持国内外主流 CAM 软件，如：Type3、Artcam、UG、Pro/E、MasterCAM、Cimatron、文泰等软件</w:t>
            </w:r>
            <w:r>
              <w:rPr>
                <w:rStyle w:val="526"/>
                <w:rFonts w:hint="default"/>
                <w:lang w:bidi="ar"/>
              </w:rPr>
              <w:br w:type="textWrapping"/>
            </w:r>
            <w:r>
              <w:rPr>
                <w:rStyle w:val="526"/>
                <w:rFonts w:hint="default"/>
                <w:lang w:bidi="ar"/>
              </w:rPr>
              <w:t>19、具备掉电保护功能。加工中断电瞬间系统自动保存当前加工信息（文件名、当前加工行号、加工速度、主轴档位），再次上电完成回机床原点动作后，系统自动提示用户恢复断电前加工，将加工操作变得更人性化；</w:t>
            </w:r>
            <w:r>
              <w:rPr>
                <w:rStyle w:val="526"/>
                <w:rFonts w:hint="default"/>
                <w:lang w:bidi="ar"/>
              </w:rPr>
              <w:br w:type="textWrapping"/>
            </w:r>
            <w:r>
              <w:rPr>
                <w:rStyle w:val="526"/>
                <w:rFonts w:hint="default"/>
                <w:lang w:bidi="ar"/>
              </w:rPr>
              <w:t>20、高精度的步进驱动系统和高精度的传动丝扛；高精度电机，实现主轴无级调速；</w:t>
            </w:r>
            <w:r>
              <w:rPr>
                <w:rStyle w:val="526"/>
                <w:rFonts w:hint="default"/>
                <w:lang w:bidi="ar"/>
              </w:rPr>
              <w:br w:type="textWrapping"/>
            </w:r>
            <w:r>
              <w:rPr>
                <w:rStyle w:val="526"/>
                <w:rFonts w:hint="default"/>
                <w:lang w:bidi="ar"/>
              </w:rPr>
              <w:t>21、数制盒外观尺寸：220mm*150mm*70mm，处理器：DSP，电压：24V，内置存储：512M</w:t>
            </w:r>
            <w:r>
              <w:rPr>
                <w:rStyle w:val="526"/>
                <w:rFonts w:hint="default"/>
                <w:lang w:bidi="ar"/>
              </w:rPr>
              <w:br w:type="textWrapping"/>
            </w:r>
            <w:r>
              <w:rPr>
                <w:rStyle w:val="526"/>
                <w:rFonts w:hint="default"/>
                <w:lang w:bidi="ar"/>
              </w:rPr>
              <w:t>22、数控盒内置入电机调速控制器，可与电机直接连接，不需要外置电源连接电机。</w:t>
            </w:r>
            <w:r>
              <w:rPr>
                <w:rStyle w:val="526"/>
                <w:rFonts w:hint="default"/>
                <w:lang w:bidi="ar"/>
              </w:rPr>
              <w:br w:type="textWrapping"/>
            </w:r>
            <w:r>
              <w:rPr>
                <w:rStyle w:val="526"/>
                <w:rFonts w:hint="default"/>
                <w:lang w:bidi="ar"/>
              </w:rPr>
              <w:t>23、数控可控I/O端口：多I/O点控制方式，标准配备I/O信号节点各有6输入、4输出信号</w:t>
            </w:r>
            <w:r>
              <w:rPr>
                <w:rStyle w:val="526"/>
                <w:rFonts w:hint="default"/>
                <w:lang w:bidi="ar"/>
              </w:rPr>
              <w:br w:type="textWrapping"/>
            </w:r>
            <w:r>
              <w:rPr>
                <w:rStyle w:val="526"/>
                <w:rFonts w:hint="default"/>
                <w:lang w:bidi="ar"/>
              </w:rPr>
              <w:t>24、数控控制手柄：包含24个按键，3.0寸液晶显示屏；</w:t>
            </w:r>
            <w:r>
              <w:rPr>
                <w:rStyle w:val="526"/>
                <w:rFonts w:hint="default"/>
                <w:lang w:bidi="ar"/>
              </w:rPr>
              <w:br w:type="textWrapping"/>
            </w:r>
            <w:r>
              <w:rPr>
                <w:rStyle w:val="526"/>
                <w:rFonts w:hint="default"/>
                <w:lang w:bidi="ar"/>
              </w:rPr>
              <w:t>25、独立数控手柄的屏幕具有实时加工进程信息显示功能；</w:t>
            </w:r>
            <w:r>
              <w:rPr>
                <w:rStyle w:val="526"/>
                <w:rFonts w:hint="default"/>
                <w:lang w:bidi="ar"/>
              </w:rPr>
              <w:br w:type="textWrapping"/>
            </w:r>
            <w:r>
              <w:rPr>
                <w:rStyle w:val="526"/>
                <w:rFonts w:hint="default"/>
                <w:lang w:bidi="ar"/>
              </w:rPr>
              <w:t>26、具有脱机独立加工功能；</w:t>
            </w:r>
            <w:r>
              <w:rPr>
                <w:rStyle w:val="526"/>
                <w:rFonts w:hint="default"/>
                <w:lang w:bidi="ar"/>
              </w:rPr>
              <w:br w:type="textWrapping"/>
            </w:r>
            <w:r>
              <w:rPr>
                <w:rStyle w:val="526"/>
                <w:rFonts w:hint="default"/>
                <w:lang w:bidi="ar"/>
              </w:rPr>
              <w:t>27、支持断点记忆、文件选行加工，可保存 8 个不同断点加工信息；</w:t>
            </w:r>
            <w:r>
              <w:rPr>
                <w:rStyle w:val="526"/>
                <w:rFonts w:hint="default"/>
                <w:lang w:bidi="ar"/>
              </w:rPr>
              <w:br w:type="textWrapping"/>
            </w:r>
            <w:r>
              <w:rPr>
                <w:rStyle w:val="526"/>
                <w:rFonts w:hint="default"/>
                <w:lang w:bidi="ar"/>
              </w:rPr>
              <w:t>28、支持运行中调整加工速度，用户可通过按键调整加工速度倍率来调整加工速度和空运行速度。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砂柱机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电压220V 50Hz，功率450W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砂柱转速2000Rpm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打磨高度115mm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台面尺寸370*300mm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主轴震动58次/分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震幅16mm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标配φ13/19/26/38/51/76砂带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砂轮砂带机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 xml:space="preserve">电压220V 50Hz，功率250W </w:t>
            </w:r>
            <w:r>
              <w:rPr>
                <w:rStyle w:val="526"/>
                <w:rFonts w:hint="default"/>
                <w:lang w:bidi="ar"/>
              </w:rPr>
              <w:br w:type="textWrapping"/>
            </w:r>
            <w:r>
              <w:rPr>
                <w:rStyle w:val="526"/>
                <w:rFonts w:hint="default"/>
                <w:lang w:bidi="ar"/>
              </w:rPr>
              <w:t>转速2850Rpm</w:t>
            </w:r>
            <w:r>
              <w:rPr>
                <w:rStyle w:val="526"/>
                <w:rFonts w:hint="default"/>
                <w:lang w:bidi="ar"/>
              </w:rPr>
              <w:br w:type="textWrapping"/>
            </w:r>
            <w:r>
              <w:rPr>
                <w:rStyle w:val="526"/>
                <w:rFonts w:hint="default"/>
                <w:lang w:bidi="ar"/>
              </w:rPr>
              <w:t xml:space="preserve">砂带尺寸710*50mm </w:t>
            </w:r>
            <w:r>
              <w:rPr>
                <w:rStyle w:val="526"/>
                <w:rFonts w:hint="default"/>
                <w:lang w:bidi="ar"/>
              </w:rPr>
              <w:br w:type="textWrapping"/>
            </w:r>
            <w:r>
              <w:rPr>
                <w:rStyle w:val="526"/>
                <w:rFonts w:hint="default"/>
                <w:lang w:bidi="ar"/>
              </w:rPr>
              <w:t>砂盘尺寸</w:t>
            </w:r>
            <w:r>
              <w:rPr>
                <w:rStyle w:val="527"/>
                <w:lang w:bidi="ar"/>
              </w:rPr>
              <w:t>Φ</w:t>
            </w:r>
            <w:r>
              <w:rPr>
                <w:rStyle w:val="526"/>
                <w:rFonts w:hint="default"/>
                <w:lang w:bidi="ar"/>
              </w:rPr>
              <w:t>150*20*12.7mm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金工工具箱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配套工具箱55件套，含26种必备常用工具，工具箱内定点定位，方便使用和管理。工具包括：钢丝钳，1把，7"，45钢；尖嘴钳，1把，6"，45钢；钢直尺，1把，300mm钢直尺；扁锉刀，1把，200mm尖头；半圆锉刀，1把，200mm半圆；三角锉，1把，200mm三角；圆锉刀，1把，200mm圆锉；划针，1把，200mm；划规，1把，150mm划规；样冲，1把，GP100C-2ΦD2mm，L100mm；什锦锉，6件/套（轴承钢，半圆锉、三角锉、方锉、圆锉、尖头扁锉、齐头扁锉）；钳工锤，1把，300g木柄；圆头锤，1把，0.45kg木柄圆头；丝锤、扳牙扳手，12件/套；钢卷尺，1把，3m*12.5mmABS；两用扳手，4件/套；内六角扳手，9件/套，1.5-10mm；三叉扳手，1套；螺丝刀，2把，6*100mm+-PH2；螺丝刀，2把，5*75mm+-PH1；活动扳手，1把，8”；钢丝刷，1把，6排木柄；钢锯架，1把，铁皮活动钢锯架；铁皮剪，1把，8”美式铁皮剪；自行车钢丝扳手，1把；三角尺，1把，20*40mm不锈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台虎钳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铸铁，用于夹持工件。4寸：230mm×105mm×115mm,钳口宽度100mm，开口度90mm，3.9kg，钳口深度4.5cm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高度游标卡尺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量程200mm，精度0.02mm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百分表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铝壳，分辨率0.01mm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百分表底座</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总长：385mm，底座：60*50*55mm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研磨基准台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400*300mm，净重20kg；铸铁手工打造、板筋式，材质为：HT200-300。表面光洁度、无裂纹、斑点等缺陷。组织均匀，耐磨性好，不易变形无裂纹、斑点等缺陷。能作研磨工具的材料有：灰铸铁、软钢、筒、铅、木材、皮革、沥青、硬铝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2.5寸，铸铁铸造，用于钻床、铣床等进行各种平面、沟槽、角度、打孔等操作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铣刀刀具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铣刀，铣刀7件套，包含4mm、6mm、8mm、10mm、12mm、14mm、16mm不同规格；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车削刀具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车刀，合金车刀11件套，包含直刀、端面刀、螺纹刀、切断刀、90°外圆车刀正刀、90°外圆车刀反刀、85°外圆车刀、75°外圆车刀、45°外圆车刀及内孔刀2把；一般适用于车床的外圆、端面、内孔、螺纹、平面、台阶、凹槽及切断等工序的加工，采用高速钢材质，有很好的韧性与硬度，可按需磨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通用技术教室2-木工</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结构：演示台设有储物柜，中间为演示台，预留多媒体设备（主机、显示器、）的位置预留。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结构：钢木结构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桌身：方形桌架为方管，整体钢制烤漆骨架，耐腐蚀，不易生锈。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功能：天然实木，坚固耐用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1、规格：≥6000*600*850mm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储物柜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1、规格：≥3650*500*2000mm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3、门板采用，板材采用≥18mm厚E1级三聚氰胺双贴饰面板，外侧板截面采用优质1.5mm厚PVC封边。可调节层板，根据现场定制。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≥3000*600mm，根据墙面尺寸定制，≥1.7mm厚板，加厚冷轧钢，折边宽度为2cm铁，悬挂方式：膨胀螺丝固定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卷轴电源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采用手动升降方式，线长≥5m；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额定电压：‌AC 220–250V‌（国标）；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最大电流：‌10–13A‌（对应负载2500–3250W）；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面板：磨砂PC（绝缘耐高温）；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筒身：阻燃ABS+防火材料。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全金属微型弓臂锯床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1、马达转速：13500转/分钟，电机空载转速：2025转/分钟；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3、台板为六边形设计，边长：75mm，面积：14614mm²；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4、锯条到弓臂最大距离：245mm；（单面最大加工长度）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5、锯床可以进行剪裁、直线和曲线任意切割，锯割深度：硬木≤10mm、三合板≤15mm、软木≤20mm、薄铝片≤2mm、有机玻璃≤5mm、泡沫≤20mm、皮革≤15mm、橡胶≤15mm；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6、配备底板并带有EVA防滑胶垫，提升机床稳定性，底板规格长350mm宽250mm厚20mm，采用复合实木材质，胡桃木面板加黑冰木封边撞色拼接，圆角处理。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金属联体主轴箱、基座、增高基座、锯箱、齿轮、台板、连接块、侧盖、皮带盖等均采用金属结构，电机密封盖、基座侧盖、皮带盖、锯箱、弓臂等零件采用黑色表面处理工艺，机床主轴箱、基座、滑块、增高基座等零件采用灰色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2、电源适配器具有双重绝缘与漏电保护安全措施，连接头采用锁止结构，防止加工时移动设备导致电源断开；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3、台板上带有模具一次成型的数字显示刻度用以提高锯切精度；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4、弓臂采用夷里桥结构设计，使梁体内弯矩减小，增大加工长度，弓臂模具压铸成型，非钢管弯曲；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5、线锯箱采用加强板加强固定，防止加工时位移，提高加工精度与稳定性；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6、锯床压杆上下调整具有手紧螺丝固定结构，不用任何工具就可以上下调整和固定压杆，方便快捷；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7、连接块采用圆弧燕尾型结构，与机床零件的每个槽位相匹配，为防止孔内螺丝滑动，空内螺丝采用四方螺母固定，提高连接块的稳定性和使用寿命；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8、机器经过特殊安全设计,锯齿碰到皮肤只会引起轻微的振动,不会割伤，安全不伤手；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9、机床采用安全圆角处理技术，有效预防金属件划伤皮肤。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全金属微型木工车床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1、马达转速：13500转/分钟，电机空载转速：2025转/分钟；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3、X轴滑块长度210mm行程160mm；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4、中心高25mm，配备中心驱动器，采用六角顶尖加中心顶尖设计，加工过程更加牢靠防止工件滑落；；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5、加工材料最大长度：160mm（X轴滑块的最大行程为160mm）；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6、手持车刀刀柄长：95mm，手柄长：160mm，手柄材质为榉木且表面进行防滑处理，符合人体工程学；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7、木工车刀支撑架为金属材质，规格60*60*22mm，车刀支撑架与平面成45°夹角，方便车刀支撑架支撑车刀，加工更灵活；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8、X轴手轮具有0.02mm精度的刻度线，增加机床加工工件的精确度，机器手轮采用3/4半圆结构，方便拆装机床连接块；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9、顶尾座轴上具有刻度线，可直观看到伸缩数值，方便快速定位，可伸缩范围：0-30mm，具有锁紧装置；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10、配备底板并带有EVA防滑胶垫，提升机床稳定性，底板规格长350mm宽250mm厚20mm，采用复合实木材质，胡桃木面板加黑冰木封边撞色拼接，圆角处理。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金属联体主轴箱、顶尾座、皮带轮、连接块、皮带保护盖等均采用金属结构，机床电机密封盖、顶尾座密封盖、基座侧盖、皮带盖、手轮等零件采用黑色表面处理工艺，机床主轴箱、基座、滑块、增高块等零件采用灰色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2、电源适配器具有双重绝缘与漏电保护安全措施，连接头采用锁止结构，防止加工时移动设备导致电源断开；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3、小滑块、大滑块侧面有防松螺母设计，防止在机床使用过程中由于振动过大而产生间隙，提高加工精度；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4、连接块采用圆弧燕尾型结构，与机床零件的每个槽位相匹配，为防止孔内螺丝滑动，空内螺丝采用四方螺母固定，提高连接块的稳定性和使用寿命；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5、木工车床可以进行车削、截断，可加工各种形状的圆柱，如花瓶、酒杯等，主要加工材料为木材、亚克力、塑料、环氧树脂；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6、机床采用安全圆角处理技术，有效预防金属件划伤皮肤；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全金属微型台式钻床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4、台板为六边形设计，边长：75mm，面积：14614mm²；</w:t>
            </w:r>
            <w:r>
              <w:rPr>
                <w:rStyle w:val="526"/>
                <w:rFonts w:hint="default"/>
                <w:lang w:bidi="ar"/>
              </w:rPr>
              <w:br w:type="textWrapping"/>
            </w:r>
            <w:r>
              <w:rPr>
                <w:rStyle w:val="526"/>
                <w:rFonts w:hint="default"/>
                <w:lang w:bidi="ar"/>
              </w:rPr>
              <w:t>5、X轴滑块长度210mm行程160mm，Z轴滑块长度290mm行程255mm；</w:t>
            </w:r>
            <w:r>
              <w:rPr>
                <w:rStyle w:val="526"/>
                <w:rFonts w:hint="default"/>
                <w:lang w:bidi="ar"/>
              </w:rPr>
              <w:br w:type="textWrapping"/>
            </w:r>
            <w:r>
              <w:rPr>
                <w:rStyle w:val="526"/>
                <w:rFonts w:hint="default"/>
                <w:lang w:bidi="ar"/>
              </w:rPr>
              <w:t>6、X轴手轮和Z轴手轮具有0.02mm精度的刻度线，增加机床加工工件的精确度，机器手轮采用3/4半圆结构，方便拆装机床连接块；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7、配备底板并带有EVA防滑胶垫，提升机床稳定性，底板规格长350mm宽250mm厚20mm，采用复合实木材质，胡桃木面板加黑冰木封边撞色拼接，圆角处理。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台板、连接块、皮带保护盖等均采用金属结构，机床电机密封盖、基座侧盖、皮带盖、台板、手轮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3、台板上带有模具一次成型的数字显示刻度用以提高钻孔精度；</w:t>
            </w:r>
            <w:r>
              <w:rPr>
                <w:rStyle w:val="526"/>
                <w:rFonts w:hint="default"/>
                <w:lang w:bidi="ar"/>
              </w:rPr>
              <w:br w:type="textWrapping"/>
            </w:r>
            <w:r>
              <w:rPr>
                <w:rStyle w:val="526"/>
                <w:rFonts w:hint="default"/>
                <w:lang w:bidi="ar"/>
              </w:rPr>
              <w:t>4、Z轴采用升降丝杠式移动，不需要手动调节主轴箱小滑块高度，具有限位装置，保证加工高度一致，加工精度更高；</w:t>
            </w:r>
            <w:r>
              <w:rPr>
                <w:rStyle w:val="526"/>
                <w:rFonts w:hint="default"/>
                <w:lang w:bidi="ar"/>
              </w:rPr>
              <w:br w:type="textWrapping"/>
            </w:r>
            <w:r>
              <w:rPr>
                <w:rStyle w:val="526"/>
                <w:rFonts w:hint="default"/>
                <w:lang w:bidi="ar"/>
              </w:rPr>
              <w:t>5、小滑块、大滑块侧面有防松螺母设计，防止在机床使用过程中由于振动过大而产生间隙，提高加工精度；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6、连接块采用圆弧燕尾型结构，与机床零件的每个槽位相匹配，为防止孔内螺丝滑动，空内螺丝采用四方螺母固定，提高连接块的稳定性和使用寿命；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7、钻床可以进行钻孔、扩孔、铰孔、攻丝、锪孔，适用加工：木料、软金属（金、银、铜、铝）、有机玻璃、PVC、塑胶、皮革等；</w:t>
            </w:r>
            <w:r>
              <w:rPr>
                <w:rStyle w:val="526"/>
                <w:rFonts w:hint="default"/>
                <w:lang w:bidi="ar"/>
              </w:rPr>
              <w:br w:type="textWrapping"/>
            </w:r>
            <w:r>
              <w:rPr>
                <w:rStyle w:val="526"/>
                <w:rFonts w:hint="default"/>
                <w:lang w:bidi="ar"/>
              </w:rPr>
              <w:t>8、机床采用安全圆角处理技术，预防金属件划伤皮肤。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全金属微型分度机床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w:t>
            </w:r>
            <w:r>
              <w:rPr>
                <w:rStyle w:val="527"/>
                <w:lang w:bidi="ar"/>
              </w:rPr>
              <w:t>ф</w:t>
            </w:r>
            <w:r>
              <w:rPr>
                <w:rStyle w:val="526"/>
                <w:rFonts w:hint="default"/>
                <w:lang w:bidi="ar"/>
              </w:rPr>
              <w:t>1、</w:t>
            </w:r>
            <w:r>
              <w:rPr>
                <w:rStyle w:val="527"/>
                <w:lang w:bidi="ar"/>
              </w:rPr>
              <w:t>ф</w:t>
            </w:r>
            <w:r>
              <w:rPr>
                <w:rStyle w:val="526"/>
                <w:rFonts w:hint="default"/>
                <w:lang w:bidi="ar"/>
              </w:rPr>
              <w:t>2、</w:t>
            </w:r>
            <w:r>
              <w:rPr>
                <w:rStyle w:val="527"/>
                <w:lang w:bidi="ar"/>
              </w:rPr>
              <w:t>ф</w:t>
            </w:r>
            <w:r>
              <w:rPr>
                <w:rStyle w:val="526"/>
                <w:rFonts w:hint="default"/>
                <w:lang w:bidi="ar"/>
              </w:rPr>
              <w:t>3、</w:t>
            </w:r>
            <w:r>
              <w:rPr>
                <w:rStyle w:val="527"/>
                <w:lang w:bidi="ar"/>
              </w:rPr>
              <w:t>ф</w:t>
            </w:r>
            <w:r>
              <w:rPr>
                <w:rStyle w:val="526"/>
                <w:rFonts w:hint="default"/>
                <w:lang w:bidi="ar"/>
              </w:rPr>
              <w:t>4、</w:t>
            </w:r>
            <w:r>
              <w:rPr>
                <w:rStyle w:val="527"/>
                <w:lang w:bidi="ar"/>
              </w:rPr>
              <w:t>ф</w:t>
            </w:r>
            <w:r>
              <w:rPr>
                <w:rStyle w:val="526"/>
                <w:rFonts w:hint="default"/>
                <w:lang w:bidi="ar"/>
              </w:rPr>
              <w:t>5、</w:t>
            </w:r>
            <w:r>
              <w:rPr>
                <w:rStyle w:val="527"/>
                <w:lang w:bidi="ar"/>
              </w:rPr>
              <w:t>ф</w:t>
            </w:r>
            <w:r>
              <w:rPr>
                <w:rStyle w:val="526"/>
                <w:rFonts w:hint="default"/>
                <w:lang w:bidi="ar"/>
              </w:rPr>
              <w:t>6；</w:t>
            </w:r>
            <w:r>
              <w:rPr>
                <w:rStyle w:val="526"/>
                <w:rFonts w:hint="default"/>
                <w:lang w:bidi="ar"/>
              </w:rPr>
              <w:br w:type="textWrapping"/>
            </w:r>
            <w:r>
              <w:rPr>
                <w:rStyle w:val="526"/>
                <w:rFonts w:hint="default"/>
                <w:lang w:bidi="ar"/>
              </w:rPr>
              <w:t>4、分度盘为机械式结构模具压铸一体成型，分度盘上具有刻度线，可旋转进行角度加工，在加工时可快速在任意刻度自锁紧定位，定位从0到360度区间连续角度调整，定位精度为2度，具备快速分度定位加工功能；</w:t>
            </w:r>
            <w:r>
              <w:rPr>
                <w:rStyle w:val="526"/>
                <w:rFonts w:hint="default"/>
                <w:lang w:bidi="ar"/>
              </w:rPr>
              <w:br w:type="textWrapping"/>
            </w:r>
            <w:r>
              <w:rPr>
                <w:rStyle w:val="526"/>
                <w:rFonts w:hint="default"/>
                <w:lang w:bidi="ar"/>
              </w:rPr>
              <w:t>5、X轴滑块长度210mm行程160mm，Y轴滑块长度135mm行程40mm，Z轴滑块长度290mm行程255mm；</w:t>
            </w:r>
            <w:r>
              <w:rPr>
                <w:rStyle w:val="526"/>
                <w:rFonts w:hint="default"/>
                <w:lang w:bidi="ar"/>
              </w:rPr>
              <w:br w:type="textWrapping"/>
            </w:r>
            <w:r>
              <w:rPr>
                <w:rStyle w:val="526"/>
                <w:rFonts w:hint="default"/>
                <w:lang w:bidi="ar"/>
              </w:rPr>
              <w:t>6、X轴手轮、Y轴手轮和Z轴手轮，具有0.02mm精度的刻度线，增加机床加工工件的精确度，机器手轮采用3/4半圆结构，方便拆装机床连接块；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7、配备底板并带有EVA防滑胶垫，提升机床稳定性，底板规格长350mm宽250mm厚20mm，采用复合实木材质，胡桃木面板加黑冰木封边撞色拼接，圆角处理。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分度定位器、连接块、皮带保护盖等均采用金属结构，机床电机密封盖、基座侧盖、皮带盖、虎钳、手轮等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3、分度盘具有三角止锁结构设计，夹持更加稳定牢固；</w:t>
            </w:r>
            <w:r>
              <w:rPr>
                <w:rStyle w:val="526"/>
                <w:rFonts w:hint="default"/>
                <w:lang w:bidi="ar"/>
              </w:rPr>
              <w:br w:type="textWrapping"/>
            </w:r>
            <w:r>
              <w:rPr>
                <w:rStyle w:val="526"/>
                <w:rFonts w:hint="default"/>
                <w:lang w:bidi="ar"/>
              </w:rPr>
              <w:t>4、Z轴采用升降丝杠式移动，不需要手动调节主轴箱小滑块高度，具有限位装置，保证加工高度一致；加工精度更高；</w:t>
            </w:r>
            <w:r>
              <w:rPr>
                <w:rStyle w:val="526"/>
                <w:rFonts w:hint="default"/>
                <w:lang w:bidi="ar"/>
              </w:rPr>
              <w:br w:type="textWrapping"/>
            </w:r>
            <w:r>
              <w:rPr>
                <w:rStyle w:val="526"/>
                <w:rFonts w:hint="default"/>
                <w:lang w:bidi="ar"/>
              </w:rPr>
              <w:t>5、小滑块、大滑块侧面有防松螺母设计，防止在机床使用过程中由于振动过大而产生间隙，提高加工精度；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6、连接块采用圆弧燕尾型结构，与机床零件的每个槽位相匹配，为防止孔内螺丝滑动，空内螺丝采用四方螺母固定，提高连接块的稳定性和使用寿命；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7、分度机床可以进行等分钻孔、等分铣削、加工齿轮，适用加工：木料、软金属（金、银、铜、铝）、有机玻璃、PVC、塑胶、皮革等；</w:t>
            </w:r>
            <w:r>
              <w:rPr>
                <w:rStyle w:val="526"/>
                <w:rFonts w:hint="default"/>
                <w:lang w:bidi="ar"/>
              </w:rPr>
              <w:br w:type="textWrapping"/>
            </w:r>
            <w:r>
              <w:rPr>
                <w:rStyle w:val="526"/>
                <w:rFonts w:hint="default"/>
                <w:lang w:bidi="ar"/>
              </w:rPr>
              <w:t>8、机床采用安全圆角处理技术，预防金属件划伤皮肤。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全金属微型台式磨床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1、马达转速：13500转/分钟，电机空载转速：2025转/分钟；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3、台板为六边形设计，边长：75mm，面积：不小于14600mm²；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4、砂轮盘直径50mm，具有9个等分排列的排气孔；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5、配备底板并带有EVA防滑胶垫，提升机床稳定性，底板规格长350mm宽250mm厚20mm，采用复合实木材质，胡桃木面板加黑冰木封边撞色拼接，圆角处理。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金属联体主轴箱及马达箱、加宽梁基座、皮带轮、连接块、台板、砂纸盘等均采用金属结构，电机密封盖、基座侧盖、台板、砂轮盘等零件采用黑色表面处理工艺，机床主轴箱、基座等零件采用灰色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2、电源适配器具有双重绝缘与漏电保护安全措施，连接头采用锁止结构，防止加工时移动设备导致电源断开；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3、台板上带有模具一次成型的数字显示刻度用以提高打磨精度；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4、连接块采用圆弧燕尾型结构，与机床零件的每个槽位相匹配，为防止孔内螺丝滑动，空内螺丝采用四方螺母固定，提高连接块的稳定性和使用寿命；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5、磨床可以进行抛光、砂光、打磨，加工材料：木材、皮革、橡胶、工程塑料、软金属(铝、铜等)；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6、机床采用安全圆角处理技术，有效预防金属件划伤皮肤。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全金属微型铣圆机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一、技术参数</w:t>
            </w:r>
            <w:r>
              <w:rPr>
                <w:rStyle w:val="526"/>
                <w:rFonts w:hint="default"/>
                <w:lang w:bidi="ar"/>
              </w:rPr>
              <w:br w:type="textWrapping"/>
            </w:r>
            <w:r>
              <w:rPr>
                <w:rStyle w:val="526"/>
                <w:rFonts w:hint="default"/>
                <w:lang w:bidi="ar"/>
              </w:rPr>
              <w:t>1、马达转速：13500转/分钟，电机空载转速：2025转/分钟；</w:t>
            </w:r>
            <w:r>
              <w:rPr>
                <w:rStyle w:val="526"/>
                <w:rFonts w:hint="default"/>
                <w:lang w:bidi="ar"/>
              </w:rPr>
              <w:br w:type="textWrapping"/>
            </w:r>
            <w:r>
              <w:rPr>
                <w:rStyle w:val="526"/>
                <w:rFonts w:hint="default"/>
                <w:lang w:bidi="ar"/>
              </w:rPr>
              <w:t>2、输入电压/电流/功率：12VDC/4A/48W；</w:t>
            </w:r>
            <w:r>
              <w:rPr>
                <w:rStyle w:val="526"/>
                <w:rFonts w:hint="default"/>
                <w:lang w:bidi="ar"/>
              </w:rPr>
              <w:br w:type="textWrapping"/>
            </w:r>
            <w:r>
              <w:rPr>
                <w:rStyle w:val="526"/>
                <w:rFonts w:hint="default"/>
                <w:lang w:bidi="ar"/>
              </w:rPr>
              <w:t>3、夹头：1-6mm，规格：ф1、ф2、ф3、ф4、ф5、ф6；</w:t>
            </w:r>
            <w:r>
              <w:rPr>
                <w:rStyle w:val="526"/>
                <w:rFonts w:hint="default"/>
                <w:lang w:bidi="ar"/>
              </w:rPr>
              <w:br w:type="textWrapping"/>
            </w:r>
            <w:r>
              <w:rPr>
                <w:rStyle w:val="526"/>
                <w:rFonts w:hint="default"/>
                <w:lang w:bidi="ar"/>
              </w:rPr>
              <w:t>4、回转盘为压铸一体成型，尺寸：底座50*50*18mm，旋转盘Φ50mm，总高25mm；</w:t>
            </w:r>
            <w:r>
              <w:rPr>
                <w:rStyle w:val="526"/>
                <w:rFonts w:hint="default"/>
                <w:lang w:bidi="ar"/>
              </w:rPr>
              <w:br w:type="textWrapping"/>
            </w:r>
            <w:r>
              <w:rPr>
                <w:rStyle w:val="526"/>
                <w:rFonts w:hint="default"/>
                <w:lang w:bidi="ar"/>
              </w:rPr>
              <w:t>5、回转盘顶部具有五孔固定连接功能，具有数字显示刻度，内嵌轴承，旋转更加流畅；</w:t>
            </w:r>
            <w:r>
              <w:rPr>
                <w:rStyle w:val="526"/>
                <w:rFonts w:hint="default"/>
                <w:lang w:bidi="ar"/>
              </w:rPr>
              <w:br w:type="textWrapping"/>
            </w:r>
            <w:r>
              <w:rPr>
                <w:rStyle w:val="526"/>
                <w:rFonts w:hint="default"/>
                <w:lang w:bidi="ar"/>
              </w:rPr>
              <w:t>6、回转盘具有快速分度定位功能，在加工时可快速在任意刻度自锁紧定位，分度定位从0到360度区间连续角度调整，定位精度为2度；</w:t>
            </w:r>
            <w:r>
              <w:rPr>
                <w:rStyle w:val="526"/>
                <w:rFonts w:hint="default"/>
                <w:lang w:bidi="ar"/>
              </w:rPr>
              <w:br w:type="textWrapping"/>
            </w:r>
            <w:r>
              <w:rPr>
                <w:rStyle w:val="526"/>
                <w:rFonts w:hint="default"/>
                <w:lang w:bidi="ar"/>
              </w:rPr>
              <w:t>7、最大加工半径：130mm；最大加工高度：0-120mm（可伸缩调节至130mm）；</w:t>
            </w:r>
            <w:r>
              <w:rPr>
                <w:rStyle w:val="526"/>
                <w:rFonts w:hint="default"/>
                <w:lang w:bidi="ar"/>
              </w:rPr>
              <w:br w:type="textWrapping"/>
            </w:r>
            <w:r>
              <w:rPr>
                <w:rStyle w:val="526"/>
                <w:rFonts w:hint="default"/>
                <w:lang w:bidi="ar"/>
              </w:rPr>
              <w:t>8、Y轴滑块长度210mm行程160mm，Z轴滑块长度290mm行程255mm；</w:t>
            </w:r>
            <w:r>
              <w:rPr>
                <w:rStyle w:val="526"/>
                <w:rFonts w:hint="default"/>
                <w:lang w:bidi="ar"/>
              </w:rPr>
              <w:br w:type="textWrapping"/>
            </w:r>
            <w:r>
              <w:rPr>
                <w:rStyle w:val="526"/>
                <w:rFonts w:hint="default"/>
                <w:lang w:bidi="ar"/>
              </w:rPr>
              <w:t>9、Y轴手轮和Z轴手轮，具有0.02mm精度的刻度线，增加机床加工工件的精确度，机器手轮采用3/4半圆结构，方便拆装机床连接块；</w:t>
            </w:r>
            <w:r>
              <w:rPr>
                <w:rStyle w:val="526"/>
                <w:rFonts w:hint="default"/>
                <w:lang w:bidi="ar"/>
              </w:rPr>
              <w:br w:type="textWrapping"/>
            </w:r>
            <w:r>
              <w:rPr>
                <w:rStyle w:val="526"/>
                <w:rFonts w:hint="default"/>
                <w:lang w:bidi="ar"/>
              </w:rPr>
              <w:t>10、配备底板并带有EVA防滑胶垫，提升机床稳定性，底板规格长350mm宽250mm厚20mm，采用复合实木材质，胡桃木面板加黑冰木封边撞色拼接，圆角处理。</w:t>
            </w:r>
            <w:r>
              <w:rPr>
                <w:rStyle w:val="526"/>
                <w:rFonts w:hint="default"/>
                <w:lang w:bidi="ar"/>
              </w:rPr>
              <w:br w:type="textWrapping"/>
            </w:r>
            <w:r>
              <w:rPr>
                <w:rStyle w:val="526"/>
                <w:rFonts w:hint="default"/>
                <w:lang w:bidi="ar"/>
              </w:rPr>
              <w:t>二、功能描述</w:t>
            </w:r>
            <w:r>
              <w:rPr>
                <w:rStyle w:val="526"/>
                <w:rFonts w:hint="default"/>
                <w:lang w:bidi="ar"/>
              </w:rPr>
              <w:br w:type="textWrapping"/>
            </w:r>
            <w:r>
              <w:rPr>
                <w:rStyle w:val="526"/>
                <w:rFonts w:hint="default"/>
                <w:lang w:bidi="ar"/>
              </w:rPr>
              <w:t>1、金属联体主轴箱、手轮、齿轮、小滑块、侧盖、大滑块、回转盘、连接块、皮带保护盖等均采用金属结构，机床电机密封盖、基座侧盖、皮带盖、虎钳、手轮等零件采用黑色表面处理工艺，机床主轴箱、基座、滑块等零件采用灰色表面处理工艺；</w:t>
            </w:r>
            <w:r>
              <w:rPr>
                <w:rStyle w:val="526"/>
                <w:rFonts w:hint="default"/>
                <w:lang w:bidi="ar"/>
              </w:rPr>
              <w:br w:type="textWrapping"/>
            </w:r>
            <w:r>
              <w:rPr>
                <w:rStyle w:val="526"/>
                <w:rFonts w:hint="default"/>
                <w:lang w:bidi="ar"/>
              </w:rPr>
              <w:t>2、电源适配器具有双重绝缘与漏电保护安全措施，连接头采用锁止结构，防止加工时移动设备导致电源断开；</w:t>
            </w:r>
            <w:r>
              <w:rPr>
                <w:rStyle w:val="526"/>
                <w:rFonts w:hint="default"/>
                <w:lang w:bidi="ar"/>
              </w:rPr>
              <w:br w:type="textWrapping"/>
            </w:r>
            <w:r>
              <w:rPr>
                <w:rStyle w:val="526"/>
                <w:rFonts w:hint="default"/>
                <w:lang w:bidi="ar"/>
              </w:rPr>
              <w:t>3、Z轴采用升降丝杠式移动，不需要手动调节主轴箱小滑块高度，Z轴具有限位装置，保证加工高度一致，加工精度更高；</w:t>
            </w:r>
            <w:r>
              <w:rPr>
                <w:rStyle w:val="526"/>
                <w:rFonts w:hint="default"/>
                <w:lang w:bidi="ar"/>
              </w:rPr>
              <w:br w:type="textWrapping"/>
            </w:r>
            <w:r>
              <w:rPr>
                <w:rStyle w:val="526"/>
                <w:rFonts w:hint="default"/>
                <w:lang w:bidi="ar"/>
              </w:rPr>
              <w:t>4、小滑块、大滑块侧面有防松螺母设计，防止在机床使用过程中由于振动过大而产生间隙，提高加工精度；</w:t>
            </w:r>
            <w:r>
              <w:rPr>
                <w:rStyle w:val="526"/>
                <w:rFonts w:hint="default"/>
                <w:lang w:bidi="ar"/>
              </w:rPr>
              <w:br w:type="textWrapping"/>
            </w:r>
            <w:r>
              <w:rPr>
                <w:rStyle w:val="526"/>
                <w:rFonts w:hint="default"/>
                <w:lang w:bidi="ar"/>
              </w:rPr>
              <w:t>5、连接块采用圆弧燕尾型结构，与机床零件的每个槽位相匹配，为防止孔内螺丝滑动，空内螺丝采用四方螺母固定，提高连接块的稳定性和使用寿命；</w:t>
            </w:r>
            <w:r>
              <w:rPr>
                <w:rStyle w:val="526"/>
                <w:rFonts w:hint="default"/>
                <w:lang w:bidi="ar"/>
              </w:rPr>
              <w:br w:type="textWrapping"/>
            </w:r>
            <w:r>
              <w:rPr>
                <w:rStyle w:val="526"/>
                <w:rFonts w:hint="default"/>
                <w:lang w:bidi="ar"/>
              </w:rPr>
              <w:t>6、铣圆机可以进行加工阶梯圆，扇形圆，可加工等分沟槽圆形等，适用加工：木料、软金属（金、银、铜、铝）、有机玻璃、PVC、塑胶、皮革等；</w:t>
            </w:r>
            <w:r>
              <w:rPr>
                <w:rStyle w:val="526"/>
                <w:rFonts w:hint="default"/>
                <w:lang w:bidi="ar"/>
              </w:rPr>
              <w:br w:type="textWrapping"/>
            </w:r>
            <w:r>
              <w:rPr>
                <w:rStyle w:val="526"/>
                <w:rFonts w:hint="default"/>
                <w:lang w:bidi="ar"/>
              </w:rPr>
              <w:t>7、机床采用安全圆角处理技术，预防金属件划伤皮肤。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全金属微型四轴数控雕铣机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金属联体主轴箱、手轮、齿轮、小滑块、侧盖、大滑块、虎钳、连接块、皮带保护盖等均采用金属结构，机床电机密封盖、基座侧盖、皮带盖、虎钳、手轮等零件采用低温黑色金属表面处理工艺，机床主轴箱、基座、滑块等零件采用高压灰色金属表面处理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2、整机净重：不小于8.9公斤；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3、马达转速：13500转/分钟，电机空载转速：2000转/分钟；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4、输入电压/电流/功率：12VDC/4A/48W；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5、电源适配器具有双重绝缘、安全电压和漏电保护安全措施；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6、电源适配器连接头采用锁止结构，防止加工时移动设备导致电源断开，提高加工安全性；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7、夹头：1-6mm，规格：ф1、ф2、ф3、ф4、ф5、ф6；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8、虎钳为模具压铸成型，尺寸：50*150mm，夹持范围：0-105mm；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9、虎钳具有可移动档位设计，每隔35mm为一档，可根据夹持不同尺寸工件来选择档位；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10、主轴与步进电机采用十字滑轨联轴器连接，直径25mm，总长35mm，动能传输更稳定，加工精度更高；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11、传动盒采用双滑轨五面封闭设计，尺寸：长53mm宽56mm高56mm，减少传动能的流失，保证加工精度；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12、控制器：X、Y、Z、A四轴可控，实现2、3、4轴联动加工；四轴联动，三维曲面加工；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13、步进电机：电流3A，步距角1.8°，相数2相；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14、加工范围：X=160mm、Y=40mm、Z=255mm、A=360°；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15、加工精度：≤0.05mm；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16、加工材料：木材，塑料,亚克力，金银铜铝等各种软金属；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17、电脑编程，无需手工操作；传输端口：U盘/网络；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18、支持标准的 G 代码、PLT 格式指令；支持国内外主流 CAM 软件，如：Type3、Artcam、UG、Pro/E、MasterCAM、Cimatron、文泰等软件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具备掉电保护功能。加工中断电瞬间系统自动保存当前加工信息（文件名、当前加工行号、加工速度、主轴档位），再次上电完成回机床原点动作后，系统自动提示用户恢复断电前加工，将加工操作变得更人性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20、高精度的步进驱动系统和高精度的传动丝扛；高精度电机，实现主轴无级调速；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21、数制盒外观尺寸：220mm*150mm*70mm，处理器：DSP，电压：24V，内置存储：512M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22、数控盒内置入电机调速控制器，可与电机直接连接，不需要外置电源连接电机。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23、数控可控I/O端口：多I/O点控制方式，标准配备I/O信号节点各有6输入、4输出信号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24、数控控制手柄：包含24个按键，3.0寸液晶显示屏；                                 25、独立数控手柄的屏幕具有实时加工进程信息显示功能；                                  26、具有脱机独立加工功能；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27、支持断点记忆、文件选行加工，可保存 8 个不同断点加工信息；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28、支持运行中调整加工速度，用户可通过按键调整加工速度倍率来调整加工速度和空运行速度。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小型带锯机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电压220V 50Hz，功率350W，采用100%纯铜电机，经久耐用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空载转速14.7m/s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最大切割高度50mm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工作台尺寸 305×305mm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角度切割范围0—45°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锯条规格 1425*6.35*6T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采用5mm厚度铸铝后支撑体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底座为铸铁设计，是整机稳重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尺寸435*365*710mm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小型砂带机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电压220V 50Hz，功率500W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砂盘纸经152mm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砂带规格100*914mm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工作台倾斜范围 0—45°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砂盘转速2950Rpm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砂带转速7.6m/s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小型木工车床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工件装夹在卡盘内，或支承在主轴及尾架两顶尖之间作旋转运动，适用于车外圆、车端面、切槽和镗孔等加工。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无级调速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 50Hz，功率550W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车床回转直径200mm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加工工件长度300mm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主轴接口25.4mm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输出转速 750-3200RPM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小型压刨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刨床是使刀具和工件之间产生相对的直线往复运动来达到刨削工件表面的目的；适用于刨削水平面、垂直面、斜面、曲面、台阶面、燕尾形工件、T形槽、V形槽，也适用于刨削孔、齿轮和齿条等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 2000W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刀辊的转速8000r/min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最小刨削高度160mm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最大的刨削宽度330mm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单次刨削1—3mm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自动进给速度8m/min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刀辊上刀片数量2片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全铜电机，持久稳定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小型平刨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刨床是使刀具和工件之间产生相对的直线往复运动来达到刨削工件表面的目的；适用于刨削水平面、垂直面、斜面、曲面、台阶面、燕尾形工件、T形槽、V形槽，也适用于刨削孔、齿轮和齿条等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 1800W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刀辊的转速12000r/min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刨削宽度150mm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单次刨削0—3mm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可调整角度进行刨削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小型台钻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适用于中小型零件钻孔、扩孔、铰孔、攻螺纹、刮平面等工作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精度高，刚性好，操作方便，易于维护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五档转速可调620—2620Rpm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立柱φ46mm 壁厚1.5mm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钻夹头1.5-13mm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主轴行程50mm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木工工具箱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配套工具箱20件套，含18种必备常用工具，工具箱内定点定位，方便使用和管理。工具包括：木工凿子，1把，3/4”；美工刀，1把，包胶；木工锉，1把，8"半圆；剪刀，1把，多用；羊角锤，1把，0.5KG木柄；鸟刨，1把；手推刨，1把；钢角尺，1把，300mm；螺丝刀，1把，6*125+-铬钒钢，芝麻柄；老虎钳，1把，8"黄黑双色柄；卷尺，1把，3m*12.5mm；G形夹，1把，3"；有机玻璃钩刀，1把，钩刀带两把刀片；木工鸡尾锯，1把，锰钢三面齿，磨齿锯；木工铅笔，1支；小水平尺，1把，S93型，塑料，三水泡，45°、90°、180°；墨斗，1个，新型迷你墨斗；磨刀石一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热熔胶枪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220V，60W；PTC热敏原件，外壳采用高压ABS材质；内置保险丝、枪嘴材质：铝合金；适用11-11.5mm热熔胶棒；预热时间：1-2分钟，规格尺寸：175*150mm；电线长度：≥90mm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什锦锉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5*180mm，10支装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橡皮锤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总长：305mm,手柄长：145mm，锤体直径：45mm，敲击面直径：40mm，锤头高：102mm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长185mm，宽60mm，高40mm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角度尺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0.02mm，0～150mm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木工车削刀具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木工车刀，8件套木工车刀，规格：圆刀（24mm 15mm 10mm），三角刀（13mm），平圆刀（13mm），斜刀（25mm 13mm），剑三角刀（13mm），材质：45号钢，重量：1.45Kg，产品尺寸：全长36cm，木柄长24cm，刀头长12cm；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微型机床备件包1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模具成型分隔零件盒，包含：单孔槽螺母6个；连接块3个，四方半圆形分体式结构，含四角螺母及配套十字螺丝紧固；铜夹头6个，黄铜材质，含直径1mm、2mm、3mm、4mm、5mm、6mm夹头各1个；夹头固定螺母1个，钢质；同步传动皮带2根，85齿，长度172mm，宽度5.3mm；十字螺丝20颗，M4*6/20，皮带盖与机床底板使用；自攻钉30颗，M3.5*16，基座侧盖使用；垫片20个，M4*12*1.5，底板安装使用；六角螺母20个，M4；3M防滑垫片4张，带背胶；十字螺丝刀1把，4*100mm；梅开两用扳手2把，7mm、15mm各1把；六角扳手4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微型机床备件包2</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模具成型分隔零件盒，包含：专用锯条50支，齿数：31±1，总长度40mm；滚花螺丝2颗，M5*15；锯条固定圈4个，钢质，直径9*6mm；圆砂纸，直径48mm带背胶，沙粒度100-150；羊毛抛光轮4个；陶瓷磨头5个；钢丝刷2个；砂圈夹杆2个；自攻杆1个；通用切片安装杆1个；麻花钻1个；砂圈6个；砂磨针3个；磨砂纸5片；切割片6片；砂轮1个；转接头1个；六角扳手1个；开口扳手1个；内六角螺丝40颗，M4*10、M4*12各20颗，加强板、木工刀架、台板使用；内六角螺丝5颗，M5*16，锯床压块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微型机床备件包3</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模具成型分隔零件盒，包含：六角梅花顶尖1个，柄径6*15mm，总长30mm，材质：钢；中心定位尺（圆心尺）2把，外形尺寸49*65mm，材质：塑料；车刀固定夹2个，钢质；车刀2把，4*4*51mm，材质：白钢；铣刀2支，柄径6mm，D6*13*57mm，材质：白钢；钻头4支，柄径3mm，D3*33*61mm，材质：M35高钴；虎钳加力棒2支；手轮摇把5个，直径8*20mm，包含内嵌套管及配套六角螺丝；限位器，规格：23*15*12mm，材质：钢；内六角螺丝20颗，M4*10，加强板、木工刀架使用；内六角螺丝20颗，M4*14，车床刀架使用；内六角螺丝20颗，M4*12，台板使用；十字螺丝20颗，M4*15，虎钳底座使用；止付螺丝20颗，M4*10，顶尾座使用；止付螺丝20颗，M4*13，滑块使用；十字螺丝20颗，M4*6，皮带盖使用；滚花螺丝2颗，M4*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手持除屑器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1、吸力：5千帕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2、噪音（db)：76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3、所带吸嘴刷头：毛刷吸嘴，缝隙吸嘴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4、连续使用时间：30分钟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5、灰尘储藏方式：集尘盒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6、集尘容量：350ml（液态容量100ml）</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7、排风过滤：海绵滤网，可水洗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8、电池容量：2000mah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9、外形尺寸：160×66×215mm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10、净重：约0.3kg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防护眼镜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防冲击，PVC材料，透明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简易急救箱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质外壳箱体，包含药品：烧伤软膏1支、小药盒1个、人工呼吸膜1片、退热贴1片、创可贴200片、碘伏片10片、小剪刀1把、大号镊子1把、棉签240支、一次性手套100个、酒精棉棒4支、碘伏棉棒4支、别针10个、急救毯1包、冰袋1包、网纱布1片、绷带2包、止血带1个、胶带1卷、三角绷带1包、急救手册1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47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通用技术教室3-电子控制教室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结构：演示台设有储物柜，中间为演示台，预留多媒体设备（主机、显示器、）的位置预留。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结构：钢木结构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桌身：方形桌架为方管，整体钢制烤漆骨架，耐腐蚀，不易生锈。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功能：天然实木，坚固耐用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1、规格：≥5000*600*850mm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储物柜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1、规格：≥7700*500*2000mm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3、门板采用，板材采用≥18mm厚E1级三聚氰胺双贴饰面板，外侧板截面采用优质1.5mm厚PVC封边。可调节层板，根据现场定制。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≥3000*600mm，根据墙面尺寸定制，≥1.7mm厚板，加厚冷轧钢，折边宽度为2cm铁，悬挂方式：膨胀螺丝固定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雨水警报器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比特信号接收、蜂鸣比特。亚克力结构件：RA、SA、CC若干。外围设备：9v电池、9v电池扣线、雨滴传感器、双头4p连接线、螺丝螺帽、杜邦线、连接线路板、导电胶布若干。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微型地震仪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比较器、蜂鸣器。亚克力结构件若干。外围设备：震动传感器、连接线路板、杜邦线、螺丝螺帽、导电胶布若干。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磁铁报警器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电源、信号接收、蜂鸣器。亚克力结构件若干。外围设备：4p连接线、磁控开关模块、杜邦线、连接线路板、螺丝螺帽、导电胶布若干。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酒精报警器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铝合金充电电源、蜂鸣器、气体传感器、比较器比特。亚克力结构件若干。外围设备：9v电池、9v电池扣线、螺丝螺帽、导电胶布若干。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语音留言器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箱定点定位安放。每套包含：传感器：LcyhAtmega328开发板亚克力盖板。语音控制模块。小喇叭。亚克力标准结构件：J3、CA、RA、SB若干。外围设备：大面包板、带帽按键开关、2p连接线、螺丝螺帽、杜邦线若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基本数字电路认知设计套件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逻辑门电路应用套件。规格≥220*160*40mm安全、无毒、不易磨损，连接方式：插件式结构、可反复使用，无需焊接，电源输入2种方式1、6V电池盒。2、5V适配电源输入。PCB台面表面带有线路原来图，灯笼头插头线。提供9组与或非门多种形式输出，包括74LS08（与门集成电路）、74LS32（或门集成电路）、74LS04（非门集成电路）、74LS00（与非门集成电路）、74LS02（或非门集成电路）、NE555触发器等集成电路，带输入、自带一路逻辑笔电路，检测高、低、悬空三种电平。输出指示和数字电路真值表.LED指示灯显示。带输出外接信号扩展区。通过本实验电路，让学生掌握基本逻辑门电路的基本原来和555定时器的使用，知道常见的数字集成电路的类型，并能用数字集成电路设计和制作一些简单的实用电路装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声控灯原理设计实验箱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铝合金箱式包装。规格：≥320*172*12mm。插接型可循环利用。可以设计各种简单的开、闭环控制系统，并进行试验。 2、实现光控、声控、温控、磁控、人体感应控制等多种控制方案。数字电路模块与门、非门、或门。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2"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电能表原理说明器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由单相透明外壳电度表、开关、灯座、用电器插座等组成，安装于演示板上；演示板上贴有电能表结构原理图和照明电路图。2.工作电压：交流220V。3.标定电流：2A，最大电流为标定电流的2倍。4.电度表准确度为2级。5.教学演示效果明显。配件包括：1、螺口式灯座一只；2、陶瓷接线盒一只；3、电源插座一只；4、单连开关一只；5、电能表一只；6、漏电保护器一只；7、闸刀开关一把；8、空气开关一个；9、电线；10、印刷彩色原理接线图面板一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家庭电路实验箱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箱式包装，规格：≥315*100*270mm，采用PCB实验面板。该系统由三部分组成：供电系统、家庭照明供电系统、用电器与插座三个部分。7.5V1A供电确保学生实验安全操作。二、各个部分的功能。供电系统功能：模拟交流电输入，交流电输入通过电能表、闸刀开关、保险丝后进入用电系统，了解电表和保险丝的作用。家庭照明供电系统：该系统由五种传感器组成：开关、声音传感器、人体感应传感器、触摸传感器和光电传感器、组成，可进行：1、开关控制实验灯、2、声控灯实验、3、人体感应灯试验、4、触摸灯试验、5、光控灯实验、6、延时控制、7、多控灯等多种实验。8、用电器与插座：了解插座中的的火线、零线和地线的连接和位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磁敏传感器编程实验套件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Ⅷ版磁敏传感器实验套件：规格140*100*25mm，连接方式：-PCB台面，可反复使用，无需焊接，带7.5V密封电源。1.通过试验电路，认识常见的传感器，了解传感器的作用，学会检测传感器。2..具有清晰的框图，详细了解整个实验平台系统构成。3.采用高清OLED屏，清晰显示传感器数据。4.采用霍尔传感器，精确测量电机转速。5. 采用可调电路，调节电机的转速。产品安全、无毒、不易磨损。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力敏传感器实验套件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Ⅷ版力敏传感器实验套件：规格140*100*25mm，连接方式：-PCB台面，可反复使用，无需焊接，带7.5V密封电源。1.通过试验电路，认识常见的传感器，了解传感器的作用，学会检测传感器。2..具有清晰的框图，详细了解整个实验平台系统构成。3.采用高清OLED屏，清晰显示传感器数据。4.采用16位高精度AD采样芯片，保证采样数据的精确。5.采用高精度应变式力敏传感器，托盘式结构，精确测量被测物的数据，精度达到0.1克。产品安全、无毒、不易磨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气敏传感器实验套件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Ⅷ版气敏传感器实验套件：规格140*100*25mm，连接方式：-PCB台面，插件式结构、可反复使用，无需焊接，带7.5V密封电源。1.通过试验电路，认识常见的传感器，了解传感器的作用，学会检测传感器。2..具有清晰的框图，详细了解整个实验平台系统构成。3.采用高清OLED屏，清晰显示传感器数据。4.采用10位高精度AD采样单片机，保证采样数据的精确。5.采用高精度酒精传感器，采样气体中的酒精浓度。6. 采用通用气体传感器插座，可以更换多种气体传感器。产品安全、无毒、不易磨损。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红外线发射与接收及编码装置示教模型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色铝合金箱式包装。规格：315*260*120。包含：1、1.5V*3塑料件电池盒(黑)，单联船形开关，红外接收管HS0038传感器，直插式1N4148二极管，直插式S9012三极管，直插式6.8K色环电阻，直插式S9013三极管，蜂鸣器,发射编码芯片，接收编码芯片等。2、多种控制输出模式，可控制LED灯，电动机，蜂鸣器，继电器，可实现红外信号编码与解码功能等。3、6路按键控制。教学功能：完成教材遥控电子控制系统的讲解等。教学应用：在电子控制系统概念讲解时，可以利用此电路作例子；在讲解电子控制系统的组成和工作程时，让学生来分析；讲解开环电子控制系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数字信号与逻辑门应用套件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220*160*40mm安全、无毒、不易磨损，连接方式：插件式结构、可反复使用，无需焊接，电源输入2种方式1、6V电池盒。2、5V适配电源输入。PCB台面表面带有线路原来图，灯笼头插头线。提供9组与或非门多种形式输出，包括74LS08（与门集成电路）、74LS32（或门集成电路）、74LS04（非门集成电路）、74LS00（与非门集成电路）、74LS02（或非门集成电路）、NE555触发器等集成电路，带输入、自带一路逻辑笔电路，检测高、低、悬空三种电平。输出指示和数字电路真值表.LED指示灯显示。带输出外接信号扩展区。通过本实验电路，让学生掌握基本逻辑门电路的基本原来和555定时器的使用，知道常见的数字集成电路的类型，并能用数字集成电路设计和制作一些简单的实用电路装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家庭用电系统实验箱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箱式包装，规格：315*100*270mm该系统由三部分组成：供电系统、家庭照明供电系统、用电器与插座三个部分。7.5V1A供电确保学生实验安全操作。二、各个部分的功能。供电系统功能：模拟交流电输入，交流电输入通过电能表、闸刀开关、保险丝后进入用电系统，了解电表和保险丝的作用。家庭照明供电系统：该系统由五种传感器组成：开关、声音传感器、人体感应传感器、触摸传感器和光电传感器、组成，可进行：1、开关控制实验灯、2、声控灯实验、3、人体感应灯试验、4、触摸灯试验、5、光控灯实验、6、延时控制、7、多控灯等多种实验。8、用电器与插座：了解插座中的的火线、零线和地线的连接和位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光通讯试验箱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铝合金箱式包装。可见激光来传送信号，220伏电源插头线，开关灯，收音机的信号输入，同样用播放音乐的方法去遮挡可见光。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电子控制实践平台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技术要求：铝合金箱式包装带内外测数字电压表显示。规格：≥400*300*160mm配备可以完成教材上的电路识别、电路设计、电路试验、拓展，可完成40几个实验课件。提供的设备具有操作简单、插接方便、检查电路故障一目了，并为学生提供了自主创新的平台等特征。电子实验箱功能如下：1、采用模块式结构，单元形象逼真。实验时全程使用特制连接件，方便检查电路，不需焊接。4、多功能电子黑箱共分为六大部分。同时由于采用了交错式特殊结构联线避免了短路。3、①接插件 ②传感器模块 ③数字电路（数字表显示） ④元件模块  ⑤单片机模块  ⑥继电器模块 ⑦其它4、部分元器件具有替换功能，能够灵活插接和调换不同参数的元件, ，可以完成所有课标教学要求。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安全用电操作实验箱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家庭用电基本认知与操作，是学生懂得基本家庭电路的供电方式、连接方法，基本维修更换。提高学生对家庭电路的基本常识避免用电安全隐患，懂得操作、懂得维修与排除。/ABS/PP材料橙色整体箱一个，箱体采用一次性注塑成型,表面凹凸卡位定点设计避免叠加时滑落。外观尺寸：≥≥550*430*200mm。各种传感器和开关器材有序镶嵌在发泡棉内衬里(定点定位)，便于管理避免碰撞损坏，带按键式卡扣。本实验箱主要实现如下实验：具有1、人体模块。2、插座模块。3、淋浴模块。4、转换插座模块。5、用电器模块。6、无线遥控模块。7、声光控开关模块。8、触摸开关模块。9、人体感应开关模块。10、开关模块。11、漏电开关。12、空气开关。13、功率电表。14、万用表。15、用电器插座（含空开）。16、微电脑定时器。17、灯管含支架。18、交流电机模块。19、电工工具套装。20、安装面板（520*370mm）可完成以下实验：1、认识基本用电常识和安全标示；2、搭建家庭用电电路；3、漏电保护器的原理；4、练习使用微电脑定时器；5、使用万用表；6、双线触电实验；7、触摸电器（插座接线端）接线而触电；8、电器设备没有接地保护引起的单线触电；9、沐浴设备漏电的危害；10、人体感应灯实验；11、声光控灯实验；12、触摸开关灯；13、无线遥控灯实验；14、交流电机的接线与正反转实验；15、多控灯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光控路灯应用平台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产品定点定位包装外箱规格≥275*190*90mm。实验控制平台沉金工艺规格：≥220*160*43mm。台面具有多路输入和输出端口，可对多种数字传感器进行采样。                                                                      采用区包括：有继电器模块、传感器信号输入模块、信号处理模块、控制模块和Ⅱ执行器模块组成。可根据不同负载进行选择输出特性可输出数字量和PWM信号。搭配多种传感器演示实验，可扩展多种数字量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传感器输入端配备：1、继电器，2、光电传感器，3、触摸传感器，4、声音传感器，5、热敏传感器等（可扩展外接传感器）。信号处理模块可进行与、或、非等操作。配有4位数码管对于延时和调节占空比进行数字显示。执行器模块配备1、LED灯；2、蜂鸣器；3、小电机风扇；4、继电器；5、电平检测（高电平，低电平）；6、与门、或门、非门、与非门等。预留扩展传感器模块接口。配有相关操作使用说明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常见控制方式认知及应用套件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橙色整体箱一个，外观尺寸：550*400*200mm，箱体采用注塑成型,材料：ABS/PP。各种器材器材有序镶嵌在黑色发泡珍珠棉内衬里（定点定位），便于运输和管理。本实验箱主要实现如下实验：环氧树脂板台面、每个实验电路均采用12个独立操作模块规格：140*80*25mm。插件式结构、可反复使用，无需焊接，带安全6V电源（不允许采用220V）。提高学生动手能力。可以由学生自己动手组合完成光控、声控、温控等多种模拟电路开闭环电路控制系统实验。实现12项独立实验项目。1、常见控制方式认知及应用演示实验电路、2、常见电子元件特性认知、3、触摸光控楼梯灯实验电路、4、信号追踪实验电路、5、电子门铃实验电路、6、声光控楼道灯实验电路、7、三人表决器实验电路、8、多控楼梯灯试验套件、9、红外线发射与接收实验电路、10、555音频实验套件、11、光控路灯实验电路、12、三人抢答器实验电路、13、箱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安全用电操作维修实验箱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灰色整体箱一个，外观尺寸：550*400*200mm，箱体采用一次性注塑成型,材料:汽车保险杠材料ABS/PP抗压抗摔，带锁扣。各种器材器材有序镶嵌在黑色发泡珍珠棉内衬里定点定位设置，便于运输和管理。本实验箱主要实现如下实验：具有1、人体模块。2、插座模块。3、淋浴模块。4、转换插座模块。5、用电器模块。6、无线遥控模块。7、声光控开关模块。8、触摸开关模块。9、人体感应开关模块。10、开关模块。11、漏电开关。12、空气开关。13、功率电表。14、保险丝模块。15、用电器插座（含空开）。16、微电脑定时器。17、灯管含支架。18、交流电机模块。19、万用表等。20、电工工具套装。21、安装面板（8520*370mm）可完成以下实验：1、认识基本用电常识和安全标示；2、搭建家庭用电电路；3、漏电保护器的原理；4、练习使用微电脑定时器；5、使用万用表；6、双线触电实验；7、触摸电器（插座接线端）接线而触电；8、电器设备没有接地保护引起的单线触电；9、沐浴设备漏电的危害；10、人体感应灯实验；11、声光控灯实验；12、触摸开关灯；13、无线遥控灯实验；14、交流电机的接线与正反转实验；15、多控灯实验。通过1比1实际操作实验能让学生真实体会家庭电路的布置、安装及使用方法。从而学会对家庭电路高低压电的布置、安装、维护、维修等基本生活常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液晶红外线发射编码实验平台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箱式定点定位包装外箱规格≥275*190*90mm。控制平台沉金工艺清晰电路原理图。产品规格：≥220*160*43mm。包含：1、发射编码单元。2、接收解码单元。3、蓝牙模块。4、中文液晶液显示窗口。5、执行器单元。一、红外线发射单元，含六位按键，按键地址与遥控器兼容，有两种按键模式选择，可对用户码进行设置；二、红外接收单元，具有中文液晶显示，可显示用户码和数据码及解码结果，可对解码用户码进行设置，可进行蓝牙遥控实验，同时可兼容红外遥控器按键解码；三、输出具有六个输出模块，可进行按键控制灯、声音、电机、继电器实验，配合项目一中按键模式，可进行遥控风扇功能，可进行正反转等试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数字电路实验箱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技术要求：铝合金箱式包装。规格：400*300*120本配备可以完成教材上的电路识别、电路设计、电路试验、拓展，可完成40几个实验课程。提供的设备具有操作简单、插接方便、检查电路故障一目了，并为学生提供了自主创新的平台等特征。电子实验箱功能如下：1、采用模块式结构，单元形象逼真。实验时全程使用特制连接件，方便检查电路，不需焊接。2、具有多路电源±5V/1A 、DC± 15/0.2A.3、具有三路信号源，单脉冲可由按键控制的两路。四路固定频率方波脉冲输出，其频率分别为 2KHZ 、 1KHz、4Hz、2Hz。另一组为: 1Hz～3KHz 连续可调方波，，两路输出均为 TTL 电平。4、12组逻辑电平开关:可输出 “O”、“1” 电平。5、12组电平显示:由红黄色 LED 及驱动电路组成。6、一路逻辑笔电路，检测高、低、悬空三种电平。7、元件库:由开关、电位器、扬声器、二极管、阻容元件构成 , 其参数均在面扳上标明。8、多种集成电路插座，0 脚 锁紧1 只，40 脚 锁紧1 只，可适用多种单片机。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电工工具箱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专用配套工具箱34件套，含22种必备常用工具，工具箱内定点定位，方便使用和管理。工具包括：电工胶布，1卷，5mPVC电工胶布；芝麻柄螺丝批，2把，6*100mmPH2 十字一字各一支；芝麻柄螺丝批，2把，5*75mmPH1，十字一字各一支；芝麻柄螺丝批，2把，3*150mmPH0 十字一字各一支；钢卷尺，1把，3m*12.5mm公制白色涂脂尺带；吸锡器，1个，铝塑吸锡泵；剥线钳，1把，磨齿剥线钳、剥线经0.6-2.6mm、后面切线功能；刷子，1把，软毛刷；焊锡丝，1卷，1.0mm FLNX 2.0%；小钢锯，1把，配一根锯条；测电笔，1支，氖管；活动扳手，1把，8”；羊角锤，1把，0.25KG钢管柄；钢丝钳，1把，7”；尖嘴钳，1把，6"；斜口钳，1把，7"；数显万用表，1台，T830B数字；精密螺丝批，6把/套，PH00 PH0 -3.0 -2.0 -1.2；电烙铁，1把，220V50Hz60W；美工刀，1把，单发包胶；烙铁架，1付，内六角扳手1套。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电子制作工具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料箱1个，内含元器件IC起拔器1套，防静电镊子2把（直头弯头各1把），高温海绵1块，皮老虎1个，防静电手环1个，松香1盒，焊锡膏1盒，带线电子测试鳄鱼夹1套（红黑各1根），75mm放大镜1个，细电源导线2米（红黑各1米），小号热熔胶枪1把，胶条5只，502胶水1瓶，AB胶水1套，尼龙扎带1包，包塑扎丝1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数字多用电表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9205型，三位半式，全防烧，带过载保护，自动关机功能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多功能万向焊接支架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工作台尺寸：210*145mm，净重809g。包含高清放大镜1个、万向鳄鱼夹2根、磁性霞林柱4根（每颗磁力1000g）。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防静电恒温焊台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工作台尺寸170*145*90mm，功率60W，输出电压：AC24V，控制方式：旋钮调节，控温范围200-500℃。电烙铁线长1200mm,净重44g。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电工刀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木柄，采用优质钢材料，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小手电筒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小手电筒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每盒8种规格，有手柄，不锈钢空芯针，不沾锡，用于焊接拆卸电子元器件脚。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数显测电笔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测电笔，带数显功能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照度计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 1/2位LCD显示，最大显示1999 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测量范围1—50，000Lux，分辨率高1Lux；</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读数锁定功能，可随时锁定测量数值，便于采集和记录；准确度：±0.4%rdg±0.5%f.s；取样率：2.0次/秒；仪表尺寸：116×70×29mm；本仪器配合台灯功能设计试验箱测试台灯照度，比较灯泡的种类、功率、高度等对照度的影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防护眼镜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防冲击，PVC材料，透明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简易急救箱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质外壳箱体，包含药品：烧伤软膏1支、小药盒1个、人工呼吸膜1片、退热贴1片、创可贴200片、酒精片20片、碘伏片10片、小剪刀1把、大号镊子1把、棉签240支、一次性手套100个、酒精棉棒4支、碘伏棉棒4支、别针10个、急救毯1包、冰袋1包、网纱布1片、绷带2包、止血带1个、胶带1卷、三角绷带1包、急救手册1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通用技术课辅助用房-加工室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台面：采用≥40mm机制实木板精致加工制作，环保清漆多次打磨处理。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结构：演示台设有储物柜，中间为演示台，预留多媒体设备（主机、显示器、）的位置预留。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1.尺寸：≥1200*1200*750mmmm；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2.材质：抗倍特板+优质钢架;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3.工艺：材质采用抗倍特一体成型。耐80度以上高温。防水：浸水24小时后的膨胀指数不多于0.1mm，面板四周采CNC修边，四周倒角，圆润光滑无任何毛边；桌架：30*60*1.5mm，横梁: 30*50*1.35 mm，铝压铸接头，优质钢架，满焊焊接而成，表面采用高温粉体烤漆，耐腐蚀，不易生锈；导轨尺寸：300*18*25mm，材质：ABS，螺丝孔位间距198mm，收纳盒尺寸：≥430*305*100mm ，材质：PP新料，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4.功能：（1）桌面四角设有TPR防撞角，防撞角孔内可放置螺丝刀。（2）悬挂抽屉储物功能，导轨带有锁定功能，抽屉不易抽出。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1、规格：≥5000*600*850mm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储物柜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1、规格：≥7700*500*2000mm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3、门板采用，板材采用≥18mm厚E1级三聚氰胺双贴饰面板，外侧板截面采用优质1.5mm厚PVC封边。可调节层板，根据现场定制。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≥3000*600mm，根据墙面尺寸定制，≥1.7mm厚板，加厚冷轧钢，折边宽度为2cm铁，悬挂方式：膨胀螺丝固定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卷轴电源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采用手动升降方式，线长≥5m；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额定电压：‌AC 220–250V‌（国标）；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最大电流：‌10–13A‌（对应负载2500–3250W）；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面板：磨砂PC（绝缘耐高温）；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筒身：阻燃ABS+防火材料。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三维创意设计系统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 配套提供标准化教学资源，课程内容包括“教学目标”、“重难点分析”、“任务分析”、“教学内容”、“课程拓展”、“展示评价”等部分组成，资源内容包括教材、教案、教学PPT、教学视频、模型文件。课程与学科紧密联系，《三维设计基础课》、《3D创意与生活》、《传统文化与科技》、《3D玩偶设计师》、《个性学习空间》、《创新生活用品》、《适用生活用品》、《甲壳虫小汽车》等系列课程，每套课程不少于8课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触屏操作：支持触屏白板设备操作。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设计功能：可实现实体设计、草图绘制、参数化建模和模型编辑功能。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特殊功能：可以通过造型表面上的多个点来控制造型变形；可对造型进行扭曲、折弯、锥度等多种变形处理。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输出格式：可输出*.igs、*.stl、*.obj、*.3mf格式。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浮雕建模：可以将*.jpg、*.png格式图片直接生成浮雕造型。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stl模型编辑：可以实现STL模型和实体模型、STL模型和STL模型之间的布尔运算，并生成新的STL模型。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积木/Python编程建模：在同一软件内可以直接用积木编程和Python编程进行建模，并且两类编程内容可以时时互换。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电子硬件：软件内置不少于7家国内外电子硬件厂商模型库。通过加载的硬件模型，在造型上自动生成与其相配合的结构或孔位，也可进行尺寸修改。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矢量图生成：可以直接将*.jpg、*.png、*.gif、*.bmp、*.tif等格式的图片自动转换成二维草图。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3D打印：具备切片功能，可输出打印文件;内置不少于7家国内外3D打印设备厂商切片软件接口，可以一键导入切片软件中，无需格式转换。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 3D场景：全方位的3D场景，上下、左右、前后360度观察模型所在环境，展示效果更逼真。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智能辅助教学：在软件内可实现边学习边实操的教学模式，支持创建学。习资源或教学课件。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 资源与管理：软件和网络资源社区无缝连接，提供免费的个人云盘和学校云盘。用户可直接在软件里拖曳下载社区内以及云盘中的三维模型，也可以将软件中模型直接上传到云盘和社区；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15、信创适配：支持在国产化主流处理器和芯片下的运行，匹配相应的适配模块。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节点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小型FDM三维打印机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1、设备参数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1.1、熔融堆积：（FDM）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1.2、机箱：全封闭金属机箱构架加亚格力门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1.3、机器尺寸： 440*370*572mm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1.4、包装尺寸： 530mm*430mm*670mm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1.5、机器重量 ：30kg（含包装）净重22kg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1.6、平台温度：110℃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1.7、平台材质 ：铝基板加玻璃板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1.8、喷嘴直径：0.4mm（0.2-0.8mm任意可选）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1.9、喷嘴高温度：260℃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1.10、喷头数量：1个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1.11、断料检测：支持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1.12、 总功率：300w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1.13、入电压：110/220V 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1.14、支持语言 : 中/英/俄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1.15、控制面板 :5寸全彩触摸屏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1.16、软件版本 ： Modellight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2、打印参数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2.1、环境要求：温度10-30℃，湿度5-50%：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2.2、打印技术 : FDM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2.3打印尺寸：X:260mmY:165mmZ:160mm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2.4、层高精度 ： 0.05-0.4m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2.5、XY轴电机定位精度：0.01mm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2.6、Z轴电机定位精度 ：0.0025mm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2.7、打印速度: 10-150mm/s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2.8、打印方式：支持网线连接/WIFI/U盘脱机打印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2.9、耗材直径：1.75mm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2.10、耗材类型：PLA,PLA+,T-PLA,ABS,HIPS,PETG,TPU,碳纤维,尼龙加碳纤,木质等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3、切片软件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3.1、软件语言 ： 中/英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3.2、操作系统: 国产操作系统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3.3、输入文件格式：STL,OBJ,AMF,3MF,BMP,JPG,JPEG,PNG,GCODE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3.4、输出文件格式：GCODE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3.5、模型支撑功能：自动生成/手动添加可选。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3.6、输入文件格式：STL,OBJ,AMF,3MF,BMP,JPG,JPEG,PNG,GCODE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4、机器特点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4.1、充分保证设备的兼容性，先进性，稳定性。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4.2、具备暂停换料功能，一键进料、一键退料功能；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 采用一键全自动调平，轻松实现平台校准。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4.4、随机设备相匹配的3D模型数据处理软件（切片软件），功能如下：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（1）自主研发的切片软件，具有智能软件及固件升级；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（2）同一模型不同高度设置不同切片参数，可以方便的为同一个模型不同的高度，设置层高、填充率、打印头温度、打印速度等不同的切片参数；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（3）按指定顺序，逐个打印平台上多个模型的功能；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打印轨迹模拟动画演示功能；可缩放3D模型至所需的尺寸；软件有自动装配和自动分割模型功能；具备X轴、Y轴、Z轴和自由切割功能；软件内嵌照片自动转换3D模型打印的功能；3D打印集成分布式远程控制系统；3D打印自动装配和自动分割模型系统；系统同时包含熔融沉积工艺和光固化工艺的切片，可随时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（5）软件内即可生成字母、数字、文字，可设置模型字体、厚度、曲率、仰角等，实现快速建模打印功能；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（6）提供断层续接的功能，控制打印头的层高起始点，实现在断层模型上续打；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（7）可添加网格、线、面、树、柱状支撑，可选择普通底垫、防翘边底垫、透水底垫。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（8）软件系统允许用户手动添加支撑，同时在必须加入支撑的部分由系统自动加，通过双重保障提升模型打印的成功率；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（9）系统配备了手动切割功能，使模型的摆放方式及切片灵活度更高，同时可实现灵活的装配功能，按照内部封闭结构，将模型切割成多个独立单元，实现特定部分的模型打印；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大型FDM三维打印机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1、设备参数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1.1、熔融堆积：（FDM）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1.2、机箱：全封闭金属机箱加玻璃门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1.3、机器尺寸：500mm*510mm*1285mm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1.4、包装尺寸：670mm*670mm*1450mm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1.5、机器重量：89KG（含包装）净重59kg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1.6、平台温度：110℃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1.7、平台材质 ：铝基板加玻璃板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1.8、喷嘴直径：0.4mm（0.2-0.8mm任意可选）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1.9、喷嘴最高温度：260℃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1.10、喷头数量：1个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1.11、供料系统 ：近端供料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1.12、断料检测：支持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1.13、总功率：300w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1.14、输入电压：110/220V 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1.15、支持语言: 中/英/俄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1.16、控制面板: 4.3寸全彩触摸屏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1.17、软件版本：Modellight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2、打印参数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2.1、环境要求：温度15-30℃，湿度5-50%：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2.2、打印技术 : FDM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2.3、打印尺寸： X：300mm  Y：260mm  Z：300mm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2.4、层高精度：0.05-0.4mm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2.5、XY轴电机定位精度：0.01mm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2.6、Z轴电机定位精度：0.0025mm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2.7、打印速度:10-150mm/s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2.8、打印方式：支持USB连接/SD卡脱机打印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2.9、耗材直径：1.75mm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2.10、耗材类型：PLA,PLA+,T-PLA,ABS,HIPS,PETG,TPU,碳纤维,尼龙加碳纤,木质等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3、切片软件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3.1、软件语言：中/英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3.2、操作系统: 国产操作系统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3.3、输入文件格式：STL,OBJ,AMF,3MF,BMP,JPG,JPEG,PNG,GCODE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3.4、输出文件格式：GCODE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3.5、模型支撑功能：自动生成/手动添加可选。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3.6、输入文件格式：STL,OBJ,AMF,3MF,BMP,JPG,JPEG,PNG,GCODE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4、机器特点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4.1、充分保证设备的兼容性，先进性，稳定性。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4.2、具备暂停换料功能，一键进料、一键退料功能；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 采用四点手动调平，轻松实现平台校准。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4.4、随机设备相匹配的3D模型数据处理软件（切片软件），功能如下：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（1）自主研发的切片软件，具有智能软件及固件升级；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（2）同一模型不同高度设置不同切片参数，可以方便的为同一个模型不同的高度，设置层高、填充率、打印头温度、打印速度等不同的切片参数；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（3）按指定顺序，逐个打印平台上多个模型的功能；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打印轨迹模拟动画演示功能；可缩放3D模型至所需的尺寸；软件有自动装配和自动分割模型功能；具备X轴、Y轴、Z轴和自由切割功能；软件内嵌照片自动转换3D模型打印的功能；3D打印集成分布式远程控制系统；3D打印自动装配和自动分割模型系统；系统同时包含熔融沉积工艺和光固化工艺的切片，可随时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（5）软件内即可生成字母、数字、文字，可设置模型字体、厚度、曲率、仰角等，实现快速建模打印功能；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（6）提供断层续接的功能，控制打印头的层高起始点，实现在断层模型上续打；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（7）可添加网格、线、面、树、柱状支撑，可选择普通底垫、防翘边底垫、透水底垫。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（8）软件系统允许用户手动添加支撑，同时在必须加入支撑的部分由系统自动加，通过双重保障提升模型打印的成功率；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（9）系统配备了手动切割功能，使模型的摆放方式及切片灵活度更高，同时可实现灵活的装配功能，按照内部封闭结构，将模型切割成多个独立单元，实现特定部分的模型打印；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（10）软件提供“接缝过渡距离”的设置，让模型接缝更自然；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三维创意设计软件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1．配套激光切割机使用，课程资源包含教案、课件、实验资源、学习单等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2．设计功能：可实现实体设计、草图绘制和模型编辑功能。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3．矢量图生成：可以直接将*.jpg、*.png、*.gif、*.bmp、*.tif等格式的图片自动转换成二维草图。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4．截断切口：在等厚板材的交界位置，自动生成截断切口。将实体切割成多个独立的板材结构。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5．拼插槽：在板材侧边添加可互相拼插的插槽且可以调整长度、数量以及深度。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6．板材投影：无需转动板材，可以直接对面或实体进行投影生成二维图。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7．结构转换：将任何实体造型转换成拼插或堆叠结构并自动排版布局，生成二维图形。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8．侧面板材设计：沿板材边缘自动生成可直接调整角度、长度、高度、公差大小的侧面板材，且可将造型展开或折叠。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9．沿线折叠：在板材上任意画一条直线，将板材沿着直线折叠，可以直接调整角度、高度、公差的大小。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10．布局参数：可以布局平板的长度、宽度，切片间距以及激光切割补偿值。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11．纹理贴图：将*.bmp、*.gif、*.jpg、*.jpeg、*.png、*.tif图片直接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12．附着在实体表面上，可通过草图进行描绘。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13．导出激光切割文件：二维图形输出，支持任何激光切割机使用的DWG/DXF格式文件。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14．资源与管理：软件和网络资源社区无缝连接，提供免费的个人云盘和学校云盘。用户可直接在软件里拖曳下载社区内以及云盘中的三维模型，也可以将软件中模型直接上传到云盘和社区；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15、信创适配：支持在国产化主流处理器和芯片下的运行，匹配相应的适配模块。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节点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激光切割机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一、产品描述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1、激光模式为二氧化碳玻璃内腔式封离激光器；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2、激光能量控制分为软件控制／手动调节两种可选模式；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3、蜂窝及刀条两种可选平台（默认蜂窝）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4、支持软件格式BMP/PLT/DST/AI/DXF/DWG等几乎所有常见图片格式；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5、工作环境温度 0℃～45℃，工作环境湿度 5%～95%；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6、软件语言 中文/英文；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7、辅助设备：水冷却系统、吹气系统、烟尘排空系统；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8、电机配套减速机构，Y轴双轨道电机中间驱动加柔性联轴器。Y轴电机中间驱动，配合高精度12mm双膜片式弹性连轴器，精度更高；外滑式模组化高速导轨+步进电机传动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9、全彩屏触摸板控制系统，可脱机控制（支持USB连接），支持实时同步显示，智能工作实时展示、图片智能转换、智能影雕处理；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10、操作门带安全防护玻璃，激光工作安全保护装置及开路保护功能、智能水保护系统。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二、技术规格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1、雕刻切割最大范围：900*600mm；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2、最大进料宽度：950mm；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3、激光功率：80W；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4、最快工作速度：60m/min；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5、机械分辨率：0.025mm；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6、最小成型文字：汉字1.5mm,英文1mm；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7、最厚切割深度：16mm(亚克力为例)；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8、重复定位精度：±0.1mm；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9、Z轴电动升降调节平台：0—255mm；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10、电源 AC220V±15%，50Hz，总机功率 1200W；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11、外形尺寸：1430*940*1000mm，（含支架轮子，支架高度400mm）；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三、配套软件支持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1、兼容AI、BMP、PLT、DXF、DST等多种图形图像数据格式；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2、可制作简单的图形、文字并对导入的数据进行编辑和排版；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3、能多级分层加工和定义输出顺序；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4、激光头运行轨迹仿真显示；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5、多种路径优化功能，加工过程中暂停功能；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6、图形与加工参数的多种保存方式及其重复利用；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7、加工时间预估功能；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8、数组输出、立即定点输出、回原点输出定位方式；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9、根据加工的不同需求可自行设定加工起始点、工作路径、激光头停靠位置等；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10、兼容多种通讯方式，用户可根据实际的情况采用USB端口通讯或网络通讯；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11、支持直接雕刻照片。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四、课程资源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配套包含八大主题的《激光雕刻切割加工课程》，认识激光雕刻机、七巧板、创意名片、华容道、尺、扇、梳、支架相应的教学电子版资料；随课附送不少于120种模型资源文件。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五、配套附件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1、水泵1套；气泵1套；专用U盘1个；配套烟管1根；专用水箱1个；底座支架1套；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2、可移动滑轮4个；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3、配套支架滑轮安装螺丝，M8；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4、说明书合格证1份；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5、专用配套定位木箱，防止运输过程中设备由于碰撞发生损坏。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激光雕刻机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一、产品描述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1、激光模式为二氧化碳玻璃内腔式封离激光器；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2、激光能量控制分为软件控制／手动调节两种可选模式；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3、蜂窝及刀条两种可选平台（默认蜂窝）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4、支持软件格式BMP/PLT/DST/AI/DXF/DWG等几乎所有常见图片格式；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5、工作环境温度 0℃～45℃，工作环境湿度 5%～95%；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6、软件语言 中文/英文；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7、辅助设备：水冷却系统、吹气系统、烟尘排空系统；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8、电机配套减速机构，Y轴双轨道电机中间驱动加柔性联轴器。Y轴电机中间驱动，配合高精度12mm双膜片式弹性连轴器，精度更高；外滑式模组化高速导轨+步进电机传动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9、全彩屏触摸板控制系统，可脱机控制（支持USB连接），支持实时同步显示，智能工作实时展示、图片智能转换、智能影雕处理；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10、操作门带安全防护玻璃，激光工作安全保护装置及开路保护功能、智能水保护系统。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二、技术规格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1、雕刻切割最大范围：600*400mm；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2、最大进料宽度：650mm；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3、激光功率：60W；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4、最快工作速度：60m/min；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5、机械分辨率：0.025mm；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6、最小成型文字：汉字1.5mm,英文1mm；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7、最厚切割深度：12mm(亚克力为例)；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8、重复定位精度：±0.1mm；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9、Z轴电动升降调节平台：0—255mm；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10、电源 AC220V±15%，50Hz，总机功率 600W；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11、外形尺寸：1030*740*1000mm，（含支架轮子，支架高度400mm）；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三、配套软件支持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1、兼容AI、BMP、PLT、DXF、DST等多种图形图像数据格式；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2、可制作简单的图形、文字并对导入的数据进行编辑和排版；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3、能多级分层加工和定义输出顺序；激光头运行轨迹仿真显示；加工时间预估功能；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4、多种路径优化功能，加工过程中暂停功能；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5、图形与加工参数的多种保存方式及其重复利用；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6、数组输出、立即定点输出、回原点输出定位方式；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7、根据加工的不同需求可自行设定加工起始点、工作路径、激光头停靠位置等；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8、兼容多种通讯方式，用户可根据实际的情况采用USB端口通讯或网络通讯；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9、支持直接雕刻照片。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四、课程资源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配套包含八大主题的《激光雕刻切割加工课程》，认识激光雕刻机、七巧板、创意名片、华容道、尺、扇、梳、支架相应的教学电子版资料；随课附送不少于120种模型资源文件。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五、配套附件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1、水泵1套；气泵1套；专用U盘1个；配套烟管1根；专用水箱1个；底座支架1套；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2、可移动滑轮4个；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3、配套支架滑轮安装螺丝，M8；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4、说明书合格证1份；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5、专用配套定位木箱，防止运输过程中设备由于碰撞发生损坏。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小型数控雕铣机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1、金属外罩，做到降低噪音、防尘、保护等功能，带亚克力视窗，可以从外部观察内部加工细节；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2、开盖保护功能，加工时打开防护门时设备自动暂停，最大程度的保护操作人员的安全；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3、采用标准驱动器+电机+丝杆传动，动能传输更稳定，速度更快，加工精度更高；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4、具备安全电压和漏电保护安全措施；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5、电脑编程，无需手工操作；传输端口：U盘/网络；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6、支持标准的 G 代码、PLT 格式指令；支持国内外主流 CAM 软件，如：Type3、Artcam、UG、Pro/E、MasterCAM、Cimatron、文泰等软件；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具备掉电保护功能。加工中断电瞬间系统自动保存当前加工信息（文件名、当前加工行号、加工速度、主轴档位），再次上电完成回机床原点动作后，系统自动提示用户恢复断电前加工，将加工操作变得更人性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8、外置吸尘装置，保证加工环境干净整洁；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9、整机净重：不小于50公斤；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10、主轴最大转速：40000转/分钟；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11、输入电压/电流/功率：220V/10A/2.2KW；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12、夹头：1-6mm，规格：ф1、ф2、ф2.5、ф3、ф3.5、ф4、ф5、ф6；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13、X、Y、Z、A四轴可控，实现2、3、4轴联动加工；四轴联动，三维曲面加工；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14、步进电机：电流3A，步距角1.8°，相数2相；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15、加工范围：X=300mm、Y=200mm、Z=65mm；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16、加工精度：≤0.01mm；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17、加工材料：木材，塑料,亚克力，金银铜铝等各种软金属；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18、控制器：手柄式+电脑式双操作模式，操作简单，功能齐全。控制手柄：包含24个按键，3.0寸液晶显示屏；网线直连电脑即可实现双操作模式；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19、可控I/O端口：多I/O点控制方式，标准配备I/O信号节点各有6输入、4输出信号；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20、具有实时加工进程信息显示功能；具有脱机独立加工功能；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21、支持断点记忆、文件选行加工，可保存 8 个不同断点加工信息；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22、支持运行中调整加工速度，用户可通过按键调整加工速度倍率来调整加工速度和空运行速度；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23、支持扩展功能定制，视觉定位、视觉随型等。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小型带锯机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电压220V 50Hz，功率350W，采用100%纯铜电机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空载转速14.7m/s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最大切割高度50mm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工作台尺寸 305×305mm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角度切割范围0—45°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锯条规格 1425*6.35*6T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采用5mm厚度铸铝后支撑体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底座为铸铁设计，是整机稳重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尺寸435*365*710mm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小型砂带机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电压220V 50Hz，功率500W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砂盘纸经152mm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砂带规格100*914mm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工作台倾斜范围 0—45°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砂盘转速2950Rpm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砂带转速7.6m/s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小型木工车床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工件装夹在卡盘内，或支承在主轴及尾架两顶尖之间作旋转运动，适用于车外圆、车端面、切槽和镗孔等加工。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无级调速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 50Hz，功率550W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车床回转直径200mm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加工工件长度300mm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主轴接口25.4mm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输出转速 750-3200RPM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小型压刨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刨床是使刀具和工件之间产生相对的直线往复运动来达到刨削工件表面的目的；适用于刨削水平面、垂直面、斜面、曲面、台阶面、燕尾形工件、T形槽、V形槽，也适用于刨削孔、齿轮和齿条等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 2000W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刀辊的转速8000r/min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最小刨削高度160mm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最大的刨削宽度330mm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单次刨削1—3mm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自动进给速度8m/min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刀辊上刀片数量2片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小型平刨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适用于刨削水平面、垂直面、斜面、曲面、台阶面、燕尾形工件、T形槽、V形槽，也适用于刨削孔、齿轮和齿条等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 1800W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刀辊的转速12000r/min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刨削宽度150mm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单次刨削0—3mm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可调整角度进行刨削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小型台钻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适用于中小型零件钻孔、扩孔、铰孔、攻螺纹、刮平面等工作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精度高，刚性好，操作方便，易于维护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五档转速可调620—2620Rpm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立柱φ46mm 壁厚1.5mm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钻夹头1.5-13mm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主轴行程50mm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调速曲线锯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无极调速，可以进行直线切割、小曲线切割、中曲线切割和大曲线切割，可以根据需要进行调节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电压220V  50Hz，功率180W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转速400-1600Rpm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切割厚度50mm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切割喉深405mm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锯条长度128-133mm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机器自带照明灯，保证光线充足，切割更加精准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底座为铸铁设计，使整机更加稳重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≥长1500mm×前后宽600mm×桌面高780mm，受教室实际面积影响，在需方要求或同意的情况下，可对尺寸进行合理调整；板材颜色可选；功能及技术参数需满足以下需求：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应采用厚度≥25mm、其它应采用厚度≥16mm的E1级及以上环保型实木颗粒板双面贴三聚氰胺饰面板，具有环保、耐磨、耐高温、耐腐蚀、防水的优点；四边同色优质PVC封边条由自动封边机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2、桌面四角倒圆弧处理，可防磕碰、划伤，提升安全性；桌面设过线孔并使用优质电镀锌合金专用孔盖。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下方配有木质键鼠托抽屉，其右侧为镶嵌中控器的专用抽屉，左侧是正常抽屉；抽屉滑轨应采用冷轧钢材质静音滑轨，内置高精度实心钢珠，久不生锈，保证顺滑手感，且承重能力强、耐用，抽拉顺滑、平稳，配有缓冲胶垫，避免推拉碰撞产生噪音，配有弹性防脱卡扣限位牢固，且拆卸方便。各抽屉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键鼠托抽屉下方是线材柜，可保障地面线孔及引到桌体内线材的安全；右侧中控器抽屉下是储物柜；左侧抽屉下是电脑柜，可并排摆放两台标准电脑主机或一台塔式服务器；柜门可90°打开，选用优质不锈钢静音缓冲铰链，液压泵壳体应为铜质，二段力结构，具备＜45°角时缓冲闭合防撞击、≥45°角时可任意停留定位的功能；柜门应选用优质铝合金拉手，弧形圆角设计，简单大方、结实耐用。各柜体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置中控器用于控制考场智能卡座屏风挡板的升降，为增加耐用度，需采用亚克力面板和轻触控制方式，无机械按键，操控便捷、准确，不易损坏、结实耐用；支持五组（A、B、C、D、E）分组控制模式，和一键全升、全降统一控制模式，具有开关机键和暂停键；分组功能可根据老师的需要选择、组合，使操控更加便捷，应用更加灵活；和考场智能卡座之间的信号控制线缆应采用圆形五针有线连接，插拔式设计，带防脱落紧固卡，连接可靠避免松动，有效降低故障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讲台配有一个座椅，长约580mm，宽约480mm，高约820mm；椅子坐垫和靠背采用PP塑料一体注塑成型，坐垫加装优质皮革垫，靠背弧形设计，符合人体工学；座椅可升降，采用液压升降杆，可升降不低于20000次，椅脚采用钢制五脚设计，表面电镀防锈处理，五脚安装静音优质滑轮可滑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语言教室2</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≥长1500mm×前后宽600mm×桌面高780mm，受教室实际面积影响，在需方要求或同意的情况下，可对尺寸进行合理调整；板材颜色可选；功能及技术参数需满足以下需求：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注：以上为标准讲台桌尺寸，受教室实际面积影响，在需方同意或要求的情况下，可对尺寸进行合理调整；板材颜色可选；功能及技术参数须满足以下要求。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应采用厚度≥25mm、其它应采用厚度≥16mm的E1级及以上环保型实木颗粒板双面贴三聚氰胺饰面板，具有环保、耐磨、耐高温、耐腐蚀、防水的优点；四边同色优质PVC封边条由自动封边机封边，表面光滑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2、桌面四角倒圆弧处理，可防磕碰、划伤，提升安全性；桌面设过线孔并使用优质电镀锌合金专用孔盖。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下方配有木质键鼠托抽屉，其右侧为镶嵌中控器的专用抽屉，左侧是正常抽屉；抽屉滑轨应采用冷轧钢材质静音滑轨，内置高精度实心钢珠，久不生锈，保证顺滑手感，且承重能力强、耐用，抽拉顺滑、平稳，配有缓冲胶垫，避免推拉碰撞产生噪音，配有弹性防脱卡扣限位牢固，且拆卸方便。各抽屉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键鼠托抽屉下方是线材柜，可保障地面线孔及引到桌体内线材的安全；右侧中控器抽屉下是储物柜；左侧抽屉下是电脑柜，可并排摆放两台标准电脑主机或一台塔式服务器；柜门可90°打开，选用优质不锈钢静音缓冲铰链，液压泵壳体应为铜质，二段力结构，具备＜45°角时缓冲闭合防撞击、≥45°角时可任意停留定位的功能；柜门应选用优质铝合金拉手，弧形圆角设计，简单大方、结实耐用。各柜体尺寸可按需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置中控器用于控制考场智能卡座屏风挡板的升降，为增加耐用度，需采用亚克力面板和轻触控制方式，无机械按键，操控便捷、准确，不易损坏、结实耐用；支持五组（A、B、C、D、E）分组控制模式，和一键全升、全降统一控制模式，具有开关机键和暂停键；分组功能可根据老师的需要选择、组合，使操控更加便捷，应用更加灵活；和考场智能卡座之间的信号控制线缆应采用圆形五针有线连接，插拔式设计，带防脱落紧固卡，连接可靠避免松动，有效降低故障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讲台配有一个座椅，长约580mm，宽约480mm，高约820mm；椅子坐垫和靠背采用PP塑料一体注塑成型，坐垫加装优质皮革垫，靠背弧形设计，符合人体工学；座椅可升降，采用液压升降杆，可升降不低于20000次，椅脚采用钢制五脚设计，表面电镀防锈处理，五脚安装静音优质滑轮可滑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物理2（热学实验室）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3、结构：演示台设有储物柜，中间为演示台，设置电源系统、多媒体设备（主机、显示器、中控、功放、交换机）的位置预留。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#7、教师演示台各项技术性能满足或优于以下要求并提供第三方检测机构出具的检测报告复印件并加盖投标人公章：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7.1、安全性能要求：正常使用时，可接触到的边、角都应进行倒圆、倒角、砂光或以上其他合适的方式进行保护，倒圆半径应不小于0.5mm；在高于闭合点50mm的任意位置，垂直活动的部件不应自行移动。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7.2、外观性能要求：应无漏喷、锈蚀、脱色、掉色等；应光滑均匀、色泽一致，应无流挂、疙瘩、皱皮、飞漆等。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7.3、产品表面理化性能：冲击高度400mm，应无剥落、裂纹、皱纹；划道两侧3mm外，应无鼓泡、锈蚀、剥落和起皱等现象；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7.4、力学性能：水平静载荷试验、主桌面垂直静载荷试验、水平耐久性试验15000次、结构强度试验、垂直耐久性试验15000次、垂直加载稳定性试验、垂直和水平加载稳定性试验均符合要求。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7.5、晶粒度:≥5级。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7.6、维氏硬度HV1:≥100。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7.7、多元素含量的测定：C、Si、Mn、P、S、Cr等均合格。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7.8、试验Ka:盐雾连续喷雾200h，应无锈蚀、腐蚀斑点、起泡、开裂等现象。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7.9、产品有害物质：铅Pb、镉Cd、铬Cr、汞Hg、锑Sb、钡Ba、硒Se、砷AS等均未检出。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7.10、氨释放量：≤0.1mg/L。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8、标准AC220V输入时，直流高压分240V、300V两档分别输出（空载时±2V），额定电流≥100ma，9V直流大电流输出，空载时偏差±1v,20S±2s自动关断。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11、具备总给水阀控制功能及RJ45网口、USB、HDMI等外引信号线的拓展接口。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规格：≥2800×600×780mm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台面：采用≥12.7mm双面膜实芯理化板，≥2.8米长平板台面。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结构：台面为双面膜实芯理化板一体化成型，桌身由桌腿、立柱、前横梁、中横梁、后横梁及加强横支撑件组成。学生位设书包斗。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桌腿：主体材料均采用优质铝镁合金型材和ABS工程塑料件连接组合框架，材料表面经高压静电喷涂环氧树脂防护层，耐酸碱，耐腐蚀处理。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侧上腿规格：长580mm×宽50mm×高130mm。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下腿规格：长505mm×宽50mm×高130mm。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立柱：采用50mm×100mm，壁厚≥1.2mm，十字加强筋壁厚≥1.8mm。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前横梁：采用40mm×43mm，壁厚≥1.2mm。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中横梁：采用32mm×27mm，壁厚≥1.2mm。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后横梁：采用95mm×43mm，壁厚0.9-1.5mm，造型截面为后端连续相切弧形，顶端高出台面≥42mm，可防止台面物体向后滑落、实验用水溢出。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加强横支撑件：采用11mm×100mm，壁厚≥1.1mm。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书包斗：壁厚4.5mm，采用环保型ABS工程塑料一次性注塑成型。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 xml:space="preserve">一、放置在桌面上，电源操作面板采用手动翻转方式。面板上设置有低压交直流电压LED数显表。中间设交直流电源输出，功能为：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（1）每个电源应自带1个独立变压器，电源系统既能独立操作，也能被教师台控制。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（2）通过数字化键盘设置电源的低压交流电压值和直流电压值，配有数显电压表，分别显示交流和直流电压值。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（3）电源的低压交流电压分两档，即1V-18V/2A、19V-30V/1A，分辩率为1V。具备自动过载、短路保护功能，电流高于过载或短路保护点则自动保护 ，即当处于保护状态时，输出端无对应电压输出，此时数显表依然显示当前的设定值（或数码管闪烁提示），只有当去掉负载或排除短路故障后将自动恢复至设定当前值的输出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（4）电源的低压直流电压分两档，即1.5V-16.0V/2A、16.1V-30.0V/1A，分辩率为0.1V。具备自动过载保护功能，电流高于过载保护点则自动保护、过载后按任意键复位（或自动复位）。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（5）配备嵌入式五孔AC220v电源输出插座一个，额定电流3A。                                      （6）当自行控制与调节时：直流：长按电压调节键时1V每档递增或递减；点按时为0.1V每档；交流：长按时每档10V，点按每档1V，并具备按键提示音。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#二、物理学生电源技术要求满足：GB4793.1-2007《测量、控制和实验室用电气设备的安全要求 第1部分：通用要求》。提供第三方检测机构出具的检测报告（具备CMA或CNAS标志）复印件并加盖投标人公章，各项性能满足或优于如下要求：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6.1通过教师端数字化键盘控制学生电源低压交流电压值和直流电压值，学生电源应能分别显示交直流电压值；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6.2应具备过载保护点智能侦测功能，电流高于过载保护值则自动保护；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6.3进行1390V~电压试验,不得出现击穿或重复飞弧；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规格：≥500×535×760mm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材质：整体采用环保型ABS工程塑料一次性注塑成型，表面木纹与光面项结合处理。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结构：榫卯连接结构并合理布局加强筋，安装时不用胶水粘结，不用任何金属螺丝，使用产品自身力量相互连接，产品不变形，不扭曲。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门板：合页采用尼龙塑料铰链，高强度耐磨，防水、永不生锈。门板与侧板并安装有防盗插销，防止从外部撬开柜门。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锁具：前后门均带锁、内嵌式塑料扣手。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水槽：外径：≥440×350×355mmmm，内径：≥380×290×255mmmm，水槽采用环保型PP材料一次性注塑成型，耐强酸碱、耐有机溶剂、耐高温，具有防溢出功能。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含水槽1套。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物理3（声光电学实验室）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 xml:space="preserve">放置在桌面上，电源操作面板采用手动翻转方式。面板上设置有低压交直流电压LED数显表。中间设交直流电源输出，功能为：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（1）每个电源应自带1个独立变压器，电源系统既能独立操作，也能被教师台控制。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（2）通过数字化键盘设置电源的低压交流电压值和直流电压值，配有数显电压表，分别显示交流和直流电压值。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（3）电源的低压交流电压分两档，即1V-18V/2A、19V-30V/1A，分辩率为1V。具备自动过载、短路保护功能，电流高于过载或短路保护点则自动保护 ，即当处于保护状态时，输出端无对应电压输出，此时数显表依然显示当前的设定值（或数码管闪烁提示），只有当去掉负载或排除短路故障后将自动恢复至设定当前值的输出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（4）电源的低压直流电压分两档，即1.5V-16.0V/2A、16.1V-30.0V/1A，分辩率为0.1V。具备自动过载保护功能，电流高于过载保护点则自动保护、过载后按任意键复位（或自动复位）。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（5）配备嵌入式五孔AC220v电源输出插座一个，额定电流3A。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规格：≥1200×600×780mm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1台面：采用≥12.7mm双面膜实芯理化板，≥1.2米长平板台面，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2结构：台面为双面膜实芯理化板一体化成型，桌身由桌腿、立柱、前横梁、中横梁、后横梁及加强横支撑件组成。学生位设书包斗。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3.桌腿：主体材料均采用优质铝镁合金型材和ABS工程塑料件连接组合框架，材料表面经高压静电喷涂环氧树脂防护层，耐酸碱，耐腐蚀处理：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侧上腿规格：长580mm×宽50mm×高130mm。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下腿规格：长505mm×宽50mm×高130mm。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立柱：采用50mm×100mm，壁厚1.2mm,十字加强筋壁厚1.8mm。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前横梁：采用40mm×43mm，壁厚1.2mm。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中横梁：采用32mm×27mm，壁厚1.2mm。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后横梁：采用40mm×43mm，壁厚1.2mm。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4.加强横支撑件：采用11mm×100mm，壁厚1.1mm。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5.书包斗：壁厚4.5mm，采用环保型ABS工程塑料一次性注塑成型。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6、可调脚：高强度可调脚，采用M10mm螺纹钢，下部采用环保型PP加耐磨纤维质塑料。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#7、学生实验桌各项技术性能满足或优于如下要求并提供第三方检测机构出具的检测报告复印件并加盖投标人公章：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7.1、无晶间腐蚀；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7.2、孔隙率（铁试剂法）：≤3个孔/cm²；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7.3、多元素含量的测定：Si、Fe、Cu、Mn、Mg等均合格；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7.4、力学性能：抗拉强度Rm≥200N/mm2；规定非比例延伸强度RP0.2≥155N/mm2；断后伸长率A50mm≥5%；韦氏硬度≥10；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7.5、产品有害物质：铅Pb、镉Cd、铬Cr、汞Hg、锑Sb、钡Ba、硒Se、砷AS等均未检出；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7.6、磁粉检测：未发现超标缺陷，评定为1级。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柜体箱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规格：≥380×220×730mm，壁厚≥3mm，采用环保型ABS工程塑料一次性注塑成型。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 xml:space="preserve">放置在桌面上，电源操作面板采用手动翻转方式。面板上设置有低压交直流电压LED数显表。中间设交直流电源输出，功能为：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（1）每个电源应自带1个独立变压器，电源系统既能独立操作，也能被教师台控制。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（2）通过数字化键盘设置电源的低压交流电压值和直流电压值，配有数显电压表，分别显示交流和直流电压值。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（3）电源的低压交流电压分两档，即1V-18V/2A、19V-30V/1A，分辩率为1V。具备自动过载、短路保护功能，电流高于过载或短路保护点则自动保护 ，即当处于保护状态时，输出端无对应电压输出，此时数显表依然显示当前的设定值（或数码管闪烁提示），只有当去掉负载或排除短路故障后将自动恢复至设定当前值的输出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（4）电源的低压直流电压分两档，即1.5V-16.0V/2A、16.1V-30.0V/1A，分辩率为0.1V。具备自动过载保护功能，电流高于过载保护点则自动保护、过载后按任意键复位（或自动复位）。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（5）配备嵌入式五孔AC220v电源输出插座一个，额定电流3A。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外径规格：≥445×350×360mm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内径尺寸：≥380*290*260，水槽采用环保型PP材料一次性注塑成型，具有防溢出功能。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实验员室任课教师准备室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台面:采用≥12.7厚实芯国产理化板 ，台面边缘用同质材料板双层加厚至≥25.4mm，需提供第三方检测机构出具的检测报告: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2.1化学性能:参照GB/T 17657-2022 人造板及饰面人造板理化性能试验方法进行检验:硫酸98%、氢氟酸48%、48%氢溴酸、氢氟酸40%、过氧化氢30%、次氯酸钠15%、碘酸钾、四氢呋喃等不低于158项以上检验结果无明显变化全部5级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2.2物理性能:胶合强度:浸水48小时保留率≥90%；洛氏硬度﹥120M；弯曲强度: ≥140 Mpa)；顺纹抗压强度﹥175MPa；弯曲弹性模量≥14200MPa；密度≥1.53 g/cm³；静载测试:600kg重物24h测试，样品未破坏；板面握螺钉力≥3000N/mm².；表面耐磨性能耐磨转数≥1540r；剥离强度≥15kN/m；表面耐龟裂性能、表面耐香烟灼烧、表面耐干热(180℃)性能，检测结果:5级无明显变化；耐划痕性钢丝绒硬度法≤3级无可见损伤；检验方法(GB/T 17657-2022)；抗冲击恢复系数0.97；尺寸稳定性:热膨胀系数横向≤0.12%/℃，纵向≤0.08%/℃；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2.3耐高温性能:检验方法(GB/T 17657-2022.4.30)检测结果:表面无裂纹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2.4环保性能:1、甲醛释放量:干燥器法:检验方法(GB/T 17657-2022 4.59)检测结果: ≤0.053 mg/L合格；气候箱法:检验方法参考GB 18580-2017检验结果: ≤0.025mg/m³符合E0级;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2.5三聚氰胺的迁移测试: 3%乙酸在60摄氏度浸泡6小时，检测结果≤2.0 mg/kg；95%乙醇在60摄氏度浸泡6小时，检测结果≤2.0 mg/kg，结论为:合格；(测试方法:GB 31604.15-2016)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2.6总挥发性有机化合物(TVOC)释放率:气候箱法≤0.1 mg/m³(GB/T18883)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2.7有害物质限量检测:铅、铬、镉、汞、砷、硒、锑、钡均未检出；邻苯二甲酸盐DEHP、DBP、BBP、DINP总量≤0.1%(质量比)，结果合格(GB/T  39600-2021)银离子检测结果均ND未检出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2.8燃烧性能:氧指数≧28%(B1级)防火等级；烟气毒性项目符合t1级；总烟气毒性ZA3级；烟密度等级(SDR)≤15(GB /T2408-2021)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2.9防霉抗菌性能:检测依据和方法JIS Z 2801:2010抗菌性能，试验菌种包括但不限于大肠杆菌，肺炎克雷伯氏菌，铜绿假单细胞菌，金黄色葡萄球菌，肠沙门氏菌肠炎亚种，粪肠球菌抗菌率等不少于21种抗菌率达到99.99%；黑曲霉、绿霉菌、青霉菌、白色隐球菌黄曲霉、球毛壳霉、宛氏拟青霉、绳状青霉、出芽短梗霉、长枝木霉不少于17种霉菌 。防霉等级:霉菌生长为0级-不生长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2.10抗病毒活性试验:H1N1、H3N2病毒，抗病毒活性≥99.90%；COVID-19抗病毒活性值R=3，抗病毒活性减少率≥99.9%</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交流电220V输出五孔插座。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实验员桌椅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一、实验员桌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1、规格：≥1400*700*750mm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2、基材：采用E1级三聚氰胺饰面，贴面平整，无起泡、坑凹，所有板材均经过防虫、防霉化学处理，强度高、刚性好、不变形，封边：四周采用同色 PVC 封边条对板材截面进行热溶封边处理。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3、结构：优质金属桌架管壁厚度为≥1.2mm，桌架选用钢制优质冷轧钢管，确保每一块部件360°喷塑。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4、喷塑：所有钢制部件均需酸洗磷化，表面颜色一致。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5.五金：选择连接件、螺母等五金配件。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二、实验员椅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1、椅背：采用网布，骨架采用优质工程塑料；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2、椅座：骨架采用工程塑料，软包采用定型泡棉，表面优质麻纹面料包覆，面料抗静电耐磨不起球；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3、托盘：采用3mm冷轧钢板冲压而成，升降气缸采用油压气缸，升降范围1-100mm；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4、下脚：采用尼龙五星脚架，杜邦尼龙脚轮。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物理1（力学实验室）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物理主控</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8、标准AC220V输入时，直流高压分240V、300V两档分别输出（空载时±2V），额定电流≥100ma，9V直流大电流输出，空载时偏差±1v,20S±2s自动关断。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11、具备RJ45网口、USB、HDMI等外引信号线的拓展接口。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规格：≥1200×600×780mm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台面：采用≥12.7mm双面膜实芯理化板，≥1.2米长平板台面，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结构：台面为双面膜实芯理化板一体化成型，桌身由桌腿、立柱、前横梁、中横梁、后横梁及加强横支撑件组成。学生位设书包斗。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桌腿：主体材料均采用优质铝镁合金型材和ABS工程塑料件连接组合框架，材料表面经高压静电喷涂环氧树脂防护层，耐酸碱，耐腐蚀处理。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侧上腿规格：长580mm×宽50mm×高130mm。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下腿规格：长505mm×宽50mm×高130mm。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立柱：采用50mm×100mm，壁厚≥1.2mm,十字加强筋壁厚≥1.8mm。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前横梁：采用40mm×43mm，壁厚≥1.2mm。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中横梁：采用32mm×27mm，壁厚≥1.2mm。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后横梁：采用40mm×43mm，壁厚≥1.2mm。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加强横支撑件：采用11mm×100mm，壁厚≥1.1mm。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书包斗：壁厚≥4.5mm，采用环保型ABS工程塑料一次性注塑成型。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柜体箱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规格：≥380×220×730mm，壁厚≥3mm，采用环保型ABS工程塑料一次性注塑成型。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学生电源：桌斗中间位置固定学生电源盒：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1、每个学生电源应自带一个独立变压器，既能独立操作，也能被教师控制。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（2）教师可通过数字化键盘设置学生电源的低压交流电压值和直流电压值，配有数显电压表，分别显示交流和直流电压值。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电源的低压交流电压分两档，即1V-18V/2A、19V-30V/1A，分辩率为1V。具备短路、过载自动保护功能，电流高于过载、短路保护点则自动保护（即当处于保护状态时，输出端无对应电压输出，数显表依然显示当前的设定值，当去掉负载或排除短路故障后输出端口处将自动恢复至当前设定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电源的低压直流电压分两档，即1.5V-16.0V/2A、16.1V-30.0V/1A，分辩率为0.1V。具备短路、过载保护功能，电流高于过载保护点则自动保护（此时保护后数显表显示0V，并发出长鸣的报警提示音）。过载后去掉负载，按任意键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（5）学生配有：AC220V电源输出5孔插座1个（额定电流3A)可通过教师给定或关闭电源，与低压输出互不干扰的单独控制。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（6）当学生自行控制与调节时：直流：长按电压调节键时1V每档递增或递减；点按时为0.1V每档；交流：长按时每档10V，点按每档1V，并具备按键提示音。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双边实验室1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物理主控</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8、标准AC220V输入时，直流高压分240V、300V两档分别输出（空载时±2V），额定电流≥100ma，9V直流大电流输出，空载时偏差±1v,20S±2s自动关断。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11、具备总给水阀控制功能及RJ45网口、USB、HDMI等外引信号线的拓展接口。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2、柜体整体采用≥0.9mm厚优质冷轧钢板，表面经酸洗、磷化、抛光等处理后外喷环氧树脂粉体喷塑，具有防锈、防腐功能。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3、门板：采用≥0.9mm厚优质冷轧钢板。结构为双层中空内加筋，增强柜门的稳定性，减少变形几率、减少开启时噪音；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4、调节脚：采用高强度调整脚，承重，防潮，耐腐蚀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学生电源：桌斗中间位置固定学生电源盒：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1、每个学生电源应自带一个独立变压器，既能独立操作，也能被教师控制。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（2）教师可通过数字化键盘设置学生电源的低压交流电压值和直流电压值，配有数显电压表，分别显示交流和直流电压值。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电源的低压交流电压分两档，即1V-18V/2A、19V-30V/1A，分辩率为1V。具备短路、过载自动保护功能，电流高于过载、短路保护点则自动保护（即当处于保护状态时，输出端无对应电压输出，数显表依然显示当前的设定值，当去掉负载或排除短路故障后输出端口处将自动恢复至当前设定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电源的低压直流电压分两档，即1.5V-16.0V/2A、16.1V-30.0V/1A，分辩率为0.1V。具备短路、过载保护功能，电流高于过载保护点则自动保护（此时保护后数显表显示0V，并发出长鸣的报警提示音）。过载后去掉负载，按任意键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（5）学生配有：AC220V电源输出5孔插座1个（额定电流3A)可通过教师给定或关闭电源，与低压输出互不干扰的单独控制。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（6）当学生自行控制与调节时：直流：长按电压调节键时1V每档递增或递减；点按时为0.1V每档；交流：长按时每档10V，点按每档1V，并具备按键提示音。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录播主机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主机需集成化，内置导播系统、互动系统、视频处理系统。具备音视频采集、音视频编解码、音视频处理、录制、直播、远程互动、视频会议、导播、物联控制、远程运维参数设置等能力。可扩展行为分析、虚拟抠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2、主机需采用Linux操作系统。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3、主机内置跟踪功能，无需额外配置跟踪主机即可实现智能图像识别跟踪分析与处理功能。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4、整机视网膜蓝光危害（蓝光加权辐射亮度LB）满足IEC TR 62778:2014蓝光危害RG0级别。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5、主机平均噪声小于13dB（A）。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6、支持通过浏览器或电脑应用程序，连接互联网查看主机SN码、IP地址、MAC地址。支持查看系统版本信息、软件版本信息、设备信息，并可通过手动更新查找最新安装包，进行升级。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7、支持网络认证功能，可选择网络认证的线路，选择http协议或https协议。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8、支持双网卡设计。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1、HDMI输入接口：≥2个，HDMI输出接口：≥3个。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2、网络接口：≥5个，其中POE接口：≥3个。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3、线路立体声音频输入接口：≥2个，线路立体声音频输出接口：≥2个。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4、数字麦克风输入接口：≥1个。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5、Type-C接口：≥2个。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1、内置ARM架构处理器，具备8核CPU，处理器数量：≥3颗。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#2、CPU采用64位八核架构，最高主频：≥2.4GHz。（提供具有CNAS及CMA标识的国家权威检测机构出具的检测报告复印件并加盖公章）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3、内存：≥8GB；硬盘存储≥1TB。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4、主机集成屏幕尺寸：≥15英寸，分辨率：≥1920*1080。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5、支持≥1个多功能按键，通过按键可以实现开机、关机、待机。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6、支持≥1个复位按钮，可实现整机设置恢复出厂设置。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7、信号处理延时：≤20ms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8、频率响应：20Hz-20kHz。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1、HDMI分辨率支持3840×2160、1920×1080p。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2、支持通过Type-C接口实现音视频输出，输出分辨率≥3840×2160，输出音频可通过主机控制软件实现混音，兼容主流视频会议软件。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3、支持HDMI输入通道具备音频采集能力，可通过系统设置音频采集打开或者关闭。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 H.264(BP/MP/HP)编码与解码、H.265视频编码/解码，支持≥32 路 1080p@30fps 编/解码。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5、内置无线麦克风音频接收模块。无需外接无线音频接收模块，支持同时≥2个无线麦克风接入，支持≥2种对频模式。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6、支持完全断电的情况下，从主机的音频输入通道上输入的音频，可以从主机的音频输出通道实现输出，且≥2个音频输入通道可以支持该功能。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7、支持选择多路画面同时录制，可选择同时≥7 路画面同时录制。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8、支持接入摄像机后，检测接入状态，并直接点选进行绑定，绑定后可显示摄像机画面。支持输入摄像机RTSP流地址进行绑定，绑定后可显示摄像机画面。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9、支持二维码登录用户账号，并设置登录权限，非本校教职工无法登陆。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10、支持通过串口对接中控协议实现中控控制，控制开关机、开始/暂停/停止录制。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#11、支持设置AI降噪强度，可选择高、中、低、自定义、关闭。自定义参数支持≥100级AI降噪等级设置及≥100级传统降噪等级设置。（提供具有CNAS及CMA标识的国家权威检测机构出具的检测报告复印件并加盖公章）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12、支持内置网络监测功能，无需安装第三方软件，可检测主机的服务联通性、网络稳定性、上下行速度、网络追踪性、网卡信息。支持各项单独检测及一键检测，检测时可动态展示实时数据变化。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13、支持通过互联网控制主机的关机、重启。可设置定时开关机，并设置对应时间。支持设置主机通电开机。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14、支持设置视频录制计时，计时设置支持≥5种计时时间选择。最长计时时间≥12小时。开启计时后，在录制过程中可查看已录制时长。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1、支持通过浏览器及电脑应用程序，对主机进行画面切换控制。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2、支持通过浏览器访问主机，进行视频管理，可对主机中录制的视频进行下载及预览。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3、支持通过浏览器，设置主机录制清晰度、音频码率；设置本地录制画面及互动课录制画面的保存画面；设置直播清晰度、直播GOP、互动清晰度；音频输出音量。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4、支持通过浏览器，设置≥3种导播模式；设置主机网络ip；设置主机存储空间覆盖模式；查看主机系统、设备、软件等信息。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录制模式支持电影模式、资源模式两种，能同时支持1路电影模式加6路资源录制，实时录制合成画面、教师全景、教师特写、学生全景、学生特写、板书画面、电脑画面。可通过勾选录制对应画面，实现资源模式录制。录制的所有视频均有声音。（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6、支持开始录制、暂停录制、停止录制。录制开始后系统自动计时。支持开启直播或关闭直播。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7、支持选择≥3种导播模式，具备手动、半自动、全自动可选。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8、支持≥9种多画面合成布局选择，可自定义选择布局中的画面，选择后自动更新布局种画面的名称。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9、支持≥16种转场特效的选择。选择对应特效后，切换画面将应用该特效。特效过渡时间0.5～1.5秒可调。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通过U盘导入片头片尾。片头片尾支持≥3种格式导入，包含图片格式及视频格式文件，支持总共导入≥30个大小≥19MB的图片文件及≥190MB的视频文件。导入后支持片头播放/播放并开始录制，可调节图片播放时间为1～10秒任意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通过手机扫码实现字幕输入，可输入≥50个字符。导入后支持显示/隐藏控制，支持拖拽调节字幕任意位置，或通过≥6个预设位置调整字体位置；支持通过≥3个预设字号调整字体大小；支持通过≥5种预设颜色调整字体颜色。（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12、支持通过U盘导入台标。台标支持≥2种图片格式导入，支持总共导入≥30个大小≥19MB的图片文件。导入后支持显示/隐藏控制，支持拖拽调节台标任意位置，或通过≥5个预设位置调整台标位置。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13、支持互动过程中，进行推流质量查看。可查看视频分辨率、视频质量、延时、丢包率、视频帧率、视频码率、音频帧率、音频码率。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14、支持在系统总丢包率 50%的网络环境下，视频清晰流畅无卡顿，语音连贯。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15、支持≥5种跟踪模式（三预置位、跟踪、双镜、混合、黑板全景）设置。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支持教师端跟踪区域、快照区域、板书区域、屏蔽区域设置，勾选后可通过鼠标绘制对应区域，不同区域通过不同颜色画框展现。支持智能检测，系统可自动框选跟踪区域，快速清除快照区域，调用相机配置，自动确定跟踪区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17、支持教师端预置位设置，可通过按钮实现镜头的上下左右转动、拉近拉远，并设定≥6个摄像机预置位。支持自动识别黑板全景位及讲台位置。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18、支持教师端开启身高自适应功能，开启后将根据目标高度自动调节特写高度。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19、支持教师端开启特写人形跟踪功能。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20、支持开启板书功能，并设置板书检测时间及板书保持时间。板书检测时间从0～15秒可调，板书保持时间从0～30秒可调。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21、支持学生端开启人脸检测，开启后将通过人脸判定跟踪目标是否需要切换特写。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Ai课堂分析系统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1、系统支持对师生互动行为，进行2D还原重建，并标识对应学生的头像及互动情况。支持行列式教室布局、方形桌小组讨论布局、圆形桌小组讨论布局。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2、系统支持自动识别课堂学生互动情况，并统计不同学生的提问举手次数、回答问题次数，按照人员的形式呈现。点击头像可以跳转对应的视频片段。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依据采集到的音视频数据，自动生成课程总览、课堂提问、师生互动、合作学习四个维度的课堂反馈建议，可查看课程知识点、课堂思维导图、符合知识性目标的提问、对课堂提问的建议、师生互动建议、课堂互动建议。（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根据教学内容，基于教学环节、教学任务、教学行为三个特征，形成用户教学流程分布执行情况，支持以进度样式展示，展示不同课堂行为环节的开展时长和占比，课堂行为包括：交互教学、探究学习、讲解教学、知识总结、作业发布、迁移应用、巩固检测、识记学习、演示教学、体验学习。（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5、系统支持自动识别课堂中学生抬头率情况，按照每分钟学生抬头率的均值，绘制成曲线，点击曲线，可以播放对应时间节点的视频片段。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6、系统支持统计课程时长、教师讲授字数、教师授课平均语速。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7、系统自动统计教师讲授、师生问答、学生活动、自主学习的时间分布情况，支持按照时序图样式展示，展示不同课堂行为发生的顺序、时长。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8、系统将课堂中老师和学生的声音转写为文字，按照前后文自动切割为不同的片段；片段支持展开查看详细文字，支持跳转到文字段落对应的视频片段。支持中英混杂识别显示；支持数学、物理公式识别显示。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系统支持识别课堂学习内容及学生学习，对课前与课中链接、课中与课后链接进行分级评价。支持对学生完成自主学习、提供学习资源、分析学生学习数据、布置课后学习任务四个维度，形成四级评价标准，并给出对应的改进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系统支持对老师的核心提问进行抽取，结合提问-学生回答-教师评价，按照加权计算方式，给出每组提问的有效性评分，从而构建成平均有效性。按支持标记每组提问的发生时间与对应有效性评分，并给出对应的分析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系统支持自动识别问题分类，按照布鲁姆提问类型，分为记忆型、理解型、应用型、分析型、评价型、创造型。点击各个类型会自动打开到相应的课堂实录视频片段窗口，显示对应文字明细，文字明细会按师生角色区分，并自动进行分段分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系统支持自动识别问题分类，可按照4MAT（四何类型）识别，分为是何、为何、如何、若何。点击各个类型会自动打开到相应的课堂实录视频片段窗口，显示对应文字明细，文字明细会按师生角色区分，并自动进行分段分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系统支持自动识别教师评价分类，可识别为简单肯定、针对肯定、激励、否定、重复。点击各个类型会自动打开到相应的课堂实录视频片段窗口，显示对应文字明细，文字明细会按师生角色区分，并自动进行分段分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14、系统支持自动识别老师的核心提问，并且会将提问片段进行抽取，可以看到片段总体的抬头率、回答问题的举手率。点击片段明细，可以按照座位图的方式，查阅具体学生举手和回答的情况。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系统自动对课堂按照教学内容进行切片划分，支持显示片段的标题和内容小结，支持查看不同片段的视频和课堂对话文字明细，文字明细会按师生角色区分，并自动进行分段分句。会自动统计片段中教室提问、学生回答、教师评价发生的情况，并标记每个提问与回答的类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系统支持通过弗兰德斯编码规则对课堂数据进行每秒1次的打点，自动计算出启发/指导比（I/D）、学生稳态比（PSSR）、教学内容比（CCR）、学生发言比（PIR）、教师提问比（TQR）的指标数值，通过雷达图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17、系统支持计算本节课的教师行为占有率Rt、师生行为转换率Ch，基于本节课的Rt值、Ch值得出本节课的教学模式，教学模式包含：混合型、练习型、讲授型、对话型。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机械云台摄像机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1、设备采用ARM硬件架构，linux操作系统。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2、支持人脸检测、人形检测AI算法。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3、支持演讲者模式、学生全景模式、学生特写模式、教师全景模式、教师特写模式、板书模式6种模式切换。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1、HDMI接口：≥1个。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2、LINE 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3、LINE OUT接口：≥1个。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4、RS232 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5、RS232 OUT接口：≥1个。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6、RS485接口：≥1个。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7、电源接口：≥1个。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1、传感器尺寸：≥CMOS 1/2.8英寸。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2、传感器有效像素：≥800万。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3、变焦：≥12倍。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4、扫描方式：逐行。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5、支持畸变矫正功能，畸变：≤±0.5%。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6、亮度灵敏度：≤0.2Lx @ (F1.8, AGC ON)。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7、镜头：F1.82 ~ F2.78。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8、快门：1/30s ~ 1/10000s。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9、支持自动白平衡功能。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10、支持背光补偿功能。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11、支持图像冻结功能。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12、支持POE供电。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13、支持2D&amp;3D数字降噪，信噪比：≥58 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14、支持预置位个数：≥255个，预置位精度：≤0.1°。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15、支持水平翻转、垂直翻转，水平转动范围：±170°，垂直转动范围：-30°~+90°。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16、支持水平视场角：≥75°。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17、支持水平转动速度：≥100°/s，垂直转动速度：≥69°/s。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1、支持设置摄像机分辨率、帧率、码率。支持设置摄像机亮度、饱和度、对比度、锐度、色度、快门速度。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2、支持图像左右镜像、上下翻转。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3、支持对摄像机网络进行管理，包括设置IP地址/网关/DNS等，支持组播协议搜索IP地址，并修改摄像机IP。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4、支持RTMP推流，RTSP拉流，地址可设置。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5、支持ONVIF协议，可预览ONVIF画面。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6、支持GB28181协议，可使用GB28181协议推流。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AI分析辅助摄像机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1、摄像机采用一体化集成设计，可提供3840×2160图像分辨率。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2、内置图像识别跟踪算法，搭配隐藏式云台，保证清晰度的同时，也减小对课堂的干扰。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3、支持POE有线网络供电，只需要一路网线，即可实现供电及信号传输，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1、RJ45接口：≥1路。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1、镜头水平视场角：≥90°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2、传感器尺寸：≥CMOS 1/2.8英寸。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3、传感器有效像素：≥800万。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4、扫描方式：逐行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5、最低照度：0.5 Lux @（F1.8, AGC ON）。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6、电子快门：1/30s ~ 1/10000s。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7、支持自动白平衡。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8、支持2D&amp;3D数字降噪，信噪比：≥55dB。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9、支持H.264、H.265视频编码格式。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10、整机功耗：≤9W。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1、支持设置摄像机分辨率、帧率、码率。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2、支持设置摄像机亮度、饱和度、对比度、锐度、色度、快门速度。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3、图像支持左右镜像、上下翻转，默认不开启。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4、支持对摄像机网络进行管理，包括设置IP地址/网关/DNS等，支持组播协议搜索IP地址，并修改摄像机IP。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5、支持RTMP推流，RTSP拉流，地址可设置。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6、支持ONVIF协议，可预览ONVIF画面。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7、支持GB28181协议，可使用GB28181协议推流。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8、支持摄像机内部导播，支持外部服务器导播。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9、支持至少1个六边形导播跟踪区划定。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10、跟踪区域划定方式为任意两个边缘点连线，确保可以构建合适的跟踪区域。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11、支持跟踪灵敏度设置，可适配不同的灵敏度要求场景。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11、支持开启/关闭跟踪功能。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全向麦克风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1、麦克风支持降噪、回声抵消、混响抑制、自动增益控制、多麦融合多种音频算法。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2、麦克风支持≥8个麦克风拾音单元。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3、麦克风无需额外适配器供电，能够通过网线实现麦克风供电、音频信号传输、参数调整。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1、麦克风TypeC接口：≥1个。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2、麦克风数字音频接口：≥2个。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1、数字音频传输接口支持盲插。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2、麦克风频率响应范围：50Hz~16KHz。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3、麦克风拾音半径：≥8m。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4、麦克风信噪比：≥68dB。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5、麦克风声压级：≥130dBSPL，10%THD@1 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6、麦克风支持在线OTA，可在线对麦克风进行升级，无需人员现场维护。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1、支持全频带全双工自适应回声消除算法。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2、支持全频自适应AI降噪技术，降噪电平≥24dB。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3、支持自动增益控制。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4、支持啸叫抑制。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5、支持智能混音，可智能选择最佳麦克风采集音频。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6、支持多通道音频矩阵，可根据场景需求进行相应设置。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7、支持音频参数调节。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8、支持波束成形。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9、支持远程OTA升级。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10、支持连接录播主机作为录播音频输入设备使用，也可连接Windows系统，并为其提供音频输入。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无线麦克风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1、支持三合一按键，可控制麦克风的开关机、静音和配对。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2、标配充电仓，可用于充电及收纳。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3、麦克风充电仓支持电量指示，通过灯珠亮灭数量充电仓剩余电量及充电状态。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4、整机标配两个无线麦克风，且两个麦克风支持同时工作。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5、麦克风支持≥3种佩戴方式，不仅限于领夹、手持、头戴、挂脖。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1、Type-C接口：≥1个。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2、3.5mm音频接口：≥1个。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3、Pogo pin接口：≥1个。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4、音量键：≥2个。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1、麦克风从充电仓拿出自动开始配对。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2、麦克风支持自动重连，当离接收端距离过远时断开连接后，重新返回接收端距离以内能自动重连。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3、通信保持状态下，支持在空旷环境下，有效传输距离≥100m。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4、通信保持状态下，支持在室内使用场景下，穿墙后有效传输距离≥20m。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5、麦克风传输频段为2.4G，传输协议为BlueTooth 5.2。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6、搭配充电仓，两个麦克风续航时间均可≥20h。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7、支持充电仓输出过流保护功能，当充电仓pogo pin接口短路时，充电仓指示灯保持闪烁状态，提示当前充电仓短路，并启动对外输出保护功能，保护麦克风。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1、麦克风采用基于Bluetooth 5.2的LE Audio技术标准，保证高品质抗干扰、低功耗、低延时传输。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2、麦克风音频编码方式采用LC3 plus。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3、支持啸叫抑制算法，当音箱安装在正常高度（2.5m）时，本地扩声教室后排9m距离音量为75dB时，通过算法可实现本地扩声无啸叫现象。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4、支持全频自适应降噪技术。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5、支持智能混音，支持多通道输入混音。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1、支持线性输入：≥1个。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2、支持线性输出：≥1个。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3、支持麦克风输入：≥1个。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4、支持音箱输出：≥4对。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5、输出功率：≥2*200W。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1、MIC输入灵敏度：≥50mV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2、音乐输入灵敏度：≥0.775V。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3、频率响应：20-20KHz。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4、信噪比：≥80dBA。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5、支持直流保护、过载保护。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1、采用4"低音×2，20芯高音×2，音质通透亮丽，人声表现力突出，中频浑厚，穿透力强。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1、采用高密度中纤板木质箱体。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2、配置原厂安装支架，可调整音箱水平和垂直角度方向。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3、额定功率：≥60W。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5、最大声压级：≥108dB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6、灵敏度：≥91dB。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7、频率响应：80-20kHz。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8、适用于各类多媒体教室、电教室、阶梯教室、普通教室等。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互动终端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1、支持HDMI接入检测开机，HDMI有输入信号后，可自动开机。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2、支持HDMI接入检测关机，HDMI输入信号消失后2分钟，可自动进入关机状态。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3、支持开机无广告。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1、USB接口：≥1个。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2、HDMI接口：≥3个。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3、AV接口：≥1个。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1、屏幕物理尺寸：≥55英吋。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2、屏幕分辨率：≥3840*2160。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3、HDMI输入通道数量：≥3个。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4、对比度：≥3000：1。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5、支持壁挂和吊装安装。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6、整机功耗：≤130W。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附件及线材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HDMI高清音视频信号线、超五类网络传输线、RVVP线缆、网络综合布线等。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2个交换终端：不少于8个POE网口，功率不小于100W。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远程互动课堂软件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1、支持微信扫码登录，无需输入帐号密码即可实现登录，用户可便捷、快速进入课堂。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2、支持显示预约的活动信息，包括直播活动、互动课堂、网络教研的活动类型、活动名称、活动时间、活动状态及对应授课老师。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3、支持录制视频、直播活动、互动课堂、网络教研活动。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4、支持在课前设置录播机的录制画面、导播模式。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5、支持直接创建公网直播，即时生成直播二维码，无需通过平台进行提前预约。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6、支持直接创建网络教研，即时生成教研二维码，扫码可进行查看教研简介、发送点评等。无需通过平台进行提前预约。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7、支持通过房间号加入互动课堂或网络教研，听课端可直接输入房间号加入到房间中进行互动。授课老师可将邀请网页分享给其他成员，成员通过链接快速加入到互动中。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8、支持授课老师互动时，选择授课老师的教师画面、学生画面、电脑画面、板书画面、本地摄像头作为视频画面，推送至听课成员并进行直播。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9、可查看参与互动的教室网络连接情况，了解彼此的设备网络环境，房间内所有成员都能查看到每个上台成员的网络情况。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用户在云课件中进行远程同步课堂活动，异地教室的学生可同时在交互智能平板上参与活动，支持2个教室的学生同台参与知识趣味活动，活动中双方可相互看到对方操作。支持至少6种类型、70个模板的课堂活动。（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无绿幕虚拟抠像功能，方便教师更换画面背景，突出人物；对本地摄像头画面进行虚拟背景处理，并显示对应的实时画面，方便教师查看虚拟背景效果；支持对比控制，显示无虚拟背景和虚拟背景后的画面效果；支持背景虚化和更换背景；提供不少于3个默认背景图；支持添加本地图片设置为背景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12、在互动课堂与网络教研时，支持不少于2种角色实时切换。主持人可将课中任一成员设置为授课老师、学生。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提供不少于4个通用工具，8个学科工具，支持语文、数学、英语、美术、地理等学科使用，并支持授课老师与听课成员多方交互触控。（提供具有CNAS及CMA标识的国家权威检测机构出具的检测报告复印件并加盖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14、在活动中，支持讨论功能，所有成员都可在讨论区发送文字信息，提升课堂参与度。讨论区可轻松收起、展开，避免消息过度打扰。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资源管理平台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1、基础管理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1)系统采用模块化的架构设计B/S架构，用户可通过浏览器实现专递课堂、名校网络课堂、直播活动、用户管理等功能。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角色自定义：支持管理员根据不同教师的工作需求创建角色，自定义该角色的名称和可使用的功能权限；并可查看各角色的人数，方便管理。教师可以通过自主账号登录平台，根据教师个人学习需求对全校的视频课程进行筛选、点播观看、在线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3)视频管理：录播主机录制的视频自动上传至平台，支持本校教师或管理员对视频进行名称编辑、学科学段编辑、下载、删除、发布课程等操作。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上传附件：平台支持支持用户在发布课程时上传相关资料；所上传资料可支持不少于5种文件格式；课程发布后，观众观看课程时下载相关资料，进行深入学习。课程发布：课程发布时，可选择对应的学段、学科、发布模块、示范课分类等，方便用户按不同维度查找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5)课程评论：支持用户对已发布视频进行视频打点并插入课堂评价，所评论内容需关联视频对应时间点。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6)直播活动：支持用户创建直播，提前设置预约直播信息，并获取直播地址及二维码海报，方便提前发布直播信息。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7)直播分享：用户可一键生成链接并进行分享，其他用户通过打开链接的方式，可登录观看直播视频。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8)直播暖场素材：平台支持用户自主选择上传图片或视频，作为暖场素材在直播间隙循环播放。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9)签到信息：支持设置观众签到的输入信息，可选择仅输入“姓名”或“姓名、班级/学校/单位”。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10)直播数据：直播开始后，支持查看直播的人气峰值、观看人次、累计点赞、观众发言次数、签到人数等数据，随时掌握直播情况。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11)自定义导航栏：支持超级管理员编辑平台一级和二级导航栏的标题内容；支持拖拽调整一级导航栏的排序，方便管理者设置个性化的平台。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2、专递课堂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1)专递示范课：自动统计老师发布到“专递示范课”的课程总数，并按学科统计发布课程的老师人数与课程数。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2)支持用户在平台中预约专递课程，采用课表形式实时显示课程计划。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3)课表支持逐级汇总，教师个人课程计划、学校全体课程计划均支持在一张课表中展示，利于用户便捷查看。在课程计划中，支持登录用户进行个人课程的快速定位查看。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3、名师课堂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1)用户可在名师示范课页面中，点播本校名师上传的优质示范课程。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2)平台根据课程播放数量提供最热门课程推荐，便于用户快速查看学习。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3)平台提供课程播放总数最高的名师展示，支持用户点击名师头像进入教师空间，查看该名师上传的全部课程。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4、名校网络课堂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具备名校网络课堂页面，展示详细学校情况，包括学校简介、活跃教师、学校上传的全部课程、课程观看总人次等数据。在活跃教师排行榜中，可看到各位名师发起的课程总数及总观看人次。用户访问平台网页观看线上课程时，可直接在平台网页中参与知识配对、选词填空、趣味分类等在线互动答题，加深对知识点的理解；完成后，可直接查看答题用时与答题排行榜，并可选择继续观看视频或再玩一次。名校管理员可进行学校校徽、学校简介等信息的设置管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资源管理平台主机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1、处理器：4核8线程,2.1GHz,LGA1700,65W,5MB,Turbo4.3GHz。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2、内存类型： DDR4 3200 MHz 288-pin DIMM。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3、内存：内存空间≥32GB(16GB*2)。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4、硬盘接口：SATA。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5、硬盘类型：3.5英吋HDD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6、硬盘空间：3.5寸机械硬盘8TB(7200rpm) x3 企业级。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7、设备高度：≤2U。</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8、操作系统：支持centos 64位。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9、电源：220V AC。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10、整机接口：USB接口≥4个；RJ45接口≥4个，支持10/100/1000Mbps 自适应；VGA接口≥1个、HDMI接口≥1个，DP接口≥1个；Line Out接口≥1个；COM口≥1个。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净气型通风柜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1、上柜外部尺寸：1245*800*620mm下柜尺寸：825*798*590mm；平均表面风速： 0.4-0.6m/s；电源：AC220V/50HZ；功率：60W；噪音：50 dBA；操作孔类别：三角型（梯形）；过滤器数量：D型过滤器2个；风机数量：1个；照明：LED照明灯1组；显示屏：七寸液晶触摸屏；台面：环氧树酯台面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电源线：1根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2、无管道净气型通风柜符合NFX 15 211：2009标准（由ANSI Z 9.5-201认证），ASHRAE 110：1995标准和中国国家标准JG/T385：2012标准，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3、设备主要材质采用≥1.2mm镀锌钢板，环氧树脂静电喷涂，覆有耐用防化无铅涂层，保持高光洁度并最大限度的降低腐蚀和湿气的影响。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4、前板及侧板：主要材质≥6mm亚克力板，耐候性极佳，优异的抗化学品性能，不易老化，无色透明，通体透光，视觉舒适，美观大方。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5、操作口操作孔类别：三角型（梯形），为防止外溢，操作窗口保护因子为1.0*106，符合YY0569中5.46.员保护相关要求。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6、LED照明灯功率相当于25W的日光灯，不产生热量，安全并不影响实验环境温度。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7、氧树脂台面具有优越的化学稳定性，超强的抗腐蚀性能，抗冲击性能好无破坏，耐高温性能优异，一体透芯，使用寿命长，不脱层，不膨胀、不龟裂。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8、柜体下柜：壳体全部采用≥1.0mm 的一级冷轧钢板，背面预留检修口，柜门采用双层结构，柜门颜色可选（黄色、蓝色、红色、白色），可用于存储危险化学品，柜门中间设有安全绝缘空间，表面采用品牌塑粉进行环氧树脂静电喷涂，附着力强，酸洗磷化，盐雾试验72小时，降低腐蚀和湿气的影响。下柜配有两块可调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9、下柜铰链：钢琴式铰链，确保门能开180度。芯柱采用2.0mm，其他部分采用1.5mm，确保双层门长期开关，不下垂。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10、锁具：锁具采用三点联动式结构，两把B级机械锁设置在同一面板上，锁具内置弹簧把手，便于开门使用。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11、电源线≥3m长度，符合GB1002-2008标准。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12、声光蜂鸣器符合GB14048.5和IEC60947-5-1标准。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13、风机采用DC后倾式离心风机；最大噪音≤68.8dB，防护等级不低于IP44，需具有自动重启、软起动、过压保护等功能；运行寿命≥30000小时；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14、依据JG/T385-2012无风管自净型排风柜要求，平均面风速为0.53m/s，噪声为52.4dB（A），风量为209.88（m³/h）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15、配置≥7寸触摸屏；LED背光模式，使用时长不低于10000小时；TTL串口，需有效进行屏幕与主板通信；配备SD卡标准接口，可更新导入数据；内置≥2Gbits（256Mbytes）NAND flash存储器；内置屏幕蜂鸣器，可用于设置及播放操作提示；联合ABS一体式系统展示罩。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#16、控制系统上需能显示过滤耗材饱和程度及使用进度数据，可实时观测耗材使用情况，提供技术证明资料并加盖投标人公章。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17、控制系统需能有效进行设备基础信息管理，包括设备编码、设备型号、设备配置、设备耗材、设备流量、设备定位管理； 能协助有效进行设备使用者管理，包括使用部门、使用人员、相关权限等；能协助进行设备使用状态管理，包括温湿度、VOC、风机状态、报警状态、照明状态；能协助进行柜内储存物管理，包括储存物品类、名称、使用记录、数量（包装为单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18、温湿度传感器，外壳需采用ABS工程塑料，配置防尘透气不锈钢滤网；温度显示范围-40-125℃，设置精度≤0.1℃；湿度显示范围0-99.9%RH，湿度设置精度≤0.1%RH；湿度响应时间≤8 秒(tau63%)；可独立设置温度、湿度报警值；超过或者低于设置值，均会报警并联动外接设备及柜体顶部内置离心风机，无火花静电。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VOC空气质量传感器需采用专用的数字模块采集技术和气体感应传感技术；能有效监测空间环境中存在污染气体，如甲醛、一氧化碳、可燃气体、酒精、氨气、硫化物、苯系蒸汽、烟雾、其它有害气体的监测。提供顶部密封控制浓度检测报告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模块式结构，多品种过滤器选择（有机、无机、氨气、HEPA、甲醛类），可自由组合；可过滤净化处理甲醛、二氧化氮、硫化氢、氨气、氯气、TVOCs等多种刺激性、气味性以及腐蚀性有毒有害气态污染物，具有不可逆转，无异味，吸附量大。分子过滤装置采用双层，提供生产商出具的带有CMA或CNAS标识的第三方检测机构出具的的吸附效能（针对不少于异丙醇、环乙烷、苯、甲苯、盐酸）检测报告复印件佐证并加盖投标人公章。报告中需体现此款产品型号及图片。都能吸附）、HEPA过滤器（针对固体粉末的吸附，能力强）、甲醛类过滤器(针对甲醛试剂的操作，有机试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示教推车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【推车本体】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车体一体化设计，集挂载、移动、供电、展示、收纳、拾音、扩音、无线上网、对外接口于一体，可以挂载整套实训录播系统。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车体立柱采用铝合金结构，大尺寸高强度设计。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车体底部采用四脚稳定设计，配套4个带脚刹装置的万向静音轮。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车体各设备安装完毕后，可以满足10度倾斜。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车体配置高强度展示台，并支持极限40kg承重。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车体展示台上有刻度尺指示胶垫，可避免展示台磨损，展示样品尺寸。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车体配置自吸附收纳抽屉，关闭时会自动吸附。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车体悬臂支持水平360度旋转，双节多方位调节；垂直60度调节。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车体悬臂关节支持力度调节，可保证0.5kg-2kg负重时任意角度拉动、悬停。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支持隐藏式走线，整车背部具备专业理线器，可将背部接口线材通过理线器进行整理。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支持HDMI IN≥1个、HDMI OUT≥1个、USB3.0≥1个、RJ45≥1个、充电接口≥1个。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 支持50mm×20mm全彩电池信息显示屏，可通过按键控制屏幕亮灭，可显示电量、输出电压、输出电流和电池温度。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支持电源按钮，可以控制整套设备的电源开关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【供电系统】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支持专业电源供电系统，采用磷酸铁锂电芯，整个电池模组容量30000mAh，电源箱体采用双保护电源模块，输出DC 24V。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车体自带电池可支撑全设备满功率工作时间≥16h。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车体电池充电时间≤6h。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电源系统充放电寿命≥2000次。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【扩声系统】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扩声音箱与整车一体化设计，非外挂音箱。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音箱额定功率：15W。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扬声器个数：≥1。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扬声器尺寸：≥4英寸。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【无线上网系统】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车体具备USB无线网卡，可供系统连接 Wi-Fi使用。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无线网卡无线标准：支持IEEE802.11a/b/g/n/ac/ax标准。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无线网卡支持USB3.0接口。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【音频采集】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麦克风内置≥8个传感器单元。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麦克风支持≥2个数字音频接口，支持数字音频传输，每个接口都具备输入接口和输出接口能力，支持盲插。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支持状态指示灯，指示灯显示蓝色表示阵列麦克风处于工作状态正常，指示灯显示红色表示阵列麦克风处于无法正常拾音的状态。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麦克风无需额外适配器供电，能够通过网线实现麦克风供电、音频信号传输、参数调整。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录播主机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主机需采用集成化设计，内置导播系统、互动系统、视频处理系统。具备音视频采集、音视频编解码、音视频处理、录制、直播、远程互动、视频会议、导播、物联控制、远程运维参数设置等能力。未来可扩展行为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2、主机需采用Linux操作系统。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3、主机内置跟踪功能，无需额外配置跟踪主机即可实现智能图像识别跟踪分析与处理功能。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4、整机视网膜蓝光危害（蓝光加权辐射亮度LB）满足IEC TR 62778:2014蓝光危害RG0级别。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5、主机平均噪声≤13dB（A）。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6、支持通过浏览器或电脑应用程序，连接互联网查看主机SN码、IP地址、MAC地址。支持查看系统版本信息、软件版本信息、设备信息，并可通过手动更新查找最新安装包，进行升级。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7、支持网络认证功能，可选择网络认证的线路，选择http协议或https协议。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8、支持双网卡设计。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1、HDMI输入接口：≥2个，HDMI输出接口：≥3个。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2、网络接口：≥5个，其中POE接口：≥3个。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3、线路立体声音频输入接口：≥2个，线路立体声音频输出接口：≥2个。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4、数字麦克风输入接口：≥1个。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5、Type-C接口：≥2个。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1、主机集成触控电容屏，屏幕尺寸：≥15英寸。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2、内置≥8核心ARM架构处理器，最高主频：≥1.8GHz。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3、硬盘存储：≥1TB。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4、支持：≥1个多功能按键，通过按键可以实现开机、关机、待机。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5、支持：≥1个复位按钮，可实现整机设置恢复出厂设置。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1、支持通过Type-C接口实现音视频输出，输出音频可通过主机控制软件实现混音，兼容标准互动协议下的主流视频会议硬件与软件。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2、支持完全断电的情况下，从主机的音频输入通道上输入的音频，可以从主机的音频输出通道实现输出，且≥2个音频输入通道可以支持该功能。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3、支持设置视频录制计时，计时设置支持≥5种计时时间选择。最长计时时间≥12小时。开启计时后，在录制过程中可查看已录制时长。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4、支持选择多路画面同时录制，可选择同时≥7路画面同时录制。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5、支持录制清晰度设置，分辨率可设置1080P、720P，并估算视频录制的大小。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6、支持Mic in及无线麦克风压制策略设置，可选择开启、关闭或自定义。可设置最大压制幅度0～60dB可调，压制策略阈值上/下界可联动调节。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7、支持内置网络监测功能，可检测主机的服务联通性、网络稳定性、上下行速度、网络追踪性、网卡信息。支持各项单独检测及一键检测，检测时可动态展示实时数据变化。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8、支持上电自启动，设备通电后系统可自动启动，可设置开启或关闭上电自启动功能，支持自动开关机，可设置定时开关机时间。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直播清晰度设置，分辨率可设置1080P、720P。支持直播清晰度自定义设置，可设置分辨率为1080P、720P、VGA、QVGA，可设置帧率为60、30、25FPS，可设置画质≥4种档位，可设置码率为静态码率、动态码率。设置后可显示对应码流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10、支持拾音麦克风采集音量大小调节，并通过音量条动态显示麦克风拾音情况。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11、支持录制视频文件支持自动归档，按照年月日创建文件夹，录制视频自动归档到对应的文件夹下。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12、支持通过互联网控制主机的关机、重启。可设置定时开关机，并设置对应时间。支持设置主机通电开机。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13、支持视频录制，并可兼容1920×1080p、1280×720p、640×480p。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14、支持设置主机储存空间覆盖模式，可选择循环覆盖或非循环覆盖。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1、支持"1+3+直播接入"的互动授课模式，可接入1个主讲教室、3个听课教室和直播听课教室。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2、支持在系统总丢包率≥50%的网络环境下，视频清晰流畅无卡顿，语音（声音）连贯。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3、支持互动过程中，进行性能监控，可监控丢包率、上行带宽、下行带宽、最大虚拟内存、当前虚拟内存、当前物理内存、当前句柄数量、当前进程数量、当前CPU使用率。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4、支持互动过程中，进行推流质量查看。可查看视频分辨率、质量、延时、丢包率、视频帧率、视频码率、音频帧率、音频码率。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5、支持通过浏览器及电脑应用程序，对主机进行画面切换控制。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6、支持≥9种多画面合成布局选择，可自定义选择布局中的画面，选择后自动更新布局种画面的名称。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7、支持通过浏览器，设置≥3种导播模式；设置主机网络ip；设置主机存储空间覆盖模式；查看主机系统、设备、软件等信息。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8、支持≥16种转场特效的选择。选择对应特效后，切换画面将应用该特效。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9、支持选择≥3种导播模式，具备手动、半自动、全自动可选。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10、支持片头片尾。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11、支持拖拽调节字幕任意位置，或通过≥6个预设位置调整字体位置;支持通过≥3个预设字号调整字体大小；支持通过≥5种预设颜色调整字体颜色。支持批量管理字幕。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12、支持拖拽调节台标任意位置，或通过≥5个预设位置调整台标位置。支持批量管理台标，可批量勾选并删除。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机械云台摄像机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1、设备采用ARM硬件架构，linux操作系统。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2、支持人脸检测、人形检测AI算法。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3、支持演讲者模式、学生全景模式、学生特写模式、教师全景模式、教师特写模式、板书模式6种模式切换。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1、HDMI接口：≥1个。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2、LINE 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3、LINE OUT接口：≥1个。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4、RS232 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5、RS232 OUT接口：≥1个。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6、RS485接口：≥1个。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7、电源接口：≥1个。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1、传感器尺寸：≥CMOS 1/2.8英寸。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2、传感器有效像素：≥800万。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3、变焦：≥12倍。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4、扫描方式：逐行。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5、支持畸变矫正功能，畸变：≤±0.5%。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6、亮度灵敏度：≤0.2Lx @ (F1.8, AGC ON)。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7、镜头：F1.82 ~ F2.78。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8、快门：1/30s ~ 1/10000s。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9、支持自动白平衡功能。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10、支持背光补偿功能。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11、支持图像冻结功能。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12、支持POE供电。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13、支持2D&amp;3D数字降噪，信噪比：≥58 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14、支持预置位个数：≥255个，预置位精度：≤0.1°。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15、支持水平翻转、垂直翻转，水平转动范围：±170°，垂直转动范围：-30°~+90°。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16、支持水平视场角：≥75°。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17、支持水平转动速度：≥100°/s，垂直转动速度：≥69°/s。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1、支持设置摄像机分辨率、帧率、码率。支持设置摄像机亮度、饱和度、对比度、锐度、色度、快门速度。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2、支持图像左右镜像、上下翻转。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3、支持对摄像机网络进行管理，包括设置IP地址/网关/DNS等，支持组播协议搜索IP地址，并修改摄像机IP。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4、支持RTMP推流，RTSP拉流，地址可设置。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5、支持ONVIF协议，可预览ONVIF画面。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6、支持GB28181协议，可使用GB28181协议推流。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示教摄像机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1.传感器像素≥800万。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2.传感器靶面尺寸≥1/2.8英寸。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3.光学变倍倍数≥8倍，数字变倍倍数≥8倍。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4.扫描方式：逐行。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5.可调亮度、色度、饱和度、对比度、锐度。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6.最大视场角≥60°。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7.信噪比≥55dB。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8.支持H.265/H.264/MJPEG视频编码标准。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9.网络输出视频支持分辨率：3840×2160, 1920×1080, 1280×720,1024×576，720×480，720×408，640×480，640×360。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10.HDMI输出视频支持分辨率：3840×2160, 1920×1080, 1280×720,1024×576，720×480，720×408，640×480，640×360。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11.支持32kbps～51200kbps码率。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12.支持CBR、VBR。</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13.最高可支持30fps帧率。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14.支持micro HDMI和网络接口输出视频。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15.网络接口支持POE功能。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16.整机功耗≤13W。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17.整机支持微距拍摄功能，可支持细小物体距离摄像机≤30cm时，仍可以正常聚焦，拍摄到清晰的视频画面。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18.整机支持TOF测距功能，通过自带的TOF模块可快速测出被摄物体距离摄像机距离，并由此快速实现对焦，满足实验实训场景中移动摄像机时的快速聚焦需求。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无线麦克风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1、支持三合一按键，可控制麦克风的开关机、静音和配对。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2、标配充电仓，可用于充电及收纳。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3、麦克风充电仓支持电量指示，通过灯珠亮灭数量充电仓剩余电量及充电状态。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4、整机标配两个无线麦克风，且两个麦克风支持同时工作。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5、麦克风支持≥3种佩戴方式，不仅限于领夹、手持、头戴、挂脖。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1、Type-C接口：≥1个。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2、3.5mm音频接口：≥1个。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3、Pogo pin接口：≥1个。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4、音量键：≥2个。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【设备配置】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1、麦克风从充电仓拿出自动开始配对。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2、麦克风支持自动重连，当离接收端距离过远时断开连接后，重新返回接收端距离以内能自动重连。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3、通信保持状态下，支持在空旷环境下，有效传输距离≥100m。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4、通信保持状态下，支持在室内使用场景下，穿墙后有效传输距离≥20m。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5、麦克风传输频段为2.4G，传输协议为BlueTooth 5.2。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6、搭配充电仓，两个麦克风续航时间均可≥20h。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7、支持充电仓输出过流保护功能，当充电仓pogo pin接口短路时，充电仓指示灯保持闪烁状态，提示当前充电仓短路，并启动对外输出保护功能，保护麦克风。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1、麦克风采用基于Bluetooth 5.2的LE Audio技术标准，保证高品质抗干扰、低功耗、低延时传输。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2、麦克风音频编码方式采用LC3 plus。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3、支持啸叫抑制算法，当音箱安装在正常高度（2.5m）时，本地扩声教室后排9m距离音量为75dB时，通过算法可实现本地扩声无啸叫现象。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4、支持全频自适应降噪技术。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5、支持智能混音，支持多通道输入混音。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附件及线材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无线传屏器、HDMI高清音视频信号线、超五类网络传输线、RVVP线缆、网络综合布线等。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≥长1600mm*宽600mm*高780mm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1、桌面采用E1级≥25mm实木颗粒三聚氰胺饰面板，四边采用1.5mmPVC封边，封边胶采用纯白色热熔胶。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2、桌体统一采用≥16mmE1实木颗粒三聚氰胺饰面板。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3、板材要求，板面平整色泽均匀，无刺激性气味，环保标准达到E1级标准，桌体带有设备存放夹层，五金部分采用优质缓冲五金件；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语言中教室1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≥长1600mm*宽600mm*高780mm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1、桌面采用E1级≥25mm实木颗粒三聚氰胺饰面板，四边采用1.5mmPVC封边，封边胶采用纯白色热熔胶。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2、桌体统一采用≥16mmE1实木颗粒三聚氰胺饰面板。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3、板材要求，板面平整色泽均匀，无刺激性气味，环保标准达到E1级标准，桌体带有设备存放夹层，五金部分采用优质缓冲五金件；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实验员室1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实验员桌椅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一、实验员桌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1、规格：≥1400*700*750mm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2、基材：采用E1级三聚氰胺饰面，贴面平整，无起泡、坑凹，所有板材均经过防虫、防霉化学处理，强度高、刚性好、不变形，封边：四周采用同色 PVC 封边条对板材截面进行热溶封边处理。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3、结构：优质金属桌架管壁厚度为≥1.2mm，桌架选用钢制优质冷轧钢管，确保每一块部件360°喷塑。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4、喷塑：所有钢制部件均需酸洗磷化，表面颜色一致。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5.五金：选择连接件、螺母等五金配件。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二、实验员椅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1、椅背：采用网布，骨架采用优质工程塑料；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2、椅座：骨架采用工程塑料，软包采用定型泡棉，表面优质麻纹面料包覆，面料抗静电耐磨不起球；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3、托盘：采用3mm冷轧钢板冲压而成，升降气缸采用油压气缸，升降范围1-100mm；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4、下脚：采用尼龙五星脚架，杜邦尼龙脚轮。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1、规格：≥3800*600*850mm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任课教师准备室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标本柜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框架：采用铝合金框架结构，前立柱为36mm×27mm的方形铝管，后立柱为36mm×36mm的方形铝管，所有铝材表面经过环氧树脂粉末喷涂，可防酸耐碱，美观、牢固耐用。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柜体：采用18mm厚E1级环保三聚氰胺双贴饰面板，截面由优质PVC封边，粘力强，密封性好，经久耐用，外型美观。上部四周镶装透明玻璃，设玻璃活动隔板2块，柜内搁板可升降调节。下部为木质对开门，内设1块25mm活动隔板，加强力ABS紧固件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脚垫：采用环保型ABS塑料一次性注塑成型，可有效防止桌身受潮，延长设备的使用寿命。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1、规格：≥6600*600*850mm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净气型药品柜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1.产品要求：顶部模块化过滤系统，可实现针对有机气体，无机气体和无机盐、粉尘或粉末混合等不同物质的过滤；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2.规格尺寸：≥H2070*W800*D510mm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3.金属部件：主体采用≥1.2mm镀锌钢板，白色环氧树脂静电喷涂，覆有防化无铅涂层，降低腐蚀和湿气的影响。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4.门板：双门设计，采用≥6mm亚克力板，无色透明，通体透光。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5.层板：8块一体注塑成型的ABS层板，耐腐蚀、承重性能优越；层板承重不小于70kg/m³，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6.锁具：双锁设计，符合双人双锁管理要求。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7.抗酸碱盛漏液抽屉：聚丙烯PP内胆，耐腐蚀。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8.柜底装有四个可移动增强聚丙烯轮子，方便移动和定位。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9.功能配置：≥七英寸液晶触摸屏，实时温湿度环境监控，风机监控，VOC浓度环境监控及物联网功能一体化报警系统；带报警开关、风机工作开关；进入密码保护的设置界面可进行功能设置。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实时温湿度、VOC环境监控系统：≥七英寸液晶屏显示柜内实时温度、湿度及VOC浓度，温度监控范围为-40-80℃，湿度监控范围为0-100RH，VOC监控范围10～1000ppm。可手动设置报警参数，当柜内温湿度及VOC浓度超过设定值，实现本地声光报警并联动风机排风过滤，保护柜内安全、保障产品使用以及人员安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风机监控：风机采用无叶离心风机超静音，无火花静电。可人工设置定时开启和关闭通风风机，每天多个通风时间段；同时具备时间控制功能，按时段启动过滤系统；风机具备调速功能可视柜内储藏试剂状况进行适当调节，通过不同的链接在线能实现远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12.通过JG/T 385-2012无管自净型排风柜标准，面平均风速≤0.55m/s、风量≤65.34m3/h、噪音≤52.2dB(A)，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过滤系统：具备模块化功能，双层过滤模块配备，可根据存储危化品性质不同，由多种不同型号的分子过滤器构成；过滤器采用PP材质一次开模成型，原材料采用椰壳活性炭加特殊配比成份，能24小时有效吸附复合性有毒有害气体。高效过滤系统按照颗粒大小选择排列分布，遵循ASTM标准，吸附能力强，针对粒子过滤器，采用高效HEPA过滤器，对大于0.3um的粒子，过滤效率达99.995%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#14.根据GBZ 2.1-2007中华人民共和国国家职业卫生标准-工作场所有害因素职业接触限值的要求，依据GBZ/T300-2017的检测依据，针对标准化学品：异丙醇，环己烷，苯、甲苯及盐酸等的过滤器具体吸附量需在上述标准中规定的标准规定值1%接触限值以内，提供生产商出具的带有CMA或CNAS标识的第三方检测机构出具的检测报告复印件佐证，复印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15.可以在手机端对设备控制，控制设备风机模式。查看设备监测数据温度、湿度VOC浓度、以及滤芯余量的数值显示。时刻监测数值。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16.静电处置：设有静电接地传导端口，连接接地导线，符合OSHA规范；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（十九）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生物2（解剖实验室）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10、具备总给水阀控制功能及RJ45网口、USB、HDMI等外引信号线的拓展接口。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11、标准AC220V输入时，直流高压分240V、300V两档分别输出（空载时±2V）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洗眼器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材质：主体采用环保型PP材料一次性注塑成型。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工作压力：0.2-0.4MPa。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流量：洗眼器喷头：≥12升/分钟。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性能：阀门可自动关闭，密封可靠。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喷头：洗眼盆头，出水经缓压处理呈泡沫状水柱，防止冲伤眼睛，设有防尘盖，使用时可自动被水冲开。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2、柜体整体采用≥0.9mm厚优质冷轧钢板，表面经酸洗、磷化、抛光等处理后外喷环氧树脂粉体喷塑，具有防锈、防腐功能。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3、门板：采用≥0.9mm厚优质冷轧钢板。结构为双层中空内加筋，增强柜门的稳定性，减少变形几率、减少开启时噪音；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4、调节脚：采用高强度调整脚，承重，防潮，耐腐蚀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学生电源：桌斗中间位置固定学生电源盒：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1、采用轻触摸按键电子控制开关。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2、标准化图案清新易懂。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2、零火供电方式，负载功率高。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4、具备1个220V交流电源输出插座。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5、学生电源的性能指标符合JY/T 0374-2004标准。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6、具备短路、过载保护功能。并带有交流220V输出显示。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1、规格：≥5500*600*850mm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外径规格：≥445×350×360mm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内径尺寸：≥380*290*260mm，水槽采用环保型PP材料一次性注塑成型，具有防溢出功能。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综合实验室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1、教师端主控，含主机，主机采用铁制机箱，提升式；控制显示采用液晶真彩触摸屏和数据显示一体化。</w:t>
            </w:r>
            <w:r>
              <w:rPr>
                <w:rStyle w:val="526"/>
                <w:rFonts w:hint="default"/>
                <w:lang w:bidi="ar"/>
              </w:rPr>
              <w:br w:type="textWrapping"/>
            </w:r>
            <w:r>
              <w:rPr>
                <w:rStyle w:val="526"/>
                <w:rFonts w:hint="default"/>
                <w:lang w:bidi="ar"/>
              </w:rPr>
              <w:t>2、具备1个86型220V交流电源输出插座（额定电流：6A)。</w:t>
            </w:r>
            <w:r>
              <w:rPr>
                <w:rStyle w:val="526"/>
                <w:rFonts w:hint="default"/>
                <w:lang w:bidi="ar"/>
              </w:rPr>
              <w:br w:type="textWrapping"/>
            </w:r>
            <w:r>
              <w:rPr>
                <w:rStyle w:val="526"/>
                <w:rFonts w:hint="default"/>
                <w:lang w:bidi="ar"/>
              </w:rPr>
              <w:t>3、系统具备220v漏电\短路、过载保护功能。</w:t>
            </w:r>
            <w:r>
              <w:rPr>
                <w:rStyle w:val="526"/>
                <w:rFonts w:hint="default"/>
                <w:lang w:bidi="ar"/>
              </w:rPr>
              <w:br w:type="textWrapping"/>
            </w:r>
            <w:r>
              <w:rPr>
                <w:rStyle w:val="526"/>
                <w:rFonts w:hint="default"/>
                <w:lang w:bidi="ar"/>
              </w:rPr>
              <w:t>4、有自动关机时间设置功能，时间到时自动关闭学生及教师端对应的电源输出。</w:t>
            </w:r>
            <w:r>
              <w:rPr>
                <w:rStyle w:val="526"/>
                <w:rFonts w:hint="default"/>
                <w:lang w:bidi="ar"/>
              </w:rPr>
              <w:br w:type="textWrapping"/>
            </w:r>
            <w:r>
              <w:rPr>
                <w:rStyle w:val="526"/>
                <w:rFonts w:hint="default"/>
                <w:lang w:bidi="ar"/>
              </w:rPr>
              <w:t>5、密码控制，本产品由教师输入正确的密码，方可启动实验电源的控制系统，对电源控制台进行操作防误操作方便教师合理安排实验（出厂默认无管理密码，教师可自定密码）。</w:t>
            </w:r>
            <w:r>
              <w:rPr>
                <w:rStyle w:val="526"/>
                <w:rFonts w:hint="default"/>
                <w:lang w:bidi="ar"/>
              </w:rPr>
              <w:br w:type="textWrapping"/>
            </w:r>
            <w:r>
              <w:rPr>
                <w:rStyle w:val="526"/>
                <w:rFonts w:hint="default"/>
                <w:lang w:bidi="ar"/>
              </w:rPr>
              <w:t>6、教师主控可实现对学生低压交直流电压的设置和分组控制，学生的锁定。多媒体为后期拓展功能。</w:t>
            </w:r>
            <w:r>
              <w:rPr>
                <w:rStyle w:val="526"/>
                <w:rFonts w:hint="default"/>
                <w:lang w:bidi="ar"/>
              </w:rPr>
              <w:br w:type="textWrapping"/>
            </w:r>
            <w:r>
              <w:rPr>
                <w:rStyle w:val="526"/>
                <w:rFonts w:hint="default"/>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Style w:val="526"/>
                <w:rFonts w:hint="default"/>
                <w:lang w:bidi="ar"/>
              </w:rPr>
              <w:br w:type="textWrapping"/>
            </w:r>
            <w:r>
              <w:rPr>
                <w:rStyle w:val="526"/>
                <w:rFonts w:hint="default"/>
                <w:lang w:bidi="ar"/>
              </w:rPr>
              <w:t>8、标准AC220V输入时，直流高压分240V、300V两档分别输出（空载时±2V），额定电流≥100ma，9</w:t>
            </w:r>
            <w:r>
              <w:rPr>
                <w:rFonts w:hint="eastAsia" w:ascii="宋体" w:hAnsi="宋体" w:cs="宋体"/>
                <w:b/>
                <w:bCs/>
                <w:color w:val="000000"/>
                <w:kern w:val="0"/>
                <w:sz w:val="20"/>
                <w:szCs w:val="20"/>
                <w:lang w:bidi="ar"/>
              </w:rPr>
              <w:t>V直流大电流输出，空载时偏差±1v,20S±2s自动关断。</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9、电源主控台与教师演示台一体化。</w:t>
            </w:r>
            <w:r>
              <w:rPr>
                <w:rStyle w:val="526"/>
                <w:rFonts w:hint="default"/>
                <w:lang w:bidi="ar"/>
              </w:rPr>
              <w:br w:type="textWrapping"/>
            </w:r>
            <w:r>
              <w:rPr>
                <w:rStyle w:val="526"/>
                <w:rFonts w:hint="default"/>
                <w:lang w:bidi="ar"/>
              </w:rPr>
              <w:t>10、具备DC5V ≥2A通过Type-c和Type-a接口输出，便于使用</w:t>
            </w:r>
            <w:r>
              <w:rPr>
                <w:rStyle w:val="526"/>
                <w:rFonts w:hint="default"/>
                <w:lang w:bidi="ar"/>
              </w:rPr>
              <w:br w:type="textWrapping"/>
            </w:r>
            <w:r>
              <w:rPr>
                <w:rStyle w:val="526"/>
                <w:rFonts w:hint="default"/>
                <w:lang w:bidi="ar"/>
              </w:rPr>
              <w:t>11、具备总给水阀控制功能及RJ45网口、USB、HDMI等外引信号线的拓展接口。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洗眼器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材质：主体采用环保型PP材料一次性注塑成型。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工作压力：0.2-0.4MPa。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流量：洗眼器喷头：≥12升/分钟。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性能：阀门可自动关闭，密封可靠。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喷头：洗眼盆头，出水经缓压处理呈泡沫状水柱，防止冲伤眼睛，设有防尘盖，使用时可自动被水冲开。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规格：≥2800×1200×780mm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2、柜体整体采用≥0.9mm厚优质冷轧钢板，表面经酸洗、磷化、抛光等处理后外喷环氧树脂粉体喷塑，具有防锈、防腐功能。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3、门板：采用≥0.9mm厚优质冷轧钢板。结构为双层中空内加筋，增强柜门的稳定性，减少变形几率、减少开启时噪音；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4、调节脚：采用高强度调整脚，承重，防潮，耐腐蚀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智能系统控制柜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规格：≥530*200*800mm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1、外壳：采用厚≥1.0mm（含）以上优质镀锌钢板冲压成型制作，表面经耐酸碱环氧树脂喷涂处理；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2、内设置中央处理器一套，总漏电保护一组、分组漏电保护器十六组，紧急控制系统一套、工作指示灯一套、工业串口模块一个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3、10寸控制屏一套，用于显示控制操作系统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（1）可显示系统设置、系统初始化、密码更改、分组设置等功能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（2）可显示220V电源控制系统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（3）可显示交直流低压控制系统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（4）可显示智能升降机构升降控制系统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智能升降电源控制系统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1、可进行系统设置、系统初始化、密码更改、分组设置等功能；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2、可控制220V电源系统：控制学生端220V供电开关，每组可以单独控制，可以组合控制，可以全部同时控制。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3、可控制交直流低压控制系统：控制学生端交直流低压，每组可以单独控制，可以组合控制，可以全部同时控制，教师锁定时,学生自己无法操作。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4、可控制智能升降机构升降：每组可以单独控制，可以组合控制，可以全部同时控制。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顶部多模块电源供应装置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采用ABS材质，模具一体成型。模块内预留2组高压、2组低压安装位置。内装限位器，具备保护功能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模块储藏装置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1、壳体材质：ABS注塑一体成型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2、氛围模块：采用铝基板高亮度白光LED灯珠贴片工艺焊接完成，具有更高的导热性和重复一致性，由恒流驱动模块实现无频闪点亮。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智能升降电源低压模块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交互控制模块：采用1.28英寸螺纹圆形旋钮屏作为交互载体，MCU为核心，通过增加表面摩擦力，有效防止手指打滑，从而可以对电压设置更加精准操控，物理触感加视觉一体反馈更容易增强记忆，一体成型的结构设计抗油污、抗磨损更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交流输出模块：支持由学生端或教师端操作输出0-24V交流电压，分辨率为1V，额定电流2A，具有过载保护智能检测功能，支持教师对学生电压进行锁定操作，锁定后只有教师端可以进行设置电压，学生端将不可以设置,避免学生的误操作。教师端可以分组或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直流输出模块：支持由学生端或教师端操作输出1.5-24V直流电压，分辨率为0.1V,额定电流2A,具有过载保护智能检测功能，支持教师对学生电压进行锁定操作，锁定后只有教师端可以进行设置电压，学生端将不可以设置，避免学生的误操作。教师端可以分组或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4、网口模块：接口类型为RJ45*2，传输速率为10/100Mbps 自适应。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5、扩展模块：≥2组，每组输出接口为一个USBA接口、一个type-c接口；每组输出额定电压为5V,额定电流为1A。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智能升降电源高压模块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模块：≥2组，每组含2个220V 5孔，每组总带载不可以超过5A。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智能升降电源升降机构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1、升降机构：采用24V 大扭矩直流电机驱动轮毂式旋转线槽对线缆进行平稳收放，配合收放导向模块，上下限位模块，增强线缆保护，保障旋转收放过程不跳线，降低维修率，实现自动平稳安全的升降动作。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2、固定箱体：采用≥1mm冷轧钢板折弯焊接成型，经酸洗磷化前处理，表面经环氧树脂粉喷涂处理，坚固耐腐蚀。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综合布线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220V供电:采用2.5平方电线;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控制线:采用1.5平方双绞屏蔽电源线;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安装辅件及支架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1、支架采用环氧树脂喷涂金属吊杆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2、其它安装辅件，采用国标五金件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式</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系统调试安装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1、标准化安装，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2、系统结构调试；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3、系统控制调试；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4、供电系统调试；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5、升降调试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式</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布线系统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地面对接，由教师主控电源控制学生电源，安装调试（含辅料及耗材）。符合安全用电要求。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外径规格：≥445×350×360mm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内径尺寸：≥380*290*260mm，水槽采用环保型PP材料一次性注塑成型，具有防溢出功能。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净气型通风柜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1、上柜外部尺寸：1245*800*620mm下柜尺寸：825*798*590mm；平均表面风速： 0.4-0.6m/s；电源：AC220V/50HZ；功率：60W；噪音：50 dBA；操作孔类别：三角型（梯形）；过滤器数量：D型过滤器2个；风机数量：1个；照明：LED照明灯1组；显示屏：七寸液晶触摸屏；台面：环氧树酯台面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电源线：1根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2、无管道净气型通风柜符合NFX 15 211：2009标准（由ANSI Z 9.5-201认证），ASHRAE 110：1995标准和中国国家标准JG/T385：2012标准，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3、设备主要材质采用≥1.2mm镀锌钢板，环氧树脂静电喷涂，覆有耐用防化无铅涂层，保持高光洁度并最大限度的降低腐蚀和湿气的影响。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4、前板及侧板：主要材质≥6mm亚克力板，耐候性极佳，优异的抗化学品性能，不易老化，无色透明，通体透光，视觉舒适，美观大方。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5、操作口操作孔类别：三角型（梯形），为防止外溢，操作窗口保护因子为1.0*106，符合YY0569中5.46.员保护相关要求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6、LED照明灯功率相当于25W的日光灯，不产生热量，安全并不影响实验环境温度。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7、氧树脂台面具有优越的化学稳定性，超强的抗腐蚀性能，抗冲击性能好无破坏，耐高温性能优异，一体透芯，使用寿命长，不脱层，不膨胀、不龟裂。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8、柜体下柜：壳体全部采用≥1.0mm 的一级冷轧钢板，背面预留检修口，柜门采用双层结构，柜门颜色可选（黄色、蓝色、红色、白色），可用于存储危险化学品，柜门中间设有安全绝缘空间，表面采用塑粉进行环氧树脂静电喷涂，附着力强，酸洗磷化，盐雾试验72小时，降低腐蚀和湿气的影响。下柜配有两块可调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9、下柜铰链：钢琴式铰链，确保门能开180度。芯柱采用2.0mm，其他部分采用1.5mm，确保双层门长期开关，不下垂。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10、锁具：锁具采用三点联动式结构，两把B级机械锁设置在同一面板上，锁具内置弹簧把手，便于开门使用。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11、电源线≥3m长度，符合GB1002-2008标准。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12、声光蜂鸣器符合GB14048.5和IEC60947-5-1标准。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13、风机采用DC后倾式离心风机；最大噪音≤68.8dB，防护等级不低于IP44，需具有自动重启、软起动、过压保护等功能；运行寿命≥30000小时；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14、依据JG/T385-2012无风管自净型排风柜要求，平均面风速为0.53m/s，噪声为52.4dB（A），风量为209.88（m³/h）。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15、配置≥7寸触摸屏；LED背光模式，使用时长不低于10000小时；TTL串口，需有效进行屏幕与主板通信；配备SD卡标准接口，可更新导入数据；内置≥2Gbits（256Mbytes）NAND flash存储器；内置屏幕蜂鸣器，可用于设置及播放操作提示；联合ABS一体式系统展示罩。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16、控制系统上需能显示过滤耗材饱和程度及使用进度数据，可实时观测耗材使用情况，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17、控制系统需能有效进行设备基础信息管理，包括设备编码、设备型号、设备配置、设备耗材、设备流量、设备定位管理； 能协助有效进行设备使用者管理，包括使用部门、使用人员、相关权限等；能协助进行设备使用状态管理，包括温湿度、VOC、风机状态、报警状态、照明状态；能协助进行柜内储存物管理，包括储存物品类、名称、使用记录、数量（包装为单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18、温湿度传感器，外壳需采用ABS工程塑料，配置防尘透气不锈钢滤网；温度显示范围-40-125℃，设置精度≤0.1℃；湿度显示范围0-99.9%RH，湿度设置精度≤0.1%RH；湿度响应时间≤8 秒(tau63%)；可独立设置温度、湿度报警值；超过或者低于设置值，均会报警并联动外接设备及柜体顶部内置离心风机，无火花静电。19、VOC空气质量传感器需采用专用的数字模块采集技术和气体感应传感技术；能有效监测空间环境中存在污染气体，如甲醛、一氧化碳、可燃气体、酒精、氨气、硫化物、苯系蒸汽、烟雾、其它有害气体的监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模块式结构，多品种过滤器选择（有机、无机、氨气、HEPA、甲醛类），可自由组合；可过滤净化处理甲醛、二氧化氮、硫化氢、氨气、氯气、TVOCs等多种刺激性、气味性以及腐蚀性有毒有害气态污染物，具有不可逆转，无异味，吸附量大。分子过滤装置采用双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过滤系统，按照颗粒大小选择排列分布，遵循ASTM标准，有效针对酸性气体和有机气体，吸附能力强，针对粒子采用高效HEPA过滤器，对大于0.3um的粒子，过滤效率达99.995%。顶部根据实验需求可选配过滤模块系统，满足多种不同的实验。可选配有机过滤器（针对有机溶剂的吸附）、氨类过滤器（氨类试剂的操作，有机试剂）、无机过滤器（针对有机溶剂和无机酸，都能吸附）、HEPA过滤器（针对固体粉末的吸附，能力强）、甲醛类过滤器(针对甲醛试剂的操作，有机试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生物1（观察实验室）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10、具备总给水阀控制功能及RJ45网口、USB、HDMI等外引信号线的拓展接口。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11、标准AC220V输入时，直流高压分240V、300V两档分别输出（空载时±2V）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控制系统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云端教学互动模块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基于互联网的数字切片和数字图像应用和教学系统。它提供了数字切片及图像的存储、管理、浏览、分析处理、标注、共享、课内和课外互动教学等功能。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图片及课件实时上传至云端，多级分类的组织结构便于有序的管理数字切片，有无限的存储空间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切片即时浏览，实现了从开始上传图像即可对其进行浏览。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安全可靠的权限管理机制，可设置上传的数字切片与指定人员或群组分享。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4、支持添加测量、文字、录音、ROI 选区等多种形式的标注，并可与他人分享。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5、根据用户需求定义应用 App 添加到切片浏览页面。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6、、简洁的学生用户账号产生机制，用手机号和手机验证码作为Gallery账号的快速生成，也可用微信一键登陆。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7、平台中不断增加的对各种生物、植物、动物和组织和胚胎切片进行自动定量的AI分析，辅助学生的作业练习，扩展学生的知识视野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8、无缝整合集成AR显微镜、IoT显微镜、AI智能分析硬件模块和软件功能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9、数字切片和相册云管理、Wiki应用、考试系统、用户论坛、数字切片/图片分享，形成数字班级、数字校园、和数字智能光学云互动系统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10、两种数码互动机制，课内互动及云端互动，两种互动系统数据和信息互通。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洗眼器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材质：主体采用环保型PP材料一次性注塑成型。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工作压力：0.2-0.4MPa。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流量：洗眼器喷头：≥12升/分钟。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性能：阀门可自动关闭，密封可靠。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喷头：洗眼盆头，出水经缓压处理呈泡沫状水柱，防止冲伤眼睛，设有防尘盖，使用时可自动被水冲开。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生物显微镜实验桌1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规格：≥2200*1500*780mm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2、柜体整体采用≥0.9mm厚优质冷轧钢板，表面经酸洗、磷化、抛光等处理后外喷环氧树脂粉体喷塑，具有防锈、防腐功能。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3、门板：采用≥0.9mm厚优质冷轧钢板。结构为双层中空内加筋，增强柜门的稳定性，减少变形几率、减少开启时噪音；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4、铰链：采用优质合页，开启无噪音耐腐蚀；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5、电源：桌身安装10A五孔电源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6、调节脚：采用高强度调整脚，承重，防潮，耐腐蚀，调整后保证升降机水平；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教师用数码生物显微镜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 光学系统：CCIS无限远色差校正光学系统。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机身采用无螺丝卡扣式设计。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目镜：大视野，高眼点N-WF10X/22mm ，视度可调节。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观察筒: 内置一体式数码观察头部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铰链式双目观察筒，瞳距48-75mm可调。目镜观察筒可360度任意旋转。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6.360°旋转时目镜焦平面上像中心的位移≤0.15mm，左右两系统放大率差≤0.25%，双目系统左右两像面光谱色一致，明暗差≤7.3%；双目系统左右视场中心偏差:上下≤0.03mm。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物镜：无限远平场UC物镜：UC Plan 4X; UC Plan 10X;UC Plan 40X;  UCPlan100X。</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支持偏光、相差、金相观察附件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4X成像清晰圆直径≥17.5mm；10X成像清晰圆直径≥17.6mm，景深范围内像面的偏摆≤0.01mm；40X（弹簧），成像清晰圆直径≥18.9mm；100X（弹簧/油），成像清晰圆直径≥18.6mm，所有物镜均保证齐焦。显微镜物镜放大率准确度≤0.87%。</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物镜转换器：内倾式5孔转换器。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调焦机构：粗微同轴调焦手轮，微调0.1mm/转，格值0.001mm。粗动松紧可调，工作台上限位置可用镜臂中的滚花螺钉调节；并通过锁紧手轮来限位。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12.载物台： 钢丝传动，矩形，面积：≥185 x 145mm；行程：≥75 x 50mm；X向钢丝传动，Y向齿轮齿条传动。表面石墨喷涂涂层，防腐、耐磨。（以原厂彩页内容作为佐证）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柯拉照明系统：新型LED聚光镜：N.A. 0.9/0.13消色差聚光镜,三片式透镜设计，集成了集光镜和聚光镜功能。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 3WLED 、6V/30W卤素灯照明光源可选。采用抽屉式光源更换盒，光源更换方便。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#15.智能环形指示灯：可指示光源亮度、工作休眠，4X物镜档归位显示等多种工作状态。（以检测报告对应检测内容加盖原厂公章作为佐证。）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16.多功能操作旋钮：可实现调节照明亮度，休眠功能。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 物镜照明记忆功能：各物镜定义的光线强度会被自动记忆并在下次使用该物镜时自动调出，免除再次手动调整的繁琐。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18.在智能终端上自动显示当前使用物镜的倍率。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#19.机身自带2.8寸触摸屏，自动显示当前使用的物镜倍率，亮度可通过屏幕显示与调节色温、亮度、休眠时长。（以原厂彩页内容加盖原厂公章作为佐证）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 摄像系统：静态1600万像素，动态分辨率1080P。可以同时连接电脑、平板和智能手机，兼容iOS、Android、Windows等操作系统。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 其他：整机防霉，滤色片，护眼罩，防尘罩，香柏油。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教师用数码体视显微镜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1.光学系统：Greenough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2.总放大倍率:1.1X~320X</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3.主机变倍范围:0.75X~5X</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4.变倍比:1:6.7</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5.目镜:10X/23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6.瞳距:48mm~75mm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7.视度调节:±5 屈光度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8.观察角度:35°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9.工作距离:113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10.可选目镜:5X/23；6.25X/23；10X/21；15X/17； 20X/13；30X/8；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32X/8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11.附加物镜:0.3XWD=324mm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0.5XWD=192mm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0.63XWD=156mm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0.75XWD=127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1.5XWD=50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2X WD=34.5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12.最大放大倍数:320X</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最大视场直径:102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最大工作距离:324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#13.照明：LED 点光源，与机身一体式集成设计的同轴照明，可一键切换透射照明及投射照明。（以原厂彩页内容加盖原厂公章作为佐证）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#14.观察方式：与机身一体式设计的明暗场观察装置，可通过显微镜底座按钮一键切换明场及暗场观察。（以原厂彩页内容加盖原厂公章作为佐证）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14.静态 1600 万像素，动态分辨率 1080P。</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学生用数码生物显微镜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1.光学系统：无限远色差校正光学系统；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2.目镜：大视场、高眼点平场目镜WF10X/20mm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3.物镜：ASC Plan平场独立消色差物镜，P/b无铅玻璃材质。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X成像清晰圆直径≥16.8mm；10X成像清晰圆直径≥16.6mm，景深范围内像面的偏摆≤0.01mm；40X（弹簧），成像清晰圆直径≥16.6mm；100X（弹簧/油），成像清晰圆直径≥15.7mm，所有物镜均保证齐焦。显微镜物镜放大率准确度≤1.25%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5.齐焦：物镜 10→4 倍≤0.025mm，10→40 倍≤0.010mm，40→100 倍≤0.01mm。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6.目镜筒：铰链式目镜筒。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7.双目系统左右两像面光谱色一致，明暗差≤8.5%；双目系统左右系统像面方差≤35；双目系统左右视场中心偏差:上下≤0.02mm、左右内侧≤0.03mm。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8.内倾斜、内定位四孔转换器；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9.载物台：“U型”双层载物台；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10.载物台硬膜涂层表面，防腐、耐磨； 移动行程≥75X50mm；X、Y向低位同轴调节手轮；X、Y轴同轴调节，载物台受 5N水平方向作用力最大位移≤0.010mm；不重复性≤0.003mm。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11.调焦机构：粗微调同轴，并有调焦限位装置，微调机构空回≤0.005mm，微调刻值 0.002mm；聚光镜：阿贝式聚光镜N.A.1.25(带可变光栏)；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12.加长握手位，搬运显微镜时整只手可握住加长把手提起显微镜；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13.光源：LED光源，不发热，长寿命，亮度可调；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14.机身具有RJ45 接口，支持无线及有线双输出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15.聚光镜：采用三片式结构的N.A.1.25 阿贝聚光镜。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16.数码部分：静态 1600 万像素，动态分辨率 1080P。WiFi6 无线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传输技术，支持热点和客户端双模式，兼具有线网络接口。支持iOS、Android、Windows三种操作系统智能终端混合组网，同步操作；学生终端的平板或智能手机不受种类、操作系统、品牌的限制。也可在没有智能终端的情况下可将学生端图像传输到教师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17.软件：所有学生端无线交互式连接，实时显示在教师端，带显微无线互动处理配套软件，可进行图像采集、图像分析、图像处理等。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18.数据传输:Wifi和有线网络传输同步进行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19.一键截屏：可一键实时记录课堂重要内容。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20.听课效果：具有听课效果实时反馈系统。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21.实验记录：学生端软件支持宏观及微观两种观察方式，每一个实验步骤，每一个显微图像均可传送到教师端，实时记录整个上课过程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22.师生互动：师生之间可单独进行图文交流，不影响其他学生。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23.显示终端：分辨率：≥1920×1080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互动软件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一、互动模块：（#以下15-21项，须提供软件真实界面截图，加盖制造商公章）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1、无线模式和多种类型智能终端的互动体验，数据能存储在便携式智能终端中，并同步上传至云端.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2、全无线系统架构，整个系统采用全无线架构，简洁、高速、稳定。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3、学生智能终端通过无线传输的方式获取显微图像及宏观实验图像，学生智能终端通过无线传输方式与教师端进行信息交互。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4、系统可实现微观图像、宏观实验、实验报告等多维信息的互动。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5、跨平台解决方案：同时支持Android、iOS、Windows等操作系统，通过手机、平板电脑等智能终端即可实现实验教学，学生智能终端不受种类、操作系统、品牌的限制。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6、教学示范:把教师电脑屏幕上的授课内容传送到每个学生端，教师可根据需求选择强制性、非强制性两种示教模式。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7、实验评级:可设置课堂实验报告，并进行现场评级。可对单个学生实验进行评级，也可对多个学生实验同时进行评级。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8、授课评估:具备授课效果实时接收系统。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9、设备登记:具备显微镜使用管理登记系统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10、图像对比:可同时打开两张或四张图片，进行对比教学。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11、图像捕捉:可实时采集、宏观图像、微观图像。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12、图像处理:可对采集下来的图片进行各种图像处理，测量、计数、报告打印等。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13、作业下发:可以将图片或office文件下发给学生作为课后作业。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14、语言选择:10种语言支持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15、学生端快捷登录、免密登录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16、学生桌面评分，举手答题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17、报告成绩及文件回传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18、报告导出及打印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19、登录账户信息维护及管理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20、一键批量下发模版或作业自定义报告模版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21、教师端App</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分析软件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用户登录：用户使用时必须首先登录，才能产生实验环境，从而进行图像操作。在实验中，用户对其创建的图像和数据的管理是互相独立的，即一个用户可以创建多个实验，而每个实验又可以根据需要对不同图像进行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2.空间校准：空间校准获取不同放大倍数下同一物体实际尺寸与单位像素之间的比例，可以分为手动校准和自动校准。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3.光密度校准：获取不同光学系统下同一物体单位灰度值与光密度之间的比例，能使分析结果中的灰度值转化为光密度单位，从而得到更直观的结果。在分析之前请先进行光密度校准，以便应用光密度校准。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4.算数运算：本模块通过选择算术运算算子和输入操作数来对图像进行处理。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5.代数运算：代数运算显示两幅图像之间的代数运算，用户可以从图像列表中选择一幅图像与当前编辑窗中的图像进行运算。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6.图像二值化：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(1)二值分割：是由图像处理到图像分析的关键步骤，其支持对整幅图像和ROI区域的操作。本模块提供了对图像进行灰度分割和彩色分割的功能；分割后生成二值图形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(2)二值显示：选择所要显示的图层，可同时显示多层。若不同层的图形存在叠加的情况时，则会显示叠加后的颜色。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(3)二值形态学：可以分离或合并二值图形的特征目标，从而达到用户的分析需求。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二值图形处理：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(4)二值变化：实现二值图形与当前图像之间的相互转化。二值细化：本模块用于提取图形的骨架部分，突出形状特  点和减少冗余信息。图像批处理：图像批处理针对一系列的图像进行相同的操作，方便用户进行大量图像的处理。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7.直方图：直方图窗口用来显示图像全图或选定ROI区域像素灰度级的分布情况，不会影响原图像，有助于颜色调整。其横坐标表示的是图像的灰度级别，纵坐标表示的是该灰度出现的频率。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8.3D绘制：3D绘制窗口模块用来进行当前相册图像该的3D绘制分析。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9.3D渲染：3D渲染窗口将弹出一个用于处理3D图像的程序。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图像处理：调整、镜像、反转、白平衡、改变图像尺寸、三维化显示、放大镜、平滑、低通波、高通滤波、灰度形态学、直方图均衡、发现边缘、自定义滤波器；11.序列分析：包括，序列回放、动画输出、序列投影、区域序列分析、图像多焦面合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12.图像分析。包括：点分析、手动分析，手动测量、多视场分析、单目标分析、剖面分析、二值图形形态分析、区域亮度分析、区域相关分析。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13图像管理：对图像文件进行新建、打开、编辑、保存、打印报告及相册管理；14.可对实时图像进行捕捉、间隔捕捉、录像；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15.含有Assembly Module，支持20×20张图像的拼接。必须含有Multi-Focus Module.</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6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数字切片浏览系统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1.数字切片对比浏览：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同时在电脑屏幕的左、右两侧显示2张动态数字切片；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2.在教室局域网切片观察：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用户可用任意一台联接互联网的电脑，访问厂家的数字切片库资源（厂家必须提供具体的网络地址）。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3.能实时浏览玻璃切片数字化后的专业数字切片文件。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数字化切片应包含玻璃切片4×、10×、20×、40×等不同倍率物镜下可观察到的全部信息。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4.无极变倍：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切片浏览系统对数字切片进行1-100倍任意倍数的无极变倍。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5.标记、隐藏标记操作：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数字切片浏览系统可以对数字切片的任意位置标记、隐藏标记。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1、规格：≥6600*600*850mm</w:t>
            </w:r>
            <w:r>
              <w:rPr>
                <w:rStyle w:val="526"/>
                <w:rFonts w:hint="default"/>
                <w:lang w:bidi="ar"/>
              </w:rPr>
              <w:br w:type="textWrapping"/>
            </w:r>
            <w:r>
              <w:rPr>
                <w:rStyle w:val="526"/>
                <w:rFonts w:hint="default"/>
                <w:lang w:bidi="ar"/>
              </w:rPr>
              <w:t>2、台面：采用≥12.7mm厚实芯理化板，边沿加厚至25.4mm，表面光滑、平整，整体美观大方。耐酸碱、耐高温、耐腐蚀、不吸水、防火、抗老化、无毒、不褪色、材质坚硬，确保柜身台面不受潮，牢固可靠。</w:t>
            </w:r>
            <w:r>
              <w:rPr>
                <w:rStyle w:val="526"/>
                <w:rFonts w:hint="default"/>
                <w:lang w:bidi="ar"/>
              </w:rPr>
              <w:br w:type="textWrapping"/>
            </w:r>
            <w:r>
              <w:rPr>
                <w:rStyle w:val="526"/>
                <w:rFonts w:hint="default"/>
                <w:lang w:bidi="ar"/>
              </w:rPr>
              <w:t>3、框架：整体采用≥0.9mm厚优质冷轧钢板，全部钢制件纳米陶瓷镀膜防锈处理。</w:t>
            </w:r>
            <w:r>
              <w:rPr>
                <w:rStyle w:val="526"/>
                <w:rFonts w:hint="default"/>
                <w:lang w:bidi="ar"/>
              </w:rPr>
              <w:br w:type="textWrapping"/>
            </w:r>
            <w:r>
              <w:rPr>
                <w:rStyle w:val="526"/>
                <w:rFonts w:hint="default"/>
                <w:lang w:bidi="ar"/>
              </w:rPr>
              <w:t>4、可调脚：高强度可调脚，采用</w:t>
            </w:r>
            <w:r>
              <w:rPr>
                <w:rStyle w:val="527"/>
                <w:lang w:bidi="ar"/>
              </w:rPr>
              <w:t>ф</w:t>
            </w:r>
            <w:r>
              <w:rPr>
                <w:rStyle w:val="526"/>
                <w:rFonts w:hint="default"/>
                <w:lang w:bidi="ar"/>
              </w:rPr>
              <w:t>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外径规格：≥445×350×360mm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内径尺寸：≥380*290*260mm，水槽采用环保型PP材料一次性注塑成型，具有防溢出功能。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9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9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语言中教室1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≥长1600mm*宽600mm*高780mm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1、桌面采用E1级≥25mm实木颗粒三聚氰胺饰面板，四边采用1.5mmPVC封边，封边胶采用纯白色热熔胶。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2、桌体统一采用≥16mmE1实木颗粒三聚氰胺饰面板。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3、板材要求，板面平整色泽均匀，无刺激性气味，环保标准达到E1级标准，桌体带有设备存放夹层，五金部分采用优质缓冲五金件；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10、具备总给水阀控制功能及RJ45网口、USB、HDMI等外引信号线的拓展接口。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11、可对风机进行启停及无极变频调速功能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12、标准AC220V输入时，直流高压分240V、300V两档分别输出（空载时±2V）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洗眼器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材质：主体采用环保型PP材料一次性注塑成型。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工作压力：0.2-0.4MPa。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流量：洗眼器喷头：≥12升/分钟。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性能：阀门可自动关闭，密封可靠。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喷头：洗眼盆头，出水经缓压处理呈泡沫状水柱，防止冲伤眼睛，设有防尘盖，使用时可自动被水冲开。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一、整体规格：≥2800×600×780mm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二、学生实验桌2张/组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1、规格尺寸：≥1200*600*780mm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2、台面：采用≥12.7mm实芯理化板，台面前端经机械打磨，圆角处理，后部根据桌架形状铣边镶入框架中，防止台面起翘、变形、脱落；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3、桌体：材质≥0.9mm镀锌钢板，折弯焊接成型，表面经防锈处理、环氧树脂静电粉末涂装处理；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后挡板：整体采用厚1.0mm挤出成型铝合金，尺寸：≥1089*43*94mm金属表面经高温塑粉烤漆处理。左右两侧设有挡板堵头，采用ABS工程塑料一体成型，尺寸：≥81*14*54mm；外观流线简洁美观，易碰撞处全部采用倒圆角处理，围栏高度≥40mm，可有效防止台面仪器向后滚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5、多功能可调地脚：高度可调节，采用高强度的ABS材料，塑料注塑成型。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6、书包斗：规格435*296*160mm，采用ABS塑料一次性注塑成型，正面设有可悬挂凳子的圆形孔，周边加厚加强，斗内加强体块，两侧和后侧均设有固定耳。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二、水槽柜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1、水槽装置整体尺寸为≥480*595*870mm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2、底围≥480×595×50mm，中间尺寸为（480×595×635mm），材质≥1.0mm镀锌钢板，表面经防锈处理、环氧树脂静电粉末涂装处理；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学生电源：桌斗中间位置固定学生电源盒：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1、每个学生电源应自带一个独立变压器，既能独立操作，也能被教师控制。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（2）教师可通过数字化键盘设置学生电源的低压交流电压值和直流电压值，配有数显电压表，分别显示交流和直流电压值。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电源的低压交流电压分两档，即1V-18V/2A、19V-30V/1A，分辩率为1V。具备短路、过载自动保护功能，电流高于过载、短路保护点则自动保护（即当处于保护状态时，输出端无对应电压输出，数显表依然显示当前的设定值，当去掉负载或排除短路故障后输出端口处将自动恢复至当前设定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电源的低压直流电压分两档，即1.5V-16.0V/2A、16.1V-30.0V/1A，分辩率为0.1V。具备短路、过载保护功能，电流高于过载保护点则自动保护（此时保护后数显表显示0V，并发出长鸣的报警提示音）。过载后去掉负载，按任意键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（5）学生配有：AC220V电源输出5孔插座1个（额定电流3A)可通过教师给定或关闭电源，与低压输出互不干扰的单独控制。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（6）当学生自行控制与调节时：直流：长按电压调节键时1V每档递增或递减；点按时为0.1V每档；交流：长按时每档10V，点按每档1V，并具备按键提示音。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1、一体水槽，水槽上部内径尺寸为≥450mm×350mm，底部内径为≥365mm×308mm，水槽最高深度为≥270mm，洗涤时水不易外溅；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2、水槽内部带滴水架，滴水架带不少于8根滴水棒，滴水棒可以翻转收纳；配有292×122×6mm的PP防溅过滤网，水槽滴水架具有折叠隐藏功能；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3、水槽预留收纳端盖，有通风功能；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4、一体式过滤蓄水装置，外径110mm,内径70mm，弹跳芯式按压排水和存水，硅胶密封圈严密封锁，蓄水不渗漏，密孔过滤易清洁，排水快速，防止残渣堵塞；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5、下水带2层过滤装置，可过滤不同的杂质；水槽底部设置圆形式下水口，可快速排出水槽废水；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6、防溅过滤网凹弧面设计，搭配深度270mm的水槽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水槽左前部高度215mmmm处设计防溢口；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1、主体材质为加厚铜管，主管管径≥22mm铜管，表面经环氧树脂喷涂处理；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双龙头可以独立折叠式设计，使用时打开折叠双联龙头在使用过程中可以自由升降水嘴，以满足不同身高的高度仪器清洗要求使用。其中一个出水嘴加装了可调节水花装置，保证实验过程中对水花的不同要求，调节方便，美观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4、实验室龙头采用壁式安装，壁厚大于2.5mm，固定底座直径50mm，底座锁母与台面中间添加齿形止退垫，使连接后不易松动稳定性强，与台面安装牢固；双联龙头可以分开折叠90度收纳，保证实验室的整洁美观；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5、开关旋钮：材质PP，符合人体工学设计，启闭方式为平面式，开关标识清晰醒目，装配好的开关旋钮应平稳轻便无卡阻，与阀杆连接后不易松动稳定性强；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6、水咀三通与上控水阀，用200T四拉液压机、模具一体热冲成形，密度高，强度大，牢固耐用。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实验室废气处理设备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一、实验台空气循环净化系统（≥12台）</w:t>
            </w:r>
            <w:r>
              <w:rPr>
                <w:rStyle w:val="526"/>
                <w:rFonts w:hint="default"/>
                <w:lang w:bidi="ar"/>
              </w:rPr>
              <w:br w:type="textWrapping"/>
            </w:r>
            <w:r>
              <w:rPr>
                <w:rStyle w:val="526"/>
                <w:rFonts w:hint="default"/>
                <w:lang w:bidi="ar"/>
              </w:rPr>
              <w:t>（一）整机要求：</w:t>
            </w:r>
            <w:r>
              <w:rPr>
                <w:rStyle w:val="526"/>
                <w:rFonts w:hint="default"/>
                <w:lang w:bidi="ar"/>
              </w:rPr>
              <w:br w:type="textWrapping"/>
            </w:r>
            <w:r>
              <w:rPr>
                <w:rStyle w:val="526"/>
                <w:rFonts w:hint="default"/>
                <w:lang w:bidi="ar"/>
              </w:rPr>
              <w:t>电源：220V/50Hz</w:t>
            </w:r>
            <w:r>
              <w:rPr>
                <w:rStyle w:val="526"/>
                <w:rFonts w:hint="default"/>
                <w:lang w:bidi="ar"/>
              </w:rPr>
              <w:br w:type="textWrapping"/>
            </w:r>
            <w:r>
              <w:rPr>
                <w:rStyle w:val="526"/>
                <w:rFonts w:hint="default"/>
                <w:lang w:bidi="ar"/>
              </w:rPr>
              <w:t>功率：≤100W</w:t>
            </w:r>
            <w:r>
              <w:rPr>
                <w:rStyle w:val="526"/>
                <w:rFonts w:hint="default"/>
                <w:lang w:bidi="ar"/>
              </w:rPr>
              <w:br w:type="textWrapping"/>
            </w:r>
            <w:r>
              <w:rPr>
                <w:rStyle w:val="526"/>
                <w:rFonts w:hint="default"/>
                <w:lang w:bidi="ar"/>
              </w:rPr>
              <w:t>风量：≥300m3/h</w:t>
            </w:r>
            <w:r>
              <w:rPr>
                <w:rStyle w:val="526"/>
                <w:rFonts w:hint="default"/>
                <w:lang w:bidi="ar"/>
              </w:rPr>
              <w:br w:type="textWrapping"/>
            </w:r>
            <w:r>
              <w:rPr>
                <w:rStyle w:val="526"/>
                <w:rFonts w:hint="default"/>
                <w:lang w:bidi="ar"/>
              </w:rPr>
              <w:t>设备尺寸：370*550*160mm</w:t>
            </w:r>
            <w:r>
              <w:rPr>
                <w:rStyle w:val="526"/>
                <w:rFonts w:hint="default"/>
                <w:lang w:bidi="ar"/>
              </w:rPr>
              <w:br w:type="textWrapping"/>
            </w:r>
            <w:r>
              <w:rPr>
                <w:rStyle w:val="526"/>
                <w:rFonts w:hint="default"/>
                <w:lang w:bidi="ar"/>
              </w:rPr>
              <w:t>功能：能够净化实验室空气，以及实验过程中产生的有害气体，如PM2.5、氨气、二氧化硫、二氧化氮、TVOC、甲醛等，并能杀灭废气中的细菌病毒</w:t>
            </w:r>
            <w:r>
              <w:rPr>
                <w:rStyle w:val="526"/>
                <w:rFonts w:hint="default"/>
                <w:lang w:bidi="ar"/>
              </w:rPr>
              <w:br w:type="textWrapping"/>
            </w:r>
            <w:r>
              <w:rPr>
                <w:rStyle w:val="526"/>
                <w:rFonts w:hint="default"/>
                <w:lang w:bidi="ar"/>
              </w:rPr>
              <w:t>法兰尺寸：</w:t>
            </w:r>
            <w:r>
              <w:rPr>
                <w:rStyle w:val="527"/>
                <w:lang w:bidi="ar"/>
              </w:rPr>
              <w:t>φ</w:t>
            </w:r>
            <w:r>
              <w:rPr>
                <w:rStyle w:val="526"/>
                <w:rFonts w:hint="default"/>
                <w:lang w:bidi="ar"/>
              </w:rPr>
              <w:t>110mm</w:t>
            </w:r>
            <w:r>
              <w:rPr>
                <w:rStyle w:val="526"/>
                <w:rFonts w:hint="default"/>
                <w:lang w:bidi="ar"/>
              </w:rPr>
              <w:br w:type="textWrapping"/>
            </w:r>
            <w:r>
              <w:rPr>
                <w:rStyle w:val="526"/>
                <w:rFonts w:hint="default"/>
                <w:lang w:bidi="ar"/>
              </w:rPr>
              <w:t>（二）机身材质要求：</w:t>
            </w:r>
            <w:r>
              <w:rPr>
                <w:rStyle w:val="526"/>
                <w:rFonts w:hint="default"/>
                <w:lang w:bidi="ar"/>
              </w:rPr>
              <w:br w:type="textWrapping"/>
            </w:r>
            <w:r>
              <w:rPr>
                <w:rStyle w:val="526"/>
                <w:rFonts w:hint="default"/>
                <w:lang w:bidi="ar"/>
              </w:rPr>
              <w:t>1.机身板材采用符合标准的材料，质量有保障</w:t>
            </w:r>
            <w:r>
              <w:rPr>
                <w:rStyle w:val="526"/>
                <w:rFonts w:hint="default"/>
                <w:lang w:bidi="ar"/>
              </w:rPr>
              <w:br w:type="textWrapping"/>
            </w:r>
            <w:r>
              <w:rPr>
                <w:rStyle w:val="526"/>
                <w:rFonts w:hint="default"/>
                <w:lang w:bidi="ar"/>
              </w:rPr>
              <w:t>2.机身板材厚度≥1mm</w:t>
            </w:r>
            <w:r>
              <w:rPr>
                <w:rStyle w:val="526"/>
                <w:rFonts w:hint="default"/>
                <w:lang w:bidi="ar"/>
              </w:rPr>
              <w:br w:type="textWrapping"/>
            </w:r>
            <w:r>
              <w:rPr>
                <w:rStyle w:val="526"/>
                <w:rFonts w:hint="default"/>
                <w:lang w:bidi="ar"/>
              </w:rPr>
              <w:t>3.板材表面喷涂所用材料环保无毒，有害物质含量符合要求</w:t>
            </w:r>
            <w:r>
              <w:rPr>
                <w:rStyle w:val="526"/>
                <w:rFonts w:hint="default"/>
                <w:lang w:bidi="ar"/>
              </w:rPr>
              <w:br w:type="textWrapping"/>
            </w:r>
            <w:r>
              <w:rPr>
                <w:rStyle w:val="526"/>
                <w:rFonts w:hint="default"/>
                <w:lang w:bidi="ar"/>
              </w:rPr>
              <w:t>4.机身外壳抗酸碱，检测依据ISO 2812-2:2018，评判结果须为P；</w:t>
            </w:r>
            <w:r>
              <w:rPr>
                <w:rStyle w:val="526"/>
                <w:rFonts w:hint="default"/>
                <w:lang w:bidi="ar"/>
              </w:rPr>
              <w:br w:type="textWrapping"/>
            </w:r>
            <w:r>
              <w:rPr>
                <w:rStyle w:val="526"/>
                <w:rFonts w:hint="default"/>
                <w:lang w:bidi="ar"/>
              </w:rPr>
              <w:t>5.机身外壳耐腐蚀盐雾试验，检测依据GB/T 2423.17-2008，评判结果须为P。</w:t>
            </w:r>
            <w:r>
              <w:rPr>
                <w:rStyle w:val="526"/>
                <w:rFonts w:hint="default"/>
                <w:lang w:bidi="ar"/>
              </w:rPr>
              <w:br w:type="textWrapping"/>
            </w:r>
            <w:r>
              <w:rPr>
                <w:rStyle w:val="526"/>
                <w:rFonts w:hint="default"/>
                <w:lang w:bidi="ar"/>
              </w:rPr>
              <w:t>（三）高能离子模块</w:t>
            </w:r>
            <w:r>
              <w:rPr>
                <w:rStyle w:val="526"/>
                <w:rFonts w:hint="default"/>
                <w:lang w:bidi="ar"/>
              </w:rPr>
              <w:br w:type="textWrapping"/>
            </w:r>
            <w:r>
              <w:rPr>
                <w:rStyle w:val="526"/>
                <w:rFonts w:hint="default"/>
                <w:lang w:bidi="ar"/>
              </w:rPr>
              <w:t>1.为了增加单位面积内的电场数量，提高离子释放量，模块采用满板开孔方式。</w:t>
            </w:r>
            <w:r>
              <w:rPr>
                <w:rStyle w:val="526"/>
                <w:rFonts w:hint="default"/>
                <w:lang w:bidi="ar"/>
              </w:rPr>
              <w:br w:type="textWrapping"/>
            </w:r>
            <w:r>
              <w:rPr>
                <w:rStyle w:val="526"/>
                <w:rFonts w:hint="default"/>
                <w:lang w:bidi="ar"/>
              </w:rPr>
              <w:t>2.等离子体浓度≥3.50*1018m-3</w:t>
            </w:r>
            <w:r>
              <w:rPr>
                <w:rStyle w:val="526"/>
                <w:rFonts w:hint="default"/>
                <w:lang w:bidi="ar"/>
              </w:rPr>
              <w:br w:type="textWrapping"/>
            </w:r>
            <w:r>
              <w:rPr>
                <w:rStyle w:val="526"/>
                <w:rFonts w:hint="default"/>
                <w:lang w:bidi="ar"/>
              </w:rPr>
              <w:t>3.氨气净化效率≥99%。</w:t>
            </w:r>
            <w:r>
              <w:rPr>
                <w:rStyle w:val="526"/>
                <w:rFonts w:hint="default"/>
                <w:lang w:bidi="ar"/>
              </w:rPr>
              <w:br w:type="textWrapping"/>
            </w:r>
            <w:r>
              <w:rPr>
                <w:rStyle w:val="526"/>
                <w:rFonts w:hint="default"/>
                <w:lang w:bidi="ar"/>
              </w:rPr>
              <w:t>4.硫化氢净化效率≥99%。</w:t>
            </w:r>
            <w:r>
              <w:rPr>
                <w:rStyle w:val="526"/>
                <w:rFonts w:hint="default"/>
                <w:lang w:bidi="ar"/>
              </w:rPr>
              <w:br w:type="textWrapping"/>
            </w:r>
            <w:r>
              <w:rPr>
                <w:rStyle w:val="526"/>
                <w:rFonts w:hint="default"/>
                <w:lang w:bidi="ar"/>
              </w:rPr>
              <w:t>5.TVOC气体净化率≥99%。</w:t>
            </w:r>
            <w:r>
              <w:rPr>
                <w:rStyle w:val="526"/>
                <w:rFonts w:hint="default"/>
                <w:lang w:bidi="ar"/>
              </w:rPr>
              <w:br w:type="textWrapping"/>
            </w:r>
            <w:r>
              <w:rPr>
                <w:rStyle w:val="526"/>
                <w:rFonts w:hint="default"/>
                <w:lang w:bidi="ar"/>
              </w:rPr>
              <w:t>6.甲醛净化率≥99%。</w:t>
            </w:r>
            <w:r>
              <w:rPr>
                <w:rStyle w:val="526"/>
                <w:rFonts w:hint="default"/>
                <w:lang w:bidi="ar"/>
              </w:rPr>
              <w:br w:type="textWrapping"/>
            </w:r>
            <w:r>
              <w:rPr>
                <w:rStyle w:val="526"/>
                <w:rFonts w:hint="default"/>
                <w:lang w:bidi="ar"/>
              </w:rPr>
              <w:t>7.二氧化硫净化率≥99%。</w:t>
            </w:r>
            <w:r>
              <w:rPr>
                <w:rStyle w:val="526"/>
                <w:rFonts w:hint="default"/>
                <w:lang w:bidi="ar"/>
              </w:rPr>
              <w:br w:type="textWrapping"/>
            </w:r>
            <w:r>
              <w:rPr>
                <w:rStyle w:val="526"/>
                <w:rFonts w:hint="default"/>
                <w:lang w:bidi="ar"/>
              </w:rPr>
              <w:t>8.二氧化氮净化率≥99%。</w:t>
            </w:r>
            <w:r>
              <w:rPr>
                <w:rStyle w:val="526"/>
                <w:rFonts w:hint="default"/>
                <w:lang w:bidi="ar"/>
              </w:rPr>
              <w:br w:type="textWrapping"/>
            </w:r>
            <w:r>
              <w:rPr>
                <w:rStyle w:val="526"/>
                <w:rFonts w:hint="default"/>
                <w:lang w:bidi="ar"/>
              </w:rPr>
              <w:t>#9.模块杀菌效果：白色葡萄球菌杀灭率＞99.95%；空气自然菌消亡率≥94.00%；臭氧泄漏量≤0.015mg/m3。（提供第三方检验报告复印件并加盖投标人公章）</w:t>
            </w:r>
            <w:r>
              <w:rPr>
                <w:rStyle w:val="526"/>
                <w:rFonts w:hint="default"/>
                <w:lang w:bidi="ar"/>
              </w:rPr>
              <w:br w:type="textWrapping"/>
            </w:r>
            <w:r>
              <w:rPr>
                <w:rStyle w:val="526"/>
                <w:rFonts w:hint="default"/>
                <w:lang w:bidi="ar"/>
              </w:rPr>
              <w:t>（四）滤芯</w:t>
            </w:r>
            <w:r>
              <w:rPr>
                <w:rStyle w:val="526"/>
                <w:rFonts w:hint="default"/>
                <w:lang w:bidi="ar"/>
              </w:rPr>
              <w:br w:type="textWrapping"/>
            </w:r>
            <w:r>
              <w:rPr>
                <w:rStyle w:val="526"/>
                <w:rFonts w:hint="default"/>
                <w:lang w:bidi="ar"/>
              </w:rPr>
              <w:t>1.模块过滤等级要求达到YG亚高效，符合 GB/T 14295-2019《空气过滤器》标准要求，并且计数效率≥99%，初阻力≤110Pa，PM2.5效率值≥98%，容尘量≥79g。非静电式、非荷电，不产生臭氧。（提供型式检验报告复印件并加盖投标人公章）</w:t>
            </w:r>
            <w:r>
              <w:rPr>
                <w:rStyle w:val="526"/>
                <w:rFonts w:hint="default"/>
                <w:lang w:bidi="ar"/>
              </w:rPr>
              <w:br w:type="textWrapping"/>
            </w:r>
            <w:r>
              <w:rPr>
                <w:rStyle w:val="526"/>
                <w:rFonts w:hint="default"/>
                <w:lang w:bidi="ar"/>
              </w:rPr>
              <w:t>#2.净化部分所采用的活性炭对酸碱性气态污染物和总挥发性有机化合物（TVOC）具有良好的净化效果：臭氧1小时净化率≥95%，甲醛1小时净化率≥95%，氨气2小时净化率≥98%，TVOC24小时净化率≥90%（提供第三方检验报告复印件并加盖投标人公章）</w:t>
            </w:r>
            <w:r>
              <w:rPr>
                <w:rStyle w:val="526"/>
                <w:rFonts w:hint="default"/>
                <w:lang w:bidi="ar"/>
              </w:rPr>
              <w:br w:type="textWrapping"/>
            </w:r>
            <w:r>
              <w:rPr>
                <w:rStyle w:val="526"/>
                <w:rFonts w:hint="default"/>
                <w:lang w:bidi="ar"/>
              </w:rPr>
              <w:t>（五） 光氢模块</w:t>
            </w:r>
            <w:r>
              <w:rPr>
                <w:rStyle w:val="526"/>
                <w:rFonts w:hint="default"/>
                <w:lang w:bidi="ar"/>
              </w:rPr>
              <w:br w:type="textWrapping"/>
            </w:r>
            <w:r>
              <w:rPr>
                <w:rStyle w:val="526"/>
                <w:rFonts w:hint="default"/>
                <w:lang w:bidi="ar"/>
              </w:rPr>
              <w:t>1、采用杀菌方式：紫外线羟基杀菌技术，可人机共存</w:t>
            </w:r>
            <w:r>
              <w:rPr>
                <w:rStyle w:val="526"/>
                <w:rFonts w:hint="default"/>
                <w:lang w:bidi="ar"/>
              </w:rPr>
              <w:br w:type="textWrapping"/>
            </w:r>
            <w:r>
              <w:rPr>
                <w:rStyle w:val="526"/>
                <w:rFonts w:hint="default"/>
                <w:lang w:bidi="ar"/>
              </w:rPr>
              <w:t>2、由深紫外激发器、和双层杀菌因子激发板、固定结构组成，提供结构图纸。</w:t>
            </w:r>
            <w:r>
              <w:rPr>
                <w:rStyle w:val="526"/>
                <w:rFonts w:hint="default"/>
                <w:lang w:bidi="ar"/>
              </w:rPr>
              <w:br w:type="textWrapping"/>
            </w:r>
            <w:r>
              <w:rPr>
                <w:rStyle w:val="526"/>
                <w:rFonts w:hint="default"/>
                <w:lang w:bidi="ar"/>
              </w:rPr>
              <w:t>二、隐蔽式吸风罩25件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化学实验室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规格：≥2800×700×850mm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结构：演示台设有储物柜，中间为演示台，设置电源系统、水嘴、水槽、洗眼器、多媒体设备（主机、显示器、中控、功放、交换机）的位置预留。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化学主控电源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1、教师端主控，含主机，主机采用铁制机箱，提升式；控制显示采用液晶真彩触摸屏和数据显示一体化。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2、具备1个86型220V交流电源输出（额定电流：6A)。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3、系统具备220v漏电\短路、过载保护功能。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4、有自动关机时间设置功能，时间到时自动关闭学生及教师端对应的电源输出。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5、密码控制，本产品由教师输入正确的密码，方可启动实验电源的控制系统，对电源控制台进行操作防误操作方便教师合理安排实验（出厂默认无管理密码，教师可自定密码）。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6、教师主控可实现对学生低压交直流电压的设置和分组控制，学生的锁定。多媒体为后期拓展功能。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教师控制界面可设置直流0-30V分辨率0.1V,交流1-30V分辨率1V，具备过载、短路保护点智能侦测功能，电流高于过载或短路保护功点则自动保护，过载或短路保护后对应端口停止输出，同时电压显示归零，表若想恢复输出，则需重新设定相关数值；直流额定电流：≥2A，交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8、电源主控台与教师演示台一体化。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9、具备DC5V ≥2A通过Type-c和Type-a接口输出，便于使用。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10、具备总给水阀控制功能及RJ45网口、USB、HDMI等外引信号线的拓展接口。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11、可对风机进行启停及无极变频调速功能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12、标准AC220V输入时，直流高压分240V、300V两档分别输出（空载时±2V）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洗眼器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材质：主体采用环保型PP材料一次性注塑成型。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工作压力：0.2-0.4MPa。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流量：洗眼器喷头：≥12升/分钟。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性能：阀门可自动关闭，密封可靠。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喷头：洗眼盆头，出水经缓压处理呈泡沫状水柱，防止冲伤眼睛，设有防尘盖，使用时可自动被水冲开。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学生实验桌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一、整体规格：≥2800×600×780mm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二、学生实验桌2张/组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1、规格尺寸：≥1200*600*780mm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2、台面：采用≥12.7mm实芯理化板，台面前端经机械打磨，圆角处理，后部根据桌架形状铣边镶入框架中，防止台面起翘、变形、脱落；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3、桌体：材质≥0.9mm镀锌钢板，折弯焊接成型，表面经防锈处理、环氧树脂静电粉末涂装处理；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后挡板：整体采用厚1.0mm挤出成型铝合金，尺寸：≥1089*43*94mm金属表面经高温塑粉烤漆处理。左右两侧设有挡板堵头，采用ABS工程塑料一体成型，尺寸：≥81*14*54mm；外观流线简洁美观，易碰撞处全部采用倒圆角处理，围栏高度≥40mm，可有效防止台面仪器向后滚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5、多功能可调地脚：高度可调节，采用高强度的ABS材料，塑料注塑成型。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6、书包斗：规格435*296*160mm，采用ABS塑料一次性注塑成型，正面设有可悬挂凳子的圆形孔，周边加厚加强，斗内加强体块，两侧和后侧均设有固定耳。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二、水槽柜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1、水槽装置整体尺寸为≥480*595*870mm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2、底围≥480×595×50mm，中间尺寸为（480×595×635mm），材质≥1.0mm镀锌钢板，表面经防锈处理、环氧树脂静电粉末涂装处理；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化学学生电源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学生电源：桌斗中间位置固定学生电源盒：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1、每个学生电源应自带一个独立变压器，既能独立操作，也能被教师控制。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（2）教师可通过数字化键盘设置学生电源的低压交流电压值和直流电压值，配有数显电压表，分别显示交流和直流电压值。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电源的低压交流电压分两档，即1V-18V/2A、19V-30V/1A，分辩率为1V。具备短路、过载自动保护功能，电流高于过载、短路保护点则自动保护（即当处于保护状态时，输出端无对应电压输出，数显表依然显示当前的设定值，当去掉负载或排除短路故障后输出端口处将自动恢复至当前设定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学生电源的低压直流电压分两档，即1.5V-16.0V/2A、16.1V-30.0V/1A，分辩率为0.1V。具备短路、过载保护功能，电流高于过载保护点则自动保护（此时保护后数显表显示0V，并发出长鸣的报警提示音）。过载后去掉负载，按任意键复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（5）学生配有：AC220V电源输出5孔插座1个（额定电流3A)可通过教师给定或关闭电源，与低压输出互不干扰的单独控制。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（6）当学生自行控制与调节时：直流：长按电压调节键时1V每档递增或递减；点按时为0.1V每档；交流：长按时每档10V，点按每档1V，并具备按键提示音。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规格：≥φ320×450-500mm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A：凳面：1、凳面材质：采用环保型ABS改性塑料一次性注塑成型；2、凳面尺寸：≥面ф320mm×厚30mm；3、表面细纹咬花，防滑不发光。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B：凳钢架椭圆形，脚钢架；1、材质及形状：椭圆形无缝钢管；2、尺寸：≥17×34×1.5mm；3、全圆满焊接完成，结构牢固，经高温粉体烤漆处理，长时间使用也不会产生表面烤漆剥落现象。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C：脚垫：1、材质：采用PP加耐磨纤维质塑料，实心倒勾式一体射出成型。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D：圆凳有调节升降功能，高度可以在450-500mm范围内自由调整。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1、一体水槽，水槽上部内径尺寸为≥450mm×350mm，底部内径为≥365mm×308mm，水槽最高深度为≥270mm，洗涤时水不易外溅；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2、水槽内部带滴水架，滴水架带不少于8根滴水棒，滴水棒可以翻转收纳；配有292×122×6mm的PP防溅过滤网，水槽滴水架具有折叠隐藏功能；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3、水槽预留收纳端盖，有通风功能；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4、一体式过滤蓄水装置，外径110mm,内径70mm，弹跳芯式按压排水和存水，硅胶密封圈严密封锁，蓄水不渗漏，密孔过滤易清洁，排水快速，防止残渣堵塞；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5、下水带2层过滤装置，可过滤不同的杂质；水槽底部设置圆形式下水口，可快速排出水槽废水；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6、防溅过滤网凹弧面设计，搭配深度270mm的水槽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水槽左前部高度215mm处设计防溢口；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1、主体材质为加厚铜管，主管管径≥22mm铜管，表面经环氧树脂喷涂处理；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双龙头可以独立折叠式设计，使用时打开折叠双联龙头在使用过程中可以自由升降水嘴，以满足不同身高的高度仪器清洗要求使用。其中一个出水嘴加装了可调节水花装置，保证实验过程中对水花的不同要求，调节方便，美观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4、实验室龙头采用壁式安装，壁厚大于2.5mm，固定底座直径50mm，底座锁母与台面中间添加齿形止退垫，使连接后不易松动稳定性强，与台面安装牢固；双联龙头可以分开折叠90度收纳，保证实验室的整洁美观；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5、开关旋钮：材质PP，符合人体工学设计，启闭方式为平面式，开关标识清晰醒目，装配好的开关旋钮应平稳轻便无卡阻，与阀杆连接后不易松动稳定性强；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6、水咀三通与上控水阀，用200T四拉液压机、模具一体热冲成形，密度高，强度大，牢固耐用。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50"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实验室废气处理设备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一、实验台空气循环净化系统（≥12台）</w:t>
            </w:r>
            <w:r>
              <w:rPr>
                <w:rStyle w:val="526"/>
                <w:rFonts w:hint="default"/>
                <w:lang w:bidi="ar"/>
              </w:rPr>
              <w:br w:type="textWrapping"/>
            </w:r>
            <w:r>
              <w:rPr>
                <w:rStyle w:val="526"/>
                <w:rFonts w:hint="default"/>
                <w:lang w:bidi="ar"/>
              </w:rPr>
              <w:t>（一）整机要求：</w:t>
            </w:r>
            <w:r>
              <w:rPr>
                <w:rStyle w:val="526"/>
                <w:rFonts w:hint="default"/>
                <w:lang w:bidi="ar"/>
              </w:rPr>
              <w:br w:type="textWrapping"/>
            </w:r>
            <w:r>
              <w:rPr>
                <w:rStyle w:val="526"/>
                <w:rFonts w:hint="default"/>
                <w:lang w:bidi="ar"/>
              </w:rPr>
              <w:t>电源：220V/50Hz</w:t>
            </w:r>
            <w:r>
              <w:rPr>
                <w:rStyle w:val="526"/>
                <w:rFonts w:hint="default"/>
                <w:lang w:bidi="ar"/>
              </w:rPr>
              <w:br w:type="textWrapping"/>
            </w:r>
            <w:r>
              <w:rPr>
                <w:rStyle w:val="526"/>
                <w:rFonts w:hint="default"/>
                <w:lang w:bidi="ar"/>
              </w:rPr>
              <w:t>功率：≤100W</w:t>
            </w:r>
            <w:r>
              <w:rPr>
                <w:rStyle w:val="526"/>
                <w:rFonts w:hint="default"/>
                <w:lang w:bidi="ar"/>
              </w:rPr>
              <w:br w:type="textWrapping"/>
            </w:r>
            <w:r>
              <w:rPr>
                <w:rStyle w:val="526"/>
                <w:rFonts w:hint="default"/>
                <w:lang w:bidi="ar"/>
              </w:rPr>
              <w:t>风量：≥300m3/h</w:t>
            </w:r>
            <w:r>
              <w:rPr>
                <w:rStyle w:val="526"/>
                <w:rFonts w:hint="default"/>
                <w:lang w:bidi="ar"/>
              </w:rPr>
              <w:br w:type="textWrapping"/>
            </w:r>
            <w:r>
              <w:rPr>
                <w:rStyle w:val="526"/>
                <w:rFonts w:hint="default"/>
                <w:lang w:bidi="ar"/>
              </w:rPr>
              <w:t>设备尺寸：370*550*160mm</w:t>
            </w:r>
            <w:r>
              <w:rPr>
                <w:rStyle w:val="526"/>
                <w:rFonts w:hint="default"/>
                <w:lang w:bidi="ar"/>
              </w:rPr>
              <w:br w:type="textWrapping"/>
            </w:r>
            <w:r>
              <w:rPr>
                <w:rStyle w:val="526"/>
                <w:rFonts w:hint="default"/>
                <w:lang w:bidi="ar"/>
              </w:rPr>
              <w:t>功能：能够净化实验室空气，以及实验过程中产生的有害气体，如PM2.5、氨气、二氧化硫、二氧化氮、TVOC、甲醛等，并能杀灭废气中的细菌病毒</w:t>
            </w:r>
            <w:r>
              <w:rPr>
                <w:rStyle w:val="526"/>
                <w:rFonts w:hint="default"/>
                <w:lang w:bidi="ar"/>
              </w:rPr>
              <w:br w:type="textWrapping"/>
            </w:r>
            <w:r>
              <w:rPr>
                <w:rStyle w:val="526"/>
                <w:rFonts w:hint="default"/>
                <w:lang w:bidi="ar"/>
              </w:rPr>
              <w:t>法兰尺寸：</w:t>
            </w:r>
            <w:r>
              <w:rPr>
                <w:rStyle w:val="527"/>
                <w:lang w:bidi="ar"/>
              </w:rPr>
              <w:t>φ</w:t>
            </w:r>
            <w:r>
              <w:rPr>
                <w:rStyle w:val="526"/>
                <w:rFonts w:hint="default"/>
                <w:lang w:bidi="ar"/>
              </w:rPr>
              <w:t>110mm</w:t>
            </w:r>
            <w:r>
              <w:rPr>
                <w:rStyle w:val="526"/>
                <w:rFonts w:hint="default"/>
                <w:lang w:bidi="ar"/>
              </w:rPr>
              <w:br w:type="textWrapping"/>
            </w:r>
            <w:r>
              <w:rPr>
                <w:rStyle w:val="526"/>
                <w:rFonts w:hint="default"/>
                <w:lang w:bidi="ar"/>
              </w:rPr>
              <w:t>（二）机身材质要求：</w:t>
            </w:r>
            <w:r>
              <w:rPr>
                <w:rStyle w:val="526"/>
                <w:rFonts w:hint="default"/>
                <w:lang w:bidi="ar"/>
              </w:rPr>
              <w:br w:type="textWrapping"/>
            </w:r>
            <w:r>
              <w:rPr>
                <w:rStyle w:val="526"/>
                <w:rFonts w:hint="default"/>
                <w:lang w:bidi="ar"/>
              </w:rPr>
              <w:t>1.机身板材采用符合标准的材料，质量有保障</w:t>
            </w:r>
            <w:r>
              <w:rPr>
                <w:rStyle w:val="526"/>
                <w:rFonts w:hint="default"/>
                <w:lang w:bidi="ar"/>
              </w:rPr>
              <w:br w:type="textWrapping"/>
            </w:r>
            <w:r>
              <w:rPr>
                <w:rStyle w:val="526"/>
                <w:rFonts w:hint="default"/>
                <w:lang w:bidi="ar"/>
              </w:rPr>
              <w:t>2.机身板材厚度≥1mm</w:t>
            </w:r>
            <w:r>
              <w:rPr>
                <w:rStyle w:val="526"/>
                <w:rFonts w:hint="default"/>
                <w:lang w:bidi="ar"/>
              </w:rPr>
              <w:br w:type="textWrapping"/>
            </w:r>
            <w:r>
              <w:rPr>
                <w:rStyle w:val="526"/>
                <w:rFonts w:hint="default"/>
                <w:lang w:bidi="ar"/>
              </w:rPr>
              <w:t>3.板材表面喷涂所用材料环保无毒，有害物质含量符合要求</w:t>
            </w:r>
            <w:r>
              <w:rPr>
                <w:rStyle w:val="526"/>
                <w:rFonts w:hint="default"/>
                <w:lang w:bidi="ar"/>
              </w:rPr>
              <w:br w:type="textWrapping"/>
            </w:r>
            <w:r>
              <w:rPr>
                <w:rStyle w:val="526"/>
                <w:rFonts w:hint="default"/>
                <w:lang w:bidi="ar"/>
              </w:rPr>
              <w:t>4.机身外壳抗酸碱，检测依据ISO 2812-2:2018，评判结果须为P；</w:t>
            </w:r>
            <w:r>
              <w:rPr>
                <w:rStyle w:val="526"/>
                <w:rFonts w:hint="default"/>
                <w:lang w:bidi="ar"/>
              </w:rPr>
              <w:br w:type="textWrapping"/>
            </w:r>
            <w:r>
              <w:rPr>
                <w:rStyle w:val="526"/>
                <w:rFonts w:hint="default"/>
                <w:lang w:bidi="ar"/>
              </w:rPr>
              <w:t>5.机身外壳耐腐蚀盐雾试验，检测依据GB/T 2423.17-2008，评判结果须为P。</w:t>
            </w:r>
            <w:r>
              <w:rPr>
                <w:rStyle w:val="526"/>
                <w:rFonts w:hint="default"/>
                <w:lang w:bidi="ar"/>
              </w:rPr>
              <w:br w:type="textWrapping"/>
            </w:r>
            <w:r>
              <w:rPr>
                <w:rStyle w:val="526"/>
                <w:rFonts w:hint="default"/>
                <w:lang w:bidi="ar"/>
              </w:rPr>
              <w:t>（三）高能离子模块</w:t>
            </w:r>
            <w:r>
              <w:rPr>
                <w:rStyle w:val="526"/>
                <w:rFonts w:hint="default"/>
                <w:lang w:bidi="ar"/>
              </w:rPr>
              <w:br w:type="textWrapping"/>
            </w:r>
            <w:r>
              <w:rPr>
                <w:rStyle w:val="526"/>
                <w:rFonts w:hint="default"/>
                <w:lang w:bidi="ar"/>
              </w:rPr>
              <w:t>1.为了增加单位面积内的电场数量，提高离子释放量，模块采用满板开孔方式。</w:t>
            </w:r>
            <w:r>
              <w:rPr>
                <w:rStyle w:val="526"/>
                <w:rFonts w:hint="default"/>
                <w:lang w:bidi="ar"/>
              </w:rPr>
              <w:br w:type="textWrapping"/>
            </w:r>
            <w:r>
              <w:rPr>
                <w:rStyle w:val="526"/>
                <w:rFonts w:hint="default"/>
                <w:lang w:bidi="ar"/>
              </w:rPr>
              <w:t>2.等离子体浓度≥3.50*1018m-3</w:t>
            </w:r>
            <w:r>
              <w:rPr>
                <w:rStyle w:val="526"/>
                <w:rFonts w:hint="default"/>
                <w:lang w:bidi="ar"/>
              </w:rPr>
              <w:br w:type="textWrapping"/>
            </w:r>
            <w:r>
              <w:rPr>
                <w:rStyle w:val="526"/>
                <w:rFonts w:hint="default"/>
                <w:lang w:bidi="ar"/>
              </w:rPr>
              <w:t>3.氨气净化效率≥99%。</w:t>
            </w:r>
            <w:r>
              <w:rPr>
                <w:rStyle w:val="526"/>
                <w:rFonts w:hint="default"/>
                <w:lang w:bidi="ar"/>
              </w:rPr>
              <w:br w:type="textWrapping"/>
            </w:r>
            <w:r>
              <w:rPr>
                <w:rStyle w:val="526"/>
                <w:rFonts w:hint="default"/>
                <w:lang w:bidi="ar"/>
              </w:rPr>
              <w:t>4.硫化氢净化效率≥99%。</w:t>
            </w:r>
            <w:r>
              <w:rPr>
                <w:rStyle w:val="526"/>
                <w:rFonts w:hint="default"/>
                <w:lang w:bidi="ar"/>
              </w:rPr>
              <w:br w:type="textWrapping"/>
            </w:r>
            <w:r>
              <w:rPr>
                <w:rStyle w:val="526"/>
                <w:rFonts w:hint="default"/>
                <w:lang w:bidi="ar"/>
              </w:rPr>
              <w:t>5.TVOC气体净化率≥99%。</w:t>
            </w:r>
            <w:r>
              <w:rPr>
                <w:rStyle w:val="526"/>
                <w:rFonts w:hint="default"/>
                <w:lang w:bidi="ar"/>
              </w:rPr>
              <w:br w:type="textWrapping"/>
            </w:r>
            <w:r>
              <w:rPr>
                <w:rStyle w:val="526"/>
                <w:rFonts w:hint="default"/>
                <w:lang w:bidi="ar"/>
              </w:rPr>
              <w:t>6.甲醛净化率≥99%。</w:t>
            </w:r>
            <w:r>
              <w:rPr>
                <w:rStyle w:val="526"/>
                <w:rFonts w:hint="default"/>
                <w:lang w:bidi="ar"/>
              </w:rPr>
              <w:br w:type="textWrapping"/>
            </w:r>
            <w:r>
              <w:rPr>
                <w:rStyle w:val="526"/>
                <w:rFonts w:hint="default"/>
                <w:lang w:bidi="ar"/>
              </w:rPr>
              <w:t>7.二氧化硫净化率≥99%。</w:t>
            </w:r>
            <w:r>
              <w:rPr>
                <w:rStyle w:val="526"/>
                <w:rFonts w:hint="default"/>
                <w:lang w:bidi="ar"/>
              </w:rPr>
              <w:br w:type="textWrapping"/>
            </w:r>
            <w:r>
              <w:rPr>
                <w:rStyle w:val="526"/>
                <w:rFonts w:hint="default"/>
                <w:lang w:bidi="ar"/>
              </w:rPr>
              <w:t>8.二氧化氮净化率≥99%。</w:t>
            </w:r>
            <w:r>
              <w:rPr>
                <w:rStyle w:val="526"/>
                <w:rFonts w:hint="default"/>
                <w:lang w:bidi="ar"/>
              </w:rPr>
              <w:br w:type="textWrapping"/>
            </w:r>
            <w:r>
              <w:rPr>
                <w:rStyle w:val="526"/>
                <w:rFonts w:hint="default"/>
                <w:lang w:bidi="ar"/>
              </w:rPr>
              <w:t>9.模块杀菌效果：白色葡萄球菌杀灭率＞99.95%；空气自然菌消亡率≥94.00%。</w:t>
            </w:r>
            <w:r>
              <w:rPr>
                <w:rStyle w:val="526"/>
                <w:rFonts w:hint="default"/>
                <w:lang w:bidi="ar"/>
              </w:rPr>
              <w:br w:type="textWrapping"/>
            </w:r>
            <w:r>
              <w:rPr>
                <w:rStyle w:val="526"/>
                <w:rFonts w:hint="default"/>
                <w:lang w:bidi="ar"/>
              </w:rPr>
              <w:t>10.臭氧泄漏量≤0.015mg/m3。</w:t>
            </w:r>
            <w:r>
              <w:rPr>
                <w:rStyle w:val="526"/>
                <w:rFonts w:hint="default"/>
                <w:lang w:bidi="ar"/>
              </w:rPr>
              <w:br w:type="textWrapping"/>
            </w:r>
            <w:r>
              <w:rPr>
                <w:rStyle w:val="526"/>
                <w:rFonts w:hint="default"/>
                <w:lang w:bidi="ar"/>
              </w:rPr>
              <w:t>（四）滤芯</w:t>
            </w:r>
            <w:r>
              <w:rPr>
                <w:rStyle w:val="526"/>
                <w:rFonts w:hint="default"/>
                <w:lang w:bidi="ar"/>
              </w:rPr>
              <w:br w:type="textWrapping"/>
            </w:r>
            <w:r>
              <w:rPr>
                <w:rStyle w:val="526"/>
                <w:rFonts w:hint="default"/>
                <w:lang w:bidi="ar"/>
              </w:rPr>
              <w:t>1.模块过滤等级要求达到YG亚高效，符合 GB/T 14295-2019《空气过滤器》标准要求，并且计数效率≥99%，初阻力≤110Pa，PM2.5效率值≥98%，容尘量≥79g。非静电式、非荷电，不产生臭氧。</w:t>
            </w:r>
            <w:r>
              <w:rPr>
                <w:rStyle w:val="526"/>
                <w:rFonts w:hint="default"/>
                <w:lang w:bidi="ar"/>
              </w:rPr>
              <w:br w:type="textWrapping"/>
            </w:r>
            <w:r>
              <w:rPr>
                <w:rStyle w:val="526"/>
                <w:rFonts w:hint="default"/>
                <w:lang w:bidi="ar"/>
              </w:rPr>
              <w:t>2.净化部分所采用的活性炭对酸碱性气态污染物和总挥发性有机化合物（TVOC）具有良好的净化效果：臭氧1小时净化率≥95%，甲醛1小时净化率≥95%，氨气2小时净化率≥98%，TVOC24小时净化率≥90%</w:t>
            </w:r>
            <w:r>
              <w:rPr>
                <w:rStyle w:val="526"/>
                <w:rFonts w:hint="default"/>
                <w:lang w:bidi="ar"/>
              </w:rPr>
              <w:br w:type="textWrapping"/>
            </w:r>
            <w:r>
              <w:rPr>
                <w:rStyle w:val="526"/>
                <w:rFonts w:hint="default"/>
                <w:lang w:bidi="ar"/>
              </w:rPr>
              <w:t>（五） 光氢模块</w:t>
            </w:r>
            <w:r>
              <w:rPr>
                <w:rStyle w:val="526"/>
                <w:rFonts w:hint="default"/>
                <w:lang w:bidi="ar"/>
              </w:rPr>
              <w:br w:type="textWrapping"/>
            </w:r>
            <w:r>
              <w:rPr>
                <w:rStyle w:val="526"/>
                <w:rFonts w:hint="default"/>
                <w:lang w:bidi="ar"/>
              </w:rPr>
              <w:t>1、采用杀菌方式：紫外线羟基杀菌技术，可人机共存</w:t>
            </w:r>
            <w:r>
              <w:rPr>
                <w:rStyle w:val="526"/>
                <w:rFonts w:hint="default"/>
                <w:lang w:bidi="ar"/>
              </w:rPr>
              <w:br w:type="textWrapping"/>
            </w:r>
            <w:r>
              <w:rPr>
                <w:rStyle w:val="526"/>
                <w:rFonts w:hint="default"/>
                <w:lang w:bidi="ar"/>
              </w:rPr>
              <w:t>2、由深紫外激发器、和双层杀菌因子激发板、固定结构组成，提供结构图纸。</w:t>
            </w:r>
            <w:r>
              <w:rPr>
                <w:rStyle w:val="526"/>
                <w:rFonts w:hint="default"/>
                <w:lang w:bidi="ar"/>
              </w:rPr>
              <w:br w:type="textWrapping"/>
            </w:r>
            <w:r>
              <w:rPr>
                <w:rStyle w:val="526"/>
                <w:rFonts w:hint="default"/>
                <w:lang w:bidi="ar"/>
              </w:rPr>
              <w:t>二、隐蔽式吸风罩24件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药品室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1、规格：≥5000*600*850mm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2、台面：采用≥12.7mm厚实芯理化板，边沿加厚至25.4mm，表面光滑、平整，整体美观大方。耐酸碱、耐高温、耐腐蚀、不吸水、防火、抗老化、无毒、不褪色、材质坚硬，确保柜身台面不受潮，牢固可靠。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PP药品柜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规格尺寸：≥1000x500x2020mm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柜体：1、柜子主体采用优质环保级PP材质，立体构成式设计，采用榫卯结构连接并合理布局加强筋，配有专用塑料紧固件，模具注塑成型；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2、柜体内部配有三块活动层板，内衬镀锌钢管，两头配有密封装置，整体无裸露金 属，表面平整、坚固，具有承重力强，使用灵活等特点。背板采用塑钢挤出中空双面板设计，整体坚实平和；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3、柜门采用优质环保PP材质嵌配≥4mm钢化烤漆玻璃，对开门、外扣式设计，两门缝中间配套雌雄密封整体塑料扣手，柜门配有防盗插销，防止从外部撬开柜门，合理的设计保证了柜子的密封性和安全性；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4、柜子固定层板上设有换气接口，药品柜可打开换气口接通风排气功能， 配专用药品器物阶梯；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PP密封盒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≥320*215*230mm,采用PP材质，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危化品存储柜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1.规格尺寸≥H1800*W900*D500mm，双开门，全部双层结构，外部采用厚度不小于1.0mm钢板经过点焊接，内外表面经酸洗磷化黄色环氧树脂粉末喷涂，烘热固化处理。柜体内胆(上、下、左、右内衬板)全部采用瓷自 (聚丙烯树脂)板;柜底右侧设有PP聚丙烯可调风阀:柜体内部最下层留有可以存放不少于 120mm 厚黄沙的填埋腔(液漕)，用于埋放金钠、黄磷(白磷)等的易燃物品，挡板应与柜体连为一体:柜底装有四个手50mm 的移动脚轮。</w:t>
            </w:r>
            <w:r>
              <w:rPr>
                <w:rStyle w:val="526"/>
                <w:rFonts w:hint="default"/>
                <w:lang w:bidi="ar"/>
              </w:rPr>
              <w:br w:type="textWrapping"/>
            </w:r>
            <w:r>
              <w:rPr>
                <w:rStyle w:val="526"/>
                <w:rFonts w:hint="default"/>
                <w:lang w:bidi="ar"/>
              </w:rPr>
              <w:t>2.柜门颜色：黄色/蓝色，采用环氧树脂静电喷涂。喷涂塑粉甲醛报告限值依据GB/T 23993-2009检测依据不大于5mg/kg;甲苯和二甲苯（含乙苯）总和报告限值依据GB/T 23990-2009检测依据不大于0.1%；苯报告限值依据GB/T 23990-2009检测依据不大于0.002%。</w:t>
            </w:r>
            <w:r>
              <w:rPr>
                <w:rStyle w:val="526"/>
                <w:rFonts w:hint="default"/>
                <w:lang w:bidi="ar"/>
              </w:rPr>
              <w:br w:type="textWrapping"/>
            </w:r>
            <w:r>
              <w:rPr>
                <w:rStyle w:val="526"/>
                <w:rFonts w:hint="default"/>
                <w:lang w:bidi="ar"/>
              </w:rPr>
              <w:t>3.柜体防火安全性：为保证化学品储存安全，储存柜体需通过防火安全性测试要求，在储存柜体内贮存易燃品、毒害品类试剂瓶，通过对储存柜体≥90分钟的加热实验过程中,储存柜体内部温度≤50℃:储存柜内易燃品、毒害品盛液容器或器皿表面无裂痕、无泄漏,完好无损，</w:t>
            </w:r>
            <w:r>
              <w:rPr>
                <w:rStyle w:val="526"/>
                <w:rFonts w:hint="default"/>
                <w:lang w:bidi="ar"/>
              </w:rPr>
              <w:br w:type="textWrapping"/>
            </w:r>
            <w:r>
              <w:rPr>
                <w:rStyle w:val="526"/>
                <w:rFonts w:hint="default"/>
                <w:lang w:bidi="ar"/>
              </w:rPr>
              <w:t>4.柜体防腐蚀性能：柜体通过依照GB/T 10125-2021相关标准进行盐雾试验检测，防盐雾腐蚀保护等级≥10级；柜体通过依据GB/T2423.22-2012环境试验温度变化在45℃到 -20℃的环境条件下储存72 小时后，样品无损坏；</w:t>
            </w:r>
            <w:r>
              <w:rPr>
                <w:rStyle w:val="526"/>
                <w:rFonts w:hint="default"/>
                <w:lang w:bidi="ar"/>
              </w:rPr>
              <w:br w:type="textWrapping"/>
            </w:r>
            <w:r>
              <w:rPr>
                <w:rStyle w:val="526"/>
                <w:rFonts w:hint="default"/>
                <w:lang w:bidi="ar"/>
              </w:rPr>
              <w:t>5.柜体防护安全性：通过GB/T 3836.1-2021检测要求，柜体外壳承受≥7.0J的冲击能量时,柜体未损坏；通过GB/T4208-2017(IP65)的检测要求，柜体具备≥6级防尘、≥5级防水的防护试验性能，</w:t>
            </w:r>
            <w:r>
              <w:rPr>
                <w:rStyle w:val="526"/>
                <w:rFonts w:hint="default"/>
                <w:lang w:bidi="ar"/>
              </w:rPr>
              <w:br w:type="textWrapping"/>
            </w:r>
            <w:r>
              <w:rPr>
                <w:rStyle w:val="526"/>
                <w:rFonts w:hint="default"/>
                <w:lang w:bidi="ar"/>
              </w:rPr>
              <w:t>6.柜体防爆性能要求：柜体需通过防爆性能测试，测试方法如下：柜体内爆测试时，采用≥5g TNT在柜体中央起爆后，柜口未被冲开且能正常开闭；柜体外爆测试时，采用≥10gTNT在柜体前方≤0.2m处起爆后，柜体未见明显变形和破损柜门未被冲开且能正常开闭，</w:t>
            </w:r>
            <w:r>
              <w:rPr>
                <w:rStyle w:val="526"/>
                <w:rFonts w:hint="default"/>
                <w:lang w:bidi="ar"/>
              </w:rPr>
              <w:br w:type="textWrapping"/>
            </w:r>
            <w:r>
              <w:rPr>
                <w:rStyle w:val="526"/>
                <w:rFonts w:hint="default"/>
                <w:lang w:bidi="ar"/>
              </w:rPr>
              <w:t>7.柜体稳定性能要求：为保证柜体稳定性，柜体通过GB/T 24820-2024《实验室家具通用技术条件》检测要求，柜体在空载承受≥200N•m力矩的情况下，柜体无倾翻；柜体搁版在承受垂直力≥100N时，空载搁板无倾翻。</w:t>
            </w:r>
            <w:r>
              <w:rPr>
                <w:rStyle w:val="526"/>
                <w:rFonts w:hint="default"/>
                <w:lang w:bidi="ar"/>
              </w:rPr>
              <w:br w:type="textWrapping"/>
            </w:r>
            <w:r>
              <w:rPr>
                <w:rStyle w:val="526"/>
                <w:rFonts w:hint="default"/>
                <w:lang w:bidi="ar"/>
              </w:rPr>
              <w:t>8.静电处置：柜体需预留接地装置及配备接地线，接地线≥1m长度。柜体通过GB/T 3836.1-2021检测要求,在接地板之间通过20A直流电时，接地电阻≤0.01</w:t>
            </w:r>
            <w:r>
              <w:rPr>
                <w:rStyle w:val="527"/>
                <w:lang w:bidi="ar"/>
              </w:rPr>
              <w:t>Ω</w:t>
            </w:r>
            <w:r>
              <w:rPr>
                <w:rStyle w:val="526"/>
                <w:rFonts w:hint="default"/>
                <w:lang w:bidi="ar"/>
              </w:rPr>
              <w:t>，</w:t>
            </w:r>
            <w:r>
              <w:rPr>
                <w:rStyle w:val="526"/>
                <w:rFonts w:hint="default"/>
                <w:lang w:bidi="ar"/>
              </w:rPr>
              <w:br w:type="textWrapping"/>
            </w:r>
            <w:r>
              <w:rPr>
                <w:rStyle w:val="526"/>
                <w:rFonts w:hint="default"/>
                <w:lang w:bidi="ar"/>
              </w:rPr>
              <w:t>9.层板：柜体设3块白色一体注塑PP聚丙烯托盘式树脂活动搁板(一次注塑成型)，并预留包钢位置，确保承重不变型。</w:t>
            </w:r>
            <w:r>
              <w:rPr>
                <w:rStyle w:val="526"/>
                <w:rFonts w:hint="default"/>
                <w:lang w:bidi="ar"/>
              </w:rPr>
              <w:br w:type="textWrapping"/>
            </w:r>
            <w:r>
              <w:rPr>
                <w:rStyle w:val="526"/>
                <w:rFonts w:hint="default"/>
                <w:lang w:bidi="ar"/>
              </w:rPr>
              <w:t>10.内衬板要求负荷变形温度不低于155℃，维卡软化温度不低于155℃，</w:t>
            </w:r>
            <w:r>
              <w:rPr>
                <w:rStyle w:val="526"/>
                <w:rFonts w:hint="default"/>
                <w:lang w:bidi="ar"/>
              </w:rPr>
              <w:br w:type="textWrapping"/>
            </w:r>
            <w:r>
              <w:rPr>
                <w:rStyle w:val="526"/>
                <w:rFonts w:hint="default"/>
                <w:lang w:bidi="ar"/>
              </w:rPr>
              <w:t>11.锁具：配置GA锁双锁，GA机械锁需符合GA/T73-2015《机械防盗锁》标准，达到不低于B级防盗要求。</w:t>
            </w:r>
            <w:r>
              <w:rPr>
                <w:rStyle w:val="526"/>
                <w:rFonts w:hint="default"/>
                <w:lang w:bidi="ar"/>
              </w:rPr>
              <w:br w:type="textWrapping"/>
            </w:r>
            <w:r>
              <w:rPr>
                <w:rStyle w:val="526"/>
                <w:rFonts w:hint="default"/>
                <w:lang w:bidi="ar"/>
              </w:rPr>
              <w:t>12.配有微电脑时控开关，能根据用户设定的时间自动打开和关闭风机，电源开关指示灯指示风机是否正常工作，可自动或手动控制。</w:t>
            </w:r>
            <w:r>
              <w:rPr>
                <w:rStyle w:val="526"/>
                <w:rFonts w:hint="default"/>
                <w:lang w:bidi="ar"/>
              </w:rPr>
              <w:br w:type="textWrapping"/>
            </w:r>
            <w:r>
              <w:rPr>
                <w:rStyle w:val="526"/>
                <w:rFonts w:hint="default"/>
                <w:lang w:bidi="ar"/>
              </w:rPr>
              <w:t>13.避免挥发物对风机箱的腐蚀，风机箱采用耐腐蚀一体注塑成型，风机箱外观尺寸为220*220mm，内直径为146mm，高度为160mm,风机箱四周做加强筋处理，保证风道的稳固性和耐用性。</w:t>
            </w:r>
            <w:r>
              <w:rPr>
                <w:rStyle w:val="526"/>
                <w:rFonts w:hint="default"/>
                <w:lang w:bidi="ar"/>
              </w:rPr>
              <w:br w:type="textWrapping"/>
            </w:r>
            <w:r>
              <w:rPr>
                <w:rStyle w:val="526"/>
                <w:rFonts w:hint="default"/>
                <w:lang w:bidi="ar"/>
              </w:rPr>
              <w:t>14.设备可通过柜门二维码注册客服平台系统对设备进行管理，可进行系统管理添加设备的部门管理、用户管理，管理查看设备的归属部门和管理员信息，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亚克力卡槽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A4亚克力卡槽，单层竖版</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防爆照明灯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1.电压：220V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2.温度组别：T1~T4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3.防爆标志：EXdⅡBT4Gb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4.灯身材质：铁，加厚玻璃及铁丝网罩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防爆单控开关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1.外壳采用铝合金压铸而成，表面高压静电喷涂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2.内部具有防尘功能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3.防爆标识：：EXdⅡBT4Gb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4.防护等级IP65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防爆插销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1.电流电压：220V~250V，10A~16A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2.防爆级别：EXdⅡBT4Gb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3.防护等级IP65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静电泄放球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由触摸头、标识牌、接地线等组成，触摸头采用亚导材料，去静电、无火花，</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防爆应急指示一体灯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1.电压：AC220V/50Hz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2.应急启动：0.3秒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3.防护等级IP65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4.材质：精工车铝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5.防爆级别：EXdⅡBT4Gb</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温湿度变送器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测量范围：温度：-40℃～80℃   湿度：0～100%RH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 辨 率：温度：1℃ 湿度：1%RH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测量精度：温度：±0.5℃ 湿度：±5%RH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防爆等级：Exd II CT6  防护等级：IP66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LED显示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工作电压：DC24V±15% T90＜30s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氧气气体报警器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检测气体：O2  0-30%VOL</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四线制RS485输出    电化学检测原理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防爆等级：Exd II CT6  防护等级：IP66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LED显示  二级声光报警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工作电压：DC24V±15% T90＜30s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可燃气体报警器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四线制RS485输出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防爆等级：Exd II CT6  防护等级：IP66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LED显示  二级声光报警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工作电压：DC24V±15% T90＜30s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气体检测报警控制器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液晶屏显示 二级声光报警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工作电压：AC220V±15% 50-60HZ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RS485输入及RS485输出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无源继电器输出可联动风机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气体检测系统安装调试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1、信号线及电源线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2、安装调试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应急器材柜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外部尺寸约：H1800*W900*D450mm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1、配有一键弹起式开锁装置；T字型设计，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2.内置物品：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酸碱吸附剂、3M防护眼镜2副、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多功能救生哨1个、消防过滤式自救呼吸器2盒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消防头盔2个、灭火毯2块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反光衣1件、自吸过滤式防颗粒物口罩10个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黄色废弃物暂存袋：6个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功能工具锤1把、氯丁橡胶防化手套：2双、急救药箱1套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防化靴：2双，防护服：2套。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吸附棉垫：10片，吸附棉条：4个。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超细粉⾃动灭火器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悬挂式，≥4公斤，贮压悬挂式干粉灭火装置灭火装置由贮粉罐、喷头、压力指示器、感温玻璃球（易熔合金）、吊环等组成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安全标识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PVC带背胶安全警示标识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防盗窗（危化品室）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满足公安部GA1511-2018《易制爆危险化学品储存场所治安防范要求》中的要求：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储存场所使用的钢筋栅栏应采用直径大于等于12 mm的实心钢筋；钢管栅栏应采用直径大于等于20 mm，壁厚大于等于2 mm的钢管；钢板栅栏应采用单根横截面大于等于8 mm×20 mm的钢筋（钢管、钢板）。相邻钢筋（钢管、钢板）间隔应小于等于100 mm，高度每超过800 mm的应在中点处再加一道横向钢筋（钢管、钢板）。窗口、通风口的防盗栅栏应采用直径大于等于12 mm的膨胀螺栓固定，安装应牢固可靠。储存场所周界设置的栅栏应与地面牢固固定。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防盗门（危化品室）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满足公安部GA1511-2018《易制爆危险化学品储存场所治安防范要求》中的要求：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储存场所使用的防盗安全门应符合GB 17565-2007的要求，其防盗安全级别应为乙级（含）以上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7.2  封闭式、半封闭式储存场所出入口应设置防火门，门应向疏散方向开启。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防护设施安装及调试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1、原有防盗门拆除，新防盗门安装，墙体恢复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2、防盗窗安装，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3、组合式喷淋洗眼器安装，给排水管件等辅料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4、超细粉自动灭火器悬挂安装及配件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实验室废水处理一体机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1、用途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用于学校实验室所产生的实验室综合废水（包括实验室排出的化学试剂、残留试剂、容器洗涤、仪器清洗等废水）进行全自动处理，处理达标后自动排入市政排污管道。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2、技术要求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 处理后用途：废水经处理后排入市政污水管网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2.2水量：1-3T/D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处理后水质标准：符合污水综合排放标准 （GB8978-1996）三级排放标准；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2.4 电气设备：额定电源电压AC220V，额定电源频率50Hz；功率≤2000W；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 控制模式：全自动控制，同时可手动操作。控制系统为PLC可编程序智能控制系统及人机界面操作系统。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 处理工艺：“集水箱→水解酸化调节→混凝高效氧化→终端处理→→消毒处理→达标排放”。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主机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 壳体材质：钣金喷塑，防腐耐用；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 底板：底板带万向轮，可以移动和锁定。方便设备保养和维修；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 外观：产品外表面无裂纹、变形、污浊现象，表面涂层均匀、清晰，无腐蚀、生锈、脱落及磨损现象。屏幕无暗角、黑斑、暗显示、不显示、闪烁现象产品的紧固件、旋钮等部件装配应无松动;按键开关、门锁等控制灵活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4.1废水设备具备处理无机物（包括汞、铅、镉、氯化物、强酸强碱）有机物（包括有机溶剂、有机酸、醚类、酚类）病原微生物等废水的能力；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 通过在线PH仪表控制加药泵的运行和停止；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 通过液位传感器控制增压泵、加药泵的运行和停止；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 配置pH调节装置，通过传感器在线监控水质，根据需要添加相应药剂，完成水质酸碱度控制，同时系统具有根据pH值自动调整加药速度的功能，以确保pH调节效率和效果；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4.5需选用复式静音电机和防腐泵，噪音小；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4.6系统稳定安全：稳定的控制系统，可靠的硬件平台和软件管理系统，对模块结构、通讯、服务器设备等方面进行安全的设计和运用，通过软件管理为系统稳定运行提供完善的管理机制、控制手段和报警监控等技术措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4.7 收集池采用新型复合材料，防腐耐酸碱材质；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#4.8设定时间动作:可通过触摸屏设置“定时开机、定时关机、MBR冲洗时长”等参数，届时系统自动运行（提供第三方检测机构出具的检测报告（具备CMA或CNAS标志）复印件并加盖投标人公章）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4.9 设备系统具备自动保护运行能力，以确保设备系统元器件的可靠性及寿命；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4.10设备采用一体式、模块化设计，结构紧凑占地面积小；要求为无土建的实验室综合废水处理一体化成套设备。内置装置耐酸碱，防腐蚀，专业切割和焊接。安装移动方便，外形美观；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5.控制系统功能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5.1设备自动化程度高：中央集中控制系统，人机界面友好，操作简单，全自动运行，无须专人值守；全自动PLC控制系统，LED全中文操作页面，能够实时显示仪器的运行状态信息；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5.2在自动状态下，实验室废水处理一体机PLC工作，系统白动运行废水处理程序。在手动状态下，可通过触摸屏控制系统各部分的启动或停止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5.3报警功能：具有系统故障、断电、试剂存量不足、无水、数值超标异常等情况下的自动报警功能；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#5.4报警记录查询：通过“报警浏览”功能可以查询日期、时间、当前值、报警描述等功能（提供第三方检测机构出具的检测报告（具备CMA或CNAS标志）复印件并加盖投标人公章）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6、安全性能：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6.1多种全自动应急操作方式，实现多种控制模式，保证系统正常运行；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6.2设有停水、停电、过载等非正常状态自动保护、自动识别故障报警及处理功能；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6.3断电时工作状态记录功能：当发生断电时，实验室废水处理一体机自动记录运行状态(收集、中和、过膜、排放)，恢复供电时，按记录的运行状态进行废水处理工作；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6.4开机自检、缺水保护报警、高低压自动停机、停电自动复位；保护并处理。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6.5各种用电设备均按照国家有关标准做好保护。各设备均设必要的防护措施，以确保安全运行，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任课教师准备室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规格：≥2400×1200×850mm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台面：采用≥12.7mm厚实芯理化板，边沿加厚至≥25.4mm，≥2.4米长台面热压一体成型，表面光滑、平整，整体美观大方。耐酸碱、耐高温、耐腐蚀、不吸水、防火、抗老化、无毒、不褪色、材质坚硬。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桌身：整体采用≥0.9mm厚优质冷轧钢板，全部钢制件纳米陶瓷镀膜防锈处理。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滑道：抽屉全部采用优质三节承重式滚珠滑道开合十万次不变形。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铰链：采用优质铰链，开合十万次不变形。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可调脚：高强度可调脚，采用M10mm螺纹钢，下部采用环保型PP加耐磨纤维质塑料。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语言小教室1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≥长1600mm*宽600mm*高780mm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1、桌面采用E1级≥25mm实木颗粒三聚氰胺饰面板，四边采用1.5mmPVC封边，封边胶采用纯白色热熔胶。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2、桌体统一采用≥16mmE1实木颗粒三聚氰胺饰面板。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3、板材要求，板面平整色泽均匀，无刺激性气味，环保标准达到E1级标准，桌体带有设备存放夹层，五金部分采用优质缓冲五金件；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器面板可控制屏风升降，中控器可分组和整体控制考场内所有屏风升降。中控器采用触摸按钮开关，为减少中控故障，中控触摸面板采用亚克力面板触摸升降，中控器面板带开关机按钮和暂停按钮，中控面板控制分为五组A、B、C、D、E分组控制模式，同时支持一键全升、全降统一控制。中控器安装在教师桌内，中控器和学生桌控制采用圆形五针有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≥长1200mm × 宽600mm × 高900mm（降下）/1200mm（升起）；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（注：以上为标准卡座尺寸，受考场实际面积影响，可存在实际尺寸微调的情况，调整方案需经甲方同意。）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1、卡座挡板升起时，应能起到良好的隔音隔断效果，能最大程度降低考试时相邻考生之间的干扰。挡板下降后，可恢复成普通无遮挡的课桌，方便进行教学活动，实现考场的一室多用。挡板升降由中控器控制。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高780mm，桌面深度500mm，厚度不低于25mm，E1级及以上环保型实木颗粒板，四边同色封边条直线封边。为防止考生使用过程中桌面松动或塌陷，桌面应采用金属连接件，通过螺丝连接固定，方便安装和维修，确保桌面稳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3、升降挡板采用15mm厚，桌体采用16mm厚，双面贴三聚氰胺饰面，应具有环保、耐磨、耐高温、耐腐蚀、防水的能力，环保等级≥E1级标准。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升降卡座升降屏风体厚度≤54mm，底座、框架边缘以及板材结合处，应采用铝合金型材，主体结构牢固、耐用，可整体移动。框架两边为固定式，为避免考生磕碰、划伤，桌体顶部铝合金封盖和锌合金连接件应采用斜坡设计，封盖宽度≤17mm。铝型材接头和锌合金连接件采用覆盖方式连接以消除缝隙。锌合金连接件表面电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5、升降卡座底部安装防滑地脚，为增加牢固性地脚直径≥52mm，地脚可以根据地面平整度调节高低，可调高度行程≥40mm。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6、桌面下方配木质键盘抽屉，轨道采用隐藏托底路轨，为避免键盘抽屉不用时滑出桌面，滑轨应具有自动回弹功能。为增加键盘抽屉承重和耐用，轨道必须固定在左、右屏风体上，抽拉次数不少于40000次，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尺寸：≥340*240*450mm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凳面采用厚度≥18mmE1级及以上环保型颗粒板，两面采用三聚氰胺饰面,四边同色封边条直线封边，凳架为1.2厚钢制方管，焊接静电喷涂工艺，环保耐用。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英语听说软件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一、模考管理平台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1.需支持校教研员组织全校各个年级进行期中、期末等阶段性测试；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2.需支持学科教师组织班级进行日常的模拟测试；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3.需支持校级联考能够使用密码启用试卷，可以按照时间段灵活编排试卷的使用时间；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4.需支持考试时间设置，能够批量选择参与考试的班级或学校；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5.需支持按照分类筛选考试所需试卷，能够直接预览试卷内容；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6.需支持校级考试的弱编排模式，无需安排监考教师，支持所有学生按需参加考试，并可省略人工确认环节发布成绩；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二、评价分析平台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（一）学校考情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【学校整体分析报告】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1、需支持按学期查看学校内各个年级的整体考试情况，对实际参与情况、成绩变化、题型均分进行统计分析，为学校改进教学策略提供数据支撑；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2、需支持校级管理者能够查看学校内各个班级的考试情况，对班级实际参与情况、得分排名变化、题型均分进行统计，也能够对各班表现进行对比，便于校级管理者了解每个班级的情况；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3、需支持自定义高分和低分区间，实现各学校根据自有学情特点做成绩分析；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4、需支持查看单次校级考试后的成绩统计分析，系统对每次考试的整体情况能够提供智能评价；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5、需支持对单次校级考试的平均分、最高分、最低分、满分率、优秀率等指标进行统计；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6、需支持单次校级考试能够按照分数段、题型进行情况统计，并以多种图表的形式直观呈现；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7、需支持按班级分别查看考试参与情况，同时能够将各个班级的成绩、题型均分、分数段分布进行横向对比，自主选择历次考试进行纵向对比，帮助校级管理者快速了解班级之间的差距；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8、需支持根据学校实际情况设定不同分数段、等级的划分标准，以更好地评估学生的表现；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9、需支持查看考试使用试卷的详细分析，包括题目、参考答案、试题均分、学生作答情况；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10、需支持导出联考成绩单，能够汇总学生成绩及客观题作答选项；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11、需支持一键生成分析报告，支持自定义设置导出数据的计算方式，导出的报告需包含班级成绩均分对比、各题型成绩分布、分数段人数分布、优秀学生对比分析、作答分析与教研建议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（二）班级考情分析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1、需支持按学期查看班级参与的各级别考试情况，对实际参与频次、成绩排名变化进行统计分析，能够按照题型进行分析，并与年级均分做对比；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2、需支持查看班级内各个学生的考试参与情况，至少包含学生历次考试、各题型平均成绩和趋势分析，提供学生个人和班级对比分析，以便了解一段时间学生个人的学习效果；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【班级单次考试报告】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3、需支持查看单次班级测试的成绩统计分析，系统对每次测试的整体情况能够提供智能评价；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4、需支持对班级测试的平均分、最高分、最低分、满分率、优秀率等指标进行统计；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5、需支持对班级测试按照分数段、题型均分进行统计，能够以多种图表的形式直观呈现，并给出需关注的学生名单；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6、需支持对班级参与考试的情况进行统计，并能够自定义设置分数段进行学生划分；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7、需支持查看考试使用试卷的详细分析，包括题目、参考答案、试题均分、学生作答情况，并且能够在线回听并下载学生语音；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8、需支持导出班级测试成绩单，能够汇总学生成绩及客观题作答选项。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（三）个人考情分析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【个人整体考试情况】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1、需支持查看学生个人已参加过的各类考试整体分析，需至少包含学生历次考试、各题型平均成绩和趋势分析，提供学生个人和班级对比分析，以便了解一段时间学生个人的学习效果；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【个人单次考试分析】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查看每场考试的成绩统计分析报告，至少包含个人得分、班级平均分、最高分、学生在班级分数段中所处位置，可呈现学生和班级对比，分析失分点在较难题、中等题还是简单题，需以多种图表的形式展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3、需支持学生查看考试试卷的详细分析，至少包含学生个人作答情况、题目与参考答案等；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4、需支持家长和学生通过APP或小程序形式，查看学生参与各级联考的情况；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需支持教师用过APP形式查看班级参与各级联考的情况；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需支持学校能够管控考试成绩是否对家长和学生公开。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三、资源管理平台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1、需支持预览模拟考试试卷，至少包含可查看题干、音频、答案等；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2、需支持试卷检索能力，可根据试卷名称、更新时间、使用量、试卷得分情况、是否有使用过等多种条件进行检索，帮助教师高效、精准地找到所需试卷；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3、需支持教师收藏试卷，方便教师后期查找和使用；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4、需支持教师能够根据北京地区模板题型要求，从题库资源中挑选试题内容，生成试卷进行模拟考试；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5、需支持根据教师选择的北京地区模板，系统进行智能选题，自动生成套卷供考试使用，节省教师的时间和精力；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6、需支持摘取北京地区模板中的某道题型生成试卷，辅助师生开展专项备考练习；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7、需支持选择任意题型进行自由组卷，可以自定义作答时间、准备时间、分值，提高试卷内容灵活性；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8、需支持对组合生成的试卷资源进行编辑、删除等管理。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四、考前准备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1、需支持教师通过云平台或者监考客户端创建班级测试任务；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2、需支持教师在监考客户端获取联考任务信息进行监考；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3、需支持在机房监考机上导入试卷包，考试任务可以识别并启用本地试卷，无需在线下载，同时支持清理本地试卷缓存；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五、教师监考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1、需支持监考教师查看考试任务状态，能够便捷地筛选出未开始考试的任务、正在考试的任务、考试结束未上传数据的任务；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2、需支持监考教师下载考试任务，完成考试试卷和考生基础信息的下载；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3、需支持监考教师手动修改单个考试机的座位号和批量自动设置座位号；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4、需支持监考教师一键关闭和启动全部考试机；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5、需支持监考教师在考试任务详情中，能够查看考试任务的基本信息，了解当前任务中所有考生的考试状态，包括已考、未考、考试失败等；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6、需支持监考教师在监考过程中能够查看每个学生的考试状态是否出现异常，统计失去连接、异常考生数量。在开始考试后能够查看每个学生的答题进度；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7、需支持监考机发生断网、死机异常时，重启监考机能够自动恢复到本场考试的监考状态；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8、需支持在考试过程中系统自动检测学生的语音质量，考后筛选出语音异常的考生，监考教师可以回听异常录音，对语音不合格的学生能够安排重考；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9、需支持在考试过程中校验耳机是否脱落并给出提示；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10、需支持系统自动收集学生作答数据，对异常考试机支持离线数据回收；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11、需支持教师一键上传日志，便于服务人员排查问题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六、考生作答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1、需支持学生输入准考证号或者学号登录考试机进行考试；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2、需支持学生在正式作答前进行试音，以保障录音质量；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3、需支持同一场次考试能够设置多套试卷，按座位号分发不同试卷，保证相邻的学生试卷内容不同，防止作弊；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4、需支持使用同一套试卷考试时，小题顺序、选项顺序能够随机打乱，以保证相邻学生作答内容不完全一致，防止作弊；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5、需支持系统自动检测考生的作答数据完整性，对考生的作答数据进行打包，自动传到监考机。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七、考后管理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1、需支持监考教师同时选择多个已结束的考试任务，完成批量数据上传评分；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2、需支持考试任务数据在离线环境下导出，并能上传到线上平台完成自动化评分；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3、需支持对考试成绩发布状态的管控，能够及时变更考试成绩的发布状态；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4、需支持考后教师在监考机即可查看班级测试报告，同时支持监考机启动全部学生机查看个人报告；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5、需支持按照不同角色区分提供不同维度的成绩列表，校教研员可以查看到全校的成绩，教师可以查看到所管理班级的成绩，学生个人可以查看自己的成绩情况；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6、需支持所有考试成绩以表格形式导出，便于存档。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八、智能评测技术应用效果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1、需支持校级联考的智能评分，以及实现班级测试的智能评分。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需根据学校对不同规模、不同利害程度考试的需要，实现不同模式的智能评分能力支持。既能实现联网环境下，批量自动化智能评分，也能支持教研专家参与评分标准的制定，通过专家定标后的结果完成智能评分；线上批量自动化评分需要满足班级测试完成后10分钟内自动出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3、针对篇章朗读类题目，智能评测能够提供流畅度、完整度、发音准确度、语速等维度的评分反馈，需要能够标记反馈学生朗读的失分词、失分音素信息；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4、针对内容复述类题目，智能评测需提供表达准确度、发音准确度、语速等维度评分反馈；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5、针对问答互动类题目，智能评测需要提供关键信息覆盖度；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6、需支持以班级为单位，输出模拟考试评测报告，包括朗读题高频失分单词、高频失分音素、平均语速以及问答题的要点完整度等。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1、考试专用耳机应为包耳式设计，USB2.0及以上接口、连接线需采用抗拉扯耐磨材质，线长1.5米以上；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2、提供精编棉布材质可拆卸耳罩，方便更换；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3、自适应弹压式头梁，适合不同头型佩戴无需手动调节；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4、耳机整体无任何线控或按钮调节装置；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5、具备机考所需功能，包括考场环境声学自适应、耳机状态指示灯、软件实时状态检测（录音状态实时跟踪）、加密存储、录音水印，内置唯一ID、可见唯一编码等；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6、提供可编程接口（SDK），至少包括唯一编码管理、拾音器状态检测等；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49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（二十九）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计算机及信息技术教室2</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规格：≥1500×700×780mm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采用≥18mm厚E1级三聚氰胺双贴饰面板，外侧板截面采用优质1.5mm厚PVC封边，其它截面采用优质1mm厚PUC封边，全部采用优质PVC封边条机械封边。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规格：1200*600*750mm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采用≥18mm厚E1级三聚氰胺双贴饰面板，外侧板截面采用优质1.5mm厚PVC封边，其它截面采用优质1mm厚PUC封边，全部采用优质PVC封边条机械封边。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规格：≥360*260*450mm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材质：实木+钢架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工艺：凳架采用钢管，壁厚≥1.2mm；四腿、四望、工字形枨，满焊结构；表面静电喷塑处理；配尼龙套脚。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凳面：采用硬杂木实木，厚度≥18mm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定制展示柜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18mm厚E1级三聚氰胺双贴饰面板，外侧板截面采用优质1.5mm厚PVC封边，其它截面采用优质1mm厚PUC封边，全部采用优质PVC封边条机械封边。上部定制为部分开放式展示柜，部门玻璃门展示柜，柜内带灯光；下部定制为抽屉和对开门储物柜，柜门采用≥18mm厚E1级三聚氰胺双贴饰面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延米</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美术教室2</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多媒体讲台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1.尺寸：≥1500*600*1012mm；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4.功能：（1）可倾斜方便操作。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参考规格：高度≥1760mm，宽≥580mm，材质：优质榉木，立柱规格≥40*20mm，特点：梯形，可折叠，角度可调，画托高度升降可调，配互动展示仪支架≥85*75*80mm，表面环保烤漆处理。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主体采用榉木，金属杆螺旋升降，升降高度480-650mm,圆凳面直径≥300mm，三腿支架，环保清漆处理。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作品展示架（挂画架）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每扇参考规格：≥1000*2000mm，四扇一组，铝合金框架，折叠立柱尺寸37*16mm，横杆尺寸40*16mm，立柱、横杆壁厚1.6-1.8mm；立柱配16个钢丝挂画线、64个双向金属挂钩，可移动脚轮。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绘画工具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1、狼毫圆头水粉画笔1-12#各1支：1号：全长约287mm，笔峰宽5mm，笔峰长10mm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2号：全长约287mm，笔峰宽6.3mm，笔峰长12mm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3号：全长约288mm，笔峰宽7.5mm，笔峰长13.5mm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4号：全长约292mm，笔峰宽8mm，笔峰长15mm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5号：全长约294mm，笔峰宽8.2mm，笔峰长15mm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6号：全长约296mm，笔峰宽10mm，笔峰长16mm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7号：全长约300mm，笔峰宽10mm，笔峰长18mm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8号：全长约320mm，笔峰宽12mm，笔峰长19mm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9号：全长约350mm，笔峰宽14mm，笔峰长20mm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10号：全长约357mm，笔峰宽16mm，笔峰长22mm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11号：全长约314mm，笔峰宽19mm，笔峰长25mm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12号：全长约323mm，笔峰宽20mm，笔峰长26mm；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2、狼毫尖头水彩笔1-12#各1支：1号：全长285mm,笔头直径4.2mm，笔峰长13mm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2号：全长286mm,笔头直径4.2mm，笔峰长14mm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3号：全长288mm,笔头直径4.5mm，笔峰长15mm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4号：全长288mm,笔头直径4.5mm，笔峰长16mm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5号：全长288mm,笔头直径5.2mm，笔峰长18mm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6号：全长288mm,笔头直径5.2mm，笔峰长18mm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7号：全长292mm,笔头直径5.8mm，笔峰长20mm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8号：全长295mm,笔头直径5.8mm，笔峰长20mm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9号：全长298mm,笔头直径6.6mm，笔峰长21mm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10号：全长298mm,笔头直径6.6mm，笔峰长22mm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11号：全长303mm,笔头直径7.5mm，笔峰长22mm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12号：全长306mm,笔头直径8.5mm，笔峰长25mm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3、猪鬃平头油画笔1-12#各1支：1号：全长285mm,笔峰宽6mm，笔峰长10mm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2号：全长286mm,笔峰宽7mm，笔峰长12mm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3号：全长286mm,笔峰宽8mm，笔峰长11mm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4号：全长290mm,笔峰宽9mm，笔峰长13mm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5号：全长285mm,笔峰宽9.5mm，笔峰长13.5mm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6号：全长295mm,笔峰宽11mm，笔峰长16mm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7号：全长300mm,笔峰宽11.5mm，笔峰长14mm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8号：全长303mm,笔峰宽13mm，笔峰长18mm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9号：全长304mm,笔峰宽14mm，笔峰长20mm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10号：全长302mm,笔峰宽15mm，笔峰长21mm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11号：全长303mm,笔峰宽16mm，笔峰长22mm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12号：全长310mm,笔峰宽18mm，笔峰长22mm；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4、24眼调色盘1件：215*103*22mm；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5、17眼调色板1件：280*220*10mm；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6、中空吹塑定位包装：360*350*70mm、便于携带、存放。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箱体：≥500×330×110mm，箱体内储物格为推拉式4格，配调色板，箱体有提把、背带，箱盖可支起作画架用，三腿支撑，可伸缩折叠，材质：优质榉木，产品表面平整，无裂纹、疖疤、毛刺、树脂清漆处理，涂层均匀、光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600×650×1420/3000mm，材质：红榉木，特点：升降平立两用式油画架，角度可调、高度可调、可进行素描、油画、水粉、国画等创作，四角制动脚轮，表面光滑、无毛刺、无弯曲，接缝无开裂，整体无疤痕无弯曲，表面环保烤漆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参考规格：≥400x720x880mm，材质：红榉木、三层、带脚轮、可移动、表面光滑无毛刺。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参考规格：≥60×90×2cm，中间骨架，双面三合板，实木边框≥1cm，45°割角拼接，对角线平面误差＜0.2cm。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写生画板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参考规格：≥60×45×1.8cm，中间骨架，双面三合板，实木边框≥1cm，45°割角拼接，对角线平面误差＜0.2cm。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立式三节可升降、最大调节高度2400mm、照射角度0°-120°；材质：球形灯罩直径≥260mm，深度≥190mm：金属材料；灯杆：钢管，表面镀铬，铝节、塑料旋钮，内置弹簧；五角底座，带滚轮，可移动；带2200mm长的电线，开关、插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写生教具（1）素描模型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石膏像：阿古力巴切面1件≥30cm，腊空半面1件≥30cm，太阳神头像1件≥38cm，海盗头像1件≥45cm，小大卫头像1件≥67cm，亚历山大1件≥45cm，表面光洁，形态逼真，线条清晰。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写生教具（2）素描模型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圆球、四棱锥、六棱锥、正方体、长方体、圆锥、圆柱体、六棱柱、方带方、圆锥带圆、方锥带方、多面体、八棱柱、圆切、十二面体，表面光洁，线条清晰。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民间美术欣赏及写生样本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结1件≥90cm，纸质京剧脸谱1件≥26cm，扎染作品1件≥70×70cm，蜡染作品1件≥70×70cm，皮影1张≥20cm、年画1张（配镜框玻璃）≥50×30cm，木板年画1张（配镜框玻璃）≥50×30cm，剪纸1张（配镜框玻璃）≥30×30cm，面具社火马勺1件≥17×27cm，泥塑凤翔挂饰虎1件≥30cm，布老虎≥12cm，秸秆插接五鼓传统风车1件≥24×26cm，纹样1件≥140×70cm，尼龙布彩印风筝1件≥70×90cm，唐三彩马1件≥20×30cm、彩陶器1件直径≥20cm，瓷器1件高度≥28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静物台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参考规格：≥900mmx600mmx60mm，材质：木制，带背板，板面厚度20mm，特点：四轮可移动，可升降，带抽屉。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人体结构活动模型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参考规格：高≥40cm，椴木，关节金属件连接。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储物柜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1、规格：≥5000*450*2000mm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3、门板采用，板材采用≥18mm厚E1级三聚氰胺双贴饰面板，外侧板截面采用优质1.5mm厚PVC封边。可调节层板，根据现场定制。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心理辅导室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智能心理云平台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1、要求平台基于心理专业理论研发，支持PC、移动端两种方式登录，具备学生端及管理端两个端口。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平台须内置专业本土化青少年心理健康筛查量表，通过如症状、休闲满意度、消极行为、特质、健康素养、学业、人际关系、幸福力PERMA等维度综合评估，得出特殊关注、重点关注、一般关注、正常四个等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3、要求平台须支持自定义添加角色，如咨询师、班主任等角色，要求不同角色首页面呈现内容不同，支持角色自由切换可添加多个角色。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4、要求学生端采用H5页面自适应技术设计，提供如心理测评、在线预约、心理自助、新闻中心、活动信息、投票调查、新闻中心、智能方案等不少于9类功能，其中心理自助不少于文章、音乐、课程3种形式。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4.1要求学生可在线参与心理测评，了解已完成的测评信息。除本土化青少年心理健康筛查量表外，还包含心理健康、情绪、学习、人格、智力、社交、生活、职业测评等多类型的专业测评量表。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4.2要求学生可在线预约心理咨询，系统提供日历预约、咨询师预约2种方式，系统支持预约签名及取消预约操作。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4.3要求学生可通过平台心理自助功能阅读心理文章、开展音乐调节、学习心理健康课程等。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4.4要求学生可自助参与心理活动招募的报名，可查看活动详细介绍信息，支持查看未开始、进行中、已报名、已结束等信息。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4.5要求学生可在线参与网络投票，通过平台发布的投票信息进行在线投票，投票结束后可查看参与投票的信息，了解投票详情，通过投票功能可以帮助班级、学校发布相关信息，统计学生意见。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要求学生可通过心情随笔功能选择不同的符号记录自己的情绪状态，倾诉内心感受，平台提供很好、较好、一般、较差、很差5个心情等级供学生选择，每个等级具备不同的颜色，且当学生选择后平台模块页面会自动同步进行可视化呈现。平台支持记录查看、周期统计，以数据结合曲线的形式呈现周期内学生心理变化轨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6、智能方案：要求支持学生完成智能评估，生成训练方案。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7、要求管理端须具备一生一策功能，至少包含基本信息、扩展信息、评估记录、预约申请记录、咨询记录、成长树等信息。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8、测评任务：要求支持自定义设置测评计划、查询测评参评率、查看测评档案等，支持自定义添加量表，测评结束后根据测评档案可进行心理评估，支持附件上传、类型选择判断。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8.1添加测评计划：要求支持设置计划名称、起止时间、知情同意书等内容，支持设置量表别名、是否允许学生查看报告，支持账号、性别、入学年份等条件定义测试范围，支持启用和禁用测评计划，支持选择测评条件，如“无条件”、“按学号筛选”、“按条件筛选”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8.2要求系统支持对测评计划进行禁用、查看、统计、预警筛查、综合筛查、数据导入等操作，统计内容包含如团体报告、测评参评率、参与测评人员统计等。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8.3测评档案：要求支持根据测评计划、量表等查询测评档案，支持批量导出测评档案、答题记录，因子得分、个体测评报告等内容，支持重新计算。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量表设置：要求支持量表管理，支持添加、编辑、导入量表，支持自主添加测评量表，可自主管理量表名称、题目、基本题型、问题设置、因子设置、跳转规则等，支持反向计分设置及计分权重系数设置，发布前可预览量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10、心理评估管理：支持根据学号、姓名、评估类型等查询记录，支持查看、修改记录。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10.1要求操作显示记录添加、最后修改等相关信息，可显示记录添加时间，提示“已超过7天，不允许修改”等信息。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10.2要求支持添加心理评估，提供如“测评评估”、“复学评估”、“缓考评估”等不少于6项心理评估类型，支持选择评估时间，填写评估内容，上传附件。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等级异动管理：要求支持查看姓名、组织机构、变动前级别、变动后级别、本次变动来源等内容，支持添加等级异动，可根据测评结果可自动将学生心理健康水平划分为“特殊关注”、“重点关注”、“一般关注”、 “正常”四个预警等级。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12、测评预警筛查：要求支持根据测评计划、量表、因子等内容查询预警人员。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13、量表综合筛查：要求支持根据“并且”“或者”选择不同的量表进行高级筛查，且人员名单支持导出。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14、预约管理：要求至少包含预约排班管理、预约日历、预约记录等功能。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14.1预约排班管理：要求支持自定义设置咨询地点、咨询时段、可排班咨询师、排班模板等内容，支持进行预约配置管理。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14.2要求支持查看、取消、批量导出预约记录，支持删除我的预约记录。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心理咨询管理：要求支持查看、添加咨询记录及学生基本情况，逐条导出咨询记录，支持7天内咨询记录修改，记录模板符合规范化流程、专业化设置、伦理性保障，依据《中国心理学会临床与咨询心理学工作伦理守则》、《中华人民共和国精神卫生法》等伦理、法律规定，结合心理工作情境创建，符合咨询工作情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16、心情状态查询：要求支持按照姓名、当日心情等信息查询学生心情状态。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17、心理周/月报：要求支持多流程上报机制，支持异常学生上报、处理、审核，支持异常状态查询。要求平台具有责任管理机制，须进行签字处理。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18、谈心谈话：要求内置如日常访谈、定期访谈等谈心谈话模板，支持添加类型，查看和批量导出相关内容。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19、危机干预管理：要求支持添加、批量导出危机干预记录。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19.1要求支持添加危机干预记录，至少预设自杀危险性、自伤危险性、攻击危险性及危险评估结论4项内容，且根据内容可结合数字标识实时呈现预警级别，支持首要危机问题类型以及危机处理方案选择。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19.2要求危机处理方案提供如无需干预、预约咨询、通知班主任、通知家长等不少于9种方案选择。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20、危机库管理：要求支持查询、添加危机库学生，支持危机库添加学生表单配置、跟踪记录模板设置等功能。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20.1要求支持完善危机库学生信息，提供不少于2种风险类型、不少于4种来源渠道、不少于7条当前处理方式、不少于5条被诊断为精神障碍等内容。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20.2要求支持危机库出库名单一键恢复、批量删除等功能。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21、统计管理：要求至少包括如综合统计、预约情况统计、心理评估统计、咨询统计等不少于7项数据。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22、大数据统计：要求提供如四级预警人数统计、心理自助使用人次统计、登录系统（人次）、系统新增（人次）、危机库学生统计、在线咨询主题人次统计等内容。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23、要求提供活动管理、投票调查管理，支持进行添加、查看、编辑等操作，支持填写活动总结。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24、内容：要求支持管理员添加新闻信息、心理文章、音乐类别、心理课程等相关内容。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学生管理：要求支持批量导入、导出、更新、删除帐号，支持设置入学年份、学生类型等，支持对于已毕业学生档案进行归档管理，归档后学生数据将不纳入功能模块数据统计，若需恢复，可通过恢复操作一键还原所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26、用户管理：要求具有单个添加、批量导入/删除/更新/导出用户资料功能。对于未导入成功的数据，可下载错误数据文件便于及时修正后重新导入，导入成功后即时生成登录帐号、密码。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27、系统管理：要求具有系统配置、自助端装扮、管理端装扮等功能。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28、要求平台具有安全保障机制，支持管理端角色水印信息显示，且管理端账号须具备使用时效限制，批量导出须加密处理，利用技术手段保障信息安全和信息追踪。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29、智能终端：要求平台须具备智能物联技术，可将智能心理设备接入系统，实时监测接入设备的运行状态，可查看学生训练记录、支持报告下载，实现智能管理。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心理沙盘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1、个体沙箱1个：规格长度72cm*宽度57cm*高度7cm；橡木板材，内侧蓝色。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2、沙具1000件：由人物类、宗教类、死亡类、文体类、食物类、家居类、交通类、军事类、建筑类、动物类、植物类、自然物类、名胜古迹类、颜色形状类、符号及钱币类15大类组成。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3、沙具摆放架3个：高度约160cm*宽度约80cm*深度约30cm；橡木板材，9层设计。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4、细沙15KG：天然细沙、颗粒光滑、大小均匀、手感好。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5、提供至少30课时的沙盘培训微课一套，课程以双人访谈QA一对一解答的方式，分主题讲解沙盘游戏咨询的理论背景、实操技术，能让初学者迅速入门。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3D心理数字沙盘系统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1、要求系统基于U3D技术开发，依据沙盘游戏的原理，在计算机三维仿真环境下，全面记录沙游操作过程信息，具有完善的沙游作品分析功能模式。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2、要求系统具有沙盘制作和沙盘管理功能模块，支持管理员帐号可进行用户管理、沙盘管理。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3、要求系统须具备多类别沙具模型，提供如生活用品、建筑、植物、动物、人物等不少于1490件3D沙具模型，要求部分沙具模型须带有骨骼动画效果。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4、要求系统须支持对沙具进行操作，支持在沙具三维立体方向上的放大、拉伸、缩小、旋转等操作，支持对沙具进行掩埋、移动和删除操作。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5、地形设置：要求支持高度修改、绘制路径功能。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5.1高度修改：要求支持对地形进行抬升、降低、平整等操作。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5.2绘制路径：要求支持绘制如沙子、石子、青草、鲜花等不少于4种贴图路径，支持通过触控涂抹，实现地面风貌状态变换。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6、环境设置：要求支持设置环境、天气、地面等。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6.1空间环境：要求提供如“万里晴空”、“无尽宇宙”、“黄昏落日”、“寂静深夜”等不少于8种环境。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6.2天气设置：要求提供如雨、雪等不少于2种动态天气展示。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6.3地面设置：要求提供如沙子、石子、青草、鲜花等不少于4种整体地面展示设置。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系统设置：要求支持音乐、阈值、其他等设置。支持自由开启、关闭背景音乐功能，支持调节音量大小及自定义切换背景音乐曲目。支持进行阈值设置，调节移动灵敏度、旋转灵敏度、堆沙强度、挖沙强度、平整强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8、屏幕截图：要求支持将当前场景截图保存到指定目录下。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9、沙具列表：要求支持查看沙具列表及存在状态，支持点击图标定位沙具位置。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10、保存场景：要求支持自定义保存沙盘名称、选择自我像等操作。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11、要求系统须支持调整沙盘视距、居中显示、重置视角等，支持对沙盘场景进行360度环绕操控，沙盘视角支持自由拉伸。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12、沙盘管理：要求支持查看如沙盘名称、用户名称、制作时间、制作时长、沙具数量等内容，支持查看、删除沙游作品。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13、要求系统须支持查看沙游作品，支持完整记录沙游制作过程信息，全程录制沙游制作过程。要求具有数据分析和视频回放功能。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14、数据查看：要求支持操作“显示被移除沙具”、“显示被隐藏沙具”、“显示被移动沙具”等，支持查看操作统计、沙具统计。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14.1操作统计：要求支持记录沙游作品中的沙具操作、修改地形、保存场景等动作和用时。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14.2沙具统计：要求支持查看沙游作品中的沙具名称、操作类型、时间等信息。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要求系统须支持选择沙游作品观看模式，支持第一人称、第三人称两种观看模式。要求系统须提供使用第一人称视角时，支持在沙盘作品场景中移动、转换视角。要求系统须提供使用第三人称视角时，支持任意角度切换、放大、缩小等拉伸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16、要求系统须具备沙游作品视频回放功能，支持回放整个沙游制作过程。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17、要求系统须支持导出报告功能，提供包括如沙游作品基本信息、自我像、沙盘图片、沙具摆放列表、沙具寓意分析、环境寓意分析、注意事项等内容。报告支持导出为文档格式。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1、要求包含3D心理数字沙盘系统1套（预置安装）；控制台1套。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1、要求外观尺寸：1140mm*650mm*（880-1280）mm。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2、要求自动升降高度：屏幕距地高度调节范围：880mm 至1280mm。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心理咨询座椅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1+1布艺咨询座椅、实木桌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HRV身心反馈训练系统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1、系统基于HRV生物反馈技术进行研发，具备如HRV参数检测、心理评估、反馈训练、音乐放松、场景放松、训练指导、眼动训练、应激训练等不少于8个功能模块，帮助用户开展减压放松训练、缓解心理压力。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2、系统提供呼吸助手、脉搏波形等提示框。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HRV参数检测：支持采集如协调指数、压力指数、心率、血氧、脉搏波形、时域分析、频域分析等参数。时域分析提供如RR间期曲线图、散点图、HRT直方图、M-HRT、SD-HRT、M-NN、SD-NN、P-NN50、RMS-SD、M-SD、SD-SD等内容，频域分析提供如TP、VLF、LF、HF、HF-norm、LF-norm、LF/HF等参数。支持监测结束后生成报告，报告支持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4、心理评估：提供如焦虑自评量表、抑郁自评量表等不少于14款心理测评量表，支持完成测评后生成报告。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5、反馈训练：提供如“射箭冠军”、“标枪大赛”、“水墨丹青”等不少于12款训练项目，支持每款训练可选择简单、普通、困难等不同难度，支持在训练界面中查看心率、血氧、协调度等参数内容。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6、音乐放松：提供如“催眠安神”、“精力再生”、“放松减压”等不少于8个主题类型的放松音乐，支持管理模式自定义添加音乐分类、音乐文件。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7、场景放松：提供如“北国风光”、“鸟语花香”、“璀璨星空”等不少于14款放松场景。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8、训练指导：提供如“肌肉放松训练”、“冥想放松训练”、“呼吸放松训练”等不少于10种训练指导内容。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9、应激训练：提供如“火灾”、“飓风”、“地震”等不少于14种训练素材，支持全屏播放。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10、眼动训练：提供基于EMDR快速眼动训练的8步干预方案，支持眼动小球摆动速度调节、颜色更换、大小调节等。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11、训练档案管理：支持记录训练类型、记录日期、训练档案等，报告内容包含HRV监测数据。管理员可查询、查看、管理训练档案，训练档案支持导出。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13、智能椅控：支持智能匹配与手动匹配双模式，可自主选择坐姿、头罩状态、光疗、热敷、训练模式等，具备安全设置可在突发情况下紧急制动，保障用户的训练安全。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13.1系统须具备智能匹配按摩模式，可根据不同的训练内容自动匹配按摩训练状态。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13.2系统须具备手动匹配按摩模式，可自主选择悬浮位、固定位、坐姿位3个姿态，支持智能按摩、自由按摩、气压按摩3种模式，可自由打开/关闭头罩，开启光疗、热敷功能，帮助用户缓解腰背酸疼、缓解紧张、焦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1、包含HRV身心反馈训练系统1套（预置安装）；减压舱1台；指夹式生物反馈采集仪1套；训练端1台。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1、训练端尺寸：278mm×174mm×10mm。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2、减压舱竖立尺寸1460mm*830mm*1300mm，全倒尺寸1750mm*830mm*920mm。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正念虚拟现实训练系统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1、系统结合VR虚拟现实技术及正念冥想放松技术，内置八周正念训练、主题冥想、心流体验、游戏训练、测评等主题功能模块，为用户提供真实立体的沉浸式放松训练体验。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2、八周正念训练：提供如“缓解焦虑”、“精力唤醒”、“正念入门”等不少于8个主题课程，每个课程分别具有8课时训练内容。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3、主题冥想任务：提供如“调节愤怒”、“改善沟通”、“感谢自己”等不少于18个主题任务。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4、系统须具有游戏训练任务模块，进入游戏后手柄会呈现为捕捉枪的虚拟样式，移动手柄可改变指向方向，支持通过手柄操纵进行训练。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5、心流体验：提供如“静谧之境”、“幻海鲸歌”、“星海草原”、“独学角落”等不少于4款任务模块，并具有相应课程介绍。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6、测评：提供如“情绪稳定性”、“综合心理健康评估”、“自我和谐测试”等不少于7款评估量表。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1、包含正念虚拟现实训练系统1套（预置安装）；VR头显1个。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1、头显尺寸: 265mm*195mm*130mm。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VR动感单车身心调适系统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采用VR技术，为训练者构建高沉浸度的虚拟现实心理训练，通过与虚拟场景身临其境的交互，结合动感单车运动调适方法，实时监测采集训练者的生物反馈数据，配合场景、游戏、音乐等形式来对训练者进行减压训练，系统须由训练端和管理端两部分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用户可在训练端自由注册信息，注册成功后即可进行训练，要求训练端至少具备训练指导、智能训练、自助训练、互动训练、档案中心等功能，可以充分满足用户各项训练需求，帮助用户科学宣泄心理压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3、状态监测：要求支持查看当前脉搏、轴向、速度、服务器连接状态等信息。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4、训练指导：要求提供设备使用、运动安全、身心调节等多种指导教程。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5、智能训练：要求提供不少于10道智能评估选择题，答题结束后自动显示评估结果，评估结果包含如指导语、训练场景、训练时长、训练音乐等内容。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6、方案记录：要求系统支持记录历次的智能训练、自助训练记录，包含如记录时间、训练场景、训练时间、训练音乐等内容，支持训练者选取训练方案再次进行训练。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7、自助训练：要求提供如“森林骑行”、“雪地骑行”、“沙滩骑行”等不少于11款训练场景，提供如“动感系列”、“古典系列”、“轻柔系列”等多个系列共不少于20首训练音乐，支持自定义训练时长。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互动训练：要求系统支持单人训练、团体训练，要求系统预置团体训练模式功能，在具有多台VR动感单车身心调适系统设备情况下，支持扩展为多人团体训练模式，团体训练模式下可支持多个训练端在同一局域网中同时在同一个训练游戏中进行团体竞技协同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8.1单人训练：要求提供如“极速摩托”、“坦克战争”、“急速逃生”等不少于6款单人训练游戏。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8.2团体训练：要求提供如“卡通跑酷”、“赛马”等不少于2款团体训练游戏，支持单人或团体进行训练。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9、系统须具有脉搏参数采集传感器，芯片采集设备预置单车车把中，支持采集用户脉搏参数。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10、要求系统支持训练过程中，实时监测训练者脉搏生物反馈指标，并在训练场景中显示脉搏数据、骑行速度、骑行距离、训练时间等。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11、档案中心：要求支持查看、导出、删除训练档案，档案内容包括个人信息和训练信息。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12、系统具有角度方向和运动速度传感器，支持检测训练者的骑行速度和方向角度。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13、要求系统须同时具有VR模式和PC模式两种训练模式，VR模式下支持训练者佩戴VR头显进行心理训练，训练过程中，训练画面可实现头显、屏幕同步显示。PC模式下支持通过观看屏幕进行心理训练。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1、要求包含VR动感单车身心调适系统1套（预置安装）；动感单车1部；VR头显1个；控制台1套。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1、要求单车尺寸：1145mm*530mm*1095mm。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2、要求头显尺寸：192mm*281mm*124mm。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多维积极心理提升系统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 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积极心理学、经典情绪宣泄等理论，内置心理扫描、训练方案、自助调节、自由训练、数据中心、个人中心等6大功能模块，以心理扫描到训练再到评估的整体化流程优势，提升个体的积极心理素养，通过多维度的方式帮助用户发展积极心态、改善情绪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2、心理扫描：首次扫描可点击“开始扫描”完成测试，之后将显示“重新扫描”。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 心理扫描功能须具备60道单选测试题目，完成后自动生成详细的心理扫描报告，并在主界面通过心理画像展示如“情绪反应、人际关系、压力反应、积极心态、生活质量”等5大方向得分情况。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心理扫描报告包含如5大方向得分情况分布、5大方向组成维度说明、12子维度得分情况说明、辅导建议等内容。心理扫描报告包含如“抑郁情绪，焦虑情绪，愤怒情绪，团队协作，社交恐惧，人际交往，睡眠质量，精力水平，生理反应，自尊自信，积极乐观，生活质量”等12个子维度得分情况说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3、训练方案：根据心理扫描结果的12个子维度具体得分情况，自动生成定制化训练方案。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4、训练方案须具有完整训练流程，包含自我评估、心理训练、情绪引导、测后评估四大训练模块，按照前测评估→游戏训练→放松指导→后测评估的流程进行训练。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5、自助调节：提供如心理游戏、心理评估、音乐放松、放松指导、心理阅读、主题方案等不少于6类子功能模块。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6、心理游戏：提供如“表情包大碰撞”、“叠叠高”、“击打小球”等不少于11款训练游戏，通过击打控制的游戏不少于4款，通过呐喊控制的游戏不少于2款，通过屏幕触控操作的游戏不少于5款。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7、心理评估：提供如“90项症状清单”等不少于8个量表，系统自动记录测评结果，并生成测评报告。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8、音乐放松：提供如“白噪音”、“减压助眠”、“经典音乐”等不少于8种音乐类型，多种放松音乐。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9、放松指导：提供如“改善焦虑”、“感谢自己”、“进化身心”等不少于8款放松指导。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10、心理阅读：提供如“人际交往”、 “如何和领导沟通”、“如何消除焦虑”等不少于16篇心理阅读文章。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11、主题方案：提供如“抑郁情绪”、“焦虑情绪”、“团队协作”等不少于12款自助调节主题。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12、自由训练：提供如“朝气蓬勃”、“璀璨夜空”、“神秘海底”、“雨中荷叶”等不少于4大主题，进入主题后显示主题介绍，提供自由选择击打、呐喊模式。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13、数据中心：提供如综合报告、心理扫描、心理评估三大子模块，普通账号可查看本账号内本月／本年训练次数、近3次心理扫描情况对比、心理扫描详细报告。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14、个人中心：提供如账号、密码、姓名、性别、出生日期、组织机构等不少于6项内容，支持用户自主修改，管理账号可对所有用户账号的个人信息及密码进行修改。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系统须通过高灵敏度无线加速度传感器以及高灵敏度麦克风，精准采集训练者击打力度或呐喊声音分贝值和持续时间来进行互动训练。采用移动式击打靶设计，击打舒适安全，击打靶须内置高灵敏无线加速度传感器，通过接收器自动将力度模拟信号转为数字信号，传输到系统进行阈值分级分析后，予以互动式反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16、系统设置：提供击打阈值设置功能，支持设置击打检测阈值范围。提供呐喊阈值设置功能，支持设置呐喊检测阈值范围。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1、包含多维积极心理提升系统1套（预置安装）；控制台1套；移动式击打靶1个；无线加速度传感器1套。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1、控制台尺寸：1573mm*992mm ,底座750mm*550mm。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微笑打卡系统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1、基于积极心理学、镜像神经元理论，通过微笑加强正向心理暗示，引导用户无意识模仿微笑，不仅能短期改善氛围，更可系统性提升组织韧性，提升个人的自我效能感。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2、要求支持打卡端、展示端双屏展示，支持打卡端打卡后自动上传至展示端展示。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3、打卡端支持照片轮播功能，支持点赞及查看各照片微笑指数。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4、开始打卡：要求支持用户打卡拍照，提供文字及语音鼓励引导。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5、要求打卡拍照完成后自动生成微笑指数，支持用户选择重新拍照、保存上传。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6、微笑指数为0时，无法上传照片，提醒用户重新拍照。支持选择保存上传后自动生成照片编号，展示相似笑容，并在展示端突出显示本次打卡照片。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7、打卡记录：要求支持用户查看过往微笑打卡记录，提供如打卡时间、微笑指数、获赞数量等数据排序，支持进行点赞支持操作。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微笑科普：要求提供如“积极心境大揭秘”、“微笑只是一种保护色”、“情绪驾驭术”等不少于16篇图文类文章，提供如“揭开情绪面纱”、“当我们谈到焦虑”等不少于16篇微笑视听，提供如“超能力面试”、“便衣”等不少于15个会心一笑音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9、要求展示端支持展示不少于4种3D动效，如球形矩阵（照片以球体旋转形式呈现）、矩形（照片墙布局）、放射形扩散（照片冲中心向外扩散展开）、多轴旋转（照片沿多轴线缠绕展示）等。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10、支持选择显示打卡范围，自定义展示周期，如“24小时内”、“3天内”、“7天内”等。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11、要求提供记录清理，支持查看系统保存的最早记录日期，支持清理特定日期之前全部打卡记录。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虚拟现实心理训练系统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1、系统采用U3D虚拟现实技术开发，要求包含应激训练、场景放松、心理训练、训练指导、音乐放松、心理视频、心理评估、参数监测、眼动训练、档案管理等不少于10个功能模块。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系统支持采集训练者的生理指标参数，包含如心率、血氧、协调度、放松度、压力指数、M-HRT、SD-HRT、M-NN、SD-NN、P-NN50、RMS-SD、M-SD、SD-SD、TP、VLF、LF、HF、HF-norm、LF-norm、LF/HF等生物反馈参数，支持用户通过佩戴虚拟现实头显查看脉搏、血氧等生理指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3、要求系统支持用户完成HRV参数检测后，生成报告，并根据用户得分情况推荐相应训练项目。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4、要求系统可通过训练舱自带操作手柄与虚拟现实训练场景进行交互训练。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#5、心理训练：要求提供如“过山车”、“大摆锤”、“记忆排雷”等不少于17款训练项目。（提供系统功能截图加盖投标人公章）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6、场景放松：要求提供如“山高人为峰”、“生命星球”、“绽放自我”等不少于10款训练项目。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7、训练指导：要求提供如“冥想放松”、“呼吸放松”、“感谢自己”等不少于8种训练指导主题。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8、音乐放松：要求支持用户选择音乐，支持播放、暂停、调节音量、上一首、下一首选择等操作。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9、心理视频：要求提供如“从自卑情节中跳脱出来”、“别让表情泄露你的心思——情绪的外部表现”、“打造心理资本实现心理增值”等不少于49个视频，支持对视频进行播放、暂停、调整音量等操作。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10、应激训练：要求提供如火灾、飓风、地震、雷雨等不少于14种训练项目。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11、眼动训练：要求提供基于EMDR眼动脱敏技术的8步干预方案，支持进行眼动小球摆动速度调节、颜色更换、大小调节等。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12、心理评估：要求提供不少于14款心理测评量表。测评结束后生成测评报告，并根据用户得分情况推荐相应训练项目。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13、档案管理：要求支持训练结束后生成训练报告，报告内容包含HRV监测数据。管理员可查询、查看、管理训练档案，训练档案支持导出。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14、动作配置：要求支持对训练舱进行限位调节，支持上、下、左、右、前、后等6个方向角度进行调节，用户可根据场地大小、训练强度调节训练舱。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1、要求包含虚拟现实心理训练系统1套（预置安装）；VR头显1个；指夹式生物反馈采集仪1个；训练舱1套；控制台1套。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1、要求训练舱尺寸：800mm*900mm*1800mm。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2、要求头显尺寸：约281mm*192mm*124.5mm。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心理自助系统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自助、助人、互助的心理健康理念开发，具备如心理科普、自助方案、心理悦读、健康医典、能力训练、心理视频、放松减压、心理图库、心理测评、心理树洞、中心介绍、心理互动、咨询辅导、迎宾宣传等不少于14个功能模块，助力心理科普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2、系统具有心理自助及迎宾宣传两类功能，支持一键切换。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3、系统由前台和管理后台两部分组成，支持在系统接入局域网情况下，可远程进入管理后台。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4、分页功能：系统前台导航页面支持多屏分页显示栏目，支持通过管理后台设置栏目。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5、管理后台支持将文章、视频等内容设置“是否推荐到前端导航页”功能，设置为推荐到前端导航页的内容，将在前台导航分屏页面中进行显示。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6、管理后台支持自主添加、管理一级和二级栏目，内置文章模板、音乐模板、视频模板等多种栏目内容模板，支持设置一级和二级栏目的名称、图标、排序、每页显示数量等。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7、心理科普：提供如心理学家、心理学名词、心理学分类等不少于6类二级栏目，提供如“感觉”、“罗森塔尔实验”等不少于52篇文章。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8、自助方案：提供如学习工作、人际交往、压力应对等不少于10类二级栏目，提供如“关于拖延症”、“公开演讲发言紧张怎么办”等不少于71篇文章。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9、心理悦读：提供如“如何与朋友相处”、“人际交往五项原则”等不少于7篇文章。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10、健康医典：提供如“抑郁症”、“焦虑症”等不少于16篇文章。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11、能力训练：提供如“财务专家”、“点点骰子”、“记忆矩阵”、等不少于14个能力训练。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12、心理视频：提供如科普动画、心理课堂、放松训练等不少于5类二级栏目，提供如“朗心公益课：第一课《认识自己》”、“呼吸放松训练”、“抑郁症”等不少于22节视频。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13、放松减压：提供如减压音乐、钢琴名曲、催眠音乐等不少于3类二级栏目，提供不少于28首音乐。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14、心理图库：提供如三维立体图、错觉图片、双关图形等不少于9类二级栏目，提供不少于92张图。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15、心理测评：提供如90项症状清单（SCL-90）、抑郁自评量表（SDS）、焦虑自评量表（SAS）等不少于14个量表，测评后生成测评结果，支持在管理后台查询测评结果。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16、心理树洞：支持用户添加留言，支持自定义头像、昵称、表情，支持留言在管理后台审核通过后，在前台心理树洞栏目显示。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17、咨询辅导：系统提供咨询辅导功能，支持用户填写并提交姓名、编号、手机、邮箱、希望咨询的问题等。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18、心理互动：提供新闻速递栏目，提供不少于7篇文章。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19、中心介绍：提供如咨询师介绍、工作文档等不少于2类二级栏目。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20、迎宾宣传：系统提供如迎宾、启迪、智库、实践等不少于4类栏目。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1、包含心理自助系统1套（预置安装）；控制台1套。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1、外观尺寸：1259mm*550mm,底座500mm*700mm。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AI心理对话舱系统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一、功能描述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1、系统基于“AI+”技术及积极心理学理论设计，实现多角色语音聊天陪伴，旨在以人机互动的高粘性交互方式，帮助用户更好地理解自己的情绪，探索内心困扰，并提供解决策略。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2、要求包含用户端和管理端，用户端具备智慧对话角、心语测量仪、悦心发现阁等至少3种功能模块，管理端具备AI对话预警、用户画像、用户管理、系统设置、大数据中心等至少5种功能模块。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3、智慧对话角：要求提供如陪伴精灵、爸爸、妈妈、朋友等不少于4种AI角色，支持与用户进行语音对话。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4、心语测量仪：要求系统根据用户语音对话，智能推荐评估量表，要求内置如“焦虑自评量表”、“抑郁自评量表”等不少于14个评估量表。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5、悦心发现阁：要求提供如课程推荐、文章精选、游戏天地、音乐中心等不少于4个主题模块。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5.1课程推荐：要求包含心理知识、生涯教育、减压训练等至少3个主题模块，提供“拒绝情绪化进食”、“最近焦虑了、你别害怕！”、“如何培养职业兴趣”等不少于114节课程。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5.2文章精选：要求包含心理科普、情绪管理、个人成长等至少三个主题模块，提供“神经衰弱”、“情绪是什么？”、“如何面对成长中的痛苦”等不少于57篇文章。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5.3游戏天地：要求提供如“图型拼贴”、 “财务专家”、“理清线条”等不少于12款游戏训练。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5.4音乐中心：要求包含催眠音乐、放松音乐、精力恢复等至少3个主题模块，提供不少于76首音乐。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6、AI对话预警：要求系统可根据用户对话内容，提供三级预警等级。要求系统支持根据等级、状态、组织机构等进行查询，支持导出预警人员名单。要求系统支持根据用户的预警信息生成AI建议。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7、用户画像：要求系统可根据用户端使用情况，自动生成用户画像，用户详情包括系统登录次数、AI对话次数、风险预警次数、心理评测次数、测评报告、对话记录等至少6类数据。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8、用户管理：要求支持单个添加、批量导入用户信息。支持对用户信息进行查看、删除。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9、大数据中心：要求提供大数据可视化中心，包含系统使用人次统计、AI预警情况统计、常见心理问题分布、本月系统新增、总登录系统人次等至少7类数据。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10、系统设置：要求支持用户手机号注册、登录。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1、要求包含AI心理对话舱系统1套（预置安装）；对话舱1台；控制台1套；升降椅1把。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1、要求外观尺寸：1200mm*1000mm*2350mm。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心理能量加油站系统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1、系统基于游戏化学习、行为主义等理论，结合盲盒元素研发，内置如即刻挑战、同心共绘、心理充能等3大功能模块，用户可通过参与一系列心理挑战，获得抽取盲盒的机会，以趣味互动的方式提升心理素养。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2、即刻挑战：提供如守护边界、心灵探析、不合理信念终结者等不少于15款心理挑战游戏。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2.1支持随机分配心理挑战游戏，每个心理挑战游戏均不少于3个挑战关卡。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2.2支持用户挑战成功后选择继续闯关或抽取盲盒，若选择继续闯关，后续挑战失败，盲盒抽取机会清零。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2.3具备挑战操作演示、挑战规则、挑战目的等内容。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3、同心共绘：每个主题提供不少于25个画块，支持用户自由选择画块进行涂色。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4、心理充能：提供如小视听、答案之书、心理学那点事、心理学小工具等不少于4个功能模块。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4.1小视听：提供如“依恋类型与亲密关系”、“心理学研究中的伦理规范”等不少于25种科普视频。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4.2答案之书：提供引导语并在15秒内生成一张答案卡片。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4.3心理学那点事：提供如心理科普、心理学家的故事、生活中的心理学、有趣的心理学实验等不少于4个主题，提供不少于96篇文章。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4.4心理学小工具：提供如“感恩日记”、“时间管理矩阵”、“个人SWOT分析表”等不少于6款心理学工具，支持用户扫描二维码下载工具内容。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4.5彩蛋掉落：系统支持在使用过程中随机触发心理知识挑战，获取抽取盲盒机会。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5、盲盒展示：可查看产品内的盲盒奖励，同时以弹幕形式，展示盲盒奖励获取名单。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后台管理中心：提供如盲盒数据统计、盲盒增补、消息提醒、盲盒掉落记录、盲盒增补记录、历史记录、功能配置、系统设置等不少于8种后台功能。盲盒数据统计：支持对本周用户即刻挑战盲盒掉落数量、彩蛋盲盒掉落数量、即刻挑战参与量等不少于3种数据进行统计，支持统计日、周、月盲盒掉落数量。功能配置：支持管理员设置即刻挑战每日参与数量限制，心理充能小彩蛋盲盒掉落机制。（提供系统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1、包含心理能量加油站系统1套（预置安装）；盲盒包装500个；礼品200个；控制台1套。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1、外观尺寸：1700mm*850mm*890mm。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2、盲盒尺寸：80mm*80mm*85mm。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情绪识别训练提升系统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1、系统基于情绪心理学相关理论、自助成长的理念，结合面部情绪识别技术，系统具有情绪识别小屋、积极训练中心、趣味体验场、个人小屋、档案信箱、心情日记等功能。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2、面部登录：支持用户注册并绑定人脸信息后，后续登录可通过面部识别进入。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情绪识别小屋：提供快速情绪识别和多维情绪检测。快速情绪识别：支持通过30s面部扫描快速了解用户当下情绪状态，并生成报告；多维情绪检测：包含面部情绪识别、图形情绪感知、自我评估三个阶段检测，支持生成报告，报告内容包含如多维情绪检测得分、情绪积极指数分析、情绪稳定性指数分析、情绪弹性指数分析等。（提供系统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4、积极训练中心：提供如心理体验、心理文章、心理课程等功能模块。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4.1心理体验：提供如“绘制生命树”、“感恩留声”等不少于7款体验游戏。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4.2心理文章功能：提供如“情绪是什么”“如何避免情绪化？”等不少于30篇文章。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4.3心理课程：提供如“原来真的可以气出胃病”“拒绝情绪化进食”等不少于30节课程。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5、趣味体验场：提供如“奔跑的方块”、“印章糖”、“小羊回家”等不少于20款游戏。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6、档案信箱：包含快速情绪识别、多维情绪检测报告。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7、心情日记：支持用户选择情绪状态、产生原因。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8、个人小屋：包含基本信息、面部信息、成长等级等内容。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8.1基础训练任务：支持用户通过如登录岛屿、多维情绪识别等不少于6项的任务操作，获取一定贝壳值及成长值。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8.2系统支持用户使用贝壳值，解锁积极训练中心的部分心理课程或心灵之舞的部分音乐。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9、心灵之舞：提供如“和谐轻音”、“夜航临星”、“平静之韵”等不少于32款音频。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智能物联：当用户具备心理云平台时，可通过智能物联技术与硬件设备进行互联互通，实现云端身份验证、云端数据保存、云端数据管理等功能，平台可实时监测设备的运行状态，终端可将训练报告推送至云平台，打破平台与设备间数据孤立的状态，实现数据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1、包含情绪识别训练提升系统1套（预置安装）；控制台1套。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1、外观尺寸：1718mm*748.5mm*266mm，底座尺寸：550mm*748.5mm。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心理救援自助系统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基于心理急救理论，整合经典心理危机干预方法，以全流程服务的方式，从心理评估、方案匹配、服务实施3步骤提供指导式训练方案完成心理急救，能够为经历危机事件的人提供紧急心理干预，促进其情绪平复、增强适应性恢复的产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2、游客模式：要求支持用户无需注册即可进行部分功能体验，提供如“内在安全岛”、“蝴蝶拍”、“渐进肌肉放松”等不少于3项训练内容。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急救档案：要求支持用户注册后，首次登录时建立急救档案，包含基础信息、危机信息。危机信息包含危机事件发生日期、危机事件具体类型。要求危机事件具体类型提供如“地震”、“暴力事件”、“重大考试失败”等不少于22个选项，支持多选。要求根据危机事件发生日期提供不同训练方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系统提供危机事件发生日期为1个月内的训练方案，包括紧急调节和测评后调节。紧急调节：要求提供如“画面闯入”、“胸口发紧”、“焦虑不安”等不少于3类主题调节，支持通过音视频形式进行分段式训练，训练结束后生成报告。测评后调节：要求提供快速评估和系统评估2个模块。要求快速评估支持通过如“紧张”、“害怕”、“悲伤”、“愤怒”、“无助”等不少于5项应激情绪进行评分，系统评估支持根据量表进行评估。支持评估完成后自动匹配训练方案，训练结束后生成报告。（提供系统功能截图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5、要求系统提供危机事件发生日期为1-3个月内的训练方案，包括心理测评、训练方案、“情绪自评量表”、“HRV监测”等内容，训练结束后生成报告。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HRV监测：要求支持采集训练者的生理指标参数，包含如心率、血氧、协调度、放松度、压力指数、M-HRT、SD-HRT、M-NN、SD-NN、P-NN50、RMS-SD、M-SD、SD-SD、TP、VLF、LF、HF、HF-norm、LF-norm、LF/HF等生物反馈参数，提供如RR间期曲线图、功率谱图、散点图、HRT直方图、脉搏波形图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7、要求系统提供危机事件发生日期为3个月前的训练方案，包括心理测评、训练方案、眼动训练等内容，训练结束后生成报告。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8、眼动训练：要求提供基于EMDR快速眼动训练的8步干预方案，支持眼动小球摆动速度调节、颜色更换、大小调节等。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要求系统提供如“呼吸放松”、“想象放松”、“渐进肌肉放松”等不少于8种调节方法，通过音视频的形式展现，提供如“夏雨”、“河流”、“炉火”等不少于5个主题背景白噪音，支持调节背景音量、讲师音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9.1要求训练方案基于呼吸放松法，通过视频及指导语引导用户呼吸变深变慢，刺激副交感神经，让身体处于放松状态。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9.2要求训练方案基于想象放松法，通过视频及指导语应用想象放松法动态地将闯入性画面从彩色变为黑白最后完全消失，危机场景中出现的声音越来越小直至消失，在想象中自我暗示减轻闯入性画面对用户身心的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9.3要求训练方案基于渐进肌肉放松技术，通过视频及指导语引导用户进行简单肌肉训练，帮助用户释放肌肉的紧张感，使肌肉从紧张转而放松。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9.4要求训练方案基于内在安全岛技术，通过视频及指导语运用想象法改善用户情绪，帮助用户找寻内在安全地，从而缓解用户紧张、焦虑、不安的情绪。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9.5要求训练方案基于积极想象技术，通过视频及指导语引导用户在自我的积极引导下与无意识进行接触，促使其自主性努力将自己的意图送往意识。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9.6要求训练方案基于正念呼吸技术，通过视频及指导语引导用户活在当下，改变用户对过去的回忆或对将来的消极幻想，通过正念呼吸训练帮助用户专注心灵、觉知呼吸，增加正向情绪。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9.7要求训练方案基于心理着陆技术，通过视频及指导语将用户的注意力从内在的思考转向外部世界，从而减轻其内在紧张性想法带来的焦虑和不安全感。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9.8要求训练方案基于蝴蝶拍技术，通过视频及指导语模拟婴儿在母亲怀抱里被紧紧拥抱的训练，让用户身心得到深沉而实在的安慰，唤起婴幼儿时代安全感的记忆，从而降低用户紧张、恐惧的情绪。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10、档案管理：要求支持通过“画面闯入”、“胸口发紧”、“焦虑不安”等不少于7种条件类型查询，支持用户自主查看、删除、导出训练档案。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1、要求包含心理救援自助系统1套（预置安装）；指夹式生物反馈采集仪1个；控制台1套。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三、硬件配置要求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1、要求外观尺寸：1518mm*650mm*701mm。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团体活动桌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1.尺寸：≥576*576*650mm；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2.桌面：材质采用抗倍特一体成型。耐80度以上高温。防水：浸水24小时后的膨胀指数不多于0.1mm，面板四周采CNC修边，四周倒角，圆润光滑无任何毛边。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（1）.材质及形状：桌腿圆型钢管。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（2）.表面涂装：高温粉体烤漆。长时间使用也不会产生表面漆剥落现象。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（1）.材质：采用优质白色塑料+铁镀蓝锌。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（2）尺寸：≥ф32*M10*40mm。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团体活动椅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团体辅导活动箱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1、团体辅导教具箱基于群体动力学、社会学习理论等相关专业理论，通过团体活动的方式开展心理行为训练，帮助个体自我成长、促进团体凝聚力提升。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2、至少包含自我认知、环境适应、沟通交往、竞争合作、创新实践、学习管理、心灵成长、情绪管理、生命认知、生涯规划、意志责任、团队协作等12个经典活动主题，60个游戏项目，满足20个人同时使用。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3、自我认知主题至少包含价值拍卖、优点大轰炸、画“自画像”、背后留言、目标搜索5个活动项目。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4、环境适应主题至少包含寻人行动、个性名片、寻找归属、有缘相识4个活动项目。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5、沟通交往主题至少包含变形虫、我说你画、盲人旅行、最佳配图、我说你剪5个活动项目。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6、竞争合作主题至少包含有轨电车、同心杆、两人三足、七彩连环炮、摸石过河、“啄木鸟”行动6个活动项目。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7、创新实践主题至少包含遵从指导、心中的塔、传球夺秒、平面魔方、畅想拼图5个活动项目。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8、学习管理主题至少包含集思广益、管理七巧板、广告设计、于无声处、一分钟价值、管理金字塔、汉诺塔7个活动项目。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9、心灵成长主题至少包含收获“糖弹”、感恩父母、命运之牌、规则的意义、看我“走过来”5个活动项目。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10、情绪管理主题至少包含你演我猜、情绪电梯、知心人3个活动项目。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11、生命认知主题至少包含生命鱼骨、平凡的生命赞歌、口绘生命、携手穿越阴霾4个活动项目。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12、生涯规划主题至少包含生涯量量看、家族职业树、职业决策平衡单、生涯彩虹、职业大猜谜5个活动项目。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13、意志责任主题至少包含举手仪式、承担责任、手指的力量、祝福花篮、家乡的认知5个活动项目。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14、团队协作主题至少包含解开手链、蚂蚁翻叶子、能量传输、雷池取水、永字八法、巧接彩珠6个活动项目。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15、须具备2套生涯探索教具卡，至少包含兴趣、能力、价值观3项内容，其中兴趣棋1套、兴趣雷达图1张、兴趣卡不少于60张、能力卡不少于77张、价值观卡不少于44张，且采用油卡纸精致印刷。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二、产品组成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1、包含器材箱4个、60个项目的器材、活动手册1本。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史地资料室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1、规格：≥2400*600*850mm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历史图课云教学平台（完中版）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1、适用环境：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产品仅在激活、注册、微信扫一扫登录、忘记密码、在线同步、检查新版本、资源求助、在线使用帮助、修改密码时需要接入互联网。在日常登录、备课、授课中，可以不连接互联网，离线使用。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支持搜索、在线同步、重新下载课程资源、检查新版本、资源求助等常规功能。在线同步要求在开启和联网状态下，自动同步客户端和云端资源；重新下载课程资源要求在联网状态下点击后，会强行对比本地资源和云端资源，重新下载不一致的资源；检查新版本要求在联网状态下点击后检查当前客户端版本是否为最新版，若否则下载最新版进行安装；搜索功能要求输入一次关键词即可显示全部匹配结果，又可按类别显示匹配结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含系统课程、我的课程、共享课程；包含编辑、导入、播放、导出上课、新建课件包、共享课程、删除课程功能。可将课程导出为自运行的课件包，课件包支持导入到其他安装了平台的电脑中，也支持在没有安装平台但满足适用环境的机器上独立播放。可共享自己的课程，经由在线同步，分享给全平台所有用户，也可经由在线同步获得系统或其他用户共享的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包含系统地图、我的地图、共享地图；包含添加到课程包、共享、删除、导入、播放、导出上课功能。可将地图导出为自运行的地图包，地图包可在没有安装平台但满足适用环境的机器上独立播放。可共享自己的地图，经由在线同步，分享给全平台所有用户，也可经由在线同步获得其他用户共享的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平台中提供的思维导图工具支持插入主题，编辑主题，在主题中插入链接、图片、备注，可标注优先级，可在6种导图样式，20种UI样式中组合选择合适的呈现样式。可直接保存在平台相关目录下。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平台中提供的时间导图工具可编辑时间轴标题、时间轴简介、新增事件、编辑事件、删除事件；可编辑事件标题、设置事件时间、事件权重、编辑事件描述、编辑事件题图；可设置关联图例主题、关联分行主题；可直接保存在平台相应目录下。播放时可按设置的时间、权重按顺序、大小呈现事件，点击事件可呈现事件的详情描述，可按设置的图例主题显示或隐藏关联事件；分行主题时间轴播放时，主题轴可拖动调整显示顺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平台内课程播放或者打包课程单独播放，均可自动检测当下播放环境的屏幕数，若屏幕数为1，则自动在该屏幕上播放PPT+关联资源。若屏幕数大于1，则可弹出窗口供用户自由选择将课程播放到某1块屏幕上，或者某2块屏幕上。播放某系统课程，播放到关联页时自动弹出窗口打开关联的多媒体资源。若选择播放到某1块屏幕上，则自动在该屏幕上播放PPT+关联资源；若选择播放到某2块屏幕上，则一块屏幕播放ppt内容，另一块屏幕同步自动播放与之关联的资源，例如地图、图片、视频、动画等，实现双屏自动联动的播放效果；先勾选的屏幕播放PPT，后勾选的屏幕播放资源。若屏幕支持触控，则地图播放时需支持屏幕触控控制放大、缩小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平台应关联AI助手，要求平台中的每个课程、地图、导图、文字、图片、视频等资源均能通过AI搜索一键获得智能回答或深度思考、思维导图、参考资料、参考图片等资料，并能够切换使用至少三种人工智能大模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3、内容要求：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预装提供覆盖初中历史统编版教材全部内容的系统课程，总计不少于120课；配套高中历史统编教材的系统课程，总计不少于50课。系统课程要求全部关联适宜的媒体资源，部分配套有教学设计、学案、习题。系统课程可编辑为自己的课程，可在编辑课程中加入多媒体资源，并设置指定页与指定资源的关联关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2)平台预装电子历史地图资源应满足历史义务教育课程标准、普通高中历史课标，应以初、高中历史统编教材、地图册为研发依据，覆盖统编教材内容。地图应全部为原创绘制而非印刷品扫描。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3)平台预装的思维导图与时间导图应覆盖统编教材内容，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4)提供课程所需图片、视频、文档等资源；并支持从云端同步新课程、地图等最新资源；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4、系统配套统编版教学课程资源需包含：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1)初中历史统编资源：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史前时期：原始社会与中华文明的起源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第1课 远古时期的人类活动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第2课 原始农业与史前社会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中华文明的起源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夏商周时期：奴隶制王朝的更替和向封建社会的过渡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第4课 夏商西周王朝的更替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第5课 动荡变化中的春秋时期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战国时期的社会变革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第7课 百家争鸣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第8课 夏商周时期的科技与文化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秦汉时期：统一多民族封建国家的建立和巩固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秦统一中国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秦末农民大起义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第11课 西汉建立和“文景之治”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第12课 大一统王朝的巩固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东汉的兴衰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第14课 丝绸之路的开通与经营西域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第15课 秦汉时期的科技与文化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三国两晋南北朝时期：政权分立与民族交融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三国鼎立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第17课 西晋的短暂统一和北方各族的内迁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第18课 东晋南朝政治和江南地区开发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北朝政治和北方民族大交融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第20课 三国两晋南北朝时期的科技与文化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隋唐时期：繁荣与开放的时代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隋朝的统一与灭亡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唐朝建立与“贞观之治”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第3课 开元盛世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第4课 安史之乱与唐朝衰亡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第5课 隋唐时期的民族交往与交融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隋唐时期的中外文化交流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第7课 隋唐时期的科技与文化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辽宋夏金元时期：民族关系发展和社会变化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北宋的政治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辽、西夏与北宋并立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金与南宋对峙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第11课 元朝的统一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第12课 宋元时期经济的繁荣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第13课 宋元时期的对外交流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辽宋夏金元时期的科技与文化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明清时期(至鸦片战争前)：统一多民族封建国家的巩固与发展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明朝的统治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明朝的对外关系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第17课 明朝的灭亡和清朝的建立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统一多民族封建国家的巩固和发展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清朝君主专制的强化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第20课 明清时期社会经济的发展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第21课 明清时期的科技与文化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中国开始沦为半殖民地半封建社会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鸦片战争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第二次鸦片战争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太平天国运动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近代化的早期探索与民族危机的加剧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第4课 洋务运动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第5课 甲午中日战争与列强瓜分中国狂潮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第6课 戊戌变法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第7课 八国联军侵华与《辛丑条约》签订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资产阶级民主革命与中华民国的建立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革命先行者孙中山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辛亥革命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中华民国的创建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第11课 北洋政府的统治与军阀割据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新民主主义革命的开始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第12课 新文化运动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五四运动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中国共产党诞生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从国共合作到国共对立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北伐战争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毛泽东开辟井冈山道路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第17课 中国工农红军长征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中华民族的抗日战争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从九一八事变到西安事变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第19课 七七事变与全民族抗战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第20课 正面战场的抗战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第21课 敌后战场的抗战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第22课 抗日战争的胜利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第23课 内战爆发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第24课 人民解放战争的胜利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第八单元 近代经济、社会生活与教育文化事业的发展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第25课 经济和社会生活的变化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中华人民共和国的成立和巩固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中华人民共和国成立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抗美援朝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土地改革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社会主义制度的建立与社会主义建设的探索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第4课 工业化的起步和人民代表大会制度的确立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第5课 三大改造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艰辛探索与建设成就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中国特色社会主义道路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第7课 伟大的历史转折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经济体制改革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对外开放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建设中国特色社会主义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第11课 为实现中国梦而努力奋斗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民族团结与祖国统一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第12课 民族大团结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香港和澳门回归祖国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海峡两岸的交往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国防建设与外交成就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钢铁长城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独立自主的和平外交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第17课 外交事业的发展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科技文化与社会生活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科技文化成就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古代亚非文明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古代埃及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古代两河流域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古代印度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古代欧洲文明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第4课 希腊城邦和亚历山大帝国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第5课 罗马城邦和罗马帝国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希腊罗马古典文化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封建时代的欧洲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第7课 基督教的兴起和法兰克王国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西欧庄园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第9课 中世纪城市和大学的兴起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第10课 拜占庭帝国和《查士丁尼法典》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封建时代的亚洲国家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第11课 古代日本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第12课 阿拉伯帝国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走向近代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西欧经济和社会的发展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第14课 文艺复兴运动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探寻新航路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第16课 早期殖民掠夺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资本主义制度的初步确立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第17课 君主立宪制的英国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美国的独立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法国大革命和拿破仑帝国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工业革命和国际共产主义运动的兴起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第20课 第一次工业革命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殖民地人民的反抗与资本主义制度的扩展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殖民地人民的反抗斗争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俄国的改革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第3课 美国内战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第4课 日本明治维新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第二次工业革命和近代科学文化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第5课 第二次工业革命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第6课 工业化国家的社会变化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第7课 近代科学与文化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第一次世界大战和战后初期的世界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第一次世界大战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列宁与十月革命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第10课 《凡尔赛条约》和《九国公约》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第11课 苏联的社会主义建设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第12课 亚非拉民族民主运动的高涨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经济大危机和第二次世界大战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罗斯福新政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第14课 法西斯国家的侵略扩张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第15课 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二战后的世界变化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冷战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第17课 二战后资本主义的新变化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社会主义的发展与挫折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亚非拉国家的新发展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走向和平发展的世界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第20课 联合国与世界贸易组织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第21课 冷战后的世界格局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2)高中历史统编资源：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从中华文明起源到秦汉统一多民族封建国家的建立与巩固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中华文明的起源与早期国家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第2课 诸侯纷争与变法运动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第3课 秦统一多民族封建国家的建立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第4课 西汉与东汉——统一多民族封建国家的巩固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三国两晋南北朝的民族交融与隋唐统一多民族封建国家的发展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第5课 三国两晋南北朝的政权更迭与民族交融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第6课 从隋唐盛世到五代十国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第7课 隋唐制度的变化与创新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第8课 三国至隋唐的文化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辽宋夏金多民族政权的并立与元朝的统一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第9课 两宋的政治和军事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辽夏金元的统治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第11课 辽宋夏金元的经济、社会与文化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明清中国版图的奠定与面临的挑战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第12课 从明朝建立到清军入关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第13课 清朝前中期的鼎盛与危机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明至清中叶的经济与文化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晚清时期的内忧外患与救亡图存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两次鸦片战争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国家出路的探索与列强侵略的加剧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第17课 挽救民族危亡的斗争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辛亥革命与中华民国的建立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辛亥革命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北洋军阀统治时期的政治、经济与文化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中国共产党成立与新民主主义革命兴起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第20课 五四运动与中国共产党的诞生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第21课 南京国民政府的统治和中国共产党开辟革命新道路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第八单元 中华民族的抗日战争和人民解放战争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第22课 从局部抗战到全国抗战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第23课 全民族浴血奋战与抗日战争的胜利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第24课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第九单元 中华人民共和国成立和社会主义革命与建设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第25课 中华人民共和国成立和向社会主义的过渡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第26课 社会主义建设在探索中曲折发展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第十单元 改革开放和社会主义现代化建设新时期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第27课 中国特色社会主义的开创与发展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第28课 改革开放和社会主义现代化建设的巨大成就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第十一单元 中国特色社会主义新时代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第29课 中国特色社会主义进入新时代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第30课 新时代中国特色社会主义的伟大成就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古代文明的产生与发展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第1课 文明的产生与早期发展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第2课 古代世界的帝国与文明的交流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中古时期的世界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第3课 中古时期的欧洲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第4课 中古时期的亚洲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第5课 古代非洲与美洲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走向整体的世界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第6课 全球航路的开辟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第7课 全球联系的初步建立与世界格局的演变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资本主义制度的确立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欧洲的思想解放运动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第9课 资产阶级革命与资本主义制度的确立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工业革命与马克思主义的诞生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第10课 影响世界的工业革命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第11课 马克思主义的诞生与传播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世界殖民体系与亚非拉民族独立运动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第12课 资本主义世界殖民体系的形成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第13课 亚非拉民族独立运动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两次世界大战、十月革命与国际秩序的演变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第14课 第一次世界大战与战后国际秩序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第15课 十月革命的胜利与苏联的社会主义实践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第16课 亚非拉民族民主运动的高涨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第17课 第二次世界大战与战后国际秩序的形成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第八单元 20世纪下半叶世界的新变化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第18课 冷战与国际格局的演变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第19课 资本主义国家的新变化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第20课 社会主义国家的发展与变化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第21课 世界殖民体系的瓦解与新兴国家的发展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第九单元 当代世界发展的特点与主要趋势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第22课 世界多极化与经济全球化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历史活动墙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 规格与构成：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背景板不小于，1.22m×3.6m；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时间轴，提供背景板长度不小于3.6m的磁条不少于5条；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历史板，不小于210mm×297mm  数量不少于180个；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历史板收纳箱不少于9个；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收纳架，规格不小于：118*80*37cm，竹质，数量不少于2个；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配件收纳盒；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水性笔不少于2套  板擦不少于2个；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时间数字不少于20套；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时间轴点不少于20个；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历史活动墙使用手册不少于1本。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 适用于日常教学、学生活动以及学生作品如历史简报等展示；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 能够灵活呈现历史现象、历史事件的时间与空间变化情况；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可根据需求变换主题：历史板可在背景板上任意粘贴组合，背景板可用水性笔自由绘制，便于开展各种主题的教学活动、学生室内社会实践活动以及学生作品展示活动；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历史板上有二维码，拓展呈现内容。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历史板资源至少包括：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1）中国史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古代史：三公九卿，中朝预政，三省六部，二府三司，中书省，丝绸之路，隋朝大运河，京杭大运河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近代史：鸦片战争，第二次鸦片战争，太平天国运动，洋务运动，左宗棠收复新疆，甲午战争，戊戌变法，清末新政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现代史：第一届中国人民政治协商会议召开，中华人民共和国成立，抗美援朝，土地改革运动，和平共处五项原则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2）世界史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古代史：农业革命，两河流域文明，古埃及文明，古印度文明，早期佛教，爱琴文明，古希腊城邦，梭伦改革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近代史：文艺复兴，新航路开辟，三角贸易，海上马车夫，宗教改革，英国资产阶级革命，艾萨克•牛顿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现代史：第一次世界大战，十月革命，凡尔赛-华盛顿体系，苏俄新经济政策，斯大林模式，罗斯福新政，第二次世界大战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历史丝绸之路互动终端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一、系统特点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1.专题软件，软件系统介绍我国海上丝绸之路的发展历程。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2.系统包含地图、图表、知识、探究、分析、视频、图片、语音讲解、参考资料、互动游戏等，既可以用于历史学科的从秦汉到明清海上丝绸之路的通史教学，也覆盖了政治学科的实事专题。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支持热区图、文、视频查看和语音辅助讲解，图形化表达相关知识内容；按需互动点击，可自主浏览，可深入讲解，多人合作探究及个性定制内容；画笔和板书功能便于教学，生成的板书与笔记可及时保存，形成自己的学习笔记和教学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二、内容要求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1.解密海上丝绸之路的历史教学系统至少包含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三大篇章：《追根·溯源》、《互联·互通》、《复兴·共荣》；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大模块：“丝绸的历史”、“丝绸之路的由来”、“海上丝绸之路”、“古代丝路精神”、“秦汉——海上丝绸之路的形成时期”、“魏晋南北朝——海上丝绸之路的发展时期”、“隋唐——海上丝绸之路的繁荣时期”、“宋元——海上丝绸之路的全盛时期”、“明清——海上丝绸之路由盛转衰”、“倡议——复兴丝路、包容天下”、“智慧——合作共赢、共同繁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37个主题：例如在《互联·互通》篇章，呈现该时期海上丝绸之路全图，该时期丝绸之路的特点，以人物、事件、历史遗存为主线的丝路传奇，探究与分析。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秦朝疆域图》、《汉代丝绸之路》、《罗马帝国时代的欧亚大陆》、《南朝时中日南海航道》、《三国时期形势图》、《先秦时期中日交往路线图》、《法显求法路线图》、《唐朝中外交流》、《鉴真东渡路线图》、《宋朝海外贸易》、《元朝的中外交通》、《郑和下西洋》等专题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2.解密陆上丝绸之路的历史教学系统至少包含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包括六大篇章：《渊源·探索》《凿空·相通》《吸收·发展》《海纳·全盛》《转换·兴衰》《复兴·圆梦》；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个模块：“文明的大动脉”“丝路风韵遗存”“迷人的赛里斯”“丝路秦汉初始”“汉朝丝绸之路”“名将苦心经营”“千里河西走廊”“魏晋初步发展”“文化传播交流”“隋唐丝路全盛”“玄奘西天取经”“中西文明交融”“宋朝丝路转换”“明朝落寞衰败”“清朝对外贸易”“近代丝路衰亡”“建设全新丝路”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三、软件特点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1.可实现立体化的图片旋转墙的效果，用于展示丰富的素材图片。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2.支持地图线路点击动态播放和灵活控制显示。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3.支持热区点击，呈现图文内容和视频等，并任意拖动和放置。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4.唐朝文明交融支持翻书效果，以典型文物体现相关内容。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5.丝绸之路的遗产支持所有遗址遗迹的热区图文点击。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6.支持软件内所有内容的圈画、标注等功能。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7.软件支持课堂板书和多人同时书写，并保存板书内容。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8.软件支持地图图层叠加显示和控制、叠加地图动画的播放。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9.提供软件参考的图书、网站及相关资料，以便于拓展延伸和史料实证。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中学历史创新校本课程系统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 《古代东西方文明交流演示系统》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系统能够展古代东西方文明的交流历程。本系统主要内容有：古代社会文明的类型；东西方文明交流的交通；东西方文明的使者；中西方文明交流的成果。本系统利用历史地图的演变、视频、图片、动画等资源以及准确、巧妙的交互设计，为学生创设东西方文明交流的历史情境，展现东西方文明、中外人群之间的联系与互动，理解文化交流与传播在文明进步中的重要作用。教师可以利用本演示系统展开多种形式的教学活动，如小组讨论、学习心得展示以及基于学习内容某一点撰写历史报告等等。学生在教师的引导下学习本系统的内容，将有助于培养和提高历史学科核心素养；增强世界意识，扩大国际视野，树立爱国主义和关怀人类共同命运的观念；能够认识到中外各族人民为创造文明做出了贡献，不同文明之间要加强交流借鉴，促进共同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《法国大革命与画派展示学习系统》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系统能够展示法国大革命期间油画的作品情况，让学生从艺术史的角度学习法国大革命。本学习系统包括法国大革命期间与大革命密切相关的油画作品及其详细介绍，从直观的、具有艺术之美的油画的视角让学生学习法国大革命，从而让学生认识资产阶级革命发生、资本主义政治制度的确立以及近代西方政治思想理念初步实现的过程，理解工业革命，把握世界近代史的发展脉络。教师利用本系统资源以及友好的交互设计，能够引导学生进行自主学习，培养学生的深度学习能力，促进学生带着问题从油画的角度对法国大革命的历史进行探索，拓展其历史认识的深度和广度，从而落实历史学科核心素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《世界国家和地区疆域变迁沿革系统》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系统利用动态的世界历史地图，生动、形象、准确地展现了从古至今世界上各个国家和地区疆域变迁的情况。本系统包括：古代各个文明起源的区域变化；古代各个国家建立以及疆域变化；近代各个国家疆域变化；现代各个国家疆域变化。教师利用本系统的动态展示功能能够让学生了解世界各个国家和地区疆域变迁的情况，利用本系统的静态展示功能能够让学生探究世界各个国家和地区疆域变迁的原因、相关历史事件及其所带来的重要影响。学生通过学习本系统内容，能够掌握识读中国历史地图的能力，提高和培养时空观念的历史学科核心素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基础教育实验室建设与实验教学研究网络平台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本系统客户端适用的浏览器为IE8以上版本、谷歌、火狐等，操作系统不限，社区可实现以下主要功能应用：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门户与空间：包括学校门户、协作组空间、教师个人空间，提供历史学科网络学习空间。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2.研修应用：包括历史学科的集体备课、评课议课、课题研究、科研成果、评比竞赛等应用，为开展历史学科校本教研活动提供支持和服务。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基础应用：包括投票、问卷、问答、话题、活动、专题、视频、统计分析等应用，为历史学科的教、学、研等业务应用提供基础支撑服务。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后台管理：管理者可组织管理业务活动，掌握学校教育整体运行状况。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资源平台：生成性资源中心，业务驱动，创建本地化资源体系建设模式。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基础支撑平台：包括用户统一认证服务系统、知识管理系统、文档转换服务系统、应用接入系统、资源汇聚等系统。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云校园教研平台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一、门户与空间：构建学校门户、学科门户、班级空间、圈子空间、教师个人空间、学生个人空间、家长个人空间，实现网络学习空间人人通。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二、业务应用：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1、通过集体备课、评课议课、课题研究、科研成果、评比竞赛等研修应用，为开展校本教研活动提供全面支持和服务，促进教师专业发展；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2、通过微课、作业等教学应用，全面支持授课、作业、辅导、答疑、考试等日常教学活动，提升学生学习效率和效果；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3、通过投票、问卷、问答、话题、活动、专题、统计分析等基础应用，以及视频点播等视频应用，为教研、教学、学习等各类业务应用提供基础支撑服务；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4、通过家校交流、家长互动等家校应用，以及“帮帮会”等移动应用，拓展教师、学生和家长之间的互动渠道；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5、通过精品资源中心和各级生成性资源中心，将资源建设融入教师日常教学研活动中，建立资源共建共享和再生的可持续发展机制；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6、通过后台管理，管理者可全面组织管理各类教、学、研业务活动，纵观全局，掌握学校教育整体运行状况。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三、基础平台：通过用户统一认证服务系统、知识管理系统、文档转换服务系统、应用接入系统、资源汇聚等系统，打造完善的教育信息化平台架构。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四、服务与支持：通过组建专家团队、整合国内优质资源、创新教师培训模式、完善支持服务体系等多种途径，提供全方位、无缝隙的持续性应用推动服务。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历史学科在线测评工具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教师用户：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(1)布置训练：提供选题(系统题库选题、个人题库选题)、训练预览(设定题目分值)、选择发布位置(设置训练属性、班级/小组/圈子、选择学生)等功能。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(2)查看训练：提供训练属性、题目/答案详情、下载等功能。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在线答题：提供答题(线上作答、线下作答)、查看答案(系统判断对错、手工输入对错)等功能。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训练完成情况：提供训练完成情况(综合分析、成绩分析、题目分析、知识点分析)、综合分析(概况统计、错误排行)、成绩分析(成绩排名统计、导出结果、错题详细统计)、知识点分析(知识点错误率统计、导出结果)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(4)成绩汇总：提供成绩统计、知识点统计、导出成绩单等功能。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学生用户：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(5)在线答题：提供答题(线上作答、线下作答)、查看答案(系统判断对错、手工输入对错)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(6)查看训练：提供训练详情(训练属性、答题情况)等功能。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训练结果分析：提供训练结果分析(题目分析、知识点分析)、题目分析(概况统计、本次训练题目分析、历史错误率统计)、知识点分析(本次训练知识点分析、历史错误率统计)等功能。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错题本：提供错题记录、专题训练等功能。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(7)成绩汇总：提供成绩统计、知识点统计等功能。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家长用户：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(8)查看孩子训练：提供训练属性、答题情况等功能。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孩子训练结果分析：提供训练结果分析(题目分析、知识点分析)、题目分析(概况统计、本次训练题目分析、历史错误率统计)、知识点分析(本次训练知识点分析、历史错误率统计)等功能。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(9)成绩汇总：提供成绩统计、知识点统计等功能。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要求个人网络学习空间即可访问题库系统，并可以上传历史教师自己收集的试题、套卷，关联相关教材、知识点，并形成个人题库，汇聚为区域题库。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教师身份访问题库首页时，显示试题导航、试卷导航、最新推荐、热门推荐、优质推荐、优质榜等功能。试卷分类为单元测试卷、月考试卷、期中试卷、期末试卷、模拟预测卷、中考试卷、高考试卷、竞赛试卷。学生、家长身份访问题库首页市，显示试题导航、试卷导航、最新推荐、热门推荐、优质推荐、贡献榜、优质榜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试题题型可按当前选中学科显示该学科下题型，未选中学科时题型仅提供“单选题、多选题、填空题、判断题、其他”通用题型；试题分类包括课后练习、单元测试、月考题、期中试题、期末试题、模拟预测题、中考真题、高考真题、竞赛题；难度包括容易、较易、一般、较难、困难；教学要求包括了解、理解、掌握、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(3)试题中心：提供年级、学科、教材筛选器、试题列表、题型/分类/难度/教学要求筛选、排序等功能。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试卷中心：提供年级、学科、教材筛选器、试卷列表、分类/难度筛选、排序等功能。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(4)教师个人试题：提供上传试题、上传试卷、编辑试题、编辑试卷、试题贡献、试卷贡献、我的收藏、纠错反馈、草稿箱等功能。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(5)试题详情：提供试题内容、试题属性、试题评分、历史版本、相关知识点试题、最新试题、操作等功能。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试卷详情：提供试卷内容、发布时间、历史版本、试卷评分、相关试卷推荐、最新试卷推荐、操作等功能。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(6)后台管理：提供试题管理、试卷管理等功能，可设定筛选条件、进行试题、试卷审核操作。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(7)纠错反馈后台：收集来自用户纠错系统试题的反馈；支持excel导出。包括收集信息、处理状态等。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要求采用便携化设计，支持无外部供电的移动使用。要求支持基于眼球追踪定位的裸眼3D显示技术、基于光学定位的VR交互技术。使用户无需佩戴3D眼镜以裸眼方式即可体验到3D/XR的景深效果，满足用户以更为便捷的方式使用内置适用于教学的虚拟现实VR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一、技术要求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（1）3D显示：要求设备支持3D显示和2D显示一键切换，要求支持显示面积尺寸≤15.6英寸，要求显示分辨率≥3840*2160；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（2）裸眼3D显示：要求无需佩戴3D眼镜，仅通过裸眼方式即可观看到3D/VR的景深效果；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（3）2D/3D视频转化：要求设备支持2D视频进行3D视频的转化功能。需满足打开该功能后将普通视频转化为3D视频；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（4）眼球跟踪：要求具备可追踪眼球的多目摄像头，通过摄像头系统能准确判断人眼所在位置，从而根据眼球追踪视角的不同来转换不同视角下的显示内容，达到逼真的XR效果。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（1）要求软件可以选择各式各样的制作工具，支持3D模型制作或3D画创作；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（2）要求平台支持启动已安装的教学资源并且支持通过快速启动代码启动资源；要求平台支持显示未安装内容、可更新的内容，并且支持在线下载安装；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要求系统具备XR模块检测功能，可以通过该模块对机器的XR功能进行检测，能够读取XR硬件设备信息，并展示出XR设备的检测画面；要求系统具备教学演示功能，包含、蝴蝶的一生知识点学习、机械手臂原理学习、人类器官仿真模拟相关功能。（要求提供该功能的演示截图，并加盖投标人公章）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（4）要求系统具备物理力学实验模拟功能，要求支持对模拟实验的结果进行自动数据统计，并反馈结果。（要求提供该功能的演示截图，并加盖投标人公章）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（5）要求支持登录在线平台后拥有进入个人空间，支持在个人空间发布文章、上传图片和资源；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（6）要求进入一个协作组后，支持在协作组发布文章、上传图片和资源；要求支持进入活动页面，可参与一个教研专题活动，并进行评论互动；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（7）要求可支持进入某一个课题研究内容，包括查看课题介绍，负责人，参与者，开题模块、中期模块、结题模块，并支持自定义一个模块.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光学定位交互器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要求借助光学定位系统和触控笔，支持对屏幕上显示的虚拟物体进行交互操作，具备以下特点：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1.要求能够对VR对象进行3个自由度坐标轴移动及3个自由度坐标轴的转动；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2.要求光学定位器与主机之间采用有线方式连接，采用红外相机对交互笔进行空间定位；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3.要求在交互笔与主机之间采用有线方式连接，且具有3个功能按键来实现对象选择、旋转、缩放等操作；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4.交互笔内置震动器，可以通过震动的方式回馈用户的操作；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AR增强现实软件系统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应提供一种方式可以与他人分享体验过程，正常情况下，仅有一人可以在显示器前看到立体3D效果，其他人只能看到重影或2D图像。本系统将使用者的体验过程投射到另一屏幕或者第二台监控器上，使用本系统可实时的显示应用、录制课程学习过程，可供以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1.点对群展示：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系统支持点对群展示方式，能够实时将操作者的虚拟现实交互场景展示至大屏幕显示设备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2.显示模式自动切换功能：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VR设备支持AR增强现实显示方式与普通显示方式手动切换；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1）当跟踪眼镜或使用者的面部出现在屏幕传感器捕捉范围内，显示方式由普通显示屏方式自动切换成3D显示方式；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2）当跟踪眼镜或使用者的面部在屏幕传感器之外，显示方式自动切换至普通显示方式。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裸眼XR便携终端配件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功能要求：配件应提供满足裸眼XR便携终端视频信号中转用途的专用设备与辅助设备，应支持将裸眼XR便携终端设备显示画面展示至小组屏；应支持AR（增强现实）展示功能，将虚拟内容与现实拍摄场景叠加融合显示。2.构成要求：AR增强现实视频摄像头×1、摄像头专用支架×1、USB扩展坞x1、无线鼠标x1、散热支架×1、HDMI线×1。3.规格要求：1）AR增强现实视频摄像头：应采用USB接口，支持即插即用，免驱动使用；应配备可连接三角架的通用固定夹，应支持与裸眼XR便携终端的配套使用，实现增强现实功能；2）摄像头专用支架：支持360°云台，脚架高度须满足15cm-27.5cm之间的调节；3）USB扩展坞：支持USB3.0接口不少于4个，支持Type-C单独供电；4）无线鼠标：支持2.4GHz无线和蓝牙双模；5）散热支架：应支持三风扇为裸眼XR便携终端提供散热，尺寸兼容裸眼XR便携终端和光学定位交互器同时使用；6）HDMI连接线：能够实现裸眼XR便携终端视频传输，线材长度不小于5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历史VR教学系统（初中版）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历史VR教学系统应按照初中历史课程标准要求，涵盖统编初中七、八、九年级历史教科书内容，软件应对3D历史地图、3D历史场景、知识结构、时间轴、实物史料、文献史料、图像史料、历史解释等历史教学素材和资源进行系统整合，软件应内包含初中七、八、九年级不少于100节课程的教学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3)软件应支持使用者以单元或课为单位进行示课。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4)软件应支持实物展示时文物的简介描述、尺寸显示、细节说明以及相应动画、视频和拓展交互；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应提供基于北京人虚拟场景的体验，可对场景中的人物或模型做移动、旋转、抓取、点击及其他相应的交互操作。通过3D观察，配合文字说明，探究北京人的体态特征、使用的石器、保存火种、利用火吃熟食等行为，了解北京人的生活面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6)软件应支持展示历史地图（包括静态地图、动画效果）以及地图中包含的时间、位置及相关知识点等内容，历史地图应支持缩放显示控制。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7)软件应支持动态历史地图的播放控制，包括播放、暂停以及通过拖动滑动条操作地图的显示控制。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8)软件应支持同一专题下多张历史地图的合成展示，支持同一张地图上切换不同知识点的地理展示。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9)软件应具备中国历史时间轴、本课时间轴。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10)软件应支持按阶段定位中国历史时间轴，并支持在时间轴上滑动查看不同历史事件的知识点。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11)软件可展示知识结构板书。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12)软件应可展示实物、文献、图像等不同类型史料，并应支持缩放显示控制。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13)软件应可展示有材料出处、知识内容的史料解读。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14)软件应可展示单元目录及课次目录两种目录。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初中版软件应按七、八、九年级内容进行划分，应分别提供各个年级的用户操作手册和教学指导手册，其中用户手册应包括系统介绍、系统要求及软件操作说明等内容；教学指导手册应包括单元或每课的资源内容说明、活动设计或教学建议等，手册内容应与软件内容一一对应，每个年级的教学指导手册要求不少于100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软件应具备“中国共产党百年历程”专题，应包含中国共产党的创建和投身大革命的洪流、掀起土地革命的风暴等模块，模块下应以图文结合的形式串联历史事件，要求提供对应历史地图、南湖红船、红军长征等虚拟场景，提供基于虚拟场景的体验，应支持移动、旋转、抓取、点击及其它相应的交互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提供具备甲午中日战争动态线路的历史地图，应支持在地图上进行缩放、播放控制等操作；地图中应包含丰岛海战、平壤战役、黄海决战、威海卫之战等内容，应支持在甲午中日战争形势图上进行任一阶段的内容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要求提供奥林匹亚神庙的虚拟场景，通过抓取、旋转、缩放等交互操作，可对奥林匹亚神庙进行360度细节观察，应支持对神庙的尺寸标注显示，可通过内外部的切换实现场景漫游，帮助体验者感受世界文明的多样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1)初中版课程依据初中统编版历史教材开发，要求包含课程专题不少于100个课程专题、141个VR主题资源和94个历史地图资源，且课程专题及资源内容需符合课标要求。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2)需提供不少于100个课程专题教学内容：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七年级上册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史前时期：中国境内人类的活动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探访北京人、发现河姆渡、部落考古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夏商周时期：早期国家的产生和发展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分封之谜、国之重器、春秋霸主、亲临都江堰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秦汉时期：统一多民族国家的建立和巩固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秦的统一、“汉家”智慧、西汉王朝、东汉生活、丝绸之路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三国两晋南北朝时期：政权分立与民族交融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魏晋风度、寻梦桃源、胡风汉家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七年级下册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隋唐时期：繁荣与开放的时代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开通大运河、大唐江山、盛唐气象、一代高僧、宰相悲歌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辽宋夏金元时期：民族关系发展和社会变化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和战智慧、南海一号、大哉乾元、宋元都市、活字印刷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明清时期：统一多民族国家的巩固与发展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学优则仕、郑和踪迹、古人智慧、志在边疆、姑苏繁华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中国开始沦为半殖民地半封建社会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鸦片战争、第二次鸦片战争、太平天国运动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近代化的早期探索与民族危机的加剧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洋务运动、甲午战争与列强瓜分中囯狂潮、戊戌变法、八国联军侵华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资产阶级民主革命与中华民国的建立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革命先行者孙中山、辛亥革命与中华民国的创建、北洋政府的统治与军阀割据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新民主主义革命的开始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新文化运动、五四运动、中国共产党诞生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从国共合作到国共对立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北伐战争、毛泽东开辟井冈山道路、中国工农红军长征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中华民族的抗日战争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从九一八事变到西安事变、七七事变与全民族抗战、正面战场的抗战和敌后战场的抗战、抗日战争的胜利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第八单元 近代经济、社会生活与教育文化事业的发展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近代经济和社会生活与教育文化事业的发展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中华人民共和国的成立和巩固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中华人民共和国成立、抗美援朝、土地改革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社会主义制度的建立与社会主义建设的探索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工业化的起步和人民代表大会制度的确立、三大改造、艰辛探索与建设成就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中国特色社会主义道路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改革开放、建设中国特色社会主义、为实现中国梦而努力奋斗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民族大团结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民族大团结、香港和澳门回归祖国、海峡两岸的交往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国防建设与外交成就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钢铁长城、外交事业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科技文化与社会生活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科技文化与社会生活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党史专题：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中国共产党的创建和投身大革命的洪流、掀起土地革命的风暴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古代亚非文明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古代埃及、古代两河流域、古代印度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古代欧洲文明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希腊城邦和亚历山大帝国、罗马城邦和罗马帝国、希腊罗马古典文化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封建时代的欧洲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基督教的兴起和法兰克王国、西欧庄园、中世纪城市和大学的兴起、拜占庭帝国和《查士丁尼法典》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封建时代的亚洲国家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古代日本、阿拉伯帝国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步入近代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西欧经济和社会的发展、文艺复兴运动、探寻新航路、早期殖民掠夺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殖民地人民的反抗与资本主义制度的扩展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殖民地人民的反抗斗争、俄国的改革、美国内战、日本明治维新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第二次工业革命和近代科学文化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第二次工业革命、工业化国家的社会变化、近代科学与文化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第一次世界大战和战后初期的世界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第一次世界大战、列宁与十月革命、《凡尔赛条约》和《九国公约》、苏联的社会主义建设、亚非拉民族民主运动的高涨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经济大危机和第二次世界大战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罗斯福新政、法西斯国家的侵略扩张、第二次世界大战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2.需提供不少于141个与课程配套的VR主题资源：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石器、摘果子的猿人、吃熟食的猿人、穴居与用火、干栏式房屋、猪纹陶钵、陶钵中的稻谷、石磨盘、骨耜、人面鱼纹彩陶盆、尖底瓶、鹳鱼石斧纹彩陶缸、克盉、克罍、司母戊鼎、越王勾践剑、吴王夫差矛、六国货币、兵马俑、冕旒冠、汉雁鱼铜灯、汉代耧车、“长乐未央”瓦当、金缕玉衣、马踏匈奴石像、马踏飞燕、东汉水排、击鼓说唱陶俑、鎏金铜蚕、甘肃嘉峪关魏晋墓碑、西晋青瓷对书俑、青瓷莲花尊、青瓷猪圈、鲜卑服武士陶俑、云冈石窟佛像、安济桥石栏板、飒露紫、鎏金舞马衔杯银壶、拳毛騧、彩绘帷帽女骑俑、马球图、三彩腾空马、大雁塔、高昌古城、葱岭、那烂陀寺、琵琶、注子与注碗、西夏铜牌、辽大明塔、契丹货币、南海一号福船、宋代瓷器、蒙古包、青花釉里红镂雕盖罐、简仪、傀儡戏纹铜镜、开宝寺塔、妇女剖鱼砖雕、北宋东京城砖、蹴鞠纹铜镜、活字印刷术、郑和宝船、《瑞应麒麟图》、《布施锡兰山佛寺碑》、《本草纲目》中的药材、金奔巴瓶、国姓瓶、将军炮、红衣大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虎门销烟原理演示、圆明园西洋楼、大水法、太平天国天王洪秀全玉玺、汉阳铁厂相册、定远舰、江南制造总局炮厂、虎头牌、水火棍、西式炮筒、《时局图》、五色旗、铁血十八星旗、北大红楼、中国早期马克思主义宣传文献、南湖红船、红军长征路线图、遵义会议、飞夺泸定桥、翻雪山、过草地、九一八事变过程示意、柳条湖段铁路爆炸纪念碑、杨靖宇印章、四行仓库、上海租界、苏州河、平型关大捷缴获日军武器、地道战、土地改革示意、淮海战役中的支前小车、南京总统府的历史变迁（清两江总督府时期、民国临时政府时期、南京国民政府时期、抗战时期、解放战争总统府时期）、民国上海街景、人民英雄纪念碑、国旗、国徽、第一批解放牌汽车、宪法、三大改造示意、东方红一号人造地球卫星、少数民族自治区3D交互、一带一路3D路线、辽宁舰、歼-20战斗机、神舟七号载人航天飞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埃及三大金字塔、尼罗河、《汉谟拉比法典》、马其顿长矛兵、罗马大竞技场、奥林匹亚神庙、雕塑《掷铁饼者》、雕塑《米罗的维纳斯》、雕塑《大卫》、雕塑《思想者》、特洛伊木马、中世纪欧洲庄园城堡、日本武士、《蒙娜丽莎》、《最后的晚餐》、《西斯廷圣母》、日本武士、莫尔斯电报、莱特飞行者一号、贝尔发明的电话、奔驰专利汽车、一战中的武器、阿芙乐尔号巡洋舰、第聂伯河水电站、亚非拉民族解放运动名人相册、二战中的坦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3.需提供不少于94个与课程配套的历史地图资源：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周初分封示意图、春秋争霸形势示意图、都江堰水利工程示意图、丝绸之路示意图、大运河、玄奘西行路线示意图、辽北宋西夏形势图、宋朝海外贸易、元朝疆域、郑和下西洋航线、 清朝疆域。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鸦片战争形势图、英国侵略香港地区示意图、《南京条约》五口通商、亚罗号事件、马神甫事件示意图、第二次鸦片战争形势图、沙俄侵占中国北方领土示意图、太平天国运动形势图、洋务运动示意图、甲午中日战争形势图、义和团运动和八国联军侵华形势图、孙中山的主要革命活动示意图、辛亥革命前革命党人的起义活动形势图、辛亥革命形势、中华民国全图、二次革命形势图、护国战争形势示意图、新文化运动示意图、1919年5月4日北京学生示威游行路线图、马克思主义在中国的传播（1919-1921年）、北伐战争形势图、南昌起义形势图、秋收起义形势图、1929-1932年农村革命根据地形势示意图、九一八事变形势图、伪满洲国形势图、全国抗日救亡运动的高涨（1931-1936年）、淞沪会战形势图、平型关大捷形势图、台儿庄战役形势图、武汉会战经过要图、百团大战形势图、第三次长沙会战形势图、枣宜会战示意图、美国帮助国民党准备内战形势图、中共中央转战陕北路线示意图、人民解放军粉碎国民党军重点进攻形势图、辽沈战役示意图、淮海战役示意图、平津战役示意图、渡江战役示意图、民国工业初步发展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国领土的基本解放示意图、抗美援朝示意图、土地改革示意图、1956-1966年我国主要建设成就、沿海地区对外开放示意图、“两带一路”推动西部大开发示意图、我国民族分布图、民族区域自治示意图、台湾历史沿革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埃及、古希腊城邦、希腊地形地貌、亚历山大东征后形成的东方国家、罗马帝国内部资源供应示意图、基督教的诞生及传播（公元1-4世纪）、5世纪末的日耳曼诸国、查理曼帝国的分解、西欧城市的重新兴起、中世纪欧洲的大学分布、查士丁尼一世统治时期的拜占庭帝国、奥斯曼土耳其的兴起、遣唐使船、阿拉伯国家的建立、文艺复兴在欧洲的扩展、中世纪以来欧洲和东方贸易的通道、新航路开辟示意图、葡萄牙、西班牙的海外殖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拉丁美洲独立运动示意图、印度人民大起义、美国南北战争、明治维新前的日本、1700年与1911年英国人口与城市分布、达尔文环球考察路线、三国同盟和三国协约、第一次世界大战欧洲战场形势图、彼得格勒十月武装起义、帝国主义武装干涉和苏俄内战形势图（1918-1922）、苏联各加盟共和国示意图、第二次世界大战的欧洲形势、第二战场的开辟、德国法西斯进攻苏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历史VR教学系统（高中版）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历史VR教学系统需按照《普通高中历史课程标准》要求，涵盖统编高中历史教科书《中外历史纲要》上下册内容，软件对3D历史地图、3D历史场景、知识结构、时间轴、实物史料、文献史料、图像史料、历史解释等历史教学素材和资源进行系统整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展示、备课、授课三种应用模式的选择。备课模式下，可一键导入PPT课件，自由组合编辑系统中的各类资源,将自有资源与系统资源相互关联，实现知识结构图与其他类型资源、时间轴与历史地图组合、文献材料与3D历史文物模型等多种组合。在授课模式下，可播放备课模式下生成的课件，使用者可通过抓取、旋转、缩放、拖动等交互操作，灵活调取展示各类备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4)软件在备课/授课应用模式下，要求提供不少于45个自制3D课件。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5)软件应支持使用者以单元或课为单位进行示课。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6)软件应支持实物展示时文物的简介描述、尺寸显示、细节说明以及相应动画、视频和拓展交互；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7)软件应可展示3D历史场景，应支持场景内部的知识链接、3D旋转、大小放缩、位置移动、全息浏览、人机交互等功能。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8)软件应可展示3D历史地图（静态地图、动画效果），地图中应包含时间、位置及相关知识点等内容，地图应支持缩放显示。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9)软件应支持同一专题下多张历史地图的合成展示，支持同一张地图上切换不同知识点的地理展示。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10)软件应具备中国历史时间轴、本课时间轴，并支持中国历史时间轴、本课时间轴在同一课中切换。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11)软件应具备世界历史时间轴，应支持时间轴的拖动查看，支持每课目下本课或本单元时间轴与世界历史时间轴的切换，支持本课或本单元时间轴中进行中外对比，支持每课或每单元时间轴的缩放、拖动等操作。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12)软件应可展示动态知识结构板书、静态知识结构导图。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13)软件应可展示实物、文献、图像等不同类型史料，并应支持缩放显示控制。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14)软件应可展示单元目录及课次目录两种目录。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15)软件应支持古代风、近代风和现代风三种界面风格的选择与切换。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16)高中版软件应按册提供用户操作手册和教学指导手册，其中用户手册应包括系统介绍、系统要求及软件操作说明等；教学指导手册应包括单元或每课的资源内容、活动设计或教学建议等，要求不少于180页。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具备良渚遗址场景，应包含瑶山祭坛、外围水利系统、城墙与内外城等五大模块，应支持通过不同场景的切换实现漫游，应支持通过抓取、旋转、缩放等交互操作，对文物模型进行360度细节观察，并通过点击触发动画演示，了解良渚古城的空间规划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软件应具备还原航船从西班牙出发的虚拟场景，应支持以任务探究的方式串联知识点，引导体验者主动学习相关内容，可通过内外部的切换实现场景漫游，结合点击、移动等操作全方位沉浸式感受15世纪末16世纪初航船的历史情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1)高中版课程依据高中统编版历史教材开发，要求包含课程专题不少于50个，VR主题资源不少于200个，3D地图资源不少于180个，课程专题及资源内容均要求符合课标要求。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2)需提供不少于50个课程专题教学内容：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第1课 中华文明的起源与早期国家  第2课 诸侯纷争与变法运动  第3课 秦统一多民族封建国家的建立  第4课 西汉与东汉——统一多民族封建国家的巩固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第5课 三国两晋南北朝的政权更迭与民族交融  第6课 从隋唐盛世到五代十国  第7课 隋唐制度的变化与创新  第8课 三国至隋唐的文化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第9课 两宋的政治和军事  第10课 辽夏金元的统治  第11课 辽宋夏金元的经济与社会  第12课 辽宋夏金元的文化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第13课 从明朝建立到清军入关  第14课 清朝前中期的鼎盛与危机  第15课 明至清中叶的经济与文化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第16课 两次鸦片战争  第17课 国家出路的探索与列强侵略的加剧  第18课 挽救民族危亡的斗争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辛亥革命  第20课 北洋军阀统治时期的政治、经济与文化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第21课 五四运动与中国共产党的诞生  第22课 南京国民政府的统治和中国共产党开辟革命新道路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第23课 从局部抗战到全面抗战  第24课 全民族浴血奋战与抗日战争的胜利  第25课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第26课 中华人民共和国成立和向社会主义的过渡  第27课 社会主义建设在探索中曲折发展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第28课 中国特色社会主义道路的开辟与发展  第29课 改革开放以来的巨大成就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第1课 文明的产生与早期发展  第2课 古代世界的帝国与文明的交流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中古时期的欧洲  第4课 中古时期的亚洲  第5课 古代非洲与美洲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全球航路的开辟  第7课 全球联系的初步建立与世界格局的演变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欧洲的思想解放运动  第9课 资产阶级革命与资本主义制度的确立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第10课 影响世界的工业革命  第11课 马克思主义的诞生与传播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第12课 资本主义世界殖民体系的形成  第13课 亚非拉民族独立运动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第一次世界大战与战后国际秩序  第15课 十月革命的胜利与苏联的社会主义实践 第16课 亚非拉民族民主运动的高涨  第17课 第二次世界大战与战后国际秩序的形成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第18课 冷战与国际格局的演变  第19课 资本主义国家的新变化  第20课 社会主义国家的发展与变化  第21课 世界殖民体系的瓦解与新兴国家的发展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3)需提供不少于200个与课程配套的VR主题资源：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元谋人门齿化石、北京人头盖骨、周口店石砧与石锤、红山文化牛河梁遗址祭坛和积石冢、仰韶文化鱼纹彩陶盆、大汶口文化白陶鬶、龙山文化薄胎黑陶高柄杯、河姆渡文化猪纹陶钵、良渚文化玉琮、周口店石砧与石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河姆渡文化骨耜、河姆渡文化陶纺轮、良渚文化石犁、良渚古城场景、王令众人协田刻辞牛骨、何尊、宜侯夨簋、井田制演示模型、曶鼎铭文、后母戊鼎；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四羊青铜方尊、商鞅方升、战国铁犁铧、越王勾践剑、吴王夫差矛、战国水陆攻战纹铜壶、（清）孔子圣迹图（局部）、（清）缂丝青牛老子图轴、睡虎地秦简《秦律十八种》、（秦）铜弩机；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琅琊刻石、大铁权、涉故台陈胜、吴广起义雕像、六国钱币与秦半两钱模型、冕旒冠模型、彩绘跪射俑、“汉并天下”瓦当、“齐铁官印”封泥与原理演示动画、“滇王之印”金印；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马王推曲裾素纱襌衣、新莽“一刀平五千”铜钱、马踏匈奴石雕、翻车模型及原理演示视频、青釉仰覆莲花尊、（唐）阎立本《历代帝王图》——晋武帝司马炎像、青瓷羊形烛台（东吴）、帝后礼佛图（北魏）、乌衣巷、成都武侯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回鹘文摩尼教寺院文书（局部）、筒车模型及原理演示动画、展子虔游春图卷、阎立本步辇图卷、（唐）阎立本《历代帝王图》——隋炀帝像、鎏金舞马衔杯银壶、曲辕犁、铜高鼻钮“中书省之印”、《慈恩雁塔唐贤题名卷》（局部）、姚崇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大雁塔、初中玄奘模型、敦煌莫高窟壁画（局部截取）、三彩骆驼、三彩胡人牵骆驼俑、三彩腾空马、马球图、彩绘帷帽女骑俑、云冈石窟露天大佛、大秦景教流行中国碑；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龙门石窟、洛神赋图卷（宋摹）、唐咸通九年雕版《金刚经》、唐绢衣彩绘木俑、《女史箴图》卷（唐摹）、展子虔《游春图》卷、《送子天王图》、靖康李纲锏、契丹使朝聘图、宋太祖蹴鞠图；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威武左第二十三指挥第二都朱记印、《雪夜访普图》、三弓弩（北宋）、王安石《楞严经旨要》（局部）、《听琴图》（南宋）、成吉思皇帝圣旨银牌、大元圣政国朝典章、天朝万顺钱、铜钮柄移改达葛河谋克印、西夏文敕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北京城演变动画《备茶图》（辽）、灵武窑黑釉剔花瓶（西夏）、《卢沟运筏图》、元世祖出猎图、耕获图、南海一号沉船模型、清明上河图、《农桑辑要》书影、《农书》书影、北宋铁镢头；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汝窑天青釉三足樽承盘、简仪模型、忠翊侍卫亲军弩军百户印、朱熹行书上时宰二札、《虎溪三笑图》（南宋佚名）、赤壁后游图、元朝杂剧演出壁画、《清明上河图》中的说书人、《梦溪笔谈》书影、《农书》书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契丹文铜镜、西夏文敕牌、铜柱钮“辽州之契”印、铜铸柄钮“秃都河卫指挥使司印”、鸳鸯阵模型及演示动画、郑和宝船模型、朱元璋行书大军帖、明英宗为王振所立碑拓片、戚继光像、俺答汗像；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努尔哈赤像、威远将军炮模型及演示动画、雍正朝奏折、金奔巴瓶、乾隆御笔平定西域战图十六咏并图（局部）、五世达赖喇嘛画像、坤舆万国全图、明代丝织经皮子两种、王守仁上疏手稿、盛世滋生图；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黄宗羲像、顾炎武像、王夫之像、徐光启像、利玛窦像、《徐霞客游记》书影、人民英雄纪念碑浮雕——虎门销烟、鸦片烟具、鸦片战争期间虎门炮台军民抗击英军使用的火药缸、《天朝田亩制度》；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《资政新篇》、太平天国殿左一指挥罗大纲、木官正将军吴如孝致英使文翰照会、汉阳钢铁厂、“镇远”舰铁锚、人民英雄纪念碑浮雕——金田起义、1884 年“乐威毅公祠”铁钟、日本军官服部雄吉念碑、义和团龙旗与旗杆上的金拳头、《保护上海长江内地通共章程》；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清帝逊位诏书》、方声洞在黄花岗起义前夕致父绝笔书、《大总统誓词》《中华民国大总统孙文宣言书》与《告海陆军士文》、民国“纪念”粉彩双旗罐与掐丝珐琅“纪念国庆”双旗杯、中华民国临时约法、人民英雄纪念碑浮雕——武昌起义、中华初等小学修身教科书（第四册）、民国“女界文明进步”铜镀金手镯、民族工商业文物四种、民国初年的新女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早期马克思主义宣传文献、中华苏维埃共和国相关文物、红一方面军在长征中写的木版标语、侵华日军使用的细菌炸弹与日军防毒面具修补箱、杨靖宇印章、陆军第十八集团军证章与新四军司令部证章、套色木刻宣传画《抗战十大任务》、民兵模范马玉璋的“胶东爆炸大王”奖章、叶挺（叶希夷）私章、国立西南联合大学纪念碑与1944年西南联大历史系毕业纪念戒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平型关战斗缴获的日军武器装备、美国陆军部颁发给中国远征军第二〇〇师师长戴安澜的军团功勋章、全国慰劳总会敬赠八百壮士“忠党卫国”纪念章、军事调处执行部中国共产党委员关防和“军调”臂章、炸药发射筒、淮海战役中的支前小车、人民英雄纪念碑浮雕——五四运动、人民英雄纪念碑浮雕——五卅运动、人民英雄纪念碑浮雕——南昌起义、人民英雄纪念碑浮雕——抗日敌后游击战；人民英雄纪念碑浮雕——渡江战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《汉谟拉比法典》、尼罗河、古埃及三大金字塔、宙斯神庙、罗马大竞技场、中世纪欧洲庄园城堡、日本武士模型、大津巴布韦、新航路开辟的动因；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15和18世纪的世界地图对比、达芬奇《蒙娜丽莎》、《最后的晚餐》、拉斐尔《西斯廷圣母》；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断头台、巴士底狱、18世纪纺织工业中的发明、瓦特的蒸汽机、克莱蒙特号蒸汽船、莱特飞行者一号；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4)需提供不少于180个与课程配套的3D地图资源：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旧石器时代重要人类遗址分布图、中国新石器时代重要文化遗存分布图、夏朝统治区域图、商朝形势图、周初分封形势、春秋争霸形势、战国形势图、孔子周游列国形势、老子主要活动路线、战国经济发展与变法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诸子主要活动地点和路线、秦灭六国、秦朝开拓形势、秦末农民起义与楚汉战争形势、西汉形势图、东汉疆域、张骞出使西域路线、西汉与匈奴的战争、汉代丝绸之路、西汉初期封国形势；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汉代经济分布、东汉末年黄巾起义与军阀割据、三国鼎立形势图、西晋形势、东晋十六国形势图、两晋之际人口南迁、东晋南朝经济的发展、南北朝形势、淝水之战、北魏形势；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魏晋时期北方民族的内迁及其分布、隋朝形势、唐朝前期疆域和边疆各族分布图盛唐时期疆域、五代十国疆域图、隋朝大运河、唐朝经济分布、唐代人口分布、中唐之后人口南迁、安史之乱、唐代后期藩镇割据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唐末黄巢起义、玄奘西行路线图、唐朝对外主要交通路线示意图、三国至隋唐文学艺术成就、三国至隋唐科技成就、辽北宋西夏形势图、金南宋西夏形势图、北宋的边疆危机、元朝形势图、宋代经济分布；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宋朝海外贸易、宋代人口分布、两宋之际人口南迁、元朝运河海运路线图、东晋南朝江南经济的发展、两晋之际人口南迁、唐代人口分布、中唐之后人口南迁、明朝形势图、郑和航海路线图；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戚继光抗倭形势、清朝疆域图、清军平定准噶尔部贵族叛乱与大、小和卓叛乱、清朝前期玉米、甘薯推广种植图、清初白银流入中国、明清时期的经济发展、1840年前的中国和世界形势图、鸦片战争形势图；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次鸦片战争形势图、两次鸦片战争中中国被割让的领土与被迫开放的通商口岸示意图、太平天国运动形势图、甲午中日战争形势图、19世纪末帝国主义列强在华瓜分势力范围示意图、太平天国后期形势、洋务运动、台湾人民反抗日军占领形势、中国边疆危机与甲午中日战争、义和团运动和八国联军侵华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京津地区形势、维新变法运动、《辛丑条约》允许外国驻兵地点示意图、资产阶级革命运动的兴起和发展、辛亥革命形势、中华民国形势、北洋军阀的独裁统治和革命党人维护共和的斗争、北洋军阀统治时期军阀割据示意图、中国民族资本主义的发展、新文化运动及其代表人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共产党的成立及早期工农运动、五四运动、国民革命军北伐路线示意图、南京国民政府在全国统治的确立、南昌起义、秋收起义、广州起义和井冈山会师1929—1932年农村革命根据地分布示意图、中国工农红军长征示意图、抗日救亡运动和局部抗战、日军在中国的细菌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毒气战及制造的惨案、中国人民的抗日战争、卢沟桥事变示意图、台儿庄战役示意图、华北敌后抗日根据地形势图、百团大战示意图、中国人民的抗日战争、第二次世界大战主要战场示意图、中国远征军入缅作战、抗日战争胜利后国内形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大战役示意图、人民解放军渡江战役示意图、中国人民解放战争和新民主主义革命的胜利、全国领土的基本解放、土地改革与国民经济的恢复和初步发展、新中国初期的外交、第一个五年计划主要经济建设成就、1958—1976年主要经济建设成就、新中国的外交形势（迄20世纪70年代末）、中国对外开放格局的形成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改革开放后中国的全方位外交、中国原始农业主要遗址分布地图、古代主要文明示意图、两河流域的苏美尔和阿卡德地图、古代埃及地图、古代印度和异族入侵地图、玄奘《大唐西域记》、古代希腊地形地貌地图、古代希腊城邦地图、希腊人在地中海和黑海地区的殖民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波斯帝国（公元前5世纪前后）地图、亚历山大东征后形成的东方国家（公元前3世纪中叶前）地图、亚历山大东征后形成的东方国家（公元前3世纪中叶后）地图、罗马帝国时代的欧亚大陆地图、西欧新兴的王权集中国家地图、中古西欧主要国家和城市地图、6-7世纪的拜占庭帝国地图、10-11世纪的基辅罗斯地图、阿拉伯国家的建立地图、奥斯曼土耳其的兴起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古时期的亚洲地图、班图人迁徙路线图、阿克苏姆王国地图、东非沿海城市国家地图、西非地区地图、大津巴布韦地图、美洲文明分布示意图（玛雅文明）、美洲文明分布示意图（阿兹特克文明）、美洲文明分布示意图（印加文明）、新航路开辟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其他航路的开辟示意图、哥伦布大交换地图、葡萄牙、西班牙的海外殖民地图、15、16世纪人文主义思想开始向西欧其他国家和地区传播示意图、欧洲宗教改革形势图（17世纪初）、欧洲思想解放运动示意图（启蒙运动）、19世纪资本主义在全球范围内继续扩展地图、美国南北方经济类型地图、德意志的统一过程地图、19世纪欧洲工人运动和马克思主义诞生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国际成立形势图、巴黎公社形势图、18世纪晚期拉丁美洲殖民示意图、殖民国家对亚洲的侵略形势图（19世纪末20世纪初）、1876年前西方殖民者对非洲的侵略地图、拉丁美洲独立运动地图、亚洲民族独立运动地图、第一次世界大战欧洲战场地图、一战后亚非民族解放运动的高涨地图、彼得格勒十月武装起义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帝国主义武装干涉和苏俄内战形势图（1918-1922）、苏联各加盟共和国示意图、亚洲革命运动地图、独立后的拉丁美洲地图、第二次世界大战的欧洲战场地图、德国法西斯进攻苏联地图、第二战场的开辟（1944年）地图、接受马歇尔计划的国家分布图、经济互助委员会成员国分布图、北约与华约对峙示意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通古今VR教学系统（中国古代史）</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1.软件应支持三维操控，用户应能够观察到3D模型的出屏或景深效果；可虚拟“拿起”3D模型，对其进行360°观察及放大、缩小和复位的操作。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2.软件应支持查看文物的简介描述、尺寸显示、细节说明、相应动画和馆藏信息，通过多种资料的整合，使用户对文物有全面深入的了解。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3.软件应提供文物出土地点、所属时期的信息。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4.软件应支持单元和地图两种应用模式的选择。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5.软件应支持通过虚拟现实技术展示文物的应用场景和工作原理。（如良渚石犁、汉代耧车复原模型、翻车复原模型展示了应用场景；彩绘雁鱼铜灯展示了工作原理）。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6.软件应支持用户通过操作查看文物的拆分、组合效果。（如彩绘雁鱼铜灯、西夏符牌、南海一号福船）。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7.软件应支持用户通过输入关键词检索、选择和查看相关文物。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软件应设置至少七个单元，应提供至少70个VR教学资源，应包含以下内容：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1.史前时期单元：元谋人门齿化石、北京人头盖骨化石（复制品）、干栏式建筑复原模型、猪纹陶钵、骨耜、人面鱼纹彩陶盆、良渚玉琮、良渚玉钺、良渚石犁；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2.夏商周时期单元：镶嵌绿松石兽面纹铜牌饰、四羊方尊、司母戊鼎、利簋、何尊、越王勾践剑、吴王夫差矛、曾侯乙尊盘、水陆攻战纹铜壶、铁犁铧、商鞅铜方量；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3.秦汉时期单元：秦跪射俑、“汉并天下”瓦当、金缕玉衣、彩绘雁鱼铜灯、汉代耧车复原模型、马踏匈奴、铜奔马、东汉水排复原模型、东汉彩绘陶击鼓说唱俑、鎏金铜蚕；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4.三国两晋南北朝时期单元：翻车复原模型、青瓷猪圈、德清窑黑釉鸡首瓷壶、云冈石窟露天大佛、《帝后礼佛图》浮雕、青釉仰覆莲花尊、鲜卑服武士陶俑、洛神赋图(宋摹本)、《女史箴图》(唐摹本)；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隋唐五代十国时期单元：赵州桥石栏板、曲辕犁复原模型、筒车复原模型、唐三彩骆驼、开元通宝、唐戴帷帽女子骑马雕塑、唐朝阎立本《步辇图》、唐朝吴道子《送子天王图》、《韩熙载夜宴图》（宋摹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辽宋夏金元时期单元：《雪夜访普图》、西夏符牌、契丹货币、南海一号福船、定窑孩儿枕、汝窑天青釉三足樽承盘、哥窑青釉鱼耳炉、官窑青釉贯耳瓷瓶、钧窑玫瑰紫大花盆、《耕获图》、《清明上河图》、蹴鞠铜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明清时期（至鸦片战争前）单元：锦衣卫印、郑和宝船、《榜葛剌进麒麟图轴》、“鸳鸯阵”演示模型、金奔巴瓶、清威远将军炮、《盛世滋生图》、《平定伊犁回部战图》册、雍正帝批阅过的奏折、《坤舆万国全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建党百年VR系统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1、软件应支持触控笔实现三维操控，操作者能够观察到3D模型的出屏或景深效果；使用触控笔可虚拟“拿起”3D模型，并能够对模型进行360°观察及放大、缩小的操作。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2、软件应支持实物展示时文物的简介描述、尺寸显示、细节说明以及相应动画、视频和拓展交互；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展示历史地图（包括静态地图、动画效果）以及地图中包含的时间、位置及相关知识点等内容，历史地图支持缩放显示控制。要求历史地图支持播放控制，包括播放、暂停以及通过拖动滑动条操作地图的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提供建党百年VR软件，应包含中国共产党的创建和投身大革命的洪流、掀起土地革命的风暴等单元。要求软件须具备3D模型、3D历史场景、历史地图、实物史料、图像史料等党史素材，且软件内容应不少于46个主题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提供红军长征的虚拟场景，包括红军长征路线图、遵义会议、飞夺泸定桥、翻雪山和过草地的内容，支持在红军长征路线图上拖动填空并进行判读，支持选择不同场景实现场景漫游，让学生了解长征途中红军爬雪山过草地等艰难历程的史事，感悟长征精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提供具备渡江战役动态线路的历史地图，支持在地图上进行缩放、播放控制等操作；地图中应包含解放军第一阶段、第二阶段、第三阶段进攻方向的内容，支持在渡江战役示意图上进行任一阶段的内容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提供基于南湖红船虚拟场景的体验，可对场景中的模型做移动、旋转、抓取、点击及其他相应的交互操作。通过3D观察，配合文字说明，可了解中国共产党第一次全国代表大会召开的相关史事，认识中国共产党成立的历史意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金刚般若波罗蜜经卷首图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金刚般若波罗蜜经卷首图规格不小于24cm*29.5cm，采用精雕技术，硬木材质雕刻。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北宋交子版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北宋交子版规格不小于9.5cm*17cm，采用精雕技术，硬木材质雕刻。通过数千块雕版实验完善的工艺流程，可以最大化复原雕版原貌。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宋代济南刘家功夫针铺广告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宋代济南刘家功夫针铺广告规格不小于12.5cm*14.5cm，采用精雕技术，硬木材质雕刻。通过数千块雕版实验完善的工艺流程，可以最大化复原雕版原貌。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先师孔子行教像</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据说其作者为唐代画家吴道子，但原作已经遗失。本块雕版的底本用的是现存于山东曲阜孔庙的石刻本。规格不小于12.5cmx27cm，采用精雕技术，使用从数十种木材中选取的原产于南美洲的硬木雕刻而成，密度更高于普通的枣木、梨木等材料，更耐刷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敦煌壁画反弹琵琶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见于敦煌莫高窟112窟的《伎乐图》，为该窟《西方净土变》的一部分，写伎乐天伴随着仙乐翩翩起舞，举足旋身，使出了“反弹琵琶”绝技时的霎那间动势。规格不小于15.5cmx27cm，采用精雕技术，使用从数十种木材中选取的原产于南美洲的硬木雕刻而成，密度更高于普通的枣木、梨木等材料，更耐刷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陶渊明桃花源记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让学生感受雕版印刷文字的样式，能够对比活字印刷文字的优缺点。规格不小于18cmx26cm，采用精雕技术，使用从数十种木材中选取的原产于南美洲的硬木雕刻而成，密度更高于普通的枣木、梨木等材料，更耐刷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宋代耕获图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其是根据故宫博物院《宋人画册》中的扇面画《耕获图》照片描摹的。原图为绢本，淡设色，纵24.8厘米，横25.7厘米，签题为杨威所作。画中的农民们正在从事耕地、耙田、插秧、灌溉、筑场、耘田、收割、挑禾、上架、脱粒、簸扬、舂米、入仓、堆秸等不同的劳动。画家描绘的是一座江南地主田庄生产劳动的场面，重点反映了种植水稻的佃客从耕田到收获的全过程。《耕获图》具有极高的史料价值，是我们了解宋代江南农业生产状况难得的形象材料。教师可以根据刷印出来的图，引导学生进行探究。规格不小于23.5cmx26.5cm，采用精雕技术，使用从数十种木材中选取的原产于南美洲的硬木雕刻而成，密度更高于普通的枣木、梨木等材料，更耐刷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通过数千块雕版实验完善的工艺流程，可以最大化复原雕版原貌。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精制木活字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内容至少包括：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《论语》节选1块，规格不小于21cmx17cm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《史记·太史公自序》节选1块，规格不小于25cmx17cm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《道德经》节选1块，规格不小于23cmx15cm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使用精雕技术，雕刻木活字，尺寸统一。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可替换式挂图灯箱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尺寸不小于：60cm*60cm定制，可开启式超薄铝合金成型灯箱，不低于3cm边框、表面静电喷涂、颜色为闪光银，Led光源。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教学挂图灯箱片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尺寸不小于：55cm*55cm，灯箱片要求：1440dpi高清晰度灯箱片，覆亮膜。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可替换式挂图灯箱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尺寸不小于：120cm*60cm定制，可开启式超薄铝合金成型灯箱，不低于3cm边框、表面静电喷涂、颜色为闪光银, Led光源。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教学挂图灯箱片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尺寸不小于：115cm*55cm，横版，灯箱片要求：1440dpi高清晰度灯箱片，覆亮膜。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卷帘式知识窗帘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根据学校教室实际窗帘大小进行调整，在窗帘上印制介绍二十四节气等知识内容，集教学、观赏为一体。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历史知识展板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尺寸不小于：60cm*80cm定制，教室内部装饰历史图片，装饰墙面。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1、规格：≥1800*800*750mm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2、材质：主材榆木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3、结构：采用榫卯结构，硬度高、韧性好、承重力强。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4、工艺：结构严谨，做工细腻。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5、调色所用的颜料为环保型有机颜料的优质木蜡油经反复打磨、浸润、擦拭、上光制成。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1.尺寸：W1200*D600*H750mm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2.材质：橡胶木指接板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3.工艺：桌面采用厚≥18mm橡胶木指接板，桌脚采用55*55mm橡胶木；桌面4根加固横梁采用厚25mm实木。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四角倒圆角，使用纯天然植物提取木蜡油浸润、擦拭、上光制成。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史地教室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数字星球系统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"一、硬件规格要求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1.设备组成：设备硬件应包含数字视像圆球体屏幕、鱼眼镜头组、便携式底座、投影系统、遥控器、工具包。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投影技术要求：数字星球系统应采用反射投影技术，要求实现单体360度内投，最长像距和最短像距比不小于1.75，视场角不低于240度，投影机光线应通过可调节反射镜片反射进入鱼眼镜头，确保进行调节时能够有效保护使用者的眼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3.接口要求：应提供与计算机连接的标准VGA输入接口。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4.球幕要求：球幕直径应不小于60CM；内有特殊涂层，保证亮度均匀，防眩光、辐射。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5.投影机要求：定制投影机，亮度不低于3800流明。应具备便携式底座, 合金钢材质。底座内具备微调旋钮，可以对图像进行水平和垂直两个方向进行调节。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6.附件要求：要求配备遥控器，可以开关数字星球系统的电源，并进行亮度、对比度等进行设置。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7.含电动升降展示台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二、软件功能要求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软件应具备球幕端版本和备课端版本，球幕端版本应安装在球幕设备主机上，应由“自身功能、播放控制软件、球面资源、样例课程、数球信息接收服务、PPT数字星球助手”控件构成；备课端版本应为轻量级软件，不含球幕资源，应由“自身功能、球面资源缩略图、样例课程、PPT数字星球助手”控件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球幕端版本应支持按分类呈现球面资源缩略图，应具备搜索功能；应具备播放目录功能，播放目录应支持新建、编辑、删除、导入、导出功能；分类资源、搜索资源、播放列表资源均应支持自动播放和手动播放；播放时，球幕播放球面资源，平面屏自动同步播放该资源的缩略图或简介音频信息，平面屏应支持触控控制球面序列帧资源水平方向顺、逆时针自动转动、手动转动操作，支持控制球面资源垂直方向转向黄道、北极、南极、复位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应具备支撑其运行的播放控制软件模块，通过该软件模块和硬件系统的配合，应将二维图像显示为球形屏幕上的三维图像，逼真模拟各种天体、星体和球体。控制软件模块应支持通过软件或软件接口，选择演示内容、控制动画播放、控制球面图像及动画的旋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备课端版本应支持在普通windows设备上安装，应支持按分类呈现资源缩略图，应具备搜索功能和播放目录功能，应支持通过播放目录浏览缩略图资源。备好的播放目录应支持导出目录文件，目录文件可拷贝到数字星球机器上，双击目录文件即可在球幕、平面屏播放备好的资源，应支持手动播放、自动播放；目录文件应支持导入到球幕端版本，在数字星球球幕端的播放目录下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5.PPT数字星球助手要求：应适用于Microsoft PowerPoint 2010及以上版本，备课时应支持将球面资源与授课用ppt内容建立关联或链接关系，并支持对关系进行增、删、改的操作；授课时应随着PPT的播放和点击，自动在球幕上播放选中的资源，以达到PPT与球面资源联动的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#须提供由中国合格评定国家认可委员会CNAS或中国计量认证CMA机构认可的权威检测中心出具的检测报告为佐证，报告内容须体现相应功能，提供复印件并加盖投标人公章。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1.球面动画资源要求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球面资源应依据初、高中地理课标要求，应覆盖“地球与宇宙环境、世界地图、地球的大气、地球的水文、世界自然带、自然灾害、区域地理、中国地理、人文地理、卫星监测与环保、地球的岩石圈、其他”十二个大类，总条目数应不少于一千条，资源形式应为球面视频和球面序列帧，每个资源均应具备缩略图，部分资源带有文字介绍和语音介绍。应提供大量关于“地球以及太阳系八大行星及其卫星、银河系及宇宙空间、四季代表星座”的三维、立体、动态影像资源，可演示地球运动所引起的变化（如天气、气候变化、昼夜变化、地表形态变化、火山、地震、海啸等），可用于引导学生探索地球上多样的生物与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2.配套样例课程要求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课程应融文本、声音、图像、图形、动画、视频、平面、立体资源于一体，能够辅助教师营造能认知、能体验、能感悟的新型教学环境。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1）配套科学科普课程资源(小学)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应包含“01-走近太阳02-月球的奥秘03-红色的火星04-太阳系05-地球、月亮、火星及远行星06-地球大气、水、森林与能源07-我们的地球08-地球自转与昼夜变化09-地球上为什么会有四季10-宇宙星系11-地球板块运动与地表变化12-自然力量和人类活动对地表的改变13-地震14-木星神话15-星海点睛16-四季星空”课程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2）配套初中课程资源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应包含“01-地球和地球仪02-气候多样 季风显著03-中国的水资源04-大洲和大洋05-海陆变迁06-世界的气候07-降水的变化与分布08-人口与人种09-辽阔的疆域10--澳大利亚”课程内容。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3）配套高中课程资源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应包含“01-自然地理环境的差异性,02-营造地表形态的力量,03-大气环流,04-常见的天气系统,05-厄尔尼诺现象和拉尼娜现象06-常见的天气系统,07-全球气候变化对人类活动的影响,08-大规模的海水运动,09-传统工业与新兴工业,10-地理环境对区域发展的影响,11-自然灾害对人类的危害,12-以种植业为主的农业地域类型，13-地形对聚落及交通线路分布的影响,14-以畜牧业为主的农业地域类型”课程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宇宙星空演示穹顶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 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直径不小于3000mm*高500mm，半球天幕成型球体，表面白色亚光优质涂料，整体钢结构固定。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以和数字星球系统配合使用，用于天象、星空等内容的教学。可播放数字星球系统配套的系列穹幕电影，可以实现声音图文并现，专业解说，包括星系、恒星、太阳系、黑洞、大爆炸、行星、大卫星和超新星等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图课云教学平台（史地版）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图课云教学平台（史地版）应基于视觉思维理论研发，对数字专题地图及教学课件进行技术整合，利用多图层叠加技术、可视化教学形式及实时交互功能，借助图表、图像对地理知识点进行直观呈现。系统应提供地图编辑工具及课件制作工具，可支持用户对地图资源进行自主编辑、组合与添加。系统应遵循义务教育历史新课标、普通高中历史新课标的要求，紧跟统编版教材，为历史老师提供历史学科精品资源，提供丰富易用的授课包，提供学科特色思维导图工具和时间导图工具，提供的精品资源可在系统平台中编辑备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一、软件平台要求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1.运行环境要求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应仅在“激活”、“注册”、“微信扫一扫登录”、“忘记密码”、“在线同步”、“检查新版本”、“资源求助”、“使用在线帮助”、“修改密码”时需要接入互联网，日常“登录”、“备课”、“授课”等操作应均可离线进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在联网状态下，软件平台应支持“搜索”、“在线同步”、“重新下载课程资源”、“检查新版本”、“资源求助”等常规功能。开启“在线同步”，平台应自动同步客户端和云端资源；使用“重新下载”，平台应强行对比本地资源和云端资源，重新下载不一致的资源；使用“检查新版本”，平台应检查当前客户端版本是否为最新版，否则将下载最新版进行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界面应包含“系统课程”、“我的课程”、“共享课程”，功能应包含“编辑”、“导入”、“上课”、“打包去上课”、“新建课程”、“共享课程”及“删除课程”。应支持用户将课程打包为自运行的课程包，并可导入到其它安装有本平台的系统中；也应支持在没有安装本平台但满足适用环境的设备上独立播放。平台应支持用户共享课程，可经由“在线同步”功能分享给全平台用户，也可经由“在线同步”功能获得其他用户共享的课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课程应由主PPT文件和若干媒体资源构成，又可仅由若干多媒体资源构成。媒体资源应包含动态地图、图片、视频、动画及文本，历史端还应提供教学设计、思维导图及时间导图。每个媒体资源应与主PPT的某页形成关联，确保在播放课程时，可自动同步播放该页PPT内容和相关的媒体资源；地理课程还应支持PPT热区关联媒体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地图界面应包含“系统地图”、“我的地图”和“共享地图”，功能应包含“添加到课程”、“共享”、“删除”、“导入”、“播放”及“打包去上课”；地理端还应提供“新建地图”和“编辑”功能。应支持用户将地图打包为自运行的地图包，并可导入到其它安装有本平台的系统中；也应支持在没有安装本平台但满足适用环境的设备上独立播放。平台应支持用户共享地图，可经由“在线同步”功能分享给全平台用户，也可经由“在线同步”功能获得其他用户共享的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(5)历史端应提供思维导图与时间导图的制作、编辑及播放工具，应支持用户将制作完成的导图保存在平台目录下或直接在平台中播放，应支持添加到课件包以及支持导出为自运行的导图包。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①　预装思维导图工具应支持插入主题、编辑主题；应支持在主题中插入链接、图片、备注、标注优先级；应支持在不少于6种导图样式、20种UI样式中组合呈现样式。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②　预装时间导图工具应支持对时间轴进行标题与简介的编辑；应支持对事件进行、新增、编辑与删除；应支持对事件进行标题、时间、权重、描述、题图的编辑；应支持对关联图例主题、关联分行主题的设置；应支持将以上编辑结果保存在平台目录下。播放时应支持依据所设置的时间及权重，按顺序及大小呈现事件；点击事件应呈现详情描述，应支持按设置的图例主题显示或隐藏关联事件；播放分行主题时间轴时，应支持拖动调整显示顺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地理端的地图应由底图层、透镜层、动画层、热区层中的一层或多层、多幅素材构成。其中除底图层为必需层，透镜层、动画层及热区层应为可选层，应支持多幅图层叠加。播放时，叠加的每个图层均应实现单独控制显示及播放；平台应提供聚光灯功能，以突出强调重点区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(7)地理端应支持PPT课件与地图动画、数字星球系统的球屏联动；可在PPT播放过程中，控制数字星球任意角度旋转播放。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(8)平台内课程播放或打包课程单独播放，应实现自动检测当前播放环境的屏幕数，并将课程内容播放到指定屏幕，要求如下：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① 课程播放时，应弹出窗口供用户选择将课程播放到某1块屏幕上，或者某2块屏幕上，可自动标识屏幕序号。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② 若选择播放到某1块屏幕上，则自动在该屏幕上播放PPT+关联资源，并自由切换全屏播放PPT、全屏播放资源、半屏对比播放PPT+资源（各占屏幕一半）。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③ 若选择播放到某2块屏幕上，则一块屏幕播放ppt内容，另一块屏幕同步自动播放与之关联或者链接的资源，例如地图、图片、视频、动画等，实现双屏自动联动的播放效果。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④ 地图播放时，应支持通过屏幕触控或鼠标滚轮来控制地图的放大与缩小。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二、配套课程要求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1.配套地理课程要求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预装初中地理课程应38节，每个课程应由主PPT课件+关联地图、图片、视频、动画等资源构成。课程应包含“我国五十六个民族简介、气候多样季风显著、中国的河流和湖泊、中国的交通运输、中国的水资源、中国的地理差异、地球和地球仪、大洲和大洋、海陆变迁、世界的气候、降水的变化与分布、人口与人种、世界的语言和宗教、地图的阅读、气温的变化与分布、北方地区——自然特征与农业、辽阔的疆域、西北地区、中国的农业、多样的气候、中国的地形和地势、世界大城市实时天气、澳大利亚（区域）、美国（区域）、日本（区域）、巴西（区域）、俄罗斯（区域）、南方地区自然环境与农业（区域）、高原湿地──三江源地区（区域）、青藏地区自然特征与农业（区域）、世界最大的黄土堆积区（区域）、台湾省（区域）、印度（区域）、中东（区域）、黄土高原的水土流失、欧洲西部、撒哈拉以南的非洲、东南亚”等课程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预装高中地理课程应不少于38节，每个课程应由主PPT课件+关联地图、图片、视频、动画等资源构成。应包含“河流地貌的发育、气压带和风带、大规模的海水运动、厄尔尼诺现象和拉尼娜现象、山地的形成、营造地表形态的力量、大气环流、地形对聚落及交通线路分布的影响、以种植业为主的农业地域类型、常见的天气系统、资源的跨区域调配、海水温度和盐度、自然地理环境的差异性、区域农业的发展、自然灾害对人类的危害、传统工业与新兴工业、地理环境对区域发展的影响、地球上的海与洋、全球气候变化对人类活动的影响、河流的水文特征及其对社会经济的影响、流域综合开发、区域农业发展—以我国东北地区为例（区域）、农业生产对水循环的影响——以三江平原地区为例（区域）、鲁尔工业区（区域）、资源的跨区域调配、土壤、人口迁移、工业区位因素及其变化、海水运动、服务业区位因素及其变化、植被、气象灾害、地质灾害、防灾减灾、地理信息技术在防灾减灾中的应用、人口的分布（第1课时）、人口的分布（第2课时）、海水的性质（第1课时）”等课程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2.配套历史课程要求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(1)预装初中配套历史课程应覆盖初中历史统编版教材全部内容，总计应不少于120课；预装高中配套历史课程应覆盖高中历史统编版教材全部内容，总计应不少于50课。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(2)全部系统课程均应关联适宜的媒体资源，部分配套有教学设计、学案、习题。系统课程可编辑为自己的课程，可在编辑课程中加入多媒体资源，并设置指定页与指定资源的关联关系。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三、配套教学资源要求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1.配套地理教学资源要求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(1)平台资源开发应以中学地理课程标准、中学地理教材及地图册为依据，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(2)平台应提供课程所需图片、视频、文档等资源；并支持从云端同步课程和地图等最新资源。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(3)平台应提供资源更新服务，提供地图、课程资源定制及配套的功能支持服务。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(4)所投产品中的电子地图须获得国务院测绘地理信息行政主管部门颁发的审图号，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2.配套历史教学资源要求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(1)平台预装电子历史地图资源应满足历史义务教育课程标准、普通高中历史课标，应以初、高中历史统编教材、地图册为研发依据，覆盖统编教材内容。地图应全部为原创绘制而非印刷品扫描。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①　所提供的初中历史电子地图应不少于300幅，高中历史电子地图应不少于200幅。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②　所提供的地图应能够实现动态演示历史疆域的变化、或民族的分布、或战争的进程、或中外经济文化的交流等内容。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(2)平台预装的思维导图与时间导图应覆盖统编教材内容，导图应将教材中零散的大科目和小框架进行完整、系统的归纳总结，帮助学生理清思路，归类整合知识，构建知识体系。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①　所提供的初中导图应不少于150个，高中导图应不少于50个。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②　应支持用户在平台中快捷编辑系统思维导图，可增加、删除主题，可展开、收拢主题。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③　应支持用户在平台中快捷编辑系统时间导图，可增加、删除事件，可预览时间导图，可按设置的图例主题显示或隐藏关联事件；可调整时间轴在下方或在上方，历史事件显示也随之调整。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(3)平台应提供课程所需图片、视频、文档等资源；并支持从云端同步新课程、地图等最新资源。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中国语音立体地形图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1. 规格：立体模型水平比例尺不低于1：300万；尺寸不小于：2280mm×1680mm；采用PVC材料用模具热压而成，符合环保要求；</w:t>
            </w:r>
            <w:r>
              <w:rPr>
                <w:rFonts w:hint="eastAsia"/>
                <w:sz w:val="20"/>
                <w:szCs w:val="20"/>
              </w:rPr>
              <w:br w:type="textWrapping"/>
            </w:r>
            <w:r>
              <w:rPr>
                <w:rFonts w:hint="eastAsia"/>
                <w:sz w:val="20"/>
                <w:szCs w:val="20"/>
              </w:rPr>
              <w:t>2. 政区图、地形图合二为一，达到地图出版精度，经由专业地图出版社出版；</w:t>
            </w:r>
            <w:r>
              <w:rPr>
                <w:rFonts w:hint="eastAsia"/>
                <w:sz w:val="20"/>
                <w:szCs w:val="20"/>
              </w:rPr>
              <w:br w:type="textWrapping"/>
            </w:r>
            <w:r>
              <w:rPr>
                <w:rFonts w:hint="eastAsia"/>
                <w:sz w:val="20"/>
                <w:szCs w:val="20"/>
              </w:rPr>
              <w:t>3. 支持汉语、蒙语、藏语、维语及朝鲜语多种民族语言，支持版本：汉语版、蒙-汉版、藏-汉版、维-汉版、鲜-汉版（设备运行只支持一种语言版本，标配为汉语版，其他语言版本在设备出厂前据使用方实际需求而定）。</w:t>
            </w:r>
            <w:r>
              <w:rPr>
                <w:rFonts w:hint="eastAsia"/>
                <w:sz w:val="20"/>
                <w:szCs w:val="20"/>
              </w:rPr>
              <w:br w:type="textWrapping"/>
            </w:r>
            <w:r>
              <w:rPr>
                <w:rFonts w:hint="eastAsia"/>
                <w:sz w:val="20"/>
                <w:szCs w:val="20"/>
              </w:rPr>
              <w:t>4. 电子点读功能：</w:t>
            </w:r>
            <w:r>
              <w:rPr>
                <w:rFonts w:hint="eastAsia"/>
                <w:sz w:val="20"/>
                <w:szCs w:val="20"/>
              </w:rPr>
              <w:br w:type="textWrapping"/>
            </w:r>
            <w:r>
              <w:rPr>
                <w:rFonts w:hint="eastAsia"/>
                <w:sz w:val="20"/>
                <w:szCs w:val="20"/>
              </w:rPr>
              <w:t>1) 提供无线点读教鞭，要求电子教鞭装有特殊摄像头，具有光学图像识别功能，可识别隐形底码；</w:t>
            </w:r>
            <w:r>
              <w:rPr>
                <w:rFonts w:hint="eastAsia"/>
                <w:sz w:val="20"/>
                <w:szCs w:val="20"/>
              </w:rPr>
              <w:br w:type="textWrapping"/>
            </w:r>
            <w:r>
              <w:rPr>
                <w:rFonts w:hint="eastAsia"/>
                <w:sz w:val="20"/>
                <w:szCs w:val="20"/>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sz w:val="20"/>
                <w:szCs w:val="20"/>
              </w:rPr>
              <w:br w:type="textWrapping"/>
            </w:r>
            <w:r>
              <w:rPr>
                <w:rFonts w:hint="eastAsia"/>
                <w:sz w:val="20"/>
                <w:szCs w:val="20"/>
              </w:rPr>
              <w:t>3）如同时配置2套及以上与本设备同品牌的语音立体地形图，使用1套无线点读教鞭及配套音箱即可实现点读播放，无需重复配置。</w:t>
            </w:r>
            <w:r>
              <w:rPr>
                <w:rFonts w:hint="eastAsia"/>
                <w:sz w:val="20"/>
                <w:szCs w:val="20"/>
              </w:rPr>
              <w:br w:type="textWrapping"/>
            </w:r>
            <w:r>
              <w:rPr>
                <w:rFonts w:hint="eastAsia"/>
                <w:sz w:val="20"/>
                <w:szCs w:val="20"/>
              </w:rPr>
              <w:t>5. 地图内容：</w:t>
            </w:r>
            <w:r>
              <w:rPr>
                <w:rFonts w:hint="eastAsia"/>
                <w:sz w:val="20"/>
                <w:szCs w:val="20"/>
              </w:rPr>
              <w:br w:type="textWrapping"/>
            </w:r>
            <w:r>
              <w:rPr>
                <w:rFonts w:hint="eastAsia"/>
                <w:sz w:val="20"/>
                <w:szCs w:val="20"/>
              </w:rPr>
              <w:t>1) 中国的国界线，省级行政区划的名称和界线，首都及各省级行政中心的名称和位置，国内部分城市的名称和位置。</w:t>
            </w:r>
            <w:r>
              <w:rPr>
                <w:rFonts w:hint="eastAsia"/>
                <w:sz w:val="20"/>
                <w:szCs w:val="20"/>
              </w:rPr>
              <w:br w:type="textWrapping"/>
            </w:r>
            <w:r>
              <w:rPr>
                <w:rFonts w:hint="eastAsia"/>
                <w:sz w:val="20"/>
                <w:szCs w:val="20"/>
              </w:rPr>
              <w:t>2) 中国的主要河流、湖泊、山脉、山峰、沙漠、盆地、高原、平原、丘陵、半岛、群岛、岛屿、海洋、海湾、海峡的名称及相关要素等等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r>
              <w:rPr>
                <w:rFonts w:hint="eastAsia"/>
                <w:sz w:val="20"/>
                <w:szCs w:val="20"/>
              </w:rPr>
              <w:t>世界语音立体地形图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1. 规格：立体模型水平比例尺不低于1：1680万；尺寸不小于：2280mm×1680mm；采用PVC材料用模具热压而成，符合环保要求；</w:t>
            </w:r>
            <w:r>
              <w:rPr>
                <w:rFonts w:hint="eastAsia"/>
                <w:sz w:val="20"/>
                <w:szCs w:val="20"/>
              </w:rPr>
              <w:br w:type="textWrapping"/>
            </w:r>
            <w:r>
              <w:rPr>
                <w:rFonts w:hint="eastAsia"/>
                <w:sz w:val="20"/>
                <w:szCs w:val="20"/>
              </w:rPr>
              <w:t>2. 要求达到地图出版精度，经由专门地图出版社出版；</w:t>
            </w:r>
            <w:r>
              <w:rPr>
                <w:rFonts w:hint="eastAsia"/>
                <w:sz w:val="20"/>
                <w:szCs w:val="20"/>
              </w:rPr>
              <w:br w:type="textWrapping"/>
            </w:r>
            <w:r>
              <w:rPr>
                <w:rFonts w:hint="eastAsia"/>
                <w:sz w:val="20"/>
                <w:szCs w:val="20"/>
              </w:rPr>
              <w:t>3. 支持汉语、蒙语、藏语、维语及朝鲜语多种民族语言，支持版本：汉语版、蒙-汉版、藏-汉版、维-汉版、鲜-汉版（设备运行只支持一种语言版本，标配为汉语版，其他语言版本在设备出厂前据使用方实际需求而定）。</w:t>
            </w:r>
            <w:r>
              <w:rPr>
                <w:rFonts w:hint="eastAsia"/>
                <w:sz w:val="20"/>
                <w:szCs w:val="20"/>
              </w:rPr>
              <w:br w:type="textWrapping"/>
            </w:r>
            <w:r>
              <w:rPr>
                <w:rFonts w:hint="eastAsia"/>
                <w:sz w:val="20"/>
                <w:szCs w:val="20"/>
              </w:rPr>
              <w:t>4. 电子点读功能：</w:t>
            </w:r>
            <w:r>
              <w:rPr>
                <w:rFonts w:hint="eastAsia"/>
                <w:sz w:val="20"/>
                <w:szCs w:val="20"/>
              </w:rPr>
              <w:br w:type="textWrapping"/>
            </w:r>
            <w:r>
              <w:rPr>
                <w:rFonts w:hint="eastAsia"/>
                <w:sz w:val="20"/>
                <w:szCs w:val="20"/>
              </w:rPr>
              <w:t>1) 提供无线点读教鞭，电子教鞭装有特殊摄像头，具有光学图像识别功能，可识别隐形底码；</w:t>
            </w:r>
            <w:r>
              <w:rPr>
                <w:rFonts w:hint="eastAsia"/>
                <w:sz w:val="20"/>
                <w:szCs w:val="20"/>
              </w:rPr>
              <w:br w:type="textWrapping"/>
            </w:r>
            <w:r>
              <w:rPr>
                <w:rFonts w:hint="eastAsia"/>
                <w:sz w:val="20"/>
                <w:szCs w:val="20"/>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sz w:val="20"/>
                <w:szCs w:val="20"/>
              </w:rPr>
              <w:br w:type="textWrapping"/>
            </w:r>
            <w:r>
              <w:rPr>
                <w:rFonts w:hint="eastAsia"/>
                <w:sz w:val="20"/>
                <w:szCs w:val="20"/>
              </w:rPr>
              <w:t>3）如同时配置2套及以上与本设备同品牌的语音立体地形图，使用1套无线点读教鞭及配套音箱即可实现点读播放，无需重复配置。</w:t>
            </w:r>
            <w:r>
              <w:rPr>
                <w:rFonts w:hint="eastAsia"/>
                <w:sz w:val="20"/>
                <w:szCs w:val="20"/>
              </w:rPr>
              <w:br w:type="textWrapping"/>
            </w:r>
            <w:r>
              <w:rPr>
                <w:rFonts w:hint="eastAsia"/>
                <w:sz w:val="20"/>
                <w:szCs w:val="20"/>
              </w:rPr>
              <w:t>5. 地图内容：</w:t>
            </w:r>
            <w:r>
              <w:rPr>
                <w:rFonts w:hint="eastAsia"/>
                <w:sz w:val="20"/>
                <w:szCs w:val="20"/>
              </w:rPr>
              <w:br w:type="textWrapping"/>
            </w:r>
            <w:r>
              <w:rPr>
                <w:rFonts w:hint="eastAsia"/>
                <w:sz w:val="20"/>
                <w:szCs w:val="20"/>
              </w:rPr>
              <w:t>1) 世界各大洲的名称、范围、界线。中华人民共和国的名称、范围、界限。世界部分主要城市的名称、位置等等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全息教学系统（史地版）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息教学系统应将全息投影技术与地理、历史教学内容相结合，应支持使用者通过触屏的方式对展示内容进行选择和控制，从而观察到与原物完全相同的静态或动态立体虚像。系统应支持使用者从成像面的不同角度观察全息图像，看到立体虚像的不同侧面。系统应将地理学科中抽象、难懂的知识点以直观、全景、动态的形式进行呈现；也应具备对历史文物进行360°展示的功能，让学生在教室中就能对文物的器形、颜色和纹理进行细致的观察，了解文物的基本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一、硬件规格要求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1.整机规格：不小于1040mm*680mm*1600mm，设备整机应采用一体化设计，通过嵌入式触控屏装置对系统进行控制。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2.成像组件：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(1)成像面：全息玻璃≥3块，可视角度≥270°；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(2)液晶屏：液晶屏x1，显示比例：16：9；分辨率不低于：1920x1080；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3.主机规格：内存不小于4G；固态硬盘不小于120G；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操作台规格：不小于1040mm*680mm*1100mm，全钣金结构，外嵌不触摸屏，内含散热装置，两侧内置式音箱，预留检修门，全钢结构，底部不少于两个万向轮；内置集成电源模块,及音箱。外观整洁，磨砂黑色，一体化电源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二、软件性能要求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1.应提供立体视频播放器软件，将资源按分类显示，应支持3D模型视频资源的播放，并能够同步播放与之匹配的图文解说和音频解说。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2.立体视频播放器软件应支持3D模型的顺、逆时针旋转；应支持3D模型的放大、缩小、复位；应支持对3D模型进行上、下、左、右移动，也可暂停在某个状态进行观察。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3.音频播放时，可通过立体视频播放器软件进行静音或音量调节。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4.立体视频播放器软件应支持多个播放列表的储存。应支持对播放列表的增、删、改操作。应支持用户将某分类下资源整体添加为播放列表，也可选择单个资源添加到某个播放列表中。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5.应支持用户将自有3D资源作为自定义分类添加，也可单独添加到新建的播放列表中，并自动生成缩略图。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三、配套资源要求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1.配套地理资源要求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系统应提供不少于100个地理全息教学资源，应该包括以下核心内容：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宇宙与地球：蓝色星球、地球剖面、地球自转、地球绕日公转、月球自转、太阳系、水星剖面、金星剖面、火星剖面、木星剖面、土星剖面、天王星剖面、海王星剖面、彗星、黑洞。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地质地貌：丹霞地貌、五种典型地形、冰川地貌、喀斯特地貌、地上河、地下水、地震、峡谷地貌、干旱地貌、板块构造地貌、梯田地貌、流水地貌、海岸地貌、海岸山川-峡湾、海底地貌、火山、火山地貌、煤炭石油天然气矿质构造、等高线、褶皱与断层、重力地貌、高山湖泊、黄土地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矿物：方解石、滑石、玄武岩、石英、石英岩、砾石、硅灰石、硅线石、花岗岩、萤石1、萤石2、蓝铜矿、蛇纹石、辉锑矿、铅锌矿、长石、页岩、黄铁矿、黄铜矿。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大气：大气、大气层分层模型、大气运动、热力环流、沃克环流、城市热力环流、晴天、云、多云、小雨、中雨、大雨、小雪、中雪、大雪、暖锋、冷锋、龙卷风、台风剖面。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区域地理：亚洲模型、北美洲模型、南极洲模型、南美洲模型、大洋洲模型、欧洲模型、非洲模型。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人文环境：公路、水运、铁路、航空、人造卫星、航天飞机、玉兔号、神舟飞船、天宫一号、长征二号F、甲烷的来源。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生物圈：GEDI森林高度、全球生物圈。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水文：全球平均海面温度、平均海面盐度、水文\温盐环流、平均海面密度。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2.配套历史资源要求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系统应提供不少于100个历史全息教学资源，应该包括以下核心内容：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旧石器时代：山顶洞人头骨，北京人头部复原像，骨鱼镖（复制品）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新石器时代：石耘田器，石破土器，人面鱼纹彩陶盆，小口尖底瓶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夏朝：嵌绿松石饕餮纹铜牌饰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商朝：妇好墓玉凤，四羊方尊，后母戊鼎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西周：利簋，何尊，鸭尊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春秋：莲鹤铜方壶，镶嵌狩猎纹豆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战国：曾侯乙尊盘，武士斗兽纹铜镜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秦朝：冕旒冠，大瓦当，彩绘跪射俑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西汉：长信宫灯，弦纹玻璃杯，马蹄金，铜火锅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东汉：击鼓说唱俑，马踏飞燕，浑天仪模型，地动仪模型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魏晋南北朝：大泉五千，鲜卑服饰女武士俑，青铜弩机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隋朝：白瓷鸡首图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唐朝：开元通宝，彩绘帷帽仕女骑马木俑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五代十国：白瓷茶具，青瓷六系罐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宋朝：定窑孩儿枕，汝窑青瓷无纹水仙盆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元朝：简仪模型，龙泉窑缠枝牡丹纹瓶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明：成化斗彩鸡缸杯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清：金奔巴瓶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近代：京张人字铁路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现代：中国中央人民政府之印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世界标志性建筑：东京塔，埃菲尔铁塔，荷兰风车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世界古代建筑：印度泰姬陵，古埃及狮身人面像，古希腊帕特农神庙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地理AR沙盘教学系统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应为数字化投影沙盘设备，系统应通过对传感器技术、增强现实技术、投影技术的深度融合，结合沙盘虚拟互动投影区与平面屏幕显示区的实时联动，为用户提供良好的人机交互体验。系统应支持学生在地理实验动手探究的过程中，通过对现象变化的观察产生直观认知、得出科学结论，从而培养学生的地理实践力。</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1.硬件要求：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1）配套主机性能不低于：8g内存、1TB硬盘、独立显卡；无线键盘、无线鼠标；屏幕比例16:9 分辨率1920×1080；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2）显示：分辨率不低于800×600，亮度不低于3000流明，对比度1300：1；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3）附件应包含：移动展示架≥1300mm*1000mm*2200mm、防触电插座、海沙不少于120kg、实验工具箱。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当用户在沙盘中堆砌沙子呈任意相态时，距离传感器应实现对下方沙子的高度进行实时测量，投影机应依据模型高度投射分层设色图，进而演示不同地形地貌。随着沙盘内沙子的变动，追踪器应捕捉其形态变化，投射的色彩和等高线也应发生相应的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2）当用户将手掌悬浮在沙盘上方，系统应实现虚拟积雨云的生成并产生雨水，沙盘区应显示流水效果。依据地形地势和流体的运动规律，虚拟雨水落到沙子上之后，应汇集到山谷再流向洼地。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3）系统软件应支持火山喷发模拟，并能够进行火山活动地表和地下剖面的同步动态演示。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4）系统应配置平面显示器，用于虚拟呈现沙盘中的3D场景。要求支持山体垂直自然带的显示，支持虚拟仿真开车从山下到山顶，自然带应随着高度变化而变化。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3.课程要求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要求提供至少3节基于新课标的活动课。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4.实验活动要求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应配备用于探究土壤和地下水被污染过程的实验活动套装，应提供不少于四个活动设计，至少应包含：土壤污染模拟实验、地下潜水污染模拟试验、地下水污染实验、对比承压水井和自流井主题实验，以及实验报告、实验指导书。实验活动应引导学生梳理出人类活动对环境污染的影响，如说出人类哪些活动可以直接导致土壤和地下水水质的污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5.配套指导资料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为方便用户使用，应配套提供地理AR沙盘操作指导视频，以供用户学习使用。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地理VR教学系统（初中版）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研发应依据初中地理新课标，以地理核心素养为主导，基于桌面级虚拟现实设备，通过VR、AR、MR等技术的集成，将较大时空跨度的地理景观、场景及复杂的区域地貌、人文景观以三维、动态、仿真的形式进行呈现。系统应兼顾人机交互、师生教学及生生互动等需求，应适用于地理学科教、学、研等应用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3)软件应支持球面、平面地图及动画的显示；应支持球面与平面以动画形式进行圆柱投影式切换，应展示出球面到平面投影的动态变化；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4)软件应支持地图球面、平面不同形态的图层叠加；应支持各类区域地图的图层叠加。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应提供地球公转运动的课程，应支持公转俯视视角与近距离同时观察，支持独立控制地球自转和公转，支持快速切换地球公转位置观察重要节气昼夜分布和太阳直射点位置，支持在地球上进行黄赤交角、经纬线、政区线的显示叠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6)应提供极地地区课程，要求可以穿越南极北极地区场景，场景内可体验极昼日不落、极夜极光景色；场景应支持漫游飞跃；应支持近距离观察企鹅、北极熊。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7)软件应支持同一张地图三种比例尺切换，地图应依据不同比例尺呈现不同尺度的内容。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8)软件应支持3D模型的部位识别；应支持3D模型与平面地形图之间的动态转换。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9)软件应提供不同时区时间差异的演示，调整时间软件能即时显示对应时区。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10)软件应提供人类至少三个时期演化的三维动态演示，要求不同时期的人类模型可支持拿取及旋转观察。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11)软件应提供一年中任意时间的全天晨昏线运动演示。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12)软件应支持中国地形立体到平面切换；支持中国立体地形沿30°纬线弧度剖面展开。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13)软件应支持地理实验的功能，应支持自主对比不少于3组变量的实验过程及结果。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14)软件应支持地貌模型跨时空演化的3D演示过程。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15)软件应支持同步展示多地区地理风貌及人文景观等场景。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16)软件应提供三大宗教建筑环境场景。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17)软件应提供地理灾害3D虚拟演示内容，并提供灾害避险的情景体验。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提供配套初中课程资源不少于45课，课程应依据义务教育地理课程标准开发，应包含“地球的形状和大小、地球仪与经纬网、地球的自转、地球的公转、地图的阅读、五种地形的判读、等高线地形图、大洲和大洋、海陆变迁、气温的变化与分布、降水的变化与分布、世界的气候、人口与人种、世界的语言、世界的宗教、世界上的国家和地区、亚洲、北美洲、印度、日本、俄罗斯、澳大利亚1、澳大利亚2、东南亚、中东、欧洲西部、撒哈拉以南的非洲、美国、巴西、极地地区、中国的疆域、中国的行政区划、中国的地形和地势、中国的气候、中国的河流、长江、黄河、中国的自然灾害、中国的自然资源、中国的农业、中国的地理差异、北方地区、东三省、黄土高原1、黄土高原2”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提供教学主题资源不少于152个，包含“四个时期地球的形状认知、地球仪拆分、地球的自转运动、地球自转的地理意义、地球公转运动、比例尺、辨别方向、认识图例、五种地形的判读、等高线原理、等高线地形的判读、人类探索地球面貌的过程、海陆比例、认识大陆、认识海陆分布、大陆漂移、板块运动、火山活动、地震活动、世界平均气温、1月、7月平均气温图、世界平均年降水量、雨极和干极、世界气候类型、人类演化、人种分布、世界语言分布、世界宗教分布、主要宗教介绍、世界上的国家和地区、发达国家分布、亚洲地理位置、亚洲分区、亚洲气候、亚洲水文、亚洲地理集锦、北美洲地理位置、北美洲分区、北美洲气候、北美洲水文、北美洲地理集锦、日本地理位置、日本气候、日本地形、日本为什么多发地震、发生地震时侯我们要怎么办、印度地理位置、印度气候、印度地形、印度河流、印度农作物类型、印度人口、印度软件外包业务、俄罗斯地理位置、俄罗斯气候、俄罗斯地形、俄罗斯水文、俄罗斯工业与矿产资源、铁路分布、澳大利亚地理位置、澳大利亚动物独特性、澳大利亚地形、澳大利亚气候、澳大利亚养羊业、澳大利亚气温、澳大利亚年降水量、澳大利亚矿产资源、澳大利亚旅游资源、中东地理位置、中东石油路线、中东路线、中东气候类型、欧洲地理位置、欧洲气候、欧洲地形、欧洲畜牧业、欧洲旅游、撒哈拉以南的非洲地理位置、地形、人种分布、气候类型、矿产资源、东南亚地理位置、为什么东南亚被称为“十字路口”、东南亚国家拼图游戏、东南亚气候、东南亚农业、美国地理位置、美国人种构成、美国文化、美国气候、美国地形、美国农业、美国工业、巴西地理位置、巴西人口人种、巴西地形、巴西气候、巴西农作物、极地地区地理位置、南极北极场景漫游、极昼极夜现象观测、中国的地理位置、中国的疆域、中国的邻国、中国的临海、中国的四至点、中国的行政区划轮廓、中国省级行政区名称及简称、省级行政区的行政中心、地形类型多样，山区面积广大、地势西高东低，呈阶梯状分布、冬季南北温差大，夏季普遍高温、东西干湿差异、我国气候的主要特征、影响我国气候的主要因素、我国河流分布、内外流河分区、长江流域范围、长江分段、长江所经省区、长江流域气候类型、长江流域地形、长江的开发与治理、黄河流域范围、黄河分段、黄河所经省区、黄河流域气候类型、黄河流域地形、黄河的开发与治理、常见的自然灾害、地质灾害、气象灾害、可再生资源与非可再生资源、垃圾分类、中国土地资源、中国水资源、农业与我们的生活、因地制宜与农业的分布、四大地理分区、南北差异、北方地区地理位置、北方地区自然情况、北方地区人文情况、东北三省地理位置、东北三省自然情况、东北三省人文情况、黄土高原位置与范围、古老文明、风成说、黄土高原（塬、梁、峁、川）及演变原理、黄土高原治理”等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地理VR教学系统（高中版）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系统研发应依据高中地理新课标，以地理核心素养为主导，基于桌面级虚拟现实设备，通过VR、AR、MR等技术的集成，将较大时空跨度的地理景观、场景及复杂的区域地貌、人文景观以三维、动态、仿真的形式进行呈现。系统应兼顾人机交互、师生教学及生生互动等需求，应适用于地理学科教、学、研等应用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3)软件应支持球面、平面地图及动画的显示；应支持球面与平面以动画形式进行圆柱投影式切换，应展示出球面到平面投影的动态变化；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4)软件应支持地图球面、平面不同形态的图层叠加；应支持各类区域地图的图层叠加。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应提供地球公转运动的课程，应支持公转俯视视角与近距离同时观察，支持独立控制地球自转和公转，支持快速切换地球公转位置观察重要节气昼夜分布和太阳直射点位置，支持在地球上进行黄赤交角、经纬线、政区线的显示叠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6)软件应提供月相变化的演示，可模拟一月中月相变化和月亮在天空中的位置。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提供热力环流课程中热力环流的模拟实验，支持选择空气柱数量和位置，支持太阳在场景中位置的选择，支持等压面弯曲方向的改变，支持空气流动方向的改变，要求场景支持构建单圈热力环流、双圈热力环流构建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8)软件应提供潮汐场景，可演示涨潮与退潮现象。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9)软件应支持世界典型自然带场景体验。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软件应提供地球历史课程中地球46亿年板块运动过程，定位不同时期大陆分布状况，支持穿越白垩纪、三叠纪、侏罗纪场景漫游，支持抓取恐龙，近距离旋转观看。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11)软件应支持地貌模型跨时空演化的3D演示过程。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12)软件应支持通过地球图层进入3D VR虚拟场景的沉浸式体验。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13)软件应提供不同时区时间差异的演示，调整时间软件能即时显示对应时区。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14)软件应提供人类至少三个时期演化的三维动态演示，要求不同时期的人类模型可支持拿取及旋转观察。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15)软件应提供一年中任意时间的全天晨昏线运动演示。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软件应提供地域文化课程中特色建筑的场景，包括：福建土楼、欧洲乡村庄园、紫禁城、蒙古包等，支持特色建筑的搭建互动体验，搭建环节不少于14个。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17)软件应支持虚拟沙盘、情景推演，可利用自建数据模型智能模拟、计算某产业生产过程引发的数据变化，及其影响。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18)软件应支持钓鱼岛及其附属岛屿的场景漫游。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19)软件应支持思维导图的构建。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提供配套高中课程资源不少于32课，课程应依据普通高中地理课程标准开发，应包含“天体类型、天体系统、太阳系、太阳对地球的影响、地月系、地球的圈层结构、地球自转、地球公转运动、地球的历史、大气的组成和垂直分层、热力环流、天气系统、三圈环流、水循环、海水的性质、潮汐、喀斯特地貌-地上、喀斯特地貌-地下、河流地貌-侵蚀、河流地貌-堆积、风沙地貌-侵蚀、风沙地貌-堆积、岩石圈的物质循环、世界植被、滑坡、泥石流、地震、地域文化与城乡景观、农业区位因素及其变化、工业区位因素及其变化、国家发展战略、海洋权益”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提供不少于114个教学主题资源，应包含“恒星、行星、卫星、彗星观测以及体验人造天体如何工作、银河系、太阳系、地月系探索、暗物质暗能量探究、太阳系漫游、八大行星科普、行星分类、太阳内部结构以及外部结构、太阳对生产生活的影响、地月系观测、探索月相运动、观测月亮一个月在天空中的位置以及形态、地球内部圈层探究、地球外部圈层探究、地球圈层探测方法、人类探测地下探井深度、地球自转方向、周期、时区认知、昼夜变化、地球公转运动方向、周期、地球公转运动的地理意义、地质年代、恐龙挖掘探险、化石如何形成的、46亿年海陆变迁、穿越中生代、喜马拉雅山的形成、人类的演化过程、人类的迁移过程、大气垂直分层结构、绘制垂直气温曲线、各分层人类活动探索、热力环流基本原理探究实验、海陆风拓展探究、城市热岛拓展探究、冷锋暖锋探究、南北半球气旋探究、南北半球反气旋探究、单圈环流基本原理、三圈环流基本原理、气压带风带季节性移动探究、季风环流成因探究、海陆间循环探究、陆地内循环探究、海上内循环探究、海水温度盐度关系探究、红海和波罗的海气候分析、红海和波罗的海径流和气候对盐度影响、潮汐现象探究、加拿大芬迪湾涨潮场景体验、大潮和小潮原理探究、喀斯特地貌在中国分布、喀斯特地貌早年期、中年期、老年期演化过程、石林场景体验、孤峰场景体验、喀斯特地下溶洞探险、喀斯特地貌3D场景、河流地貌侵蚀类型分析、探究分析河流侵蚀不同时期的河流形态特点、河流堆积地貌探究、探索长江流域上游中游下游河流地貌特点、什么是风蚀地貌、风蚀地貌景观介绍、什么是风积地貌、新月形沙丘的形成原理、建构岩石圈物质循环过程、说文解字、风化过程探索、世界自然地理环境的基本特征、热带雨林场景探险、亚寒带针叶林场景探险、沙漠场景探险、草原场景探险、什么是泥石流、泥石流逃生探险、什么是滑坡、滑坡逃生探险、地震带分布、地震分析、室外地震逃生探险、室内地震逃生探险”、胡焕庸线、乡村地域文化场景体验（福建土楼、欧洲中世纪乡村庄园）、城市地域文化体验（北京古都紫禁城、北京四合院）、地域文化与当地地理环境的关系（古埃及住宅与当地地理环境的关系、蒙古包搭建材料与当地地理环境的关系）、传统农业区位因素、现代农业区位因素的变化、传统工业区位因素的互动游戏、现代工业区位因素变化、国家主体功能区、人均可利用土地资源、人均可利用顺资源、生态脆弱性、区域经济发展不平衡、农业战略格局、生态安全战略格局、长江经济带、京津冀一体化、海底地形、海洋空间、海洋资源、海洋生态系统、海洋经济开发格局、南海诸岛、钓鱼岛及其附属岛屿的历史与地质概况”等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历史VR教学系统（初中版）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历史VR教学系统应按照初中历史课程标准要求，涵盖统编初中七、八、九年级历史教科书内容，软件应对3D历史地图、3D历史场景、知识结构、时间轴、实物史料、文献史料、图像史料、历史解释等历史教学素材和资源进行系统整合，软件应内包含初中七、八、九年级不少于100节课程的教学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3)软件应支持使用者以单元或课为单位进行示课。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4)软件应支持实物展示时文物的简介描述、尺寸显示、细节说明以及相应动画、视频和拓展交互；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应提供基于北京人虚拟场景的体验，可对场景中的人物或模型做移动、旋转、抓取、点击及其他相应的交互操作。通过3D观察，配合文字说明，探究北京人的体态特征、使用的石器、保存火种、利用火吃熟食等行为，了解北京人的生活面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6)软件应支持展示历史地图（包括静态地图、动画效果）以及地图中包含的时间、位置及相关知识点等内容，历史地图应支持缩放显示控制。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7)软件应支持动态历史地图的播放控制，包括播放、暂停以及通过拖动滑动条操作地图的显示控制。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8)软件应支持同一专题下多张历史地图的合成展示，支持同一张地图上切换不同知识点的地理展示。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9)软件应具备中国历史时间轴、本课时间轴。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10)软件应支持按阶段定位中国历史时间轴，并支持在时间轴上滑动查看不同历史事件的知识点。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11)软件可展示知识结构板书。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12)软件应可展示实物、文献、图像等不同类型史料，并应支持缩放显示控制。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13)软件应可展示有材料出处、知识内容的史料解读。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14)软件应可展示单元目录及课次目录两种目录。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初中版软件应按七、八、九年级内容进行划分，应分别提供各个年级的用户操作手册和教学指导手册，其中用户手册应包括系统介绍、系统要求及软件操作说明等内容；教学指导手册应包括单元或每课的资源内容说明、活动设计或教学建议等，手册内容应与软件内容一一对应，每个年级的教学指导手册要求不少于100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软件应具备“中国共产党百年历程”专题，应包含中国共产党的创建和投身大革命的洪流、掀起土地革命的风暴等模块，模块下应以图文结合的形式串联历史事件，要求提供对应历史地图、南湖红船、红军长征等虚拟场景，提供基于虚拟场景的体验，应支持移动、旋转、抓取、点击及其它相应的交互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提供具备甲午中日战争动态线路的历史地图，应支持在地图上进行缩放、播放控制等操作；地图中应包含丰岛海战、平壤战役、黄海决战、威海卫之战等内容，应支持在甲午中日战争形势图上进行任一阶段的内容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要求提供奥林匹亚神庙的虚拟场景，通过抓取、旋转、缩放等交互操作，可对奥林匹亚神庙进行360度细节观察，应支持对神庙的尺寸标注显示，可通过内外部的切换实现场景漫游，帮助体验者感受世界文明的多样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1)初中版课程依据初中统编版历史教材开发，要求包含课程专题不少于100个课程专题、141个VR主题资源和94个历史地图资源，且课程专题及资源内容需符合课标要求。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2)需提供不少于100个课程专题教学内容：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七年级上册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史前时期：中国境内人类的活动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探访北京人、发现河姆渡、部落考古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夏商周时期：早期国家的产生和发展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分封之谜、国之重器、春秋霸主、亲临都江堰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秦汉时期：统一多民族国家的建立和巩固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秦的统一、“汉家”智慧、西汉王朝、东汉生活、丝绸之路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三国两晋南北朝时期：政权分立与民族交融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魏晋风度、寻梦桃源、胡风汉家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七年级下册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隋唐时期：繁荣与开放的时代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开通大运河、大唐江山、盛唐气象、一代高僧、宰相悲歌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辽宋夏金元时期：民族关系发展和社会变化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和战智慧、南海一号、大哉乾元、宋元都市、活字印刷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明清时期：统一多民族国家的巩固与发展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学优则仕、郑和踪迹、古人智慧、志在边疆、姑苏繁华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中国开始沦为半殖民地半封建社会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鸦片战争、第二次鸦片战争、太平天国运动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近代化的早期探索与民族危机的加剧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洋务运动、甲午战争与列强瓜分中囯狂潮、戊戌变法、八国联军侵华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资产阶级民主革命与中华民国的建立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革命先行者孙中山、辛亥革命与中华民国的创建、北洋政府的统治与军阀割据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新民主主义革命的开始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新文化运动、五四运动、中国共产党诞生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从国共合作到国共对立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北伐战争、毛泽东开辟井冈山道路、中国工农红军长征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中华民族的抗日战争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从九一八事变到西安事变、七七事变与全民族抗战、正面战场的抗战和敌后战场的抗战、抗日战争的胜利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第七单元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第八单元 近代经济、社会生活与教育文化事业的发展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近代经济和社会生活与教育文化事业的发展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中华人民共和国的成立和巩固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中华人民共和国成立、抗美援朝、土地改革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社会主义制度的建立与社会主义建设的探索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工业化的起步和人民代表大会制度的确立、三大改造、艰辛探索与建设成就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中国特色社会主义道路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改革开放、建设中国特色社会主义、为实现中国梦而努力奋斗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民族大团结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民族大团结、香港和澳门回归祖国、海峡两岸的交往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国防建设与外交成就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钢铁长城、外交事业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第六单元 科技文化与社会生活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科技文化与社会生活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党史专题：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中国共产党的创建和投身大革命的洪流、掀起土地革命的风暴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古代亚非文明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古代埃及、古代两河流域、古代印度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古代欧洲文明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希腊城邦和亚历山大帝国、罗马城邦和罗马帝国、希腊罗马古典文化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封建时代的欧洲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基督教的兴起和法兰克王国、西欧庄园、中世纪城市和大学的兴起、拜占庭帝国和《查士丁尼法典》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封建时代的亚洲国家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古代日本、阿拉伯帝国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第五单元 步入近代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西欧经济和社会的发展、文艺复兴运动、探寻新航路、早期殖民掠夺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第一单元 殖民地人民的反抗与资本主义制度的扩展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殖民地人民的反抗斗争、俄国的改革、美国内战、日本明治维新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第二单元 第二次工业革命和近代科学文化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第二次工业革命、工业化国家的社会变化、近代科学与文化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第三单元 第一次世界大战和战后初期的世界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第一次世界大战、列宁与十月革命、《凡尔赛条约》和《九国公约》、苏联的社会主义建设、亚非拉民族民主运动的高涨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第四单元 经济大危机和第二次世界大战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罗斯福新政、法西斯国家的侵略扩张、第二次世界大战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2.需提供不少于141个与课程配套的VR主题资源：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石器、摘果子的猿人、吃熟食的猿人、穴居与用火、干栏式房屋、猪纹陶钵、陶钵中的稻谷、石磨盘、骨耜、人面鱼纹彩陶盆、尖底瓶、鹳鱼石斧纹彩陶缸、克盉、克罍、司母戊鼎、越王勾践剑、吴王夫差矛、六国货币、兵马俑、冕旒冠、汉雁鱼铜灯、汉代耧车、“长乐未央”瓦当、金缕玉衣、马踏匈奴石像、马踏飞燕、东汉水排、击鼓说唱陶俑、鎏金铜蚕、甘肃嘉峪关魏晋墓碑、西晋青瓷对书俑、青瓷莲花尊、青瓷猪圈、鲜卑服武士陶俑、云冈石窟佛像、安济桥石栏板、飒露紫、鎏金舞马衔杯银壶、拳毛騧、彩绘帷帽女骑俑、马球图、三彩腾空马、大雁塔、高昌古城、葱岭、那烂陀寺、琵琶、注子与注碗、西夏铜牌、辽大明塔、契丹货币、南海一号福船、宋代瓷器、蒙古包、青花釉里红镂雕盖罐、简仪、傀儡戏纹铜镜、开宝寺塔、妇女剖鱼砖雕、北宋东京城砖、蹴鞠纹铜镜、活字印刷术、郑和宝船、《瑞应麒麟图》、《布施锡兰山佛寺碑》、《本草纲目》中的药材、金奔巴瓶、国姓瓶、将军炮、红衣大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虎门销烟原理演示、圆明园西洋楼、大水法、太平天国天王洪秀全玉玺、汉阳铁厂相册、定远舰、江南制造总局炮厂、虎头牌、水火棍、西式炮筒、《时局图》、五色旗、铁血十八星旗、北大红楼、中国早期马克思主义宣传文献、南湖红船、红军长征路线图、遵义会议、飞夺泸定桥、翻雪山、过草地、九一八事变过程示意、柳条湖段铁路爆炸纪念碑、杨靖宇印章、四行仓库、上海租界、苏州河、平型关大捷缴获日军武器、地道战、土地改革示意、淮海战役中的支前小车、南京总统府的历史变迁（清两江总督府时期、民国临时政府时期、南京国民政府时期、抗战时期、解放战争总统府时期）、民国上海街景、人民英雄纪念碑、国旗、国徽、第一批解放牌汽车、宪法、三大改造示意、东方红一号人造地球卫星、少数民族自治区3D交互、一带一路3D路线、辽宁舰、歼-20战斗机、神舟七号载人航天飞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埃及三大金字塔、尼罗河、《汉谟拉比法典》、马其顿长矛兵、罗马大竞技场、奥林匹亚神庙、雕塑《掷铁饼者》、雕塑《米罗的维纳斯》、雕塑《大卫》、雕塑《思想者》、特洛伊木马、中世纪欧洲庄园城堡、日本武士、《蒙娜丽莎》、《最后的晚餐》、《西斯廷圣母》、日本武士、莫尔斯电报、莱特飞行者一号、贝尔发明的电话、奔驰专利汽车、一战中的武器、阿芙乐尔号巡洋舰、第聂伯河水电站、亚非拉民族解放运动名人相册、二战中的坦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3.需提供不少于94个与课程配套的历史地图资源：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七年级：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周初分封示意图、春秋争霸形势示意图、都江堰水利工程示意图、丝绸之路示意图、大运河、玄奘西行路线示意图、辽北宋西夏形势图、宋朝海外贸易、元朝疆域、郑和下西洋航线、 清朝疆域。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鸦片战争形势图、英国侵略香港地区示意图、《南京条约》五口通商、亚罗号事件、马神甫事件示意图、第二次鸦片战争形势图、沙俄侵占中国北方领土示意图、太平天国运动形势图、洋务运动示意图、甲午中日战争形势图、义和团运动和八国联军侵华形势图、孙中山的主要革命活动示意图、辛亥革命前革命党人的起义活动形势图、辛亥革命形势、中华民国全图、二次革命形势图、护国战争形势示意图、新文化运动示意图、1919年5月4日北京学生示威游行路线图、马克思主义在中国的传播（1919-1921年）、北伐战争形势图、南昌起义形势图、秋收起义形势图、1929-1932年农村革命根据地形势示意图、九一八事变形势图、伪满洲国形势图、全国抗日救亡运动的高涨（1931-1936年）、淞沪会战形势图、平型关大捷形势图、台儿庄战役形势图、武汉会战经过要图、百团大战形势图、第三次长沙会战形势图、枣宜会战示意图、美国帮助国民党准备内战形势图、中共中央转战陕北路线示意图、人民解放军粉碎国民党军重点进攻形势图、辽沈战役示意图、淮海战役示意图、平津战役示意图、渡江战役示意图、民国工业初步发展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国领土的基本解放示意图、抗美援朝示意图、土地改革示意图、1956-1966年我国主要建设成就、沿海地区对外开放示意图、“两带一路”推动西部大开发示意图、我国民族分布图、民族区域自治示意图、台湾历史沿革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九年级上册：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古代埃及、古希腊城邦、希腊地形地貌、亚历山大东征后形成的东方国家、罗马帝国内部资源供应示意图、基督教的诞生及传播（公元1-4世纪）、5世纪末的日耳曼诸国、查理曼帝国的分解、西欧城市的重新兴起、中世纪欧洲的大学分布、查士丁尼一世统治时期的拜占庭帝国、奥斯曼土耳其的兴起、遣唐使船、阿拉伯国家的建立、文艺复兴在欧洲的扩展、中世纪以来欧洲和东方贸易的通道、新航路开辟示意图、葡萄牙、西班牙的海外殖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九年级下册：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拉丁美洲独立运动示意图、印度人民大起义、美国南北战争、明治维新前的日本、1700年与1911年英国人口与城市分布、达尔文环球考察路线、三国同盟和三国协约、第一次世界大战欧洲战场形势图、彼得格勒十月武装起义、帝国主义武装干涉和苏俄内战形势图（1918-1922）、苏联各加盟共和国示意图、第二次世界大战的欧洲形势、第二战场的开辟、德国法西斯进攻苏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历史VR教学系统（高中版）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历史VR教学系统需按照《普通高中历史课程标准》要求，涵盖统编高中历史教科书《中外历史纲要》上下册内容，软件对3D历史地图、3D历史场景、知识结构、时间轴、实物史料、文献史料、图像史料、历史解释等历史教学素材和资源进行系统整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2)软件应支持利用触控笔实现三维操控，操作者应能够观察到3D模型的出屏或景深效果；使用触控笔可虚拟“拿起”3D模型，对其进行360°观察及放大、缩小的操作，并能够对模型进行拆分与组合。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应支持展示、备课、授课三种应用模式的选择。备课模式下，可一键导入PPT课件，自由组合编辑系统中的各类资源,将自有资源与系统资源相互关联，实现知识结构图与其他类型资源、时间轴与历史地图组合、文献材料与3D历史文物模型等多种组合。在授课模式下，可播放备课模式下生成的课件，使用者可通过抓取、旋转、缩放、拖动等交互操作，灵活调取展示各类备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4)软件在备课/授课应用模式下，要求提供不少于45个自制3D课件。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5)软件应支持使用者以单元或课为单位进行示课。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6)软件应支持实物展示时文物的简介描述、尺寸显示、细节说明以及相应动画、视频和拓展交互；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7)软件应可展示3D历史场景，应支持场景内部的知识链接、3D旋转、大小放缩、位置移动、全息浏览、人机交互等功能。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8)软件应可展示3D历史地图（静态地图、动画效果），地图中应包含时间、位置及相关知识点等内容，地图应支持缩放显示。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9)软件应支持同一专题下多张历史地图的合成展示，支持同一张地图上切换不同知识点的地理展示。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10)软件应具备中国历史时间轴、本课时间轴，并支持中国历史时间轴、本课时间轴在同一课中切换。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11)软件应具备世界历史时间轴，应支持时间轴的拖动查看，支持每课目下本课或本单元时间轴与世界历史时间轴的切换，支持本课或本单元时间轴中进行中外对比，支持每课或每单元时间轴的缩放、拖动等操作。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12)软件应可展示动态知识结构板书、静态知识结构导图。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13)软件应可展示实物、文献、图像等不同类型史料，并应支持缩放显示控制。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14)软件应可展示单元目录及课次目录两种目录。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15)软件应支持古代风、近代风和现代风三种界面风格的选择与切换。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16)高中版软件应按册提供用户操作手册和教学指导手册，其中用户手册应包括系统介绍、系统要求及软件操作说明等；教学指导手册应包括单元或每课的资源内容、活动设计或教学建议等，要求不少于180页。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软件应具备良渚遗址场景，应包含瑶山祭坛、外围水利系统、城墙与内外城等五大模块，应支持通过不同场景的切换实现漫游，应支持通过抓取、旋转、缩放等交互操作，对文物模型进行360度细节观察，并通过点击触发动画演示，了解良渚古城的空间规划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软件应具备还原航船从西班牙出发的虚拟场景，应支持以任务探究的方式串联知识点，引导体验者主动学习相关内容，可通过内外部的切换实现场景漫游，结合点击、移动等操作全方位沉浸式感受15世纪末16世纪初航船的历史情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应内置AI教学助手：应支持基于自然语言交流的交互方式，扩展当前系统当前资源主题的学习内容；应具备多轮对话能力，能够根据使用者的追问做进一步阐释，引导使用者自主思考，为教、学、研、备等教学活动提供辅助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2.课程资源要求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1)高中版课程依据高中统编版历史教材开发，要求包含课程专题不少于50个，VR主题资源不少于200个，3D地图资源不少于180个，课程专题及资源内容均要求符合课标要求。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2)需提供不少于50个课程专题教学内容：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第1课 中华文明的起源与早期国家  第2课 诸侯纷争与变法运动  第3课 秦统一多民族封建国家的建立  第4课 西汉与东汉——统一多民族封建国家的巩固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第5课 三国两晋南北朝的政权更迭与民族交融  第6课 从隋唐盛世到五代十国  第7课 隋唐制度的变化与创新  第8课 三国至隋唐的文化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第9课 两宋的政治和军事  第10课 辽夏金元的统治  第11课 辽宋夏金元的经济与社会  第12课 辽宋夏金元的文化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第13课 从明朝建立到清军入关  第14课 清朝前中期的鼎盛与危机  第15课 明至清中叶的经济与文化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第16课 两次鸦片战争  第17课 国家出路的探索与列强侵略的加剧  第18课 挽救民族危亡的斗争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第19课 辛亥革命  第20课 北洋军阀统治时期的政治、经济与文化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第21课 五四运动与中国共产党的诞生  第22课 南京国民政府的统治和中国共产党开辟革命新道路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第23课 从局部抗战到全面抗战  第24课 全民族浴血奋战与抗日战争的胜利  第25课 人民解放战争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第26课 中华人民共和国成立和向社会主义的过渡  第27课 社会主义建设在探索中曲折发展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第28课 中国特色社会主义道路的开辟与发展  第29课 改革开放以来的巨大成就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中外历史纲要（下）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第1课 文明的产生与早期发展  第2课 古代世界的帝国与文明的交流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第3课 中古时期的欧洲  第4课 中古时期的亚洲  第5课 古代非洲与美洲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第6课 全球航路的开辟  第7课 全球联系的初步建立与世界格局的演变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第8课 欧洲的思想解放运动  第9课 资产阶级革命与资本主义制度的确立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第10课 影响世界的工业革命  第11课 马克思主义的诞生与传播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第12课 资本主义世界殖民体系的形成  第13课 亚非拉民族独立运动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第14课 第一次世界大战与战后国际秩序  第15课 十月革命的胜利与苏联的社会主义实践 第16课 亚非拉民族民主运动的高涨  第17课 第二次世界大战与战后国际秩序的形成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第18课 冷战与国际格局的演变  第19课 资本主义国家的新变化  第20课 社会主义国家的发展与变化  第21课 世界殖民体系的瓦解与新兴国家的发展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3)需提供不少于200个与课程配套的VR主题资源：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元谋人门齿化石、北京人头盖骨、周口店石砧与石锤、红山文化牛河梁遗址祭坛和积石冢、仰韶文化鱼纹彩陶盆、大汶口文化白陶鬶、龙山文化薄胎黑陶高柄杯、河姆渡文化猪纹陶钵、良渚文化玉琮、周口店石砧与石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河姆渡文化骨耜、河姆渡文化陶纺轮、良渚文化石犁、良渚古城场景、王令众人协田刻辞牛骨、何尊、宜侯夨簋、井田制演示模型、曶鼎铭文、后母戊鼎；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四羊青铜方尊、商鞅方升、战国铁犁铧、越王勾践剑、吴王夫差矛、战国水陆攻战纹铜壶、（清）孔子圣迹图（局部）、（清）缂丝青牛老子图轴、睡虎地秦简《秦律十八种》、（秦）铜弩机；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琅琊刻石、大铁权、涉故台陈胜、吴广起义雕像、六国钱币与秦半两钱模型、冕旒冠模型、彩绘跪射俑、“汉并天下”瓦当、“齐铁官印”封泥与原理演示动画、“滇王之印”金印；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马王推曲裾素纱襌衣、新莽“一刀平五千”铜钱、马踏匈奴石雕、翻车模型及原理演示视频、青釉仰覆莲花尊、（唐）阎立本《历代帝王图》——晋武帝司马炎像、青瓷羊形烛台（东吴）、帝后礼佛图（北魏）、乌衣巷、成都武侯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回鹘文摩尼教寺院文书（局部）、筒车模型及原理演示动画、展子虔游春图卷、阎立本步辇图卷、（唐）阎立本《历代帝王图》——隋炀帝像、鎏金舞马衔杯银壶、曲辕犁、铜高鼻钮“中书省之印”、《慈恩雁塔唐贤题名卷》（局部）、姚崇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大雁塔、初中玄奘模型、敦煌莫高窟壁画（局部截取）、三彩骆驼、三彩胡人牵骆驼俑、三彩腾空马、马球图、彩绘帷帽女骑俑、云冈石窟露天大佛、大秦景教流行中国碑；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龙门石窟、洛神赋图卷（宋摹）、唐咸通九年雕版《金刚经》、唐绢衣彩绘木俑、《女史箴图》卷（唐摹）、展子虔《游春图》卷、《送子天王图》、靖康李纲锏、契丹使朝聘图、宋太祖蹴鞠图；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威武左第二十三指挥第二都朱记印、《雪夜访普图》、三弓弩（北宋）、王安石《楞严经旨要》（局部）、《听琴图》（南宋）、成吉思皇帝圣旨银牌、大元圣政国朝典章、天朝万顺钱、铜钮柄移改达葛河谋克印、西夏文敕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北京城演变动画《备茶图》（辽）、灵武窑黑釉剔花瓶（西夏）、《卢沟运筏图》、元世祖出猎图、耕获图、南海一号沉船模型、清明上河图、《农桑辑要》书影、《农书》书影、北宋铁镢头；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汝窑天青釉三足樽承盘、简仪模型、忠翊侍卫亲军弩军百户印、朱熹行书上时宰二札、《虎溪三笑图》（南宋佚名）、赤壁后游图、元朝杂剧演出壁画、《清明上河图》中的说书人、《梦溪笔谈》书影、《农书》书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契丹文铜镜、西夏文敕牌、铜柱钮“辽州之契”印、铜铸柄钮“秃都河卫指挥使司印”、鸳鸯阵模型及演示动画、郑和宝船模型、朱元璋行书大军帖、明英宗为王振所立碑拓片、戚继光像、俺答汗像；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努尔哈赤像、威远将军炮模型及演示动画、雍正朝奏折、金奔巴瓶、乾隆御笔平定西域战图十六咏并图（局部）、五世达赖喇嘛画像、坤舆万国全图、明代丝织经皮子两种、王守仁上疏手稿、盛世滋生图；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黄宗羲像、顾炎武像、王夫之像、徐光启像、利玛窦像、《徐霞客游记》书影、人民英雄纪念碑浮雕——虎门销烟、鸦片烟具、鸦片战争期间虎门炮台军民抗击英军使用的火药缸、《天朝田亩制度》；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《资政新篇》、太平天国殿左一指挥罗大纲、木官正将军吴如孝致英使文翰照会、汉阳钢铁厂、“镇远”舰铁锚、人民英雄纪念碑浮雕——金田起义、1884 年“乐威毅公祠”铁钟、日本军官服部雄吉念碑、义和团龙旗与旗杆上的金拳头、《保护上海长江内地通共章程》；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清帝逊位诏书》、方声洞在黄花岗起义前夕致父绝笔书、《大总统誓词》《中华民国大总统孙文宣言书》与《告海陆军士文》、民国“纪念”粉彩双旗罐与掐丝珐琅“纪念国庆”双旗杯、中华民国临时约法、人民英雄纪念碑浮雕——武昌起义、中华初等小学修身教科书（第四册）、民国“女界文明进步”铜镀金手镯、民族工商业文物四种、民国初年的新女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早期马克思主义宣传文献、中华苏维埃共和国相关文物、红一方面军在长征中写的木版标语、侵华日军使用的细菌炸弹与日军防毒面具修补箱、杨靖宇印章、陆军第十八集团军证章与新四军司令部证章、套色木刻宣传画《抗战十大任务》、民兵模范马玉璋的“胶东爆炸大王”奖章、叶挺（叶希夷）私章、国立西南联合大学纪念碑与1944年西南联大历史系毕业纪念戒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平型关战斗缴获的日军武器装备、美国陆军部颁发给中国远征军第二〇〇师师长戴安澜的军团功勋章、全国慰劳总会敬赠八百壮士“忠党卫国”纪念章、军事调处执行部中国共产党委员关防和“军调”臂章、炸药发射筒、淮海战役中的支前小车、人民英雄纪念碑浮雕——五四运动、人民英雄纪念碑浮雕——五卅运动、人民英雄纪念碑浮雕——南昌起义、人民英雄纪念碑浮雕——抗日敌后游击战；人民英雄纪念碑浮雕——渡江战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《汉谟拉比法典》、尼罗河、古埃及三大金字塔、宙斯神庙、罗马大竞技场、中世纪欧洲庄园城堡、日本武士模型、大津巴布韦、新航路开辟的动因；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15和18世纪的世界地图对比、达芬奇《蒙娜丽莎》、《最后的晚餐》、拉斐尔《西斯廷圣母》；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断头台、巴士底狱、18世纪纺织工业中的发明、瓦特的蒸汽机、克莱蒙特号蒸汽船、莱特飞行者一号；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4)需提供不少于180个与课程配套的3D地图资源：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旧石器时代重要人类遗址分布图、中国新石器时代重要文化遗存分布图、夏朝统治区域图、商朝形势图、周初分封形势、春秋争霸形势、战国形势图、孔子周游列国形势、老子主要活动路线、战国经济发展与变法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诸子主要活动地点和路线、秦灭六国、秦朝开拓形势、秦末农民起义与楚汉战争形势、西汉形势图、东汉疆域、张骞出使西域路线、西汉与匈奴的战争、汉代丝绸之路、西汉初期封国形势；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汉代经济分布、东汉末年黄巾起义与军阀割据、三国鼎立形势图、西晋形势、东晋十六国形势图、两晋之际人口南迁、东晋南朝经济的发展、南北朝形势、淝水之战、北魏形势；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魏晋时期北方民族的内迁及其分布、隋朝形势、唐朝前期疆域和边疆各族分布图盛唐时期疆域、五代十国疆域图、隋朝大运河、唐朝经济分布、唐代人口分布、中唐之后人口南迁、安史之乱、唐代后期藩镇割据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唐末黄巢起义、玄奘西行路线图、唐朝对外主要交通路线示意图、三国至隋唐文学艺术成就、三国至隋唐科技成就、辽北宋西夏形势图、金南宋西夏形势图、北宋的边疆危机、元朝形势图、宋代经济分布；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宋朝海外贸易、宋代人口分布、两宋之际人口南迁、元朝运河海运路线图、东晋南朝江南经济的发展、两晋之际人口南迁、唐代人口分布、中唐之后人口南迁、明朝形势图、郑和航海路线图；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戚继光抗倭形势、清朝疆域图、清军平定准噶尔部贵族叛乱与大、小和卓叛乱、清朝前期玉米、甘薯推广种植图、清初白银流入中国、明清时期的经济发展、1840年前的中国和世界形势图、鸦片战争形势图；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二次鸦片战争形势图、两次鸦片战争中中国被割让的领土与被迫开放的通商口岸示意图、太平天国运动形势图、甲午中日战争形势图、19世纪末帝国主义列强在华瓜分势力范围示意图、太平天国后期形势、洋务运动、台湾人民反抗日军占领形势、中国边疆危机与甲午中日战争、义和团运动和八国联军侵华战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京津地区形势、维新变法运动、《辛丑条约》允许外国驻兵地点示意图、资产阶级革命运动的兴起和发展、辛亥革命形势、中华民国形势、北洋军阀的独裁统治和革命党人维护共和的斗争、北洋军阀统治时期军阀割据示意图、中国民族资本主义的发展、新文化运动及其代表人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国共产党的成立及早期工农运动、五四运动、国民革命军北伐路线示意图、南京国民政府在全国统治的确立、南昌起义、秋收起义、广州起义和井冈山会师1929—1932年农村革命根据地分布示意图、中国工农红军长征示意图、抗日救亡运动和局部抗战、日军在中国的细菌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毒气战及制造的惨案、中国人民的抗日战争、卢沟桥事变示意图、台儿庄战役示意图、华北敌后抗日根据地形势图、百团大战示意图、中国人民的抗日战争、第二次世界大战主要战场示意图、中国远征军入缅作战、抗日战争胜利后国内形势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大战役示意图、人民解放军渡江战役示意图、中国人民解放战争和新民主主义革命的胜利、全国领土的基本解放、土地改革与国民经济的恢复和初步发展、新中国初期的外交、第一个五年计划主要经济建设成就、1958—1976年主要经济建设成就、新中国的外交形势（迄20世纪70年代末）、中国对外开放格局的形成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改革开放后中国的全方位外交、中国原始农业主要遗址分布地图、古代主要文明示意图、两河流域的苏美尔和阿卡德地图、古代埃及地图、古代印度和异族入侵地图、玄奘《大唐西域记》、古代希腊地形地貌地图、古代希腊城邦地图、希腊人在地中海和黑海地区的殖民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波斯帝国（公元前5世纪前后）地图、亚历山大东征后形成的东方国家（公元前3世纪中叶前）地图、亚历山大东征后形成的东方国家（公元前3世纪中叶后）地图、罗马帝国时代的欧亚大陆地图、西欧新兴的王权集中国家地图、中古西欧主要国家和城市地图、6-7世纪的拜占庭帝国地图、10-11世纪的基辅罗斯地图、阿拉伯国家的建立地图、奥斯曼土耳其的兴起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古时期的亚洲地图、班图人迁徙路线图、阿克苏姆王国地图、东非沿海城市国家地图、西非地区地图、大津巴布韦地图、美洲文明分布示意图（玛雅文明）、美洲文明分布示意图（阿兹特克文明）、美洲文明分布示意图（印加文明）、新航路开辟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其他航路的开辟示意图、哥伦布大交换地图、葡萄牙、西班牙的海外殖民地图、15、16世纪人文主义思想开始向西欧其他国家和地区传播示意图、欧洲宗教改革形势图（17世纪初）、欧洲思想解放运动示意图（启蒙运动）、19世纪资本主义在全球范围内继续扩展地图、美国南北方经济类型地图、德意志的统一过程地图、19世纪欧洲工人运动和马克思主义诞生示意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第一国际成立形势图、巴黎公社形势图、18世纪晚期拉丁美洲殖民示意图、殖民国家对亚洲的侵略形势图（19世纪末20世纪初）、1876年前西方殖民者对非洲的侵略地图、拉丁美洲独立运动地图、亚洲民族独立运动地图、第一次世界大战欧洲战场地图、一战后亚非民族解放运动的高涨地图、彼得格勒十月武装起义地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帝国主义武装干涉和苏俄内战形势图（1918-1922）、苏联各加盟共和国示意图、亚洲革命运动地图、独立后的拉丁美洲地图、第二次世界大战的欧洲战场地图、德国法西斯进攻苏联地图、第二战场的开辟（1944年）地图、接受马歇尔计划的国家分布图、经济互助委员会成员国分布图、北约与华约对峙示意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要求采用便携化设计，支持无外部供电的移动使用。要求支持基于眼球追踪定位的裸眼3D显示技术、基于光学定位的VR交互技术。使用户无需佩戴3D眼镜以裸眼方式即可体验到3D/XR的景深效果，满足用户以更为便捷的方式使用内置适用于教学的虚拟现实VR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一、技术要求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（1）3D显示：要求设备支持3D显示和2D显示一键切换，要求支持显示面积尺寸≤15.6英寸，要求显示分辨率≥3840*2160；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（2）裸眼3D显示：要求无需佩戴3D眼镜，仅通过裸眼方式即可观看到3D/VR的景深效果；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（3）2D/3D视频转化：要求设备支持2D视频进行3D视频的转化功能。需满足打开该功能后将普通视频转化为3D视频；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（4）眼球跟踪：要求具备可追踪眼球的多目摄像头，通过摄像头系统能准确判断人眼所在位置，从而根据眼球追踪视角的不同来转换不同视角下的显示内容，达到逼真的XR效果。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二、功能要求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（1）要求软件可以选择各式各样的制作工具，支持3D模型制作或3D画创作；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（2）要求平台支持启动已安装的教学资源并且支持通过快速启动代码启动资源；要求平台支持显示未安装内容、可更新的内容，并且支持在线下载安装；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（3）要求系统具备XR模块检测功能，可以通过该模块对机器的XR功能进行检测，能够读取XR硬件设备信息，并展示出XR设备的检测画面；。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（4）要求系统具备教学演示功能，包含、蝴蝶的一生知识点学习、机械手臂原理学习、人类器官仿真模拟相关功能。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（5）要求系统具备物理力学实验模拟功能，要求支持对模拟实验的结果进行自动数据统计，并反馈结果。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（6）要求支持登录在线平台后拥有进入个人空间，支持在个人空间发布文章、上传图片和资源；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（7）要求进入一个协作组后，支持在协作组发布文章、上传图片和资源；要求支持进入活动页面，可参与一个教研专题活动，并进行评论互动；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（8）要求可支持进入某一个课题研究内容，包括查看课题介绍，负责人，参与者，开题模块、中期模块、结题模块，并支持自定义一个模块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光学定位交互器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要求借助光学定位系统和触控笔，支持对屏幕上显示的虚拟物体进行交互操作，具备以下特点：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1.要求能够对VR对象进行3个自由度坐标轴移动及3个自由度坐标轴的转动；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2.要求光学定位器与主机之间采用有线方式连接，采用红外相机对交互笔进行空间定位；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3.要求在交互笔与主机之间采用有线方式连接，且具有3个功能按键来实现对象选择、旋转、缩放等操作；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4.交互笔内置震动器，可以通过震动的方式回馈用户的操作；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AR增强现实软件系统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应提供一种方式可以与他人分享体验过程，正常情况下，仅有一人可以在显示器前看到立体3D效果，其他人只能看到重影或2D图像。本系统将使用者的体验过程投射到另一屏幕或者第二台监控器上，使用本系统可实时的显示应用、录制课程学习过程，可供以后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1.点对群展示：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系统支持点对群展示方式，能够实时将操作者的虚拟现实交互场景展示至大屏幕显示设备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2.显示模式自动切换功能：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VR设备支持AR增强现实显示方式与普通显示方式手动切换；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1）当跟踪眼镜或使用者的面部出现在屏幕传感器捕捉范围内，显示方式由普通显示屏方式自动切换成3D显示方式；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2）当跟踪眼镜或使用者的面部在屏幕传感器之外，显示方式自动切换至普通显示方式。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裸眼XR便携终端配件包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功能要求：配件包应提供满足裸眼XR便携终端视频信号中转用途的专用设备与辅助设备，应支持将裸眼XR便携终端设备显示画面展示至小组屏；应支持AR（增强现实）展示功能，将虚拟内容与现实拍摄场景叠加融合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2.构成要求：AR增强现实视频摄像头×1、摄像头专用支架×1、USB扩展坞x1、无线鼠标x1、散热支架×1、HDMI线×1。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3.规格要求：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1）AR增强现实视频摄像头：应采用USB接口，支持即插即用，免驱动使用；应配备可连接三角架的通用固定夹，应支持与裸眼XR便携终端的配套使用，实现增强现实功能；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2）摄像头专用支架：支持360°云台，脚架高度须满足15cm-27.5cm之间的调节；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3）USB扩展坞：支持USB3.0接口不少于4个，支持Type-C单独供电；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4）无线鼠标：支持2.4GHz无线和蓝牙双模；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5）散热支架：应支持三风扇为裸眼XR便携终端提供散热，尺寸兼容裸眼XR便携终端和光学定位交互器同时使用；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6）HDMI连接线：能够实现裸眼XR便携终端视频传输，线材长度不小于5m；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冰川地貌模型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1.规格:约600*400mm，采用高分子材料精制而成，仿真微缩内容完整充实、紧扣教材。仿真微缩内容包括:U形谷、冰碛、冰碛湖、冰碛垅、冰斗、角峰、刃脊、漂砾、悬谷。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火山地貌模型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1.规格:约600*400mm，采用高分子材料精制而成、仿真微缩内容完整充实、紧扣教材。包括:两类火山口（盾形，锥形）典型火山的剖面（火山口、火山通道、岩浆）的两大熔岩流，熔岩丘、堰寒湖。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丹霞地貌模型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巨红色的几乎呈水平状的砂砾岩层、垂直节理发育形成丹崖、齐峰，有直立状、堡状、宝塔状，形成巨大陡崖、石墙、石窗、石桥、巷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流水地貌模型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1.规格:约600*400mm，采用高分子材料精制而成、仿真微缩内容完整充实、紧扣教材。包括:上游的“V”形谷地及树枝。状水系，出山口的冲积扇，中游的泛滥平原、牛轭湖、下游的滨海平原、三角洲。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科罗拉多峡谷模型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在剖面图上绘制前寒武纪到第三纪完整的地质年代。山头、鞍部、陡坡、缓坡、山谷线、山脊线、峡谷、陡崖、三圈等高线闭曲线，并有剖面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三类岩石模型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1.规格:约600*400mm，采用高分子材料精制而成、仿真微缩内容完整充实、紧扣教材。包括:岩浆岩、沉积岩和变质岩，分色标识。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温室效应模型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数年前海港的环境-城市、道路、码头、海轮、河流水较清，树木繁茂。数年后的环境污染，城市被迫搬迁，建防海大堤，旧城部分房屋被海水浸没，码头、港口被淹，海轮停靠外海，河水发黑，树木凋零，城市规模缩小，海港外出现沙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煤炭、石油矿质构造模型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煤矿地质构造、煤层分布、坑道、采煤作业面、露田煤矿作业；石油矿的含油层、天然气层分布、钻井及井架、采油机、地面输煤线、储油罐、煤矿堆场、石油管道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风蚀地貌模型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风蚀城堡，风蚀蘑菇，风蚀洞穴，风蚀洼地，风蚀桂，新月形沙丘，戈壁。采用高分子材料精制而成，仿真微缩内容完整充实、紧扣教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梯田模型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分段沿等高线建造的梯田、水平梯田、坡式梯田、复试梯田等。采用高分子材料精制而成，仿真微缩内容完整充实、紧扣教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地下水模型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1.规格:约600*400mm，采用高分子材料精制而成、仿真微缩内容完整充实、紧扣教材包括:自流井、梯田石山。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黄土地貌模型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1.规格:约600*400mm，采用高分子材料精制而成、仿真微缩内容完整充实、紧扣教材包括:冲沟、河谷、黄土梁、黄土茆、川、窑洞及人工改造的平原、在茆上有同心园梯地。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海岸地貌模型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1.规格:约600*400mm，采用高分子材料精制而成、仿真微缩内容完整充实、紧扣教材包括:海蚀凹形崖、海蚀洞、海蚀柱、海蚀拱石、海蚀平台。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r>
              <w:rPr>
                <w:rFonts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地震模型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1.规格:约600*400mm，采用高分子材料精制而成、仿真微缩内容完整充实、紧扣教材包括:震源、震中、震源深度、震中距不同对地表建筑物的破坏程度不同，遭破坏的房屋、公路、铁路、山坡产生滑坡，农田等。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等高线模型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1.规格:约600*400mm，采用高分子材料精制而成、仿真微缩内容完整充实、紧扣教材包括:山头、鞍部、陡坡、缓坡、山谷线、山脊线、峡，谷、陡崖、三圈等高闭曲线，并有剖面图。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五种地形模型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1.规格:约600*400mm，采用高分子材料精制而成、仿真微缩内容完整充实、紧扣教材包括:按合理的水平、垂直比例尺反映高原、山地、平原、丘陵和盆地。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喀斯特地貌模型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1.规格:约600*400mm，采用高分子材料精制而成、仿真微缩内容完整充实、紧扣教材包括:石林、洼地坝子、落水洞、天生桥、峰林、地面河、溶洞、暗河、钟乳石、石笋、洞穴边石坝（莲花池）。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地上河模型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1.规格:约600*400mm，采用高分子材料精制而成、仿真微缩内容完整充实、紧扣教材包括:黄河地上河最主要的特征、平原及地上河、铁路桥、开封铁塔、船只、虹吸管灌溉工程及清淤池。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地质地貌模型柜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采用18mm双贴面防潮三聚氰胺板，钢化玻璃制作，密封性好，安全、稳固。模型柜尺寸及结构需根据配备模型数量进行整体定制。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岩石矿物标本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规格：单盒装，单块标本尺寸约2*3*2cm左右；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标本种类：至少包含三大类岩石(岩浆岩、变质岩、沉积岩)，常见矿物(磁铁矿、黑钨矿、蓝铜矿、方铅矿、滑石、石英、云母、正长石、方解石、斜长石、磷灰石等)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土壤标本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至少包含：砖红壤、红壤土、紫色土、黑钙土、水稻土。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司南模型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材质：铜质、木框；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规格不小于：22×22×9cm，实际测量尺寸误差不超过1cm。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景德镇五彩瓷瓶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材质：陶瓷；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规格不小于：高度30cm，肚径21cm，实际测量尺寸误差不超过1cm。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r>
              <w:rPr>
                <w:rFonts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唐三彩</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材质：陶制；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规格不小于：24×10×35cm；唐三彩五人乐俑，实际测量尺寸误差不超过1cm。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黑陶高柄杯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材质：黑陶；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规格不小于：高度19cm，口径10cm，实际测量尺寸误差不超过1cm。按照原物1:1仿制。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景德镇青花瓷盘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规格不小于：直径25cm，景德镇青花瓷盘，实际测量尺寸误差不超过1cm。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马踏飞燕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马踏飞燕又名“铜奔马”。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材质：锌铜合金；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规格不小于：高19cm、长25cm、宽6.5cm，实际测量尺寸误差不超过1cm，按照和实物5:3比例进行仿制。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教学挂图灯箱片（完中版）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不小于：115cm*55cm，横版，灯箱片要求：1440dpi高清晰度灯箱片，覆亮膜，包含（至少10张）：1-地球公转与季节变化2-世界一月大气压3-世界七月大气压4-环境问题5-世界地形图6-世界政区图7-极地地区8-澳大利亚特有动物9-蟹状星云10-玫瑰星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1.尺寸：≥1500*600*1012mmmm；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4.功能：（1）可倾斜方便操作。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1.尺寸：≥576*576*650mm；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2.桌面：材质采用抗倍特一体成型。耐80度以上高温。防水：浸水24小时后的膨胀指数不多于0.1mm，面板四周采CNC修边，四周倒角，圆润光滑无任何毛边。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（1）.材质及形状：桌腿圆型钢管。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（2）.尺寸：桌腿尺寸：ф42-15mmｘ640ｘ1.2ｍｍ。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（3）.表面涂装：高温粉体烤漆。长时间使用也不会产生表面漆剥落现象。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（1）.材质：采用优质白色塑料+铁镀蓝锌。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（2）尺寸：≥ф32*M10*40mm。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1.尺寸：≥Φ296*450mm；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2.材质：ABS+钢管；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ABS新料一体注塑成型，面板直径29.6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平面地形地球仪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产品规格≥Φ32cm，</w:t>
            </w:r>
            <w:r>
              <w:rPr>
                <w:rFonts w:hint="eastAsia"/>
                <w:sz w:val="20"/>
                <w:szCs w:val="20"/>
              </w:rPr>
              <w:br w:type="textWrapping"/>
            </w:r>
            <w:r>
              <w:rPr>
                <w:rFonts w:hint="eastAsia"/>
                <w:sz w:val="20"/>
                <w:szCs w:val="20"/>
              </w:rPr>
              <w:t>1.产品由球体和支架等组成。</w:t>
            </w:r>
            <w:r>
              <w:rPr>
                <w:rFonts w:hint="eastAsia"/>
                <w:sz w:val="20"/>
                <w:szCs w:val="20"/>
              </w:rPr>
              <w:br w:type="textWrapping"/>
            </w:r>
            <w:r>
              <w:rPr>
                <w:rFonts w:hint="eastAsia"/>
                <w:sz w:val="20"/>
                <w:szCs w:val="20"/>
              </w:rPr>
              <w:t>2.平面比例尺≥1:40000000。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r>
              <w:rPr>
                <w:rFonts w:hint="eastAsia"/>
                <w:sz w:val="20"/>
                <w:szCs w:val="20"/>
              </w:rPr>
              <w:t>平面政区地球仪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产品规格≥Φ32cm</w:t>
            </w:r>
            <w:r>
              <w:rPr>
                <w:rFonts w:hint="eastAsia"/>
                <w:sz w:val="20"/>
                <w:szCs w:val="20"/>
              </w:rPr>
              <w:br w:type="textWrapping"/>
            </w:r>
            <w:r>
              <w:rPr>
                <w:rFonts w:hint="eastAsia"/>
                <w:sz w:val="20"/>
                <w:szCs w:val="20"/>
              </w:rPr>
              <w:t>1.产品由球体和支架等组成。</w:t>
            </w:r>
            <w:r>
              <w:rPr>
                <w:rFonts w:hint="eastAsia"/>
                <w:sz w:val="20"/>
                <w:szCs w:val="20"/>
              </w:rPr>
              <w:br w:type="textWrapping"/>
            </w:r>
            <w:r>
              <w:rPr>
                <w:rFonts w:hint="eastAsia"/>
                <w:sz w:val="20"/>
                <w:szCs w:val="20"/>
              </w:rPr>
              <w:t>2.平面比例尺≥1:40000000。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美术书法资料室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美术仪器架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钢制，≥1500x600x2000mm，承重约300KG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多媒体讲台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1.尺寸：≥1500*600*1012mm；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2.材质：抗倍特板/钢板；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4.功能：（1）可倾斜方便操作。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1.尺寸：≥1800*1150*750mm；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2.材质：橡胶木桌面+钢架；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使用原料主要以梓油、亚麻油、苏子油、松油、棕榈蜡、植物树脂及天然色素融合而成，调色所用的颜料为环保型有机颜料的优质木蜡油经反复打磨、浸润、擦拭、上光制成，不含甲醛；钢架采用满焊焊接，钢架表面涂装经高温粉体烤漆，长时间使用也不会产生表面漆剥落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4.功能：桌面厚度≥4cm，结构坚固扎实，小组四人至六人使用，桌面较宽，配置工具置物架，方便放置工具及半成品。配水晶垫。</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低背椅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1.尺寸：≥W430xD425xH550-座高450mm；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2.材质：PP+钢管；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PP新料一体注塑成型。椅腿钢管尺寸：钢管直径22mm，壁厚≥1.8mm，满焊焊接，表面采用高温粉体烤漆，耐腐蚀，不易生锈；脚垫采用PP纤维质塑胶一体成型，防滑、耐用、耐摩擦；坐凳下配有防滑垫，便于悬挂于桌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展示互动仪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1.像素：≥800万自动对焦（分辨率3264*2448）；</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2.帧数：无线720P和1080P不低于30帧/秒；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3.最大拍摄幅面：最大拍摄幅面A2，最短拍摄距离8cm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4.万向软管式设计，任意方向可调。可以微距显示（拍摄清楚线路板IC型号）也可以拍摄超大A2幅面(拍摄大场面实训，创客场景）。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5.插拔式底座双用，底座和机身可分离，分离后产品可以夹于桌边。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6.图片格式JPG,BMP,PNG,GIF,TIF，视频格式MP4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连接方式：5G无线传输,自动连接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8.光源：自然光、LED灯补光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9.同时连接多媒体显示设备（一体机，电子白板，纳米黑板）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10.需支持在实训室无线全录播系统中选取任意互动终端展示实时教学、绘画、作业、书写、实验等实时视频。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绘画工具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1、狼毫圆头水粉画笔1-12#各1支：1号：全长约287mm，笔峰宽5mm，笔峰长10mm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2号：全长约287mm，笔峰宽6.3mm，笔峰长12mm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3号：全长约288mm，笔峰宽7.5mm，笔峰长13.5mm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4号：全长约292mm，笔峰宽8mm，笔峰长15mm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5号：全长约294mm，笔峰宽8.2mm，笔峰长15mm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6号：全长约296mm，笔峰宽10mm，笔峰长16mm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7号：全长约300mm，笔峰宽10mm，笔峰长18mm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8号：全长约320mm，笔峰宽12mm，笔峰长19mm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9号：全长约350mm，笔峰宽14mm，笔峰长20mm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10号：全长约357mm，笔峰宽16mm，笔峰长22mm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11号：全长约314mm，笔峰宽19mm，笔峰长25mm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12号：全长约323mm，笔峰宽20mm，笔峰长26mm；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2、狼毫尖头水彩笔1-12#各1支：1号：全长285mm,笔头直径4.2mm，笔峰长13mm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2号：全长286mm,笔头直径4.2mm，笔峰长14mm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3号：全长288mm,笔头直径4.5mm，笔峰长15mm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4号：全长288mm,笔头直径4.5mm，笔峰长16mm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5号：全长288mm,笔头直径5.2mm，笔峰长18mm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6号：全长288mm,笔头直径5.2mm，笔峰长18mm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7号：全长292mm,笔头直径5.8mm，笔峰长20mm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8号：全长295mm,笔头直径5.8mm，笔峰长20mm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9号：全长298mm,笔头直径6.6mm，笔峰长21mm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10号：全长298mm,笔头直径6.6mm，笔峰长22mm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11号：全长303mm,笔头直径7.5mm，笔峰长22mm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12号：全长306mm,笔头直径8.5mm，笔峰长25mm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3、猪鬃平头油画笔1-12#各1支：1号：全长285mm,笔峰宽6mm，笔峰长10mm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2号：全长286mm,笔峰宽7mm，笔峰长12mm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3号：全长286mm,笔峰宽8mm，笔峰长11mm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4号：全长290mm,笔峰宽9mm，笔峰长13mm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5号：全长285mm,笔峰宽9.5mm，笔峰长13.5mm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6号：全长295mm,笔峰宽11mm，笔峰长16mm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7号：全长300mm,笔峰宽11.5mm，笔峰长14mm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8号：全长303mm,笔峰宽13mm，笔峰长18mm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9号：全长304mm,笔峰宽14mm，笔峰长20mm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10号：全长302mm,笔峰宽15mm，笔峰长21mm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11号：全长303mm,笔峰宽16mm，笔峰长22mm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12号：全长310mm,笔峰宽18mm，笔峰长22mm；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4、24眼调色盘1件：215*103*22mm；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5、17眼调色板1件：280*220*10mm；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6、中空吹塑定位包装：360*350*70mm、便于携带、存放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写生画箱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箱体：500×330×110mm，箱体内储物格为推拉式抽屉480*310mm，分为4格，大格子：460*105mm；小格子：180*150mm配调色板455*285mm，箱体有提把、背带，箱盖可支起作画架用，三腿支撑，可伸缩折叠，最大置画高度87cm，打开整体画箱尺寸：82*106*140（183）cm；材质：优质榉木，产品表面平整，无裂纹、疖疤、毛刺、树脂清漆处理，涂层均匀、光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600×650×1420/3000mm，材质：红榉木，特点：升降平立两用式油画架，角度可调、高度可调、可进行素描、油画、水粉、国画等创作，四角制动脚轮，表面光滑、无毛刺、无弯曲，接缝无开裂，整体无疤痕无弯曲，表面环保烤漆处理。适用范围：平立两用油画架，适用于小学美术教学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参考规格：≥400x720x880mm，材质：红榉木、三层、带脚轮、可移动、表面光滑无毛刺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参考规格：≥60×90×2cm，中间骨架，双面三合板，实木边框≥1cm，45°割角拼接，对角线平面误差＜0.2cm。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国画和书法工具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优质毛笔8支（狼羊大中小白云、羊毫一二三号提斗、兼毫小勾线、北尾小狼豪各1支）、画毡1块600*450*3mm，10眼调色盘1件直径138mm、砚台1个直径123mm、高度23mm，笔洗1个直径155mm、高度55mm、笔架1个长度127mm、镇尺1付：单个尺寸200*40*12mm；笔帘1个材质：竹制、300*245mm；墨1块：规格90*20*9mm、印盒1个直径76mm、墨汁1瓶100ml，中空吹塑定位包装箱440*325*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拷贝台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外围尺寸：≥1500*900*130mm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透图面积：≥780*1380mm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工作面板：钢化玻璃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光源组成：LRD组件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工作电压：DC12V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额定功率：90W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亮度调节：数字触摸式调光装置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面板材质：安全强化玻璃"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1、规格：≥6000*600*850mm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电子展示画框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参考尺寸：≥32英寸、分辨率 1920*1080、显示颜色 16.7M、对比度 1000:1（Typ.）（透射）、背光灯寿命 50000小时、处理器：全志A40i CPU四核，主频最高达 1.2GHz  ARM A7、内存：1GB、内置存储容量：32G、功放 喇叭 8Ω5W喇叭，抗磁抗干扰，语音清晰（1K-4KHz音频不失真），5CM距离音量大于90db、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1.整机无风扇设计将主板发热导出致外壳7*24小时无间断性工作。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采用高分子材料，运用高科技和特殊工艺加工生产而成的PS外框。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支持无损伽马防眩光显示技术，呈现逼真的画布级效果。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壁挂安装后，产品与墙面紧贴，缝隙不大于0.5CM，背部空间做到电源线隐藏式安装。 可一键安装、远程发布、集群管理、多重审核、分组管理、分时播放、定向播放、安全稳定。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行业首家通过等保三级认证：数据安全、网络安全、安全治理、应急保障。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双重审核，为内容安全保驾护航。有AI 智能检测及人工复审，杜绝涉黄、涉政、辱骂等不良场景的内容出来在广告屏上。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7.控制端在电脑远程集群管理、或手机APP、微信小程序 ，连接到“小灰云”；接收端通过网线接入、4G接入、Wi-Fi接入，即可控制广告屏。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8.丰富的功能：设备分组管理、节目内容丰富、一键批量群发、素材分组管理、软拼接、账户权限管理。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9.小灰云特色功能 – 软拼接：多屏合一，拼接显示，帧级校准多屏幕拼接成一个整体画面；多屏同步显示，屏幕可在同一时刻播放相同的画面；独立播放显示，屏幕可设置单独不同的画面显示。支持NTP 校时同步、网络自组网同步、LoRa 组网同步。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10.本地一键安装，无需繁琐设置，提供本地一键安装包。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计算机及信息技术教室1</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教师演示台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规格：≥1500×700×780mm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采用≥18mm厚E1级三聚氰胺双贴饰面板，外侧板截面采用优质1.5mm厚PVC封边，其它截面采用优质1mm厚PUC封边，全部采用优质PVC封边条机械封边。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学生操作桌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1.规格：≥宽600mm*高750mm；现场定制弧形桌；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2.柜体：板材采用≥18mm厚E1级三聚氰胺双贴饰面板，外侧板截面采用优质1.5mm厚PVC封边。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延米</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低背椅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1.尺寸：≥W430xD425xH550-座高450mm；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2.材质：PP+钢管；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面板采用PP新料一体注塑成型。椅腿钢管尺寸：钢管直径22mm，壁厚≥1.8mm，满焊焊接，表面采用高温粉体烤漆，耐腐蚀，不易生锈；脚垫采用PP纤维质塑胶一体成型，防滑、耐用、耐摩擦；坐凳下配有防滑垫，便于悬挂于桌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产品类型：千兆以太网交换机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端口描述：≥24个10/100/1000Mbps自适应以太网端口，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货架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钢制，≥1500x600x2000mm，承重约300KG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（三十九）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教师中控条案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1.规格：≥200cm×80cm×75cm，实木结构；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2.古典书桌设计，烤漆处理；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3.全部卯榫结构；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4.支持将本方案中的中控、教师手绘屏、直播系统集成在中控条案中；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5.砚台：20cm×13cm×2.5cm，材质：螺纹石；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6.毛笔笔架：36cm×34cm×10cm，材质: 鸡翅木；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7.笔洗：7.5cm×20cm，材质：优质陶瓷；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8.砚台水滴：陶瓷；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9.镇尺：加重型黑梓木；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10.笔搁：卧式笔架，材质：实木；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11.毛毡：1×2米，可以水洗反复使用；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12.笔筒：12.5cm×9.5cm，材质: 黑檀；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13.毛笔套装：笔头材质为纯狼毫；笔杆材质：天然黑湘妃；大号毛笔尺寸：出锋3.8cm、口径1.1cm、全长26.5cm；中号毛笔：出锋3.3cm、口径0.9cm、全长26.0cm；小号毛笔：出锋2.8cm，口径0.8cm，全长25.5cm；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14.配套实木方凳1个。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书法临摹桌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1.仿古书桌设计，桌子两侧加曲木弧形镂空侧山板；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2.规格：≤134cm×60cm×75cm；桌子两侧镂空尺寸：≤29cm×41cm；左右两边两个墨盒孔，长宽：≤13.8cm×7.8cm；左右两边两个临摹台开关孔，长宽：≤7.5cm×1.8cm；洗笔器开关孔直径：≤1.6cm；桌面厚度：≥3.5cm；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4.配套笔搁；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5.配套实木方凳2个。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学生互动拍摄及Ai握笔监测系统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软笔Ai握笔姿势智能监测硬件和学生互动拍摄硬件融合一体，软笔Ai握笔姿势智能监测系统的监测硬件在互动拍摄架立杆中间偏下位置，学生互动拍摄硬件在互动拍摄架“7”字型横杆的下方，互动拍摄硬件具有笔架功能，支持同时挂三只毛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2.学生端临摹台的软件支持互动拍摄及握笔姿势监测硬件，互动拍摄硬件与现有学生端临摹台的硬件对接；互动拍摄通过USB连接交互式数字临摹台进行供电，USB线在桌面上不外露。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3.拍摄硬件帧速率：24帧。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4.具备学生座位图功能，老师可管理班级、学生，并对学生进行排坐，形成座位图。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5.老师直接双击座位图上的学生姓名即可查看该学生书写过程，支持老师通过控制系统切换每一个学生的书写过程实时传输到大屏和其他同学的临摹台上欣赏查看。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6.一键收取作业:教师在中控台上可一键收取作业，作业按照学生座位图的顺序和位置关系进行排列。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7.支持书写过程分享到本班，老师与同学实时观看其他同学的书写过程及作品。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8.支持老师对任一学生的作品进行查看、讲评，并通过互动系统供其他学生观看讲评。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当出现握笔姿势错误时，学生端临摹台屏幕左上角显示握笔姿势错误提示图标。点击提示图标，系统会显示学生的握笔姿势具体的错误情况，以文字和图片拍摄方式同时给出监测到的握笔姿势错误，并配有正确姿势的文字和视频讲解。（出具带CMA和CNAS标识的检测报告为佐证，报告内容须体现相应功能，提供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当出现握笔姿势错误时，教师端系统能实时监测并出现握笔姿势错误提示，点击提示图标，能显示错误握笔人员所在临摹台的位置信息，能显示握笔姿势的具体错误情况，以文字和图片拍摄方式同时给出监测到的握笔姿势错误，并配有正确姿势的文字和视频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11.教师机系统能监测到所有学生的握笔姿势错误情况，并形成记录。可通过查看记录显示错误握笔人员所在临摹台的位置信息，以文字和图片拍摄方式同时给出监测到的握笔姿势错误。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12.学生端和教师端能监测到握杆错误、食指上翘错误、五指分开错误等多种常见的握笔姿势错误。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智能笔洗系统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1.教师端通过书法教学系统软件控制笔洗，具备一键启用、禁用笔洗系统和教师端一键洗笔功能，当启用笔洗系统时，学生可以通过临摹台控制自己座位上的笔洗，当开启一键洗笔功能时，洗笔系统会自动出水；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2.洗笔系统具备临摹台控制模式和教师端系统一键洗笔模式；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3.学生触控临摹台软件界面控制笔洗，可以选择润笔功能、洗笔功能选项，学生可以根据需要进行选择；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4.教师端系统一键洗笔功能下，教师端系统可以一键开启所有临摹台的笔洗，学生获得30秒的洗笔时间，30秒后笔洗自动关闭；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5.笔洗系统启动后，笔洗漏斗内始终保持2cm高水位的存水量；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6.笔洗系统的出水口不超过桌面(在笔洗漏斗的上口平面以下）、笔洗系统的漏斗具有防溢出功能。直径10cm防溢出漏斗1个。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边台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1、规格：≥7000*600*850mm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2、台面：为≥35mm厚橡胶木指接板，所有转角处倒圆，不出现直角，起到防碰撞作用不易伤人，整体板面正负误差在0.3mm以内，四周及底部没有毛边、不刮手。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3、框架：整体采用≥0.9mm厚优质冷轧钢板，全部钢制件纳米陶瓷镀膜防锈处理。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4、可调脚：高强度可调脚，采用ф10mm螺纹钢，下部采用环保型PP加耐磨纤维质塑料。上部抽屉，下部双开门，可储物。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lang w:bidi="ar"/>
              </w:rPr>
              <w:t>外径：≥550×450×310mm，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内径：≥480×380×280mm；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采用环保型PP材料一次性注塑成型，耐强酸碱及有机溶剂，壁厚≥6mm。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采用实验室专用三联水嘴，陶瓷阀芯90°旋转，铜质表面烤漆处理，增强耐酸碱防腐蚀以及防锈性能，特制鹅颈管可360度旋转。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笔尖跟踪四机位书画教学展示台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1.拍摄架：≥15千克；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2.配置1台跟踪摄像机、2台双镜头摄像机、1台单镜头特写摄像机，摄像机竖立的主支架杆须立于拍摄架底座板的左上角；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3.单镜头特写摄像机：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（1）拍摄面积：大于A3幅面（距离镜头≥45cm处）；长宽高：≤120 mm×70 mm×70 mm，直播画面分辨率：1920×1080，自动亮度调节；支持自动对焦功能。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（2）总像素：500万；帧数：≥30FPS，实时输出画面高速流畅，移动展示物体无明显拖尾、模糊、延迟等现象；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输出接口：RJ45；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（4） 电源：DC12V；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4.双镜头摄像机主摄像头：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（1）拍摄面积：大于A3幅面（距离镜头≥45cm处），直播画面分辨率：1920×1080，自动亮度调节；支持自动对焦功能。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（2）总像素：500万；帧数：≥30FPS，实时输出画面高速流畅，移动展示物体无明显拖尾、模糊、延迟等现象；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5.双镜头摄像机辅摄像头：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（1）拍摄面积：大于A3幅面（距离镜头≥45cm处），直播画面分辨率：1920×1080，光学变焦，自动亮度调节；支持自动对焦功能。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（2）总像素：200万；帧数：≥24FPS，实时输出画面高速流畅，移动展示物体无明显拖尾、模糊、延迟等现象；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6.跟踪摄像机：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（1）拍摄面积：大于A3幅面（距离镜头≥45cm处）；长宽高：≤100 mm×70 mm×60 mm，直播画面分辨率：1920×1080，自动亮度调节；支持自动对焦功能。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（2）总像素：500万；帧数：≥30FPS，实时输出画面高速流畅，移动展示物体无明显拖尾、模糊、延迟等现象；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左右转动角度≥90度；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上下转动角度≥90度。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7.跟踪摄像机智能跟踪笔尖功能，教师示范书写时，摄像机能上下左右自动旋转变换角度，实现对毛笔笔尖跟踪拍摄；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8.摄像机：系统具备内置镜头的摄像机；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9.支持镜头自动变焦，支持通过软件调整缩放倍数并自动对焦功能，顶置摄像机和左上方摄像机内置双镜头；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笔尖跟踪摄像机在其他所有摄像机的左侧，从左上方跟踪拍摄书写区域，确保在正常书写区域（大小不低于50cm*50cm,所有摄像头能同时拍摄到并且不互相遮挡）的任何位置，笔尖跟踪画面不会被其他的摄像头遮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11.支持保存镜头位置，支持6个档位设置，需要时可一键调出，自动恢复到相应位置。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12两个双摄像头摄像机支持拍摄长宽均不大于3毫米的字（可清晰辨识文字内容），拍摄高度不低于65厘米。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13.支持在场景式网络课堂软件中调取笔尖跟踪摄像机的书写画面，同时保持跟踪摄像头的正常运行（即：摄像头能正常跟踪笔尖的运动）。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14.摄像机机壳为全封闭结构，镜头必须封闭在摄像机机壳内部，防止落尘或者不慎操作损坏镜头。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15.软件界面可调整缩放倍数，并立即展示缩放后的效果。缩放后可全自动对焦清晰显示或通过软件界面手动对焦清晰显示。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笔尖跟踪直播示范系统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1.支持连接书画教学展示台的四台摄像机同时拍摄直播、录像、拍照功能；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2.支持跟踪摄像机在左方智能跟踪笔尖，两台摄像机从正上方和左侧上方侧向进行同时拍摄录课，另一台摄像机录制教师授课画面；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界面支持同时显示正面、侧面、特写、跟踪四个画面，并在软件界面上进行标识；支持单镜头画面、双镜头画面、四镜头画面、画中画四种录播模式功能，四种显示模式都直接双击切换；支持四台摄像机的视频录制、四个画面同步回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4.支持跟踪摄像机自动跟踪毛笔笔尖功能，支持跟踪笔尖蘸墨舔笔功能；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支持播放文件时间显示数字走秒功能；支持在软件内直接修改视频、图片文件名，支持拍摄的视频文件自带拍摄年、月、日、时、分、秒信息；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支持正面、侧面、特写三个镜头具有设置功能；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支持设置功能包括缩放、指定档位功能；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缩放：支持鼠标滚轮调节缩放比例功能；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拍摄缩放和档位的设置：支持设置6档缩放的功能；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教师把调整好的缩放和焦距参数快捷保存到指定档位，下次使用时可以一键选档，一键快捷切换档位时，摄像机缩放和焦距自动调节到本档位的对应参数；（出具带CMA和CNAS标识的检测报告为佐证，报告内容须体现相应功能，提供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支持回放功能，回放功能具有对已录视频进行重命名和删除功能；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 支持回放视频时正面、侧面、特写、跟踪四个画面同时显示播放功能；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回放功能支持正面、侧面、特写、跟踪四个画面任意切换功能；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 回放功能支持正面、侧面、特写、跟踪四个画面双击全屏功能；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 支持快镜头回放、暂停功能；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支持慢镜头回放、暂停功能；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 支持通过软件调整缩放倍数；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 支持在画面上任意批注功能；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 支持教师在示范书写的时候，可以在界面同时展现要示范的例字的视频、例字多个字体、例字的多个碑帖，显示在软件摄像机拍摄的界面，可用于老师临写，字帖可随意放大缩小，可随意放在软件界面的任何位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书法分组教学软件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1.该软件由智慧书法教学系统界面进入；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点击分组教学，进入分组教学软件界面，点击布局进入班级布局界面，支持新增班级名称、修改班级名称、删除班级功能、新增学生（包括姓名、生日、性别、账号、密码）、修改学生信息、删除学生信息。具备成批录入学生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3.布局的行、列的数量可以自行设置，具备按行顺序排位、按列顺序排位、按行随机排位、按列随机排位的功能。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新增分组功能要求分组数量、每组人数不受限制，选择改组组员，具有一键全选、一键选取全列、一键选取全行，支持按住鼠标左键任意拖选学生进入分组。点击组名，要求指派任务、重编组员、修改分组组名、解散本组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5.点击任意一个组名进入指派任务界面，要求能指派该组听课、自学、字帖、碑帖、集创、兴趣体验的功能。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点击任意一个组名进入指派任务界面，选择字帖指派界面，能指派软笔、硬笔字帖，字帖选择范围不少于3种笔类、5种字体、20个作者、30个作品的字帖，支持字帖搜索功能，支持一键重置功能。搜索界面要求界面右边出现搜索字的所有字帖，并标明作者和字帖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点击任意一个组名进入指派任务界面，选择碑帖指派界面，要求能推送不低于80套古代名家的碑帖，其中要求王羲之的字帖不低于20套，颜真卿的碑帖不低于12套，欧阳询的碑帖不低于8套，赵孟頫的字帖不低于25套，苏轼的字帖不低于20套，支持碑帖搜索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8.点击任意一个组名进入指派任务界面，选择集创指派界面，要求能指派折扇、团扇、条幅、横幅、斗方、对联、中堂不同类型的作品，作品总数不低于150个。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点击任意一个组名进入指派任务界面，选择兴趣体验指派界面，要求能指派“我会识书体”兴趣体验（必须包括“我会识欧体”、“我会识颜体”、“我会识柳体”、“我会识赵体”）、“我会拼字体”兴趣体验（必须包括“我会拼欧体” 、“我会拼颜体”、“我会拼柳体”、“我会拼赵体”）、“碑帖寻美文”、“拓碑”、“辩音识字”兴趣体验教学。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兴趣体验识书体模块：支持欧体、颜体、柳体、赵体四大书体的字体识别，从屏幕上方随机降落单字字帖，要求学生在临摹台点击降落的字帖，系统自动判断“正确”或者“错误”，并自动进入正确和错误的篮子中，正确书体的字帖降落至屏幕底端前未被点击，将判断为“丢失”，要求能查看正确、错误、丢失的个数，以及错误和丢失的详细情况，告知错误的原因。错误或丢失次数达到五次，体验自动结束。体验过程中支持查看本人得分和班级最高分，体验结束后支持查看排名榜，支持学生点击“重新开始”进入体验。字帖下落的速度越来越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兴趣体验拼字体模块：要求欧体、颜体、柳体、赵体每个体不低于100个字供学生进行拼字体验。学生在临摹台上通过触控拖字的方式进行拼字体验，系统将打散的笔画推送到学生临摹台，学生拖动零部件到米字格中，所有部件摆放到米字格内适当位置后点击“完成拼字”，系统自动进行重叠对照和原帖对照，系统自动对比原帖并给出评分，并支持在教师端和学生临摹台实时查看得分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兴趣体验碑帖寻美文模块：支持教师端选择颜体楷书、欧体楷书、柳体楷书、赵体楷书碑帖、隶书碑帖、行书碑帖、篆书碑帖、草书碑帖推送到学生端的临摹台，教师每次支持选择1张或者2张碑帖。学生端临摹台要求能选择折扇、团扇、横幅、条幅、斗方、中堂六类不同模板，每种模板包含不低于五种背景图案。学生手动触控碑帖单字时单字右下角展现本单字的简化字，拖动碑帖上的任意单字放置在模板中组成一幅作品。支持放大缩小单字进行排版。排版完成后支持上传作品，上传作品后，老师在教师端软件内，能实时查看上传的作品，并查看作品对应的学生姓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兴趣体验拓碑模块：支持学生端临摹台观看拓碑过程视频和拓碑过程体验。第一步，清洁碑面，触动碑面，会出现清洁刷；第二步，涂胶，触动碑面出现涂胶滚动工具；第三步，上纸，动画展示上纸过程；第四步，椎拓，触控碑面用鬃刷体验；第五步，上墨，通过手指滑动给碑面全部抹上墨；第六步，取下拓片，展示在临摹台之间，完成体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兴趣体验辩音识字模块：系统推送该模块到学生临摹台后，学生可在临摹台上各自体验“辩音识字”，要求教师可选择任意“开始关卡”对学生进行推送。系统要求不低于50关，识字包括识别繁体字帖和简体字帖，临摹台自动播放字帖声音，学生根据语音识别字帖。识别方式为敲打从地洞举牌跳出来的小动物，举牌上为需要识别的字帖，击打正确得到金币，击打错误会被减分。击打道具不少于5种，小动物的形象类型不少于5种，要求体验过程中有闪电等特效。要求教师端实时查看前三名的金币数量排名，以及体验时长。要求教师可随时终止体验。（出具带CMA和CNAS标识的检测报告为佐证，报告内容须体现相应功能，提供报告复印件并加盖投标人公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书法字帖排版系统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1.支持1-500个字内，任意字体数量排版功能，随意设置字格大小，调节字格的宽、高，支持鼠标滚轮选择模板。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2.支持拼音搜索，可同时输入多字拼音，直接搜索多字；支持多字文本搜索；支持书写字体历史记录。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演示汉字笔顺功能：具备一笔一划功能，每一笔划自动按照顺序排列组成单字。动态笔划功能，每一笔以动画起笔收笔的方式，按照笔划顺序展现。具备笔划分拆功能，每一笔都占一格，书写过的笔划用彩色标识出来，整体直观展现单字笔划过程。每个字的偏旁和非偏旁部分，都是通过两种颜色区分出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4.支持在软件界面直接点播现代书法家书写的颜欧柳赵及字体中偏旁、例字的视频。可以实时同步临摹台显示。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5.支持字帖文件随意排版及混排。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6.支持电子字帖全屏显示，通过调整排版规格可控制每个字的大小和位置。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7.内置篆、隶、楷、行、草五种软笔字体字帖文件，不少于2万字的字帖库资源。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8.支持米字格、回字格、九宫格、田字格、大方格选项。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9.支持进行集字练习；具备一键排版六步教学法。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10.支持边看边练，左边是书法家视频教学，右边是学生临摹书法家字帖功能；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11.支持字体使用的历史记录；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12.支持老师自定义适合自己教学的排版模板；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13.支持一字多体排版；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14.支持硬笔字体排版，学生临摹。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书法集创系统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1.支持折扇、团扇、条幅、横幅、斗方、对联、中堂等模式集字创作功能，从1言到500言随意编辑排版功能，支持字体大小缩放功能；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2.支持自定义创作作品类型功能；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3.支持字体自适应大小功能，后面排版的字体自动适应第一个排版好的字体大小；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4.支持自适应角度调整，字体智能化自动调整摆放角度；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5.支持文件新建、修改、保存、放大缩小、临摹功能；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包含重修三门记、陋室铭、六体千字文、灵隐禅师塔铭、黄庭经、淮云院记、后赤壁赋、归来辞去、道德经、东铭、大学、感兴诗并序、多宝塔碑、颜勤礼碑、颜家庙碑、颜体合成创作、赵体合成创作等多个创作字体模块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7.支持一键还原功能；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8.支持文字和拼音搜索功能；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9.在配置互动模块时，支持老师一键收取学习集创练习作品的功能。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三笔字板书示范书写软件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1.软件支持选用白板、黑板、宣纸和画布四种模式作为背景底纹；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2.软件支持米字格、田字格、田回格、九宫格、方格和无格作为写字用底格；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3.软件排版支持从一字格到十五字格共十种不同排版方式；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4.笔型：支持毛笔、铅笔、钢笔、粉笔、刀笔、水彩笔、艺术笔1、艺术笔2、艺术笔3、艺术笔4、标注、橡皮共12种书写功能。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5.软件支持标注和具有橡皮擦功能；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6.支持笔锋粗细、浓度、锐利可调控；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7.支持色板，颜色可自由设置；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8.具有全屏显示功能；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9.支持在字体排版软件界面、视频资源库软件界面、视频直播软件界面、碑帖查询软件界面、课程讲义软件界面进行批注、点评功能；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10.支持一键清屏功能。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书法教学视频资源平台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1.具备对平台资源进行控制、查询、播放及备课调整功能。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2.内置三年级、四年级、五年级、六年级、初级、中级（一）、中级（二）、高级的高清毛笔书法示范讲解视频。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3.含各年级课时的毛笔示范视频，针对每一个字，每一个笔画都有教学视频。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4.每个视频都配有教学音频讲解。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5.视频资源均为高清拍摄，可观察运笔方式。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6.视频资源按照每一例字的结构、笔画、结体规律进行分类，可以一键式调取任一课时内的视频资料。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7.支持老师管理密码功能。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8.支持批注功能。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9.支持硬笔视频资源。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书法教学查询系统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1.碑帖资源查询可实现通过年代、作者、字帖名字进行智能化检索，并可任意放大缩小拖动字帖。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2.支持通过原图模式、高光模式、荧光模式、红外模式、3D模式进行碑帖的查看欣赏以及临摹。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3.创作碑帖素材查询可通过关键字检索功能来搜索相应的碑帖素材。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4.支持输入文字、拼音搜索功能，支持临摹、欣赏选项按钮；支持黑白反向功能，原贴是白底黑字的可以直接转换成黑底白字，原贴是黑底白字的可以直接转换成白底黑字。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5.内含中国历代高清碑帖，包含临摹范本全部碑帖，有楷书、隶书、行书；包含欣赏作品全部碑帖，有篆、隶、草、楷、行五种字体。包含其他碑帖，包含篆、隶、草、楷、行五种字体，不少于10000张。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6.支持批注功能。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场景式网络课堂教学系统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一、教师授课端软件：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1.软件必须是从智慧书法教学系统界面直接点击进入。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教师创建自己的直播课程，直播课程中可包含多个章节与课时，每个课时均可独立直播，也可单独设置直播时间。每个直播课程均可进行分类，支持课程定价以及点播时收费，课程可以设置课程名称，可上传图片封面。图片封面支持放大、缩小、剪切，还可实时预览效果，可设置简介，还可增加详细图文介绍。图文介绍包含以下功能：文字加粗，文字倾斜，文字下划线，文字删除线，段落靠左，段落居中，段落靠后，段落居中自动调整，支持设置段落编号或设置段落图形，支持设置左右缩进，支持设置文字颜色，文字背景色，支持插入链接，支持插入图形，也可插入网络视频，支持清除格式。创建课程时，支持加入多个章节，每个章节均可独立定义名称。创建章节后，每个章节均可增加多个独立课时。均可自定义本课时名称。课时分为直播、点播两种，点播课时可上传视频文件供点播使用，上传视频文件后可自动计算并展现本课时时长。直播课时可定义直播开始的日期以及时间，支持一键查看当前时间。编辑课时时，支持通过图标区分点播和直播课程。支持课时跨章节直接拖拽调整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教师申请功能，支持通过输入教师姓名、手机号、短信验证、密码设置、个人介绍、头像等信息，提交注册，可查询审核状态，查询时需要手机验证码审核教师身份。支持待审核课程查询，支持通过课程名称查询，支持通过注册时间查询，支持通过审核状态查询。可一键取消课程审核申请。可一键查看审核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分类查看拥有的所有课程列表，可通过名称或名称简写对课程进行模糊查询。可修改课程。修改内容包括，课程分类，课程名称，课程价格，课程封面，简介与详情，可重新编辑章节，还可重新编辑所有课时，编辑后自动进入审核状态。可删除课程。可查看最近的直播情况。支持查看针对某个课程的订单数量以及预估收益，具备一年期间的购买趋势分析图，可查看用户评价，并对不同星级评价分类统计百分比，可按各种星级评价查看该星级下的所有观看者的评价。学校可自定义收费课程，支持课程账户管理，支持银行卡管理，自动计算可提现金额，支持提现到指定银行卡，可查询累计收入，可以直方图方式展示最近一年内的购买趋势。可按照课程名称以及订单时间查询订购记录，对所有提现可按照提现时间列出明细，也可以根据提现时间进行查询，支持用户打赏，可查询一段时间内的打赏明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教师现场直播授课时，可切换不同的三维场景，三维场景支持不低于4个不同位置的场景大屏设置，不同的大屏可同时播放不同的内容。可将视频设置到三维场景的场景大屏，并在所有学生端同时进行播放。直播授课时，教师能同时调入6个或以上视频、3个或以上的摄像机、以及3个或以上的ppt在同一个界面上进行播放，并且上述的每个画面都可分别进行大小调整，学生端能同时观看上述的所有画面。教师可针对正在授课的任意一个视频设置任意的播放位置，并立即生效。可将教师的实时授课画面设置到三维场景的场景大屏并同时播放，并同步传输至学生端；教师在直播授课时支持随时插入PPT并进行及时播放；在直播授课时能设置字幕动画，并立即生效、学生进行观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课程同时支持直播与点播。支持下载所有课程的视频，支持视频本地编辑后再次上传更新。支持在线预览。现场直播授课的同时，系统可自动录制直播课堂的所有视频或者授课过程，并形成课程供学生进行回放观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三维场景支持远景、近景、特写，直播授课过程中教师可以任意切换三种方式，切换后学生端立即生效、进行观看。三维场景支持摇臂、进、退的动画模式，直播授课过程中教师可以任意切换三种动画模式，切换后学生端立即生效、进行观看。支持传输控制、减少噪点和减少阴影的设置。支持视频的亮度、对比度、伽马值、色调的设置。支持设置帧率、颜色空间和输出大小。教师授课直播时可切换为画中画方式。直播授课时可设置让图像翻转；支持单独对音频进行音量大小、播放位置的设置。支持字幕编辑功能，并可选择字体、大小、颜色。支持文字和图片的滚动设置，支持设置滚动方向和速度。文字样式可设置加粗、下划线、删除线、倾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在课时详情中一键进入直播。支持一键初始化直播配置。支持修改密码，修改密码时，支持通过手机号进行二次验证。支持设备测试功能，可测试多个摄像头和多个麦克风等设备，展现测试结果，支持重新检测。支持预览所有带摄像头的客户端的实时视频，支持与其中某个观众进行视频连线交流，交流期间，其他用户均可观看交互过程。以画中画形式展示双方视频，可切换放大本方或客户端视频。直播期间，可通过微信扫码将视频推送到微信群或微信好友。支持限制转发功能。支持老师禁言或请出的功能。教师现场直播授课时，直播场景内容自动加载上次退出时的配置，可以直播教师端直播系统摄像头拍摄内容，可以直播临摹台学生书写过程，可以共享教师屏幕，支持多显示器一键切换，可以添加全局背景音乐，支持设置背景音乐音量、进度、是否循环播放，更换背景音乐，要求直播讲师端、PC端、移动端这三端互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二、接收客户端软件：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9.客户端软件必须是从智慧书法教学系统界面直接进入。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查看当前以及即将开播的直播课程，可查看当前的热门课程，还可查看全部可用课程。可查询当前以及随后一周内的正在直播的课程，以及待直播的课程。直播课程课程开始前，系统自动为订阅用户发送提醒收看的短信。可查询最新课程和热门课程。可查看课程列表以及课程的详细信息，可查看教师介绍以及课程介绍。教师介绍包括教师的个人详情，还包括教师的所有已开放的在线课程，包括直播与点播课程。课程详情中包含，课程的介绍，以及课程的章节与所有具体课时，每个课时均可显示课程时长，观看完毕后系统可自动记录并调取本课程最后一次所学的课时，支持从此课时后继续学习。可查看本课程的热门程度以及订购费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支持通过课时列表点击后直接进入直播或点播观看界面，在此界面中可以查看课程详细信息，包括课程名称，教师，以及所有章节中的课时。查看课程详情时，支持一键进入点播或直播。播放中可随时调整视频质量，包括标清、高清、超清。支持1080P视频播放。观看直播时，可查看直播开始时间、参与人数、教师信息，可切换视频质量，包括标清、高清以及超清，可全屏，可预览本地摄像头，支持举手发言功能。支持视频互动，互动时，可允许主播通过视频方式与本地进行交流。可查看当前在线人数以及用户明细，可以与当前所有在线用户以及教师进行文字聊天，可以发送表情图形。可支持表情与文本混合发送，可支持200字的文本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支持查看学习历史记录，并可进行复习。可查看个人的所有订单，以及费用明细，可通过课程名称以及订单时间查询订单详情。支持修改个人信息，包括昵称、手机号码以及头像，头像支持放大、缩小、剪切，还可实时预览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13.客户端学习点播课程可以从上次学习位置开始播放：将课程加入学习后，进入某个点播课程时，自动从上次退出时的播放位置开始播放，比如某个课时上次看了5分钟，那么这次播放时会自动从5分钟开始播放。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14.可查看所有教师以及教师的详细介绍，还可以查看教师的课程列表并播放相应课程。可按照课程分类，课程名称，教师姓名对课程进行搜索。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三、移动客户端软件：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支持通过安卓以及IOS的微信小程序参与直播或点播。支持轮播图，轮播图中可进入课程详情，课时详情。可显示最近的系统消息，可查看最近一年或更长时间的系统消息。可查看当天进行的直播。可查看近期的热门课程。可按照课程的分类查询以及查看课程详情。可查看课程的封面，介绍，观众星级评价，评价人数，热门程度，可一键将课程或课时分享到微信群或微信好友，可查看课程的章节，以及每个章节下的详细课时。学生可对课程进行星级评价，查看当前的综合评分。查看各种评价的百分比。按照日期查看评价详情。支持通过课程名称，教师姓名对课程进行模糊搜索。保留最近的搜索历史记录，可用于快速搜索,支持对最近所有用户的搜索内容进行统计并将最热门的搜索内容提炼为热词，供用户进行快捷搜索。提供对教师的详细介绍，可查看教师的姓名，个人简介，以及此教师的课程列表，在课程列表中，可直接进入直播或点播。可自动记录学习历史并进入复习功能，可显示对课程的学习进度，可统计当日学习时长，以及连续学习天数和累计学习天数。可收藏课时，并在个人中心查看所收藏课时。可将课时加入学习列表。可购买付费课时，并在个人中心查看已购课时，以及订单详情。可修改个人资料包括昵称、手机号，支持通过手机验证码验证用户个人身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要求通过微信扫码进入直播间，并与讲师、PC端用户三方进行文字、表情符号交流。支持进入课时讨论组与PC端用户以及教师同时交流。可在线咨询系统客服。移动端学习点播课程可以从上次学习位置开始播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书法课程讲义系统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1.系统全部课程不少于700课时；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包含颜体1、颜体2、欧、柳、赵5套基本课程，每套课程各128课时，均是独立的软件模块，支持查看范字的书写要点讲解，书写示范视频讲解，单钩、双钩、笔法、示意图，核心示范字的文字演变，每课时都有书法知识点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包括三年级、四年级、五年级、六年级的课程128课时，均是独立的软件模块，支持查看范字的书写要点讲解，书写示范视频讲解，单钩、双钩、笔法、示意图，核心示范字的文字演变，每课时都有书法知识点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颜欧柳赵的配套讲义中，每个课时均具有通过拼字游戏进行书法结构练习：教师一键推送拼字游戏到学生端临摹台，学生临摹台变为手指触控操作，拖动被拆分的字体笔画，在米字格中进行拼字，拼字完成可显示原帖，系统可自动打分和排名，支持多次重复拼字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5.配套讲义中每一课都包含“示范讲解”、“观察规律”、 “动手体验”、“知识扩展”、 “课堂练习”、“课堂检测”、“回帖学习”环节；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示范讲解：包含偏旁、例字的讲解和示范书写。偏旁讲解部分包括书写要点和专家示范视频。例字讲解包括专家示范视频、书写要点，具有拼音、释义、笔画的文字描述、偏旁、结构、书体、作者、作品出处的基本信息，有行笔路线动画（要求手写体），笔顺视图（要求手写体，按照笔顺每幅图增加一个笔画），笔势视图（要求手写体，用箭头、粗细、路线体现出笔画的起笔、行笔、收笔方法），单钩视图（要求手写体），双钩视图，碑帖原图，碑帖修复图（要求按照原帖风格和书体特征进行修复），碑帖修复提取图（修复之后提取，并放在米字格中）。该模块还集成了书体对比、练习等功能。练习功能支持修改例字的底格、换字、自动生成六步临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书体对比：在示范讲解环节中要包括例字的书体对比，支持每个例字自动调取欧体、颜体、柳体、赵体、隶书、篆书、行书、草书字帖进行对比，当该字的某书体有多种时支持选字，选出的字帖要包括书体、书家、碑帖名称，选出的所有字帖以放大的方式呈现在屏幕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观察规律：该功能可培养学生观察能力、对比分析总结能力。同一个字具有不同的书体，通过观察某一笔画（如撇画）或者某一部件（如女部）在该字的不同书体中的形态，总结出该笔画（如撇画）或者该部件（如女部）的一般规律。同时系统给出参考性答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动手体验：包含“试一试”、“拼一拼”、“写一写”环节，在“试一试”环节中，通过单钩、双钩、画轮廓的练习，让学生去深度感知笔画和结构；在“拼一拼”环节中，将例字分解成几部分推送到学生临摹台，让学生通过拼字游戏进一步对结构进行感知和实践，并对所有学生进行排名；在“写一写”环节中，让学生进行摹写和临写，并且将笔法图放在最左边，便于学生进行临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知识扩展：包括本节课典型例字的文字源流，列出甲骨文、篆书、隶书、草书、行书、楷书的图片，同时以文字的方式列出“说文解字”的内容。同时包含其他的一个书法类的知识，书法知识涉及到文字、书家、书写材料、碑帖知识、书论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课堂练习：自动生成本节课的主要例字或者偏旁的字帖供学生练习，字帖按照六步临摹法生成（六步临摹法：摹-摹-摹-临-摹-临），在该软件界面中支持一键换书体、一键换底格（米字格、田字格、九宫格、田回格、大方格）、一键换字体颜色、选择其他例字、修改字格数量、收取作业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课堂检测：该环节实现收作业并进行智能评测，收取作业通过学生互动终端一次性收取所有学生的作业（不能通过手机拍照来收取作业），收取作业后在教师机界面能看到所有学生的作业图片（在同一界面看到所有图片），并能对任一学生的作业进行智能评测，从笔画、结构、整体自动生成文字型问题描述、配合图片指出问题并给出改进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回帖学习：该环节回归到本节课对应的原始碑帖进行学习，首先在对应的碑帖上用红圈标识出该字，点击该字可出现这个字的基本信息、笔顺视图、行笔路线、笔势视图、单钩视图、双钩视图、碑帖修复图、修复提取图；同时该碑帖上所有的字都能出现对应的简体，所有字都能呈现基本信息、笔顺视图、行笔路线、笔势视图、单钩视图、双钩视图、碑帖修复图、修复提取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碑帖深度学习软件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1.该软件从智慧书法教学系统界面进入，支持打开碑帖深度学习软件，要求在碑帖深度学习软件界面上出现《九成宫碑》、《多宝塔碑》、《玄秘塔碑》、《颜勤礼碑》、《三门记》、《曹全碑》、《兰亭序》。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点击碑帖名称，出现碑帖的相应图片，要求相应的碑帖图片可进行拖动条、滚轮、数字加减三种方式进行缩放。可通过翻页按钮选择该碑帖的任意一张图片，要求该图片可缩放和拖动，选择图片后鼠标点击碑帖上的任意一个字，要求碑帖上该字的右下角自动出现对应的简体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3.点击单字后，该单字的碑帖原图出现在界面左侧；再点击左侧的碑帖原图，可查看笔顺图，要求笔顺图中的每一笔为硬笔手写体；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4.可查看该字的行笔路线动画，要求行笔路线动画的每一笔为硬笔手写体；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5.可查看该字的笔势视图，视图中的每一个笔画的起笔、行笔、转折处要求用手写箭头标识出来；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6.可查看该字的单钩视图、双钩视图，单钩视图要求为硬笔手写体；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7.可查看碑帖原图和碑帖修复图，要求碑帖修复图为对破损的碑帖进行原意修复，修复后的字帖要求笔画完整、不允许变形、背景干净无污；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8.可查看碑帖修复提取图，要求碑帖修复图经过处理后变成背景透明字体，并放在米字格中；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查看该字的其他书体，要求该字对应的颜体、欧体、柳体、赵体、隶书、篆书、草书同时自动出现在界面上，并且点击任何一种书体可出现该书体对应的多个字帖，继续点击字帖可以放大的方式自动排列在界面上进行书体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直接进入练习界面，左侧为碑帖原图，右侧为米字格，要求在该界面可以直接进行换字操作，换字操作可直接选取系统中的其他一个字进行练习；要求可直接切换到该字的其他书体进行练习；要求练习界面可以修改底格，包括米字格、田字格、九宫格、田回格、大方格；要求可直接切换到六步临摹法，出现“摹-摹-摹-临-摹-临” 的模式进行练习。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软笔书法Ai智能评价软件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1.通过学生互动终端收取所有学生的书法练习作业。老师在教师端一次性收齐所有学生的作业。支持查看作业历史记录，并查看某次作业中所有学生的电子版练习作业，也可单独查看某位学生的作业。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2.在书法教学云平台的课程讲义软件中，支持对所配套的全部毛笔楷书课程中涉及的所有讲解例字进行自动智能评价。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3.对于某个学生多次书写的同一个字，每次的练习测评结果形成折线图，并可查看每次测评的详细结果。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对于某个学生多次书写的同名笔画（例如：不同字中的撇划），每次的练习测评结果形成折线图，并可查看该笔画每次测评的详细结果，并能查看当时练习的整字及评测结果。（出具带CMA和CNAS标识的检测报告为佐证，报告内容须体现相应功能，提供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针对学生互动终端收取的作业（而不是通过手机或平板电脑单独采集的作业），可对作业上的多字同时进行智能评测分析，可查看作业中任意字的评测结果。（出具带CMA和CNAS标识的检测报告为佐证，报告内容须体现相应功能，提供报告复印件并加盖投标人公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6.支持整体自动智能评测功能，根据作业与原帖的符合程度进行打分。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7.可对字的结构进行自动智能评测，评测时根据每个字的复杂程度从多个评价维度进行分析，不同的字的结构不同，其评价维度的名称、数量不完全相同。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8.对结构智能评测时，每个字的评价维度均配有教学视频。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9.对结构智能评测时，按照每个字的评价维度，自动描述该字的结构方面出现的每一个问题，并自动给出文字性的指导建议，针对书写出现的每个问题都自动给出指导图片和书写指导视频。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10.可对作业中单字的每个笔画进行自动智能评价，对有问题的笔画自动突出标识。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11.笔画智能评价时，可自动将作业中的每个笔画与原帖的笔画进行图片对比。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12.笔画智能评价时，对书写出现问题的每一个笔画都自动描述书写问题，并自动给出指导意见。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13.支持对智能评价结果自动生成整体评测报告。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作品虚拟展馆展示系统软件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一、展示参观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1.虚拟展馆入口支持学校真实场景融入。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2.支持展示特定场所的3D实景，支持展示虚拟3D展馆。虚拟展馆设有路径点用于3D漫游。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3.虚拟展馆可展示书法作品、美术作品、碑帖图，也可展示视频，视频支持自动播放和手动播放两种方式。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4.参观者可查看作品介绍、作者介绍，可对作品或视频进行点赞或留言。点击作品时，可对作品进行全幅画面欣赏，也可自由缩放展示。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5.在虚拟场景的房间内，支持参观者使用3D形象，不同参观者进入房间后可以看到其他参观者的实时位置以及走动过程，点击其他参观者，可进行互动交流。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6.在虚拟场景中 ，可以通过键盘控制进行平滑移动，也可通过预设的位置点进行快速移动，还可调出快速导航功能，进行房间切换或场景切换。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7.在虚拟场景模式下的房间内，可进行专注方式观赏。专注方式下，可打开或关闭房间灯光，可打开探照灯聚焦显示关键区域，也可打开灯光跟随效果，随时照明用户周围区域的作品。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二、展馆管理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8.可设置学校简介，学校简介包含文字描述以及封面图片。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9.可进行作品管理，作品可单独上传，也支持使用智慧书法教室的互动教学系统批量采集。可进行视频素材管理。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支持创建基于真实场景、虚拟场景或真实虚拟场景混合模式的展馆。系统内置不同风格的虚拟场景建筑设计方案，用户可使用不同方案进行自由组合，方案内的各种建筑还可自主设计布局。虚拟展馆搭建后，可将作品、视频布置到真实场景或虚拟场景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11.作品具备装裱功能，可使用中堂、斗方装裱形式。视频可加多种边框装饰效果。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12.可设置展馆的背景音乐，进入展馆后自动播放。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隶书课程软件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1.以《曹全碑》为范本，进行课程编排。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2.课程包括笔法、结构规律、创作共24课时。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3.笔法部分包括控笔练习、初步印象、对比观察、笔法讲解等内容。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4.结构部分包括控笔练习、初步印象、结构规律等内容。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5.讲解的每个字均有笔法分析、专家示范视频，示范视频均有配音、字幕讲解。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篆书课程软件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1.以《峄山刻石》为范本，进行课程编排。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2.课程包括笔法、结构规律、创作共20课时。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3.笔法部分包括控笔练习、温故知新、笔法讲解、例字讲解、篆书识字。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4.结构部分包括控笔练习、结构规律。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5.讲解的每个字均有笔法分析、专家示范视频。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篆刻课程软件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1.课程包括“源远流长”和“精雕细刻”两个章节。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2.每一节课都通过专家视频授课方式，并在视频授课之后对本节重要知识点进行问题设计。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3.“源远流长”章节包括战国时期各种玺印特点介绍，秦汉印章体系简介，魏晋南北朝时期急就章、将军印简介，宋代以及辽、金、西夏等印章的特点简介， 元明清印章特点介绍，元明清时期具有重要影响力的人物以及流派简介，近代各流派的发展情况介绍。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4.“精雕细刻”章节包括篆刻工具介绍，如刻刀、印床、印泥、印石等。打磨印石操作示范。各流派刀法演示。基本笔画的刻法演示。印稿设计以及示范操作视频。印稿上石和实际制印操作过程示范视频。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高清网络多通道同步传输系统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1.网络类型：RJ45、无线WiFi；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2.通过网络将教师端软件系统同步传输到交互式数字临摹台；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3.传输内容：教师端视频、教师端音频、教师端图片、教师端文本；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4.支持通过网络与所有终端进行通信。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学生镇尺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专业镇尺。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多功能墨盒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1.墨盒嵌入在桌面；材质：ABS；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2.外观尺寸：≤140×80×33mm；墨盒盖尺寸：≤140.mm×80.mm×6mm；墨盒右边水池：≤46×67mm，墨盒左上墨水池：≤33×56mm，左下舔笔台：≤33×56mm，左上角引流槽一个。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3.墨盒采用微倒扣防挥发设计，所盛墨汁可保持百日以上不干涸。墨盒集刮笔、舔笔、润笔功能于一体。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中控系统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1.开机界面即是智慧书法教学系统平台界面，通过主机系统直接控制书法直播系统、大屏、软件等软硬件；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2.支持统一授课模式，把教师端软件直接同步到学生端交互式数字临摹台；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3.教师在控制系统软件平台上直接可以切换到自主学习模式，学生独立使用临摹台上的学生端软件；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4.支持所有学生端临摹台智能洗笔的统一控制；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5.系统平台有独立的音乐背景模块软件；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6.控制系统硬件一套：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7.板书专用手写屏规格：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解析度：1920*1080；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对比度：1000:1；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感应方式：电磁式；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分辨率：2000Lpi；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反应速度：200点/秒；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压感：2048级；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压感笔1支。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毛毡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规格：不小于30×50cm；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支持铺在交互式临摹台上，再铺上宣纸临摹，还能清晰的看见1cm大小的电子字帖。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博古架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1、规格：≥1000*350*2000mm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2、材质：榆木；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3、结构：采用榫卯结构，硬度高、韧性好、承重力强。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3#楼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艺术课辅助用房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乐器架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1.工作条件： 成品应放在室内保管。相对湿度为40％－70％的条件下应能正常工作。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2.尺寸和重量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3.高度:：1221mm*长度：1483mm*宽度：605mm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4.低音弦长度：1200mm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5.弦槌重量：约6－10克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6.音板尺寸：1435×（995-950）mm2不等宽设计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7.弦轴板： 色木多层板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8.马子： 色木多层板帖色木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9.弦轴：45钢调质处理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10.中踏瓣：软轴设计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11.活动杆：金属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12.干燥处理：木制件、呢毡有处理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13.新型击弦机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14.弦槌标准弦槌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15.键盘盖（缓冲装置） 有缓落装置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16.88键盘：88键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17.踏瓣：造型踏瓣3个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18.外观涂装：亮光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椅背：全新PA+30%玻纤，一体注塑成型，高强度弹性透气加密网布，精抛铝合金连接件，提供倾仰功能，有效缓解疲劳，向其施加90kg的推力，保持60s，无异常。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椅座：采用密度60，硬度50的定型海绵，重0.65kg，选用高弹力透气坐布，舒适透气，配PP工程塑料防尘底壳。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椅架：≥20.5*32.5*T1.5mm Q235碳素钢管，全自动机械臂焊接，表面经高速打砂除锈处理，采用高温烤漆喷涂工艺，精抛铝合金连接件，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写字板：采用PP+30%玻纤加厚板面，搭配精抛铝合金旋转机构，可灵活旋转收放。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扶手：前后滑动扶手，滑动距离2.5cm。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功能：坐垫上翻，推叠、折叠收纳，节省摆放空间。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1.尺寸：≥5000*450/600*2000mm；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2.材质：实木多层板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3.工艺：采用国家标准E1级板，厚度≥18/25mm,基材采用优质实木多层板，PVC直封边制作。五金件采用液压铰链；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4.功能：置物抽屉方便物品分类收纳，采用玻璃柜门，收纳物件清晰明了，可调节层板，方便于各类大小物件的摆放。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1.阻抗：8</w:t>
            </w:r>
            <w:r>
              <w:rPr>
                <w:rStyle w:val="527"/>
                <w:lang w:bidi="ar"/>
              </w:rPr>
              <w:t>Ω</w:t>
            </w:r>
            <w:r>
              <w:rPr>
                <w:rStyle w:val="526"/>
                <w:rFonts w:hint="default"/>
                <w:lang w:bidi="ar"/>
              </w:rPr>
              <w:br w:type="textWrapping"/>
            </w:r>
            <w:r>
              <w:rPr>
                <w:rStyle w:val="526"/>
                <w:rFonts w:hint="default"/>
                <w:lang w:bidi="ar"/>
              </w:rPr>
              <w:t>2.频响：≥60Hz-20KHz</w:t>
            </w:r>
            <w:r>
              <w:rPr>
                <w:rStyle w:val="526"/>
                <w:rFonts w:hint="default"/>
                <w:lang w:bidi="ar"/>
              </w:rPr>
              <w:br w:type="textWrapping"/>
            </w:r>
            <w:r>
              <w:rPr>
                <w:rStyle w:val="526"/>
                <w:rFonts w:hint="default"/>
                <w:lang w:bidi="ar"/>
              </w:rPr>
              <w:t>3.额定功率：≥200W</w:t>
            </w:r>
            <w:r>
              <w:rPr>
                <w:rStyle w:val="526"/>
                <w:rFonts w:hint="default"/>
                <w:lang w:bidi="ar"/>
              </w:rPr>
              <w:br w:type="textWrapping"/>
            </w:r>
            <w:r>
              <w:rPr>
                <w:rStyle w:val="526"/>
                <w:rFonts w:hint="default"/>
                <w:lang w:bidi="ar"/>
              </w:rPr>
              <w:t>4.峰值功率：≥800W</w:t>
            </w:r>
            <w:r>
              <w:rPr>
                <w:rStyle w:val="526"/>
                <w:rFonts w:hint="default"/>
                <w:lang w:bidi="ar"/>
              </w:rPr>
              <w:br w:type="textWrapping"/>
            </w:r>
            <w:r>
              <w:rPr>
                <w:rStyle w:val="526"/>
                <w:rFonts w:hint="default"/>
                <w:lang w:bidi="ar"/>
              </w:rPr>
              <w:t>5.灵敏度：96dB/W/M</w:t>
            </w:r>
            <w:r>
              <w:rPr>
                <w:rStyle w:val="526"/>
                <w:rFonts w:hint="default"/>
                <w:lang w:bidi="ar"/>
              </w:rPr>
              <w:br w:type="textWrapping"/>
            </w:r>
            <w:r>
              <w:rPr>
                <w:rStyle w:val="526"/>
                <w:rFonts w:hint="default"/>
                <w:lang w:bidi="ar"/>
              </w:rPr>
              <w:t>6.最大声压级（额定/峰值）：119dB/126dB</w:t>
            </w:r>
            <w:r>
              <w:rPr>
                <w:rStyle w:val="526"/>
                <w:rFonts w:hint="default"/>
                <w:lang w:bidi="ar"/>
              </w:rPr>
              <w:br w:type="textWrapping"/>
            </w:r>
            <w:r>
              <w:rPr>
                <w:rStyle w:val="526"/>
                <w:rFonts w:hint="default"/>
                <w:lang w:bidi="ar"/>
              </w:rPr>
              <w:t>7.覆盖角度：(H)80°(V)60°</w:t>
            </w:r>
            <w:r>
              <w:rPr>
                <w:rStyle w:val="526"/>
                <w:rFonts w:hint="default"/>
                <w:lang w:bidi="ar"/>
              </w:rPr>
              <w:br w:type="textWrapping"/>
            </w:r>
            <w:r>
              <w:rPr>
                <w:rStyle w:val="526"/>
                <w:rFonts w:hint="default"/>
                <w:lang w:bidi="ar"/>
              </w:rPr>
              <w:t>8.高音：≥1.4"压缩高音单元×1</w:t>
            </w:r>
            <w:r>
              <w:rPr>
                <w:rStyle w:val="526"/>
                <w:rFonts w:hint="default"/>
                <w:lang w:bidi="ar"/>
              </w:rPr>
              <w:br w:type="textWrapping"/>
            </w:r>
            <w:r>
              <w:rPr>
                <w:rStyle w:val="526"/>
                <w:rFonts w:hint="default"/>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 ≥140mm*65mm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 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2.频响：≥65Hz~20KHz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3.额定功率：≥150W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4.峰值功率：≥600W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5.灵敏度：95dB/W/M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6.最大声压级（额定/峰值）：≥117dB/123dB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7.覆盖角度：(H)80°(V)60°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8.高音：≥3"锥形高音单元×1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 ≥140mm*65mm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 ≥128mm*70mm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1.输出功率：立体声@8Ω：≥350W×2；立体声@4Ω：600W×2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9.输入电压：~220V/50Hz10.整机功耗：200W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1.输出功率：立体声@8Ω：≥200W×2；立体声@4Ω：400W×2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10.整机功耗：≥150W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1.麦克风输入：≥8路（8个XLR接口）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2.线路输入：≥6路单插单声道/立体声自动切换混合接口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3.立体声输入通道：≥2组（4路单声道）、4路RCA输入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4.输出通道：≥2组立体声输出、4路编组输出、4路辅助输出、1个耳机监听输出、1个接口双路效果输出 、1组控制室输出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5.INSERT：≥1组主混音断点插入、6个断点插入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6.USB接口：外接U盘播放音乐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7.无线连接：内置蓝牙无线收发器，可连接手机进行播放音乐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8.效果器：24位DSP效果器（包括人声、小房子、大厅、回声、回声+回响、盘子、声乐板、合唱GTR，旋转GTR、颤音GTR类型），100种预设效果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9.USB声卡端口：支持电脑播放/录音，通过CH11/12通道回放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10.幻象电源：CH1-CH6每路通道带48V幻象开关独立控制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11.频率响应：20Hz-20kHz，±2dB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12.失真度：&lt;0.03% at+0dB,22Hz-22KHz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13.灵敏度：+20dB~-30dB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14.信噪比：&lt;-100dBr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15.单声道均衡：高频：+/-15dB @12KHz；中频：+/-15dB @100Hz-8KHz；低频：+/-15dB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16.立体声均衡：高频：+/-15dB @12KHz；中频：+/-15dB @3KHz or +/-15dB @500Hz；低频：+/-15dB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17.主混音串音：&lt;-80dB @0dB 20Hz-22KHz A-weighted，主输出：0dB,其他通道：最小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18.电平表：2x12-点距LED电平指示表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19.供电电压：AC 100-240V 50/60Hz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20.额定功率：30W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音频处理器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增强型ADI芯片，支持32位定点，48k/96kHz采样率，24bit AD/DA转换，32/40bit浮点算法格；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提供硬件型滤波器加速器、音频和应用专用外设，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新型存储器配置可支持最新环绕声解码器算法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450 MHz 内核时钟速度，5 Mbits 片内 RAM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内置FIR（有限脉冲响应）、IIR（无限脉冲响应），以及FFT（快速傅立叶变换）加速器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位宽 SDR SDRAM 外部存储器接口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数字应用接口 (DAI) 支持以用户自定义方式访问外设（包括 S/P DIF 发射器/接收器和 8 通道异步采样速率转换器）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全面增强的 DMA 引擎，包括分散/聚集 DMA、延迟线路 DMA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个串行端口 (SPORT)，支持 I2S、左对齐样本对、DSP 串行和 TDM 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个 SPI 兼容端口，支持主从模式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UART 和双线接口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个脉宽调制 (PWM) 通道，3 个全功能定时器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≥8路模拟Mic\Line输入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≥8路模拟Line输出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输入通道支持48V幻象供电；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输入通道支持：反相，独立静音，独立信号发生器：正玄波，白噪声，粉红噪声；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输入增益:0/3/6/9/12/15/18/21/24/27/30/33/36/39/42/45/48 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输入输出通道均支持自定义处理模块编辑功能；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输入通道具有≥12段PEQ,≥31段GEQ选择，支持五种滤波器类型：Parametric,Lowshelf, Highshelf,Lowpass,Highpass；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输出通道具有≥12段PEQ,≥31段GEQ,高低通、延时器、限幅器；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输入输出通道具有LINK和分组功能；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输入动态范围：≥110dB；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输出动态范围：≥112dB；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频率响应范围20～20kHz (±0.15dB)；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通道隔离度 @1kHz:108dB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全算法支持，自适应回声消除(AEC)、噪声抑制(ANS)、增益共享自动混音(AMC)、门限自动混音（Gate Mixer）、自动增益(AGC)、闪避器(Ducker)、噪声增益补偿器(ANC)、自适应反馈抑制（AFC）；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≥12X9矩阵，具备混音和混音分量控制功能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支持双机热备份，保证系统安全稳定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Ethernet多用途数据传输及控制端口，灵活实时管理多台兼容设备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内置USB声卡，支持音乐播放、录制功能；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内置≥1路双向RS232协议接口、≥1路RS485协议接口，支持UDP控制方式，实现对第三方设备的联动控制；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联机即可安装软件，无需光盘或者下载，随连随用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支持Windows系统、安卓系统、IOS系统，支持平板、控制面板操作方式；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内置自动摄像跟踪功能；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具有≥8路GPIO，可独立配置输入或者输出模式；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支持≥16组场景预设，支持99999个场景保存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内置面板连接和编程界面，可根据系统需求增配系统控制面板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内置用户界面编辑器，可根据使用要求自定义用户界面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无线话筒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1.频道组数：双通道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2.载波频段:UHF631MHZ-695MHZ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3.调制方式：FM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4.振荡方式：PLL相位锁定频率合成器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5.频率稳定性：±0.0005%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6.灵敏度：在偏移度等于25KHz，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7.输入6dBμV时，S/N&gt;60dB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8.最大偏移度：±45kHz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9.频带宽度：50MHz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10.综合频率响应：60Hz~18kHz ± 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11.最大输出电压：平衡式：-20dBV/100Ω,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12.非平衡式：-4dBV/5KΩ. 输出插座：XLR平衡式及6.3φ不平衡式插座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13.面板按键：手持话筒、腰包发射器和短杆会议话筒，按键切换和显示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14.工作有效距离：≥500米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1.高度：980-1680mm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2.斜杠：550-900mm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话筒天线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1.频率范围：470～950MHz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2.最大增益：8.0dBi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3.电压驻波比：≤2.0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4.极化方式：线极化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5.输入阻抗：50Ω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6.接头型号：BNC 接头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7.工作温度：-30～+60℃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8.放大器OIP3：＞25dBm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9.指向性：180°指向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10.供电电压：DC 8～12V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安装耗材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5米音频连接线：3.5（耳机插头）*1,6.35话筒插头*2,线径：0.3mm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5米音频连接线：卡侬头（母）*1卡侬头（公）*1，线径：0.3mm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5米音频连接线：卡农头（母）*1，线径：0.3mm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1.8米音频连接线：卡农头（母）*1，线径：0.3mm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音响安装调试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安装调试、含人工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规格：≥2000*600*900mm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基 材：选用E1级环保MFC板，游离甲醛释放量为0.4mg/L。板面厚度为≥18mm，密度为850kg/立方米，承重力强。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 材：采用三聚氰胺防火饰面板材，阻燃、耐磨、抗静电。</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五线谱识读教具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一、节奏卡：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2、尺寸、数量：单个卡片尺寸不小于78*78mm、正反面均由音符、一套的数量18个、正反数量相加不低于34个。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3、包含：四分音符、八分音符、十六分音符、前八后十六音符、前十六后八音符、切分音音符、前附点音符、三连音音符、后附点音符等。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二、五线谱磁力板：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2、尺寸：不小于1250*140mm，共一张、切3等分、对应音符卡片可直接吸附在五线谱磁力板上进行讲解。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三、磁力音符：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符包含：全音符、二分音符、四分音符、八分音符、十六分音符、附点、四分休止符、八分休止符、十六分休止符、高音谱号、低音谱号、强记号、升音记号、降音记号、还原记号、保持音、反复记号、弱记号、三连音、前八后十六音符、后附点音符、前附点音符、前十六后八音符、切分音音符、八分音符、十六分音符、小节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四、磁力音符包含：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音符、二分音符、四分音符、八音音符、十六分音符、附点全音符、附点二分音符、附点四分音符、附点八分音符、四分休止符、八分休止符、十六分休止符、高音谱号、低音谱号、强、弱、升记号、降记号、还原记号、Do、Re、Mi、Fa、Sol、La、Si、Do（高音）、Do（低音）、Re（低音）、Mi（低音）、Fa（低音）、Sol（低音）、La（低音）、Si（低音）、Do（中音）、重降记号、重升记号、三连音、前十六后八、前八后十六、四个十六、两个八分、切分节奏、附点节奏6个、全休止符、二分休止符、顿音记号、回音记号、波音记号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五线谱识读学具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一、音符卡片收纳学习板：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1.尺寸：长≥460mm宽 ≥200mm 高度≥30mm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2.材质：采用ABS一体注成，环保无异味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3.音符卡片可放置于内部，利于储存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4.8个小圆球相互扣到对应孔位，防止移位，且合起后方便老师发放收起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5.上附五线谱表，可将音符卡片直接进行摆放重复利用，无需书写。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二、节奏卡（纸卡）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1、材质：磁性底材，可直接吸附在黑板、绿板等铁质物品上。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2、尺寸、数量：单个卡片尺寸不小于78*78mm、正反面均由音符、一套的数量18个、正反数量相加不低于34个。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3、包含：四分音符、八分音符、十六分音符、前八后十六音符、前十六后八音符、切分音音符、前附点音符、三连音音符、后附点音符等。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三、磁性音符：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材质：磁性底材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符包含：全音符、二分音符、四分音符、八分音符、十六分音符、附点、四分休止符、八分休止符、十六分休止符、高音谱号、低音谱号、强记号、升音记号、降音记号、还原记号、保持音、反复记号、弱记号、三连音、前八后十六音符、后附点音符、前附点音符、前十六后八音符、切分音音符、八分音符、十六分音符、小节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四、音符卡片包含：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音符、二分音符、四分音符、八音音符、十六分音符、附点全音符、附点二分音符、附点四分音符、附点八分音符、四分休止符、八分休止符、十六分休止符、高音谱号、低音谱号、强、弱、升记号、降记号、还原记号、Do、Re、Mi、Fa、Sol、La、Si、Do（高音）、Do（低音）、Re（低音）、Mi（低音）、Fa（低音）、Sol（低音）、La（低音）、Si（低音）、Do（中音）、重降记号、重升记号、三连音、前十六后八、前八后十六、四个十六、两个八分、切分节奏、附点节奏6个、全休止符、二分休止符、顿音记号、回音记号、波音记号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乐谱架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 加粗大谱架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尺寸：三节升降，最高可达165CM，50*35CM支架折叠后为54CM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颜色：黑色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9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乐谱夹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加厚环保塑料，防止乐谱过厚导致自动翻页，尺寸:长15cm*最宽处5cm。手工测量可能会有误差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监听耳机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监听耳机：最大输入：大于200 mW 输入组抗：大于32Ω 灵敏度：大于98 dB SPL/V 频率响应：大于10-30 k Hz 原理：动圈封闭式，驱动单元：50mm。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数字音乐教学系统（教学端）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一、文生文部分：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1、集合大模型具有虚拟人物对话功能可实现文字、语音对话、生成音乐相关教学内容。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2、虚拟人可进行语音对话、生成的文字可复制插入到课件中。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二、智能音乐创作：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1.1具有AI音乐创编系统，支持旋律创作、自由创编。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1.2旋律创作：输入歌词或者主题、歌曲名称后系统自动生成歌曲音频，音频包含前奏、主歌、副歌、尾奏等、生成后音频支持保存到本地。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1.3保存到本地的音频支持插入到创作备课模块进行曲谱同步、插入后音频支持选择音频波形长度、波形高度进行同步。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2.1自由创编功能：输入歌词、歌曲名称、选择音乐风格、场景氛围、人声类型、人声特征、歌曲时长后系统自动生成歌曲。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2.2音乐风格包含：国风、流行、电子、朋克、嘻哈、摇滚、民谣、爵士、DJ等。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2.3场景氛围：鼓舞、快乐、兴奋、怀旧、浪漫、伤感、思念、放松等。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2.4人声类型包含：男声、女声。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2.5人声特征包含：温暖、明亮、烟嗓、电音等。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2.6歌曲时长选择包含：30秒、1分钟、2分钟、全曲等。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三、AI演唱评价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1、AI演唱评分结合当地配套教材对学生歌唱掌握情况进行课程现场演唱测评，辅助教师进行演唱评价与重点难点深度学习。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2、AI演唱评分功能：歌曲支持演唱模式演唱过程中具有音频伴奏、音高线提示、音高时值实时显示分值、演唱完成后显示演唱得分，音准、节奏、完成度等百分比。支持音频回放、重新演唱。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3、演唱结果完成度分析：系统自动生成数据报告，得分包含：综合评分、音准评分、节奏评分、完整度评分等。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4、演唱过程支持视频回看功能。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5、曲谱播放速度可调：通过滑动速度条进行速度调节40-208，其中含5种直选键：0.5、0.75、1（还原）、1.25、1.5倍速可调。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6、曲谱播放调试可调：移调选择，移调快捷键：降全音、降半音、原调、升半调、升全音，也可以直接选择对应调式。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包括：乐理电教板、智能电教板、教材、音基课堂、素养训练等五个模块。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四、音乐理论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乐理电教板：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1、虚拟键盘：具有一组大谱表、88键/61键/实体键/三种可选的虚拟键盘，弹奏外接设备的同时，虚拟键盘、谱表及简谱窗口同时高亮显示。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2、支持88键/61键/实体键三种虚拟键备组的显示，包含大字组、小字组、小字一组、小字二组等。分别有不同颜色区分键盘组。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3、具备键盘、谱表和简谱窗口三位一体同步功能，支持≥14种调式讲解，≥10组音程尺，≥28组和弦同时对照讲解。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4、钢琴自动演：点击谱表或虚拟键/可通过钢琴自动演奏进行发声。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5、无限延伸漫游功能：该功能可保留音符在谱表上的位置，且谱表具有无限延伸漫游功能，所呈现内容可左右拖动，进行标注笔迹且与谱表同步移动。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6、五度调式循环图：外圈调号、中圈大调、内圈小调，点击调号可直接更改谱表调式。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7、提供乐理书籍进行内容展示包括：基础知识、乐音体系、谱号五线谱音律、自然半音、自然全音、三连音、为旋律配和声、音乐主题等。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智能电教板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1.界面五线谱谱表或简谱谱表与虚拟键盘组成支持简谱、五线谱、高低音谱表、大谱表四种模式进行教学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2.五线谱谱表或简谱谱表支持四小节到八小节的编辑和输入教学，编辑后可进行播放。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3.五线谱谱表或简谱谱表输入音符时，音符可通过上下拖动改变音高。点击音符符杆可添加变音记号和符杠。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4.五线谱谱表或简谱谱表输入音符时可选择时值、音符及休止符，谱表小节自动识别时值。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5.四种拍号：可设置≥4种拍号，包含:四二拍、四三拍、四四拍、八六拍。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音基课堂：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1、变调记号：调号和临时记号、升记号、降记号、还原记号。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2、节奏：后附点节奏、认识附点、八分音符前附点、八分音符后附点。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奏型：四分音符三连音、大切分节奏的变形、八分音符三连音、四分音符三连音、小切分、四个十六分音符、四个十六分、前十六后八、前十六后八节奏、前八后十六节奏、前八后十六、两个八分音符、附点四分音符、大切分节奏、大切分、八分音符三连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4、拍子：一拍与半拍、一拍与两拍、变换拍号、认识四四拍、认识四三拍、认识四二拍、单拍子复拍子、四四拍、四三拍。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5、强弱：四二拍强弱规律、四三拍强弱规律、四四拍强弱规律、切分节奏的强弱规律、认识很强很弱力度记号、认识中强中弱力度记号。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6、速度：庄板、中板、行板、小行板、柔板、慢板、渐弱、渐强、渐慢、渐快、回到原速、广板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五线谱：认识五线谱、认识高音谱号、认识do在五线谱上的位置、认识re在五线谱上的位置、认识mi在五线谱上的位置、认识fa在五线谱上的位置、认识sol在五线谱上的位置、认识la在五线谱上的位置、认识si在五线谱上的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8、小节：小节、小节线、小节、小节线、小节、小节线、增值线、增值线、圆滑线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9、休止符：八分休止符、附点八分休止符、二分休止符、全休止符、十六分休止符、四分休止符、附点四分休止符、附点二分休止符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10、音符：认识全音符、认识二分音符、认识四分音符、认识八分音符、认识二分附点音符、认识四分附点音符、认识八分附点音符、认识八分附点音符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11、音乐记号：装饰音、重音记号、休止符省略记号、换气记号、滑音、跳房子反复、对联反复、顿音、大反复记号、大反复记号、保持音、延音连线、延长音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12、音名：do的音名、Re的音名、Mi的音名、Fa的音名、Sol的音名、La的音名、Si的音名、认识嘟嘟蕊蕊、认识依依菲菲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13、知识点：音区、音级的概念、认识音符和休止符、认识领唱、认识结束句、认识歌曲欠揍、认识歌曲间奏、高音点、认识独唱和合唱、认识大调音阶、七个音的介绍、高音点、初步认识小调音阶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素养训练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1.包含识音找名称，识琴键找音，识音找琴键三种模式训练。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2.训练中可显示答题总次数与正确次数统计，显示正确率百分比，以及答题时长。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3.选项设置：可选择训练的谱号、调号、变音记号、音符等范围。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4.提示设置：可选择线间提示显示，八度提示显示。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5.更多功能：重置分数，隐藏计时器，显示答案，跳过问题，显示进度报告。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6.音程识别：具有音程识别功能,根据展示的音程,选择对应选项。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7.和弦识别：具有和弦识别功能,根据展示的和弦,选择对应和弦名称。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8.调号识别：具有调号识别功能,根据展示的调号,选择对应调号名称。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9.音阶识别：具有音阶识别功能,根据展示内容,选择对应音阶名称。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五、授课教学：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1、运用AI技术支持自动识别谱曲、音符、音高、歌词等进行一键AI女生、童声试唱播放功能。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2、运用人工智能技术把谱曲进行一键转换为：简线双谱、节奏谱、钢琴谱、生成旋律线、唱名、音名、手势图、强弱对照、歌词拼音等功能。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3、支持谱曲一键生成：竖笛、萧、葫芦丝、陶笛等小乐器指法、生成后乐器指法和对应音符上下排列。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4、支持原有五线谱一键生成唱名、音名与五线谱音符上下对照排列。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5、课件包含教学参考、示例课件且支持编辑模式和教学模式，设有巩固训练，更好的实现课堂互动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6、支持插入PPT格式课件、方便教师在同一系统内结合使用系统课件与PPT课件双模式授课。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7、包含缩略图、课件库两部分、缩略图内可以添加新建页、删除页、更换背景颜色、打印。课件库选择教学版本、年级上下册及其他乐谱。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8、谱曲教唱模式包含：谱曲播放、男生唱名、女生唱名、真人唱名、伴奏+旋律、范唱、伴奏、男声节奏、女声节奏、女声试唱、童声试唱等不低于十一种播放模式、播放时可选择播放、循环播放。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9、多声部谱曲支持不同声部音量调节、可关掉一个或多个声部音量、也可单独设定不同声部播放音量，音量可调节范围：0-100之间可选择。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10、可链接自动演奏钢琴，进行钢琴自动演奏，播放设置可以变调、变速。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11、多声部谱曲可通过选择歌词、音符确定播放起始点进行播放。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12、可以对于合唱教学、乐队总谱等多声部曲谱，可进行选择性播放，以及对每个声部进行不同音量的比例调节；支持总音量一键重置，各声部一键静音。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13、可选择课件的播放的音色，包含直选键：钢琴、小提琴、单簧管、古筝、颤音琴等，之外还有不低于120种音色可选。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14、可选择课件的速度：包含播放倍速直选键：0.5、0.75、1、1.25、1.5等之外还可手动调节播放速度：40-208之间可选。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15、播放进度提示：可选次指针模式、乐谱音符模式。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16、快捷功能按键包含：页面漫游、放大、缩小、撤销、恢复、上一页、下一页等操作。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17、支持五线谱、简谱课件一键互转、并可生成符合钢琴谱表。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18、支持显示虚拟键盘、键位数量：61、88键位可选，并可一键生成虚拟键盘对应的音名、唱名。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19、可将播放的乐曲转换到音乐创作界面进行改编，编辑内容包括：移调、变速、改变音高、歌词等，编辑完成后支持再次播放，编辑后课件可另存为在任意位置。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20、修改课件的音符音高、歌词、音符力度后均可进行直接播放。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21、最近使用功能，切换其他功能模块后，可直接返回最近一次的教学内容，依然保留板书及各项设置。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22、AI伴奏：可对五线谱、简谱课件生成不同曲风音频伴奏，伴奏类型包含：乡村民谣、流行、国潮、电子、摇滚等。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23、支持对课件音符进行改编、改编后AI伴奏可重新识别曲谱生成不同风格的伴奏。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24、生成后的AI伴奏支持于伴奏+人声同时播放、伴奏音频支持插入到课件中。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工具包：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包含：截图、录屏、护眼色、课件打印、使用帮助、播放进度提示选择、节拍机、识谱图、幕布、指挥、五线谱本、隐藏白板、课堂互动等功能。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1、截图：支持当前功能界面截图、保存到任意路径。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2、录屏：可讲授课过程、画面、声音进行录制并保存到任意路径。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3、护眼色：为了减轻蓝光对眼睛的伤害可一键打开护眼色。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4、课件打印：可讲当前授课见面进行打印。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5、节拍机：1、2、3、4、5、6等不同拍型可选、播放音量：1-10可选、播放速度：40-208可选。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6、幕布功能：打开幕布可选择上下左右、左上、右上、左下、右下等八个方向调节幕布遮挡范围。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7、具有指挥视频：包含四二拍、四三拍、四四拍、八六拍等四个指挥视频可选、指挥视频播放倍速：0.5、0.75、1、1.25、1.5、2.0可选，播放音量：0-100可选。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8、五线谱本：打开后已五线谱绿板展现，支持板书授课。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9、课堂互动：包含大转盘、随机点名、计时器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9.1、大工具包-课堂互动中，含有大转盘，可进行编辑、抽奖等功能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9.2、计时器：可设置倒计时时间、来限制课堂活动的时间。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六、鉴赏拓展：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1.包括≥5大模块：中国音乐、西方音乐、世界音乐、其它音乐、音乐周边等。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2.中国音乐≥190种拓展知识、包括中国乐器、中国歌唱家、中国作词作曲家、中国舞蹈、中国戏曲、中国话剧、中国戏曲等。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3.西方音乐：≥190种拓展知识、包括西洋乐器、西方音乐家、西方歌剧、西方指挥家、西方舞蹈、西方乐团等。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4.世界音乐：≥20种拓展知识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5.其他音乐：≥20种拓展知识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6.音乐周边：≥20种拓展知识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7.鉴赏拓展内容支持一键文字播放，可进行音量调节。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8.支持使用铅笔、荧光笔书写，可对笔的颜色、粗细进行调节，具有橡皮擦除与全部擦除功能。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9.可支持PPT、Word、视频、及系统曲谱等文件进行教学，方便教师直接用PPT进行授课。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10.PPT教学时支持白板书写进行圈画，支持截屏、录屏，节拍机，识谱图，和虚拟键盘配合教师教学使用。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1.8个一组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2.频率分别为：256、288、320、341.3、384、426.6、480、512hz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3.结构：音叉+小木槌+木盒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校音器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产品特点：蓝白绿三色背光负显，大字体音名显示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校音项目：十二平均律、吉他、贝司、小提琴、尤格利利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拾音方式：夹在乐器上振动拾音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校音模式：自动校音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拾音范围：A0(27.5Hz)-A6(1760Hz)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A4频率范围：440Hz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校音误差 ：±1音分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节拍器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1.节拍速度：40-208拍/分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2.拍子型：0、2、3、4、6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3.节拍音色：机械声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4.尺寸：110*110*220mm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5.颜色：黒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6.结构：金属大机芯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沙锤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1、材质：沙锤椰壳，手柄为木制；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2、外观：着色均匀，无流挂现象，图案不掉色，外观圆滑适度；各部表面打磨光滑，无毛刺，无锐利边角；粗细适宜，手感好，牢固；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3、音质：声音明亮清脆；可发“沙拉拉”音响效果；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4、尺寸:锤体直径：120-125mm；锤体长度：105-110mm；手柄直径： 15-25mm；手柄长度：140-145mm。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碰铃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1、材质：响铜；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2、外观：光洁，无毛刺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3、音色清脆、悦耳，发音响亮，余音环绕；延音≥6S；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4、尺寸:直径40-45mm，高度40-45mm；重量：75-80g。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音色：金属打棒。手持提手悬空敲击发声，音质清脆悦耳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材质：优质钢材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尺寸：4+6+8英寸（三个一套），总长约10+15+20CM，打棒长约12cm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表面：电镀工艺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配件：打棒1个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钟琴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1、材质：铝制；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2、外观：音名标注清晰，准确；表面涂饰均匀，色泽一致，无流挂现象；表面处理无锋利边角；定位帽钉安装、排列整齐，进行电镀处理，无锈蚀；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3、音质：标准音：频率440Hz；音准误差：（-35）—（+35）；音色清脆，音质纯净；发音性能良好，无哑音，杂音；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 音板条宽20-26mm；音板条边缘厚度：3-6mm；音板条间隙5-9mm；击棒长度255-275mm；击棒锤柄直径：18-21mm。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橡木，原木色漆面，附2槌.14.5cm*10cm ,17.5cm*11.5cm,17.5cm*13.5cm ,21cm*15.5cm23cm*18cm，厚5cm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铃鼓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材质：羊皮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节奏棒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1、材质：榉木；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2、外观：亚光PU漆面，无锐利边角，毛刺，涂饰均匀；两根为一对；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3、音质：清脆悦耳；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4、尺寸:长180mm，直径20mm。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双响筒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1、材质：榉木；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2、外观：表面光滑，完整、光亮，无脱皮、裂痕现象，亚光PU漆面；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3、音质：清脆无杂音；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4、尺寸:长190mm，直径30mm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板胡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等级：专业板胡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材质：一级花梨木材质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琴轴：木轴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尺寸：长约76cm，筒直径约10cm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工艺：原木抛光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柳琴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1、产品尺寸；长*宽*厚（675mm*239mm*75mm）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2、头饰；花开富贵骨花。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3、琴轴；阿诺故意苏木六瓣轴。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4、面板；河南兰考优质面板。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5、琴弦；钢丝、缠弦。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6、码子、品；福建老竹子制作。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7、代微调支架。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8、配置；轻体泡沫壳包装、琴包、拨片、擦琴布、说明书。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古筝</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1、琴首材料；实木.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2、面板材料；兰考一级桐木面板。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3、地板材料；兰考桐木底板。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4、侧帮材质；紫檀木。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5、琴弦材质；呢绒钢丝弦。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6、琴码材质；红木。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7、工艺 ；贴雕仙女图案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8、产品尺寸；长*宽（1630mm*大330mm小280mm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9、配件：指甲，胶布，支架，古筝包，筝码，扳手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小三弦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硬木材质、仿红木色、琴头等纯手工工艺制作，头部线条流利，外观大气，精制优雅，硬木琴轴、经过手工打磨，整个过程纯手工完成。做到不滑轴、不跑音。硬木琴杆不易变形，琴体表面光滑。蟒皮、手工蒙皮、松紧适中、音质稳定、音色透亮、穿透力极强。琴腔采用流线型处理、手工通身上漆、表面光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1、声学品质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1.1音色音质：高亢、脆亮、互击时声音洪亮。无明显转音、颤音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1.2延音时长：镲延音不少于（ 15 ）s；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2.1直径：（ 280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外延厚度：（1.5）mm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2.3帽口直径：（55）mm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3、材质及工艺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 材质：响铜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3.2外观：圆帽型，中间凸起、小而厚、光滑、平整、无毛刺。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1.响铜材质，钹面直径 145～150mm，帽口直径65～70mm。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2.钹面光、弧度适度、圆度准确、边缘厚度一致，中间的帽形大小和两面的音高要相同，两面为一副。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3.相击后振动发音，声音洪亮，浑厚。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1.1音色音质：洪亮、低沉、谐音丰富、无明显颤音、转音。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1.2延音时长：不少于3s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2、规格尺寸要求：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2.1直径：（215）mm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外延厚度：（2）mm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2.3、中心脐直径：（85）mm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2.4重量：（0.4）kg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2.5锣槌直径：（ 215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2.6锣槌长度：（ 230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3、材质及工艺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 锣体：响铜材质、厚度均匀、平整、无毛刺、无裂缝。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3.2槌：木制、表面无疤痕。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3.3槌头： 用新棉布缠绕、硬实耐用。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4、外观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4.1表面抛光氧化处理，制作精细、光洁、无毛刺。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4.2锣边平滑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中虎音锣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1、响铜材质。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2、外圆直径335mm；约1100g左右。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3、音色：打出 hèng 音，发出“虎”音，衰减时间：≥5s；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4、外观质量：加工无漏刀，无非正常加工的刀伤划痕； 边缘无锐利边角；锣光内无重皮。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口风琴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 约570mm*145mm*50mm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净重 约750g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键数 37键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音域 f-f3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包装 帆布软包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附赠原厂配件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琴包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桌奏吹管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立式吹口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擦琴手帕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吹奏 说明 x1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音阶尺1套尺寸为手工测量，会存在少许误差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竖笛</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1．采用优质塑料制作。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2．采用十二平均律；标准音小字一组a音为440Hz。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优美、饱满、全音域均匀统一；音程准确、谐和；音量均匀，能表现强、弱音，富有表现力；发音灵敏自如；吹奏通畅、省力；手感舒适，便于演奏；笛口光滑舒适，无毛刺；音孔光滑，无毛刺；竖笛坚实圆整、光滑、无划痕、无裂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4．能够满足小学音乐教学实际需要。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5.材质：ABS树脂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6.长度：约33cm左右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7.配套竖笛教学小程序，不低于80个视频与曲谱双展现形式教程。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8.教程均为视频与曲谱双展现形式、内容为乐器指法与曲谱同步高亮显示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9.视频播放倍速：0.5、0.75、1.0、1.25、1.5、2.0倍速可调节。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10.包含学习足迹、精品课程等，课程可进行搜索。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葫芦丝</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1、演奏性能：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发音灵敏，富有表现力；按音孔的孔位准确，孔壁向内呈倒锥形倾斜；按音孔手感舒适，便于演奏；各插接部位严密，无漏气；接口式调音插口设置的调节范围≤5，插接时灵敏有效；主管附加键、副管启闭钮灵敏、有效，不漏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2、外观及工艺：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管体表面涂饰光亮，色泽均匀，涂膜牢固；图案、字迹清晰，金属件洁净、光亮；人体接触到的部位光滑，无锐利斜薄边及毛刺；胶合部位牢固，无开裂；音簧固定牢固，无开裂和破损，间隙均匀；木质材料无裂缝、劈裂和疤节；竹质材料坚硬，没有沟节、虫蛀；共鸣体使用的天然葫芦外形端正、美观；ABS工程塑料无裂痕、缩印、变形和污迹。外观和性能符合QB/T4841-2015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3、声学品质：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3.1律制：采用十二平均律；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3.2标准音：a1音为440HZ；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3.3各音音准允许误差：主管-15～+15音分；副管-20～+20音分；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3.4主管相邻两音音准误差之差≤15音分；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3.5音质音色：优美、圆润、发音流畅。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陶笛</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1、律制：采用十二平均律；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2、a′为440.00-442.55HZ；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3、音域：单管不少于一又二分之一个八度，多管不少于两个八度；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4、各音音准允许误差：-20-+20音分；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五、音质：高级品高音明亮，中音柔和、圆润，低音浑厚，音色统一，音区间过渡自然，无啸叫、哑音、杂音；普及品高音明亮，中音柔和、圆润，低音浑厚，无啸叫、哑音等杂音；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六、结构：高级品复管；普及品单管；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七、演奏性能：发音灵敏，音量变化丰富；吹奏省力，按音孔设置手感舒适，便于演奏；音栓灵敏、有效；检测符合QB/T 4842-2015要求；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八、发音孔圆润、光滑，表面无裂缝；涂膜牢固；图案、字迹清晰，共鸣腔内洁净；人体接触部位无锐利斜薄边及毛刺；无收缩、变形及其他影响使用性能的缺陷；配件挂绳牢固，不影响发音。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吉它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1、声学品质：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1.1律制：采用十二平均律；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1.2标准音：a1音为440HZ；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1.3音准误差：-10～+15；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1.4基本音域：E～a2；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1.5定弦音高：E、A、d、g、b、e1；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1.7音质：发音灵敏，传远力优美，音的持续性（延音）良好，无杂音。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1.8符合QB/T 1153-2014要求；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2、演奏性能：发音灵敏，手感舒适，能表现强、弱音，音准稳定性能良好。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3、尺寸：有效弦长646±2mm；指板上宽（上弦枕处）41.5+0.5mm；指板下宽（12音品处）54－1.0mm；第一音品处弦高≤0.8mm；第十二音品处弦高≤3.5。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4、外观：表面涂饰美观，无划痕、脱漆，涂色匀净，表面光滑；各部件胶合严密牢固、不留余胶；音品装配无扭曲，高度一致，音品两端有倒角、无毛刺；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琴颈与共鸣箱结合在第12品位或第14品位处；琴颈有一定的弧度，且表面光滑，不易变形，便于演奏；琴颈加指板厚度   第一音品处≤23  第八音品处≤25；指板表面光滑；品位标志可在第1、3、5、7、9、12、15、17、19品位的正面或侧面选择标示；各部件装配牢固；琴弦张弦时，不松滑；演奏时，不打品；弦轴端正，转动调节灵活，松紧适宜，弦轴孔有倒角；上弦枕与指板上端严密接触，并设有各弦的导向槽；下弦枕为板状或半圆柱体，镶在弦马槽里，与弦接触部分成圆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木材含水率：木材经干燥处理，含水率控制在6%～10%；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面板纹理通直，疏密分布合理，无腐朽、裂纹、节疤、树脂囊和明显的挖补；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背板、侧板、琴颈、指板、弦码有一般花纹，无节疤、虫蛀、腐朽和较明显的黑线不可有腐朽、虫蛀和较明显的黑线；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音品使用锌白铜；上、下弦枕使用牛骨等硬质耐磨材料；涂饰使用改性聚氨酯（PU）或其它材质响铜甚至更好的材料。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尤克里里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旋钮：开放式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指板：玫瑰木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弦线：常规型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下码：玫瑰木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包边：无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琴枕：常规型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面板、侧板、背板：沙比利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舞蹈教室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1.工作条件： 成品应放在室内保管。相对湿度为40％－70％的条件下应能正常工作。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2.尺寸和重量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3.高度:：1221mm*长度：1483mm*宽度：605mm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4.低音弦长度：1200mm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5.弦槌重量：约6－10克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6.音板尺寸：1435×（995-950）mm2不等宽设计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7.弦轴板： 色木多层板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8.马子： 色木多层板帖色木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9.弦轴：45钢调质处理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10.中踏瓣：软轴设计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11.活动杆：金属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12.干燥处理：木制件、呢毡有处理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13.新型击弦机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14.弦槌标准弦槌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15.键盘盖（缓冲装置） 有缓落装置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16.88键盘：88键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17.踏瓣：造型踏瓣3个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18.外观涂装：亮光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把杆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水曲柳杆长2m、3m、4m，可根据教室实际尺寸配置，直径55mm，内有22mm直径锰钢，带弹性， ABS移动底座，支架采用优质无缝钢管焊接而成，颜色珍珠白、高亮。活动升降內芯为优质电镀圆管，螺旋拉销式升降控制装备，升降高度可调节40cm（80-120cm）。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米</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厚≥5mm磨边，高度不小于2200mm，长度根据实际情况定。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2.频响：≥60Hz-20KHz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4.峰值功率：≥800W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5.灵敏度：96dB/W/M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6.最大声压级（额定/峰值）：119dB/126dB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7.覆盖角度：(H)80°(V)60°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8.高音：≥1.4"压缩高音单元×1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2.频响：≥65Hz~20KHz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3.额定功率：≥150W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4.峰值功率：≥600W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5.灵敏度：95dB/W/M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6.最大声压级（额定/峰值）：≥117dB/123dB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7.覆盖角度：(H)80°(V)60°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8.高音：≥3"锥形高音单元×1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 ≥140mm*65mm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1.输出功率：立体声@8Ω：≥350W×2；立体声@4Ω：600W×2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9.输入电压：~220V/50Hz10.整机功耗：200W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1.输出功率：立体声@8Ω：≥200W×2；立体声@4Ω：400W×2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10.整机功耗：≥150W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1.麦克风输入：≥8路（8个XLR接口）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2.线路输入：≥6路单插单声道/立体声自动切换混合接口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3.立体声输入通道：≥2组（4路单声道）、4路RCA输入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4.输出通道：≥2组立体声输出、4路编组输出、4路辅助输出、1个耳机监听输出、1个接口双路效果输出 、1组控制室输出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5.INSERT：≥1组主混音断点插入、6个断点插入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6.USB接口：外接U盘播放音乐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7.无线连接：内置蓝牙无线收发器，可连接手机进行播放音乐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8.效果器：24位DSP效果器（包括人声、小房子、大厅、回声、回声+回响、盘子、声乐板、合唱GTR，旋转GTR、颤音GTR类型），100种预设效果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9.USB声卡端口：支持电脑播放/录音，通过CH11/12通道回放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10.幻象电源：CH1-CH6每路通道带48V幻象开关独立控制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11.频率响应：20Hz-20kHz，±2dB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12.失真度：&lt;0.03% at+0dB,22Hz-22KHz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13.灵敏度：+20dB~-30dB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14.信噪比：&lt;-100dBr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15.单声道均衡：高频：+/-15dB @12KHz；中频：+/-15dB @100Hz-8KHz；低频：+/-15dB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16.立体声均衡：高频：+/-15dB @12KHz；中频：+/-15dB @3KHz or +/-15dB @500Hz；低频：+/-15dB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17.主混音串音：&lt;-80dB @0dB 20Hz-22KHz A-weighted，主输出：0dB,其他通道：最小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18.电平表：2x12-点距LED电平指示表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19.供电电压：AC 100-240V 50/60Hz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20.额定功率：30W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音频处理器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增强型ADI芯片，支持32位定点，48k/96kHz采样率，24bit AD/DA转换，32/40bit浮点算法格；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提供硬件型滤波器加速器、音频和应用专用外设，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新型存储器配置可支持最新环绕声解码器算法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450 MHz 内核时钟速度，5 Mbits 片内 RAM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内置FIR（有限脉冲响应）、IIR（无限脉冲响应），以及FFT（快速傅立叶变换）加速器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位宽 SDR SDRAM 外部存储器接口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数字应用接口 (DAI) 支持以用户自定义方式访问外设（包括 S/P DIF 发射器/接收器和 8 通道异步采样速率转换器）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全面增强的 DMA 引擎，包括分散/聚集 DMA、延迟线路 DMA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个串行端口 (SPORT)，支持 I2S、左对齐样本对、DSP 串行和 TDM 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个 SPI 兼容端口，支持主从模式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UART 和双线接口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个脉宽调制 (PWM) 通道，3 个全功能定时器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≥8路模拟Mic\Line输入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≥8路模拟Line输出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输入通道支持48V幻象供电；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输入通道支持：反相，独立静音，独立信号发生器：正玄波，白噪声，粉红噪声；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输入增益:0/3/6/9/12/15/18/21/24/27/30/33/36/39/42/45/48 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输入输出通道均支持自定义处理模块编辑功能；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输入通道具有≥12段PEQ,≥31段GEQ选择，支持五种滤波器类型：Parametric,Lowshelf, Highshelf,Lowpass,Highpass；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输出通道具有≥12段PEQ,≥31段GEQ,高低通、延时器、限幅器；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输入输出通道具有LINK和分组功能；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输入动态范围：≥110dB；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输出动态范围：≥112dB；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频率响应范围20～20kHz (±0.15dB)；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通道隔离度 @1kHz:108dB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全算法支持，自适应回声消除(AEC)、噪声抑制(ANS)、增益共享自动混音(AMC)、门限自动混音（Gate Mixer）、自动增益(AGC)、闪避器(Ducker)、噪声增益补偿器(ANC)、自适应反馈抑制（AFC）；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≥12X9矩阵，具备混音和混音分量控制功能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支持双机热备份，保证系统安全稳定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Ethernet多用途数据传输及控制端口，灵活实时管理多台兼容设备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内置USB声卡，支持音乐播放、录制功能；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内置≥1路双向RS232协议接口、≥1路RS485协议接口，支持UDP控制方式，实现对第三方设备的联动控制；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联机即可安装软件，无需光盘或者下载，随连随用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支持Windows系统、安卓系统、IOS系统，支持平板、控制面板操作方式；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内置自动摄像跟踪功能；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具有≥8路GPIO，可独立配置输入或者输出模式；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支持≥16组场景预设，支持99999个场景保存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无线话筒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1.频道组数：双通道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2.载波频段:UHF631MHZ-695MHZ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3.调制方式：FM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4.振荡方式：PLL相位锁定频率合成器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5.频率稳定性：±0.0005%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6.灵敏度：在偏移度等于25KHz，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7.输入6dBμV时，S/N&gt;60dB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8.最大偏移度：±45kHz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9.频带宽度：50MHz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10.综合频率响应：60Hz~18kHz ± 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11.最大输出电压：平衡式：-20dBV/100Ω,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12.非平衡式：-4dBV/5KΩ. 输出插座：XLR平衡式及6.3φ不平衡式插座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13.面板按键：手持话筒、腰包发射器和短杆会议话筒，按键切换和显示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14.工作有效距离：≥500米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1.高度：980-1680mm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2.斜杠：550-900mm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话筒天线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1.频率范围：470～950MHz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2.最大增益：8.0dBi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3.电压驻波比：≤2.0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4.极化方式：线极化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5.输入阻抗：50Ω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6.接头型号：BNC 接头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7.工作温度：-30～+60℃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8.放大器OIP3：＞25dBm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9.指向性：180°指向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10.供电电压：DC 8～12V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安装耗材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5米音频连接线：3.5（耳机插头）*1,6.35话筒插头*2,线径：0.3mm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5米音频连接线：卡侬头（母）*1卡侬头（公）*1，线径：0.3mm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5米音频连接线：卡农头（母）*1，线径：0.3mm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1.8米音频连接线：卡农头（母）*1，线径：0.3mm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音响安装调试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安装调试、含人工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蓝牙音响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1、功率：≥300W；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2、阻抗：8欧；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3、频率响应：30Hz-20KHz；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4、内置电瓶：18；时大容量电池：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5、使用功能：双USB+SD接口俱全；带语音提示，蓝牙、收音、录音、话筒优先等；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6、面板输入：面板带音频输入，话筒乐器输入，音乐高低音.话筒高低音.有线音量，无线音量.总音量以及混响音量均可独立调节.外接12V电源座子，8字充电座，带2只红绿智能开关；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7、放电保护：机器具有智能软开关机，机器正常播放时，当电瓶电量到达最低（9.6V）时，自动关机保护，保证电瓶放电电流绝对为零；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8、灵敏度：80dB；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9、充电安全保护功能：PWM宽电压开关电源，恒压充电，长时间充电对电瓶无影响；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10、内置读卡器：双解码可读多种格式、带USB，SD卡，语音提示，带蓝牙、收音、录音、话筒优先、数码显示、等，面板上可直接删除没有用录音文件，做到人性化；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11、内置无线接收：带2只UHF无线专业话筒；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12、扬声器单元：15寸专业低音+44芯号角高音。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堂鼓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1、外观：鼓体着色均匀，无流挂现象；鼓锤表面打磨光滑，无疤疖,无腐蚀，无黑线；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2、声音饱满，浑厚；延音≥2S；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3、尺寸:鼓面直径约220mm，鼓体高度约320-330mm；鼓锤锤头直径13-15mm；鼓锤长度：225-230mm；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4、装配：铁质万向轮鼓架，挂环安装牢固；鼓皮无褶皱，破损，张力适度。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扇子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秧歌舞用；20 根扇骨，扇骨长度约 310 mm，飘头长度约 200 mm； 天然竹子扇骨，仿真丝布料扇面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红绸</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1200 mm ～ 1500 mm；纱或氨纶材质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条</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水袖</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袖长 1200 mm ～ 1500 mm；纱或氨纶材质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间</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动物头饰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各种动物形象的头戴饰品，15个/套 无纺布+皮筋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铃鼓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1、材质:羊皮鼓面，桦木鼓圈，亚光PU漆面，电镀金属镲片；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2、外观：木制部分打磨光滑，无毛刺；铃片边缘光滑，没有锋利边角；鼓膜平整，无褶皱，涂漆均匀，无流挂现象；结构：鼓框呈扁圆形，单面蒙以羊皮，皮面周围用铁钉绷紧，鼓框上装置6对铁质铃片。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3、音色音质：击鼓、摇鼓发声清晰，无噪音；铃声清脆，鼓音纯正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4、工艺：鼓面：薄厚均匀；张力均匀，适度。鼓膜压边装饰条：粘贴整齐，均匀。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5、尺寸:鼓面直径200±5mm，高42±1mm。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纯手工牛皮，木质鼓腔；300 mm;声音欢快、清脆，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面</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纱巾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材质：雪纺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练功凳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超纤皮方形、材质：超纤皮，35*35*60cm，颜色随机。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压腿凳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练功凳，长2米*宽24厘米*高30厘米，中间海绵一层，表面采用皮革包裹。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压腿砖</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环保材质，无害物质，防水性强，不易沾水，高密度海绵泡沫砖，尺寸：23*15*7cm。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舞蹈垫</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1.尺寸：≥Φ400*H80mm；圆形、星型、五角型各五个；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2.材质：乙烯-醋酸乙烯共聚物；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3.工艺：乙烯-醋酸乙烯共聚物加纳米新材料，经特殊发泡处理，耐磨高密度超强耐低温，中间圆孔设计，方便叠放收纳。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瑜伽垫</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尺寸：≥长185cm×宽80cm×厚15mm，高密度NBR材质。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面</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舞蹈练功球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直径：≥55cm，加厚防爆。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舞蹈拉力带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材质：TP面料，拉丁弹力带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尺寸：约86×4cm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舞蹈手花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1、材料：塑料材质，不掉色，不变形，不掉花片；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2、啦啦花双头直杆重约100克（总长 42cm 花的直径32）。</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舞蹈垫收纳车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1.尺寸：≥W820*D400*H1050mm；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2.材质：实木多层板，铝合金收纳杆；厚度约25mm,基材采用实木多层板，面贴三聚氰安纸，ABS直封边制作，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3.功能：用于舞蹈垫的收纳，底部配置高品质万向轮，方便移动。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舞蹈教学软件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鉴赏拓展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1.包括≥5大模块：中国音乐、西方音乐、世界音乐、其它音乐、音乐周边等。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2.中国音乐≥190种拓展知识、包括中国乐器、中国歌唱家、中国作词作曲家、中国舞蹈、中国戏曲、中国话剧、中国戏曲等。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3.西方音乐：≥190种拓展知识、包括西洋乐器、西方音乐家、西方歌剧、西方指挥家、西方舞蹈、西方乐团等。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4.世界音乐：≥20种拓展知识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5.其他音乐：≥20种拓展知识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6.音乐周边：≥20种拓展知识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7.鉴赏拓展内容支持一键文字播放，可进行音量调节。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8.支持使用铅笔、荧光笔书写，可对笔的颜色、粗细进行调节，具有橡皮擦除与全部擦除功能。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9.可支持PPT、Word、视频、及系统曲谱等文件进行教学，方便教师直接用PPT进行授课。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10.PPT教学时支持白板书写进行圈画，支持截屏、录屏，节拍机，识谱图，和虚拟键盘配合教师教学使用。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授课教学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1.电子教材：满足与当地教学同步的电子教材，。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2.曲谱播放：可链接自动演奏钢琴，进行钢琴自动演奏，播放设置可以变调、变速(播放过程中即可)。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3.教唱模式：谱曲播放教学、男生唱名播放、女生唱名播放、真人唱名、伴奏+旋律、范唱播放、伴唱播放、男声节奏、女声节奏、女声试唱十种播放模式。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4.音色设置：播放过程中即可改变播放音色，具备钢琴、小提琴、单簧管、古筝、颤音琴五个音色快捷键。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5.对应课件：对应课件包含教学参考、示例课件且支持编辑模式和教学模式，设有巩固训练，更好的实现课堂互动。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6.最近使用功能：最近使用功能，切换其他功能模块后，可直接返回当时的教学内容，依然保留板书及各项设置。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7.一键编辑：支持教学课件一键编辑模式，包含曲谱中谱号、调号、速度、音符、节拍、歌词等二次创编；图片、音频、视频、文字、图形等素材插入。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8.文件管理：打开文件、插入文件，支持系统格式和MIDI格式；课件可另存为图片及系统格式。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9.播放功能：可以选择单音播放、范围播放、任意位置双击播放、可选择歌词播放。范围播放：可以跨框选曲谱、歌词范围进行播放，任意位置双击播放，默认播放。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10.单音播放：可以单击某个音符，该音符高亮显示，并发音。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11.停止播放：可以点击任意位置或点击停止按钮，可停止音频的播放。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12.循环播放：可以整曲、圈选范围可以进行循环播放方便教师授课。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13.节拍器：可以跟随曲谱的节拍、速度进行播放；也可通过节拍机进行自定义节拍设置改变歌曲播放速度和节拍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14.速度播放：可以五线谱、简谱课件的播放速度通过滑动速度条进行速度调节40-208,其中含5种直选键：0.5、0.75、1(还原)、1.25、1.5倍速可调。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15.音调设置：可以五线谱、简谱课件可以进行移调选择15种调式，其中含5种直选键：降全音、降半音、原调(还原)、升半音、升全音。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16.音量设置：可以对于合唱教学、乐队总谱等多声部曲谱，可进行选择性播放，以及对每个声部进行不同音量的比例调节；支持总音量一键重置，各声部一键静音。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17（曲谱转换）功能按键：包含简线双谱、节奏谱、唱名标注、音名标注、手势图、歌词显隐、歌词标注、竖笛、箫、葫芦丝、陶笛等功能按键。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18一键生成唱名、音名：支持五线谱、简谱曲谱一键生成唱名、音名与曲谱音符上下对照排列。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19（曲谱转换）一键生成：支持五线谱、简谱曲谱一键生成科尔文手势图与曲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20.科尔文手势：谱音符上下对照排列。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21.一键生成歌词拼音：支持五线谱、简谱曲谱显隐歌词， 一键生成歌词拼音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22.一键转换：支持五线谱乐谱转成简谱或简谱转成五线谱，转换后的乐谱可直接播放并伴有音符高亮颜色显示播放进度，不单独生成对照谱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23.（课堂互动）幸运大转盘：工具包-课堂互动中,含有大转盘,可进行编辑、抽奖等功能。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音乐理论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乐理电教板：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1.具有一组大谱表、88键/61键可选的虚拟键盘。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2.弹奏外接设备的同时，虚拟键盘、谱表及简谱窗口同时高亮显示。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3.具备键盘、谱表和简谱窗口三位一体同步功能。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4.支持不低于15 种调式讲解，13 组音程尺，30组和弦同时对照讲解。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5.乐理模式下：五线谱区域支持页面漫游功能，可以直接触摸进行退拽进行左右滑动。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6.虚拟键盘可一键显隐音名、唱名、五线谱线与线之间的位置，调式转换时音名、唱名、五线谱线与线之间的位置也会发生对应变换。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7.具有电子白板讲解标注功能。包括：铅笔，荧光笔，笔记粗细可支持六度调节，橡皮擦，擦除全部，手势操作放大/缩小/页面漫游，标注的笔迹可与课件同步缩放。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8.具有节拍器，节拍器播放时具有强弱拍。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能根据调试虚拟键盘上显示唱名、在谱表上记录并显示弹奏音符与和弦位置。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10.提供乐理书籍进行内容展示包括：基础知识、乐音体系、谱号五线谱音律、自然半音、自然全音、三连音、为旋律配和声、音乐主题等。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11.乐理小视频包括：音的产生与特性、基本音级的名称、音的分组、等音、自然变化、音域、五线谱、音符、休止符、附点等常用乐理知识的讲解。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12.视唱练耳课程分为八个单元110条以上课题，课题形式以五线谱形式吊环呈现。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13.乐理模式具有显隐音组功能88键虚拟键盘分为：大字二组、大字一组、大字组、小字组、小字一组、小字二组、小字三组、小字四组、小字五组，每组音组以不同颜色显示，共计九种颜色。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智能电教板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1.界面五线谱谱表或简谱谱表与虚拟键盘组成，支持简谱、五线谱、高低音谱表、大谱表四种模式教学。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2.五线谱谱表或简谱谱表支持四小节到八小节的编辑和输入教学，编辑后可进行播放。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3.五线谱谱表或简谱谱表输入音符时，音符可通过上下拖动改变音高。点击音符符杆可添加变音记号和符杠。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4.五线谱谱表或简谱谱表输入音符时可选择时值、音符及休止符，谱表小节自动识别时值。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5.可设置4种拍号，包含：四二拍、四三拍、四四拍、八六拍。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素养训练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1.包含识音找名称，识琴键找音，识音找琴键三种模式训练。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2.训练中可显示答题总次数与正确次数统计，显示正确率百分比，以及答题时长。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3.选项设置：可选择训练的谱号、调号、变音记号、音符等范围。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4.提示设置：可选择线间提示显示，八度提示显示。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5.更多功能：重置分数，隐藏计时器，显示答案，跳过问题，显示进度报告。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6.音程识别：具有音程识别功能,根据展示的音程,选择对应选项。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7.和弦识别：具有和弦识别功能,根据展示的和弦,选择对应和弦名称。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8.调号识别：具有调号识别功能,根据展示的调号,选择对应调号名称。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9.音阶识别：具有音阶识别功能,根据展示内容,选择对应音阶名称。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男女更衣室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1、规格：≥长1200*宽450*高430mm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2、凳脚设计及材质  + 堵头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A级ABS（聚苯乙烯树脂）全新工程塑料制成，强度高、韧性好、耐冲击，不易腐蚀，无毒无味，防腐、防锈、防潮、环保耐用。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3、八宝盆样式的凳脚设计；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4、凳面均为硬质PVC塑料材质，永不生锈，可承重约800KG；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每条凳面精美10条防滑纹，延伸至凳面堵头；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6、凳面内部切面结构：四小格+2条支柱；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A级ABS（聚苯乙烯树脂）全新工程塑料+304不锈钢螺母合制而成，每条凳面插入3个精美滑块（1200配置2个滑块），加固凳面和凳脚，避免凳面和凳脚长期使用摩擦导致凳面不稳；(滑块灰色或者白色)304不锈钢加长螺丝固定，凳面和凳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舞蹈更衣柜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单门规格：≥L365×W500×H960mm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材质：更衣柜主材为ABS＋尼龙全新工程塑料制成，强度高、韧性好、耐冲击、不易腐蚀、无毒无味、环保耐用。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工艺：采用钢制模具注塑一次成型。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1、榫卯连接结构并合理布局加强筋，安装时不用胶水粘结，不用任何金属螺丝，使用产品自身力量相互连接，产品不变形，不扭曲，达到可重复拆装使用。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2、重要部位加厚处理，底座高达80mm，上下板厚30mm，从而使产品更牢固，结实耐用。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3、门板与侧板连结采用高强度尼龙防水铰链和上下门轴双重加固，双重防盗保险更牢固耐用。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4、门板与侧板并安装有防盗插销，防止从外部撬开柜门。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5、门内上部设计有挂杆，下部设有活动层板预留位置。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拉手模块化设计：锁具部分可单独更换，售后维修更换简单。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模块化的拉手加装了弹簧扣紧装置，既方便开关门，更防止门在不锁状态下自动开门，撞伤他人。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门板：门板内侧加装多功能钩及多功能置物盒，可放置小件物品如笔、手表、眼镜等方便实用。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门</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音乐教室（合唱）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数字音乐教学系统（教学端）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一、文生文部分：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1、集合大模型具有虚拟人物对话功能可实现文字、语音对话、生成音乐相关教学内容。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2、虚拟人可进行语音对话、生成的文字可复制插入到课件中。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二、智能音乐创作：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1.1具有AI音乐创编系统，支持旋律创作、自由创编。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1.2旋律创作：输入歌词或者主题、歌曲名称后系统自动生成歌曲音频，音频包含前奏、主歌、副歌、尾奏等、生成后音频支持保存到本地。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1.3保存到本地的音频支持插入到创作备课模块进行曲谱同步、插入后音频支持选择音频波形长度、波形高度进行同步。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2.1自由创编功能：输入歌词、歌曲名称、选择音乐风格、场景氛围、人声类型、人声特征、歌曲时长后系统自动生成歌曲。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2.2音乐风格包含：国风、流行、电子、朋克、嘻哈、摇滚、民谣、爵士、DJ等。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2.3场景氛围：鼓舞、快乐、兴奋、怀旧、浪漫、伤感、思念、放松等。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2.4人声类型包含：男声、女声。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2.5人声特征包含：温暖、明亮、烟嗓、电音等。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2.6歌曲时长选择包含：30秒、1分钟、2分钟、全曲等。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三、AI演唱评价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1、AI演唱评分结合当地配套教材对学生歌唱掌握情况进行课程现场演唱测评，辅助教师进行演唱评价与重点难点深度学习。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2、AI演唱评分功能：歌曲支持演唱模式演唱过程中具有音频伴奏、音高线提示、音高时值实时显示分值、演唱完成后显示演唱得分，音准、节奏、完成度等百分比。支持音频回放、重新演唱。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3、演唱结果完成度分析：系统自动生成数据报告，得分包含：综合评分、音准评分、节奏评分、完整度评分等。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4、演唱过程支持视频回看功能。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5、曲谱播放速度可调：通过滑动速度条进行速度调节40-208，其中含5种直选键：0.5、0.75、1（还原）、1.25、1.5倍速可调。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6、曲谱播放调试可调：移调选择，移调快捷键：降全音、降半音、原调、升半调、升全音，也可以直接选择对应调式。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包括：乐理电教板、智能电教板、教材、音基课堂、素养训练等五个模块。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四、音乐理论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乐理电教板：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1、虚拟键盘：具有一组大谱表、88键/61键/实体键/三种可选的虚拟键盘，弹奏外接设备的同时，虚拟键盘、谱表及简谱窗口同时高亮显示。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2、支持88键/61键/实体键三种虚拟键备组的显示，包含大字组、小字组、小字一组、小字二组等。分别有不同颜色区分键盘组。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3、具备键盘、谱表和简谱窗口三位一体同步功能，支持≥14种调式讲解，≥10组音程尺，≥28组和弦同时对照讲解。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4、钢琴自动演：点击谱表或虚拟键/可通过钢琴自动演奏进行发声。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5、无限延伸漫游功能：该功能可保留音符在谱表上的位置，且谱表具有无限延伸漫游功能，所呈现内容可左右拖动，进行标注笔迹且与谱表同步移动。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6、五度调式循环图：外圈调号、中圈大调、内圈小调，点击调号可直接更改谱表调式。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7、提供乐理书籍进行内容展示包括：基础知识、乐音体系、谱号五线谱音律、自然半音、自然全音、三连音、为旋律配和声、音乐主题等。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智能电教板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1.界面五线谱谱表或简谱谱表与虚拟键盘组成支持简谱、五线谱、高低音谱表、大谱表四种模式进行教学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2.五线谱谱表或简谱谱表支持四小节到八小节的编辑和输入教学，编辑后可进行播放。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3.五线谱谱表或简谱谱表输入音符时，音符可通过上下拖动改变音高。点击音符符杆可添加变音记号和符杠。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4.五线谱谱表或简谱谱表输入音符时可选择时值、音符及休止符，谱表小节自动识别时值。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5.四种拍号：可设置≥4种拍号，包含:四二拍、四三拍、四四拍、八六拍。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音基课堂：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1、变调记号：调号和临时记号、升记号、降记号、还原记号。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2、节奏：后附点节奏、认识附点、八分音符前附点、八分音符后附点。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奏型：四分音符三连音、大切分节奏的变形、八分音符三连音、四分音符三连音、小切分、四个十六分音符、四个十六分、前十六后八、前十六后八节奏、前八后十六节奏、前八后十六、两个八分音符、附点四分音符、大切分节奏、大切分、八分音符三连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4、拍子：一拍与半拍、一拍与两拍、变换拍号、认识四四拍、认识四三拍、认识四二拍、单拍子复拍子、四四拍、四三拍。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5、强弱：四二拍强弱规律、四三拍强弱规律、四四拍强弱规律、切分节奏的强弱规律、认识很强很弱力度记号、认识中强中弱力度记号。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6、速度：庄板、中板、行板、小行板、柔板、慢板、渐弱、渐强、渐慢、渐快、回到原速、广板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五线谱：认识五线谱、认识高音谱号、认识do在五线谱上的位置、认识re在五线谱上的位置、认识mi在五线谱上的位置、认识fa在五线谱上的位置、认识sol在五线谱上的位置、认识la在五线谱上的位置、认识si在五线谱上的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8、小节：小节、小节线、小节、小节线、小节、小节线、增值线、增值线、圆滑线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9、休止符：八分休止符、附点八分休止符、二分休止符、全休止符、十六分休止符、四分休止符、附点四分休止符、附点二分休止符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10、音符：认识全音符、认识二分音符、认识四分音符、认识八分音符、认识二分附点音符、认识四分附点音符、认识八分附点音符、认识八分附点音符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11、音乐记号：装饰音、重音记号、休止符省略记号、换气记号、滑音、跳房子反复、对联反复、顿音、大反复记号、大反复记号、保持音、延音连线、延长音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12、音名：do的音名、Re的音名、Mi的音名、Fa的音名、Sol的音名、La的音名、Si的音名、认识嘟嘟蕊蕊、认识依依菲菲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13、知识点：音区、音级的概念、认识音符和休止符、认识领唱、认识结束句、认识歌曲欠揍、认识歌曲间奏、高音点、认识独唱和合唱、认识大调音阶、七个音的介绍、高音点、初步认识小调音阶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素养训练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1.包含识音找名称，识琴键找音，识音找琴键三种模式训练。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2.训练中可显示答题总次数与正确次数统计，显示正确率百分比，以及答题时长。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3.选项设置：可选择训练的谱号、调号、变音记号、音符等范围。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4.提示设置：可选择线间提示显示，八度提示显示。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5.更多功能：重置分数，隐藏计时器，显示答案，跳过问题，显示进度报告。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6.音程识别：具有音程识别功能,根据展示的音程,选择对应选项。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7.和弦识别：具有和弦识别功能,根据展示的和弦,选择对应和弦名称。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8.调号识别：具有调号识别功能,根据展示的调号,选择对应调号名称。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9.音阶识别：具有音阶识别功能,根据展示内容,选择对应音阶名称。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五、授课教学：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1、运用AI技术支持自动识别谱曲、音符、音高、歌词等进行一键AI女生、童声试唱播放功能。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2、运用人工智能技术把谱曲进行一键转换为：简线双谱、节奏谱、钢琴谱、生成旋律线、唱名、音名、手势图、强弱对照、歌词拼音等功能。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3、支持谱曲一键生成：竖笛、萧、葫芦丝、陶笛等小乐器指法、生成后乐器指法和对应音符上下排列。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4、支持原有五线谱一键生成唱名、音名与五线谱音符上下对照排列。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5、应课件包含教学参考、示例课件且支持编辑模式和教学模式，设有巩固训练，更好的实现课堂互动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6、支持插入PPT格式课件、方便教师在同一系统内结合使用系统课件与PPT课件双模式授课。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7、包含缩略图、课件库两部分、缩略图内可以添加新建页、删除页、更换背景颜色、打印。课件库选择教学版本、年级上下册及其他乐谱。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8、谱曲教唱模式包含：谱曲播放、男生唱名、女生唱名、真人唱名、伴奏+旋律、范唱、伴奏、男声节奏、女声节奏、女声试唱、童声试唱等不低于十一种播放模式、播放时可选择播放、循环播放。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9、多声部谱曲支持不同声部音量调节、可关掉一个或多个声部音量、也可单独设定不同声部播放音量，音量可调节范围：0-100之间可选择。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10、可链接自动演奏钢琴，进行钢琴自动演奏，播放设置可以变调、变速。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11、多声部谱曲可通过选择歌词、音符确定播放起始点进行播放。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12、可以对于合唱教学、乐队总谱等多声部曲谱，可进行选择性播放，以及对每个声部进行不同音量的比例调节；支持总音量一键重置，各声部一键静音。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13、可选择课件的播放的音色，包含直选键：钢琴、小提琴、单簧管、古筝、颤音琴等，之外还有不低于120种音色可选。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14、可选择课件的速度：包含播放倍速直选键：0.5、0.75、1、1.25、1.5等之外还可手动调节播放速度：40-208之间可选。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15、播放进度提示：可选次指针模式、乐谱音符模式。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16、快捷功能按键包含：页面漫游、放大、缩小、撤销、恢复、上一页、下一页等操作。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17、支持五线谱、简谱课件一键互转、并可生成符合钢琴谱表。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18、支持显示虚拟键盘、键位数量：61、88键位可选，并可一键生成虚拟键盘对应的音名、唱名。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19、可将播放的乐曲转换到音乐创作界面进行改编，编辑内容包括：移调、变速、改变音高、歌词等，编辑完成后支持再次播放，编辑后课件可另存为在任意位置。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20、修改课件的音符音高、歌词、音符力度后均可进行直接播放。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21、最近使用功能，切换其他功能模块后，可直接返回最近一次的教学内容，依然保留板书及各项设置。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22、AI伴奏：可对五线谱、简谱课件生成不同曲风音频伴奏，伴奏类型包含：乡村民谣、流行、国潮、电子、摇滚等。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23、支持对课件音符进行改编、改编后AI伴奏可重新识别曲谱生成不同风格的伴奏。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24、生成后的AI伴奏支持于伴奏+人声同时播放、伴奏音频支持插入到课件中。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工具包：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包含：截图、录屏、护眼色、课件打印、使用帮助、播放进度提示选择、节拍机、识谱图、幕布、指挥、五线谱本、隐藏白板、课堂互动等功能。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1、截图：支持当前功能界面截图、保存到任意路径。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2、录屏：可讲授课过程、画面、声音进行录制并保存到任意路径。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3、护眼色：为了减轻蓝光对眼睛的伤害可一键打开护眼色。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4、课件打印：可讲当前授课见面进行打印。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5、节拍机：1、2、3、4、5、6等不同拍型可选、播放音量：1-10可选、播放速度：40-208可选。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6、幕布功能：打开幕布可选择上下左右、左上、右上、左下、右下等八个方向调节幕布遮挡范围。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7、具有指挥视频：包含四二拍、四三拍、四四拍、八六拍等四个指挥视频可选、指挥视频播放倍速：0.5、0.75、1、1.25、1.5、2.0可选，播放音量：0-100可选。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8、五线谱本：打开后已五线谱绿板展现，支持板书授课。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9、课堂互动：包含大转盘、随机点名、计时器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9.1、大工具包-课堂互动中，含有大转盘，可进行编辑、抽奖等功能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9.2、计时器：可设置倒计时时间、来限制课堂活动的时间。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六、鉴赏拓展：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1.包括≥5大模块：中国音乐、西方音乐、世界音乐、其它音乐、音乐周边等。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2.中国音乐≥190种拓展知识、包括中国乐器、中国歌唱家、中国作词作曲家、中国舞蹈、中国戏曲、中国话剧、中国戏曲等。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3.西方音乐：≥190种拓展知识、包括西洋乐器、西方音乐家、西方歌剧、西方指挥家、西方舞蹈、西方乐团等。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4.世界音乐：≥20种拓展知识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5.其他音乐：≥20种拓展知识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6.音乐周边：≥20种拓展知识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7.鉴赏拓展内容支持一键文字播放，可进行音量调节。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8.支持使用铅笔、荧光笔书写，可对笔的颜色、粗细进行调节，具有橡皮擦除与全部擦除功能。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9.可支持PPT、Word、视频、及系统曲谱等文件进行教学，方便教师直接用PPT进行授课。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10.PPT教学时支持白板书写进行圈画，支持截屏、录屏，节拍机，识谱图，和虚拟键盘配合教师教学使用。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1.工作条件： 成品应放在室内保管。相对湿度为40％－70％的条件下应能正常工作。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2.尺寸和重量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3.高度:：1221mm*长度：1483mm*宽度：605mm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4.低音弦长度：1200mm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5.弦槌重量：约6－10克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6.音板尺寸：1435×（995-950）mm2不等宽设计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7.弦轴板： 色木多层板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8.马子： 色木多层板帖色木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9.弦轴：45钢调质处理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10.中踏瓣：软轴设计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11.活动杆：金属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12.干燥处理：木制件、呢毡有处理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13.新型击弦机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14.弦槌标准弦槌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15.键盘盖（缓冲装置） 有缓落装置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16.88键盘：88键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17.踏瓣：造型踏瓣3个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18.外观涂装：亮光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2.频响：≥60Hz-20KHz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4.峰值功率：≥800W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5.灵敏度：96dB/W/M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6.最大声压级（额定/峰值）：119dB/126dB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7.覆盖角度：(H)80°(V)60°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8.高音：≥1.4"压缩高音单元×1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 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 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1.阻抗：8Ω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2.频响：≥65Hz~20KHz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3.额定功率：≥150W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4.峰值功率：≥600W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5.灵敏度：95dB/W/M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6.最大声压级（额定/峰值）：≥117dB/123dB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7.覆盖角度：(H)80°(V)60°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8.高音：≥3"锥形高音单元×1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9.低音：≥8"低音×1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1.固定面板孔位尺寸（长*宽）：≥ 140mm*65mm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2.箱体固定面板孔位尺寸（长*宽）：≥ 128mm*70mm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3.设备面板尺寸：≥160mm*90mm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1.输出功率：立体声@8Ω：≥350W×2；立体声@4Ω：600W×2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9.输入电压：~220V/50Hz10.整机功耗：200W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专业功放</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1.输出功率：立体声@8Ω：≥200W×2；立体声@4Ω：400W×2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2.输入灵敏度：2.2dBu(1V)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3.输入阻抗：10KΩ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4.频率响应(@1W功率下)：≥20Hz-20KHz/±1dB @8Ω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5.THD+N(@1/8功率下) ：≤0.01%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6.分离度(@1KHz) ：≥80dB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7.阻尼系数(@1KHz) ：≥200@ 8 ohms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8.信噪比（A计权）：≥93dB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9.输入电压：~220V/50Hz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10.整机功耗：≥150W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调音台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1.麦克风输入：≥8路（8个XLR接口）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2.线路输入：≥6路单插单声道/立体声自动切换混合接口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3.立体声输入通道：≥2组（4路单声道）、4路RCA输入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4.输出通道：≥2组立体声输出、4路编组输出、4路辅助输出、1个耳机监听输出、1个接口双路效果输出 、1组控制室输出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5.INSERT：≥1组主混音断点插入、6个断点插入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6.USB接口：外接U盘播放音乐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7.无线连接：内置蓝牙无线收发器，可连接手机进行播放音乐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8.效果器：24位DSP效果器（包括人声、小房子、大厅、回声、回声+回响、盘子、声乐板、合唱GTR，旋转GTR、颤音GTR类型），100种预设效果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9.USB声卡端口：支持电脑播放/录音，通过CH11/12通道回放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10.幻象电源：CH1-CH6每路通道带48V幻象开关独立控制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11.频率响应：20Hz-20kHz，±2dB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12.失真度：&lt;0.03% at+0dB,22Hz-22KHz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13.灵敏度：+20dB~-30dB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14.信噪比：&lt;-100dBr A-weighted</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15.单声道均衡：高频：+/-15dB @12KHz；中频：+/-15dB @100Hz-8KHz；低频：+/-15dB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16.立体声均衡：高频：+/-15dB @12KHz；中频：+/-15dB @3KHz or +/-15dB @500Hz；低频：+/-15dB @80Hz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17.主混音串音：&lt;-80dB @0dB 20Hz-22KHz A-weighted，主输出：0dB,其他通道：最小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18.电平表：2x12-点距LED电平指示表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19.供电电压：AC 100-240V 50/60Hz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20.额定功率：30W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音频处理器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增强型ADI芯片，支持32位定点，48k/96kHz采样率，24bit AD/DA转换，32/40bit浮点算法格；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提供硬件型滤波器加速器、音频和应用专用外设，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新型存储器配置可支持最新环绕声解码器算法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450 MHz 内核时钟速度，5 Mbits 片内 RAM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内置FIR（有限脉冲响应）、IIR（无限脉冲响应），以及FFT（快速傅立叶变换）加速器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位宽 SDR SDRAM 外部存储器接口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数字应用接口 (DAI) 支持以用户自定义方式访问外设（包括 S/P DIF 发射器/接收器和 8 通道异步采样速率转换器）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全面增强的 DMA 引擎，包括分散/聚集 DMA、延迟线路 DMA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个串行端口 (SPORT)，支持 I2S、左对齐样本对、DSP 串行和 TDM 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个 SPI 兼容端口，支持主从模式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UART 和双线接口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个脉宽调制 (PWM) 通道，3 个全功能定时器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≥8路模拟Mic\Line输入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≥8路模拟Line输出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输入通道支持48V幻象供电；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输入通道支持：反相，独立静音，独立信号发生器：正玄波，白噪声，粉红噪声；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输入增益:0/3/6/9/12/15/18/21/24/27/30/33/36/39/42/45/48 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输入输出通道均支持自定义处理模块编辑功能；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输入通道具有≥12段PEQ,≥31段GEQ选择，支持五种滤波器类型：Parametric,Lowshelf, Highshelf,Lowpass,Highpass；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输出通道具有≥12段PEQ,≥31段GEQ,高低通、延时器、限幅器；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输入输出通道具有LINK和分组功能；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输入动态范围：≥110dB；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输出动态范围：≥112dB；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频率响应范围20～20kHz (±0.15dB)；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通道隔离度 @1kHz:108dB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全算法支持，自适应回声消除(AEC)、噪声抑制(ANS)、增益共享自动混音(AMC)、门限自动混音（Gate Mixer）、自动增益(AGC)、闪避器(Ducker)、噪声增益补偿器(ANC)、自适应反馈抑制（AFC）；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≥12X9矩阵，具备混音和混音分量控制功能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支持双机热备份，保证系统安全稳定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Ethernet多用途数据传输及控制端口，灵活实时管理多台兼容设备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内置USB声卡，支持音乐播放、录制功能；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内置≥1路双向RS232协议接口、≥1路RS485协议接口，支持UDP控制方式，实现对第三方设备的联动控制；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联机即可安装软件，无需光盘或者下载，随连随用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支持Windows系统、安卓系统、IOS系统，支持平板、控制面板操作方式；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内置自动摄像跟踪功能；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具有≥8路GPIO，可独立配置输入或者输出模式；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支持≥16组场景预设，支持99999个场景保存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无线话筒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1.频道组数：双通道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2.载波频段:UHF631MHZ-695MHZ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3.调制方式：FM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4.振荡方式：PLL相位锁定频率合成器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5.频率稳定性：±0.0005%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6.灵敏度：在偏移度等于25KHz，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7.输入6dBμV时，S/N&gt;60dB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8.最大偏移度：±45kHz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9.频带宽度：50MHz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10.综合频率响应：60Hz~18kHz ± 3dB,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11.最大输出电压：平衡式：-20dBV/100Ω,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12.非平衡式：-4dBV/5KΩ. 输出插座：XLR平衡式及6.3φ不平衡式插座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13.面板按键：手持话筒、腰包发射器和短杆会议话筒，按键切换和显示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14.工作有效距离：≥500米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1.高度：980-1680mm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2.斜杠：550-900mm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话筒天线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1.频率范围：470～950MHz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2.最大增益：8.0dBi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3.电压驻波比：≤2.0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4.极化方式：线极化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5.输入阻抗：50Ω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6.接头型号：BNC 接头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7.工作温度：-30～+60℃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8.放大器OIP3：＞25dBm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9.指向性：180°指向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10.供电电压：DC 8～12V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安装耗材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5米音频连接线：3.5（耳机插头）*1,6.35话筒插头*2,线径：0.3mm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5米音频连接线：卡侬头（母）*1卡侬头（公）*1，线径：0.3mm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5米音频连接线：卡农头（母）*1，线径：0.3mm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5米音频连接线：6.35话筒插头*2，线径：0.3mm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1.8米音频连接线：卡农头（母）*1，线径：0.3mm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音响安装调试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安装调试、含人工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谱台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 加粗大谱架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尺寸：三节升降，最高可达165CM，50*35CM支架折叠后为54CM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颜色：黑色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合唱台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1.尺寸：三层尺寸≥1220*1150*610mm；每层台阶款宽380mm，高200mm；小舞台尺寸:≥1530*1220*300mm；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2.材质：高密度PE；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3.工艺：吹塑制作，材质轻，耐磨抗压，抗氧化功能强，长期使用也不会产生开裂现象，硬度和强度高，吸水性小，优良的电绝缘性，耐寒；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4.功能：合唱台台阶可翻转设计，可调整为两层合唱台也可以变为一个整体的小舞台，侧面轮子设计方便推移。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椅背：全新PA+30%玻纤，一体注塑成型，高强度弹性透气加密网布，精抛铝合金连接件，提供倾仰功能，有效缓解疲劳，向其施加90kg的推力，保持60s，无异常。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椅座：采用密度60，硬度50的定型海绵，重0.65kg，选用高弹力透气坐布，舒适透气，配PP工程塑料防尘底壳。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椅架：≥20.5*32.5*T1.5mmQ235碳素钢管，全自动机械臂焊接，表面经高速打砂除锈处理，采用高温烤漆喷涂工艺，精抛铝合金连接件，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写字板：采用PP+30%玻纤加厚板面，搭配精抛铝合金旋转机构，可灵活旋转收放。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扶手：前后滑动扶手，滑动距离2.5cm。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功能：坐垫上翻，推叠、折叠收纳，节省摆放空间。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45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指挥台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1.指挥台的外形尺寸设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计合理，主体框架为钢管焊接而成。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2.表面为樟子松板材，外形美观，坚固耐用，体积小，重量轻，便于移动和存放。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3.使用安全可靠，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指挥谱台尺寸：上层≥60cm×50cm×5cm 下层40cm×50cm 总高76cm-88cm.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指挥站台规格：≥121cm×110cm×26cm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围杆护栏：25圆管×8cm高 成门字形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4.材质：樟子松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乐器存放室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乐器架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12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9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准备室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器材架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8#楼</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体育器材架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更衣柜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单门规格：≥L365×W500×H960mm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材质：更衣柜主材为ABS＋尼龙全新工程塑料制成，强度高、韧性好、耐冲击、不易腐蚀、无毒无味、环保耐用。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工艺：采用钢制模具注塑一次成型。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1、榫卯连接结构并合理布局加强筋，安装时不用胶水粘结，不用任何金属螺丝，使用产品自身力量相互连接，产品不变形，不扭曲，达到可重复拆装使用。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2、重要部位加厚处理，底座高达80mm，上下板厚30mm，从而使产品更牢固，结实耐用。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3、门板与侧板连结采用高强度尼龙防水铰链和上下门轴双重加固，双重防盗保险更牢固耐用。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4、门板与侧板并安装有防盗插销，防止从外部撬开柜门。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5、门内上部设计有挂杆，下部设有活动层板预留位置。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拉手模块化设计：锁具部分可单独更换，售后维修更换简单。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模块化的拉手加装了弹簧扣紧装置，既方便开关门，更防止门在不锁状态下自动开门，撞伤他人。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门板：门板内侧加装多功能钩及多功能置物盒，可放置小件物品如笔、手表、眼镜等方便实用。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规格:≥1000×500×2000mm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1.柜体：采用≥0.9mm厚镀锌钢板，经过激光裁板、数控成型、数控折弯、无痕点焊、表层经纳米陶化前处理后经环氧树脂静电粉末喷涂，等工艺加工生产，耐酸碱，防腐蚀。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2.结构：柜体分上下两部分，上部为框架镶嵌玻璃对开门，配有两层可调节层板，下部为实门板，配有一层可调节层板。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3.柜门：采用双层钢板折弯制作，表面平整光滑。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4.可调节地脚：由钢制螺杆、ABS工程塑料圆罩盖、橡胶脚垫组合而成。可调节高度范围10～45mm。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5.暗装钩锁。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6.把手：钢制成型扣手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体育器材架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钢制,≥1500*600*2000mm，承重约300KG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 </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初中仪器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日常-劳动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工具材料收纳箱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塑料材质 三层 尺寸：≥330*200*150mm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浅口≥35*25.5*8.5，30*21*8.5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收纳箱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浅口≥35*25.5*10，30*23*8.5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桌面收纳盒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带盖34*24*21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4层小推车收纳架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带万向轮+侧挂收纳盒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点蓝管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材质：塑料透明点蓝管，不小于10cm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调砂杯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配套调砂用，50个/组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盘子支架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 寸、8 寸盘子支架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砂纸板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规格：185*85*65mm；ABS手柄，合金弹簧，高密度海绵底板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光控LED小夜灯套件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控小夜灯设计，当在白天或者光敏电阻处于光线较亮的环境下，模拟小夜灯的白色发光二极管不亮，而到了晚上或者环境光线较暗时,发光二极管就自动亮了,LED灯发光范围小不刺眼,耗电量也很小。了解了它的原理之后，还可接继电器模块做光控开关控制其它家用电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LED声控彩灯套件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套件焊接完成通电后，随着音乐或其它声音的响起，三种颜色的LED灯便跟随着声音的节奏(声音的快慢大小)闪亮的动起来，感受到声音与光的美妙旋律组合。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套件可用于电子技术基础与技能教学实训、电子技能教学、电子工艺教学，数字电路教学，初学者实训使用，增强综合实践能力。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LED心形流水灯套件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32个七彩LED在单片机程序的控制下，单片机哪一个管脚输出低电平，对应的LED亮，可以编程控制每一个LED在每一时刻点亮，然后连续不断被点亮的LED组合起来星现出多姿多彩的炫丽动画。51单片机控制LED也是学习单片机入门学习有基础，适用于单片机初学者爱好者、提高单片机的兴趣和焊接基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LED流水灯套件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红黄蓝各10套，共30套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1Ω 1/8W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10Ω 1/8W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100Ω 1/8W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1kΩ 1/8W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可调电阻器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10KΩ  （10个1组）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电容器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470μF/10V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三极管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C9014 直插 NPN （20个1组）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开关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两档两脚  （100只1组）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可折叠涮笔筒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规格：上部口径≥195mm，底部直径≥120mm，收缩后≥50mm，展开后高不低于160mm，顶部外侧含塑料挂笔装置，可同时放置4支画笔，环保硅胶材质，带拎手，可折叠大容量。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圆形竹圈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直径10cm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竹扇柄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竹木长柄款≥18.5*2.5cm（开槽≥1.5mm)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铃铛</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金色拉丝风铃铃铛，尺寸：直径28mm，高26mm，采用合金材质。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开口圈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金色，直径10mm 200个/包，直径6mm 200个/包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黑色燕尾夹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尺寸15+25+41mm 各一桶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衍纸模板尺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尺寸：≥21.5cm*18.5cm*0.5cm。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梅花调色盘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规格：直径不小于170mm，高不低于18mm，7格梅花形，材质为透明丙料。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镊子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120mm,不锈钢，尖头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衍纸波浪造型器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塑料材质 绿色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衍纸凹凸器模具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三排，尺寸：≥18.5cm*12.5cm，透明塑料材质。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衍纸梳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钢针梳大号，长≥18.6cm，宽≥5.5cm，两种齿距</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缠绕塔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缠绕塔五件套，圆形、方形、三角形等各一个，优质塑料材质，颜色鲜艳，表面光滑无毛刺。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衍纸胶盘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圆形直径60mm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塑形工具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切割垫板1张、200*200mm压泥板1块、200mm实心亚克力棒1支、剪刀1把、弯头镊子1把、100mm可弯刀片1件、40ml白乳胶1瓶、丸棒4件、塑料泥塑刀6件套、七本针1支、20cm钢直尺1把、塑形铁丝1卷、压痕笔1支、细节针1支、笔刀1套、凡士林1盒、上光油1瓶、12色超轻黏土各100克、透明收纳盒1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10种不锈钢动物模具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日常-教育教学中心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数学教具（尺子圆规套）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600mm量角器、430mm圆规、393mm等边三角板、552mm直角三角板。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3120"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智教多功能一体机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一、功能特点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屏幕尺寸：≥120寸；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移动式设计，可以通过移动底座推送至所需展示的位置，分布式储能设计续航时间可达8-12小时，便捷充电，电池采用可更换设计，便于后续维护，全天候应对不同场景和教学任务。功能多样、内容丰富、便捷实用、可灵活移动，适用于室内外智慧体育教学、训练、赛事等多种应用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二、电池模块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1、电池性能：每个箱体独立供电，非外接电源，电池具备:过充，过放保护，过热保护，过流保护，过压保护，欠压保护；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2、容量：28AH；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3、续航时间：≥8小时； 充电时间：≤10小时充满；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产品功率：（1）边充边放状态最大功耗：3825w,平均功耗：1275w；（2）电池满电后外接电源供电状态最大功耗：3100w,平均功耗：1038w；（3）电池供电（无外接电源）状态最大功耗：2788w,平均功耗：928w；（4）电池亏电完全充电状态：最大功耗2300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设备-劳动-设备间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3D打印机+料管拓展口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1、设备参数</w:t>
            </w:r>
            <w:r>
              <w:rPr>
                <w:rStyle w:val="526"/>
                <w:rFonts w:hint="default"/>
                <w:lang w:bidi="ar"/>
              </w:rPr>
              <w:br w:type="textWrapping"/>
            </w:r>
            <w:r>
              <w:rPr>
                <w:rStyle w:val="526"/>
                <w:rFonts w:hint="default"/>
                <w:lang w:bidi="ar"/>
              </w:rPr>
              <w:t>1.1、熔融堆积：（FDM）</w:t>
            </w:r>
            <w:r>
              <w:rPr>
                <w:rStyle w:val="526"/>
                <w:rFonts w:hint="default"/>
                <w:lang w:bidi="ar"/>
              </w:rPr>
              <w:br w:type="textWrapping"/>
            </w:r>
            <w:r>
              <w:rPr>
                <w:rStyle w:val="526"/>
                <w:rFonts w:hint="default"/>
                <w:lang w:bidi="ar"/>
              </w:rPr>
              <w:t xml:space="preserve">1.2、机箱：全封闭金属机箱加亚克力门 </w:t>
            </w:r>
            <w:r>
              <w:rPr>
                <w:rStyle w:val="526"/>
                <w:rFonts w:hint="default"/>
                <w:lang w:bidi="ar"/>
              </w:rPr>
              <w:br w:type="textWrapping"/>
            </w:r>
            <w:r>
              <w:rPr>
                <w:rStyle w:val="526"/>
                <w:rFonts w:hint="default"/>
                <w:lang w:bidi="ar"/>
              </w:rPr>
              <w:t>1.3、机器尺寸： 500mm*470mm*620mm</w:t>
            </w:r>
            <w:r>
              <w:rPr>
                <w:rStyle w:val="526"/>
                <w:rFonts w:hint="default"/>
                <w:lang w:bidi="ar"/>
              </w:rPr>
              <w:br w:type="textWrapping"/>
            </w:r>
            <w:r>
              <w:rPr>
                <w:rStyle w:val="526"/>
                <w:rFonts w:hint="default"/>
                <w:lang w:bidi="ar"/>
              </w:rPr>
              <w:t>1.4、包装尺寸： 620mm*600mm*800mm</w:t>
            </w:r>
            <w:r>
              <w:rPr>
                <w:rStyle w:val="526"/>
                <w:rFonts w:hint="default"/>
                <w:lang w:bidi="ar"/>
              </w:rPr>
              <w:br w:type="textWrapping"/>
            </w:r>
            <w:r>
              <w:rPr>
                <w:rStyle w:val="526"/>
                <w:rFonts w:hint="default"/>
                <w:lang w:bidi="ar"/>
              </w:rPr>
              <w:t>1.5、机器重量 ：48KG（含包装）净重38kg</w:t>
            </w:r>
            <w:r>
              <w:rPr>
                <w:rStyle w:val="526"/>
                <w:rFonts w:hint="default"/>
                <w:lang w:bidi="ar"/>
              </w:rPr>
              <w:br w:type="textWrapping"/>
            </w:r>
            <w:r>
              <w:rPr>
                <w:rStyle w:val="526"/>
                <w:rFonts w:hint="default"/>
                <w:lang w:bidi="ar"/>
              </w:rPr>
              <w:t>1.6、平台温度：100°</w:t>
            </w:r>
            <w:r>
              <w:rPr>
                <w:rStyle w:val="526"/>
                <w:rFonts w:hint="default"/>
                <w:lang w:bidi="ar"/>
              </w:rPr>
              <w:br w:type="textWrapping"/>
            </w:r>
            <w:r>
              <w:rPr>
                <w:rStyle w:val="526"/>
                <w:rFonts w:hint="default"/>
                <w:lang w:bidi="ar"/>
              </w:rPr>
              <w:t xml:space="preserve">1.7、平台材质 ：铝基板加玻璃板  </w:t>
            </w:r>
            <w:r>
              <w:rPr>
                <w:rStyle w:val="526"/>
                <w:rFonts w:hint="default"/>
                <w:lang w:bidi="ar"/>
              </w:rPr>
              <w:br w:type="textWrapping"/>
            </w:r>
            <w:r>
              <w:rPr>
                <w:rStyle w:val="526"/>
                <w:rFonts w:hint="default"/>
                <w:lang w:bidi="ar"/>
              </w:rPr>
              <w:t>1.8、喷嘴直径：≥0.4mm（0.2-0.8mm任意可选）</w:t>
            </w:r>
            <w:r>
              <w:rPr>
                <w:rStyle w:val="526"/>
                <w:rFonts w:hint="default"/>
                <w:lang w:bidi="ar"/>
              </w:rPr>
              <w:br w:type="textWrapping"/>
            </w:r>
            <w:r>
              <w:rPr>
                <w:rStyle w:val="526"/>
                <w:rFonts w:hint="default"/>
                <w:lang w:bidi="ar"/>
              </w:rPr>
              <w:t>1.9、喷嘴温度最高温度：260℃</w:t>
            </w:r>
            <w:r>
              <w:rPr>
                <w:rStyle w:val="526"/>
                <w:rFonts w:hint="default"/>
                <w:lang w:bidi="ar"/>
              </w:rPr>
              <w:br w:type="textWrapping"/>
            </w:r>
            <w:r>
              <w:rPr>
                <w:rStyle w:val="526"/>
                <w:rFonts w:hint="default"/>
                <w:lang w:bidi="ar"/>
              </w:rPr>
              <w:t>1.10、喷头数量：1个</w:t>
            </w:r>
            <w:r>
              <w:rPr>
                <w:rStyle w:val="526"/>
                <w:rFonts w:hint="default"/>
                <w:lang w:bidi="ar"/>
              </w:rPr>
              <w:br w:type="textWrapping"/>
            </w:r>
            <w:r>
              <w:rPr>
                <w:rStyle w:val="526"/>
                <w:rFonts w:hint="default"/>
                <w:lang w:bidi="ar"/>
              </w:rPr>
              <w:t>1.11、供料系统 ：单电机近端供料。</w:t>
            </w:r>
            <w:r>
              <w:rPr>
                <w:rStyle w:val="526"/>
                <w:rFonts w:hint="default"/>
                <w:lang w:bidi="ar"/>
              </w:rPr>
              <w:br w:type="textWrapping"/>
            </w:r>
            <w:r>
              <w:rPr>
                <w:rStyle w:val="526"/>
                <w:rFonts w:hint="default"/>
                <w:lang w:bidi="ar"/>
              </w:rPr>
              <w:t xml:space="preserve">1.12、断料检测：支持 </w:t>
            </w:r>
            <w:r>
              <w:rPr>
                <w:rStyle w:val="526"/>
                <w:rFonts w:hint="default"/>
                <w:lang w:bidi="ar"/>
              </w:rPr>
              <w:br w:type="textWrapping"/>
            </w:r>
            <w:r>
              <w:rPr>
                <w:rStyle w:val="526"/>
                <w:rFonts w:hint="default"/>
                <w:lang w:bidi="ar"/>
              </w:rPr>
              <w:t>1.13、总功率：300w</w:t>
            </w:r>
            <w:r>
              <w:rPr>
                <w:rStyle w:val="526"/>
                <w:rFonts w:hint="default"/>
                <w:lang w:bidi="ar"/>
              </w:rPr>
              <w:br w:type="textWrapping"/>
            </w:r>
            <w:r>
              <w:rPr>
                <w:rStyle w:val="526"/>
                <w:rFonts w:hint="default"/>
                <w:lang w:bidi="ar"/>
              </w:rPr>
              <w:t>1.14、输入电压：110/220V 50HZ</w:t>
            </w:r>
            <w:r>
              <w:rPr>
                <w:rStyle w:val="526"/>
                <w:rFonts w:hint="default"/>
                <w:lang w:bidi="ar"/>
              </w:rPr>
              <w:br w:type="textWrapping"/>
            </w:r>
            <w:r>
              <w:rPr>
                <w:rStyle w:val="526"/>
                <w:rFonts w:hint="default"/>
                <w:lang w:bidi="ar"/>
              </w:rPr>
              <w:t>2、打印参数</w:t>
            </w:r>
            <w:r>
              <w:rPr>
                <w:rStyle w:val="526"/>
                <w:rFonts w:hint="default"/>
                <w:lang w:bidi="ar"/>
              </w:rPr>
              <w:br w:type="textWrapping"/>
            </w:r>
            <w:r>
              <w:rPr>
                <w:rStyle w:val="526"/>
                <w:rFonts w:hint="default"/>
                <w:lang w:bidi="ar"/>
              </w:rPr>
              <w:t xml:space="preserve">2.1、环境要求：温度15-30℃，湿度5-50%： </w:t>
            </w:r>
            <w:r>
              <w:rPr>
                <w:rStyle w:val="526"/>
                <w:rFonts w:hint="default"/>
                <w:lang w:bidi="ar"/>
              </w:rPr>
              <w:br w:type="textWrapping"/>
            </w:r>
            <w:r>
              <w:rPr>
                <w:rStyle w:val="526"/>
                <w:rFonts w:hint="default"/>
                <w:lang w:bidi="ar"/>
              </w:rPr>
              <w:t>2.2、打印技术 : FDM</w:t>
            </w:r>
            <w:r>
              <w:rPr>
                <w:rStyle w:val="526"/>
                <w:rFonts w:hint="default"/>
                <w:lang w:bidi="ar"/>
              </w:rPr>
              <w:br w:type="textWrapping"/>
            </w:r>
            <w:r>
              <w:rPr>
                <w:rStyle w:val="526"/>
                <w:rFonts w:hint="default"/>
                <w:lang w:bidi="ar"/>
              </w:rPr>
              <w:t>2.3、打印尺寸： X：320mm  Y：280mm  Z：280mm</w:t>
            </w:r>
            <w:r>
              <w:rPr>
                <w:rStyle w:val="526"/>
                <w:rFonts w:hint="default"/>
                <w:lang w:bidi="ar"/>
              </w:rPr>
              <w:br w:type="textWrapping"/>
            </w:r>
            <w:r>
              <w:rPr>
                <w:rStyle w:val="526"/>
                <w:rFonts w:hint="default"/>
                <w:lang w:bidi="ar"/>
              </w:rPr>
              <w:t xml:space="preserve">2.4、层高精度 ：≥0.05-0.4mm </w:t>
            </w:r>
            <w:r>
              <w:rPr>
                <w:rStyle w:val="526"/>
                <w:rFonts w:hint="default"/>
                <w:lang w:bidi="ar"/>
              </w:rPr>
              <w:br w:type="textWrapping"/>
            </w:r>
            <w:r>
              <w:rPr>
                <w:rStyle w:val="526"/>
                <w:rFonts w:hint="default"/>
                <w:lang w:bidi="ar"/>
              </w:rPr>
              <w:t>2.5、XY轴电机定位精度：≥0.01mm</w:t>
            </w:r>
            <w:r>
              <w:rPr>
                <w:rStyle w:val="526"/>
                <w:rFonts w:hint="default"/>
                <w:lang w:bidi="ar"/>
              </w:rPr>
              <w:br w:type="textWrapping"/>
            </w:r>
            <w:r>
              <w:rPr>
                <w:rStyle w:val="526"/>
                <w:rFonts w:hint="default"/>
                <w:lang w:bidi="ar"/>
              </w:rPr>
              <w:t xml:space="preserve">2.6、Z轴电机定位精度 ：≥0.0025mm </w:t>
            </w:r>
            <w:r>
              <w:rPr>
                <w:rStyle w:val="526"/>
                <w:rFonts w:hint="default"/>
                <w:lang w:bidi="ar"/>
              </w:rPr>
              <w:br w:type="textWrapping"/>
            </w:r>
            <w:r>
              <w:rPr>
                <w:rStyle w:val="526"/>
                <w:rFonts w:hint="default"/>
                <w:lang w:bidi="ar"/>
              </w:rPr>
              <w:t>2.7、打印速度: 10-150mm/s</w:t>
            </w:r>
            <w:r>
              <w:rPr>
                <w:rStyle w:val="526"/>
                <w:rFonts w:hint="default"/>
                <w:lang w:bidi="ar"/>
              </w:rPr>
              <w:br w:type="textWrapping"/>
            </w:r>
            <w:r>
              <w:rPr>
                <w:rStyle w:val="526"/>
                <w:rFonts w:hint="default"/>
                <w:lang w:bidi="ar"/>
              </w:rPr>
              <w:t>2.8、打印方式：支持网线连接 U盘脱机打印</w:t>
            </w:r>
            <w:r>
              <w:rPr>
                <w:rStyle w:val="526"/>
                <w:rFonts w:hint="default"/>
                <w:lang w:bidi="ar"/>
              </w:rPr>
              <w:br w:type="textWrapping"/>
            </w:r>
            <w:r>
              <w:rPr>
                <w:rStyle w:val="526"/>
                <w:rFonts w:hint="default"/>
                <w:lang w:bidi="ar"/>
              </w:rPr>
              <w:t>2.9、耗材直径：1.75mm</w:t>
            </w:r>
            <w:r>
              <w:rPr>
                <w:rStyle w:val="526"/>
                <w:rFonts w:hint="default"/>
                <w:lang w:bidi="ar"/>
              </w:rPr>
              <w:br w:type="textWrapping"/>
            </w:r>
            <w:r>
              <w:rPr>
                <w:rStyle w:val="526"/>
                <w:rFonts w:hint="default"/>
                <w:lang w:bidi="ar"/>
              </w:rPr>
              <w:t>2.10、耗材类型：PLA,PLA+,T-PLA,ABS,HIPS,PETG,TPU,碳纤维,尼龙加碳纤,木质等</w:t>
            </w:r>
            <w:r>
              <w:rPr>
                <w:rStyle w:val="526"/>
                <w:rFonts w:hint="default"/>
                <w:lang w:bidi="ar"/>
              </w:rPr>
              <w:br w:type="textWrapping"/>
            </w:r>
            <w:r>
              <w:rPr>
                <w:rStyle w:val="526"/>
                <w:rFonts w:hint="default"/>
                <w:lang w:bidi="ar"/>
              </w:rPr>
              <w:t>3、切片软件</w:t>
            </w:r>
            <w:r>
              <w:rPr>
                <w:rStyle w:val="526"/>
                <w:rFonts w:hint="default"/>
                <w:lang w:bidi="ar"/>
              </w:rPr>
              <w:br w:type="textWrapping"/>
            </w:r>
            <w:r>
              <w:rPr>
                <w:rStyle w:val="526"/>
                <w:rFonts w:hint="default"/>
                <w:lang w:bidi="ar"/>
              </w:rPr>
              <w:t>3.1、软件语言 ： 中/英</w:t>
            </w:r>
            <w:r>
              <w:rPr>
                <w:rStyle w:val="526"/>
                <w:rFonts w:hint="default"/>
                <w:lang w:bidi="ar"/>
              </w:rPr>
              <w:br w:type="textWrapping"/>
            </w:r>
            <w:r>
              <w:rPr>
                <w:rStyle w:val="526"/>
                <w:rFonts w:hint="default"/>
                <w:lang w:bidi="ar"/>
              </w:rPr>
              <w:t xml:space="preserve">3.2、操作系统:国产系统 </w:t>
            </w:r>
            <w:r>
              <w:rPr>
                <w:rStyle w:val="526"/>
                <w:rFonts w:hint="default"/>
                <w:lang w:bidi="ar"/>
              </w:rPr>
              <w:br w:type="textWrapping"/>
            </w:r>
            <w:r>
              <w:rPr>
                <w:rStyle w:val="526"/>
                <w:rFonts w:hint="default"/>
                <w:lang w:bidi="ar"/>
              </w:rPr>
              <w:t>3.3、输入文件格式：STL,OBJ,AMF,3MF,BMP,JPG,JPEG,PNG,GCODE</w:t>
            </w:r>
            <w:r>
              <w:rPr>
                <w:rStyle w:val="526"/>
                <w:rFonts w:hint="default"/>
                <w:lang w:bidi="ar"/>
              </w:rPr>
              <w:br w:type="textWrapping"/>
            </w:r>
            <w:r>
              <w:rPr>
                <w:rStyle w:val="526"/>
                <w:rFonts w:hint="default"/>
                <w:lang w:bidi="ar"/>
              </w:rPr>
              <w:t>3.4、输出文件格式：GCODE</w:t>
            </w:r>
            <w:r>
              <w:rPr>
                <w:rStyle w:val="526"/>
                <w:rFonts w:hint="default"/>
                <w:lang w:bidi="ar"/>
              </w:rPr>
              <w:br w:type="textWrapping"/>
            </w:r>
            <w:r>
              <w:rPr>
                <w:rStyle w:val="526"/>
                <w:rFonts w:hint="default"/>
                <w:lang w:bidi="ar"/>
              </w:rPr>
              <w:t>3.5、模型支撑功能：自动生成/手动添加可选。</w:t>
            </w:r>
            <w:r>
              <w:rPr>
                <w:rStyle w:val="526"/>
                <w:rFonts w:hint="default"/>
                <w:lang w:bidi="ar"/>
              </w:rPr>
              <w:br w:type="textWrapping"/>
            </w:r>
            <w:r>
              <w:rPr>
                <w:rStyle w:val="526"/>
                <w:rFonts w:hint="default"/>
                <w:lang w:bidi="ar"/>
              </w:rPr>
              <w:t>3.6、输入文件格式：STL,OBJ,AMF,3MF,BMP,JPG,JPEG,PNG,GCODE</w:t>
            </w:r>
            <w:r>
              <w:rPr>
                <w:rStyle w:val="526"/>
                <w:rFonts w:hint="default"/>
                <w:lang w:bidi="ar"/>
              </w:rPr>
              <w:br w:type="textWrapping"/>
            </w:r>
            <w:r>
              <w:rPr>
                <w:rStyle w:val="526"/>
                <w:rFonts w:hint="default"/>
                <w:lang w:bidi="ar"/>
              </w:rPr>
              <w:t>4、机器特点</w:t>
            </w:r>
            <w:r>
              <w:rPr>
                <w:rStyle w:val="526"/>
                <w:rFonts w:hint="default"/>
                <w:lang w:bidi="ar"/>
              </w:rPr>
              <w:br w:type="textWrapping"/>
            </w:r>
            <w:r>
              <w:rPr>
                <w:rStyle w:val="526"/>
                <w:rFonts w:hint="default"/>
                <w:lang w:bidi="ar"/>
              </w:rPr>
              <w:t>4.1、充分保证设备的兼容性，先进性，稳定性。</w:t>
            </w:r>
            <w:r>
              <w:rPr>
                <w:rStyle w:val="526"/>
                <w:rFonts w:hint="default"/>
                <w:lang w:bidi="ar"/>
              </w:rPr>
              <w:br w:type="textWrapping"/>
            </w:r>
            <w:r>
              <w:rPr>
                <w:rStyle w:val="526"/>
                <w:rFonts w:hint="default"/>
                <w:lang w:bidi="ar"/>
              </w:rPr>
              <w:t>4.2、具备暂停换料功能，一键进料、一键退料功能、双路供电功能；</w:t>
            </w:r>
            <w:r>
              <w:rPr>
                <w:rStyle w:val="526"/>
                <w:rFonts w:hint="default"/>
                <w:lang w:bidi="ar"/>
              </w:rPr>
              <w:br w:type="textWrapping"/>
            </w:r>
            <w:r>
              <w:rPr>
                <w:rStyle w:val="526"/>
                <w:rFonts w:hint="default"/>
                <w:lang w:bidi="ar"/>
              </w:rPr>
              <w:t>4.3、</w:t>
            </w:r>
            <w:r>
              <w:rPr>
                <w:rStyle w:val="528"/>
                <w:lang w:bidi="ar"/>
              </w:rPr>
              <w:t xml:space="preserve"> </w:t>
            </w:r>
            <w:r>
              <w:rPr>
                <w:rStyle w:val="526"/>
                <w:rFonts w:hint="default"/>
                <w:lang w:bidi="ar"/>
              </w:rPr>
              <w:t>采用四点手动调平，轻松实现平台校准。</w:t>
            </w:r>
            <w:r>
              <w:rPr>
                <w:rStyle w:val="526"/>
                <w:rFonts w:hint="default"/>
                <w:lang w:bidi="ar"/>
              </w:rPr>
              <w:br w:type="textWrapping"/>
            </w:r>
            <w:r>
              <w:rPr>
                <w:rStyle w:val="526"/>
                <w:rFonts w:hint="default"/>
                <w:lang w:bidi="ar"/>
              </w:rPr>
              <w:t>4.4、随机设备相匹配的3D模型数据处理软件（切片软件），功能如下：</w:t>
            </w:r>
            <w:r>
              <w:rPr>
                <w:rStyle w:val="526"/>
                <w:rFonts w:hint="default"/>
                <w:lang w:bidi="ar"/>
              </w:rPr>
              <w:br w:type="textWrapping"/>
            </w:r>
            <w:r>
              <w:rPr>
                <w:rStyle w:val="526"/>
                <w:rFonts w:hint="default"/>
                <w:lang w:bidi="ar"/>
              </w:rPr>
              <w:t>（1）具有智能软件及固件升级；</w:t>
            </w:r>
            <w:r>
              <w:rPr>
                <w:rStyle w:val="526"/>
                <w:rFonts w:hint="default"/>
                <w:lang w:bidi="ar"/>
              </w:rPr>
              <w:br w:type="textWrapping"/>
            </w:r>
            <w:r>
              <w:rPr>
                <w:rStyle w:val="526"/>
                <w:rFonts w:hint="default"/>
                <w:lang w:bidi="ar"/>
              </w:rPr>
              <w:t>（2）同一模型不同高度设置不同切片参数，可以方便的为同一个模型不同的高度，设置层高、填充率、打印头温度、打印速度等不同的切片参数；</w:t>
            </w:r>
            <w:r>
              <w:rPr>
                <w:rStyle w:val="526"/>
                <w:rFonts w:hint="default"/>
                <w:lang w:bidi="ar"/>
              </w:rPr>
              <w:br w:type="textWrapping"/>
            </w:r>
            <w:r>
              <w:rPr>
                <w:rStyle w:val="526"/>
                <w:rFonts w:hint="default"/>
                <w:lang w:bidi="ar"/>
              </w:rPr>
              <w:t>（3）按指定顺序，逐个打印平台上多个模型的功能；</w:t>
            </w:r>
            <w:r>
              <w:rPr>
                <w:rStyle w:val="526"/>
                <w:rFonts w:hint="default"/>
                <w:lang w:bidi="ar"/>
              </w:rPr>
              <w:br w:type="textWrapping"/>
            </w:r>
            <w:r>
              <w:rPr>
                <w:rStyle w:val="526"/>
                <w:rFonts w:hint="default"/>
                <w:lang w:bidi="ar"/>
              </w:rPr>
              <w:t>（4）打印轨迹模拟动画演示功能；可缩放3D模型至所需的尺寸；软件有自动装配和自动分割模型功能；具备X轴、Y轴、Z轴和自由切割功能；软件内嵌照片自动转换3D模型打印的功能；3D打印集成分布式远程控制系统；3D打印自动装配和自动分割模型系统；系统同时包含熔融沉积工艺和光固化工艺的切片，可随时切换。</w:t>
            </w:r>
            <w:r>
              <w:rPr>
                <w:rStyle w:val="526"/>
                <w:rFonts w:hint="default"/>
                <w:lang w:bidi="ar"/>
              </w:rPr>
              <w:br w:type="textWrapping"/>
            </w:r>
            <w:r>
              <w:rPr>
                <w:rStyle w:val="526"/>
                <w:rFonts w:hint="default"/>
                <w:lang w:bidi="ar"/>
              </w:rPr>
              <w:t>（5）软件内即可生成字母、数字、文字，可设置模型字体、厚度、曲率、仰角等，实现快速建模打印功能；</w:t>
            </w:r>
            <w:r>
              <w:rPr>
                <w:rStyle w:val="526"/>
                <w:rFonts w:hint="default"/>
                <w:lang w:bidi="ar"/>
              </w:rPr>
              <w:br w:type="textWrapping"/>
            </w:r>
            <w:r>
              <w:rPr>
                <w:rStyle w:val="526"/>
                <w:rFonts w:hint="default"/>
                <w:lang w:bidi="ar"/>
              </w:rPr>
              <w:t>（6）提供断层续接的功能，控制打印头的层高起始点，实现在断层模型上续打；</w:t>
            </w:r>
            <w:r>
              <w:rPr>
                <w:rStyle w:val="526"/>
                <w:rFonts w:hint="default"/>
                <w:lang w:bidi="ar"/>
              </w:rPr>
              <w:br w:type="textWrapping"/>
            </w:r>
            <w:r>
              <w:rPr>
                <w:rStyle w:val="526"/>
                <w:rFonts w:hint="default"/>
                <w:lang w:bidi="ar"/>
              </w:rPr>
              <w:t>（7）可添加网格、线、面、树、柱状支撑，可选择普通底垫、防翘边底垫、透水底垫。</w:t>
            </w:r>
            <w:r>
              <w:rPr>
                <w:rStyle w:val="526"/>
                <w:rFonts w:hint="default"/>
                <w:lang w:bidi="ar"/>
              </w:rPr>
              <w:br w:type="textWrapping"/>
            </w:r>
            <w:r>
              <w:rPr>
                <w:rStyle w:val="526"/>
                <w:rFonts w:hint="default"/>
                <w:lang w:bidi="ar"/>
              </w:rPr>
              <w:t>（8）软件系统允许用户手动添加支撑，同时在必须加入支撑的部分由系统自动加，通过双重保障提升模型打印的成功率；</w:t>
            </w:r>
            <w:r>
              <w:rPr>
                <w:rStyle w:val="526"/>
                <w:rFonts w:hint="default"/>
                <w:lang w:bidi="ar"/>
              </w:rPr>
              <w:br w:type="textWrapping"/>
            </w:r>
            <w:r>
              <w:rPr>
                <w:rStyle w:val="526"/>
                <w:rFonts w:hint="default"/>
                <w:lang w:bidi="ar"/>
              </w:rPr>
              <w:t>（9）系统配备了手动切割功能，使模型的摆放方式及切片灵活度更高，同时可实现灵活的装配功能，按照内部封闭结构，将模型切割成多个独立单元，实现特定部分的模型打印。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3D打印机+料管拓展口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1、设备参数</w:t>
            </w:r>
            <w:r>
              <w:rPr>
                <w:rStyle w:val="526"/>
                <w:rFonts w:hint="default"/>
                <w:lang w:bidi="ar"/>
              </w:rPr>
              <w:br w:type="textWrapping"/>
            </w:r>
            <w:r>
              <w:rPr>
                <w:rStyle w:val="526"/>
                <w:rFonts w:hint="default"/>
                <w:lang w:bidi="ar"/>
              </w:rPr>
              <w:t>1.1、熔融堆积：（FDM）</w:t>
            </w:r>
            <w:r>
              <w:rPr>
                <w:rStyle w:val="526"/>
                <w:rFonts w:hint="default"/>
                <w:lang w:bidi="ar"/>
              </w:rPr>
              <w:br w:type="textWrapping"/>
            </w:r>
            <w:r>
              <w:rPr>
                <w:rStyle w:val="526"/>
                <w:rFonts w:hint="default"/>
                <w:lang w:bidi="ar"/>
              </w:rPr>
              <w:t xml:space="preserve">1.2、机箱：全封闭金属机箱构架加亚格力门 </w:t>
            </w:r>
            <w:r>
              <w:rPr>
                <w:rStyle w:val="526"/>
                <w:rFonts w:hint="default"/>
                <w:lang w:bidi="ar"/>
              </w:rPr>
              <w:br w:type="textWrapping"/>
            </w:r>
            <w:r>
              <w:rPr>
                <w:rStyle w:val="526"/>
                <w:rFonts w:hint="default"/>
                <w:lang w:bidi="ar"/>
              </w:rPr>
              <w:t>1.3、机器尺寸： 440*370*572mm</w:t>
            </w:r>
            <w:r>
              <w:rPr>
                <w:rStyle w:val="526"/>
                <w:rFonts w:hint="default"/>
                <w:lang w:bidi="ar"/>
              </w:rPr>
              <w:br w:type="textWrapping"/>
            </w:r>
            <w:r>
              <w:rPr>
                <w:rStyle w:val="526"/>
                <w:rFonts w:hint="default"/>
                <w:lang w:bidi="ar"/>
              </w:rPr>
              <w:t>1.4、包装尺寸： 530mm*430mm*670mm</w:t>
            </w:r>
            <w:r>
              <w:rPr>
                <w:rStyle w:val="526"/>
                <w:rFonts w:hint="default"/>
                <w:lang w:bidi="ar"/>
              </w:rPr>
              <w:br w:type="textWrapping"/>
            </w:r>
            <w:r>
              <w:rPr>
                <w:rStyle w:val="526"/>
                <w:rFonts w:hint="default"/>
                <w:lang w:bidi="ar"/>
              </w:rPr>
              <w:t>1.5、机器重量 ：30kg（含包装）净重22kg</w:t>
            </w:r>
            <w:r>
              <w:rPr>
                <w:rStyle w:val="526"/>
                <w:rFonts w:hint="default"/>
                <w:lang w:bidi="ar"/>
              </w:rPr>
              <w:br w:type="textWrapping"/>
            </w:r>
            <w:r>
              <w:rPr>
                <w:rStyle w:val="526"/>
                <w:rFonts w:hint="default"/>
                <w:lang w:bidi="ar"/>
              </w:rPr>
              <w:t>1.6、平台温度：110℃</w:t>
            </w:r>
            <w:r>
              <w:rPr>
                <w:rStyle w:val="526"/>
                <w:rFonts w:hint="default"/>
                <w:lang w:bidi="ar"/>
              </w:rPr>
              <w:br w:type="textWrapping"/>
            </w:r>
            <w:r>
              <w:rPr>
                <w:rStyle w:val="526"/>
                <w:rFonts w:hint="default"/>
                <w:lang w:bidi="ar"/>
              </w:rPr>
              <w:t xml:space="preserve">1.7、平台材质 ：铝基板加玻璃板   </w:t>
            </w:r>
            <w:r>
              <w:rPr>
                <w:rStyle w:val="526"/>
                <w:rFonts w:hint="default"/>
                <w:lang w:bidi="ar"/>
              </w:rPr>
              <w:br w:type="textWrapping"/>
            </w:r>
            <w:r>
              <w:rPr>
                <w:rStyle w:val="526"/>
                <w:rFonts w:hint="default"/>
                <w:lang w:bidi="ar"/>
              </w:rPr>
              <w:t>1.8、喷嘴直径：0.4mm（0.2-0.8mm任意可选）</w:t>
            </w:r>
            <w:r>
              <w:rPr>
                <w:rStyle w:val="526"/>
                <w:rFonts w:hint="default"/>
                <w:lang w:bidi="ar"/>
              </w:rPr>
              <w:br w:type="textWrapping"/>
            </w:r>
            <w:r>
              <w:rPr>
                <w:rStyle w:val="526"/>
                <w:rFonts w:hint="default"/>
                <w:lang w:bidi="ar"/>
              </w:rPr>
              <w:t>1.9、喷嘴高温度：260℃</w:t>
            </w:r>
            <w:r>
              <w:rPr>
                <w:rStyle w:val="526"/>
                <w:rFonts w:hint="default"/>
                <w:lang w:bidi="ar"/>
              </w:rPr>
              <w:br w:type="textWrapping"/>
            </w:r>
            <w:r>
              <w:rPr>
                <w:rStyle w:val="526"/>
                <w:rFonts w:hint="default"/>
                <w:lang w:bidi="ar"/>
              </w:rPr>
              <w:t>1.10、喷头数量：1个</w:t>
            </w:r>
            <w:r>
              <w:rPr>
                <w:rStyle w:val="526"/>
                <w:rFonts w:hint="default"/>
                <w:lang w:bidi="ar"/>
              </w:rPr>
              <w:br w:type="textWrapping"/>
            </w:r>
            <w:r>
              <w:rPr>
                <w:rStyle w:val="526"/>
                <w:rFonts w:hint="default"/>
                <w:lang w:bidi="ar"/>
              </w:rPr>
              <w:t xml:space="preserve">1.11、断料检测：支持 </w:t>
            </w:r>
            <w:r>
              <w:rPr>
                <w:rStyle w:val="526"/>
                <w:rFonts w:hint="default"/>
                <w:lang w:bidi="ar"/>
              </w:rPr>
              <w:br w:type="textWrapping"/>
            </w:r>
            <w:r>
              <w:rPr>
                <w:rStyle w:val="526"/>
                <w:rFonts w:hint="default"/>
                <w:lang w:bidi="ar"/>
              </w:rPr>
              <w:t>1.12、 总功率：300w</w:t>
            </w:r>
            <w:r>
              <w:rPr>
                <w:rStyle w:val="526"/>
                <w:rFonts w:hint="default"/>
                <w:lang w:bidi="ar"/>
              </w:rPr>
              <w:br w:type="textWrapping"/>
            </w:r>
            <w:r>
              <w:rPr>
                <w:rStyle w:val="526"/>
                <w:rFonts w:hint="default"/>
                <w:lang w:bidi="ar"/>
              </w:rPr>
              <w:t>1.13、入电压：110/220V 50HZ</w:t>
            </w:r>
            <w:r>
              <w:rPr>
                <w:rStyle w:val="526"/>
                <w:rFonts w:hint="default"/>
                <w:lang w:bidi="ar"/>
              </w:rPr>
              <w:br w:type="textWrapping"/>
            </w:r>
            <w:r>
              <w:rPr>
                <w:rStyle w:val="526"/>
                <w:rFonts w:hint="default"/>
                <w:lang w:bidi="ar"/>
              </w:rPr>
              <w:t>2、打印参数</w:t>
            </w:r>
            <w:r>
              <w:rPr>
                <w:rStyle w:val="526"/>
                <w:rFonts w:hint="default"/>
                <w:lang w:bidi="ar"/>
              </w:rPr>
              <w:br w:type="textWrapping"/>
            </w:r>
            <w:r>
              <w:rPr>
                <w:rStyle w:val="526"/>
                <w:rFonts w:hint="default"/>
                <w:lang w:bidi="ar"/>
              </w:rPr>
              <w:t xml:space="preserve">2.1、环境要求：温度10-30℃，湿度5-50%： </w:t>
            </w:r>
            <w:r>
              <w:rPr>
                <w:rStyle w:val="526"/>
                <w:rFonts w:hint="default"/>
                <w:lang w:bidi="ar"/>
              </w:rPr>
              <w:br w:type="textWrapping"/>
            </w:r>
            <w:r>
              <w:rPr>
                <w:rStyle w:val="526"/>
                <w:rFonts w:hint="default"/>
                <w:lang w:bidi="ar"/>
              </w:rPr>
              <w:t>2.2、打印技术 : FDM</w:t>
            </w:r>
            <w:r>
              <w:rPr>
                <w:rStyle w:val="526"/>
                <w:rFonts w:hint="default"/>
                <w:lang w:bidi="ar"/>
              </w:rPr>
              <w:br w:type="textWrapping"/>
            </w:r>
            <w:r>
              <w:rPr>
                <w:rStyle w:val="526"/>
                <w:rFonts w:hint="default"/>
                <w:lang w:bidi="ar"/>
              </w:rPr>
              <w:t>2.3打印尺寸：X:260mmY:165mmZ:160mm</w:t>
            </w:r>
            <w:r>
              <w:rPr>
                <w:rStyle w:val="526"/>
                <w:rFonts w:hint="default"/>
                <w:lang w:bidi="ar"/>
              </w:rPr>
              <w:br w:type="textWrapping"/>
            </w:r>
            <w:r>
              <w:rPr>
                <w:rStyle w:val="526"/>
                <w:rFonts w:hint="default"/>
                <w:lang w:bidi="ar"/>
              </w:rPr>
              <w:t xml:space="preserve">2.4、层高精度 ：≥ 0.05-0.4m </w:t>
            </w:r>
            <w:r>
              <w:rPr>
                <w:rStyle w:val="526"/>
                <w:rFonts w:hint="default"/>
                <w:lang w:bidi="ar"/>
              </w:rPr>
              <w:br w:type="textWrapping"/>
            </w:r>
            <w:r>
              <w:rPr>
                <w:rStyle w:val="526"/>
                <w:rFonts w:hint="default"/>
                <w:lang w:bidi="ar"/>
              </w:rPr>
              <w:t>2.5、XY轴电机定位精度：≥0.01mm</w:t>
            </w:r>
            <w:r>
              <w:rPr>
                <w:rStyle w:val="526"/>
                <w:rFonts w:hint="default"/>
                <w:lang w:bidi="ar"/>
              </w:rPr>
              <w:br w:type="textWrapping"/>
            </w:r>
            <w:r>
              <w:rPr>
                <w:rStyle w:val="526"/>
                <w:rFonts w:hint="default"/>
                <w:lang w:bidi="ar"/>
              </w:rPr>
              <w:t xml:space="preserve">2.6、Z轴电机定位精度 ：≥0.0025mm </w:t>
            </w:r>
            <w:r>
              <w:rPr>
                <w:rStyle w:val="526"/>
                <w:rFonts w:hint="default"/>
                <w:lang w:bidi="ar"/>
              </w:rPr>
              <w:br w:type="textWrapping"/>
            </w:r>
            <w:r>
              <w:rPr>
                <w:rStyle w:val="526"/>
                <w:rFonts w:hint="default"/>
                <w:lang w:bidi="ar"/>
              </w:rPr>
              <w:t>2.7、打印速度: 10-150mm/s</w:t>
            </w:r>
            <w:r>
              <w:rPr>
                <w:rStyle w:val="526"/>
                <w:rFonts w:hint="default"/>
                <w:lang w:bidi="ar"/>
              </w:rPr>
              <w:br w:type="textWrapping"/>
            </w:r>
            <w:r>
              <w:rPr>
                <w:rStyle w:val="526"/>
                <w:rFonts w:hint="default"/>
                <w:lang w:bidi="ar"/>
              </w:rPr>
              <w:t>2.8、打印方式：支持网线连接/WIFI/U盘脱机打印</w:t>
            </w:r>
            <w:r>
              <w:rPr>
                <w:rStyle w:val="526"/>
                <w:rFonts w:hint="default"/>
                <w:lang w:bidi="ar"/>
              </w:rPr>
              <w:br w:type="textWrapping"/>
            </w:r>
            <w:r>
              <w:rPr>
                <w:rStyle w:val="526"/>
                <w:rFonts w:hint="default"/>
                <w:lang w:bidi="ar"/>
              </w:rPr>
              <w:t>2.9、耗材直径：1.75mm</w:t>
            </w:r>
            <w:r>
              <w:rPr>
                <w:rStyle w:val="526"/>
                <w:rFonts w:hint="default"/>
                <w:lang w:bidi="ar"/>
              </w:rPr>
              <w:br w:type="textWrapping"/>
            </w:r>
            <w:r>
              <w:rPr>
                <w:rStyle w:val="526"/>
                <w:rFonts w:hint="default"/>
                <w:lang w:bidi="ar"/>
              </w:rPr>
              <w:t>2.10、耗材类型：PLA,PLA+,T-PLA,ABS,HIPS,PETG,TPU,碳纤维,尼龙加碳纤,木质等</w:t>
            </w:r>
            <w:r>
              <w:rPr>
                <w:rStyle w:val="526"/>
                <w:rFonts w:hint="default"/>
                <w:lang w:bidi="ar"/>
              </w:rPr>
              <w:br w:type="textWrapping"/>
            </w:r>
            <w:r>
              <w:rPr>
                <w:rStyle w:val="526"/>
                <w:rFonts w:hint="default"/>
                <w:lang w:bidi="ar"/>
              </w:rPr>
              <w:t>3、切片软件</w:t>
            </w:r>
            <w:r>
              <w:rPr>
                <w:rStyle w:val="526"/>
                <w:rFonts w:hint="default"/>
                <w:lang w:bidi="ar"/>
              </w:rPr>
              <w:br w:type="textWrapping"/>
            </w:r>
            <w:r>
              <w:rPr>
                <w:rStyle w:val="526"/>
                <w:rFonts w:hint="default"/>
                <w:lang w:bidi="ar"/>
              </w:rPr>
              <w:t>3.1、软件语言 ： 中/英</w:t>
            </w:r>
            <w:r>
              <w:rPr>
                <w:rStyle w:val="526"/>
                <w:rFonts w:hint="default"/>
                <w:lang w:bidi="ar"/>
              </w:rPr>
              <w:br w:type="textWrapping"/>
            </w:r>
            <w:r>
              <w:rPr>
                <w:rStyle w:val="526"/>
                <w:rFonts w:hint="default"/>
                <w:lang w:bidi="ar"/>
              </w:rPr>
              <w:t xml:space="preserve">3.2、操作系统:国产系统 </w:t>
            </w:r>
            <w:r>
              <w:rPr>
                <w:rStyle w:val="526"/>
                <w:rFonts w:hint="default"/>
                <w:lang w:bidi="ar"/>
              </w:rPr>
              <w:br w:type="textWrapping"/>
            </w:r>
            <w:r>
              <w:rPr>
                <w:rStyle w:val="526"/>
                <w:rFonts w:hint="default"/>
                <w:lang w:bidi="ar"/>
              </w:rPr>
              <w:t>3.3、输入文件格式：STL,OBJ,AMF,3MF,BMP,JPG,JPEG,PNG,GCODE</w:t>
            </w:r>
            <w:r>
              <w:rPr>
                <w:rStyle w:val="526"/>
                <w:rFonts w:hint="default"/>
                <w:lang w:bidi="ar"/>
              </w:rPr>
              <w:br w:type="textWrapping"/>
            </w:r>
            <w:r>
              <w:rPr>
                <w:rStyle w:val="526"/>
                <w:rFonts w:hint="default"/>
                <w:lang w:bidi="ar"/>
              </w:rPr>
              <w:t>3.4、输出文件格式：GCODE</w:t>
            </w:r>
            <w:r>
              <w:rPr>
                <w:rStyle w:val="526"/>
                <w:rFonts w:hint="default"/>
                <w:lang w:bidi="ar"/>
              </w:rPr>
              <w:br w:type="textWrapping"/>
            </w:r>
            <w:r>
              <w:rPr>
                <w:rStyle w:val="526"/>
                <w:rFonts w:hint="default"/>
                <w:lang w:bidi="ar"/>
              </w:rPr>
              <w:t>3.5、模型支撑功能：自动生成/手动添加可选。</w:t>
            </w:r>
            <w:r>
              <w:rPr>
                <w:rStyle w:val="526"/>
                <w:rFonts w:hint="default"/>
                <w:lang w:bidi="ar"/>
              </w:rPr>
              <w:br w:type="textWrapping"/>
            </w:r>
            <w:r>
              <w:rPr>
                <w:rStyle w:val="526"/>
                <w:rFonts w:hint="default"/>
                <w:lang w:bidi="ar"/>
              </w:rPr>
              <w:t>3.6、输入文件格式：STL,OBJ,AMF,3MF,BMP,JPG,JPEG,PNG,GCODE</w:t>
            </w:r>
            <w:r>
              <w:rPr>
                <w:rStyle w:val="526"/>
                <w:rFonts w:hint="default"/>
                <w:lang w:bidi="ar"/>
              </w:rPr>
              <w:br w:type="textWrapping"/>
            </w:r>
            <w:r>
              <w:rPr>
                <w:rStyle w:val="526"/>
                <w:rFonts w:hint="default"/>
                <w:lang w:bidi="ar"/>
              </w:rPr>
              <w:t>4、机器特点</w:t>
            </w:r>
            <w:r>
              <w:rPr>
                <w:rStyle w:val="526"/>
                <w:rFonts w:hint="default"/>
                <w:lang w:bidi="ar"/>
              </w:rPr>
              <w:br w:type="textWrapping"/>
            </w:r>
            <w:r>
              <w:rPr>
                <w:rStyle w:val="526"/>
                <w:rFonts w:hint="default"/>
                <w:lang w:bidi="ar"/>
              </w:rPr>
              <w:t>4.1.、充分保证设备的兼容性，先进性，稳定性。</w:t>
            </w:r>
            <w:r>
              <w:rPr>
                <w:rStyle w:val="526"/>
                <w:rFonts w:hint="default"/>
                <w:lang w:bidi="ar"/>
              </w:rPr>
              <w:br w:type="textWrapping"/>
            </w:r>
            <w:r>
              <w:rPr>
                <w:rStyle w:val="526"/>
                <w:rFonts w:hint="default"/>
                <w:lang w:bidi="ar"/>
              </w:rPr>
              <w:t>4.2、具备暂停换料功能，一键进料、一键退料功能；</w:t>
            </w:r>
            <w:r>
              <w:rPr>
                <w:rStyle w:val="526"/>
                <w:rFonts w:hint="default"/>
                <w:lang w:bidi="ar"/>
              </w:rPr>
              <w:br w:type="textWrapping"/>
            </w:r>
            <w:r>
              <w:rPr>
                <w:rStyle w:val="526"/>
                <w:rFonts w:hint="default"/>
                <w:lang w:bidi="ar"/>
              </w:rPr>
              <w:t>4.3、</w:t>
            </w:r>
            <w:r>
              <w:rPr>
                <w:rStyle w:val="528"/>
                <w:lang w:bidi="ar"/>
              </w:rPr>
              <w:t xml:space="preserve"> </w:t>
            </w:r>
            <w:r>
              <w:rPr>
                <w:rStyle w:val="526"/>
                <w:rFonts w:hint="default"/>
                <w:lang w:bidi="ar"/>
              </w:rPr>
              <w:t>采用一键全自动调平，轻松实现平台校准。</w:t>
            </w:r>
            <w:r>
              <w:rPr>
                <w:rStyle w:val="526"/>
                <w:rFonts w:hint="default"/>
                <w:lang w:bidi="ar"/>
              </w:rPr>
              <w:br w:type="textWrapping"/>
            </w:r>
            <w:r>
              <w:rPr>
                <w:rStyle w:val="526"/>
                <w:rFonts w:hint="default"/>
                <w:lang w:bidi="ar"/>
              </w:rPr>
              <w:t>4.4、随机设备相匹配的3D模型数据处理软件（切片软件），功能如下：</w:t>
            </w:r>
            <w:r>
              <w:rPr>
                <w:rStyle w:val="526"/>
                <w:rFonts w:hint="default"/>
                <w:lang w:bidi="ar"/>
              </w:rPr>
              <w:br w:type="textWrapping"/>
            </w:r>
            <w:r>
              <w:rPr>
                <w:rStyle w:val="526"/>
                <w:rFonts w:hint="default"/>
                <w:lang w:bidi="ar"/>
              </w:rPr>
              <w:t>（1）具有智能软件及固件升级；</w:t>
            </w:r>
            <w:r>
              <w:rPr>
                <w:rStyle w:val="526"/>
                <w:rFonts w:hint="default"/>
                <w:lang w:bidi="ar"/>
              </w:rPr>
              <w:br w:type="textWrapping"/>
            </w:r>
            <w:r>
              <w:rPr>
                <w:rStyle w:val="526"/>
                <w:rFonts w:hint="default"/>
                <w:lang w:bidi="ar"/>
              </w:rPr>
              <w:t>（2）同一模型不同高度设置不同切片参数，可以方便的为同一个模型不同的高度，设置层高、填充率、打印头温度、打印速度等不同的切片参数；</w:t>
            </w:r>
            <w:r>
              <w:rPr>
                <w:rStyle w:val="526"/>
                <w:rFonts w:hint="default"/>
                <w:lang w:bidi="ar"/>
              </w:rPr>
              <w:br w:type="textWrapping"/>
            </w:r>
            <w:r>
              <w:rPr>
                <w:rStyle w:val="526"/>
                <w:rFonts w:hint="default"/>
                <w:lang w:bidi="ar"/>
              </w:rPr>
              <w:t>（3）按指定顺序，逐个打印平台上多个模型的功能；</w:t>
            </w:r>
            <w:r>
              <w:rPr>
                <w:rStyle w:val="526"/>
                <w:rFonts w:hint="default"/>
                <w:lang w:bidi="ar"/>
              </w:rPr>
              <w:br w:type="textWrapping"/>
            </w:r>
            <w:r>
              <w:rPr>
                <w:rStyle w:val="526"/>
                <w:rFonts w:hint="default"/>
                <w:lang w:bidi="ar"/>
              </w:rPr>
              <w:t>（4）打印轨迹模拟动画演示功能；可缩放3D模型至所需的尺寸；软件有自动装配和自动分割模型功能；具备X轴、Y轴、Z轴和自由切割功能；软件内嵌照片自动转换3D模型打印的功能；3D打印集成分布式远程控制系统；3D打印自动装配和自动分割模型系统；系统同时包含熔融沉积工艺和光固化工艺的切片，可随时切换。</w:t>
            </w:r>
            <w:r>
              <w:rPr>
                <w:rStyle w:val="526"/>
                <w:rFonts w:hint="default"/>
                <w:lang w:bidi="ar"/>
              </w:rPr>
              <w:br w:type="textWrapping"/>
            </w:r>
            <w:r>
              <w:rPr>
                <w:rStyle w:val="526"/>
                <w:rFonts w:hint="default"/>
                <w:lang w:bidi="ar"/>
              </w:rPr>
              <w:t>（5）软件内即可生成字母、数字、文字，可设置模型字体、厚度、曲率、仰角等，实现快速建模打印功能；</w:t>
            </w:r>
            <w:r>
              <w:rPr>
                <w:rStyle w:val="526"/>
                <w:rFonts w:hint="default"/>
                <w:lang w:bidi="ar"/>
              </w:rPr>
              <w:br w:type="textWrapping"/>
            </w:r>
            <w:r>
              <w:rPr>
                <w:rStyle w:val="526"/>
                <w:rFonts w:hint="default"/>
                <w:lang w:bidi="ar"/>
              </w:rPr>
              <w:t>（6）提供断层续接的功能，控制打印头的层高起始点，实现在断层模型上续打；</w:t>
            </w:r>
            <w:r>
              <w:rPr>
                <w:rStyle w:val="526"/>
                <w:rFonts w:hint="default"/>
                <w:lang w:bidi="ar"/>
              </w:rPr>
              <w:br w:type="textWrapping"/>
            </w:r>
            <w:r>
              <w:rPr>
                <w:rStyle w:val="526"/>
                <w:rFonts w:hint="default"/>
                <w:lang w:bidi="ar"/>
              </w:rPr>
              <w:t>（7）可添加网格、线、面、树、柱状支撑，可选择普通底垫、防翘边底垫、透水底垫。</w:t>
            </w:r>
            <w:r>
              <w:rPr>
                <w:rStyle w:val="526"/>
                <w:rFonts w:hint="default"/>
                <w:lang w:bidi="ar"/>
              </w:rPr>
              <w:br w:type="textWrapping"/>
            </w:r>
            <w:r>
              <w:rPr>
                <w:rStyle w:val="526"/>
                <w:rFonts w:hint="default"/>
                <w:lang w:bidi="ar"/>
              </w:rPr>
              <w:t>（8）软件系统允许用户手动添加支撑，同时在必须加入支撑的部分由系统自动加，通过双重保障提升模型打印的成功率；</w:t>
            </w:r>
            <w:r>
              <w:rPr>
                <w:rStyle w:val="526"/>
                <w:rFonts w:hint="default"/>
                <w:lang w:bidi="ar"/>
              </w:rPr>
              <w:br w:type="textWrapping"/>
            </w:r>
            <w:r>
              <w:rPr>
                <w:rStyle w:val="526"/>
                <w:rFonts w:hint="default"/>
                <w:lang w:bidi="ar"/>
              </w:rPr>
              <w:t>（9）系统配备了手动切割功能，使模型的摆放方式及切片灵活度更高，同时可实现灵活的装配功能，按照内部封闭结构，将模型切割成多个独立单元，实现特定部分的模型打印。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激光切割机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1、雕刻切割最大范围1000*800mm；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2、最大进料宽度 1050mm；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3、激光功率 100W；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4、激光模式：Co2玻璃内腔式封离激光器；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5、最快工作速度 60m/min；</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6、激光能量控制 软件控制／手动调节两种可选模式；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7、机械分辨率≥0.025mm；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8、最小成型文字 汉字1.5mm,英文1mm；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9、最厚切割深度 12mm(亚克力为例)；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10、重复定位精度 ±0.1mm；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11、蜂窝及刀条两种可选平台（默认蜂窝）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12、电源 AC220V±15%，50Hz，总机功率 ≤800W；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13、外形尺寸：1680*1300*1180mm，（含支架轮子，支架高度400mm）；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14、支持软件格式BMP/PLT/DST/AI/DXF/DWG等几乎所有常见图片格式；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15、工作环境温度 0℃～45℃，工作环境湿度 5%～95%；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16、软件语言 中文/英文；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17、辅助设备：水冷却系统、吹气系统、烟尘排空系统；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18、电机配套减速机构，Y轴双轨道电机中间驱动加柔性联轴器。Y轴电机中间驱动，配合高精度12mm双膜片式弹性连轴器，精度更高；外滑式模组化高速导轨+步进电机传动；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19、全彩屏触摸板控制系统，可脱机控制（支持USB连接），支持实时同步显示，智能工作实时展示、图片智能转换、智能影雕处理；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20、操作门带安全防护玻璃，激光工作安全保护装置及开路保护功能、智能水保护系统。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配套包含八大主题的《激光雕刻切割加工课程》，认识激光雕刻机、七巧板、创意名片、华容道、尺、扇、梳、支架相应的教学电子版资料；随课附送不少于220课时模型资源文件。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电动螺丝刀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最大夹持能力10 mm，正反转，两档，充电式+配套批头钻头套装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1、材质：卡其布面料，厚实耐磨、抗皱耐洗，不易褪色；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2、规格：长款长衫版型，袖口带纽扣设计，可自由扣紧收紧；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3、产品亮点：简约耐脏，长袖防护防灰尘防刮蹭，袖口可锁紧防风防杂物。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机械危害防护手套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长约22cm，宽约12cm，手腕部分为复合材质针织而成。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帆布手套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PU凃指涂掌手套，防滑耐磨，松紧舒适。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1、材质：整体优质棉纱编织，手掌部位加厚防滑乳胶，柔软透气；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2、规格：通用均码，贴合成人手掌，弹力适中，穿戴不紧绷；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3、产品亮点：透气不闷手，掌面防滑耐磨损，抓握力强，防油污防轻微划伤。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护目镜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软胶材质，防冲击弹性树脂镜片，全包围式，带透气孔。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设备-劳动-金工</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台式砂轮机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砂轮外径125mm，厚度16mm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塑封机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适用于A3及以下幅面，电源功率600 W ，预热时间约 3 ～ 5 分钟， 塑封速度约 400 mm/ 分钟，过胶宽度不大于 320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吸尘器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1、功率：≥1200W；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2、坚固钢制壳体，经久耐磨，超大可洗布袋，配有多种吸头。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适用于中小型零件钻孔、扩孔、铰孔、攻螺纹、刮平面等工作；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五档转速可调500—2500Rpm；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立柱φ46mm 壁厚≥1.5mm；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钻夹头≥1.5-13mm；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主轴行程50mm。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钻头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麻花钻头，含直径1.5mm、2mm、2.5mm、3mm、3.5mm、4mm、5mm、6mm、8mm、10mm等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12寸橡胶手柄钢锯（带3根锯条）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尖嘴钳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带刃口，按压回弹，6寸，≥165mm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迷你针嘴钳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高碳钢，10寸，平锉，粗齿、中齿各一把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高碳钢，10寸，三角锉，粗齿、中齿各一把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高碳钢，10寸，圆锉，粗齿、中齿各一把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金工锉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高碳钢，10寸，半圆锉，粗齿、中齿各一把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什锦锉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≥4*160 mm，6件套+3*140mm5件套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铁皮剪刀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直头，≥250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錾子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直线錾≥6毫米、粗直线錾≥6毫米一套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錾子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6寸，转柄采用合金锻钢材质，笔体采用冷拨钢材质，笔尖采用合金材质，合金本色表面涂防锈油，最大角度60度。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划规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≥2000 mm、5000mm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拍板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掐丝用，短刃，尖头，红色包胶刀把，尺寸：长度≥13.5cm，刃长≥3.7cm，宽度8cm，剪刀头为高碳钢材质。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规格：≥12.5cm，材质：不锈钢锻造，耐酸，拉丝精抛处理。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镊子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直尖头镊子，≥120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铲子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≥120cm、高碳钢+硬木质柄 平尖头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铲子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≥120cm、高碳钢+硬木质柄 迷你尖头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设备-劳动-木工</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装工具的收纳盒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大号，高度≥10-15cm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吸尘器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1、功率：1200W；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2、坚固钢制壳体，经久耐磨，超大可洗布袋，配有多种吸头。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水晶垫板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透明，光滑，厚度≥2mm，根据桌面尺寸和数量定制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手持电动雕刻机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电磨电压4.2V，夹持范围0.5-3.2mm，空载转速15000R，整机尺寸：长15cm，宽≥2.5cm。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手持电动打磨机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25000 r/min，4.2 V，28 W；全铜厚壁夹头+全铜线电机，含可换刀头、砂轮等。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电动曲线锯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电压220 V，功率600 W，斜锯角度0～45°，木材锯割深度≥65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适用于中小型零件钻孔、扩孔、铰孔、攻螺纹、刮平面等工作；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电压220V，50Hz，500W；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五档转速可调500—2500Rpm；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立柱φ46mm 壁厚≥1.5mm；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钻夹头≥1.5-13mm；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主轴行程50mm。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钻头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麻花，含直径 2 mm、3 mm、4 mm、5 mm、6 mm、8 mm、10 mm 等，1套13根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U型曲线锯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全长≥28cm，宽≥11cm，不锈钢锯架，橡胶手柄。锯身可调，适用于不同长度的锯条；锯条长≥13cm，螺旋锯齿。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木工勒线器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1、材质主体：黑檀木；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五金件：黄铜材质，包括锁紧旋钮、导轨镶条、定位件，防锈耐磨；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全长：≥200mm；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前固定木头：≥29mm；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活动抽长：≥145mm；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卡木宽：≥57mm；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卡木长：≥27mm；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导轨厚度：≥18mm。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3、使用场景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木工手工划线、精准定位，用于木材加工、家具制作、榫卯结构划线等；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木工 DIY、手工木艺、传统木工教学、非遗工艺展示。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电动螺丝刀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电压：12V以上；最大扭矩：23Nm；空载转速（r/min）：1400rpm；最大螺钉直径：6mm；在木材中最大钻孔直径：23mm；在钢材中最大钻孔直径：10mm；扭矩设置：18+1；夹头直径：≥0.8-10mm。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螺丝刀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含一字、十字，3 mm×50 mm，4 mm×70 mm，5 mm×100 mm，6 件套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羊角锤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木柄0.25kg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开榫锯/夹背锯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全长≥525mm，宽≥75mm，锯面长：≥254mm，高碳钢材质制成，高韧性锯片，可大幅度弯折，不易折断。三倍速锯齿淬火，锯切平整顺畅且省力。锯片带悬挂孔，便于收纳；锯片可替换，拆卸安装简便。PE编藤实木防滑手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木工锉刀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平头黄金木锉中齿8寸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平口凿，铬钒合金钢，凿口宽度8mm 10 mm、16 mm 各1套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木工雕刻刀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6支1套，长≥147mm，刀头长≥26mm；木柄，钢制刀头。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木工削木刀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厚度:≥1.5mm重量:39.5克钢材:5CR手柄:白蜡木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木工直角尺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mm×150 mm（短边比长边厚）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木工直角尺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mm×300 mm（短边比长边厚）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多功能角尺，尺寸：≥112mm*85mm*79mm，铝合金材质。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F形夹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中型6英寸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F形夹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中型12英寸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G型夹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烙画机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主机：耐高温阻燃 ABS 外壳，内部精密温控电路；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烙画笔：耐高温隔热胶塑手柄（握手处 17mm 细杆设计），内部铜芯导热；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烙笔头：高硬度合金 / 不锈钢材质，耐高温、不易变形；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配件：专业笔架、擦笔海绵、螺丝刀。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功率：60W；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显示：数显温控（881 为温度显示档位）；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手柄：升级款无笨重隔热套，隔热胶塑手柄；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手柄粗细：握手处17mm，精准控笔。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3、使用场景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木工烙画、家具雕花、葫芦烙画、皮革烫印、手工 DIY 创意烙画；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电烙铁替代使用，适合各类热压、烫花、标记作业。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常用木料示教板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含松木、杨木、桐木、榉木、花梨、水曲柳、黑胡桃、柚木、大芯板、三合板、五合板、密度板等。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设备-劳动-电子+机器人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传感器中级套件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控制板1个；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传感器扩展板1个；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数字温湿度传感器1个；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环境光传感器模块1个；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数字人体红外热释电运动传感器模块1个；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红外遥控套件1个；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声音传感器模块1个；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气体传感器模块1个；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10A大电流继电器模块1个；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数字按钮模块1个；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数字蜂鸣器模块1个；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火焰传感器1个；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数字震动传感器1个；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数码管模块1个；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数字食人鱼红色LED发光模块1个；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模拟角度传感器1个；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模拟压电陶瓷震动传感器1个；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液晶模块1个；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舵机1个；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6节5号电池盒1个；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USB线1根；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杜邦线5根。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传感器连接线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承受电压：&lt;50V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承受电流：&lt;1000mA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长度：50cm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接口线序：红色线--电源正、黑色线--电源地、绿色线--数字信号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电烙铁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恒温电烙铁65W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剥线钳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总长6.5寸</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规格≥165mm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剥线范围≥0.6mm-2.6mm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万用表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交直流电压:0~600V；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直流电流:0~10A；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电阻测量:0~20MQ；</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电池测量:1.5V/9V/12V；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最大显示:1999；</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通断蜂鸣：二极管测试；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自动关机：LCD背光；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工作方式:手动量程。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吸锡器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产品材质：铝合金；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密封气环：单环气密；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产品尺寸：150*19.8MM；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产品重量：48G。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电池盒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2节5号带盖带开关串联，尺寸：≥长67mm，宽31mm，高17mm。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面包板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1、材质：环保 ABS 绝缘塑料面板，内部纯铜弹片导电，抗氧化、接触稳定；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2、规格：400孔标准面包板，尺寸长≥8.5cm、宽≥5.5cm，孔位排列规整，间距标准；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3、使用场景：电子电路实验、单片机学习、创客 DIY、电工实训、线路临时搭建调试。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发光二极管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红绿黄各20只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偏口钳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5寸日式水口钳-厚款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设备-劳动-传统工艺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烤箱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额定电压220V，额定功率1500w，额定频率50hz，钢化玻璃面板，机身材质冷轧钢板，配防烫手套/夹子。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刻刀+刀片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全金属刀杆，强度高，刀片加持牢固，刀片带防护帽，防止伤人，配5个刀片。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订书机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124×52×34mm，赠订书钉5盒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搅拌机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2L 300W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压泥机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6个档位供选择,压泥机尺寸大小为：20*13*13cm  可压泥部分长度≥14.5cm 可压泥片最大厚度≥3mm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转笔刀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1）规格尺寸：≥6.6*5*9.9cm；2）特点：5档调节，粗细随心转，带防吃笔装置，笔尖触碰到触点，自动空转，超省力摇臂设计，铝合金刀头，适用于彩铅，素描铅笔，碳笔等。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1、材质：全金属打造，高强度合金材质，针尖坚硬耐磨，防锈不易变形；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2、规格：整体长度≥15cm，可自由调节开合大小，标准学生作图规格；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3、使用场景：学生几何绘图、数学作业、工程制图、美术手绘、教学教具使用。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钢尺≥400mm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美工刀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中号，尺寸：≥16cm*6.5cm，材质：塑料+不锈钢。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中号全长≥160mm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切割垫板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A2尺寸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水晶板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透明，光滑，厚度≥2.5mm，根据桌面尺寸和数量定制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防水加厚桌布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pvc 防水防油，与课桌尺寸匹配定制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热熔胶枪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60W，带电源指示灯，孔径≥11mm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热熔胶枪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20W，带电源指示灯，孔径7≥mm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蒸汽电熨斗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1200w蒸汽式，产品特点：1.采用特氟龙涂层钢板2.带爆炸式蒸汽/喷雾，自动除垢3.多档位调节，适合熨烫不同材质的布料4.可视化透明大容量水箱。</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线剪刀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≥105 mm×22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缝纫剪刀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9寸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设备-美术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雕塑转台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结构，整体表面喷漆；手摇升降高度：75-120cm；工作台尺寸：≥50*50*3cm；中间机械防护罩，圆形设计,模具拉伸制作，外型美观；升降为钢制齿条设计；有自锁机构，再大的重量也不会自行下降；三条腿支撑，两腿之间跨度：60cm；安装带刹车万向脚轮，便于移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3D扫描仪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1.扫描模式：转台全自动扫描、自由扫描。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2.扫描范围：转台全自动扫描220*220*210mm，自由扫描：740*740*740mm。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3.扫描速度：转台全自动扫描：≤2min；自由扫描：＜6s（单幅）。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4.拼接模式：转台自动拼接、标记点拼接、手动拼接、特征拼接。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5.扫描精度：体积精度≤0.1mm。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6.相机：300万彩色相机2个。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7.输出格式：STL，ASC，OBJ，PLY，VTX，OFF、FB。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8.输出数据是否可直接打印：无须借助第三方软件，直接输出完整STL模型，直接进行3D打印。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9.多接口智能转台：智能转台除了可以配合三维扫描仪进行全自动扫描，也可以通过软件单独控制转台，用于物品拍摄或是照片三维建模等研究。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10.彩色纹理：支持，24真彩。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11.一键3D打印：软件中设有一键打印按键，内置Himalaya3D、Pango、HORI 3DPrinter Software、FlashPrintf、等多家主流打印机分层后置，无需格式转换，通过快捷按钮将扫描STL数据直接导入分层软件内，进行分层处理，生成相对应机型的分层文件。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12.配备一体化支磁吸架，确保转台跟扫描头稳固一体式。（只需一次标定校准，无需后续重复标定，无需手动调整支架定位。抗抖稳固扫描效果）。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3D打印机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1.机器结构：箱体结构，全封闭机箱，可有效保持机箱内部温度稳定。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2.打印尺寸：≥210*210*240mm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3.设备尺寸：≥355mm*355mm*482mm（X*Y*Z）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4.打印速度：≥580mm/s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5.喷嘴直径：0.4mm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6.内置照明灯条，方便夜间查看打印状态。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7.喷头结构：近端双齿轮挤出结构，喷头温度最高可达300度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8.操作界面：4.3英寸RGB触摸屏，支持中、英、日、德、法、俄、葡、意、西、土等语言，屏幕支持自动休眠。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9.打印平台：PEI柔性打印平台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10.调平方式：全自动传感器阵列调平，完全无需手动干预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11.热床温度：最高可达100°C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12.打印方式：U盘脱机打印/以太网/云打印/局域网打印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13.支持系统：国产操作系统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14.设置断料监测传感器，支持断料检测。耗材耗尽、断开或出现其他异常状况时，自动暂停打印，等接入耗材后继续打印。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15.额定功率：350W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16.支持耗材：ABS/PLA/PETG/TPU/PA/ASA/PC/PLA-CF/PA-CF/PET-CF</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17.AI激光雷达：内置高精度激光雷达快速扫描首层，如有异常，系统即刻反馈并暂停打印；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18.AI摄像头：墙体内置摄像头，具备异物检测、故障检测、实时监控和延时摄影功能，如有异常，会自动远程提醒；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19.智能云控制平台：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19.1可直接手机端联机切片，打印，随时观看打印进度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19.2支持多台手机同时登录控制观看，超大模型库实现在线打印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19.3自带视频，图片上传功能，可点赞、评论、分享、下载等功能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喷壶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参考规格：大号，塑制喷壶≥500ml。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转盘 </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参考规格：大面直径≥290mm，小面直径≥245mm，高≥165mm，胶木材质，轴承连接。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雕塑竹刀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竹刀3件套，1#、3#、5#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炼泥机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一、真空练泥机参数</w:t>
            </w:r>
            <w:r>
              <w:rPr>
                <w:color w:val="000000"/>
                <w:kern w:val="0"/>
                <w:sz w:val="20"/>
                <w:szCs w:val="20"/>
                <w:lang w:bidi="ar"/>
              </w:rPr>
              <w:t>​</w:t>
            </w:r>
            <w:r>
              <w:rPr>
                <w:rStyle w:val="526"/>
                <w:rFonts w:hint="default"/>
                <w:lang w:bidi="ar"/>
              </w:rPr>
              <w:br w:type="textWrapping"/>
            </w:r>
            <w:r>
              <w:rPr>
                <w:rStyle w:val="526"/>
                <w:rFonts w:hint="default"/>
                <w:lang w:bidi="ar"/>
              </w:rPr>
              <w:t>参考规格</w:t>
            </w:r>
            <w:r>
              <w:rPr>
                <w:color w:val="000000"/>
                <w:kern w:val="0"/>
                <w:sz w:val="20"/>
                <w:szCs w:val="20"/>
                <w:lang w:bidi="ar"/>
              </w:rPr>
              <w:t>​</w:t>
            </w:r>
            <w:r>
              <w:rPr>
                <w:rStyle w:val="526"/>
                <w:rFonts w:hint="default"/>
                <w:lang w:bidi="ar"/>
              </w:rPr>
              <w:br w:type="textWrapping"/>
            </w:r>
            <w:r>
              <w:rPr>
                <w:rStyle w:val="526"/>
                <w:rFonts w:hint="default"/>
                <w:lang w:bidi="ar"/>
              </w:rPr>
              <w:t>基础尺寸：</w:t>
            </w:r>
            <w:r>
              <w:rPr>
                <w:color w:val="000000"/>
                <w:kern w:val="0"/>
                <w:sz w:val="20"/>
                <w:szCs w:val="20"/>
                <w:lang w:bidi="ar"/>
              </w:rPr>
              <w:t>​</w:t>
            </w:r>
            <w:r>
              <w:rPr>
                <w:rStyle w:val="526"/>
                <w:rFonts w:hint="default"/>
                <w:lang w:bidi="ar"/>
              </w:rPr>
              <w:br w:type="textWrapping"/>
            </w:r>
            <w:r>
              <w:rPr>
                <w:rStyle w:val="526"/>
                <w:rFonts w:hint="default"/>
                <w:lang w:bidi="ar"/>
              </w:rPr>
              <w:t>主体规格：≥920mm×420mm×790mm</w:t>
            </w:r>
            <w:r>
              <w:rPr>
                <w:color w:val="000000"/>
                <w:kern w:val="0"/>
                <w:sz w:val="20"/>
                <w:szCs w:val="20"/>
                <w:lang w:bidi="ar"/>
              </w:rPr>
              <w:t>​</w:t>
            </w:r>
            <w:r>
              <w:rPr>
                <w:rStyle w:val="526"/>
                <w:rFonts w:hint="default"/>
                <w:lang w:bidi="ar"/>
              </w:rPr>
              <w:br w:type="textWrapping"/>
            </w:r>
            <w:r>
              <w:rPr>
                <w:rStyle w:val="526"/>
                <w:rFonts w:hint="default"/>
                <w:lang w:bidi="ar"/>
              </w:rPr>
              <w:t>进料口规格：外径 ≥150mm×150mm，内径 ≥135mm×135mm</w:t>
            </w:r>
            <w:r>
              <w:rPr>
                <w:color w:val="000000"/>
                <w:kern w:val="0"/>
                <w:sz w:val="20"/>
                <w:szCs w:val="20"/>
                <w:lang w:bidi="ar"/>
              </w:rPr>
              <w:t>​</w:t>
            </w:r>
            <w:r>
              <w:rPr>
                <w:rStyle w:val="526"/>
                <w:rFonts w:hint="default"/>
                <w:lang w:bidi="ar"/>
              </w:rPr>
              <w:br w:type="textWrapping"/>
            </w:r>
            <w:r>
              <w:rPr>
                <w:rStyle w:val="526"/>
                <w:rFonts w:hint="default"/>
                <w:lang w:bidi="ar"/>
              </w:rPr>
              <w:t>压泥盖尺寸：≥105mm×105mm</w:t>
            </w:r>
            <w:r>
              <w:rPr>
                <w:color w:val="000000"/>
                <w:kern w:val="0"/>
                <w:sz w:val="20"/>
                <w:szCs w:val="20"/>
                <w:lang w:bidi="ar"/>
              </w:rPr>
              <w:t>​</w:t>
            </w:r>
            <w:r>
              <w:rPr>
                <w:rStyle w:val="526"/>
                <w:rFonts w:hint="default"/>
                <w:lang w:bidi="ar"/>
              </w:rPr>
              <w:br w:type="textWrapping"/>
            </w:r>
            <w:r>
              <w:rPr>
                <w:rStyle w:val="526"/>
                <w:rFonts w:hint="default"/>
                <w:lang w:bidi="ar"/>
              </w:rPr>
              <w:t>出泥口规格：外径 ≥120mm，内径 ≥85mm</w:t>
            </w:r>
            <w:r>
              <w:rPr>
                <w:rStyle w:val="526"/>
                <w:rFonts w:hint="default"/>
                <w:lang w:bidi="ar"/>
              </w:rPr>
              <w:br w:type="textWrapping"/>
            </w:r>
            <w:r>
              <w:rPr>
                <w:rStyle w:val="526"/>
                <w:rFonts w:hint="default"/>
                <w:lang w:bidi="ar"/>
              </w:rPr>
              <w:t>核心性能参数：</w:t>
            </w:r>
            <w:r>
              <w:rPr>
                <w:color w:val="000000"/>
                <w:kern w:val="0"/>
                <w:sz w:val="20"/>
                <w:szCs w:val="20"/>
                <w:lang w:bidi="ar"/>
              </w:rPr>
              <w:t>​</w:t>
            </w:r>
            <w:r>
              <w:rPr>
                <w:rStyle w:val="526"/>
                <w:rFonts w:hint="default"/>
                <w:lang w:bidi="ar"/>
              </w:rPr>
              <w:br w:type="textWrapping"/>
            </w:r>
            <w:r>
              <w:rPr>
                <w:rStyle w:val="526"/>
                <w:rFonts w:hint="default"/>
                <w:lang w:bidi="ar"/>
              </w:rPr>
              <w:t>额定电压：220V</w:t>
            </w:r>
            <w:r>
              <w:rPr>
                <w:color w:val="000000"/>
                <w:kern w:val="0"/>
                <w:sz w:val="20"/>
                <w:szCs w:val="20"/>
                <w:lang w:bidi="ar"/>
              </w:rPr>
              <w:t>​</w:t>
            </w:r>
            <w:r>
              <w:rPr>
                <w:rStyle w:val="526"/>
                <w:rFonts w:hint="default"/>
                <w:lang w:bidi="ar"/>
              </w:rPr>
              <w:br w:type="textWrapping"/>
            </w:r>
            <w:r>
              <w:rPr>
                <w:rStyle w:val="526"/>
                <w:rFonts w:hint="default"/>
                <w:lang w:bidi="ar"/>
              </w:rPr>
              <w:t>功率：主轴电机功率 750W，真空泵功率 550W</w:t>
            </w:r>
            <w:r>
              <w:rPr>
                <w:color w:val="000000"/>
                <w:kern w:val="0"/>
                <w:sz w:val="20"/>
                <w:szCs w:val="20"/>
                <w:lang w:bidi="ar"/>
              </w:rPr>
              <w:t>​</w:t>
            </w:r>
            <w:r>
              <w:rPr>
                <w:rStyle w:val="526"/>
                <w:rFonts w:hint="default"/>
                <w:lang w:bidi="ar"/>
              </w:rPr>
              <w:br w:type="textWrapping"/>
            </w:r>
            <w:r>
              <w:rPr>
                <w:rStyle w:val="526"/>
                <w:rFonts w:hint="default"/>
                <w:lang w:bidi="ar"/>
              </w:rPr>
              <w:t>主轴电机转速：14 转 / 分钟</w:t>
            </w:r>
            <w:r>
              <w:rPr>
                <w:color w:val="000000"/>
                <w:kern w:val="0"/>
                <w:sz w:val="20"/>
                <w:szCs w:val="20"/>
                <w:lang w:bidi="ar"/>
              </w:rPr>
              <w:t>​</w:t>
            </w:r>
            <w:r>
              <w:rPr>
                <w:rStyle w:val="526"/>
                <w:rFonts w:hint="default"/>
                <w:lang w:bidi="ar"/>
              </w:rPr>
              <w:br w:type="textWrapping"/>
            </w:r>
            <w:r>
              <w:rPr>
                <w:rStyle w:val="526"/>
                <w:rFonts w:hint="default"/>
                <w:lang w:bidi="ar"/>
              </w:rPr>
              <w:t>出泥量：每小时 ≥280kg</w:t>
            </w:r>
            <w:r>
              <w:rPr>
                <w:rStyle w:val="526"/>
                <w:rFonts w:hint="default"/>
                <w:lang w:bidi="ar"/>
              </w:rPr>
              <w:br w:type="textWrapping"/>
            </w:r>
            <w:r>
              <w:rPr>
                <w:rStyle w:val="526"/>
                <w:rFonts w:hint="default"/>
                <w:lang w:bidi="ar"/>
              </w:rPr>
              <w:t>二、材质与工艺</w:t>
            </w:r>
            <w:r>
              <w:rPr>
                <w:color w:val="000000"/>
                <w:kern w:val="0"/>
                <w:sz w:val="20"/>
                <w:szCs w:val="20"/>
                <w:lang w:bidi="ar"/>
              </w:rPr>
              <w:t>​</w:t>
            </w:r>
            <w:r>
              <w:rPr>
                <w:rStyle w:val="526"/>
                <w:rFonts w:hint="default"/>
                <w:lang w:bidi="ar"/>
              </w:rPr>
              <w:br w:type="textWrapping"/>
            </w:r>
            <w:r>
              <w:rPr>
                <w:rStyle w:val="526"/>
                <w:rFonts w:hint="default"/>
                <w:lang w:bidi="ar"/>
              </w:rPr>
              <w:t>核心部件材质：</w:t>
            </w:r>
            <w:r>
              <w:rPr>
                <w:color w:val="000000"/>
                <w:kern w:val="0"/>
                <w:sz w:val="20"/>
                <w:szCs w:val="20"/>
                <w:lang w:bidi="ar"/>
              </w:rPr>
              <w:t>​</w:t>
            </w:r>
            <w:r>
              <w:rPr>
                <w:rStyle w:val="526"/>
                <w:rFonts w:hint="default"/>
                <w:lang w:bidi="ar"/>
              </w:rPr>
              <w:br w:type="textWrapping"/>
            </w:r>
            <w:r>
              <w:rPr>
                <w:rStyle w:val="526"/>
                <w:rFonts w:hint="default"/>
                <w:lang w:bidi="ar"/>
              </w:rPr>
              <w:t>双轴螺旋叶：304 不锈钢，采用一体铸造工艺</w:t>
            </w:r>
            <w:r>
              <w:rPr>
                <w:rStyle w:val="526"/>
                <w:rFonts w:hint="default"/>
                <w:lang w:bidi="ar"/>
              </w:rPr>
              <w:br w:type="textWrapping"/>
            </w:r>
            <w:r>
              <w:rPr>
                <w:rStyle w:val="526"/>
                <w:rFonts w:hint="default"/>
                <w:lang w:bidi="ar"/>
              </w:rPr>
              <w:t>炼泥腔：304 不锈钢，采用精密铸钢工艺</w:t>
            </w:r>
            <w:r>
              <w:rPr>
                <w:rStyle w:val="526"/>
                <w:rFonts w:hint="default"/>
                <w:lang w:bidi="ar"/>
              </w:rPr>
              <w:br w:type="textWrapping"/>
            </w:r>
            <w:r>
              <w:rPr>
                <w:rStyle w:val="526"/>
                <w:rFonts w:hint="default"/>
                <w:lang w:bidi="ar"/>
              </w:rPr>
              <w:t>进料口压泥手柄：不锈钢材质</w:t>
            </w:r>
            <w:r>
              <w:rPr>
                <w:rStyle w:val="526"/>
                <w:rFonts w:hint="default"/>
                <w:lang w:bidi="ar"/>
              </w:rPr>
              <w:br w:type="textWrapping"/>
            </w:r>
            <w:r>
              <w:rPr>
                <w:rStyle w:val="526"/>
                <w:rFonts w:hint="default"/>
                <w:lang w:bidi="ar"/>
              </w:rPr>
              <w:t>出泥口切刀：不锈钢材质</w:t>
            </w:r>
            <w:r>
              <w:rPr>
                <w:rStyle w:val="526"/>
                <w:rFonts w:hint="default"/>
                <w:lang w:bidi="ar"/>
              </w:rPr>
              <w:br w:type="textWrapping"/>
            </w:r>
            <w:r>
              <w:rPr>
                <w:rStyle w:val="526"/>
                <w:rFonts w:hint="default"/>
                <w:lang w:bidi="ar"/>
              </w:rPr>
              <w:t>真空观察室：透明材质</w:t>
            </w:r>
            <w:r>
              <w:rPr>
                <w:rStyle w:val="526"/>
                <w:rFonts w:hint="default"/>
                <w:lang w:bidi="ar"/>
              </w:rPr>
              <w:br w:type="textWrapping"/>
            </w:r>
            <w:r>
              <w:rPr>
                <w:rStyle w:val="526"/>
                <w:rFonts w:hint="default"/>
                <w:lang w:bidi="ar"/>
              </w:rPr>
              <w:t>防干裂盖：橡胶材质，适配进料口与出泥口</w:t>
            </w:r>
            <w:r>
              <w:rPr>
                <w:rStyle w:val="526"/>
                <w:rFonts w:hint="default"/>
                <w:lang w:bidi="ar"/>
              </w:rPr>
              <w:br w:type="textWrapping"/>
            </w:r>
            <w:r>
              <w:rPr>
                <w:rStyle w:val="526"/>
                <w:rFonts w:hint="default"/>
                <w:lang w:bidi="ar"/>
              </w:rPr>
              <w:t>开关与插头：防水开关按钮（防水工艺处理，避免操作时进水短路），漏电保护式电源插头（内置漏电保护装置，提升用电安全）</w:t>
            </w:r>
            <w:r>
              <w:rPr>
                <w:rStyle w:val="526"/>
                <w:rFonts w:hint="default"/>
                <w:lang w:bidi="ar"/>
              </w:rPr>
              <w:br w:type="textWrapping"/>
            </w:r>
            <w:r>
              <w:rPr>
                <w:rStyle w:val="526"/>
                <w:rFonts w:hint="default"/>
                <w:lang w:bidi="ar"/>
              </w:rPr>
              <w:t>配套辊架式接泥凳参数</w:t>
            </w:r>
            <w:r>
              <w:rPr>
                <w:color w:val="000000"/>
                <w:kern w:val="0"/>
                <w:sz w:val="20"/>
                <w:szCs w:val="20"/>
                <w:lang w:bidi="ar"/>
              </w:rPr>
              <w:t>​</w:t>
            </w:r>
            <w:r>
              <w:rPr>
                <w:rStyle w:val="526"/>
                <w:rFonts w:hint="default"/>
                <w:lang w:bidi="ar"/>
              </w:rPr>
              <w:br w:type="textWrapping"/>
            </w:r>
            <w:r>
              <w:rPr>
                <w:rStyle w:val="526"/>
                <w:rFonts w:hint="default"/>
                <w:lang w:bidi="ar"/>
              </w:rPr>
              <w:t>规格参数：</w:t>
            </w:r>
            <w:r>
              <w:rPr>
                <w:color w:val="000000"/>
                <w:kern w:val="0"/>
                <w:sz w:val="20"/>
                <w:szCs w:val="20"/>
                <w:lang w:bidi="ar"/>
              </w:rPr>
              <w:t>​​</w:t>
            </w:r>
            <w:r>
              <w:rPr>
                <w:rStyle w:val="526"/>
                <w:rFonts w:hint="default"/>
                <w:lang w:bidi="ar"/>
              </w:rPr>
              <w:br w:type="textWrapping"/>
            </w:r>
            <w:r>
              <w:rPr>
                <w:rStyle w:val="526"/>
                <w:rFonts w:hint="default"/>
                <w:lang w:bidi="ar"/>
              </w:rPr>
              <w:t>整体尺寸：≥360mm×260mm×430mm</w:t>
            </w:r>
            <w:r>
              <w:rPr>
                <w:color w:val="000000"/>
                <w:kern w:val="0"/>
                <w:sz w:val="20"/>
                <w:szCs w:val="20"/>
                <w:lang w:bidi="ar"/>
              </w:rPr>
              <w:t>​</w:t>
            </w:r>
            <w:r>
              <w:rPr>
                <w:rStyle w:val="526"/>
                <w:rFonts w:hint="default"/>
                <w:lang w:bidi="ar"/>
              </w:rPr>
              <w:br w:type="textWrapping"/>
            </w:r>
            <w:r>
              <w:rPr>
                <w:rStyle w:val="526"/>
                <w:rFonts w:hint="default"/>
                <w:lang w:bidi="ar"/>
              </w:rPr>
              <w:t>辊架参数：共 6 根滚轴，单根滚轴尺寸（直径 × 长度）：≥40mm×78mm</w:t>
            </w:r>
            <w:r>
              <w:rPr>
                <w:color w:val="000000"/>
                <w:kern w:val="0"/>
                <w:sz w:val="20"/>
                <w:szCs w:val="20"/>
                <w:lang w:bidi="ar"/>
              </w:rPr>
              <w:t>​</w:t>
            </w:r>
            <w:r>
              <w:rPr>
                <w:rStyle w:val="526"/>
                <w:rFonts w:hint="default"/>
                <w:lang w:bidi="ar"/>
              </w:rPr>
              <w:br w:type="textWrapping"/>
            </w:r>
            <w:r>
              <w:rPr>
                <w:rStyle w:val="526"/>
                <w:rFonts w:hint="default"/>
                <w:lang w:bidi="ar"/>
              </w:rPr>
              <w:t>重量参数：总重量≥145kg，重量充足，运行时稳定性强，可承受黏土与操作人员手部压力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电窑</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1、外形尺寸：≥W740*D1035*H1230mm；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2、炉膛尺寸：≥W550*D420*H700mm；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3、工作电压：AC380V，功率：18KW；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4、炉丝材质：0OCr27AI7Mo2 丝径：∅4.5；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5、工作温度：1240℃  最高1300℃；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6、温度控制系统：采用全中文彩色4.3寸触摸屏控；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产品特点：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1、超大0.16m³内空，侧开门设计，装窑不在吃力；                                                                                                                                                                              2、智能温控，最高温度 1300 ℃，采用液晶屏中文控制面板，内置自主研发一键烧成控制系统让操作更加方便简洁。a/可进行多种显示模式：数字、仪表、列表、曲线等；b/可保存实验数据，并可将保存的实验数据导出至电脑或数据采集器，采集自动报警功能；c/可选择多种报警模式：声音报警、震动报警、荧光报警等；d/内置逻辑处理功能，配有逻辑端口；可自动开启风扇，灯光报警等；e/内置多种包含烤花、素烧、釉烧、紫砂等基本烧成程序，可设置自定义升温曲线，自定义升温曲线可以输入中文名称；f/内置测量电压、电流功能，工作时可显示实际电压、电流；g/液晶触控温控系统自带自主研发断电自动续烧系统，安全断电功能, 窑炉如出现电炉丝断线、热电偶损坏等情况的报错功能,延迟定时烧制设置功能；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3、内部框架采用国标Q355B级钢材；                                                                                                                                                                                                 4、炉内保温层由石砖和隔热棉板组成；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5、采用5面发热，受热更均匀；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6、内置刚玉管热电偶，准确测温灵敏控温；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7、能进行工艺品陶和瓷制品的高中温烧制，炉内上下温差均匀等特点；                                                                                                                                                          8、炉膛底部有隧道型进气孔，排湿气排废气更方便，使烧纸出的陶瓷釉色更艳丽；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9、窑炉底安装有工业用重型万向脚轮，易移动便于安装。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储泥桶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桶容量：≥60斤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水帘式施釉机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参考规格：</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外形尺寸：≥W720*D780（不含风机）*H1670(mm)±2%</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外形尺寸：≥W720*D1040（含风机）*H1670(mm)±2%</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电压:AC220V</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频率：50HZ</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功率：0.37KW</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电流：1.7A</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扬程：32M</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流量：1.5m3/H</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电机转速：2860r/min</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重量：≈65KG</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产品特点：</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1、喷釉柜抽风机采用低噪声通风装置，风量2000M3/h, 全压59Pa；</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 xml:space="preserve">2、喷釉柜框架和平台采用304不锈钢材料成型。                     </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3、喷釉柜玻璃采用4MM加厚玻璃进行隔音吸尘处理，环保、安全、耐用；</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4、采用水帘式循环除尘方式，使雾化后的釉料被吸入水中，减少空气污染的同时也减少对人体呼吸道及肺部的损害。</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5、窑炉底安装有4个万向脚轮，易移动便于安装。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泥塑刀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5件套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擀滚筒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木垫板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直径30cm、20cm，厚2cm，原木色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参考规格：≥500×250×350mm，凳面≥460*45*40mm木方交错排列，凳腿≥40*40mm，凳腿上下均有≥40*40mm木方连接。材质：优质实木，木材纹理，清晰自然，质地均匀；可组合拼接，表面光滑细腻，环保清漆处理。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手动转盘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参考规格：大面直径≥290mm，小面直径≥245mm，高≥165mm，胶木材质，轴承连接。</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磨底机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尺寸：≧W350*L350*H350（mm）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电压：220±10%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功率：550W</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转盘转速：1400r/min</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重量：≧21kg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产品说明：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1.主电机采用单相异步电机，主电机防护等级IP44,电流2.17A，绝缘等级B级全铜电机。该电机具有耗低、散热快、噪音低、节能环保，质量可靠稳定。</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2.磨片采用橡胶金刚砂凸起磨片，不仅可以对瓷器底部进行平磨，而且可以对倾斜边缘进行打磨。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3.钣金采用国标角铁和方管焊接制作而成，磨片与承载平台增加防滑设计，防止金刚砂磨片在快速旋转中打滑脱落；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4.采用专用电缆锁紧接头，更安全。大功率电机，可正反转。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桌面充电盒子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接口:≥2AC+2USB-C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AC功率:250V~10A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支持协议:USB-C: PD 3.0/PPS/QC2.0/QC3.0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云台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拍摄功能 延时摄影</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云台类型 其他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适用机型 手机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麦克风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是否带充电仓 带充电仓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指向特征 全指向/无指向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发射器TX形状 长条型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连接主体 相机/摄像机，手机，笔记本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传输方式 无线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接收器RX接口 Type-C</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透灯台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LED光源，工作电压:USB-5V-1A，功率:5W，导光方式:LBD全反射。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平板手机支架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长度：0-50cm；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类型：折叠式。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定格动画架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 不锈钢；万向支架。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定格动画相机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存储类型：存储卡；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快门类型：电子快门；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像素：≥800万像素；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白平衡模式：自动；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镜头组合：单机身+标准镜头。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三脚架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展开高度0.295-1.8M；铝合金材质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反光板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110CM金银二合一反光板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摄影背景架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绿布3*2米+背景架2*2米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摄影背景布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尺寸：≥2.5×3m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绿幕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特点：面料柔和，平整干净，加厚；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尺寸：≥1*1.5米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数位板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外观尺寸：241 x 152 x 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工作区域（电脑模式）：160 x 100mm(6.3 x 3.9inch)；</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工作区域（手机模式）：100 x 50mm(18:9)；</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重量：275g；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压感级别：8192Levels；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手写分辨率：5080  LPI；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精确度：±0.3mm；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感应高度：&gt;10mm；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倾角：支持；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接口：USB-C。</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摄影台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材质：亚克力+金属；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尺寸：约60*100cm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版画机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产品参考规格：外观尺寸：≥1300*900*1245mm；印版垫板≥650*1300mm，铝合金材质，厚度≥10mm，带防滑脱装置，防止印版垫板滑脱，确保安全；双滚筒，滚筒直径≥160mm，长度≥650mm，最大可印制600*1000mm规格的各类版画作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2.稳定性好：滚筒采用圆钢经加工中心精细加工，上滚筒表面光洁，下滚筒表面滚花防滑处理，表面镀铬防止生锈，滚筒采用齿轮传动，顺畅省力；主体框架采用10mm厚钢板激光切割成型，表面煮黑处理；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版画机主要由以下几个部件组成：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1.印版垫板：用于放置刻版。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2.毛毡：覆盖在版画纸上，起到保护纸张，使印刷力度均匀的过度到纸和版之间，印刷线条更加细腻清晰。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3.升降手轮：用于控制上辊的高度和力度。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4.螺旋手轮：传动装置，驱动辊轮的转动，带动印版垫板前进后退，完成印刷。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5.上辊：用于印刷加压。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6.支架采用箱体式设计，可存放工具、器材等，底部带调整平衡功能脚轮，方便移动，箱体表面静电喷涂处理。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版画机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一、参考规格参数</w:t>
            </w:r>
            <w:r>
              <w:rPr>
                <w:color w:val="000000"/>
                <w:kern w:val="0"/>
                <w:sz w:val="20"/>
                <w:szCs w:val="20"/>
                <w:lang w:bidi="ar"/>
              </w:rPr>
              <w:t>​</w:t>
            </w:r>
            <w:r>
              <w:rPr>
                <w:rStyle w:val="526"/>
                <w:rFonts w:hint="default"/>
                <w:lang w:bidi="ar"/>
              </w:rPr>
              <w:br w:type="textWrapping"/>
            </w:r>
            <w:r>
              <w:rPr>
                <w:rStyle w:val="526"/>
                <w:rFonts w:hint="default"/>
                <w:lang w:bidi="ar"/>
              </w:rPr>
              <w:t>外观尺寸：≥880mm×780mm×450mm</w:t>
            </w:r>
            <w:r>
              <w:rPr>
                <w:color w:val="000000"/>
                <w:kern w:val="0"/>
                <w:sz w:val="20"/>
                <w:szCs w:val="20"/>
                <w:lang w:bidi="ar"/>
              </w:rPr>
              <w:t>​</w:t>
            </w:r>
            <w:r>
              <w:rPr>
                <w:rStyle w:val="526"/>
                <w:rFonts w:hint="default"/>
                <w:lang w:bidi="ar"/>
              </w:rPr>
              <w:br w:type="textWrapping"/>
            </w:r>
            <w:r>
              <w:rPr>
                <w:rStyle w:val="526"/>
                <w:rFonts w:hint="default"/>
                <w:lang w:bidi="ar"/>
              </w:rPr>
              <w:t>印版垫板规格：</w:t>
            </w:r>
            <w:r>
              <w:rPr>
                <w:color w:val="000000"/>
                <w:kern w:val="0"/>
                <w:sz w:val="20"/>
                <w:szCs w:val="20"/>
                <w:lang w:bidi="ar"/>
              </w:rPr>
              <w:t>​</w:t>
            </w:r>
            <w:r>
              <w:rPr>
                <w:rStyle w:val="526"/>
                <w:rFonts w:hint="default"/>
                <w:lang w:bidi="ar"/>
              </w:rPr>
              <w:br w:type="textWrapping"/>
            </w:r>
            <w:r>
              <w:rPr>
                <w:rStyle w:val="526"/>
                <w:rFonts w:hint="default"/>
                <w:lang w:bidi="ar"/>
              </w:rPr>
              <w:t>尺寸：≥450mm×800mm</w:t>
            </w:r>
            <w:r>
              <w:rPr>
                <w:color w:val="000000"/>
                <w:kern w:val="0"/>
                <w:sz w:val="20"/>
                <w:szCs w:val="20"/>
                <w:lang w:bidi="ar"/>
              </w:rPr>
              <w:t>​</w:t>
            </w:r>
            <w:r>
              <w:rPr>
                <w:rStyle w:val="526"/>
                <w:rFonts w:hint="default"/>
                <w:lang w:bidi="ar"/>
              </w:rPr>
              <w:br w:type="textWrapping"/>
            </w:r>
            <w:r>
              <w:rPr>
                <w:rStyle w:val="526"/>
                <w:rFonts w:hint="default"/>
                <w:lang w:bidi="ar"/>
              </w:rPr>
              <w:t>厚度：≥10mm</w:t>
            </w:r>
            <w:r>
              <w:rPr>
                <w:color w:val="000000"/>
                <w:kern w:val="0"/>
                <w:sz w:val="20"/>
                <w:szCs w:val="20"/>
                <w:lang w:bidi="ar"/>
              </w:rPr>
              <w:t>​</w:t>
            </w:r>
            <w:r>
              <w:rPr>
                <w:rStyle w:val="526"/>
                <w:rFonts w:hint="default"/>
                <w:lang w:bidi="ar"/>
              </w:rPr>
              <w:br w:type="textWrapping"/>
            </w:r>
            <w:r>
              <w:rPr>
                <w:rStyle w:val="526"/>
                <w:rFonts w:hint="default"/>
                <w:lang w:bidi="ar"/>
              </w:rPr>
              <w:t>双滚筒规格：</w:t>
            </w:r>
            <w:r>
              <w:rPr>
                <w:color w:val="000000"/>
                <w:kern w:val="0"/>
                <w:sz w:val="20"/>
                <w:szCs w:val="20"/>
                <w:lang w:bidi="ar"/>
              </w:rPr>
              <w:t>​</w:t>
            </w:r>
            <w:r>
              <w:rPr>
                <w:rStyle w:val="526"/>
                <w:rFonts w:hint="default"/>
                <w:lang w:bidi="ar"/>
              </w:rPr>
              <w:br w:type="textWrapping"/>
            </w:r>
            <w:r>
              <w:rPr>
                <w:rStyle w:val="526"/>
                <w:rFonts w:hint="default"/>
                <w:lang w:bidi="ar"/>
              </w:rPr>
              <w:t>上滚筒：直径 100mm，长度≥450mm</w:t>
            </w:r>
            <w:r>
              <w:rPr>
                <w:color w:val="000000"/>
                <w:kern w:val="0"/>
                <w:sz w:val="20"/>
                <w:szCs w:val="20"/>
                <w:lang w:bidi="ar"/>
              </w:rPr>
              <w:t>​</w:t>
            </w:r>
            <w:r>
              <w:rPr>
                <w:rStyle w:val="526"/>
                <w:rFonts w:hint="default"/>
                <w:lang w:bidi="ar"/>
              </w:rPr>
              <w:br w:type="textWrapping"/>
            </w:r>
            <w:r>
              <w:rPr>
                <w:rStyle w:val="526"/>
                <w:rFonts w:hint="default"/>
                <w:lang w:bidi="ar"/>
              </w:rPr>
              <w:t>下滚筒：直径 93mm，长度≥450mm</w:t>
            </w:r>
            <w:r>
              <w:rPr>
                <w:color w:val="000000"/>
                <w:kern w:val="0"/>
                <w:sz w:val="20"/>
                <w:szCs w:val="20"/>
                <w:lang w:bidi="ar"/>
              </w:rPr>
              <w:t>​</w:t>
            </w:r>
            <w:r>
              <w:rPr>
                <w:rStyle w:val="526"/>
                <w:rFonts w:hint="default"/>
                <w:lang w:bidi="ar"/>
              </w:rPr>
              <w:br w:type="textWrapping"/>
            </w:r>
            <w:r>
              <w:rPr>
                <w:rStyle w:val="526"/>
                <w:rFonts w:hint="default"/>
                <w:lang w:bidi="ar"/>
              </w:rPr>
              <w:t>二、材质与工艺</w:t>
            </w:r>
            <w:r>
              <w:rPr>
                <w:color w:val="000000"/>
                <w:kern w:val="0"/>
                <w:sz w:val="20"/>
                <w:szCs w:val="20"/>
                <w:lang w:bidi="ar"/>
              </w:rPr>
              <w:t>​</w:t>
            </w:r>
            <w:r>
              <w:rPr>
                <w:rStyle w:val="526"/>
                <w:rFonts w:hint="default"/>
                <w:lang w:bidi="ar"/>
              </w:rPr>
              <w:br w:type="textWrapping"/>
            </w:r>
            <w:r>
              <w:rPr>
                <w:rStyle w:val="526"/>
                <w:rFonts w:hint="default"/>
                <w:lang w:bidi="ar"/>
              </w:rPr>
              <w:t>1.核心部件材质</w:t>
            </w:r>
            <w:r>
              <w:rPr>
                <w:color w:val="000000"/>
                <w:kern w:val="0"/>
                <w:sz w:val="20"/>
                <w:szCs w:val="20"/>
                <w:lang w:bidi="ar"/>
              </w:rPr>
              <w:t>​</w:t>
            </w:r>
            <w:r>
              <w:rPr>
                <w:rStyle w:val="526"/>
                <w:rFonts w:hint="default"/>
                <w:lang w:bidi="ar"/>
              </w:rPr>
              <w:br w:type="textWrapping"/>
            </w:r>
            <w:r>
              <w:rPr>
                <w:rStyle w:val="526"/>
                <w:rFonts w:hint="default"/>
                <w:lang w:bidi="ar"/>
              </w:rPr>
              <w:t>印版垫板：带防滑脱装置，防止印版垫板滑脱，确保安全；</w:t>
            </w:r>
            <w:r>
              <w:rPr>
                <w:rStyle w:val="526"/>
                <w:rFonts w:hint="default"/>
                <w:lang w:bidi="ar"/>
              </w:rPr>
              <w:br w:type="textWrapping"/>
            </w:r>
            <w:r>
              <w:rPr>
                <w:rStyle w:val="526"/>
                <w:rFonts w:hint="default"/>
                <w:lang w:bidi="ar"/>
              </w:rPr>
              <w:t>双滚筒：</w:t>
            </w:r>
            <w:r>
              <w:rPr>
                <w:color w:val="000000"/>
                <w:kern w:val="0"/>
                <w:sz w:val="20"/>
                <w:szCs w:val="20"/>
                <w:lang w:bidi="ar"/>
              </w:rPr>
              <w:t>​</w:t>
            </w:r>
            <w:r>
              <w:rPr>
                <w:rStyle w:val="526"/>
                <w:rFonts w:hint="default"/>
                <w:lang w:bidi="ar"/>
              </w:rPr>
              <w:br w:type="textWrapping"/>
            </w:r>
            <w:r>
              <w:rPr>
                <w:rStyle w:val="526"/>
                <w:rFonts w:hint="default"/>
                <w:lang w:bidi="ar"/>
              </w:rPr>
              <w:t>基材：圆钢（保证结构强度与耐用性）</w:t>
            </w:r>
            <w:r>
              <w:rPr>
                <w:color w:val="000000"/>
                <w:kern w:val="0"/>
                <w:sz w:val="20"/>
                <w:szCs w:val="20"/>
                <w:lang w:bidi="ar"/>
              </w:rPr>
              <w:t>​</w:t>
            </w:r>
            <w:r>
              <w:rPr>
                <w:rStyle w:val="526"/>
                <w:rFonts w:hint="default"/>
                <w:lang w:bidi="ar"/>
              </w:rPr>
              <w:br w:type="textWrapping"/>
            </w:r>
            <w:r>
              <w:rPr>
                <w:rStyle w:val="526"/>
                <w:rFonts w:hint="default"/>
                <w:lang w:bidi="ar"/>
              </w:rPr>
              <w:t>表面处理：上滚筒表面光洁处理，下滚筒表面雕纹防滑处理，双滚筒均做镀铬处理（防生锈、提升表面耐磨性）</w:t>
            </w:r>
            <w:r>
              <w:rPr>
                <w:color w:val="000000"/>
                <w:kern w:val="0"/>
                <w:sz w:val="20"/>
                <w:szCs w:val="20"/>
                <w:lang w:bidi="ar"/>
              </w:rPr>
              <w:t>​</w:t>
            </w:r>
            <w:r>
              <w:rPr>
                <w:rStyle w:val="526"/>
                <w:rFonts w:hint="default"/>
                <w:lang w:bidi="ar"/>
              </w:rPr>
              <w:br w:type="textWrapping"/>
            </w:r>
            <w:r>
              <w:rPr>
                <w:rStyle w:val="526"/>
                <w:rFonts w:hint="default"/>
                <w:lang w:bidi="ar"/>
              </w:rPr>
              <w:t>主体框架：20mm 厚钢板（确保整体稳固性，承载滚筒与操作压力）</w:t>
            </w:r>
            <w:r>
              <w:rPr>
                <w:color w:val="000000"/>
                <w:kern w:val="0"/>
                <w:sz w:val="20"/>
                <w:szCs w:val="20"/>
                <w:lang w:bidi="ar"/>
              </w:rPr>
              <w:t>​</w:t>
            </w:r>
            <w:r>
              <w:rPr>
                <w:rStyle w:val="526"/>
                <w:rFonts w:hint="default"/>
                <w:lang w:bidi="ar"/>
              </w:rPr>
              <w:br w:type="textWrapping"/>
            </w:r>
            <w:r>
              <w:rPr>
                <w:rStyle w:val="526"/>
                <w:rFonts w:hint="default"/>
                <w:lang w:bidi="ar"/>
              </w:rPr>
              <w:t>传动与辅助部件：高精度轴承、导轨（降低摩擦阻力），弹簧（用于压力均衡装置），齿轮（用于滚筒传动）</w:t>
            </w:r>
            <w:r>
              <w:rPr>
                <w:color w:val="000000"/>
                <w:kern w:val="0"/>
                <w:sz w:val="20"/>
                <w:szCs w:val="20"/>
                <w:lang w:bidi="ar"/>
              </w:rPr>
              <w:t>​</w:t>
            </w:r>
            <w:r>
              <w:rPr>
                <w:rStyle w:val="526"/>
                <w:rFonts w:hint="default"/>
                <w:lang w:bidi="ar"/>
              </w:rPr>
              <w:br w:type="textWrapping"/>
            </w:r>
            <w:r>
              <w:rPr>
                <w:rStyle w:val="526"/>
                <w:rFonts w:hint="default"/>
                <w:lang w:bidi="ar"/>
              </w:rPr>
              <w:t>2.核心加工工艺</w:t>
            </w:r>
            <w:r>
              <w:rPr>
                <w:color w:val="000000"/>
                <w:kern w:val="0"/>
                <w:sz w:val="20"/>
                <w:szCs w:val="20"/>
                <w:lang w:bidi="ar"/>
              </w:rPr>
              <w:t>​</w:t>
            </w:r>
            <w:r>
              <w:rPr>
                <w:rStyle w:val="526"/>
                <w:rFonts w:hint="default"/>
                <w:lang w:bidi="ar"/>
              </w:rPr>
              <w:br w:type="textWrapping"/>
            </w:r>
            <w:r>
              <w:rPr>
                <w:rStyle w:val="526"/>
                <w:rFonts w:hint="default"/>
                <w:lang w:bidi="ar"/>
              </w:rPr>
              <w:t>滚筒加工：经加工中心精细加工，保证滚筒尺寸精度与表面平整度，确保传动顺畅</w:t>
            </w:r>
            <w:r>
              <w:rPr>
                <w:color w:val="000000"/>
                <w:kern w:val="0"/>
                <w:sz w:val="20"/>
                <w:szCs w:val="20"/>
                <w:lang w:bidi="ar"/>
              </w:rPr>
              <w:t>​</w:t>
            </w:r>
            <w:r>
              <w:rPr>
                <w:rStyle w:val="526"/>
                <w:rFonts w:hint="default"/>
                <w:lang w:bidi="ar"/>
              </w:rPr>
              <w:br w:type="textWrapping"/>
            </w:r>
            <w:r>
              <w:rPr>
                <w:rStyle w:val="526"/>
                <w:rFonts w:hint="default"/>
                <w:lang w:bidi="ar"/>
              </w:rPr>
              <w:t>主体框架加工：钢板采用激光切割成型（切割精度高，框架结构规整），表面做煮黑处理（增强防锈能力，提升外观质感）</w:t>
            </w:r>
            <w:r>
              <w:rPr>
                <w:color w:val="000000"/>
                <w:kern w:val="0"/>
                <w:sz w:val="20"/>
                <w:szCs w:val="20"/>
                <w:lang w:bidi="ar"/>
              </w:rPr>
              <w:t>​</w:t>
            </w:r>
            <w:r>
              <w:rPr>
                <w:rStyle w:val="526"/>
                <w:rFonts w:hint="default"/>
                <w:lang w:bidi="ar"/>
              </w:rPr>
              <w:br w:type="textWrapping"/>
            </w:r>
            <w:r>
              <w:rPr>
                <w:rStyle w:val="526"/>
                <w:rFonts w:hint="default"/>
                <w:lang w:bidi="ar"/>
              </w:rPr>
              <w:t>部件衔接工艺：机身侧板一体成型，减少拼接缝隙，提升结构稳定性；轴承与导轨精密装配，降低运行摩擦</w:t>
            </w:r>
            <w:r>
              <w:rPr>
                <w:color w:val="000000"/>
                <w:kern w:val="0"/>
                <w:sz w:val="20"/>
                <w:szCs w:val="20"/>
                <w:lang w:bidi="ar"/>
              </w:rPr>
              <w:t>​</w:t>
            </w:r>
            <w:r>
              <w:rPr>
                <w:rStyle w:val="526"/>
                <w:rFonts w:hint="default"/>
                <w:lang w:bidi="ar"/>
              </w:rPr>
              <w:br w:type="textWrapping"/>
            </w:r>
            <w:r>
              <w:rPr>
                <w:rStyle w:val="526"/>
                <w:rFonts w:hint="default"/>
                <w:lang w:bidi="ar"/>
              </w:rPr>
              <w:t>三、结构设计与特点</w:t>
            </w:r>
            <w:r>
              <w:rPr>
                <w:color w:val="000000"/>
                <w:kern w:val="0"/>
                <w:sz w:val="20"/>
                <w:szCs w:val="20"/>
                <w:lang w:bidi="ar"/>
              </w:rPr>
              <w:t>​</w:t>
            </w:r>
            <w:r>
              <w:rPr>
                <w:rStyle w:val="526"/>
                <w:rFonts w:hint="default"/>
                <w:lang w:bidi="ar"/>
              </w:rPr>
              <w:br w:type="textWrapping"/>
            </w:r>
            <w:r>
              <w:rPr>
                <w:rStyle w:val="526"/>
                <w:rFonts w:hint="default"/>
                <w:lang w:bidi="ar"/>
              </w:rPr>
              <w:t>1.核心结构设计</w:t>
            </w:r>
            <w:r>
              <w:rPr>
                <w:color w:val="000000"/>
                <w:kern w:val="0"/>
                <w:sz w:val="20"/>
                <w:szCs w:val="20"/>
                <w:lang w:bidi="ar"/>
              </w:rPr>
              <w:t>​</w:t>
            </w:r>
            <w:r>
              <w:rPr>
                <w:rStyle w:val="526"/>
                <w:rFonts w:hint="default"/>
                <w:lang w:bidi="ar"/>
              </w:rPr>
              <w:br w:type="textWrapping"/>
            </w:r>
            <w:r>
              <w:rPr>
                <w:rStyle w:val="526"/>
                <w:rFonts w:hint="default"/>
                <w:lang w:bidi="ar"/>
              </w:rPr>
              <w:t>整体布局：结构紧凑合理，机身侧板一体成型，部件衔接稳固，减少运行时的晃动</w:t>
            </w:r>
            <w:r>
              <w:rPr>
                <w:color w:val="000000"/>
                <w:kern w:val="0"/>
                <w:sz w:val="20"/>
                <w:szCs w:val="20"/>
                <w:lang w:bidi="ar"/>
              </w:rPr>
              <w:t>​</w:t>
            </w:r>
            <w:r>
              <w:rPr>
                <w:rStyle w:val="526"/>
                <w:rFonts w:hint="default"/>
                <w:lang w:bidi="ar"/>
              </w:rPr>
              <w:br w:type="textWrapping"/>
            </w:r>
            <w:r>
              <w:rPr>
                <w:rStyle w:val="526"/>
                <w:rFonts w:hint="default"/>
                <w:lang w:bidi="ar"/>
              </w:rPr>
              <w:t>传动结构：滚筒采用齿轮传动，配合高精度轴承与导轨，实现动力平稳传递</w:t>
            </w:r>
            <w:r>
              <w:rPr>
                <w:color w:val="000000"/>
                <w:kern w:val="0"/>
                <w:sz w:val="20"/>
                <w:szCs w:val="20"/>
                <w:lang w:bidi="ar"/>
              </w:rPr>
              <w:t>​</w:t>
            </w:r>
            <w:r>
              <w:rPr>
                <w:rStyle w:val="526"/>
                <w:rFonts w:hint="default"/>
                <w:lang w:bidi="ar"/>
              </w:rPr>
              <w:br w:type="textWrapping"/>
            </w:r>
            <w:r>
              <w:rPr>
                <w:rStyle w:val="526"/>
                <w:rFonts w:hint="default"/>
                <w:lang w:bidi="ar"/>
              </w:rPr>
              <w:t>压力控制结构：配置弹簧压力均衡装置，可精准调控版面压力</w:t>
            </w:r>
            <w:r>
              <w:rPr>
                <w:color w:val="000000"/>
                <w:kern w:val="0"/>
                <w:sz w:val="20"/>
                <w:szCs w:val="20"/>
                <w:lang w:bidi="ar"/>
              </w:rPr>
              <w:t>​</w:t>
            </w:r>
            <w:r>
              <w:rPr>
                <w:rStyle w:val="526"/>
                <w:rFonts w:hint="default"/>
                <w:lang w:bidi="ar"/>
              </w:rPr>
              <w:br w:type="textWrapping"/>
            </w:r>
            <w:r>
              <w:rPr>
                <w:rStyle w:val="526"/>
                <w:rFonts w:hint="default"/>
                <w:lang w:bidi="ar"/>
              </w:rPr>
              <w:t>防护与稳定结构：印版垫板带防滑脱装置；主体框架为厚钢板材质，提供强支撑</w:t>
            </w:r>
            <w:r>
              <w:rPr>
                <w:color w:val="000000"/>
                <w:kern w:val="0"/>
                <w:sz w:val="20"/>
                <w:szCs w:val="20"/>
                <w:lang w:bidi="ar"/>
              </w:rPr>
              <w:t>​</w:t>
            </w:r>
            <w:r>
              <w:rPr>
                <w:rStyle w:val="526"/>
                <w:rFonts w:hint="default"/>
                <w:lang w:bidi="ar"/>
              </w:rPr>
              <w:br w:type="textWrapping"/>
            </w:r>
            <w:r>
              <w:rPr>
                <w:rStyle w:val="526"/>
                <w:rFonts w:hint="default"/>
                <w:lang w:bidi="ar"/>
              </w:rPr>
              <w:t>2.核心功能特点</w:t>
            </w:r>
            <w:r>
              <w:rPr>
                <w:color w:val="000000"/>
                <w:kern w:val="0"/>
                <w:sz w:val="20"/>
                <w:szCs w:val="20"/>
                <w:lang w:bidi="ar"/>
              </w:rPr>
              <w:t>​</w:t>
            </w:r>
            <w:r>
              <w:rPr>
                <w:rStyle w:val="526"/>
                <w:rFonts w:hint="default"/>
                <w:lang w:bidi="ar"/>
              </w:rPr>
              <w:br w:type="textWrapping"/>
            </w:r>
            <w:r>
              <w:rPr>
                <w:rStyle w:val="526"/>
                <w:rFonts w:hint="default"/>
                <w:lang w:bidi="ar"/>
              </w:rPr>
              <w:t>运行顺畅性：齿轮传动 + 高精度轴承与导轨，大幅降低摩擦阻力，转动顺畅省力</w:t>
            </w:r>
            <w:r>
              <w:rPr>
                <w:color w:val="000000"/>
                <w:kern w:val="0"/>
                <w:sz w:val="20"/>
                <w:szCs w:val="20"/>
                <w:lang w:bidi="ar"/>
              </w:rPr>
              <w:t>​</w:t>
            </w:r>
            <w:r>
              <w:rPr>
                <w:rStyle w:val="526"/>
                <w:rFonts w:hint="default"/>
                <w:lang w:bidi="ar"/>
              </w:rPr>
              <w:br w:type="textWrapping"/>
            </w:r>
            <w:r>
              <w:rPr>
                <w:rStyle w:val="526"/>
                <w:rFonts w:hint="default"/>
                <w:lang w:bidi="ar"/>
              </w:rPr>
              <w:t>印制精准性：弹簧压力均衡装置确保版面上压力均匀分布，油墨均匀附着，垫板运行稳定，保障线条清晰、画面精准</w:t>
            </w:r>
            <w:r>
              <w:rPr>
                <w:color w:val="000000"/>
                <w:kern w:val="0"/>
                <w:sz w:val="20"/>
                <w:szCs w:val="20"/>
                <w:lang w:bidi="ar"/>
              </w:rPr>
              <w:t>​</w:t>
            </w:r>
            <w:r>
              <w:rPr>
                <w:rStyle w:val="526"/>
                <w:rFonts w:hint="default"/>
                <w:lang w:bidi="ar"/>
              </w:rPr>
              <w:br w:type="textWrapping"/>
            </w:r>
            <w:r>
              <w:rPr>
                <w:rStyle w:val="526"/>
                <w:rFonts w:hint="default"/>
                <w:lang w:bidi="ar"/>
              </w:rPr>
              <w:t>安全可靠性：印版垫板防滑脱装置防止滑脱，滚筒镀铬防锈、框架煮黑防锈，延长设备使用寿命</w:t>
            </w:r>
            <w:r>
              <w:rPr>
                <w:color w:val="000000"/>
                <w:kern w:val="0"/>
                <w:sz w:val="20"/>
                <w:szCs w:val="20"/>
                <w:lang w:bidi="ar"/>
              </w:rPr>
              <w:t>​</w:t>
            </w:r>
            <w:r>
              <w:rPr>
                <w:rStyle w:val="526"/>
                <w:rFonts w:hint="default"/>
                <w:lang w:bidi="ar"/>
              </w:rPr>
              <w:br w:type="textWrapping"/>
            </w:r>
            <w:r>
              <w:rPr>
                <w:rStyle w:val="526"/>
                <w:rFonts w:hint="default"/>
                <w:lang w:bidi="ar"/>
              </w:rPr>
              <w:t>结构稳固性：20mm 厚钢板框架 + 一体成型侧板，承载能力强，运行时整体稳定无晃动</w:t>
            </w:r>
            <w:r>
              <w:rPr>
                <w:color w:val="000000"/>
                <w:kern w:val="0"/>
                <w:sz w:val="20"/>
                <w:szCs w:val="20"/>
                <w:lang w:bidi="ar"/>
              </w:rPr>
              <w:t>​</w:t>
            </w:r>
            <w:r>
              <w:rPr>
                <w:rStyle w:val="526"/>
                <w:rFonts w:hint="default"/>
                <w:lang w:bidi="ar"/>
              </w:rPr>
              <w:br w:type="textWrapping"/>
            </w:r>
            <w:r>
              <w:rPr>
                <w:rStyle w:val="526"/>
                <w:rFonts w:hint="default"/>
                <w:lang w:bidi="ar"/>
              </w:rPr>
              <w:t>四、适用材料</w:t>
            </w:r>
            <w:r>
              <w:rPr>
                <w:color w:val="000000"/>
                <w:kern w:val="0"/>
                <w:sz w:val="20"/>
                <w:szCs w:val="20"/>
                <w:lang w:bidi="ar"/>
              </w:rPr>
              <w:t>​</w:t>
            </w:r>
            <w:r>
              <w:rPr>
                <w:rStyle w:val="526"/>
                <w:rFonts w:hint="default"/>
                <w:lang w:bidi="ar"/>
              </w:rPr>
              <w:br w:type="textWrapping"/>
            </w:r>
            <w:r>
              <w:rPr>
                <w:rStyle w:val="526"/>
                <w:rFonts w:hint="default"/>
                <w:lang w:bidi="ar"/>
              </w:rPr>
              <w:t>1.适用印版材质</w:t>
            </w:r>
            <w:r>
              <w:rPr>
                <w:color w:val="000000"/>
                <w:kern w:val="0"/>
                <w:sz w:val="20"/>
                <w:szCs w:val="20"/>
                <w:lang w:bidi="ar"/>
              </w:rPr>
              <w:t>​</w:t>
            </w:r>
            <w:r>
              <w:rPr>
                <w:rStyle w:val="526"/>
                <w:rFonts w:hint="default"/>
                <w:lang w:bidi="ar"/>
              </w:rPr>
              <w:br w:type="textWrapping"/>
            </w:r>
            <w:r>
              <w:rPr>
                <w:rStyle w:val="526"/>
                <w:rFonts w:hint="default"/>
                <w:lang w:bidi="ar"/>
              </w:rPr>
              <w:t>金属板、木板、胶板、石板、亚克力板等多材质板材，可根据不同厚度、硬度板材灵活调整参数适配印制</w:t>
            </w:r>
            <w:r>
              <w:rPr>
                <w:color w:val="000000"/>
                <w:kern w:val="0"/>
                <w:sz w:val="20"/>
                <w:szCs w:val="20"/>
                <w:lang w:bidi="ar"/>
              </w:rPr>
              <w:t>​</w:t>
            </w:r>
            <w:r>
              <w:rPr>
                <w:rStyle w:val="526"/>
                <w:rFonts w:hint="default"/>
                <w:lang w:bidi="ar"/>
              </w:rPr>
              <w:br w:type="textWrapping"/>
            </w:r>
            <w:r>
              <w:rPr>
                <w:rStyle w:val="526"/>
                <w:rFonts w:hint="default"/>
                <w:lang w:bidi="ar"/>
              </w:rPr>
              <w:t>2.适用纸张材质</w:t>
            </w:r>
            <w:r>
              <w:rPr>
                <w:color w:val="000000"/>
                <w:kern w:val="0"/>
                <w:sz w:val="20"/>
                <w:szCs w:val="20"/>
                <w:lang w:bidi="ar"/>
              </w:rPr>
              <w:t>​</w:t>
            </w:r>
            <w:r>
              <w:rPr>
                <w:rStyle w:val="526"/>
                <w:rFonts w:hint="default"/>
                <w:lang w:bidi="ar"/>
              </w:rPr>
              <w:br w:type="textWrapping"/>
            </w:r>
            <w:r>
              <w:rPr>
                <w:rStyle w:val="526"/>
                <w:rFonts w:hint="default"/>
                <w:lang w:bidi="ar"/>
              </w:rPr>
              <w:t>专业版画纸、宣纸、铜版纸、厚卡纸、特种艺术纸等。</w:t>
            </w:r>
            <w:r>
              <w:rPr>
                <w:rStyle w:val="526"/>
                <w:rFonts w:hint="default"/>
                <w:lang w:bidi="ar"/>
              </w:rPr>
              <w:br w:type="textWrapping"/>
            </w:r>
            <w:r>
              <w:rPr>
                <w:rStyle w:val="526"/>
                <w:rFonts w:hint="default"/>
                <w:lang w:bidi="ar"/>
              </w:rPr>
              <w:t>配毛毡1块，规格：≥45*80cm。</w:t>
            </w:r>
            <w:r>
              <w:rPr>
                <w:color w:val="000000"/>
                <w:kern w:val="0"/>
                <w:sz w:val="20"/>
                <w:szCs w:val="20"/>
                <w:lang w:bidi="ar"/>
              </w:rPr>
              <w:t>​</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刻刀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4件套，塑料盒包装。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版画晾画架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参考规格：≥550*820mm、可移动 ,钢制喷塑，双面50层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油画板车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外框：1100*750*1470mm；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层数：≥25层；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网片：990*640mm；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单层承重：≥2-23公斤；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网片处理：镀锌。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参考规格：≥300*400mm，木质。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参考规格：≥300*400mm，木质。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参考规格：≥200*300mm，木质。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参考规格：≥200*300mm，木质。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参考规格：≥600*400mm，木质。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油画外框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参考规格：≥600*400mm，木质。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涮笔桶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参考规格：直径≥165mm，硅胶材质，可折叠。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展示画框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参考规格：可装三尺、四尺、六尺及四尺对裁条屏、斗方，材质：木质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油画笔（2号、4号、6号、8号、10号、12号），调色板，油画颜料等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油画刮刀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3把，含2号、4号、6号各1把。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油画板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已绷布，含尺寸为≥410 mm×270 mm、≥550 mm×380 mm、≥650mm×500 mm、≥810 mm×600 mm等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绘图工具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含蛇形尺（≥600 mm）、丁字尺（≥600 mm）、多用斜边三角尺（大）、槽尺、圆规、直尺、曲线板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版画用具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木刻刀一套(切口、平口、三菱口、大圆口、小圆口)、木蘑托、笔刀、笔刀刀片、胶滚(大中小各1件)、油石、刮刀、电烙铁、6B中华绘图铅笔、塑料工具箱及其他可选用具，含吹塑板、陶泥板、石膏板、铝塑板、木刻用椴木五层板、雪弗板、KT版、橡皮图章、水性油墨(黑、大红、湖蓝、柠檬黄、白色等)、油画棒、调墨板、硫酸纸、白板纸、海绵纸、印纸、色纸、生宣纸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泥塑工具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泥塑刀7把、环形刀1把、切割线1套、拍板1件、型板1块、喷壶1个、板刷1把、刮泥铲1把、刮刀1把、陶针1把、吹釉壶1把、油壶1件、转台1件、海绵1个，碾滚1件、料瓶1个，木条，中空吹塑定位包装箱。</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剪纸与拼贴工具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含剪纸专业剪刀，刻刀、垫板(≥450 mm×600 mm)、花边剪、花形打孔器、刻纸刀、不同色彩的卡纸，专用剪纸、各色彩纸、白板纸、各色布料、塑料收纳工具箱等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设备-生物</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制作可调节的眼球模型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六倍自然大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橡皮锤（膝跳反射用）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膝跳反射专用橡皮锤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无土栽培系列设备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≥Ø270mm×140mm玻璃水槽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大号，两股铁丝相扭，刷丝呈螺旋状。安装在定制的塑料壳内，主要用来清洁布面上的尘埃。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膈肌运动模拟器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本模拟器产品，由透明密封瓶体、二个橡胶气囊、一根气管、隔肌橡胶膜、支架等组成。密封瓶直径不小于240mm，高度不小于200mm。模拟演示人体隔肌运动形成的呼吸机理。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眼球仪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晶状体曲率可变眼球模型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设备-数学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工程塑料或木制，可磁吸，30°、60°直角三角尺和等腰直角三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量角器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≥0°~180°,演示用，磁性透明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演示用，磁性透明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几何体模型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长方体(一般和特殊)、正方体、实心圆柱、空心圆柱、圆锥体 (等底等高、等底不等高、等高不等底)、球等，演示用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磁力坐标系黑板贴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≥80cm*60cm，演示用，黑色实线5X5方格磁性贴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磁力坐标系黑板贴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80com*60cm，演示用，黑色虚线5X5方格磁性贴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白板磁扣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≥30mm大小，一盒40个左右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探索旋转形几何形体的形成操作材料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能够演示旋转几何体的形成，演示用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探索几何形体展开操作材料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显示几何体的侧面展开之后的形状，圆柱、圆锥、三棱柱、四棱</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探索勾股定理的材料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能够通过面积之间的变化体现直角三角形的三边关系，用几何图形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计算器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具有常规计算与统计功能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图形计算器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具有常规计算、图像与表格、概率与统计、矩阵计算、数列与递归、方程(组)求解、简单程序编制、二次方程作图等方面的功能，中文菜单显示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磁力坐标系黑板贴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正方形或长方形磁力坐标系黑板贴，短边长≥600 mm，上绘白色网格线条构成的坐标系，坐标原点位于中心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乒乓球大小，分为红、黄、蓝、黑、白五色，每种颜色6个，配套不透明袋子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六面体骰子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正方体形状，边长≥20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转盘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可更换盘面内容，盘面不少于6种；数字转盘或色块转盘，以圆心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布纤维卷尺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摇卷盒式，量程≥0～50 m，分度值10 mm，尺带宽度≥20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经纬仪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测角精度2”，视距≥1.0 m，有效射程150 m可使用充电锂电池或5号干电池供电锂电池续航长达10小时，双面大屏。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设备-物理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规格:1000mm×45mm×8mm  材质与工艺:1、用木材制作，表面平整、挺直、无毛刺。木材材质无节疤、无裂纹、无伤痕，并经过脱脂干燥处理。2、尺身一面印有黑色刻线和数字，最小刻度为1毫米，每5厘米为一大格，每10厘米的刻线上标有数字，有mm、cm、dm、m四种单位。3、漆层平整清洁、色调美观、厚薄均匀、有足够的附着力，主要表面上不会有流挂、针孔、气泡等缺陷。4、刻线和数字排列整齐端正，刻线粗细一致 5、全尺刻度累计误差2mm，尺面平面度公差3mm，尺边直线度公差2mm。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1、用木材制作，表面平整、挺直、无毛刺。木材材质无节疤、无裂纹、无伤痕，并经过脱脂干燥处理，含水率18%。规格:2、尺身一面印有黑色刻线和数字，最小刻度为1毫米，每5厘米为一大格，每10厘米的刻在线标有数字，有mm、cm、dm、m四种单位。3、漆层平整清洁、色调美观、厚薄均匀、有足够的附着力，主要表面上不会有流挂、针孔、气泡等缺陷。4、刻线和数字排列整齐端正，刻线粗细一致。5、米尺的外形尺寸：1000mm×25mm×8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规格:有效量程125mm、测量精度0.05mm，具有内测、外测、深度等测量功能。材质:产品采用不锈钢材料制造，表面抛光处理。工艺:刻度清晰，无断线、缺划。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规格:有效量程125mm、测量精度0.02mm，具有内测、外测、深度等测量功能。材质与工艺:产品采用不锈钢材料制造，表面抛光处理。刻度清晰，无断线、缺划。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外径千分尺(螺旋测微器)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规格:有效量程为25mm、测量精度为0.01mm. 材质与工艺:采用钢材制造，表面抛光处理。其中砧头用优质钢材制造，刻度清晰，无断线、缺划，符合国标GB1216《千分尺》的要求。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布卷尺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主要构件:尺盒、30米摇柄和首端装有金属拉环的整条尺带。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规格:1、最大秤量500g,分度值20mg。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2、砝码组合的总质量（包括标尺计量值）天平的最大秤量。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3、冲压件及铸件表面光洁平整，无毛刺、锋棱、裂纹和显见砂眼。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4、电镀件的镀层色泽均匀，无露底和显见的麻点、水迹、擦伤缺陷。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5、其它性能指标符合GB/T4168-92的有关规定。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规格:最大秤量200g，分度值0.02g,外形尺寸300*133*295mm,净重1.8kg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规格:1．最大称量200g，分度值0.2g,标尺称量0-5g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2．秤量允许误差为±0.5d(分度值)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3．砝码组合的总质量（包括标尺计量值）天平的最大秤量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4．冲压件及铸件表面光洁平整，不有毛刺、锋棱、裂纹和显见砂眼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5．电镀件的镀层色泽均匀，不有露底和显见的麻点、水迹、擦伤等缺陷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6．油漆件表面平整光滑，色泽均匀，不有露底、起泡、挂漆、擦伤等缺陷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7．符合JY0001－2003《教学仪器一般质量要求》的有关规定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规格:1．最大称量500g，分度值0.5g,标尺称量0-10g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2．秤量允许误差为±0.5g(分度值)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3．冲压件及铸件表面光洁平整，无毛刺、锋棱、裂纹和显见砂眼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4．电镀件的镀层色泽均匀，无露底和显见的麻点、水迹、擦伤缺陷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5．油漆件表面平整光滑，色泽均匀，无露底、起泡、挂漆、擦伤缺陷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6．符合JY0001－2003《教学仪器一般质量要求》的有关规定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秤量120g，分度值0.001g；校准方式：外校（配砝码）；数据输出：RS232；称盘尺寸：圆盘Ф85mm；电源电压：AC220V。产品特点：采用高精度电磁平衡传感器，计量性能稳定可靠，LCD显示，具有8种称量单位转换，计数功能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单杠杆天平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规格:最大称重100g，分度值0.01g，链式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案秤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规格:最大秤量:10kg，分度值:10g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机械停表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规格:机械计时仪器，金属外壳，不锈钢发条。秒针每圈30秒，分针每圈15分钟，最小刻度值0.1秒。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演示电表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用途:1．本仪器可作检流计、测量直流电压、电流、直流电阻等用并作为研究磁电式电表结构原理的直观教具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2．电表采用磁电式表头，指针长150mm，有零位调节钮（可调到左边或中间）并采用透明材料密封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3．电表精度要求2.5级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演示电流电压表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1、本仪器可作检流计、测量交直流电压、电流用。并作为研究磁电式电表结构原理的直观教具。2、电表采用磁电式表头，指针长150mm，有零位调节钮（可调到左边或中间）。并采用透明材料密封。3、电表精度要求2.5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电能表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规格:1、由单相透明外壳电度表、开关、灯座、用电器插座等组成，安装于木质演示板上；演示板上贴有电能表结构原理图和照明电路图 2、工作电压：交流220V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直流电流表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机械指针式，内磁系，准确度为2.5级，量程为：-0.2A-0-0.6A，-1-0-3A；三旋钮式接线柱，座式，具零点调节器。符合国际《电测量指示仪表通用技术条件》GB776-76第三条,输出端子全部采用不脱落式铜材接线柱，Φ4mm铜芯香蕉插、可穿及接线三种功能。采用约0.4mm厚铝材刻度镜面标牌!每只表都贴有防划保护膜。重量约：184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直流电压表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规格：机械指针式，内磁系，准确度为2.5级，量程为：-1V-0-3V — -5V-0-15V；三旋钮式接线柱，座式，具零点调节器。符合国际《电测量指示仪表通用技术条件》GB776-76第三条,输出端子全部采用不脱落式铜材接线柱，Φ4mm铜芯香蕉插、可穿及接线三种功能。约0.4mm厚铝材刻度镜面标牌!支脚采用国外焊接技术永不生锈,每只表都贴有防划保护膜。重量约：184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灵敏电流计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座式三接线柱，内磁系，测量范围：-300µA～0～300µA。误差：≤5μA。G0档表头内阻80～125Ω；G1档表头2.内阻4kΩ～3.0kΩ。具零点调节器标度尺刻度均匀，弧长不小于75mm,工作位置与水平面成45°角；输出端子全部采用不脱落式铜材接线柱，Φ4mm铜芯香蕉插、可穿及接线三种功能。约0.4mm厚铝材刻度镜面标牌!每只表都贴有防划保护膜。重量约：184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多用电表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规格:教师用1．本品为整流系，轴尖轴承支承式、指针式电表。2．准确度等级：直流电流、电压、电阻测量档均为2.5级，交流电压测量档、直流电压0－2500V为5.0级。3．电压灵敏度：直流为5K</w:t>
            </w:r>
            <w:r>
              <w:rPr>
                <w:rStyle w:val="527"/>
                <w:lang w:bidi="ar"/>
              </w:rPr>
              <w:t>Ω</w:t>
            </w:r>
            <w:r>
              <w:rPr>
                <w:rStyle w:val="526"/>
                <w:rFonts w:hint="default"/>
                <w:lang w:bidi="ar"/>
              </w:rPr>
              <w:t>/V，交流为2.5K</w:t>
            </w:r>
            <w:r>
              <w:rPr>
                <w:rStyle w:val="527"/>
                <w:lang w:bidi="ar"/>
              </w:rPr>
              <w:t>Ω</w:t>
            </w:r>
            <w:r>
              <w:rPr>
                <w:rStyle w:val="526"/>
                <w:rFonts w:hint="default"/>
                <w:lang w:bidi="ar"/>
              </w:rPr>
              <w:t>/V。4.量程范围：直流电流：0－50µA－1mA－10mA－100mA－500mA－5A；直流电压：0－1V－2.5V－10V－50V－250V－500V－2500V；交流电流：0－1mA－10mA－100mA－500mA－5A；交流电压：0－1V－2.5V－10V－50V－250V－500V－2500V；电阻：R×1、R×10、R×100、R×1K、R×10K。电表指针挺直，机械调零时可在零刻度左右移动，所附测量表笔及电池完好有效。</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数字多用电表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规格:最大显示19999，可测量交直流电压电流、电阻、温度、电容、频率 直流电压200mV/2V/20V/200V/1000V±(0.05%+3)；交流电压2V/20V/200V/750V±(0.5%+10)；直流电流2mA/200mA/20A±(0.5%+5)；交流电流20mA/200mA/20A±(0.8%+10)；电阻200W/2kW/20kW/2MW/200MW±(0.3%+1)；频率20KHz±(1.5%+5)；电容2nF/20nF/2uF/20uF±(3%+40)；摄氏温度-40℃∽1000℃±(1%+30)；二极管测试、三极管测试通、断蜂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投影电流表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规格：适用中学在用投影仪进行教学演示时，测量直流电路中电流时用。1、本产品为投影式，其结构和用材应保证有良好的透光性。电表投影到屏幕上，指针与标度尺的刻度线条色差显著，字迹清晰。2、本电表为磁电系，轴尖轴承支承式，标度尺为均匀刻度，标度尺弧长不少于75mm。3、电流表的基本误差为2．5％。电流表的量程为：－0．2 A－0－0．6A,－1 A－0－3A，电流表的压降为75mV。　电流表的升降变差不应超过基本误差的绝对值。输出端子全部采用不脱落式铜材接线柱，</w:t>
            </w:r>
            <w:r>
              <w:rPr>
                <w:rStyle w:val="527"/>
                <w:lang w:bidi="ar"/>
              </w:rPr>
              <w:t>Φ</w:t>
            </w:r>
            <w:r>
              <w:rPr>
                <w:rStyle w:val="526"/>
                <w:rFonts w:hint="default"/>
                <w:lang w:bidi="ar"/>
              </w:rPr>
              <w:t>4mm铜芯香蕉插、可穿及接线三种功能。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投影电压表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适用中学在用投影仪进行教学演示时，测量直流电路中电流时用。1、本产品为投影式，其结构和用材应保证有良好的透光性。电表投影到屏幕上，指针与标度尺的刻度线条色差显著，字迹清晰。2、本电表为磁电系，轴尖轴承支承式，标度尺为均匀刻度，标度尺弧长不少于75mm。3、电流表的基本误差为2．5％。电压表的基本误差为2.5%。4、电压表的量程为-1V-0-3V ；-5V-0-15V，电压表的升降变差不应超过基本误差的绝对值。输出端子全部采用不脱落式铜材接线柱，Φ4mm铜芯香蕉插、可穿及接线三种功能。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投影检流计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适用于中学在用投影仪进行教学演示时测量直流电路中微小电流或微小电势差等实验用。1、本产品为投影式，其结构和用材应保证有良好的透光性。电表投影到屏幕上，指针与标度尺的刻度线条色差显著，字迹清晰。2、本电表为磁电系，轴尖轴承支承式，标度尺为均匀刻度，标度尺弧长不少于75ｍｍ。检流计的基本误差为2．5％，检流计的量程为：－300μA～0～＋300μA，检流计的内阻为：Ｇ080～125Ω，Ｇ12400～3000Ω，输出端子全部采用不脱落式铜材接线柱，Φ4mm铜芯香蕉插、可穿及接线三种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教学示波器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规格:频率响应  DC～5MHz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偏转因数  ≤20mVpp/格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校准信号   100mVpp、1kHz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示波管尺寸 13cm,有消隐电路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手摇抽气机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双缸式。1、有气缸、活塞、曲拐、曲轴、弹簧箱体、手轮、底座等部分组成。2、机壳为铝合金或HT150材料,表面光整。缸体为注塑嵌件，平整光洁。活塞材料为45号钢，表面无划痕毛刺。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旋片式真空泵</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参数:单相。1．抽气速率：0.5L/sec 2．极限压力：0.06Mpa 3．电机功率：180W 4．工作电压：交流220V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两用气筒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规格:1.抽气和打气两用、手按两种工作方式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2.极限抽气压力：≤6.7×103Pa(50mmHg)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3.最低打气压力：≥2.9×105Pa(3Kgf/cm2)</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密度计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规格:标准温度20℃，温度范围0～70℃，分度值为1度。密度范围：1.000～2.000。在液体中倾斜度0.2分度值。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密度计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规格:标准温度20℃，温度范围0～70℃，分度值为1度,密度范围：0.7000～1.000,在液体中倾斜度0.2分度值。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湿度计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规格:指针式。温度范围：-20~40℃, 测量精度: ±2℃；湿度范围：0~90%,测量精度: ±5%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空盒气压计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规格:符合JY 0128要求，多膜盒，读数范围80-106，分度值0.25KPa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水准器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水准泡及其主体组成。2、主体由金属制成，工作面平滑，其平面度0.1mm。3、工作面长150mm，工作面不漆，其它面涂漆。4、水准泡为普通式管状水准泡。5、水准泡安装牢固，清洁透明，刻线清晰均匀，气泡移动平稳，无跳动和停滞现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透明盛液筒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规格:透明盛液筒体用聚苯乙烯压制而成，透明度良好、不易损坏。筒的外经∮100mm，高度300mm。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抽气盘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底盘、钟罩、电铃、气阀、橡皮塞、垫圈等组成。2、底盘为铸铁制成，表面平整，无气孔、砂眼，外径φ180mm。3、钟罩为透明式，外径135mm。4、抽气盘的密封性能：极限压强6000Pa，极限压强下保持15分钟，腔内压强变化2K Pa。5、电铃电源：直流3～6V。6、电铃放置于抽气盘内平稳，工作中无倒覆。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680mm×460mm×800mm，双层载物台全不锈钢。2、额定载重量：2×50kg，运行平稳，不会变形、摇晃、松动。材质:3、载物台材料约为厚度1mm不锈钢板。4、载物台围挡高度：上为50mm，下为30mm。5、围挡口装有橡胶护边。6、下载物台安装方向可变换。7、上下载物台铺放厚度2.5mm的带棱墨绿色橡胶板。8、车架材料采用直径φ19mm，壁厚约1mm的不锈钢管。9、车架扶手外倾，外倾角度15°。10、两层载物台下装有用φ13mm壁厚1mm的不锈钢管的加强杆。11、万向脚轮直径φ63mm，滚动灵活，360°转向良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辆</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放大镜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规格:1、由消色差凸透镜、透镜框及手柄组成。2、凸透镜直径φ30mm, 放大倍率：5×。3、透镜无明显条纹。气泡度q为φ1.0 [0.5]。4、透镜框能牢靠地夹持透镜。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听诊器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单用听诊器 规格:A型耳挂，标准胶管，金属三通，电镀听诊头。供检查人体心肺器官声响变化用。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注射器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规格:100ml。材质:玻璃制成。性能:密封性好，滑动灵活。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透明水槽(圆形)</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规格:圆形φ270mm×高140mm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物理支架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A型座（大1小1）、立竿(700mm、500mm各1）复夹4个、烧瓶夹1个、万向夹1个、台便夹1个、铁环1个、圆托盘1个、吊钩4个、吊钩杆1个、绝缘杆1个组成。2.重量10kg。3.产品符合JY166-84《物理支架》的要求。4.符合JY0001－2003《教学仪器设备产品一般质量要求》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方座支架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矩形底座、立杆、烧瓶夹、大小铁环、垂直夹（2只）、平行夹等组成。2、方座支架的底座尺寸为210×135mm，立杆直径为φ12mm，一端有M10×18mm螺纹，底座和立杆表面作防锈处理。3、底座放置平稳，无明显晃动现象，支承夹持可靠。4、立杆与方座组装后垂直状态。5．符合JY167-84《方座支架》的要求。6．符合JY0001－2003《教学仪器一般质量要求》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多功能实验支架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规格:生铁大A型座： 边长270mm 2.3kg  生铁小A型座： 边长220mm 1.5kg  长杆700mm 短杆500mm 直径Φ12mm  铁环∅90mm  滴定夹1 个 试管架板1个 漏斗架板1个  圆盘2个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规格:升降范围150mm，载重量10kg 材质与工艺:1、产品由载物台、下底座、升降机构、摇手柄等组成。2、载物台、下底板尺寸200×200mm，用金属制成，外表镀铬。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材质:塑料制品，不易变形，不易破裂 颜色:绿色 规格:盘内尺寸为410mm*245mm*66mm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材质:塑料制品，不易变形，不易破裂 颜色:绿色 规格:盘内尺寸335mm*205mm*55mm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初中教学电源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规格:交流2V～12V，5A，每2V一档；直流1.5V～12V，2A，分为1.5V、3V、4.5V、6V、9V、12V，共6档；40A、8s自动关断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初中学生电源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规格:直流1.5V～9V，1.5A，每1.5V一档,自动保护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蓄电池</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规格:6V，15Ah，封闭免维护式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调压变压器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规格:2KVA可调自耦变压器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充电器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规格:1、可同时对不超过28只可调内阻电池和1只6V（4Ah或10Ah或15Ah）普通铅酸蓄电池充电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2、可调内阻电池充电为设定时间（1h～99h）自动控制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3、6V普通铅酸蓄电池充电为设定时间（1h～99h）自动控制和设定电池端电压控制双重平行控制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4、可调内阻电池为0.1C制恒流充电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5、6V普通铅酸蓄电池为1C/0.5C制二阶段恒流充电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6、安全要求符合GB4706.1的有关规定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7、符合JY0001—2003的有关规定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充磁器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规格:1、仪器由底座、充磁线圈、电路装置、操作开关等构成。2、使用电源：交流220V，充磁电流2A。3、充磁磁场：80KA/m。4、充磁效果：磁钢端面处磁感应强度40mT。5、消磁效果：磁钢端面处剩磁4mT。</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规格:1．量程：-5～+100℃，分度值1℃。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2．由红色玻璃温度计表芯和铝合金刻度板及塑料衬板组成，衬板长度500mm，宽度100mm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3．温度计的感温泡应有透明保护套。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4．玻璃温度计表芯毛细管内红色液柱无间断现象，红色液柱经放大后，其视宽度3mm。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5．刻度板用厚度1mm的铝合金板制造，印有黑色刻度线及温度数值。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6．示值允差±1℃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热敏温度计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规格:1、工作环境条件：温度0～40℃，相对湿度90％（40℃）。2、使用电源：交流220V±22V。3、绝缘电阻20MΩ。4、电压实验1.5KV(漏电流5mA。5、测温范围－10℃～100℃。6、平均反应时间5s。</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规格:1N，分度值0.01N,由方形弹簧盒（带刻板）、弹簧、提环、挂钩、指针等组成。零点可调。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规格:2.5N,由方形弹簧盒（带刻板）、弹簧、提环、挂钩、指针等组成。零点可调；分度值为量程的1／50。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规格:5N,由方形弹簧盒（带刻板）、弹簧、提环、挂钩、指针等组成。零点可调；分度值为量程的1／50。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规格:10N,由方形弹簧盒（带刻板）、弹簧、提环、挂钩、指针等组成。零点可调；分度值为量程的1／50。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规格:1、由外筒、内管、弹簧、端盖、提环、挂钩等组成。零点可调。2、量程：0～1N（牛顿）3．分度值为量程的1／50，零点平均示差1／4分度，任一点的平均示差1个分度，任一点的重复称量的最大示差1／2分度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圆筒测力计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规格:1、由外筒、内管、弹簧、端盖、提环、挂钩等组成。零点可调。2、量程：0～5N（牛顿）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圆盘测力计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量程:0～5N（牛顿）符合JY 0127标准。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拉压测力计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规格:供物理实验测量拉、压两个方向力的大小。拉力最大量程：10N,压力最大量程：10N，分度值：1N</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圆柱体组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规格:以三种材料圆柱体组成，分别为铜、铁、铝制成，三只圆柱体几何尺寸完全相同，直径20mm，高32mm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螺旋弹簧组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弹簧、指针、挂钩等组成。2、产品由钢丝绕成的螺旋弹簧5种为一组，其工作极限负荷分别为5N、3N、2N、1N、0.5N。3、弹簧刚度选取分别为：5N为0.025N/mm，3N为0.015N/mm，2N为0.01N/mm，1N为0.005N/mm，0.5N为0.0025N/mm。4、弹簧伸长长度200mm，分别达到5N、3N、2N、1N、0.5N拉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帕斯卡球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材质:铝合金气筒，不锈钢球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液压机模型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组成及规格:产品由大缸体、小缸体、角式截止阀、底座和压力弹簧构成。小活塞直径：14mm,行程20mm。大活塞直径：48mm,上升高度50mm。油箱容量约250ml。最大工作压强 18kg/cm,最大工作压力320kg。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液体内部压强实验器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仪器由承压盒、支杆、胶管和胶膜等组成。2、承压盒的内径φ36mm，转轴孔径φ4mm，孔的轴线通过盒口中心并与盒口在同一平面内。3、胶管内径6mm，壁厚≥1mm，长度600mm。4、支杆由φ4低碳钢制成，一端弯角为90±1°，表面镀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微小压强计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规格:1．产品由U形玻璃管、刻度板、三通管、乳胶管、螺旋夹、夹持柄等组成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2．量度范围：300mm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3．外形尺寸：380×65×30mm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4．U形管用内径均匀的玻璃管制成，其内径为4～6mm，壁厚约1mmU形管竖直长度380mm，两侧距离30±1mm一端成喇叭口，另一端成“接头”状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5．三通管用外径为6+0.5mm的玻璃管制成，三个端头均为“接头”状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6．乳胶管长250mm，内径6mm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7．刻度板最小刻度为5mm，刻度总长为300mm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马德堡半球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规格:1．产品由两个附有拉手的铸铁半球组成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2．产品为铸铁件符合：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（1）铸铁件其中一个半球上装有旋塞和抽气管咀</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（2）半球（圆盘）外径φ105mm，内径φ75mm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（3）金属件外表面喷漆、平整、光滑、无毛刺两半球（圆盘）的合口处和旋塞进行成组研磨，并配套编号半球（圆盘）的合口处光洁度▽5，不得有砂眼、气孔和毛刺金属球体内表面涂防锈漆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（4）旋塞和抽气管咀由黄铜制成旋塞锥度1∶7，外径φ8mm，旋塞一端装有与通气孔方向一致带箭头的旋片，旋塞松紧适宜、转动灵活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（5）当半球（圆盘）的内外压强差为500mmHg，经30分钟后，其压差480mmHg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4．产品符合JY108-82《马德堡半球》的要求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符合JY0001－2003《教学仪器一般质量要求》的有关规定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离心水泵模型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泵体总成（泵体、叶轮、透明窗、进水出水口）、驱动机构、底座和进（含底阀）、出水管等组成。2、水泵模型结构为齿轮传动式，叶轮额定转速为600转/分。3、在额定转速下，扬水高度0.6米，吸水高度0.6米。4、水泵正常抽水停止后，60分钟内不经补充注水，仍可再行正常抽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阿基米德定律演示器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组成及规格：演示测力计，塑料桶：高53mm，直径φ55mm 透明塑料     塑料圆柱体：高51mm，直径φ50mm 塑料    塑料溢水杯：高100mm，直径φ88mm 透明塑料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杠杆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用不易变形材料制作，表面平整、挺直、均匀、无毛刺。2、产品由杠杆尺、轴、调平装置和四只挂钩组成。杠杆尺为500×25×8mm，中心有φ4mm的轴套。3、杠杆尺正面以轴心为零点向两端刻印厘米单位刻度线，刻线清晰，每5cm印一长线并标注数字。杆身有效长度为480mm。4、杠杆尺两端装有调平螺母，杠杆平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轮轴模型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轮轴模型由台阶轮、主轴、支架、摇臂和平衡块等部件组成。2．台阶轮由两种不同颜色的胶木大小轮组合而成，大轮直径φ120mm，小轮直径φ60mm，胶木件表面应光滑、无气泡和变形等缺陷。3．台阶轮上，刻有一条八等分、通过园心的标尺，标志应明显。台阶轮的大小园周边上，各有一对穿线孔，四小孔的轴线应与主轴在同一平面上。4．支架用厚2mm以上的钢板冲压而成，表面烤漆或镀铬。手柄直径φ10mm，长度120mm，主轴直径φ6mm，均为钢质，表面镀铬。5．摇臂直径φ6mm，臂长270mm，弯柄长50mm，平衡块直径φ24mm，均为钢质，表面镀铬。6．凡需调整的螺丝，均带胶木（塑料）手柄。7．台阶轮相对轴，轴相对支架，均转动灵活。台阶轮相对轴的静起动力矩不大于2.5x10-4牛顿米，端面应无明显跳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演示滑轮组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组成及规格:单滑轮2只，三并滑轮2只，三串滑轮2只，可卡滑轮2只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滑轮组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组成及规格:单滑轮4只，二并滑轮2只，二串滑轮2只，可卡滑轮2只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滚摆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滚摆由摆体（摆轮和摆轴）、悬线、支柱、横梁和底座组成。2、摆轮直径Φ125mm。摆轴直径Φ8mm，长160mm，轴上两个穿线孔距离140mm，穿线孔径Φ1.5mm。支柱高400mm，横梁长240mm。3、摆体（摆轮和摆轴）重0.65Kg。4、摆轴对摆轮的垂直度公差为0.25mm。5、摆轴粗细均匀。轴上二穿线孔对于摆轮的对称公差为0.5mm。6、摆体重心偏移轴线公差为0.45mm。7、摆轴镀铬。底座稳固、表面涂漆，支柱表面作防锈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手摇离心转台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机座、主动轮（附摇柄）和从动轮等组成。2、外形尺寸：550×240×150mm。3、机座材料为铸铁，配有橡胶脚，平放、立放均平稳可靠。4、主动轮直径为Φ240mm，从动轮直径为Φ40mm。5、主动轮和从动轮转动灵活、平稳，转动时皮带不会脱落。6、各部件作防锈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连通器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本产品由玻璃连通器和底座两部分组成。2、外形尺寸210×120×210mm。3、玻璃件选用钠钙玻璃。4、玻璃件壁厚约1.0mm。5、玻璃件细管外径为12mm，粗管外径为30mm。6、玻璃件经过退火处理。7、底座平稳，表面光滑无痕。</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液体对器壁压强演示器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组成及规格:产品由透明的圆管和圆缸组成。圆缸侧壁上，在不同深度固定有三个喷嘴。还有一个带螺纹的侧管，附件有螺塞、鼓膜塞、圆底板各2件；橡胶膜10片。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由刻度板、弹簧、指针、拉杆、悬挂定位装置等组成。指针可调。2、外形尺寸：390×90mm；内槽：287×25mm。3、量程：0～5N；最小分度值0.1N。4、刻度板用铝合金制成，刻线清晰。5、指针用钢板，漆红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惯性演示器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组成及规格:1、本产品为演示静止物体惯性。2、本产品由底座、立柱（顶端为球形凹槽）、弹片、钢片（或硬塑料片）、钢球组成。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浮力原理演示器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材质及组成:1、产品采用透明度好的材料制造。2、产品用于演示浮力的原理，能说明如下问题：a. 浸入液体里的物体受到向上的浮力；b. 浸入液体里的物体受到的浮力与液体密度的关系；c. 浸入液体里的物体受到的浮力与物体体积的关系；3、产品的基本组成为：容器、浮沉器等。4、容器能保证浮沉器在其中上下运动自如。5、浮沉器体积可调，上端有挂钩以便测力计悬挂。6、浮沉器的重量2N。7、产品在实验中效果明显，体现科学性、正确性、直观性、可视性的原则。8、产品制作材料能保证其耐用和长期存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轴承模型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模型由滑动轴承、滚动轴承组成。滑动轴承由铸铁座、铜套、钢制轴配合制成；滚动轴承由轴承钢制成，外圈对称剖为两半，合并后其不圆度公差不大于0.5mm。2．转动灵活、轻便，无松旷或卡死现象。3．可拆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水轮机模型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为轴流式水轮机模型。2、产品由机壳、叶轮、轴杆、支架、底座、水槽等组成，主要部件由硬塑料制成，各部件比例适当，位置正确，连接牢固，工作稳定可靠。3、叶轮转动灵活，无跳动卡滞现象。叶轮直径100mm。4、外形尺寸：Φ165×225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压力和压强演示器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规格:产品有压强小桌、海绵块组成，压强小桌为塑料制品，桌面尺寸为130×70mm，小桌腿长50mm，圆柱形略带锥度。 海绵块尺寸为：135×80×45mm，配合J2106金属钩码使用，不再配砝码。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潜水艇浮沉演示器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组成:产品由透明球体、配重块、吸排气筒、透明塑胶管等组成。 用途:本演示器生动地演示潜水艇沉浮原理，帮助学生深刻理解阿基米德定律的实际应用。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摩擦力演示器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组成及规格:1、仪器由主机箱、电动摩擦带、2N演示测力计、滑块和50g砝码组成。2、使用电源AC220V±10%  50Hz。3、主机调速开关分快、中、慢三档。4、仪器能演示下列实验：二物体相互接触和相对运动时有滑动摩擦力存在，证明滑动摩擦力的大小与压力成正比。说明滑动摩擦力的大小与物体接触面的粗糙程度有关，滑动摩擦力的大小与两物体相对运动速度无关。两物体相互接触有运动趋势时，有静摩擦力的存在，静摩擦力的大小随外力增大而增大。证明最大静摩擦力大于滑动摩擦力。5、仪器组装后，支架平稳、牢固。6、绝缘电阻20 MΩ。7、耐压：变压器初级对外壳交流电压1500V，历时1分钟无击穿及飞弧。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初中力学演示板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采用插接组合式,可演示初中力学基础实验20余个.部级检测,检测号20060510/01-WT</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抽水机模型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规格:活塞式抽水机模型，说明这种类型的活塞式抽水机的工作原理和基本结构。该模型主要由透明缸体、活塞、阀门、手柄、出水口、盆座组合而成。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物体浮沉条件演示器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材质及组成:1、产品采用透明度好的材料制造。2、产品用于演示物体的沉浮条件，能说明如下问题：a.  浸入液体里的物体受到向上的浮力；b.  浸入液体里的物体的浮、沉与液体密度的关系；c. 浸入液体里的物体的浮、沉与物体密度的关系；3、产品的基本组成为：容器、浮沉器等。4、容器能保证浮沉器在其中上下运动自如。5、浮沉器的密度可调—即可测体积的矩形物体体积与质量可变。6、浮沉器的密度可调范围在1克/cm3（水的密度）。7、产品在实验中效果明显，体现科学性、正确性、直观性、可视性的原则。8、产品制作材料能保证其耐用和长期存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液体压强与深度关系实验器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规格:1．产品由带刻度的实验浮筒、配重块组件、浮标环、盛液筒等组成2．砝码配有两种：铁砝码为配重，铝砝码为测量用3．教学演示效果明显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阿基米德原理实验器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塑料桶：高53mm，直径φ55mm 透明塑料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塑料圆柱体：高51mm，直径φ50mm 塑料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塑料溢水杯：高100mm，直径φ88mm 透明塑料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阿基米德原理及其应用实验器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规格：验证阿基米德原理，并可模拟该原理实际用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气体浮力演示器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规格:大球内胆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流体压强和流速的关系演示器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规格:快慢流速管、U型管，具水泵，浮标，可完成连通器及流体于流速关系6种实验。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飞机升力原理演示器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机翼模型、风机、底座、滑杆等组成。2、机翼模型尺寸80x60mm。3、风机符合GB/T13274《一般用途轴流通风机技术条件》的规定，风机出风口装有防护网。4、实验时，用风机正对机翼前沿吹，能使机翼上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单支音叉组成，附有共鸣箱和音叉槌。2、音叉频率为256Hz。3、音叉用钢材制成，叉股宽8.5mm，两支股内间距9mm，圆柄φ8mm，音叉全长200mm。4、两叉股表面平整，叉股内侧平面与底部圆弧光滑相切，表面镀铬，并有F256频率标志。5、叉股厚约5.5mm，两叉股的厚度约0.05mm。6、音叉表面粗糙度，外侧面和两平面Ra最大允许值1.25μm，内侧面Ra最大允许值2.5μm。7、共鸣箱用松木制造，木材经脱脂干燥处理，箱体无节疤和裂痕，箱内腔体积为300×80×40mm3。8、共鸣箱的插座与音叉柄配合紧密，音叉柄插入后无动摇现象。9、音叉槌用橡胶制造，球径26mm，杆为木材，杆长180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单支音叉组成，附有共鸣箱和音叉槌。2、音叉频率为512Hz。3、音叉用钢材制成，叉股宽8.5mm，两支股内间距9mm，圆柄φ8mm，音叉全长160mm。4、两叉股表面平整，叉股内侧平面与底部圆弧光滑相切，表面镀铬，并有F512频率标志。5、叉股厚约5.5mm，两叉股的厚度约0.05mm。6、音叉表面粗糙度，外侧面和两平面Ra最大允许值1.25μm，内侧面Ra最大允许值2.5μm。7、共鸣箱用松木制造，木材应经脱脂干燥处理，箱体无节疤和裂痕，箱内腔体积为140×80×40mm3。8、共鸣箱的插座与音叉柄配合紧密，音叉柄插入后无动摇现象。9、音叉槌用橡胶制造，球径26mm，杆为木材，杆长180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发音齿轮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组成及规格:1．由三片齿板、转动轴等组成。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2．齿轮用钢材制成，外形尺寸φ78×134mm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3．三片齿板的顶圆直径为φ78mm，齿数分别为80、60、40齿，齿的分布均匀，齿片平整，无毛刺。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4．三片齿板相距23mm，顺序装在转动轴上，装配应牢固端正。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5．三片齿板表面镀铬，其余表面镀锌。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单摆组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组成及规格:1、产品由五个摆球组成，每个摆球都有一个径向通孔，可穿过细线，把它悬挂在铁架台上。2、摆球的直径、质量及数量见下表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   数量    直径（mm）    质量（g）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大钢球   1   19.05±0.042  28.00±0.25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小钢球   2   14.30±0.035   11.5±0.25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大塑球   1   27.00±0.26    11.5±0.5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小塑球   1   19.05±0.21    10.5±0.5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仪器能演示下列实验：单摆的振动周期；单摆的振动周期与振幅无关；单摆的振动周期与质量无关；单摆的振动周期与摆长的平方根成正比；测定本地区的重力加速度。4、金属球表面镀铬，塑料球表面光洁，圆整，摆线结实，有韧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声传播演示器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性能:1、产品说明声波分别在空气、液体、固体中的传播情况。2、产品由声源发生器、媒介容器、声波放大器等组成。3、声源所发声音清晰悦耳、动听。4、媒介容器透明、无渗漏。5、声音放大器不失真反映声源的声音，在声源关闭时无任何杂音。6、声源发生器、声音放大器所用电源有外接接线柱，电源电压6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声速测量仪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由一台主机及两个专用传感器组成，并配有一组专用连线，一个发声装置和一组支架，实验时与J01201数字计时器配套使用。2、主机与声传感器配合使用，声传感器接收，用金属铃敲击声音使数字计时器开启或关闭的距离4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量热器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材质:内外铝桶，符合JY 231《量热器》标准要求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内聚力演示器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由两只带有金属挂钩的铅圆柱体组成，并配有挤压板和旋转式刮削器。2、圆柱体直径φ20mm、长50mm。3、铅圆柱体的有效使用长度30mm。4、挂钩镀铬。安装在圆柱体端面的中心。5、圆柱体无砂眼气孔，表面漆层均匀、美观。6、削平两圆柱体端面压接在一起后，承受纵向拉力60牛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空气压缩引火仪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气缸、底座、端盖、活塞等组成。2、气缸由有机玻璃制成，缸长130mm，外径φ25mm，内径φ10mm。缸体透明度好，表面无划痕。3、底座直径φ65mm，底座与缸体连接牢固，放置平稳。活塞与气缸气密性良好。4、手柄直径φ40mm，表面光滑、无毛刺；活塞杆直径φ8mm，表面镀铬，手柄与活塞杆连接牢固并具有足够的机械强度。5、产品在正常的冲击力作用下，实验效果明显。6、连续压缩引火100次，密封圈的使用效果不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机械能热能互变演示器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导热管、塞盖、弓形夹、摩擦绳等组成。2、外形尺寸180×75×20mm。3、导热管用φ16×1mm紫铜管制成，长65mm，表面抛光处理。4、导热管与底座焊接牢固无漏气现象，可承受径向拉力500N。5、弓形夹有效夹持厚度5～55mm，夹持深度30mm。夹紧压力200kg。6、导热管与弓形夹的安装无明显倾斜、夹持稳固，塞盖与导热管配合松紧适宜。7、摩擦绳为φ4.5mm腊旗绳，长度为1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汽油机模型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工作电压：直流1.5V～2V。2、模型示汽油机的汽缸体、进汽阀、排汽阀、汽阀弹簧、进汽道、排汽道、活塞、活塞环、连杆、曲轴、飞轮、火花塞、凸轮、水套。3、模型在演示时，四个冲程工作过程动作准确、前后衔接，并配有指示灯说明。4、仪器的转动和手动部分轻便灵活，无晃动和卡死现象。5、电路排列整齐、接触良好。6、用不同颜色表示有关机构。7、产品主要部件光洁，无毛刺、无缺陷，金属构件镀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柴油机模型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工作电压：直流1.5V～2V。2、模型示柴油机的汽缸体、进汽阀、排汽阀、汽阀弹簧、进汽道、排汽道、活塞、活塞环、连杆、曲轴、飞轮、火花塞、凸轮、水套。3、模型在演示时，四个冲程工作过程动作准确、前后衔接，并配有指示灯说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金属线膨胀演示器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铜、铁、铝棒、传动机构、指针底座等，符合新配标标准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固体缩力演示器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规格:由试棒、底座、铸铁销和手柄等组成，附专用酒精灯。用途:中学物理教学演示固体缩力实验用。符合新配标标准。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热传导演示器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规格:由试验棒（铁、黄铜、铝各1支）、加热块、底座、试验棒支架、金属环（3个）构成，三支加热棒并排固定在加热块上均匀受热，另一端弯曲成“L”形，试验棒在支架上灵活转动，并调节位置高度。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海波的熔解凝固实验器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特点:确保熔化过程等温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液体对流演示器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材质:使用外径15mm，壁厚约1mm九五料硬质玻璃管制成矩形玻璃框，经退火处理消除应力，接口外没有棱爆现象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双金属片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材质:由两片180mm*14mm*1mm的铜、铁片紧密结合在而成，具木质手柄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大气压系列实验器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用途:供学生进行下列实验：大气压的存在及其方向；大气压强与空气密度有关；大气压应用，测大气压强等。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气体做功内能减少演示器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演示器筒体用中空透明塑料圆筒制成，壁厚约3mm，筒高90mm，内径40mm。2、筒体上部有密封装置，橡皮塞有防飞出装置。3、圆筒一侧垂直装置100×130×3（mm）的茶褐色有机玻璃作为背景。4、教学演示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碘升华凝华管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规格:1.造型为密封的玻璃瓶，内装10g的碘粉。2.玻璃瓶用95号玻璃制成。直径25mm，高120mm. 3.玻璃瓶光洁透明，无波纹和疵病，密封完好无裂缝、砂眼。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规格:八种频率（256Hz，288Hz，320Hz，341.3Hz，384Hz，426.6Hz，480Hz，512Hz)钢制音叉组成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包括：有机玻棒2根，丝绸1块。2、有机玻棒外形尺寸：长度300mm。3、丝绸尺寸360×360mm。4、玻棒表面无斑痕、气孔，烧制后做退火处理。有机玻棒表面光洁，手持端有标志。5、丝绸为桑蚕织品，颜色为本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胶棒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规格:硬橡胶棒2根，毛皮1块,硬橡胶棒外形尺寸：长度300mm,毛皮尺寸150mm×150mm。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箔片验电器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教师用,1、由外壳、圆球或圆盘、导电杆、箔片及中位卡组成。2、外壳牢固、平整、底座平稳，透光部分光洁透明，无气泡及划痕。3、圆球、导电杆及中位片用金属制成，镀铬抛光。4、导电杆与外壳间有绝缘套管。5、金属箔片厚度0.02mm，长度25mm，带电时能顺利张开，两边张角对称，不飞翻弯曲，电荷消失后能完全回零。6、在圆球上加8KV的直流高压时，泊片的两边张开与中位片的角度45°。移去高压后，箔片张开角度保持30°以上的时间1分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指针验电器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产品由两只灵敏度相同的指针验电器组成。指针验电器由外壳、圆球或圆盘、导电杆、绝缘子、指针、指针架、接地线柱等构成。2、壳体连接牢固、平整周正，底座平稳，表面无明显划痕，壳体的演示面有指针张开角度的刻度，如有活动门则门与壳体之间的配合严密活动方便。3、圆球或圆盘及导电杆用金属制成，镀铬抛光后，表面光洁无毛刺。4、圆球或圆盘与导电杆之间用M4螺纹配合，装配后整体平整周正。5、指针用薄金属片制成；长度100mm，针体平直，表面光滑无毛刺，下部成箭头形，漆红色。6、指针架用金属制成，镀铬抛光后表面光滑无毛刺。指针装在指针架上时，动作灵敏可靠，不前后偏斜摇摆，电荷消失后能顺利向零。7、在圆球或圆盘上连接9KV直流高压电源的一极时，指针张开角度45°，移去高压后，指针保持30°以上的时间10分钟。8、本产品中两只验电器的指示灵敏度指针指示张角0°到60°范围内不会有明显的偏差。指针指示文化中不会有跳动现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验电器连接杆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规格:物理静电实验中作活动的连接导体用。由导电杆、绝缘与柄，压紧块及压紧螺钉组成。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感应起电机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在温度为20℃、相对湿度为65%的环境中，摇柄转速120转／分，火花放电距离55mm。在温度为5～30℃范围，相对湿度80%的条件下，仪器正常工作，火花放电距离30mm。2、起电盘采用直径275mm，厚约3mm的有机玻璃板制成。3、起电机两电梳之间采用无横梁、悬臂式结构。4、底座采用绝缘性能优良的塑料或其它同等性能的材料制成。5、起电盘径向跳动，两盘跳动量1.5mm。6、两盘盘面不平度使起电盘在转动中两盘内侧任一点间距离2.5mm，最大5.5mm。7、起电盘中心轴横向窜动量1mm。手摇转柄轴横向窜动量2mm。8、起动盘转动平稳灵活，在手摇转柄转速120转／分的条件下，仪器无颤动现象。9、电刷在起电盘上与铝箔接触良好。10、电梳由针状金属杆或柬状裸铜丝制成。11、起电盘上铝箔粘接整齐牢固。12、莱顿瓶极板涂敷高度120mm，涂敷层牢固不会有划伤或局部脱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小灯座</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规格:1、小灯座由底板、接线柱，灯座组成。 2、小灯座为螺旋式灯座与E10／13、E10／14、1c9／14计小电珠配用。3、小灯座最高工作电压为36V，最大工作电流为2.5A。4、底座用黑色塑料制成，表面平整光洁。外形尺寸75X35X10mm，底座上有两个直径为4.5mm的安装孔，孔的中心距离为40±0.5mm。有足够的强度。5、接线柱为644型，行程6mm。6、灯座用厚0.5～0.6mm的磷铜片制做，表面镀镍。灯座与两接线柱之间用宽8mm的铜片连接和灯座为一整体。7、小灯座上所有螺丝、螺母、垫片为铜质。8、小电珠旋入后，接触良好可靠。9、未旋入小电珠时，两接线柱间电阻100MΩ。10、未旋入小电珠时，两接线柱间抗电强度为500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单刀开关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规格:1、开关的最高工作电压36V，额定工作电流6A。2、开关闸刀与接线柱及垫片均为铜质，闸刀的宽度7mm，闸刀厚度约0.7mm。接线柱直径为φ4mm，有效行程4mm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滑动变阻器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规格:电阻20Ω；额定电流2A；电阻值误差小于10％。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滑动变阻器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规格:50Ω，1.5A；电阻值误差小于10％。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滑动变阻器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技术规格：电阻200Ω；额定电流1.25A。2、滑动变阻器绕线紧密排齐、平整。3、电阻线绝缘层承受1.5KV的电压不被击穿；滑动变阻器承受1.5KV的电压试验，不会出现飞弧或击穿现象。4、在额定电流下工作时，温升300℃，试验后绕线无松动，绝缘层无破损现象。5、瓷管表面上釉，光滑平整，无裂纹。6、常温常湿条件下绝缘电阻20MΩ。7、滑动头与电阻线、滑杆保持良好的弹性接触，触头圆滑，压力均匀，滑动顺畅。滑动头在电阻线上滑动时，电阻值均匀变化，不会有间断跳跃现象。8、支架、护罩采用金属材料制成，与绕线电阻管和滑杆结合牢固、端正，放置平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滑动变阻器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规格:1．电阻5Ω；额定电流3A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2．电阻值误差10％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3．滑动变阻器绕线紧密排齐、平整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4．电阻线绝缘层承受1.5KV的电压不被击穿；滑动变阻器承受1.5KV的电压试验，不出现飞弧现象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5．在额定电流下工作时，温升300℃，试验后绕线无松动，绝缘层无破损现象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6．瓷管表面上釉，光滑平整，无裂纹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7．常温常湿条件下绝缘电阻20MΩ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8．滑动头与电阻线、滑杆保持良好的弹性接触，触头圆滑，压力均匀，滑动顺畅，滑动头在电阻线上滑动时，电阻值均匀变化，无间断跳跃现象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9．支架、护罩采用金属材料制成，与绕线电阻管和滑杆结合牢固、端正，放置平稳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规格及工艺:1、电阻圈的电阻丝应采用精密电阻合金丝（如康铜线、锰铜线、新康铜线等）绕制。表面氧化处理。2、每组包含以下三种规格的电阻圈各一只：5Ω 1.5A ，10Ω 1A， 15Ω 0.6A 3、接线端钮应为铜质材料，连线后其接触电阻0.1Ω。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电阻定律演示器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组成及规格:1、产品由底板及铜、铁、镍铬三种金属导线、接线柱、连接片、支撑架等组成 2、底板尺寸：1060×150×40mm。3、金属导线应精细均匀，在有效长度内不能有弯折、锈蚀现象。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电阻定律实验器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组成及规格:1、本产品由底板及铜、铁、镍铬三种金属导线、接线柱、连接片、支撑架等组成。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2、底板尺寸：560×180×40mm。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3、金属导线精细均匀，在有效长度内不会有弯折、锈蚀现象。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4、三种金属导线的规格、阻值如下表：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 导线直径（mm） 有效长度（mm） 参考阻值（Ω） 数量（根）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铜  0.5±0.04   1000±2　  0.09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铁  0.5±0.04   1000±2    0.5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镍铬0.5±0.04   1000±2     5      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5、金属导线、接线柱与底板装接牢固、无松动现象。金属导线在两接线柱间的长度为1000±2mm。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6、金属导线的材质、直径在底板上有明显的标记。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7、底板平整无变形、表面作防护处理。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8、连接片为1mm厚的黄铜制成，表面镀铬。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9、接线柱为铜质，直径8mm，与底板绝缘良好。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演示电阻箱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规格:1．演示电阻箱是插头式电阻箱的解剖形式，用来演示插头式电阻箱的基本构造和原理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2．产品由展开在一平板上、相互串联的四个电阻线圈组成，四个电阻阻值分别为1Ω、2Ω、2Ω和5Ω可分别由四个短路插头短路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3．1Ω、2Ω、2Ω电阻用线径为0.55mm的康铜丝绕制，允许通过的最大电流为2A；5Ω电阻用直径为0.45mm的康铜丝绕制，允许通过的最大电流为1A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4．单个电阻阻值的最大允许误差为0.05Ω测试方法：用电桥分别测量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5．零电阻0.05Ω测试方法：将短路插头全部插入，用双电桥反复测三次，取三次的算术平均值0.05Ω。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教学电阻箱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规格:1.电阻箱阻值调节范围0～9999.9Ω；电阻箱最小步进值0.1Ω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2.符合JY 31-88《教学电阻箱》标准规定。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简式电阻箱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规格:1.调节范围0～9999Ω；电阻箱最小步进值1Ω 2.符合JY 32标准。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学生线路实验板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用途:初中学生组.可分组进行电学基础实验8个。部级检测,检测号20060517/01-WT</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单刀双掷开关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规格:1、开关的最高工作电压36V，额定工作电流6A。 2、开关闸刀与接线柱及垫片为铜质，闸刀的宽度7mm，闸刀厚度约0.7mm。接线柱直径为φ4mm，有效行程4mm。3、开关通额定电流，导电部分允许温升35℃，操作手柄允许温升25℃。4、开关的绝缘强度能承受1200V，漏电流为5mA，频率50Hz的正弦交流试验电压历时1min的耐压试验，无飞弧、无击穿现象。5、开关在额定直流电流工作条件下，其接线两端直流电压降100mV。6、开关在高温50±2℃和低温－40±2℃各贮存4h，其工作性能不变。7、开关具有足够的强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电池盒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组成及性能:仪器由可放置1节1号电池的4个电池盒组合而成，可做串连或并联使用。接插件、弹簧材质：不锈钢。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焦耳定律演示器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组成及规格:1、仪器由贮气盒、电流表、玻璃管、连接软管、刻度板等构成。2、电源电压：DC0～15V。3、工作电流：2A。4、教学演示效果明显。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焦耳定律实验器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规格:由贮气盒、电流表、玻璃管、连接软管、刻度板等构成。用途:供分组实验用。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保险丝作用演示器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使用电源：交流198V－242V，50Hz。2、面板长450mm，宽300mm。正面有相应的实验电路图，电路图绘制正确、清晰、不易脱落。3、绝缘实验导线或裸实验导线用的接线柱为铜质，接线柱间的距离280mm，绝缘实验导线或裸实验导线与接线柱连接后，导线与面板间的距离30mm。4、接保险丝的接线柱为铜质，两接线柱间的距离80mm。5、电路开关开合松紧适宜，控制准确；接线柱、灯泡口接触良好，各连接件连接方便可靠。6、实验材料及要求按下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序号 材料名称 要求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保险丝 额定电流1A，长度5m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保险丝 额定电流2A，长度5m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保险丝 额定电流3A，长度5m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保险丝 额定电流5A，长度5m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铜导线 单芯，直径0.5m，长80mm，数量10根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绝缘实验导线 额定电流3A，长290mm，数量30根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裸实验导线 单芯，直径0.7mm，长285mm，数量10根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短路导线 多芯铜线，长150mm，两端有接线夹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负载（灯泡） 12V  50W，数量4只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负载（灯泡） 12V  10W，数量2只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保险丝在长时间通过额定电流时不熔断，通过大于二倍额定电流时短时间内熔断。8、绝缘实验导线的芯线为金属合金导线，外套为无毒塑料管或纸管；当通过电流大于二倍额定值时，绝缘实验导线外套管能冒烟、燃烧。9、交流电压表和交流电流表为竖直使用式，准确度等级2.5级，其它符合JY0330的有关要求。10、在9m外观看实验现象清晰。11、当输入电压为220V时，电源输出空载电压14.5V；额定电流时负载电压12V。额定电流值由产品规定10A。12、用裸实验导线连接电路，并在接保险丝的两接线柱间接铜导线，接入产品规定的最大负载，通电5分钟后将负载短路，保持5分钟，关闭电源。重新开启电源，仪器正常工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电子门铃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规格:带座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条形磁铁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规格:D-CG-LT-180型 参数:1．主参数（高度）长度180mm，磁极横截面积405mm²、磁感强度0.07T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2．教学用磁钢极性标注，指北极（N）为红色，指南极（S）为蓝色，N、S字母的颜色为白色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蹄形磁铁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规格:D-CG-LU-80型 参数:1．主参数（高度）高度80mm，磁极横截面积200mm²、磁感强度0.055T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2．教学用磁钢极性标注，指北极（N）为红色，指南极（S）为蓝色N、S字母的颜色为白色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蹄形磁铁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规格:D-CG-LU-100型 参数:1．主参数（高度）100mm，磁极横截面积670mm²、磁感应强度0.07T。</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2．教学用磁钢极性标注，指北极（N）为红色，指南极（S）为蓝色。N、S字母的颜色为白色。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磁感线演示器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规格:条形、蹄形。 教学演示效果明显。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直导线磁场演示器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组成及规格:直导线及透明底板组成，电磁场行成可用小磁针或铁粉演示，工作电流：直流2-6A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环形电流磁场演示器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组成及规格:环形导线及透明底板组成，工作电流：直流2-6A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通电螺线管磁场演示器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组成及规格:螺线管及透明底板组成，电磁场行成可用小磁针或铁粉演示，工作电流：直流2-6A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翼形磁针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组成及规格:每组包含翼形磁针2支，磁针体尺寸140×8mm；支座底径71mm，总高112mm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菱形小磁针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规格:每组包含菱形小磁针16支，磁针体尺寸28mm×8mm；支座底径25mm，总高25mm,磁针体的中间铆接铜轴承套，内嵌玻璃轴承, 磁针在无外强磁场或铁磁性物体影响下，磁针应无明显倾斜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蹄形电磁铁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组成及规格:密绕细线，稀绕粗线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规格:1、电铃由电磁铁、衔铁、铁铃、衬板和底座组成，立式。2、工作电压：直流3～6V  4、音响效果：在15米范围内铃声清晰。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演示电磁继电器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产品主要由电磁系统和触点系统两部分组成。电磁系统包括：电磁线圈、铁芯、轭铁、衔铁，触点系统包括：常开、常闭触点各一对。立式。2、吸合电流48mA。3、释放电流10mA。4、额定工作电压：DC9V,电流：60±10mA。5、触点接触电阻：常闭触点1欧；常开触点0.5欧。6、触点开距2mm。触点开、闭后，无抖动现象。7、在额定工作电压上，耐受500次无误动作。8、电磁线圈平绕，最外层有明显的绕向标志。9、轭铁的装配不易脱落。10、铁芯、轭铁、衔铁、触点片表面镀铬或镀镍。11、触点的铜质表面镀银或镀镍。2、各导线端要焊铜质接线片，再与接线柱连接，接线片表面镀锡或锡合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电磁继电器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卧式，外形尺寸：卧式100×65×70mm。2、电磁继电器由控制系统和电磁系统两部份组成。3、控制系统包括：动断和动合触点各一对。4、电磁系统包括：线圈、铁芯、支架、衔铁等。5、额定工作条件：线圈额定工作电压为直流6V，电流为30±3mA；使用时，被控端电压36V，电流1A。6、吸合电流30mA。7、释放电流7.5mA。8、触点接触电阻0.2Ω，动合触点闭合后无抖动现象。9、铁芯、支架和衔铁：材料为电工纯铁或能满足性能要求的其它软磁材料。支架和衔铁的配合转动灵活。10、线圈：绝缘塑料骨架，绕线平整，引出线为多股塑料软线并与线圈扎紧。外层附有其电气性能标志。11、弹簧片：对衔铁的压紧点落在衔铁纵轴线上并使衔铁动作灵活。12、触点及触片合为一体，簧片为弹性铜合金片（如铝镍青铜），触点为纯银、银合金或经表面处理的铜触点，表面光滑。13、接线端钮：由铜质螺钉及不同颜色的塑料压紧螺母组成。14、引线：塑料导线，颜色与相连的接线端钮相同。15、底座：塑料制，接线端钮旁有接线标志，A为动断触点，B为触点，C为动合触点，D、E为线圈。16、外壳：透明且密封良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左右手定则演示器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左右手定则演示器由底座、撑杆、接线板（棒）、方形线圈组成。2、底座用170mm×110mm×25mm的非金属材料制成，其底部安装垫角。3、撑杆长度250mm，与底座装接牢固。4、悬挂方形线圈的接线板(棒）用具有一定强度的绝缘材料制成，长度150mm,其上装有红、黑两只接线柱。5、方形线圈要求：线圈框架为非金属材料，结构为正方形，内边长63±3mm，其上有绕线槽。线圈引线采用导线截面积0.8mm2的多股软线制成，线端接线叉加套管。6、底座、撑杆、接线板（棒）、方形线圈装接后，线圈框架底端内边两端到底座的高度3mm，其中部到底座的高度为46±3mm。7、配合D-CG-LU-100型蹄形磁铁（磁极端面磁感应强度为0.5±0.1T）演示左手定则。在方形线圈的输入电流为1.5A时，方形线圈偏离平衡位置的位移130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手摇交直流发电机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规格:1、本机输出端电压：在转子转速为1600转/分时，空载电压8V，串入4.8V，0.3A小灯泡，负载电压5V。 2、本机两个电刷放在整流子两端时，输出为交流电，放在整流子中间时，输出为直流电。3、转子线圈用Ф0.47～0.49mm高强度漆包线，平绕440匝，误差±5%，转子外表刷绝缘清漆。4、磁铁两极有明确的表示色，红色为N极，蓝色为S极。5、电枢转轴，由元钢制成，电枢支架上两轴孔的不同轴度0.1mm，转手与极靴的距离1.5mm，无碰撞和磨擦。6、本机底座为木制,平面无变形,裂缝,四脚平放,不晃动,漆面光洁,均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小型电动机实验器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规格:立式 符合新配标标准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阴极射线管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规格:磁效应 用途:演示阴极射线在磁场内发生偏转的现象，说明阴极射线是从阴极发射出的带电微粒流。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电磁铁实验器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用途:分组实验用 规格:1．由激磁线圈、铁芯及衔铁组成，可组成条形、蹄形及圆形电磁铁。2．工作电压：直流4.5V；工作电流：0.4A。3．线圈用漆包线分二组绕制，绕线平整线圈骨架的一端上装有头、中、尾三个接线柱。4．条形电磁铁一组线圈通电时产生的吸力1N；二组线圈通电时产生的吸力2N；蹄形电磁铁通电后产生的吸力10N；圆形电磁铁通电后产生的吸力20N。5．电磁铁在连续工作20min后线圈温升75℃。6．铁芯剩余磁力：条形电磁铁0.1N；蹄形电磁铁3N；圆形电磁铁3N。</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规格:1、模型为立式，高300mm，宽215mm，厚45mm。2、转子和定子截面210×135（mm）。3、工作电压：DC6～12V。4、输入功率：2.5W。5、 演示部分外表无缺陷，表面涂镀层不会起泡、脱落，光泽明亮，面板字符清晰，标志正确，开关安装位置可靠，转动部位灵活，各部件拆装方便，电路接触良好。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电话原理模型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规格：1．产品主要由面板、送话器、受话器及指示灯等组成2．面板长度450mm，板面上印有电路及声波、振动波示意图，图形清晰醒目3．工作额定电压：DC6～8V。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立体磁感线演示器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一套二台，圆形和椭圆形各一台。2、仪器由上、下支架板、立板、固定夹等插接而成。组装后应固，稳定。另附条形和蹄形磁铁（永磁铁）各一个。3、立板、支架板由透明聚苯乙烯制成，透明度好，平整，光洁。4、圆形的其间竖立6块立板，相间60度夹角，椭圆形的其间8块立板、其间45度夹角。5、演示效果直观，小磁针显示出磁感线在空间的分布状况。</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磁感线演示板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组成及规格:1、仪器由透明穴板、方线圈、圆线圈、螺线管、亥姆霍兹线圈、铁芯板、磁屏铁环、投影磁针、透明字标等构成。2、使用电源：直流，最大电流8A，电压24V。3、电磁线圈在通过电流5min内温升50℃。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能的转化演示器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作用:机械能、化学能、电能、热能、光能的转化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能的转化实验器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作用:势能→动能，机械能→电能→热能→光能；化学能→电能→机械能→热能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磁悬浮演示器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规格：演示磁悬浮效果明显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门电路演示器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用途:演示用 铝合金包装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规格：1、本仪器由主演示板和与门、非门、与非门组成。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2、主演示板上绘有电路图应正确，清晰。磁吸附结构设计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3、能直观地演示各门的逻辑关系。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光具盘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矩形光盘或圆形光盘、光源、狭缝、光学零件等组成的磁吸附式光具盘。2、矩形光盘尺寸650mm×240mm。3、圆形光盘直径为250mm。装在矩形光盘上转动灵活，并能停止在任意位置上。4、光源电压24V，电流6A。光源出口处照度6Klx。开启光源后，外壳最大温升于60°。5、狭缝数7条，缝宽为3±0.2mm，相邻两条缝的中心距为13±0.5mm。6、光学零件见下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序号   零件名称        结构尺寸（mm）    焦距（mm）   配备数量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梯形玻璃砖   L=85；h=25；d=15；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等腰直角三棱镜   S=53；d=15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半圆柱透镜       R=37；d=15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凹凸柱面镜  L=85；h=25；d=2 ±100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大双凸柱透镜  L=110；h=25  155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6 小双凸柱透镜  L=60；H=25   100     1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小双凹柱透镜  L=60；H=25  -100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平面反射镜    L=85；h=15  d=5      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9 正三棱镜   S=25；h=25   ∠A=60°   2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双凸透镜     D=40        100      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凹面镜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组成及规格:1、本仪器由凹面镜、镜框、金属支架、镜座等组成。2、凹面镜的直径为100mm。3、凹面镜的焦距为65mm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凸面镜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组成及规格:1、本仪器由面镜、镜框、金属支架、镜座等组成，两套成对。2、凸面镜的直径为100mm。3、凸面镜的焦距为－65mm。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玻璃砖</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组成及规格:1、玻璃砖为非等腰梯形，两底角分别60°和45°。2、玻璃砖用光学玻璃磨制，其折射率在1.50～1.55范围内。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光具座</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规格:双轨96MM 光源工作电压：交直流6-8V；功率：5W；白屏：表面平整，涂覆均匀，边缘无毛刺。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光具组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符合新配标标准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三棱镜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用途:演示用 组成:1．由三棱镜、托架、支柱、底座等组成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2．三棱镜体外形为正三棱柱，边长25mm，相邻两角为60°，棱长80mm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3．三棱镜体采用中部色散NF-NC0.0080的玻璃磨制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4．三棱镜体表面不许有目测到的划痕和砂眼，边缘不许有裂、碎、缺角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5．托架有足够的强度，三棱镜体能作任意方向的转动，并能停止在任意位置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6．支柱高度可调，其升降范围30mm整个仪器有足够的稳度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白光的色散与合成演示器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组成及规格:1、产品由三棱镜2个（一对）、光源、光屏及底座等组成。2、两块棱镜配对。3、三棱镜的顶角为60°，有效边长25mm，高度25mm，非工作面磨砂。有保护性倒角。4、棱镜固定可靠，装卸方便。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光的三原色合成实验器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仪器使用光源为红、绿、蓝发光二极管。2、工作电压：DC6V；工作电流：0.3A。3、调节红、绿、蓝三色的光强，三色光斑互相重叠部分的色彩随之改变，当红、绿、蓝三色的光强比例合适时，三色光斑互相重叠部分呈白色，红、蓝色光斑重叠部分为品红色，红、绿色光斑重叠部分为黄色，蓝、绿色光斑重叠部分为青色，实验效果明显，且操作方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紫外线作用演示器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产品由防紫外线罩，紫外线灯，日光灯，滤光片，荧光片，主机盒等组成2．使用电源AC220V±22V50Hz.3．紫外线灯为AC220V6W波长265mm、254mm各一只4．日光灯：220V，8W一只5．主机盒上端各功能开关，标识清楚，使用正常6．紫外线防辐射罩由红色有机玻璃粘制而成，表面光洁，不易破损7．滤色片为52×70mm厚度约2mm有机玻璃黄、蓝、红、绿各一片表面光洁，无气泡，划痕8．荧光片在365mm紫外线灯下，荧光清晰可见9．绝缘电阻20MΩ.10、绝缘强度：交流1500V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红外线作用演示器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本仪器包含：红外线发现实验器、红外线性质说明器和红外线控制器，三套实验装置。2、红外线发现实验器在屏上清晰显示经三棱镜分光后获得的可见光谱，屏上射出的光的亮度能使红外线控制器产生响应。3、红外线性质说明器使用凹面镜焦距为60±10mm。铁球和热辐射计能分别经调正固定在二凹面镜的焦点上。4、红外线控制器能进行控制灯的开关实验和红外线报警器的实验。反应灵敏度能在红外线发现实验中当电源电压达到AC12V时足以产生响应，控制器工作电源DC6V±1V。5、仪器结构件装配牢固，位置可调正的部件调正灵活方便。6、各功能开关，接插件标志清晰，作用正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照相机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规格:机械快门，手动调焦，有B门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平面镜成像实验器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规格:膜玻璃及支架，对称塑像，测量尺组成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半导体激光光源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工作电压：DC4.5V。2、半导体激光光源由三支半导体激光器组成，可单支使用，也可以3支合并使用。3、每支激光器波长：630nm～680nm，功率约1mW。4、激光器安装在支架上，支架下的磁铁牢固地吸附在底座上，并能任意改变方向。5、附件配置：附有扩束镜、分束镜、支架、底座、电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酒精喷灯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规格：1.实验室常用的工具，用于弯曲玻管（棒）和熔接玻璃管用，结构为座式。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2.由壸体、预燃盘、壸嘴、喷管、火苗调节杆、通针等部分组成。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3.壸体接缝紧密，不漏酒精和漏气。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4.壸体上旋盖螺纹配合紧密，不漏气，开闭灵活。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5.壸体装酒精容积300ml。</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6.壸体为铜材制作，美观大方，无碰伤现象。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7.喷管与各管焊接处用银铜料焊接，不会因喷火燃烧而熔化焊接，不漏气。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8.火苗调节杆柄在调节火苗时不变形。调节手轮不会因工作时焦熔。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最大钻孔直径13mm，主轴最大行程50mm，主轴锥度：B16，工作台回转半径：104mm，工作台尺寸165×165mm，底座尺寸：290×290mm，主轴端至台面最大距离210mm，主轴端至底座面最大距离300mm，立柱直径46mm，电机功率：250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台虎钳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规格:100mm 台虎钳的钳身和钳座为铸铁，调节螺杆和钳口夹铁为优质合金钢 钳身在钳座上可以360°旋转。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砂轮机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使用电源：AC220V 50HZ、电机功率：300W、砂轮直径：150mm。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多用工具机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规格:1、额定工作电压：AC220V、50Hz。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2、功能：兼具车、钻、铣功能，可适用于金属材料及其他材料的加工。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3、车削：床身上工件最大回转直径 140毫米、最大工件长度 250毫米、主轴通孔直径 10毫米、主轴孔莫氏锥度 莫氏2号、尾轴孔莫氏锥度 莫氏1号、主轴跳动精度 0.02毫米、主轴转速范围 100-2000转/分、托板横向行程 50毫米、螺纹加工范围 0.5-1.25毫米、输出功率150瓦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4、钻孔与铣削：最大钻孔/铣削直径 10毫米、钻孔/铣削主轴行程30毫米、钻孔/铣削主轴转速100-1300转/分、T型槽宽度8毫米、输出功率150瓦、整机净重/毛重 40/45公斤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规格:具备防酸碱功能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件 </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护目镜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材质及工艺:由高级光学树脂（聚碳酸酯）一次注塑制成，表面强化镀膜，无屈光度。侧面完全遮挡。耐腐蚀、不变形，阻燃自熄功能，强度好，耐冲击，不易破碎，具有防爆功能。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付</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材质:线手套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30*200mm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圆、长，500ml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平、长，250ml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酒精灯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漏斗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90mm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T形管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8*120mm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石棉网</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125*125mm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蒸发皿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钢直尺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固体测量套件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套尺，塑料全套尺，三角板，量角器，等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2kg-0.1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数显温度计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5米探头，大屏显示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红水柱-10-100度 高度60cm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异形固体密度测量</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简易电子天平附带量筒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方形线圈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方形线圈8*8cm，配横向支杆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演示导线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铜夹子-夹子，长度1米，线径0.75平方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条</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演示导线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铜夹子-插头，长度1米，线径0.75平方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条</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演示导线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铜夹子-夹子，长度60cm，线径0.75平方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条</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实验小车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静音轮（空转可持续30秒）质量200克，有留个砝码配重草，带减震防摔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多功能力学轨道小车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铝型材轨道，长90cm，配精密轨道小车，小车释放装置停止装置，塑料小筒，6克钢珠10个，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数字计时测速器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计时测速两用，配支架，可与轨道小车配套使用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力的作用效果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（力的三要素演示器）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实验版面35*35cm磁吸式，配弹性钢条和磁吸定滑轮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外力改变运动方向</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木制小桌长45*宽30cm配条形磁铁钢珠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重心演示器架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金属框架20*30*30cm重心吊线重心偏移锁紧手拧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旋转支架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搭配条形磁铁、橡胶棒、玻璃棒等使用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动能势能铝制单轨道实验器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（学生分组）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实验架体为金属材质，总长65cm斜槽高16cm，轨道光滑度一致。配木制滑块（滑块被撞击后不会发生二次撞击现象），三个钢珠质量为14克，20克和28克。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J2175摩擦力实验器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金属轨槽（10*50cm）、可拆卸测力计悬挂支架、摩擦块4*8*10cm ，分别是光滑不锈钢面和细砂纸面。滑动磨擦板10*50cm、分别是粗糙、光滑两种布面，200g砝码两只，5N条形盒测力计1个。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J21064动能势能实验演示器（铝制单轨道）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框架为铁质、轨道为铝制。长85cm,宽5cm,高19cm，三个钢珠质量为28克、42克和56克。电磁铁可吸附钢珠从不同高度释放，斜槽两侧三个高度位置有速度标线（钢珠到水平槽时的速度），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液体对侧壁压强实验器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（玻璃材质）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800ml广口瓶侧孔∅40*40mm,配带孔橡胶塞、玻璃管、软管、漏斗、橡胶薄膜，可探究液体对侧壁压强与深度有关与液体质量无关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六孔浮力产生原因</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塑料透明长方体（10*10*22cm、 带手柄、 上下左右共6孔直径6cm 可覆膜）。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透明塑料材质20*20*30。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41*36*15cm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实验准备车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460*1300*320 五层  配磨砂垫不锈钢静音轮带刹车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辆</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盐水淡水压强比较装置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透明塑料水槽（12*16*30cm，中间有隔板，隔板下方位置有直径7cm孔可覆膜，水槽两侧上下两孔直径50可覆膜。水槽正面两侧有水位深度刻度标线。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大气压套管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透明管∅直径15mm，一端配盖堵，长度100cm、60cm、20cm各一个，∅10*50试管1个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J22106覆杯实验大气压测试仪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拉力架铁制表面喷塑，12*30*60cm，拉力杆固定轴承承受压力大于200公斤，数字拉力计最大拉力200公斤。不锈钢锥形碗表面覆胶，腕口内径15.7cm，碗底外有挂钩。碗盖不锈钢表面覆胶，直径18cm带挂钩和抽气阀。可以做罐满水的覆杯实验拉力测试，拉力＞150公斤，抽真空后拉力测试193公斤左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奥斯特实验器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木制框架10*40*12cm，紫铜导体直径6*400mm,配双锥体磁针，工作电压6V，实验效果明显。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地球磁场模拟演示器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地球仪直径32cm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压水机模型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主管直径35mm,高度40cm，每套两种出水方式，可透过玻璃管观察活塞上下抽拉时止水阀的上下运动。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老式秤杆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5公斤，钩秤，配秤砣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金属立方体组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铜、铁、铝 立方体1*1*1，  1*2*3,1*2*5，2*2*2,2*2*3，2*2*5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摩擦生热实验器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∅20*150试管配细砂，橡胶盖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磁吸演示电流表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大号指针式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磁吸演示电压表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大号指针式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磁吸演示灵敏电流计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大号指针式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磁吸数显电流、电压表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直流电压0-20V、0-10A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通电螺线管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透明塑料底座，18*15*10cm，螺线管直径7cm，共10环，每环10匝，配菱形小磁针一盒。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平面经成像演示器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24个小灯，三对电子蜡烛，镀膜镜，网格标识板，转盘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光的三源色合成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架铁质25*40*25cm，架体有红，绿，蓝三个字样标识并对应三个光度调节旋钮。上方并列三个红、绿、蓝光源，光圈直径大小可调，小到2cm，大到20cm，光源距显示白屏距离1米到10米范围内都可以实现光的三源色合成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上字光源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铝合金边框板面（45×60×50cm），配14只光源（上中下左右和全亮五个开关控制）、配小孔成像板30张/套，小孔板30张，教师在讲台上放光源，全班同学在座位上完成成像实验。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照相机模型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包含照相机架子，照相机身，磨砂成像玻璃等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幻灯机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幻灯机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绿色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扩束器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磁吸式红色塑料材质，中间孔可插直径15mm激光笔，不含激光笔。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电流做功演示器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磁吸式板面，配100cm直尺，减速电机工作电压6-12V，板面配有电源开关，电机启动、暂停、数字显示计时器，数字显示电流、电压表。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电功实验器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木制架配平灯口，拉线开关，带电源线，配调压器（功率500W）调压范围0-300V，液晶显示屏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家庭用电及安全用电演示板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按要求定制，家庭用电及安全用电演示板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J20700比热容实验演示器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比热容实验演示器，实验板面40*50*5cm配支腿，两个500ml烧杯配橡胶盖和电加热管，工作电压220伏，数显温度计测量两种液体的温度变化。配计时器，并与加热开关同步开始计时。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J20700比热容实验器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透明塑料座配两个250ml烧杯，两电加热器功率相同，12伏电源适配器供电。</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牛顿第一定律演示器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演示型 金属框架（12*100*40cm）、三层面（毛巾面、布面、光滑面）、三个电磁铁控制三轨道小车从三斜面同时下滑、或手动释放3个相同的钢珠滚至水平的三个面。配毛巾面、布面、光滑面三个磁吸标志牌。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牛顿第一定律实验器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阻力对运动物体的速度影响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真空罩</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罩体为透明塑料材质（直径180mm 高200mm）、铝合金底座；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270mm*320mm 配抽气阀和真空压力表，配可悬挂电铃、密封橡胶垫片。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液体对侧壁和底面压强实验器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玻璃圆管（直径70mm高300mm 上下联通，下方可覆膜，侧壁上中下分别排列直径40mm圆管，可覆膜）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低压电热丝泡沫切割器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金属框架30*20*30cm，工作电压6-10V。最大切割高度20cm，最大宽度10cm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水位报警器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演示板面上有电磁继电器，水槽，正常水位指示灯，水位过高报警指示灯和声音报警器电池盒电源等，实线连接在箱体内，板面有各元件的连接线路标识。工作电压4.5伏。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玻璃导电演示器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实验板面31×18×27cm、220伏供电，两个平灯口串联，配白炽灯泡2个，去掉钨丝的灯芯1个。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串并联演示板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实验板面45*60cm，串联电路和并联电路在一个实验板面，方便观察比较出串联电路和并联电路的特点，平灯口配白炽灯泡4个。工作电压220伏，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金属丝玻璃电阻与温度关系演示器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演示板面为双面，一面为金属丝电阻与温度关系，另一面为玻璃电阻与温度关系；宽：60cm,高45cm。配数显电阻表，可测试金属丝、玻璃加热前后电阻变化，可以观察加热前后灯泡的亮暗。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机械危害防护手套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套袖</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激光防护镜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激光类实验用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恒温水浴锅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水浴控温范围为室温+5 ℃~99.9 ℃, 水温控制±0.5 ℃,不锈钢内胆，数字显示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电加热杯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220 V、300 W、350 mL双层透明、可调温，盖子上有排气孔，温度计可通过盖子插入水中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平板加热器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可直接对器皿加热，防烫伤，方便固定支架；使用220 V电源，最高200 W，可调温度，温度显示精度1 ℃</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一字螺丝刀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Φ6 mm，长150 mm；Φ3 mm，长75 mm；工作部带磁性，硬度不低于48 HRC；旋杆采用铬钒钢，长度≥100 mm，应经镀铬防锈处理；手柄采用高强度PP+高强性TPR注塑成型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十字螺丝刀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Φ6 mm，长150 mm；Φ3 mm，长75 mm；工作部带磁性，硬度不低于48 HRC；旋杆采用铬钒钢，长度≥101 mm，应经镀铬防锈处理；手柄采用高强度PP+高强性TPR注塑成型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剥线钳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Φ0.5 mm～2.5 mm；刃口闭合状态间隙应≤0.3 mm，刃口错位应≤0.2 mm；钳口硬度不低于65 HRA或30 HRC</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钢丝钳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160 mm，抗弯强度1120 N，扭力矩15 N ·m，15°；可剪切Φ16 mm钢丝，580 N；夹持面硬度不低于44 HRC；PVC环保手柄，在≤18 N的力作用下撑开角度≥22°</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尖嘴钳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160 mm，抗弯强度710 N，剪切性能Φ1.6 mm钢丝，570 N；在≤18N的力作用下撑开角度≥22°,硬度不低于44 HRC，PVC手柄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普通机用平口钳；钳口宽度100 mm，最大张开度100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斜口钳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 mm，双刃刀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民用剪刀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长170 mm，用于剪布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电烙铁套装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80 W内热式，橡胶线，含烙铁架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打孔器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齿口式，不锈钢材质，每组4支，外径分别为5.0 mm、6.5 mm、8mm、9.5 mm；附通棒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打孔夹板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硬木或硬塑料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低压测电器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螺钉旋具式，测量范围100 V～500 V，起辉电压50 V～90 V，起辉后辉光应稳定不闪烁；绝缘电阻为常态≥20 MΩ,潮态≥2 MΩ;电气强度为常态2500 V，潮态2000 V；兼作螺钉旋具的旋杆端部硬度测3点，至少2点不低于48 HRC</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宽座角尺，160 mm×100 mm，不锈钢材料，硬度561 HV(或53HRC)，2级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量程0～2000 mm，分度值1 mm，B型(自卷制动式)，尺带宽≥12mm，厚不低于0.15 mm；尺带拉伸、收卷轻便灵活，无卡阻现象；活动尺钩缩回时，尺钩外侧为零点端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布纤维卷尺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摇卷盒式， 量程0～30 m，分度值1 cm，尺带宽度20 mm，刻度清晰，边缘平直、材料环保、耐磨损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激光测距仪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量程1 mm～50 mm，分辨力1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电子秒表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专用型，全时段分辨力0.01 s；有防震、防水功能，电池更换周期≥1.5年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红液温度计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量程-20 ℃~100 ℃,分度值1 ℃,示值误差&lt;±1.5 ℃</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水银温度计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量程0～200 ℃,分度值1 ℃,有保护套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台秤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量程0～10 kg，分度值10 g，普通准确度等级，有“CMC”标志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体重秤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量程0～150 kg，分度值1 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数字低压电流表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液晶显示，电池供电，测量范围为0～10 A,精度误差1%，工作温度为-20 ℃~65 ℃,可独立运行，显示屏尺寸≥45 mm×26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数字低压电压表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液晶显示，电池供电，测量范围为0～100 V，精度误差1%，工作温度为-10℃~65℃,可独立运行，显示屏尺寸≥45 mm×26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广口瓶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200 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mm，直形，滴管尖嘴口径1 mm，上端有防滑脱翻口，翻口处直径比滴管直径略多1 mm～2 mm，配套胶头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晶体熔化与凝固实验器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含透明容器、2个试管、2个温度计、搅拌勺等，有固定试管及温度计装置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分子间作用力模型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模拟分子的两球之间由弹簧和一根拉紧的橡皮筋连接，弹簧长13cm，Φ2 cm，能直观表现出分子间斥力、分子间引力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分子间隔演示器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分子间隔演示器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斜面小车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含斜面、小车、摩擦块、支撑杆、砝码桶和摩擦材料等，与教学支架配套使用；斜面板≥915 mm×100 mm×20 mm，一端应有滑轮、缓冲或捕获小车的装置；斜面板工作面平面度误差应＜2 mm；附摩擦材料丁晴橡胶、砂纸、棉布等，有摩擦材料的固定夹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斜面</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具凹槽轨道，保证小车直线运动； 一端可装滑轮，具手拧螺母，角度调节范围超过180°,满足多种实验要求；两侧具挡板，可防止小车跑出轨道；两侧具孔，可与教学支架配套使用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木质，底面稍粗糙，可拆卸底轮，上面带四个凹槽，侧面两个凹槽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立方体组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含黄铜、铁、铝、木、塑料5种材料的立方体，黄铜(边长20 mm)、铁(边长20 mm)、铝(边长20 mm)、铝(边长25 mm)、铝(边长30mm)、木块(边长20 mm)、木材(边长50 mm)、塑料(边长20 mm)各1个，带不锈钢挂钩</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摩擦力实验器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金属底板、摩擦板、摩擦块、摩擦材料、匀速电机、定滑轮、测力计、测力计支架、细绳、钩码等各一组成；不低于以下要求：底板具凹槽轨道，两侧具挡板；滑板具凸槽轨道，可在凹槽轨道滑动，平面度误差≤ 0.6 mm；摩擦块尺寸≥110 mm×50mm×35mm，两摩擦面平面度误差≤0.1 mm，侧面有挂钩；提供同一种材料3种不同粗糙程度的摩擦面，同种材料、相同粗糙程度的不同面积的摩擦面；电机拉动速度0～5 cm/s，可调节，可显示，匀速运动速度误差≤±5%；实验时，测力计固定不动，摩擦块运动，保证测力计示数稳定。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滑动摩擦力探究仪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含金属摩擦板、摩擦块、摩擦材料、正反转匀速电机、定滑轮、测力计、测力计支架、细绳；提供同一种材料3种不同粗糙程度的摩擦面，底板尺寸≥1000 mm×100 mm×10 mm，滑板尺寸≥500 mm×90 mm×5 mm，平面度误差≤0.6 mm；摩擦块尺寸≥100mm×40 mm×30 mm，两摩擦面平面度误差≤0.1 mm，侧面有挂钩，电机可调节转动速度，电机加有开关可随时停止转动。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微小形变演示器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微小形变演示器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滑轮组的机械效率实验器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一体机设计，含铝合金实验面板、坐标刻度尺（0～800 mm，最小刻度10 mm）、钩码（50 g×10）、测力计、细绳、支架、滑轮、正反匀速电机、开关、磁吸装置各一，2个底座支架，钩码和磁钉各10个；实验时定滑轮可以直接挂在刻度板上，刻度板右侧有磁吸装置，可以用磁钉标注钩码与测力计的初始位置，方便操作记录，学生容易观察，做动滑轮时可以直接用磁钉加重，教师易操作；采用低压供电：3V～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二力平衡演示器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含底座、2个Ф10 mm×330 mm长立杆、2个滑轮等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弹簧测力计测量力的大小实验器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含铝合金实验面板、坐标刻度尺、底座支架、测力计、细绳、支架、钩码、正反匀速电机、开关、坐标刻度尺（0～550 mm，最小刻度10 mm）；钩码（50 g×10）；采用低压供电：3V～12V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阻力对物体运动影响实验器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含金属平面板、配套滑块及摩擦面。平面板具弹射装置，尺寸为1000 mm×100 mm×10 mm；两侧具挡板，可防止小车跑出轨道；一侧具孔，可与教学支架配套使用。摩擦面含牛皮纸、毛毡布、毛巾，与平面板配套，用于探究阻力或摩擦力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运动和力实验器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含小车(车轮直径≥20 mm)、平面板、过渡片、斜面板、挡板、支架、3个小球及空盒、3种不同阻力的平面等；平面板长度≥800mm，宽度≥120 mm；平面板具有弹射装置，斜面与平面连接平滑，不铺摩擦材料与铺摩擦材料的情况下，小车运动距离相差应≥80mm；铺两种不同的摩擦材料，小车运动距离相差应≥40 mm，用于探究阻力或摩擦力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透明四孔覆膜立方体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透明塑料材质，尺寸不小于80 mm×80 mm×80 mm，上、下、左、右四面有孔直径不小于50 mm，四孔可用密封圈向内压膜，膜面与内侧壁瓶，立方体上方有横向扶手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浮力产生演示器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透明有夹层水槽，夹层底部有孔、底部有胶垫浮体；立方体透明材质，外层水槽300 mm×200 mm×300 mm，内层水槽200 mm×200mm×200 mm，内层水槽底面孔直径为70 mm；内层水槽与外层槽连接处带护角，不漏水不开裂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钉板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三层木板，改变模板层可改变钉子个数；用密钉板时水袋不破，用疏钉板时水袋破，演示用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盛液筒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尺寸为145×105×365 mm，筒底外径≥110 mm，壁厚≥4 mm。筒身有深度标尺，标尺长≥300 mm，分度值1 mm，透光率应≥95%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生活中的连通器模型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透明地漏模型、透明茶壶、水位计等，可注水演示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液体对器壁压强演示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透明圆筒壁同一直线上不同高度处应有3个喷嘴,对面应有1个喷嘴;配4个喷嘴塞或盖,有表示深度的标尺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旋片真空泵</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单相，油封旋片式直联泵型，底座采用约2.5 mm厚的钢板，铝合金机壳；进气口为台阶口，外径8 mm，配有内径6.3 mm±0.75mm、长2.0 m的压缩空气用橡胶管。电气安全要求是I类电器必须使用三极插头，外壳接保护接地线，电源与外壳抗电强度1500 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流体压强与流速关系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由透明塑料材质流道（长度≥180 mm，粗口内径≥20 mm，细口内径≤15 mm）、液体接入部件、液泵、压强观测部直管、标度板等成；可连续调节流速并观测压强大小；直管内液柱能沿标度方向移动距离≥120 mm；尺寸≥300 mm×200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机翼模型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机翼两侧加彩条，演示用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低频信号发生器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频率范围0.05 Hz～50 kHz，可产生正弦波、三角波及方波信号，各种输出波形不应有明显失真，电源端与信号输出端抗电强度3000 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纸盆扬声器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动圈式，直径≥200 mm，8 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漫反射镜面</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可磁吸；一面平滑，另一面凹凸不平的反射面，演示用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不少于3束光，各激光束要平行，能形成平行光，每束光可单控，可磁吸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光的传播、反射、折射实验器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含能显示光路的透明材料制成的半圆玻砖、角度板、3个不同颜色半导体激光光源（不加扩束镜），也可演示光的折射，光路可逆，表盘Φ≥250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电缆结构与材料套材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含透明收纳盒（220 mm×105 mm×50 mm）、裸电线(Φ1 mm×100mm）、漆包线(Φ0. 1 mm×1200 mm，）、电线电缆(Φ10mm×100 mm）、电力电缆(Φ10 mm×100 mm）、通信电缆(Φ30mm×100 mm），通过截面能观察导体、绝缘体及电缆结构。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光导纤维组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透明光导纤维Φ3 mm、10 mm，包黑皮光导纤维Φ5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光导纤维应用演示器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含传光束、传像束、有机玻璃棒、通讯演示器(发射机和接收机)、字母板、放大屏等。视听距离≥6 m，传光束长度≥400 mm，横截面≥2.55 mm2 ，白光透过率≥50%，传像束长度≥350 mm，传像工作面积≥100 mm2 。光线丝排列对应整齐，无错位，像元数不低于900个。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光的反射实验仪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底盘、半圆玻砖、入射光调节支架、法线光源支架各一，以及两个激光光源等组成；底盘，中心具反光镜片，可磁吸入射光调节支架，具光角度指示线；半圆玻砖，由能显示光路的透明材料制成的，具入射光和反射光角度指示线；激光光源，不加扩束镜，分别提供入射光线和法线；入射光调节支架，可在三维空间调节入射光线；法线光源支架，要求装上入射光源后，射入底板上反光镜的入射光线与反光镜上反射的光线重和，具微调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凹透镜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焦距 -50 mm，误差±2 mm；焦距 -100 mm，误差±3 mm；以上规格各一，K9精退火光学玻璃制，光洁度IV级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凸透镜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焦距50 mm，误差±3 mm；焦距75 mm，误差±2 mm；焦距100 mm，误差±3 mm ；以上规格各一，K9精退火光学玻璃制，光洁度IV级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凸透镜组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含双凸柱凸透镜、平凸柱凸透镜、磁吸式平凸柱凸透镜、磁吸式凹凸柱凸透镜，演示用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凹透镜组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含双凹柱凹透镜、平凹柱凹透镜、磁吸式平凹柱凹透镜、磁吸式凹凸柱凹透镜，演示用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眼球仪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用于眼睛的工作原理及视力矫正实验；模拟晶状体曲度可调节，能实现正常、远视、近视三种状态，近视镜、远视镜与眼球匹配，能将远视眼、近视眼调节为正常视力，演示用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水透镜模拟眼睛成像实验器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水透镜、注射器、光具座、光屏、F光源、凸透镜、凹透镜、可调光栅等，演示用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照相机原理模型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凸透镜成像，像距可调，镜头可伸缩，演示用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简易幻灯机模型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白光的色散与合成实验器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光源、三棱镜、三棱镜台、光屏、支承系统等组成；两块棱镜应配对，用ZF3玻璃制，其折射率之差不大于0.003，中部色散之差不大于0.0004。实验效果：做白光的色散实验时，可见光区域内光谱连续清晰；能把白光色散后的七色光谱带还原成白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光的三原色合成实验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可单独显示红、绿、蓝三原色，也可显示双色光混合色和三色光混合色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三色光源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各色光源分体，采用红绿蓝LED强光灯珠，亮度可调，光源出口Φ≥48 mm，纽扣电池供电</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透光片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无色、红色、绿色、蓝色、黄色、紫色，尺寸为125 mm×90 mm×3mm，环保ABS制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光屏</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白色，≥150 mm×100 mm，具标尺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电磁实验用旋转架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由底座、转轴和转台等组成。转台应采用静电绝缘材料制成，转台内应有一凹槽；凹槽宽度应≥15 mm，凹槽深度应≥8 mm，凹槽长度应≥35 mm；转台应能作360°旋转≥35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圆柱形磁铁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Φ25 mm，长度70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稳压直流电源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便携式，数显，双路稳压；0～15 V连续可调，每路额定电流1.5A，两路可串联使用；直流稳压负载电流达到1.6 A～1.7 A时电源限流保护，输出电流恒定在最大电流，过载消除自动恢复；电压稳定度0.5%，加10 mV；负载稳定度0.5%，加10 mV；安全要求为电源端与外壳抗电强度1500 V(有保护接地线)或3000 V(无保护接地线)，电源端与低压输出抗电强度3000 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直流稳压输出1.5 V～9 V，每1.5 V为一档，共6档；额定电流1.5A；电压偏调≤±(2%U+0.1V)，电压稳定度≤2%U标+0.1 V，负载稳定度≤2% U标+0.1 V，满载时纹波电压≤0.1% U标；过载保护1.05～1.5倍，延时1 s；电源输入与低压输出端子间抗电强度3000V。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奥斯特实验仪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含支撑轴，可绕支撑轴灵活转动的磁针，以及平行放置在磁针旁边的直导线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电与磁综合实验器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含底座、脚垫、灵敏电流计（1 mA）、U型磁铁、方形线圈、支架台、开关、导线、磁针、磁针底座、平行轨道、铜管、单股铜导线；配套恒流恒压电源。方形线圈要求线圈框架为非金属材料，结构为正方形，内边长为63 mm±3 mm，其上有绕线槽，线圈引线采用导线截面积≤0.8 mm2 的多股软线制成，线端接线叉加套管，方形线圈装接后，线圈框架底端内边两端到底座的高度差≤3 mm，其中部到底座的高度为46 mm±3 mm；底座为亚克力材料制成，其底部安装垫角；U型磁铁磁极端面磁感应强度为0.5 T±0.1 T；平行轨道铜管制成；磁针带保护套，不易伤手；通过恒流恒压电源提供稳压、稳流输出的电流，配合操作板顶面各组件可以演示左右手定则、安培力实验、电磁感应实验、通电导线或线圈在磁场中的运动和奥斯特实验等多类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螺线管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由透明底板、铜导线、磁针、底座、收纳盒组成；底板上有8个相应凹槽，便于磁针底座安放；由多股铜导线绕成的7匝线圈，粗细均匀，导电流畅；磁针带保护套，不易伤手；供电为6 V～24 V直流电，实验效果明显，指针摆动灵活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磁场对电流作用实验器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含Φ2 mm铜棒1根、接线柱、导轨、U形磁铁、底板等，底板有固定磁铁装置，磁铁磁极方向可互换，实验效果明显，动作电流≤2 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小型电动机模型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由定子、转子、电刷、转子支架和底座等组成。直流工作电压1.5 V～8 V，工作电流0.5 A～1 A；启动性能：永磁≤3 V，励磁并励≤3 V，励磁串励≤6 V；电枢线圈在任何位置时换向器都不应将两电刷短路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电磁感应实验器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电磁感应实验器及匀强磁场实验器组成。电磁感应实验器：底座、支架、U型磁铁、长方形线圈可与双向指示灯配合，线圈可水平、垂直、倾斜等多角度切割磁感线，灵敏电流±300uA计，长方形线圈可在支架上旋转，方便调整线圈到对应角度，实现对磁场的切割。匀强磁场实验器：由框架、匀强磁场、长方形线圈组成，可插拔LED双向指示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磁悬浮原理实验器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含2个小圆柱形磁体、配套试管等或2个环形磁铁和抗磁底座等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重力势能实验演示器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由底板、竖板、4个小球、2个撞针、2个撞箱组成。竖板具高度标尺，方便学生直接读取小球的位置高度及撞针的移动距离，环保材质；4个小球：其中2个小球直径相同、质量不同，2个小球直径相同、质量相同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内能转化为机械能演示器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内能转化为机械能演示器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比热容实验仪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含铝合金实验面板、大屏数显计时器、开关、储气盒夹、导线、开关各一，底座支架两个、数显温度表、传感器、储气盒、储气盒盖各三，少量电阻；电阻：5 Ω2个、10 Ω2个；采用了三组储气盒，便于存储温度，采用活动式盖板，方便取下散温；采用低压供电：6V～12V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电流做功实验器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铝合金底座、立板、细线、连接导线、2组正反转匀速电机、定滑轮、刻度尺等，卷轴通过细线可悬挂钩码等重物，实验面板上设置有刻度表，刻度表呈竖直设置，实验面板的顶部两侧均设置有卷轴，单个卷轴与正反转匀速电机的输出端相连接，正反转匀速电机卷轴的上方分别设置有2组数字电流表和2组数字电压表，可同时进行2组数据对比，通过对比实验能够方便快捷的进行测量数据探究电流做功与电压、电流、通电时间等因素的关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学生电阻箱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十进多盘式，调解范围0～9999  Ω,残余电阻及其允差值20mΩ±10 mΩ,功率1 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定值电阻</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含5 Ω、10 Ω、15 Ω、20 Ω、25 Ω、30 Ω共6种规格，额定功率20 W，阻值误差 ≤±1%；电阻丝应采用锰铜线或康铜线绕制；配套插头导线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家庭电路示教板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配电部分含三线10 A插头与电网连接，开启式闸刀开关、铅熔断器(保险丝)盒、单相机械式有功电能表(2.0级，5 A)。负荷部分含三极和二极插座、三极和二极插头、螺口灯座(E27)1个、插口灯座(E27)1个、倒扳开关、拉线开关、白炽灯泡(E27卡口或E27LED螺口灯泡)、卡口-螺口转换器(有卡口灯座时配)。插座、开关均为明装式，软导线(截面积0.5 mm2)。火线用红色，零线用蓝色，保护地线用黄绿双色。示教板应能竖立在桌上。开关电极应为左面是零线，右面是火线，三极插座上面是保护接地线。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陶土网</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金属网尺寸≥125 mm×125 mm，耐火材料为陶土，功能等同于石棉网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药匙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长度≥130 mm，带小勺，材质可选金属、牛角、塑料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U形棒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U形玻璃棒、铁棒、铜棒各一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角度盘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360°或180°角度盘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铁棍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小铁棍，固定滑轮用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钢琴片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钢琴片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琴码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红木材质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弦乐器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含8个音阶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铜锣</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锣面Φ≥200 mm，带槌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F型光源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发光范围Φ≥45 mm，工作电压≥1.5 V</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白色光源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采用白色LED强光灯珠，亮度可调，光源出口Φ≥48 mm，纽扣电池供电</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验电羽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验电羽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空气开关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空气开关</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设备-心理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初中心理辅导室-通用设备-录音笔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内存容量：≥32GB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功能：语音转文字，云端同步，即时传输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自带内存录音时长：2080s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电池类型：锂电池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扬声器：内置扬声器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初中心理辅导室-通用设备-钟表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风格：欧式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类别：挂钟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材质：亚克力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坐垫</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1、多功能折叠高弹；2、拉链设计流畅拉锁方便拆洗；3、外套为帆布、内里材质珍珠棉；4、120*60*5mm。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设备架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落地5层收纳架，高度≥160cm，长≥130，宽≥50cm；架构隔板材质。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小型操作台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单桌≥120*60*70cm，加固操作台，稳定性高，承重性好。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反应时仪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一、仪器说明：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仪器要求对单一或多种色光进行不同的按键反应，体现出各项反应能力。从提前或延时反应中也能够体现出其人格特征，运动反应时还能够体现出注意转移的速度和正确性及空间位置转移操作的速度。通过本仪器的测试和训练，能让学生对自己的各项反应能力、注意转移能力及性格等作出自我评价；对训练青少年的反应速度有明显效果，尤其对注意转移能力的提高大有裨益，对改善学生的体育运动训练更有积极意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二、主要技术指标：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（1）可以进行简单反应时，辨别反应时，选择反应时，运动反应时、以及四肢反应时五项反应能力测试。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（2）计时范围：100US-999.99S 分辨率：100US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（3）光刺激 LED 红绿黄蓝四色；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（4）应答键 11个。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（5）内嵌彩色触摸屏，可触摸屏操作，配有内置扬声器。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（6）防止噪音语音指导语声音大、小可触控调试＋－。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（7）可实现智能语音引导，兼具语言和文字提示，无需主试，个体可独立操作。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（8）测试数据可通过USB和WIFI实时导入配套数据分析系统进行分析。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(9）可使用5V有线电源安全供电，也可通过锂电池供电。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(10)具有耳机插孔，可通过耳机收听语音提示，有效避免多人测试时的语音干扰。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(11)仪器材质：选用高档铝型材精工打造，专用铝合金箱一体包装外观大器上档次，操控面板铝型材金属烤漆工艺，采用先进的智能人机交互技术研发生产的仪器设备对于测试者有着实际的训练手、眼、心、脑协调、以及人体四肢操控性体验反应良好，使用方便节约摆放空间等特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动作稳定仪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一、仪器说明：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本仪器是测试动作稳定技能和情绪状态的智能化仪器。动作稳定性是动作技能、技巧的一种基本特性，是指动作实现时，需要动作的力量、方向、幅度、速度等要素以特定的方式结合、合乎规律地完成，且不因环境因素的影响而发生波动或失误。动作稳定性是人在长时期练习过程中获得、巩固或暂时的联系系统，同时极容易受到情绪状态影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仪器要求操作者通过测笔进出九孔、划走曲线凹槽、悬垂等动作来完成测试过程。主要用于测试个体手部相关动作的稳定性和瞄准能力。在测试过程中要求操作者保持手臂、手掌和手指稳定地对准孔洞和凹槽中间，才能顺利完成动作。通过对操作过程中的测试数据进行分析，即可判断出个体的动作稳定性以及情绪波动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仪器对训练青少年动作稳定性有明显效果。尤其对提高手臂、手掌和手指的肌肉恒定性大有裨益，对改善青少年普遍存在的“多动”现象更有积极意义。通过动作稳定的测试，比较同一个体在不同情绪状态下的动作稳定性评估进行有针对性的训练，放松情绪。除了能让学生对该三种精细动作能力做出自我评价外，还可以为职业选择提供科学依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二、主要技术指标：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(1)九洞直径分别为2.5，3，3.5，4，4.5，5，6.5，8，13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(2)凹槽最宽处宽度为13mm，边缘最小宽度2.5 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(3)内嵌彩色触摸屏，可触摸屏操作，配有内置扬声器。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(4)防止噪音语音指导语声音大、小可触控调试＋－。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(5)可实现智能语音引导，兼具语言和文字提示，无需主试，个体可独立操作。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(6)测试数据可通过USB和WIFI实时导入配套数据分析系统进行分析。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(7)可使用5V有线电源安全供电，也可通过锂电池供电。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(8)具有耳机插孔，可通过耳机收听语音提示，有效避免多人测试时的语音干扰。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(9)专用测试笔一支。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测笔材质：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①软硅胶线材质：零下20℃不会变硬，线上印有（ML-AGR-100*0.08）标识字样。总长度1180mm。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②插头材质：铜灯笼花插头。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③表笔为一次性注塑，采用圆形铜笔针。笔针尺寸：总长度为114mm*直径2mm*外漏长度为22mm。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仪器材质：选用高档铝型材精工打造，专用铝合金箱一体包装外观大器上档次，操控面板铝型材金属烤漆工艺，采用先进的智能人机交互技术研发生产的仪器设备对于测试者有着实际的训练手、眼、心、脑协调、以及人体四肢操控性体验反应良好，使用方便节约摆放空间等特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双手协调仪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一、仪器说明：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测试注意分配、双手协调能力、手眼协调能力，并进行脑优势开发和职业指导的智能化仪器。注意分配是指在同一时间内，把注意分配到两种或两种以上的对象或活动上的注意力品质，即我们常说的“眼观六路，耳听八方”的能力，在同时进行几种有一定联系的活动中，个体需要掌握其中的一项（或多项）熟练的技能技巧，注意分配是从事复杂工作的必备条件，且可以通过训练得以发展；双手协调能力是指在完成动作的过程中，两手执行不同甚至相反的操作时相互配合的能力；脑优势开发是指对具有不同认知功能的大脑左右两半球进行协调作用的开发训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仪器要求操作者左右手同时操控不同方位的摇杆，即左手作水平方位调节和右手作垂直方位调节，力图使运动目标按照预定路径循迹，这就要求视觉对运动轨迹的判断和双手的操作结合起来，形成反射弧。通过对操作过程中测试数据的分析，即可判断个体的注意分配能力、双手协调能力、手眼协调能力等心理状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通过本仪器的测试，不但能让学生对自己的注意分配能力、双手协调能力等作出自我评价，还可以为脑开发训练和职业选择提供科学依据，对训练青少年的注意分配能力也有明显效果。尤其对双手协调能力和手眼协调能力大有裨益，对改善左右半脑的不平衡状态，协调左右脑优势功能更有积极意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二、主要技术指标：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(1)操纵目标移动的左、右手所持摇把。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（2)图案：2个，对称螺旋曲线、WM字母组合曲线。曲线宽5mm。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(3）记录目标移动时在图案中的正确时间、出图案的错误时间；出错次数。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 (4)内嵌彩色触摸屏，可触摸屏操作，配有内置扬声器。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（5）防止噪音语音指导语声音大、小可触控调试＋－。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（6）可实现智能语音引导，兼具语言和文字提示，无需主试，个体可独立操作。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（7）测试数据可通过USB和WIFI实时导入配套数据分析系统进行分析。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（8）可使用5V有线电源安全供电，也可通过锂电池供电。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（9）具有耳机插孔，可通过耳机收听语音提示，有效避免多人测试时的语音干扰。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仪器材质：选用高档铝型材精工打造，专用铝合金箱一体包装外观大器上档次，操控面板铝型材金属烤漆工艺，采用先进的智能人机交互技术研发生产的仪器设备对于测试者有着实际的训练手、眼、心、脑协调、以及人体四肢操控性体验反应良好，使用方便节约摆放空间等特性。</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设备-音乐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合唱展演合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1.尺寸：三层尺寸≥1230*1150*620mm；每层台阶款宽390mm，高210mm；小舞台尺寸:≥1540*1230*310mm；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2.材质：高密度PE；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3.工艺：吹塑制作，材质轻，耐磨抗压，抗氧化功能强，长期使用也不会产生开裂现象，硬度和强度高，吸水性小，优良的电绝缘性，耐寒；表面带有音乐符号为模具一体成型；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4.功能：合唱台台阶可翻转设计，可调整为两层合唱台也可以变为一个整体的小舞台，侧面轮子设计方便推移。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音乐课程资源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保证音乐教学的开展与更新：排练谱例40-60份/每份谱子；视频音频50-100；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中小学生合唱歌曲精选、钢琴基础教程、我爱你我的祖国等。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材质：碳钢；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尺寸：长约12.5cm，宽约2cm；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440HZ、A调、共振音叉,由叉股和手柄组成。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音乐节拍器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1.节拍速度：40-208拍/分；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2.拍子型：0、2、3、4、6；</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3.节拍音色：机械声；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4.尺寸：110*110*220mm；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5.结构：金属大机芯.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口琴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音域:28孔28音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材质:不锈钢盖板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调性:复音C调/重音C调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音簧:磷青铜音簧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适用:专业/演奏/初学</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尺寸:约210*30*24MM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合唱展演合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1.尺寸：三层尺寸≥1230*1150*620mm；每层台阶款宽390mm，高210mm；小舞台尺寸:≥1540*1230*310mm；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2.材质：高密度PE；</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3.工艺：吹塑制作，材质轻，耐磨抗压，抗氧化功能强，长期使用也不会产生开裂现象，硬度和强度高，吸水性小，优良的电绝缘性，耐寒；表面带有音乐符号为模具一体成型。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4.功能：合唱台台阶可翻转设计，可调整为两层合唱台也可以变为一个整体的小舞台，侧面轮子设计方便推移。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音乐课程资源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排练谱例40-60份/每份谱子；视频音频50-100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中小学生合唱歌曲精选、钢琴基础教程、我爱你我的祖国等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立式钢琴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1.工作条件： 成品应放在室内保管。相对湿度为40％－70％的条件下应能正常工作。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2.尺寸和重量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3.高度:：1221mm*长度：1483mm*宽度：605mm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4.低音弦长度：1200mm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5.弦槌重量：约6－10克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6.音板尺寸：1435×（995-950）mm2不等宽设计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7.弦轴板： 色木多层板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8.马子： 色木多层板帖色木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9.弦轴：45钢调质处理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10.中踏瓣：软轴设计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11.活动杆：金属</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12.干燥处理：木制件、呢毡有处理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13.新型击弦机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14.弦槌标准弦槌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15.键盘盖（缓冲装置） 有缓落装置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16.88键盘：88键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17.踏瓣：造型踏瓣3个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18.外观涂装：亮光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三角钢琴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1、外观及尺寸：约长150CM×深 150CM×高101CM；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2、键盘参数：标准88键盘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3、键盘材料：使用粘性和耐久性强的松木、杉木，结合先进技术防止实木变形，性能稳定，可长久保持良好的触感、手感。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击弦机：材料为桂杨木，受温度、湿度影响小。采用独特的精密机械生产加工，击弦机精度高、质量均衡，确保手指的敲击动作完整的向弦槌传达，琴键的触感均匀而恰到好处，能够迅速的连击想要的颤音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5、琴弦：防锈琴弦，音色纯净，音准稳定。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6、弦槌：弦槌毛毡，色泽均匀一致，更灵敏耐用，呈现圆润通透的最佳音色效果。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7、铁板：亮光金葱粉金色铁板，采用传统沙铸铁板工艺，不仅更好地支持弦的张力，并且更长久地保证钢琴的音色纯正。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8、音板、肋木：选用云杉、松木制造的加强型音板，增强了音板的共鸣效果。在各种不同的气候条件下均能保持优良音色，音板设计符合钢琴共鸣系统的发声规律，琴声优美和音质效果纯正。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9、弦码：采用优质色木材料制作，悬浮式码桥设计。音频振动响应精确、迅速。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10、弦轴板、弦轴钉：弦轴钉采用高精度的防锈处理技术；弦轴板由多层坚硬的色木交错拼接而成，制造过程中电脑控制含水率，为弦轴钉提供稳固的握钉力，保证音准稳定。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11、背柱：碾压而成的云杉木背柱结合先进技术进一步加强了刚性、共鸣性及结构稳定性。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12、踏板：延音踏板、弱音踏板和选择踏板，都采用优雅的弧形设计，踏感轻松、演奏方便，踏板踩下后传递到击弦机的过程顺畅迅速。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13、脚轮：采用加固金属双轮脚轮，转动灵活、推行顺畅、噪音低。</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15、缓降器：内置嵌入式缓降器，结构紧凑、受力合理，坚固实用。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16、配升降琴凳、琴罩、琴擦、踏脚套、琴脚垫、键盘。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乐谱架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材质：金属加粗大谱架；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尺寸：三节升降，最高可达约155CM，谱面约48*36CM，支架折叠后为约58CM。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设备-英语</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英语作文智能测评系统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1、扫描速度：≥80ipm；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2、ADF容量：50张（纸张克重65-80g/m²）；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3、打印速度：双面打印29ppm；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4、支持A4,16K纸张类型扫描和打印；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5、支持网络打印协议以及高速USB, 有线网络；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6、CPU: ≥八核，最大频率2GHz；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7、内存：≥8G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8、硬盘：≥128G固态硬盘；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9、液晶显示屏11英寸，分辨率≥1200*1920，触摸式屏幕。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含服务期1年。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英语智能阅卷系统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一、作业数据采集与批阅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1、学情采集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不依赖于题库选题组卷、不依赖于特定排版制卡，即可进行作业或试卷数据采集；支持教师无需通过定位点、二维码、数据线或扫描空白卷，即可进行作业或试卷数据采集；支持对作业纸张中复杂版面的分析与图文识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支持学科、年级、班级、作业类型信息的数据采集。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(3)支持答案卷黑笔、蓝笔、红笔手写识别；支持答案卷和学生卷学情数据采集。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支持单面、双面纸张的数据采集。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提供学生手写姓名、作业号自动识别功能，支持教师手动匹配学生姓名。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支持分批次扫描采集同一班级不同学生的作业并自动汇总。</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支持查看已创建的作业任务记录，支持按年级、学科、状态筛选任务列表，支持删除任务。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支持教师通过移动端APP布置作文批阅任务，支持文本输入、拍照、上传图片的方式生成作文题目。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2、智能批阅与留痕打印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(1)支持初中学段数学学科学生手写选择题、判断题、填空题、解答题结果的智能批改，支持在系统智能批改后，学生作答原卷显示留痕渲染，并支持留痕打印。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系统支持直接采集初中数学学科已加工教辅的原题，无需扫描答案即可进行智能批改，代数类章节的解答题支持分步骤批改，能够定位错误步骤分析错因，可在学生作答原卷的错误步骤处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初中学段英语学科学生手写选择题、填空题、单词拼写、完成句子、作文的智能批改；支持在作文原文逐句圈划批改（包括语法纠错、书写建议、用词建议），支持分数或等级评价、写作点评（包括内容、篇章结构、卷面）和润色建议，总分或等级及逐句圈划批改痕迹可在学生作答原卷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初中学段语文学科学生手写选择题、填空题、古诗词默写、作文的智能批改，其中语文作文支持等级评价、多维点评（包括主题、结构、内容、表达四个维度）、原文批注与评价（包括纠正错别字、句评）和写作建议，支持在系统智能批改后，学生作答原卷显示等级和批注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(5)支持初中学段物理学科支持学生手写选择题、填空题、解答题、实验探究题的智能批改功能；支持在系统智能批改后，学生作答原卷显示留痕渲染，并支持留痕打印。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(6)支持初中生物、化学、科学学科学生手写判断题、选择题、填空题、实验探究题的智能批改，支持在系统智能批改后，学生作答原卷显示留痕渲染，并支持留痕打印。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(7)支持初中道德与法治、历史、地理、信息技术学科学生手写判断题、选择题的智能批改，支持在系统智能批改后，学生作答原卷显示留痕渲染，并支持留痕打印。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支持教师通过移动端APP，采用批对错或打分的批改方式，按班级对非智批题目进行云端阅卷。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支持作业同时保留移动端APP云端阅卷痕迹与设备智批结果，进行完整留痕打印。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支持教师在打分的批改方式下，自主设置每道题目的满分值，支持设置打分间隔。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支持教师在批对错的批改方式下，选择打印学生等级评价或正确率，支持自定义设置等级评价规则。</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 支持教师在打分的批改方式下，选择打印作业总分或得分率。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 支持切换题目或切换学生进行云端阅卷，支持教师重新批改题目。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 支持系统显示批阅任务队列，支持实时查看设备整体批阅进度总览。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 支持教师设置批阅任务留痕打印时间段，支持消息通知提醒。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 针对A4、16K标准尺寸纸张、可智批的学科的学生作业，提供原卷双面留痕打印功能。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 支持教师选择对错样式，以及灵活选择放入学生原卷或放入空白纸进行批改留痕打印。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3、批阅流程智能优化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支持支持对答案卷出现的异常进行智能检测，如学科选择不匹配、扫描图像歪斜、扫描图像残缺、答案书写不规范的异常情形。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扫描过程中，支持对学生作业与教师答案卷不匹配、作业放置不规范、作业歪斜、作业破损异常进行智能检测，并支持定位到异常卷。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针对学生作业扫描图像异常情况，支持确认图像无误或重新扫描。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针对批阅过程中检测到的答案卷或学生卷异常情况，支持推送微信公众号消息提醒。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支持异常学生卷未处理情况下，已批阅学生卷按正常流程进行留痕打印。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二、校本资源共建共享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1、个人资源建设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支持教师通过扫描方式，实现教师集体教研的校本作业和教师个人设计作业自动录入设备客户端的资源分享库。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支持教师删除个人扫描的资源图像，支持教师查看预览扫描的作业或试卷。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2、资源分享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支持教师分享扫描的资源，支持选择分享到备课组、分享到学科组分享范围。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支持教师通过资源分享库中已有资源快捷创建作业批阅任务，支持教师查看分享资源的来源。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三、学情大数据应用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1、作业讲评讲义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支持基于学生作业批阅结果生成班级作业成绩单，包括作业小题正确率或得分率明细、学生个人正确率或总分明细功能。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支持自动生成班级讲评讲义，学生批阅结果有修改时讲义实时更新。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支持预览讲义，讲评讲义内容包括未提交学生名单、学情指标、共性问题讲评建议。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支持按班级筛选查看、打印成绩单和作业讲评讲义。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2、作业报告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支持教师查看单次作业报告，班级报告和年级报告。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支持教师在班级单次作业报告中查看作答概览、学情分布、题目概览。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支持教师在作答概览中查看班级作业作答情况，包含已提交人数和未提交名单、班级正确率、年级正确率、最高正确率。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支持教师在学情分布中查看班级作业等级学情分布情况及对应的学生名单。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 支持教师在题目概览中查看共性错题和每道试题的班级正确率和年级正确率。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 支持教师通过web端按题号或按正确率选择要讲评的题目，通过在线讲评工具调取学生作答原卷在同一界面进行多人对比讲评，支持调整题目放大或缩小，支持展开或隐藏答案辅助讲解，并提供画笔工具，支持教师自定义笔迹颜色，且包括3种笔触大小、3种板擦大小、一键清空黑板笔迹，支持撤销、恢复画笔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 支持报告数据下载功能，支持按小题统计试题详情、学生详情、作答详情数据，包括题号、题型、年级正确率、班级正确率、答对人数、答错人数、答错学生名单维度呈现。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 支持按班级批量下载学生批改原卷。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 支持校长、年级主任、学科组长、备课组长、班主任管理角色查看班级单次作业报告。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 支持家长/学生查询单次作业报告，包括整卷正确率、各题作答对错情况、原卷批阅结果，英语作文报告支持查看作文原文、作文总评及逐句批改情况。</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3、错题本</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针对已批阅完成的作业，支持班级共性错题自动收录，支持查看错题的题干、题型、班级正确率信息。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支持根据错题来源、时间、题型多维度筛选班级错题。</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支持教师筛选班级错题组成错题巩固作业。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支持以word格式下载错题巩固作业文件。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含服务期1年。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历史</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何尊模型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高18CM，合金材质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殷墟甲骨文模型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盒装，规格：260×230×40mm,一甲一骨，高度仿真制作。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活字印刷模型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内容至少包括：</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1.《论语》节选1块，规格不小于21cmx17cm；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2.《史记·太史公自序》节选1块，规格不小于25cmx17cm；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3.《道德经》节选1块，规格不小于23cmx15cm；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使用精雕技术，雕刻木活字，尺寸统一。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凹凸字模板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含甲骨文、大篆、小篆、隶书、楷书、行书、草书，每种字体4个字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中国古代钱币模型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八种古钱币，材质：青铜。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中国古代生产工具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历代木犁模型，木质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算筹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60支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中国古代书写工具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含龟甲、兽骨、刻刀、竹木简、毛笔、丝帛、麻纸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中国历史年代尺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≥1200 mm×600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珍妮纺纱机动态演示模型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瓦特改良蒸汽机动态演示模型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初中历史教学视听资料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含《中国通史（100集）》《世界历史（100集）》等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地理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日晷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利用太阳的投影方向来测定并划分时刻，由晷针（指时针）和晷面（带刻度的表座）组成；依照使用地的纬度，将晷针朝向北极固定，观察晷针投影在垂直于轴的晷表上的刻度来判断时间；表座上的刻度应等分；夏季和冬季晷针投影在表座上的影子应分在圆盘的北面和南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齿轮、底座等应为铁质或钢质材料，白道面与黄道面的夹角放大到15°,演示用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经纬度模型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1.产品由球体和支架等组成；</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2.球体直径约为320mm,平面比例尺1:40000000；</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3.说明地球自转方向，地轴，两极、经纬极及经纬度；</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由24条经线和9条纬线构成空心网状球体，内装固定的本初子午线平面板和赤道平面板，以及可转动的经线平面板和纬度指针，球上装旋钮分别控制经线平面板和纬度指针，地轴与座底平面成66.5°夹角。</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中国政区拼接及组合模型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模型比例尺为：1：600万，由上下两层图板构成，上面的图板为各省、市、自治区模型块，配以高级塑磁，不会自行脱落。2、 拼接演示中国三十一个省、区和直辖市，轮廓特征准确，拼接严密、色彩鲜明，形象逼真，如一张完整的中国彩色政区图，外框长：105cm×78cm×2.5cm。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中国政区拼接模型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1:20000000，材质亚克力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四大地理区域地形立体模型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≥2280 mm×1680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四大地理区域典型民居模型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≥800 mm×600 mm，应提供四合院、新疆民居、西藏碉楼、徽派民居等典型建筑套装。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流量流速监测仪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6分B5，配铜电磁阀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透明地球仪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透明地球仪，≥20CM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手电筒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常规电池手电筒，可做平行光源使用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化学清单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防护面屏</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PC等材质，轻便抗摔不宜碎，质感光滑无毛边；双面防雾处理，全脸透明高清；加宽加高面罩，质感舒适；一体式鼻托，佩戴舒适，不易掉落；弧形镜腿，贴合耳廓；对眼部及脸部起到很好的保护作用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耐酸手套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机械性能≥3级，无破损，手套应有长度≥150 mm 的套袖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帆布手套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双层加厚帆布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棉线材质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可分为大、中、小号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废液分类回收桶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塑料制，25 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600 mm×400 mm×800 mm，不锈钢材质，至少两层，各层带可拆卸护栏，总载重≥60 kg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辆</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试剂瓶托盘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内沿≥400 mm×290 mm×50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实验用品提篮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木制，配有提手，490 mm×360 mm×290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电动钻孔器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钻头可拆卸，应配有2个以上不同孔径的钻头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钢丝钳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0.25 kg，羊角锤</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mm，带柄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g，0.1 g，单杠杆等臂式双盘天平，配6级(M2级)砝码含50 g、10 g、5 g各1个，20 g2个，钢制镊子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  g，0.5  g，单杠杆等臂式双盘天平，配6级(M2级)砝码含200g、50 g、10 g各1个，100 g、20 g各2个，钢制镊子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200 g，0.01 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1000 g，0.1 g</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红液温度计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0～100 ℃，分度值1℃，示值误差＜1.5 ℃</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水银温度计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0～200 ℃，分度值1℃，示值误差＜0.5 ℃，有保护套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木制或塑料制，8孔，孔径21 mm，立柱粘结牢固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木制或塑料制，8孔，孔径25 mm，立柱粘结牢固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木制或塑料制，8孔，孔径35 mm，立柱粘结牢固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木制或塑料制，双排，≥12孔，孔径25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方形座，含铁夹、复夹、铁圈，重心稳定不晃动，夹持器内侧应有垫衬</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三脚架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铁制，环内径75 mm，高150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升降台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上下台面为不锈钢材质，100  mm×100  mm，台面升降范围50 mm～150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  mL透明钠钙玻璃制，分度线、数字和标志应完整、清晰和耐久，容积为20 ℃时充满量筒刻度线所容纳体积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  mL透明钠钙玻璃制，分度线、数字和标志应完整、清晰和耐久，容积为20 ℃时充满量筒刻度线所容纳体积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mL透明钠钙玻璃制，分度线、数字和标志应完整、清晰和耐久，容积为20 ℃时充满量筒刻度线所容纳体积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容量瓶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mL、250 mL、500 mL、1000 mL，透明硼硅酸盐玻璃制，刻度线应在瓶颈下部三分之二处，清晰耐久，粗细均匀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Φ15 mm×150 mm，透明硼硅酸盐玻璃制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Φ18 mm×180 mm，透明硼硅酸盐玻璃制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Φ20 mm×200 mm，透明硼硅酸盐玻璃制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Φ32 mm×200 mm，透明硼硅酸盐玻璃制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具支试管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Φ20 mm×200 mm，透明硼硅酸盐玻璃制，管底厚薄应均匀，支管连接应平滑牢固，不应有偏歪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 mL，透明硼硅酸盐玻璃制，烧杯的满口容量应超过标称容量的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mL，透明硼硅酸盐玻璃制，烧杯的满口容量应超过标称容量的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 mL，透明硼硅酸盐玻璃制，烧杯的满口容量应超过标称容量的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mL，透明硼硅酸盐玻璃制，烧杯的满口容量应超过标称容量的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 mL，透明硼硅酸盐玻璃制，烧杯的满口容量应超过标称容量的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1000 mL，透明硼硅酸盐玻璃制，烧杯的满口容量应超过标称容量的10%或烧杯的满口容量和标称容量的两液面间距≥10 mm，并应采用容量差值较大的一种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 mL，圆底，透明硼硅酸盐玻璃制，玻璃薄厚均匀，底部应规整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 mL，平底，透明硼硅酸盐玻璃制，平底烧瓶放在平台上时，应直立不摇晃、不转动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锥形瓶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mL，透明硼硅酸盐玻璃制，放在平台上应直立不摇晃、不转动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锥形瓶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 mL，透明硼硅酸盐玻璃制，放在平台上应直立不摇晃、不转动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集气瓶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 mL，透明钠钙玻璃制，磨砂面应均匀地覆盖瓶口端面与盖板，磨砂面不应有光斑；盖板四角应倒角，四边应磨光盖板与瓶口密合性应符合：盖板与瓶口充分湿润盖合后，倒提瓶体盖板在瓶口上保持 30 s不脱落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集气瓶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mL，透明钠钙玻璃制，磨砂面应均匀地覆盖瓶口端面与盖板，磨砂面不应有光斑；盖板四角应倒角，四边应磨光盖板与瓶口密合性应符合：盖板与瓶口充分湿润盖合后，倒提瓶体盖板在瓶口上保持 30 s不脱落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广口瓶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 mL，透明钠钙玻璃制，瓶塞与瓶口紧实，不晃动；口部应圆整光滑，底部应平整，放置平台上不应摇晃或转动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广口瓶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mL，透明钠钙玻璃制，瓶塞与瓶口紧实，不晃动；口部应圆整光滑，底部应平整，放置平台上不应摇晃或转动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细口瓶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 mL，透明钠钙玻璃制，瓶塞与瓶口紧实，不晃动；口部应圆整光滑，底部应平整，放置平台上不应摇晃或转动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茶色细口瓶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500 mL，黄棕色钠钙玻璃制，瓶塞与瓶口紧实，不晃动；口部应圆整光滑，底部应平整，放置平台上不应摇晃或转动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 mL，透明钠钙玻璃制，瓶口细磨，磨砂面应均匀细腻，滴管应附橡胶帽，吸放弹性好，开口Φ6 mm，与滴管口套合牢固稳定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 mL，透明钠钙玻璃制，瓶口细磨，磨砂面应均匀细腻，滴管应附橡胶帽，吸放弹性好，开口Φ6 mm，与滴管口套合牢固稳定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茶色滴瓶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 mL，黄棕色钠钙玻璃制，瓶口细磨，磨砂面应均匀细腻，滴管应附橡胶帽，吸放弹性好，开口Φ6 mm，与滴管口套合牢固稳定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酒精灯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 mL或250 mL，透明钠钙玻璃制，无明显黄绿色，灯口应平整，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瓷灯头与灯口平面间隙≤ 1.5 mm，玻璃灯罩应磨口，瓷灯头应为白色，完全覆盖灯口，表面无缺陷，配置与灯口孔径相适应的整齐完整的棉线灯芯</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漏斗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Φ50 mm，直径准确，锥度适中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漏斗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Φ60 mm，直径准确，锥度适中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安全漏斗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径长300 mm，上口Φ40 mm，玻璃壁厚度适中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分液漏斗</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 mL，球型，瓶塞应有凹槽，瓶口有气孔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三通连接管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T形，Φ7 mm～8 mm，连接完好，管口应作打磨或烧结处理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三通连接管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Y形，Φ7 mm～8 mm，连接完好，管口应作打磨或烧结处理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mm，直形，滴管尖嘴口径1 mm，上端有防滑脱翻口，翻口处Φ比滴管Φ略多1 mm～2 mm，配套胶头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 mm，直形，滴管尖嘴口径1 mm，上端有防滑脱翻口，翻口处Φ比滴管Φ略多1 mm～2 mm，配套胶头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Φ210 mm×110 mm，水槽底部应平整，不应凸底，壁厚和底厚应均匀，口部端面应平整，边和口应圆滑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圆水槽</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Φ270 mm×140 mm，水槽底部应平整，不应凸底，壁厚和底厚应均匀，口部端面应平整，边和口应圆滑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表面皿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Φ100 mm，无色硼硅酸盐玻璃制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磨砂玻璃片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 mm×60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简易水电解器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简易水电解器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霍夫曼水电解器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直流1.5 V～9 V，1.5 A，每1.5 V一档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交流2 V～12 V，5 A，每2 V一档；直流1.5 V～12 V，2 A，分为1.5 V、3 V、4.5 V、6 V、9 V、12 V，共6 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蒸发皿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Φ100 mm，瓷制，耐受温度≥800 ℃</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反应板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白色陶瓷，6孔，表面有釉层，不会发生溶液渗透</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坩埚</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瓷制，30 mL，耐热≥1200 ℃，内外壁光滑，外壁涂釉，配有坩埚盖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坩埚钳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200 mm，钢制，中间弯曲部分内径应在20 mm～30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木制或竹制，长度≥200 mm，宽度20 mm，厚度20 mm；试管夹闭口缝≤1 mm，开口距≥25 mm；毡块黏结牢固，试管夹弹簧作防锈处理，试管夹持部位圆弧内径≤15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止水皮管夹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Φ3 mm钢丝制成，作防锈处理，夹持角度≥60º，弹性好，不漏液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乳胶管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乳胶管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段</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陶土网</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金属网尺寸≥125 mm×125 mm，耐火材料为陶土</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药匙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长度≥130 mm，带小勺，材质可选金属、牛角、塑料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Φ18 mm，手持部分顶端应为环状，顶部要有刷丝，铁丝不可外露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 mm，瓷或玻璃制，配有研杵，内部粗糙便于研磨，外部光滑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废液缸</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废液缸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塑料洗瓶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250 mL或500 mL，水嘴略向下倾斜，口径1 mm～2 mm，瓶口紧实不漏气</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分子间隔演示器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无色透明，容积约为100 mL，可明显观察酒精与水混合后的体积变化耐用，不易碎，刻度清晰、耐磨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溶液导电演示器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组成及规格:1、产品由示教电路板、电极电线、容器、隔板等组成。2、示教电路板尺寸300×200mm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信息科技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摄像头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接口：USB；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分辨率：≥1080p；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附加功能：免驱动；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对焦：自动对焦。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线型：单边导线；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线长：2m；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振膜尺寸：40mm；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佩戴方式：头戴式；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场景：考试耳机；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插头接口：USB；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麦克风支持：有麦克风。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思维导图软件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多模态创作：支持思维导图、大纲、甘特图、鱼骨图、时间线等，适配不同学科知识结构梳理（如历史时间轴、物理因果链）；</w:t>
            </w:r>
            <w:r>
              <w:rPr>
                <w:rStyle w:val="526"/>
                <w:rFonts w:hint="default"/>
                <w:lang w:bidi="ar"/>
              </w:rPr>
              <w:br w:type="textWrapping"/>
            </w:r>
            <w:r>
              <w:rPr>
                <w:rStyle w:val="526"/>
                <w:rFonts w:hint="default"/>
                <w:lang w:bidi="ar"/>
              </w:rPr>
              <w:t>知识管理：挖空记忆：遮盖节点内容用于自测复习；大纲与导图双向切换；构建可延展的个人知识网络，强化记忆巩固；</w:t>
            </w:r>
            <w:r>
              <w:rPr>
                <w:rStyle w:val="526"/>
                <w:rFonts w:hint="default"/>
                <w:lang w:bidi="ar"/>
              </w:rPr>
              <w:br w:type="textWrapping"/>
            </w:r>
            <w:r>
              <w:rPr>
                <w:color w:val="000000"/>
                <w:kern w:val="0"/>
                <w:sz w:val="20"/>
                <w:szCs w:val="20"/>
                <w:lang w:bidi="ar"/>
              </w:rPr>
              <w:t>‌</w:t>
            </w:r>
            <w:r>
              <w:rPr>
                <w:rStyle w:val="526"/>
                <w:rFonts w:hint="default"/>
                <w:lang w:bidi="ar"/>
              </w:rPr>
              <w:t>导出与集成：支持PDF、PNG、JPG、PPT、Word等格式导出。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人/3年</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十九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智能家居模拟套件/初级物联网模组/开源硬件项目开发工具包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智能家居主题课程资源包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配套课程主控制器国产，能够兼容多个编程平台，包括Arcade，Abot,JavaScript,Python,课程包可完成以下作品搭建：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 智能台灯：可以改变色温来保护视力。通过语音控制台灯开关与色温。所需传感器：AI创客学习主板×1、RGB灯模块×1、语音识别模块×1。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 智能风扇：运行时通过检测环境温度，适时调整转速。通过语音控制控制风扇转速。所需传感器：AI创客学习主板×1、电机模块×1、语音识别模块×1。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 智能防盗系统：利用人体红外进行检测，通过物联网传输报警信号。所需传感器：AI创客学习主板×1、人体红外模块×1、物联网模块×1。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 智能音箱：可以进行古诗背诵和简单的对话。内置几种简单对话：自我介绍，你好，晚安。所需传感器：AI创客学习主板×1、语音识别模块×1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AIOT教学套装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主控采用带DSP和FPU的高性能ARM Cortex-M4 MCU STM32F412RET6，具有512 KB Flash、工作于96MHZ主频，外拓2M字节的FLASH芯片；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2.板载1.8寸彩色TFT显示屏分辨率为128*160。板载丰富的可编程模块，具体包括2个LED灯，4路RGB灯，7个按键（4个方向按键，2个功能按键，1个菜单按键），1个无源蜂鸣器，1个光敏传感器，1个6轴陀螺仪传感器；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3.具有4PIN的IIC拓展接口一个，用于基础传感器和人工智能硬件模块的拓展。具有20PIN的包含GPIO,PWM,SPI,IIC功能的拓展接口一个，适用于无人驾驶智能车专用拓展板；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4.支持微软Makecode Arcade与Abot（Scratch二次开发）两种编程平台，Makecode Arcade支持图形化，JS，Python三种编程方式。Abot支持图形化，Python两种编程方式；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5.支持模拟硬件HID遥控外设功能，具有按键模式和陀螺仪模式；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6.在Abot软件下，具有实时模式和离线模式两种编程方式；实时模式下可以实现动画与硬件的相结合。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7.USB口支持关机充电，具有过压，过流保护；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8.此套件包含了套件和所有的传感器功能应用，配套课程：配套视频及纸质版课程教材；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套装清单：</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编程板主板*1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亚克力保护板1套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按键帽*7</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内六角形扳手*1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电池*1（含双面胶）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数据下载线*1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Arduino开发套装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套专为孩子设计的编程学习套件，孩子可以在一个个趣味编程项目中，学习通过“创造力“来改造生活，找到解决问题的方法。创意来源生活，又高于生活，我们鼓励孩子用身边随处可得的材料来打造作品，比如纸杯，木棒，瓦楞纸，粘土等等，创造无限可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材质：传感器pcb使用沉金工艺制作；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连接方式：采用开源硬件中最为普遍的Ph2.0 3Pin接口,数字与模拟接口由不同颜色杜邦线连接；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主控：Arduino主控板(支持ISP下载功能、单片机TX/RX端子，AREF端子，六組PWM端子(Pin11,Pin10,Pin9,Pin6,Pin5,Pin3))，扩展板（集成xbee插口，蓝牙/APC接口，舵机单独供电接口，无线模块串口使能开关，兼容3.3v及5v主控板）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编程软件：免编程图形化编程软件、mixly，mind+，arduino ide等；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输入设备：数字晃动传感器，红外开关，光敏传感器，角度传感器，声音传感器，温度传感器，按钮模块，超声波测距传感器，温湿度传感器；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输出设备：舵机，小灯模块，RGB灯，蜂鸣器，液晶显示屏，继电器；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通讯设备：蓝牙模块，物联网模块；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配件：6节5号电池盒带插头，USB线，杜邦线；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Arduino创意编程入门教程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创意编程入门教程》是一本基于Arduino主控板及mind+图形化编程的课程内容，内容覆盖了三个部分：一、基础Arduino入门，帮助学生学习Arduino及基础的传感器认识，建立编程逻辑基础；二：Arduino与IOT，结合物联网平台，帮助学生通过Arduino学习物联网相关知识，制作物联网应用；三、Arduino蓝牙通信，基于蓝牙模块和AppInventor软件，学生学习制作手机app,可以制作智能家居控制APP。本课程主要目标是综合26个具有特色的项目，通过学习硬件知识及提升编程能力，发现生活问题，并制作智能工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物联网气象站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1.主控板：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1）CPU需采用单板计算机架构的国产芯片，主频≥1.2GHz、核数≥4核，板载内存≥512MB的DDR3内存，硬盘内存≥16GB的eMMC存储，出厂预装Linux系统，支持python2和python3；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2）支持多种编程方式：图形化编程、Jupyter编程、Thonny编程、SSH远程访问、VScode编程等；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3）支持预装常用Python库，如NumPy、Pandas、Matplotlib等库；</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4）支持离线运行程序、还可存储多个程序；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5）支持蓝牙4.0及WiFi 2.4G；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6）需板载≥2.8寸 240*320TFT彩屏、≥2个可编程功能按键、麦克风传感器、光线传感器、加速度传感器、蜂鸣器等模块；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7）配备USB Type-C、USB TypeA接口（可拓展USB外设，如摄像头等）、microSD卡接口，板载至少≥6路传感器拓展接口（支持≥2路IIC，支持≥3路PWM其中≥2路ADC），≥19路金手指IO接口（支持I2C、UART、SPI、ADC、PWM）；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8）支持Type-C 5V供电，工作电压3.3V；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2.气象仪模块：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1）支持风速、风向、温度、湿度、气压等数据检测；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2）支持直接输出物理量数据；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3）支持外接传感器扩展，内置≥2个传感器接口；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4）需兼容常规主控板，支持≥2种通讯方式（UART、I2C）；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5）支持单板存储功能，并且存储空间至少16M；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6）支持GNSS定位、WiFi无线通信，还需满足实时数据传输和远程定位及信息获取功能；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7）需内置电池，可支持气象仪独立工作≥48小时，并且支持低功耗模式，同时可查看输出的电池电量数据；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3.语音识别模块：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1）支持离线语音识别功能；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2）支持内置常用固定命令词条，包含≥135条常用的固定命令词条；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3）支持新增命令词学习功能，支持≥17条命令词条学习；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4）配备麦克风、喇叭及喇叭接口，并且麦克风数量≥2个；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5）支持I2C和UART两种通讯方式，适配主流开源硬件主控器；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4.基础电子模块：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1）需提供≥6种电子模块，包含但不限于PM2.5传感器、舵机、灯带、语音合成模块、太阳能板、USB摄像头；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2）电子模块需自带固定螺孔，支持螺丝、魔术贴等方式固定；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3）电子模块接口需采用PH2.0接口；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5.配件：配备模块连接线、主板烧录数据线、结构件等配件；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6.编程方式：支持图形化编程；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7.配套内容：需提供≥18课时教学课程，包含课程文档、案例程序等。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物联网教学套装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适用于物联网主题学习。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套件搭配有9种电子模块，结合micro:bit板载元件，可实现物联网的环境探究、智能家居、智慧交通、科学数据探究等场景下的项目；是针对中小学物联网方向学习设计的套件，在游戏和故事场景下，普及物联网概念与物联网的相关知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1、基于星球探索故事背景的课程内容设计，在闯关游戏中学习物联网；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2、团队合作闯关，打造未来物联网城市终极任务；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3、含有pH计、土壤温湿度等科学探究传感器；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4、基于专为教学设计的IoT物联网模块，简单易用；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5、具有专为教育打造的物联网平台，五分钟上手，轻松实现数据和物联网设备监测；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技术参数：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套件使用糖果色区分不同类型模块；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材质：模块外壳采用玩具级别ABS材质；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连接方式：采用开源硬件标准通用的Ph2.0 3Pin接口，可以防反插；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主控板：32位ARM芯片，板载5x5可编程LED点阵、按键、加速度计、电子罗盘、温度计、蓝牙等功能；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扩展板：不少于6个Ph2.0防反插接口,外接供电口（可控制电源系统）；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输入模块：土壤湿度传感器模块，声音传感器，运动传感器，防水温度传感器，pH传感器；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输出模块：七彩灯带，舵机，蜂鸣器模块；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功能模块：物联网模块；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配件：microUSB线，传感器连接线，电池盒；</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可支持编程软件：免编程图形化编程软件、Mixly、mind+等图形化编程软件、JavaScript、Python等代码式编程软件；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物联网学习手册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本册内容是专门为物联网入门学习的学生设计的项目学习及记录手册，课程配有15课项目内容，建议第一部分执行任务前的培训分成两节课内容。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本教程为物联网入门教程，结合mind+图形化编程，课程设计理念为，基于本年龄段学生对于太空探索的兴趣，以故事情节的发展推进学生对于物联网内容的知识。主要分为第一阶段：任务前的学习——第二阶段：登陆星球执行初级任务——第三阶段：以物联网城市的思维完成综合任务——终极任务：打造物联网城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过有趣的故事情节，赋予学生探索未知世界的责任感和挑战性，能够更好的引发学生主动的对于物联网知识及技能的学习兴趣，在任务实现过程中去验证学习的技能和知识，团队合作式的课程设计，能够激发学生的积极性和参与感，发挥想象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高中仪器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高中数学仪器清单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凸凹多面体模型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包含以下组件：正四面体、正方体、正八面体、正十二面体、正二十面体；演示多面体的展开图；演示圆柱、圆锥、棱柱、棱锥组合体模型和三视图模型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正方体模型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包含以下组件：演示正方体中的线面位置关系；演示正方体的截面图形(三角形、梯形、长方形、菱形、五边形、六边形)；展示正方体十一种侧面张开图；演示正方体切割成不同的棱锥模型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圆锥曲线模型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演示平面截圆锥所得的圆锥曲线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高中物理仪器清单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演示测力计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规格：（0～5N），由刻度板、弹簧、调零器和指针组成。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旋片式真空泵</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采用旋片式油封单级泵。抽气速率：1 I/S ，极限压力：6 Pa ，电机功率：180 W ，进气口径：Φ15mm ,外形尺寸不小于280mm×150mm×200mm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牛顿第二定律演示仪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由双轨道，刹车装置，滑轮，2辆小车，拉力挂钩等组成。轨道有效运动长度不小于600mm，小车放在轨道上应能从静止开始运动，刹车装置应能调节，使两辆小车同时静止或者同时开始运动。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反冲运动演示器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两种形式（水和气）。产品由水槽、喷嘴3只、支架、盛水桶、水管及注水杯等组成。1.水槽采用PP塑料注塑成型，直径250mm、深100mm，所有配件均安装在水槽内。2.喷嘴采用软塑成型，黑色，头部细并弯有一定的角度。3.支架采用冷轧板冲压成型，表面喷塑料处理，固定在水槽内应牢固、可靠。4.盛水桶采用透明塑料制，直径100mm、高150mm。5.产品外形尺寸：250mm×250mm×260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离心轨道</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由底板、环形轨道、钢球、塑料球和接球装置等组成。环形轨道有供球出、入的2 个斜坡，长坡顶部有球座，短坡顶部有接球装置。环形轨道环内径≥140 mm，短坡高≥120 mm，长坡高/圆环半径倍数不大于4。钢球和塑料球直径Φ25 mm。球自长坡顶部滚下，应能连续（在轨道顶部不脱离与轨道的接触）沿轨道滚动一周，并在短坡顶部进入接球装置。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演示轨道小车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利用电火花计时，车拖纸带式，打点有效距离不小于900mm，内含轨道，小车，塑料桶等，轨道材质：铝合金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轨道小车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车拖纸带打点式，打点有效距离不小于600mm，内含轨道，小车，塑料桶等，轨道材质：铝合金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气垫导轨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导轨工作面长度：2000mm；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导轨直线度：全长误差不大于0.1mm, 任意400mm长度≤±0.05mm；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导轨表面硬度：不小于HB65；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导轨工作面的表面粗糙度：Ra3.2；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气源功率：200W；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压力：≥5.9kpa；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带载噪音：&lt; 56dB；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输出口：单路；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具有低噪声、微粉尘、压力高、耐腐蚀等特点。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气垫导轨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导轨工作面长度：1200mm；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导轨直线度：全长误差不大于0.1mm, 任意400mm长度≤±0.05mm；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导轨表面硬度：不小于HB65；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导轨工作面的表面粗糙度：Ra3.2；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气源功率：180W；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压力：≥5.9kpa；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带载噪音：&lt; 56dB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输出口：单路；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具有低噪声、微粉尘、压力高、耐腐蚀等特点。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平抛竖落仪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它主要有底座、竖直板、托物盘、发射装置组成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平抛运动实验器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由铝制导轨、钢球、重锤、接球槽、演示板组成。1.底座和面板均采用冷轧板制成，面板烤白漆、底座烤黑漆，面板尺寸不小于325mm×240mm×1mm，底座尺寸不小于250mm×100mm×10mm，并有调平螺丝；2.钢球和直径为16mm；3.接球槽可上下移动，能停留在任一位置。</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碰撞实验器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验证动量守恒定律，由轨道，钢球等附件组成。道轨材料铝制。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向心力演示器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仪器由传动轮，变速盘，旋臂，弹簧标尺及横臂等组成。演示器通过转速比，向心力比，质量比及半径比等演示实验，可直接归纳出向心力公式，也可验证向心力公式。转盘（变速盘为铝质盘）。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离心机械模型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仪器由离心干燥器，离心节速器，离心分离器组成。供中学物理实验演示离心作用原理用。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规格：400mm×400mm×12mm，松木，用于力的合成与分解实验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方座支架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矩形底座、立杆、烧瓶夹、大小铁环、垂直夹（2只）、平行夹等组成。座尺寸为210mm×135mm，立杆直径为φ12mm，一端有M10×18mm螺纹，底座和立杆表面作防锈处理。3、底座放置平稳，无明显晃动现象，支承夹持可靠。4、立杆与方座组装后垂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多功能实验支架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1、组合支架由支座、支块、滑道、等组成。零部件的数量：1)支座 2   2)轴棒 4      3)平台 4)支块 2   5)万向夹 1  6)吊环 4  7)滑道 2   8)烧瓶夹 1   9) 绝缘杯 2  10)滑块 5   11)铁环 1     12)定滑轮 12。3、支架的组合方式有竖直型、水平型两类；竖直型又可组成框架式和垂直式两类，水平型又可组成单轨式和双轨式两类。4、零部件的组合可靠，紧固螺丝旋动灵活省力，紧固性良好；穿插孔无毛刺、无变形，轴棒穿插方便；轨道平直、无变形、无损伤；滑块在轨道上滑动灵活自如，定位可靠；万向夹在轨道上能万向定位，夹持稳固，夹口灵活，闭锁有力，方向正确，位置端正。</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等腰直角，中间带量角器，斜边不小于300mm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外观尺寸：950mm×350mm，铝合金材质，不锈钢底座，不锈钢支架，刻度清晰，演示效果极佳 放大比例1:20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规格：150mm，0.1mm，主体金属材质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规格：150mm，0.05mm，主体金属材质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实验教学用，产品为单杠杆、双托盘、等臂、全金属件、钢刀结构天平。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两侧的承重机构装有可调轻重的垫碗。横梁两侧有平衡调节螺母。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横梁上装有刻度尺及游码。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最大称量：200g，最小分度值：0.2g。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标尺称量范围：0～5g。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外形尺寸：210×84×135（mm）；秤盘直径：Φ84mm。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配有盒装五等砝码及镊子。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高中教学电源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1.直流稳压输出：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标称电压：1V～24V分档连续可调；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额定电流：2V～6V额定电流6A，8V～12V额定电流4A，14V～24V额定电流2A；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电压偏调：±（2%U标+0.1V）；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电压稳定性：各档不大于2%U标+0.1V；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负载稳定性：各档不大于2% 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纹波电压：各档不大于0.1%U标；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过载保护：额定电流的1.05～1.5倍，自动保护。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2.交流输出：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标称电压：2V~24V，每2V一档，共十二档可调；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额定电流：2V～6V额定电流12A，8V～12V额定电流6A，14V～24V额定电流3A；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空载电压：各档不大于1.05×U标+0.3V；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满载电压：各档不小于0.95U标-0.3V；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保    护： 额定电流的1.05~1.5倍，自动保护。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3.直流大电流短时输出：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输出电流大于10A，8S±2S自动保护。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输出短时电流为40A±10A。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4.工作条件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环境温度：0℃~+40℃；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相对湿度：≤90%（40℃）；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电源电压：AC 198V～242V，50Hz±2.5 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工作时间：直流稳压档和交流档连续8小时（40A除外）。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高中学生电源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1.直流稳压输出：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标称电压：1.5V~16V共16档可调；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输出额定电流：2A；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电压偏调：±（2%U标+0.1V）；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电压稳定性：各档不大于2% 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负载稳定性：各档不大于2% 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纹波电压：各档满载时不大于0.1% U标；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过载保护：（1.05~1.5）×2A自动保护。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2.交流输出：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标称电压：2V~16V，每2V一档，共8档可调；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输出电流额定：3A；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空载电压：各档不大于1.05×U标+0.3V；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满载电压：各档不小于0.95 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过载保护：（1.05~1.5）×3A自动保护。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3.工作条件：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环境温度：0~+40°C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相对湿度：≤90%（40°C）</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电源电压：交流198V～242V，50Hz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工作时间：稳压输出档和交流输出档连续8小时。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高中化学仪器清单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方座支架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矩形底座、立杆、烧瓶夹、大小铁环、垂直夹（2只）、平行夹等组成。座尺寸为210×135mm，立杆直径为φ12mm，一端有M10×18mm螺纹，底座和立杆表面作防锈处理。3、底座放置平稳，无明显晃动现象，支承夹持可靠。4、立杆与方座组装后垂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复合材料标本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规格：不少于5种。防水布、绝缘纸、光纤、砂纸、玻璃纤维、密度板、钢化玻璃、铝合金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烧瓶夹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铁制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激光笔</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笔式，不大于4mW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元素周期表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规格：1000mm×700mm，写真布材质，有核外电子排布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水止皮管夹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规格:铁制，4cm，符合实验仪器相关标准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演示电流电压表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机械指针式，内磁系，准确度为2.5级，直流500μA～0～500μA、10mA、100mA、1A、5A、5V、10V；交流10mA、100mA、1A、5A、10V、50V、250V; 外形尺寸：宽280mm×高310mm×厚110mm。输出端子全部采用不脱落式铜材接线柱，Φ4mm铜芯香蕉插、可穿及接线三种功能!指针采用荧光漆上色。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原电池实验器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由透明容器、电极板（连接黄铜棒）、固定螺丝与接线柱组成。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透明容器由塑料注塑成型，电极板上装接线柱，接线柱下联极板卡。电极板通过螺丝固定连接电极板的黄铜棒，能够紧固安装电极板。电极板分别有纯铜、梓板、铁片、石墨制成。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微型溶液导电实验器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金属电极，笔式，所需溶液不超过3mL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井穴板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规格：6 孔，材质：瓷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高中教学电源</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1.直流稳压输出：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标称电压：1V～24V分档连续可调；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额定电流：2V～6V额定电流6A，8V～12V额定电流4A，14V～24V额定电流2A；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电压偏调：±（2%U标+0.1V）；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电压稳定性：各档不大于2%U标+0.1V；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负载稳定性：各档不大于2% U标+0.1V；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纹波电压：各档不大于0.1%U标；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过载保护：额定电流的1.05～1.5倍，自动保护。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2.交流输出：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标称电压：2V~24V，每2V一档，共十二档可调；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额定电流：2V～6V额定电流12A，8V～12V额定电流6A，14V～24V额定电流3A；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空载电压：各档不大于1.05×U标+0.3V；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满载电压：各档不小于0.95U标-0.3V；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保    护： 额定电流的1.05~1.5倍，自动保护。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3.直流大电流短时输出：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输出电流大于10A，8S±2S自动保护。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输出短时电流为40A±10A。</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4.工作条件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环境温度：0℃~+40℃；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相对湿度：≤90%（40℃）；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电源电压：AC 198V～242V，50Hz±2.5 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工作时间：直流稳压档和交流档连续8小时（40A除外）。</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打孔器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刀口式，材质为不锈钢管、钢管或黄铜管，每组不少于 4 支，外径分别为 9 mm、8 mm、7 mm、6 mm， 并配一支带柄金属通扦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打孔夹板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组成及规格:1、产品由上夹板、下夹板、螺钉及紧固蝴蝶螺母等组成。2、长175mm，宽40mm。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打孔器刮刀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由锥形定位架，刮刀片，刀片张角调节丝及手柄等组成，用于修复打孔器刃口，使刃口变钝的打孔器重新恢复使用。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电动打孔器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电源电压：220V50Hz，钻孔直径为1～10mm, 配有专用卡具，可对不同参考规格橡胶塞打孔.标配φ3、φ5、φ6钻头各一支,毛刷一把，专用保险管一个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万能夹</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由夹杆、夹头组成，夹头分三爪，锡合金压铸成夹叉形，夹口为张紧螺丝张口，单向紧固，每一夹叉上套有防滑橡胶套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灵敏电流计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1.灵敏度：±300µA；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2.准确度：2.5 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3.偏差：5%；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4.内阻：（G080Ω~125Ω  G12.4KΩ~3KΩ）；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5.产品符合 JY0001－2003; JY0002-2003 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贮气装置</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规格：≥2000mL，</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1、化学实验室设备，用于收集、贮存气体。2、由底座、手柄、支架、气球嘴、锁紧螺母、贮气球、气嘴、气嘴阀门、气胆阀门、手压球各部分组成。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氢燃料电池演示器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氢燃料电池演示器：由两个电极（阴极和阳极）组成，通过聚合膜联系起来能将氢和氧的化学能转变为电能，膜电极尺寸为33mm×33mm面膜，带电流表及电压表。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电泳演示器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由底座电源装置,带刻度的U形管、电极、插座和开关等组成。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1、输入电压：AC12V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2、输入电流：&gt;1.5A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3、输出电压：&gt;12v、输出电流：80mA</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放电反应实验仪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通电两分钟之内即有氮气与氧气反应的现象，消耗功率不大于30W</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光化学实验演示器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能演示甲烷与氯气的反应。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含1、光源部件（含安全防护罩）；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2、电解槽；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3、定制试管；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4、鸣爆的安全防护罩；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5、导气管；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6、电源线；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7、底板。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球胆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气体取样，橡胶球胆，大号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电解水器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30mL,铂电极 1、供中学化学演示水的电解实验用。2、与方座支架、学生电源配合使用；电源电压：DC2V～24V。3、由玻管两支、球形漏斗、活塞和电极组成。电极为铂片或钛合金片，尺寸10mm×5mm×0.1mm，铂片纯度99.8%。玻管：外径15mm±2mm，长度450mm±3mm，容积为40ml。活塞密封性能良好。球形漏斗容积60ml。玻件光洁透明，厚度1mm，烧结口厚薄均匀，平整光滑牢固。玻件经退火处理，用偏光力仪观察。呈紫红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气体摩尔体积模型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282mm×282mm×282mm 厚度3mm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高分子材料标本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塑料、合成橡胶、合成纤维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二连球</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规格:材质：橡胶,规格：长63mm，符合实验仪器相关标准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滴定管刷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细长毛刷,符合实验仪器相关标准。手柄金属材质，猪毛鬃。</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塑料制，不易变形，不易破裂。尺寸约：46cm×27cm×7.5cm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塑料制，不易变形，不易破裂。尺寸约：38cm×22.5cm×6.5cm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三角锉刀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规格：250mm，带柄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剪刀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规格：150mm，尖头，钢制，表面防锈处理，手握部分采用塑料套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玻璃管切割器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刀具是锌合金制成。刀片硬质合金制成，最大可以切割直径为30mm的玻璃管。尺寸：切割刀呈V字形，1边长度6.5cm ，另外1边长度7最大张开直径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工作服</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1、实验室教师用白大褂。2、涤、棉混纺，棉不少于50%。3、样式可男、女通用。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护目镜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侧面完全遮挡，耐酸碱，抗冲击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实验防护屏</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材质及工艺:1、产品为三片折叠式结构，由透明度好的有机玻璃制造。2、外形尺寸650mm×360mm，厚度5mm。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剥线钳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高碳钢整体制造，不变形。精密剥线孔，可轻易剥离绝缘皮而不伤内线，激光镭射刻度便于操作。舒适塑柄使用轻松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钳工工具，剪铁皮、铜片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电烙铁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60W、20W，橡胶线，PBT塑胶手柄。铜头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电烙铁架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底座不小于150mm×100mm，插、架、高温海绵池合一</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恒温水浴锅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一列四孔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工作水箱采用不锈钢，水箱盖采用塑料制品，形状呈同心圆环，温控精确并带有数字显示，自动控温。二、技术指标：孔数：4孔，加热功率：800W,熔丝管：8A。温控范围：室温—100摄氏度。温控精度：±0.5摄氏度。由室温升至沸点70分钟。工作电压：AC220V50HZ，使用环境：环境温度：5℃-40℃，相对湿度80%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高中生物仪器清单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方座支架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矩形底座、立杆、烧瓶夹、大小铁环、垂直夹（2只）、平行夹等组成。座尺寸为210mm×135mm，立杆直径为φ12mm，一端有M10×18mm螺纹，底座和立杆表面作防锈处理。3、底座放置平稳，无明显晃动现象，支承夹持可靠。4、立杆与方座组装后垂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套 </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酒精灯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规格：150mL，单头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三脚架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1．由铁环和3只脚组成；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2．铁环内径：74mm外径：90mm；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3．三只脚与铁环焊接紧固，脚距相等，立放台上时圆环与台面平行，所支承的容器不得有滑动，脚高：150mm；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4．三脚架须经镀锌防锈处理，镀层均匀、牢固。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32孔，铝合金，与Φ18mm×180mm试管匹配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试管架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12孔，铝合金，与Φ18mm×180mm试管匹配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注射器架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规格：100mL，材质：塑料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实验教学用，产品为单杠杆、双托盘、等臂、全金属件、钢刀结构天平；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两侧的承重机构装有可调轻重的垫碗。横梁两侧有平衡调节螺母；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最大称量：500g，最小分度值：0.5g；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标尺称量范围：0～10g；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外形尺寸：300mm×120mm×175mm；秤盘直径：Φ110mm；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配有盒装五等砝码及镊子。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实验教学用，产品为单杠杆、双托盘、等臂、全金属件、钢刀结构天平；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两侧的承重机构装有可调轻重的垫碗。横梁两侧有平衡调节螺母；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横梁上装有刻度尺及游码；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最大称量：200g，最小分度值：0.2g；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标尺称量范围：0～5g；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外形尺寸：210mm×84mm×135mm；秤盘直径：Φ84mm；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配有盒装五等砝码及镊子。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电子天平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规格：200g，分度值：0.0001g；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线性误差:≤±0.2mg；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重复性误差≤0.1mg；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校准方式：外校；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去皮范围：0－200g；</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称盘尺寸：φ90mm；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数据输出:R232；</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尺寸：360mm×220mm×340mm。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计数器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手持式，规格：1、计数范围：0～9999四位。2、按压一次计数按钮，计数递增1，逢10自动进位。3、顺时针旋转调零柄，计数器号码应复归“0000”状态</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解剖镊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规格：尖头，125mm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牙用镊</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规格：单弯，160mm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解剖器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不锈钢材料，7件（大、小剪刀，大、小镊子，解剖刀、解剖针，弯头镊）</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骨剪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规格：130mm，不锈钢材质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恒温振荡器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规格45cm×45cm×43cm，温控范围：室温5-50度，温控精度±0.5℃，容量：能容纳15个100mL锥形瓶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微量移液器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规格：1µL～10µL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微量移液器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规格：20µL～200µL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微量移液器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规格：100µL～1000µL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微量移液器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规格：500µL～5000µL</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酵母菌装片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1、标本在100x和400x生物显微镜下观察酵母菌的形态。2、酵母菌为单细胞卵圆形。3、在不同的染色情况下，看清细胞壁、细胞质、细胞核和液泡等。4、在菌体上看清出芽生殖，分别具一、二或多个芽。5、标本取材于人工培养的体大的酵母菌。6、材料纯净，无杂菌、污物，不密集成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大肠杆菌涂片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标本在80×和200×学生显微镜下，观察细胞</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电动打孔器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电源电压：220V50Hz，钻孔直径为1～10mm, 配有专用卡具，可对不同参考规格橡胶塞打孔.标配φ3、φ5、φ6钻头各一支,毛刷一把，专用保险管一个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立体显微镜</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40X目镜：广角WF10X物镜：4X；镜 筒：双目直镜筒；反射镜：81.8mm；工作距离：53.5mm；调焦范围：40mm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塑料制，不易变形，不易破裂。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尺寸约：46cm×27cm×7.5cm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塑料制，不易变形，不易破裂。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尺寸约：38cm×22.5cm×6.5cm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酸度计</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笔式，测量范围：pH 0～14，分辨率：0.1pH，校正：1点，体积：152mm×29mm×15mm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血球计数板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 1.计数池深度: 0.1mm。2.外型74mmX33mmX5mm。3.大方格每边长度允许误差为1%。4.计数池平面两端磨有斜坡，使血液吸入容量大而畅通。5计数池的背面有凹窝，可保护背面。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研磨过滤器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规格：容量≥20mL，材质：塑料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始祖鸟化石及复原模型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生物模型，始祖鸟复原模型的身体大小和姿态根据化石模型的比例来确定，体长不小于450mm，展示头、颈、躯干、尾、翼、足。头部布满鳞片，体被羽毛，尾羽对称排列；头顶平，嘴无喙具齿，鼻孔位于上颌前端；上三指彼此分离，指分节指端具爪；趾分节，三趾向前一趾向后，部与趾均具鳞片；齿着白色，眼、爪、体、底座颜色应有区别。模型材质采为PVC材料，无毒且环保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细胞膜结构模型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用于生物教学中直观讲授细胞膜结构，模型由细胞膜流动镶嵌模型、磷脂分子、蛋白分子等组成。采用硬塑料材料长300mm。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细胞膜流动镶嵌模型组件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由磷脂分子极性，胆固醇，碳水化合物，膜蛋白与通道，糖原蛋白分子等组成　PVC材质 尺寸：260mm×180mm×110mm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人脑解剖模型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1.自然大的人脑解剖模型，以正常生理位置放于支架上；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2.大脑做正中矢状切，左侧脑半球经外侧沟向枕部再作水平切，并保留完整的脑干形态；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3.示大脑中间的胼胝体及凹陷在外侧沟内的岛叶；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4.符合JY163-84《脑解剖模型技术条件》的规定。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植物细胞亚显微结构模型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为高等真核细胞立体亚显微结构模型。细胞直径约放大两万倍。规格：长28cm,高47cm。材质：塑料。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动物细胞亚显微结构模型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为高等真核细胞立体亚显微结构模型。细胞直径约放大两万倍。规格：长28cm,高47cm，材质：塑料。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细胞器结构模型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1.为包括线粒体、叶绿体、高尔基体和中心粒四种细胞器的亚显微结构模型。2 .线粒体、叶绿体、高尔基体各做不同的剖面，以示其内部结构。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植物细胞有丝分裂</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洋葱根尖纵切</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胞间连丝切片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1．标本在400×生物显微镜下观察植物细胞的胞间连丝形态；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2．能看清胚乳的多边形厚壁贮藏细胞，认出细胞壁、胞间层和细胞腔；</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3．能看清许多细小的胞间连丝将两个相邻细胞的原生质体连在一起；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4．标本取材于秋、冬季节的柿或黑枣的种子；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5．切片厚度不超过20μm。材料面积不小于1.5mm2，细胞不倾斜；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6．标本用能显示胞间连丝的方法染色。胞间连丝着色应明显，细胞界限清楚，胞质色淡；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7．有50%以上细胞能显示胞间连丝；</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8．材料四周剪切整齐，无染液的沉淀物；</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9．应符合JY67－82《生物玻片标本通用技术条件（试行）》的规定；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10．产品应符合JY235－87《胞间连丝切片》的要求。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黑藻叶装片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显示细胞核及叶绿体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草履虫分裂生殖装片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虫体形态正常，无收缩、膨胀、压碎、断裂等现象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蝗虫精巢减数分裂切片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装片、符合新配标标准</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蛙血涂片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产品特征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 标本在400x生物显微镜下观察血液中血胞的形态；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1.2 能看清红血细胞和白血细胞，有时可见血小板。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 技术要求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 应符合JY67-82《生物玻片标本通用技术条件（试行）》的规定；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2.2 标本取材于蛙的新鲜血液，血细胞变形者，不宜使用；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2.3 血膜应涂布均匀、无污物，血细胞不重叠、无变形和自溶现象；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 用苏木精、曙红双重染色；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2.5 染色要均匀，白血细胞的胞核和血小板呈兰紫色，白血细胞的胞质和红血细胞呈粉红色，血浆不着色。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表皮细胞装片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蛙或蝾螈</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线粒体切片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产品特征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1.1 标本在1000x生物显微镜下观察线粒体的形态。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 技术要求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2.1 应符合JY67-82《生物玻片标本通用技术条件（试行）》的规定；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2.2 标本取材于动物的肝脏，小肠或者胰腺；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2.3取材要及时，无自溶现象；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2.4 铁苏木精染色，染色要均匀，线粒体被染成深黑色，其它部分被染成淡黑或者淡蓝色</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片</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五</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高中地理仪器清单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天体运行仪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规格：直径1m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电气性能参数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电源：交流220V/2A，整机经电源变压为交流24V安全可靠；</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主电机参数：24V/50HZ,功率：14W/0.6A。</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控制系统：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1.PC控制系统；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2.智能移动控制系统；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语音系统：工业级别MP3，音质优美动听。</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内容：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演示太阳系天体运行轨迹。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黑子观测器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结构:单目；</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主镜结构:折射式；</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镜片材质:普通光学镜片；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镜身结构:非一体式镜身；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口径:80mm。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世界钟</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普及型，35cm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天文历</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φ150mm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地貌模型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规格：600*400mm，均采用pvc材质精制而成、仿真微缩内容完整充实。</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1.等高线模型；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2.黄土地貌；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3.冰川地貌；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4.海岸侵蚀地貌；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5.丹霞地貌；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6.重力地貌；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7.喀斯特地貌；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8.科罗拉多大峡谷模型；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9.火山熔岩地貌；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10.断层褶皱地貌；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11.温室效应后果之一；</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12.荒漠（风蚀）地貌；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13.地下水模型；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14.五种地形模型；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15.地震模型；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16.煤、石油矿质构造。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洋流演示仪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规格：950*620mm，演示动态效果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地壳变动演示器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规格：450×110mm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大气环流演示模型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规格：640*400mm，演示动态效果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地球内部构造模型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包括地球内部圈层及地球表面地形地貌，直径≥320 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平底盘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350mm*270mm*20mm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托盘</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310mm*240mm*25mm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指南针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手持式，φ60mm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地球运行仪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小型，手动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晨昏圈地球仪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材质，尺寸：≥400mm按照中学地理教材内容演示昼夜的交替、昼夜的长短，太阳光直射点在南北回归之间移动，近日点以及时差等内容。该仪器结构紧凑，传动灵活，形象直观，该仪器由底座、传动机构、地球、齿轮、太阳等零部件组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填充地球仪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1:90000000，直径14.16cm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地壳物质循环模型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采用无毒无害物质限量符合要求的树脂制成；能通过模拟实验装置了解地壳变动现象，演示在自然条件下地壳变动过程所形成的地貌特征现象；演示模型尺寸：450×200×150mm（±2mm）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冷锋演示模型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规格：640*400mm，演示动态效果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暖锋演示模型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规格：640*400mm，演示动态效果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气旋活动演示模型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规格：640*400mm，演示动态效果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反气旋活动演示模型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规格：640*400mm，演示动态效果</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太阳高度测量器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hAnsi="宋体" w:cs="宋体"/>
                <w:color w:val="000000"/>
                <w:sz w:val="20"/>
                <w:szCs w:val="20"/>
              </w:rPr>
            </w:pPr>
            <w:r>
              <w:rPr>
                <w:rFonts w:hint="eastAsia" w:ascii="宋体" w:hAnsi="宋体" w:cs="宋体"/>
                <w:color w:val="000000"/>
                <w:kern w:val="0"/>
                <w:sz w:val="20"/>
                <w:szCs w:val="20"/>
                <w:lang w:bidi="ar"/>
              </w:rPr>
              <w:t>材质：塑料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六</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高中通用技术仪器清单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整形锉</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包含三角锉，半圆锉，圆锉，平锉等各种锉刀，长度150mm，10件套，碳素钢制作，塑料手柄。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手持式，含锯条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板牙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合金材质，M3、M4、M5多种规格</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板牙扳手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尺寸38（12-16）合金材质，配套板牙使用，把手表面具有压花工艺，增大摩擦力。</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内六角扳手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≥1.5mm～8mm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丝锥</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合金材质，φ6mm、φ10mm，含配套丝锥扳手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钢丝刷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6×16排，钢丝高15mm，木制手柄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千分尺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≥0～25 mm，产品材质：不锈钢；分度值：≥0.01mm；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木工锯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小号木工锯：≥400mm，齿距≥2.5mm，框架式，木材表面光滑，两头用硬木，中间横档用杉木，表面涂清漆。锯条端力握手一边木框的距离30mm，该端锯条倒角。一头固定（45°）；</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大号木工锯：≥500mm，齿距≥2.5mm，框架式，木材表面光滑，两头用硬木，中间横档用杉木，表面涂清漆。锯条端力握手一边木框的距离30mm，该端锯条倒角。一头固定（45°）。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曲线锯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≥180mm，手动，带锯条</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直线锯</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手持，≥240mm，钢锯架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切圆刀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≥10—150mm，工程塑料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偏口钳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≥125mm，产品材质：45#高碳钢，胶柄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尖嘴钳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≥125mm～160mm，钳嘴及刀口采用45#中碳钢制作，钳柄外套塑料。</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电工刀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≥240mm，加厚刀头，特殊钢材锻造，刃口硬度HRC55</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通针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与吸锡器配套，不锈钢材质，长度约≥80mm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根</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灯光控制示教板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使用镀膜铝合金箱体，面板采用磨砂亚克力；规格：≥30*21*7CM；7.5V电源。电路原理图清晰可见，包括钮子开关、LED发光二极管、三极管、光敏电阻、拾音头、与门电路、电阻等元件。可演示楼梯灯光控制的人性化设计，共分为三部分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楼梯灯双控电路和楼梯灯四控电路能实现拨动其中任一开关，就能点亮或熄灭楼梯电灯；楼梯灯声光控制电路可演示：夜晚对声音传感器施加信号，电灯点亮，并延时一段时间后自动熄灭。</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角度尺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≥150mm，角度可调，产品尺寸：≥240*50mm；材质：不锈钢；</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高度游标卡尺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≥240mm，精度≤0.02mm，钨钢合金划线爪。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游标卡尺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≥150mm，≤0.02mm，产品材质：碳钢，紧固螺母；刻度清晰可见；紧密量爪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把</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钩码</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50g×10，全金属材质。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绘图模型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点、线、面投影，实体投影及三视图的绘图模型等，不低于300mm，不少于3种。</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≥300mm，透明材质，精确刻度。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绘图板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3号，与丁字尺配套，细致打磨，光滑平整。不易变形工艺处理，实心画板。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圆规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最大直径≥150mm,合金材制，小圈圆规，带有配套替换铅芯，塑盒包装</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量角器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≥300mm，透明材质，精确刻度，经久耐用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曲线板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≥300mm，PS材质，韧性好，强度高</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面料样本册</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不少于24种面料装订成册</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马扎</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木制，外形尺寸≥240*190*178mm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小板凳</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木制，外形尺寸≥260*130*200mm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稳定性试验仪</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有机玻璃材质；重心可调，可观察和测试重心高低位置与稳定性关系；多种不同形状的底面积，可测试支撑面大小与稳定性关系；探究同一底面积，但形状不同（方形、圆形、三角形等）的稳定性程度；可探究不同形状、相同直径的底面积，在同一重心下的稳定性关系；探究支撑面在不同角度同一重心下稳定性的关系；可测试长方体块的稳定性程度及长细比与稳定性关系；可探究相等重心线下的三角形、圆形、方形的稳定性程度。能测试长细比与稳定性关系。</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建筑结构模型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飞檐、斗拱、祁年殿、故宫角楼、三重檐十字观音阁、重檐歇山摩尼殿、四柱三间七楼牌楼、垂花门、北京四合院等，不少于5种，拼接搭建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桥梁结构模型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六件/套；ABS塑料≥380*85*250mm，环保塑料精致加工成型可自由拆卸；含悬梁桥、斜拉索桥、梁架桥、拱架桥、弓形拱桥、悬索桥等六种桥梁模型。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自动门模型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该装置满足《技术与设计》和《电子控制技术》教材中关于开环控制内容的试验要求。2、能让学生动手组装、了解自动门的组成结构、工作原理。3、装置能手动或自动控制开关门。4、具有自动门的仿真功能，能演示人靠近时自动开门，延时后自动闭门，开闭门 到达极限位置均能自动停止。5、能让学生自行实现光控车库门、声控车库门。6、本装置的多功能控制盒可配套所有不同类型传感器做各种不同实验。7、所有实验方案选择都有液晶中文显示（中文显示屏≥70×38mm）选择菜单。8、整体全有机玻璃材料制作规格尺寸: ≥490*235*290mm。9、本装置既可作为教具又具有学具功 能，既可由教师演示、分析，也可由学生自行试验，体验设计过程。（独立主控器）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水箱水位控制模型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规格：≥600*250*450mm。1、该装置满足《技术与设计》和《电子控制技术》教材中关于开闭环控制内容的试验要求。 2、能让学生动手组装、了解水塔的组成结构，工作原理； 3、主控器中文液晶显示（规格：中文显示屏70×38mm）功能选择菜单。主体采用透明有机玻璃。双水泵可以各自独立控制； 4、装置既能手动控制供水也能自动控制供水； 5、装置能使用定时器控制供水； 6、可以模拟水箱水位自动控制过程，具备单传感器、双传感器等多种自动控制方案；7、本装置既可作为教具又具有学具功能，也可由教师演示、分析，也可由学生自行试验，体验设计过程。（独立主控器）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自动升旗系统模型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规格：≥245*224*1050mm 1、该装置满足《技术与设计》和《电子控制技术》教材中关于设计过程的试验需求，可由教师演示、分析，或学生自行试验、体验设计过程。2、本套装置的国旗台全部有机玻璃制作。控制盒触摸按键选择菜单。3、能播放内置歌曲；4、底座采用有机玻璃，旗杆不锈钢可以伸缩固定以便调节高度；5、能实现程序设置时间自动控制，可以键控改变电机转速，实现升旗速度变化和自动停止；6、能通过传感器实现自动升、手动升、降旗等多种功能。7、可实现旗帜上升的同时自动启动所选歌曲；8、在自动升降旗过程中可实现手动辅助控制旗帜升降，以模拟现实中的突发事件。9、本装置既可以作为教具又具有学具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七</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高中音乐仪器清单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五线谱电教板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1、88键电钢琴键盘，体验真正的电钢琴力度，规格不低于1800*1000*58mm；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双拉尺演示、包括两组音阶推拉尺。和弦演示尺，具有调名调号七升七降对照演示表。直观的让学生了解调名、调号、键盘、谱表之间的关系。了解调名调号与音程音阶之间的对照关系。了解不同和线之间的关系。能够完成全部乐理知识的对照讲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3、五线谱表：一组可书写的大谱表,采用白色书写面板（采用紫外线光固化生产工艺有效保证板面的书写擦拭）；</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4、音色：128种GM音色+61种打击乐器音色；</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5、节奏：内置节奏100种；</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6、示范曲：内置歌曲608首；</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7、变调：五线谱12种变调；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8、和弦方式：可演示任意和旋，两组和弦记忆，进行和弦对照演示；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9、伴奏：具单指和弦、多指和弦伴奏；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10、录音：具有录音功能；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11、节拍速度：可在40－208/每分钟范围可调；</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12、显示：控制面板上采用4.3寸彩色液晶屏显示；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13、接口：MIDI输入、输出接口，音频输入、输出接口；</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14、音量控制：电子电位器控制、分主音量和伴奏音量控制；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15、拓展功能：具有USB2.0接口，支持用户U盘，可读取u盘中的MP3文件和MIDI乐曲文件；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16、外接接口：通用USB2.0输入；线路输入输出；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17、该示教板以键盘为核心，配合乐理符号丝网印刷，方便乐理知识的教学，将键盘、谱表、调名、调号巧妙的联系到一起，乐理演示简捷直观，乐理解析清析易懂；</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18、具有键位与五线谱对应的双色LED指示灯，可对照键盘与五线谱相应的位置；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19、具有7寸超大简谱显示窗口，在电子教鞭演示五线谱过程中可直接显示相对应的简谱、升降号；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20.具备唱名显示功能。</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录音机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工作电压：AC 220V/50Hz DC9V；</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CD放音频响：50HZ-18KHZ；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输出功率：3W+3W；</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带 速：4.76cm/S士3%；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抖晃：≤0.4%；</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体 积：约264*256*144(mm)；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兼容格式：CD/DVD/CD-RW/VCD/SVCD/MP3/MP4(AVI)；</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频率范围：调频：88-108MHz 中波：530-1600KHz；。</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八</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高中美术教学仪器清单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民间美术样本</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能够体现中国传统民族文化特点实物(仿)三十三件：空竹1件、剪纸3件、扎染、蜡染各1件、皮影人物2件、香包2件 、布老虎1个、陕西凤翔挂虎1件、软翅蝴蝶1件、沙燕2件、中国结2件、泥塑作品一组4件、杨柳青年画1件、风车1件、泥老虎1个 、京剧脸谱一组5件、工艺品竹提蓝1个、绣片2件等。</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艺术类多媒体软件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包括中西艺术门类、不同艺术表现方式、多元美术文化知识等；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仿真画笔功能：具备铅笔、钢笔、喷笔、油画笔、水彩笔、麦克笔、毛笔、刻刀、特制笔、蜡笔等不少于50种仿真画笔（软件自带，无需用户自行添加），具备橡皮擦和一键清除图层功能；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软硬橡皮功能：可通过拖拽调节橡皮大小，具备软硬两种橡皮模式，可以自由曲线和直线两种方式清除笔迹；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图像处理功能：不少于20项图像编辑功能，可对图像进行模糊渐变、添加阴影、风格化设置、前景背景互换、明亮度调节、透明度调节、黑白转换、灰阶调节、反向模式、色彩度调节、色彩互换等后期处理；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选区抠图功能：不少于8种选框模板，支持矩形连线选取和自由套索选取，具备魔棒工具；</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插入素材功能：包含不少于800个图片、动画、相框等素材的美术图库，可直接拖拽到图层使用，支持对素材进行拉伸、缩放、旋转、羽化等操作；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图片输入功能：可通过扫描仪、数码相机将作品拍摄导入到图层，支持选取本地图片导入，具备通过输入图片网址直接在线导入功能；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图片导出功能：支持将图片直接设为桌面、通过邮件发送和打印功能；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图片保存功能：支持7种常用格式图片保存，可对原文件进行二次编辑；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记录过程功能：可同步记录存储书写过程，支持录制内容反复播放；</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文字录入功能：可设置文字字体、颜色、大小、透明度，支持横坚两种版式，内置9种字体效果以供快速切换；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设计测量功能：具备数字化设计稿纸和尺寸测量工具，支持自由拖拽、自动测距、单位切换、数值调整；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动画制作功能：支持通过拖调节动画播放速度，可将动画保存为GIF动态图片或AVI视频；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微课制作功能：可同步录屏、录音，支持将录制内容保存为MP4格式微课。</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sz w:val="20"/>
                <w:szCs w:val="20"/>
              </w:rPr>
              <w:t>九</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sz w:val="20"/>
                <w:szCs w:val="20"/>
              </w:rPr>
              <w:t>高中语文仪器清单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高中语文多媒体教学软件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以CD-ROM形式为存储载体</w:t>
            </w:r>
            <w:r>
              <w:rPr>
                <w:rFonts w:hint="eastAsia"/>
                <w:sz w:val="20"/>
                <w:szCs w:val="20"/>
              </w:rPr>
              <w:br w:type="textWrapping"/>
            </w:r>
            <w:r>
              <w:rPr>
                <w:rFonts w:hint="eastAsia"/>
                <w:sz w:val="20"/>
                <w:szCs w:val="20"/>
              </w:rPr>
              <w:t>提供包括课件、教学设计、图片、视频、音频等素材课件，图像清晰、视频流畅，内容丰富，紧跟教材，为老师上课提供更有效的教学素材，可以用于制作课件，可以下载保存等。</w:t>
            </w:r>
            <w:r>
              <w:rPr>
                <w:rFonts w:hint="eastAsia"/>
                <w:sz w:val="20"/>
                <w:szCs w:val="20"/>
              </w:rPr>
              <w:br w:type="textWrapping"/>
            </w:r>
            <w:r>
              <w:rPr>
                <w:rFonts w:hint="eastAsia"/>
                <w:sz w:val="20"/>
                <w:szCs w:val="20"/>
              </w:rPr>
              <w:t>必修一：四个单元资12个章节</w:t>
            </w:r>
            <w:r>
              <w:rPr>
                <w:rFonts w:hint="eastAsia"/>
                <w:sz w:val="20"/>
                <w:szCs w:val="20"/>
              </w:rPr>
              <w:br w:type="textWrapping"/>
            </w:r>
            <w:r>
              <w:rPr>
                <w:rFonts w:hint="eastAsia"/>
                <w:sz w:val="20"/>
                <w:szCs w:val="20"/>
              </w:rPr>
              <w:t>必修二：四个单元资13个章节</w:t>
            </w:r>
            <w:r>
              <w:rPr>
                <w:rFonts w:hint="eastAsia"/>
                <w:sz w:val="20"/>
                <w:szCs w:val="20"/>
              </w:rPr>
              <w:br w:type="textWrapping"/>
            </w:r>
            <w:r>
              <w:rPr>
                <w:rFonts w:hint="eastAsia"/>
                <w:sz w:val="20"/>
                <w:szCs w:val="20"/>
              </w:rPr>
              <w:t>必修三：四个单元资14个章节</w:t>
            </w:r>
            <w:r>
              <w:rPr>
                <w:rFonts w:hint="eastAsia"/>
                <w:sz w:val="20"/>
                <w:szCs w:val="20"/>
              </w:rPr>
              <w:br w:type="textWrapping"/>
            </w:r>
            <w:r>
              <w:rPr>
                <w:rFonts w:hint="eastAsia"/>
                <w:sz w:val="20"/>
                <w:szCs w:val="20"/>
              </w:rPr>
              <w:t>必修四：四个单元资13个章节</w:t>
            </w:r>
            <w:r>
              <w:rPr>
                <w:rFonts w:hint="eastAsia"/>
                <w:sz w:val="20"/>
                <w:szCs w:val="20"/>
              </w:rPr>
              <w:br w:type="textWrapping"/>
            </w:r>
            <w:r>
              <w:rPr>
                <w:rFonts w:hint="eastAsia"/>
                <w:sz w:val="20"/>
                <w:szCs w:val="20"/>
              </w:rPr>
              <w:t>必修五：四个单元资13个章节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r>
              <w:rPr>
                <w:rFonts w:hint="eastAsia"/>
                <w:sz w:val="20"/>
                <w:szCs w:val="20"/>
              </w:rPr>
              <w:t>高中语文教学视听资料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以CD-ROM形式为存储载体，内容包含课程中的：</w:t>
            </w:r>
            <w:r>
              <w:rPr>
                <w:rFonts w:hint="eastAsia"/>
                <w:sz w:val="20"/>
                <w:szCs w:val="20"/>
              </w:rPr>
              <w:br w:type="textWrapping"/>
            </w:r>
            <w:r>
              <w:rPr>
                <w:rFonts w:hint="eastAsia"/>
                <w:sz w:val="20"/>
                <w:szCs w:val="20"/>
              </w:rPr>
              <w:t>选修一中外传记作品选读</w:t>
            </w:r>
            <w:r>
              <w:rPr>
                <w:rFonts w:hint="eastAsia"/>
                <w:sz w:val="20"/>
                <w:szCs w:val="20"/>
              </w:rPr>
              <w:br w:type="textWrapping"/>
            </w:r>
            <w:r>
              <w:rPr>
                <w:rFonts w:hint="eastAsia"/>
                <w:sz w:val="20"/>
                <w:szCs w:val="20"/>
              </w:rPr>
              <w:t>选修二中外戏剧名作欣赏</w:t>
            </w:r>
            <w:r>
              <w:rPr>
                <w:rFonts w:hint="eastAsia"/>
                <w:sz w:val="20"/>
                <w:szCs w:val="20"/>
              </w:rPr>
              <w:br w:type="textWrapping"/>
            </w:r>
            <w:r>
              <w:rPr>
                <w:rFonts w:hint="eastAsia"/>
                <w:sz w:val="20"/>
                <w:szCs w:val="20"/>
              </w:rPr>
              <w:t>选修三外国诗歌散文欣赏</w:t>
            </w:r>
            <w:r>
              <w:rPr>
                <w:rFonts w:hint="eastAsia"/>
                <w:sz w:val="20"/>
                <w:szCs w:val="20"/>
              </w:rPr>
              <w:br w:type="textWrapping"/>
            </w:r>
            <w:r>
              <w:rPr>
                <w:rFonts w:hint="eastAsia"/>
                <w:sz w:val="20"/>
                <w:szCs w:val="20"/>
              </w:rPr>
              <w:t>选修四 外国小说欣赏</w:t>
            </w:r>
            <w:r>
              <w:rPr>
                <w:rFonts w:hint="eastAsia"/>
                <w:sz w:val="20"/>
                <w:szCs w:val="20"/>
              </w:rPr>
              <w:br w:type="textWrapping"/>
            </w:r>
            <w:r>
              <w:rPr>
                <w:rFonts w:hint="eastAsia"/>
                <w:sz w:val="20"/>
                <w:szCs w:val="20"/>
              </w:rPr>
              <w:t>选修五 中国小说欣赏</w:t>
            </w:r>
            <w:r>
              <w:rPr>
                <w:rFonts w:hint="eastAsia"/>
                <w:sz w:val="20"/>
                <w:szCs w:val="20"/>
              </w:rPr>
              <w:br w:type="textWrapping"/>
            </w:r>
            <w:r>
              <w:rPr>
                <w:rFonts w:hint="eastAsia"/>
                <w:sz w:val="20"/>
                <w:szCs w:val="20"/>
              </w:rPr>
              <w:t>选修六先秦诸子选读</w:t>
            </w:r>
            <w:r>
              <w:rPr>
                <w:rFonts w:hint="eastAsia"/>
                <w:sz w:val="20"/>
                <w:szCs w:val="20"/>
              </w:rPr>
              <w:br w:type="textWrapping"/>
            </w:r>
            <w:r>
              <w:rPr>
                <w:rFonts w:hint="eastAsia"/>
                <w:sz w:val="20"/>
                <w:szCs w:val="20"/>
              </w:rPr>
              <w:t>选修七 中国古代诗歌散文欣赏</w:t>
            </w:r>
            <w:r>
              <w:rPr>
                <w:rFonts w:hint="eastAsia"/>
                <w:sz w:val="20"/>
                <w:szCs w:val="20"/>
              </w:rPr>
              <w:br w:type="textWrapping"/>
            </w:r>
            <w:r>
              <w:rPr>
                <w:rFonts w:hint="eastAsia"/>
                <w:sz w:val="20"/>
                <w:szCs w:val="20"/>
              </w:rPr>
              <w:t>选修八 中国民俗文化</w:t>
            </w:r>
            <w:r>
              <w:rPr>
                <w:rFonts w:hint="eastAsia"/>
                <w:sz w:val="20"/>
                <w:szCs w:val="20"/>
              </w:rPr>
              <w:br w:type="textWrapping"/>
            </w:r>
            <w:r>
              <w:rPr>
                <w:rFonts w:hint="eastAsia"/>
                <w:sz w:val="20"/>
                <w:szCs w:val="20"/>
              </w:rPr>
              <w:t>选修九中国现代诗歌散文欣赏选修十 中国文化经典研读选修十- 演讲与辩论</w:t>
            </w:r>
            <w:r>
              <w:rPr>
                <w:rFonts w:hint="eastAsia"/>
                <w:sz w:val="20"/>
                <w:szCs w:val="20"/>
              </w:rPr>
              <w:br w:type="textWrapping"/>
            </w:r>
            <w:r>
              <w:rPr>
                <w:rFonts w:hint="eastAsia"/>
                <w:sz w:val="20"/>
                <w:szCs w:val="20"/>
              </w:rPr>
              <w:t>选修十二 新闻阅读与实践选修十三语言文字应用</w:t>
            </w:r>
            <w:r>
              <w:rPr>
                <w:rFonts w:hint="eastAsia"/>
                <w:sz w:val="20"/>
                <w:szCs w:val="20"/>
              </w:rPr>
              <w:br w:type="textWrapping"/>
            </w:r>
            <w:r>
              <w:rPr>
                <w:rFonts w:hint="eastAsia"/>
                <w:sz w:val="20"/>
                <w:szCs w:val="20"/>
              </w:rPr>
              <w:t>选修十四影视名作欣赏</w:t>
            </w:r>
            <w:r>
              <w:rPr>
                <w:rFonts w:hint="eastAsia"/>
                <w:sz w:val="20"/>
                <w:szCs w:val="20"/>
              </w:rPr>
              <w:br w:type="textWrapping"/>
            </w:r>
            <w:r>
              <w:rPr>
                <w:rFonts w:hint="eastAsia"/>
                <w:sz w:val="20"/>
                <w:szCs w:val="20"/>
              </w:rPr>
              <w:t>选修十五 文章写作与修改</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十</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高中英语仪器清单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kern w:val="0"/>
                <w:sz w:val="20"/>
                <w:szCs w:val="20"/>
              </w:rPr>
            </w:pPr>
            <w:r>
              <w:rPr>
                <w:rFonts w:hint="eastAsia"/>
                <w:sz w:val="20"/>
                <w:szCs w:val="20"/>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r>
              <w:rPr>
                <w:rFonts w:hint="eastAsia"/>
                <w:sz w:val="20"/>
                <w:szCs w:val="20"/>
              </w:rPr>
              <w:t>高中英语教学视听资料</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以CD-ROM形式为存储载体，内容包含课程中的：</w:t>
            </w:r>
            <w:r>
              <w:rPr>
                <w:rFonts w:hint="eastAsia"/>
                <w:sz w:val="20"/>
                <w:szCs w:val="20"/>
              </w:rPr>
              <w:br w:type="textWrapping"/>
            </w:r>
            <w:r>
              <w:rPr>
                <w:rFonts w:hint="eastAsia"/>
                <w:sz w:val="20"/>
                <w:szCs w:val="20"/>
              </w:rPr>
              <w:t>必修一：五个单元不少于10个章节</w:t>
            </w:r>
            <w:r>
              <w:rPr>
                <w:rFonts w:hint="eastAsia"/>
                <w:sz w:val="20"/>
                <w:szCs w:val="20"/>
              </w:rPr>
              <w:br w:type="textWrapping"/>
            </w:r>
            <w:r>
              <w:rPr>
                <w:rFonts w:hint="eastAsia"/>
                <w:sz w:val="20"/>
                <w:szCs w:val="20"/>
              </w:rPr>
              <w:t>必修二：五个单元不少于10个章节</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sz w:val="20"/>
                <w:szCs w:val="20"/>
              </w:rPr>
              <w:t>十一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高中历史仪器清单</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弓鞋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鞋底材质：橡胶，民族风尖头鞋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票证模型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1:1仿制，包括：全国粮票、北京布票、食用油票、肉票、鸡蛋票、工业券</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清朝长辫子模型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长辫子模型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条</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曲辕犁模型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1:5仿制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三桅帆船模型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长度：400mm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艘</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京剧脸谱</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包括：净、丑</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罗盘针</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1:1仿制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颧鱼石斧图陶器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1:1仿制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小学仪器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一</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语文</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kern w:val="0"/>
                <w:sz w:val="20"/>
                <w:szCs w:val="20"/>
              </w:rPr>
            </w:pPr>
            <w:r>
              <w:rPr>
                <w:rFonts w:hint="eastAsia"/>
                <w:sz w:val="20"/>
                <w:szCs w:val="20"/>
              </w:rPr>
              <w:t>上课用具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r>
              <w:rPr>
                <w:rFonts w:hint="eastAsia"/>
                <w:sz w:val="20"/>
                <w:szCs w:val="20"/>
              </w:rPr>
              <w:t>生字、田格、拼音黑板磁贴</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戏剧道具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戏曲道具用，马灯，拐杖 舞台剧用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戏剧服饰</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根据具体需要定制，演出戏剧服饰</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件</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二</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数学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计数棒</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100只/组</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学生计算器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简易型，24小时设定。</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七巧板</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七种颜色，所组成的正方形≥80 mm×80 mm，厚度≥1mm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计数多层积木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塑料材质，积木块包括1个10 mm×10 mm×10 mm的正方体。</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盒</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钉板小学生学具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塑料制，≥140 mm×140 mm，配有橡皮筋</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电子秤</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电子秤带电池，1000g制</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三角板教具</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工程塑料或木制，可磁吸，30°、60°直角三角尺和等腰直角三角尺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翻页器</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红光，电池款，手机平板一体机通用</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田字格贴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≥14*84cm</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组</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塑封机</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塑封专用设备，配备塑封膜1套。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三</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信息科技</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摄像头</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接口：USB；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分辨率：≥1080p；</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附加功能：免驱动；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对焦：自动对焦。</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耳麦</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线型：单边导线；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线长：2m；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振膜尺寸：40mm；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佩戴方式：头戴式；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场景：考试耳机；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插头接口：USB；</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麦克风支持：有麦克风。</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思维导图软件</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Style w:val="526"/>
                <w:rFonts w:hint="default"/>
                <w:lang w:bidi="ar"/>
              </w:rPr>
              <w:t>多模态创作：支持思维导图、大纲、甘特图、鱼骨图、时间线等，适配不同学科知识结构梳理（如历史时间轴、物理因果链）；</w:t>
            </w:r>
            <w:r>
              <w:rPr>
                <w:rStyle w:val="526"/>
                <w:rFonts w:hint="default"/>
                <w:lang w:bidi="ar"/>
              </w:rPr>
              <w:br w:type="textWrapping"/>
            </w:r>
            <w:r>
              <w:rPr>
                <w:rStyle w:val="526"/>
                <w:rFonts w:hint="default"/>
                <w:lang w:bidi="ar"/>
              </w:rPr>
              <w:t>知识管理：挖空记忆：遮盖节点内容用于自测复习；大纲与导图双向切换；构建可延展的个人知识网络，强化记忆巩固；</w:t>
            </w:r>
            <w:r>
              <w:rPr>
                <w:rStyle w:val="526"/>
                <w:rFonts w:hint="default"/>
                <w:lang w:bidi="ar"/>
              </w:rPr>
              <w:br w:type="textWrapping"/>
            </w:r>
            <w:r>
              <w:rPr>
                <w:color w:val="000000"/>
                <w:kern w:val="0"/>
                <w:sz w:val="20"/>
                <w:szCs w:val="20"/>
                <w:lang w:bidi="ar"/>
              </w:rPr>
              <w:t>‌</w:t>
            </w:r>
            <w:r>
              <w:rPr>
                <w:rStyle w:val="526"/>
                <w:rFonts w:hint="default"/>
                <w:lang w:bidi="ar"/>
              </w:rPr>
              <w:t>导出与集成：支持PDF、PNG、JPG、PPT、Word等格式导出。</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人/3年</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四</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智能家居模拟套件/开源硬件项目开发工具包/初级物联网模组</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color w:val="000000"/>
                <w:sz w:val="20"/>
                <w:szCs w:val="20"/>
              </w:rPr>
            </w:pP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cs="宋体"/>
                <w:b/>
                <w:bCs/>
                <w:color w:val="000000"/>
                <w:sz w:val="20"/>
                <w:szCs w:val="20"/>
              </w:rPr>
            </w:pP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智能家居主题课程资源包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主控制器国产，能够兼容多个编程平台，包括Arcade，Abot,JavaScript,Python,课程包可完成以下作品搭建：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1.智能台灯：可以改变色温来保护视力。通过语音控制台灯开关与色温。所需传感器：AI创客学习主板×1、RGB灯模块×1、语音识别模块×1。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2.智能风扇：运行时通过检测环境温度，适时调整转速。通过语音控制控制风扇转速。所需传感器：AI创客学习主板×1、电机模块×1、语音识别模块×1。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3.智能防盗系统：利用人体红外进行检测，通过物联网传输报警信号。所需传感器：AI创客学习主板×1、人体红外模块×1、物联网模块×1。</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4.智能音箱：可以进行古诗背诵和简单的对话。内置几种简单对话：自我介绍，你好，晚安。所需传感器：AI创客学习主板×1、语音识别模块×1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AIOT教学套装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参数特点：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1.主控需具备DSP和FPU，CPU性能不低于ARM Cortex-M4系列，具有至少512 KB Flash、工作主频≥96MHZ，可外拓≥2M字节的FLASH芯片；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2.需板载彩色TFT显示屏，尺寸≥1.8寸，分辨率≥128*160；</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3.需板载可编程模块，至少包括2个LED灯，4路RGB灯，7个按键，1个无源蜂鸣器，1个光敏传感器，1个6轴陀螺仪传感器；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4.PWM,SPI,IIC功能的拓展接口≥1个；</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4.支持两种及以上不同的编程平台，支持图形化，JS，Python编程；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5.支持模拟硬件HID遥控外设功能，具有按键模式和陀螺仪模式；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6.在配套编程软件下，具有实时模式和离线模式两种编程方式；实时模式下可以实现动画与硬件的相结合。</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7.USB口支持关机充电，具有过压，过流保护；</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8.套件需包含了套件和所有的传感器功能应用，且配套课程需配备视频及课程教材。</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Arduino开发套装</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专为孩子设计的编程学习套件，孩子可以在一个个趣味编程项目中，学习通过“创造力“来改造生活，找到解决问题的方法。创意来源生活，又高于生活，我们鼓励孩子用身边随处可得的材料来打造作品，比如纸杯，木棒，瓦楞纸，粘土等等，创造无限可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材质：传感器pcb使用沉金工艺制作；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连接方式：采用开源硬件中最为普遍的Ph2.0 3Pin接口,数字与模拟接口由不同颜色杜邦线连接；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主控：Arduino主控板(支持ISP下载功能、单片机TX/RX端子，AREF端子，六組PWM端子(Pin11,Pin10,Pin9,Pin6,Pin5,Pin3))，扩展板（集成xbee插口，蓝牙/APC接口，舵机单独供电接口，无线模块串口使能开关，兼容3.3v及5v主控板）</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编程软件：免编程图形化编程软件、mixly，mind+，arduino ide等；</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输入设备：数字晃动传感器，红外开关，光敏传感器，角度传感器，声音传感器，温度传感器，按钮模块，超声波测距传感器，温湿度传感器；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输出设备：舵机，小灯模块，RGB灯，蜂鸣器，液晶显示屏，继电器；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通讯设备：蓝牙模块，物联网模块；</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配件：6节5号电池盒带插头，USB线，杜邦线；</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r>
        <w:tblPrEx>
          <w:tblCellMar>
            <w:top w:w="0" w:type="dxa"/>
            <w:left w:w="108" w:type="dxa"/>
            <w:bottom w:w="0" w:type="dxa"/>
            <w:right w:w="108" w:type="dxa"/>
          </w:tblCellMar>
        </w:tblPrEx>
        <w:trPr>
          <w:trHeight w:val="405" w:hRule="atLeast"/>
        </w:trPr>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Arduino创意编程入门教程</w:t>
            </w:r>
          </w:p>
        </w:tc>
        <w:tc>
          <w:tcPr>
            <w:tcW w:w="6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Arduino创意编程入门教程》是一本基于Arduino主控板及mind+图形化编程的课程内容，内容覆盖了三个部分：一、基础Arduino入门，帮助学生学习Arduino及基础的传感器认识，建立编程逻辑基础；二：Arduino与IOT，结合物联网平台，帮助学生通过Arduino学习物联网相关知识，制作物联网应用；三、Arduino蓝牙通信，基于蓝牙模块和AppInventor软件，学生学习制作手机app,可以制作智能家居控制APP。本课程主要目标是综合26个具有特色的项目，通过学习硬件知识及提升编程能力，发现生活问题，并制作智能工具。</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r>
    </w:tbl>
    <w:p>
      <w:pPr>
        <w:widowControl/>
        <w:jc w:val="left"/>
        <w:rPr>
          <w:rFonts w:ascii="宋体" w:hAnsi="宋体"/>
          <w:sz w:val="24"/>
        </w:rPr>
      </w:pPr>
    </w:p>
    <w:p>
      <w:pPr>
        <w:pStyle w:val="4"/>
        <w:jc w:val="both"/>
        <w:rPr>
          <w:rFonts w:ascii="宋体" w:hAnsi="宋体" w:eastAsia="宋体"/>
          <w:sz w:val="24"/>
          <w:szCs w:val="24"/>
        </w:rPr>
      </w:pPr>
      <w:r>
        <w:rPr>
          <w:rFonts w:hint="eastAsia" w:ascii="宋体" w:hAnsi="宋体" w:eastAsia="宋体"/>
          <w:sz w:val="24"/>
          <w:szCs w:val="24"/>
        </w:rPr>
        <w:t>2.2为落实政府采购政策需满足的要求</w:t>
      </w:r>
    </w:p>
    <w:p>
      <w:pPr>
        <w:snapToGrid w:val="0"/>
        <w:spacing w:line="360" w:lineRule="auto"/>
        <w:ind w:firstLine="480" w:firstLineChars="200"/>
        <w:rPr>
          <w:rFonts w:ascii="宋体" w:hAnsi="宋体" w:cs="宋体"/>
          <w:sz w:val="24"/>
        </w:rPr>
      </w:pPr>
      <w:r>
        <w:rPr>
          <w:rFonts w:hint="eastAsia" w:ascii="宋体" w:hAnsi="宋体" w:cs="宋体"/>
          <w:sz w:val="24"/>
        </w:rPr>
        <w:t>包号1不专门面向中小企业采购。</w:t>
      </w:r>
    </w:p>
    <w:p>
      <w:pPr>
        <w:pStyle w:val="4"/>
        <w:spacing w:line="360" w:lineRule="auto"/>
        <w:jc w:val="left"/>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3采购标的的其他技术、服务等要求</w:t>
      </w:r>
    </w:p>
    <w:p>
      <w:pPr>
        <w:spacing w:line="360" w:lineRule="auto"/>
        <w:contextualSpacing/>
        <w:rPr>
          <w:rFonts w:ascii="宋体" w:hAnsi="宋体" w:cs="宋体"/>
          <w:sz w:val="24"/>
        </w:rPr>
      </w:pPr>
      <w:r>
        <w:rPr>
          <w:rFonts w:hint="eastAsia" w:ascii="宋体" w:hAnsi="宋体" w:cs="宋体"/>
          <w:sz w:val="24"/>
        </w:rPr>
        <w:t>/</w:t>
      </w:r>
    </w:p>
    <w:p>
      <w:pPr>
        <w:pStyle w:val="4"/>
        <w:spacing w:line="360" w:lineRule="auto"/>
        <w:jc w:val="lef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验收标准</w:t>
      </w:r>
    </w:p>
    <w:p>
      <w:pPr>
        <w:spacing w:line="360" w:lineRule="auto"/>
        <w:ind w:firstLine="480" w:firstLineChars="200"/>
        <w:rPr>
          <w:rFonts w:ascii="宋体" w:hAnsi="宋体"/>
          <w:sz w:val="24"/>
        </w:rPr>
      </w:pPr>
      <w:r>
        <w:rPr>
          <w:rFonts w:hint="eastAsia" w:ascii="宋体" w:hAnsi="宋体"/>
          <w:sz w:val="24"/>
        </w:rPr>
        <w:t>3.1交付要求：合同签订生效后，计划于202</w:t>
      </w:r>
      <w:r>
        <w:rPr>
          <w:rFonts w:ascii="宋体" w:hAnsi="宋体"/>
          <w:sz w:val="24"/>
        </w:rPr>
        <w:t>6</w:t>
      </w:r>
      <w:r>
        <w:rPr>
          <w:rFonts w:hint="eastAsia" w:ascii="宋体" w:hAnsi="宋体"/>
          <w:sz w:val="24"/>
        </w:rPr>
        <w:t>年8月20日之前完成供货、安装、调试、验收，具体进场时间以采购人通知为准。同时服从学校主体工程竣工验收及开学前等工作安排。交货地点：甲方指定地点。</w:t>
      </w:r>
    </w:p>
    <w:p>
      <w:pPr>
        <w:spacing w:line="360" w:lineRule="auto"/>
        <w:ind w:firstLine="480" w:firstLineChars="200"/>
        <w:rPr>
          <w:rFonts w:ascii="宋体" w:hAnsi="宋体"/>
          <w:sz w:val="24"/>
        </w:rPr>
      </w:pPr>
      <w:r>
        <w:rPr>
          <w:rFonts w:hint="eastAsia" w:ascii="宋体" w:hAnsi="宋体"/>
          <w:sz w:val="24"/>
        </w:rPr>
        <w:t>3.2投标人保证所有货物均可以安装并使用，投标人所递交的产品经过甲方确认可以根据实际情况进行大小调整但是不能影响使用，如果未经甲方确认或不能使用的甲方拒收并不支付此项费用。</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71"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3"/>
      <w:bookmarkEnd w:id="871"/>
    </w:p>
    <w:p>
      <w:pPr>
        <w:spacing w:line="360" w:lineRule="auto"/>
        <w:jc w:val="center"/>
        <w:rPr>
          <w:rFonts w:ascii="宋体" w:hAnsi="宋体" w:cs="宋体"/>
          <w:b/>
          <w:color w:val="000000"/>
          <w:sz w:val="48"/>
          <w:szCs w:val="48"/>
        </w:rPr>
      </w:pP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tabs>
          <w:tab w:val="left" w:pos="3240"/>
          <w:tab w:val="left" w:pos="3420"/>
        </w:tabs>
        <w:spacing w:line="360" w:lineRule="auto"/>
        <w:jc w:val="center"/>
        <w:rPr>
          <w:rFonts w:ascii="宋体" w:hAnsi="宋体" w:cs="宋体"/>
          <w:bCs/>
          <w:sz w:val="36"/>
          <w:szCs w:val="36"/>
        </w:rPr>
      </w:pPr>
      <w:bookmarkStart w:id="872" w:name="_Toc99301426"/>
      <w:r>
        <w:rPr>
          <w:rFonts w:hint="eastAsia" w:ascii="宋体" w:hAnsi="宋体" w:cs="宋体"/>
          <w:bCs/>
          <w:sz w:val="36"/>
          <w:szCs w:val="36"/>
        </w:rPr>
        <w:t>北京第四实验学校教育教学设备购置项目（二期）</w:t>
      </w:r>
    </w:p>
    <w:p>
      <w:pPr>
        <w:tabs>
          <w:tab w:val="left" w:pos="2415"/>
          <w:tab w:val="left" w:pos="9181"/>
        </w:tabs>
        <w:spacing w:line="360" w:lineRule="auto"/>
        <w:jc w:val="center"/>
        <w:rPr>
          <w:sz w:val="36"/>
          <w:szCs w:val="36"/>
          <w:u w:val="single"/>
        </w:rPr>
      </w:pPr>
      <w:bookmarkStart w:id="873" w:name="_bookmark94"/>
      <w:bookmarkEnd w:id="873"/>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spacing w:line="360" w:lineRule="auto"/>
        <w:jc w:val="center"/>
        <w:rPr>
          <w:b/>
          <w:sz w:val="52"/>
          <w:szCs w:val="52"/>
        </w:rPr>
      </w:pPr>
      <w:r>
        <w:rPr>
          <w:rFonts w:hint="eastAsia"/>
          <w:b/>
          <w:sz w:val="52"/>
          <w:szCs w:val="52"/>
        </w:rPr>
        <w:t>采 购 合 同</w:t>
      </w: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tabs>
          <w:tab w:val="left" w:pos="4203"/>
        </w:tabs>
        <w:spacing w:line="360" w:lineRule="auto"/>
        <w:ind w:firstLine="2240" w:firstLineChars="800"/>
        <w:rPr>
          <w:sz w:val="28"/>
        </w:rPr>
      </w:pPr>
      <w:bookmarkStart w:id="874" w:name="_Toc96670695"/>
      <w:bookmarkStart w:id="875" w:name="_Toc96349074"/>
      <w:bookmarkStart w:id="876" w:name="_Toc93247345"/>
      <w:bookmarkStart w:id="877" w:name="_Toc93264253"/>
      <w:r>
        <w:rPr>
          <w:rFonts w:hint="eastAsia"/>
          <w:sz w:val="28"/>
        </w:rPr>
        <w:t>甲方（采购人）：</w:t>
      </w:r>
      <w:r>
        <w:rPr>
          <w:rFonts w:hint="eastAsia"/>
          <w:sz w:val="28"/>
          <w:u w:val="single"/>
        </w:rPr>
        <w:t xml:space="preserve"> </w:t>
      </w:r>
      <w:bookmarkEnd w:id="874"/>
      <w:bookmarkEnd w:id="875"/>
      <w:bookmarkEnd w:id="876"/>
      <w:bookmarkEnd w:id="877"/>
      <w:r>
        <w:rPr>
          <w:rFonts w:hint="eastAsia"/>
          <w:sz w:val="28"/>
          <w:u w:val="single"/>
        </w:rPr>
        <w:t xml:space="preserve">北京第四实验学校 </w:t>
      </w:r>
    </w:p>
    <w:p>
      <w:pPr>
        <w:tabs>
          <w:tab w:val="left" w:pos="4203"/>
        </w:tabs>
        <w:adjustRightInd w:val="0"/>
        <w:snapToGrid w:val="0"/>
        <w:spacing w:line="360" w:lineRule="auto"/>
        <w:ind w:firstLine="2240" w:firstLineChars="800"/>
        <w:rPr>
          <w:sz w:val="28"/>
          <w:u w:val="single"/>
        </w:rPr>
      </w:pPr>
      <w:r>
        <w:rPr>
          <w:rFonts w:hint="eastAsia"/>
          <w:sz w:val="28"/>
        </w:rPr>
        <w:t>乙方（供应商）：</w:t>
      </w:r>
      <w:bookmarkStart w:id="878" w:name="_Toc27216"/>
      <w:r>
        <w:rPr>
          <w:rFonts w:hint="eastAsia"/>
          <w:sz w:val="28"/>
          <w:u w:val="single"/>
        </w:rPr>
        <w:t xml:space="preserve">                  </w:t>
      </w:r>
    </w:p>
    <w:p>
      <w:pPr>
        <w:adjustRightInd w:val="0"/>
        <w:snapToGrid w:val="0"/>
        <w:spacing w:line="360" w:lineRule="auto"/>
        <w:ind w:firstLine="480" w:firstLineChars="200"/>
        <w:rPr>
          <w:rFonts w:ascii="宋体" w:hAnsi="宋体" w:cs="宋体"/>
          <w:bCs/>
          <w:sz w:val="24"/>
        </w:rPr>
      </w:pPr>
      <w:r>
        <w:rPr>
          <w:color w:val="FF0000"/>
          <w:sz w:val="24"/>
        </w:rPr>
        <w:br w:type="page"/>
      </w:r>
      <w:bookmarkEnd w:id="878"/>
      <w:r>
        <w:rPr>
          <w:rFonts w:hint="eastAsia" w:ascii="宋体" w:hAnsi="宋体" w:cs="宋体"/>
          <w:sz w:val="24"/>
        </w:rPr>
        <w:t>甲、乙双方根据</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日（北京第四实验学校教育教学设备购置项目（二期））</w:t>
      </w:r>
      <w:r>
        <w:rPr>
          <w:rFonts w:hint="eastAsia" w:ascii="宋体" w:hAnsi="宋体" w:cs="宋体"/>
          <w:bCs/>
          <w:sz w:val="24"/>
        </w:rPr>
        <w:t>招标结果和有关招、投标文件的要求，</w:t>
      </w:r>
      <w:r>
        <w:rPr>
          <w:rFonts w:hint="eastAsia" w:ascii="宋体" w:hAnsi="宋体" w:cs="宋体"/>
          <w:sz w:val="24"/>
        </w:rPr>
        <w:t>依照《中华人民共和国民法典》及有关法律、法规，遵循平等、自愿、公平和诚实信用的原则，双方就本采购事项协商一致</w:t>
      </w:r>
      <w:r>
        <w:rPr>
          <w:rFonts w:hint="eastAsia" w:ascii="宋体" w:hAnsi="宋体" w:cs="宋体"/>
          <w:bCs/>
          <w:sz w:val="24"/>
        </w:rPr>
        <w:t>，订立本合同：</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第一条  项目的名称和单价、总价，项目所包含货物的清单（名称、数量、规格、单价）</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1．项目名称：</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2．货物清单：</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3．中标金额：</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4．合同价格：</w:t>
      </w:r>
      <w:r>
        <w:rPr>
          <w:rFonts w:hint="eastAsia" w:ascii="宋体" w:hAnsi="宋体" w:cs="宋体"/>
          <w:bCs/>
          <w:sz w:val="24"/>
          <w:u w:val="single"/>
        </w:rPr>
        <w:t xml:space="preserve">（小写）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 xml:space="preserve">            </w:t>
      </w:r>
      <w:r>
        <w:rPr>
          <w:rFonts w:hint="eastAsia" w:ascii="宋体" w:hAnsi="宋体" w:cs="宋体"/>
          <w:bCs/>
          <w:sz w:val="24"/>
          <w:u w:val="single"/>
        </w:rPr>
        <w:t xml:space="preserve">（大写）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合同价格包括所有设备费、服务费、备品备件费、专用工具费、商检费、包装运输费、装卸费、保险费、安装调试费、人员培训费、技术支持费、管理费、利润、税费、质量保证期内的售后维护服务费等其它费用在内的全包价；整体验收前所发生的一切费用由乙方承担。</w:t>
      </w:r>
    </w:p>
    <w:p>
      <w:pPr>
        <w:numPr>
          <w:ilvl w:val="0"/>
          <w:numId w:val="15"/>
        </w:num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因业务或实际需求调整，甲方有权在合同总价不变的前提下适当调整项目需求，乙方须无条件同意。</w:t>
      </w:r>
    </w:p>
    <w:p>
      <w:pPr>
        <w:tabs>
          <w:tab w:val="left" w:pos="1276"/>
        </w:tabs>
        <w:adjustRightInd w:val="0"/>
        <w:snapToGrid w:val="0"/>
        <w:spacing w:line="360" w:lineRule="auto"/>
        <w:ind w:firstLine="480" w:firstLineChars="200"/>
        <w:rPr>
          <w:rFonts w:ascii="宋体" w:hAnsi="宋体" w:cs="宋体"/>
          <w:sz w:val="24"/>
        </w:rPr>
      </w:pPr>
      <w:bookmarkStart w:id="879" w:name="_Hlk199367990"/>
      <w:r>
        <w:rPr>
          <w:rFonts w:hint="eastAsia" w:ascii="宋体" w:hAnsi="宋体" w:cs="宋体"/>
          <w:sz w:val="24"/>
        </w:rPr>
        <w:t>6．根据项目实际情况须调整局部参数时，甲方有权对局部技术参数进行调整，甲方应以书面形式通知乙方。乙方应在接到甲方通知后3个工作日内作出书面回应，回应内容应包括详细的该变更对合同价格、项目交付日期、系统性能、项目技术参数的影响和变化以及对合同条款的影响等。</w:t>
      </w:r>
      <w:bookmarkEnd w:id="879"/>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第二条 货物包装、运输、保险和交付要求</w:t>
      </w:r>
    </w:p>
    <w:p>
      <w:pPr>
        <w:autoSpaceDE w:val="0"/>
        <w:autoSpaceDN w:val="0"/>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1．乙方负责货物的包装、运输、装卸等事宜，相关费用已包含在合同价款中。包装应采取适应远距离运输，有良好的防潮、防湿、防晒、防锈、防腐蚀、防雨、防碰撞及防止其它损坏的必要保护措施。每个独立包装箱内应附装箱清单、质量合格证、装配图、说明书、操作指南等资料。如因包装、运输问题导致货物损毁、丢失或者品质下降，甲方有权要求降价、换货、拒收部分或整批货物，由此产生的费用和损失，均由乙方承担。</w:t>
      </w:r>
    </w:p>
    <w:p>
      <w:pPr>
        <w:autoSpaceDE w:val="0"/>
        <w:autoSpaceDN w:val="0"/>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2．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3．乙方在运输到达之前应提前通知甲方，并提示货物运输装卸的注意事项，甲方配合乙方做好货物的接收工作。</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4．</w:t>
      </w:r>
      <w:r>
        <w:rPr>
          <w:rFonts w:hint="eastAsia" w:ascii="宋体" w:hAnsi="宋体"/>
          <w:sz w:val="24"/>
          <w:lang w:bidi="ar"/>
        </w:rPr>
        <w:t>本项目不投保安装工程一切险等工程保险。</w:t>
      </w:r>
      <w:bookmarkStart w:id="880" w:name="_Hlk524818717"/>
      <w:r>
        <w:rPr>
          <w:rFonts w:hint="eastAsia" w:ascii="宋体" w:hAnsi="宋体"/>
          <w:sz w:val="24"/>
          <w:lang w:bidi="ar"/>
        </w:rPr>
        <w:t>如果在货物制作、安装过程中发生事故导致财产损失、人员伤亡，由责任方自行承担相关财产损失、人员伤亡所产生的全部责任。</w:t>
      </w:r>
      <w:bookmarkEnd w:id="880"/>
      <w:r>
        <w:rPr>
          <w:rFonts w:hint="eastAsia" w:ascii="宋体" w:hAnsi="宋体"/>
          <w:sz w:val="24"/>
          <w:lang w:bidi="ar"/>
        </w:rPr>
        <w:t>货物运输保险由乙方自行选择是否办理，因货物运输过程发生意外或其他事故而由此产生的损失均由乙方自行承担。</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第三条  货物的质量标准</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货物是生产厂商原厂制造的，已通过产品制造厂商的出厂检验，是全新、未曾使用过的，保证货物配置与装箱单相符，应准确无误地表明设备型号、规格、制造厂商；保证货物质量、规格、性能及技术特征符合国家标准、规范及招标文件的要求，不存在设计或制造上的缺陷，保证最终提供的货物与双方确认的样品质量相符。</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2．乙方所提供的货物应符合国家有关安全、环保、卫生的规定。</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3．乙方应向甲方提交所提供货物的技术文件，包括相应的中文技术文件，如：产品目录、图纸、操作手册、使用说明、维护手册或服务指南等。</w:t>
      </w:r>
    </w:p>
    <w:p>
      <w:pPr>
        <w:keepLines/>
        <w:widowControl/>
        <w:tabs>
          <w:tab w:val="left" w:pos="1004"/>
        </w:tabs>
        <w:adjustRightInd w:val="0"/>
        <w:snapToGrid w:val="0"/>
        <w:spacing w:line="360" w:lineRule="auto"/>
        <w:ind w:firstLine="482" w:firstLineChars="200"/>
        <w:jc w:val="left"/>
        <w:outlineLvl w:val="2"/>
        <w:rPr>
          <w:rFonts w:ascii="宋体" w:hAnsi="宋体" w:cs="宋体"/>
          <w:b/>
          <w:bCs/>
          <w:sz w:val="24"/>
        </w:rPr>
      </w:pPr>
      <w:r>
        <w:rPr>
          <w:rFonts w:hint="eastAsia" w:ascii="宋体" w:hAnsi="宋体" w:cs="宋体"/>
          <w:b/>
          <w:bCs/>
          <w:sz w:val="24"/>
        </w:rPr>
        <w:t>第四条  交货、验收、对产品异议的处理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1．工期：202</w:t>
      </w:r>
      <w:r>
        <w:rPr>
          <w:rFonts w:ascii="宋体" w:hAnsi="宋体" w:cs="宋体"/>
          <w:sz w:val="24"/>
        </w:rPr>
        <w:t>6</w:t>
      </w:r>
      <w:r>
        <w:rPr>
          <w:rFonts w:hint="eastAsia" w:ascii="宋体" w:hAnsi="宋体" w:cs="宋体"/>
          <w:sz w:val="24"/>
        </w:rPr>
        <w:t>年8月20日前完成安装及调试，甲方有权赴排产工厂检查排产情况、有权要求货物分批次进场，具体进场时间以甲方通知为准。同时服从学校主体工程竣工验收及开学前等工作安排。</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2．交货地点：甲方指定地点</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3．验收方式：验收分初次开箱验收和最终验收两个阶段，以最终验收为准。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4．验收标准：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（1）开箱验收标准：满足国家及行业强制标准，符合招标文件要求、投标文件承诺、本合同要求。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（2）最终验收标准：安装调试完毕的设备能够正常运行和使用，满足货物采购清单中描述的有关技术要求和甲方的使用需求。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5．验收时间、地点、方式：</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（1）货物到达甲方指定地点后，甲、乙双方共同开箱验收。在检查货物原产地、型号、规格、配置、颜色、材质、包装、数量等符合合同要求后，由乙方负责安装、调试。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（2）在乙方对货物安装调试完成后，由乙方协助甲方对货物进行最终验收，包括但不限于货物单项及总体功能、性能及各项技术参数指标等，验收完毕后由</w:t>
      </w:r>
      <w:r>
        <w:rPr>
          <w:rFonts w:hint="eastAsia" w:ascii="宋体" w:hAnsi="宋体" w:cs="宋体"/>
          <w:sz w:val="24"/>
          <w:lang w:val="en-US" w:eastAsia="zh-CN"/>
        </w:rPr>
        <w:t>甲乙双方共同</w:t>
      </w:r>
      <w:r>
        <w:rPr>
          <w:rFonts w:hint="eastAsia" w:ascii="宋体" w:hAnsi="宋体" w:cs="宋体"/>
          <w:sz w:val="24"/>
        </w:rPr>
        <w:t>填写《验收单》，载明验收意见，作为验收合格和付款的依据。如验收合格，则甲方签收确认；如验收不合格，甲方有权拒绝接收，乙方应当在甲方要求的时间内进行调试、更换或退货，并承担由此发生的费用，否则应按照本合同相关约定承担违约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甲方如果发现货物的品种、型号、数量、规格和质量有关工程不符合规定，应妥为保管，并在30天内提出异议。乙方在接到甲方书面异议后，应在48小时内负责处理，否则，即视为默认甲方提出的异议和处理意见。</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6．甲方对货物及安装调试验收合格不排除乙方的产品质量责任，如因货物本身质量问题导致甲方损害的，乙方仍应承担全部责任。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第五条 货物的安装和调试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1．乙方负责安装、调试、培训及售后服务，所有辅材辅料均包含在报价中。</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2.乙方需满足所有需要电和网络的设备，负责实施电和网络到桌或者设备指定位置，安装线路需满足国家相关标准。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乙方应安排具有相关资质、技能和经验的人员负责产品的生产、安装和调试工作，直至验收合格。确保安全文明施工，并自行负责施工和安装人员的安全，如因操作不当或者乙方未尽安全保障义务而造成的一切人身、财产损失，均由乙方承担完全责任，甲方不承担任何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4．乙方应在货物运抵现场一周前，向甲方提供安装调试及运行的进度计划表。</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5．乙方需满足甲方送样要求，甲方可根据样品及现场实际情况进行调整，以甲方最终结果确认为准。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6．甲方有权根据实际情况，与乙方协商部分设备提前于合同约定的交货日期送达现场及安装完成，乙方应当配合及满足甲方拍摄宣传需求。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7.安装调试完成后，甲方进行环境检测，若检测不符合国家相关标准，乙方需按照甲方要求配合整改，直到环境检测合格为止，再进行验收工作，并承担相应责任，无偿配合甲方办公及开学节点需求。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8．乙方在安装调试过程中，应严格遵守甲方的各项制度，接受甲方的监督和检查，并及时对甲方提出的不符合甲方要求的情形进行调整。</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第六条  价款的结算</w:t>
      </w:r>
    </w:p>
    <w:p>
      <w:pPr>
        <w:tabs>
          <w:tab w:val="left" w:pos="900"/>
          <w:tab w:val="left" w:pos="1980"/>
        </w:tabs>
        <w:snapToGrid w:val="0"/>
        <w:spacing w:line="360" w:lineRule="auto"/>
        <w:ind w:firstLine="480" w:firstLineChars="200"/>
        <w:rPr>
          <w:rFonts w:ascii="宋体" w:hAnsi="宋体" w:cs="宋体"/>
          <w:b/>
          <w:bCs/>
          <w:sz w:val="24"/>
        </w:rPr>
      </w:pPr>
      <w:r>
        <w:rPr>
          <w:rFonts w:hint="eastAsia" w:ascii="宋体" w:hAnsi="宋体" w:cs="宋体"/>
          <w:sz w:val="24"/>
        </w:rPr>
        <w:t>1．付款方式：合同签订后，支付合同金额的</w:t>
      </w:r>
      <w:r>
        <w:rPr>
          <w:rFonts w:ascii="宋体" w:hAnsi="宋体" w:cs="宋体"/>
          <w:sz w:val="24"/>
        </w:rPr>
        <w:t>50</w:t>
      </w:r>
      <w:r>
        <w:rPr>
          <w:rFonts w:hint="eastAsia" w:ascii="宋体" w:hAnsi="宋体" w:cs="宋体"/>
          <w:sz w:val="24"/>
        </w:rPr>
        <w:t>%。货到现场并完成安装、调试、验收合格等工作后，支付不高于合同金额的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乙方不得就甲方因费用拨付不到位而因此导致的逾期付款提出索赔</w:t>
      </w:r>
      <w:r>
        <w:rPr>
          <w:rFonts w:hint="eastAsia" w:ascii="宋体" w:hAnsi="宋体" w:cs="宋体"/>
          <w:bCs/>
          <w:sz w:val="24"/>
        </w:rPr>
        <w:t>。</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2．付款条件：乙方应于甲方每次付款之前，按照甲方要求出具等额合规的增值税发票，如乙方提供的发票金额少于付款金额，甲方有权依据发票金额进行付款。因乙方未及时向甲方开具发票或因其开具的发票不规范、不合法或涉嫌虚开发票等问题，甲方有权拒绝付款且不构成违约。</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3．乙方银行账户信息：以合同签署页载明的信息为准。</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4．甲方发票信息：</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抬头：</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统一社会信用代码：</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第七条 产品质量保证、售后服务、培训费用及损害赔偿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最终交付给甲方的货物完全符合合同规定的质量、规格和性能要求，保证所有货物均可以安装并投入使用，保证货物在正确安装、正常使用和保养条件下，在其使用寿命期内具备合同约定的性能。乙方所交付的货物经过甲方确认后，可以根据实际情况进行大小调整，但是不能影响使用，如果未经甲方确认或不能使用的，甲方有权拒收且不支付此项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2．乙方为交付给甲方的货物提供</w:t>
      </w:r>
      <w:r>
        <w:rPr>
          <w:rFonts w:hint="eastAsia" w:ascii="宋体" w:hAnsi="宋体" w:cs="宋体"/>
          <w:sz w:val="24"/>
          <w:u w:val="single"/>
        </w:rPr>
        <w:t xml:space="preserve">      </w:t>
      </w:r>
      <w:r>
        <w:rPr>
          <w:rFonts w:hint="eastAsia" w:ascii="宋体" w:hAnsi="宋体" w:cs="宋体"/>
          <w:sz w:val="24"/>
        </w:rPr>
        <w:t>年的质量保证期（以投标文件中承诺的质量保证期为准），自甲方收货、安装调试完毕且验收合格之日开始计算。</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若国家和/或制造商对本项目所涉及货物的质量保证期的规定高于本项目的要求，应按国家和/或制造商的规定执行；乙方投标承诺质量保证其比上述要求长的，按照乙方承诺执行。在质量保证期内发生的质量问题，由乙方负责免费解决；任何时候，乙方均不能免除因货物本身的缺陷所应付的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3．在质量保证期内，如果货物的质量或规格与合同不符，或证实货物是有缺陷的，包括潜在的缺陷或使用不符合要求的材料等，甲方有权追究乙方的违约责任。</w:t>
      </w:r>
      <w:r>
        <w:rPr>
          <w:rFonts w:ascii="宋体" w:hAnsi="宋体" w:cs="宋体"/>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4．在设备整个使用期内乙方应确保设备的正常使用。</w:t>
      </w:r>
      <w:r>
        <w:rPr>
          <w:rFonts w:hint="eastAsia" w:ascii="宋体" w:hAnsi="宋体" w:cs="宋体"/>
          <w:sz w:val="24"/>
          <w:lang w:val="en-US" w:eastAsia="zh-CN"/>
        </w:rPr>
        <w:t>乙方应按照</w:t>
      </w:r>
      <w:r>
        <w:rPr>
          <w:rFonts w:hint="eastAsia" w:ascii="宋体" w:hAnsi="宋体" w:cs="宋体"/>
          <w:sz w:val="24"/>
        </w:rPr>
        <w:t>投标文件中</w:t>
      </w:r>
      <w:r>
        <w:rPr>
          <w:rFonts w:hint="eastAsia" w:ascii="宋体" w:hAnsi="宋体" w:cs="宋体"/>
          <w:sz w:val="24"/>
          <w:lang w:eastAsia="zh-CN"/>
        </w:rPr>
        <w:t>的</w:t>
      </w:r>
      <w:r>
        <w:rPr>
          <w:rFonts w:hint="eastAsia" w:ascii="宋体" w:hAnsi="宋体" w:cs="宋体"/>
          <w:sz w:val="24"/>
          <w:lang w:val="en-US" w:eastAsia="zh-CN"/>
        </w:rPr>
        <w:t>售后服务</w:t>
      </w:r>
      <w:r>
        <w:rPr>
          <w:rFonts w:hint="eastAsia" w:ascii="宋体" w:hAnsi="宋体" w:cs="宋体"/>
          <w:sz w:val="24"/>
        </w:rPr>
        <w:t>承诺</w:t>
      </w:r>
      <w:r>
        <w:rPr>
          <w:rFonts w:hint="eastAsia" w:ascii="宋体" w:hAnsi="宋体" w:cs="宋体"/>
          <w:sz w:val="24"/>
          <w:lang w:eastAsia="zh-CN"/>
        </w:rPr>
        <w:t>，</w:t>
      </w:r>
      <w:r>
        <w:rPr>
          <w:rFonts w:hint="eastAsia" w:ascii="宋体" w:hAnsi="宋体" w:cs="宋体"/>
          <w:sz w:val="24"/>
          <w:lang w:val="en-US" w:eastAsia="zh-CN"/>
        </w:rPr>
        <w:t>为甲方</w:t>
      </w:r>
      <w:r>
        <w:rPr>
          <w:rFonts w:hint="eastAsia" w:ascii="宋体" w:hAnsi="宋体" w:cs="宋体"/>
          <w:sz w:val="24"/>
        </w:rPr>
        <w:t>提供免费终身维护</w:t>
      </w:r>
      <w:r>
        <w:rPr>
          <w:rFonts w:hint="eastAsia" w:ascii="宋体" w:hAnsi="宋体" w:cs="宋体"/>
          <w:sz w:val="24"/>
          <w:lang w:eastAsia="zh-CN"/>
        </w:rPr>
        <w:t>。</w:t>
      </w:r>
      <w:r>
        <w:rPr>
          <w:rFonts w:hint="eastAsia" w:ascii="宋体" w:hAnsi="宋体" w:cs="宋体"/>
          <w:sz w:val="24"/>
        </w:rPr>
        <w:t>在质量保证期内所发现的缺陷，甲方应尽快以书面形式通知乙方，乙方在接到甲方维修要求后24小时内做出回应，有必要的情况下在48小时内派人员到达甲方现场实施维修并排除故障。如乙方在接到甲方维修要求未按时间要求响应、拒绝或没有派员到达甲方提供技术服务、修理或退换设备的，甲方有权委托第三方对合同设备进行维修或提供技术服务，由此产生的一切费用由乙方承担。如乙方投标文件承诺的售后服务优于前述约定，则按照乙方承诺的售后服务内容执行。</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5.乙方应负责对甲方人员进行专业培训，列明具体培训计划方案，直至甲方能完全操作，并定期进行回访。培训费用已包含在合同总价款中。</w:t>
      </w:r>
    </w:p>
    <w:p>
      <w:pPr>
        <w:tabs>
          <w:tab w:val="left" w:pos="1004"/>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乙方按招标文件和乙方投标文件技术标准向甲方提供货物、服务及培训。如乙方不按招投标文件和本合同约定向甲方提供货物及服务，导致甲方损失，乙方应予以赔偿。属于正常合理的损耗应由甲方承担。如因乙方货物质量或安装问题等原因，导致甲方或第三方人身或财产损失的（不含人为因素），乙方应承担全部损害赔偿责任。甲方因此遭受索赔的，甲方有权向乙方追偿并有权从未付的合同价款中予以扣除。</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第八条 乙方保证</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1．乙方保证对其出售的货物享有合法的权利，保证在交付的货物上不存在抵押权等担保物权。如甲方使用上述货物构成对第三人侵权的，则由乙方承担全部责任。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对其所销售的货物应当享有知识产权或经权利人合法授权，保证未侵犯任何第三人的知识产权等权利。因违反前述约定对第三人构成侵权的，应当由乙方向第三人承担法律责任；甲方依法向第三人赔偿后，有权向乙方追偿。甲方有其他损失的，乙方应当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3．乙方指定项目负责人（姓名：      ；联系电话：  ），负责与本合同履行有关的事务。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4．除甲方事先书面同意外，乙方不得部分或全部转让其应履行的合同项下的义务。否则甲方有权单方解除本合同，并要求乙方按照合同总金额的20%支付违约金。</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第九条 保密义务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w:t>
      </w:r>
    </w:p>
    <w:p>
      <w:pPr>
        <w:keepLines/>
        <w:widowControl/>
        <w:tabs>
          <w:tab w:val="left" w:pos="1004"/>
        </w:tabs>
        <w:adjustRightInd w:val="0"/>
        <w:snapToGrid w:val="0"/>
        <w:spacing w:line="360" w:lineRule="auto"/>
        <w:ind w:firstLine="482" w:firstLineChars="200"/>
        <w:jc w:val="left"/>
        <w:outlineLvl w:val="2"/>
        <w:rPr>
          <w:rFonts w:ascii="宋体" w:hAnsi="宋体" w:cs="宋体"/>
          <w:bCs/>
          <w:sz w:val="24"/>
        </w:rPr>
      </w:pPr>
      <w:r>
        <w:rPr>
          <w:rFonts w:hint="eastAsia" w:ascii="宋体" w:hAnsi="宋体" w:cs="宋体"/>
          <w:b/>
          <w:sz w:val="24"/>
        </w:rPr>
        <w:t xml:space="preserve">第十条  违约责任 </w:t>
      </w:r>
      <w:r>
        <w:rPr>
          <w:rFonts w:hint="eastAsia" w:ascii="宋体" w:hAnsi="宋体" w:cs="宋体"/>
          <w:bCs/>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1.任何一方未履行合同义务或履行合同义务不符合约定，给对方造成损失的，违约方应就给守约方造成的损失承担赔偿责任。本条另有约定的，从其约定。</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甲方非因财政费用拨付不到位或不可抗力逾期付款的，每逾期一天，甲方应按逾期未付款金额的万分之五向乙方支付违约金，但该违约金金额最高不超过逾期未付款金额的20%。逾期超过15天，乙方有权解除合同，要求甲方按照逾期未付款金额的20%支付违约金，违约金不足以弥补乙方损失的，甲方还应继续赔偿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3．甲方违反合同规定拒绝接货的，应当承担由此对乙方造成的损失。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bCs/>
          <w:sz w:val="24"/>
        </w:rPr>
        <w:t>4．</w:t>
      </w:r>
      <w:r>
        <w:rPr>
          <w:rFonts w:hint="eastAsia" w:ascii="宋体" w:hAnsi="宋体" w:cs="宋体"/>
          <w:sz w:val="24"/>
        </w:rPr>
        <w:t>接到甲方供货通知后，乙方应按照当时交通状况及目的地点，以合理时间将货物送达甲方指定地点，非因不可抗力及甲方责任造成的严重交货延期的，乙方应承担违约责任，每逾期一天，乙方应按延迟交货部分货款的万分之五向甲方支付违约金，但该违约金金额累计不超过延迟交货部分货款的20%；逾期交货超过15天，甲方有权解除合同，要求乙方按未交货总金额的20%支付违约金，违约金不足以弥补甲方损失的，乙方还应继续赔偿损失。甲方有权直接从货款中扣除违约金部分。</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5．因乙方供应的货物存在质量瑕疵或不符合安全使用标准或安装质量未达到合同约定的标准，乙方应无条件负责重新供货、返工、更换，因此产生的费用均由乙方承担。</w:t>
      </w:r>
      <w:bookmarkStart w:id="881" w:name="_Hlk50458815"/>
      <w:r>
        <w:rPr>
          <w:rFonts w:hint="eastAsia" w:ascii="宋体" w:hAnsi="宋体" w:cs="宋体"/>
          <w:sz w:val="24"/>
        </w:rPr>
        <w:t>若乙方拒不履行重新供货、返工、更换的，甲方有权要求乙方承担货物标的额三倍的赔偿责任。若乙方未能在约定或甲方要求时间内完成重新供货、返工或更换的，视为乙方未能完成交货义务，甲方按照乙方逾期交货追究乙方的违约责任。问题货物经更换后仍不能满足甲方需求的，甲方有权选择解除本合同，并要求乙方承担合同总额20%的违约金并赔偿甲方全部的经济损失。</w:t>
      </w:r>
      <w:bookmarkEnd w:id="881"/>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6．货物生产、安装过程中发生以下情况导致停工整顿，因停工造成的违约责任由乙方承担： </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1)发生人身伤亡事故；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2)发生施工机械、生产主设备严重损坏事故；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3)发生火灾事故；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4)发生违章作业、冒险作业不听劝告的；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5)生产安装现场脏、乱、差，不能满足安全和文明施工要求的；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6)生产过程中，因违反相关规定，被有关管理机关勒令停工的。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7．乙方在为甲方供货及服务的过程中，出现的任何不能归责于甲方的意外伤害或安全事故均由乙方及相关责任人承担相应的法律责任和后果。乙方因故意或过失行为造成第三人人身损害或财产损失的，乙方须无条件承担先行赔付责任，乙方承担先行赔付责任后，有权向相关责任人进行追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8.一方违约导致另一方不得不通过法律手段主张权利的，违约方还应当承担守约方因此而支出的合理费用，包括但不限于诉讼费、律师费、交通费、通讯费及其他必要支出。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9．违约方在承担合同约定的一项或多项违约责任后，仍应继续履行合同规定的义务（守约方解除合同的除外）。守约方未能及时追究违约方的任何一项违约责任并不表明守约方放弃追究违约方该项或其他违约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10．因乙方违约应向甲方承担的违约金及赔偿金，甲方有权从应付乙方的合同价款中直接扣除，并不以乙方提供的发票金额为限。</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第十一条  不可抗力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不可抗力事故系指合同双方在缔结合同时所不能预见的，并且它的发生及其后果是无法避免和无法克服的事故。受阻一方应在不可抗力事故发生后尽快用电报、传真或电传通知对方，并于事故发生后14天内将有关当局出具的证明文件用特快专递或挂号信寄给对方审阅确认。</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2．合同双方任一方由于受诸如战争、严重火灾、洪水、台风、地震等不可抗力事故的影响而不能执行合同时，经确认后，允许延期履行、部分履行或不履行合同，并根据情况可部分或全部免予承担违约责任。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第十二条  争议的解决方式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1．因货物的质量问题发生争议，由法律及有关规章规定的技术单位进行质量鉴定，双方无条件服从该鉴定的结论。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2．合同实施或与合同有关的一切争议应通过双方友好协商解决。无法协商一致的，任何一方均可以依法向甲方所在地人民法院提起诉讼解决。</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3．守约方因违约方责任提起诉讼，违约方除承担法律和本合同约定的责任外，还应承担守约方为解决纠纷产生的诉讼费、律师费及其他相关费用。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4．如甲乙双方有争议的事项不影响合同其他部分的履行，在争议解决期间，合同其他部分应当继续履行。</w:t>
      </w:r>
    </w:p>
    <w:p>
      <w:pPr>
        <w:tabs>
          <w:tab w:val="left" w:pos="1276"/>
        </w:tabs>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第十三条 通知和送达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任何一方向对方发出的书面通知、函件资料、数据电文等，应当以快递、电子邮件发送至本合同所约定的通讯地址、联系人、联系电话或电子邮箱。如出现无法送达的情形，可以采用公证或公告方式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2．通知、函件等文件若以快递形式送达的，收件方签收日视为送达，收件方未签收的，则为发送方持有的发送凭证所示日起第3日视为送达；若以电子邮件送达的，发件人邮件系统显示已成功发送之日视为送达。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如双方之间发生纠纷，法院的送达地址仍以本合同所列明的通讯信息为准，可以采用快递、电子邮件形式发送。各方进一步同意，如其通讯地址、联系人、联系电话及电子邮件地址等联系方式发生变更时，自前述变更发生之日起3个工作日内将变更通知送达至对方并取得回执，在争议解决期间还应当及时向人民法院履行送达地址变更的通知义务。否则，对方、人民法院按照本合同所约定的联系方式及送达方式对变更方送达法律文书的，视为有效送达，无需履行公告等程序。如发生无法送达情形，邮寄送达的，以文书退回之日视为送达之日；直接送达的，送达人当场在送达回证上记明情况之日或留置/张贴文书之日视为送达之日；以邮件形式送达的，以邮件发出之日为送达之日。</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第十四条  其他</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1．本合同在甲乙双方法定代表人或其授权代表签字或盖章并加盖单位公章或合同专用章后生效。如授权代表签字，该方需提供有效的授权文件。</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2．合同一式</w:t>
      </w:r>
      <w:r>
        <w:rPr>
          <w:rFonts w:hint="eastAsia" w:ascii="宋体" w:hAnsi="宋体" w:cs="宋体"/>
          <w:sz w:val="24"/>
          <w:u w:val="single"/>
        </w:rPr>
        <w:t xml:space="preserve">    </w:t>
      </w:r>
      <w:r>
        <w:rPr>
          <w:rFonts w:hint="eastAsia" w:ascii="宋体" w:hAnsi="宋体" w:cs="宋体"/>
          <w:sz w:val="24"/>
        </w:rPr>
        <w:t>份。甲方执</w:t>
      </w:r>
      <w:r>
        <w:rPr>
          <w:rFonts w:hint="eastAsia" w:ascii="宋体" w:hAnsi="宋体" w:cs="宋体"/>
          <w:sz w:val="24"/>
          <w:u w:val="single"/>
        </w:rPr>
        <w:t xml:space="preserve">   </w:t>
      </w:r>
      <w:r>
        <w:rPr>
          <w:rFonts w:hint="eastAsia" w:ascii="宋体" w:hAnsi="宋体" w:cs="宋体"/>
          <w:sz w:val="24"/>
        </w:rPr>
        <w:t>份；乙方执</w:t>
      </w:r>
      <w:r>
        <w:rPr>
          <w:rFonts w:hint="eastAsia" w:ascii="宋体" w:hAnsi="宋体" w:cs="宋体"/>
          <w:sz w:val="24"/>
          <w:u w:val="single"/>
        </w:rPr>
        <w:t xml:space="preserve">   </w:t>
      </w:r>
      <w:r>
        <w:rPr>
          <w:rFonts w:hint="eastAsia" w:ascii="宋体" w:hAnsi="宋体" w:cs="宋体"/>
          <w:sz w:val="24"/>
        </w:rPr>
        <w:t>份，具有同等法律效力。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3．本合同未尽事项，甲乙双方另行协商签订补充协议，补充协议需采用书面形式。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4．本合同所有附件、招标文件、投标文件、中标通知书均为合同的有效组成部分，与本合同具有同等法律效力。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5．在执行本合同的过程中，所有经双方签署确认的文件（包括会议纪要、补充协议、往来信函）即成为本合同的有效组成部分。</w:t>
      </w:r>
    </w:p>
    <w:p>
      <w:pPr>
        <w:tabs>
          <w:tab w:val="left" w:pos="1276"/>
        </w:tabs>
        <w:adjustRightInd w:val="0"/>
        <w:snapToGrid w:val="0"/>
        <w:spacing w:line="360" w:lineRule="auto"/>
        <w:jc w:val="center"/>
        <w:rPr>
          <w:rFonts w:ascii="宋体" w:hAnsi="宋体" w:cs="宋体"/>
          <w:sz w:val="24"/>
        </w:rPr>
      </w:pPr>
      <w:r>
        <w:rPr>
          <w:rFonts w:hint="eastAsia" w:ascii="宋体" w:hAnsi="宋体" w:cs="宋体"/>
          <w:sz w:val="24"/>
        </w:rPr>
        <w:t>（以下无正文）</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40" w:type="dxa"/>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甲方（签章）：</w:t>
            </w:r>
          </w:p>
          <w:p>
            <w:pPr>
              <w:adjustRightInd w:val="0"/>
              <w:snapToGrid w:val="0"/>
              <w:spacing w:line="360" w:lineRule="auto"/>
              <w:rPr>
                <w:rFonts w:ascii="宋体" w:hAnsi="宋体" w:cs="宋体"/>
                <w:sz w:val="24"/>
              </w:rPr>
            </w:pPr>
          </w:p>
        </w:tc>
        <w:tc>
          <w:tcPr>
            <w:tcW w:w="4274" w:type="dxa"/>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乙方</w:t>
            </w:r>
            <w:r>
              <w:rPr>
                <w:rFonts w:hint="eastAsia" w:ascii="宋体" w:hAnsi="宋体" w:cs="宋体"/>
                <w:sz w:val="24"/>
              </w:rPr>
              <w:t>（签章）：</w:t>
            </w: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4140" w:type="dxa"/>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c>
          <w:tcPr>
            <w:tcW w:w="4274" w:type="dxa"/>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2" w:hRule="atLeast"/>
          <w:jc w:val="center"/>
        </w:trPr>
        <w:tc>
          <w:tcPr>
            <w:tcW w:w="4140" w:type="dxa"/>
            <w:tcBorders>
              <w:bottom w:val="single" w:color="auto" w:sz="4" w:space="0"/>
            </w:tcBorders>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详细地址：</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c>
          <w:tcPr>
            <w:tcW w:w="4274" w:type="dxa"/>
            <w:tcBorders>
              <w:bottom w:val="single" w:color="auto" w:sz="4" w:space="0"/>
            </w:tcBorders>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 xml:space="preserve">详细地址： </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140" w:type="dxa"/>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c>
          <w:tcPr>
            <w:tcW w:w="4274" w:type="dxa"/>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414" w:type="dxa"/>
            <w:gridSpan w:val="2"/>
          </w:tcPr>
          <w:p>
            <w:pPr>
              <w:adjustRightInd w:val="0"/>
              <w:snapToGrid w:val="0"/>
              <w:spacing w:line="360" w:lineRule="auto"/>
              <w:rPr>
                <w:rFonts w:ascii="宋体" w:hAnsi="宋体" w:cs="宋体"/>
                <w:sz w:val="2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tc>
      </w:tr>
    </w:tbl>
    <w:p>
      <w:pP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82" w:name="_Toc218620575"/>
      <w:r>
        <w:rPr>
          <w:rFonts w:hint="eastAsia" w:ascii="宋体" w:hAnsi="宋体" w:cs="宋体"/>
          <w:b/>
          <w:color w:val="000000" w:themeColor="text1"/>
          <w:sz w:val="36"/>
          <w:szCs w:val="36"/>
          <w14:textFill>
            <w14:solidFill>
              <w14:schemeClr w14:val="tx1"/>
            </w14:solidFill>
          </w14:textFill>
        </w:rPr>
        <w:t>第七章   投标文件格式</w:t>
      </w:r>
      <w:bookmarkEnd w:id="872"/>
      <w:bookmarkEnd w:id="882"/>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1"/>
          <w:rFonts w:hint="default" w:ascii="宋体" w:hAnsi="宋体"/>
          <w:b w:val="0"/>
          <w:sz w:val="24"/>
          <w:szCs w:val="24"/>
          <w:u w:val="none"/>
        </w:rPr>
      </w:pPr>
      <w:r>
        <w:rPr>
          <w:rStyle w:val="461"/>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1"/>
          <w:rFonts w:hint="default" w:ascii="宋体" w:hAnsi="宋体"/>
          <w:b w:val="0"/>
          <w:sz w:val="24"/>
          <w:u w:val="none"/>
        </w:rPr>
      </w:pPr>
      <w:r>
        <w:rPr>
          <w:rStyle w:val="461"/>
          <w:rFonts w:hint="default" w:ascii="宋体" w:hAnsi="宋体"/>
          <w:b w:val="0"/>
          <w:sz w:val="24"/>
          <w:u w:val="none"/>
        </w:rPr>
        <w:t xml:space="preserve">2 </w:t>
      </w:r>
      <w:r>
        <w:rPr>
          <w:rStyle w:val="461"/>
          <w:rFonts w:hint="default" w:ascii="宋体" w:hAnsi="宋体"/>
          <w:b w:val="0"/>
          <w:sz w:val="24"/>
          <w:szCs w:val="24"/>
          <w:u w:val="none"/>
        </w:rPr>
        <w:t xml:space="preserve"> </w:t>
      </w:r>
      <w:r>
        <w:rPr>
          <w:rStyle w:val="461"/>
          <w:rFonts w:hint="default" w:ascii="宋体" w:hAnsi="宋体"/>
          <w:b w:val="0"/>
          <w:sz w:val="24"/>
          <w:u w:val="none"/>
        </w:rPr>
        <w:t>落实政府采购政策需满足的资格要求</w:t>
      </w:r>
    </w:p>
    <w:p>
      <w:pPr>
        <w:pStyle w:val="7"/>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中小企业政策证明文件（不适用）</w:t>
      </w:r>
    </w:p>
    <w:p>
      <w:pPr>
        <w:tabs>
          <w:tab w:val="left" w:pos="5580"/>
        </w:tabs>
        <w:spacing w:line="360" w:lineRule="auto"/>
        <w:rPr>
          <w:rFonts w:ascii="宋体" w:hAnsi="宋体" w:cs="宋体"/>
          <w:color w:val="000000" w:themeColor="text1"/>
          <w:sz w:val="24"/>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3"/>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3"/>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spacing w:line="360" w:lineRule="auto"/>
        <w:rPr>
          <w:rFonts w:ascii="宋体" w:hAnsi="宋体" w:cs="宋体"/>
          <w:color w:val="000000" w:themeColor="text1"/>
          <w:sz w:val="24"/>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3"/>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7"/>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58"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58"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jc w:val="center"/>
              <w:rPr>
                <w:color w:val="000000" w:themeColor="text1"/>
                <w:sz w:val="24"/>
                <w14:textFill>
                  <w14:solidFill>
                    <w14:schemeClr w14:val="tx1"/>
                  </w14:solidFill>
                </w14:textFill>
              </w:rPr>
            </w:pPr>
          </w:p>
        </w:tc>
        <w:tc>
          <w:tcPr>
            <w:tcW w:w="1125" w:type="dxa"/>
            <w:vAlign w:val="center"/>
          </w:tcPr>
          <w:p>
            <w:pPr>
              <w:pStyle w:val="257"/>
              <w:jc w:val="center"/>
              <w:rPr>
                <w:color w:val="000000" w:themeColor="text1"/>
                <w:sz w:val="30"/>
                <w14:textFill>
                  <w14:solidFill>
                    <w14:schemeClr w14:val="tx1"/>
                  </w14:solidFill>
                </w14:textFill>
              </w:rPr>
            </w:pPr>
          </w:p>
        </w:tc>
        <w:tc>
          <w:tcPr>
            <w:tcW w:w="1558" w:type="dxa"/>
            <w:vAlign w:val="center"/>
          </w:tcPr>
          <w:p>
            <w:pPr>
              <w:pStyle w:val="257"/>
              <w:jc w:val="center"/>
              <w:rPr>
                <w:color w:val="000000" w:themeColor="text1"/>
                <w:sz w:val="30"/>
                <w14:textFill>
                  <w14:solidFill>
                    <w14:schemeClr w14:val="tx1"/>
                  </w14:solidFill>
                </w14:textFill>
              </w:rPr>
            </w:pP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7"/>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7"/>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0"/>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83" w:name="_Hlt520273711"/>
      <w:bookmarkEnd w:id="883"/>
      <w:bookmarkStart w:id="884" w:name="_Hlt520343000"/>
      <w:bookmarkEnd w:id="884"/>
      <w:bookmarkStart w:id="885" w:name="_Hlt520343392"/>
      <w:bookmarkEnd w:id="885"/>
      <w:bookmarkStart w:id="886" w:name="_Hlt520274065"/>
      <w:bookmarkEnd w:id="886"/>
      <w:bookmarkStart w:id="887" w:name="_Hlt520350918"/>
      <w:bookmarkEnd w:id="887"/>
      <w:bookmarkStart w:id="888" w:name="_Hlt520274121"/>
      <w:bookmarkEnd w:id="888"/>
      <w:bookmarkStart w:id="889" w:name="_Hlt520355504"/>
      <w:bookmarkEnd w:id="889"/>
      <w:bookmarkStart w:id="890" w:name="_Hlt520274407"/>
      <w:bookmarkEnd w:id="890"/>
      <w:bookmarkStart w:id="891" w:name="_Hlt520271212"/>
      <w:bookmarkEnd w:id="891"/>
      <w:bookmarkStart w:id="892" w:name="_Hlt520274393"/>
      <w:bookmarkEnd w:id="892"/>
      <w:bookmarkStart w:id="893" w:name="_Toc480942349"/>
      <w:bookmarkStart w:id="894" w:name="_Ref467988698"/>
      <w:bookmarkStart w:id="895" w:name="_Toc150480794"/>
      <w:bookmarkStart w:id="896" w:name="_Toc226965746"/>
      <w:bookmarkStart w:id="897" w:name="_Toc226965829"/>
      <w:bookmarkStart w:id="898" w:name="_Toc195842921"/>
      <w:bookmarkStart w:id="899" w:name="_Toc520356217"/>
      <w:bookmarkStart w:id="900" w:name="_Toc150774761"/>
      <w:bookmarkStart w:id="901" w:name="_Toc226337252"/>
      <w:bookmarkStart w:id="902" w:name="_Toc226309800"/>
      <w:bookmarkStart w:id="903" w:name="_Toc142311058"/>
      <w:bookmarkStart w:id="904" w:name="_Toc127151556"/>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93"/>
      <w:bookmarkEnd w:id="894"/>
      <w:r>
        <w:rPr>
          <w:rFonts w:hint="eastAsia" w:hAnsi="宋体" w:cs="宋体"/>
          <w:b w:val="0"/>
          <w:color w:val="000000" w:themeColor="text1"/>
          <w:szCs w:val="24"/>
          <w:u w:val="none"/>
          <w14:textFill>
            <w14:solidFill>
              <w14:schemeClr w14:val="tx1"/>
            </w14:solidFill>
          </w14:textFill>
        </w:rPr>
        <w:t>书</w:t>
      </w:r>
      <w:bookmarkEnd w:id="895"/>
      <w:bookmarkEnd w:id="896"/>
      <w:bookmarkEnd w:id="897"/>
      <w:bookmarkEnd w:id="898"/>
      <w:bookmarkEnd w:id="899"/>
      <w:bookmarkEnd w:id="900"/>
      <w:bookmarkEnd w:id="901"/>
      <w:bookmarkEnd w:id="902"/>
      <w:bookmarkEnd w:id="903"/>
      <w:bookmarkEnd w:id="904"/>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905" w:name="_Hlt520355938"/>
      <w:bookmarkEnd w:id="905"/>
      <w:bookmarkStart w:id="906" w:name="_Hlt520356243"/>
      <w:bookmarkEnd w:id="906"/>
      <w:bookmarkStart w:id="907" w:name="_Toc305158899"/>
      <w:bookmarkStart w:id="908" w:name="_Toc226965747"/>
      <w:bookmarkStart w:id="909" w:name="_Toc150774762"/>
      <w:bookmarkStart w:id="910" w:name="_Toc226309801"/>
      <w:bookmarkStart w:id="911" w:name="_Toc195842922"/>
      <w:bookmarkStart w:id="912" w:name="_Toc127151557"/>
      <w:bookmarkStart w:id="913" w:name="_Toc480942350"/>
      <w:bookmarkStart w:id="914" w:name="_Toc265228395"/>
      <w:bookmarkStart w:id="915" w:name="_Toc150480795"/>
      <w:bookmarkStart w:id="916" w:name="_Toc264969247"/>
      <w:bookmarkStart w:id="917" w:name="_Toc226965830"/>
      <w:bookmarkStart w:id="918" w:name="_Ref467988705"/>
      <w:bookmarkStart w:id="919" w:name="_Toc520356218"/>
      <w:bookmarkStart w:id="920" w:name="_Toc226337253"/>
      <w:bookmarkStart w:id="921" w:name="_Toc142311059"/>
      <w:bookmarkStart w:id="922" w:name="_Toc305158825"/>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0"/>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0"/>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0"/>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0"/>
        <w:kinsoku w:val="0"/>
        <w:overflowPunct w:val="0"/>
        <w:spacing w:line="583" w:lineRule="auto"/>
        <w:ind w:right="4305"/>
        <w:rPr>
          <w:rFonts w:cs="宋体"/>
          <w:color w:val="000000" w:themeColor="text1"/>
          <w:spacing w:val="-3"/>
          <w14:textFill>
            <w14:solidFill>
              <w14:schemeClr w14:val="tx1"/>
            </w14:solidFill>
          </w14:textFill>
        </w:rPr>
      </w:pPr>
    </w:p>
    <w:p>
      <w:pPr>
        <w:pStyle w:val="20"/>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0"/>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23" w:name="_Toc226337254"/>
      <w:bookmarkStart w:id="924" w:name="_Toc164608827"/>
      <w:bookmarkStart w:id="925" w:name="_Toc305158826"/>
      <w:bookmarkStart w:id="926" w:name="_Toc195842923"/>
      <w:bookmarkStart w:id="927" w:name="_Toc164608672"/>
      <w:bookmarkStart w:id="928" w:name="_Toc265228396"/>
      <w:bookmarkStart w:id="929" w:name="_Toc264969248"/>
      <w:bookmarkStart w:id="930" w:name="_Toc226965748"/>
      <w:bookmarkStart w:id="931" w:name="_Toc305158900"/>
      <w:bookmarkStart w:id="932" w:name="_Toc226965831"/>
      <w:bookmarkStart w:id="933" w:name="_Toc226309802"/>
      <w:r>
        <w:rPr>
          <w:rFonts w:hint="eastAsia" w:ascii="宋体" w:hAnsi="宋体" w:cs="宋体"/>
          <w:b/>
          <w:color w:val="000000" w:themeColor="text1"/>
          <w:sz w:val="36"/>
          <w:szCs w:val="36"/>
          <w14:textFill>
            <w14:solidFill>
              <w14:schemeClr w14:val="tx1"/>
            </w14:solidFill>
          </w14:textFill>
        </w:rPr>
        <w:t>开标一览表</w:t>
      </w:r>
      <w:bookmarkEnd w:id="923"/>
      <w:bookmarkEnd w:id="924"/>
      <w:bookmarkEnd w:id="925"/>
      <w:bookmarkEnd w:id="926"/>
      <w:bookmarkEnd w:id="927"/>
      <w:bookmarkEnd w:id="928"/>
      <w:bookmarkEnd w:id="929"/>
      <w:bookmarkEnd w:id="930"/>
      <w:bookmarkEnd w:id="931"/>
      <w:bookmarkEnd w:id="932"/>
      <w:bookmarkEnd w:id="933"/>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1"/>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34" w:name="_Toc142311060"/>
      <w:bookmarkStart w:id="935" w:name="_Toc305158901"/>
      <w:bookmarkStart w:id="936" w:name="_Toc226337255"/>
      <w:bookmarkStart w:id="937" w:name="_Toc150480796"/>
      <w:bookmarkStart w:id="938" w:name="_Toc150774763"/>
      <w:bookmarkStart w:id="939" w:name="_Toc195842924"/>
      <w:bookmarkStart w:id="940" w:name="_Toc226965832"/>
      <w:bookmarkStart w:id="941" w:name="_Toc305158827"/>
      <w:bookmarkStart w:id="942" w:name="_Toc265228397"/>
      <w:bookmarkStart w:id="943" w:name="_Toc226965749"/>
      <w:bookmarkStart w:id="944" w:name="_Toc127151558"/>
      <w:bookmarkStart w:id="945" w:name="_Toc226309803"/>
      <w:bookmarkStart w:id="946" w:name="_Toc264969249"/>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47" w:name="OLE_LINK49"/>
      <w:r>
        <w:rPr>
          <w:rFonts w:hint="eastAsia" w:ascii="宋体" w:hAnsi="宋体" w:cs="宋体"/>
          <w:sz w:val="24"/>
        </w:rPr>
        <w:t>/包号</w:t>
      </w:r>
      <w:bookmarkEnd w:id="947"/>
      <w:r>
        <w:rPr>
          <w:rFonts w:hint="eastAsia" w:ascii="宋体" w:hAnsi="宋体" w:cs="宋体"/>
          <w:sz w:val="24"/>
        </w:rPr>
        <w:t>：___________ 项目名称：__________报价单位：人民币元</w:t>
      </w:r>
    </w:p>
    <w:tbl>
      <w:tblPr>
        <w:tblStyle w:val="51"/>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1052"/>
        <w:gridCol w:w="1324"/>
        <w:gridCol w:w="944"/>
        <w:gridCol w:w="1253"/>
        <w:gridCol w:w="1253"/>
        <w:gridCol w:w="1253"/>
        <w:gridCol w:w="1254"/>
        <w:gridCol w:w="1254"/>
        <w:gridCol w:w="1253"/>
        <w:gridCol w:w="1024"/>
        <w:gridCol w:w="831"/>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503" w:type="dxa"/>
            <w:textDirection w:val="tbRlV"/>
            <w:vAlign w:val="center"/>
          </w:tcPr>
          <w:p>
            <w:pPr>
              <w:autoSpaceDE w:val="0"/>
              <w:autoSpaceDN w:val="0"/>
              <w:spacing w:before="149" w:line="179" w:lineRule="auto"/>
              <w:ind w:left="218"/>
              <w:jc w:val="center"/>
              <w:rPr>
                <w:rFonts w:ascii="宋体" w:hAnsi="宋体" w:cs="宋体"/>
                <w:sz w:val="24"/>
              </w:rPr>
            </w:pPr>
            <w:r>
              <w:rPr>
                <w:rFonts w:hint="eastAsia" w:ascii="宋体" w:hAnsi="宋体" w:cs="宋体"/>
                <w:b/>
                <w:bCs/>
                <w:spacing w:val="20"/>
                <w:sz w:val="24"/>
              </w:rPr>
              <w:t>序 号</w:t>
            </w:r>
          </w:p>
        </w:tc>
        <w:tc>
          <w:tcPr>
            <w:tcW w:w="1052" w:type="dxa"/>
            <w:vAlign w:val="center"/>
          </w:tcPr>
          <w:p>
            <w:pPr>
              <w:autoSpaceDE w:val="0"/>
              <w:autoSpaceDN w:val="0"/>
              <w:spacing w:before="218" w:line="202" w:lineRule="auto"/>
              <w:ind w:left="106" w:right="222"/>
              <w:jc w:val="center"/>
              <w:rPr>
                <w:rFonts w:ascii="宋体" w:hAnsi="宋体" w:cs="宋体"/>
                <w:sz w:val="24"/>
              </w:rPr>
            </w:pPr>
            <w:r>
              <w:rPr>
                <w:rFonts w:hint="eastAsia" w:ascii="宋体" w:hAnsi="宋体" w:cs="宋体"/>
                <w:b/>
                <w:bCs/>
                <w:spacing w:val="-2"/>
                <w:sz w:val="24"/>
              </w:rPr>
              <w:t>分项名</w:t>
            </w:r>
            <w:r>
              <w:rPr>
                <w:rFonts w:hint="eastAsia" w:ascii="宋体" w:hAnsi="宋体" w:cs="宋体"/>
                <w:b/>
                <w:bCs/>
                <w:spacing w:val="1"/>
                <w:sz w:val="24"/>
              </w:rPr>
              <w:t xml:space="preserve"> </w:t>
            </w:r>
            <w:r>
              <w:rPr>
                <w:rFonts w:hint="eastAsia" w:ascii="宋体" w:hAnsi="宋体" w:cs="宋体"/>
                <w:b/>
                <w:bCs/>
                <w:sz w:val="24"/>
              </w:rPr>
              <w:t>称</w:t>
            </w:r>
          </w:p>
        </w:tc>
        <w:tc>
          <w:tcPr>
            <w:tcW w:w="1324" w:type="dxa"/>
          </w:tcPr>
          <w:p>
            <w:pPr>
              <w:pStyle w:val="258"/>
              <w:spacing w:line="287"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2"/>
                <w:sz w:val="24"/>
              </w:rPr>
              <w:t>制造商</w:t>
            </w:r>
          </w:p>
        </w:tc>
        <w:tc>
          <w:tcPr>
            <w:tcW w:w="944" w:type="dxa"/>
            <w:vAlign w:val="center"/>
          </w:tcPr>
          <w:p>
            <w:pPr>
              <w:pStyle w:val="258"/>
              <w:spacing w:before="219" w:line="201" w:lineRule="auto"/>
              <w:ind w:left="132" w:right="266" w:hanging="23"/>
              <w:jc w:val="center"/>
              <w:rPr>
                <w:rFonts w:ascii="宋体" w:hAnsi="宋体" w:eastAsia="宋体" w:cs="宋体"/>
                <w:color w:val="auto"/>
                <w:sz w:val="24"/>
                <w:szCs w:val="24"/>
              </w:rPr>
            </w:pPr>
            <w:r>
              <w:rPr>
                <w:rFonts w:hint="eastAsia" w:ascii="宋体" w:hAnsi="宋体" w:eastAsia="宋体" w:cs="宋体"/>
                <w:b/>
                <w:bCs/>
                <w:color w:val="auto"/>
                <w:spacing w:val="5"/>
                <w:sz w:val="24"/>
                <w:szCs w:val="24"/>
              </w:rPr>
              <w:t>产地/</w:t>
            </w:r>
            <w:r>
              <w:rPr>
                <w:rFonts w:hint="eastAsia" w:ascii="宋体" w:hAnsi="宋体" w:eastAsia="宋体" w:cs="宋体"/>
                <w:b/>
                <w:bCs/>
                <w:color w:val="auto"/>
                <w:sz w:val="24"/>
                <w:szCs w:val="24"/>
              </w:rPr>
              <w:t xml:space="preserve"> </w:t>
            </w:r>
            <w:r>
              <w:rPr>
                <w:rFonts w:hint="eastAsia" w:ascii="宋体" w:hAnsi="宋体" w:eastAsia="宋体" w:cs="宋体"/>
                <w:b/>
                <w:bCs/>
                <w:color w:val="auto"/>
                <w:spacing w:val="-15"/>
                <w:sz w:val="24"/>
                <w:szCs w:val="24"/>
              </w:rPr>
              <w:t>国别</w:t>
            </w:r>
          </w:p>
        </w:tc>
        <w:tc>
          <w:tcPr>
            <w:tcW w:w="1253" w:type="dxa"/>
            <w:vAlign w:val="center"/>
          </w:tcPr>
          <w:p>
            <w:pPr>
              <w:autoSpaceDE w:val="0"/>
              <w:autoSpaceDN w:val="0"/>
              <w:spacing w:before="48" w:line="193" w:lineRule="auto"/>
              <w:ind w:left="6" w:right="143" w:hanging="6"/>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z w:val="24"/>
              </w:rPr>
              <w:t xml:space="preserve">  </w:t>
            </w:r>
            <w:r>
              <w:rPr>
                <w:rFonts w:hint="eastAsia" w:ascii="宋体" w:hAnsi="宋体" w:cs="宋体"/>
                <w:b/>
                <w:bCs/>
                <w:spacing w:val="-1"/>
                <w:sz w:val="24"/>
              </w:rPr>
              <w:t>统一社会</w:t>
            </w:r>
            <w:r>
              <w:rPr>
                <w:rFonts w:hint="eastAsia" w:ascii="宋体" w:hAnsi="宋体" w:cs="宋体"/>
                <w:b/>
                <w:bCs/>
                <w:sz w:val="24"/>
              </w:rPr>
              <w:t xml:space="preserve"> </w:t>
            </w:r>
            <w:r>
              <w:rPr>
                <w:rFonts w:hint="eastAsia" w:ascii="宋体" w:hAnsi="宋体" w:cs="宋体"/>
                <w:b/>
                <w:bCs/>
                <w:spacing w:val="-1"/>
                <w:sz w:val="24"/>
              </w:rPr>
              <w:t>信用代码</w:t>
            </w:r>
          </w:p>
        </w:tc>
        <w:tc>
          <w:tcPr>
            <w:tcW w:w="1253" w:type="dxa"/>
            <w:vAlign w:val="center"/>
          </w:tcPr>
          <w:p>
            <w:pPr>
              <w:autoSpaceDE w:val="0"/>
              <w:autoSpaceDN w:val="0"/>
              <w:spacing w:before="218" w:line="201" w:lineRule="auto"/>
              <w:ind w:right="261"/>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pacing w:val="1"/>
                <w:sz w:val="24"/>
              </w:rPr>
              <w:t xml:space="preserve"> </w:t>
            </w:r>
            <w:r>
              <w:rPr>
                <w:rFonts w:hint="eastAsia" w:ascii="宋体" w:hAnsi="宋体" w:cs="宋体"/>
                <w:b/>
                <w:bCs/>
                <w:spacing w:val="-3"/>
                <w:sz w:val="24"/>
              </w:rPr>
              <w:t>规模</w:t>
            </w:r>
          </w:p>
        </w:tc>
        <w:tc>
          <w:tcPr>
            <w:tcW w:w="1253" w:type="dxa"/>
            <w:vAlign w:val="center"/>
          </w:tcPr>
          <w:p>
            <w:pPr>
              <w:autoSpaceDE w:val="0"/>
              <w:autoSpaceDN w:val="0"/>
              <w:spacing w:before="45" w:line="201" w:lineRule="auto"/>
              <w:ind w:right="141"/>
              <w:jc w:val="center"/>
              <w:rPr>
                <w:rFonts w:ascii="宋体" w:hAnsi="宋体" w:cs="宋体"/>
                <w:sz w:val="24"/>
              </w:rPr>
            </w:pPr>
            <w:r>
              <w:rPr>
                <w:rFonts w:hint="eastAsia" w:ascii="宋体" w:hAnsi="宋体" w:cs="宋体"/>
                <w:b/>
                <w:bCs/>
                <w:spacing w:val="-1"/>
                <w:sz w:val="24"/>
              </w:rPr>
              <w:t>制造商所</w:t>
            </w:r>
            <w:r>
              <w:rPr>
                <w:rFonts w:hint="eastAsia" w:ascii="宋体" w:hAnsi="宋体" w:cs="宋体"/>
                <w:b/>
                <w:bCs/>
                <w:sz w:val="24"/>
              </w:rPr>
              <w:t xml:space="preserve"> </w:t>
            </w:r>
            <w:r>
              <w:rPr>
                <w:rFonts w:hint="eastAsia" w:ascii="宋体" w:hAnsi="宋体" w:cs="宋体"/>
                <w:b/>
                <w:bCs/>
                <w:spacing w:val="-2"/>
                <w:sz w:val="24"/>
              </w:rPr>
              <w:t>属性别</w:t>
            </w:r>
          </w:p>
        </w:tc>
        <w:tc>
          <w:tcPr>
            <w:tcW w:w="1254" w:type="dxa"/>
            <w:vAlign w:val="center"/>
          </w:tcPr>
          <w:p>
            <w:pPr>
              <w:autoSpaceDE w:val="0"/>
              <w:autoSpaceDN w:val="0"/>
              <w:spacing w:before="45" w:line="201" w:lineRule="auto"/>
              <w:ind w:right="140"/>
              <w:jc w:val="center"/>
              <w:rPr>
                <w:rFonts w:ascii="宋体" w:hAnsi="宋体" w:cs="宋体"/>
                <w:sz w:val="24"/>
              </w:rPr>
            </w:pPr>
            <w:r>
              <w:rPr>
                <w:rFonts w:hint="eastAsia" w:ascii="宋体" w:hAnsi="宋体" w:cs="宋体"/>
                <w:b/>
                <w:bCs/>
                <w:spacing w:val="-1"/>
                <w:sz w:val="24"/>
              </w:rPr>
              <w:t>外商投资</w:t>
            </w:r>
            <w:r>
              <w:rPr>
                <w:rFonts w:hint="eastAsia" w:ascii="宋体" w:hAnsi="宋体" w:cs="宋体"/>
                <w:b/>
                <w:bCs/>
                <w:spacing w:val="1"/>
                <w:sz w:val="24"/>
              </w:rPr>
              <w:t xml:space="preserve"> </w:t>
            </w:r>
            <w:r>
              <w:rPr>
                <w:rFonts w:hint="eastAsia" w:ascii="宋体" w:hAnsi="宋体" w:cs="宋体"/>
                <w:b/>
                <w:bCs/>
                <w:spacing w:val="-2"/>
                <w:sz w:val="24"/>
              </w:rPr>
              <w:t>类型</w:t>
            </w:r>
          </w:p>
        </w:tc>
        <w:tc>
          <w:tcPr>
            <w:tcW w:w="1254" w:type="dxa"/>
          </w:tcPr>
          <w:p>
            <w:pPr>
              <w:pStyle w:val="258"/>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12"/>
                <w:sz w:val="24"/>
              </w:rPr>
              <w:t>品牌</w:t>
            </w:r>
          </w:p>
        </w:tc>
        <w:tc>
          <w:tcPr>
            <w:tcW w:w="1253" w:type="dxa"/>
            <w:vAlign w:val="center"/>
          </w:tcPr>
          <w:p>
            <w:pPr>
              <w:autoSpaceDE w:val="0"/>
              <w:autoSpaceDN w:val="0"/>
              <w:spacing w:before="219" w:line="202" w:lineRule="auto"/>
              <w:ind w:left="113" w:right="177"/>
              <w:jc w:val="center"/>
              <w:rPr>
                <w:rFonts w:ascii="宋体" w:hAnsi="宋体" w:cs="宋体"/>
                <w:sz w:val="24"/>
              </w:rPr>
            </w:pPr>
            <w:r>
              <w:rPr>
                <w:rFonts w:hint="eastAsia" w:ascii="宋体" w:hAnsi="宋体" w:cs="宋体"/>
                <w:b/>
                <w:bCs/>
                <w:spacing w:val="-1"/>
                <w:sz w:val="24"/>
              </w:rPr>
              <w:t>规格、型</w:t>
            </w:r>
            <w:r>
              <w:rPr>
                <w:rFonts w:hint="eastAsia" w:ascii="宋体" w:hAnsi="宋体" w:cs="宋体"/>
                <w:b/>
                <w:bCs/>
                <w:sz w:val="24"/>
              </w:rPr>
              <w:t xml:space="preserve"> 号</w:t>
            </w:r>
          </w:p>
        </w:tc>
        <w:tc>
          <w:tcPr>
            <w:tcW w:w="1024" w:type="dxa"/>
            <w:vAlign w:val="center"/>
          </w:tcPr>
          <w:p>
            <w:pPr>
              <w:autoSpaceDE w:val="0"/>
              <w:autoSpaceDN w:val="0"/>
              <w:spacing w:before="217" w:line="199" w:lineRule="auto"/>
              <w:ind w:left="102" w:right="183" w:firstLine="9"/>
              <w:jc w:val="center"/>
              <w:rPr>
                <w:rFonts w:ascii="宋体" w:hAnsi="宋体" w:cs="宋体"/>
                <w:sz w:val="24"/>
              </w:rPr>
            </w:pPr>
            <w:r>
              <w:rPr>
                <w:rFonts w:hint="eastAsia" w:ascii="宋体" w:hAnsi="宋体" w:cs="宋体"/>
                <w:b/>
                <w:bCs/>
                <w:spacing w:val="-2"/>
                <w:sz w:val="24"/>
              </w:rPr>
              <w:t>单价</w:t>
            </w:r>
            <w:r>
              <w:rPr>
                <w:rFonts w:hint="eastAsia" w:ascii="宋体" w:hAnsi="宋体" w:cs="宋体"/>
                <w:b/>
                <w:bCs/>
                <w:sz w:val="24"/>
              </w:rPr>
              <w:t xml:space="preserve">    </w:t>
            </w:r>
            <w:r>
              <w:rPr>
                <w:rFonts w:hint="eastAsia" w:ascii="宋体" w:hAnsi="宋体" w:cs="宋体"/>
                <w:b/>
                <w:bCs/>
                <w:spacing w:val="4"/>
                <w:sz w:val="24"/>
              </w:rPr>
              <w:t>（元）</w:t>
            </w:r>
          </w:p>
        </w:tc>
        <w:tc>
          <w:tcPr>
            <w:tcW w:w="831" w:type="dxa"/>
          </w:tcPr>
          <w:p>
            <w:pPr>
              <w:pStyle w:val="258"/>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3"/>
                <w:sz w:val="24"/>
              </w:rPr>
              <w:t>数量</w:t>
            </w:r>
          </w:p>
        </w:tc>
        <w:tc>
          <w:tcPr>
            <w:tcW w:w="1026" w:type="dxa"/>
            <w:vAlign w:val="center"/>
          </w:tcPr>
          <w:p>
            <w:pPr>
              <w:autoSpaceDE w:val="0"/>
              <w:autoSpaceDN w:val="0"/>
              <w:spacing w:before="217" w:line="199" w:lineRule="auto"/>
              <w:ind w:left="102" w:right="185" w:firstLine="9"/>
              <w:jc w:val="center"/>
              <w:rPr>
                <w:rFonts w:ascii="宋体" w:hAnsi="宋体" w:cs="宋体"/>
                <w:sz w:val="24"/>
              </w:rPr>
            </w:pPr>
            <w:r>
              <w:rPr>
                <w:rFonts w:hint="eastAsia" w:ascii="宋体" w:hAnsi="宋体" w:cs="宋体"/>
                <w:b/>
                <w:bCs/>
                <w:spacing w:val="-2"/>
                <w:sz w:val="24"/>
              </w:rPr>
              <w:t>合价</w:t>
            </w:r>
            <w:r>
              <w:rPr>
                <w:rFonts w:hint="eastAsia" w:ascii="宋体" w:hAnsi="宋体" w:cs="宋体"/>
                <w:b/>
                <w:bCs/>
                <w:sz w:val="24"/>
              </w:rPr>
              <w:t xml:space="preserve">    </w:t>
            </w:r>
            <w:r>
              <w:rPr>
                <w:rFonts w:hint="eastAsia" w:ascii="宋体" w:hAnsi="宋体" w:cs="宋体"/>
                <w:b/>
                <w:bCs/>
                <w:spacing w:val="4"/>
                <w:sz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4" w:line="199" w:lineRule="auto"/>
              <w:ind w:left="134"/>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2" w:line="201" w:lineRule="auto"/>
              <w:ind w:left="125"/>
              <w:jc w:val="center"/>
              <w:rPr>
                <w:rFonts w:ascii="宋体" w:hAnsi="宋体" w:eastAsia="宋体" w:cs="宋体"/>
                <w:color w:val="auto"/>
                <w:sz w:val="24"/>
                <w:szCs w:val="24"/>
              </w:rPr>
            </w:pPr>
            <w:r>
              <w:rPr>
                <w:rFonts w:hint="eastAsia" w:ascii="宋体" w:hAnsi="宋体" w:eastAsia="宋体" w:cs="宋体"/>
                <w:color w:val="auto"/>
                <w:spacing w:val="1"/>
                <w:sz w:val="24"/>
                <w:szCs w:val="24"/>
              </w:rPr>
              <w:t>2</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42" w:line="201" w:lineRule="auto"/>
              <w:ind w:left="126"/>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3" w:type="dxa"/>
          </w:tcPr>
          <w:p>
            <w:pPr>
              <w:pStyle w:val="258"/>
              <w:spacing w:before="46" w:line="197" w:lineRule="auto"/>
              <w:ind w:left="119"/>
              <w:jc w:val="center"/>
              <w:rPr>
                <w:rFonts w:ascii="宋体" w:hAnsi="宋体" w:eastAsia="宋体" w:cs="宋体"/>
                <w:color w:val="auto"/>
                <w:sz w:val="24"/>
                <w:szCs w:val="24"/>
              </w:rPr>
            </w:pPr>
            <w:r>
              <w:rPr>
                <w:rFonts w:hint="eastAsia" w:ascii="宋体" w:hAnsi="宋体" w:eastAsia="宋体" w:cs="宋体"/>
                <w:color w:val="auto"/>
                <w:spacing w:val="7"/>
                <w:sz w:val="24"/>
                <w:szCs w:val="24"/>
              </w:rPr>
              <w:t>4</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tcPr>
          <w:p>
            <w:pPr>
              <w:pStyle w:val="258"/>
              <w:spacing w:before="196" w:line="77" w:lineRule="exact"/>
              <w:ind w:left="135"/>
              <w:jc w:val="center"/>
              <w:rPr>
                <w:rFonts w:ascii="宋体" w:hAnsi="宋体" w:eastAsia="宋体" w:cs="宋体"/>
                <w:color w:val="auto"/>
                <w:sz w:val="24"/>
                <w:szCs w:val="24"/>
              </w:rPr>
            </w:pPr>
            <w:r>
              <w:rPr>
                <w:rFonts w:hint="eastAsia" w:ascii="宋体" w:hAnsi="宋体" w:eastAsia="宋体" w:cs="宋体"/>
                <w:color w:val="auto"/>
                <w:position w:val="1"/>
                <w:sz w:val="24"/>
                <w:szCs w:val="24"/>
              </w:rPr>
              <w:t>…</w:t>
            </w:r>
          </w:p>
        </w:tc>
        <w:tc>
          <w:tcPr>
            <w:tcW w:w="1052" w:type="dxa"/>
          </w:tcPr>
          <w:p>
            <w:pPr>
              <w:pStyle w:val="258"/>
              <w:jc w:val="center"/>
              <w:rPr>
                <w:rFonts w:ascii="宋体" w:hAnsi="宋体" w:eastAsia="宋体" w:cs="宋体"/>
                <w:color w:val="auto"/>
                <w:sz w:val="22"/>
              </w:rPr>
            </w:pPr>
          </w:p>
        </w:tc>
        <w:tc>
          <w:tcPr>
            <w:tcW w:w="1324" w:type="dxa"/>
          </w:tcPr>
          <w:p>
            <w:pPr>
              <w:pStyle w:val="258"/>
              <w:jc w:val="center"/>
              <w:rPr>
                <w:rFonts w:ascii="宋体" w:hAnsi="宋体" w:eastAsia="宋体" w:cs="宋体"/>
                <w:color w:val="auto"/>
                <w:sz w:val="22"/>
              </w:rPr>
            </w:pPr>
          </w:p>
        </w:tc>
        <w:tc>
          <w:tcPr>
            <w:tcW w:w="94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4" w:type="dxa"/>
          </w:tcPr>
          <w:p>
            <w:pPr>
              <w:pStyle w:val="258"/>
              <w:jc w:val="center"/>
              <w:rPr>
                <w:rFonts w:ascii="宋体" w:hAnsi="宋体" w:eastAsia="宋体" w:cs="宋体"/>
                <w:color w:val="auto"/>
                <w:sz w:val="22"/>
              </w:rPr>
            </w:pPr>
          </w:p>
        </w:tc>
        <w:tc>
          <w:tcPr>
            <w:tcW w:w="1253" w:type="dxa"/>
          </w:tcPr>
          <w:p>
            <w:pPr>
              <w:pStyle w:val="258"/>
              <w:jc w:val="center"/>
              <w:rPr>
                <w:rFonts w:ascii="宋体" w:hAnsi="宋体" w:eastAsia="宋体" w:cs="宋体"/>
                <w:color w:val="auto"/>
                <w:sz w:val="22"/>
              </w:rPr>
            </w:pPr>
          </w:p>
        </w:tc>
        <w:tc>
          <w:tcPr>
            <w:tcW w:w="1024" w:type="dxa"/>
          </w:tcPr>
          <w:p>
            <w:pPr>
              <w:pStyle w:val="258"/>
              <w:jc w:val="center"/>
              <w:rPr>
                <w:rFonts w:ascii="宋体" w:hAnsi="宋体" w:eastAsia="宋体" w:cs="宋体"/>
                <w:color w:val="auto"/>
                <w:sz w:val="22"/>
              </w:rPr>
            </w:pPr>
          </w:p>
        </w:tc>
        <w:tc>
          <w:tcPr>
            <w:tcW w:w="831" w:type="dxa"/>
          </w:tcPr>
          <w:p>
            <w:pPr>
              <w:pStyle w:val="258"/>
              <w:jc w:val="center"/>
              <w:rPr>
                <w:rFonts w:ascii="宋体" w:hAnsi="宋体" w:eastAsia="宋体" w:cs="宋体"/>
                <w:color w:val="auto"/>
                <w:sz w:val="22"/>
              </w:rPr>
            </w:pPr>
          </w:p>
        </w:tc>
        <w:tc>
          <w:tcPr>
            <w:tcW w:w="1026" w:type="dxa"/>
          </w:tcPr>
          <w:p>
            <w:pPr>
              <w:pStyle w:val="258"/>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198" w:type="dxa"/>
            <w:gridSpan w:val="12"/>
          </w:tcPr>
          <w:p>
            <w:pPr>
              <w:autoSpaceDE w:val="0"/>
              <w:autoSpaceDN w:val="0"/>
              <w:spacing w:before="44" w:line="176" w:lineRule="auto"/>
              <w:ind w:left="11903"/>
              <w:rPr>
                <w:rFonts w:ascii="宋体" w:hAnsi="宋体" w:cs="宋体"/>
                <w:sz w:val="24"/>
              </w:rPr>
            </w:pPr>
            <w:r>
              <w:rPr>
                <w:rFonts w:hint="eastAsia" w:ascii="宋体" w:hAnsi="宋体" w:cs="宋体"/>
                <w:b/>
                <w:bCs/>
                <w:spacing w:val="-1"/>
                <w:sz w:val="24"/>
              </w:rPr>
              <w:t>总价（元）</w:t>
            </w:r>
          </w:p>
        </w:tc>
        <w:tc>
          <w:tcPr>
            <w:tcW w:w="1026" w:type="dxa"/>
          </w:tcPr>
          <w:p>
            <w:pPr>
              <w:pStyle w:val="258"/>
              <w:rPr>
                <w:rFonts w:ascii="宋体" w:hAnsi="宋体" w:eastAsia="宋体" w:cs="宋体"/>
                <w:color w:val="auto"/>
                <w:sz w:val="22"/>
              </w:rPr>
            </w:pPr>
          </w:p>
        </w:tc>
      </w:tr>
    </w:tbl>
    <w:p>
      <w:pPr>
        <w:pStyle w:val="20"/>
        <w:spacing w:before="42" w:line="240" w:lineRule="auto"/>
        <w:ind w:left="99"/>
        <w:rPr>
          <w:rFonts w:cs="宋体"/>
        </w:rPr>
      </w:pPr>
      <w:r>
        <w:rPr>
          <w:rFonts w:hint="eastAsia" w:cs="宋体"/>
          <w:b/>
          <w:bCs/>
          <w:i/>
          <w:iCs/>
          <w:spacing w:val="-3"/>
        </w:rPr>
        <w:t>说明：制造商规模请填写“大型”、“中型”、“小型”、“微型”或“其他”，中小企业的定义见第二章《投标人须知》。</w:t>
      </w:r>
    </w:p>
    <w:p>
      <w:pPr>
        <w:pStyle w:val="20"/>
        <w:spacing w:before="2" w:line="240" w:lineRule="auto"/>
        <w:ind w:left="124" w:right="112" w:firstLine="697"/>
        <w:rPr>
          <w:rFonts w:cs="宋体"/>
          <w:b/>
          <w:bCs/>
          <w:i/>
          <w:iCs/>
          <w:spacing w:val="-2"/>
        </w:rPr>
      </w:pPr>
      <w:r>
        <w:rPr>
          <w:rFonts w:hint="eastAsia" w:cs="宋体"/>
          <w:b/>
          <w:bCs/>
          <w:i/>
          <w:iCs/>
          <w:spacing w:val="1"/>
        </w:rPr>
        <w:t>制造商所属性别请填写“男”或“女”，</w:t>
      </w:r>
      <w:r>
        <w:rPr>
          <w:rFonts w:hint="eastAsia" w:cs="宋体"/>
          <w:b/>
          <w:bCs/>
          <w:spacing w:val="1"/>
        </w:rPr>
        <w:t xml:space="preserve"> </w:t>
      </w:r>
      <w:r>
        <w:rPr>
          <w:rFonts w:hint="eastAsia" w:cs="宋体"/>
          <w:spacing w:val="1"/>
        </w:rPr>
        <w:t>指拥有制造商51</w:t>
      </w:r>
      <w:r>
        <w:rPr>
          <w:rFonts w:hint="eastAsia" w:cs="宋体"/>
        </w:rPr>
        <w:t>%以上绝对所有权的性别；绝对所有权拥有者可以是一个人，也可以是</w:t>
      </w:r>
      <w:r>
        <w:rPr>
          <w:rFonts w:hint="eastAsia" w:cs="宋体"/>
          <w:spacing w:val="-2"/>
        </w:rPr>
        <w:t>多人合计计算</w:t>
      </w:r>
      <w:r>
        <w:rPr>
          <w:rFonts w:hint="eastAsia" w:cs="宋体"/>
          <w:b/>
          <w:bCs/>
          <w:i/>
          <w:iCs/>
          <w:spacing w:val="-2"/>
        </w:rPr>
        <w:t>。</w:t>
      </w:r>
    </w:p>
    <w:p>
      <w:pPr>
        <w:pStyle w:val="20"/>
        <w:spacing w:before="2" w:line="240" w:lineRule="auto"/>
        <w:ind w:left="124" w:right="112" w:firstLine="697"/>
        <w:rPr>
          <w:rFonts w:cs="宋体"/>
        </w:rPr>
      </w:pPr>
      <w:r>
        <w:rPr>
          <w:rFonts w:hint="eastAsia" w:cs="宋体"/>
          <w:b/>
          <w:bCs/>
          <w:i/>
          <w:iCs/>
        </w:rPr>
        <w:t>外商投资类型请填写“外商单独投资”、</w:t>
      </w:r>
      <w:r>
        <w:rPr>
          <w:rFonts w:hint="eastAsia" w:cs="宋体"/>
          <w:b/>
          <w:bCs/>
          <w:spacing w:val="-37"/>
        </w:rPr>
        <w:t xml:space="preserve"> </w:t>
      </w:r>
      <w:r>
        <w:rPr>
          <w:rFonts w:hint="eastAsia" w:cs="宋体"/>
          <w:b/>
          <w:bCs/>
          <w:i/>
          <w:iCs/>
        </w:rPr>
        <w:t>“外商部分投资”或“内资”。</w:t>
      </w:r>
    </w:p>
    <w:p>
      <w:pPr>
        <w:rPr>
          <w:rFonts w:ascii="宋体" w:hAnsi="宋体"/>
          <w:sz w:val="24"/>
        </w:rPr>
      </w:pPr>
      <w:r>
        <w:rPr>
          <w:rFonts w:ascii="宋体" w:hAnsi="宋体"/>
          <w:sz w:val="24"/>
        </w:rPr>
        <w:t>注：1.本表应按包分别填写。</w:t>
      </w:r>
    </w:p>
    <w:p>
      <w:pPr>
        <w:ind w:firstLine="480" w:firstLineChars="200"/>
        <w:rPr>
          <w:rFonts w:ascii="宋体" w:hAnsi="宋体"/>
          <w:sz w:val="24"/>
        </w:rPr>
      </w:pPr>
      <w:r>
        <w:rPr>
          <w:rFonts w:ascii="宋体" w:hAnsi="宋体"/>
          <w:sz w:val="24"/>
        </w:rPr>
        <w:t xml:space="preserve">2.如果不提供分项报价将视为没有实质性响应招标文件。 </w:t>
      </w:r>
    </w:p>
    <w:p>
      <w:pPr>
        <w:ind w:firstLine="480" w:firstLineChars="200"/>
        <w:rPr>
          <w:rFonts w:ascii="宋体" w:hAnsi="宋体"/>
          <w:sz w:val="24"/>
        </w:rPr>
      </w:pPr>
      <w:r>
        <w:rPr>
          <w:rFonts w:ascii="宋体" w:hAnsi="宋体"/>
          <w:sz w:val="24"/>
        </w:rPr>
        <w:t>3.上述各项的详细规格（如有），可另页描述。</w:t>
      </w:r>
    </w:p>
    <w:p>
      <w:pPr>
        <w:ind w:firstLine="480" w:firstLineChars="200"/>
        <w:rPr>
          <w:rFonts w:ascii="宋体" w:hAnsi="宋体"/>
          <w:sz w:val="24"/>
        </w:rPr>
      </w:pPr>
      <w:r>
        <w:rPr>
          <w:rFonts w:ascii="宋体" w:hAnsi="宋体"/>
          <w:sz w:val="24"/>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p>
    <w:p>
      <w:pPr>
        <w:pStyle w:val="20"/>
        <w:spacing w:before="103" w:line="196" w:lineRule="auto"/>
        <w:rPr>
          <w:spacing w:val="-1"/>
        </w:rPr>
      </w:pPr>
    </w:p>
    <w:p>
      <w:pPr>
        <w:pStyle w:val="20"/>
        <w:spacing w:before="103" w:line="196" w:lineRule="auto"/>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34"/>
    <w:bookmarkEnd w:id="935"/>
    <w:bookmarkEnd w:id="936"/>
    <w:bookmarkEnd w:id="937"/>
    <w:bookmarkEnd w:id="938"/>
    <w:bookmarkEnd w:id="939"/>
    <w:bookmarkEnd w:id="940"/>
    <w:bookmarkEnd w:id="941"/>
    <w:bookmarkEnd w:id="942"/>
    <w:bookmarkEnd w:id="943"/>
    <w:bookmarkEnd w:id="944"/>
    <w:bookmarkEnd w:id="945"/>
    <w:bookmarkEnd w:id="946"/>
    <w:p>
      <w:pPr>
        <w:pStyle w:val="6"/>
        <w:rPr>
          <w:rFonts w:hAnsi="宋体" w:cs="宋体"/>
          <w:b w:val="0"/>
          <w:color w:val="000000" w:themeColor="text1"/>
          <w:szCs w:val="24"/>
          <w:u w:val="none"/>
          <w14:textFill>
            <w14:solidFill>
              <w14:schemeClr w14:val="tx1"/>
            </w14:solidFill>
          </w14:textFill>
        </w:rPr>
      </w:pPr>
      <w:bookmarkStart w:id="948" w:name="_Toc305158904"/>
      <w:bookmarkStart w:id="949" w:name="_Toc226965835"/>
      <w:bookmarkStart w:id="950" w:name="_Toc142311062"/>
      <w:bookmarkStart w:id="951" w:name="_Toc150774765"/>
      <w:bookmarkStart w:id="952" w:name="_Toc195842927"/>
      <w:bookmarkStart w:id="953" w:name="_Toc226965752"/>
      <w:bookmarkStart w:id="954" w:name="_Toc226337258"/>
      <w:bookmarkStart w:id="955" w:name="_Toc127151562"/>
      <w:bookmarkStart w:id="956" w:name="_Toc226309806"/>
      <w:bookmarkStart w:id="957" w:name="_Toc305158830"/>
      <w:bookmarkStart w:id="958" w:name="_Toc150480798"/>
      <w:bookmarkStart w:id="959" w:name="_Toc265228400"/>
      <w:bookmarkStart w:id="960" w:name="_Toc264969252"/>
      <w:bookmarkStart w:id="961" w:name="_Toc142311061"/>
      <w:bookmarkStart w:id="962" w:name="_Toc127151561"/>
      <w:bookmarkStart w:id="963" w:name="_Toc264969251"/>
      <w:bookmarkStart w:id="964" w:name="_Toc226337257"/>
      <w:bookmarkStart w:id="965" w:name="_Toc150774764"/>
      <w:bookmarkStart w:id="966" w:name="_Toc226965834"/>
      <w:bookmarkStart w:id="967" w:name="_Toc226965751"/>
      <w:bookmarkStart w:id="968" w:name="_Toc226309805"/>
      <w:bookmarkStart w:id="969" w:name="_Toc305158829"/>
      <w:bookmarkStart w:id="970" w:name="_Toc305158903"/>
      <w:bookmarkStart w:id="971" w:name="_Toc265228399"/>
      <w:bookmarkStart w:id="972" w:name="_Toc195842926"/>
      <w:bookmarkStart w:id="973" w:name="_Toc150480797"/>
      <w:r>
        <w:rPr>
          <w:rFonts w:hint="eastAsia" w:hAnsi="宋体" w:cs="宋体"/>
          <w:b w:val="0"/>
          <w:color w:val="000000" w:themeColor="text1"/>
          <w:szCs w:val="24"/>
          <w:u w:val="none"/>
          <w14:textFill>
            <w14:solidFill>
              <w14:schemeClr w14:val="tx1"/>
            </w14:solidFill>
          </w14:textFill>
        </w:rPr>
        <w:t>5  合同条款偏离表</w:t>
      </w:r>
      <w:bookmarkEnd w:id="948"/>
      <w:bookmarkEnd w:id="949"/>
      <w:bookmarkEnd w:id="950"/>
      <w:bookmarkEnd w:id="951"/>
      <w:bookmarkEnd w:id="952"/>
      <w:bookmarkEnd w:id="953"/>
      <w:bookmarkEnd w:id="954"/>
      <w:bookmarkEnd w:id="955"/>
      <w:bookmarkEnd w:id="956"/>
      <w:bookmarkEnd w:id="957"/>
      <w:bookmarkEnd w:id="958"/>
      <w:bookmarkEnd w:id="959"/>
      <w:bookmarkEnd w:id="960"/>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58"/>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58"/>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58"/>
              <w:rPr>
                <w:rFonts w:ascii="宋体" w:hAnsi="宋体" w:eastAsia="宋体" w:cs="宋体"/>
                <w:color w:val="000000" w:themeColor="text1"/>
                <w:sz w:val="22"/>
                <w14:textFill>
                  <w14:solidFill>
                    <w14:schemeClr w14:val="tx1"/>
                  </w14:solidFill>
                </w14:textFill>
              </w:rPr>
            </w:pPr>
          </w:p>
        </w:tc>
        <w:tc>
          <w:tcPr>
            <w:tcW w:w="1772"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675" w:type="dxa"/>
          </w:tcPr>
          <w:p>
            <w:pPr>
              <w:pStyle w:val="258"/>
              <w:rPr>
                <w:rFonts w:ascii="宋体" w:hAnsi="宋体" w:eastAsia="宋体" w:cs="宋体"/>
                <w:color w:val="000000" w:themeColor="text1"/>
                <w:sz w:val="22"/>
                <w14:textFill>
                  <w14:solidFill>
                    <w14:schemeClr w14:val="tx1"/>
                  </w14:solidFill>
                </w14:textFill>
              </w:rPr>
            </w:pPr>
          </w:p>
        </w:tc>
        <w:tc>
          <w:tcPr>
            <w:tcW w:w="1874" w:type="dxa"/>
          </w:tcPr>
          <w:p>
            <w:pPr>
              <w:pStyle w:val="258"/>
              <w:rPr>
                <w:rFonts w:ascii="宋体" w:hAnsi="宋体" w:eastAsia="宋体" w:cs="宋体"/>
                <w:color w:val="000000" w:themeColor="text1"/>
                <w:sz w:val="22"/>
                <w14:textFill>
                  <w14:solidFill>
                    <w14:schemeClr w14:val="tx1"/>
                  </w14:solidFill>
                </w14:textFill>
              </w:rPr>
            </w:pPr>
          </w:p>
        </w:tc>
        <w:tc>
          <w:tcPr>
            <w:tcW w:w="1137" w:type="dxa"/>
          </w:tcPr>
          <w:p>
            <w:pPr>
              <w:pStyle w:val="258"/>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61"/>
      <w:bookmarkEnd w:id="962"/>
      <w:bookmarkEnd w:id="963"/>
      <w:bookmarkEnd w:id="964"/>
      <w:bookmarkEnd w:id="965"/>
      <w:bookmarkEnd w:id="966"/>
      <w:bookmarkEnd w:id="967"/>
      <w:bookmarkEnd w:id="968"/>
      <w:bookmarkEnd w:id="969"/>
      <w:bookmarkEnd w:id="970"/>
      <w:bookmarkEnd w:id="971"/>
      <w:bookmarkEnd w:id="972"/>
      <w:bookmarkEnd w:id="973"/>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1"/>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58"/>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sz w:val="36"/>
          <w:szCs w:val="36"/>
        </w:rPr>
      </w:pPr>
      <w:bookmarkStart w:id="974" w:name="OLE_LINK192"/>
      <w:bookmarkStart w:id="975" w:name="OLE_LINK193"/>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74"/>
    <w:bookmarkEnd w:id="975"/>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w:t>
      </w:r>
    </w:p>
    <w:p>
      <w:pPr>
        <w:pStyle w:val="45"/>
        <w:shd w:val="clear" w:color="auto" w:fill="FFFFFF"/>
        <w:spacing w:before="30" w:beforeAutospacing="0" w:after="30" w:afterAutospacing="0"/>
        <w:jc w:val="center"/>
        <w:rPr>
          <w:color w:val="333333"/>
          <w:sz w:val="36"/>
          <w:szCs w:val="36"/>
        </w:rPr>
      </w:pPr>
      <w:r>
        <w:rPr>
          <w:rStyle w:val="55"/>
          <w:rFonts w:hint="eastAsia"/>
          <w:color w:val="333333"/>
          <w:sz w:val="36"/>
          <w:szCs w:val="36"/>
          <w:shd w:val="clear" w:color="auto" w:fill="FFFFFF"/>
        </w:rPr>
        <w:t>关于符合本国产品标准的声明函</w:t>
      </w:r>
    </w:p>
    <w:p>
      <w:pPr>
        <w:pStyle w:val="45"/>
        <w:shd w:val="clear" w:color="auto" w:fill="FFFFFF"/>
        <w:spacing w:before="30" w:beforeAutospacing="0" w:after="30" w:afterAutospacing="0"/>
        <w:ind w:firstLine="420"/>
        <w:rPr>
          <w:color w:val="333333"/>
        </w:rPr>
      </w:pP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8"/>
          <w:rFonts w:hint="eastAsia"/>
          <w:color w:val="333333"/>
          <w:u w:val="single"/>
          <w:shd w:val="clear" w:color="auto" w:fill="FFFFFF"/>
        </w:rPr>
        <w:t>（产品名称1）</w:t>
      </w:r>
      <w:r>
        <w:rPr>
          <w:rStyle w:val="58"/>
          <w:rFonts w:hint="eastAsia"/>
          <w:color w:val="333333"/>
          <w:shd w:val="clear" w:color="auto" w:fill="FFFFFF"/>
          <w:vertAlign w:val="superscript"/>
        </w:rPr>
        <w:t>1</w:t>
      </w:r>
      <w:r>
        <w:rPr>
          <w:rFonts w:hint="eastAsia"/>
          <w:color w:val="333333"/>
          <w:shd w:val="clear" w:color="auto" w:fill="FFFFFF"/>
        </w:rPr>
        <w:t>，生产厂为</w:t>
      </w:r>
      <w:r>
        <w:rPr>
          <w:rStyle w:val="58"/>
          <w:rFonts w:hint="eastAsia"/>
          <w:color w:val="333333"/>
          <w:u w:val="single"/>
          <w:shd w:val="clear" w:color="auto" w:fill="FFFFFF"/>
        </w:rPr>
        <w:t>（厂名）</w:t>
      </w:r>
      <w:r>
        <w:rPr>
          <w:rStyle w:val="58"/>
          <w:rFonts w:hint="eastAsia"/>
          <w:color w:val="333333"/>
          <w:shd w:val="clear" w:color="auto" w:fill="FFFFFF"/>
          <w:vertAlign w:val="superscript"/>
        </w:rPr>
        <w:t>2</w:t>
      </w:r>
      <w:r>
        <w:rPr>
          <w:rFonts w:hint="eastAsia"/>
          <w:color w:val="333333"/>
          <w:shd w:val="clear" w:color="auto" w:fill="FFFFFF"/>
        </w:rPr>
        <w:t>，厂址为</w:t>
      </w:r>
      <w:r>
        <w:rPr>
          <w:rStyle w:val="58"/>
          <w:rFonts w:hint="eastAsia"/>
          <w:color w:val="333333"/>
          <w:u w:val="single"/>
          <w:shd w:val="clear" w:color="auto" w:fill="FFFFFF"/>
        </w:rPr>
        <w:t>（生产厂址）</w:t>
      </w:r>
      <w:r>
        <w:rPr>
          <w:rFonts w:hint="eastAsia"/>
          <w:color w:val="333333"/>
          <w:shd w:val="clear" w:color="auto" w:fill="FFFFFF"/>
        </w:rPr>
        <w:t>。</w:t>
      </w:r>
      <w:r>
        <w:rPr>
          <w:rStyle w:val="58"/>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8"/>
          <w:rFonts w:hint="eastAsia"/>
          <w:color w:val="333333"/>
          <w:u w:val="single"/>
          <w:shd w:val="clear" w:color="auto" w:fill="FFFFFF"/>
        </w:rPr>
        <w:t>（规定比例）</w:t>
      </w:r>
      <w:r>
        <w:rPr>
          <w:rStyle w:val="58"/>
          <w:rFonts w:hint="eastAsia"/>
          <w:color w:val="333333"/>
          <w:shd w:val="clear" w:color="auto" w:fill="FFFFFF"/>
          <w:vertAlign w:val="superscript"/>
        </w:rPr>
        <w:t>3</w:t>
      </w:r>
      <w:r>
        <w:rPr>
          <w:rFonts w:hint="eastAsia"/>
          <w:color w:val="333333"/>
          <w:shd w:val="clear" w:color="auto" w:fill="FFFFFF"/>
        </w:rPr>
        <w:t>。</w:t>
      </w:r>
      <w:r>
        <w:rPr>
          <w:rStyle w:val="58"/>
          <w:rFonts w:hint="eastAsia"/>
          <w:color w:val="333333"/>
          <w:u w:val="single"/>
          <w:shd w:val="clear" w:color="auto" w:fill="FFFFFF"/>
        </w:rPr>
        <w:t>（产品名称1）</w:t>
      </w:r>
      <w:r>
        <w:rPr>
          <w:rFonts w:hint="eastAsia"/>
          <w:color w:val="333333"/>
          <w:shd w:val="clear" w:color="auto" w:fill="FFFFFF"/>
        </w:rPr>
        <w:t>的</w:t>
      </w:r>
      <w:r>
        <w:rPr>
          <w:rStyle w:val="58"/>
          <w:rFonts w:hint="eastAsia"/>
          <w:color w:val="333333"/>
          <w:u w:val="single"/>
          <w:shd w:val="clear" w:color="auto" w:fill="FFFFFF"/>
        </w:rPr>
        <w:t>（关键组件）</w:t>
      </w:r>
      <w:r>
        <w:rPr>
          <w:rStyle w:val="58"/>
          <w:rFonts w:hint="eastAsia"/>
          <w:color w:val="333333"/>
          <w:shd w:val="clear" w:color="auto" w:fill="FFFFFF"/>
          <w:vertAlign w:val="superscript"/>
        </w:rPr>
        <w:t>4</w:t>
      </w:r>
      <w:r>
        <w:rPr>
          <w:rFonts w:hint="eastAsia"/>
          <w:color w:val="333333"/>
          <w:shd w:val="clear" w:color="auto" w:fill="FFFFFF"/>
        </w:rPr>
        <w:t>在中国境内生产。</w:t>
      </w:r>
      <w:r>
        <w:rPr>
          <w:rStyle w:val="58"/>
          <w:rFonts w:hint="eastAsia"/>
          <w:color w:val="333333"/>
          <w:u w:val="single"/>
          <w:shd w:val="clear" w:color="auto" w:fill="FFFFFF"/>
        </w:rPr>
        <w:t>（产品名称1）</w:t>
      </w:r>
      <w:r>
        <w:rPr>
          <w:rFonts w:hint="eastAsia"/>
          <w:color w:val="333333"/>
          <w:shd w:val="clear" w:color="auto" w:fill="FFFFFF"/>
        </w:rPr>
        <w:t>的</w:t>
      </w:r>
      <w:r>
        <w:rPr>
          <w:rStyle w:val="58"/>
          <w:rFonts w:hint="eastAsia"/>
          <w:color w:val="333333"/>
          <w:u w:val="single"/>
          <w:shd w:val="clear" w:color="auto" w:fill="FFFFFF"/>
        </w:rPr>
        <w:t>（关键工序）</w:t>
      </w:r>
      <w:r>
        <w:rPr>
          <w:rStyle w:val="58"/>
          <w:rFonts w:hint="eastAsia"/>
          <w:color w:val="333333"/>
          <w:shd w:val="clear" w:color="auto" w:fill="FFFFFF"/>
          <w:vertAlign w:val="superscript"/>
        </w:rPr>
        <w:t>5</w:t>
      </w:r>
      <w:r>
        <w:rPr>
          <w:rFonts w:hint="eastAsia"/>
          <w:color w:val="333333"/>
          <w:shd w:val="clear" w:color="auto" w:fill="FFFFFF"/>
        </w:rPr>
        <w:t>在中国境内完成。</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8"/>
          <w:rFonts w:hint="eastAsia"/>
          <w:color w:val="333333"/>
          <w:u w:val="single"/>
          <w:shd w:val="clear" w:color="auto" w:fill="FFFFFF"/>
        </w:rPr>
        <w:t>（产品名称2）</w:t>
      </w:r>
      <w:r>
        <w:rPr>
          <w:rFonts w:hint="eastAsia"/>
          <w:color w:val="333333"/>
          <w:shd w:val="clear" w:color="auto" w:fill="FFFFFF"/>
        </w:rPr>
        <w:t>，生产厂为</w:t>
      </w:r>
      <w:r>
        <w:rPr>
          <w:rStyle w:val="58"/>
          <w:rFonts w:hint="eastAsia"/>
          <w:color w:val="333333"/>
          <w:u w:val="single"/>
          <w:shd w:val="clear" w:color="auto" w:fill="FFFFFF"/>
        </w:rPr>
        <w:t>（厂名）</w:t>
      </w:r>
      <w:r>
        <w:rPr>
          <w:rFonts w:hint="eastAsia"/>
          <w:color w:val="333333"/>
          <w:shd w:val="clear" w:color="auto" w:fill="FFFFFF"/>
        </w:rPr>
        <w:t>，厂址为</w:t>
      </w:r>
      <w:r>
        <w:rPr>
          <w:rStyle w:val="58"/>
          <w:rFonts w:hint="eastAsia"/>
          <w:color w:val="333333"/>
          <w:u w:val="single"/>
          <w:shd w:val="clear" w:color="auto" w:fill="FFFFFF"/>
        </w:rPr>
        <w:t>（生产厂址）</w:t>
      </w:r>
      <w:r>
        <w:rPr>
          <w:rFonts w:hint="eastAsia"/>
          <w:color w:val="333333"/>
          <w:shd w:val="clear" w:color="auto" w:fill="FFFFFF"/>
        </w:rPr>
        <w:t>。</w:t>
      </w:r>
      <w:r>
        <w:rPr>
          <w:rStyle w:val="58"/>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8"/>
          <w:rFonts w:hint="eastAsia"/>
          <w:color w:val="333333"/>
          <w:u w:val="single"/>
          <w:shd w:val="clear" w:color="auto" w:fill="FFFFFF"/>
        </w:rPr>
        <w:t>（规定比例）</w:t>
      </w:r>
      <w:r>
        <w:rPr>
          <w:rFonts w:hint="eastAsia"/>
          <w:color w:val="333333"/>
          <w:shd w:val="clear" w:color="auto" w:fill="FFFFFF"/>
        </w:rPr>
        <w:t>。</w:t>
      </w:r>
      <w:r>
        <w:rPr>
          <w:rStyle w:val="58"/>
          <w:rFonts w:hint="eastAsia"/>
          <w:color w:val="333333"/>
          <w:u w:val="single"/>
          <w:shd w:val="clear" w:color="auto" w:fill="FFFFFF"/>
        </w:rPr>
        <w:t>（产品名称2）</w:t>
      </w:r>
      <w:r>
        <w:rPr>
          <w:rFonts w:hint="eastAsia"/>
          <w:color w:val="333333"/>
          <w:shd w:val="clear" w:color="auto" w:fill="FFFFFF"/>
        </w:rPr>
        <w:t>的</w:t>
      </w:r>
      <w:r>
        <w:rPr>
          <w:rStyle w:val="58"/>
          <w:rFonts w:hint="eastAsia"/>
          <w:color w:val="333333"/>
          <w:u w:val="single"/>
          <w:shd w:val="clear" w:color="auto" w:fill="FFFFFF"/>
        </w:rPr>
        <w:t>（关键组件）</w:t>
      </w:r>
      <w:r>
        <w:rPr>
          <w:rFonts w:hint="eastAsia"/>
          <w:color w:val="333333"/>
          <w:shd w:val="clear" w:color="auto" w:fill="FFFFFF"/>
        </w:rPr>
        <w:t>在中国境内生产。</w:t>
      </w:r>
      <w:r>
        <w:rPr>
          <w:rStyle w:val="58"/>
          <w:rFonts w:hint="eastAsia"/>
          <w:color w:val="333333"/>
          <w:u w:val="single"/>
          <w:shd w:val="clear" w:color="auto" w:fill="FFFFFF"/>
        </w:rPr>
        <w:t>（产品名称2）</w:t>
      </w:r>
      <w:r>
        <w:rPr>
          <w:rFonts w:hint="eastAsia"/>
          <w:color w:val="333333"/>
          <w:shd w:val="clear" w:color="auto" w:fill="FFFFFF"/>
        </w:rPr>
        <w:t>的</w:t>
      </w:r>
      <w:r>
        <w:rPr>
          <w:rStyle w:val="58"/>
          <w:rFonts w:hint="eastAsia"/>
          <w:color w:val="333333"/>
          <w:u w:val="single"/>
          <w:shd w:val="clear" w:color="auto" w:fill="FFFFFF"/>
        </w:rPr>
        <w:t>（关键工序）</w:t>
      </w:r>
      <w:r>
        <w:rPr>
          <w:rFonts w:hint="eastAsia"/>
          <w:color w:val="333333"/>
          <w:shd w:val="clear" w:color="auto" w:fill="FFFFFF"/>
        </w:rPr>
        <w:t>在中国境内完成。</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5"/>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5"/>
        <w:shd w:val="clear" w:color="auto" w:fill="FFFFFF"/>
        <w:spacing w:before="0" w:beforeAutospacing="0" w:after="0" w:afterAutospacing="0" w:line="360" w:lineRule="auto"/>
        <w:rPr>
          <w:color w:val="333333"/>
        </w:rPr>
      </w:pPr>
    </w:p>
    <w:p>
      <w:pPr>
        <w:pStyle w:val="45"/>
        <w:shd w:val="clear" w:color="auto" w:fill="FFFFFF"/>
        <w:spacing w:before="0" w:beforeAutospacing="0" w:after="0" w:afterAutospacing="0" w:line="360" w:lineRule="auto"/>
        <w:jc w:val="right"/>
        <w:rPr>
          <w:color w:val="333333"/>
          <w:shd w:val="clear" w:color="auto" w:fill="FFFFFF"/>
        </w:rPr>
      </w:pP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5"/>
        <w:shd w:val="clear" w:color="auto" w:fill="FFFFFF"/>
        <w:spacing w:before="0" w:beforeAutospacing="0" w:after="0" w:afterAutospacing="0" w:line="360" w:lineRule="auto"/>
        <w:rPr>
          <w:color w:val="333333"/>
          <w:shd w:val="clear" w:color="auto" w:fill="FFFFFF"/>
        </w:rPr>
      </w:pPr>
    </w:p>
    <w:p>
      <w:pPr>
        <w:pStyle w:val="45"/>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5"/>
        <w:shd w:val="clear" w:color="auto" w:fill="FFFFFF"/>
        <w:spacing w:before="30" w:beforeAutospacing="0" w:after="30" w:afterAutospacing="0"/>
        <w:jc w:val="center"/>
        <w:rPr>
          <w:rStyle w:val="55"/>
          <w:sz w:val="36"/>
          <w:szCs w:val="36"/>
        </w:rPr>
      </w:pPr>
      <w:r>
        <w:rPr>
          <w:rStyle w:val="55"/>
          <w:rFonts w:hint="eastAsia"/>
          <w:sz w:val="36"/>
          <w:szCs w:val="36"/>
        </w:rPr>
        <w:t>所投产品成本汇总信息</w:t>
      </w:r>
    </w:p>
    <w:p>
      <w:pPr>
        <w:pStyle w:val="45"/>
        <w:shd w:val="clear" w:color="auto" w:fill="FFFFFF"/>
        <w:spacing w:before="30" w:beforeAutospacing="0" w:after="30" w:afterAutospacing="0"/>
        <w:rPr>
          <w:rStyle w:val="55"/>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5"/>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5"/>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7"/>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61"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7"/>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7"/>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7"/>
              <w:jc w:val="center"/>
              <w:rPr>
                <w:color w:val="000000" w:themeColor="text1"/>
                <w:sz w:val="30"/>
                <w:lang w:eastAsia="zh-CN"/>
                <w14:textFill>
                  <w14:solidFill>
                    <w14:schemeClr w14:val="tx1"/>
                  </w14:solidFill>
                </w14:textFill>
              </w:rPr>
            </w:pPr>
          </w:p>
        </w:tc>
        <w:tc>
          <w:tcPr>
            <w:tcW w:w="1561" w:type="dxa"/>
            <w:vAlign w:val="center"/>
          </w:tcPr>
          <w:p>
            <w:pPr>
              <w:pStyle w:val="257"/>
              <w:jc w:val="center"/>
              <w:rPr>
                <w:color w:val="000000" w:themeColor="text1"/>
                <w:sz w:val="30"/>
                <w:lang w:eastAsia="zh-CN"/>
                <w14:textFill>
                  <w14:solidFill>
                    <w14:schemeClr w14:val="tx1"/>
                  </w14:solidFill>
                </w14:textFill>
              </w:rPr>
            </w:pPr>
          </w:p>
        </w:tc>
        <w:tc>
          <w:tcPr>
            <w:tcW w:w="1498" w:type="dxa"/>
            <w:vAlign w:val="center"/>
          </w:tcPr>
          <w:p>
            <w:pPr>
              <w:pStyle w:val="257"/>
              <w:jc w:val="center"/>
              <w:rPr>
                <w:color w:val="000000" w:themeColor="text1"/>
                <w:sz w:val="30"/>
                <w:lang w:eastAsia="zh-CN"/>
                <w14:textFill>
                  <w14:solidFill>
                    <w14:schemeClr w14:val="tx1"/>
                  </w14:solidFill>
                </w14:textFill>
              </w:rPr>
            </w:pPr>
          </w:p>
        </w:tc>
        <w:tc>
          <w:tcPr>
            <w:tcW w:w="1564" w:type="dxa"/>
            <w:vAlign w:val="center"/>
          </w:tcPr>
          <w:p>
            <w:pPr>
              <w:pStyle w:val="257"/>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7"/>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7"/>
              <w:jc w:val="center"/>
              <w:rPr>
                <w:color w:val="000000" w:themeColor="text1"/>
                <w:sz w:val="30"/>
                <w14:textFill>
                  <w14:solidFill>
                    <w14:schemeClr w14:val="tx1"/>
                  </w14:solidFill>
                </w14:textFill>
              </w:rPr>
            </w:pPr>
          </w:p>
        </w:tc>
        <w:tc>
          <w:tcPr>
            <w:tcW w:w="1513" w:type="dxa"/>
            <w:vAlign w:val="center"/>
          </w:tcPr>
          <w:p>
            <w:pPr>
              <w:pStyle w:val="257"/>
              <w:tabs>
                <w:tab w:val="left" w:pos="235"/>
              </w:tabs>
              <w:jc w:val="center"/>
              <w:rPr>
                <w:color w:val="000000" w:themeColor="text1"/>
                <w:sz w:val="24"/>
                <w14:textFill>
                  <w14:solidFill>
                    <w14:schemeClr w14:val="tx1"/>
                  </w14:solidFill>
                </w14:textFill>
              </w:rPr>
            </w:pPr>
          </w:p>
        </w:tc>
        <w:tc>
          <w:tcPr>
            <w:tcW w:w="1125" w:type="dxa"/>
            <w:vAlign w:val="center"/>
          </w:tcPr>
          <w:p>
            <w:pPr>
              <w:pStyle w:val="257"/>
              <w:jc w:val="center"/>
              <w:rPr>
                <w:color w:val="000000" w:themeColor="text1"/>
                <w:sz w:val="30"/>
                <w14:textFill>
                  <w14:solidFill>
                    <w14:schemeClr w14:val="tx1"/>
                  </w14:solidFill>
                </w14:textFill>
              </w:rPr>
            </w:pPr>
          </w:p>
        </w:tc>
        <w:tc>
          <w:tcPr>
            <w:tcW w:w="1561" w:type="dxa"/>
            <w:vAlign w:val="center"/>
          </w:tcPr>
          <w:p>
            <w:pPr>
              <w:pStyle w:val="257"/>
              <w:jc w:val="center"/>
              <w:rPr>
                <w:color w:val="000000" w:themeColor="text1"/>
                <w:sz w:val="30"/>
                <w14:textFill>
                  <w14:solidFill>
                    <w14:schemeClr w14:val="tx1"/>
                  </w14:solidFill>
                </w14:textFill>
              </w:rPr>
            </w:pP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7"/>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7"/>
              <w:jc w:val="center"/>
              <w:rPr>
                <w:color w:val="000000" w:themeColor="text1"/>
                <w:sz w:val="30"/>
                <w14:textFill>
                  <w14:solidFill>
                    <w14:schemeClr w14:val="tx1"/>
                  </w14:solidFill>
                </w14:textFill>
              </w:rPr>
            </w:pPr>
          </w:p>
        </w:tc>
        <w:tc>
          <w:tcPr>
            <w:tcW w:w="1564" w:type="dxa"/>
            <w:vAlign w:val="center"/>
          </w:tcPr>
          <w:p>
            <w:pPr>
              <w:pStyle w:val="257"/>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0"/>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0"/>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0"/>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0"/>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0"/>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0"/>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0"/>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0"/>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58"/>
              <w:rPr>
                <w:rFonts w:ascii="宋体" w:hAnsi="宋体" w:eastAsia="宋体" w:cs="宋体"/>
                <w:color w:val="000000" w:themeColor="text1"/>
                <w:sz w:val="22"/>
                <w14:textFill>
                  <w14:solidFill>
                    <w14:schemeClr w14:val="tx1"/>
                  </w14:solidFill>
                </w14:textFill>
              </w:rPr>
            </w:pPr>
          </w:p>
        </w:tc>
        <w:tc>
          <w:tcPr>
            <w:tcW w:w="3095" w:type="dxa"/>
          </w:tcPr>
          <w:p>
            <w:pPr>
              <w:pStyle w:val="258"/>
              <w:rPr>
                <w:rFonts w:ascii="宋体" w:hAnsi="宋体" w:eastAsia="宋体" w:cs="宋体"/>
                <w:color w:val="000000" w:themeColor="text1"/>
                <w:sz w:val="22"/>
                <w14:textFill>
                  <w14:solidFill>
                    <w14:schemeClr w14:val="tx1"/>
                  </w14:solidFill>
                </w14:textFill>
              </w:rPr>
            </w:pPr>
          </w:p>
        </w:tc>
        <w:tc>
          <w:tcPr>
            <w:tcW w:w="3098" w:type="dxa"/>
          </w:tcPr>
          <w:p>
            <w:pPr>
              <w:pStyle w:val="258"/>
              <w:rPr>
                <w:rFonts w:ascii="宋体" w:hAnsi="宋体" w:eastAsia="宋体" w:cs="宋体"/>
                <w:color w:val="000000" w:themeColor="text1"/>
                <w:sz w:val="22"/>
                <w14:textFill>
                  <w14:solidFill>
                    <w14:schemeClr w14:val="tx1"/>
                  </w14:solidFill>
                </w14:textFill>
              </w:rPr>
            </w:pPr>
          </w:p>
        </w:tc>
      </w:tr>
    </w:tbl>
    <w:p>
      <w:pPr>
        <w:pStyle w:val="20"/>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0"/>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0"/>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76" w:name="_Toc6182"/>
      <w:bookmarkStart w:id="977"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76"/>
      <w:bookmarkEnd w:id="977"/>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1"/>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78" w:name="OLE_LINK195"/>
      <w:r>
        <w:rPr>
          <w:rFonts w:hint="eastAsia" w:hAnsi="宋体" w:cs="宋体"/>
          <w:color w:val="000000" w:themeColor="text1"/>
          <w14:textFill>
            <w14:solidFill>
              <w14:schemeClr w14:val="tx1"/>
            </w14:solidFill>
          </w14:textFill>
        </w:rPr>
        <w:t>说明：</w:t>
      </w:r>
    </w:p>
    <w:p>
      <w:pPr>
        <w:pStyle w:val="5"/>
        <w:numPr>
          <w:ilvl w:val="0"/>
          <w:numId w:val="18"/>
        </w:numPr>
        <w:spacing w:line="360" w:lineRule="auto"/>
        <w:rPr>
          <w:rFonts w:hAnsi="宋体" w:cs="宋体"/>
          <w:color w:val="000000" w:themeColor="text1"/>
          <w14:textFill>
            <w14:solidFill>
              <w14:schemeClr w14:val="tx1"/>
            </w14:solidFill>
          </w14:textFill>
        </w:rPr>
      </w:pPr>
      <w:bookmarkStart w:id="979" w:name="OLE_LINK194"/>
      <w:r>
        <w:rPr>
          <w:rFonts w:hint="eastAsia" w:hAnsi="宋体" w:cs="宋体"/>
        </w:rPr>
        <w:t>指</w:t>
      </w:r>
      <w:r>
        <w:rPr>
          <w:rFonts w:hint="eastAsia" w:hAnsi="宋体" w:cs="宋体"/>
          <w:kern w:val="0"/>
        </w:rPr>
        <w:t>类似项目业绩（以合同签约日期为准，具体要求详见评标标准）</w:t>
      </w:r>
      <w:r>
        <w:rPr>
          <w:rFonts w:hint="eastAsia" w:hAnsi="宋体" w:cs="宋体"/>
          <w:color w:val="000000" w:themeColor="text1"/>
          <w14:textFill>
            <w14:solidFill>
              <w14:schemeClr w14:val="tx1"/>
            </w14:solidFill>
          </w14:textFill>
        </w:rPr>
        <w:t>。</w:t>
      </w:r>
    </w:p>
    <w:p>
      <w:pPr>
        <w:pStyle w:val="5"/>
        <w:numPr>
          <w:ilvl w:val="0"/>
          <w:numId w:val="18"/>
        </w:numPr>
        <w:spacing w:line="360" w:lineRule="auto"/>
        <w:rPr>
          <w:rFonts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3</w:t>
      </w:r>
      <w:r>
        <w:rPr>
          <w:rFonts w:hint="eastAsia" w:hAnsi="宋体" w:cs="宋体"/>
          <w:color w:val="000000" w:themeColor="text1"/>
          <w14:textFill>
            <w14:solidFill>
              <w14:schemeClr w14:val="tx1"/>
            </w14:solidFill>
          </w14:textFill>
        </w:rPr>
        <w:t>、</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78"/>
      <w:bookmarkEnd w:id="979"/>
    </w:p>
    <w:p>
      <w:pPr>
        <w:pStyle w:val="27"/>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80"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widowControl/>
        <w:spacing w:line="360" w:lineRule="auto"/>
        <w:jc w:val="left"/>
        <w:rPr>
          <w:rFonts w:ascii="宋体" w:hAnsi="宋体" w:cs="宋体"/>
          <w:b/>
          <w:color w:val="000000" w:themeColor="text1"/>
          <w:kern w:val="0"/>
          <w:sz w:val="28"/>
          <w:szCs w:val="20"/>
          <w14:textFill>
            <w14:solidFill>
              <w14:schemeClr w14:val="tx1"/>
            </w14:solidFill>
          </w14:textFill>
        </w:rPr>
      </w:pPr>
      <w:r>
        <w:rPr>
          <w:rFonts w:ascii="宋体" w:hAnsi="宋体" w:cs="宋体"/>
          <w:sz w:val="24"/>
        </w:rPr>
        <w:t>包括不限于：国家有关部门对投标人的投标产品有强制性规定或要求（</w:t>
      </w:r>
      <w:r>
        <w:rPr>
          <w:rFonts w:hint="eastAsia" w:ascii="宋体" w:hAnsi="宋体" w:cs="宋体"/>
          <w:sz w:val="24"/>
        </w:rPr>
        <w:t>如3C认证及强制节能产品认证证书等，提供复印件</w:t>
      </w:r>
      <w:r>
        <w:rPr>
          <w:rFonts w:ascii="宋体" w:hAnsi="宋体" w:cs="宋体"/>
          <w:sz w:val="24"/>
        </w:rPr>
        <w:t>）</w:t>
      </w:r>
      <w:r>
        <w:rPr>
          <w:rFonts w:hint="eastAsia" w:ascii="宋体" w:hAnsi="宋体" w:cs="宋体"/>
          <w:b/>
          <w:sz w:val="24"/>
        </w:rPr>
        <w:t>（详见第五章采购需求及</w:t>
      </w:r>
      <w:r>
        <w:rPr>
          <w:rFonts w:ascii="宋体" w:hAnsi="宋体" w:cs="宋体"/>
          <w:b/>
          <w:sz w:val="24"/>
        </w:rPr>
        <w:t>10-4</w:t>
      </w:r>
      <w:r>
        <w:rPr>
          <w:rFonts w:hint="eastAsia" w:ascii="宋体" w:hAnsi="宋体" w:cs="宋体"/>
          <w:b/>
          <w:sz w:val="24"/>
          <w:szCs w:val="20"/>
        </w:rPr>
        <w:t>节能产品、环境标志产品的证明材料</w:t>
      </w:r>
      <w:r>
        <w:rPr>
          <w:rFonts w:hint="eastAsia" w:ascii="宋体" w:hAnsi="宋体" w:cs="宋体"/>
          <w:b/>
          <w:sz w:val="24"/>
        </w:rPr>
        <w:t>）</w:t>
      </w:r>
      <w:r>
        <w:rPr>
          <w:rFonts w:ascii="宋体" w:hAnsi="宋体" w:cs="宋体"/>
          <w:color w:val="000000" w:themeColor="text1"/>
          <w14:textFill>
            <w14:solidFill>
              <w14:schemeClr w14:val="tx1"/>
            </w14:solidFill>
          </w14:textFill>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80"/>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81" w:name="OLE_LINK6"/>
      <w:r>
        <w:rPr>
          <w:rFonts w:hint="eastAsia" w:ascii="宋体" w:hAnsi="宋体" w:cs="仿宋_GB2312"/>
          <w:b/>
          <w:bCs/>
          <w:color w:val="000000" w:themeColor="text1"/>
          <w:sz w:val="24"/>
          <w14:textFill>
            <w14:solidFill>
              <w14:schemeClr w14:val="tx1"/>
            </w14:solidFill>
          </w14:textFill>
        </w:rPr>
        <w:t>具体详见附录8</w:t>
      </w:r>
      <w:bookmarkEnd w:id="981"/>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82" w:name="_Toc218620576"/>
      <w:bookmarkStart w:id="983" w:name="_Toc209958510"/>
      <w:bookmarkStart w:id="984" w:name="_Toc624"/>
      <w:bookmarkStart w:id="985" w:name="_Toc199921595"/>
      <w:r>
        <w:rPr>
          <w:rFonts w:hint="eastAsia" w:hAnsi="宋体" w:cs="宋体"/>
          <w:bCs/>
          <w:sz w:val="24"/>
          <w:szCs w:val="24"/>
        </w:rPr>
        <w:t>附录1：政府采购促进中小企业发展管理办法</w:t>
      </w:r>
      <w:bookmarkEnd w:id="982"/>
      <w:bookmarkEnd w:id="983"/>
      <w:bookmarkEnd w:id="984"/>
      <w:bookmarkEnd w:id="985"/>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86" w:name="page2"/>
      <w:bookmarkEnd w:id="986"/>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87" w:name="page3"/>
      <w:bookmarkEnd w:id="987"/>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88" w:name="page4"/>
      <w:bookmarkEnd w:id="988"/>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89" w:name="page5"/>
      <w:bookmarkEnd w:id="989"/>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90" w:name="page6"/>
      <w:bookmarkEnd w:id="990"/>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91" w:name="page7"/>
      <w:bookmarkEnd w:id="991"/>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0"/>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92" w:name="_Toc12674"/>
      <w:bookmarkStart w:id="993" w:name="_Toc20829"/>
      <w:bookmarkStart w:id="994" w:name="_Toc21554"/>
      <w:bookmarkStart w:id="995" w:name="_Toc445916627"/>
      <w:bookmarkStart w:id="996" w:name="_Toc497489391"/>
      <w:bookmarkStart w:id="997" w:name="_Toc445984998"/>
      <w:bookmarkStart w:id="998" w:name="_Toc447223799"/>
      <w:r>
        <w:rPr>
          <w:rFonts w:hint="eastAsia" w:ascii="宋体" w:hAnsi="宋体" w:cs="宋体"/>
          <w:bCs/>
        </w:rPr>
        <w:br w:type="page"/>
      </w:r>
    </w:p>
    <w:p>
      <w:pPr>
        <w:pStyle w:val="3"/>
        <w:tabs>
          <w:tab w:val="left" w:pos="432"/>
        </w:tabs>
        <w:jc w:val="left"/>
        <w:rPr>
          <w:rFonts w:hAnsi="宋体" w:cs="宋体"/>
          <w:bCs/>
          <w:sz w:val="24"/>
          <w:szCs w:val="24"/>
        </w:rPr>
      </w:pPr>
      <w:bookmarkStart w:id="999" w:name="_Toc92789350"/>
      <w:bookmarkStart w:id="1000" w:name="_Toc209958511"/>
      <w:bookmarkStart w:id="1001" w:name="_Toc83722638"/>
      <w:bookmarkStart w:id="1002" w:name="_Toc199921596"/>
      <w:bookmarkStart w:id="1003" w:name="_Toc102058323"/>
      <w:bookmarkStart w:id="1004" w:name="_Toc16436"/>
      <w:bookmarkStart w:id="1005" w:name="_Toc1628643191"/>
      <w:bookmarkStart w:id="1006" w:name="_Toc218620577"/>
      <w:bookmarkStart w:id="1007" w:name="_Toc50760979"/>
      <w:bookmarkStart w:id="1008" w:name="_Toc8999377"/>
      <w:bookmarkStart w:id="1009" w:name="_Toc15435094"/>
      <w:bookmarkStart w:id="1010" w:name="_Toc105425452"/>
      <w:bookmarkStart w:id="1011" w:name="_Toc101191899"/>
      <w:bookmarkStart w:id="1012" w:name="_Toc85461450"/>
      <w:r>
        <w:rPr>
          <w:rFonts w:hint="eastAsia" w:hAnsi="宋体" w:cs="宋体"/>
          <w:bCs/>
          <w:sz w:val="24"/>
          <w:szCs w:val="24"/>
        </w:rPr>
        <w:t>附录2：关于印发中小企业划型标准规定的通知</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5"/>
        <w:spacing w:line="360" w:lineRule="auto"/>
        <w:ind w:firstLine="480"/>
        <w:rPr>
          <w:sz w:val="21"/>
          <w:szCs w:val="21"/>
        </w:rPr>
      </w:pPr>
      <w:r>
        <w:rPr>
          <w:rFonts w:hint="eastAsia"/>
          <w:sz w:val="21"/>
          <w:szCs w:val="21"/>
        </w:rPr>
        <w:t>各省、自治区、直辖市人民政府，国务院各部委、各直属机构及有关单位：</w:t>
      </w:r>
    </w:p>
    <w:p>
      <w:pPr>
        <w:pStyle w:val="45"/>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5"/>
        <w:spacing w:line="360" w:lineRule="auto"/>
        <w:ind w:firstLine="480"/>
        <w:rPr>
          <w:sz w:val="21"/>
          <w:szCs w:val="21"/>
        </w:rPr>
      </w:pPr>
      <w:r>
        <w:rPr>
          <w:rFonts w:hint="eastAsia"/>
          <w:sz w:val="21"/>
          <w:szCs w:val="21"/>
        </w:rPr>
        <w:t>　　　　　　　　　　　　　　　　　　     　工业和信息化部　国家统计局</w:t>
      </w:r>
    </w:p>
    <w:p>
      <w:pPr>
        <w:pStyle w:val="45"/>
        <w:spacing w:line="360" w:lineRule="auto"/>
        <w:ind w:firstLine="480"/>
        <w:rPr>
          <w:sz w:val="21"/>
          <w:szCs w:val="21"/>
        </w:rPr>
      </w:pPr>
      <w:r>
        <w:rPr>
          <w:rFonts w:hint="eastAsia"/>
          <w:sz w:val="21"/>
          <w:szCs w:val="21"/>
        </w:rPr>
        <w:t>　　　　　　　　　　　　　　　　           国家发展和改革委员会　财政部</w:t>
      </w:r>
    </w:p>
    <w:p>
      <w:pPr>
        <w:pStyle w:val="45"/>
        <w:spacing w:line="360" w:lineRule="auto"/>
        <w:ind w:firstLine="480"/>
        <w:rPr>
          <w:sz w:val="21"/>
          <w:szCs w:val="21"/>
        </w:rPr>
      </w:pPr>
      <w:r>
        <w:rPr>
          <w:rFonts w:hint="eastAsia"/>
          <w:sz w:val="21"/>
          <w:szCs w:val="21"/>
        </w:rPr>
        <w:t>　　　　　　　　　　　　　　　　　　　　  　二○一一年六月十八日</w:t>
      </w:r>
    </w:p>
    <w:p>
      <w:pPr>
        <w:pStyle w:val="45"/>
        <w:spacing w:line="360" w:lineRule="auto"/>
        <w:ind w:firstLine="480"/>
        <w:jc w:val="center"/>
      </w:pPr>
      <w:r>
        <w:rPr>
          <w:rStyle w:val="55"/>
          <w:rFonts w:hint="eastAsia"/>
        </w:rPr>
        <w:t>中小企业划型标准规定</w:t>
      </w:r>
    </w:p>
    <w:p>
      <w:pPr>
        <w:numPr>
          <w:ilvl w:val="0"/>
          <w:numId w:val="19"/>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9"/>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9"/>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9"/>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1013" w:name="OLE_LINK23"/>
      <w:bookmarkStart w:id="1014"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1013"/>
      <w:bookmarkEnd w:id="1014"/>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9"/>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9"/>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9"/>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9"/>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15" w:name="_Toc8999378"/>
      <w:bookmarkStart w:id="1016" w:name="_Toc92789351"/>
      <w:bookmarkStart w:id="1017" w:name="_Toc83722639"/>
      <w:bookmarkStart w:id="1018" w:name="_Toc102058324"/>
      <w:bookmarkStart w:id="1019" w:name="_Toc85461451"/>
      <w:bookmarkStart w:id="1020" w:name="_Toc779546475"/>
      <w:bookmarkStart w:id="1021" w:name="_Toc101191900"/>
      <w:bookmarkStart w:id="1022" w:name="_Toc8212"/>
      <w:bookmarkStart w:id="1023" w:name="_Toc15435095"/>
      <w:bookmarkStart w:id="1024" w:name="_Toc50760980"/>
      <w:bookmarkStart w:id="1025" w:name="_Toc105425453"/>
      <w:bookmarkStart w:id="1026" w:name="_Toc497489392"/>
      <w:r>
        <w:rPr>
          <w:rFonts w:hint="eastAsia" w:hAnsi="宋体" w:cs="宋体"/>
          <w:bCs/>
          <w:sz w:val="24"/>
          <w:szCs w:val="24"/>
        </w:rPr>
        <w:br w:type="page"/>
      </w:r>
      <w:bookmarkStart w:id="1027" w:name="_Toc199921597"/>
      <w:bookmarkStart w:id="1028" w:name="_Toc209958512"/>
      <w:bookmarkStart w:id="1029" w:name="_Toc18061"/>
      <w:bookmarkStart w:id="1030" w:name="_Toc218620578"/>
      <w:r>
        <w:rPr>
          <w:rFonts w:hint="eastAsia" w:hAnsi="宋体" w:cs="宋体"/>
          <w:bCs/>
          <w:sz w:val="24"/>
          <w:szCs w:val="24"/>
        </w:rPr>
        <w:t>附录3：财政部 民政部 中国残疾人联合会关于促进残疾人就业政府采购政策的通知</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5"/>
        <w:shd w:val="clear" w:color="auto" w:fill="FFFFFF"/>
        <w:spacing w:before="0" w:beforeAutospacing="0" w:after="0" w:afterAutospacing="0" w:line="360" w:lineRule="auto"/>
        <w:ind w:firstLine="480"/>
        <w:jc w:val="both"/>
        <w:rPr>
          <w:sz w:val="21"/>
          <w:szCs w:val="21"/>
        </w:rPr>
      </w:pPr>
      <w:bookmarkStart w:id="1031"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31"/>
      <w:r>
        <w:rPr>
          <w:rFonts w:hint="eastAsia"/>
          <w:sz w:val="21"/>
          <w:szCs w:val="21"/>
        </w:rPr>
        <w:t>：</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32" w:name="_Toc209958513"/>
      <w:bookmarkStart w:id="1033" w:name="_Toc218620579"/>
      <w:bookmarkStart w:id="1034" w:name="_Toc199921598"/>
      <w:r>
        <w:rPr>
          <w:rFonts w:hint="eastAsia" w:hAnsi="宋体" w:cs="宋体"/>
          <w:bCs/>
          <w:sz w:val="24"/>
          <w:szCs w:val="24"/>
        </w:rPr>
        <w:t>附录4：财政部 司法部 关于政府采购支持监狱企业发展有关问题的通知</w:t>
      </w:r>
      <w:bookmarkEnd w:id="1032"/>
      <w:bookmarkEnd w:id="1033"/>
      <w:bookmarkEnd w:id="1034"/>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5"/>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5"/>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5"/>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5"/>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5"/>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5"/>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5"/>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35" w:name="_Toc209958514"/>
      <w:bookmarkStart w:id="1036" w:name="_Toc199921599"/>
      <w:bookmarkStart w:id="1037" w:name="_Toc218620580"/>
      <w:r>
        <w:rPr>
          <w:rFonts w:hint="eastAsia" w:hAnsi="宋体" w:cs="宋体"/>
          <w:bCs/>
          <w:sz w:val="24"/>
          <w:szCs w:val="24"/>
        </w:rPr>
        <w:t>附录5：关于进一步加大政府采购支持中小企业力度的通知</w:t>
      </w:r>
      <w:bookmarkEnd w:id="1035"/>
      <w:bookmarkEnd w:id="1036"/>
      <w:bookmarkEnd w:id="1037"/>
    </w:p>
    <w:p>
      <w:pPr>
        <w:jc w:val="center"/>
        <w:rPr>
          <w:rFonts w:ascii="宋体" w:hAnsi="宋体"/>
          <w:sz w:val="24"/>
        </w:rPr>
      </w:pPr>
      <w:r>
        <w:rPr>
          <w:rFonts w:hint="eastAsia" w:ascii="宋体" w:hAnsi="宋体"/>
          <w:sz w:val="24"/>
        </w:rPr>
        <w:t>财库〔2022〕19号</w:t>
      </w:r>
    </w:p>
    <w:p>
      <w:pPr>
        <w:pStyle w:val="45"/>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5"/>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5"/>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5"/>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5"/>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5"/>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5"/>
        <w:shd w:val="clear" w:color="auto" w:fill="FFFFFF"/>
        <w:spacing w:before="0" w:beforeAutospacing="0" w:after="225" w:afterAutospacing="0" w:line="360" w:lineRule="auto"/>
        <w:ind w:firstLine="480"/>
      </w:pPr>
      <w:r>
        <w:rPr>
          <w:rFonts w:hint="eastAsia"/>
        </w:rPr>
        <w:t>本通知自2022年7月1日起执行。</w:t>
      </w:r>
    </w:p>
    <w:p>
      <w:pPr>
        <w:pStyle w:val="45"/>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38" w:name="_Toc218620581"/>
      <w:bookmarkStart w:id="1039" w:name="_Toc209958515"/>
      <w:bookmarkStart w:id="1040" w:name="_Toc199921600"/>
      <w:bookmarkStart w:id="1041" w:name="_Toc92789352"/>
      <w:bookmarkStart w:id="1042" w:name="_Toc85461452"/>
      <w:bookmarkStart w:id="1043" w:name="_Toc83722640"/>
      <w:bookmarkStart w:id="1044" w:name="_Toc39874978"/>
      <w:bookmarkStart w:id="1045" w:name="_Toc101191901"/>
      <w:bookmarkStart w:id="1046" w:name="_Toc102058325"/>
      <w:bookmarkStart w:id="1047" w:name="_Toc105425454"/>
      <w:bookmarkStart w:id="1048" w:name="_Toc9219"/>
      <w:r>
        <w:rPr>
          <w:rFonts w:hint="eastAsia" w:hAnsi="宋体" w:cs="宋体"/>
          <w:bCs/>
          <w:sz w:val="24"/>
          <w:szCs w:val="24"/>
        </w:rPr>
        <w:t>附录6：财政部 发展改革委关于印发节能产品政府采购品目清单的通知</w:t>
      </w:r>
      <w:bookmarkEnd w:id="1038"/>
      <w:bookmarkEnd w:id="1039"/>
      <w:bookmarkEnd w:id="1040"/>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49" w:name="_Toc209958516"/>
      <w:bookmarkStart w:id="1050" w:name="_Toc199921601"/>
      <w:bookmarkStart w:id="1051" w:name="_Toc218620582"/>
      <w:r>
        <w:rPr>
          <w:rFonts w:hint="eastAsia" w:hAnsi="宋体" w:cs="宋体"/>
          <w:bCs/>
          <w:sz w:val="24"/>
          <w:szCs w:val="24"/>
        </w:rPr>
        <w:t>附录7：关于印发环境标志产品政府采购品目清单的通知</w:t>
      </w:r>
      <w:bookmarkEnd w:id="1049"/>
      <w:bookmarkEnd w:id="1050"/>
      <w:bookmarkEnd w:id="1051"/>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52" w:name="_Toc218620583"/>
      <w:bookmarkStart w:id="1053" w:name="_Toc199921602"/>
      <w:bookmarkStart w:id="1054" w:name="_Toc209958517"/>
      <w:r>
        <w:rPr>
          <w:rFonts w:hint="eastAsia" w:hAnsi="宋体" w:cs="宋体"/>
          <w:bCs/>
          <w:sz w:val="24"/>
          <w:szCs w:val="24"/>
        </w:rPr>
        <w:t>附录8：</w:t>
      </w:r>
      <w:bookmarkEnd w:id="1041"/>
      <w:bookmarkEnd w:id="1042"/>
      <w:bookmarkEnd w:id="1043"/>
      <w:r>
        <w:rPr>
          <w:rFonts w:hint="eastAsia" w:hAnsi="宋体" w:cs="宋体"/>
          <w:bCs/>
          <w:sz w:val="24"/>
          <w:szCs w:val="24"/>
        </w:rPr>
        <w:t>市场监管总局关于发布参与实施政府采购节能产品、环境标志产品认证机构名录的公告</w:t>
      </w:r>
      <w:bookmarkEnd w:id="1044"/>
      <w:bookmarkEnd w:id="1045"/>
      <w:bookmarkEnd w:id="1046"/>
      <w:bookmarkEnd w:id="1047"/>
      <w:bookmarkEnd w:id="1048"/>
      <w:bookmarkEnd w:id="1052"/>
      <w:bookmarkEnd w:id="1053"/>
      <w:bookmarkEnd w:id="1054"/>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5"/>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5"/>
        <w:spacing w:before="680" w:beforeAutospacing="0" w:after="632" w:afterAutospacing="0" w:line="360" w:lineRule="auto"/>
        <w:ind w:left="302" w:right="226" w:firstLine="480"/>
        <w:rPr>
          <w:sz w:val="21"/>
          <w:szCs w:val="21"/>
        </w:rPr>
      </w:pPr>
    </w:p>
    <w:p>
      <w:pPr>
        <w:pStyle w:val="45"/>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5"/>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5"/>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1"/>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1"/>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55" w:name="_Toc218620584"/>
      <w:bookmarkStart w:id="1056" w:name="_Toc199921604"/>
      <w:bookmarkStart w:id="1057" w:name="_Toc209958518"/>
      <w:bookmarkStart w:id="1058"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55"/>
      <w:bookmarkEnd w:id="1056"/>
      <w:bookmarkEnd w:id="1057"/>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5"/>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5"/>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5"/>
        <w:shd w:val="clear" w:color="auto" w:fill="FFFFFF"/>
        <w:spacing w:before="0" w:beforeAutospacing="0" w:after="0" w:afterAutospacing="0" w:line="360" w:lineRule="auto"/>
        <w:textAlignment w:val="baseline"/>
      </w:pPr>
      <w:r>
        <w:rPr>
          <w:rFonts w:hint="eastAsia"/>
        </w:rPr>
        <w:t>　　</w:t>
      </w:r>
      <w:r>
        <w:rPr>
          <w:rStyle w:val="55"/>
        </w:rPr>
        <w:t>一、高度重视信用记录查询及使用工作</w:t>
      </w:r>
    </w:p>
    <w:p>
      <w:pPr>
        <w:pStyle w:val="45"/>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5"/>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5"/>
        <w:shd w:val="clear" w:color="auto" w:fill="FFFFFF"/>
        <w:spacing w:before="0" w:beforeAutospacing="0" w:after="0" w:afterAutospacing="0" w:line="360" w:lineRule="auto"/>
        <w:textAlignment w:val="baseline"/>
      </w:pPr>
      <w:r>
        <w:rPr>
          <w:rFonts w:hint="eastAsia"/>
        </w:rPr>
        <w:t>　　</w:t>
      </w:r>
      <w:r>
        <w:rPr>
          <w:rStyle w:val="55"/>
        </w:rPr>
        <w:t>二、认真做好信用记录查询及使用工作</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（一）总体要求。</w:t>
      </w:r>
    </w:p>
    <w:p>
      <w:pPr>
        <w:pStyle w:val="45"/>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（二）信用记录查询渠道。</w:t>
      </w:r>
    </w:p>
    <w:p>
      <w:pPr>
        <w:pStyle w:val="45"/>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（三）信用记录的使用。</w:t>
      </w:r>
    </w:p>
    <w:p>
      <w:pPr>
        <w:pStyle w:val="45"/>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5"/>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5"/>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5"/>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5"/>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5"/>
        <w:shd w:val="clear" w:color="auto" w:fill="FFFFFF"/>
        <w:spacing w:before="0" w:beforeAutospacing="0" w:after="0" w:afterAutospacing="0" w:line="360" w:lineRule="auto"/>
        <w:textAlignment w:val="baseline"/>
      </w:pPr>
      <w:r>
        <w:rPr>
          <w:rFonts w:hint="eastAsia"/>
        </w:rPr>
        <w:t>　　</w:t>
      </w:r>
      <w:r>
        <w:rPr>
          <w:rStyle w:val="55"/>
        </w:rPr>
        <w:t>三、工作要求</w:t>
      </w:r>
    </w:p>
    <w:p>
      <w:pPr>
        <w:pStyle w:val="45"/>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5"/>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5"/>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5"/>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58"/>
    <w:p>
      <w:pPr>
        <w:pStyle w:val="3"/>
        <w:tabs>
          <w:tab w:val="left" w:pos="432"/>
        </w:tabs>
        <w:spacing w:line="360" w:lineRule="auto"/>
        <w:jc w:val="left"/>
        <w:rPr>
          <w:rFonts w:hAnsi="宋体" w:cs="宋体"/>
          <w:bCs/>
          <w:sz w:val="24"/>
          <w:szCs w:val="24"/>
        </w:rPr>
      </w:pPr>
      <w:bookmarkStart w:id="1059" w:name="_Toc218620585"/>
      <w:bookmarkStart w:id="1060" w:name="_Toc209958520"/>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59"/>
      <w:bookmarkEnd w:id="1060"/>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5"/>
        <w:shd w:val="clear" w:color="auto" w:fill="FFFFFF"/>
        <w:spacing w:before="0" w:beforeAutospacing="0" w:after="0" w:afterAutospacing="0"/>
        <w:jc w:val="center"/>
        <w:rPr>
          <w:color w:val="333333"/>
          <w:sz w:val="36"/>
          <w:szCs w:val="36"/>
        </w:rPr>
      </w:pPr>
      <w:bookmarkStart w:id="1061" w:name="OLE_LINK21"/>
      <w:r>
        <w:rPr>
          <w:rStyle w:val="55"/>
          <w:rFonts w:hint="eastAsia"/>
          <w:color w:val="333333"/>
          <w:sz w:val="36"/>
          <w:szCs w:val="36"/>
        </w:rPr>
        <w:t>国务院办公厅关于在政府采购中</w:t>
      </w: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实施本国产品标准及相关政策的通知</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right"/>
        <w:rPr>
          <w:color w:val="333333"/>
        </w:rPr>
      </w:pPr>
      <w:r>
        <w:rPr>
          <w:rFonts w:hint="eastAsia"/>
          <w:color w:val="333333"/>
        </w:rPr>
        <w:t>国办发〔2025〕34号  </w:t>
      </w:r>
    </w:p>
    <w:p>
      <w:pPr>
        <w:pStyle w:val="45"/>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5"/>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5"/>
        <w:shd w:val="clear" w:color="auto" w:fill="FFFFFF"/>
        <w:spacing w:before="0" w:beforeAutospacing="0" w:after="0" w:afterAutospacing="0"/>
        <w:ind w:firstLine="480"/>
        <w:rPr>
          <w:color w:val="333333"/>
        </w:rPr>
      </w:pPr>
      <w:r>
        <w:rPr>
          <w:rStyle w:val="55"/>
          <w:rFonts w:hint="eastAsia"/>
          <w:color w:val="333333"/>
        </w:rPr>
        <w:t>一、本国产品标准</w:t>
      </w:r>
    </w:p>
    <w:p>
      <w:pPr>
        <w:pStyle w:val="45"/>
        <w:shd w:val="clear" w:color="auto" w:fill="FFFFFF"/>
        <w:spacing w:before="30" w:beforeAutospacing="0" w:after="30" w:afterAutospacing="0"/>
        <w:ind w:firstLine="480"/>
        <w:rPr>
          <w:color w:val="333333"/>
        </w:rPr>
      </w:pPr>
      <w:r>
        <w:rPr>
          <w:rFonts w:hint="eastAsia"/>
          <w:color w:val="333333"/>
        </w:rPr>
        <w:t>本国产品应当符合以下条件：</w:t>
      </w:r>
    </w:p>
    <w:p>
      <w:pPr>
        <w:pStyle w:val="45"/>
        <w:shd w:val="clear" w:color="auto" w:fill="FFFFFF"/>
        <w:spacing w:before="0" w:beforeAutospacing="0" w:after="0" w:afterAutospacing="0"/>
        <w:ind w:firstLine="480"/>
        <w:rPr>
          <w:color w:val="333333"/>
        </w:rPr>
      </w:pPr>
      <w:r>
        <w:rPr>
          <w:rFonts w:hint="eastAsia"/>
          <w:color w:val="333333"/>
        </w:rPr>
        <w:t>（一）在中国境内生产</w:t>
      </w:r>
    </w:p>
    <w:p>
      <w:pPr>
        <w:pStyle w:val="45"/>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5"/>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5"/>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5"/>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5"/>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5"/>
        <w:shd w:val="clear" w:color="auto" w:fill="FFFFFF"/>
        <w:spacing w:before="30" w:beforeAutospacing="0" w:after="30" w:afterAutospacing="0"/>
        <w:ind w:firstLine="480"/>
        <w:rPr>
          <w:color w:val="333333"/>
        </w:rPr>
      </w:pPr>
      <w:r>
        <w:rPr>
          <w:rFonts w:hint="eastAsia"/>
          <w:color w:val="333333"/>
        </w:rPr>
        <w:t>4.简单的上漆、磨光和分装；</w:t>
      </w:r>
    </w:p>
    <w:p>
      <w:pPr>
        <w:pStyle w:val="45"/>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5"/>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5"/>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5"/>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5"/>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5"/>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5"/>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5"/>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5"/>
        <w:shd w:val="clear" w:color="auto" w:fill="FFFFFF"/>
        <w:spacing w:before="0" w:beforeAutospacing="0" w:after="0" w:afterAutospacing="0"/>
        <w:ind w:firstLine="480"/>
        <w:rPr>
          <w:color w:val="333333"/>
        </w:rPr>
      </w:pPr>
      <w:r>
        <w:rPr>
          <w:rStyle w:val="55"/>
          <w:rFonts w:hint="eastAsia"/>
          <w:color w:val="333333"/>
        </w:rPr>
        <w:t>二、本国产品标准的适用范围</w:t>
      </w:r>
    </w:p>
    <w:p>
      <w:pPr>
        <w:pStyle w:val="45"/>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5"/>
        <w:shd w:val="clear" w:color="auto" w:fill="FFFFFF"/>
        <w:spacing w:before="0" w:beforeAutospacing="0" w:after="0" w:afterAutospacing="0"/>
        <w:ind w:firstLine="480"/>
        <w:rPr>
          <w:color w:val="333333"/>
        </w:rPr>
      </w:pPr>
      <w:r>
        <w:rPr>
          <w:rStyle w:val="55"/>
          <w:rFonts w:hint="eastAsia"/>
          <w:color w:val="333333"/>
        </w:rPr>
        <w:t>三、对本国产品的支持政策</w:t>
      </w:r>
    </w:p>
    <w:p>
      <w:pPr>
        <w:pStyle w:val="45"/>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5"/>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5"/>
        <w:shd w:val="clear" w:color="auto" w:fill="FFFFFF"/>
        <w:spacing w:before="0" w:beforeAutospacing="0" w:after="0" w:afterAutospacing="0"/>
        <w:ind w:firstLine="480"/>
        <w:rPr>
          <w:color w:val="333333"/>
        </w:rPr>
      </w:pPr>
      <w:r>
        <w:rPr>
          <w:rStyle w:val="55"/>
          <w:rFonts w:hint="eastAsia"/>
          <w:color w:val="333333"/>
        </w:rPr>
        <w:t>四、政策执行要求</w:t>
      </w:r>
    </w:p>
    <w:p>
      <w:pPr>
        <w:pStyle w:val="45"/>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5"/>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62" w:name="OLE_LINK8"/>
      <w:r>
        <w:rPr>
          <w:rFonts w:hint="eastAsia"/>
          <w:color w:val="333333"/>
        </w:rPr>
        <w:t>符合要求的《声明函》或有关证明文件的</w:t>
      </w:r>
      <w:bookmarkEnd w:id="1062"/>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5"/>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5"/>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5"/>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5"/>
        <w:shd w:val="clear" w:color="auto" w:fill="FFFFFF"/>
        <w:spacing w:before="0" w:beforeAutospacing="0" w:after="0" w:afterAutospacing="0"/>
        <w:ind w:firstLine="480"/>
        <w:rPr>
          <w:color w:val="333333"/>
        </w:rPr>
      </w:pPr>
      <w:r>
        <w:rPr>
          <w:rStyle w:val="55"/>
          <w:rFonts w:hint="eastAsia"/>
          <w:color w:val="333333"/>
        </w:rPr>
        <w:t>五、争议处理</w:t>
      </w:r>
    </w:p>
    <w:p>
      <w:pPr>
        <w:pStyle w:val="45"/>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5"/>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5"/>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5"/>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5"/>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5"/>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5"/>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5"/>
        <w:shd w:val="clear" w:color="auto" w:fill="FFFFFF"/>
        <w:spacing w:before="30" w:beforeAutospacing="0" w:after="30" w:afterAutospacing="0"/>
        <w:ind w:firstLine="480"/>
        <w:rPr>
          <w:color w:val="333333"/>
        </w:rPr>
      </w:pPr>
      <w:r>
        <w:rPr>
          <w:rFonts w:hint="eastAsia"/>
          <w:color w:val="333333"/>
        </w:rPr>
        <w:t>本通知自2026年1月1日起施行。</w:t>
      </w:r>
    </w:p>
    <w:p>
      <w:pPr>
        <w:pStyle w:val="45"/>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5"/>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5"/>
        <w:shd w:val="clear" w:color="auto" w:fill="FFFFFF"/>
        <w:spacing w:before="30" w:beforeAutospacing="0" w:after="30" w:afterAutospacing="0"/>
        <w:jc w:val="right"/>
        <w:rPr>
          <w:color w:val="333333"/>
        </w:rPr>
      </w:pPr>
      <w:r>
        <w:rPr>
          <w:rFonts w:hint="eastAsia"/>
          <w:color w:val="333333"/>
        </w:rPr>
        <w:t>国务院办公厅         </w:t>
      </w:r>
    </w:p>
    <w:p>
      <w:pPr>
        <w:pStyle w:val="45"/>
        <w:shd w:val="clear" w:color="auto" w:fill="FFFFFF"/>
        <w:spacing w:before="30" w:beforeAutospacing="0" w:after="30" w:afterAutospacing="0"/>
        <w:jc w:val="right"/>
        <w:rPr>
          <w:color w:val="333333"/>
        </w:rPr>
      </w:pPr>
      <w:r>
        <w:rPr>
          <w:rFonts w:hint="eastAsia"/>
          <w:color w:val="333333"/>
        </w:rPr>
        <w:t>2025年9月28日    </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widowControl/>
        <w:jc w:val="left"/>
        <w:rPr>
          <w:rStyle w:val="55"/>
          <w:rFonts w:ascii="宋体" w:hAnsi="宋体" w:cs="宋体"/>
          <w:color w:val="333333"/>
          <w:kern w:val="0"/>
          <w:sz w:val="24"/>
        </w:rPr>
      </w:pPr>
      <w:r>
        <w:rPr>
          <w:rStyle w:val="55"/>
          <w:rFonts w:ascii="宋体" w:hAnsi="宋体"/>
          <w:color w:val="333333"/>
        </w:rPr>
        <w:br w:type="page"/>
      </w:r>
    </w:p>
    <w:p>
      <w:pPr>
        <w:pStyle w:val="45"/>
        <w:shd w:val="clear" w:color="auto" w:fill="FFFFFF"/>
        <w:spacing w:before="0" w:beforeAutospacing="0" w:after="0" w:afterAutospacing="0"/>
        <w:rPr>
          <w:color w:val="333333"/>
        </w:rPr>
      </w:pPr>
      <w:r>
        <w:rPr>
          <w:rStyle w:val="55"/>
          <w:rFonts w:hint="eastAsia"/>
          <w:color w:val="333333"/>
        </w:rPr>
        <w:t>附件1</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中国境内生产的组件成本核算基本规则</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5"/>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5"/>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5"/>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5"/>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widowControl/>
        <w:jc w:val="left"/>
        <w:rPr>
          <w:rStyle w:val="55"/>
          <w:rFonts w:ascii="宋体" w:hAnsi="宋体" w:cs="宋体"/>
          <w:color w:val="333333"/>
          <w:kern w:val="0"/>
          <w:sz w:val="24"/>
        </w:rPr>
      </w:pPr>
      <w:r>
        <w:rPr>
          <w:rStyle w:val="55"/>
          <w:rFonts w:ascii="宋体" w:hAnsi="宋体"/>
          <w:color w:val="333333"/>
        </w:rPr>
        <w:br w:type="page"/>
      </w:r>
    </w:p>
    <w:p>
      <w:pPr>
        <w:pStyle w:val="45"/>
        <w:shd w:val="clear" w:color="auto" w:fill="FFFFFF"/>
        <w:spacing w:before="0" w:beforeAutospacing="0" w:after="0" w:afterAutospacing="0"/>
        <w:rPr>
          <w:color w:val="333333"/>
        </w:rPr>
      </w:pPr>
      <w:r>
        <w:rPr>
          <w:rStyle w:val="55"/>
          <w:rFonts w:hint="eastAsia"/>
          <w:color w:val="333333"/>
        </w:rPr>
        <w:t>附件2</w:t>
      </w:r>
    </w:p>
    <w:p>
      <w:pPr>
        <w:pStyle w:val="45"/>
        <w:shd w:val="clear" w:color="auto" w:fill="FFFFFF"/>
        <w:spacing w:before="30" w:beforeAutospacing="0" w:after="30" w:afterAutospacing="0"/>
        <w:ind w:firstLine="480"/>
        <w:rPr>
          <w:color w:val="333333"/>
        </w:rPr>
      </w:pPr>
    </w:p>
    <w:p>
      <w:pPr>
        <w:pStyle w:val="45"/>
        <w:shd w:val="clear" w:color="auto" w:fill="FFFFFF"/>
        <w:spacing w:before="0" w:beforeAutospacing="0" w:after="0" w:afterAutospacing="0"/>
        <w:jc w:val="center"/>
        <w:rPr>
          <w:color w:val="333333"/>
          <w:sz w:val="36"/>
          <w:szCs w:val="36"/>
        </w:rPr>
      </w:pPr>
      <w:r>
        <w:rPr>
          <w:rStyle w:val="55"/>
          <w:rFonts w:hint="eastAsia"/>
          <w:color w:val="333333"/>
          <w:sz w:val="36"/>
          <w:szCs w:val="36"/>
        </w:rPr>
        <w:t>关于符合本国产品标准的声明函</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ind w:firstLine="480"/>
        <w:rPr>
          <w:color w:val="333333"/>
        </w:rPr>
      </w:pPr>
      <w:r>
        <w:rPr>
          <w:rFonts w:hint="eastAsia"/>
          <w:color w:val="333333"/>
        </w:rPr>
        <w:t>1.</w:t>
      </w:r>
      <w:r>
        <w:rPr>
          <w:rStyle w:val="58"/>
          <w:rFonts w:hint="eastAsia"/>
          <w:color w:val="333333"/>
        </w:rPr>
        <w:t>（产品名称1）</w:t>
      </w:r>
      <w:r>
        <w:rPr>
          <w:rStyle w:val="58"/>
          <w:rFonts w:hint="eastAsia"/>
          <w:color w:val="333333"/>
          <w:vertAlign w:val="superscript"/>
        </w:rPr>
        <w:t>1</w:t>
      </w:r>
      <w:r>
        <w:rPr>
          <w:rFonts w:hint="eastAsia"/>
          <w:color w:val="333333"/>
        </w:rPr>
        <w:t>，生产厂为</w:t>
      </w:r>
      <w:r>
        <w:rPr>
          <w:rStyle w:val="58"/>
          <w:rFonts w:hint="eastAsia"/>
          <w:color w:val="333333"/>
        </w:rPr>
        <w:t>（厂名）</w:t>
      </w:r>
      <w:r>
        <w:rPr>
          <w:rStyle w:val="58"/>
          <w:rFonts w:hint="eastAsia"/>
          <w:color w:val="333333"/>
          <w:vertAlign w:val="superscript"/>
        </w:rPr>
        <w:t>2</w:t>
      </w:r>
      <w:r>
        <w:rPr>
          <w:rFonts w:hint="eastAsia"/>
          <w:color w:val="333333"/>
        </w:rPr>
        <w:t>，厂址为</w:t>
      </w:r>
      <w:r>
        <w:rPr>
          <w:rStyle w:val="58"/>
          <w:rFonts w:hint="eastAsia"/>
          <w:color w:val="333333"/>
        </w:rPr>
        <w:t>（生产厂址）</w:t>
      </w:r>
      <w:r>
        <w:rPr>
          <w:rFonts w:hint="eastAsia"/>
          <w:color w:val="333333"/>
        </w:rPr>
        <w:t>。</w:t>
      </w:r>
      <w:r>
        <w:rPr>
          <w:rStyle w:val="58"/>
          <w:rFonts w:hint="eastAsia"/>
          <w:color w:val="333333"/>
        </w:rPr>
        <w:t>（产品名称1）</w:t>
      </w:r>
      <w:r>
        <w:rPr>
          <w:rFonts w:hint="eastAsia"/>
          <w:color w:val="333333"/>
        </w:rPr>
        <w:t>的中国境内生产的组件成本占比≥</w:t>
      </w:r>
      <w:r>
        <w:rPr>
          <w:rStyle w:val="58"/>
          <w:rFonts w:hint="eastAsia"/>
          <w:color w:val="333333"/>
        </w:rPr>
        <w:t>（规定比例）</w:t>
      </w:r>
      <w:r>
        <w:rPr>
          <w:rStyle w:val="58"/>
          <w:rFonts w:hint="eastAsia"/>
          <w:color w:val="333333"/>
          <w:vertAlign w:val="superscript"/>
        </w:rPr>
        <w:t>3</w:t>
      </w:r>
      <w:r>
        <w:rPr>
          <w:rFonts w:hint="eastAsia"/>
          <w:color w:val="333333"/>
        </w:rPr>
        <w:t>。</w:t>
      </w:r>
      <w:r>
        <w:rPr>
          <w:rStyle w:val="58"/>
          <w:rFonts w:hint="eastAsia"/>
          <w:color w:val="333333"/>
        </w:rPr>
        <w:t>（产品名称1）</w:t>
      </w:r>
      <w:r>
        <w:rPr>
          <w:rFonts w:hint="eastAsia"/>
          <w:color w:val="333333"/>
        </w:rPr>
        <w:t>的</w:t>
      </w:r>
      <w:r>
        <w:rPr>
          <w:rStyle w:val="58"/>
          <w:rFonts w:hint="eastAsia"/>
          <w:color w:val="333333"/>
        </w:rPr>
        <w:t>（关键组件）</w:t>
      </w:r>
      <w:r>
        <w:rPr>
          <w:rStyle w:val="58"/>
          <w:rFonts w:hint="eastAsia"/>
          <w:color w:val="333333"/>
          <w:vertAlign w:val="superscript"/>
        </w:rPr>
        <w:t>4</w:t>
      </w:r>
      <w:r>
        <w:rPr>
          <w:rFonts w:hint="eastAsia"/>
          <w:color w:val="333333"/>
        </w:rPr>
        <w:t>在中国境内生产。</w:t>
      </w:r>
      <w:r>
        <w:rPr>
          <w:rStyle w:val="58"/>
          <w:rFonts w:hint="eastAsia"/>
          <w:color w:val="333333"/>
        </w:rPr>
        <w:t>（产品名称1）</w:t>
      </w:r>
      <w:r>
        <w:rPr>
          <w:rFonts w:hint="eastAsia"/>
          <w:color w:val="333333"/>
        </w:rPr>
        <w:t>的</w:t>
      </w:r>
      <w:r>
        <w:rPr>
          <w:rStyle w:val="58"/>
          <w:rFonts w:hint="eastAsia"/>
          <w:color w:val="333333"/>
        </w:rPr>
        <w:t>（关键工序）</w:t>
      </w:r>
      <w:r>
        <w:rPr>
          <w:rStyle w:val="58"/>
          <w:rFonts w:hint="eastAsia"/>
          <w:color w:val="333333"/>
          <w:vertAlign w:val="superscript"/>
        </w:rPr>
        <w:t>5</w:t>
      </w:r>
      <w:r>
        <w:rPr>
          <w:rFonts w:hint="eastAsia"/>
          <w:color w:val="333333"/>
        </w:rPr>
        <w:t>在中国境内完成。</w:t>
      </w:r>
    </w:p>
    <w:p>
      <w:pPr>
        <w:pStyle w:val="45"/>
        <w:shd w:val="clear" w:color="auto" w:fill="FFFFFF"/>
        <w:spacing w:before="0" w:beforeAutospacing="0" w:after="0" w:afterAutospacing="0"/>
        <w:ind w:firstLine="480"/>
        <w:rPr>
          <w:color w:val="333333"/>
        </w:rPr>
      </w:pPr>
      <w:r>
        <w:rPr>
          <w:rFonts w:hint="eastAsia"/>
          <w:color w:val="333333"/>
        </w:rPr>
        <w:t>2.</w:t>
      </w:r>
      <w:r>
        <w:rPr>
          <w:rStyle w:val="58"/>
          <w:rFonts w:hint="eastAsia"/>
          <w:color w:val="333333"/>
        </w:rPr>
        <w:t>（产品名称2）</w:t>
      </w:r>
      <w:r>
        <w:rPr>
          <w:rFonts w:hint="eastAsia"/>
          <w:color w:val="333333"/>
        </w:rPr>
        <w:t>，生产厂为</w:t>
      </w:r>
      <w:r>
        <w:rPr>
          <w:rStyle w:val="58"/>
          <w:rFonts w:hint="eastAsia"/>
          <w:color w:val="333333"/>
        </w:rPr>
        <w:t>（厂名）</w:t>
      </w:r>
      <w:r>
        <w:rPr>
          <w:rFonts w:hint="eastAsia"/>
          <w:color w:val="333333"/>
        </w:rPr>
        <w:t>，厂址为</w:t>
      </w:r>
      <w:r>
        <w:rPr>
          <w:rStyle w:val="58"/>
          <w:rFonts w:hint="eastAsia"/>
          <w:color w:val="333333"/>
        </w:rPr>
        <w:t>（生产厂址）</w:t>
      </w:r>
      <w:r>
        <w:rPr>
          <w:rFonts w:hint="eastAsia"/>
          <w:color w:val="333333"/>
        </w:rPr>
        <w:t>。</w:t>
      </w:r>
      <w:r>
        <w:rPr>
          <w:rStyle w:val="58"/>
          <w:rFonts w:hint="eastAsia"/>
          <w:color w:val="333333"/>
        </w:rPr>
        <w:t>（产品名称2）</w:t>
      </w:r>
      <w:r>
        <w:rPr>
          <w:rFonts w:hint="eastAsia"/>
          <w:color w:val="333333"/>
        </w:rPr>
        <w:t>的中国境内生产的组件成本占比≥</w:t>
      </w:r>
      <w:r>
        <w:rPr>
          <w:rStyle w:val="58"/>
          <w:rFonts w:hint="eastAsia"/>
          <w:color w:val="333333"/>
        </w:rPr>
        <w:t>（规定比例）</w:t>
      </w:r>
      <w:r>
        <w:rPr>
          <w:rFonts w:hint="eastAsia"/>
          <w:color w:val="333333"/>
        </w:rPr>
        <w:t>。</w:t>
      </w:r>
      <w:r>
        <w:rPr>
          <w:rStyle w:val="58"/>
          <w:rFonts w:hint="eastAsia"/>
          <w:color w:val="333333"/>
        </w:rPr>
        <w:t>（产品名称2）</w:t>
      </w:r>
      <w:r>
        <w:rPr>
          <w:rFonts w:hint="eastAsia"/>
          <w:color w:val="333333"/>
        </w:rPr>
        <w:t>的</w:t>
      </w:r>
      <w:r>
        <w:rPr>
          <w:rStyle w:val="58"/>
          <w:rFonts w:hint="eastAsia"/>
          <w:color w:val="333333"/>
        </w:rPr>
        <w:t>（关键组件）</w:t>
      </w:r>
      <w:r>
        <w:rPr>
          <w:rFonts w:hint="eastAsia"/>
          <w:color w:val="333333"/>
        </w:rPr>
        <w:t>在中国境内生产。</w:t>
      </w:r>
      <w:r>
        <w:rPr>
          <w:rStyle w:val="58"/>
          <w:rFonts w:hint="eastAsia"/>
          <w:color w:val="333333"/>
        </w:rPr>
        <w:t>（产品名称2）</w:t>
      </w:r>
      <w:r>
        <w:rPr>
          <w:rFonts w:hint="eastAsia"/>
          <w:color w:val="333333"/>
        </w:rPr>
        <w:t>的</w:t>
      </w:r>
      <w:r>
        <w:rPr>
          <w:rStyle w:val="58"/>
          <w:rFonts w:hint="eastAsia"/>
          <w:color w:val="333333"/>
        </w:rPr>
        <w:t>（关键工序）</w:t>
      </w:r>
      <w:r>
        <w:rPr>
          <w:rFonts w:hint="eastAsia"/>
          <w:color w:val="333333"/>
        </w:rPr>
        <w:t>在中国境内完成。</w:t>
      </w:r>
    </w:p>
    <w:p>
      <w:pPr>
        <w:pStyle w:val="45"/>
        <w:shd w:val="clear" w:color="auto" w:fill="FFFFFF"/>
        <w:spacing w:before="30" w:beforeAutospacing="0" w:after="30" w:afterAutospacing="0"/>
        <w:ind w:firstLine="480"/>
        <w:rPr>
          <w:color w:val="333333"/>
        </w:rPr>
      </w:pPr>
      <w:r>
        <w:rPr>
          <w:rFonts w:hint="eastAsia"/>
          <w:color w:val="333333"/>
        </w:rPr>
        <w:t>……</w:t>
      </w:r>
    </w:p>
    <w:p>
      <w:pPr>
        <w:pStyle w:val="45"/>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5"/>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5"/>
        <w:shd w:val="clear" w:color="auto" w:fill="FFFFFF"/>
        <w:spacing w:before="30" w:beforeAutospacing="0" w:after="30" w:afterAutospacing="0"/>
        <w:ind w:firstLine="480"/>
        <w:jc w:val="right"/>
        <w:rPr>
          <w:color w:val="333333"/>
        </w:rPr>
      </w:pPr>
      <w:r>
        <w:rPr>
          <w:rFonts w:hint="eastAsia"/>
          <w:color w:val="333333"/>
        </w:rPr>
        <w:t>日期：　　　　　年　　月　日    </w:t>
      </w: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ind w:firstLine="480"/>
        <w:rPr>
          <w:color w:val="333333"/>
        </w:rPr>
      </w:pPr>
    </w:p>
    <w:p>
      <w:pPr>
        <w:pStyle w:val="45"/>
        <w:shd w:val="clear" w:color="auto" w:fill="FFFFFF"/>
        <w:spacing w:before="30" w:beforeAutospacing="0" w:after="30" w:afterAutospacing="0"/>
        <w:rPr>
          <w:color w:val="333333"/>
        </w:rPr>
      </w:pPr>
      <w:r>
        <w:rPr>
          <w:rFonts w:hint="eastAsia"/>
          <w:color w:val="333333"/>
        </w:rPr>
        <w:t>_____________________________</w:t>
      </w:r>
    </w:p>
    <w:p>
      <w:pPr>
        <w:pStyle w:val="45"/>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5"/>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5"/>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5"/>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5"/>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61"/>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63" w:name="_Toc218620586"/>
      <w:bookmarkStart w:id="1064" w:name="_Toc203404616"/>
      <w:bookmarkStart w:id="1065" w:name="_Toc209958521"/>
      <w:bookmarkStart w:id="1066" w:name="OLE_LINK187"/>
      <w:bookmarkStart w:id="1067"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5"/>
        <w:shd w:val="clear" w:color="auto" w:fill="FFFFFF"/>
        <w:spacing w:before="0" w:beforeAutospacing="0" w:after="0" w:afterAutospacing="0"/>
        <w:jc w:val="center"/>
        <w:rPr>
          <w:rStyle w:val="55"/>
          <w:color w:val="333333"/>
          <w:sz w:val="36"/>
          <w:szCs w:val="36"/>
        </w:rPr>
      </w:pPr>
      <w:r>
        <w:rPr>
          <w:rStyle w:val="55"/>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5"/>
        <w:shd w:val="clear" w:color="auto" w:fill="FFFFFF"/>
        <w:spacing w:before="75" w:beforeAutospacing="0" w:after="330" w:afterAutospacing="0"/>
        <w:jc w:val="right"/>
        <w:textAlignment w:val="baseline"/>
        <w:rPr>
          <w:color w:val="383838"/>
        </w:rPr>
      </w:pPr>
      <w:r>
        <w:rPr>
          <w:color w:val="383838"/>
        </w:rPr>
        <w:t>财政部</w:t>
      </w:r>
    </w:p>
    <w:p>
      <w:pPr>
        <w:pStyle w:val="45"/>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63"/>
      <w:bookmarkEnd w:id="1064"/>
      <w:bookmarkEnd w:id="1065"/>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5"/>
        <w:shd w:val="clear" w:color="auto" w:fill="FFFFFF"/>
        <w:spacing w:before="0" w:beforeAutospacing="0" w:after="0" w:afterAutospacing="0" w:line="560" w:lineRule="atLeast"/>
        <w:ind w:left="1678" w:hanging="1040"/>
      </w:pPr>
    </w:p>
    <w:p>
      <w:pPr>
        <w:pStyle w:val="45"/>
        <w:shd w:val="clear" w:color="auto" w:fill="FFFFFF"/>
        <w:spacing w:before="0" w:beforeAutospacing="0" w:after="0" w:afterAutospacing="0" w:line="560" w:lineRule="atLeast"/>
        <w:ind w:firstLine="640"/>
        <w:jc w:val="both"/>
      </w:pPr>
      <w:r>
        <w:rPr>
          <w:rStyle w:val="518"/>
          <w:rFonts w:hint="eastAsia"/>
          <w:szCs w:val="32"/>
        </w:rPr>
        <w:t> </w:t>
      </w:r>
    </w:p>
    <w:p>
      <w:pPr>
        <w:pStyle w:val="45"/>
        <w:shd w:val="clear" w:color="auto" w:fill="FFFFFF"/>
        <w:spacing w:before="0" w:beforeAutospacing="0" w:after="0" w:afterAutospacing="0" w:line="560" w:lineRule="atLeast"/>
        <w:ind w:firstLine="5440"/>
        <w:jc w:val="right"/>
      </w:pPr>
      <w:r>
        <w:rPr>
          <w:rStyle w:val="518"/>
        </w:rPr>
        <w:t>市场监管总局</w:t>
      </w:r>
    </w:p>
    <w:p>
      <w:pPr>
        <w:pStyle w:val="45"/>
        <w:shd w:val="clear" w:color="auto" w:fill="FFFFFF"/>
        <w:spacing w:before="0" w:beforeAutospacing="0" w:after="0" w:afterAutospacing="0" w:line="560" w:lineRule="atLeast"/>
        <w:ind w:firstLine="5440"/>
        <w:jc w:val="right"/>
      </w:pPr>
      <w:r>
        <w:t>2023年8月10日</w:t>
      </w:r>
    </w:p>
    <w:p>
      <w:pPr>
        <w:pStyle w:val="45"/>
        <w:shd w:val="clear" w:color="auto" w:fill="FFFFFF"/>
        <w:spacing w:before="0" w:beforeAutospacing="0" w:after="0" w:afterAutospacing="0" w:line="594" w:lineRule="atLeast"/>
      </w:pPr>
      <w:r>
        <w:rPr>
          <w:rStyle w:val="518"/>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1"/>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68" w:name="OLE_LINK212"/>
            <w:bookmarkStart w:id="1069" w:name="OLE_LINK211"/>
            <w:r>
              <w:rPr>
                <w:rFonts w:ascii="宋体" w:hAnsi="宋体"/>
                <w:kern w:val="0"/>
                <w:sz w:val="23"/>
                <w:szCs w:val="23"/>
              </w:rPr>
              <w:t>冷热饮水机</w:t>
            </w:r>
            <w:bookmarkEnd w:id="1068"/>
            <w:bookmarkEnd w:id="1069"/>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5"/>
        <w:shd w:val="clear" w:color="auto" w:fill="FFFFFF"/>
        <w:spacing w:before="0" w:beforeAutospacing="0" w:after="0" w:afterAutospacing="0" w:line="480" w:lineRule="atLeast"/>
        <w:jc w:val="center"/>
      </w:pPr>
    </w:p>
    <w:bookmarkEnd w:id="1066"/>
    <w:bookmarkEnd w:id="1067"/>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C4E074-DFC0-49E9-A709-87F41CCBAE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18CA46F-94E8-4898-B33A-FF498BDA3756}"/>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EAAC8128-E20D-4E61-BC29-8AB1EB6AF2F8}"/>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0000000000000000000"/>
    <w:charset w:val="00"/>
    <w:family w:val="swiss"/>
    <w:pitch w:val="default"/>
    <w:sig w:usb0="00000000" w:usb1="00000000" w:usb2="00000000" w:usb3="00000000" w:csb0="00000001" w:csb1="00000000"/>
  </w:font>
  <w:font w:name="font-weight : 400">
    <w:altName w:val="Noto Sans SC"/>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60005A0D-1221-49C5-B56C-2282B02DF963}"/>
  </w:font>
  <w:font w:name="新宋体">
    <w:panose1 w:val="02010609030101010101"/>
    <w:charset w:val="86"/>
    <w:family w:val="modern"/>
    <w:pitch w:val="default"/>
    <w:sig w:usb0="00000203" w:usb1="288F0000" w:usb2="00000006" w:usb3="00000000" w:csb0="00040001" w:csb1="00000000"/>
    <w:embedRegular r:id="rId5" w:fontKey="{DB55995A-272B-44E4-8328-D66FECBE5A55}"/>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Noto Sans SC">
    <w:panose1 w:val="020B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pPr>
      <w:pStyle w:val="32"/>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sdtPr>
    <w:sdtContent>
      <w:p>
        <w:pPr>
          <w:pStyle w:val="32"/>
          <w:jc w:val="center"/>
        </w:pPr>
        <w:r>
          <w:fldChar w:fldCharType="begin"/>
        </w:r>
        <w:r>
          <w:instrText xml:space="preserve">PAGE   \* MERGEFORMAT</w:instrText>
        </w:r>
        <w:r>
          <w:fldChar w:fldCharType="separate"/>
        </w:r>
        <w:r>
          <w:rPr>
            <w:lang w:val="zh-CN"/>
          </w:rPr>
          <w:t>1</w:t>
        </w:r>
        <w:r>
          <w:fldChar w:fldCharType="end"/>
        </w:r>
      </w:p>
    </w:sdtContent>
  </w:sdt>
  <w:p>
    <w:pPr>
      <w:pStyle w:val="32"/>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sdtPr>
    <w:sdtContent>
      <w:p>
        <w:pPr>
          <w:pStyle w:val="32"/>
          <w:jc w:val="center"/>
        </w:pPr>
        <w:r>
          <w:fldChar w:fldCharType="begin"/>
        </w:r>
        <w:r>
          <w:instrText xml:space="preserve">PAGE   \* MERGEFORMAT</w:instrText>
        </w:r>
        <w:r>
          <w:fldChar w:fldCharType="separate"/>
        </w:r>
        <w:r>
          <w:rPr>
            <w:lang w:val="zh-CN"/>
          </w:rPr>
          <w:t>378</w:t>
        </w:r>
        <w:r>
          <w:fldChar w:fldCharType="end"/>
        </w:r>
      </w:p>
    </w:sdtContent>
  </w:sdt>
  <w:p>
    <w:pPr>
      <w:pStyle w:val="32"/>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1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9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64"/>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1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11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0E230849"/>
    <w:multiLevelType w:val="multilevel"/>
    <w:tmpl w:val="0E230849"/>
    <w:lvl w:ilvl="0" w:tentative="0">
      <w:start w:val="1"/>
      <w:numFmt w:val="decimal"/>
      <w:pStyle w:val="219"/>
      <w:lvlText w:val="%1"/>
      <w:lvlJc w:val="left"/>
      <w:pPr>
        <w:ind w:left="680" w:hanging="680"/>
      </w:pPr>
      <w:rPr>
        <w:rFonts w:hint="eastAsia" w:ascii="宋体" w:hAnsi="宋体" w:eastAsia="宋体"/>
      </w:rPr>
    </w:lvl>
    <w:lvl w:ilvl="1" w:tentative="0">
      <w:start w:val="1"/>
      <w:numFmt w:val="decimal"/>
      <w:pStyle w:val="220"/>
      <w:lvlText w:val="%1.%2"/>
      <w:lvlJc w:val="left"/>
      <w:pPr>
        <w:ind w:left="851" w:hanging="851"/>
      </w:pPr>
      <w:rPr>
        <w:rFonts w:hint="eastAsia" w:ascii="宋体" w:hAnsi="宋体" w:eastAsia="宋体"/>
        <w:color w:val="auto"/>
      </w:rPr>
    </w:lvl>
    <w:lvl w:ilvl="2" w:tentative="0">
      <w:start w:val="1"/>
      <w:numFmt w:val="decimal"/>
      <w:pStyle w:val="221"/>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667154C"/>
    <w:multiLevelType w:val="multilevel"/>
    <w:tmpl w:val="1667154C"/>
    <w:lvl w:ilvl="0" w:tentative="0">
      <w:start w:val="1"/>
      <w:numFmt w:val="decimal"/>
      <w:pStyle w:val="356"/>
      <w:lvlText w:val="%1"/>
      <w:lvlJc w:val="left"/>
      <w:pPr>
        <w:tabs>
          <w:tab w:val="left" w:pos="900"/>
        </w:tabs>
        <w:ind w:left="900" w:hanging="900"/>
      </w:pPr>
      <w:rPr>
        <w:rFonts w:hint="eastAsia"/>
      </w:rPr>
    </w:lvl>
    <w:lvl w:ilvl="1" w:tentative="0">
      <w:start w:val="1"/>
      <w:numFmt w:val="decimal"/>
      <w:pStyle w:val="355"/>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7"/>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5">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7">
    <w:nsid w:val="59F6D0D3"/>
    <w:multiLevelType w:val="singleLevel"/>
    <w:tmpl w:val="59F6D0D3"/>
    <w:lvl w:ilvl="0" w:tentative="0">
      <w:start w:val="1"/>
      <w:numFmt w:val="chineseCounting"/>
      <w:suff w:val="nothing"/>
      <w:lvlText w:val="%1、"/>
      <w:lvlJc w:val="left"/>
    </w:lvl>
  </w:abstractNum>
  <w:abstractNum w:abstractNumId="18">
    <w:nsid w:val="6D3B2244"/>
    <w:multiLevelType w:val="singleLevel"/>
    <w:tmpl w:val="6D3B2244"/>
    <w:lvl w:ilvl="0" w:tentative="0">
      <w:start w:val="5"/>
      <w:numFmt w:val="decimal"/>
      <w:suff w:val="nothing"/>
      <w:lvlText w:val="%1．"/>
      <w:lvlJc w:val="left"/>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12"/>
  </w:num>
  <w:num w:numId="9">
    <w:abstractNumId w:val="6"/>
  </w:num>
  <w:num w:numId="10">
    <w:abstractNumId w:val="14"/>
  </w:num>
  <w:num w:numId="11">
    <w:abstractNumId w:val="0"/>
  </w:num>
  <w:num w:numId="12">
    <w:abstractNumId w:val="15"/>
  </w:num>
  <w:num w:numId="13">
    <w:abstractNumId w:val="10"/>
  </w:num>
  <w:num w:numId="14">
    <w:abstractNumId w:val="11"/>
  </w:num>
  <w:num w:numId="15">
    <w:abstractNumId w:val="18"/>
  </w:num>
  <w:num w:numId="16">
    <w:abstractNumId w:val="13"/>
  </w:num>
  <w:num w:numId="17">
    <w:abstractNumId w:val="16"/>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movePersonalInformation/>
  <w:embedTrueTypeFonts/>
  <w:saveSubsetFonts/>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684"/>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4F2A"/>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77D"/>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BE0"/>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31"/>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C49"/>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2"/>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AB"/>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A12"/>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69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D49"/>
    <w:rsid w:val="001F1E70"/>
    <w:rsid w:val="001F2402"/>
    <w:rsid w:val="001F28AA"/>
    <w:rsid w:val="001F2AB7"/>
    <w:rsid w:val="001F2D4E"/>
    <w:rsid w:val="001F3246"/>
    <w:rsid w:val="001F3530"/>
    <w:rsid w:val="001F3673"/>
    <w:rsid w:val="001F36AF"/>
    <w:rsid w:val="001F385D"/>
    <w:rsid w:val="001F3955"/>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3B2"/>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04E"/>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0CE"/>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1A8"/>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57FDE"/>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095"/>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0CF"/>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962"/>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8DA"/>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D5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6B7"/>
    <w:rsid w:val="005C4719"/>
    <w:rsid w:val="005C4A16"/>
    <w:rsid w:val="005C4A32"/>
    <w:rsid w:val="005C4B7B"/>
    <w:rsid w:val="005C4BC1"/>
    <w:rsid w:val="005C4D3D"/>
    <w:rsid w:val="005C54D3"/>
    <w:rsid w:val="005C5540"/>
    <w:rsid w:val="005C5719"/>
    <w:rsid w:val="005C5911"/>
    <w:rsid w:val="005C5944"/>
    <w:rsid w:val="005C5A89"/>
    <w:rsid w:val="005C5B2A"/>
    <w:rsid w:val="005C5CC2"/>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73F"/>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989"/>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2C"/>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CD3"/>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1DB7"/>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2A"/>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8F3"/>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6C6"/>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5D5"/>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1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767"/>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4AA"/>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B3F"/>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073"/>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76D"/>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50"/>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78B"/>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E2F"/>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AAC"/>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E2A"/>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511"/>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088"/>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8F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4B9"/>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557DD1"/>
    <w:rsid w:val="01604217"/>
    <w:rsid w:val="01FA5805"/>
    <w:rsid w:val="02736662"/>
    <w:rsid w:val="02A84D69"/>
    <w:rsid w:val="02CF7A3A"/>
    <w:rsid w:val="0470002E"/>
    <w:rsid w:val="04B360C1"/>
    <w:rsid w:val="0613161F"/>
    <w:rsid w:val="06CB35C4"/>
    <w:rsid w:val="077D4340"/>
    <w:rsid w:val="07A47FA9"/>
    <w:rsid w:val="07B02DFC"/>
    <w:rsid w:val="09B86599"/>
    <w:rsid w:val="0A8D315C"/>
    <w:rsid w:val="0ACF27DA"/>
    <w:rsid w:val="0B401717"/>
    <w:rsid w:val="0B660C1A"/>
    <w:rsid w:val="0BE65DF4"/>
    <w:rsid w:val="0BE86EEE"/>
    <w:rsid w:val="0CDF2F6F"/>
    <w:rsid w:val="0D480CF4"/>
    <w:rsid w:val="0DC900F6"/>
    <w:rsid w:val="0FAA561B"/>
    <w:rsid w:val="0FDF5034"/>
    <w:rsid w:val="12CB18A0"/>
    <w:rsid w:val="13B96E17"/>
    <w:rsid w:val="13D051BB"/>
    <w:rsid w:val="14243948"/>
    <w:rsid w:val="142D7C09"/>
    <w:rsid w:val="14870AD5"/>
    <w:rsid w:val="14933A29"/>
    <w:rsid w:val="16125DAF"/>
    <w:rsid w:val="1701199D"/>
    <w:rsid w:val="1712445D"/>
    <w:rsid w:val="17F93E0B"/>
    <w:rsid w:val="1A9058A9"/>
    <w:rsid w:val="1AB01F69"/>
    <w:rsid w:val="1B5A57C5"/>
    <w:rsid w:val="1B83366B"/>
    <w:rsid w:val="1C455CA5"/>
    <w:rsid w:val="1C675A41"/>
    <w:rsid w:val="1D2C69D2"/>
    <w:rsid w:val="1DBB18AB"/>
    <w:rsid w:val="1EAA1060"/>
    <w:rsid w:val="1EB32C36"/>
    <w:rsid w:val="2039750C"/>
    <w:rsid w:val="21637D6D"/>
    <w:rsid w:val="21A319E8"/>
    <w:rsid w:val="22C57048"/>
    <w:rsid w:val="239E00B4"/>
    <w:rsid w:val="23BE3576"/>
    <w:rsid w:val="243B2FEE"/>
    <w:rsid w:val="250C37AD"/>
    <w:rsid w:val="251E74A4"/>
    <w:rsid w:val="25C3437A"/>
    <w:rsid w:val="25E15AE3"/>
    <w:rsid w:val="26A42060"/>
    <w:rsid w:val="273A295D"/>
    <w:rsid w:val="27843CE5"/>
    <w:rsid w:val="27C65076"/>
    <w:rsid w:val="28235435"/>
    <w:rsid w:val="28470060"/>
    <w:rsid w:val="286F6F91"/>
    <w:rsid w:val="28FC3596"/>
    <w:rsid w:val="29AA30DA"/>
    <w:rsid w:val="2AA36589"/>
    <w:rsid w:val="2B296CDD"/>
    <w:rsid w:val="2B5B5B5C"/>
    <w:rsid w:val="2BEDCB12"/>
    <w:rsid w:val="2C4810FA"/>
    <w:rsid w:val="2D2C76B3"/>
    <w:rsid w:val="2E8A26F1"/>
    <w:rsid w:val="2ECC1C8B"/>
    <w:rsid w:val="2EDE27BE"/>
    <w:rsid w:val="2F1B45D7"/>
    <w:rsid w:val="2FAA6ECD"/>
    <w:rsid w:val="2FCB5706"/>
    <w:rsid w:val="2FCD06EB"/>
    <w:rsid w:val="30784803"/>
    <w:rsid w:val="30DA198B"/>
    <w:rsid w:val="31BA0043"/>
    <w:rsid w:val="32152698"/>
    <w:rsid w:val="329C56D5"/>
    <w:rsid w:val="32C11E4B"/>
    <w:rsid w:val="32CD354C"/>
    <w:rsid w:val="32EB653A"/>
    <w:rsid w:val="36674365"/>
    <w:rsid w:val="36FA338C"/>
    <w:rsid w:val="37103BA1"/>
    <w:rsid w:val="37EDF4F5"/>
    <w:rsid w:val="397523E2"/>
    <w:rsid w:val="3BCB6780"/>
    <w:rsid w:val="3BDA58E1"/>
    <w:rsid w:val="3C9D5E15"/>
    <w:rsid w:val="3DB75AD1"/>
    <w:rsid w:val="3DFFB930"/>
    <w:rsid w:val="3EEB66BF"/>
    <w:rsid w:val="3F982986"/>
    <w:rsid w:val="3FDEA7DB"/>
    <w:rsid w:val="3FFBE3E2"/>
    <w:rsid w:val="411A73CB"/>
    <w:rsid w:val="41762B1F"/>
    <w:rsid w:val="41DE2346"/>
    <w:rsid w:val="42CD0A98"/>
    <w:rsid w:val="42FA3861"/>
    <w:rsid w:val="42FB203E"/>
    <w:rsid w:val="431A0C09"/>
    <w:rsid w:val="44B903DB"/>
    <w:rsid w:val="45556501"/>
    <w:rsid w:val="46CC15CD"/>
    <w:rsid w:val="472C6CEC"/>
    <w:rsid w:val="47E2567D"/>
    <w:rsid w:val="480E2158"/>
    <w:rsid w:val="480F57AF"/>
    <w:rsid w:val="48233A15"/>
    <w:rsid w:val="492312D0"/>
    <w:rsid w:val="49286AB2"/>
    <w:rsid w:val="496A6DE7"/>
    <w:rsid w:val="4B3A7DC7"/>
    <w:rsid w:val="4B65373A"/>
    <w:rsid w:val="4B8D6483"/>
    <w:rsid w:val="4CEB48AD"/>
    <w:rsid w:val="4D00163A"/>
    <w:rsid w:val="4D6E0833"/>
    <w:rsid w:val="4F0F5BE3"/>
    <w:rsid w:val="4F2103FD"/>
    <w:rsid w:val="4F48437E"/>
    <w:rsid w:val="4F4DDC4D"/>
    <w:rsid w:val="5070230F"/>
    <w:rsid w:val="514D1A43"/>
    <w:rsid w:val="51596183"/>
    <w:rsid w:val="5233158F"/>
    <w:rsid w:val="52422029"/>
    <w:rsid w:val="52E87329"/>
    <w:rsid w:val="52FC7DC9"/>
    <w:rsid w:val="53215482"/>
    <w:rsid w:val="53940FBE"/>
    <w:rsid w:val="54D90AD4"/>
    <w:rsid w:val="54FA65FB"/>
    <w:rsid w:val="55040901"/>
    <w:rsid w:val="55A81B98"/>
    <w:rsid w:val="55E528CE"/>
    <w:rsid w:val="55F02DB1"/>
    <w:rsid w:val="56861391"/>
    <w:rsid w:val="56DF05DE"/>
    <w:rsid w:val="56F70118"/>
    <w:rsid w:val="57BD69DA"/>
    <w:rsid w:val="57FC6189"/>
    <w:rsid w:val="59D70523"/>
    <w:rsid w:val="59EF0258"/>
    <w:rsid w:val="59F40D00"/>
    <w:rsid w:val="5B54551A"/>
    <w:rsid w:val="5B963C9D"/>
    <w:rsid w:val="5BBA5184"/>
    <w:rsid w:val="5C226CF3"/>
    <w:rsid w:val="5C9F091B"/>
    <w:rsid w:val="5CA22D1D"/>
    <w:rsid w:val="5D7A51F0"/>
    <w:rsid w:val="5EFE417B"/>
    <w:rsid w:val="5F073306"/>
    <w:rsid w:val="5F1D1F5A"/>
    <w:rsid w:val="5F56244B"/>
    <w:rsid w:val="5F5F73B9"/>
    <w:rsid w:val="5F9252D0"/>
    <w:rsid w:val="5FFFD8C0"/>
    <w:rsid w:val="600B02EA"/>
    <w:rsid w:val="60196513"/>
    <w:rsid w:val="619260ED"/>
    <w:rsid w:val="61CD7630"/>
    <w:rsid w:val="62861287"/>
    <w:rsid w:val="63795759"/>
    <w:rsid w:val="64BFAF20"/>
    <w:rsid w:val="656E5C27"/>
    <w:rsid w:val="65C74899"/>
    <w:rsid w:val="65E7D84C"/>
    <w:rsid w:val="660E3674"/>
    <w:rsid w:val="6637C928"/>
    <w:rsid w:val="677019ED"/>
    <w:rsid w:val="67804151"/>
    <w:rsid w:val="6838144E"/>
    <w:rsid w:val="686719DE"/>
    <w:rsid w:val="686B2462"/>
    <w:rsid w:val="68736ED0"/>
    <w:rsid w:val="68AA7398"/>
    <w:rsid w:val="697A7B43"/>
    <w:rsid w:val="6AA0644F"/>
    <w:rsid w:val="6AB5580B"/>
    <w:rsid w:val="6ACE312D"/>
    <w:rsid w:val="6B3B6738"/>
    <w:rsid w:val="6BA20565"/>
    <w:rsid w:val="6BDD4D3C"/>
    <w:rsid w:val="6CDF0224"/>
    <w:rsid w:val="6D405B9F"/>
    <w:rsid w:val="6E1753FD"/>
    <w:rsid w:val="6EF5249C"/>
    <w:rsid w:val="6F3EF8F4"/>
    <w:rsid w:val="6F97D24A"/>
    <w:rsid w:val="7054013A"/>
    <w:rsid w:val="70775925"/>
    <w:rsid w:val="71895C77"/>
    <w:rsid w:val="71CF3736"/>
    <w:rsid w:val="71E909FE"/>
    <w:rsid w:val="724910AC"/>
    <w:rsid w:val="72B15C5A"/>
    <w:rsid w:val="742C597A"/>
    <w:rsid w:val="7499002B"/>
    <w:rsid w:val="74EC1C1E"/>
    <w:rsid w:val="75297821"/>
    <w:rsid w:val="75906307"/>
    <w:rsid w:val="75B5A293"/>
    <w:rsid w:val="762D089E"/>
    <w:rsid w:val="76443AB5"/>
    <w:rsid w:val="77407BB6"/>
    <w:rsid w:val="77735706"/>
    <w:rsid w:val="77BE7064"/>
    <w:rsid w:val="77EB940F"/>
    <w:rsid w:val="77FE53E9"/>
    <w:rsid w:val="77FFD178"/>
    <w:rsid w:val="786579EC"/>
    <w:rsid w:val="78BE65B5"/>
    <w:rsid w:val="7AF73C51"/>
    <w:rsid w:val="7B7F2F1D"/>
    <w:rsid w:val="7BC506FF"/>
    <w:rsid w:val="7BDBDEEB"/>
    <w:rsid w:val="7BFCFFC7"/>
    <w:rsid w:val="7DF3DCD2"/>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5"/>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7"/>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68"/>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69"/>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0"/>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1"/>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2"/>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3"/>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4">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4"/>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6"/>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5"/>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Document Map"/>
    <w:basedOn w:val="1"/>
    <w:link w:val="74"/>
    <w:autoRedefine/>
    <w:qFormat/>
    <w:uiPriority w:val="99"/>
    <w:pPr>
      <w:shd w:val="clear" w:color="auto" w:fill="000080"/>
    </w:pPr>
  </w:style>
  <w:style w:type="paragraph" w:styleId="18">
    <w:name w:val="annotation text"/>
    <w:basedOn w:val="1"/>
    <w:link w:val="75"/>
    <w:autoRedefine/>
    <w:qFormat/>
    <w:uiPriority w:val="99"/>
    <w:pPr>
      <w:jc w:val="left"/>
    </w:pPr>
  </w:style>
  <w:style w:type="paragraph" w:styleId="19">
    <w:name w:val="Body Text 3"/>
    <w:basedOn w:val="1"/>
    <w:link w:val="76"/>
    <w:autoRedefine/>
    <w:qFormat/>
    <w:uiPriority w:val="99"/>
    <w:pPr>
      <w:spacing w:after="120"/>
    </w:pPr>
    <w:rPr>
      <w:sz w:val="16"/>
      <w:szCs w:val="16"/>
    </w:rPr>
  </w:style>
  <w:style w:type="paragraph" w:styleId="20">
    <w:name w:val="Body Text"/>
    <w:basedOn w:val="1"/>
    <w:next w:val="1"/>
    <w:link w:val="77"/>
    <w:autoRedefine/>
    <w:qFormat/>
    <w:uiPriority w:val="99"/>
    <w:pPr>
      <w:tabs>
        <w:tab w:val="left" w:pos="567"/>
      </w:tabs>
      <w:spacing w:before="120" w:line="22" w:lineRule="atLeast"/>
    </w:pPr>
    <w:rPr>
      <w:rFonts w:ascii="宋体" w:hAnsi="宋体"/>
      <w:sz w:val="24"/>
    </w:rPr>
  </w:style>
  <w:style w:type="paragraph" w:styleId="21">
    <w:name w:val="Body Text Indent"/>
    <w:basedOn w:val="1"/>
    <w:link w:val="78"/>
    <w:autoRedefine/>
    <w:qFormat/>
    <w:uiPriority w:val="99"/>
    <w:pPr>
      <w:spacing w:line="360" w:lineRule="auto"/>
      <w:ind w:firstLine="570"/>
    </w:pPr>
    <w:rPr>
      <w:sz w:val="24"/>
    </w:rPr>
  </w:style>
  <w:style w:type="paragraph" w:styleId="22">
    <w:name w:val="List 2"/>
    <w:basedOn w:val="1"/>
    <w:autoRedefine/>
    <w:qFormat/>
    <w:uiPriority w:val="99"/>
    <w:pPr>
      <w:ind w:left="100" w:leftChars="200" w:hanging="200" w:hangingChars="200"/>
    </w:pPr>
  </w:style>
  <w:style w:type="paragraph" w:styleId="23">
    <w:name w:val="Block Text"/>
    <w:basedOn w:val="1"/>
    <w:autoRedefine/>
    <w:qFormat/>
    <w:uiPriority w:val="99"/>
    <w:pPr>
      <w:widowControl/>
      <w:ind w:left="480" w:right="-341" w:firstLine="513"/>
    </w:pPr>
    <w:rPr>
      <w:kern w:val="0"/>
      <w:sz w:val="24"/>
      <w:szCs w:val="20"/>
    </w:rPr>
  </w:style>
  <w:style w:type="paragraph" w:styleId="24">
    <w:name w:val="index 4"/>
    <w:basedOn w:val="1"/>
    <w:next w:val="1"/>
    <w:autoRedefine/>
    <w:unhideWhenUsed/>
    <w:qFormat/>
    <w:uiPriority w:val="99"/>
    <w:pPr>
      <w:ind w:left="600" w:leftChars="600"/>
    </w:pPr>
  </w:style>
  <w:style w:type="paragraph" w:styleId="25">
    <w:name w:val="toc 5"/>
    <w:basedOn w:val="1"/>
    <w:next w:val="1"/>
    <w:autoRedefine/>
    <w:qFormat/>
    <w:uiPriority w:val="99"/>
    <w:pPr>
      <w:ind w:left="1680" w:leftChars="800"/>
    </w:pPr>
  </w:style>
  <w:style w:type="paragraph" w:styleId="26">
    <w:name w:val="toc 3"/>
    <w:basedOn w:val="1"/>
    <w:next w:val="1"/>
    <w:autoRedefine/>
    <w:qFormat/>
    <w:uiPriority w:val="99"/>
    <w:pPr>
      <w:ind w:left="840" w:leftChars="400"/>
    </w:pPr>
  </w:style>
  <w:style w:type="paragraph" w:styleId="27">
    <w:name w:val="Plain Text"/>
    <w:basedOn w:val="1"/>
    <w:link w:val="79"/>
    <w:autoRedefine/>
    <w:qFormat/>
    <w:uiPriority w:val="99"/>
    <w:rPr>
      <w:rFonts w:hint="eastAsia" w:ascii="宋体" w:hAnsi="Courier New"/>
      <w:szCs w:val="20"/>
    </w:rPr>
  </w:style>
  <w:style w:type="paragraph" w:styleId="28">
    <w:name w:val="toc 8"/>
    <w:basedOn w:val="1"/>
    <w:next w:val="1"/>
    <w:autoRedefine/>
    <w:qFormat/>
    <w:uiPriority w:val="99"/>
    <w:pPr>
      <w:ind w:left="2940" w:leftChars="1400"/>
    </w:pPr>
  </w:style>
  <w:style w:type="paragraph" w:styleId="29">
    <w:name w:val="Date"/>
    <w:basedOn w:val="1"/>
    <w:next w:val="1"/>
    <w:link w:val="80"/>
    <w:autoRedefine/>
    <w:qFormat/>
    <w:uiPriority w:val="99"/>
    <w:pPr>
      <w:ind w:left="100" w:leftChars="2500"/>
    </w:pPr>
    <w:rPr>
      <w:rFonts w:ascii="仿宋_GB2312" w:hAnsi="宋体" w:eastAsia="仿宋_GB2312"/>
      <w:color w:val="000000"/>
      <w:sz w:val="24"/>
    </w:rPr>
  </w:style>
  <w:style w:type="paragraph" w:styleId="30">
    <w:name w:val="Body Text Indent 2"/>
    <w:basedOn w:val="1"/>
    <w:link w:val="81"/>
    <w:autoRedefine/>
    <w:qFormat/>
    <w:uiPriority w:val="99"/>
    <w:pPr>
      <w:ind w:firstLine="480" w:firstLineChars="200"/>
    </w:pPr>
    <w:rPr>
      <w:rFonts w:ascii="仿宋_GB2312" w:eastAsia="仿宋_GB2312"/>
      <w:sz w:val="24"/>
    </w:rPr>
  </w:style>
  <w:style w:type="paragraph" w:styleId="31">
    <w:name w:val="Balloon Text"/>
    <w:basedOn w:val="1"/>
    <w:link w:val="82"/>
    <w:autoRedefine/>
    <w:qFormat/>
    <w:uiPriority w:val="99"/>
    <w:rPr>
      <w:sz w:val="18"/>
      <w:szCs w:val="18"/>
    </w:rPr>
  </w:style>
  <w:style w:type="paragraph" w:styleId="32">
    <w:name w:val="footer"/>
    <w:basedOn w:val="1"/>
    <w:link w:val="83"/>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3">
    <w:name w:val="header"/>
    <w:basedOn w:val="1"/>
    <w:link w:val="84"/>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autoRedefine/>
    <w:qFormat/>
    <w:uiPriority w:val="99"/>
    <w:pPr>
      <w:ind w:left="1260" w:leftChars="600"/>
    </w:pPr>
  </w:style>
  <w:style w:type="paragraph" w:styleId="36">
    <w:name w:val="Subtitle"/>
    <w:basedOn w:val="1"/>
    <w:next w:val="1"/>
    <w:link w:val="415"/>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7">
    <w:name w:val="footnote text"/>
    <w:basedOn w:val="1"/>
    <w:link w:val="266"/>
    <w:autoRedefine/>
    <w:unhideWhenUsed/>
    <w:qFormat/>
    <w:uiPriority w:val="99"/>
    <w:pPr>
      <w:adjustRightInd w:val="0"/>
      <w:spacing w:line="312" w:lineRule="atLeast"/>
      <w:jc w:val="left"/>
    </w:pPr>
    <w:rPr>
      <w:kern w:val="0"/>
      <w:sz w:val="18"/>
      <w:szCs w:val="20"/>
      <w:lang w:val="zh-CN"/>
    </w:rPr>
  </w:style>
  <w:style w:type="paragraph" w:styleId="38">
    <w:name w:val="toc 6"/>
    <w:basedOn w:val="1"/>
    <w:next w:val="1"/>
    <w:autoRedefine/>
    <w:qFormat/>
    <w:uiPriority w:val="99"/>
    <w:pPr>
      <w:ind w:left="2100" w:leftChars="1000"/>
    </w:pPr>
  </w:style>
  <w:style w:type="paragraph" w:styleId="39">
    <w:name w:val="Body Text Indent 3"/>
    <w:basedOn w:val="1"/>
    <w:link w:val="85"/>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0">
    <w:name w:val="table of figures"/>
    <w:basedOn w:val="1"/>
    <w:next w:val="1"/>
    <w:autoRedefine/>
    <w:unhideWhenUsed/>
    <w:qFormat/>
    <w:uiPriority w:val="99"/>
    <w:pPr>
      <w:ind w:left="840" w:hanging="420"/>
    </w:pPr>
    <w:rPr>
      <w:szCs w:val="20"/>
    </w:rPr>
  </w:style>
  <w:style w:type="paragraph" w:styleId="41">
    <w:name w:val="toc 2"/>
    <w:basedOn w:val="1"/>
    <w:next w:val="1"/>
    <w:autoRedefine/>
    <w:qFormat/>
    <w:uiPriority w:val="99"/>
    <w:pPr>
      <w:tabs>
        <w:tab w:val="right" w:leader="dot" w:pos="8937"/>
      </w:tabs>
      <w:spacing w:line="312" w:lineRule="auto"/>
      <w:ind w:left="420" w:leftChars="200"/>
    </w:pPr>
  </w:style>
  <w:style w:type="paragraph" w:styleId="42">
    <w:name w:val="toc 9"/>
    <w:basedOn w:val="1"/>
    <w:next w:val="1"/>
    <w:autoRedefine/>
    <w:qFormat/>
    <w:uiPriority w:val="99"/>
    <w:pPr>
      <w:ind w:left="3360" w:leftChars="1600"/>
    </w:pPr>
  </w:style>
  <w:style w:type="paragraph" w:styleId="43">
    <w:name w:val="Body Text 2"/>
    <w:basedOn w:val="1"/>
    <w:link w:val="267"/>
    <w:autoRedefine/>
    <w:unhideWhenUsed/>
    <w:qFormat/>
    <w:uiPriority w:val="99"/>
    <w:pPr>
      <w:adjustRightInd w:val="0"/>
      <w:spacing w:line="360" w:lineRule="atLeast"/>
    </w:pPr>
    <w:rPr>
      <w:rFonts w:ascii="宋体" w:hAnsi="宋体"/>
      <w:kern w:val="0"/>
      <w:sz w:val="24"/>
      <w:u w:val="single"/>
      <w:lang w:val="zh-CN"/>
    </w:rPr>
  </w:style>
  <w:style w:type="paragraph" w:styleId="44">
    <w:name w:val="HTML Preformatted"/>
    <w:basedOn w:val="1"/>
    <w:link w:val="8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link w:val="262"/>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rPr>
      <w:szCs w:val="20"/>
    </w:rPr>
  </w:style>
  <w:style w:type="paragraph" w:styleId="47">
    <w:name w:val="Title"/>
    <w:basedOn w:val="1"/>
    <w:link w:val="87"/>
    <w:autoRedefine/>
    <w:qFormat/>
    <w:uiPriority w:val="99"/>
    <w:pPr>
      <w:jc w:val="center"/>
      <w:outlineLvl w:val="0"/>
    </w:pPr>
    <w:rPr>
      <w:b/>
      <w:sz w:val="32"/>
      <w:szCs w:val="20"/>
    </w:rPr>
  </w:style>
  <w:style w:type="paragraph" w:styleId="48">
    <w:name w:val="annotation subject"/>
    <w:basedOn w:val="18"/>
    <w:next w:val="18"/>
    <w:link w:val="88"/>
    <w:autoRedefine/>
    <w:qFormat/>
    <w:uiPriority w:val="99"/>
    <w:rPr>
      <w:b/>
      <w:bCs/>
    </w:rPr>
  </w:style>
  <w:style w:type="paragraph" w:styleId="49">
    <w:name w:val="Body Text First Indent"/>
    <w:basedOn w:val="20"/>
    <w:link w:val="269"/>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0">
    <w:name w:val="Body Text First Indent 2"/>
    <w:basedOn w:val="21"/>
    <w:link w:val="89"/>
    <w:autoRedefine/>
    <w:qFormat/>
    <w:uiPriority w:val="99"/>
    <w:pPr>
      <w:spacing w:after="120" w:line="480" w:lineRule="exact"/>
      <w:ind w:left="420" w:leftChars="200" w:firstLine="420" w:firstLineChars="200"/>
    </w:pPr>
    <w:rPr>
      <w:szCs w:val="20"/>
    </w:rPr>
  </w:style>
  <w:style w:type="table" w:styleId="52">
    <w:name w:val="Table Grid"/>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3">
    <w:name w:val="Medium Grid 1 Accent 2"/>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5">
    <w:name w:val="Strong"/>
    <w:autoRedefine/>
    <w:qFormat/>
    <w:uiPriority w:val="22"/>
    <w:rPr>
      <w:b/>
      <w:bCs/>
    </w:rPr>
  </w:style>
  <w:style w:type="character" w:styleId="56">
    <w:name w:val="page number"/>
    <w:autoRedefine/>
    <w:qFormat/>
    <w:uiPriority w:val="0"/>
  </w:style>
  <w:style w:type="character" w:styleId="57">
    <w:name w:val="FollowedHyperlink"/>
    <w:autoRedefine/>
    <w:qFormat/>
    <w:uiPriority w:val="99"/>
    <w:rPr>
      <w:color w:val="800080"/>
      <w:u w:val="single"/>
    </w:rPr>
  </w:style>
  <w:style w:type="character" w:styleId="58">
    <w:name w:val="Emphasis"/>
    <w:autoRedefine/>
    <w:qFormat/>
    <w:uiPriority w:val="20"/>
    <w:rPr>
      <w:color w:val="CC0033"/>
    </w:rPr>
  </w:style>
  <w:style w:type="character" w:styleId="59">
    <w:name w:val="Hyperlink"/>
    <w:autoRedefine/>
    <w:qFormat/>
    <w:uiPriority w:val="99"/>
    <w:rPr>
      <w:color w:val="0000FF"/>
      <w:u w:val="single"/>
    </w:rPr>
  </w:style>
  <w:style w:type="character" w:styleId="60">
    <w:name w:val="annotation reference"/>
    <w:autoRedefine/>
    <w:qFormat/>
    <w:uiPriority w:val="99"/>
    <w:rPr>
      <w:sz w:val="21"/>
      <w:szCs w:val="21"/>
    </w:rPr>
  </w:style>
  <w:style w:type="character" w:styleId="61">
    <w:name w:val="HTML Cite"/>
    <w:autoRedefine/>
    <w:qFormat/>
    <w:uiPriority w:val="0"/>
    <w:rPr>
      <w:i/>
      <w:iCs/>
    </w:rPr>
  </w:style>
  <w:style w:type="character" w:styleId="62">
    <w:name w:val="footnote reference"/>
    <w:autoRedefine/>
    <w:unhideWhenUsed/>
    <w:qFormat/>
    <w:uiPriority w:val="0"/>
    <w:rPr>
      <w:vertAlign w:val="superscript"/>
    </w:rPr>
  </w:style>
  <w:style w:type="character" w:customStyle="1" w:styleId="63">
    <w:name w:val="标题 2 字符"/>
    <w:autoRedefine/>
    <w:qFormat/>
    <w:locked/>
    <w:uiPriority w:val="0"/>
    <w:rPr>
      <w:rFonts w:hint="default" w:ascii="Arial" w:hAnsi="Arial" w:eastAsia="宋体" w:cs="Arial"/>
      <w:sz w:val="28"/>
      <w:lang w:val="zh-CN" w:eastAsia="zh-CN"/>
    </w:rPr>
  </w:style>
  <w:style w:type="character" w:customStyle="1" w:styleId="64">
    <w:name w:val="标题 1 字符1"/>
    <w:link w:val="3"/>
    <w:autoRedefine/>
    <w:qFormat/>
    <w:uiPriority w:val="0"/>
    <w:rPr>
      <w:rFonts w:ascii="宋体"/>
      <w:b/>
      <w:kern w:val="44"/>
      <w:sz w:val="32"/>
    </w:rPr>
  </w:style>
  <w:style w:type="character" w:customStyle="1" w:styleId="65">
    <w:name w:val="标题 2 字符1"/>
    <w:link w:val="4"/>
    <w:autoRedefine/>
    <w:qFormat/>
    <w:uiPriority w:val="0"/>
    <w:rPr>
      <w:rFonts w:ascii="Arial" w:hAnsi="Arial" w:eastAsia="黑体"/>
      <w:b/>
      <w:sz w:val="30"/>
      <w:lang w:val="en-US" w:eastAsia="zh-CN" w:bidi="ar-SA"/>
    </w:rPr>
  </w:style>
  <w:style w:type="character" w:customStyle="1" w:styleId="66">
    <w:name w:val="正文缩进 字符3"/>
    <w:link w:val="5"/>
    <w:autoRedefine/>
    <w:qFormat/>
    <w:uiPriority w:val="0"/>
    <w:rPr>
      <w:rFonts w:ascii="宋体" w:eastAsia="宋体"/>
      <w:kern w:val="2"/>
      <w:sz w:val="24"/>
      <w:szCs w:val="24"/>
      <w:lang w:val="en-US" w:eastAsia="zh-CN" w:bidi="ar-SA"/>
    </w:rPr>
  </w:style>
  <w:style w:type="character" w:customStyle="1" w:styleId="67">
    <w:name w:val="标题 3 字符2"/>
    <w:link w:val="6"/>
    <w:autoRedefine/>
    <w:qFormat/>
    <w:uiPriority w:val="9"/>
    <w:rPr>
      <w:rFonts w:ascii="宋体" w:eastAsia="宋体"/>
      <w:b/>
      <w:sz w:val="24"/>
      <w:u w:val="single"/>
      <w:lang w:val="en-US" w:eastAsia="zh-CN" w:bidi="ar-SA"/>
    </w:rPr>
  </w:style>
  <w:style w:type="character" w:customStyle="1" w:styleId="68">
    <w:name w:val="标题 4 字符1"/>
    <w:link w:val="7"/>
    <w:autoRedefine/>
    <w:qFormat/>
    <w:uiPriority w:val="0"/>
    <w:rPr>
      <w:rFonts w:ascii="Arial" w:hAnsi="Arial" w:eastAsia="黑体"/>
      <w:b/>
      <w:sz w:val="28"/>
    </w:rPr>
  </w:style>
  <w:style w:type="character" w:customStyle="1" w:styleId="69">
    <w:name w:val="标题 5 字符1"/>
    <w:link w:val="8"/>
    <w:autoRedefine/>
    <w:qFormat/>
    <w:uiPriority w:val="0"/>
    <w:rPr>
      <w:b/>
      <w:sz w:val="28"/>
    </w:rPr>
  </w:style>
  <w:style w:type="character" w:customStyle="1" w:styleId="70">
    <w:name w:val="标题 6 字符1"/>
    <w:link w:val="9"/>
    <w:autoRedefine/>
    <w:qFormat/>
    <w:uiPriority w:val="0"/>
    <w:rPr>
      <w:rFonts w:ascii="Arial" w:hAnsi="Arial" w:eastAsia="黑体"/>
      <w:b/>
      <w:sz w:val="24"/>
    </w:rPr>
  </w:style>
  <w:style w:type="character" w:customStyle="1" w:styleId="71">
    <w:name w:val="标题 7 字符1"/>
    <w:link w:val="10"/>
    <w:autoRedefine/>
    <w:qFormat/>
    <w:uiPriority w:val="0"/>
    <w:rPr>
      <w:b/>
      <w:sz w:val="24"/>
    </w:rPr>
  </w:style>
  <w:style w:type="character" w:customStyle="1" w:styleId="72">
    <w:name w:val="标题 8 字符1"/>
    <w:link w:val="11"/>
    <w:autoRedefine/>
    <w:qFormat/>
    <w:uiPriority w:val="0"/>
    <w:rPr>
      <w:rFonts w:ascii="Arial" w:hAnsi="Arial" w:eastAsia="黑体"/>
      <w:sz w:val="24"/>
    </w:rPr>
  </w:style>
  <w:style w:type="character" w:customStyle="1" w:styleId="73">
    <w:name w:val="标题 9 字符1"/>
    <w:link w:val="12"/>
    <w:autoRedefine/>
    <w:qFormat/>
    <w:uiPriority w:val="0"/>
    <w:rPr>
      <w:rFonts w:ascii="Arial" w:hAnsi="Arial" w:eastAsia="黑体"/>
      <w:sz w:val="21"/>
    </w:rPr>
  </w:style>
  <w:style w:type="character" w:customStyle="1" w:styleId="74">
    <w:name w:val="文档结构图 字符1"/>
    <w:link w:val="17"/>
    <w:autoRedefine/>
    <w:qFormat/>
    <w:uiPriority w:val="0"/>
    <w:rPr>
      <w:kern w:val="2"/>
      <w:sz w:val="21"/>
      <w:szCs w:val="24"/>
      <w:shd w:val="clear" w:color="auto" w:fill="000080"/>
    </w:rPr>
  </w:style>
  <w:style w:type="character" w:customStyle="1" w:styleId="75">
    <w:name w:val="批注文字 字符3"/>
    <w:link w:val="18"/>
    <w:autoRedefine/>
    <w:qFormat/>
    <w:uiPriority w:val="99"/>
    <w:rPr>
      <w:kern w:val="2"/>
      <w:sz w:val="21"/>
      <w:szCs w:val="24"/>
    </w:rPr>
  </w:style>
  <w:style w:type="character" w:customStyle="1" w:styleId="76">
    <w:name w:val="正文文本 3 字符1"/>
    <w:link w:val="19"/>
    <w:autoRedefine/>
    <w:qFormat/>
    <w:uiPriority w:val="0"/>
    <w:rPr>
      <w:kern w:val="2"/>
      <w:sz w:val="16"/>
      <w:szCs w:val="16"/>
    </w:rPr>
  </w:style>
  <w:style w:type="character" w:customStyle="1" w:styleId="77">
    <w:name w:val="正文文本 字符1"/>
    <w:link w:val="20"/>
    <w:autoRedefine/>
    <w:qFormat/>
    <w:uiPriority w:val="0"/>
    <w:rPr>
      <w:rFonts w:ascii="宋体" w:hAnsi="宋体"/>
      <w:kern w:val="2"/>
      <w:sz w:val="24"/>
      <w:szCs w:val="24"/>
    </w:rPr>
  </w:style>
  <w:style w:type="character" w:customStyle="1" w:styleId="78">
    <w:name w:val="正文文本缩进 字符1"/>
    <w:link w:val="21"/>
    <w:autoRedefine/>
    <w:qFormat/>
    <w:uiPriority w:val="0"/>
    <w:rPr>
      <w:rFonts w:eastAsia="宋体"/>
      <w:kern w:val="2"/>
      <w:sz w:val="24"/>
      <w:szCs w:val="24"/>
      <w:lang w:val="en-US" w:eastAsia="zh-CN" w:bidi="ar-SA"/>
    </w:rPr>
  </w:style>
  <w:style w:type="character" w:customStyle="1" w:styleId="79">
    <w:name w:val="纯文本 字符2"/>
    <w:link w:val="27"/>
    <w:autoRedefine/>
    <w:qFormat/>
    <w:uiPriority w:val="99"/>
    <w:rPr>
      <w:rFonts w:hint="eastAsia" w:ascii="宋体" w:hAnsi="Courier New" w:eastAsia="宋体" w:cs="宋体"/>
      <w:kern w:val="2"/>
      <w:sz w:val="21"/>
    </w:rPr>
  </w:style>
  <w:style w:type="character" w:customStyle="1" w:styleId="80">
    <w:name w:val="日期 字符2"/>
    <w:link w:val="29"/>
    <w:autoRedefine/>
    <w:qFormat/>
    <w:uiPriority w:val="99"/>
    <w:rPr>
      <w:rFonts w:ascii="仿宋_GB2312" w:hAnsi="宋体" w:eastAsia="仿宋_GB2312"/>
      <w:color w:val="000000"/>
      <w:kern w:val="2"/>
      <w:sz w:val="24"/>
      <w:szCs w:val="24"/>
    </w:rPr>
  </w:style>
  <w:style w:type="character" w:customStyle="1" w:styleId="81">
    <w:name w:val="正文文本缩进 2 字符1"/>
    <w:link w:val="30"/>
    <w:autoRedefine/>
    <w:qFormat/>
    <w:uiPriority w:val="0"/>
    <w:rPr>
      <w:rFonts w:ascii="仿宋_GB2312" w:eastAsia="仿宋_GB2312"/>
      <w:kern w:val="2"/>
      <w:sz w:val="24"/>
      <w:szCs w:val="24"/>
    </w:rPr>
  </w:style>
  <w:style w:type="character" w:customStyle="1" w:styleId="82">
    <w:name w:val="批注框文本 字符2"/>
    <w:link w:val="31"/>
    <w:autoRedefine/>
    <w:qFormat/>
    <w:uiPriority w:val="0"/>
    <w:rPr>
      <w:kern w:val="2"/>
      <w:sz w:val="18"/>
      <w:szCs w:val="18"/>
    </w:rPr>
  </w:style>
  <w:style w:type="character" w:customStyle="1" w:styleId="83">
    <w:name w:val="页脚 字符2"/>
    <w:link w:val="32"/>
    <w:autoRedefine/>
    <w:qFormat/>
    <w:uiPriority w:val="0"/>
    <w:rPr>
      <w:rFonts w:ascii="宋体" w:eastAsia="宋体"/>
      <w:sz w:val="18"/>
      <w:lang w:val="en-US" w:eastAsia="zh-CN" w:bidi="ar-SA"/>
    </w:rPr>
  </w:style>
  <w:style w:type="character" w:customStyle="1" w:styleId="84">
    <w:name w:val="页眉 字符2"/>
    <w:link w:val="33"/>
    <w:autoRedefine/>
    <w:qFormat/>
    <w:uiPriority w:val="99"/>
    <w:rPr>
      <w:rFonts w:eastAsia="宋体"/>
      <w:kern w:val="2"/>
      <w:sz w:val="18"/>
      <w:szCs w:val="18"/>
      <w:lang w:val="en-US" w:eastAsia="zh-CN" w:bidi="ar-SA"/>
    </w:rPr>
  </w:style>
  <w:style w:type="character" w:customStyle="1" w:styleId="85">
    <w:name w:val="正文文本缩进 3 字符1"/>
    <w:link w:val="39"/>
    <w:autoRedefine/>
    <w:qFormat/>
    <w:uiPriority w:val="99"/>
    <w:rPr>
      <w:rFonts w:ascii="宋体"/>
      <w:sz w:val="24"/>
    </w:rPr>
  </w:style>
  <w:style w:type="character" w:customStyle="1" w:styleId="86">
    <w:name w:val="HTML 预设格式 字符1"/>
    <w:link w:val="44"/>
    <w:autoRedefine/>
    <w:qFormat/>
    <w:uiPriority w:val="0"/>
    <w:rPr>
      <w:rFonts w:ascii="宋体" w:hAnsi="宋体" w:cs="宋体"/>
      <w:sz w:val="24"/>
      <w:szCs w:val="24"/>
    </w:rPr>
  </w:style>
  <w:style w:type="character" w:customStyle="1" w:styleId="87">
    <w:name w:val="标题 字符1"/>
    <w:link w:val="47"/>
    <w:autoRedefine/>
    <w:qFormat/>
    <w:uiPriority w:val="0"/>
    <w:rPr>
      <w:b/>
      <w:kern w:val="2"/>
      <w:sz w:val="32"/>
    </w:rPr>
  </w:style>
  <w:style w:type="character" w:customStyle="1" w:styleId="88">
    <w:name w:val="批注主题 字符2"/>
    <w:link w:val="48"/>
    <w:autoRedefine/>
    <w:qFormat/>
    <w:uiPriority w:val="0"/>
    <w:rPr>
      <w:rFonts w:ascii="Times New Roman" w:hAnsi="Times New Roman" w:eastAsia="宋体" w:cs="Times New Roman"/>
      <w:b/>
      <w:bCs/>
      <w:kern w:val="2"/>
      <w:sz w:val="21"/>
      <w:szCs w:val="24"/>
      <w:lang w:val="en-US" w:eastAsia="zh-CN" w:bidi="ar-SA"/>
    </w:rPr>
  </w:style>
  <w:style w:type="character" w:customStyle="1" w:styleId="89">
    <w:name w:val="正文首行缩进 2 字符"/>
    <w:link w:val="50"/>
    <w:autoRedefine/>
    <w:qFormat/>
    <w:uiPriority w:val="99"/>
    <w:rPr>
      <w:rFonts w:eastAsia="宋体"/>
      <w:kern w:val="2"/>
      <w:sz w:val="24"/>
      <w:szCs w:val="24"/>
      <w:lang w:val="en-US" w:eastAsia="zh-CN" w:bidi="ar-SA"/>
    </w:rPr>
  </w:style>
  <w:style w:type="character" w:customStyle="1" w:styleId="90">
    <w:name w:val="批注文字 字符"/>
    <w:autoRedefine/>
    <w:qFormat/>
    <w:uiPriority w:val="99"/>
    <w:rPr>
      <w:rFonts w:ascii="Times New Roman" w:hAnsi="Times New Roman" w:eastAsia="宋体" w:cs="Times New Roman"/>
      <w:sz w:val="24"/>
      <w:lang w:val="en-US" w:eastAsia="zh-CN" w:bidi="ar-SA"/>
    </w:rPr>
  </w:style>
  <w:style w:type="character" w:customStyle="1" w:styleId="91">
    <w:name w:val="c21"/>
    <w:autoRedefine/>
    <w:qFormat/>
    <w:uiPriority w:val="0"/>
    <w:rPr>
      <w:rFonts w:hint="default" w:ascii="ˎ̥" w:hAnsi="ˎ̥"/>
      <w:color w:val="000000"/>
      <w:sz w:val="20"/>
      <w:szCs w:val="20"/>
      <w:u w:val="none"/>
    </w:rPr>
  </w:style>
  <w:style w:type="character" w:customStyle="1" w:styleId="92">
    <w:name w:val="title4"/>
    <w:autoRedefine/>
    <w:qFormat/>
    <w:uiPriority w:val="0"/>
    <w:rPr>
      <w:b/>
      <w:bCs/>
      <w:color w:val="1D87B3"/>
      <w:sz w:val="15"/>
      <w:szCs w:val="15"/>
    </w:rPr>
  </w:style>
  <w:style w:type="character" w:customStyle="1" w:styleId="93">
    <w:name w:val="标题 2 Char Char"/>
    <w:autoRedefine/>
    <w:qFormat/>
    <w:uiPriority w:val="0"/>
    <w:rPr>
      <w:rFonts w:ascii="Arial" w:hAnsi="Arial" w:eastAsia="黑体"/>
      <w:b/>
      <w:bCs/>
      <w:kern w:val="2"/>
      <w:sz w:val="32"/>
      <w:szCs w:val="32"/>
      <w:lang w:val="en-US" w:eastAsia="zh-CN" w:bidi="ar-SA"/>
    </w:rPr>
  </w:style>
  <w:style w:type="character" w:customStyle="1" w:styleId="94">
    <w:name w:val="black1"/>
    <w:autoRedefine/>
    <w:qFormat/>
    <w:uiPriority w:val="0"/>
    <w:rPr>
      <w:color w:val="000000"/>
    </w:rPr>
  </w:style>
  <w:style w:type="character" w:customStyle="1" w:styleId="95">
    <w:name w:val="street-address"/>
    <w:autoRedefine/>
    <w:qFormat/>
    <w:uiPriority w:val="0"/>
  </w:style>
  <w:style w:type="character" w:customStyle="1" w:styleId="96">
    <w:name w:val="locality"/>
    <w:autoRedefine/>
    <w:qFormat/>
    <w:uiPriority w:val="0"/>
  </w:style>
  <w:style w:type="character" w:customStyle="1" w:styleId="97">
    <w:name w:val="正文文本缩进 Char1"/>
    <w:link w:val="98"/>
    <w:autoRedefine/>
    <w:qFormat/>
    <w:uiPriority w:val="0"/>
    <w:rPr>
      <w:rFonts w:ascii="宋体" w:hAnsi="宋体" w:eastAsia="宋体"/>
      <w:sz w:val="24"/>
      <w:szCs w:val="24"/>
      <w:lang w:bidi="ar-SA"/>
    </w:rPr>
  </w:style>
  <w:style w:type="paragraph" w:customStyle="1" w:styleId="98">
    <w:name w:val="正文文本缩进1"/>
    <w:basedOn w:val="1"/>
    <w:link w:val="97"/>
    <w:autoRedefine/>
    <w:qFormat/>
    <w:uiPriority w:val="0"/>
    <w:pPr>
      <w:spacing w:line="480" w:lineRule="exact"/>
      <w:ind w:firstLine="480" w:firstLineChars="200"/>
    </w:pPr>
    <w:rPr>
      <w:rFonts w:ascii="宋体" w:hAnsi="宋体"/>
      <w:kern w:val="0"/>
      <w:sz w:val="24"/>
    </w:rPr>
  </w:style>
  <w:style w:type="character" w:customStyle="1" w:styleId="99">
    <w:name w:val="Char Char11"/>
    <w:autoRedefine/>
    <w:qFormat/>
    <w:uiPriority w:val="0"/>
    <w:rPr>
      <w:rFonts w:ascii="宋体" w:eastAsia="宋体"/>
      <w:b/>
      <w:sz w:val="24"/>
      <w:u w:val="single"/>
      <w:lang w:val="en-US" w:eastAsia="zh-CN" w:bidi="ar-SA"/>
    </w:rPr>
  </w:style>
  <w:style w:type="character" w:customStyle="1" w:styleId="100">
    <w:name w:val="txt"/>
    <w:autoRedefine/>
    <w:qFormat/>
    <w:uiPriority w:val="0"/>
  </w:style>
  <w:style w:type="character" w:customStyle="1" w:styleId="101">
    <w:name w:val="正文缩进 Char Char"/>
    <w:link w:val="102"/>
    <w:autoRedefine/>
    <w:qFormat/>
    <w:uiPriority w:val="0"/>
    <w:rPr>
      <w:rFonts w:ascii="宋体" w:eastAsia="宋体"/>
      <w:snapToGrid w:val="0"/>
      <w:color w:val="000000"/>
      <w:kern w:val="28"/>
      <w:sz w:val="28"/>
      <w:lang w:bidi="ar-SA"/>
    </w:rPr>
  </w:style>
  <w:style w:type="paragraph" w:customStyle="1" w:styleId="102">
    <w:name w:val="正文缩进1"/>
    <w:basedOn w:val="1"/>
    <w:link w:val="10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3">
    <w:name w:val="普通文字1 Char1"/>
    <w:autoRedefine/>
    <w:qFormat/>
    <w:uiPriority w:val="0"/>
    <w:rPr>
      <w:rFonts w:ascii="宋体" w:hAnsi="Courier New" w:eastAsia="宋体"/>
      <w:kern w:val="2"/>
      <w:sz w:val="21"/>
      <w:lang w:val="en-US" w:eastAsia="zh-CN" w:bidi="ar-SA"/>
    </w:rPr>
  </w:style>
  <w:style w:type="character" w:customStyle="1" w:styleId="104">
    <w:name w:val="chanpin1"/>
    <w:autoRedefine/>
    <w:qFormat/>
    <w:uiPriority w:val="0"/>
    <w:rPr>
      <w:rFonts w:hint="default" w:ascii="ˎ̥" w:hAnsi="ˎ̥"/>
      <w:color w:val="000000"/>
      <w:sz w:val="20"/>
      <w:szCs w:val="20"/>
      <w:u w:val="none"/>
    </w:rPr>
  </w:style>
  <w:style w:type="character" w:customStyle="1" w:styleId="105">
    <w:name w:val="列出段落 字符"/>
    <w:link w:val="15"/>
    <w:autoRedefine/>
    <w:qFormat/>
    <w:uiPriority w:val="34"/>
    <w:rPr>
      <w:rFonts w:ascii="Calibri" w:hAnsi="Calibri" w:eastAsia="宋体"/>
      <w:kern w:val="2"/>
      <w:sz w:val="21"/>
      <w:szCs w:val="22"/>
      <w:lang w:val="en-US" w:eastAsia="zh-CN" w:bidi="ar-SA"/>
    </w:rPr>
  </w:style>
  <w:style w:type="character" w:customStyle="1" w:styleId="106">
    <w:name w:val="标题 3 Char Char"/>
    <w:autoRedefine/>
    <w:qFormat/>
    <w:uiPriority w:val="0"/>
    <w:rPr>
      <w:rFonts w:eastAsia="宋体"/>
      <w:b/>
      <w:bCs/>
      <w:kern w:val="2"/>
      <w:sz w:val="32"/>
      <w:szCs w:val="32"/>
      <w:lang w:val="en-US" w:eastAsia="zh-CN" w:bidi="ar-SA"/>
    </w:rPr>
  </w:style>
  <w:style w:type="character" w:customStyle="1" w:styleId="107">
    <w:name w:val="段1 Char"/>
    <w:autoRedefine/>
    <w:qFormat/>
    <w:uiPriority w:val="0"/>
    <w:rPr>
      <w:rFonts w:ascii="宋体" w:eastAsia="宋体"/>
      <w:sz w:val="24"/>
      <w:lang w:val="en-US" w:eastAsia="zh-CN" w:bidi="ar-SA"/>
    </w:rPr>
  </w:style>
  <w:style w:type="character" w:customStyle="1" w:styleId="108">
    <w:name w:val="chanpin拷贝"/>
    <w:autoRedefine/>
    <w:qFormat/>
    <w:uiPriority w:val="0"/>
  </w:style>
  <w:style w:type="character" w:customStyle="1" w:styleId="109">
    <w:name w:val="纯文本 Char1"/>
    <w:autoRedefine/>
    <w:qFormat/>
    <w:uiPriority w:val="0"/>
    <w:rPr>
      <w:rFonts w:ascii="宋体" w:hAnsi="Courier New" w:eastAsia="宋体"/>
      <w:kern w:val="2"/>
      <w:sz w:val="21"/>
      <w:lang w:val="en-US" w:eastAsia="zh-CN" w:bidi="ar-SA"/>
    </w:rPr>
  </w:style>
  <w:style w:type="character" w:customStyle="1" w:styleId="110">
    <w:name w:val="apple-style-span"/>
    <w:autoRedefine/>
    <w:qFormat/>
    <w:uiPriority w:val="0"/>
    <w:rPr>
      <w:rFonts w:cs="Times New Roman"/>
    </w:rPr>
  </w:style>
  <w:style w:type="paragraph" w:customStyle="1" w:styleId="111">
    <w:name w:val="二级条标题"/>
    <w:basedOn w:val="112"/>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2">
    <w:name w:val="一级条标题"/>
    <w:basedOn w:val="113"/>
    <w:next w:val="1"/>
    <w:autoRedefine/>
    <w:qFormat/>
    <w:uiPriority w:val="99"/>
    <w:pPr>
      <w:numPr>
        <w:ilvl w:val="1"/>
      </w:numPr>
      <w:tabs>
        <w:tab w:val="left" w:pos="360"/>
        <w:tab w:val="left" w:pos="840"/>
      </w:tabs>
      <w:ind w:left="0" w:hanging="840"/>
      <w:outlineLvl w:val="1"/>
    </w:pPr>
  </w:style>
  <w:style w:type="paragraph" w:customStyle="1" w:styleId="113">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4">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5">
    <w:name w:val="字元 字元"/>
    <w:basedOn w:val="1"/>
    <w:autoRedefine/>
    <w:qFormat/>
    <w:uiPriority w:val="99"/>
    <w:rPr>
      <w:rFonts w:ascii="Tahoma" w:hAnsi="Tahoma"/>
      <w:sz w:val="24"/>
      <w:szCs w:val="20"/>
    </w:rPr>
  </w:style>
  <w:style w:type="paragraph" w:customStyle="1" w:styleId="116">
    <w:name w:val="Char3 Char Char Char"/>
    <w:basedOn w:val="1"/>
    <w:autoRedefine/>
    <w:qFormat/>
    <w:uiPriority w:val="99"/>
    <w:rPr>
      <w:rFonts w:ascii="Tahoma" w:hAnsi="Tahoma"/>
      <w:sz w:val="24"/>
      <w:szCs w:val="20"/>
    </w:rPr>
  </w:style>
  <w:style w:type="paragraph" w:customStyle="1" w:styleId="117">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18">
    <w:name w:val="项目编号2"/>
    <w:basedOn w:val="119"/>
    <w:autoRedefine/>
    <w:qFormat/>
    <w:uiPriority w:val="99"/>
    <w:pPr>
      <w:numPr>
        <w:numId w:val="2"/>
      </w:numPr>
    </w:pPr>
  </w:style>
  <w:style w:type="paragraph" w:customStyle="1" w:styleId="119">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0">
    <w:name w:val="图中文字"/>
    <w:basedOn w:val="1"/>
    <w:autoRedefine/>
    <w:qFormat/>
    <w:uiPriority w:val="99"/>
    <w:pPr>
      <w:adjustRightInd w:val="0"/>
      <w:snapToGrid w:val="0"/>
      <w:spacing w:line="0" w:lineRule="atLeast"/>
      <w:jc w:val="center"/>
    </w:pPr>
    <w:rPr>
      <w:sz w:val="24"/>
      <w:szCs w:val="20"/>
    </w:rPr>
  </w:style>
  <w:style w:type="paragraph" w:customStyle="1" w:styleId="121">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2">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3">
    <w:name w:val="Char2"/>
    <w:basedOn w:val="1"/>
    <w:autoRedefine/>
    <w:qFormat/>
    <w:uiPriority w:val="99"/>
    <w:rPr>
      <w:rFonts w:ascii="Tahoma" w:hAnsi="Tahoma"/>
      <w:sz w:val="24"/>
      <w:szCs w:val="20"/>
    </w:rPr>
  </w:style>
  <w:style w:type="paragraph" w:customStyle="1" w:styleId="124">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5">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7">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0">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1">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2">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3">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4">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5">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7">
    <w:name w:val="font8"/>
    <w:basedOn w:val="1"/>
    <w:autoRedefine/>
    <w:qFormat/>
    <w:uiPriority w:val="99"/>
    <w:pPr>
      <w:widowControl/>
      <w:spacing w:before="100" w:beforeAutospacing="1" w:after="100" w:afterAutospacing="1"/>
      <w:jc w:val="left"/>
    </w:pPr>
    <w:rPr>
      <w:kern w:val="0"/>
      <w:sz w:val="36"/>
      <w:szCs w:val="36"/>
    </w:rPr>
  </w:style>
  <w:style w:type="paragraph" w:customStyle="1" w:styleId="138">
    <w:name w:val="Char"/>
    <w:basedOn w:val="1"/>
    <w:autoRedefine/>
    <w:qFormat/>
    <w:uiPriority w:val="99"/>
    <w:pPr>
      <w:tabs>
        <w:tab w:val="left" w:pos="360"/>
      </w:tabs>
    </w:pPr>
    <w:rPr>
      <w:sz w:val="24"/>
    </w:rPr>
  </w:style>
  <w:style w:type="paragraph" w:customStyle="1" w:styleId="139">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0">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1"/>
    <w:basedOn w:val="17"/>
    <w:autoRedefine/>
    <w:qFormat/>
    <w:uiPriority w:val="99"/>
    <w:rPr>
      <w:rFonts w:ascii="Tahoma" w:hAnsi="Tahoma"/>
      <w:sz w:val="24"/>
    </w:rPr>
  </w:style>
  <w:style w:type="paragraph" w:customStyle="1" w:styleId="143">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4">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5">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6">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7">
    <w:name w:val="Char1 Char Char Char1"/>
    <w:basedOn w:val="1"/>
    <w:autoRedefine/>
    <w:qFormat/>
    <w:uiPriority w:val="99"/>
    <w:rPr>
      <w:rFonts w:ascii="Tahoma" w:hAnsi="Tahoma" w:cs="仿宋_GB2312"/>
      <w:sz w:val="24"/>
      <w:szCs w:val="28"/>
    </w:rPr>
  </w:style>
  <w:style w:type="paragraph" w:customStyle="1" w:styleId="148">
    <w:name w:val="四级条标题"/>
    <w:basedOn w:val="149"/>
    <w:next w:val="1"/>
    <w:autoRedefine/>
    <w:qFormat/>
    <w:uiPriority w:val="99"/>
    <w:pPr>
      <w:numPr>
        <w:ilvl w:val="4"/>
      </w:numPr>
      <w:tabs>
        <w:tab w:val="left" w:pos="360"/>
        <w:tab w:val="left" w:pos="840"/>
      </w:tabs>
      <w:ind w:left="0" w:hanging="840"/>
      <w:outlineLvl w:val="4"/>
    </w:pPr>
  </w:style>
  <w:style w:type="paragraph" w:customStyle="1" w:styleId="149">
    <w:name w:val="三级条标题"/>
    <w:basedOn w:val="111"/>
    <w:next w:val="1"/>
    <w:autoRedefine/>
    <w:qFormat/>
    <w:uiPriority w:val="99"/>
    <w:pPr>
      <w:numPr>
        <w:ilvl w:val="3"/>
        <w:numId w:val="1"/>
      </w:numPr>
      <w:ind w:left="0" w:hanging="840"/>
      <w:outlineLvl w:val="3"/>
    </w:pPr>
  </w:style>
  <w:style w:type="paragraph" w:customStyle="1" w:styleId="150">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1">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2">
    <w:name w:val="List Paragraph1"/>
    <w:basedOn w:val="1"/>
    <w:autoRedefine/>
    <w:qFormat/>
    <w:uiPriority w:val="99"/>
    <w:pPr>
      <w:ind w:firstLine="420" w:firstLineChars="200"/>
    </w:pPr>
    <w:rPr>
      <w:rFonts w:ascii="Calibri" w:hAnsi="Calibri"/>
      <w:szCs w:val="22"/>
    </w:rPr>
  </w:style>
  <w:style w:type="paragraph" w:customStyle="1" w:styleId="153">
    <w:name w:val="项目符号1"/>
    <w:basedOn w:val="154"/>
    <w:autoRedefine/>
    <w:qFormat/>
    <w:uiPriority w:val="99"/>
    <w:pPr>
      <w:ind w:left="-25" w:firstLine="0"/>
    </w:pPr>
  </w:style>
  <w:style w:type="paragraph" w:customStyle="1" w:styleId="154">
    <w:name w:val="正文文本样式"/>
    <w:basedOn w:val="1"/>
    <w:autoRedefine/>
    <w:qFormat/>
    <w:uiPriority w:val="99"/>
    <w:pPr>
      <w:spacing w:line="360" w:lineRule="auto"/>
      <w:ind w:firstLine="482"/>
    </w:pPr>
    <w:rPr>
      <w:rFonts w:cs="宋体"/>
      <w:sz w:val="24"/>
      <w:szCs w:val="20"/>
    </w:rPr>
  </w:style>
  <w:style w:type="paragraph" w:customStyle="1" w:styleId="155">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6">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7">
    <w:name w:val="五级条标题"/>
    <w:basedOn w:val="148"/>
    <w:next w:val="1"/>
    <w:autoRedefine/>
    <w:qFormat/>
    <w:uiPriority w:val="99"/>
    <w:pPr>
      <w:numPr>
        <w:ilvl w:val="5"/>
      </w:numPr>
      <w:ind w:left="0" w:hanging="840"/>
      <w:outlineLvl w:val="5"/>
    </w:pPr>
  </w:style>
  <w:style w:type="paragraph" w:customStyle="1" w:styleId="158">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9">
    <w:name w:val="文档正文"/>
    <w:basedOn w:val="1"/>
    <w:autoRedefine/>
    <w:qFormat/>
    <w:uiPriority w:val="99"/>
    <w:pPr>
      <w:snapToGrid w:val="0"/>
      <w:spacing w:before="120" w:after="120" w:line="180" w:lineRule="auto"/>
    </w:pPr>
    <w:rPr>
      <w:rFonts w:ascii="Arial" w:hAnsi="Arial"/>
      <w:szCs w:val="20"/>
    </w:rPr>
  </w:style>
  <w:style w:type="paragraph" w:customStyle="1" w:styleId="160">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1">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2">
    <w:name w:val="Char Char Char1 Char"/>
    <w:basedOn w:val="1"/>
    <w:autoRedefine/>
    <w:qFormat/>
    <w:uiPriority w:val="99"/>
    <w:rPr>
      <w:rFonts w:ascii="Tahoma" w:hAnsi="Tahoma"/>
      <w:sz w:val="24"/>
      <w:szCs w:val="20"/>
    </w:rPr>
  </w:style>
  <w:style w:type="paragraph" w:customStyle="1" w:styleId="163">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4">
    <w:name w:val="1名"/>
    <w:basedOn w:val="1"/>
    <w:autoRedefine/>
    <w:qFormat/>
    <w:uiPriority w:val="99"/>
    <w:pPr>
      <w:numPr>
        <w:ilvl w:val="0"/>
        <w:numId w:val="5"/>
      </w:numPr>
      <w:spacing w:before="120"/>
    </w:pPr>
    <w:rPr>
      <w:rFonts w:ascii="宋体"/>
      <w:sz w:val="28"/>
      <w:szCs w:val="20"/>
    </w:rPr>
  </w:style>
  <w:style w:type="paragraph" w:customStyle="1" w:styleId="165">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6">
    <w:name w:val="Char Char Char1 Char1"/>
    <w:basedOn w:val="1"/>
    <w:autoRedefine/>
    <w:qFormat/>
    <w:uiPriority w:val="99"/>
    <w:rPr>
      <w:rFonts w:ascii="Tahoma" w:hAnsi="Tahoma"/>
      <w:sz w:val="24"/>
      <w:szCs w:val="20"/>
    </w:rPr>
  </w:style>
  <w:style w:type="paragraph" w:customStyle="1" w:styleId="167">
    <w:name w:val="Char Char Char Char Char Char Char Char Char Char"/>
    <w:basedOn w:val="1"/>
    <w:autoRedefine/>
    <w:qFormat/>
    <w:uiPriority w:val="99"/>
  </w:style>
  <w:style w:type="paragraph" w:customStyle="1" w:styleId="168">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69">
    <w:name w:val="Char1"/>
    <w:basedOn w:val="1"/>
    <w:autoRedefine/>
    <w:qFormat/>
    <w:uiPriority w:val="99"/>
    <w:pPr>
      <w:tabs>
        <w:tab w:val="left" w:pos="360"/>
      </w:tabs>
    </w:pPr>
    <w:rPr>
      <w:sz w:val="24"/>
    </w:rPr>
  </w:style>
  <w:style w:type="paragraph" w:customStyle="1" w:styleId="170">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1">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2">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3">
    <w:name w:val="默认段落字体 Para Char Char Char Char"/>
    <w:basedOn w:val="1"/>
    <w:autoRedefine/>
    <w:qFormat/>
    <w:uiPriority w:val="99"/>
    <w:rPr>
      <w:rFonts w:ascii="Arial" w:hAnsi="Arial" w:cs="Arial"/>
      <w:szCs w:val="21"/>
    </w:rPr>
  </w:style>
  <w:style w:type="paragraph" w:customStyle="1" w:styleId="174">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5">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6">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7">
    <w:name w:val="Char Char Char"/>
    <w:basedOn w:val="1"/>
    <w:autoRedefine/>
    <w:qFormat/>
    <w:uiPriority w:val="99"/>
    <w:rPr>
      <w:rFonts w:ascii="Tahoma" w:hAnsi="Tahoma"/>
      <w:sz w:val="24"/>
      <w:szCs w:val="20"/>
    </w:rPr>
  </w:style>
  <w:style w:type="paragraph" w:customStyle="1" w:styleId="178">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9">
    <w:name w:val="缺省文本"/>
    <w:basedOn w:val="1"/>
    <w:autoRedefine/>
    <w:qFormat/>
    <w:uiPriority w:val="99"/>
    <w:pPr>
      <w:autoSpaceDE w:val="0"/>
      <w:autoSpaceDN w:val="0"/>
      <w:adjustRightInd w:val="0"/>
      <w:jc w:val="left"/>
    </w:pPr>
    <w:rPr>
      <w:kern w:val="0"/>
      <w:sz w:val="24"/>
    </w:rPr>
  </w:style>
  <w:style w:type="paragraph" w:customStyle="1" w:styleId="180">
    <w:name w:val="Char Char Char1"/>
    <w:basedOn w:val="1"/>
    <w:autoRedefine/>
    <w:qFormat/>
    <w:uiPriority w:val="99"/>
    <w:rPr>
      <w:rFonts w:ascii="Tahoma" w:hAnsi="Tahoma"/>
      <w:sz w:val="24"/>
      <w:szCs w:val="20"/>
    </w:rPr>
  </w:style>
  <w:style w:type="paragraph" w:customStyle="1" w:styleId="181">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2">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3">
    <w:name w:val="样式2"/>
    <w:basedOn w:val="46"/>
    <w:autoRedefine/>
    <w:qFormat/>
    <w:uiPriority w:val="99"/>
    <w:pPr>
      <w:spacing w:line="360" w:lineRule="auto"/>
      <w:jc w:val="center"/>
    </w:pPr>
    <w:rPr>
      <w:sz w:val="24"/>
    </w:rPr>
  </w:style>
  <w:style w:type="paragraph" w:customStyle="1" w:styleId="184">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5">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6">
    <w:name w:val="正文 + 楷体_GB2312"/>
    <w:basedOn w:val="1"/>
    <w:autoRedefine/>
    <w:qFormat/>
    <w:uiPriority w:val="99"/>
    <w:pPr>
      <w:widowControl/>
      <w:jc w:val="left"/>
    </w:pPr>
    <w:rPr>
      <w:rFonts w:ascii="楷体_GB2312" w:eastAsia="楷体_GB2312" w:cs="Arial"/>
      <w:kern w:val="0"/>
      <w:sz w:val="24"/>
    </w:rPr>
  </w:style>
  <w:style w:type="paragraph" w:customStyle="1" w:styleId="187">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8">
    <w:name w:val="1 Char Char Char Char"/>
    <w:basedOn w:val="1"/>
    <w:autoRedefine/>
    <w:qFormat/>
    <w:uiPriority w:val="99"/>
    <w:rPr>
      <w:rFonts w:ascii="Tahoma" w:hAnsi="Tahoma"/>
      <w:sz w:val="24"/>
      <w:szCs w:val="20"/>
    </w:rPr>
  </w:style>
  <w:style w:type="paragraph" w:customStyle="1" w:styleId="189">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0">
    <w:name w:val="列出段落1"/>
    <w:basedOn w:val="1"/>
    <w:autoRedefine/>
    <w:qFormat/>
    <w:uiPriority w:val="99"/>
    <w:pPr>
      <w:ind w:firstLine="420" w:firstLineChars="200"/>
    </w:pPr>
    <w:rPr>
      <w:rFonts w:ascii="Calibri" w:hAnsi="Calibri"/>
      <w:szCs w:val="22"/>
    </w:rPr>
  </w:style>
  <w:style w:type="paragraph" w:customStyle="1" w:styleId="191">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2">
    <w:name w:val="字元 字元1"/>
    <w:basedOn w:val="1"/>
    <w:autoRedefine/>
    <w:qFormat/>
    <w:uiPriority w:val="99"/>
    <w:rPr>
      <w:rFonts w:ascii="Tahoma" w:hAnsi="Tahoma"/>
      <w:sz w:val="24"/>
      <w:szCs w:val="20"/>
    </w:rPr>
  </w:style>
  <w:style w:type="paragraph" w:customStyle="1" w:styleId="193">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4">
    <w:name w:val="项目编号3"/>
    <w:basedOn w:val="154"/>
    <w:autoRedefine/>
    <w:qFormat/>
    <w:uiPriority w:val="99"/>
    <w:pPr>
      <w:numPr>
        <w:ilvl w:val="0"/>
        <w:numId w:val="6"/>
      </w:numPr>
    </w:pPr>
  </w:style>
  <w:style w:type="paragraph" w:customStyle="1" w:styleId="195">
    <w:name w:val="Char21"/>
    <w:basedOn w:val="1"/>
    <w:autoRedefine/>
    <w:qFormat/>
    <w:uiPriority w:val="99"/>
    <w:rPr>
      <w:rFonts w:ascii="Tahoma" w:hAnsi="Tahoma"/>
      <w:sz w:val="24"/>
      <w:szCs w:val="20"/>
    </w:rPr>
  </w:style>
  <w:style w:type="paragraph" w:customStyle="1" w:styleId="196">
    <w:name w:val="表格文字"/>
    <w:basedOn w:val="21"/>
    <w:autoRedefine/>
    <w:qFormat/>
    <w:uiPriority w:val="99"/>
    <w:pPr>
      <w:spacing w:before="20" w:after="20" w:line="240" w:lineRule="auto"/>
      <w:ind w:firstLine="0"/>
    </w:pPr>
    <w:rPr>
      <w:rFonts w:ascii="Century Gothic" w:hAnsi="Century Gothic"/>
      <w:sz w:val="20"/>
      <w:szCs w:val="20"/>
    </w:rPr>
  </w:style>
  <w:style w:type="paragraph" w:customStyle="1" w:styleId="197">
    <w:name w:val="Char Char Char Char Char Char Char Char Char Char1"/>
    <w:basedOn w:val="1"/>
    <w:autoRedefine/>
    <w:qFormat/>
    <w:uiPriority w:val="99"/>
    <w:rPr>
      <w:rFonts w:ascii="宋体" w:hAnsi="宋体" w:cs="Courier New"/>
      <w:sz w:val="32"/>
      <w:szCs w:val="32"/>
    </w:rPr>
  </w:style>
  <w:style w:type="paragraph" w:customStyle="1" w:styleId="198">
    <w:name w:val="正文文本样式 加粗"/>
    <w:basedOn w:val="154"/>
    <w:autoRedefine/>
    <w:qFormat/>
    <w:uiPriority w:val="99"/>
    <w:rPr>
      <w:b/>
    </w:rPr>
  </w:style>
  <w:style w:type="paragraph" w:customStyle="1" w:styleId="199">
    <w:name w:val="Char2 Char Char Char Char Char Char"/>
    <w:basedOn w:val="1"/>
    <w:autoRedefine/>
    <w:qFormat/>
    <w:uiPriority w:val="99"/>
    <w:pPr>
      <w:widowControl/>
      <w:spacing w:line="400" w:lineRule="exact"/>
      <w:jc w:val="center"/>
    </w:pPr>
  </w:style>
  <w:style w:type="paragraph" w:customStyle="1" w:styleId="200">
    <w:name w:val="Char Char4"/>
    <w:basedOn w:val="1"/>
    <w:autoRedefine/>
    <w:qFormat/>
    <w:uiPriority w:val="99"/>
    <w:pPr>
      <w:widowControl/>
      <w:spacing w:line="400" w:lineRule="exact"/>
      <w:jc w:val="center"/>
    </w:pPr>
  </w:style>
  <w:style w:type="paragraph" w:customStyle="1" w:styleId="201">
    <w:name w:val="Char3 Char Char Char1"/>
    <w:basedOn w:val="1"/>
    <w:autoRedefine/>
    <w:qFormat/>
    <w:uiPriority w:val="99"/>
    <w:rPr>
      <w:rFonts w:ascii="Tahoma" w:hAnsi="Tahoma"/>
      <w:sz w:val="24"/>
      <w:szCs w:val="20"/>
    </w:rPr>
  </w:style>
  <w:style w:type="paragraph" w:styleId="202">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4">
    <w:name w:val="中等深浅网格 1 - 强调文字颜色 2 Char"/>
    <w:link w:val="205"/>
    <w:autoRedefine/>
    <w:qFormat/>
    <w:uiPriority w:val="0"/>
    <w:rPr>
      <w:kern w:val="2"/>
      <w:sz w:val="21"/>
      <w:szCs w:val="24"/>
      <w:lang w:val="zh-CN" w:eastAsia="zh-CN"/>
    </w:rPr>
  </w:style>
  <w:style w:type="paragraph" w:customStyle="1" w:styleId="205">
    <w:name w:val="1"/>
    <w:link w:val="204"/>
    <w:autoRedefine/>
    <w:qFormat/>
    <w:uiPriority w:val="0"/>
    <w:rPr>
      <w:rFonts w:ascii="Times New Roman" w:hAnsi="Times New Roman" w:eastAsia="宋体" w:cs="Times New Roman"/>
      <w:kern w:val="2"/>
      <w:sz w:val="21"/>
      <w:szCs w:val="24"/>
      <w:lang w:val="zh-CN" w:eastAsia="zh-CN" w:bidi="ar-SA"/>
    </w:rPr>
  </w:style>
  <w:style w:type="paragraph" w:customStyle="1" w:styleId="206">
    <w:name w:val="图文"/>
    <w:basedOn w:val="1"/>
    <w:autoRedefine/>
    <w:qFormat/>
    <w:uiPriority w:val="99"/>
    <w:pPr>
      <w:adjustRightInd w:val="0"/>
      <w:snapToGrid w:val="0"/>
      <w:spacing w:after="50" w:line="360" w:lineRule="auto"/>
    </w:pPr>
    <w:rPr>
      <w:sz w:val="24"/>
    </w:rPr>
  </w:style>
  <w:style w:type="paragraph" w:customStyle="1" w:styleId="207">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08">
    <w:name w:val="正文表格"/>
    <w:basedOn w:val="1"/>
    <w:link w:val="209"/>
    <w:autoRedefine/>
    <w:qFormat/>
    <w:uiPriority w:val="0"/>
    <w:pPr>
      <w:adjustRightInd w:val="0"/>
      <w:snapToGrid w:val="0"/>
      <w:jc w:val="left"/>
    </w:pPr>
    <w:rPr>
      <w:rFonts w:ascii="宋体" w:hAnsi="宋体"/>
      <w:color w:val="000000"/>
      <w:szCs w:val="21"/>
    </w:rPr>
  </w:style>
  <w:style w:type="character" w:customStyle="1" w:styleId="209">
    <w:name w:val="正文表格 Char"/>
    <w:link w:val="208"/>
    <w:autoRedefine/>
    <w:qFormat/>
    <w:uiPriority w:val="0"/>
    <w:rPr>
      <w:rFonts w:ascii="宋体" w:hAnsi="宋体"/>
      <w:color w:val="000000"/>
      <w:kern w:val="2"/>
      <w:sz w:val="21"/>
      <w:szCs w:val="21"/>
    </w:rPr>
  </w:style>
  <w:style w:type="paragraph" w:customStyle="1" w:styleId="210">
    <w:name w:val="正文重点"/>
    <w:basedOn w:val="1"/>
    <w:link w:val="211"/>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1">
    <w:name w:val="正文重点 Char"/>
    <w:link w:val="210"/>
    <w:autoRedefine/>
    <w:qFormat/>
    <w:uiPriority w:val="0"/>
    <w:rPr>
      <w:b/>
      <w:sz w:val="24"/>
    </w:rPr>
  </w:style>
  <w:style w:type="paragraph" w:customStyle="1" w:styleId="212">
    <w:name w:val="标题1-附件"/>
    <w:basedOn w:val="3"/>
    <w:autoRedefine/>
    <w:qFormat/>
    <w:uiPriority w:val="99"/>
    <w:pPr>
      <w:jc w:val="left"/>
    </w:pPr>
    <w:rPr>
      <w:sz w:val="24"/>
      <w:szCs w:val="24"/>
    </w:rPr>
  </w:style>
  <w:style w:type="paragraph" w:customStyle="1" w:styleId="213">
    <w:name w:val="正文小标题"/>
    <w:basedOn w:val="1"/>
    <w:next w:val="5"/>
    <w:link w:val="214"/>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4">
    <w:name w:val="正文小标题 Char"/>
    <w:link w:val="213"/>
    <w:autoRedefine/>
    <w:qFormat/>
    <w:uiPriority w:val="0"/>
    <w:rPr>
      <w:rFonts w:ascii="宋体" w:hAnsi="宋体"/>
      <w:b/>
      <w:i/>
      <w:color w:val="FF0000"/>
      <w:kern w:val="2"/>
      <w:sz w:val="24"/>
    </w:rPr>
  </w:style>
  <w:style w:type="paragraph" w:customStyle="1" w:styleId="215">
    <w:name w:val="正文大标题"/>
    <w:basedOn w:val="213"/>
    <w:next w:val="5"/>
    <w:link w:val="216"/>
    <w:autoRedefine/>
    <w:qFormat/>
    <w:uiPriority w:val="0"/>
    <w:pPr>
      <w:jc w:val="center"/>
    </w:pPr>
    <w:rPr>
      <w:i w:val="0"/>
      <w:color w:val="000000"/>
      <w:sz w:val="28"/>
      <w:szCs w:val="21"/>
    </w:rPr>
  </w:style>
  <w:style w:type="character" w:customStyle="1" w:styleId="216">
    <w:name w:val="正文大标题 Char"/>
    <w:link w:val="215"/>
    <w:autoRedefine/>
    <w:qFormat/>
    <w:uiPriority w:val="0"/>
    <w:rPr>
      <w:rFonts w:ascii="宋体" w:hAnsi="宋体"/>
      <w:b/>
      <w:color w:val="000000"/>
      <w:kern w:val="2"/>
      <w:sz w:val="28"/>
      <w:szCs w:val="21"/>
    </w:rPr>
  </w:style>
  <w:style w:type="paragraph" w:customStyle="1" w:styleId="217">
    <w:name w:val="注释"/>
    <w:basedOn w:val="1"/>
    <w:link w:val="218"/>
    <w:autoRedefine/>
    <w:qFormat/>
    <w:uiPriority w:val="0"/>
    <w:pPr>
      <w:adjustRightInd w:val="0"/>
      <w:snapToGrid w:val="0"/>
      <w:ind w:left="420" w:hanging="420" w:hangingChars="200"/>
      <w:jc w:val="left"/>
    </w:pPr>
    <w:rPr>
      <w:rFonts w:ascii="宋体" w:hAnsi="宋体"/>
      <w:szCs w:val="21"/>
    </w:rPr>
  </w:style>
  <w:style w:type="character" w:customStyle="1" w:styleId="218">
    <w:name w:val="注释 Char"/>
    <w:link w:val="217"/>
    <w:autoRedefine/>
    <w:qFormat/>
    <w:uiPriority w:val="0"/>
    <w:rPr>
      <w:rFonts w:ascii="宋体" w:hAnsi="宋体"/>
      <w:kern w:val="2"/>
      <w:sz w:val="21"/>
      <w:szCs w:val="21"/>
    </w:rPr>
  </w:style>
  <w:style w:type="paragraph" w:customStyle="1" w:styleId="219">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0">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1">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2">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3">
    <w:name w:val="表格1"/>
    <w:basedOn w:val="1"/>
    <w:autoRedefine/>
    <w:qFormat/>
    <w:uiPriority w:val="99"/>
    <w:pPr>
      <w:ind w:firstLine="480" w:firstLineChars="200"/>
      <w:jc w:val="center"/>
    </w:pPr>
    <w:rPr>
      <w:sz w:val="24"/>
      <w:szCs w:val="20"/>
    </w:rPr>
  </w:style>
  <w:style w:type="character" w:customStyle="1" w:styleId="224">
    <w:name w:val="纯文本 字符1"/>
    <w:autoRedefine/>
    <w:qFormat/>
    <w:uiPriority w:val="0"/>
    <w:rPr>
      <w:rFonts w:ascii="宋体" w:hAnsi="Courier New"/>
    </w:rPr>
  </w:style>
  <w:style w:type="character" w:customStyle="1" w:styleId="225">
    <w:name w:val="bjh-p"/>
    <w:autoRedefine/>
    <w:qFormat/>
    <w:uiPriority w:val="0"/>
  </w:style>
  <w:style w:type="paragraph" w:customStyle="1" w:styleId="226">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7">
    <w:name w:val="正文格式 Char"/>
    <w:link w:val="228"/>
    <w:autoRedefine/>
    <w:qFormat/>
    <w:locked/>
    <w:uiPriority w:val="0"/>
    <w:rPr>
      <w:rFonts w:ascii="宋体" w:hAnsi="宋体"/>
      <w:sz w:val="24"/>
      <w:szCs w:val="24"/>
      <w:lang w:val="en-GB"/>
    </w:rPr>
  </w:style>
  <w:style w:type="paragraph" w:customStyle="1" w:styleId="228">
    <w:name w:val="正文格式"/>
    <w:basedOn w:val="1"/>
    <w:link w:val="227"/>
    <w:autoRedefine/>
    <w:qFormat/>
    <w:uiPriority w:val="0"/>
    <w:pPr>
      <w:spacing w:beforeLines="50" w:line="360" w:lineRule="auto"/>
      <w:ind w:firstLine="480" w:firstLineChars="200"/>
    </w:pPr>
    <w:rPr>
      <w:rFonts w:ascii="宋体" w:hAnsi="宋体"/>
      <w:kern w:val="0"/>
      <w:sz w:val="24"/>
      <w:lang w:val="en-GB"/>
    </w:rPr>
  </w:style>
  <w:style w:type="character" w:customStyle="1" w:styleId="229">
    <w:name w:val="标题 3 Char"/>
    <w:autoRedefine/>
    <w:qFormat/>
    <w:uiPriority w:val="0"/>
    <w:rPr>
      <w:rFonts w:ascii="宋体" w:eastAsia="宋体"/>
      <w:b/>
      <w:sz w:val="24"/>
      <w:u w:val="single"/>
      <w:lang w:val="en-US" w:eastAsia="zh-CN" w:bidi="ar-SA"/>
    </w:rPr>
  </w:style>
  <w:style w:type="character" w:customStyle="1" w:styleId="230">
    <w:name w:val="正文缩进 Char"/>
    <w:autoRedefine/>
    <w:qFormat/>
    <w:uiPriority w:val="0"/>
    <w:rPr>
      <w:rFonts w:ascii="宋体" w:eastAsia="宋体"/>
      <w:kern w:val="2"/>
      <w:sz w:val="24"/>
      <w:szCs w:val="24"/>
      <w:lang w:val="en-US" w:eastAsia="zh-CN" w:bidi="ar-SA"/>
    </w:rPr>
  </w:style>
  <w:style w:type="character" w:customStyle="1" w:styleId="231">
    <w:name w:val="Char Char111"/>
    <w:autoRedefine/>
    <w:qFormat/>
    <w:uiPriority w:val="0"/>
    <w:rPr>
      <w:rFonts w:ascii="宋体" w:eastAsia="宋体"/>
      <w:b/>
      <w:sz w:val="24"/>
      <w:u w:val="single"/>
      <w:lang w:val="en-US" w:eastAsia="zh-CN" w:bidi="ar-SA"/>
    </w:rPr>
  </w:style>
  <w:style w:type="character" w:customStyle="1" w:styleId="232">
    <w:name w:val="正文文本缩进 Char"/>
    <w:autoRedefine/>
    <w:qFormat/>
    <w:uiPriority w:val="0"/>
    <w:rPr>
      <w:rFonts w:eastAsia="宋体"/>
      <w:kern w:val="2"/>
      <w:sz w:val="24"/>
      <w:szCs w:val="24"/>
      <w:lang w:val="en-US" w:eastAsia="zh-CN" w:bidi="ar-SA"/>
    </w:rPr>
  </w:style>
  <w:style w:type="character" w:customStyle="1" w:styleId="233">
    <w:name w:val="列出段落 Char"/>
    <w:autoRedefine/>
    <w:qFormat/>
    <w:uiPriority w:val="0"/>
    <w:rPr>
      <w:rFonts w:ascii="Calibri" w:hAnsi="Calibri" w:eastAsia="宋体"/>
      <w:kern w:val="2"/>
      <w:sz w:val="21"/>
      <w:szCs w:val="22"/>
      <w:lang w:val="en-US" w:eastAsia="zh-CN" w:bidi="ar-SA"/>
    </w:rPr>
  </w:style>
  <w:style w:type="character" w:customStyle="1" w:styleId="234">
    <w:name w:val="页眉 Char"/>
    <w:autoRedefine/>
    <w:qFormat/>
    <w:uiPriority w:val="0"/>
    <w:rPr>
      <w:rFonts w:eastAsia="宋体"/>
      <w:kern w:val="2"/>
      <w:sz w:val="18"/>
      <w:szCs w:val="18"/>
      <w:lang w:val="en-US" w:eastAsia="zh-CN" w:bidi="ar-SA"/>
    </w:rPr>
  </w:style>
  <w:style w:type="character" w:customStyle="1" w:styleId="235">
    <w:name w:val="标题 2 Char"/>
    <w:autoRedefine/>
    <w:qFormat/>
    <w:uiPriority w:val="99"/>
    <w:rPr>
      <w:rFonts w:ascii="Arial" w:hAnsi="Arial" w:eastAsia="黑体"/>
      <w:b/>
      <w:sz w:val="30"/>
      <w:lang w:val="en-US" w:eastAsia="zh-CN" w:bidi="ar-SA"/>
    </w:rPr>
  </w:style>
  <w:style w:type="paragraph" w:customStyle="1" w:styleId="236">
    <w:name w:val="字元 字元2"/>
    <w:basedOn w:val="1"/>
    <w:autoRedefine/>
    <w:qFormat/>
    <w:uiPriority w:val="99"/>
    <w:rPr>
      <w:rFonts w:ascii="Tahoma" w:hAnsi="Tahoma"/>
      <w:sz w:val="24"/>
      <w:szCs w:val="20"/>
    </w:rPr>
  </w:style>
  <w:style w:type="paragraph" w:customStyle="1" w:styleId="237">
    <w:name w:val="Char3 Char Char Char2"/>
    <w:basedOn w:val="1"/>
    <w:autoRedefine/>
    <w:qFormat/>
    <w:uiPriority w:val="99"/>
    <w:rPr>
      <w:rFonts w:ascii="Tahoma" w:hAnsi="Tahoma"/>
      <w:sz w:val="24"/>
      <w:szCs w:val="20"/>
    </w:rPr>
  </w:style>
  <w:style w:type="paragraph" w:customStyle="1" w:styleId="238">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39">
    <w:name w:val="Char3"/>
    <w:basedOn w:val="1"/>
    <w:autoRedefine/>
    <w:qFormat/>
    <w:uiPriority w:val="99"/>
    <w:pPr>
      <w:tabs>
        <w:tab w:val="left" w:pos="360"/>
      </w:tabs>
    </w:pPr>
    <w:rPr>
      <w:sz w:val="24"/>
    </w:rPr>
  </w:style>
  <w:style w:type="paragraph" w:customStyle="1" w:styleId="240">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1">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2">
    <w:name w:val="列出段落2"/>
    <w:basedOn w:val="1"/>
    <w:autoRedefine/>
    <w:qFormat/>
    <w:uiPriority w:val="99"/>
    <w:pPr>
      <w:ind w:firstLine="420" w:firstLineChars="200"/>
    </w:pPr>
    <w:rPr>
      <w:rFonts w:ascii="Calibri" w:hAnsi="Calibri"/>
      <w:szCs w:val="22"/>
    </w:rPr>
  </w:style>
  <w:style w:type="paragraph" w:customStyle="1" w:styleId="243">
    <w:name w:val="Char Char Char1 Char2"/>
    <w:basedOn w:val="1"/>
    <w:autoRedefine/>
    <w:qFormat/>
    <w:uiPriority w:val="99"/>
    <w:rPr>
      <w:rFonts w:ascii="Tahoma" w:hAnsi="Tahoma"/>
      <w:sz w:val="24"/>
      <w:szCs w:val="20"/>
    </w:rPr>
  </w:style>
  <w:style w:type="paragraph" w:customStyle="1" w:styleId="244">
    <w:name w:val="Char Char Char2"/>
    <w:basedOn w:val="1"/>
    <w:autoRedefine/>
    <w:qFormat/>
    <w:uiPriority w:val="99"/>
    <w:rPr>
      <w:rFonts w:ascii="Tahoma" w:hAnsi="Tahoma"/>
      <w:sz w:val="24"/>
      <w:szCs w:val="20"/>
    </w:rPr>
  </w:style>
  <w:style w:type="paragraph" w:customStyle="1" w:styleId="245">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6">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7">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48">
    <w:name w:val="Char22"/>
    <w:basedOn w:val="1"/>
    <w:autoRedefine/>
    <w:qFormat/>
    <w:uiPriority w:val="99"/>
    <w:rPr>
      <w:rFonts w:ascii="Tahoma" w:hAnsi="Tahoma"/>
      <w:sz w:val="24"/>
      <w:szCs w:val="20"/>
    </w:rPr>
  </w:style>
  <w:style w:type="paragraph" w:customStyle="1" w:styleId="249">
    <w:name w:val="Char Char Char Char Char Char Char Char Char Char2"/>
    <w:basedOn w:val="1"/>
    <w:autoRedefine/>
    <w:qFormat/>
    <w:uiPriority w:val="99"/>
    <w:rPr>
      <w:rFonts w:ascii="宋体" w:hAnsi="宋体" w:cs="Courier New"/>
      <w:sz w:val="32"/>
      <w:szCs w:val="32"/>
    </w:rPr>
  </w:style>
  <w:style w:type="paragraph" w:customStyle="1" w:styleId="250">
    <w:name w:val="Char2 Char Char Char Char Char Char1"/>
    <w:basedOn w:val="1"/>
    <w:autoRedefine/>
    <w:qFormat/>
    <w:uiPriority w:val="99"/>
    <w:pPr>
      <w:widowControl/>
      <w:spacing w:line="400" w:lineRule="exact"/>
      <w:jc w:val="center"/>
    </w:pPr>
  </w:style>
  <w:style w:type="character" w:customStyle="1" w:styleId="251">
    <w:name w:val="页脚 Char"/>
    <w:autoRedefine/>
    <w:qFormat/>
    <w:uiPriority w:val="0"/>
    <w:rPr>
      <w:rFonts w:ascii="宋体" w:eastAsia="宋体"/>
      <w:sz w:val="18"/>
      <w:lang w:val="en-US" w:eastAsia="zh-CN" w:bidi="ar-SA"/>
    </w:rPr>
  </w:style>
  <w:style w:type="paragraph" w:customStyle="1" w:styleId="252">
    <w:name w:val="Char Char41"/>
    <w:basedOn w:val="1"/>
    <w:autoRedefine/>
    <w:qFormat/>
    <w:uiPriority w:val="99"/>
    <w:pPr>
      <w:widowControl/>
      <w:spacing w:line="400" w:lineRule="exact"/>
      <w:jc w:val="center"/>
    </w:pPr>
  </w:style>
  <w:style w:type="character" w:customStyle="1" w:styleId="253">
    <w:name w:val="批注文字 Char"/>
    <w:autoRedefine/>
    <w:qFormat/>
    <w:uiPriority w:val="99"/>
    <w:rPr>
      <w:kern w:val="2"/>
      <w:sz w:val="21"/>
      <w:szCs w:val="24"/>
    </w:rPr>
  </w:style>
  <w:style w:type="character" w:customStyle="1" w:styleId="254">
    <w:name w:val="标题 Char"/>
    <w:autoRedefine/>
    <w:qFormat/>
    <w:uiPriority w:val="0"/>
    <w:rPr>
      <w:b/>
      <w:kern w:val="2"/>
      <w:sz w:val="32"/>
    </w:rPr>
  </w:style>
  <w:style w:type="paragraph" w:customStyle="1" w:styleId="255">
    <w:name w:val="图例"/>
    <w:basedOn w:val="1"/>
    <w:autoRedefine/>
    <w:qFormat/>
    <w:uiPriority w:val="99"/>
    <w:pPr>
      <w:spacing w:before="120" w:after="120" w:line="360" w:lineRule="auto"/>
      <w:jc w:val="center"/>
    </w:pPr>
    <w:rPr>
      <w:rFonts w:eastAsia="仿宋_GB2312"/>
      <w:b/>
      <w:sz w:val="24"/>
      <w:szCs w:val="20"/>
    </w:rPr>
  </w:style>
  <w:style w:type="table" w:customStyle="1" w:styleId="256">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7">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8">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59">
    <w:name w:val="批注文字 Char2"/>
    <w:autoRedefine/>
    <w:qFormat/>
    <w:locked/>
    <w:uiPriority w:val="0"/>
    <w:rPr>
      <w:szCs w:val="24"/>
    </w:rPr>
  </w:style>
  <w:style w:type="character" w:customStyle="1" w:styleId="260">
    <w:name w:val="cwhdiv-l"/>
    <w:basedOn w:val="54"/>
    <w:autoRedefine/>
    <w:qFormat/>
    <w:uiPriority w:val="0"/>
  </w:style>
  <w:style w:type="character" w:customStyle="1" w:styleId="261">
    <w:name w:val="cwhdiv-r"/>
    <w:basedOn w:val="54"/>
    <w:autoRedefine/>
    <w:qFormat/>
    <w:uiPriority w:val="0"/>
  </w:style>
  <w:style w:type="character" w:customStyle="1" w:styleId="262">
    <w:name w:val="普通(网站) 字符"/>
    <w:link w:val="45"/>
    <w:autoRedefine/>
    <w:qFormat/>
    <w:uiPriority w:val="99"/>
    <w:rPr>
      <w:rFonts w:ascii="宋体" w:hAnsi="宋体" w:cs="宋体"/>
      <w:sz w:val="24"/>
      <w:szCs w:val="24"/>
    </w:rPr>
  </w:style>
  <w:style w:type="paragraph" w:customStyle="1" w:styleId="263">
    <w:name w:val="表"/>
    <w:basedOn w:val="1"/>
    <w:link w:val="264"/>
    <w:autoRedefine/>
    <w:qFormat/>
    <w:uiPriority w:val="0"/>
    <w:pPr>
      <w:spacing w:line="360" w:lineRule="auto"/>
      <w:jc w:val="center"/>
    </w:pPr>
    <w:rPr>
      <w:rFonts w:ascii="宋体" w:hAnsi="宋体" w:cstheme="minorBidi"/>
      <w:sz w:val="24"/>
      <w:szCs w:val="22"/>
    </w:rPr>
  </w:style>
  <w:style w:type="character" w:customStyle="1" w:styleId="264">
    <w:name w:val="表 字符"/>
    <w:basedOn w:val="54"/>
    <w:link w:val="263"/>
    <w:autoRedefine/>
    <w:qFormat/>
    <w:uiPriority w:val="0"/>
    <w:rPr>
      <w:rFonts w:ascii="宋体" w:hAnsi="宋体" w:cstheme="minorBidi"/>
      <w:kern w:val="2"/>
      <w:sz w:val="24"/>
      <w:szCs w:val="22"/>
    </w:rPr>
  </w:style>
  <w:style w:type="character" w:customStyle="1" w:styleId="265">
    <w:name w:val="正文缩进 Char2"/>
    <w:autoRedefine/>
    <w:qFormat/>
    <w:locked/>
    <w:uiPriority w:val="0"/>
    <w:rPr>
      <w:lang w:val="zh-CN" w:eastAsia="zh-CN"/>
    </w:rPr>
  </w:style>
  <w:style w:type="character" w:customStyle="1" w:styleId="266">
    <w:name w:val="脚注文本 字符1"/>
    <w:basedOn w:val="54"/>
    <w:link w:val="37"/>
    <w:autoRedefine/>
    <w:qFormat/>
    <w:uiPriority w:val="99"/>
    <w:rPr>
      <w:sz w:val="18"/>
      <w:lang w:val="zh-CN" w:eastAsia="zh-CN"/>
    </w:rPr>
  </w:style>
  <w:style w:type="character" w:customStyle="1" w:styleId="267">
    <w:name w:val="正文文本 2 字符1"/>
    <w:basedOn w:val="54"/>
    <w:link w:val="43"/>
    <w:autoRedefine/>
    <w:qFormat/>
    <w:uiPriority w:val="99"/>
    <w:rPr>
      <w:rFonts w:ascii="宋体" w:hAnsi="宋体"/>
      <w:sz w:val="24"/>
      <w:szCs w:val="24"/>
      <w:u w:val="single"/>
      <w:lang w:val="zh-CN" w:eastAsia="zh-CN"/>
    </w:rPr>
  </w:style>
  <w:style w:type="character" w:customStyle="1" w:styleId="268">
    <w:name w:val="副标题 Char"/>
    <w:basedOn w:val="54"/>
    <w:autoRedefine/>
    <w:qFormat/>
    <w:uiPriority w:val="0"/>
    <w:rPr>
      <w:rFonts w:asciiTheme="majorHAnsi" w:hAnsiTheme="majorHAnsi" w:cstheme="majorBidi"/>
      <w:b/>
      <w:bCs/>
      <w:kern w:val="28"/>
      <w:sz w:val="32"/>
      <w:szCs w:val="32"/>
    </w:rPr>
  </w:style>
  <w:style w:type="character" w:customStyle="1" w:styleId="269">
    <w:name w:val="正文首行缩进 字符"/>
    <w:basedOn w:val="77"/>
    <w:link w:val="49"/>
    <w:autoRedefine/>
    <w:qFormat/>
    <w:uiPriority w:val="99"/>
    <w:rPr>
      <w:rFonts w:ascii="宋体" w:hAnsi="宋体"/>
      <w:kern w:val="2"/>
      <w:sz w:val="21"/>
      <w:szCs w:val="24"/>
    </w:rPr>
  </w:style>
  <w:style w:type="character" w:customStyle="1" w:styleId="270">
    <w:name w:val="正文加粗 Char"/>
    <w:link w:val="271"/>
    <w:autoRedefine/>
    <w:qFormat/>
    <w:locked/>
    <w:uiPriority w:val="0"/>
    <w:rPr>
      <w:b/>
      <w:sz w:val="24"/>
      <w:szCs w:val="24"/>
    </w:rPr>
  </w:style>
  <w:style w:type="paragraph" w:customStyle="1" w:styleId="271">
    <w:name w:val="正文加粗"/>
    <w:basedOn w:val="1"/>
    <w:next w:val="1"/>
    <w:link w:val="270"/>
    <w:autoRedefine/>
    <w:qFormat/>
    <w:uiPriority w:val="0"/>
    <w:pPr>
      <w:adjustRightInd w:val="0"/>
      <w:snapToGrid w:val="0"/>
      <w:spacing w:line="360" w:lineRule="auto"/>
      <w:ind w:right="240" w:firstLine="480" w:firstLineChars="200"/>
      <w:jc w:val="left"/>
    </w:pPr>
    <w:rPr>
      <w:b/>
      <w:kern w:val="0"/>
      <w:sz w:val="24"/>
    </w:rPr>
  </w:style>
  <w:style w:type="character" w:customStyle="1" w:styleId="272">
    <w:name w:val="xmfy Char Char"/>
    <w:link w:val="273"/>
    <w:autoRedefine/>
    <w:qFormat/>
    <w:locked/>
    <w:uiPriority w:val="0"/>
    <w:rPr>
      <w:rFonts w:ascii="宋体" w:hAnsi="宋体" w:cs="宋体"/>
      <w:sz w:val="28"/>
    </w:rPr>
  </w:style>
  <w:style w:type="paragraph" w:customStyle="1" w:styleId="273">
    <w:name w:val="xmfy"/>
    <w:basedOn w:val="5"/>
    <w:link w:val="272"/>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4">
    <w:name w:val="引用 Char"/>
    <w:link w:val="275"/>
    <w:autoRedefine/>
    <w:qFormat/>
    <w:locked/>
    <w:uiPriority w:val="0"/>
    <w:rPr>
      <w:i/>
      <w:iCs/>
      <w:color w:val="000000"/>
    </w:rPr>
  </w:style>
  <w:style w:type="paragraph" w:customStyle="1" w:styleId="275">
    <w:name w:val="引用1"/>
    <w:basedOn w:val="1"/>
    <w:next w:val="1"/>
    <w:link w:val="274"/>
    <w:autoRedefine/>
    <w:qFormat/>
    <w:uiPriority w:val="0"/>
    <w:rPr>
      <w:i/>
      <w:iCs/>
      <w:color w:val="000000"/>
      <w:kern w:val="0"/>
      <w:sz w:val="20"/>
      <w:szCs w:val="20"/>
    </w:rPr>
  </w:style>
  <w:style w:type="character" w:customStyle="1" w:styleId="276">
    <w:name w:val="标题4 Char Char"/>
    <w:link w:val="277"/>
    <w:autoRedefine/>
    <w:qFormat/>
    <w:locked/>
    <w:uiPriority w:val="0"/>
    <w:rPr>
      <w:rFonts w:ascii="Arial" w:hAnsi="Arial" w:cs="Arial"/>
      <w:b/>
      <w:bCs/>
      <w:sz w:val="24"/>
      <w:szCs w:val="32"/>
    </w:rPr>
  </w:style>
  <w:style w:type="paragraph" w:customStyle="1" w:styleId="277">
    <w:name w:val="标题4"/>
    <w:basedOn w:val="4"/>
    <w:next w:val="24"/>
    <w:link w:val="276"/>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78">
    <w:name w:val="明显引用 Char"/>
    <w:link w:val="279"/>
    <w:autoRedefine/>
    <w:qFormat/>
    <w:locked/>
    <w:uiPriority w:val="0"/>
    <w:rPr>
      <w:b/>
      <w:bCs/>
      <w:i/>
      <w:iCs/>
      <w:color w:val="4F81BD"/>
    </w:rPr>
  </w:style>
  <w:style w:type="paragraph" w:customStyle="1" w:styleId="279">
    <w:name w:val="明显引用1"/>
    <w:basedOn w:val="1"/>
    <w:next w:val="1"/>
    <w:link w:val="278"/>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0">
    <w:name w:val="标题5 Char Char"/>
    <w:link w:val="281"/>
    <w:autoRedefine/>
    <w:qFormat/>
    <w:locked/>
    <w:uiPriority w:val="0"/>
    <w:rPr>
      <w:rFonts w:ascii="Arial" w:hAnsi="Arial" w:cs="Arial"/>
      <w:b/>
      <w:bCs/>
      <w:sz w:val="24"/>
      <w:szCs w:val="32"/>
    </w:rPr>
  </w:style>
  <w:style w:type="paragraph" w:customStyle="1" w:styleId="281">
    <w:name w:val="标题5"/>
    <w:basedOn w:val="6"/>
    <w:link w:val="280"/>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2">
    <w:name w:val="my正文 Char"/>
    <w:link w:val="283"/>
    <w:autoRedefine/>
    <w:qFormat/>
    <w:locked/>
    <w:uiPriority w:val="0"/>
    <w:rPr>
      <w:rFonts w:ascii="宋体" w:hAnsi="宋体"/>
      <w:kern w:val="2"/>
      <w:sz w:val="24"/>
      <w:szCs w:val="22"/>
    </w:rPr>
  </w:style>
  <w:style w:type="paragraph" w:customStyle="1" w:styleId="283">
    <w:name w:val="my正文"/>
    <w:link w:val="282"/>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4">
    <w:name w:val="!BECC正文 Char"/>
    <w:link w:val="285"/>
    <w:autoRedefine/>
    <w:qFormat/>
    <w:locked/>
    <w:uiPriority w:val="0"/>
    <w:rPr>
      <w:sz w:val="24"/>
      <w:szCs w:val="24"/>
    </w:rPr>
  </w:style>
  <w:style w:type="paragraph" w:customStyle="1" w:styleId="285">
    <w:name w:val="!BECC正文"/>
    <w:basedOn w:val="1"/>
    <w:link w:val="284"/>
    <w:autoRedefine/>
    <w:qFormat/>
    <w:uiPriority w:val="0"/>
    <w:pPr>
      <w:tabs>
        <w:tab w:val="left" w:pos="0"/>
      </w:tabs>
      <w:spacing w:beforeLines="50" w:line="360" w:lineRule="auto"/>
      <w:ind w:firstLine="200" w:firstLineChars="200"/>
      <w:contextualSpacing/>
    </w:pPr>
    <w:rPr>
      <w:kern w:val="0"/>
      <w:sz w:val="24"/>
    </w:rPr>
  </w:style>
  <w:style w:type="paragraph" w:customStyle="1" w:styleId="286">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7">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88">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9">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0">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1">
    <w:name w:val="列出段落3"/>
    <w:basedOn w:val="1"/>
    <w:autoRedefine/>
    <w:qFormat/>
    <w:uiPriority w:val="34"/>
    <w:pPr>
      <w:ind w:firstLine="420" w:firstLineChars="200"/>
    </w:pPr>
    <w:rPr>
      <w:rFonts w:ascii="Calibri" w:hAnsi="Calibri"/>
      <w:szCs w:val="22"/>
    </w:rPr>
  </w:style>
  <w:style w:type="paragraph" w:customStyle="1" w:styleId="292">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3">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4">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5">
    <w:name w:val="图标题"/>
    <w:basedOn w:val="1"/>
    <w:autoRedefine/>
    <w:qFormat/>
    <w:uiPriority w:val="99"/>
    <w:pPr>
      <w:spacing w:line="360" w:lineRule="auto"/>
      <w:jc w:val="center"/>
    </w:pPr>
  </w:style>
  <w:style w:type="paragraph" w:customStyle="1" w:styleId="296">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8">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9">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0">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2">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4">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5">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6">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7">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08">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9">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0">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2">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4">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5">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6">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7">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8">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19">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0">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1">
    <w:name w:val="样式1"/>
    <w:basedOn w:val="1"/>
    <w:autoRedefine/>
    <w:qFormat/>
    <w:uiPriority w:val="99"/>
    <w:pPr>
      <w:spacing w:before="120" w:after="120" w:line="300" w:lineRule="auto"/>
    </w:pPr>
    <w:rPr>
      <w:rFonts w:ascii="宋体" w:hAnsi="宋体"/>
      <w:b/>
      <w:sz w:val="24"/>
      <w:szCs w:val="20"/>
    </w:rPr>
  </w:style>
  <w:style w:type="paragraph" w:customStyle="1" w:styleId="322">
    <w:name w:val="Style2"/>
    <w:basedOn w:val="1"/>
    <w:autoRedefine/>
    <w:qFormat/>
    <w:uiPriority w:val="99"/>
    <w:pPr>
      <w:adjustRightInd w:val="0"/>
      <w:spacing w:line="533" w:lineRule="exact"/>
      <w:jc w:val="left"/>
    </w:pPr>
    <w:rPr>
      <w:rFonts w:ascii="宋体" w:hAnsi="Calibri"/>
      <w:kern w:val="0"/>
      <w:sz w:val="24"/>
    </w:rPr>
  </w:style>
  <w:style w:type="paragraph" w:customStyle="1" w:styleId="323">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
    <w:name w:val="Char1 Char Char Char"/>
    <w:basedOn w:val="1"/>
    <w:autoRedefine/>
    <w:qFormat/>
    <w:uiPriority w:val="99"/>
    <w:rPr>
      <w:rFonts w:ascii="Tahoma" w:hAnsi="Tahoma"/>
      <w:sz w:val="24"/>
      <w:szCs w:val="20"/>
    </w:rPr>
  </w:style>
  <w:style w:type="paragraph" w:customStyle="1" w:styleId="325">
    <w:name w:val="目录"/>
    <w:basedOn w:val="1"/>
    <w:autoRedefine/>
    <w:qFormat/>
    <w:uiPriority w:val="99"/>
    <w:pPr>
      <w:widowControl/>
      <w:jc w:val="center"/>
    </w:pPr>
    <w:rPr>
      <w:rFonts w:ascii="宋体"/>
      <w:b/>
      <w:kern w:val="0"/>
      <w:sz w:val="36"/>
      <w:szCs w:val="20"/>
    </w:rPr>
  </w:style>
  <w:style w:type="paragraph" w:customStyle="1" w:styleId="326">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7">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8">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29">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0">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1">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2">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3">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4">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5">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6">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8">
    <w:name w:val="Style4"/>
    <w:basedOn w:val="1"/>
    <w:autoRedefine/>
    <w:qFormat/>
    <w:uiPriority w:val="99"/>
    <w:pPr>
      <w:adjustRightInd w:val="0"/>
      <w:jc w:val="left"/>
    </w:pPr>
    <w:rPr>
      <w:rFonts w:ascii="宋体" w:hAnsi="Calibri"/>
      <w:kern w:val="0"/>
      <w:sz w:val="24"/>
    </w:rPr>
  </w:style>
  <w:style w:type="paragraph" w:customStyle="1" w:styleId="339">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0">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1">
    <w:name w:val="修订2"/>
    <w:autoRedefine/>
    <w:qFormat/>
    <w:uiPriority w:val="99"/>
    <w:rPr>
      <w:rFonts w:ascii="Calibri" w:hAnsi="Calibri" w:eastAsia="宋体" w:cs="Times New Roman"/>
      <w:kern w:val="2"/>
      <w:sz w:val="21"/>
      <w:szCs w:val="22"/>
      <w:lang w:val="en-US" w:eastAsia="zh-CN" w:bidi="ar-SA"/>
    </w:rPr>
  </w:style>
  <w:style w:type="paragraph" w:customStyle="1" w:styleId="342">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3">
    <w:name w:val="列出段落6"/>
    <w:basedOn w:val="1"/>
    <w:autoRedefine/>
    <w:qFormat/>
    <w:uiPriority w:val="99"/>
    <w:pPr>
      <w:ind w:firstLine="420" w:firstLineChars="200"/>
    </w:pPr>
    <w:rPr>
      <w:rFonts w:ascii="Calibri" w:hAnsi="Calibri"/>
      <w:szCs w:val="22"/>
    </w:rPr>
  </w:style>
  <w:style w:type="paragraph" w:customStyle="1" w:styleId="344">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5">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6">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7">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8">
    <w:name w:val="Style1"/>
    <w:basedOn w:val="1"/>
    <w:autoRedefine/>
    <w:qFormat/>
    <w:uiPriority w:val="99"/>
    <w:pPr>
      <w:adjustRightInd w:val="0"/>
      <w:jc w:val="left"/>
    </w:pPr>
    <w:rPr>
      <w:rFonts w:ascii="宋体" w:hAnsi="Calibri"/>
      <w:kern w:val="0"/>
      <w:sz w:val="24"/>
    </w:rPr>
  </w:style>
  <w:style w:type="paragraph" w:customStyle="1" w:styleId="349">
    <w:name w:val="列出段落31"/>
    <w:basedOn w:val="1"/>
    <w:autoRedefine/>
    <w:qFormat/>
    <w:uiPriority w:val="99"/>
    <w:pPr>
      <w:ind w:firstLine="420" w:firstLineChars="200"/>
    </w:pPr>
    <w:rPr>
      <w:szCs w:val="20"/>
    </w:rPr>
  </w:style>
  <w:style w:type="paragraph" w:customStyle="1" w:styleId="350">
    <w:name w:val="_Style 251"/>
    <w:basedOn w:val="1"/>
    <w:next w:val="15"/>
    <w:autoRedefine/>
    <w:qFormat/>
    <w:uiPriority w:val="1"/>
    <w:pPr>
      <w:ind w:firstLine="420" w:firstLineChars="200"/>
    </w:pPr>
    <w:rPr>
      <w:rFonts w:ascii="Calibri" w:hAnsi="Calibri"/>
      <w:szCs w:val="22"/>
    </w:rPr>
  </w:style>
  <w:style w:type="paragraph" w:customStyle="1" w:styleId="351">
    <w:name w:val="_Style 261"/>
    <w:basedOn w:val="1"/>
    <w:next w:val="15"/>
    <w:autoRedefine/>
    <w:qFormat/>
    <w:uiPriority w:val="1"/>
    <w:pPr>
      <w:ind w:firstLine="420" w:firstLineChars="200"/>
    </w:pPr>
    <w:rPr>
      <w:rFonts w:ascii="Calibri" w:hAnsi="Calibri"/>
      <w:szCs w:val="22"/>
    </w:rPr>
  </w:style>
  <w:style w:type="paragraph" w:customStyle="1" w:styleId="352">
    <w:name w:val="1.1.1"/>
    <w:basedOn w:val="349"/>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3">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4">
    <w:name w:val="正文（缩进）"/>
    <w:basedOn w:val="1"/>
    <w:autoRedefine/>
    <w:qFormat/>
    <w:uiPriority w:val="99"/>
    <w:pPr>
      <w:spacing w:beforeLines="50"/>
      <w:ind w:firstLine="480"/>
    </w:pPr>
    <w:rPr>
      <w:rFonts w:ascii="Calibri" w:hAnsi="Calibri"/>
      <w:sz w:val="24"/>
      <w:szCs w:val="22"/>
    </w:rPr>
  </w:style>
  <w:style w:type="paragraph" w:customStyle="1" w:styleId="355">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6">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7">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58">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59">
    <w:name w:val="彩色列表 - 强调文字颜色 11"/>
    <w:basedOn w:val="1"/>
    <w:autoRedefine/>
    <w:qFormat/>
    <w:uiPriority w:val="99"/>
    <w:pPr>
      <w:ind w:firstLine="420" w:firstLineChars="200"/>
    </w:pPr>
  </w:style>
  <w:style w:type="character" w:customStyle="1" w:styleId="360">
    <w:name w:val="样式 Char"/>
    <w:link w:val="361"/>
    <w:autoRedefine/>
    <w:qFormat/>
    <w:locked/>
    <w:uiPriority w:val="0"/>
    <w:rPr>
      <w:rFonts w:ascii="宋体" w:hAnsi="宋体"/>
      <w:sz w:val="24"/>
      <w:szCs w:val="24"/>
    </w:rPr>
  </w:style>
  <w:style w:type="paragraph" w:customStyle="1" w:styleId="361">
    <w:name w:val="样式"/>
    <w:link w:val="360"/>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2">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3">
    <w:name w:val="Char Char Char Char Char Char1 Char"/>
    <w:basedOn w:val="1"/>
    <w:autoRedefine/>
    <w:qFormat/>
    <w:uiPriority w:val="99"/>
    <w:pPr>
      <w:widowControl/>
      <w:wordWrap w:val="0"/>
      <w:jc w:val="left"/>
    </w:pPr>
  </w:style>
  <w:style w:type="paragraph" w:customStyle="1" w:styleId="364">
    <w:name w:val="Char1 Char Char1 Char Char Char Char"/>
    <w:basedOn w:val="1"/>
    <w:autoRedefine/>
    <w:qFormat/>
    <w:uiPriority w:val="99"/>
    <w:rPr>
      <w:rFonts w:ascii="Tahoma" w:hAnsi="Tahoma"/>
      <w:sz w:val="24"/>
      <w:szCs w:val="20"/>
    </w:rPr>
  </w:style>
  <w:style w:type="paragraph" w:customStyle="1" w:styleId="365">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6">
    <w:name w:val="Char Char Char Char Char Char1 Char1"/>
    <w:basedOn w:val="1"/>
    <w:autoRedefine/>
    <w:qFormat/>
    <w:uiPriority w:val="99"/>
    <w:pPr>
      <w:widowControl/>
      <w:wordWrap w:val="0"/>
      <w:jc w:val="left"/>
    </w:pPr>
    <w:rPr>
      <w:rFonts w:ascii="Tahoma" w:hAnsi="Tahoma"/>
      <w:sz w:val="24"/>
      <w:szCs w:val="20"/>
    </w:rPr>
  </w:style>
  <w:style w:type="paragraph" w:customStyle="1" w:styleId="367">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68">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9">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0">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1">
    <w:name w:val="1."/>
    <w:basedOn w:val="1"/>
    <w:autoRedefine/>
    <w:qFormat/>
    <w:uiPriority w:val="99"/>
    <w:pPr>
      <w:spacing w:line="360" w:lineRule="auto"/>
    </w:pPr>
    <w:rPr>
      <w:sz w:val="24"/>
    </w:rPr>
  </w:style>
  <w:style w:type="paragraph" w:customStyle="1" w:styleId="372">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3">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4">
    <w:name w:val="Char Char Char Char Char Char Char Char Char Char Char Char Char"/>
    <w:basedOn w:val="1"/>
    <w:autoRedefine/>
    <w:qFormat/>
    <w:uiPriority w:val="99"/>
    <w:rPr>
      <w:rFonts w:ascii="Tahoma" w:hAnsi="Tahoma"/>
      <w:sz w:val="24"/>
      <w:szCs w:val="20"/>
    </w:rPr>
  </w:style>
  <w:style w:type="paragraph" w:customStyle="1" w:styleId="375">
    <w:name w:val="p0"/>
    <w:basedOn w:val="1"/>
    <w:autoRedefine/>
    <w:qFormat/>
    <w:uiPriority w:val="99"/>
    <w:pPr>
      <w:widowControl/>
      <w:jc w:val="left"/>
    </w:pPr>
    <w:rPr>
      <w:rFonts w:ascii="宋体" w:hAnsi="宋体" w:cs="宋体"/>
      <w:kern w:val="0"/>
      <w:sz w:val="24"/>
      <w:szCs w:val="21"/>
    </w:rPr>
  </w:style>
  <w:style w:type="paragraph" w:customStyle="1" w:styleId="376">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7">
    <w:name w:val="默认段落字体 Para Char Char Char Char Char Char Char"/>
    <w:basedOn w:val="17"/>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78">
    <w:name w:val="1)"/>
    <w:basedOn w:val="1"/>
    <w:autoRedefine/>
    <w:qFormat/>
    <w:uiPriority w:val="99"/>
    <w:pPr>
      <w:tabs>
        <w:tab w:val="left" w:pos="900"/>
        <w:tab w:val="left" w:pos="964"/>
      </w:tabs>
      <w:spacing w:line="360" w:lineRule="auto"/>
      <w:ind w:left="420" w:hanging="420"/>
    </w:pPr>
    <w:rPr>
      <w:sz w:val="24"/>
    </w:rPr>
  </w:style>
  <w:style w:type="paragraph" w:customStyle="1" w:styleId="379">
    <w:name w:val="Char Char1 Char Char Char Char Char Char Char"/>
    <w:basedOn w:val="1"/>
    <w:autoRedefine/>
    <w:qFormat/>
    <w:uiPriority w:val="99"/>
    <w:rPr>
      <w:rFonts w:ascii="Tahoma" w:hAnsi="Tahoma"/>
      <w:sz w:val="24"/>
      <w:szCs w:val="20"/>
    </w:rPr>
  </w:style>
  <w:style w:type="paragraph" w:customStyle="1" w:styleId="380">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1">
    <w:name w:val="p15"/>
    <w:basedOn w:val="1"/>
    <w:autoRedefine/>
    <w:qFormat/>
    <w:uiPriority w:val="99"/>
    <w:pPr>
      <w:widowControl/>
      <w:jc w:val="left"/>
    </w:pPr>
    <w:rPr>
      <w:rFonts w:ascii="Calibri" w:hAnsi="Calibri"/>
      <w:kern w:val="0"/>
      <w:sz w:val="24"/>
      <w:szCs w:val="22"/>
    </w:rPr>
  </w:style>
  <w:style w:type="paragraph" w:customStyle="1" w:styleId="382">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3">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4">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5">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6">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0">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1">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2">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3">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4">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5">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6">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8">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9">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0">
    <w:name w:val="修订21"/>
    <w:autoRedefine/>
    <w:qFormat/>
    <w:uiPriority w:val="99"/>
    <w:rPr>
      <w:rFonts w:ascii="Calibri" w:hAnsi="Calibri" w:eastAsia="宋体" w:cs="Times New Roman"/>
      <w:kern w:val="2"/>
      <w:sz w:val="21"/>
      <w:szCs w:val="22"/>
      <w:lang w:val="en-US" w:eastAsia="zh-CN" w:bidi="ar-SA"/>
    </w:rPr>
  </w:style>
  <w:style w:type="character" w:styleId="401">
    <w:name w:val="Placeholder Text"/>
    <w:autoRedefine/>
    <w:semiHidden/>
    <w:qFormat/>
    <w:uiPriority w:val="99"/>
    <w:rPr>
      <w:color w:val="808080"/>
    </w:rPr>
  </w:style>
  <w:style w:type="character" w:customStyle="1" w:styleId="402">
    <w:name w:val="标题 1 Char1"/>
    <w:autoRedefine/>
    <w:qFormat/>
    <w:locked/>
    <w:uiPriority w:val="0"/>
    <w:rPr>
      <w:rFonts w:ascii="黑体" w:cs="宋体"/>
      <w:b/>
      <w:sz w:val="28"/>
      <w:lang w:val="zh-CN"/>
    </w:rPr>
  </w:style>
  <w:style w:type="character" w:customStyle="1" w:styleId="403">
    <w:name w:val="标题 4 Char1"/>
    <w:autoRedefine/>
    <w:semiHidden/>
    <w:qFormat/>
    <w:locked/>
    <w:uiPriority w:val="0"/>
    <w:rPr>
      <w:rFonts w:ascii="Arial" w:hAnsi="Arial" w:eastAsia="仿宋_GB2312"/>
      <w:b/>
      <w:bCs/>
      <w:sz w:val="28"/>
      <w:szCs w:val="28"/>
      <w:lang w:val="zh-CN" w:eastAsia="zh-CN"/>
    </w:rPr>
  </w:style>
  <w:style w:type="character" w:customStyle="1" w:styleId="404">
    <w:name w:val="标题 5 Char1"/>
    <w:autoRedefine/>
    <w:semiHidden/>
    <w:qFormat/>
    <w:locked/>
    <w:uiPriority w:val="0"/>
    <w:rPr>
      <w:rFonts w:ascii="Calibri" w:hAnsi="Calibri"/>
      <w:b/>
      <w:bCs/>
      <w:sz w:val="28"/>
      <w:szCs w:val="28"/>
      <w:lang w:val="zh-CN" w:eastAsia="zh-CN"/>
    </w:rPr>
  </w:style>
  <w:style w:type="character" w:customStyle="1" w:styleId="405">
    <w:name w:val="标题 6 Char1"/>
    <w:autoRedefine/>
    <w:semiHidden/>
    <w:qFormat/>
    <w:locked/>
    <w:uiPriority w:val="0"/>
    <w:rPr>
      <w:rFonts w:ascii="Arial" w:hAnsi="Arial" w:eastAsia="黑体"/>
      <w:b/>
      <w:bCs/>
      <w:sz w:val="24"/>
      <w:szCs w:val="24"/>
      <w:lang w:val="zh-CN"/>
    </w:rPr>
  </w:style>
  <w:style w:type="character" w:customStyle="1" w:styleId="406">
    <w:name w:val="标题 7 Char2"/>
    <w:autoRedefine/>
    <w:semiHidden/>
    <w:qFormat/>
    <w:locked/>
    <w:uiPriority w:val="99"/>
    <w:rPr>
      <w:b/>
      <w:bCs/>
      <w:sz w:val="24"/>
      <w:szCs w:val="24"/>
      <w:lang w:val="zh-CN"/>
    </w:rPr>
  </w:style>
  <w:style w:type="character" w:customStyle="1" w:styleId="407">
    <w:name w:val="标题 8 Char1"/>
    <w:autoRedefine/>
    <w:semiHidden/>
    <w:qFormat/>
    <w:locked/>
    <w:uiPriority w:val="99"/>
    <w:rPr>
      <w:rFonts w:ascii="Arial" w:hAnsi="Arial" w:eastAsia="黑体"/>
      <w:sz w:val="24"/>
      <w:szCs w:val="24"/>
      <w:lang w:val="zh-CN"/>
    </w:rPr>
  </w:style>
  <w:style w:type="character" w:customStyle="1" w:styleId="408">
    <w:name w:val="标题 9 Char1"/>
    <w:autoRedefine/>
    <w:semiHidden/>
    <w:qFormat/>
    <w:locked/>
    <w:uiPriority w:val="99"/>
    <w:rPr>
      <w:rFonts w:ascii="Arial" w:hAnsi="Arial" w:eastAsia="黑体"/>
      <w:szCs w:val="21"/>
      <w:lang w:val="zh-CN"/>
    </w:rPr>
  </w:style>
  <w:style w:type="character" w:customStyle="1" w:styleId="409">
    <w:name w:val="文档结构图 Char2"/>
    <w:autoRedefine/>
    <w:semiHidden/>
    <w:qFormat/>
    <w:locked/>
    <w:uiPriority w:val="99"/>
    <w:rPr>
      <w:rFonts w:eastAsia="Times New Roman"/>
      <w:szCs w:val="24"/>
      <w:shd w:val="clear" w:color="auto" w:fill="000080"/>
      <w:lang w:val="zh-CN" w:eastAsia="zh-CN"/>
    </w:rPr>
  </w:style>
  <w:style w:type="character" w:customStyle="1" w:styleId="410">
    <w:name w:val="正文文本 3 Char1"/>
    <w:autoRedefine/>
    <w:semiHidden/>
    <w:qFormat/>
    <w:locked/>
    <w:uiPriority w:val="99"/>
    <w:rPr>
      <w:rFonts w:eastAsia="Times New Roman"/>
      <w:sz w:val="16"/>
      <w:szCs w:val="16"/>
      <w:lang w:val="zh-CN" w:eastAsia="zh-CN"/>
    </w:rPr>
  </w:style>
  <w:style w:type="character" w:customStyle="1" w:styleId="411">
    <w:name w:val="正文文本 Char2"/>
    <w:autoRedefine/>
    <w:semiHidden/>
    <w:qFormat/>
    <w:locked/>
    <w:uiPriority w:val="99"/>
    <w:rPr>
      <w:rFonts w:eastAsia="Times New Roman"/>
      <w:sz w:val="30"/>
      <w:lang w:val="zh-CN" w:eastAsia="zh-CN"/>
    </w:rPr>
  </w:style>
  <w:style w:type="character" w:customStyle="1" w:styleId="412">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3">
    <w:name w:val="批注框文本 Char2"/>
    <w:autoRedefine/>
    <w:semiHidden/>
    <w:qFormat/>
    <w:locked/>
    <w:uiPriority w:val="99"/>
    <w:rPr>
      <w:rFonts w:eastAsia="Times New Roman"/>
      <w:sz w:val="18"/>
      <w:szCs w:val="18"/>
      <w:lang w:val="zh-CN" w:eastAsia="zh-CN"/>
    </w:rPr>
  </w:style>
  <w:style w:type="character" w:customStyle="1" w:styleId="414">
    <w:name w:val="页脚 Char2"/>
    <w:autoRedefine/>
    <w:semiHidden/>
    <w:qFormat/>
    <w:locked/>
    <w:uiPriority w:val="99"/>
    <w:rPr>
      <w:rFonts w:eastAsia="Times New Roman"/>
      <w:sz w:val="18"/>
      <w:lang w:val="zh-CN" w:eastAsia="zh-CN"/>
    </w:rPr>
  </w:style>
  <w:style w:type="character" w:customStyle="1" w:styleId="415">
    <w:name w:val="副标题 字符1"/>
    <w:link w:val="36"/>
    <w:autoRedefine/>
    <w:qFormat/>
    <w:locked/>
    <w:uiPriority w:val="99"/>
    <w:rPr>
      <w:rFonts w:ascii="Cambria" w:hAnsi="Cambria" w:eastAsia="Times New Roman"/>
      <w:b/>
      <w:bCs/>
      <w:kern w:val="28"/>
      <w:sz w:val="32"/>
      <w:szCs w:val="32"/>
      <w:lang w:val="zh-CN" w:eastAsia="zh-CN"/>
    </w:rPr>
  </w:style>
  <w:style w:type="character" w:customStyle="1" w:styleId="416">
    <w:name w:val="HTML 预设格式 Char2"/>
    <w:autoRedefine/>
    <w:semiHidden/>
    <w:qFormat/>
    <w:locked/>
    <w:uiPriority w:val="0"/>
    <w:rPr>
      <w:rFonts w:ascii="宋体" w:hAnsi="宋体" w:eastAsia="仿宋_GB2312"/>
      <w:sz w:val="24"/>
      <w:szCs w:val="24"/>
      <w:lang w:val="zh-CN" w:eastAsia="zh-CN"/>
    </w:rPr>
  </w:style>
  <w:style w:type="character" w:customStyle="1" w:styleId="417">
    <w:name w:val="标题 Char2"/>
    <w:autoRedefine/>
    <w:qFormat/>
    <w:locked/>
    <w:uiPriority w:val="99"/>
    <w:rPr>
      <w:rFonts w:ascii="Cambria" w:hAnsi="Cambria" w:eastAsia="Times New Roman"/>
      <w:b/>
      <w:bCs/>
      <w:kern w:val="2"/>
      <w:sz w:val="44"/>
      <w:szCs w:val="32"/>
      <w:lang w:val="zh-CN" w:eastAsia="zh-CN"/>
    </w:rPr>
  </w:style>
  <w:style w:type="character" w:customStyle="1" w:styleId="418">
    <w:name w:val="批注主题 Char2"/>
    <w:autoRedefine/>
    <w:semiHidden/>
    <w:qFormat/>
    <w:locked/>
    <w:uiPriority w:val="99"/>
    <w:rPr>
      <w:rFonts w:eastAsia="Times New Roman"/>
      <w:b/>
      <w:bCs/>
      <w:szCs w:val="24"/>
      <w:lang w:val="zh-CN" w:eastAsia="zh-CN"/>
    </w:rPr>
  </w:style>
  <w:style w:type="character" w:customStyle="1" w:styleId="419">
    <w:name w:val="Font Style11"/>
    <w:autoRedefine/>
    <w:qFormat/>
    <w:uiPriority w:val="0"/>
    <w:rPr>
      <w:rFonts w:hint="eastAsia" w:ascii="宋体" w:hAnsi="宋体" w:eastAsia="宋体" w:cs="宋体"/>
      <w:sz w:val="22"/>
      <w:szCs w:val="22"/>
    </w:rPr>
  </w:style>
  <w:style w:type="character" w:customStyle="1" w:styleId="420">
    <w:name w:val="font61"/>
    <w:autoRedefine/>
    <w:qFormat/>
    <w:uiPriority w:val="0"/>
    <w:rPr>
      <w:rFonts w:hint="eastAsia" w:ascii="宋体" w:hAnsi="宋体" w:eastAsia="宋体" w:cs="宋体"/>
      <w:color w:val="000000"/>
      <w:sz w:val="22"/>
      <w:szCs w:val="22"/>
      <w:u w:val="none"/>
    </w:rPr>
  </w:style>
  <w:style w:type="character" w:customStyle="1" w:styleId="421">
    <w:name w:val="不明显强调1"/>
    <w:autoRedefine/>
    <w:qFormat/>
    <w:uiPriority w:val="19"/>
    <w:rPr>
      <w:i/>
      <w:iCs/>
      <w:color w:val="808080"/>
    </w:rPr>
  </w:style>
  <w:style w:type="character" w:customStyle="1" w:styleId="422">
    <w:name w:val="font21"/>
    <w:autoRedefine/>
    <w:qFormat/>
    <w:uiPriority w:val="0"/>
    <w:rPr>
      <w:rFonts w:hint="default" w:ascii="Arial" w:hAnsi="Arial" w:cs="Arial"/>
      <w:color w:val="000000"/>
      <w:sz w:val="20"/>
      <w:szCs w:val="20"/>
      <w:u w:val="none"/>
    </w:rPr>
  </w:style>
  <w:style w:type="character" w:customStyle="1" w:styleId="423">
    <w:name w:val="书籍标题1"/>
    <w:autoRedefine/>
    <w:qFormat/>
    <w:uiPriority w:val="33"/>
    <w:rPr>
      <w:b/>
      <w:bCs/>
      <w:smallCaps/>
      <w:spacing w:val="5"/>
    </w:rPr>
  </w:style>
  <w:style w:type="character" w:customStyle="1" w:styleId="424">
    <w:name w:val="正文文本 Char1"/>
    <w:autoRedefine/>
    <w:qFormat/>
    <w:uiPriority w:val="0"/>
    <w:rPr>
      <w:kern w:val="2"/>
      <w:sz w:val="21"/>
      <w:szCs w:val="22"/>
    </w:rPr>
  </w:style>
  <w:style w:type="character" w:customStyle="1" w:styleId="425">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6">
    <w:name w:val="Font Style13"/>
    <w:autoRedefine/>
    <w:qFormat/>
    <w:uiPriority w:val="0"/>
    <w:rPr>
      <w:rFonts w:hint="eastAsia" w:ascii="宋体" w:hAnsi="宋体" w:eastAsia="宋体" w:cs="宋体"/>
      <w:b/>
      <w:bCs/>
      <w:spacing w:val="500"/>
      <w:sz w:val="48"/>
      <w:szCs w:val="48"/>
    </w:rPr>
  </w:style>
  <w:style w:type="character" w:customStyle="1" w:styleId="427">
    <w:name w:val="text1"/>
    <w:autoRedefine/>
    <w:qFormat/>
    <w:uiPriority w:val="0"/>
    <w:rPr>
      <w:spacing w:val="280"/>
      <w:sz w:val="18"/>
      <w:szCs w:val="18"/>
    </w:rPr>
  </w:style>
  <w:style w:type="character" w:customStyle="1" w:styleId="428">
    <w:name w:val="fontstyle31"/>
    <w:autoRedefine/>
    <w:qFormat/>
    <w:uiPriority w:val="0"/>
    <w:rPr>
      <w:rFonts w:hint="default" w:ascii="ArialMT" w:hAnsi="ArialMT" w:eastAsia="ArialMT" w:cs="ArialMT"/>
      <w:color w:val="000000"/>
      <w:sz w:val="24"/>
      <w:szCs w:val="24"/>
    </w:rPr>
  </w:style>
  <w:style w:type="character" w:customStyle="1" w:styleId="429">
    <w:name w:val="Font Style15"/>
    <w:autoRedefine/>
    <w:qFormat/>
    <w:uiPriority w:val="0"/>
    <w:rPr>
      <w:rFonts w:hint="eastAsia" w:ascii="宋体" w:hAnsi="宋体" w:eastAsia="宋体" w:cs="宋体"/>
      <w:b/>
      <w:bCs/>
      <w:sz w:val="20"/>
      <w:szCs w:val="20"/>
    </w:rPr>
  </w:style>
  <w:style w:type="character" w:customStyle="1" w:styleId="430">
    <w:name w:val="fontstyle41"/>
    <w:autoRedefine/>
    <w:qFormat/>
    <w:uiPriority w:val="0"/>
    <w:rPr>
      <w:rFonts w:hint="default" w:ascii="ArialMT" w:hAnsi="ArialMT" w:eastAsia="ArialMT" w:cs="ArialMT"/>
      <w:color w:val="000000"/>
      <w:sz w:val="24"/>
      <w:szCs w:val="24"/>
    </w:rPr>
  </w:style>
  <w:style w:type="character" w:customStyle="1" w:styleId="431">
    <w:name w:val="font81"/>
    <w:autoRedefine/>
    <w:qFormat/>
    <w:uiPriority w:val="0"/>
    <w:rPr>
      <w:rFonts w:hint="default" w:ascii="Times New Roman" w:hAnsi="Times New Roman" w:cs="Times New Roman"/>
      <w:color w:val="000000"/>
      <w:sz w:val="21"/>
      <w:szCs w:val="21"/>
      <w:u w:val="none"/>
    </w:rPr>
  </w:style>
  <w:style w:type="character" w:customStyle="1" w:styleId="432">
    <w:name w:val="样式 正文 +"/>
    <w:autoRedefine/>
    <w:qFormat/>
    <w:uiPriority w:val="0"/>
    <w:rPr>
      <w:rFonts w:hint="default" w:ascii="Times New Roman" w:hAnsi="Times New Roman" w:eastAsia="Times New Roman" w:cs="Times New Roman"/>
      <w:kern w:val="0"/>
      <w:sz w:val="28"/>
    </w:rPr>
  </w:style>
  <w:style w:type="character" w:customStyle="1" w:styleId="433">
    <w:name w:val="日期 Char1"/>
    <w:autoRedefine/>
    <w:qFormat/>
    <w:uiPriority w:val="0"/>
    <w:rPr>
      <w:kern w:val="2"/>
      <w:sz w:val="21"/>
      <w:szCs w:val="22"/>
    </w:rPr>
  </w:style>
  <w:style w:type="character" w:customStyle="1" w:styleId="434">
    <w:name w:val="font71"/>
    <w:autoRedefine/>
    <w:qFormat/>
    <w:uiPriority w:val="0"/>
    <w:rPr>
      <w:rFonts w:hint="default" w:ascii="Times New Roman" w:hAnsi="Times New Roman" w:cs="Times New Roman"/>
      <w:color w:val="000000"/>
      <w:sz w:val="20"/>
      <w:szCs w:val="20"/>
      <w:u w:val="none"/>
    </w:rPr>
  </w:style>
  <w:style w:type="character" w:customStyle="1" w:styleId="435">
    <w:name w:val="明显参考1"/>
    <w:autoRedefine/>
    <w:qFormat/>
    <w:uiPriority w:val="32"/>
    <w:rPr>
      <w:b/>
      <w:bCs/>
      <w:smallCaps/>
      <w:color w:val="C0504D"/>
      <w:spacing w:val="5"/>
      <w:u w:val="single"/>
    </w:rPr>
  </w:style>
  <w:style w:type="character" w:customStyle="1" w:styleId="436">
    <w:name w:val="Font Style16"/>
    <w:autoRedefine/>
    <w:qFormat/>
    <w:uiPriority w:val="0"/>
    <w:rPr>
      <w:rFonts w:hint="default" w:ascii="Times New Roman" w:hAnsi="Times New Roman" w:cs="Times New Roman"/>
      <w:sz w:val="22"/>
      <w:szCs w:val="22"/>
    </w:rPr>
  </w:style>
  <w:style w:type="character" w:customStyle="1" w:styleId="437">
    <w:name w:val="HTML 预设格式 Char1"/>
    <w:autoRedefine/>
    <w:qFormat/>
    <w:uiPriority w:val="0"/>
    <w:rPr>
      <w:rFonts w:hint="default" w:ascii="Courier New" w:hAnsi="Courier New" w:cs="Courier New"/>
      <w:kern w:val="2"/>
    </w:rPr>
  </w:style>
  <w:style w:type="character" w:customStyle="1" w:styleId="438">
    <w:name w:val="不明显参考1"/>
    <w:autoRedefine/>
    <w:qFormat/>
    <w:uiPriority w:val="31"/>
    <w:rPr>
      <w:smallCaps/>
      <w:color w:val="C0504D"/>
      <w:u w:val="single"/>
    </w:rPr>
  </w:style>
  <w:style w:type="character" w:customStyle="1" w:styleId="439">
    <w:name w:val="批注文字 Char Char"/>
    <w:autoRedefine/>
    <w:qFormat/>
    <w:uiPriority w:val="0"/>
    <w:rPr>
      <w:rFonts w:hint="eastAsia" w:ascii="宋体" w:hAnsi="Times New Roman" w:eastAsia="宋体" w:cs="Times New Roman"/>
      <w:sz w:val="28"/>
      <w:szCs w:val="20"/>
    </w:rPr>
  </w:style>
  <w:style w:type="character" w:customStyle="1" w:styleId="440">
    <w:name w:val="批注主题 Char1"/>
    <w:autoRedefine/>
    <w:qFormat/>
    <w:uiPriority w:val="0"/>
    <w:rPr>
      <w:b/>
      <w:bCs/>
      <w:kern w:val="2"/>
      <w:sz w:val="21"/>
      <w:szCs w:val="22"/>
    </w:rPr>
  </w:style>
  <w:style w:type="character" w:customStyle="1" w:styleId="441">
    <w:name w:val="文档结构图 Char1"/>
    <w:autoRedefine/>
    <w:qFormat/>
    <w:uiPriority w:val="0"/>
    <w:rPr>
      <w:rFonts w:hint="eastAsia" w:ascii="宋体" w:hAnsi="宋体" w:eastAsia="宋体"/>
      <w:kern w:val="2"/>
      <w:sz w:val="18"/>
      <w:szCs w:val="18"/>
    </w:rPr>
  </w:style>
  <w:style w:type="character" w:customStyle="1" w:styleId="442">
    <w:name w:val="font141"/>
    <w:autoRedefine/>
    <w:qFormat/>
    <w:uiPriority w:val="0"/>
    <w:rPr>
      <w:rFonts w:hint="eastAsia" w:ascii="宋体" w:hAnsi="宋体" w:eastAsia="宋体" w:cs="宋体"/>
      <w:color w:val="000000"/>
      <w:sz w:val="22"/>
      <w:szCs w:val="22"/>
      <w:u w:val="none"/>
    </w:rPr>
  </w:style>
  <w:style w:type="character" w:customStyle="1" w:styleId="443">
    <w:name w:val="Font Style18"/>
    <w:autoRedefine/>
    <w:qFormat/>
    <w:uiPriority w:val="0"/>
    <w:rPr>
      <w:rFonts w:hint="default" w:ascii="Candara" w:hAnsi="Candara" w:cs="Candara"/>
      <w:spacing w:val="-20"/>
      <w:sz w:val="20"/>
      <w:szCs w:val="20"/>
    </w:rPr>
  </w:style>
  <w:style w:type="character" w:customStyle="1" w:styleId="444">
    <w:name w:val="明显引用 Char1"/>
    <w:autoRedefine/>
    <w:qFormat/>
    <w:uiPriority w:val="30"/>
    <w:rPr>
      <w:rFonts w:hint="default" w:ascii="Calibri" w:hAnsi="Calibri" w:eastAsia="宋体" w:cs="Times New Roman"/>
      <w:b/>
      <w:bCs/>
      <w:i/>
      <w:iCs/>
      <w:color w:val="4F81BD"/>
    </w:rPr>
  </w:style>
  <w:style w:type="character" w:customStyle="1" w:styleId="445">
    <w:name w:val="明显强调1"/>
    <w:autoRedefine/>
    <w:qFormat/>
    <w:uiPriority w:val="21"/>
    <w:rPr>
      <w:b/>
      <w:bCs/>
      <w:i/>
      <w:iCs/>
      <w:color w:val="4F81BD"/>
    </w:rPr>
  </w:style>
  <w:style w:type="character" w:customStyle="1" w:styleId="446">
    <w:name w:val="副标题 Char1"/>
    <w:autoRedefine/>
    <w:qFormat/>
    <w:uiPriority w:val="0"/>
    <w:rPr>
      <w:rFonts w:hint="default" w:ascii="Cambria" w:hAnsi="Cambria" w:cs="Times New Roman"/>
      <w:b/>
      <w:bCs/>
      <w:kern w:val="28"/>
      <w:sz w:val="32"/>
      <w:szCs w:val="32"/>
    </w:rPr>
  </w:style>
  <w:style w:type="character" w:customStyle="1" w:styleId="447">
    <w:name w:val="font41"/>
    <w:autoRedefine/>
    <w:qFormat/>
    <w:uiPriority w:val="0"/>
    <w:rPr>
      <w:rFonts w:hint="eastAsia" w:ascii="宋体" w:hAnsi="宋体" w:eastAsia="宋体" w:cs="宋体"/>
      <w:color w:val="000000"/>
      <w:sz w:val="21"/>
      <w:szCs w:val="21"/>
      <w:u w:val="none"/>
    </w:rPr>
  </w:style>
  <w:style w:type="character" w:customStyle="1" w:styleId="448">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49">
    <w:name w:val="文字加横线"/>
    <w:autoRedefine/>
    <w:qFormat/>
    <w:uiPriority w:val="0"/>
    <w:rPr>
      <w:u w:val="single"/>
    </w:rPr>
  </w:style>
  <w:style w:type="character" w:customStyle="1" w:styleId="450">
    <w:name w:val="fontstyle11"/>
    <w:autoRedefine/>
    <w:qFormat/>
    <w:uiPriority w:val="0"/>
    <w:rPr>
      <w:rFonts w:hint="eastAsia" w:ascii="宋体" w:hAnsi="宋体" w:eastAsia="宋体" w:cs="宋体"/>
      <w:color w:val="000000"/>
      <w:sz w:val="24"/>
      <w:szCs w:val="24"/>
    </w:rPr>
  </w:style>
  <w:style w:type="character" w:customStyle="1" w:styleId="451">
    <w:name w:val="textcontents"/>
    <w:autoRedefine/>
    <w:qFormat/>
    <w:uiPriority w:val="0"/>
    <w:rPr>
      <w:rFonts w:hint="default" w:ascii="Times New Roman" w:hAnsi="Times New Roman" w:cs="Times New Roman"/>
    </w:rPr>
  </w:style>
  <w:style w:type="character" w:customStyle="1" w:styleId="452">
    <w:name w:val="引用 Char1"/>
    <w:autoRedefine/>
    <w:qFormat/>
    <w:uiPriority w:val="29"/>
    <w:rPr>
      <w:rFonts w:hint="default" w:ascii="Calibri" w:hAnsi="Calibri" w:eastAsia="宋体" w:cs="Times New Roman"/>
      <w:i/>
      <w:iCs/>
      <w:color w:val="000000"/>
    </w:rPr>
  </w:style>
  <w:style w:type="character" w:customStyle="1" w:styleId="453">
    <w:name w:val="fontstyle21"/>
    <w:autoRedefine/>
    <w:qFormat/>
    <w:uiPriority w:val="0"/>
    <w:rPr>
      <w:rFonts w:hint="default" w:ascii="Arial-BoldMT" w:hAnsi="Arial-BoldMT" w:eastAsia="Arial-BoldMT" w:cs="Arial-BoldMT"/>
      <w:b/>
      <w:color w:val="000000"/>
      <w:sz w:val="24"/>
      <w:szCs w:val="24"/>
    </w:rPr>
  </w:style>
  <w:style w:type="character" w:customStyle="1" w:styleId="454">
    <w:name w:val="fontstyle01"/>
    <w:autoRedefine/>
    <w:qFormat/>
    <w:uiPriority w:val="0"/>
    <w:rPr>
      <w:rFonts w:hint="eastAsia" w:ascii="宋体" w:hAnsi="宋体" w:eastAsia="宋体" w:cs="宋体"/>
      <w:color w:val="000000"/>
      <w:sz w:val="32"/>
      <w:szCs w:val="32"/>
    </w:rPr>
  </w:style>
  <w:style w:type="character" w:customStyle="1" w:styleId="455">
    <w:name w:val="style11"/>
    <w:autoRedefine/>
    <w:qFormat/>
    <w:uiPriority w:val="0"/>
    <w:rPr>
      <w:color w:val="000000"/>
      <w:sz w:val="18"/>
      <w:szCs w:val="18"/>
    </w:rPr>
  </w:style>
  <w:style w:type="character" w:customStyle="1" w:styleId="456">
    <w:name w:val="font112"/>
    <w:autoRedefine/>
    <w:qFormat/>
    <w:uiPriority w:val="0"/>
    <w:rPr>
      <w:rFonts w:hint="eastAsia" w:ascii="宋体" w:hAnsi="宋体" w:eastAsia="宋体" w:cs="宋体"/>
      <w:color w:val="000000"/>
      <w:sz w:val="20"/>
      <w:szCs w:val="20"/>
      <w:u w:val="none"/>
    </w:rPr>
  </w:style>
  <w:style w:type="character" w:customStyle="1" w:styleId="457">
    <w:name w:val="Font Style14"/>
    <w:autoRedefine/>
    <w:qFormat/>
    <w:uiPriority w:val="0"/>
    <w:rPr>
      <w:rFonts w:hint="eastAsia" w:ascii="宋体" w:hAnsi="宋体" w:eastAsia="宋体" w:cs="宋体"/>
      <w:sz w:val="22"/>
      <w:szCs w:val="22"/>
    </w:rPr>
  </w:style>
  <w:style w:type="character" w:customStyle="1" w:styleId="458">
    <w:name w:val="批注框文本 Char1"/>
    <w:autoRedefine/>
    <w:qFormat/>
    <w:uiPriority w:val="0"/>
    <w:rPr>
      <w:kern w:val="2"/>
      <w:sz w:val="18"/>
      <w:szCs w:val="18"/>
    </w:rPr>
  </w:style>
  <w:style w:type="character" w:customStyle="1" w:styleId="459">
    <w:name w:val="15"/>
    <w:autoRedefine/>
    <w:qFormat/>
    <w:uiPriority w:val="0"/>
    <w:rPr>
      <w:rFonts w:hint="default" w:ascii="Times New Roman" w:hAnsi="Times New Roman" w:cs="Times New Roman"/>
      <w:sz w:val="21"/>
      <w:szCs w:val="21"/>
    </w:rPr>
  </w:style>
  <w:style w:type="character" w:customStyle="1" w:styleId="460">
    <w:name w:val="标题 3 字符1"/>
    <w:autoRedefine/>
    <w:qFormat/>
    <w:locked/>
    <w:uiPriority w:val="9"/>
    <w:rPr>
      <w:b/>
      <w:sz w:val="32"/>
      <w:lang w:val="zh-CN"/>
    </w:rPr>
  </w:style>
  <w:style w:type="character" w:customStyle="1" w:styleId="461">
    <w:name w:val="标题 1 字符"/>
    <w:autoRedefine/>
    <w:qFormat/>
    <w:locked/>
    <w:uiPriority w:val="0"/>
    <w:rPr>
      <w:rFonts w:hint="eastAsia" w:ascii="黑体" w:hAnsi="Times New Roman" w:eastAsia="宋体" w:cs="宋体"/>
      <w:b/>
      <w:sz w:val="28"/>
      <w:lang w:val="zh-CN" w:eastAsia="zh-CN"/>
    </w:rPr>
  </w:style>
  <w:style w:type="character" w:customStyle="1" w:styleId="462">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3">
    <w:name w:val="标题 4 字符"/>
    <w:autoRedefine/>
    <w:qFormat/>
    <w:locked/>
    <w:uiPriority w:val="0"/>
    <w:rPr>
      <w:rFonts w:hint="default" w:ascii="Arial" w:hAnsi="Arial" w:eastAsia="仿宋_GB2312" w:cs="Times New Roman"/>
      <w:b/>
      <w:bCs/>
      <w:sz w:val="28"/>
      <w:szCs w:val="28"/>
    </w:rPr>
  </w:style>
  <w:style w:type="character" w:customStyle="1" w:styleId="464">
    <w:name w:val="标题 5 字符"/>
    <w:autoRedefine/>
    <w:qFormat/>
    <w:locked/>
    <w:uiPriority w:val="0"/>
    <w:rPr>
      <w:rFonts w:hint="default" w:ascii="Calibri" w:hAnsi="Calibri" w:eastAsia="宋体" w:cs="宋体"/>
      <w:b/>
      <w:bCs/>
      <w:sz w:val="28"/>
      <w:szCs w:val="28"/>
    </w:rPr>
  </w:style>
  <w:style w:type="character" w:customStyle="1" w:styleId="465">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6">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7">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68">
    <w:name w:val="标题 9 字符"/>
    <w:autoRedefine/>
    <w:qFormat/>
    <w:locked/>
    <w:uiPriority w:val="99"/>
    <w:rPr>
      <w:rFonts w:hint="default" w:ascii="Arial" w:hAnsi="Arial" w:eastAsia="黑体" w:cs="Times New Roman"/>
      <w:kern w:val="0"/>
      <w:szCs w:val="21"/>
      <w:lang w:val="zh-CN" w:eastAsia="zh-CN"/>
    </w:rPr>
  </w:style>
  <w:style w:type="character" w:customStyle="1" w:styleId="469">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0">
    <w:name w:val="批注文字 字符1"/>
    <w:autoRedefine/>
    <w:qFormat/>
    <w:locked/>
    <w:uiPriority w:val="99"/>
    <w:rPr>
      <w:rFonts w:hint="default" w:ascii="Times New Roman" w:hAnsi="Times New Roman" w:eastAsia="宋体" w:cs="Times New Roman"/>
      <w:szCs w:val="24"/>
    </w:rPr>
  </w:style>
  <w:style w:type="character" w:customStyle="1" w:styleId="471">
    <w:name w:val="正文文本 3 字符"/>
    <w:autoRedefine/>
    <w:qFormat/>
    <w:locked/>
    <w:uiPriority w:val="99"/>
    <w:rPr>
      <w:rFonts w:hint="default" w:ascii="Times New Roman" w:hAnsi="Times New Roman" w:eastAsia="Times New Roman" w:cs="Times New Roman"/>
      <w:sz w:val="16"/>
      <w:szCs w:val="16"/>
    </w:rPr>
  </w:style>
  <w:style w:type="character" w:customStyle="1" w:styleId="472">
    <w:name w:val="正文文本 字符"/>
    <w:autoRedefine/>
    <w:qFormat/>
    <w:locked/>
    <w:uiPriority w:val="99"/>
    <w:rPr>
      <w:rFonts w:hint="default" w:ascii="Times New Roman" w:hAnsi="Times New Roman" w:eastAsia="Times New Roman" w:cs="Times New Roman"/>
      <w:sz w:val="30"/>
      <w:szCs w:val="20"/>
    </w:rPr>
  </w:style>
  <w:style w:type="character" w:customStyle="1" w:styleId="473">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4">
    <w:name w:val="日期 字符1"/>
    <w:autoRedefine/>
    <w:qFormat/>
    <w:uiPriority w:val="0"/>
    <w:rPr>
      <w:rFonts w:hint="default" w:ascii="Times New Roman" w:hAnsi="Times New Roman" w:eastAsia="宋体" w:cs="Times New Roman"/>
      <w:sz w:val="24"/>
      <w:szCs w:val="20"/>
    </w:rPr>
  </w:style>
  <w:style w:type="character" w:customStyle="1" w:styleId="475">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6">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7">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78">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79">
    <w:name w:val="副标题 字符"/>
    <w:autoRedefine/>
    <w:qFormat/>
    <w:locked/>
    <w:uiPriority w:val="0"/>
    <w:rPr>
      <w:rFonts w:hint="default" w:ascii="Cambria" w:hAnsi="Cambria" w:eastAsia="Times New Roman" w:cs="Times New Roman"/>
      <w:b/>
      <w:bCs/>
      <w:kern w:val="28"/>
      <w:sz w:val="32"/>
      <w:szCs w:val="32"/>
    </w:rPr>
  </w:style>
  <w:style w:type="character" w:customStyle="1" w:styleId="480">
    <w:name w:val="脚注文本 字符"/>
    <w:autoRedefine/>
    <w:qFormat/>
    <w:uiPriority w:val="0"/>
    <w:rPr>
      <w:rFonts w:hint="default" w:ascii="Times New Roman" w:hAnsi="Times New Roman" w:eastAsia="宋体" w:cs="Times New Roman"/>
      <w:kern w:val="0"/>
      <w:sz w:val="18"/>
      <w:szCs w:val="20"/>
    </w:rPr>
  </w:style>
  <w:style w:type="character" w:customStyle="1" w:styleId="481">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2">
    <w:name w:val="正文文本 2 字符"/>
    <w:autoRedefine/>
    <w:qFormat/>
    <w:uiPriority w:val="99"/>
    <w:rPr>
      <w:rFonts w:hint="eastAsia" w:ascii="宋体" w:hAnsi="宋体" w:eastAsia="宋体" w:cs="Times New Roman"/>
      <w:sz w:val="24"/>
      <w:szCs w:val="24"/>
      <w:u w:val="single"/>
    </w:rPr>
  </w:style>
  <w:style w:type="character" w:customStyle="1" w:styleId="483">
    <w:name w:val="HTML 预设格式 字符"/>
    <w:autoRedefine/>
    <w:qFormat/>
    <w:locked/>
    <w:uiPriority w:val="0"/>
    <w:rPr>
      <w:rFonts w:hint="eastAsia" w:ascii="宋体" w:hAnsi="宋体" w:eastAsia="仿宋_GB2312" w:cs="Times New Roman"/>
      <w:kern w:val="0"/>
      <w:sz w:val="24"/>
      <w:szCs w:val="24"/>
    </w:rPr>
  </w:style>
  <w:style w:type="character" w:customStyle="1" w:styleId="484">
    <w:name w:val="标题 字符"/>
    <w:autoRedefine/>
    <w:qFormat/>
    <w:locked/>
    <w:uiPriority w:val="99"/>
    <w:rPr>
      <w:rFonts w:hint="default" w:ascii="Cambria" w:hAnsi="Cambria" w:eastAsia="Times New Roman"/>
      <w:b/>
      <w:bCs/>
      <w:kern w:val="2"/>
      <w:sz w:val="44"/>
      <w:szCs w:val="32"/>
    </w:rPr>
  </w:style>
  <w:style w:type="character" w:customStyle="1" w:styleId="485">
    <w:name w:val="批注主题 字符1"/>
    <w:autoRedefine/>
    <w:qFormat/>
    <w:locked/>
    <w:uiPriority w:val="0"/>
    <w:rPr>
      <w:rFonts w:hint="default" w:ascii="Times New Roman" w:hAnsi="Times New Roman" w:eastAsia="Times New Roman" w:cs="Times New Roman"/>
      <w:b/>
      <w:bCs/>
      <w:szCs w:val="24"/>
    </w:rPr>
  </w:style>
  <w:style w:type="character" w:customStyle="1" w:styleId="486">
    <w:name w:val="页眉 字符"/>
    <w:autoRedefine/>
    <w:qFormat/>
    <w:uiPriority w:val="99"/>
    <w:rPr>
      <w:sz w:val="18"/>
      <w:szCs w:val="18"/>
    </w:rPr>
  </w:style>
  <w:style w:type="character" w:customStyle="1" w:styleId="487">
    <w:name w:val="页脚 字符"/>
    <w:autoRedefine/>
    <w:qFormat/>
    <w:uiPriority w:val="99"/>
    <w:rPr>
      <w:sz w:val="18"/>
      <w:szCs w:val="18"/>
    </w:rPr>
  </w:style>
  <w:style w:type="character" w:customStyle="1" w:styleId="488">
    <w:name w:val="标题 3 字符"/>
    <w:autoRedefine/>
    <w:qFormat/>
    <w:uiPriority w:val="0"/>
    <w:rPr>
      <w:rFonts w:hint="eastAsia" w:ascii="宋体" w:hAnsi="宋体" w:eastAsia="宋体"/>
      <w:bCs/>
      <w:sz w:val="21"/>
      <w:szCs w:val="21"/>
    </w:rPr>
  </w:style>
  <w:style w:type="character" w:customStyle="1" w:styleId="489">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0">
    <w:name w:val="日期 字符"/>
    <w:autoRedefine/>
    <w:qFormat/>
    <w:uiPriority w:val="99"/>
    <w:rPr>
      <w:sz w:val="21"/>
      <w:szCs w:val="22"/>
    </w:rPr>
  </w:style>
  <w:style w:type="character" w:customStyle="1" w:styleId="491">
    <w:name w:val="批注框文本 字符"/>
    <w:autoRedefine/>
    <w:qFormat/>
    <w:uiPriority w:val="99"/>
    <w:rPr>
      <w:sz w:val="18"/>
      <w:szCs w:val="18"/>
    </w:rPr>
  </w:style>
  <w:style w:type="character" w:customStyle="1" w:styleId="492">
    <w:name w:val="批注主题 字符"/>
    <w:autoRedefine/>
    <w:qFormat/>
    <w:uiPriority w:val="99"/>
    <w:rPr>
      <w:b/>
      <w:bCs/>
      <w:kern w:val="2"/>
      <w:sz w:val="21"/>
      <w:szCs w:val="22"/>
    </w:rPr>
  </w:style>
  <w:style w:type="character" w:customStyle="1" w:styleId="493">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4">
    <w:name w:val="批注文字 字符2"/>
    <w:autoRedefine/>
    <w:qFormat/>
    <w:locked/>
    <w:uiPriority w:val="0"/>
    <w:rPr>
      <w:rFonts w:hint="default" w:ascii="Times New Roman" w:hAnsi="Times New Roman" w:eastAsia="宋体" w:cs="Times New Roman"/>
      <w:szCs w:val="24"/>
    </w:rPr>
  </w:style>
  <w:style w:type="character" w:customStyle="1" w:styleId="495">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6">
    <w:name w:val="正文首行缩进 2 Char1"/>
    <w:basedOn w:val="232"/>
    <w:autoRedefine/>
    <w:semiHidden/>
    <w:qFormat/>
    <w:uiPriority w:val="99"/>
    <w:rPr>
      <w:rFonts w:hint="default" w:ascii="Calibri" w:hAnsi="Calibri" w:eastAsia="宋体" w:cs="Calibri"/>
      <w:kern w:val="2"/>
      <w:sz w:val="21"/>
      <w:szCs w:val="22"/>
      <w:lang w:val="en-US" w:eastAsia="zh-CN" w:bidi="ar-SA"/>
    </w:rPr>
  </w:style>
  <w:style w:type="character" w:customStyle="1" w:styleId="497">
    <w:name w:val="正文文本缩进 3 Char1"/>
    <w:autoRedefine/>
    <w:qFormat/>
    <w:uiPriority w:val="0"/>
    <w:rPr>
      <w:kern w:val="2"/>
      <w:sz w:val="16"/>
      <w:szCs w:val="16"/>
    </w:rPr>
  </w:style>
  <w:style w:type="character" w:customStyle="1" w:styleId="498">
    <w:name w:val="结束语 Char1"/>
    <w:autoRedefine/>
    <w:qFormat/>
    <w:uiPriority w:val="0"/>
    <w:rPr>
      <w:kern w:val="2"/>
      <w:sz w:val="21"/>
    </w:rPr>
  </w:style>
  <w:style w:type="character" w:customStyle="1" w:styleId="499">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0">
    <w:name w:val="msonormal"/>
    <w:autoRedefine/>
    <w:qFormat/>
    <w:uiPriority w:val="0"/>
    <w:rPr>
      <w:rFonts w:hint="default" w:ascii="Tahoma" w:hAnsi="Tahoma" w:eastAsia="仿宋_GB2312" w:cs="Tahoma"/>
      <w:kern w:val="2"/>
      <w:sz w:val="24"/>
      <w:lang w:val="en-US" w:eastAsia="ar-SA" w:bidi="ar-SA"/>
    </w:rPr>
  </w:style>
  <w:style w:type="character" w:customStyle="1" w:styleId="501">
    <w:name w:val="正文首行缩进 Char1"/>
    <w:autoRedefine/>
    <w:qFormat/>
    <w:uiPriority w:val="0"/>
    <w:rPr>
      <w:rFonts w:hint="eastAsia" w:ascii="宋体" w:hAnsi="宋体" w:eastAsia="宋体"/>
      <w:kern w:val="2"/>
      <w:sz w:val="21"/>
      <w:szCs w:val="24"/>
    </w:rPr>
  </w:style>
  <w:style w:type="character" w:customStyle="1" w:styleId="502">
    <w:name w:val="WW-默认段落字体"/>
    <w:autoRedefine/>
    <w:qFormat/>
    <w:uiPriority w:val="0"/>
  </w:style>
  <w:style w:type="character" w:customStyle="1" w:styleId="503">
    <w:name w:val="正文文本 3 Char2"/>
    <w:autoRedefine/>
    <w:qFormat/>
    <w:uiPriority w:val="0"/>
    <w:rPr>
      <w:rFonts w:hint="default" w:ascii="Calibri" w:hAnsi="Calibri" w:cs="Calibri"/>
      <w:kern w:val="2"/>
      <w:sz w:val="16"/>
      <w:szCs w:val="16"/>
    </w:rPr>
  </w:style>
  <w:style w:type="character" w:customStyle="1" w:styleId="504">
    <w:name w:val="正文文本缩进 3 Char2"/>
    <w:autoRedefine/>
    <w:qFormat/>
    <w:uiPriority w:val="0"/>
    <w:rPr>
      <w:rFonts w:hint="default" w:ascii="Calibri" w:hAnsi="Calibri" w:cs="Calibri"/>
      <w:kern w:val="2"/>
      <w:sz w:val="16"/>
      <w:szCs w:val="16"/>
    </w:rPr>
  </w:style>
  <w:style w:type="character" w:customStyle="1" w:styleId="505">
    <w:name w:val="正文文本缩进 2 Char2"/>
    <w:autoRedefine/>
    <w:qFormat/>
    <w:uiPriority w:val="0"/>
    <w:rPr>
      <w:rFonts w:hint="default" w:ascii="Calibri" w:hAnsi="Calibri" w:cs="Calibri"/>
      <w:kern w:val="2"/>
      <w:sz w:val="21"/>
      <w:szCs w:val="22"/>
    </w:rPr>
  </w:style>
  <w:style w:type="character" w:customStyle="1" w:styleId="506">
    <w:name w:val="vu61wz24xka"/>
    <w:autoRedefine/>
    <w:qFormat/>
    <w:uiPriority w:val="0"/>
  </w:style>
  <w:style w:type="character" w:customStyle="1" w:styleId="507">
    <w:name w:val="tjdpxq74904"/>
    <w:autoRedefine/>
    <w:qFormat/>
    <w:uiPriority w:val="0"/>
  </w:style>
  <w:style w:type="character" w:customStyle="1" w:styleId="508">
    <w:name w:val="gj6pbv7a4"/>
    <w:autoRedefine/>
    <w:qFormat/>
    <w:uiPriority w:val="0"/>
  </w:style>
  <w:style w:type="character" w:customStyle="1" w:styleId="509">
    <w:name w:val="vqd08s3i"/>
    <w:autoRedefine/>
    <w:qFormat/>
    <w:uiPriority w:val="0"/>
  </w:style>
  <w:style w:type="character" w:customStyle="1" w:styleId="510">
    <w:name w:val="i4dt25oa"/>
    <w:autoRedefine/>
    <w:qFormat/>
    <w:uiPriority w:val="0"/>
  </w:style>
  <w:style w:type="character" w:customStyle="1" w:styleId="511">
    <w:name w:val="bw21zv1o44"/>
    <w:autoRedefine/>
    <w:qFormat/>
    <w:uiPriority w:val="0"/>
  </w:style>
  <w:style w:type="character" w:customStyle="1" w:styleId="512">
    <w:name w:val="font131"/>
    <w:autoRedefine/>
    <w:qFormat/>
    <w:uiPriority w:val="0"/>
    <w:rPr>
      <w:rFonts w:hint="eastAsia" w:ascii="宋体" w:hAnsi="宋体" w:eastAsia="宋体" w:cs="宋体"/>
      <w:color w:val="000000"/>
      <w:sz w:val="24"/>
      <w:szCs w:val="24"/>
      <w:u w:val="none"/>
    </w:rPr>
  </w:style>
  <w:style w:type="paragraph" w:customStyle="1" w:styleId="513">
    <w:name w:val=".Listenabsatz"/>
    <w:basedOn w:val="1"/>
    <w:next w:val="15"/>
    <w:link w:val="514"/>
    <w:autoRedefine/>
    <w:qFormat/>
    <w:uiPriority w:val="34"/>
    <w:pPr>
      <w:ind w:firstLine="420" w:firstLineChars="200"/>
    </w:pPr>
    <w:rPr>
      <w:rFonts w:ascii="等线" w:hAnsi="等线" w:eastAsia="等线"/>
      <w:szCs w:val="22"/>
    </w:rPr>
  </w:style>
  <w:style w:type="character" w:customStyle="1" w:styleId="514">
    <w:name w:val="列表段落 字符"/>
    <w:link w:val="513"/>
    <w:autoRedefine/>
    <w:qFormat/>
    <w:uiPriority w:val="34"/>
    <w:rPr>
      <w:rFonts w:ascii="等线" w:hAnsi="等线" w:eastAsia="等线"/>
      <w:kern w:val="2"/>
      <w:sz w:val="21"/>
      <w:szCs w:val="22"/>
    </w:rPr>
  </w:style>
  <w:style w:type="character" w:customStyle="1" w:styleId="515">
    <w:name w:val="font51"/>
    <w:basedOn w:val="54"/>
    <w:autoRedefine/>
    <w:qFormat/>
    <w:uiPriority w:val="0"/>
    <w:rPr>
      <w:rFonts w:hint="eastAsia" w:ascii="宋体" w:hAnsi="宋体" w:eastAsia="宋体" w:cs="宋体"/>
      <w:color w:val="FF0000"/>
      <w:sz w:val="21"/>
      <w:szCs w:val="21"/>
      <w:u w:val="none"/>
    </w:rPr>
  </w:style>
  <w:style w:type="paragraph" w:customStyle="1" w:styleId="516">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7">
    <w:name w:val="普通(网站) Char1"/>
    <w:autoRedefine/>
    <w:qFormat/>
    <w:uiPriority w:val="99"/>
    <w:rPr>
      <w:rFonts w:ascii="宋体" w:hAnsi="宋体"/>
      <w:sz w:val="24"/>
      <w:szCs w:val="24"/>
    </w:rPr>
  </w:style>
  <w:style w:type="character" w:customStyle="1" w:styleId="518">
    <w:name w:val="text-tag"/>
    <w:autoRedefine/>
    <w:qFormat/>
    <w:uiPriority w:val="0"/>
  </w:style>
  <w:style w:type="paragraph" w:customStyle="1" w:styleId="519">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0">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1">
    <w:name w:val="网格型1"/>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2">
    <w:name w:val="中等深浅网格 1 - 着色 21"/>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3">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4">
    <w:name w:val="宏文本 字符"/>
    <w:basedOn w:val="54"/>
    <w:link w:val="2"/>
    <w:autoRedefine/>
    <w:qFormat/>
    <w:uiPriority w:val="0"/>
    <w:rPr>
      <w:rFonts w:ascii="Arial Narrow" w:hAnsi="Arial Narrow"/>
    </w:rPr>
  </w:style>
  <w:style w:type="paragraph" w:customStyle="1" w:styleId="525">
    <w:name w:val="tc"/>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6">
    <w:name w:val="font31"/>
    <w:basedOn w:val="54"/>
    <w:autoRedefine/>
    <w:qFormat/>
    <w:uiPriority w:val="0"/>
    <w:rPr>
      <w:rFonts w:hint="eastAsia" w:ascii="宋体" w:hAnsi="宋体" w:eastAsia="宋体" w:cs="宋体"/>
      <w:color w:val="000000"/>
      <w:sz w:val="20"/>
      <w:szCs w:val="20"/>
      <w:u w:val="none"/>
    </w:rPr>
  </w:style>
  <w:style w:type="character" w:customStyle="1" w:styleId="527">
    <w:name w:val="font91"/>
    <w:basedOn w:val="54"/>
    <w:autoRedefine/>
    <w:qFormat/>
    <w:uiPriority w:val="0"/>
    <w:rPr>
      <w:rFonts w:ascii="Calibri" w:hAnsi="Calibri" w:cs="Calibri"/>
      <w:color w:val="000000"/>
      <w:sz w:val="20"/>
      <w:szCs w:val="20"/>
      <w:u w:val="none"/>
    </w:rPr>
  </w:style>
  <w:style w:type="character" w:customStyle="1" w:styleId="528">
    <w:name w:val="font101"/>
    <w:basedOn w:val="54"/>
    <w:autoRedefine/>
    <w:qFormat/>
    <w:uiPriority w:val="0"/>
    <w:rPr>
      <w:rFonts w:ascii="Arial" w:hAnsi="Arial" w:cs="Arial"/>
      <w:color w:val="000000"/>
      <w:sz w:val="20"/>
      <w:szCs w:val="20"/>
      <w:u w:val="none"/>
    </w:rPr>
  </w:style>
  <w:style w:type="paragraph" w:customStyle="1" w:styleId="529">
    <w:name w:val="Revision"/>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4A9614C2-6EEF-4DBB-B9EC-05F73EA486FF}">
  <ds:schemaRefs/>
</ds:datastoreItem>
</file>

<file path=docProps/app.xml><?xml version="1.0" encoding="utf-8"?>
<Properties xmlns="http://schemas.openxmlformats.org/officeDocument/2006/extended-properties" xmlns:vt="http://schemas.openxmlformats.org/officeDocument/2006/docPropsVTypes">
  <Template>Normal</Template>
  <Pages>457</Pages>
  <Words>15394</Words>
  <Characters>16012</Characters>
  <Lines>3636</Lines>
  <Paragraphs>1023</Paragraphs>
  <TotalTime>0</TotalTime>
  <ScaleCrop>false</ScaleCrop>
  <LinksUpToDate>false</LinksUpToDate>
  <CharactersWithSpaces>16203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2026-05-28T05:01:00Z</dcterms:created>
  <dcterms:modified xsi:type="dcterms:W3CDTF">2026-06-01T05:19:04Z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DCD4EF7C0B16496B9D0BC76BB895E4F4_13</vt:lpwstr>
  </property>
  <property fmtid="{D5CDD505-2E9C-101B-9397-08002B2CF9AE}" pid="4" name="KSOTemplateDocerSaveRecord">
    <vt:lpwstr>eyJoZGlkIjoiZDdkYzA3YjU5YjJmMTExNjA5OGVjY2I0OGMzNWM3NjQiLCJ1c2VySWQiOiI3NTQ1NzQxMDAifQ==</vt:lpwstr>
  </property>
</Properties>
</file>