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53" w:line="360" w:lineRule="auto"/>
        <w:jc w:val="center"/>
        <w:rPr>
          <w:rFonts w:ascii="宋体" w:hAnsi="宋体" w:cs="宋体"/>
          <w:b/>
          <w:bCs/>
          <w:color w:val="000000" w:themeColor="text1"/>
          <w:sz w:val="60"/>
          <w:szCs w:val="60"/>
          <w14:textFill>
            <w14:solidFill>
              <w14:schemeClr w14:val="tx1"/>
            </w14:solidFill>
          </w14:textFill>
        </w:rPr>
      </w:pPr>
    </w:p>
    <w:p>
      <w:pPr>
        <w:spacing w:before="253" w:line="360" w:lineRule="auto"/>
        <w:jc w:val="center"/>
        <w:rPr>
          <w:rFonts w:ascii="宋体" w:hAnsi="宋体" w:cs="宋体"/>
          <w:b/>
          <w:bCs/>
          <w:color w:val="000000" w:themeColor="text1"/>
          <w:sz w:val="60"/>
          <w:szCs w:val="60"/>
          <w14:textFill>
            <w14:solidFill>
              <w14:schemeClr w14:val="tx1"/>
            </w14:solidFill>
          </w14:textFill>
        </w:rPr>
      </w:pPr>
      <w:r>
        <w:rPr>
          <w:rFonts w:hint="eastAsia" w:ascii="宋体" w:hAnsi="宋体" w:cs="宋体"/>
          <w:b/>
          <w:bCs/>
          <w:color w:val="000000" w:themeColor="text1"/>
          <w:sz w:val="60"/>
          <w:szCs w:val="60"/>
          <w14:textFill>
            <w14:solidFill>
              <w14:schemeClr w14:val="tx1"/>
            </w14:solidFill>
          </w14:textFill>
        </w:rPr>
        <w:t>北京市政府采购项目</w:t>
      </w:r>
    </w:p>
    <w:p>
      <w:pPr>
        <w:spacing w:before="253" w:line="360" w:lineRule="auto"/>
        <w:jc w:val="center"/>
        <w:rPr>
          <w:rFonts w:ascii="宋体" w:hAnsi="宋体" w:cs="宋体"/>
          <w:b/>
          <w:bCs/>
          <w:color w:val="000000" w:themeColor="text1"/>
          <w:spacing w:val="11"/>
          <w:sz w:val="59"/>
          <w:szCs w:val="59"/>
          <w14:textFill>
            <w14:solidFill>
              <w14:schemeClr w14:val="tx1"/>
            </w14:solidFill>
          </w14:textFill>
        </w:rPr>
      </w:pPr>
      <w:r>
        <w:rPr>
          <w:rFonts w:hint="eastAsia" w:ascii="宋体" w:hAnsi="宋体" w:cs="宋体"/>
          <w:b/>
          <w:bCs/>
          <w:color w:val="000000" w:themeColor="text1"/>
          <w:spacing w:val="11"/>
          <w:sz w:val="59"/>
          <w:szCs w:val="59"/>
          <w14:textFill>
            <w14:solidFill>
              <w14:schemeClr w14:val="tx1"/>
            </w14:solidFill>
          </w14:textFill>
        </w:rPr>
        <w:t>公开招标文件</w:t>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before="150" w:line="360" w:lineRule="auto"/>
        <w:ind w:left="853"/>
        <w:rPr>
          <w:rFonts w:hint="eastAsia" w:ascii="宋体" w:hAnsi="宋体" w:eastAsia="宋体" w:cs="宋体"/>
          <w:b/>
          <w:bCs/>
          <w:color w:val="000000" w:themeColor="text1"/>
          <w:sz w:val="35"/>
          <w:szCs w:val="35"/>
          <w:lang w:eastAsia="zh-CN"/>
          <w14:textFill>
            <w14:solidFill>
              <w14:schemeClr w14:val="tx1"/>
            </w14:solidFill>
          </w14:textFill>
        </w:rPr>
      </w:pPr>
      <w:r>
        <w:rPr>
          <w:rFonts w:hint="eastAsia" w:ascii="宋体" w:hAnsi="宋体" w:cs="宋体"/>
          <w:b/>
          <w:bCs/>
          <w:color w:val="000000" w:themeColor="text1"/>
          <w:spacing w:val="6"/>
          <w:sz w:val="35"/>
          <w:szCs w:val="35"/>
          <w14:textFill>
            <w14:solidFill>
              <w14:schemeClr w14:val="tx1"/>
            </w14:solidFill>
          </w14:textFill>
        </w:rPr>
        <w:t>项目名称：</w:t>
      </w:r>
      <w:r>
        <w:rPr>
          <w:rFonts w:hint="eastAsia" w:ascii="宋体" w:hAnsi="宋体" w:cs="宋体"/>
          <w:b/>
          <w:bCs/>
          <w:color w:val="000000" w:themeColor="text1"/>
          <w:spacing w:val="6"/>
          <w:sz w:val="35"/>
          <w:szCs w:val="35"/>
          <w:lang w:eastAsia="zh-CN"/>
          <w14:textFill>
            <w14:solidFill>
              <w14:schemeClr w14:val="tx1"/>
            </w14:solidFill>
          </w14:textFill>
        </w:rPr>
        <w:t>北京第四实验学校教育教学设备购置项目(二期)</w:t>
      </w:r>
    </w:p>
    <w:p>
      <w:pPr>
        <w:spacing w:before="150" w:line="360" w:lineRule="auto"/>
        <w:ind w:left="853"/>
        <w:rPr>
          <w:rFonts w:ascii="宋体" w:hAnsi="宋体" w:cs="宋体"/>
          <w:b/>
          <w:bCs/>
          <w:color w:val="000000" w:themeColor="text1"/>
          <w:spacing w:val="1"/>
          <w:sz w:val="35"/>
          <w:szCs w:val="35"/>
          <w:highlight w:val="none"/>
          <w14:textFill>
            <w14:solidFill>
              <w14:schemeClr w14:val="tx1"/>
            </w14:solidFill>
          </w14:textFill>
        </w:rPr>
      </w:pPr>
      <w:r>
        <w:rPr>
          <w:rFonts w:hint="eastAsia" w:ascii="宋体" w:hAnsi="宋体" w:cs="宋体"/>
          <w:b/>
          <w:bCs/>
          <w:spacing w:val="1"/>
          <w:sz w:val="35"/>
          <w:szCs w:val="35"/>
          <w:highlight w:val="none"/>
        </w:rPr>
        <w:t>项目编号/包号：</w:t>
      </w:r>
      <w:r>
        <w:rPr>
          <w:rFonts w:hint="eastAsia" w:ascii="宋体" w:hAnsi="宋体" w:cs="宋体"/>
          <w:b/>
          <w:bCs/>
          <w:spacing w:val="1"/>
          <w:sz w:val="35"/>
          <w:szCs w:val="35"/>
          <w:highlight w:val="none"/>
          <w:lang w:eastAsia="zh-CN"/>
        </w:rPr>
        <w:t>11000026210200173725-XM001</w:t>
      </w:r>
      <w:r>
        <w:rPr>
          <w:rFonts w:ascii="宋体" w:hAnsi="宋体" w:cs="宋体"/>
          <w:b/>
          <w:bCs/>
          <w:spacing w:val="1"/>
          <w:sz w:val="35"/>
          <w:szCs w:val="35"/>
          <w:highlight w:val="none"/>
        </w:rPr>
        <w:t>/5</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1"/>
          <w:sz w:val="35"/>
          <w:szCs w:val="35"/>
          <w14:textFill>
            <w14:solidFill>
              <w14:schemeClr w14:val="tx1"/>
            </w14:solidFill>
          </w14:textFill>
        </w:rPr>
        <w:t>采购人：北京第四实验学校</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7"/>
          <w:sz w:val="35"/>
          <w:szCs w:val="35"/>
          <w14:textFill>
            <w14:solidFill>
              <w14:schemeClr w14:val="tx1"/>
            </w14:solidFill>
          </w14:textFill>
        </w:rPr>
        <w:t>采购代理机构：</w:t>
      </w:r>
      <w:r>
        <w:rPr>
          <w:rFonts w:hint="eastAsia" w:ascii="宋体" w:hAnsi="宋体" w:cs="宋体"/>
          <w:b/>
          <w:bCs/>
          <w:color w:val="000000" w:themeColor="text1"/>
          <w:sz w:val="35"/>
          <w:szCs w:val="35"/>
          <w14:textFill>
            <w14:solidFill>
              <w14:schemeClr w14:val="tx1"/>
            </w14:solidFill>
          </w14:textFill>
        </w:rPr>
        <w:t>北京市京发招标有限公司</w:t>
      </w:r>
    </w:p>
    <w:p>
      <w:pPr>
        <w:widowControl/>
        <w:jc w:val="left"/>
        <w:rPr>
          <w:rFonts w:ascii="宋体" w:hAnsi="宋体" w:cs="宋体"/>
          <w:b/>
          <w:color w:val="000000" w:themeColor="text1"/>
          <w:sz w:val="72"/>
          <w14:textFill>
            <w14:solidFill>
              <w14:schemeClr w14:val="tx1"/>
            </w14:solidFill>
          </w14:textFill>
        </w:rPr>
      </w:pPr>
    </w:p>
    <w:p>
      <w:pPr>
        <w:widowControl/>
        <w:jc w:val="left"/>
        <w:rPr>
          <w:rFonts w:ascii="宋体" w:hAnsi="宋体" w:cs="宋体"/>
          <w:b/>
          <w:color w:val="000000" w:themeColor="text1"/>
          <w:sz w:val="36"/>
          <w:szCs w:val="36"/>
          <w14:textFill>
            <w14:solidFill>
              <w14:schemeClr w14:val="tx1"/>
            </w14:solidFill>
          </w14:textFill>
        </w:rPr>
        <w:sectPr>
          <w:headerReference r:id="rId3" w:type="default"/>
          <w:footerReference r:id="rId5" w:type="default"/>
          <w:headerReference r:id="rId4" w:type="even"/>
          <w:footerReference r:id="rId6" w:type="even"/>
          <w:pgSz w:w="11907" w:h="16840"/>
          <w:pgMar w:top="1440" w:right="1800" w:bottom="1440" w:left="1800" w:header="851" w:footer="851" w:gutter="0"/>
          <w:cols w:space="720" w:num="1"/>
          <w:docGrid w:linePitch="462" w:charSpace="0"/>
        </w:sectPr>
      </w:pPr>
      <w:bookmarkStart w:id="0" w:name="_Toc99301418"/>
      <w:r>
        <w:rPr>
          <w:rFonts w:ascii="宋体" w:hAnsi="宋体" w:cs="宋体"/>
          <w:b/>
          <w:color w:val="000000" w:themeColor="text1"/>
          <w:sz w:val="36"/>
          <w:szCs w:val="36"/>
          <w14:textFill>
            <w14:solidFill>
              <w14:schemeClr w14:val="tx1"/>
            </w14:solidFill>
          </w14:textFill>
        </w:rPr>
        <w:br w:type="page"/>
      </w:r>
    </w:p>
    <w:p>
      <w:pPr>
        <w:widowControl/>
        <w:jc w:val="left"/>
        <w:rPr>
          <w:rFonts w:ascii="宋体" w:hAnsi="宋体" w:cs="宋体"/>
          <w:b/>
          <w:color w:val="000000" w:themeColor="text1"/>
          <w:sz w:val="36"/>
          <w:szCs w:val="36"/>
          <w14:textFill>
            <w14:solidFill>
              <w14:schemeClr w14:val="tx1"/>
            </w14:solidFill>
          </w14:textFill>
        </w:rPr>
      </w:pP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1" w:name="_Toc2665"/>
      <w:bookmarkStart w:id="2" w:name="_Toc218620565"/>
      <w:r>
        <w:rPr>
          <w:rFonts w:hint="eastAsia" w:ascii="宋体" w:hAnsi="宋体" w:cs="宋体"/>
          <w:b/>
          <w:color w:val="000000" w:themeColor="text1"/>
          <w:sz w:val="36"/>
          <w:szCs w:val="36"/>
          <w14:textFill>
            <w14:solidFill>
              <w14:schemeClr w14:val="tx1"/>
            </w14:solidFill>
          </w14:textFill>
        </w:rPr>
        <w:t>目      录</w:t>
      </w:r>
      <w:bookmarkEnd w:id="0"/>
      <w:bookmarkEnd w:id="1"/>
      <w:bookmarkEnd w:id="2"/>
    </w:p>
    <w:p>
      <w:pPr>
        <w:pStyle w:val="34"/>
        <w:rPr>
          <w:rFonts w:cstheme="minorBidi"/>
          <w:b w:val="0"/>
          <w:sz w:val="21"/>
          <w:szCs w:val="22"/>
        </w:rPr>
      </w:pPr>
      <w:r>
        <w:fldChar w:fldCharType="begin"/>
      </w:r>
      <w:r>
        <w:instrText xml:space="preserve">TOC \o "1-1" \h \u </w:instrText>
      </w:r>
      <w:r>
        <w:fldChar w:fldCharType="separate"/>
      </w:r>
    </w:p>
    <w:p>
      <w:pPr>
        <w:pStyle w:val="34"/>
        <w:rPr>
          <w:rFonts w:cstheme="minorBidi"/>
          <w:b w:val="0"/>
          <w:sz w:val="21"/>
          <w:szCs w:val="22"/>
        </w:rPr>
      </w:pPr>
      <w:r>
        <w:fldChar w:fldCharType="begin"/>
      </w:r>
      <w:r>
        <w:instrText xml:space="preserve"> HYPERLINK \l "_Toc218620566" </w:instrText>
      </w:r>
      <w:r>
        <w:fldChar w:fldCharType="separate"/>
      </w:r>
      <w:r>
        <w:rPr>
          <w:rStyle w:val="59"/>
          <w:rFonts w:cs="宋体"/>
        </w:rPr>
        <w:t>第一章   投标邀请</w:t>
      </w:r>
      <w:r>
        <w:tab/>
      </w:r>
      <w:r>
        <w:fldChar w:fldCharType="begin"/>
      </w:r>
      <w:r>
        <w:instrText xml:space="preserve"> PAGEREF _Toc218620566 \h </w:instrText>
      </w:r>
      <w:r>
        <w:fldChar w:fldCharType="separate"/>
      </w:r>
      <w:r>
        <w:t>1</w:t>
      </w:r>
      <w:r>
        <w:fldChar w:fldCharType="end"/>
      </w:r>
      <w:r>
        <w:fldChar w:fldCharType="end"/>
      </w:r>
    </w:p>
    <w:p>
      <w:pPr>
        <w:pStyle w:val="34"/>
        <w:rPr>
          <w:rFonts w:cstheme="minorBidi"/>
          <w:b w:val="0"/>
          <w:sz w:val="21"/>
          <w:szCs w:val="22"/>
        </w:rPr>
      </w:pPr>
      <w:r>
        <w:fldChar w:fldCharType="begin"/>
      </w:r>
      <w:r>
        <w:instrText xml:space="preserve"> HYPERLINK \l "_Toc218620567" </w:instrText>
      </w:r>
      <w:r>
        <w:fldChar w:fldCharType="separate"/>
      </w:r>
      <w:r>
        <w:rPr>
          <w:rStyle w:val="59"/>
          <w:rFonts w:cs="宋体"/>
        </w:rPr>
        <w:t>第二章   投标人须知</w:t>
      </w:r>
      <w:r>
        <w:tab/>
      </w:r>
      <w:r>
        <w:fldChar w:fldCharType="begin"/>
      </w:r>
      <w:r>
        <w:instrText xml:space="preserve"> PAGEREF _Toc218620567 \h </w:instrText>
      </w:r>
      <w:r>
        <w:fldChar w:fldCharType="separate"/>
      </w:r>
      <w:r>
        <w:t>6</w:t>
      </w:r>
      <w:r>
        <w:fldChar w:fldCharType="end"/>
      </w:r>
      <w:r>
        <w:fldChar w:fldCharType="end"/>
      </w:r>
    </w:p>
    <w:p>
      <w:pPr>
        <w:pStyle w:val="34"/>
        <w:rPr>
          <w:rFonts w:cstheme="minorBidi"/>
          <w:b w:val="0"/>
          <w:sz w:val="21"/>
          <w:szCs w:val="22"/>
        </w:rPr>
      </w:pPr>
      <w:r>
        <w:fldChar w:fldCharType="begin"/>
      </w:r>
      <w:r>
        <w:instrText xml:space="preserve"> HYPERLINK \l "_Toc218620568" </w:instrText>
      </w:r>
      <w:r>
        <w:fldChar w:fldCharType="separate"/>
      </w:r>
      <w:r>
        <w:rPr>
          <w:rStyle w:val="59"/>
          <w:rFonts w:cs="宋体"/>
        </w:rPr>
        <w:t>第三章   资格审查</w:t>
      </w:r>
      <w:r>
        <w:tab/>
      </w:r>
      <w:r>
        <w:fldChar w:fldCharType="begin"/>
      </w:r>
      <w:r>
        <w:instrText xml:space="preserve"> PAGEREF _Toc218620568 \h </w:instrText>
      </w:r>
      <w:r>
        <w:fldChar w:fldCharType="separate"/>
      </w:r>
      <w:r>
        <w:t>25</w:t>
      </w:r>
      <w:r>
        <w:fldChar w:fldCharType="end"/>
      </w:r>
      <w:r>
        <w:fldChar w:fldCharType="end"/>
      </w:r>
    </w:p>
    <w:p>
      <w:pPr>
        <w:pStyle w:val="34"/>
        <w:rPr>
          <w:rFonts w:cstheme="minorBidi"/>
          <w:b w:val="0"/>
          <w:sz w:val="21"/>
          <w:szCs w:val="22"/>
        </w:rPr>
      </w:pPr>
      <w:r>
        <w:fldChar w:fldCharType="begin"/>
      </w:r>
      <w:r>
        <w:instrText xml:space="preserve"> HYPERLINK \l "_Toc218620569" </w:instrText>
      </w:r>
      <w:r>
        <w:fldChar w:fldCharType="separate"/>
      </w:r>
      <w:r>
        <w:rPr>
          <w:rStyle w:val="59"/>
          <w:rFonts w:cs="宋体"/>
        </w:rPr>
        <w:t>第四章   评标程序、评标方法和评标标准</w:t>
      </w:r>
      <w:r>
        <w:tab/>
      </w:r>
      <w:r>
        <w:fldChar w:fldCharType="begin"/>
      </w:r>
      <w:r>
        <w:instrText xml:space="preserve"> PAGEREF _Toc218620569 \h </w:instrText>
      </w:r>
      <w:r>
        <w:fldChar w:fldCharType="separate"/>
      </w:r>
      <w:r>
        <w:t>28</w:t>
      </w:r>
      <w:r>
        <w:fldChar w:fldCharType="end"/>
      </w:r>
      <w:r>
        <w:fldChar w:fldCharType="end"/>
      </w:r>
    </w:p>
    <w:p>
      <w:pPr>
        <w:pStyle w:val="34"/>
        <w:rPr>
          <w:rFonts w:cstheme="minorBidi"/>
          <w:b w:val="0"/>
          <w:sz w:val="21"/>
          <w:szCs w:val="22"/>
        </w:rPr>
      </w:pPr>
      <w:r>
        <w:fldChar w:fldCharType="begin"/>
      </w:r>
      <w:r>
        <w:instrText xml:space="preserve"> HYPERLINK \l "_Toc218620570" </w:instrText>
      </w:r>
      <w:r>
        <w:fldChar w:fldCharType="separate"/>
      </w:r>
      <w:r>
        <w:rPr>
          <w:rStyle w:val="59"/>
          <w:rFonts w:cs="宋体"/>
        </w:rPr>
        <w:t>第五章   采购需求</w:t>
      </w:r>
      <w:r>
        <w:tab/>
      </w:r>
      <w:r>
        <w:fldChar w:fldCharType="begin"/>
      </w:r>
      <w:r>
        <w:instrText xml:space="preserve"> PAGEREF _Toc218620570 \h </w:instrText>
      </w:r>
      <w:r>
        <w:fldChar w:fldCharType="separate"/>
      </w:r>
      <w:r>
        <w:t>36</w:t>
      </w:r>
      <w:r>
        <w:fldChar w:fldCharType="end"/>
      </w:r>
      <w:r>
        <w:fldChar w:fldCharType="end"/>
      </w:r>
    </w:p>
    <w:p>
      <w:pPr>
        <w:pStyle w:val="34"/>
        <w:rPr>
          <w:rFonts w:cstheme="minorBidi"/>
          <w:b w:val="0"/>
          <w:sz w:val="21"/>
          <w:szCs w:val="22"/>
        </w:rPr>
      </w:pPr>
      <w:r>
        <w:fldChar w:fldCharType="begin"/>
      </w:r>
      <w:r>
        <w:instrText xml:space="preserve"> HYPERLINK \l "_Toc218620574" </w:instrText>
      </w:r>
      <w:r>
        <w:fldChar w:fldCharType="separate"/>
      </w:r>
      <w:r>
        <w:rPr>
          <w:rStyle w:val="59"/>
          <w:rFonts w:cs="宋体"/>
        </w:rPr>
        <w:t>第六章   拟签订的合同文本</w:t>
      </w:r>
      <w:r>
        <w:tab/>
      </w:r>
      <w:r>
        <w:fldChar w:fldCharType="begin"/>
      </w:r>
      <w:r>
        <w:instrText xml:space="preserve"> PAGEREF _Toc218620574 \h </w:instrText>
      </w:r>
      <w:r>
        <w:fldChar w:fldCharType="separate"/>
      </w:r>
      <w:r>
        <w:t>43</w:t>
      </w:r>
      <w:r>
        <w:fldChar w:fldCharType="end"/>
      </w:r>
      <w:r>
        <w:fldChar w:fldCharType="end"/>
      </w:r>
    </w:p>
    <w:p>
      <w:pPr>
        <w:pStyle w:val="34"/>
        <w:rPr>
          <w:rFonts w:cstheme="minorBidi"/>
          <w:b w:val="0"/>
          <w:sz w:val="21"/>
          <w:szCs w:val="22"/>
        </w:rPr>
      </w:pPr>
      <w:r>
        <w:fldChar w:fldCharType="begin"/>
      </w:r>
      <w:r>
        <w:instrText xml:space="preserve"> HYPERLINK \l "_Toc218620575" </w:instrText>
      </w:r>
      <w:r>
        <w:fldChar w:fldCharType="separate"/>
      </w:r>
      <w:r>
        <w:rPr>
          <w:rStyle w:val="59"/>
          <w:rFonts w:cs="宋体"/>
        </w:rPr>
        <w:t>第七章   投标文件格式</w:t>
      </w:r>
      <w:r>
        <w:tab/>
      </w:r>
      <w:r>
        <w:fldChar w:fldCharType="begin"/>
      </w:r>
      <w:r>
        <w:instrText xml:space="preserve"> PAGEREF _Toc218620575 \h </w:instrText>
      </w:r>
      <w:r>
        <w:fldChar w:fldCharType="separate"/>
      </w:r>
      <w:r>
        <w:t>54</w:t>
      </w:r>
      <w:r>
        <w:fldChar w:fldCharType="end"/>
      </w:r>
      <w:r>
        <w:fldChar w:fldCharType="end"/>
      </w:r>
    </w:p>
    <w:p>
      <w:pPr>
        <w:spacing w:line="360" w:lineRule="auto"/>
        <w:rPr>
          <w:rFonts w:ascii="宋体" w:hAnsi="宋体"/>
          <w:sz w:val="24"/>
        </w:rPr>
        <w:sectPr>
          <w:footerReference r:id="rId7" w:type="default"/>
          <w:pgSz w:w="11907" w:h="16840"/>
          <w:pgMar w:top="1440" w:right="1800" w:bottom="1440" w:left="1800" w:header="851" w:footer="851" w:gutter="0"/>
          <w:pgNumType w:start="1"/>
          <w:cols w:space="720" w:num="1"/>
          <w:docGrid w:linePitch="462" w:charSpace="0"/>
        </w:sectPr>
      </w:pPr>
      <w:r>
        <w:rPr>
          <w:rFonts w:ascii="宋体" w:hAnsi="宋体"/>
          <w:sz w:val="24"/>
        </w:rPr>
        <w:fldChar w:fldCharType="end"/>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3" w:name="_Toc218620566"/>
      <w:bookmarkStart w:id="4" w:name="_Toc99301419"/>
      <w:r>
        <w:rPr>
          <w:rFonts w:hint="eastAsia" w:ascii="宋体" w:hAnsi="宋体" w:cs="宋体"/>
          <w:b/>
          <w:color w:val="000000" w:themeColor="text1"/>
          <w:sz w:val="36"/>
          <w:szCs w:val="36"/>
          <w14:textFill>
            <w14:solidFill>
              <w14:schemeClr w14:val="tx1"/>
            </w14:solidFill>
          </w14:textFill>
        </w:rPr>
        <w:t>第一章   投标邀请</w:t>
      </w:r>
      <w:bookmarkEnd w:id="3"/>
      <w:bookmarkEnd w:id="4"/>
    </w:p>
    <w:p>
      <w:pPr>
        <w:spacing w:line="360" w:lineRule="auto"/>
        <w:ind w:firstLine="640" w:firstLineChars="200"/>
        <w:rPr>
          <w:rFonts w:ascii="宋体" w:hAnsi="宋体" w:cs="宋体"/>
          <w:color w:val="000000" w:themeColor="text1"/>
          <w:sz w:val="32"/>
          <w:szCs w:val="32"/>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5" w:name="_Toc35393621"/>
      <w:bookmarkStart w:id="6" w:name="_Toc35393790"/>
      <w:bookmarkStart w:id="7" w:name="_Toc28359002"/>
      <w:bookmarkStart w:id="8" w:name="_Toc28359079"/>
      <w:bookmarkStart w:id="9" w:name="_Hlk24379207"/>
      <w:r>
        <w:rPr>
          <w:rFonts w:hint="eastAsia" w:ascii="宋体" w:hAnsi="宋体" w:cs="宋体"/>
          <w:b/>
          <w:color w:val="000000" w:themeColor="text1"/>
          <w:sz w:val="24"/>
          <w14:textFill>
            <w14:solidFill>
              <w14:schemeClr w14:val="tx1"/>
            </w14:solidFill>
          </w14:textFill>
        </w:rPr>
        <w:t>一、项目基本情况</w:t>
      </w:r>
      <w:bookmarkEnd w:id="5"/>
      <w:bookmarkEnd w:id="6"/>
      <w:bookmarkEnd w:id="7"/>
      <w:bookmarkEnd w:id="8"/>
    </w:p>
    <w:bookmarkEnd w:id="9"/>
    <w:p>
      <w:pPr>
        <w:pStyle w:val="20"/>
        <w:spacing w:before="38" w:line="360" w:lineRule="auto"/>
        <w:ind w:firstLine="480" w:firstLineChars="200"/>
        <w:rPr>
          <w:rFonts w:hint="eastAsia" w:eastAsia="宋体" w:cs="宋体"/>
          <w:lang w:eastAsia="zh-CN"/>
        </w:rPr>
      </w:pPr>
      <w:bookmarkStart w:id="10" w:name="OLE_LINK45"/>
      <w:r>
        <w:rPr>
          <w:rFonts w:hint="eastAsia" w:cs="宋体"/>
        </w:rPr>
        <w:t>1.项目编号：</w:t>
      </w:r>
      <w:r>
        <w:rPr>
          <w:rFonts w:hint="eastAsia" w:cs="宋体"/>
          <w:lang w:eastAsia="zh-CN"/>
        </w:rPr>
        <w:t>11000026210200173725-XM001</w:t>
      </w:r>
    </w:p>
    <w:p>
      <w:pPr>
        <w:pStyle w:val="20"/>
        <w:spacing w:before="38" w:line="360" w:lineRule="auto"/>
        <w:ind w:firstLine="480" w:firstLineChars="200"/>
        <w:rPr>
          <w:rFonts w:hint="eastAsia" w:eastAsia="宋体" w:cs="宋体"/>
          <w:u w:val="single"/>
          <w:lang w:eastAsia="zh-CN"/>
        </w:rPr>
      </w:pPr>
      <w:r>
        <w:rPr>
          <w:rFonts w:hint="eastAsia" w:cs="宋体"/>
        </w:rPr>
        <w:t>2.项目名称：</w:t>
      </w:r>
      <w:r>
        <w:rPr>
          <w:rFonts w:hint="eastAsia" w:cs="宋体"/>
          <w:u w:val="single"/>
          <w:lang w:eastAsia="zh-CN"/>
        </w:rPr>
        <w:t>北京第四实验学校教育教学设备购置项目(二期)</w:t>
      </w:r>
    </w:p>
    <w:p>
      <w:pPr>
        <w:pStyle w:val="20"/>
        <w:spacing w:before="38" w:line="360" w:lineRule="auto"/>
        <w:ind w:firstLine="480" w:firstLineChars="200"/>
        <w:rPr>
          <w:rFonts w:cs="宋体"/>
        </w:rPr>
      </w:pPr>
      <w:r>
        <w:rPr>
          <w:rFonts w:hint="eastAsia" w:cs="宋体"/>
        </w:rPr>
        <w:t>3.项目预算金额：</w:t>
      </w:r>
      <w:r>
        <w:rPr>
          <w:rFonts w:cs="宋体"/>
          <w:u w:val="single"/>
        </w:rPr>
        <w:t>2361.353915</w:t>
      </w:r>
      <w:r>
        <w:rPr>
          <w:rFonts w:hint="eastAsia" w:cs="宋体"/>
        </w:rPr>
        <w:t>万元、项目最高限价（如有）：</w:t>
      </w:r>
      <w:r>
        <w:rPr>
          <w:rFonts w:cs="宋体"/>
          <w:u w:val="single"/>
        </w:rPr>
        <w:t>2361.353915</w:t>
      </w:r>
      <w:r>
        <w:rPr>
          <w:rFonts w:hint="eastAsia" w:cs="宋体"/>
        </w:rPr>
        <w:t xml:space="preserve">万元 </w:t>
      </w:r>
    </w:p>
    <w:p>
      <w:pPr>
        <w:spacing w:line="360" w:lineRule="auto"/>
        <w:ind w:firstLine="480" w:firstLineChars="200"/>
        <w:rPr>
          <w:rFonts w:ascii="宋体" w:hAnsi="宋体" w:cs="宋体"/>
          <w:sz w:val="24"/>
        </w:rPr>
      </w:pPr>
      <w:r>
        <w:rPr>
          <w:rFonts w:hint="eastAsia" w:ascii="宋体" w:hAnsi="宋体" w:cs="宋体"/>
          <w:sz w:val="24"/>
        </w:rPr>
        <w:t>4.采购需求：</w:t>
      </w:r>
      <w:bookmarkStart w:id="11" w:name="OLE_LINK118"/>
      <w:r>
        <w:rPr>
          <w:rFonts w:hint="eastAsia" w:ascii="宋体" w:hAnsi="宋体" w:cs="宋体"/>
          <w:color w:val="000000" w:themeColor="text1"/>
          <w:sz w:val="24"/>
          <w14:textFill>
            <w14:solidFill>
              <w14:schemeClr w14:val="tx1"/>
            </w14:solidFill>
          </w14:textFill>
        </w:rPr>
        <w:t>该项目共分5个包，本招标文件作为整体项目的第5包进行招标，要求投标人需对整包进行投标，中标后不得分包。</w:t>
      </w:r>
      <w:bookmarkEnd w:id="11"/>
    </w:p>
    <w:bookmarkEnd w:id="10"/>
    <w:tbl>
      <w:tblPr>
        <w:tblStyle w:val="51"/>
        <w:tblW w:w="9122"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129"/>
        <w:gridCol w:w="1701"/>
        <w:gridCol w:w="709"/>
        <w:gridCol w:w="2100"/>
        <w:gridCol w:w="17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07" w:type="dxa"/>
            <w:vAlign w:val="center"/>
          </w:tcPr>
          <w:p>
            <w:pPr>
              <w:autoSpaceDE w:val="0"/>
              <w:autoSpaceDN w:val="0"/>
              <w:spacing w:before="86" w:line="211" w:lineRule="auto"/>
              <w:ind w:firstLine="1"/>
              <w:jc w:val="center"/>
              <w:rPr>
                <w:rFonts w:ascii="宋体" w:hAnsi="宋体" w:cs="宋体"/>
                <w:sz w:val="24"/>
              </w:rPr>
            </w:pPr>
            <w:r>
              <w:rPr>
                <w:rFonts w:hint="eastAsia" w:ascii="宋体" w:hAnsi="宋体" w:cs="宋体"/>
                <w:spacing w:val="7"/>
                <w:sz w:val="24"/>
              </w:rPr>
              <w:t>包号</w:t>
            </w:r>
          </w:p>
        </w:tc>
        <w:tc>
          <w:tcPr>
            <w:tcW w:w="2129"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pacing w:val="8"/>
                <w:sz w:val="24"/>
              </w:rPr>
              <w:t>分包名称</w:t>
            </w:r>
          </w:p>
        </w:tc>
        <w:tc>
          <w:tcPr>
            <w:tcW w:w="1701" w:type="dxa"/>
            <w:vAlign w:val="center"/>
          </w:tcPr>
          <w:p>
            <w:pPr>
              <w:jc w:val="center"/>
              <w:rPr>
                <w:bCs/>
                <w:szCs w:val="21"/>
              </w:rPr>
            </w:pPr>
            <w:r>
              <w:rPr>
                <w:bCs/>
                <w:szCs w:val="21"/>
              </w:rPr>
              <w:t>采购包预算金额</w:t>
            </w:r>
            <w:r>
              <w:rPr>
                <w:rFonts w:hint="eastAsia"/>
                <w:bCs/>
                <w:szCs w:val="21"/>
              </w:rPr>
              <w:t>/最高限价</w:t>
            </w:r>
          </w:p>
          <w:p>
            <w:pPr>
              <w:autoSpaceDE w:val="0"/>
              <w:autoSpaceDN w:val="0"/>
              <w:spacing w:before="40" w:line="203" w:lineRule="auto"/>
              <w:ind w:right="-5" w:firstLine="128"/>
              <w:jc w:val="center"/>
              <w:rPr>
                <w:rFonts w:ascii="宋体" w:hAnsi="宋体" w:cs="宋体"/>
                <w:sz w:val="24"/>
              </w:rPr>
            </w:pPr>
            <w:r>
              <w:rPr>
                <w:bCs/>
                <w:szCs w:val="21"/>
              </w:rPr>
              <w:t>（万元）</w:t>
            </w:r>
          </w:p>
        </w:tc>
        <w:tc>
          <w:tcPr>
            <w:tcW w:w="709"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2100"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776"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07" w:type="dxa"/>
            <w:vAlign w:val="center"/>
          </w:tcPr>
          <w:p>
            <w:pPr>
              <w:jc w:val="center"/>
              <w:rPr>
                <w:rFonts w:ascii="宋体" w:hAnsi="宋体" w:cs="宋体"/>
                <w:sz w:val="24"/>
              </w:rPr>
            </w:pPr>
            <w:r>
              <w:rPr>
                <w:rFonts w:hint="eastAsia" w:ascii="宋体" w:hAnsi="宋体" w:cs="宋体"/>
                <w:sz w:val="24"/>
              </w:rPr>
              <w:t>05</w:t>
            </w:r>
          </w:p>
        </w:tc>
        <w:tc>
          <w:tcPr>
            <w:tcW w:w="2129" w:type="dxa"/>
            <w:vAlign w:val="center"/>
          </w:tcPr>
          <w:p>
            <w:pPr>
              <w:jc w:val="center"/>
              <w:rPr>
                <w:rFonts w:ascii="宋体" w:hAnsi="宋体" w:cs="宋体"/>
                <w:sz w:val="24"/>
              </w:rPr>
            </w:pPr>
            <w:r>
              <w:rPr>
                <w:rFonts w:hint="eastAsia" w:ascii="宋体" w:hAnsi="宋体" w:cs="宋体"/>
                <w:sz w:val="24"/>
              </w:rPr>
              <w:t>AED除颤仪购置</w:t>
            </w:r>
          </w:p>
        </w:tc>
        <w:tc>
          <w:tcPr>
            <w:tcW w:w="1701" w:type="dxa"/>
            <w:vAlign w:val="center"/>
          </w:tcPr>
          <w:p>
            <w:pPr>
              <w:jc w:val="center"/>
              <w:rPr>
                <w:rFonts w:ascii="宋体" w:hAnsi="宋体" w:cs="宋体"/>
                <w:sz w:val="24"/>
              </w:rPr>
            </w:pPr>
            <w:r>
              <w:rPr>
                <w:rFonts w:hint="eastAsia" w:ascii="宋体" w:hAnsi="宋体" w:cs="宋体"/>
                <w:sz w:val="24"/>
              </w:rPr>
              <w:t>13.4</w:t>
            </w:r>
          </w:p>
        </w:tc>
        <w:tc>
          <w:tcPr>
            <w:tcW w:w="709" w:type="dxa"/>
            <w:vAlign w:val="center"/>
          </w:tcPr>
          <w:p>
            <w:pPr>
              <w:jc w:val="center"/>
              <w:rPr>
                <w:rFonts w:ascii="宋体" w:hAnsi="宋体" w:cs="宋体"/>
                <w:sz w:val="24"/>
              </w:rPr>
            </w:pPr>
            <w:r>
              <w:rPr>
                <w:bCs/>
                <w:szCs w:val="21"/>
              </w:rPr>
              <w:t>5</w:t>
            </w:r>
            <w:r>
              <w:rPr>
                <w:rFonts w:hint="eastAsia"/>
                <w:bCs/>
                <w:szCs w:val="21"/>
              </w:rPr>
              <w:t>台</w:t>
            </w:r>
          </w:p>
        </w:tc>
        <w:tc>
          <w:tcPr>
            <w:tcW w:w="2100" w:type="dxa"/>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具体详见招标文件 第五章</w:t>
            </w:r>
          </w:p>
        </w:tc>
        <w:tc>
          <w:tcPr>
            <w:tcW w:w="1776"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bl>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5.合同履行期限：</w:t>
      </w:r>
      <w:r>
        <w:rPr>
          <w:rFonts w:hint="eastAsia" w:ascii="宋体" w:hAnsi="宋体" w:cs="宋体"/>
          <w:sz w:val="24"/>
        </w:rPr>
        <w:t>合同签订生效后，计划于202</w:t>
      </w:r>
      <w:r>
        <w:rPr>
          <w:rFonts w:ascii="宋体" w:hAnsi="宋体" w:cs="宋体"/>
          <w:sz w:val="24"/>
        </w:rPr>
        <w:t>6</w:t>
      </w:r>
      <w:r>
        <w:rPr>
          <w:rFonts w:hint="eastAsia" w:ascii="宋体" w:hAnsi="宋体" w:cs="宋体"/>
          <w:sz w:val="24"/>
        </w:rPr>
        <w:t>年8月20日之前完成供货、安装、调试、验收，具体进场时间以采购人通知为准。同时服从学校主体工程竣工验收及开学前等工作安排。</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6.本项目是否接受联合体投标：</w:t>
      </w:r>
      <w:r>
        <w:rPr>
          <w:rFonts w:hint="eastAsia" w:ascii="宋体" w:hAnsi="宋体" w:cs="宋体"/>
          <w:color w:val="000000" w:themeColor="text1"/>
          <w:spacing w:val="6"/>
          <w:sz w:val="24"/>
          <w14:textFill>
            <w14:solidFill>
              <w14:schemeClr w14:val="tx1"/>
            </w14:solidFill>
          </w14:textFill>
        </w:rPr>
        <w:t xml:space="preserve">□是 </w:t>
      </w:r>
      <w:r>
        <w:rPr>
          <w:rFonts w:ascii="宋体" w:hAnsi="宋体" w:cs="宋体"/>
          <w:color w:val="000000" w:themeColor="text1"/>
          <w:spacing w:val="6"/>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6"/>
          <w:sz w:val="24"/>
          <w14:textFill>
            <w14:solidFill>
              <w14:schemeClr w14:val="tx1"/>
            </w14:solidFill>
          </w14:textFill>
        </w:rPr>
        <w:t>否</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12" w:name="_Toc35393791"/>
      <w:bookmarkStart w:id="13" w:name="_Toc28359080"/>
      <w:bookmarkStart w:id="14" w:name="_Toc28359003"/>
      <w:bookmarkStart w:id="15" w:name="_Toc35393622"/>
      <w:r>
        <w:rPr>
          <w:rFonts w:hint="eastAsia" w:ascii="宋体" w:hAnsi="宋体" w:cs="宋体"/>
          <w:b/>
          <w:color w:val="000000" w:themeColor="text1"/>
          <w:sz w:val="24"/>
          <w14:textFill>
            <w14:solidFill>
              <w14:schemeClr w14:val="tx1"/>
            </w14:solidFill>
          </w14:textFill>
        </w:rPr>
        <w:t>二、申请人的资格要求（须同时满足）</w:t>
      </w:r>
      <w:bookmarkEnd w:id="12"/>
      <w:bookmarkEnd w:id="13"/>
      <w:bookmarkEnd w:id="14"/>
      <w:bookmarkEnd w:id="15"/>
    </w:p>
    <w:p>
      <w:pPr>
        <w:pStyle w:val="20"/>
        <w:spacing w:before="185" w:line="200" w:lineRule="auto"/>
        <w:ind w:firstLine="480" w:firstLineChars="200"/>
        <w:rPr>
          <w:rFonts w:cs="宋体"/>
          <w:color w:val="000000" w:themeColor="text1"/>
          <w14:textFill>
            <w14:solidFill>
              <w14:schemeClr w14:val="tx1"/>
            </w14:solidFill>
          </w14:textFill>
        </w:rPr>
      </w:pPr>
      <w:bookmarkStart w:id="16" w:name="_Toc28359081"/>
      <w:bookmarkStart w:id="17" w:name="_Toc28359004"/>
      <w:r>
        <w:rPr>
          <w:rFonts w:hint="eastAsia" w:cs="宋体"/>
          <w:color w:val="000000" w:themeColor="text1"/>
          <w14:textFill>
            <w14:solidFill>
              <w14:schemeClr w14:val="tx1"/>
            </w14:solidFill>
          </w14:textFill>
        </w:rPr>
        <w:t xml:space="preserve">1.满足《中华人民共和国政府采购法》第二十二条规定； </w:t>
      </w:r>
    </w:p>
    <w:p>
      <w:pPr>
        <w:pStyle w:val="20"/>
        <w:spacing w:before="185" w:line="20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2.落实政府采购政策需满足的资格要求：</w:t>
      </w:r>
    </w:p>
    <w:p>
      <w:pPr>
        <w:pStyle w:val="20"/>
        <w:spacing w:before="178" w:line="360" w:lineRule="auto"/>
        <w:ind w:right="57"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2.1  中小企业政策</w:t>
      </w:r>
    </w:p>
    <w:p>
      <w:pPr>
        <w:pStyle w:val="20"/>
        <w:spacing w:before="185" w:line="240" w:lineRule="auto"/>
        <w:ind w:firstLine="480" w:firstLineChars="200"/>
        <w:rPr>
          <w:rFonts w:cs="宋体"/>
        </w:rPr>
      </w:pPr>
      <w:r>
        <w:rPr>
          <w:rFonts w:hint="eastAsia" w:cs="宋体"/>
        </w:rPr>
        <w:t>■本项目不专门面向中小企业预留采购份额。</w:t>
      </w:r>
    </w:p>
    <w:p>
      <w:pPr>
        <w:pStyle w:val="20"/>
        <w:spacing w:before="185" w:line="240" w:lineRule="auto"/>
        <w:ind w:firstLine="480" w:firstLineChars="200"/>
        <w:rPr>
          <w:rFonts w:cs="宋体"/>
        </w:rPr>
      </w:pPr>
      <w:r>
        <w:rPr>
          <w:rFonts w:hint="eastAsia" w:cs="宋体"/>
        </w:rPr>
        <w:t>□本项目专门面向   □中小  □小微企业  采购。即：提供的货物全部</w:t>
      </w:r>
    </w:p>
    <w:p>
      <w:pPr>
        <w:pStyle w:val="20"/>
        <w:spacing w:before="185" w:line="240" w:lineRule="auto"/>
        <w:rPr>
          <w:rFonts w:cs="宋体"/>
        </w:rPr>
      </w:pPr>
      <w:r>
        <w:rPr>
          <w:rFonts w:hint="eastAsia" w:cs="宋体"/>
        </w:rPr>
        <w:t>由符合政策要求的小微企业制造、服务全部由符合政策要求的小微企业承接。</w:t>
      </w:r>
    </w:p>
    <w:p>
      <w:pPr>
        <w:pStyle w:val="20"/>
        <w:spacing w:before="185" w:line="360" w:lineRule="auto"/>
        <w:ind w:firstLine="480" w:firstLineChars="200"/>
        <w:rPr>
          <w:rFonts w:cs="宋体"/>
          <w:color w:val="000000" w:themeColor="text1"/>
          <w14:textFill>
            <w14:solidFill>
              <w14:schemeClr w14:val="tx1"/>
            </w14:solidFill>
          </w14:textFill>
        </w:rPr>
      </w:pPr>
      <w:r>
        <w:rPr>
          <w:rFonts w:hint="eastAsia" w:cs="宋体"/>
        </w:rPr>
        <w:t>□本项目预留部分采购项目预算专门面向中小企业采购。对于预留份额，提供的货物由符合政策要求的中小企业制造、服务由符合政策要求的中小企业承接。预留份额通过以下措施进行：</w:t>
      </w:r>
      <w:r>
        <w:rPr>
          <w:rFonts w:hint="eastAsia" w:cs="宋体"/>
          <w:bCs/>
          <w:color w:val="000000" w:themeColor="text1"/>
          <w:u w:val="single"/>
          <w14:textFill>
            <w14:solidFill>
              <w14:schemeClr w14:val="tx1"/>
            </w14:solidFill>
          </w14:textFill>
        </w:rPr>
        <w:t>/</w:t>
      </w:r>
      <w:r>
        <w:rPr>
          <w:rFonts w:hint="eastAsia" w:cs="宋体"/>
        </w:rPr>
        <w:t>。</w:t>
      </w:r>
    </w:p>
    <w:p>
      <w:pPr>
        <w:pStyle w:val="20"/>
        <w:spacing w:before="178" w:line="24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2.2 其它落实政府采购政策的资格要求（如有）：</w:t>
      </w:r>
      <w:r>
        <w:rPr>
          <w:rFonts w:hint="eastAsia" w:cs="宋体"/>
          <w:color w:val="000000" w:themeColor="text1"/>
          <w:u w:val="single"/>
          <w14:textFill>
            <w14:solidFill>
              <w14:schemeClr w14:val="tx1"/>
            </w14:solidFill>
          </w14:textFill>
        </w:rPr>
        <w:t>/</w:t>
      </w:r>
      <w:r>
        <w:rPr>
          <w:rFonts w:hint="eastAsia" w:cs="宋体"/>
          <w:color w:val="000000" w:themeColor="text1"/>
          <w14:textFill>
            <w14:solidFill>
              <w14:schemeClr w14:val="tx1"/>
            </w14:solidFill>
          </w14:textFill>
        </w:rPr>
        <w:t>。</w:t>
      </w:r>
    </w:p>
    <w:p>
      <w:pPr>
        <w:pStyle w:val="20"/>
        <w:spacing w:before="185" w:line="24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3.本项目的特定资格要求：</w:t>
      </w:r>
    </w:p>
    <w:p>
      <w:pPr>
        <w:pStyle w:val="20"/>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3.1 本项目是否属于政府购买服务：</w:t>
      </w:r>
    </w:p>
    <w:p>
      <w:pPr>
        <w:pStyle w:val="20"/>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w:t>
      </w:r>
      <w:r>
        <w:rPr>
          <w:rFonts w:hint="eastAsia" w:cs="宋体"/>
          <w:color w:val="000000" w:themeColor="text1"/>
          <w:spacing w:val="30"/>
          <w14:textFill>
            <w14:solidFill>
              <w14:schemeClr w14:val="tx1"/>
            </w14:solidFill>
          </w14:textFill>
        </w:rPr>
        <w:t>否</w:t>
      </w:r>
    </w:p>
    <w:p>
      <w:pPr>
        <w:pStyle w:val="20"/>
        <w:spacing w:before="185" w:line="360" w:lineRule="auto"/>
        <w:ind w:firstLine="480" w:firstLineChars="200"/>
        <w:rPr>
          <w:rFonts w:cs="宋体"/>
          <w:color w:val="000000" w:themeColor="text1"/>
          <w:spacing w:val="-1"/>
          <w14:textFill>
            <w14:solidFill>
              <w14:schemeClr w14:val="tx1"/>
            </w14:solidFill>
          </w14:textFill>
        </w:rPr>
      </w:pPr>
      <w:r>
        <w:rPr>
          <w:rFonts w:hint="eastAsia" w:cs="宋体"/>
          <w:color w:val="000000" w:themeColor="text1"/>
          <w14:textFill>
            <w14:solidFill>
              <w14:schemeClr w14:val="tx1"/>
            </w14:solidFill>
          </w14:textFill>
        </w:rPr>
        <w:t>□是，公益一类事业单位、使用事业编制且由财政拨款保障</w:t>
      </w:r>
      <w:r>
        <w:rPr>
          <w:rFonts w:hint="eastAsia" w:cs="宋体"/>
          <w:color w:val="000000" w:themeColor="text1"/>
          <w:spacing w:val="-1"/>
          <w14:textFill>
            <w14:solidFill>
              <w14:schemeClr w14:val="tx1"/>
            </w14:solidFill>
          </w14:textFill>
        </w:rPr>
        <w:t>的群团组织，不得作为承接主体；</w:t>
      </w:r>
    </w:p>
    <w:p>
      <w:pPr>
        <w:pStyle w:val="20"/>
        <w:spacing w:before="176" w:line="240" w:lineRule="auto"/>
        <w:ind w:firstLine="488" w:firstLineChars="200"/>
        <w:rPr>
          <w:rFonts w:cs="宋体"/>
          <w:color w:val="000000" w:themeColor="text1"/>
          <w:spacing w:val="2"/>
          <w14:textFill>
            <w14:solidFill>
              <w14:schemeClr w14:val="tx1"/>
            </w14:solidFill>
          </w14:textFill>
        </w:rPr>
      </w:pPr>
      <w:r>
        <w:rPr>
          <w:rFonts w:hint="eastAsia" w:cs="宋体"/>
          <w:color w:val="000000" w:themeColor="text1"/>
          <w:spacing w:val="2"/>
          <w14:textFill>
            <w14:solidFill>
              <w14:schemeClr w14:val="tx1"/>
            </w14:solidFill>
          </w14:textFill>
        </w:rPr>
        <w:t>3.2 其他特定资格要求：</w:t>
      </w:r>
    </w:p>
    <w:p>
      <w:pPr>
        <w:pStyle w:val="20"/>
        <w:spacing w:before="185" w:line="360" w:lineRule="auto"/>
        <w:ind w:firstLine="480" w:firstLineChars="200"/>
        <w:rPr>
          <w:rFonts w:cs="宋体"/>
          <w:color w:val="000000" w:themeColor="text1"/>
          <w:u w:val="single"/>
          <w14:textFill>
            <w14:solidFill>
              <w14:schemeClr w14:val="tx1"/>
            </w14:solidFill>
          </w14:textFill>
        </w:rPr>
      </w:pPr>
      <w:r>
        <w:rPr>
          <w:rFonts w:hint="eastAsia" w:cs="宋体"/>
          <w:color w:val="000000" w:themeColor="text1"/>
          <w:u w:val="single"/>
          <w14:textFill>
            <w14:solidFill>
              <w14:schemeClr w14:val="tx1"/>
            </w14:solidFill>
          </w14:textFill>
        </w:rPr>
        <w:t>3.2.</w:t>
      </w:r>
      <w:r>
        <w:rPr>
          <w:rFonts w:cs="宋体"/>
          <w:color w:val="000000" w:themeColor="text1"/>
          <w:u w:val="single"/>
          <w14:textFill>
            <w14:solidFill>
              <w14:schemeClr w14:val="tx1"/>
            </w14:solidFill>
          </w14:textFill>
        </w:rPr>
        <w:t>1</w:t>
      </w:r>
      <w:r>
        <w:rPr>
          <w:rFonts w:hint="eastAsia" w:cs="宋体"/>
          <w:color w:val="000000" w:themeColor="text1"/>
          <w:u w:val="single"/>
          <w14:textFill>
            <w14:solidFill>
              <w14:schemeClr w14:val="tx1"/>
            </w14:solidFill>
          </w14:textFill>
        </w:rPr>
        <w:t>所投产品属于医疗器械的，提供相应产品的医疗器械注册证或医疗器械备案表。代理商参与投标的，须提供医疗器械经营许可证和医疗器械经营备案凭证。</w:t>
      </w:r>
    </w:p>
    <w:bookmarkEnd w:id="16"/>
    <w:bookmarkEnd w:id="17"/>
    <w:p>
      <w:pPr>
        <w:widowControl/>
        <w:spacing w:line="360" w:lineRule="auto"/>
        <w:jc w:val="left"/>
        <w:rPr>
          <w:rFonts w:ascii="宋体" w:hAnsi="宋体" w:cs="宋体"/>
          <w:b/>
          <w:color w:val="000000" w:themeColor="text1"/>
          <w:sz w:val="24"/>
          <w14:textFill>
            <w14:solidFill>
              <w14:schemeClr w14:val="tx1"/>
            </w14:solidFill>
          </w14:textFill>
        </w:rPr>
      </w:pPr>
      <w:bookmarkStart w:id="18" w:name="_Toc35393623"/>
      <w:bookmarkStart w:id="19" w:name="_Toc35393792"/>
    </w:p>
    <w:p>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三、获取招标文件</w:t>
      </w:r>
      <w:bookmarkEnd w:id="18"/>
      <w:bookmarkEnd w:id="19"/>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sz w:val="24"/>
          <w:lang w:bidi="ar"/>
        </w:rPr>
        <w:t>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2</w:t>
      </w:r>
      <w:r>
        <w:rPr>
          <w:rFonts w:hint="eastAsia" w:ascii="宋体" w:hAnsi="宋体" w:cs="宋体"/>
          <w:sz w:val="24"/>
          <w:lang w:bidi="ar"/>
        </w:rPr>
        <w:t>日至</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lang w:val="en-US" w:eastAsia="zh-CN" w:bidi="ar"/>
        </w:rPr>
        <w:t>8</w:t>
      </w:r>
      <w:r>
        <w:rPr>
          <w:rFonts w:hint="eastAsia" w:ascii="宋体" w:hAnsi="宋体" w:cs="宋体"/>
          <w:sz w:val="24"/>
          <w:lang w:bidi="ar"/>
        </w:rPr>
        <w:t>日，每天上午</w:t>
      </w:r>
      <w:r>
        <w:rPr>
          <w:rFonts w:ascii="宋体" w:hAnsi="宋体" w:cs="宋体"/>
          <w:sz w:val="24"/>
          <w:u w:val="single"/>
          <w:lang w:bidi="ar"/>
        </w:rPr>
        <w:t>00</w:t>
      </w:r>
      <w:r>
        <w:rPr>
          <w:rFonts w:hint="eastAsia" w:ascii="宋体" w:hAnsi="宋体" w:cs="宋体"/>
          <w:sz w:val="24"/>
          <w:u w:val="single"/>
          <w:lang w:bidi="ar"/>
        </w:rPr>
        <w:t>:00</w:t>
      </w:r>
      <w:r>
        <w:rPr>
          <w:rFonts w:hint="eastAsia" w:ascii="宋体" w:hAnsi="宋体" w:cs="宋体"/>
          <w:sz w:val="24"/>
          <w:lang w:bidi="ar"/>
        </w:rPr>
        <w:t>至</w:t>
      </w:r>
      <w:r>
        <w:rPr>
          <w:rFonts w:hint="eastAsia" w:ascii="宋体" w:hAnsi="宋体" w:cs="宋体"/>
          <w:sz w:val="24"/>
          <w:u w:val="single"/>
          <w:lang w:bidi="ar"/>
        </w:rPr>
        <w:t>12:00</w:t>
      </w:r>
      <w:r>
        <w:rPr>
          <w:rFonts w:hint="eastAsia" w:ascii="宋体" w:hAnsi="宋体" w:cs="宋体"/>
          <w:sz w:val="24"/>
          <w:lang w:bidi="ar"/>
        </w:rPr>
        <w:t>，下午</w:t>
      </w:r>
      <w:r>
        <w:rPr>
          <w:rFonts w:hint="eastAsia" w:ascii="宋体" w:hAnsi="宋体" w:cs="宋体"/>
          <w:sz w:val="24"/>
          <w:u w:val="single"/>
          <w:lang w:bidi="ar"/>
        </w:rPr>
        <w:t>12:00</w:t>
      </w:r>
      <w:r>
        <w:rPr>
          <w:rFonts w:hint="eastAsia" w:ascii="宋体" w:hAnsi="宋体" w:cs="宋体"/>
          <w:sz w:val="24"/>
          <w:lang w:bidi="ar"/>
        </w:rPr>
        <w:t>至</w:t>
      </w:r>
      <w:r>
        <w:rPr>
          <w:rFonts w:ascii="宋体" w:hAnsi="宋体" w:cs="宋体"/>
          <w:sz w:val="24"/>
          <w:u w:val="single"/>
          <w:lang w:bidi="ar"/>
        </w:rPr>
        <w:t>24</w:t>
      </w:r>
      <w:r>
        <w:rPr>
          <w:rFonts w:hint="eastAsia" w:ascii="宋体" w:hAnsi="宋体" w:cs="宋体"/>
          <w:sz w:val="24"/>
          <w:u w:val="single"/>
          <w:lang w:bidi="ar"/>
        </w:rPr>
        <w:t>:00</w:t>
      </w:r>
      <w:r>
        <w:rPr>
          <w:rFonts w:hint="eastAsia" w:ascii="宋体" w:hAnsi="宋体" w:cs="宋体"/>
          <w:color w:val="000000" w:themeColor="text1"/>
          <w:sz w:val="24"/>
          <w14:textFill>
            <w14:solidFill>
              <w14:schemeClr w14:val="tx1"/>
            </w14:solidFill>
          </w14:textFill>
        </w:rPr>
        <w:t>（北京时间，法定节假日除外）。</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2.地点：北京市政府采购电子交易平台。</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3.方式：</w:t>
      </w:r>
      <w:r>
        <w:rPr>
          <w:rFonts w:hint="eastAsia" w:ascii="宋体" w:hAnsi="宋体" w:cs="宋体"/>
          <w:color w:val="000000" w:themeColor="text1"/>
          <w:spacing w:val="1"/>
          <w:sz w:val="24"/>
          <w14:textFill>
            <w14:solidFill>
              <w14:schemeClr w14:val="tx1"/>
            </w14:solidFill>
          </w14:textFill>
        </w:rPr>
        <w:t>供应商使用</w:t>
      </w:r>
      <w:r>
        <w:rPr>
          <w:rFonts w:hint="eastAsia" w:ascii="宋体" w:hAnsi="宋体" w:cs="宋体"/>
          <w:color w:val="000000" w:themeColor="text1"/>
          <w:sz w:val="24"/>
          <w14:textFill>
            <w14:solidFill>
              <w14:schemeClr w14:val="tx1"/>
            </w14:solidFill>
          </w14:textFill>
        </w:rPr>
        <w:t>CA</w:t>
      </w:r>
      <w:r>
        <w:rPr>
          <w:rFonts w:hint="eastAsia" w:ascii="宋体" w:hAnsi="宋体" w:cs="宋体"/>
          <w:color w:val="000000" w:themeColor="text1"/>
          <w:spacing w:val="1"/>
          <w:sz w:val="24"/>
          <w14:textFill>
            <w14:solidFill>
              <w14:schemeClr w14:val="tx1"/>
            </w14:solidFill>
          </w14:textFill>
        </w:rPr>
        <w:t>数字证书或电子营业执照登录北京市政府采购电子交易平</w:t>
      </w:r>
      <w:r>
        <w:rPr>
          <w:rFonts w:hint="eastAsia" w:ascii="宋体" w:hAnsi="宋体" w:cs="宋体"/>
          <w:color w:val="000000" w:themeColor="text1"/>
          <w:spacing w:val="14"/>
          <w:sz w:val="24"/>
          <w14:textFill>
            <w14:solidFill>
              <w14:schemeClr w14:val="tx1"/>
            </w14:solidFill>
          </w14:textFill>
        </w:rPr>
        <w:t>台</w:t>
      </w:r>
      <w:r>
        <w:rPr>
          <w:rFonts w:hint="eastAsia" w:ascii="宋体" w:hAnsi="宋体" w:cs="宋体"/>
          <w:color w:val="000000" w:themeColor="text1"/>
          <w:spacing w:val="14"/>
          <w:szCs w:val="21"/>
          <w14:textFill>
            <w14:solidFill>
              <w14:schemeClr w14:val="tx1"/>
            </w14:solidFill>
          </w14:textFill>
        </w:rPr>
        <w:t>（http://zbcg-bjzc.zhongcy.com/bjczj-portal-site/index.html#/hom</w:t>
      </w:r>
      <w:r>
        <w:rPr>
          <w:rFonts w:hint="eastAsia" w:ascii="宋体" w:hAnsi="宋体" w:cs="宋体"/>
          <w:color w:val="000000" w:themeColor="text1"/>
          <w:spacing w:val="13"/>
          <w:szCs w:val="21"/>
          <w14:textFill>
            <w14:solidFill>
              <w14:schemeClr w14:val="tx1"/>
            </w14:solidFill>
          </w14:textFill>
        </w:rPr>
        <w:t>e）</w:t>
      </w:r>
      <w:r>
        <w:rPr>
          <w:rFonts w:hint="eastAsia" w:ascii="宋体" w:hAnsi="宋体" w:cs="宋体"/>
          <w:color w:val="000000" w:themeColor="text1"/>
          <w:spacing w:val="13"/>
          <w:sz w:val="24"/>
          <w14:textFill>
            <w14:solidFill>
              <w14:schemeClr w14:val="tx1"/>
            </w14:solidFill>
          </w14:textFill>
        </w:rPr>
        <w:t>获取</w:t>
      </w:r>
      <w:r>
        <w:rPr>
          <w:rFonts w:hint="eastAsia" w:ascii="宋体" w:hAnsi="宋体" w:cs="宋体"/>
          <w:color w:val="000000" w:themeColor="text1"/>
          <w:spacing w:val="-3"/>
          <w:sz w:val="24"/>
          <w14:textFill>
            <w14:solidFill>
              <w14:schemeClr w14:val="tx1"/>
            </w14:solidFill>
          </w14:textFill>
        </w:rPr>
        <w:t>电子版招标文件</w:t>
      </w:r>
      <w:r>
        <w:rPr>
          <w:rFonts w:hint="eastAsia" w:ascii="宋体" w:hAnsi="宋体" w:cs="宋体"/>
          <w:color w:val="000000" w:themeColor="text1"/>
          <w:sz w:val="24"/>
          <w14:textFill>
            <w14:solidFill>
              <w14:schemeClr w14:val="tx1"/>
            </w14:solidFill>
          </w14:textFill>
        </w:rPr>
        <w:t>。</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4.售价：0元。</w:t>
      </w:r>
    </w:p>
    <w:p>
      <w:pPr>
        <w:tabs>
          <w:tab w:val="left" w:pos="900"/>
          <w:tab w:val="left" w:pos="1980"/>
        </w:tabs>
        <w:snapToGrid w:val="0"/>
        <w:spacing w:line="360" w:lineRule="auto"/>
        <w:ind w:left="840"/>
        <w:rPr>
          <w:rFonts w:ascii="宋体" w:hAnsi="宋体" w:cs="宋体"/>
          <w:color w:val="000000" w:themeColor="text1"/>
          <w:sz w:val="24"/>
          <w14:textFill>
            <w14:solidFill>
              <w14:schemeClr w14:val="tx1"/>
            </w14:solidFill>
          </w14:textFill>
        </w:rPr>
      </w:pPr>
    </w:p>
    <w:p>
      <w:pPr>
        <w:widowControl/>
        <w:spacing w:line="360" w:lineRule="auto"/>
        <w:jc w:val="left"/>
        <w:rPr>
          <w:rFonts w:ascii="宋体" w:hAnsi="宋体" w:cs="宋体"/>
          <w:b/>
          <w:color w:val="000000" w:themeColor="text1"/>
          <w:sz w:val="24"/>
          <w14:textFill>
            <w14:solidFill>
              <w14:schemeClr w14:val="tx1"/>
            </w14:solidFill>
          </w14:textFill>
        </w:rPr>
      </w:pPr>
      <w:bookmarkStart w:id="20" w:name="_Toc28359005"/>
      <w:bookmarkStart w:id="21" w:name="_Toc28359082"/>
      <w:bookmarkStart w:id="22" w:name="_Toc35393624"/>
      <w:bookmarkStart w:id="23" w:name="_Toc35393793"/>
      <w:r>
        <w:rPr>
          <w:rFonts w:hint="eastAsia" w:ascii="宋体" w:hAnsi="宋体" w:cs="宋体"/>
          <w:b/>
          <w:color w:val="000000" w:themeColor="text1"/>
          <w:sz w:val="24"/>
          <w14:textFill>
            <w14:solidFill>
              <w14:schemeClr w14:val="tx1"/>
            </w14:solidFill>
          </w14:textFill>
        </w:rPr>
        <w:t>四、提交投标文件</w:t>
      </w:r>
      <w:bookmarkEnd w:id="20"/>
      <w:bookmarkEnd w:id="21"/>
      <w:r>
        <w:rPr>
          <w:rFonts w:hint="eastAsia" w:ascii="宋体" w:hAnsi="宋体" w:cs="宋体"/>
          <w:b/>
          <w:color w:val="000000" w:themeColor="text1"/>
          <w:sz w:val="24"/>
          <w14:textFill>
            <w14:solidFill>
              <w14:schemeClr w14:val="tx1"/>
            </w14:solidFill>
          </w14:textFill>
        </w:rPr>
        <w:t>截止时间、开标时间和地点</w:t>
      </w:r>
      <w:bookmarkEnd w:id="22"/>
      <w:bookmarkEnd w:id="23"/>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投标截止时间、开标时间：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24</w:t>
      </w:r>
      <w:r>
        <w:rPr>
          <w:rFonts w:hint="eastAsia" w:ascii="宋体" w:hAnsi="宋体" w:cs="宋体"/>
          <w:sz w:val="24"/>
          <w:lang w:bidi="ar"/>
        </w:rPr>
        <w:t>日</w:t>
      </w:r>
      <w:r>
        <w:rPr>
          <w:rFonts w:hint="eastAsia" w:ascii="宋体" w:hAnsi="宋体" w:cs="宋体"/>
          <w:sz w:val="24"/>
          <w:u w:val="single"/>
          <w:lang w:bidi="ar"/>
        </w:rPr>
        <w:t>9</w:t>
      </w:r>
      <w:r>
        <w:rPr>
          <w:rFonts w:hint="eastAsia" w:ascii="宋体" w:hAnsi="宋体" w:cs="宋体"/>
          <w:sz w:val="24"/>
          <w:lang w:bidi="ar"/>
        </w:rPr>
        <w:t>点</w:t>
      </w:r>
      <w:r>
        <w:rPr>
          <w:rFonts w:hint="eastAsia" w:ascii="宋体" w:hAnsi="宋体" w:cs="宋体"/>
          <w:sz w:val="24"/>
          <w:u w:val="single"/>
          <w:lang w:bidi="ar"/>
        </w:rPr>
        <w:t>30</w:t>
      </w:r>
      <w:r>
        <w:rPr>
          <w:rFonts w:hint="eastAsia" w:ascii="宋体" w:hAnsi="宋体" w:cs="宋体"/>
          <w:sz w:val="24"/>
          <w:lang w:bidi="ar"/>
        </w:rPr>
        <w:t>分</w:t>
      </w:r>
      <w:r>
        <w:rPr>
          <w:rFonts w:hint="eastAsia" w:ascii="宋体" w:hAnsi="宋体" w:cs="宋体"/>
          <w:bCs/>
          <w:color w:val="000000" w:themeColor="text1"/>
          <w:sz w:val="24"/>
          <w14:textFill>
            <w14:solidFill>
              <w14:schemeClr w14:val="tx1"/>
            </w14:solidFill>
          </w14:textFill>
        </w:rPr>
        <w:t>（北京时间）</w:t>
      </w:r>
      <w:r>
        <w:rPr>
          <w:rFonts w:hint="eastAsia" w:ascii="宋体" w:hAnsi="宋体" w:cs="宋体"/>
          <w:iCs/>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lang w:val="zh-TW"/>
          <w14:textFill>
            <w14:solidFill>
              <w14:schemeClr w14:val="tx1"/>
            </w14:solidFill>
          </w14:textFill>
        </w:rPr>
      </w:pPr>
      <w:r>
        <w:rPr>
          <w:rFonts w:hint="eastAsia" w:ascii="宋体" w:hAnsi="宋体" w:cs="宋体"/>
          <w:color w:val="000000" w:themeColor="text1"/>
          <w:sz w:val="24"/>
          <w14:textFill>
            <w14:solidFill>
              <w14:schemeClr w14:val="tx1"/>
            </w14:solidFill>
          </w14:textFill>
        </w:rPr>
        <w:t>地点：</w:t>
      </w:r>
      <w:r>
        <w:rPr>
          <w:rFonts w:hint="eastAsia" w:ascii="宋体" w:hAnsi="宋体" w:cs="宋体"/>
          <w:color w:val="000000" w:themeColor="text1"/>
          <w:spacing w:val="1"/>
          <w:sz w:val="24"/>
          <w:u w:val="single"/>
          <w14:textFill>
            <w14:solidFill>
              <w14:schemeClr w14:val="tx1"/>
            </w14:solidFill>
          </w14:textFill>
        </w:rPr>
        <w:t>北京市政府采购电子交易平台</w:t>
      </w:r>
      <w:r>
        <w:rPr>
          <w:rFonts w:hint="eastAsia" w:ascii="宋体" w:hAnsi="宋体" w:cs="宋体"/>
          <w:color w:val="000000" w:themeColor="text1"/>
          <w:sz w:val="24"/>
          <w:lang w:val="zh-TW"/>
          <w14:textFill>
            <w14:solidFill>
              <w14:schemeClr w14:val="tx1"/>
            </w14:solidFill>
          </w14:textFill>
        </w:rPr>
        <w:t>。</w:t>
      </w:r>
    </w:p>
    <w:p>
      <w:pPr>
        <w:spacing w:line="360" w:lineRule="auto"/>
        <w:ind w:firstLine="480" w:firstLineChars="200"/>
        <w:rPr>
          <w:rFonts w:hint="eastAsia" w:ascii="宋体" w:hAnsi="宋体" w:cs="宋体"/>
          <w:bCs/>
          <w:color w:val="000000" w:themeColor="text1"/>
          <w:sz w:val="24"/>
          <w:u w:val="single"/>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注:本项目开标顺序为</w:t>
      </w:r>
      <w:r>
        <w:rPr>
          <w:rFonts w:hint="eastAsia" w:ascii="宋体" w:hAnsi="宋体" w:cs="宋体"/>
          <w:bCs/>
          <w:color w:val="000000" w:themeColor="text1"/>
          <w:sz w:val="24"/>
          <w:u w:val="single"/>
          <w:lang w:val="en-US" w:eastAsia="zh-CN"/>
          <w14:textFill>
            <w14:solidFill>
              <w14:schemeClr w14:val="tx1"/>
            </w14:solidFill>
          </w14:textFill>
        </w:rPr>
        <w:t>按包号依次开标</w:t>
      </w:r>
      <w:r>
        <w:rPr>
          <w:rFonts w:hint="eastAsia" w:ascii="宋体" w:hAnsi="宋体" w:cs="宋体"/>
          <w:bCs/>
          <w:color w:val="000000" w:themeColor="text1"/>
          <w:sz w:val="24"/>
          <w:u w:val="single"/>
          <w14:textFill>
            <w14:solidFill>
              <w14:schemeClr w14:val="tx1"/>
            </w14:solidFill>
          </w14:textFill>
        </w:rPr>
        <w:t>。投标人届时登录系统后请耐心等待。</w:t>
      </w:r>
    </w:p>
    <w:p>
      <w:pPr>
        <w:spacing w:line="360" w:lineRule="auto"/>
        <w:jc w:val="left"/>
        <w:rPr>
          <w:rFonts w:ascii="宋体" w:hAnsi="宋体" w:cs="宋体"/>
          <w:b/>
          <w:color w:val="000000" w:themeColor="text1"/>
          <w:sz w:val="24"/>
          <w14:textFill>
            <w14:solidFill>
              <w14:schemeClr w14:val="tx1"/>
            </w14:solidFill>
          </w14:textFill>
        </w:rPr>
      </w:pPr>
      <w:bookmarkStart w:id="24" w:name="_Toc35393794"/>
      <w:bookmarkStart w:id="25" w:name="_Toc35393625"/>
      <w:bookmarkStart w:id="26" w:name="_Toc28359007"/>
      <w:bookmarkStart w:id="27" w:name="_Toc28359084"/>
      <w:r>
        <w:rPr>
          <w:rFonts w:hint="eastAsia" w:ascii="宋体" w:hAnsi="宋体" w:cs="宋体"/>
          <w:b/>
          <w:color w:val="000000" w:themeColor="text1"/>
          <w:sz w:val="24"/>
          <w14:textFill>
            <w14:solidFill>
              <w14:schemeClr w14:val="tx1"/>
            </w14:solidFill>
          </w14:textFill>
        </w:rPr>
        <w:t>五、公告期限</w:t>
      </w:r>
      <w:bookmarkEnd w:id="24"/>
      <w:bookmarkEnd w:id="25"/>
      <w:bookmarkEnd w:id="26"/>
      <w:bookmarkEnd w:id="27"/>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自本公告发布之日起5个工作日。</w:t>
      </w:r>
    </w:p>
    <w:p>
      <w:pPr>
        <w:spacing w:line="360" w:lineRule="auto"/>
        <w:ind w:firstLine="480" w:firstLineChars="200"/>
        <w:rPr>
          <w:rFonts w:ascii="宋体" w:hAnsi="宋体" w:cs="宋体"/>
          <w:color w:val="000000" w:themeColor="text1"/>
          <w:kern w:val="0"/>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28" w:name="_Toc35393795"/>
      <w:bookmarkStart w:id="29" w:name="_Toc35393626"/>
      <w:r>
        <w:rPr>
          <w:rFonts w:hint="eastAsia" w:ascii="宋体" w:hAnsi="宋体" w:cs="宋体"/>
          <w:b/>
          <w:color w:val="000000" w:themeColor="text1"/>
          <w:sz w:val="24"/>
          <w14:textFill>
            <w14:solidFill>
              <w14:schemeClr w14:val="tx1"/>
            </w14:solidFill>
          </w14:textFill>
        </w:rPr>
        <w:t>六、其他补充事宜</w:t>
      </w:r>
      <w:bookmarkEnd w:id="28"/>
      <w:bookmarkEnd w:id="29"/>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1.本项目需要落实的政府采购政策：</w:t>
      </w:r>
    </w:p>
    <w:p>
      <w:pPr>
        <w:spacing w:line="360" w:lineRule="auto"/>
        <w:ind w:firstLine="460" w:firstLineChars="192"/>
        <w:rPr>
          <w:rFonts w:ascii="宋体" w:hAnsi="宋体" w:cs="宋体"/>
          <w:sz w:val="24"/>
        </w:rPr>
      </w:pPr>
      <w:bookmarkStart w:id="30" w:name="OLE_LINK176"/>
      <w:bookmarkStart w:id="31" w:name="OLE_LINK17"/>
      <w:bookmarkStart w:id="32" w:name="OLE_LINK132"/>
      <w:bookmarkStart w:id="33" w:name="OLE_LINK14"/>
      <w:r>
        <w:rPr>
          <w:rFonts w:hint="eastAsia" w:ascii="宋体" w:hAnsi="宋体" w:cs="宋体"/>
          <w:sz w:val="24"/>
        </w:rPr>
        <w:t>（1）执行</w:t>
      </w:r>
      <w:bookmarkStart w:id="34" w:name="OLE_LINK172"/>
      <w:bookmarkStart w:id="35" w:name="OLE_LINK173"/>
      <w:r>
        <w:rPr>
          <w:rFonts w:hint="eastAsia" w:ascii="宋体" w:hAnsi="宋体" w:cs="宋体"/>
          <w:szCs w:val="22"/>
        </w:rPr>
        <w:fldChar w:fldCharType="begin"/>
      </w:r>
      <w:r>
        <w:rPr>
          <w:rFonts w:hint="eastAsia" w:ascii="宋体" w:hAnsi="宋体" w:cs="宋体"/>
        </w:rPr>
        <w:instrText xml:space="preserve"> HYPERLINK "http://www.ccgp.gov.cn/zcfg/mof/201904/t20190403_11849836.htm" \t "http://www.ccgp.gov.cn/jnhb/jnhbqd/_blank" \o "关于印发节能产品政府采购品目清单的通知（财库〔2019〕19号）" </w:instrText>
      </w:r>
      <w:r>
        <w:rPr>
          <w:rFonts w:hint="eastAsia" w:ascii="宋体" w:hAnsi="宋体" w:cs="宋体"/>
          <w:szCs w:val="22"/>
        </w:rPr>
        <w:fldChar w:fldCharType="separate"/>
      </w:r>
      <w:bookmarkStart w:id="36" w:name="OLE_LINK167"/>
      <w:bookmarkStart w:id="37" w:name="OLE_LINK151"/>
      <w:r>
        <w:rPr>
          <w:rFonts w:hint="eastAsia" w:ascii="宋体" w:hAnsi="宋体" w:cs="宋体"/>
          <w:sz w:val="24"/>
        </w:rPr>
        <w:t>《关于印发节能产品政府采购品目清单的通知》</w:t>
      </w:r>
      <w:bookmarkEnd w:id="36"/>
      <w:bookmarkEnd w:id="37"/>
      <w:r>
        <w:rPr>
          <w:rFonts w:hint="eastAsia" w:ascii="宋体" w:hAnsi="宋体" w:cs="宋体"/>
          <w:sz w:val="24"/>
        </w:rPr>
        <w:t>（财库〔2019〕19号）</w:t>
      </w:r>
      <w:r>
        <w:rPr>
          <w:rFonts w:hint="eastAsia" w:ascii="宋体" w:hAnsi="宋体" w:cs="宋体"/>
          <w:sz w:val="24"/>
        </w:rPr>
        <w:fldChar w:fldCharType="end"/>
      </w:r>
      <w:bookmarkEnd w:id="34"/>
      <w:bookmarkEnd w:id="35"/>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（2）执行《关于印发环境标志产品政府采购品目清单的通知》（财库〔2019〕18号）；</w:t>
      </w:r>
    </w:p>
    <w:p>
      <w:pPr>
        <w:spacing w:line="360" w:lineRule="auto"/>
        <w:ind w:firstLine="460" w:firstLineChars="192"/>
        <w:rPr>
          <w:rFonts w:ascii="宋体" w:hAnsi="宋体" w:cs="宋体"/>
          <w:sz w:val="24"/>
        </w:rPr>
      </w:pPr>
      <w:r>
        <w:rPr>
          <w:rFonts w:hint="eastAsia" w:ascii="宋体" w:hAnsi="宋体" w:cs="宋体"/>
          <w:sz w:val="24"/>
        </w:rPr>
        <w:t>（3）执行《关于印发政府采购促进中小企业发展管理办法》（财库[2020]46号；</w:t>
      </w:r>
    </w:p>
    <w:p>
      <w:pPr>
        <w:spacing w:line="360" w:lineRule="auto"/>
        <w:ind w:firstLine="460" w:firstLineChars="192"/>
        <w:rPr>
          <w:rFonts w:ascii="宋体" w:hAnsi="宋体" w:cs="宋体"/>
          <w:sz w:val="24"/>
        </w:rPr>
      </w:pPr>
      <w:r>
        <w:rPr>
          <w:rFonts w:hint="eastAsia" w:ascii="宋体" w:hAnsi="宋体" w:cs="宋体"/>
          <w:sz w:val="24"/>
        </w:rPr>
        <w:t>（4）执行《财政部、司法部关于政府采购支持监狱企业发展有关问题的通知》</w:t>
      </w:r>
      <w:bookmarkStart w:id="38" w:name="OLE_LINK171"/>
      <w:r>
        <w:rPr>
          <w:rFonts w:hint="eastAsia" w:ascii="宋体" w:hAnsi="宋体" w:cs="宋体"/>
          <w:sz w:val="24"/>
        </w:rPr>
        <w:t>（财库[2014]68号）</w:t>
      </w:r>
      <w:bookmarkEnd w:id="38"/>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（5）执行《关于促进残疾人就业政府采购政策的通知》（财库〔2017〕141号）；</w:t>
      </w:r>
    </w:p>
    <w:p>
      <w:pPr>
        <w:spacing w:line="360" w:lineRule="auto"/>
        <w:ind w:firstLine="460" w:firstLineChars="192"/>
        <w:rPr>
          <w:rFonts w:ascii="宋体" w:hAnsi="宋体" w:cs="宋体"/>
          <w:sz w:val="24"/>
        </w:rPr>
      </w:pPr>
      <w:r>
        <w:rPr>
          <w:rFonts w:hint="eastAsia" w:ascii="宋体" w:hAnsi="宋体" w:cs="宋体"/>
          <w:sz w:val="24"/>
        </w:rPr>
        <w:t>（6）执行《</w:t>
      </w:r>
      <w:bookmarkStart w:id="39" w:name="OLE_LINK166"/>
      <w:r>
        <w:rPr>
          <w:rFonts w:hint="eastAsia" w:ascii="宋体" w:hAnsi="宋体" w:cs="宋体"/>
          <w:sz w:val="24"/>
        </w:rPr>
        <w:t>财政部关于在政府采购活动中查询及使用信用记录有关问题的通知</w:t>
      </w:r>
      <w:bookmarkEnd w:id="39"/>
      <w:r>
        <w:rPr>
          <w:rFonts w:hint="eastAsia" w:ascii="宋体" w:hAnsi="宋体" w:cs="宋体"/>
          <w:sz w:val="24"/>
        </w:rPr>
        <w:t>》（财库[2016]125号）；</w:t>
      </w:r>
    </w:p>
    <w:p>
      <w:pPr>
        <w:spacing w:line="360" w:lineRule="auto"/>
        <w:ind w:firstLine="480" w:firstLineChars="200"/>
        <w:rPr>
          <w:rFonts w:ascii="宋体" w:hAnsi="宋体" w:cs="宋体"/>
          <w:sz w:val="24"/>
          <w:lang w:bidi="ar"/>
        </w:rPr>
      </w:pPr>
      <w:r>
        <w:rPr>
          <w:rFonts w:hint="eastAsia" w:ascii="宋体" w:hAnsi="宋体" w:cs="宋体"/>
          <w:sz w:val="24"/>
        </w:rPr>
        <w:t>（7）执</w:t>
      </w:r>
      <w:bookmarkEnd w:id="30"/>
      <w:r>
        <w:rPr>
          <w:rFonts w:hint="eastAsia" w:ascii="宋体" w:hAnsi="宋体" w:cs="宋体"/>
          <w:sz w:val="24"/>
        </w:rPr>
        <w:t>行《关于进一步加大政府采购支持中小企业力度的通知》（财库〔2022〕19号）；</w:t>
      </w:r>
    </w:p>
    <w:bookmarkEnd w:id="31"/>
    <w:p>
      <w:pPr>
        <w:spacing w:line="360" w:lineRule="auto"/>
        <w:ind w:firstLine="460" w:firstLineChars="192"/>
        <w:rPr>
          <w:rFonts w:ascii="宋体" w:hAnsi="宋体" w:cs="宋体"/>
          <w:sz w:val="24"/>
        </w:rPr>
      </w:pPr>
      <w:r>
        <w:rPr>
          <w:rFonts w:hint="eastAsia" w:ascii="宋体" w:hAnsi="宋体" w:cs="宋体"/>
          <w:sz w:val="24"/>
        </w:rPr>
        <w:t>（</w:t>
      </w:r>
      <w:r>
        <w:rPr>
          <w:rFonts w:ascii="宋体" w:hAnsi="宋体" w:cs="宋体"/>
          <w:sz w:val="24"/>
        </w:rPr>
        <w:t>8</w:t>
      </w:r>
      <w:r>
        <w:rPr>
          <w:rFonts w:hint="eastAsia" w:ascii="宋体" w:hAnsi="宋体" w:cs="宋体"/>
          <w:sz w:val="24"/>
        </w:rPr>
        <w:t>）执行</w:t>
      </w:r>
      <w:r>
        <w:rPr>
          <w:rFonts w:ascii="宋体" w:hAnsi="宋体" w:cs="宋体"/>
          <w:sz w:val="24"/>
        </w:rPr>
        <w:t>关于印发《商品包装政府采购需求标准（试行）》、《快递包装政府采购需求标准（试行）》的通知（财办库〔2020〕123号）</w:t>
      </w:r>
      <w:r>
        <w:rPr>
          <w:rFonts w:hint="eastAsia" w:ascii="宋体" w:hAnsi="宋体" w:cs="宋体"/>
          <w:sz w:val="24"/>
        </w:rPr>
        <w:t>。</w:t>
      </w:r>
      <w:bookmarkEnd w:id="32"/>
    </w:p>
    <w:p>
      <w:pPr>
        <w:spacing w:line="360" w:lineRule="auto"/>
        <w:ind w:firstLine="460" w:firstLineChars="192"/>
        <w:rPr>
          <w:rFonts w:ascii="宋体" w:hAnsi="宋体" w:cs="宋体"/>
          <w:sz w:val="24"/>
        </w:rPr>
      </w:pPr>
      <w:r>
        <w:rPr>
          <w:rFonts w:hint="eastAsia" w:ascii="宋体" w:hAnsi="宋体" w:cs="宋体"/>
          <w:sz w:val="24"/>
        </w:rPr>
        <w:t>（9）国务院办公厅关于在政府采购中实施本国产品标准及相关政策的通知（国办发〔2025〕34号）</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sz w:val="24"/>
        </w:rPr>
        <w:t>（1</w:t>
      </w:r>
      <w:r>
        <w:rPr>
          <w:rFonts w:ascii="宋体" w:hAnsi="宋体" w:cs="宋体"/>
          <w:sz w:val="24"/>
        </w:rPr>
        <w:t>0</w:t>
      </w:r>
      <w:r>
        <w:rPr>
          <w:rFonts w:hint="eastAsia" w:ascii="宋体" w:hAnsi="宋体" w:cs="宋体"/>
          <w:sz w:val="24"/>
        </w:rPr>
        <w:t>）关于推动解决政府采购异常低价问题的通知（财库〔2026〕2号）</w:t>
      </w:r>
    </w:p>
    <w:bookmarkEnd w:id="33"/>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 或电子营业执照情况确认是否符合本项目电子化采购流程要求。</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CA数字证书服务热线010-58511086</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电子营业执照服务热线400-699-7000</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技术支持服务热线010-86483801</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.1办理CA数字证书或电子营业执照</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供应商登录北京市政府采购电子交易平台查阅“用户指南”—“操作指南”—“市场主体CA办理操作流程指引”/“电子营业执照使用指南”，按照程序要求办理。</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.2注册</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供应商登录北京市政府采购电子交易平台“用户指南”—“操作指南”—“市场主体注册入库操作流程指引”进行自助注册绑定。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.3驱动、客户端下载</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供应商登录北京市政府采购电子交易平台“用户指南”—“工具下载”—“招标采购系统文件驱动安装包”下载相关驱动。</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供应商登录北京市政府采购电子交易平台“用户指南”—“工具下载”—“投标文件编制工具”下载相关客户端。</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.4获取电子招标文件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供应商使用CA数字证书或电子营业执照登录北京市政府采购电子交易平台获取电子招标文件。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.5编制电子投标文件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.6提交电子投标文件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供应商应于投标截止时间前在北京市政府采购电子交易平台提交电子投标文件，上传电子投标文件过程中请保持与互联网的连接畅通。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.7电子开标</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供应商在开标地点使用CA数字证书或电子营业执照登录北京市政府采购电子交易平台进行电子开标。</w:t>
      </w:r>
    </w:p>
    <w:p>
      <w:pPr>
        <w:spacing w:line="360" w:lineRule="auto"/>
        <w:ind w:firstLine="460" w:firstLineChars="192"/>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40" w:name="_Toc35393796"/>
      <w:bookmarkStart w:id="41" w:name="_Toc28359008"/>
      <w:bookmarkStart w:id="42" w:name="_Toc35393627"/>
      <w:bookmarkStart w:id="43" w:name="_Toc28359085"/>
      <w:r>
        <w:rPr>
          <w:rFonts w:hint="eastAsia" w:ascii="宋体" w:hAnsi="宋体" w:cs="宋体"/>
          <w:b/>
          <w:color w:val="000000" w:themeColor="text1"/>
          <w:sz w:val="24"/>
          <w14:textFill>
            <w14:solidFill>
              <w14:schemeClr w14:val="tx1"/>
            </w14:solidFill>
          </w14:textFill>
        </w:rPr>
        <w:t>七、对本次招标提出询问，请按以下方式联系。</w:t>
      </w:r>
      <w:bookmarkEnd w:id="40"/>
      <w:bookmarkEnd w:id="41"/>
      <w:bookmarkEnd w:id="42"/>
      <w:bookmarkEnd w:id="43"/>
    </w:p>
    <w:p>
      <w:pPr>
        <w:widowControl/>
        <w:spacing w:line="360" w:lineRule="auto"/>
        <w:jc w:val="left"/>
        <w:rPr>
          <w:rFonts w:ascii="宋体" w:hAnsi="宋体" w:cs="宋体"/>
          <w:b/>
          <w:sz w:val="24"/>
        </w:rPr>
      </w:pPr>
      <w:r>
        <w:rPr>
          <w:rFonts w:hint="eastAsia" w:ascii="宋体" w:hAnsi="宋体" w:cs="宋体"/>
          <w:color w:val="000000" w:themeColor="text1"/>
          <w:sz w:val="24"/>
          <w14:textFill>
            <w14:solidFill>
              <w14:schemeClr w14:val="tx1"/>
            </w14:solidFill>
          </w14:textFill>
        </w:rPr>
        <w:t>　　　</w:t>
      </w:r>
      <w:r>
        <w:rPr>
          <w:rFonts w:hint="eastAsia" w:ascii="宋体" w:hAnsi="宋体" w:cs="宋体"/>
          <w:b/>
          <w:sz w:val="24"/>
        </w:rPr>
        <w:t>1.采购人信息</w:t>
      </w:r>
    </w:p>
    <w:p>
      <w:pPr>
        <w:spacing w:line="360" w:lineRule="auto"/>
        <w:ind w:left="1079" w:leftChars="371" w:hanging="300" w:hangingChars="125"/>
        <w:jc w:val="left"/>
        <w:rPr>
          <w:rFonts w:ascii="宋体" w:hAnsi="宋体" w:cs="宋体"/>
          <w:sz w:val="24"/>
          <w:u w:val="single"/>
        </w:rPr>
      </w:pPr>
      <w:bookmarkStart w:id="44" w:name="_Toc28359086"/>
      <w:bookmarkStart w:id="45" w:name="_Toc28359009"/>
      <w:r>
        <w:rPr>
          <w:rFonts w:hint="eastAsia" w:ascii="宋体" w:hAnsi="宋体" w:cs="宋体"/>
          <w:sz w:val="24"/>
        </w:rPr>
        <w:t>名    称：</w:t>
      </w:r>
      <w:r>
        <w:rPr>
          <w:rFonts w:hint="eastAsia" w:ascii="宋体" w:hAnsi="宋体" w:cs="宋体"/>
          <w:color w:val="000000"/>
          <w:sz w:val="24"/>
          <w:u w:val="single"/>
        </w:rPr>
        <w:t>北京第四实验学校</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北京市大兴区榆垡镇恒祥街6号院</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r>
        <w:rPr>
          <w:rFonts w:hint="eastAsia" w:ascii="宋体" w:hAnsi="宋体" w:cs="宋体"/>
          <w:color w:val="000000"/>
          <w:sz w:val="24"/>
          <w:u w:val="single"/>
        </w:rPr>
        <w:t>李老师 010-6652</w:t>
      </w:r>
      <w:r>
        <w:rPr>
          <w:rFonts w:ascii="宋体" w:hAnsi="宋体" w:cs="宋体"/>
          <w:color w:val="000000"/>
          <w:sz w:val="24"/>
          <w:u w:val="single"/>
        </w:rPr>
        <w:t>8086</w:t>
      </w:r>
    </w:p>
    <w:p>
      <w:pPr>
        <w:spacing w:line="360" w:lineRule="auto"/>
        <w:ind w:left="1080" w:leftChars="371" w:hanging="301" w:hangingChars="125"/>
        <w:jc w:val="left"/>
        <w:rPr>
          <w:rFonts w:ascii="宋体" w:hAnsi="宋体" w:cs="宋体"/>
          <w:b/>
          <w:sz w:val="24"/>
        </w:rPr>
      </w:pPr>
      <w:r>
        <w:rPr>
          <w:rFonts w:hint="eastAsia" w:ascii="宋体" w:hAnsi="宋体" w:cs="宋体"/>
          <w:b/>
          <w:sz w:val="24"/>
        </w:rPr>
        <w:t>2.采购代理机构信息</w:t>
      </w:r>
      <w:bookmarkEnd w:id="44"/>
      <w:bookmarkEnd w:id="45"/>
    </w:p>
    <w:p>
      <w:pPr>
        <w:spacing w:line="360" w:lineRule="auto"/>
        <w:ind w:left="1079" w:leftChars="371" w:hanging="300" w:hangingChars="125"/>
        <w:jc w:val="left"/>
        <w:rPr>
          <w:rFonts w:ascii="宋体" w:hAnsi="宋体" w:cs="宋体"/>
          <w:sz w:val="24"/>
          <w:u w:val="single"/>
        </w:rPr>
      </w:pPr>
      <w:bookmarkStart w:id="46" w:name="_Toc28359010"/>
      <w:bookmarkStart w:id="47" w:name="_Toc28359087"/>
      <w:r>
        <w:rPr>
          <w:rFonts w:hint="eastAsia" w:ascii="宋体" w:hAnsi="宋体" w:cs="宋体"/>
          <w:sz w:val="24"/>
        </w:rPr>
        <w:t>名    称：</w:t>
      </w:r>
      <w:r>
        <w:rPr>
          <w:rFonts w:hint="eastAsia" w:ascii="宋体" w:hAnsi="宋体" w:cs="宋体"/>
          <w:color w:val="000000"/>
          <w:sz w:val="24"/>
          <w:u w:val="single"/>
        </w:rPr>
        <w:t>北京市京发招标有限公司</w:t>
      </w:r>
    </w:p>
    <w:p>
      <w:pPr>
        <w:spacing w:line="360" w:lineRule="auto"/>
        <w:ind w:left="1079" w:leftChars="371" w:hanging="300" w:hangingChars="125"/>
        <w:jc w:val="left"/>
        <w:rPr>
          <w:rFonts w:ascii="宋体" w:hAnsi="宋体" w:cs="宋体"/>
          <w:sz w:val="24"/>
        </w:rPr>
      </w:pPr>
      <w:r>
        <w:rPr>
          <w:rFonts w:hint="eastAsia" w:ascii="宋体" w:hAnsi="宋体" w:cs="宋体"/>
          <w:sz w:val="24"/>
        </w:rPr>
        <w:t>地    址：</w:t>
      </w:r>
      <w:r>
        <w:rPr>
          <w:rFonts w:hint="eastAsia" w:ascii="宋体" w:hAnsi="宋体" w:cs="宋体"/>
          <w:color w:val="000000"/>
          <w:sz w:val="24"/>
          <w:u w:val="single"/>
        </w:rPr>
        <w:t>北京市东城区崇文门外大街90号</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r>
        <w:rPr>
          <w:rFonts w:hint="eastAsia" w:ascii="宋体" w:hAnsi="宋体" w:cs="宋体"/>
          <w:color w:val="000000"/>
          <w:sz w:val="24"/>
          <w:u w:val="single"/>
        </w:rPr>
        <w:t>张超、李丁、马若莎、王康康、姚凤阳、杨栋010-67169727</w:t>
      </w:r>
    </w:p>
    <w:p>
      <w:pPr>
        <w:spacing w:line="360" w:lineRule="auto"/>
        <w:ind w:firstLine="723" w:firstLineChars="300"/>
        <w:rPr>
          <w:rFonts w:ascii="宋体" w:hAnsi="宋体" w:cs="宋体"/>
          <w:b/>
          <w:sz w:val="24"/>
          <w:u w:val="single"/>
        </w:rPr>
      </w:pPr>
      <w:r>
        <w:rPr>
          <w:rFonts w:hint="eastAsia" w:ascii="宋体" w:hAnsi="宋体" w:cs="宋体"/>
          <w:b/>
          <w:sz w:val="24"/>
        </w:rPr>
        <w:t>3.项目联系方式</w:t>
      </w:r>
      <w:bookmarkEnd w:id="46"/>
      <w:bookmarkEnd w:id="47"/>
    </w:p>
    <w:p>
      <w:pPr>
        <w:pStyle w:val="27"/>
        <w:spacing w:line="360" w:lineRule="auto"/>
        <w:ind w:firstLine="720" w:firstLineChars="300"/>
        <w:rPr>
          <w:rFonts w:hint="default" w:hAnsi="宋体" w:cs="宋体"/>
          <w:sz w:val="24"/>
          <w:szCs w:val="24"/>
          <w:u w:val="single"/>
        </w:rPr>
      </w:pPr>
      <w:r>
        <w:rPr>
          <w:rFonts w:hAnsi="宋体" w:cs="宋体"/>
          <w:sz w:val="24"/>
          <w:szCs w:val="24"/>
        </w:rPr>
        <w:t>项目联系人：</w:t>
      </w:r>
      <w:r>
        <w:rPr>
          <w:rFonts w:hAnsi="宋体" w:cs="宋体"/>
          <w:color w:val="000000"/>
          <w:sz w:val="24"/>
          <w:szCs w:val="24"/>
          <w:u w:val="single"/>
        </w:rPr>
        <w:t>张超、李丁、马若莎、王康康、姚凤阳、杨栋</w:t>
      </w:r>
    </w:p>
    <w:p>
      <w:pPr>
        <w:pStyle w:val="27"/>
        <w:spacing w:line="360" w:lineRule="auto"/>
        <w:ind w:firstLine="720" w:firstLineChars="300"/>
        <w:rPr>
          <w:rFonts w:hint="default" w:hAnsi="宋体" w:cs="宋体"/>
          <w:color w:val="000000" w:themeColor="text1"/>
          <w:sz w:val="24"/>
          <w14:textFill>
            <w14:solidFill>
              <w14:schemeClr w14:val="tx1"/>
            </w14:solidFill>
          </w14:textFill>
        </w:rPr>
      </w:pPr>
      <w:r>
        <w:rPr>
          <w:rFonts w:hAnsi="宋体" w:cs="宋体"/>
          <w:sz w:val="24"/>
        </w:rPr>
        <w:t>电      话：</w:t>
      </w:r>
      <w:r>
        <w:rPr>
          <w:rFonts w:hAnsi="宋体" w:cs="宋体"/>
          <w:color w:val="000000"/>
          <w:sz w:val="24"/>
          <w:szCs w:val="24"/>
          <w:u w:val="single"/>
        </w:rPr>
        <w:t>67169727</w:t>
      </w:r>
    </w:p>
    <w:p>
      <w:pPr>
        <w:widowControl/>
        <w:jc w:val="left"/>
        <w:rPr>
          <w:rFonts w:ascii="宋体" w:hAnsi="宋体" w:cs="宋体"/>
          <w:b/>
          <w:color w:val="000000" w:themeColor="text1"/>
          <w:sz w:val="36"/>
          <w:szCs w:val="36"/>
          <w14:textFill>
            <w14:solidFill>
              <w14:schemeClr w14:val="tx1"/>
            </w14:solidFill>
          </w14:textFill>
        </w:rPr>
      </w:pPr>
      <w:bookmarkStart w:id="48" w:name="_Toc99301420"/>
      <w:bookmarkStart w:id="49" w:name="_Toc305158928"/>
      <w:bookmarkStart w:id="50" w:name="_Toc150774783"/>
      <w:bookmarkStart w:id="51" w:name="_Toc353825548"/>
      <w:bookmarkStart w:id="52" w:name="_Toc305158854"/>
      <w:bookmarkStart w:id="53" w:name="_Toc127151777"/>
      <w:bookmarkStart w:id="54" w:name="_Toc195842950"/>
      <w:bookmarkStart w:id="55" w:name="_Toc265228423"/>
      <w:bookmarkStart w:id="56" w:name="_Toc512937850"/>
      <w:bookmarkStart w:id="57" w:name="_Toc264969275"/>
      <w:bookmarkStart w:id="58" w:name="_Toc353873938"/>
      <w:bookmarkStart w:id="59" w:name="_Toc127161488"/>
      <w:bookmarkStart w:id="60" w:name="_Toc226965856"/>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2"/>
          <w:szCs w:val="32"/>
          <w14:textFill>
            <w14:solidFill>
              <w14:schemeClr w14:val="tx1"/>
            </w14:solidFill>
          </w14:textFill>
        </w:rPr>
      </w:pPr>
      <w:bookmarkStart w:id="61" w:name="_Toc218620567"/>
      <w:r>
        <w:rPr>
          <w:rFonts w:hint="eastAsia" w:ascii="宋体" w:hAnsi="宋体" w:cs="宋体"/>
          <w:b/>
          <w:color w:val="000000" w:themeColor="text1"/>
          <w:sz w:val="36"/>
          <w:szCs w:val="36"/>
          <w14:textFill>
            <w14:solidFill>
              <w14:schemeClr w14:val="tx1"/>
            </w14:solidFill>
          </w14:textFill>
        </w:rPr>
        <w:t>第二章   投标人须知</w:t>
      </w:r>
      <w:bookmarkEnd w:id="48"/>
      <w:bookmarkEnd w:id="49"/>
      <w:bookmarkEnd w:id="50"/>
      <w:bookmarkEnd w:id="51"/>
      <w:bookmarkEnd w:id="52"/>
      <w:bookmarkEnd w:id="53"/>
      <w:bookmarkEnd w:id="54"/>
      <w:bookmarkEnd w:id="55"/>
      <w:bookmarkEnd w:id="56"/>
      <w:bookmarkEnd w:id="57"/>
      <w:bookmarkEnd w:id="58"/>
      <w:bookmarkEnd w:id="59"/>
      <w:bookmarkEnd w:id="60"/>
      <w:bookmarkEnd w:id="61"/>
    </w:p>
    <w:p>
      <w:pPr>
        <w:tabs>
          <w:tab w:val="center" w:pos="4592"/>
          <w:tab w:val="left" w:pos="7860"/>
        </w:tabs>
        <w:spacing w:line="360" w:lineRule="auto"/>
        <w:jc w:val="center"/>
        <w:rPr>
          <w:rFonts w:ascii="宋体" w:hAnsi="宋体" w:cs="宋体"/>
          <w:color w:val="000000" w:themeColor="text1"/>
          <w:sz w:val="28"/>
          <w14:textFill>
            <w14:solidFill>
              <w14:schemeClr w14:val="tx1"/>
            </w14:solidFill>
          </w14:textFill>
        </w:rPr>
      </w:pPr>
      <w:bookmarkStart w:id="62" w:name="_Toc164608788"/>
      <w:bookmarkStart w:id="63" w:name="_Toc150774724"/>
      <w:bookmarkStart w:id="64" w:name="_Toc151193617"/>
      <w:bookmarkStart w:id="65" w:name="_Toc151193833"/>
      <w:bookmarkStart w:id="66" w:name="_Toc226337215"/>
      <w:bookmarkStart w:id="67" w:name="_Toc149720812"/>
      <w:bookmarkStart w:id="68" w:name="_Toc520356144"/>
      <w:bookmarkStart w:id="69" w:name="_Toc164229214"/>
      <w:bookmarkStart w:id="70" w:name="_Toc150509270"/>
      <w:bookmarkStart w:id="71" w:name="_Toc151193761"/>
      <w:bookmarkStart w:id="72" w:name="_Toc226965709"/>
      <w:bookmarkStart w:id="73" w:name="_Toc226965792"/>
      <w:bookmarkStart w:id="74" w:name="_Toc226309763"/>
      <w:bookmarkStart w:id="75" w:name="_Toc151193907"/>
      <w:bookmarkStart w:id="76" w:name="_Toc127151519"/>
      <w:bookmarkStart w:id="77" w:name="_Toc150480757"/>
      <w:bookmarkStart w:id="78" w:name="_Toc195842884"/>
      <w:bookmarkStart w:id="79" w:name="_Toc127151720"/>
      <w:bookmarkStart w:id="80" w:name="_Toc127161433"/>
      <w:bookmarkStart w:id="81" w:name="_Toc164608633"/>
      <w:bookmarkStart w:id="82" w:name="_Toc151190146"/>
      <w:bookmarkStart w:id="83" w:name="_Toc150774619"/>
      <w:bookmarkStart w:id="84" w:name="_Toc164229360"/>
      <w:bookmarkStart w:id="85" w:name="_Toc164351613"/>
      <w:bookmarkStart w:id="86" w:name="_Toc151193689"/>
      <w:bookmarkStart w:id="87" w:name="_Toc142311021"/>
      <w:r>
        <w:rPr>
          <w:rFonts w:hint="eastAsia" w:ascii="宋体" w:hAnsi="宋体" w:cs="宋体"/>
          <w:color w:val="000000" w:themeColor="text1"/>
          <w:sz w:val="28"/>
          <w14:textFill>
            <w14:solidFill>
              <w14:schemeClr w14:val="tx1"/>
            </w14:solidFill>
          </w14:textFill>
        </w:rPr>
        <w:t>投标人须知资料表</w:t>
      </w:r>
    </w:p>
    <w:p>
      <w:pPr>
        <w:jc w:val="center"/>
        <w:rPr>
          <w:rFonts w:ascii="宋体" w:hAnsi="宋体" w:cs="宋体"/>
          <w:b/>
          <w:color w:val="000000" w:themeColor="text1"/>
          <w:sz w:val="28"/>
          <w:szCs w:val="28"/>
          <w14:textFill>
            <w14:solidFill>
              <w14:schemeClr w14:val="tx1"/>
            </w14:solidFill>
          </w14:textFill>
        </w:rPr>
      </w:pPr>
    </w:p>
    <w:p>
      <w:pPr>
        <w:spacing w:line="360" w:lineRule="auto"/>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本表是对投标人须知的具体补充和修改，如有矛盾，均以本资料表为准。</w:t>
      </w:r>
    </w:p>
    <w:tbl>
      <w:tblPr>
        <w:tblStyle w:val="51"/>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tcPr>
          <w:p>
            <w:pPr>
              <w:autoSpaceDE w:val="0"/>
              <w:autoSpaceDN w:val="0"/>
              <w:spacing w:before="167" w:line="200" w:lineRule="auto"/>
              <w:ind w:left="138"/>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2"/>
                <w:sz w:val="24"/>
                <w14:textFill>
                  <w14:solidFill>
                    <w14:schemeClr w14:val="tx1"/>
                  </w14:solidFill>
                </w14:textFill>
              </w:rPr>
              <w:t>条款号</w:t>
            </w:r>
          </w:p>
        </w:tc>
        <w:tc>
          <w:tcPr>
            <w:tcW w:w="1700" w:type="dxa"/>
          </w:tcPr>
          <w:p>
            <w:pPr>
              <w:autoSpaceDE w:val="0"/>
              <w:autoSpaceDN w:val="0"/>
              <w:spacing w:before="166" w:line="202" w:lineRule="auto"/>
              <w:ind w:left="61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3"/>
                <w:sz w:val="24"/>
                <w14:textFill>
                  <w14:solidFill>
                    <w14:schemeClr w14:val="tx1"/>
                  </w14:solidFill>
                </w14:textFill>
              </w:rPr>
              <w:t>条目</w:t>
            </w:r>
          </w:p>
        </w:tc>
        <w:tc>
          <w:tcPr>
            <w:tcW w:w="6381" w:type="dxa"/>
          </w:tcPr>
          <w:p>
            <w:pPr>
              <w:autoSpaceDE w:val="0"/>
              <w:autoSpaceDN w:val="0"/>
              <w:spacing w:before="166" w:line="201" w:lineRule="auto"/>
              <w:ind w:left="3557"/>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15"/>
                <w:sz w:val="24"/>
                <w14:textFill>
                  <w14:solidFill>
                    <w14:schemeClr w14:val="tx1"/>
                  </w14:solidFill>
                </w14:textFill>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p>
            <w:pPr>
              <w:autoSpaceDE w:val="0"/>
              <w:autoSpaceDN w:val="0"/>
              <w:spacing w:before="103"/>
              <w:ind w:left="2"/>
              <w:rPr>
                <w:rFonts w:ascii="宋体" w:hAnsi="宋体" w:cs="宋体"/>
                <w:spacing w:val="-2"/>
                <w:sz w:val="24"/>
              </w:rPr>
            </w:pPr>
            <w:r>
              <w:rPr>
                <w:rFonts w:hint="eastAsia" w:ascii="宋体" w:hAnsi="宋体" w:cs="宋体"/>
                <w:spacing w:val="-2"/>
                <w:sz w:val="24"/>
              </w:rPr>
              <w:t>□服务</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科研仪器设备</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是否属于科研仪器设备采购项目：</w:t>
            </w:r>
          </w:p>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2.4</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核心产品</w:t>
            </w:r>
          </w:p>
        </w:tc>
        <w:tc>
          <w:tcPr>
            <w:tcW w:w="6381" w:type="dxa"/>
          </w:tcPr>
          <w:p>
            <w:pPr>
              <w:autoSpaceDE w:val="0"/>
              <w:autoSpaceDN w:val="0"/>
              <w:spacing w:before="103"/>
              <w:ind w:left="2"/>
              <w:rPr>
                <w:rFonts w:ascii="宋体" w:hAnsi="宋体" w:cs="宋体"/>
                <w:sz w:val="24"/>
                <w:u w:val="single"/>
              </w:rPr>
            </w:pPr>
            <w:r>
              <w:rPr>
                <w:rFonts w:hint="eastAsia" w:ascii="宋体" w:hAnsi="宋体" w:cs="宋体"/>
                <w:spacing w:val="-2"/>
                <w:sz w:val="24"/>
              </w:rPr>
              <w:t>□</w:t>
            </w:r>
            <w:r>
              <w:rPr>
                <w:rFonts w:hint="eastAsia" w:ascii="宋体" w:hAnsi="宋体" w:cs="宋体"/>
                <w:sz w:val="24"/>
              </w:rPr>
              <w:t>关于核心产品本项目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包不适用。</w:t>
            </w:r>
          </w:p>
          <w:p>
            <w:pPr>
              <w:autoSpaceDE w:val="0"/>
              <w:autoSpaceDN w:val="0"/>
              <w:spacing w:before="103"/>
              <w:ind w:left="2"/>
              <w:rPr>
                <w:rFonts w:ascii="宋体" w:hAnsi="宋体" w:cs="宋体"/>
                <w:sz w:val="24"/>
              </w:rPr>
            </w:pPr>
            <w:r>
              <w:rPr>
                <w:rFonts w:hint="eastAsia" w:ascii="宋体" w:hAnsi="宋体" w:cs="宋体"/>
                <w:spacing w:val="-2"/>
                <w:sz w:val="24"/>
              </w:rPr>
              <w:t>■</w:t>
            </w:r>
            <w:r>
              <w:rPr>
                <w:rFonts w:hint="eastAsia" w:ascii="宋体" w:hAnsi="宋体" w:cs="宋体"/>
                <w:sz w:val="24"/>
              </w:rPr>
              <w:t>本项目_</w:t>
            </w:r>
            <w:r>
              <w:rPr>
                <w:rFonts w:hint="eastAsia" w:ascii="宋体" w:hAnsi="宋体" w:cs="宋体"/>
                <w:sz w:val="24"/>
                <w:u w:val="single"/>
              </w:rPr>
              <w:t>05</w:t>
            </w:r>
            <w:r>
              <w:rPr>
                <w:rFonts w:hint="eastAsia" w:ascii="宋体" w:hAnsi="宋体" w:cs="宋体"/>
                <w:sz w:val="24"/>
              </w:rPr>
              <w:t>_包为单一产品采购项目。</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z w:val="24"/>
              </w:rPr>
              <w:t>□本项目_</w:t>
            </w:r>
            <w:r>
              <w:rPr>
                <w:rFonts w:hint="eastAsia" w:ascii="宋体" w:hAnsi="宋体" w:cs="宋体"/>
                <w:sz w:val="24"/>
                <w:u w:val="single"/>
              </w:rPr>
              <w:t>/</w:t>
            </w:r>
            <w:r>
              <w:rPr>
                <w:rFonts w:hint="eastAsia" w:ascii="宋体" w:hAnsi="宋体" w:cs="宋体"/>
                <w:sz w:val="24"/>
              </w:rPr>
              <w:t>_包为非单一产品采购项目 ，核心产品为：</w:t>
            </w:r>
            <w:r>
              <w:rPr>
                <w:rFonts w:hint="eastAsia" w:ascii="宋体" w:hAnsi="宋体" w:cs="宋体"/>
                <w:sz w:val="24"/>
                <w:u w:val="single"/>
              </w:rPr>
              <w:t xml:space="preserve">   </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restart"/>
            <w:tcBorders>
              <w:bottom w:val="nil"/>
            </w:tcBorders>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3.1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现场考察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不组织</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□组织，考察时间：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continue"/>
            <w:tcBorders>
              <w:top w:val="nil"/>
            </w:tcBorders>
            <w:vAlign w:val="center"/>
          </w:tcPr>
          <w:p>
            <w:pPr>
              <w:pStyle w:val="258"/>
              <w:ind w:left="1"/>
              <w:jc w:val="center"/>
              <w:rPr>
                <w:rFonts w:ascii="宋体" w:hAnsi="宋体" w:eastAsia="宋体" w:cs="宋体"/>
                <w:color w:val="000000" w:themeColor="text1"/>
                <w:sz w:val="22"/>
                <w14:textFill>
                  <w14:solidFill>
                    <w14:schemeClr w14:val="tx1"/>
                  </w14:solidFill>
                </w14:textFill>
              </w:rPr>
            </w:pP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开标前答疑会</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不召开</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 ，召开时间：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8"/>
              <w:spacing w:before="69" w:line="199"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4.1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样品</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投标样品递交：</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□需要，具体要求如下：</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（1）样品制作的标准和要求：</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（2）是否需要随样品提交相关检测报告：</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（3）样品递交要求：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（4）未中标人样品退还：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（5）中标人样品保管、封存及退还：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（6）其他要求（如有）：</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8"/>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5.2.5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标的所属行业</w:t>
            </w:r>
          </w:p>
        </w:tc>
        <w:tc>
          <w:tcPr>
            <w:tcW w:w="6381" w:type="dxa"/>
          </w:tcPr>
          <w:p>
            <w:pPr>
              <w:autoSpaceDE w:val="0"/>
              <w:autoSpaceDN w:val="0"/>
              <w:spacing w:before="45"/>
              <w:ind w:left="108"/>
              <w:rPr>
                <w:rFonts w:ascii="宋体" w:hAnsi="宋体" w:cs="宋体"/>
                <w:sz w:val="24"/>
              </w:rPr>
            </w:pPr>
            <w:r>
              <w:rPr>
                <w:rFonts w:hint="eastAsia" w:ascii="宋体" w:hAnsi="宋体" w:cs="宋体"/>
                <w:spacing w:val="-1"/>
                <w:sz w:val="24"/>
              </w:rPr>
              <w:t>本项目采购标的对应的中小企业划分标准所属行业：</w:t>
            </w:r>
          </w:p>
          <w:tbl>
            <w:tblPr>
              <w:tblStyle w:val="51"/>
              <w:tblW w:w="613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236"/>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67" w:type="dxa"/>
                </w:tcPr>
                <w:p>
                  <w:pPr>
                    <w:autoSpaceDE w:val="0"/>
                    <w:autoSpaceDN w:val="0"/>
                    <w:spacing w:before="98"/>
                    <w:ind w:left="145"/>
                    <w:rPr>
                      <w:rFonts w:ascii="宋体" w:hAnsi="宋体" w:cs="宋体"/>
                      <w:b/>
                      <w:sz w:val="24"/>
                    </w:rPr>
                  </w:pPr>
                  <w:bookmarkStart w:id="88" w:name="OLE_LINK7"/>
                  <w:bookmarkStart w:id="89" w:name="OLE_LINK5"/>
                  <w:r>
                    <w:rPr>
                      <w:rFonts w:hint="eastAsia" w:ascii="宋体" w:hAnsi="宋体" w:cs="宋体"/>
                      <w:b/>
                      <w:sz w:val="24"/>
                    </w:rPr>
                    <w:t>序号</w:t>
                  </w:r>
                </w:p>
              </w:tc>
              <w:tc>
                <w:tcPr>
                  <w:tcW w:w="3236" w:type="dxa"/>
                  <w:vAlign w:val="center"/>
                </w:tcPr>
                <w:p>
                  <w:pPr>
                    <w:autoSpaceDE w:val="0"/>
                    <w:autoSpaceDN w:val="0"/>
                    <w:spacing w:before="97"/>
                    <w:jc w:val="center"/>
                    <w:rPr>
                      <w:rFonts w:ascii="宋体" w:hAnsi="宋体" w:cs="宋体"/>
                      <w:b/>
                      <w:sz w:val="24"/>
                    </w:rPr>
                  </w:pPr>
                  <w:r>
                    <w:rPr>
                      <w:rFonts w:hint="eastAsia" w:ascii="宋体" w:hAnsi="宋体" w:cs="宋体"/>
                      <w:b/>
                      <w:spacing w:val="-1"/>
                      <w:sz w:val="24"/>
                    </w:rPr>
                    <w:t>标的名称</w:t>
                  </w:r>
                </w:p>
              </w:tc>
              <w:tc>
                <w:tcPr>
                  <w:tcW w:w="2127" w:type="dxa"/>
                  <w:vAlign w:val="center"/>
                </w:tcPr>
                <w:p>
                  <w:pPr>
                    <w:autoSpaceDE w:val="0"/>
                    <w:autoSpaceDN w:val="0"/>
                    <w:spacing w:before="97"/>
                    <w:jc w:val="center"/>
                    <w:rPr>
                      <w:rFonts w:ascii="宋体" w:hAnsi="宋体" w:cs="宋体"/>
                      <w:b/>
                      <w:sz w:val="24"/>
                    </w:rPr>
                  </w:pPr>
                  <w:r>
                    <w:rPr>
                      <w:rFonts w:hint="eastAsia" w:ascii="宋体" w:hAnsi="宋体" w:cs="宋体"/>
                      <w:b/>
                      <w:spacing w:val="-3"/>
                      <w:sz w:val="24"/>
                    </w:rPr>
                    <w:t>中小企业划分标准所属行业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adjustRightInd w:val="0"/>
                    <w:snapToGrid w:val="0"/>
                    <w:spacing w:before="86"/>
                    <w:ind w:firstLine="1"/>
                    <w:jc w:val="center"/>
                    <w:rPr>
                      <w:rFonts w:ascii="宋体" w:hAnsi="宋体" w:cs="宋体"/>
                      <w:b/>
                      <w:spacing w:val="7"/>
                      <w:sz w:val="24"/>
                    </w:rPr>
                  </w:pPr>
                  <w:r>
                    <w:rPr>
                      <w:rFonts w:hint="eastAsia" w:ascii="宋体" w:hAnsi="宋体" w:cs="宋体"/>
                      <w:b/>
                      <w:spacing w:val="7"/>
                      <w:sz w:val="24"/>
                    </w:rPr>
                    <w:t>1</w:t>
                  </w:r>
                </w:p>
              </w:tc>
              <w:tc>
                <w:tcPr>
                  <w:tcW w:w="3236" w:type="dxa"/>
                  <w:vAlign w:val="center"/>
                </w:tcPr>
                <w:p>
                  <w:pPr>
                    <w:widowControl/>
                    <w:jc w:val="center"/>
                    <w:rPr>
                      <w:rFonts w:ascii="宋体" w:hAnsi="宋体" w:cs="宋体"/>
                      <w:kern w:val="0"/>
                      <w:szCs w:val="21"/>
                    </w:rPr>
                  </w:pPr>
                  <w:r>
                    <w:rPr>
                      <w:rFonts w:hint="eastAsia" w:ascii="宋体" w:hAnsi="宋体" w:cs="宋体"/>
                      <w:sz w:val="24"/>
                    </w:rPr>
                    <w:t>AED急救仪</w:t>
                  </w:r>
                </w:p>
              </w:tc>
              <w:tc>
                <w:tcPr>
                  <w:tcW w:w="2127" w:type="dxa"/>
                  <w:vAlign w:val="center"/>
                </w:tcPr>
                <w:p>
                  <w:pPr>
                    <w:pStyle w:val="258"/>
                    <w:jc w:val="center"/>
                    <w:rPr>
                      <w:rFonts w:ascii="宋体" w:hAnsi="宋体" w:eastAsia="宋体" w:cs="宋体"/>
                      <w:color w:val="auto"/>
                      <w:lang w:eastAsia="zh-CN"/>
                    </w:rPr>
                  </w:pPr>
                  <w:r>
                    <w:rPr>
                      <w:rFonts w:hint="eastAsia" w:ascii="宋体" w:hAnsi="宋体" w:eastAsia="宋体" w:cs="宋体"/>
                      <w:color w:val="auto"/>
                      <w:lang w:eastAsia="zh-CN"/>
                    </w:rPr>
                    <w:t>工业</w:t>
                  </w:r>
                </w:p>
              </w:tc>
            </w:tr>
            <w:bookmarkEnd w:id="88"/>
            <w:bookmarkEnd w:id="89"/>
          </w:tbl>
          <w:p>
            <w:pPr>
              <w:pStyle w:val="258"/>
              <w:rPr>
                <w:rFonts w:ascii="宋体" w:hAnsi="宋体" w:eastAsia="宋体" w:cs="宋体"/>
                <w:color w:val="000000" w:themeColor="text1"/>
                <w:sz w:val="22"/>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11.2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投标报价</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投标报价的特殊规定：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□有，具体情形：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12.1</w:t>
            </w:r>
          </w:p>
        </w:tc>
        <w:tc>
          <w:tcPr>
            <w:tcW w:w="1700" w:type="dxa"/>
            <w:vMerge w:val="restart"/>
            <w:tcBorders>
              <w:bottom w:val="nil"/>
            </w:tcBorders>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投标保证金</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投标保证金金额：</w:t>
            </w:r>
            <w:r>
              <w:rPr>
                <w:rFonts w:hint="eastAsia" w:ascii="宋体" w:hAnsi="宋体" w:cs="宋体"/>
                <w:sz w:val="24"/>
                <w:u w:val="single"/>
              </w:rPr>
              <w:t>2000</w:t>
            </w:r>
            <w:r>
              <w:rPr>
                <w:rFonts w:hint="eastAsia" w:ascii="宋体" w:hAnsi="宋体" w:cs="宋体"/>
                <w:color w:val="000000" w:themeColor="text1"/>
                <w:sz w:val="24"/>
                <w:u w:val="single"/>
                <w14:textFill>
                  <w14:solidFill>
                    <w14:schemeClr w14:val="tx1"/>
                  </w14:solidFill>
                </w14:textFill>
              </w:rPr>
              <w:t>元</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投标保证金收受人信息：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开户名（全称）：北京市京发招标有限公司；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开户银行：招商银行北京分行崇文门支行；</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账    号：1109 1881 6710 6010 0000 00007。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92" w:type="dxa"/>
            <w:vAlign w:val="center"/>
          </w:tcPr>
          <w:p>
            <w:pPr>
              <w:pStyle w:val="258"/>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12.8.2</w:t>
            </w:r>
          </w:p>
        </w:tc>
        <w:tc>
          <w:tcPr>
            <w:tcW w:w="1700" w:type="dxa"/>
            <w:vMerge w:val="continue"/>
            <w:tcBorders>
              <w:top w:val="nil"/>
            </w:tcBorders>
            <w:vAlign w:val="center"/>
          </w:tcPr>
          <w:p>
            <w:pPr>
              <w:pStyle w:val="258"/>
              <w:jc w:val="center"/>
              <w:rPr>
                <w:rFonts w:ascii="宋体" w:hAnsi="宋体" w:eastAsia="宋体" w:cs="宋体"/>
                <w:color w:val="000000" w:themeColor="text1"/>
                <w:sz w:val="22"/>
                <w14:textFill>
                  <w14:solidFill>
                    <w14:schemeClr w14:val="tx1"/>
                  </w14:solidFill>
                </w14:textFill>
              </w:rPr>
            </w:pP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投标保证金可以不予退还的其他情形：</w:t>
            </w:r>
          </w:p>
          <w:p>
            <w:pPr>
              <w:autoSpaceDE w:val="0"/>
              <w:autoSpaceDN w:val="0"/>
              <w:spacing w:before="103"/>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■有，具体情形：</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（1）投标人在投标有效期内撤销投标文件的；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（2）投标人在投标文件中提供虚假材料的；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（3）除因不可抗力或招标文件认可的情形以外，中标人不与</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采购人签订合同的；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（4）投标人与采购人、其他投标人或者采购代理机构恶意串</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通的；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（5）招标文件规定应由中标人缴纳招标服务费而中标人未缴</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纳的</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（6）中标人未在规定期限内根据招标文件规定提交履约保证</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金（如有）；</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（7）法律、法规规定的其它不予退还的情形</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8"/>
              <w:spacing w:before="75"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13.1</w:t>
            </w:r>
          </w:p>
        </w:tc>
        <w:tc>
          <w:tcPr>
            <w:tcW w:w="1700" w:type="dxa"/>
            <w:vAlign w:val="center"/>
          </w:tcPr>
          <w:p>
            <w:pPr>
              <w:autoSpaceDE w:val="0"/>
              <w:autoSpaceDN w:val="0"/>
              <w:spacing w:before="42" w:line="175"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投标有效期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自提交投标文件的截止之日起算</w:t>
            </w:r>
            <w:r>
              <w:rPr>
                <w:rFonts w:hint="eastAsia" w:ascii="宋体" w:hAnsi="宋体" w:cs="宋体"/>
                <w:color w:val="000000" w:themeColor="text1"/>
                <w:sz w:val="24"/>
                <w:u w:val="single"/>
                <w14:textFill>
                  <w14:solidFill>
                    <w14:schemeClr w14:val="tx1"/>
                  </w14:solidFill>
                </w14:textFill>
              </w:rPr>
              <w:t>90</w:t>
            </w:r>
            <w:r>
              <w:rPr>
                <w:rFonts w:hint="eastAsia" w:ascii="宋体" w:hAnsi="宋体" w:cs="宋体"/>
                <w:color w:val="000000" w:themeColor="text1"/>
                <w:sz w:val="24"/>
                <w14:textFill>
                  <w14:solidFill>
                    <w14:schemeClr w14:val="tx1"/>
                  </w14:solidFill>
                </w14:textFill>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8"/>
              <w:spacing w:before="73"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18.2</w:t>
            </w:r>
          </w:p>
        </w:tc>
        <w:tc>
          <w:tcPr>
            <w:tcW w:w="1700" w:type="dxa"/>
          </w:tcPr>
          <w:p>
            <w:pPr>
              <w:autoSpaceDE w:val="0"/>
              <w:autoSpaceDN w:val="0"/>
              <w:spacing w:before="103" w:line="201" w:lineRule="auto"/>
              <w:ind w:left="2"/>
              <w:jc w:val="center"/>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p>
        </w:tc>
        <w:tc>
          <w:tcPr>
            <w:tcW w:w="6381" w:type="dxa"/>
          </w:tcPr>
          <w:p>
            <w:pPr>
              <w:autoSpaceDE w:val="0"/>
              <w:autoSpaceDN w:val="0"/>
              <w:spacing w:before="103" w:line="201" w:lineRule="auto"/>
              <w:ind w:left="2"/>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r>
              <w:rPr>
                <w:rFonts w:ascii="宋体" w:hAnsi="宋体" w:cs="宋体"/>
                <w:color w:val="000000" w:themeColor="text1"/>
                <w:spacing w:val="-2"/>
                <w:sz w:val="24"/>
                <w:u w:val="single"/>
                <w14:textFill>
                  <w14:solidFill>
                    <w14:schemeClr w14:val="tx1"/>
                  </w14:solidFill>
                </w14:textFill>
              </w:rPr>
              <w:t>30分钟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1" w:hRule="atLeast"/>
        </w:trPr>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22.1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确定中标人</w:t>
            </w:r>
          </w:p>
        </w:tc>
        <w:tc>
          <w:tcPr>
            <w:tcW w:w="6381" w:type="dxa"/>
          </w:tcPr>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中标候选人并列的，采购人是否委托评标委员会确定中标人：</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■否</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□是</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中标候选人并列的，按照以下方式确定中标人：</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■得分且投标报价均相同的，以</w:t>
            </w:r>
            <w:r>
              <w:rPr>
                <w:rFonts w:hint="eastAsia" w:ascii="宋体" w:hAnsi="宋体" w:eastAsia="宋体" w:cs="宋体"/>
                <w:color w:val="000000" w:themeColor="text1"/>
                <w:sz w:val="24"/>
                <w:szCs w:val="24"/>
                <w:u w:val="single"/>
                <w:lang w:eastAsia="zh-CN"/>
                <w14:textFill>
                  <w14:solidFill>
                    <w14:schemeClr w14:val="tx1"/>
                  </w14:solidFill>
                </w14:textFill>
              </w:rPr>
              <w:t>技术部分</w:t>
            </w:r>
            <w:r>
              <w:rPr>
                <w:rFonts w:hint="eastAsia" w:ascii="宋体" w:hAnsi="宋体" w:eastAsia="宋体" w:cs="宋体"/>
                <w:color w:val="000000" w:themeColor="text1"/>
                <w:sz w:val="24"/>
                <w:szCs w:val="24"/>
                <w:lang w:eastAsia="zh-CN"/>
                <w14:textFill>
                  <w14:solidFill>
                    <w14:schemeClr w14:val="tx1"/>
                  </w14:solidFill>
                </w14:textFill>
              </w:rPr>
              <w:t>得分高者为中标人</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992" w:type="dxa"/>
            <w:vAlign w:val="center"/>
          </w:tcPr>
          <w:p>
            <w:pPr>
              <w:pStyle w:val="258"/>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分包</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本项目的非主体、非关键性工作是否允许分包：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■不允许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□允许，具体要求：</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（1）可以分包履行的具体内容：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（2）允许分包的金额或者比例：</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（3）其他要求：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0" w:hRule="atLeast"/>
        </w:trPr>
        <w:tc>
          <w:tcPr>
            <w:tcW w:w="992" w:type="dxa"/>
            <w:vAlign w:val="center"/>
          </w:tcPr>
          <w:p>
            <w:pPr>
              <w:pStyle w:val="258"/>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25.6</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政采贷</w:t>
            </w:r>
          </w:p>
        </w:tc>
        <w:tc>
          <w:tcPr>
            <w:tcW w:w="6381" w:type="dxa"/>
          </w:tcPr>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8"/>
              <w:spacing w:before="76"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26.1.1</w:t>
            </w:r>
          </w:p>
        </w:tc>
        <w:tc>
          <w:tcPr>
            <w:tcW w:w="1700" w:type="dxa"/>
            <w:vAlign w:val="center"/>
          </w:tcPr>
          <w:p>
            <w:pPr>
              <w:autoSpaceDE w:val="0"/>
              <w:autoSpaceDN w:val="0"/>
              <w:spacing w:before="44" w:line="174"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询问</w:t>
            </w:r>
          </w:p>
        </w:tc>
        <w:tc>
          <w:tcPr>
            <w:tcW w:w="6381" w:type="dxa"/>
          </w:tcPr>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询问提出形式：</w:t>
            </w:r>
            <w:r>
              <w:rPr>
                <w:rFonts w:hint="eastAsia" w:ascii="宋体" w:hAnsi="宋体" w:eastAsia="宋体" w:cs="宋体"/>
                <w:color w:val="000000" w:themeColor="text1"/>
                <w:sz w:val="24"/>
                <w:szCs w:val="24"/>
                <w:u w:val="single"/>
                <w:lang w:eastAsia="zh-CN"/>
                <w14:textFill>
                  <w14:solidFill>
                    <w14:schemeClr w14:val="tx1"/>
                  </w14:solidFill>
                </w14:textFill>
              </w:rPr>
              <w:t>以书面或邮件（扫描原件）</w:t>
            </w:r>
            <w:r>
              <w:fldChar w:fldCharType="begin"/>
            </w:r>
            <w:r>
              <w:instrText xml:space="preserve">HYPERLINK "mailto:发送至maruosha@126.com"</w:instrText>
            </w:r>
            <w:r>
              <w:fldChar w:fldCharType="separate"/>
            </w:r>
            <w:r>
              <w:rPr>
                <w:rFonts w:hint="eastAsia" w:ascii="宋体" w:hAnsi="宋体" w:eastAsia="宋体" w:cs="宋体"/>
                <w:color w:val="000000" w:themeColor="text1"/>
                <w:sz w:val="24"/>
                <w:szCs w:val="24"/>
                <w:u w:val="single"/>
                <w:lang w:eastAsia="zh-CN"/>
                <w14:textFill>
                  <w14:solidFill>
                    <w14:schemeClr w14:val="tx1"/>
                  </w14:solidFill>
                </w14:textFill>
              </w:rPr>
              <w:t>发送至</w:t>
            </w:r>
            <w:bookmarkStart w:id="90" w:name="_Hlt188370709"/>
            <w:bookmarkEnd w:id="90"/>
            <w:bookmarkStart w:id="91" w:name="_Hlt188370718"/>
            <w:bookmarkEnd w:id="91"/>
            <w:bookmarkStart w:id="92" w:name="_Hlt188370710"/>
            <w:bookmarkEnd w:id="92"/>
            <w:r>
              <w:rPr>
                <w:rFonts w:hint="eastAsia" w:ascii="宋体" w:hAnsi="宋体" w:eastAsia="宋体" w:cs="宋体"/>
                <w:color w:val="000000" w:themeColor="text1"/>
                <w:sz w:val="24"/>
                <w:szCs w:val="24"/>
                <w:u w:val="single"/>
                <w:lang w:eastAsia="zh-CN"/>
                <w14:textFill>
                  <w14:solidFill>
                    <w14:schemeClr w14:val="tx1"/>
                  </w14:solidFill>
                </w14:textFill>
              </w:rPr>
              <w:t>710280222@qq.com</w:t>
            </w:r>
            <w:r>
              <w:fldChar w:fldCharType="end"/>
            </w:r>
            <w:r>
              <w:rPr>
                <w:rFonts w:hint="eastAsia" w:ascii="宋体" w:hAnsi="宋体" w:eastAsia="宋体" w:cs="宋体"/>
                <w:color w:val="000000" w:themeColor="text1"/>
                <w:sz w:val="24"/>
                <w:szCs w:val="24"/>
                <w:u w:val="single"/>
                <w:lang w:eastAsia="zh-CN"/>
                <w14:textFill>
                  <w14:solidFill>
                    <w14:schemeClr w14:val="tx1"/>
                  </w14:solidFill>
                </w14:textFill>
              </w:rPr>
              <w:t>且与代理机构确认已收到。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联系方式</w:t>
            </w:r>
          </w:p>
        </w:tc>
        <w:tc>
          <w:tcPr>
            <w:tcW w:w="6381" w:type="dxa"/>
          </w:tcPr>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接收询问和质疑的联系方式</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联系部门：</w:t>
            </w:r>
            <w:r>
              <w:rPr>
                <w:rFonts w:hint="eastAsia" w:ascii="宋体" w:hAnsi="宋体" w:eastAsia="宋体" w:cs="宋体"/>
                <w:color w:val="000000" w:themeColor="text1"/>
                <w:sz w:val="24"/>
                <w:szCs w:val="24"/>
                <w:u w:val="single"/>
                <w:lang w:eastAsia="zh-CN"/>
                <w14:textFill>
                  <w14:solidFill>
                    <w14:schemeClr w14:val="tx1"/>
                  </w14:solidFill>
                </w14:textFill>
              </w:rPr>
              <w:t>业务七部</w:t>
            </w:r>
            <w:r>
              <w:rPr>
                <w:rFonts w:hint="eastAsia" w:ascii="宋体" w:hAnsi="宋体" w:eastAsia="宋体" w:cs="宋体"/>
                <w:color w:val="000000" w:themeColor="text1"/>
                <w:sz w:val="24"/>
                <w:szCs w:val="24"/>
                <w:lang w:eastAsia="zh-CN"/>
                <w14:textFill>
                  <w14:solidFill>
                    <w14:schemeClr w14:val="tx1"/>
                  </w14:solidFill>
                </w14:textFill>
              </w:rPr>
              <w:t>；</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联系电话：</w:t>
            </w:r>
            <w:r>
              <w:rPr>
                <w:rFonts w:hint="eastAsia" w:ascii="宋体" w:hAnsi="宋体" w:eastAsia="宋体" w:cs="宋体"/>
                <w:color w:val="000000" w:themeColor="text1"/>
                <w:sz w:val="24"/>
                <w:szCs w:val="24"/>
                <w:u w:val="single"/>
                <w:lang w:eastAsia="zh-CN"/>
                <w14:textFill>
                  <w14:solidFill>
                    <w14:schemeClr w14:val="tx1"/>
                  </w14:solidFill>
                </w14:textFill>
              </w:rPr>
              <w:t>010-67169727</w:t>
            </w:r>
            <w:r>
              <w:rPr>
                <w:rFonts w:hint="eastAsia" w:ascii="宋体" w:hAnsi="宋体" w:eastAsia="宋体" w:cs="宋体"/>
                <w:color w:val="000000" w:themeColor="text1"/>
                <w:sz w:val="24"/>
                <w:szCs w:val="24"/>
                <w:lang w:eastAsia="zh-CN"/>
                <w14:textFill>
                  <w14:solidFill>
                    <w14:schemeClr w14:val="tx1"/>
                  </w14:solidFill>
                </w14:textFill>
              </w:rPr>
              <w:t>；</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通讯地址：</w:t>
            </w:r>
            <w:r>
              <w:rPr>
                <w:rFonts w:hint="eastAsia" w:ascii="宋体" w:hAnsi="宋体" w:eastAsia="宋体" w:cs="宋体"/>
                <w:color w:val="000000" w:themeColor="text1"/>
                <w:sz w:val="24"/>
                <w:szCs w:val="24"/>
                <w:u w:val="single"/>
                <w:lang w:eastAsia="zh-CN"/>
                <w14:textFill>
                  <w14:solidFill>
                    <w14:schemeClr w14:val="tx1"/>
                  </w14:solidFill>
                </w14:textFill>
              </w:rPr>
              <w:t>北京市京发招标有限公司705室</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27</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代理费</w:t>
            </w:r>
          </w:p>
        </w:tc>
        <w:tc>
          <w:tcPr>
            <w:tcW w:w="6381" w:type="dxa"/>
          </w:tcPr>
          <w:p>
            <w:pPr>
              <w:pStyle w:val="25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收费对象： </w:t>
            </w:r>
          </w:p>
          <w:p>
            <w:pPr>
              <w:pStyle w:val="25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□采购人    </w:t>
            </w:r>
          </w:p>
          <w:p>
            <w:pPr>
              <w:pStyle w:val="25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■中标人</w:t>
            </w:r>
          </w:p>
          <w:p>
            <w:pPr>
              <w:pStyle w:val="25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收费标准：</w:t>
            </w:r>
            <w:r>
              <w:rPr>
                <w:rFonts w:hint="eastAsia" w:ascii="宋体" w:hAnsi="宋体" w:eastAsia="宋体" w:cs="宋体"/>
                <w:sz w:val="24"/>
                <w:szCs w:val="24"/>
                <w:u w:val="single"/>
                <w:lang w:eastAsia="zh-CN"/>
              </w:rPr>
              <w:t>参照“国家计委关于印发《招标代理服务收费管理暂行办法》的通知”（计价格[2002]1980号）和“国家发展改革委办公厅关于招标代理服务收费有关问题的通知”（发改办价格[2003]857号）标准，下浮10%向中标人收取招标服务费。以最终中标金额为基数计算为准。</w:t>
            </w:r>
          </w:p>
          <w:p>
            <w:pPr>
              <w:pStyle w:val="258"/>
              <w:rPr>
                <w:rFonts w:ascii="宋体" w:hAnsi="宋体" w:eastAsia="宋体" w:cs="宋体"/>
                <w:color w:val="000000" w:themeColor="text1"/>
                <w:sz w:val="24"/>
                <w:szCs w:val="24"/>
                <w:u w:val="singl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缴纳时间：</w:t>
            </w:r>
            <w:r>
              <w:rPr>
                <w:rFonts w:hint="eastAsia" w:ascii="宋体" w:hAnsi="宋体" w:eastAsia="宋体" w:cs="宋体"/>
                <w:color w:val="000000" w:themeColor="text1"/>
                <w:sz w:val="24"/>
                <w:szCs w:val="24"/>
                <w:u w:val="single"/>
                <w:lang w:eastAsia="zh-CN"/>
                <w14:textFill>
                  <w14:solidFill>
                    <w14:schemeClr w14:val="tx1"/>
                  </w14:solidFill>
                </w14:textFill>
              </w:rPr>
              <w:t>中标人在中标通知书发出之日起5个工作日内向采</w:t>
            </w:r>
          </w:p>
          <w:p>
            <w:pPr>
              <w:pStyle w:val="258"/>
              <w:rPr>
                <w:rFonts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szCs w:val="24"/>
                <w:u w:val="single"/>
                <w:lang w:eastAsia="zh-CN"/>
                <w14:textFill>
                  <w14:solidFill>
                    <w14:schemeClr w14:val="tx1"/>
                  </w14:solidFill>
                </w14:textFill>
              </w:rPr>
              <w:t>购代理机构缴付中标服务费</w:t>
            </w:r>
            <w:r>
              <w:rPr>
                <w:rFonts w:hint="eastAsia" w:ascii="宋体" w:hAnsi="宋体" w:eastAsia="宋体" w:cs="宋体"/>
                <w:color w:val="000000" w:themeColor="text1"/>
                <w:sz w:val="24"/>
                <w:szCs w:val="24"/>
                <w:lang w:eastAsia="zh-CN"/>
                <w14:textFill>
                  <w14:solidFill>
                    <w14:schemeClr w14:val="tx1"/>
                  </w14:solidFill>
                </w14:textFill>
              </w:rPr>
              <w:t>。</w:t>
            </w:r>
          </w:p>
        </w:tc>
      </w:tr>
    </w:tbl>
    <w:p>
      <w:pPr>
        <w:rPr>
          <w:rFonts w:ascii="宋体" w:hAnsi="宋体" w:cs="宋体"/>
          <w:color w:val="000000" w:themeColor="text1"/>
          <w14:textFill>
            <w14:solidFill>
              <w14:schemeClr w14:val="tx1"/>
            </w14:solidFill>
          </w14:textFill>
        </w:rPr>
      </w:pPr>
    </w:p>
    <w:p>
      <w:pPr>
        <w:widowControl/>
        <w:jc w:val="left"/>
        <w:rPr>
          <w:rFonts w:ascii="宋体" w:hAnsi="宋体" w:cs="宋体"/>
          <w:b/>
          <w:color w:val="000000" w:themeColor="text1"/>
          <w:sz w:val="28"/>
          <w:szCs w:val="28"/>
          <w14:textFill>
            <w14:solidFill>
              <w14:schemeClr w14:val="tx1"/>
            </w14:solidFill>
          </w14:textFill>
        </w:rPr>
      </w:pPr>
      <w:bookmarkStart w:id="93" w:name="_Toc265228355"/>
      <w:bookmarkStart w:id="94" w:name="_Toc353873932"/>
      <w:bookmarkStart w:id="95" w:name="_Toc142311019"/>
      <w:bookmarkStart w:id="96" w:name="_Toc305158859"/>
      <w:bookmarkStart w:id="97" w:name="_Toc150480755"/>
      <w:bookmarkStart w:id="98" w:name="_Toc226337213"/>
      <w:bookmarkStart w:id="99" w:name="_Toc305158785"/>
      <w:bookmarkStart w:id="100" w:name="_Toc226965790"/>
      <w:bookmarkStart w:id="101" w:name="_Toc127151517"/>
      <w:bookmarkStart w:id="102" w:name="_Toc150774722"/>
      <w:bookmarkStart w:id="103" w:name="_Toc353825542"/>
      <w:bookmarkStart w:id="104" w:name="_Toc195842882"/>
      <w:bookmarkStart w:id="105" w:name="_Toc353873662"/>
      <w:bookmarkStart w:id="106" w:name="_Toc264969207"/>
      <w:r>
        <w:rPr>
          <w:rFonts w:ascii="宋体" w:hAnsi="宋体" w:cs="宋体"/>
          <w:b/>
          <w:color w:val="000000" w:themeColor="text1"/>
          <w:sz w:val="28"/>
          <w:szCs w:val="28"/>
          <w14:textFill>
            <w14:solidFill>
              <w14:schemeClr w14:val="tx1"/>
            </w14:solidFill>
          </w14:textFill>
        </w:rPr>
        <w:br w:type="page"/>
      </w:r>
    </w:p>
    <w:p>
      <w:pPr>
        <w:spacing w:before="240" w:beforeLines="100" w:after="240" w:afterLines="100"/>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投标人须知</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4"/>
        <w:rPr>
          <w:rStyle w:val="461"/>
          <w:rFonts w:hint="default" w:ascii="宋体" w:hAnsi="宋体"/>
          <w:b/>
          <w:szCs w:val="28"/>
        </w:rPr>
      </w:pPr>
      <w:bookmarkStart w:id="107" w:name="_Toc226965708"/>
      <w:bookmarkStart w:id="108" w:name="_Toc150509269"/>
      <w:bookmarkStart w:id="109" w:name="_Toc305158786"/>
      <w:bookmarkStart w:id="110" w:name="_Toc305158860"/>
      <w:bookmarkStart w:id="111" w:name="_Toc127151518"/>
      <w:bookmarkStart w:id="112" w:name="_Toc150480756"/>
      <w:bookmarkStart w:id="113" w:name="_Toc195842883"/>
      <w:bookmarkStart w:id="114" w:name="_Toc150774723"/>
      <w:bookmarkStart w:id="115" w:name="_Toc151193616"/>
      <w:bookmarkStart w:id="116" w:name="_Toc151193688"/>
      <w:bookmarkStart w:id="117" w:name="_Toc151193906"/>
      <w:bookmarkStart w:id="118" w:name="_Toc226309762"/>
      <w:bookmarkStart w:id="119" w:name="_Toc265228356"/>
      <w:bookmarkStart w:id="120" w:name="_Toc142311020"/>
      <w:bookmarkStart w:id="121" w:name="_Toc226337214"/>
      <w:bookmarkStart w:id="122" w:name="_Toc151193760"/>
      <w:bookmarkStart w:id="123" w:name="_Toc151190145"/>
      <w:bookmarkStart w:id="124" w:name="_Toc226965791"/>
      <w:bookmarkStart w:id="125" w:name="_Toc151193832"/>
      <w:bookmarkStart w:id="126" w:name="_Toc520356143"/>
      <w:bookmarkStart w:id="127" w:name="_Toc264969208"/>
      <w:bookmarkStart w:id="128" w:name="_Toc150774618"/>
      <w:r>
        <w:rPr>
          <w:rStyle w:val="461"/>
          <w:rFonts w:hint="default" w:ascii="宋体" w:hAnsi="宋体"/>
          <w:b/>
          <w:szCs w:val="28"/>
        </w:rPr>
        <w:t>一   说  明</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29" w:name="_Toc264969209"/>
      <w:bookmarkStart w:id="130" w:name="_Toc265228357"/>
      <w:bookmarkStart w:id="131" w:name="_Toc305158861"/>
      <w:bookmarkStart w:id="132" w:name="_Toc305158787"/>
      <w:r>
        <w:rPr>
          <w:rFonts w:hint="eastAsia" w:ascii="宋体" w:hAnsi="宋体" w:cs="宋体"/>
          <w:color w:val="000000" w:themeColor="text1"/>
          <w:sz w:val="24"/>
          <w14:textFill>
            <w14:solidFill>
              <w14:schemeClr w14:val="tx1"/>
            </w14:solidFill>
          </w14:textFill>
        </w:rPr>
        <w:t>采购人、采购代理机构、投标人</w:t>
      </w:r>
      <w:bookmarkEnd w:id="129"/>
      <w:bookmarkEnd w:id="130"/>
      <w:bookmarkEnd w:id="131"/>
      <w:bookmarkEnd w:id="132"/>
      <w:r>
        <w:rPr>
          <w:rFonts w:hint="eastAsia" w:ascii="宋体" w:hAnsi="宋体" w:cs="宋体"/>
          <w:color w:val="000000" w:themeColor="text1"/>
          <w:sz w:val="24"/>
          <w14:textFill>
            <w14:solidFill>
              <w14:schemeClr w14:val="tx1"/>
            </w14:solidFill>
          </w14:textFill>
        </w:rPr>
        <w:t>、联合体</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采购人、采购代理机构：指依法进行政府采购的国家机关、事业单位、团体组织，及其委托的采购代理机构。本项目采购人、采购代理机构见第一章《投标邀请》。</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投标人（也称“供应商”、“申请人”）：指向采购人提供货物、工程或者服务的法人、其他组织或者自然人。</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联合体：指两个以上的自然人、法人或者其他组织组成一个联合体，以一个供应商的身份共同参加政府采购。</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3" w:name="_Toc151193690"/>
      <w:bookmarkStart w:id="134" w:name="_Toc151193834"/>
      <w:bookmarkStart w:id="135" w:name="_Toc150774725"/>
      <w:bookmarkStart w:id="136" w:name="_Toc265228358"/>
      <w:bookmarkStart w:id="137" w:name="_Toc164608634"/>
      <w:bookmarkStart w:id="138" w:name="_Toc149720813"/>
      <w:bookmarkStart w:id="139" w:name="_Toc127151721"/>
      <w:bookmarkStart w:id="140" w:name="_Toc264969210"/>
      <w:bookmarkStart w:id="141" w:name="_Toc195842885"/>
      <w:bookmarkStart w:id="142" w:name="_Toc226965710"/>
      <w:bookmarkStart w:id="143" w:name="_Toc164229361"/>
      <w:bookmarkStart w:id="144" w:name="_Toc151190147"/>
      <w:bookmarkStart w:id="145" w:name="_Toc151193908"/>
      <w:bookmarkStart w:id="146" w:name="_Toc150480758"/>
      <w:bookmarkStart w:id="147" w:name="_Toc164351614"/>
      <w:bookmarkStart w:id="148" w:name="_Toc127161434"/>
      <w:bookmarkStart w:id="149" w:name="_Toc142311022"/>
      <w:bookmarkStart w:id="150" w:name="_Toc151193762"/>
      <w:bookmarkStart w:id="151" w:name="_Toc226337216"/>
      <w:bookmarkStart w:id="152" w:name="_Toc151193618"/>
      <w:bookmarkStart w:id="153" w:name="_Toc150509271"/>
      <w:bookmarkStart w:id="154" w:name="_Toc305158862"/>
      <w:bookmarkStart w:id="155" w:name="_Toc150774620"/>
      <w:bookmarkStart w:id="156" w:name="_Toc305158788"/>
      <w:bookmarkStart w:id="157" w:name="_Toc226309764"/>
      <w:bookmarkStart w:id="158" w:name="_Toc226965793"/>
      <w:bookmarkStart w:id="159" w:name="_Toc127151520"/>
      <w:bookmarkStart w:id="160" w:name="_Toc164608789"/>
      <w:bookmarkStart w:id="161" w:name="_Toc164229215"/>
      <w:r>
        <w:rPr>
          <w:rFonts w:hint="eastAsia" w:ascii="宋体" w:hAnsi="宋体" w:cs="宋体"/>
          <w:color w:val="000000" w:themeColor="text1"/>
          <w:sz w:val="24"/>
          <w14:textFill>
            <w14:solidFill>
              <w14:schemeClr w14:val="tx1"/>
            </w14:solidFill>
          </w14:textFill>
        </w:rPr>
        <w:t>资金来源</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hint="eastAsia" w:ascii="宋体" w:hAnsi="宋体" w:cs="宋体"/>
          <w:color w:val="000000" w:themeColor="text1"/>
          <w:sz w:val="24"/>
          <w14:textFill>
            <w14:solidFill>
              <w14:schemeClr w14:val="tx1"/>
            </w14:solidFill>
          </w14:textFill>
        </w:rPr>
        <w:t>、项目属性、科研仪器设备采购、核心产品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资金来源为财政性资金和/或本项目采购中无法与财政性资金分割的非财政性资金。</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项目属性见《投标人须知资料表》。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是否属于科研仪器设备采购见《投标人须知资料表》。</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核心产品见《投标人须知资料表》。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现场考察、开标前答疑会</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若《投标人须知资料表》中规定了组织现场考察、召开开标前答疑会，则投标人应按要求在规定的时间和地点参加。</w:t>
      </w:r>
      <w:bookmarkStart w:id="162" w:name="_Toc151190149"/>
      <w:bookmarkStart w:id="163" w:name="_Toc127151522"/>
      <w:bookmarkStart w:id="164" w:name="_Toc142311024"/>
      <w:bookmarkStart w:id="165" w:name="_Toc151193692"/>
      <w:bookmarkStart w:id="166" w:name="_Toc226309766"/>
      <w:bookmarkStart w:id="167" w:name="_Toc151193620"/>
      <w:bookmarkStart w:id="168" w:name="_Toc520356146"/>
      <w:bookmarkStart w:id="169" w:name="_Toc264969212"/>
      <w:bookmarkStart w:id="170" w:name="_Toc265228360"/>
      <w:bookmarkStart w:id="171" w:name="_Toc150774727"/>
      <w:bookmarkStart w:id="172" w:name="_Toc150774622"/>
      <w:bookmarkStart w:id="173" w:name="_Toc305158790"/>
      <w:bookmarkStart w:id="174" w:name="_Toc151193764"/>
      <w:bookmarkStart w:id="175" w:name="_Toc305158864"/>
      <w:bookmarkStart w:id="176" w:name="_Toc150509273"/>
      <w:bookmarkStart w:id="177" w:name="_Toc150480760"/>
      <w:bookmarkStart w:id="178" w:name="_Toc195842887"/>
      <w:bookmarkStart w:id="179" w:name="_Toc151193910"/>
      <w:bookmarkStart w:id="180" w:name="_Toc226965795"/>
      <w:bookmarkStart w:id="181" w:name="_Toc226337218"/>
      <w:bookmarkStart w:id="182" w:name="_Toc226965712"/>
      <w:bookmarkStart w:id="183" w:name="_Toc151193836"/>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由于未参加现场考察或开标前答疑会而导致对项目实际情况不了解，影响投标文件编制、投标报价准确性、综合因素响应不全面等问题的，由投标人自行承担不利评审后果。</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本项目是否要求投标人提供样品，以及样品制作的标准和要求、是否需要随样品提交相关检测报告、样品的递交与退还等要求见《投标人须知资料表》。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样品的评审方法以及评审标准等内容见第四章《评标方法和评标标准》。</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政府采购政策（包括但不限于下列具体政策要求）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采购本国货物、工程和服务</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政府采购应当采购本国货物、工程和服务。但有</w:t>
      </w:r>
      <w:r>
        <w:rPr>
          <w:rFonts w:hint="eastAsia" w:ascii="宋体" w:hAnsi="宋体" w:cs="宋体"/>
          <w:b/>
          <w:color w:val="000000" w:themeColor="text1"/>
          <w:sz w:val="24"/>
          <w14:textFill>
            <w14:solidFill>
              <w14:schemeClr w14:val="tx1"/>
            </w14:solidFill>
          </w14:textFill>
        </w:rPr>
        <w:t>《中华人民共和国政府采购法》</w:t>
      </w:r>
      <w:r>
        <w:rPr>
          <w:rFonts w:hint="eastAsia" w:ascii="宋体" w:hAnsi="宋体" w:cs="宋体"/>
          <w:color w:val="000000" w:themeColor="text1"/>
          <w:sz w:val="24"/>
          <w14:textFill>
            <w14:solidFill>
              <w14:schemeClr w14:val="tx1"/>
            </w14:solidFill>
          </w14:textFill>
        </w:rPr>
        <w:t>第十条规定情形的除外。</w:t>
      </w:r>
    </w:p>
    <w:p>
      <w:pPr>
        <w:pStyle w:val="15"/>
        <w:numPr>
          <w:ilvl w:val="2"/>
          <w:numId w:val="9"/>
        </w:numPr>
        <w:spacing w:line="360" w:lineRule="auto"/>
        <w:ind w:firstLineChars="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本国产品标准及相关政策</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本国产品应当符合以下条件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（一）在中国境内生产</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产品应当在中国境内生产，即在中华人民共和国关境内实现从原材料、组件到产品的属性改变。</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属性改变是指经过制造、加工或者组装等工序，产生完全不同于原材料、组件的新产品，并具有新的名称和特征（用途）。属性改变不包括以下细微操作：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为确保产品在运输或者储存期间保持某种状态而进行的操作；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为产品运输或者销售进行的包装或者展示；</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在产品或者其包装上粘贴或者印刷品牌、标志、标识以及其他用于区别的标记；</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简单的上漆、磨光和分装；</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其他不属于属性改变的情形。</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（二）在中国境内生产的组件成本占比达到规定比例</w:t>
      </w:r>
    </w:p>
    <w:p>
      <w:pPr>
        <w:tabs>
          <w:tab w:val="left" w:pos="1980"/>
          <w:tab w:val="left" w:pos="2014"/>
          <w:tab w:val="left" w:pos="2885"/>
          <w:tab w:val="left" w:pos="2977"/>
        </w:tabs>
        <w:snapToGrid w:val="0"/>
        <w:spacing w:line="360" w:lineRule="auto"/>
        <w:ind w:left="288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产品在中国境内生产的组件成本占比应当达到规定比例，计算公式为：</w:t>
      </w:r>
      <w:r>
        <w:rPr>
          <w:rFonts w:ascii="宋体" w:hAnsi="宋体" w:cs="宋体"/>
          <w:color w:val="000000" w:themeColor="text1"/>
          <w:sz w:val="24"/>
          <w14:textFill>
            <w14:solidFill>
              <w14:schemeClr w14:val="tx1"/>
            </w14:solidFill>
          </w14:textFill>
        </w:rPr>
        <w:drawing>
          <wp:inline distT="0" distB="0" distL="0" distR="0">
            <wp:extent cx="2731135" cy="391795"/>
            <wp:effectExtent l="0" t="0" r="0" b="8255"/>
            <wp:docPr id="1" name="图片 1"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（三）特定产品的关键组件、关键工序符合相关要求</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本国产品标准的适用范围</w:t>
      </w:r>
    </w:p>
    <w:p>
      <w:pPr>
        <w:tabs>
          <w:tab w:val="left" w:pos="1980"/>
          <w:tab w:val="left" w:pos="2014"/>
          <w:tab w:val="left" w:pos="2885"/>
          <w:tab w:val="left" w:pos="2977"/>
        </w:tabs>
        <w:snapToGrid w:val="0"/>
        <w:spacing w:line="360" w:lineRule="auto"/>
        <w:ind w:left="2885"/>
        <w:rPr>
          <w:rFonts w:ascii="宋体" w:hAnsi="宋体"/>
          <w:sz w:val="24"/>
        </w:rPr>
      </w:pPr>
      <w:r>
        <w:rPr>
          <w:rFonts w:hint="eastAsia" w:ascii="宋体" w:hAnsi="宋体" w:cs="宋体"/>
          <w:color w:val="000000" w:themeColor="text1"/>
          <w:sz w:val="24"/>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w:t>
      </w:r>
      <w:r>
        <w:rPr>
          <w:rFonts w:hint="eastAsia" w:ascii="宋体" w:hAnsi="宋体"/>
          <w:sz w:val="24"/>
        </w:rPr>
        <w:t>草原料，无形资产。</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产品在中国境内生产的组件成本核算规则</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（一）产品的一级组件是指直接组成产品的组件。产品的二级组件是指直接组成产品一级组件的组件。一级组件不可分解的，视同二级组件。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（二）二级组件在中国境内生产的，其全部成本计入中国境内生产的组件成本；二级组件不在中国境内生产的，其成本不计入中国境内生产的组件成本。</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（三）产品总成本和组件成本以相关会计核算数据、采购合同、进货记录等为基础进行计算。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（四）需要对成本核算规则予以进一步明确的其他有关事项，由财政部会同有关部门另行规定。</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本项目如接受非本国货物、工程、服务参与投标，则具体要求见第五章《采购需求》。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中小企业、监狱企业及残疾人福利性单位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中小企业定义：</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中小企业是指在中华人民共和国境内依法设立，依</w:t>
      </w:r>
    </w:p>
    <w:p>
      <w:pPr>
        <w:tabs>
          <w:tab w:val="left" w:pos="1980"/>
          <w:tab w:val="left" w:pos="2035"/>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供应商提供的货物、工程或者服务符合下列情形的，</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享受中小企业扶持政策：</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（2）在工程采购项目中，工程由中小企业承建，即工程施工单位为中小企业；</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在货物采购项目中，供应商提供的货物既有中小企</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业制造货物，也有大型企业制造货物的，不享受中小企业扶持政策。</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以联合体形式参加政府采购活动，联合体各方均为</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中小企业的，联合体视同中小企业。其中，联合体各方均为小微企业的，联合体视同小微企业。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安置的残疾人占本单位在职职工人数的比例不低于25%（含25%），并且安置的残疾人人数不少于10 人（含10 人）；</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依法与安置的每位残疾人签订了一年以上（含一年）的劳动合同或服务协议；</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为安置的每位残疾人按月足额缴纳了基本养老保险、基本医疗保险、失业保险、工伤保险和生育保险等社会保险费；</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通过银行等金融机构向安置的每位残疾人，按月支付了不低于单位所在区县适用的经省级人民政府批准的月最低工资标准的工资；</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提供本单位制造的货物、承担的工程或者服务（以下简称产品），或者提供其他残疾人福利性单位制造的货物（不包括使用非残疾人福利性单位注册商标的货物）；</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本项目是否专门面向中小企业预留采购份额见第一章《投标邀请》。</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采购标的对应的中小企业划分标准所属行业见《投标人须知资料表》。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小微企业价格评审优惠的政策调整：见第四章《评标程序、评标方法 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非政府强制采购的节能产品或环境标志产品，依据品目清单和认证证书实施政府优先采购。优先采购的具体规定见第四章《评标程序、评标方法和评标标准》（如涉及）。</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正版软件</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各级政府部门在购置计算机办公设</w:t>
      </w:r>
      <w:bookmarkStart w:id="184" w:name="OLE_LINK24"/>
      <w:bookmarkStart w:id="185" w:name="OLE_LINK25"/>
      <w:r>
        <w:rPr>
          <w:rFonts w:hint="eastAsia" w:ascii="宋体" w:hAnsi="宋体" w:cs="宋体"/>
          <w:color w:val="000000" w:themeColor="text1"/>
          <w:sz w:val="24"/>
          <w14:textFill>
            <w14:solidFill>
              <w14:schemeClr w14:val="tx1"/>
            </w14:solidFill>
          </w14:textFill>
        </w:rPr>
        <w:t>备时，必须采购预装正版操作系统软件的计算机产品，相关规定依据《国家版权局、信息产业部、财政部、国务院机关事务管理局关于政府部门购置计算机办公设备必须采购已预装正版操作系统软件产品的通知》</w:t>
      </w:r>
      <w:bookmarkEnd w:id="184"/>
      <w:bookmarkEnd w:id="185"/>
      <w:r>
        <w:rPr>
          <w:rFonts w:hint="eastAsia" w:ascii="宋体" w:hAnsi="宋体" w:cs="宋体"/>
          <w:color w:val="000000" w:themeColor="text1"/>
          <w:sz w:val="24"/>
          <w14:textFill>
            <w14:solidFill>
              <w14:schemeClr w14:val="tx1"/>
            </w14:solidFill>
          </w14:textFill>
        </w:rPr>
        <w:t>（国权联〔2006〕1 号）、《国务院办公厅关于进一步做好政府机关使用正版软件工作的通知》（国办发〔2010〕47 号）、《财政部关于进一步做好政府机关使用正版软件工作的通知》（财预〔2010〕536 号）。</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网络安全专用产品</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86" w:name="OLE_LINK28"/>
      <w:bookmarkStart w:id="187" w:name="OLE_LINK29"/>
      <w:r>
        <w:rPr>
          <w:rFonts w:hint="eastAsia" w:ascii="宋体" w:hAnsi="宋体" w:cs="宋体"/>
          <w:color w:val="000000" w:themeColor="text1"/>
          <w:sz w:val="24"/>
          <w14:textFill>
            <w14:solidFill>
              <w14:schemeClr w14:val="tx1"/>
            </w14:solidFill>
          </w14:textFill>
        </w:rPr>
        <w:t>根据</w:t>
      </w:r>
      <w:bookmarkStart w:id="188" w:name="OLE_LINK26"/>
      <w:bookmarkStart w:id="189" w:name="OLE_LINK33"/>
      <w:bookmarkStart w:id="190" w:name="OLE_LINK32"/>
      <w:r>
        <w:rPr>
          <w:rFonts w:hint="eastAsia" w:ascii="宋体" w:hAnsi="宋体" w:cs="宋体"/>
          <w:color w:val="000000" w:themeColor="text1"/>
          <w:sz w:val="24"/>
          <w14:textFill>
            <w14:solidFill>
              <w14:schemeClr w14:val="tx1"/>
            </w14:solidFill>
          </w14:textFill>
        </w:rPr>
        <w:t>《关于调整网络安全专用产品安全管理有关事项的公告》</w:t>
      </w:r>
      <w:bookmarkEnd w:id="188"/>
      <w:r>
        <w:rPr>
          <w:rFonts w:hint="eastAsia" w:ascii="宋体" w:hAnsi="宋体" w:cs="宋体"/>
          <w:color w:val="000000" w:themeColor="text1"/>
          <w:sz w:val="24"/>
          <w14:textFill>
            <w14:solidFill>
              <w14:schemeClr w14:val="tx1"/>
            </w14:solidFill>
          </w14:textFill>
        </w:rPr>
        <w:t>（2023年第1号）</w:t>
      </w:r>
      <w:bookmarkEnd w:id="189"/>
      <w:bookmarkEnd w:id="190"/>
      <w:r>
        <w:rPr>
          <w:rFonts w:hint="eastAsia" w:ascii="宋体" w:hAnsi="宋体" w:cs="宋体"/>
          <w:color w:val="000000" w:themeColor="text1"/>
          <w:sz w:val="24"/>
          <w14:textFill>
            <w14:solidFill>
              <w14:schemeClr w14:val="tx1"/>
            </w14:solidFill>
          </w14:textFill>
        </w:rPr>
        <w:t>，所提供产品属于列入</w:t>
      </w:r>
      <w:bookmarkStart w:id="191" w:name="OLE_LINK27"/>
      <w:r>
        <w:rPr>
          <w:rFonts w:hint="eastAsia" w:ascii="宋体" w:hAnsi="宋体" w:cs="宋体"/>
          <w:color w:val="000000" w:themeColor="text1"/>
          <w:sz w:val="24"/>
          <w14:textFill>
            <w14:solidFill>
              <w14:schemeClr w14:val="tx1"/>
            </w14:solidFill>
          </w14:textFill>
        </w:rPr>
        <w:t>《网络关键设备和网络安全专用产品目录》</w:t>
      </w:r>
      <w:bookmarkEnd w:id="191"/>
      <w:r>
        <w:rPr>
          <w:rFonts w:hint="eastAsia" w:ascii="宋体" w:hAnsi="宋体" w:cs="宋体"/>
          <w:color w:val="000000" w:themeColor="text1"/>
          <w:sz w:val="24"/>
          <w14:textFill>
            <w14:solidFill>
              <w14:schemeClr w14:val="tx1"/>
            </w14:solidFill>
          </w14:textFill>
        </w:rPr>
        <w:t>的网络安全专用产品时，应当按照《信息安全技术网络安全专用产品安全技术要求》等相关国家标准的强制性要求，由具备资格 的机构安全认证合格或者安全检测符合要求。</w:t>
      </w:r>
      <w:bookmarkEnd w:id="186"/>
      <w:bookmarkEnd w:id="187"/>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推广使用低挥发性有机化合物（VOCs）</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 ，属于强制性标准的，供应商应执行符合本市和国家的VOCs含量限制标准（具体标准见第五章《采购需求》），否则投标无效；属于推荐性标准的，优先采购，具体见第四章《评标程序、评标方法和评标标准》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采购需求标准</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92" w:name="OLE_LINK61"/>
      <w:bookmarkStart w:id="193" w:name="OLE_LINK62"/>
      <w:r>
        <w:rPr>
          <w:rFonts w:ascii="宋体" w:hAnsi="宋体"/>
          <w:spacing w:val="3"/>
          <w:sz w:val="24"/>
        </w:rPr>
        <w:t>商品包装、快递包装政府采购需求标</w:t>
      </w:r>
      <w:r>
        <w:rPr>
          <w:rFonts w:ascii="宋体" w:hAnsi="宋体"/>
          <w:spacing w:val="2"/>
          <w:sz w:val="24"/>
        </w:rPr>
        <w:t>准（试行）</w:t>
      </w:r>
    </w:p>
    <w:p>
      <w:pPr>
        <w:tabs>
          <w:tab w:val="left" w:pos="900"/>
          <w:tab w:val="left" w:pos="1980"/>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ascii="宋体" w:hAnsi="宋体"/>
          <w:spacing w:val="-4"/>
          <w:sz w:val="24"/>
        </w:rPr>
        <w:t>为助力打好污染防治攻坚战，推广使用绿色包装，根据</w:t>
      </w:r>
      <w:r>
        <w:rPr>
          <w:rFonts w:ascii="宋体" w:hAnsi="宋体"/>
          <w:spacing w:val="-5"/>
          <w:sz w:val="24"/>
        </w:rPr>
        <w:t>财政部关于印</w:t>
      </w:r>
      <w:r>
        <w:rPr>
          <w:rFonts w:ascii="宋体" w:hAnsi="宋体"/>
          <w:spacing w:val="-12"/>
          <w:sz w:val="24"/>
        </w:rPr>
        <w:t>发《商品包装政府采购需求标准（试行）》、《快递包装政府采购需求</w:t>
      </w:r>
      <w:r>
        <w:rPr>
          <w:rFonts w:ascii="宋体" w:hAnsi="宋体"/>
          <w:spacing w:val="-1"/>
          <w:sz w:val="24"/>
        </w:rPr>
        <w:t>标准（试行）》的通知（财办库〔</w:t>
      </w:r>
      <w:r>
        <w:rPr>
          <w:rFonts w:ascii="宋体" w:hAnsi="宋体" w:cs="Arial"/>
          <w:spacing w:val="-1"/>
          <w:sz w:val="24"/>
        </w:rPr>
        <w:t>2020</w:t>
      </w:r>
      <w:r>
        <w:rPr>
          <w:rFonts w:ascii="宋体" w:hAnsi="宋体"/>
          <w:spacing w:val="-1"/>
          <w:sz w:val="24"/>
        </w:rPr>
        <w:t>〕</w:t>
      </w:r>
      <w:r>
        <w:rPr>
          <w:rFonts w:ascii="宋体" w:hAnsi="宋体" w:cs="Arial"/>
          <w:spacing w:val="-1"/>
          <w:sz w:val="24"/>
        </w:rPr>
        <w:t xml:space="preserve">123 </w:t>
      </w:r>
      <w:r>
        <w:rPr>
          <w:rFonts w:ascii="宋体" w:hAnsi="宋体"/>
          <w:spacing w:val="-1"/>
          <w:sz w:val="24"/>
        </w:rPr>
        <w:t>号</w:t>
      </w:r>
      <w:r>
        <w:rPr>
          <w:rFonts w:ascii="宋体" w:hAnsi="宋体"/>
          <w:spacing w:val="-55"/>
          <w:w w:val="97"/>
          <w:sz w:val="24"/>
        </w:rPr>
        <w:t>），</w:t>
      </w:r>
      <w:r>
        <w:rPr>
          <w:rFonts w:ascii="宋体" w:hAnsi="宋体"/>
          <w:spacing w:val="-1"/>
          <w:sz w:val="24"/>
        </w:rPr>
        <w:t>本项目如涉及商</w:t>
      </w:r>
      <w:r>
        <w:rPr>
          <w:rFonts w:ascii="宋体" w:hAnsi="宋体"/>
          <w:spacing w:val="-4"/>
          <w:sz w:val="24"/>
        </w:rPr>
        <w:t>品包装和快递包装的，则其具体要求见第五章《采购需求》。</w:t>
      </w:r>
    </w:p>
    <w:bookmarkEnd w:id="192"/>
    <w:bookmarkEnd w:id="193"/>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其他政府采购需求标准</w:t>
      </w:r>
    </w:p>
    <w:p>
      <w:pPr>
        <w:tabs>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为贯彻落实《深化政府采购制度改革方案》有关要求，推动政府采购 需求标准建设，财政部门会同有关部门制定发布的其他政府采购需求 标准，本项目如涉及，则具体要求见第五章《采购需求》。</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投标费用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投标人应自行承担所有与准备和参加投标有关的费用，无论投标的结果如何，采购人或采购代理机构在任何情况下均无承担这些费用的义务和责任。</w:t>
      </w:r>
    </w:p>
    <w:p>
      <w:pPr>
        <w:tabs>
          <w:tab w:val="left" w:pos="1080"/>
        </w:tabs>
        <w:snapToGrid w:val="0"/>
        <w:spacing w:line="360" w:lineRule="auto"/>
        <w:ind w:left="1080"/>
        <w:rPr>
          <w:rFonts w:ascii="宋体" w:hAnsi="宋体" w:cs="宋体"/>
          <w:color w:val="000000" w:themeColor="text1"/>
          <w:sz w:val="28"/>
          <w14:textFill>
            <w14:solidFill>
              <w14:schemeClr w14:val="tx1"/>
            </w14:solidFill>
          </w14:textFill>
        </w:rPr>
      </w:pPr>
      <w:bookmarkStart w:id="194" w:name="_1.8_计量单位"/>
      <w:bookmarkEnd w:id="194"/>
    </w:p>
    <w:p>
      <w:pPr>
        <w:pStyle w:val="4"/>
        <w:rPr>
          <w:rStyle w:val="461"/>
          <w:rFonts w:hint="default" w:ascii="宋体" w:hAnsi="宋体"/>
          <w:b/>
        </w:rPr>
      </w:pPr>
      <w:r>
        <w:rPr>
          <w:rStyle w:val="461"/>
          <w:rFonts w:hint="default" w:ascii="宋体" w:hAnsi="宋体"/>
          <w:b/>
        </w:rPr>
        <w:t>二   招标文件</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95" w:name="_Toc151190150"/>
      <w:bookmarkStart w:id="196" w:name="_Toc151193621"/>
      <w:bookmarkStart w:id="197" w:name="_Toc151193693"/>
      <w:bookmarkStart w:id="198" w:name="_Toc151193765"/>
      <w:bookmarkStart w:id="199" w:name="_Toc150774623"/>
      <w:bookmarkStart w:id="200" w:name="_Toc520356147"/>
      <w:bookmarkStart w:id="201" w:name="_Toc127151724"/>
      <w:bookmarkStart w:id="202" w:name="_Toc127161437"/>
      <w:bookmarkStart w:id="203" w:name="_Toc226965796"/>
      <w:bookmarkStart w:id="204" w:name="_Toc226337219"/>
      <w:bookmarkStart w:id="205" w:name="_Toc305158791"/>
      <w:bookmarkStart w:id="206" w:name="_Toc149720816"/>
      <w:bookmarkStart w:id="207" w:name="_Toc164229218"/>
      <w:bookmarkStart w:id="208" w:name="_Toc164229364"/>
      <w:bookmarkStart w:id="209" w:name="_Toc305158865"/>
      <w:bookmarkStart w:id="210" w:name="_Toc164608637"/>
      <w:bookmarkStart w:id="211" w:name="_Toc151193837"/>
      <w:bookmarkStart w:id="212" w:name="_Toc151193911"/>
      <w:bookmarkStart w:id="213" w:name="_Toc150480761"/>
      <w:bookmarkStart w:id="214" w:name="_Toc150509274"/>
      <w:bookmarkStart w:id="215" w:name="_Toc195842888"/>
      <w:bookmarkStart w:id="216" w:name="_Toc226309767"/>
      <w:bookmarkStart w:id="217" w:name="_Toc142311025"/>
      <w:bookmarkStart w:id="218" w:name="_Toc226965713"/>
      <w:bookmarkStart w:id="219" w:name="_Toc265228361"/>
      <w:bookmarkStart w:id="220" w:name="_Toc164608792"/>
      <w:bookmarkStart w:id="221" w:name="_Toc164351617"/>
      <w:bookmarkStart w:id="222" w:name="_Toc127151523"/>
      <w:bookmarkStart w:id="223" w:name="_Toc150774728"/>
      <w:bookmarkStart w:id="224" w:name="_Toc264969213"/>
      <w:r>
        <w:rPr>
          <w:rFonts w:hint="eastAsia" w:ascii="宋体" w:hAnsi="宋体" w:cs="宋体"/>
          <w:color w:val="000000" w:themeColor="text1"/>
          <w:sz w:val="24"/>
          <w14:textFill>
            <w14:solidFill>
              <w14:schemeClr w14:val="tx1"/>
            </w14:solidFill>
          </w14:textFill>
        </w:rPr>
        <w:t>招标文件构</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Fonts w:hint="eastAsia" w:ascii="宋体" w:hAnsi="宋体" w:cs="宋体"/>
          <w:color w:val="000000" w:themeColor="text1"/>
          <w:sz w:val="24"/>
          <w14:textFill>
            <w14:solidFill>
              <w14:schemeClr w14:val="tx1"/>
            </w14:solidFill>
          </w14:textFill>
        </w:rPr>
        <w:t>成</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招标文件包括以下部分：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投标邀请</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采购需求</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拟签订的合同文本</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投标文件格式</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投标人应认真阅读招标文件的全部内容。投标人应按照招标文件要求提交投标文件并保证所提供的全部资料的真实性，并对招标文件做出实质性响应，否则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1080"/>
          <w:tab w:val="left" w:pos="2014"/>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对招标文件的澄清或修改</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采购人或采购代理机构对已发出的招标文件进行必要澄清或者修改的，将在原公告发布媒体上发布更正公告，并以书面形式通知所有获取招标文件的潜在投标人。</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上述书面通知，按照获取招标文件的潜在投标人提供的联系方式发出，因提供的信息有误导致通知延迟或无法通知的，采购人或采购代理机构不承担责任。</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pPr>
        <w:tabs>
          <w:tab w:val="left" w:pos="1080"/>
          <w:tab w:val="left" w:pos="1561"/>
        </w:tabs>
        <w:snapToGrid w:val="0"/>
        <w:spacing w:line="360" w:lineRule="auto"/>
        <w:ind w:left="1080"/>
        <w:rPr>
          <w:rFonts w:ascii="宋体" w:hAnsi="宋体" w:cs="宋体"/>
          <w:color w:val="000000" w:themeColor="text1"/>
          <w:sz w:val="28"/>
          <w14:textFill>
            <w14:solidFill>
              <w14:schemeClr w14:val="tx1"/>
            </w14:solidFill>
          </w14:textFill>
        </w:rPr>
      </w:pPr>
      <w:bookmarkStart w:id="225" w:name="_Toc516367020"/>
      <w:bookmarkStart w:id="226" w:name="_Toc151193624"/>
      <w:bookmarkStart w:id="227" w:name="_Toc305158868"/>
      <w:bookmarkStart w:id="228" w:name="_Toc151193768"/>
      <w:bookmarkStart w:id="229" w:name="_Toc151193840"/>
      <w:bookmarkStart w:id="230" w:name="_Toc195842891"/>
      <w:bookmarkStart w:id="231" w:name="_Toc226337222"/>
      <w:bookmarkStart w:id="232" w:name="_Toc226965799"/>
      <w:bookmarkStart w:id="233" w:name="_Toc265228364"/>
      <w:bookmarkStart w:id="234" w:name="_Toc142311028"/>
      <w:bookmarkStart w:id="235" w:name="_Toc151193696"/>
      <w:bookmarkStart w:id="236" w:name="_Toc264969216"/>
      <w:bookmarkStart w:id="237" w:name="_Toc226965716"/>
      <w:bookmarkStart w:id="238" w:name="_Toc151190153"/>
      <w:bookmarkStart w:id="239" w:name="_Toc151193914"/>
      <w:bookmarkStart w:id="240" w:name="_Toc520356150"/>
      <w:bookmarkStart w:id="241" w:name="_Toc305158794"/>
      <w:bookmarkStart w:id="242" w:name="_Toc150509277"/>
      <w:bookmarkStart w:id="243" w:name="_Toc150774731"/>
      <w:bookmarkStart w:id="244" w:name="_Toc226309770"/>
      <w:bookmarkStart w:id="245" w:name="_Toc127151526"/>
      <w:bookmarkStart w:id="246" w:name="_Toc150774626"/>
      <w:bookmarkStart w:id="247" w:name="_Toc150480764"/>
    </w:p>
    <w:p>
      <w:pPr>
        <w:pStyle w:val="4"/>
        <w:rPr>
          <w:rStyle w:val="461"/>
          <w:rFonts w:hint="default" w:ascii="宋体" w:hAnsi="宋体"/>
          <w:b/>
        </w:rPr>
      </w:pPr>
      <w:r>
        <w:rPr>
          <w:rStyle w:val="461"/>
          <w:rFonts w:hint="default" w:ascii="宋体" w:hAnsi="宋体"/>
          <w:b/>
        </w:rPr>
        <w:t>三   投标文件</w:t>
      </w:r>
      <w:bookmarkEnd w:id="225"/>
      <w:r>
        <w:rPr>
          <w:rStyle w:val="461"/>
          <w:rFonts w:hint="default" w:ascii="宋体" w:hAnsi="宋体"/>
          <w:b/>
        </w:rPr>
        <w:t>的编制</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48" w:name="_Toc164351621"/>
      <w:bookmarkStart w:id="249" w:name="_Toc226965800"/>
      <w:bookmarkStart w:id="250" w:name="_Toc164608796"/>
      <w:bookmarkStart w:id="251" w:name="_Toc195842892"/>
      <w:bookmarkStart w:id="252" w:name="_Toc151193915"/>
      <w:bookmarkStart w:id="253" w:name="_Toc151193697"/>
      <w:bookmarkStart w:id="254" w:name="_Toc516367021"/>
      <w:bookmarkStart w:id="255" w:name="_Toc305158795"/>
      <w:bookmarkStart w:id="256" w:name="_Toc226337223"/>
      <w:bookmarkStart w:id="257" w:name="_Toc164608641"/>
      <w:bookmarkStart w:id="258" w:name="_Toc127161441"/>
      <w:bookmarkStart w:id="259" w:name="_Toc151193841"/>
      <w:bookmarkStart w:id="260" w:name="_Toc150480765"/>
      <w:bookmarkStart w:id="261" w:name="_Toc226309771"/>
      <w:bookmarkStart w:id="262" w:name="_Toc164229368"/>
      <w:bookmarkStart w:id="263" w:name="_Toc226965717"/>
      <w:bookmarkStart w:id="264" w:name="_Toc264969217"/>
      <w:bookmarkStart w:id="265" w:name="_Toc150509278"/>
      <w:bookmarkStart w:id="266" w:name="_Toc151190154"/>
      <w:bookmarkStart w:id="267" w:name="_Toc127151527"/>
      <w:bookmarkStart w:id="268" w:name="_Toc151193769"/>
      <w:bookmarkStart w:id="269" w:name="_Toc149720820"/>
      <w:bookmarkStart w:id="270" w:name="_Toc150774732"/>
      <w:bookmarkStart w:id="271" w:name="_Toc150774627"/>
      <w:bookmarkStart w:id="272" w:name="_Toc151193625"/>
      <w:bookmarkStart w:id="273" w:name="_Toc127151728"/>
      <w:bookmarkStart w:id="274" w:name="_Toc142311029"/>
      <w:bookmarkStart w:id="275" w:name="_Toc265228365"/>
      <w:bookmarkStart w:id="276" w:name="_Toc520356151"/>
      <w:bookmarkStart w:id="277" w:name="_Toc164229222"/>
      <w:bookmarkStart w:id="278" w:name="_Toc305158869"/>
      <w:r>
        <w:rPr>
          <w:rFonts w:hint="eastAsia" w:ascii="宋体" w:hAnsi="宋体" w:cs="宋体"/>
          <w:color w:val="000000" w:themeColor="text1"/>
          <w:sz w:val="24"/>
          <w14:textFill>
            <w14:solidFill>
              <w14:schemeClr w14:val="tx1"/>
            </w14:solidFill>
          </w14:textFill>
        </w:rPr>
        <w:t>投标范围、投标文件中计量单位的使用</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Pr>
          <w:rFonts w:hint="eastAsia" w:ascii="宋体" w:hAnsi="宋体" w:cs="宋体"/>
          <w:color w:val="000000" w:themeColor="text1"/>
          <w:sz w:val="24"/>
          <w14:textFill>
            <w14:solidFill>
              <w14:schemeClr w14:val="tx1"/>
            </w14:solidFill>
          </w14:textFill>
        </w:rPr>
        <w:t>及投标语言</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color w:val="000000" w:themeColor="text1"/>
          <w:sz w:val="24"/>
          <w14:textFill>
            <w14:solidFill>
              <w14:schemeClr w14:val="tx1"/>
            </w14:solidFill>
          </w14:textFill>
        </w:rPr>
        <w:t>无效投标</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除招标文件有特殊要求外，本项目投标所使用的计量单位，应采用中华人民共和国法定计量单位。</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79" w:name="_Ref467306195"/>
      <w:bookmarkStart w:id="280" w:name="_Ref467306676"/>
      <w:bookmarkStart w:id="281" w:name="_Toc516367022"/>
      <w:bookmarkStart w:id="282" w:name="_Toc150509279"/>
      <w:bookmarkStart w:id="283" w:name="_Toc195842893"/>
      <w:bookmarkStart w:id="284" w:name="_Toc150774733"/>
      <w:bookmarkStart w:id="285" w:name="_Toc151193916"/>
      <w:bookmarkStart w:id="286" w:name="_Toc264969218"/>
      <w:bookmarkStart w:id="287" w:name="_Toc226965801"/>
      <w:bookmarkStart w:id="288" w:name="_Toc226337224"/>
      <w:bookmarkStart w:id="289" w:name="_Toc164608797"/>
      <w:bookmarkStart w:id="290" w:name="_Toc151193770"/>
      <w:bookmarkStart w:id="291" w:name="_Toc151193842"/>
      <w:bookmarkStart w:id="292" w:name="_Toc305158870"/>
      <w:bookmarkStart w:id="293" w:name="_Toc226965718"/>
      <w:bookmarkStart w:id="294" w:name="_Toc164229369"/>
      <w:bookmarkStart w:id="295" w:name="_Toc305158796"/>
      <w:bookmarkStart w:id="296" w:name="_Toc520356152"/>
      <w:bookmarkStart w:id="297" w:name="_Toc151193626"/>
      <w:bookmarkStart w:id="298" w:name="_Toc226309772"/>
      <w:bookmarkStart w:id="299" w:name="_Toc164351622"/>
      <w:bookmarkStart w:id="300" w:name="_Toc151193698"/>
      <w:bookmarkStart w:id="301" w:name="_Toc151190155"/>
      <w:bookmarkStart w:id="302" w:name="_Toc150774628"/>
      <w:bookmarkStart w:id="303" w:name="_Toc127161442"/>
      <w:bookmarkStart w:id="304" w:name="_Toc150480766"/>
      <w:bookmarkStart w:id="305" w:name="_Toc164229223"/>
      <w:bookmarkStart w:id="306" w:name="_Toc164608642"/>
      <w:bookmarkStart w:id="307" w:name="_Toc127151528"/>
      <w:bookmarkStart w:id="308" w:name="_Toc149720821"/>
      <w:bookmarkStart w:id="309" w:name="_Toc265228366"/>
      <w:bookmarkStart w:id="310" w:name="_Toc142311030"/>
      <w:bookmarkStart w:id="311" w:name="_Toc127151729"/>
      <w:r>
        <w:rPr>
          <w:rFonts w:hint="eastAsia" w:ascii="宋体" w:hAnsi="宋体" w:cs="宋体"/>
          <w:color w:val="000000" w:themeColor="text1"/>
          <w:sz w:val="24"/>
          <w14:textFill>
            <w14:solidFill>
              <w14:schemeClr w14:val="tx1"/>
            </w14:solidFill>
          </w14:textFill>
        </w:rPr>
        <w:t>投标文件</w:t>
      </w:r>
      <w:bookmarkEnd w:id="279"/>
      <w:bookmarkEnd w:id="280"/>
      <w:bookmarkEnd w:id="281"/>
      <w:r>
        <w:rPr>
          <w:rFonts w:hint="eastAsia" w:ascii="宋体" w:hAnsi="宋体" w:cs="宋体"/>
          <w:color w:val="000000" w:themeColor="text1"/>
          <w:sz w:val="24"/>
          <w14:textFill>
            <w14:solidFill>
              <w14:schemeClr w14:val="tx1"/>
            </w14:solidFill>
          </w14:textFill>
        </w:rPr>
        <w:t>构成</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12" w:name="_Ref467052588"/>
      <w:r>
        <w:rPr>
          <w:rFonts w:hint="eastAsia" w:ascii="宋体" w:hAnsi="宋体" w:cs="宋体"/>
          <w:color w:val="000000" w:themeColor="text1"/>
          <w:sz w:val="24"/>
          <w:u w:val="single"/>
          <w14:textFill>
            <w14:solidFill>
              <w14:schemeClr w14:val="tx1"/>
            </w14:solidFill>
          </w14:textFill>
        </w:rPr>
        <w:t>投标人应当按照招标文件的要求编制投标文件。投标文件应由《资格证明文件》、《商务技术文件》两部分构成</w:t>
      </w:r>
      <w:r>
        <w:rPr>
          <w:rFonts w:hint="eastAsia" w:ascii="宋体" w:hAnsi="宋体" w:cs="宋体"/>
          <w:color w:val="000000" w:themeColor="text1"/>
          <w:sz w:val="24"/>
          <w14:textFill>
            <w14:solidFill>
              <w14:schemeClr w14:val="tx1"/>
            </w14:solidFill>
          </w14:textFill>
        </w:rPr>
        <w:t>。投标文件的部分格式要求，见第七章《投标文件格式》。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第四章《评标程序、评标方法和评标标准》中涉及的证明文件。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第五章《采购需求》，说明所提供货物和服务已对第五章《采购需求》做出了响应，或申明与第五章《采购需求》的偏差和例外。如第五章《采购需求》中要求提供证明文件的，投标人应当按具体要求提供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投标人认为应附的其他材料。</w:t>
      </w:r>
      <w:bookmarkEnd w:id="312"/>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13" w:name="_Toc195842895"/>
      <w:bookmarkStart w:id="314" w:name="_Toc151193772"/>
      <w:bookmarkStart w:id="315" w:name="_Toc151193844"/>
      <w:bookmarkStart w:id="316" w:name="_Toc151193918"/>
      <w:bookmarkStart w:id="317" w:name="_Toc150774735"/>
      <w:bookmarkStart w:id="318" w:name="_Toc151193628"/>
      <w:bookmarkStart w:id="319" w:name="_Toc150480768"/>
      <w:bookmarkStart w:id="320" w:name="_Toc164229225"/>
      <w:bookmarkStart w:id="321" w:name="_Toc142311032"/>
      <w:bookmarkStart w:id="322" w:name="_Toc127151731"/>
      <w:bookmarkStart w:id="323" w:name="_Toc164608799"/>
      <w:bookmarkStart w:id="324" w:name="_Toc164608644"/>
      <w:bookmarkStart w:id="325" w:name="_Toc151190157"/>
      <w:bookmarkStart w:id="326" w:name="_Toc151193700"/>
      <w:bookmarkStart w:id="327" w:name="_Toc149720823"/>
      <w:bookmarkStart w:id="328" w:name="_Toc127151530"/>
      <w:bookmarkStart w:id="329" w:name="_Toc127161444"/>
      <w:bookmarkStart w:id="330" w:name="_Toc150509281"/>
      <w:bookmarkStart w:id="331" w:name="_Toc150774630"/>
      <w:bookmarkStart w:id="332" w:name="_Toc520356155"/>
      <w:bookmarkStart w:id="333" w:name="_Toc164351624"/>
      <w:bookmarkStart w:id="334" w:name="_Toc164229371"/>
      <w:r>
        <w:rPr>
          <w:rFonts w:hint="eastAsia" w:ascii="宋体" w:hAnsi="宋体" w:cs="宋体"/>
          <w:color w:val="000000" w:themeColor="text1"/>
          <w:sz w:val="24"/>
          <w14:textFill>
            <w14:solidFill>
              <w14:schemeClr w14:val="tx1"/>
            </w14:solidFill>
          </w14:textFill>
        </w:rPr>
        <w:t>投标报价</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所有投标均以人民币为计价货币。</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投标人的报价应包括为完成本项目所发生的一切费用和税费，采购人将不再支付报价以外的任何费用。投标人的报价应包括但不限于下列内容，《投标人须知资料表》中有特殊规定的，从其规定。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按照招标文件要求完成本项目的全部相关服务费用。 </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采购人不得向供应商索要或者接受其给予的赠品、回扣或者与采购无关的其他商品、服务。</w:t>
      </w:r>
    </w:p>
    <w:p>
      <w:pPr>
        <w:numPr>
          <w:ilvl w:val="1"/>
          <w:numId w:val="9"/>
        </w:numPr>
        <w:tabs>
          <w:tab w:val="left" w:pos="1080"/>
          <w:tab w:val="left" w:pos="2014"/>
        </w:tabs>
        <w:snapToGrid w:val="0"/>
        <w:spacing w:line="360" w:lineRule="auto"/>
        <w:ind w:left="1080" w:hanging="72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投标人不能提供任何有选择性或可调整的报价（招标文件另有规定的除外），否则其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35" w:name="_Toc150774631"/>
      <w:bookmarkStart w:id="336" w:name="_Toc164608645"/>
      <w:bookmarkStart w:id="337" w:name="_Toc226337227"/>
      <w:bookmarkStart w:id="338" w:name="_Toc151193629"/>
      <w:bookmarkStart w:id="339" w:name="_Toc127151531"/>
      <w:bookmarkStart w:id="340" w:name="_Toc151193845"/>
      <w:bookmarkStart w:id="341" w:name="_Toc151193773"/>
      <w:bookmarkStart w:id="342" w:name="_Toc127161445"/>
      <w:bookmarkStart w:id="343" w:name="_Toc305158873"/>
      <w:bookmarkStart w:id="344" w:name="_Toc226965721"/>
      <w:bookmarkStart w:id="345" w:name="_Toc151193701"/>
      <w:bookmarkStart w:id="346" w:name="_Toc164351625"/>
      <w:bookmarkStart w:id="347" w:name="_Toc150509282"/>
      <w:bookmarkStart w:id="348" w:name="_Toc305158799"/>
      <w:bookmarkStart w:id="349" w:name="_Toc264969221"/>
      <w:bookmarkStart w:id="350" w:name="_Toc164608800"/>
      <w:bookmarkStart w:id="351" w:name="_Toc150774736"/>
      <w:bookmarkStart w:id="352" w:name="_Toc151190158"/>
      <w:bookmarkStart w:id="353" w:name="_Toc164229372"/>
      <w:bookmarkStart w:id="354" w:name="_Toc226309775"/>
      <w:bookmarkStart w:id="355" w:name="_Toc127151732"/>
      <w:bookmarkStart w:id="356" w:name="_Toc142311033"/>
      <w:bookmarkStart w:id="357" w:name="_Toc520356156"/>
      <w:bookmarkStart w:id="358" w:name="_Toc265228369"/>
      <w:bookmarkStart w:id="359" w:name="_Ref467306513"/>
      <w:bookmarkStart w:id="360" w:name="_Toc151193919"/>
      <w:bookmarkStart w:id="361" w:name="_Toc226965804"/>
      <w:bookmarkStart w:id="362" w:name="_Toc149720824"/>
      <w:bookmarkStart w:id="363" w:name="_Toc195842896"/>
      <w:bookmarkStart w:id="364" w:name="_Toc164229226"/>
      <w:bookmarkStart w:id="365" w:name="_Toc150480769"/>
      <w:r>
        <w:rPr>
          <w:rFonts w:hint="eastAsia" w:ascii="宋体" w:hAnsi="宋体" w:cs="宋体"/>
          <w:color w:val="000000" w:themeColor="text1"/>
          <w:sz w:val="24"/>
          <w14:textFill>
            <w14:solidFill>
              <w14:schemeClr w14:val="tx1"/>
            </w14:solidFill>
          </w14:textFill>
        </w:rPr>
        <w:t>投标保证金</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66" w:name="_Ref467306302"/>
      <w:r>
        <w:rPr>
          <w:rFonts w:hint="eastAsia" w:ascii="宋体" w:hAnsi="宋体" w:cs="宋体"/>
          <w:color w:val="000000" w:themeColor="text1"/>
          <w:sz w:val="24"/>
          <w14:textFill>
            <w14:solidFill>
              <w14:schemeClr w14:val="tx1"/>
            </w14:solidFill>
          </w14:textFill>
        </w:rPr>
        <w:t>投标人应按《投标人须知资料表》中规定的金额及要求交纳投标保证金</w:t>
      </w:r>
      <w:bookmarkEnd w:id="366"/>
      <w:r>
        <w:rPr>
          <w:rFonts w:hint="eastAsia" w:ascii="宋体" w:hAnsi="宋体" w:cs="宋体"/>
          <w:color w:val="000000" w:themeColor="text1"/>
          <w:sz w:val="24"/>
          <w14:textFill>
            <w14:solidFill>
              <w14:schemeClr w14:val="tx1"/>
            </w14:solidFill>
          </w14:textFill>
        </w:rPr>
        <w:t>，投标人自愿超额缴纳投标保证金的，投标文件不做无效处理。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交纳投标保证金可采用的形式：政府采购法律法规接受的支票、汇票、本票、网上银行支付或者金融机构、担保机构出具的保函等非现金形式。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投标保证金到账（保函提交）截止时</w:t>
      </w:r>
      <w:r>
        <w:rPr>
          <w:rFonts w:ascii="宋体" w:hAnsi="宋体"/>
          <w:sz w:val="24"/>
        </w:rPr>
        <w:t>间同投标截止时间。以支票、汇票、本</w:t>
      </w:r>
      <w:r>
        <w:rPr>
          <w:rFonts w:ascii="宋体" w:hAnsi="宋体"/>
          <w:spacing w:val="-1"/>
          <w:sz w:val="24"/>
        </w:rPr>
        <w:t>票、网上银行支付等形式提交投标保证金的，应在投标截止时间前到账</w:t>
      </w:r>
      <w:r>
        <w:rPr>
          <w:rFonts w:hint="eastAsia" w:ascii="宋体" w:hAnsi="宋体"/>
          <w:spacing w:val="-1"/>
          <w:sz w:val="24"/>
        </w:rPr>
        <w:t>；</w:t>
      </w:r>
      <w:r>
        <w:rPr>
          <w:rFonts w:ascii="宋体" w:hAnsi="宋体"/>
          <w:spacing w:val="-1"/>
          <w:sz w:val="24"/>
        </w:rPr>
        <w:t>以</w:t>
      </w:r>
      <w:r>
        <w:rPr>
          <w:rFonts w:ascii="宋体" w:hAnsi="宋体"/>
          <w:spacing w:val="1"/>
          <w:sz w:val="24"/>
        </w:rPr>
        <w:t>金融机构、担保机构出具的纸质保函等形式提交投标保证金的，应在投标截</w:t>
      </w:r>
      <w:r>
        <w:rPr>
          <w:rFonts w:ascii="宋体" w:hAnsi="宋体"/>
          <w:sz w:val="24"/>
        </w:rPr>
        <w:t>止时间前将原件提交至采购代理机构；</w:t>
      </w:r>
      <w:r>
        <w:rPr>
          <w:rFonts w:ascii="宋体" w:hAnsi="宋体"/>
          <w:spacing w:val="-50"/>
          <w:sz w:val="24"/>
        </w:rPr>
        <w:t xml:space="preserve"> </w:t>
      </w:r>
      <w:r>
        <w:rPr>
          <w:rFonts w:ascii="宋体" w:hAnsi="宋体"/>
          <w:sz w:val="24"/>
        </w:rPr>
        <w:t>以电子保函形式提交投标保证金的，</w:t>
      </w:r>
      <w:r>
        <w:rPr>
          <w:rFonts w:ascii="宋体" w:hAnsi="宋体"/>
          <w:spacing w:val="2"/>
          <w:sz w:val="24"/>
        </w:rPr>
        <w:t>应在投标截止时间前通过北京市政府采购电子交易平台完成电子保函在线办</w:t>
      </w:r>
      <w:r>
        <w:rPr>
          <w:rFonts w:ascii="宋体" w:hAnsi="宋体"/>
          <w:sz w:val="24"/>
        </w:rPr>
        <w:t>理。未按上述要求缴纳投标保证金的，其</w:t>
      </w:r>
      <w:r>
        <w:rPr>
          <w:rFonts w:ascii="宋体" w:hAnsi="宋体"/>
          <w:b/>
          <w:bCs/>
          <w:sz w:val="24"/>
        </w:rPr>
        <w:t>投标</w:t>
      </w:r>
      <w:r>
        <w:rPr>
          <w:rFonts w:ascii="宋体" w:hAnsi="宋体"/>
          <w:b/>
          <w:bCs/>
          <w:spacing w:val="-1"/>
          <w:sz w:val="24"/>
        </w:rPr>
        <w:t>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投标人除需在投标文件中提供</w:t>
      </w:r>
      <w:r>
        <w:rPr>
          <w:rFonts w:hint="eastAsia" w:ascii="宋体" w:hAnsi="宋体"/>
          <w:sz w:val="24"/>
        </w:rPr>
        <w:t>“</w:t>
      </w:r>
      <w:r>
        <w:rPr>
          <w:rFonts w:ascii="宋体" w:hAnsi="宋体"/>
          <w:spacing w:val="1"/>
          <w:sz w:val="24"/>
        </w:rPr>
        <w:t>投标保证</w:t>
      </w:r>
      <w:r>
        <w:rPr>
          <w:rFonts w:ascii="宋体" w:hAnsi="宋体"/>
          <w:sz w:val="24"/>
        </w:rPr>
        <w:t>金凭证</w:t>
      </w:r>
      <w:r>
        <w:rPr>
          <w:rFonts w:ascii="宋体" w:hAnsi="宋体" w:cs="Arial"/>
          <w:sz w:val="24"/>
        </w:rPr>
        <w:t>/</w:t>
      </w:r>
      <w:r>
        <w:rPr>
          <w:rFonts w:ascii="宋体" w:hAnsi="宋体"/>
          <w:sz w:val="24"/>
        </w:rPr>
        <w:t>交款单据电子件</w:t>
      </w:r>
      <w:r>
        <w:rPr>
          <w:rFonts w:hint="eastAsia" w:ascii="宋体" w:hAnsi="宋体"/>
          <w:sz w:val="24"/>
        </w:rPr>
        <w:t>”</w:t>
      </w:r>
      <w:r>
        <w:rPr>
          <w:rFonts w:ascii="宋体" w:hAnsi="宋体"/>
          <w:sz w:val="24"/>
        </w:rPr>
        <w:t>，还需在</w:t>
      </w:r>
      <w:r>
        <w:rPr>
          <w:rFonts w:ascii="宋体" w:hAnsi="宋体"/>
          <w:spacing w:val="-8"/>
          <w:sz w:val="24"/>
        </w:rPr>
        <w:t>投标截止时间前，通过电子交易平台上传</w:t>
      </w:r>
      <w:r>
        <w:rPr>
          <w:rFonts w:hint="eastAsia" w:ascii="宋体" w:hAnsi="宋体"/>
          <w:spacing w:val="-8"/>
          <w:sz w:val="24"/>
        </w:rPr>
        <w:t>“</w:t>
      </w:r>
      <w:r>
        <w:rPr>
          <w:rFonts w:ascii="宋体" w:hAnsi="宋体"/>
          <w:spacing w:val="-8"/>
          <w:sz w:val="24"/>
        </w:rPr>
        <w:t>投标保证金凭证</w:t>
      </w:r>
      <w:r>
        <w:rPr>
          <w:rFonts w:ascii="宋体" w:hAnsi="宋体" w:cs="Arial"/>
          <w:spacing w:val="-8"/>
          <w:sz w:val="24"/>
        </w:rPr>
        <w:t>/</w:t>
      </w:r>
      <w:r>
        <w:rPr>
          <w:rFonts w:ascii="宋体" w:hAnsi="宋体"/>
          <w:spacing w:val="-8"/>
          <w:sz w:val="24"/>
        </w:rPr>
        <w:t>交款单据电子件</w:t>
      </w:r>
      <w:r>
        <w:rPr>
          <w:rFonts w:hint="eastAsia" w:ascii="宋体" w:hAnsi="宋体"/>
          <w:spacing w:val="-8"/>
          <w:sz w:val="24"/>
        </w:rPr>
        <w:t>”</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投标保证金有效期同投标有效期。</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投标人为联合体的，可以由联合体中的一方或者多方共同交纳投标保证金，其交纳的投标保证金对联合体各方均具有约束力。</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投标人在投标截止时间前撤回已提交的投标文件的，自收到投标人书面撤回通知之日起5个工作日内退还已收取的投标保证金；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中标人的投标保证金，自采购合同签订之日起5个工作日内退还中标人；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未中标投标人的投标保证金，自中标通知书发出之日起5个工作日内退还未中标人；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终止招标项目已经收取投标保证金的，自终止采购活动后5个工作日内退还已收取的投标保证金及其在银行产生的孳息。</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有下列情形之一的，采购人或采购代理机构可以不予退还投标保证金：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投标有效期内投标人撤销投标文件的；</w:t>
      </w:r>
    </w:p>
    <w:p>
      <w:pPr>
        <w:numPr>
          <w:ilvl w:val="2"/>
          <w:numId w:val="9"/>
        </w:numPr>
        <w:tabs>
          <w:tab w:val="left" w:pos="900"/>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《投标人须知资料表》中规定的其他情形。</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67" w:name="_Toc151193774"/>
      <w:bookmarkStart w:id="368" w:name="_Toc164608646"/>
      <w:bookmarkStart w:id="369" w:name="_Toc150774632"/>
      <w:bookmarkStart w:id="370" w:name="_Toc164351626"/>
      <w:bookmarkStart w:id="371" w:name="_Toc149720825"/>
      <w:bookmarkStart w:id="372" w:name="_Toc151193702"/>
      <w:bookmarkStart w:id="373" w:name="_Toc150774737"/>
      <w:bookmarkStart w:id="374" w:name="_Toc164608801"/>
      <w:bookmarkStart w:id="375" w:name="_Toc195842897"/>
      <w:bookmarkStart w:id="376" w:name="_Toc226337228"/>
      <w:bookmarkStart w:id="377" w:name="_Toc151193920"/>
      <w:bookmarkStart w:id="378" w:name="_Toc127151733"/>
      <w:bookmarkStart w:id="379" w:name="_Toc127161446"/>
      <w:bookmarkStart w:id="380" w:name="_Toc150509283"/>
      <w:bookmarkStart w:id="381" w:name="_Toc226965805"/>
      <w:bookmarkStart w:id="382" w:name="_Toc520356157"/>
      <w:bookmarkStart w:id="383" w:name="_Toc305158800"/>
      <w:bookmarkStart w:id="384" w:name="_Toc264969222"/>
      <w:bookmarkStart w:id="385" w:name="_Toc142311034"/>
      <w:bookmarkStart w:id="386" w:name="_Toc151193630"/>
      <w:bookmarkStart w:id="387" w:name="_Toc305158874"/>
      <w:bookmarkStart w:id="388" w:name="_Toc265228370"/>
      <w:bookmarkStart w:id="389" w:name="_Toc150480770"/>
      <w:bookmarkStart w:id="390" w:name="_Toc151193846"/>
      <w:bookmarkStart w:id="391" w:name="_Toc226965722"/>
      <w:bookmarkStart w:id="392" w:name="_Toc164229373"/>
      <w:bookmarkStart w:id="393" w:name="_Toc164229227"/>
      <w:bookmarkStart w:id="394" w:name="_Toc151190159"/>
      <w:bookmarkStart w:id="395" w:name="_Toc127151532"/>
      <w:bookmarkStart w:id="396" w:name="_Toc226309776"/>
      <w:r>
        <w:rPr>
          <w:rFonts w:hint="eastAsia" w:ascii="宋体" w:hAnsi="宋体" w:cs="宋体"/>
          <w:color w:val="000000" w:themeColor="text1"/>
          <w:sz w:val="24"/>
          <w14:textFill>
            <w14:solidFill>
              <w14:schemeClr w14:val="tx1"/>
            </w14:solidFill>
          </w14:textFill>
        </w:rPr>
        <w:t>投标有效期</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投标文件应在本招标文件《投标人须知资料表》中规定的投标有效期内保持有效，投标有效期少于招标文件规定期限的，其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97" w:name="_Toc151193703"/>
      <w:bookmarkStart w:id="398" w:name="_Toc127161447"/>
      <w:bookmarkStart w:id="399" w:name="_Toc164608647"/>
      <w:bookmarkStart w:id="400" w:name="_Toc164351627"/>
      <w:bookmarkStart w:id="401" w:name="_Toc151193775"/>
      <w:bookmarkStart w:id="402" w:name="_Toc264969223"/>
      <w:bookmarkStart w:id="403" w:name="_Toc149720826"/>
      <w:bookmarkStart w:id="404" w:name="_Toc150774633"/>
      <w:bookmarkStart w:id="405" w:name="_Toc164229228"/>
      <w:bookmarkStart w:id="406" w:name="_Toc127151533"/>
      <w:bookmarkStart w:id="407" w:name="_Toc520356158"/>
      <w:bookmarkStart w:id="408" w:name="_Toc151193921"/>
      <w:bookmarkStart w:id="409" w:name="_Toc305158801"/>
      <w:bookmarkStart w:id="410" w:name="_Toc226965806"/>
      <w:bookmarkStart w:id="411" w:name="_Toc150774738"/>
      <w:bookmarkStart w:id="412" w:name="_Toc151190160"/>
      <w:bookmarkStart w:id="413" w:name="_Toc195842898"/>
      <w:bookmarkStart w:id="414" w:name="_Toc226309777"/>
      <w:bookmarkStart w:id="415" w:name="_Toc164229374"/>
      <w:bookmarkStart w:id="416" w:name="_Toc305158875"/>
      <w:bookmarkStart w:id="417" w:name="_Toc142311035"/>
      <w:bookmarkStart w:id="418" w:name="_Toc150480771"/>
      <w:bookmarkStart w:id="419" w:name="_Toc127151734"/>
      <w:bookmarkStart w:id="420" w:name="_Toc150509284"/>
      <w:bookmarkStart w:id="421" w:name="_Toc226337229"/>
      <w:bookmarkStart w:id="422" w:name="_Toc151193847"/>
      <w:bookmarkStart w:id="423" w:name="_Toc164608802"/>
      <w:bookmarkStart w:id="424" w:name="_Toc226965723"/>
      <w:bookmarkStart w:id="425" w:name="_Toc265228371"/>
      <w:bookmarkStart w:id="426" w:name="_Toc151193631"/>
      <w:r>
        <w:rPr>
          <w:rFonts w:hint="eastAsia" w:ascii="宋体" w:hAnsi="宋体" w:cs="宋体"/>
          <w:color w:val="000000" w:themeColor="text1"/>
          <w:sz w:val="24"/>
          <w14:textFill>
            <w14:solidFill>
              <w14:schemeClr w14:val="tx1"/>
            </w14:solidFill>
          </w14:textFill>
        </w:rPr>
        <w:t>投标文件的签署</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Pr>
          <w:rFonts w:hint="eastAsia" w:ascii="宋体" w:hAnsi="宋体" w:cs="宋体"/>
          <w:color w:val="000000" w:themeColor="text1"/>
          <w:sz w:val="24"/>
          <w14:textFill>
            <w14:solidFill>
              <w14:schemeClr w14:val="tx1"/>
            </w14:solidFill>
          </w14:textFill>
        </w:rPr>
        <w:t>、盖章</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bookmarkStart w:id="427" w:name="_Toc127151534"/>
      <w:bookmarkStart w:id="428" w:name="_Toc150480772"/>
      <w:bookmarkStart w:id="429" w:name="_Toc150774634"/>
      <w:bookmarkStart w:id="430" w:name="_Toc151190161"/>
      <w:bookmarkStart w:id="431" w:name="_Toc226965807"/>
      <w:bookmarkStart w:id="432" w:name="_Toc151193922"/>
      <w:bookmarkStart w:id="433" w:name="_Toc195842899"/>
      <w:bookmarkStart w:id="434" w:name="_Toc142311036"/>
      <w:bookmarkStart w:id="435" w:name="_Toc151193776"/>
      <w:bookmarkStart w:id="436" w:name="_Toc265228372"/>
      <w:bookmarkStart w:id="437" w:name="_Toc151193848"/>
      <w:bookmarkStart w:id="438" w:name="_Toc150774739"/>
      <w:bookmarkStart w:id="439" w:name="_Toc305158876"/>
      <w:bookmarkStart w:id="440" w:name="_Toc150509285"/>
      <w:bookmarkStart w:id="441" w:name="_Toc520356159"/>
      <w:bookmarkStart w:id="442" w:name="_Toc305158802"/>
      <w:bookmarkStart w:id="443" w:name="_Toc151193704"/>
      <w:bookmarkStart w:id="444" w:name="_Toc151193632"/>
      <w:bookmarkStart w:id="445" w:name="_Toc226965724"/>
      <w:bookmarkStart w:id="446" w:name="_Toc226337230"/>
      <w:bookmarkStart w:id="447" w:name="_Toc264969224"/>
      <w:bookmarkStart w:id="448" w:name="_Toc226309778"/>
      <w:r>
        <w:rPr>
          <w:rFonts w:ascii="宋体" w:hAnsi="宋体"/>
          <w:sz w:val="24"/>
        </w:rPr>
        <w:t>招标文件要求签字的内容</w:t>
      </w:r>
      <w:r>
        <w:rPr>
          <w:rFonts w:hint="eastAsia" w:ascii="宋体" w:hAnsi="宋体"/>
          <w:sz w:val="24"/>
        </w:rPr>
        <w:t>（</w:t>
      </w:r>
      <w:r>
        <w:rPr>
          <w:rFonts w:ascii="宋体" w:hAnsi="宋体"/>
          <w:sz w:val="24"/>
        </w:rPr>
        <w:t>如授权委托书等</w:t>
      </w:r>
      <w:r>
        <w:rPr>
          <w:rFonts w:ascii="宋体" w:hAnsi="宋体"/>
          <w:spacing w:val="-54"/>
          <w:w w:val="95"/>
          <w:sz w:val="24"/>
        </w:rPr>
        <w:t>）</w:t>
      </w:r>
      <w:r>
        <w:rPr>
          <w:rFonts w:hint="eastAsia" w:ascii="宋体" w:hAnsi="宋体"/>
          <w:spacing w:val="-54"/>
          <w:w w:val="95"/>
          <w:sz w:val="24"/>
        </w:rPr>
        <w:t>，</w:t>
      </w:r>
      <w:r>
        <w:rPr>
          <w:rFonts w:ascii="宋体" w:hAnsi="宋体"/>
          <w:sz w:val="24"/>
        </w:rPr>
        <w:t>可以使用电子签章或使用原件</w:t>
      </w:r>
      <w:r>
        <w:rPr>
          <w:rFonts w:ascii="宋体" w:hAnsi="宋体"/>
          <w:spacing w:val="-3"/>
          <w:sz w:val="24"/>
        </w:rPr>
        <w:t>的电子件（电子件指扫描件、照片等形式电子文</w:t>
      </w:r>
      <w:r>
        <w:rPr>
          <w:rFonts w:ascii="宋体" w:hAnsi="宋体"/>
          <w:spacing w:val="-4"/>
          <w:sz w:val="24"/>
        </w:rPr>
        <w:t>件</w:t>
      </w:r>
      <w:r>
        <w:rPr>
          <w:rFonts w:ascii="宋体" w:hAnsi="宋体"/>
          <w:spacing w:val="-54"/>
          <w:w w:val="95"/>
          <w:sz w:val="24"/>
        </w:rPr>
        <w:t>）；</w:t>
      </w:r>
      <w:r>
        <w:rPr>
          <w:rFonts w:ascii="宋体" w:hAnsi="宋体"/>
          <w:spacing w:val="-4"/>
          <w:sz w:val="24"/>
        </w:rPr>
        <w:t>要求第三方出具的盖章</w:t>
      </w:r>
      <w:r>
        <w:rPr>
          <w:rFonts w:ascii="宋体" w:hAnsi="宋体"/>
          <w:spacing w:val="-1"/>
          <w:sz w:val="24"/>
        </w:rPr>
        <w:t>件原件（如联合协议、分包意向协议、制造商</w:t>
      </w:r>
      <w:r>
        <w:rPr>
          <w:rFonts w:ascii="宋体" w:hAnsi="宋体"/>
          <w:spacing w:val="-2"/>
          <w:sz w:val="24"/>
        </w:rPr>
        <w:t>授权书等</w:t>
      </w:r>
      <w:r>
        <w:rPr>
          <w:rFonts w:ascii="宋体" w:hAnsi="宋体"/>
          <w:spacing w:val="-55"/>
          <w:w w:val="97"/>
          <w:sz w:val="24"/>
        </w:rPr>
        <w:t>），</w:t>
      </w:r>
      <w:r>
        <w:rPr>
          <w:rFonts w:ascii="宋体" w:hAnsi="宋体"/>
          <w:spacing w:val="-2"/>
          <w:sz w:val="24"/>
        </w:rPr>
        <w:t>投标文件中应使用</w:t>
      </w:r>
      <w:r>
        <w:rPr>
          <w:rFonts w:ascii="宋体" w:hAnsi="宋体"/>
          <w:spacing w:val="-1"/>
          <w:sz w:val="24"/>
        </w:rPr>
        <w:t>原件的电子件。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1"/>
          <w:sz w:val="24"/>
        </w:rPr>
        <w:t>招标文件要求盖章的内容，一般通过投标文件编制工具加盖电子签章。</w:t>
      </w:r>
    </w:p>
    <w:p>
      <w:pPr>
        <w:tabs>
          <w:tab w:val="left" w:pos="900"/>
          <w:tab w:val="left" w:pos="1080"/>
        </w:tabs>
        <w:snapToGrid w:val="0"/>
        <w:spacing w:line="360" w:lineRule="auto"/>
        <w:ind w:left="357"/>
        <w:rPr>
          <w:rFonts w:ascii="宋体" w:hAnsi="宋体" w:cs="宋体"/>
          <w:color w:val="000000" w:themeColor="text1"/>
          <w14:textFill>
            <w14:solidFill>
              <w14:schemeClr w14:val="tx1"/>
            </w14:solidFill>
          </w14:textFill>
        </w:rPr>
      </w:pPr>
    </w:p>
    <w:p>
      <w:pPr>
        <w:pStyle w:val="4"/>
        <w:rPr>
          <w:rStyle w:val="461"/>
          <w:rFonts w:hint="default" w:ascii="宋体" w:hAnsi="宋体"/>
          <w:b/>
        </w:rPr>
      </w:pPr>
      <w:r>
        <w:rPr>
          <w:rStyle w:val="461"/>
          <w:rFonts w:hint="default" w:ascii="宋体" w:hAnsi="宋体"/>
          <w:b/>
        </w:rPr>
        <w:t>四   投标文件的提交</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49" w:name="_Toc164351629"/>
      <w:bookmarkStart w:id="450" w:name="_Toc150774740"/>
      <w:bookmarkStart w:id="451" w:name="_Toc164229376"/>
      <w:bookmarkStart w:id="452" w:name="_Toc127151535"/>
      <w:bookmarkStart w:id="453" w:name="_Toc164608649"/>
      <w:bookmarkStart w:id="454" w:name="_Toc151190162"/>
      <w:bookmarkStart w:id="455" w:name="_Toc149720828"/>
      <w:bookmarkStart w:id="456" w:name="_Toc305158877"/>
      <w:bookmarkStart w:id="457" w:name="_Toc127151736"/>
      <w:bookmarkStart w:id="458" w:name="_Toc151193923"/>
      <w:bookmarkStart w:id="459" w:name="_Toc150774635"/>
      <w:bookmarkStart w:id="460" w:name="_Toc195842900"/>
      <w:bookmarkStart w:id="461" w:name="_Toc150480773"/>
      <w:bookmarkStart w:id="462" w:name="_Toc164229230"/>
      <w:bookmarkStart w:id="463" w:name="_Toc127161449"/>
      <w:bookmarkStart w:id="464" w:name="_Toc226309779"/>
      <w:bookmarkStart w:id="465" w:name="_Toc151193849"/>
      <w:bookmarkStart w:id="466" w:name="_Toc226965808"/>
      <w:bookmarkStart w:id="467" w:name="_Toc150509286"/>
      <w:bookmarkStart w:id="468" w:name="_Toc520356160"/>
      <w:bookmarkStart w:id="469" w:name="_Toc151193705"/>
      <w:bookmarkStart w:id="470" w:name="_Toc164608804"/>
      <w:bookmarkStart w:id="471" w:name="_Toc151193777"/>
      <w:bookmarkStart w:id="472" w:name="_Toc264969225"/>
      <w:bookmarkStart w:id="473" w:name="_Toc151193633"/>
      <w:bookmarkStart w:id="474" w:name="_Toc265228373"/>
      <w:bookmarkStart w:id="475" w:name="_Toc226337231"/>
      <w:bookmarkStart w:id="476" w:name="_Toc226965725"/>
      <w:bookmarkStart w:id="477" w:name="_Toc142311037"/>
      <w:bookmarkStart w:id="478" w:name="_Toc305158803"/>
      <w:r>
        <w:rPr>
          <w:rFonts w:hint="eastAsia" w:ascii="宋体" w:hAnsi="宋体" w:cs="宋体"/>
          <w:color w:val="000000" w:themeColor="text1"/>
          <w:sz w:val="24"/>
          <w14:textFill>
            <w14:solidFill>
              <w14:schemeClr w14:val="tx1"/>
            </w14:solidFill>
          </w14:textFill>
        </w:rPr>
        <w:t>投标文件的</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Pr>
          <w:rFonts w:hint="eastAsia" w:ascii="宋体" w:hAnsi="宋体" w:cs="宋体"/>
          <w:color w:val="000000" w:themeColor="text1"/>
          <w:sz w:val="24"/>
          <w14:textFill>
            <w14:solidFill>
              <w14:schemeClr w14:val="tx1"/>
            </w14:solidFill>
          </w14:textFill>
        </w:rPr>
        <w:t>提交</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2"/>
          <w:sz w:val="24"/>
        </w:rPr>
        <w:t>本项目使用北京市政府采购电子交易平台。投标人根据招标文件及电子交易</w:t>
      </w:r>
      <w:r>
        <w:rPr>
          <w:rFonts w:ascii="宋体" w:hAnsi="宋体"/>
          <w:sz w:val="24"/>
        </w:rPr>
        <w:t>平台供应商操作手册要求编制、生成并提交电子</w:t>
      </w:r>
      <w:r>
        <w:rPr>
          <w:rFonts w:ascii="宋体" w:hAnsi="宋体"/>
          <w:spacing w:val="-1"/>
          <w:sz w:val="24"/>
        </w:rPr>
        <w:t>投标文件。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3"/>
          <w:sz w:val="24"/>
        </w:rPr>
        <w:t>采购人及采购代理机构拒绝接受通过电子交易平台以外任何形式提交的</w:t>
      </w:r>
      <w:r>
        <w:rPr>
          <w:rFonts w:ascii="宋体" w:hAnsi="宋体"/>
          <w:spacing w:val="2"/>
          <w:sz w:val="24"/>
        </w:rPr>
        <w:t>投标</w:t>
      </w:r>
      <w:r>
        <w:rPr>
          <w:rFonts w:ascii="宋体" w:hAnsi="宋体"/>
          <w:spacing w:val="-1"/>
          <w:sz w:val="24"/>
        </w:rPr>
        <w:t>文件，投标保证金除外。</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79" w:name="_Toc164608650"/>
      <w:bookmarkStart w:id="480" w:name="_Toc127151737"/>
      <w:bookmarkStart w:id="481" w:name="_Toc150774636"/>
      <w:bookmarkStart w:id="482" w:name="_Toc150774741"/>
      <w:bookmarkStart w:id="483" w:name="_Toc151193634"/>
      <w:bookmarkStart w:id="484" w:name="_Toc151193778"/>
      <w:bookmarkStart w:id="485" w:name="_Toc520356161"/>
      <w:bookmarkStart w:id="486" w:name="_Toc151190163"/>
      <w:bookmarkStart w:id="487" w:name="_Toc265228374"/>
      <w:bookmarkStart w:id="488" w:name="_Toc164608805"/>
      <w:bookmarkStart w:id="489" w:name="_Toc305158804"/>
      <w:bookmarkStart w:id="490" w:name="_Toc305158878"/>
      <w:bookmarkStart w:id="491" w:name="_Toc226309780"/>
      <w:bookmarkStart w:id="492" w:name="_Toc226965726"/>
      <w:bookmarkStart w:id="493" w:name="_Toc151193924"/>
      <w:bookmarkStart w:id="494" w:name="_Toc164229231"/>
      <w:bookmarkStart w:id="495" w:name="_Toc151193706"/>
      <w:bookmarkStart w:id="496" w:name="_Toc150509287"/>
      <w:bookmarkStart w:id="497" w:name="_Toc142311038"/>
      <w:bookmarkStart w:id="498" w:name="_Toc226965809"/>
      <w:bookmarkStart w:id="499" w:name="_Toc164351630"/>
      <w:bookmarkStart w:id="500" w:name="_Toc164229377"/>
      <w:bookmarkStart w:id="501" w:name="_Toc127161450"/>
      <w:bookmarkStart w:id="502" w:name="_Toc127151536"/>
      <w:bookmarkStart w:id="503" w:name="_Toc195842901"/>
      <w:bookmarkStart w:id="504" w:name="_Toc226337232"/>
      <w:bookmarkStart w:id="505" w:name="_Toc149720829"/>
      <w:bookmarkStart w:id="506" w:name="_Toc151193850"/>
      <w:bookmarkStart w:id="507" w:name="_Toc150480774"/>
      <w:bookmarkStart w:id="508" w:name="_Toc264969226"/>
      <w:r>
        <w:rPr>
          <w:rFonts w:hint="eastAsia" w:ascii="宋体" w:hAnsi="宋体" w:cs="宋体"/>
          <w:color w:val="000000" w:themeColor="text1"/>
          <w:sz w:val="24"/>
          <w14:textFill>
            <w14:solidFill>
              <w14:schemeClr w14:val="tx1"/>
            </w14:solidFill>
          </w14:textFill>
        </w:rPr>
        <w:t>投标截止</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Pr>
          <w:rFonts w:hint="eastAsia" w:ascii="宋体" w:hAnsi="宋体" w:cs="宋体"/>
          <w:color w:val="000000" w:themeColor="text1"/>
          <w:sz w:val="24"/>
          <w14:textFill>
            <w14:solidFill>
              <w14:schemeClr w14:val="tx1"/>
            </w14:solidFill>
          </w14:textFill>
        </w:rPr>
        <w:t>时间</w:t>
      </w:r>
    </w:p>
    <w:p>
      <w:pPr>
        <w:numPr>
          <w:ilvl w:val="1"/>
          <w:numId w:val="9"/>
        </w:numPr>
        <w:tabs>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投标人应在招标文件要求提交投标文件截止时间前，将电子投标文件</w:t>
      </w:r>
    </w:p>
    <w:p>
      <w:pPr>
        <w:tabs>
          <w:tab w:val="left" w:pos="1080"/>
          <w:tab w:val="left" w:pos="1589"/>
          <w:tab w:val="left" w:pos="2014"/>
        </w:tabs>
        <w:snapToGrid w:val="0"/>
        <w:spacing w:line="360" w:lineRule="auto"/>
        <w:ind w:left="10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提交至电子交易平台。</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09" w:name="_Toc150509288"/>
      <w:bookmarkStart w:id="510" w:name="_Toc142311039"/>
      <w:bookmarkStart w:id="511" w:name="_Toc164229232"/>
      <w:bookmarkStart w:id="512" w:name="_Toc150480775"/>
      <w:bookmarkStart w:id="513" w:name="_Toc151193635"/>
      <w:bookmarkStart w:id="514" w:name="_Toc151190164"/>
      <w:bookmarkStart w:id="515" w:name="_Toc226309781"/>
      <w:bookmarkStart w:id="516" w:name="_Toc264969227"/>
      <w:bookmarkStart w:id="517" w:name="_Toc151193707"/>
      <w:bookmarkStart w:id="518" w:name="_Toc164608806"/>
      <w:bookmarkStart w:id="519" w:name="_Toc151193925"/>
      <w:bookmarkStart w:id="520" w:name="_Toc305158805"/>
      <w:bookmarkStart w:id="521" w:name="_Toc151193779"/>
      <w:bookmarkStart w:id="522" w:name="_Toc305158879"/>
      <w:bookmarkStart w:id="523" w:name="_Toc150774637"/>
      <w:bookmarkStart w:id="524" w:name="_Toc265228375"/>
      <w:bookmarkStart w:id="525" w:name="_Toc149720830"/>
      <w:bookmarkStart w:id="526" w:name="_Toc164229378"/>
      <w:bookmarkStart w:id="527" w:name="_Toc164608651"/>
      <w:bookmarkStart w:id="528" w:name="_Toc226337233"/>
      <w:bookmarkStart w:id="529" w:name="_Toc127161451"/>
      <w:bookmarkStart w:id="530" w:name="_Toc127151537"/>
      <w:bookmarkStart w:id="531" w:name="_Toc127151738"/>
      <w:bookmarkStart w:id="532" w:name="_Toc164351631"/>
      <w:bookmarkStart w:id="533" w:name="_Toc150774742"/>
      <w:bookmarkStart w:id="534" w:name="_Toc151193851"/>
      <w:bookmarkStart w:id="535" w:name="_Toc520356162"/>
      <w:bookmarkStart w:id="536" w:name="_Toc226965810"/>
      <w:bookmarkStart w:id="537" w:name="_Toc195842902"/>
      <w:bookmarkStart w:id="538" w:name="_Toc226965727"/>
      <w:r>
        <w:rPr>
          <w:rFonts w:hint="eastAsia" w:ascii="宋体" w:hAnsi="宋体" w:cs="宋体"/>
          <w:color w:val="000000" w:themeColor="text1"/>
          <w:sz w:val="24"/>
          <w14:textFill>
            <w14:solidFill>
              <w14:schemeClr w14:val="tx1"/>
            </w14:solidFill>
          </w14:textFill>
        </w:rPr>
        <w:t>投标文件的修改与撤回</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投标截止时间前，投标人可以通过电子交易平台对</w:t>
      </w:r>
      <w:r>
        <w:rPr>
          <w:rFonts w:ascii="宋体" w:hAnsi="宋体"/>
          <w:spacing w:val="1"/>
          <w:sz w:val="24"/>
        </w:rPr>
        <w:t>所提交的投标文件进行补</w:t>
      </w:r>
      <w:r>
        <w:rPr>
          <w:rFonts w:ascii="宋体" w:hAnsi="宋体"/>
          <w:spacing w:val="-1"/>
          <w:sz w:val="24"/>
        </w:rPr>
        <w:t>充、修改或者撤回。投标保证金的补充、修改或者撤回无需通过电子交易平</w:t>
      </w:r>
      <w:r>
        <w:rPr>
          <w:rFonts w:ascii="宋体" w:hAnsi="宋体"/>
          <w:sz w:val="24"/>
        </w:rPr>
        <w:t>台，但应就其补充、修改或者撤回通知采购人或</w:t>
      </w:r>
      <w:r>
        <w:rPr>
          <w:rFonts w:ascii="宋体" w:hAnsi="宋体"/>
          <w:spacing w:val="-1"/>
          <w:sz w:val="24"/>
        </w:rPr>
        <w:t>采购代理机构。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投标人对投标文件的补充、修改的内容应当按照招标文件要求签署、盖章，作为投标文件的组成部分。</w:t>
      </w:r>
    </w:p>
    <w:p>
      <w:pPr>
        <w:spacing w:line="360" w:lineRule="auto"/>
        <w:rPr>
          <w:rFonts w:ascii="宋体" w:hAnsi="宋体" w:cs="宋体"/>
          <w:color w:val="000000" w:themeColor="text1"/>
          <w:sz w:val="24"/>
          <w14:textFill>
            <w14:solidFill>
              <w14:schemeClr w14:val="tx1"/>
            </w14:solidFill>
          </w14:textFill>
        </w:rPr>
      </w:pPr>
    </w:p>
    <w:p>
      <w:pPr>
        <w:pStyle w:val="4"/>
        <w:rPr>
          <w:rStyle w:val="461"/>
          <w:rFonts w:hint="default" w:ascii="宋体" w:hAnsi="宋体"/>
          <w:b/>
        </w:rPr>
      </w:pPr>
      <w:bookmarkStart w:id="539" w:name="_Toc226309782"/>
      <w:bookmarkStart w:id="540" w:name="_Toc151193926"/>
      <w:bookmarkStart w:id="541" w:name="_Toc142311040"/>
      <w:bookmarkStart w:id="542" w:name="_Toc151190165"/>
      <w:bookmarkStart w:id="543" w:name="_Toc195842903"/>
      <w:bookmarkStart w:id="544" w:name="_Toc520356163"/>
      <w:bookmarkStart w:id="545" w:name="_Toc151193708"/>
      <w:bookmarkStart w:id="546" w:name="_Toc226337234"/>
      <w:bookmarkStart w:id="547" w:name="_Toc151193852"/>
      <w:bookmarkStart w:id="548" w:name="_Toc150509289"/>
      <w:bookmarkStart w:id="549" w:name="_Toc226965811"/>
      <w:bookmarkStart w:id="550" w:name="_Toc127151538"/>
      <w:bookmarkStart w:id="551" w:name="_Toc265228376"/>
      <w:bookmarkStart w:id="552" w:name="_Toc150774743"/>
      <w:bookmarkStart w:id="553" w:name="_Toc264969228"/>
      <w:bookmarkStart w:id="554" w:name="_Toc305158880"/>
      <w:bookmarkStart w:id="555" w:name="_Toc226965728"/>
      <w:bookmarkStart w:id="556" w:name="_Toc151193780"/>
      <w:bookmarkStart w:id="557" w:name="_Toc150480776"/>
      <w:bookmarkStart w:id="558" w:name="_Toc305158806"/>
      <w:bookmarkStart w:id="559" w:name="_Toc150774638"/>
      <w:bookmarkStart w:id="560" w:name="_Toc151193636"/>
      <w:r>
        <w:rPr>
          <w:rStyle w:val="461"/>
          <w:rFonts w:hint="default" w:ascii="宋体" w:hAnsi="宋体"/>
          <w:b/>
        </w:rPr>
        <w:t>五   开标、资格审查及评标</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61" w:name="_Toc164229234"/>
      <w:bookmarkStart w:id="562" w:name="_Toc226965729"/>
      <w:bookmarkStart w:id="563" w:name="_Toc264969229"/>
      <w:bookmarkStart w:id="564" w:name="_Toc305158807"/>
      <w:bookmarkStart w:id="565" w:name="_Toc195842904"/>
      <w:bookmarkStart w:id="566" w:name="_Toc127161453"/>
      <w:bookmarkStart w:id="567" w:name="_Toc151193781"/>
      <w:bookmarkStart w:id="568" w:name="_Toc151193853"/>
      <w:bookmarkStart w:id="569" w:name="_Toc150774744"/>
      <w:bookmarkStart w:id="570" w:name="_Toc226309783"/>
      <w:bookmarkStart w:id="571" w:name="_Toc151193709"/>
      <w:bookmarkStart w:id="572" w:name="_Toc520356164"/>
      <w:bookmarkStart w:id="573" w:name="_Toc127151539"/>
      <w:bookmarkStart w:id="574" w:name="_Toc164608808"/>
      <w:bookmarkStart w:id="575" w:name="_Toc127151740"/>
      <w:bookmarkStart w:id="576" w:name="_Toc164229380"/>
      <w:bookmarkStart w:id="577" w:name="_Toc151193927"/>
      <w:bookmarkStart w:id="578" w:name="_Toc164351633"/>
      <w:bookmarkStart w:id="579" w:name="_Toc149720832"/>
      <w:bookmarkStart w:id="580" w:name="_Toc150480777"/>
      <w:bookmarkStart w:id="581" w:name="_Toc265228377"/>
      <w:bookmarkStart w:id="582" w:name="_Toc305158881"/>
      <w:bookmarkStart w:id="583" w:name="_Toc142311041"/>
      <w:bookmarkStart w:id="584" w:name="_Toc151193637"/>
      <w:bookmarkStart w:id="585" w:name="_Toc151190166"/>
      <w:bookmarkStart w:id="586" w:name="_Toc226965812"/>
      <w:bookmarkStart w:id="587" w:name="_Toc164608653"/>
      <w:bookmarkStart w:id="588" w:name="_Toc150509290"/>
      <w:bookmarkStart w:id="589" w:name="_Toc150774639"/>
      <w:bookmarkStart w:id="590" w:name="_Toc226337235"/>
      <w:r>
        <w:rPr>
          <w:rFonts w:hint="eastAsia" w:ascii="宋体" w:hAnsi="宋体" w:cs="宋体"/>
          <w:color w:val="000000" w:themeColor="text1"/>
          <w:sz w:val="24"/>
          <w14:textFill>
            <w14:solidFill>
              <w14:schemeClr w14:val="tx1"/>
            </w14:solidFill>
          </w14:textFill>
        </w:rPr>
        <w:t>开标</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采购人或采购代理机构将按招标文件的规定，在投标截止时间的同一时间和招标文件预先确定的地点组织开标。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591" w:name="_Toc520356165"/>
      <w:r>
        <w:rPr>
          <w:rFonts w:ascii="宋体" w:hAnsi="宋体"/>
          <w:spacing w:val="2"/>
          <w:sz w:val="24"/>
        </w:rPr>
        <w:t>本项目开标使用北京市政府采购电子交易平台。投标人应在《投标人须知资</w:t>
      </w:r>
      <w:r>
        <w:rPr>
          <w:rFonts w:ascii="宋体" w:hAnsi="宋体"/>
          <w:spacing w:val="1"/>
          <w:sz w:val="24"/>
        </w:rPr>
        <w:t>料表》规定的时间内对投标文件进行解密，因非系统原因导致的解密失败，</w:t>
      </w:r>
      <w:r>
        <w:rPr>
          <w:rFonts w:ascii="宋体" w:hAnsi="宋体"/>
          <w:spacing w:val="-1"/>
          <w:sz w:val="24"/>
        </w:rPr>
        <w:t>视为</w:t>
      </w:r>
      <w:r>
        <w:rPr>
          <w:rFonts w:ascii="宋体" w:hAnsi="宋体"/>
          <w:b/>
          <w:bCs/>
          <w:spacing w:val="-1"/>
          <w:sz w:val="24"/>
        </w:rPr>
        <w:t>投标无效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开标过程将使用电子交易平台宣布投标人名称、投标价格和招标文件规定的</w:t>
      </w:r>
      <w:r>
        <w:rPr>
          <w:rFonts w:ascii="宋体" w:hAnsi="宋体"/>
          <w:spacing w:val="1"/>
          <w:sz w:val="24"/>
        </w:rPr>
        <w:t>需要宣布的其他内容并进行记录，并由参加开标的各投标人确认。投标人未</w:t>
      </w:r>
      <w:r>
        <w:rPr>
          <w:rFonts w:ascii="宋体" w:hAnsi="宋体"/>
          <w:sz w:val="24"/>
        </w:rPr>
        <w:t>在规定时间内提出疑义或确认一览表的，视同认可</w:t>
      </w:r>
      <w:r>
        <w:rPr>
          <w:rFonts w:ascii="宋体" w:hAnsi="宋体"/>
          <w:spacing w:val="-1"/>
          <w:sz w:val="24"/>
        </w:rPr>
        <w:t>开标结果。</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投标人对开标过程和开标记录有疑义，</w:t>
      </w:r>
      <w:r>
        <w:rPr>
          <w:rFonts w:ascii="宋体" w:hAnsi="宋体"/>
          <w:spacing w:val="-50"/>
          <w:sz w:val="24"/>
        </w:rPr>
        <w:t xml:space="preserve"> </w:t>
      </w:r>
      <w:r>
        <w:rPr>
          <w:rFonts w:ascii="宋体" w:hAnsi="宋体"/>
          <w:spacing w:val="1"/>
          <w:sz w:val="24"/>
        </w:rPr>
        <w:t>以及认为采购人、采购代理机构相关</w:t>
      </w:r>
      <w:r>
        <w:rPr>
          <w:rFonts w:ascii="宋体" w:hAnsi="宋体"/>
          <w:sz w:val="24"/>
        </w:rPr>
        <w:t>工作人员有需要回避的情形的，应当场提出询问或者回避申请。采购人、采购代理机构对投标人提出的询问或者回避申</w:t>
      </w:r>
      <w:r>
        <w:rPr>
          <w:rFonts w:ascii="宋体" w:hAnsi="宋体"/>
          <w:spacing w:val="-1"/>
          <w:sz w:val="24"/>
        </w:rPr>
        <w:t>请将及时处理。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投标人不足3家的，不予开标。</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见第三章《资格审查》。</w:t>
      </w:r>
    </w:p>
    <w:bookmarkEnd w:id="591"/>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92" w:name="_Toc264969230"/>
      <w:bookmarkStart w:id="593" w:name="_Toc164229381"/>
      <w:bookmarkStart w:id="594" w:name="_Toc305158808"/>
      <w:bookmarkStart w:id="595" w:name="_Toc151193710"/>
      <w:bookmarkStart w:id="596" w:name="_Toc226965730"/>
      <w:bookmarkStart w:id="597" w:name="_Toc164351634"/>
      <w:bookmarkStart w:id="598" w:name="_Toc151193782"/>
      <w:bookmarkStart w:id="599" w:name="_Toc164608809"/>
      <w:bookmarkStart w:id="600" w:name="_Toc305158882"/>
      <w:bookmarkStart w:id="601" w:name="_Toc142311042"/>
      <w:bookmarkStart w:id="602" w:name="_Toc150774745"/>
      <w:bookmarkStart w:id="603" w:name="_Toc195842905"/>
      <w:bookmarkStart w:id="604" w:name="_Toc226337236"/>
      <w:bookmarkStart w:id="605" w:name="_Toc127151540"/>
      <w:bookmarkStart w:id="606" w:name="_Toc164608654"/>
      <w:bookmarkStart w:id="607" w:name="_Toc150480778"/>
      <w:bookmarkStart w:id="608" w:name="_Toc127161454"/>
      <w:bookmarkStart w:id="609" w:name="_Toc265228378"/>
      <w:bookmarkStart w:id="610" w:name="_Toc151193928"/>
      <w:bookmarkStart w:id="611" w:name="_Toc151190167"/>
      <w:bookmarkStart w:id="612" w:name="_Toc151193638"/>
      <w:bookmarkStart w:id="613" w:name="_Toc226965813"/>
      <w:bookmarkStart w:id="614" w:name="_Toc226309784"/>
      <w:bookmarkStart w:id="615" w:name="_Toc149720833"/>
      <w:bookmarkStart w:id="616" w:name="_Toc150774640"/>
      <w:bookmarkStart w:id="617" w:name="_Toc150509291"/>
      <w:bookmarkStart w:id="618" w:name="_Toc127151741"/>
      <w:bookmarkStart w:id="619" w:name="_Toc164229235"/>
      <w:bookmarkStart w:id="620" w:name="_Toc151193854"/>
      <w:r>
        <w:rPr>
          <w:rFonts w:hint="eastAsia" w:ascii="宋体" w:hAnsi="宋体" w:cs="宋体"/>
          <w:color w:val="000000" w:themeColor="text1"/>
          <w:sz w:val="24"/>
          <w14:textFill>
            <w14:solidFill>
              <w14:schemeClr w14:val="tx1"/>
            </w14:solidFill>
          </w14:textFill>
        </w:rPr>
        <w:t>评标委员会</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评标委员会根据政府采购有关规定和本次采购项目的特点进行组建，并负责具体评标事务，独立履行职责。</w:t>
      </w:r>
      <w:bookmarkStart w:id="621" w:name="_Toc52035616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21"/>
      <w:bookmarkStart w:id="622" w:name="_Toc52035616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见第四章《评标程序、评标方法和评标标准》。</w:t>
      </w:r>
    </w:p>
    <w:p>
      <w:pPr>
        <w:tabs>
          <w:tab w:val="left" w:pos="360"/>
          <w:tab w:val="left" w:pos="1080"/>
        </w:tabs>
        <w:snapToGrid w:val="0"/>
        <w:spacing w:line="360" w:lineRule="auto"/>
        <w:ind w:left="1080"/>
        <w:rPr>
          <w:rFonts w:ascii="宋体" w:hAnsi="宋体" w:cs="宋体"/>
          <w:color w:val="000000" w:themeColor="text1"/>
          <w:sz w:val="24"/>
          <w14:textFill>
            <w14:solidFill>
              <w14:schemeClr w14:val="tx1"/>
            </w14:solidFill>
          </w14:textFill>
        </w:rPr>
      </w:pPr>
    </w:p>
    <w:p>
      <w:pPr>
        <w:pStyle w:val="4"/>
        <w:rPr>
          <w:rStyle w:val="461"/>
          <w:rFonts w:hint="default" w:ascii="宋体" w:hAnsi="宋体"/>
          <w:b/>
        </w:rPr>
      </w:pPr>
      <w:bookmarkStart w:id="623" w:name="_Toc226337241"/>
      <w:bookmarkStart w:id="624" w:name="_Toc151193859"/>
      <w:bookmarkStart w:id="625" w:name="_Toc150480783"/>
      <w:bookmarkStart w:id="626" w:name="_Toc305158887"/>
      <w:bookmarkStart w:id="627" w:name="_Toc150774750"/>
      <w:bookmarkStart w:id="628" w:name="_Toc127151545"/>
      <w:bookmarkStart w:id="629" w:name="_Toc226309789"/>
      <w:bookmarkStart w:id="630" w:name="_Toc226965735"/>
      <w:bookmarkStart w:id="631" w:name="_Toc151193643"/>
      <w:bookmarkStart w:id="632" w:name="_Toc151193715"/>
      <w:bookmarkStart w:id="633" w:name="_Toc151193787"/>
      <w:bookmarkStart w:id="634" w:name="_Toc195842910"/>
      <w:bookmarkStart w:id="635" w:name="_Toc264969235"/>
      <w:bookmarkStart w:id="636" w:name="_Toc151193933"/>
      <w:bookmarkStart w:id="637" w:name="_Toc265228383"/>
      <w:bookmarkStart w:id="638" w:name="_Toc226965818"/>
      <w:bookmarkStart w:id="639" w:name="_Toc151190172"/>
      <w:bookmarkStart w:id="640" w:name="_Toc142311047"/>
      <w:bookmarkStart w:id="641" w:name="_Toc150774645"/>
      <w:bookmarkStart w:id="642" w:name="_Toc305158813"/>
      <w:bookmarkStart w:id="643" w:name="_Toc150509296"/>
      <w:r>
        <w:rPr>
          <w:rStyle w:val="461"/>
          <w:rFonts w:hint="default" w:ascii="宋体" w:hAnsi="宋体"/>
          <w:b/>
        </w:rPr>
        <w:t xml:space="preserve">六   </w:t>
      </w:r>
      <w:bookmarkEnd w:id="622"/>
      <w:r>
        <w:rPr>
          <w:rStyle w:val="461"/>
          <w:rFonts w:hint="default" w:ascii="宋体" w:hAnsi="宋体"/>
          <w:b/>
        </w:rPr>
        <w:t>确定中标</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Start w:id="644" w:name="_Toc151193789"/>
      <w:bookmarkStart w:id="645" w:name="_Toc164229242"/>
      <w:bookmarkStart w:id="646" w:name="_Toc164229388"/>
      <w:bookmarkStart w:id="647" w:name="_Toc305158815"/>
      <w:bookmarkStart w:id="648" w:name="_Toc265228385"/>
      <w:bookmarkStart w:id="649" w:name="_Toc127151748"/>
      <w:bookmarkStart w:id="650" w:name="_Toc151193861"/>
      <w:bookmarkStart w:id="651" w:name="_Toc150774647"/>
      <w:bookmarkStart w:id="652" w:name="_Toc151190174"/>
      <w:bookmarkStart w:id="653" w:name="_Toc150509298"/>
      <w:bookmarkStart w:id="654" w:name="_Toc305158889"/>
      <w:bookmarkStart w:id="655" w:name="_Toc226965820"/>
      <w:bookmarkStart w:id="656" w:name="_Toc151193717"/>
      <w:bookmarkStart w:id="657" w:name="_Toc150480785"/>
      <w:bookmarkStart w:id="658" w:name="_Toc149720840"/>
      <w:bookmarkStart w:id="659" w:name="_Toc164608661"/>
      <w:bookmarkStart w:id="660" w:name="_Toc226337243"/>
      <w:bookmarkStart w:id="661" w:name="_Toc226309791"/>
      <w:bookmarkStart w:id="662" w:name="_Toc164351641"/>
      <w:bookmarkStart w:id="663" w:name="_Toc226965737"/>
      <w:bookmarkStart w:id="664" w:name="_Toc127151547"/>
      <w:bookmarkStart w:id="665" w:name="_Toc151193935"/>
      <w:bookmarkStart w:id="666" w:name="_Toc264969237"/>
      <w:bookmarkStart w:id="667" w:name="_Toc164608816"/>
      <w:bookmarkStart w:id="668" w:name="_Toc150774752"/>
      <w:bookmarkStart w:id="669" w:name="_Toc127161461"/>
      <w:bookmarkStart w:id="670" w:name="_Toc195842912"/>
      <w:bookmarkStart w:id="671" w:name="_Toc151193645"/>
      <w:bookmarkStart w:id="672" w:name="_Toc14231104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确定中标人</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673" w:name="_Toc305158817"/>
      <w:bookmarkStart w:id="674" w:name="_Toc305158891"/>
      <w:bookmarkStart w:id="675" w:name="_Toc151193647"/>
      <w:bookmarkStart w:id="676" w:name="_Toc150774649"/>
      <w:bookmarkStart w:id="677" w:name="_Toc151193791"/>
      <w:bookmarkStart w:id="678" w:name="_Toc226337245"/>
      <w:bookmarkStart w:id="679" w:name="_Toc226965739"/>
      <w:bookmarkStart w:id="680" w:name="_Toc164229244"/>
      <w:bookmarkStart w:id="681" w:name="_Toc164351643"/>
      <w:bookmarkStart w:id="682" w:name="_Toc151193719"/>
      <w:bookmarkStart w:id="683" w:name="_Toc150774754"/>
      <w:bookmarkStart w:id="684" w:name="_Toc164608818"/>
      <w:bookmarkStart w:id="685" w:name="_Toc226309793"/>
      <w:bookmarkStart w:id="686" w:name="_Toc151193937"/>
      <w:bookmarkStart w:id="687" w:name="_Toc164229390"/>
      <w:bookmarkStart w:id="688" w:name="_Toc150509300"/>
      <w:bookmarkStart w:id="689" w:name="_Toc164608663"/>
      <w:bookmarkStart w:id="690" w:name="_Toc265228387"/>
      <w:bookmarkStart w:id="691" w:name="_Toc264969239"/>
      <w:bookmarkStart w:id="692" w:name="_Toc195842914"/>
      <w:bookmarkStart w:id="693" w:name="_Toc151190176"/>
      <w:bookmarkStart w:id="694" w:name="_Toc127161463"/>
      <w:bookmarkStart w:id="695" w:name="_Toc127151750"/>
      <w:bookmarkStart w:id="696" w:name="_Toc142311051"/>
      <w:bookmarkStart w:id="697" w:name="_Toc151193863"/>
      <w:bookmarkStart w:id="698" w:name="_Toc226965822"/>
      <w:bookmarkStart w:id="699" w:name="_Toc149720842"/>
      <w:bookmarkStart w:id="700" w:name="_Toc150480787"/>
      <w:bookmarkStart w:id="701" w:name="_Toc127151549"/>
      <w:bookmarkStart w:id="702" w:name="_Toc520356176"/>
      <w:bookmarkStart w:id="703" w:name="_Ref467307090"/>
      <w:bookmarkStart w:id="704" w:name="_Ref467306425"/>
      <w:r>
        <w:rPr>
          <w:rFonts w:hint="eastAsia" w:ascii="宋体" w:hAnsi="宋体" w:cs="宋体"/>
          <w:color w:val="000000" w:themeColor="text1"/>
          <w:sz w:val="24"/>
          <w14:textFill>
            <w14:solidFill>
              <w14:schemeClr w14:val="tx1"/>
            </w14:solidFill>
          </w14:textFill>
        </w:rPr>
        <w:t>中标公告与中标通知书</w:t>
      </w:r>
      <w:bookmarkEnd w:id="673"/>
      <w:bookmarkEnd w:id="674"/>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采购人或采购代理机构自中标人确定之日起2个工作日内，</w:t>
      </w:r>
      <w:r>
        <w:rPr>
          <w:rFonts w:hint="eastAsia" w:ascii="宋体" w:hAnsi="宋体" w:cs="宋体"/>
          <w:color w:val="000000" w:themeColor="text1"/>
          <w:kern w:val="0"/>
          <w:sz w:val="24"/>
          <w14:textFill>
            <w14:solidFill>
              <w14:schemeClr w14:val="tx1"/>
            </w14:solidFill>
          </w14:textFill>
        </w:rPr>
        <w:t>在北京市政府采购网公告中标结果</w:t>
      </w:r>
      <w:r>
        <w:rPr>
          <w:rFonts w:hint="eastAsia" w:ascii="宋体" w:hAnsi="宋体" w:cs="宋体"/>
          <w:color w:val="000000" w:themeColor="text1"/>
          <w:sz w:val="24"/>
          <w14:textFill>
            <w14:solidFill>
              <w14:schemeClr w14:val="tx1"/>
            </w14:solidFill>
          </w14:textFill>
        </w:rPr>
        <w:t>，同时向中标人发出中标通知书，中标公告期限为1个工作日。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中标通知书对采购人和中标供应商均具有法律效力。中标通知书发出后，采购人改变中标结果的，或者中标供应商放弃中标项目的，应当依法承担法律责任。</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在招标采购中，出现下列情形之一的，应予废标：</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符合专业条件的供应商或者对招标文件作实质响应的供应商不足三家的；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出现影响采购公正的违法、违规行为的；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投标人的报价均超过了采购预算，采购人不能支付的；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因重大变故，采购任务取消的。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废标后，采购人将废标理由书面通知所有投标人。</w:t>
      </w:r>
    </w:p>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705" w:name="_Toc150480788"/>
      <w:bookmarkStart w:id="706" w:name="_Toc127161464"/>
      <w:bookmarkStart w:id="707" w:name="_Toc164608819"/>
      <w:bookmarkStart w:id="708" w:name="_Ref467306377"/>
      <w:bookmarkStart w:id="709" w:name="_Toc164229391"/>
      <w:bookmarkStart w:id="710" w:name="_Toc151193792"/>
      <w:bookmarkStart w:id="711" w:name="_Toc127151550"/>
      <w:bookmarkStart w:id="712" w:name="_Toc226337246"/>
      <w:bookmarkStart w:id="713" w:name="_Toc149720843"/>
      <w:bookmarkStart w:id="714" w:name="_Toc195842915"/>
      <w:bookmarkStart w:id="715" w:name="_Toc127151751"/>
      <w:bookmarkStart w:id="716" w:name="_Ref467307062"/>
      <w:bookmarkStart w:id="717" w:name="_Toc305158892"/>
      <w:bookmarkStart w:id="718" w:name="_Toc151190177"/>
      <w:bookmarkStart w:id="719" w:name="_Toc164351644"/>
      <w:bookmarkStart w:id="720" w:name="_Ref467306978"/>
      <w:bookmarkStart w:id="721" w:name="_Toc164608664"/>
      <w:bookmarkStart w:id="722" w:name="_Toc150774755"/>
      <w:bookmarkStart w:id="723" w:name="_Toc265228388"/>
      <w:bookmarkStart w:id="724" w:name="_Toc151193720"/>
      <w:bookmarkStart w:id="725" w:name="_Toc226309794"/>
      <w:bookmarkStart w:id="726" w:name="_Toc226965740"/>
      <w:bookmarkStart w:id="727" w:name="_Toc150774650"/>
      <w:bookmarkStart w:id="728" w:name="_Toc150509301"/>
      <w:bookmarkStart w:id="729" w:name="_Toc164229245"/>
      <w:bookmarkStart w:id="730" w:name="_Toc151193648"/>
      <w:bookmarkStart w:id="731" w:name="_Toc151193938"/>
      <w:bookmarkStart w:id="732" w:name="_Toc226965823"/>
      <w:bookmarkStart w:id="733" w:name="_Toc264969240"/>
      <w:bookmarkStart w:id="734" w:name="_Toc151193864"/>
      <w:bookmarkStart w:id="735" w:name="_Toc305158818"/>
      <w:bookmarkStart w:id="736" w:name="_Toc520356175"/>
      <w:bookmarkStart w:id="737" w:name="_Toc142311052"/>
      <w:bookmarkStart w:id="738" w:name="_Ref467307204"/>
      <w:r>
        <w:rPr>
          <w:rFonts w:hint="eastAsia" w:ascii="宋体" w:hAnsi="宋体" w:cs="宋体"/>
          <w:color w:val="000000" w:themeColor="text1"/>
          <w:sz w:val="24"/>
          <w14:textFill>
            <w14:solidFill>
              <w14:schemeClr w14:val="tx1"/>
            </w14:solidFill>
          </w14:textFill>
        </w:rPr>
        <w:t>签订合同</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中标人、采购人应当自中标通知书发出之日起30日内，按照招标文件和中标人投标文件的规定签订书面合同。所签订的合同不得对招标文件确定的事项和中标人投标文件作实质性修改。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中标人拒绝与采购人签订合同的，采购人可以按照评标报告推荐的中标候选人名单排序，确定下一候选人为中标人，也可以重新开展政府采购活动。</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联合体中标的，联合体各方应当共同与采购人签订合同，就采购合同约定的 事项向采购人承担连带责任。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政府采购合同不能转包。</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。中标人就采购项目和分包项目向采购人负责，分包供应商就分包项目承担责任。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“政采贷”融资指引：详见《投标人须知资料表》。</w:t>
      </w:r>
    </w:p>
    <w:bookmarkEnd w:id="702"/>
    <w:bookmarkEnd w:id="703"/>
    <w:bookmarkEnd w:id="704"/>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询问与质疑</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投标人对政府采购活动事项有疑问的，</w:t>
      </w:r>
      <w:r>
        <w:rPr>
          <w:rFonts w:hint="eastAsia" w:ascii="宋体" w:hAnsi="宋体" w:cs="宋体"/>
          <w:color w:val="000000" w:themeColor="text1"/>
          <w:spacing w:val="3"/>
          <w:sz w:val="24"/>
          <w14:textFill>
            <w14:solidFill>
              <w14:schemeClr w14:val="tx1"/>
            </w14:solidFill>
          </w14:textFill>
        </w:rPr>
        <w:t>可依法向采购人或采购代理机构提出询问</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3"/>
          <w:sz w:val="24"/>
          <w14:textFill>
            <w14:solidFill>
              <w14:schemeClr w14:val="tx1"/>
            </w14:solidFill>
          </w14:textFill>
        </w:rPr>
        <w:t>提出形式见《投标人须知资料表》。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采购人或采购代理机构对供应商依法提出的询问，在3个工作日内作出答复，但答复的内容不得涉及商业秘密。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质疑函须使用财政部制定的范本文件。投标人为自然人的，质疑函应当由本人签字；投标人为法人或者其他组织的，质疑函应当由法定代表人、主要负责人，或者其授权代表签字或者盖章，并加盖公章。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投标人应在法定质疑期内一次性提出针对同一采购程序环节的质疑，法定质疑期内针对同一采购程序环节再次提出的质疑，采购人、采购代理机构有权不予答复。</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接收询问和质疑的联系部门、联系电话和通讯地址见《投标人须知资料表》。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代理费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收费对象、收费标准及缴纳时间见《投标人须知资料表》。由中标人支付的，中标人须一次性向采购代理机构缴纳代理费，投标报价应包含代理费用。</w:t>
      </w:r>
    </w:p>
    <w:p>
      <w:pPr>
        <w:tabs>
          <w:tab w:val="left" w:pos="900"/>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p>
    <w:p>
      <w:pPr>
        <w:tabs>
          <w:tab w:val="left" w:pos="360"/>
          <w:tab w:val="left" w:pos="1080"/>
        </w:tabs>
        <w:snapToGrid w:val="0"/>
        <w:spacing w:line="360" w:lineRule="auto"/>
        <w:ind w:left="360"/>
        <w:rPr>
          <w:rFonts w:ascii="宋体" w:hAnsi="宋体" w:cs="宋体"/>
          <w:color w:val="000000" w:themeColor="text1"/>
          <w:sz w:val="24"/>
          <w14:textFill>
            <w14:solidFill>
              <w14:schemeClr w14:val="tx1"/>
            </w14:solidFill>
          </w14:textFill>
        </w:rPr>
      </w:pP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39" w:name="_Toc127151554"/>
      <w:bookmarkStart w:id="740" w:name="_Toc150480792"/>
      <w:bookmarkStart w:id="741" w:name="_Toc226965827"/>
      <w:bookmarkStart w:id="742" w:name="_Toc150774759"/>
      <w:bookmarkStart w:id="743" w:name="_Toc353825544"/>
      <w:bookmarkStart w:id="744" w:name="_Toc264969244"/>
      <w:bookmarkStart w:id="745" w:name="_Toc265228392"/>
      <w:bookmarkStart w:id="746" w:name="_Toc353873934"/>
      <w:bookmarkStart w:id="747" w:name="_Toc353873664"/>
      <w:bookmarkStart w:id="748" w:name="_Toc305158896"/>
      <w:bookmarkStart w:id="749" w:name="_Toc142311056"/>
      <w:bookmarkStart w:id="750" w:name="_Toc305158822"/>
      <w:bookmarkStart w:id="751" w:name="_Toc226337250"/>
      <w:r>
        <w:rPr>
          <w:rFonts w:hint="eastAsia" w:ascii="宋体" w:hAnsi="宋体" w:cs="宋体"/>
          <w:color w:val="000000" w:themeColor="text1"/>
          <w:sz w:val="24"/>
          <w14:textFill>
            <w14:solidFill>
              <w14:schemeClr w14:val="tx1"/>
            </w14:solidFill>
          </w14:textFill>
        </w:rPr>
        <w:br w:type="page"/>
      </w:r>
      <w:bookmarkStart w:id="752" w:name="_Toc99301421"/>
      <w:bookmarkStart w:id="753" w:name="_Toc218620568"/>
      <w:r>
        <w:rPr>
          <w:rFonts w:hint="eastAsia" w:ascii="宋体" w:hAnsi="宋体" w:cs="宋体"/>
          <w:b/>
          <w:color w:val="000000" w:themeColor="text1"/>
          <w:sz w:val="36"/>
          <w:szCs w:val="36"/>
          <w14:textFill>
            <w14:solidFill>
              <w14:schemeClr w14:val="tx1"/>
            </w14:solidFill>
          </w14:textFill>
        </w:rPr>
        <w:t xml:space="preserve">第三章   </w:t>
      </w:r>
      <w:bookmarkEnd w:id="739"/>
      <w:bookmarkEnd w:id="740"/>
      <w:bookmarkEnd w:id="741"/>
      <w:bookmarkEnd w:id="742"/>
      <w:bookmarkEnd w:id="743"/>
      <w:bookmarkEnd w:id="744"/>
      <w:bookmarkEnd w:id="745"/>
      <w:bookmarkEnd w:id="746"/>
      <w:bookmarkEnd w:id="747"/>
      <w:bookmarkEnd w:id="748"/>
      <w:bookmarkEnd w:id="749"/>
      <w:bookmarkEnd w:id="750"/>
      <w:bookmarkEnd w:id="751"/>
      <w:r>
        <w:rPr>
          <w:rFonts w:hint="eastAsia" w:ascii="宋体" w:hAnsi="宋体" w:cs="宋体"/>
          <w:b/>
          <w:color w:val="000000" w:themeColor="text1"/>
          <w:sz w:val="36"/>
          <w:szCs w:val="36"/>
          <w14:textFill>
            <w14:solidFill>
              <w14:schemeClr w14:val="tx1"/>
            </w14:solidFill>
          </w14:textFill>
        </w:rPr>
        <w:t>资格审查</w:t>
      </w:r>
      <w:bookmarkEnd w:id="752"/>
      <w:bookmarkEnd w:id="753"/>
      <w:bookmarkStart w:id="754" w:name="_Toc487900382"/>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bookmarkStart w:id="755" w:name="_Toc99301422"/>
      <w:r>
        <w:rPr>
          <w:rFonts w:hint="eastAsia" w:ascii="宋体" w:hAnsi="宋体" w:cs="宋体"/>
          <w:b/>
          <w:color w:val="000000" w:themeColor="text1"/>
          <w:sz w:val="24"/>
          <w14:textFill>
            <w14:solidFill>
              <w14:schemeClr w14:val="tx1"/>
            </w14:solidFill>
          </w14:textFill>
        </w:rPr>
        <w:t>一、资格审查程序</w:t>
      </w:r>
      <w:bookmarkEnd w:id="755"/>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开标结束后，采购人或采购代理机构将根据《资格审查要求》中的规定，对投标人进行资格审查，并形成资格审查结果。</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《资格审查要求》中对格式有要求的，除招标文件另有规定外，均为“实质性格式”文件。</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投标人《资格证明文件》有任何一项不符合《资格审查要求》的，资格审查不合格，其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资格审查合格的投标人不足3家的，不进行评标。</w:t>
      </w:r>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二、资格审查要求</w:t>
      </w:r>
    </w:p>
    <w:tbl>
      <w:tblPr>
        <w:tblStyle w:val="51"/>
        <w:tblW w:w="89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654"/>
        <w:gridCol w:w="5047"/>
        <w:gridCol w:w="1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bookmarkStart w:id="756" w:name="_Hlt487972895"/>
            <w:bookmarkEnd w:id="756"/>
            <w:r>
              <w:rPr>
                <w:rFonts w:hint="eastAsia" w:ascii="宋体" w:hAnsi="宋体" w:cs="宋体"/>
                <w:b/>
                <w:color w:val="000000" w:themeColor="text1"/>
                <w:sz w:val="24"/>
                <w14:textFill>
                  <w14:solidFill>
                    <w14:schemeClr w14:val="tx1"/>
                  </w14:solidFill>
                </w14:textFill>
              </w:rPr>
              <w:t>序号</w:t>
            </w:r>
          </w:p>
        </w:tc>
        <w:tc>
          <w:tcPr>
            <w:tcW w:w="1654"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审查因素</w:t>
            </w:r>
          </w:p>
        </w:tc>
        <w:tc>
          <w:tcPr>
            <w:tcW w:w="5047"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审查内容</w:t>
            </w:r>
          </w:p>
        </w:tc>
        <w:tc>
          <w:tcPr>
            <w:tcW w:w="1442"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1654" w:type="dxa"/>
            <w:vAlign w:val="center"/>
          </w:tcPr>
          <w:p>
            <w:pPr>
              <w:tabs>
                <w:tab w:val="left" w:pos="1080"/>
              </w:tabs>
              <w:snapToGrid w:val="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w:t>
            </w:r>
            <w:r>
              <w:rPr>
                <w:rFonts w:hint="eastAsia" w:ascii="宋体" w:hAnsi="宋体" w:cs="宋体"/>
                <w:color w:val="000000" w:themeColor="text1"/>
                <w:spacing w:val="11"/>
                <w:sz w:val="24"/>
                <w14:textFill>
                  <w14:solidFill>
                    <w14:schemeClr w14:val="tx1"/>
                  </w14:solidFill>
                </w14:textFill>
              </w:rPr>
              <w:t>《中华人民共和国政府采购</w:t>
            </w:r>
            <w:r>
              <w:rPr>
                <w:rFonts w:hint="eastAsia" w:ascii="宋体" w:hAnsi="宋体" w:cs="宋体"/>
                <w:color w:val="000000" w:themeColor="text1"/>
                <w:spacing w:val="7"/>
                <w:sz w:val="24"/>
                <w14:textFill>
                  <w14:solidFill>
                    <w14:schemeClr w14:val="tx1"/>
                  </w14:solidFill>
                </w14:textFill>
              </w:rPr>
              <w:t>法》第二十二条</w:t>
            </w:r>
            <w:r>
              <w:rPr>
                <w:rFonts w:hint="eastAsia" w:ascii="宋体" w:hAnsi="宋体" w:cs="宋体"/>
                <w:color w:val="000000" w:themeColor="text1"/>
                <w:spacing w:val="-2"/>
                <w:sz w:val="24"/>
                <w14:textFill>
                  <w14:solidFill>
                    <w14:schemeClr w14:val="tx1"/>
                  </w14:solidFill>
                </w14:textFill>
              </w:rPr>
              <w:t>规定</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具体规定见第一章《投标邀请》</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营业执照等证明文件</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投标人为企业（包括合伙企业）的，应提供有效的“营业执照”；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投标人为事业单位的，应提供有效的“事业单位法人证书”；</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投标人是非企业机构的，应提供有效的“执业许可证”、“登记证书”等证明文件；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投标人是个体工商户的，应提供有效的“个体工商户营业执照”；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投标人是自然人的，应提供有效的自然人身份证明。</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 属法人/其他组织的有关文件或制度等能够证明授权其独立开展业务的证明材料</w:t>
            </w:r>
            <w:r>
              <w:rPr>
                <w:rFonts w:hint="eastAsia" w:ascii="宋体" w:hAnsi="宋体" w:cs="宋体"/>
                <w:color w:val="000000" w:themeColor="text1"/>
                <w:sz w:val="24"/>
                <w14:textFill>
                  <w14:solidFill>
                    <w14:schemeClr w14:val="tx1"/>
                  </w14:solidFill>
                </w14:textFill>
              </w:rPr>
              <w:t>。</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投标人资格声明书</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提供了符合招标文件要求的《投标人资格声明书》。</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投标人信用记录</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查询渠道：信用中国网站和中国政府采购网（</w:t>
            </w:r>
            <w:r>
              <w:rPr>
                <w:rFonts w:hint="eastAsia" w:ascii="宋体" w:hAnsi="宋体" w:cs="宋体"/>
                <w:color w:val="000000" w:themeColor="text1"/>
                <w14:textFill>
                  <w14:solidFill>
                    <w14:schemeClr w14:val="tx1"/>
                  </w14:solidFill>
                </w14:textFill>
              </w:rPr>
              <w:t>www.creditchina.gov.cn</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14:textFill>
                  <w14:solidFill>
                    <w14:schemeClr w14:val="tx1"/>
                  </w14:solidFill>
                </w14:textFill>
              </w:rPr>
              <w:t>www.ccgp.gov.cn</w:t>
            </w:r>
            <w:r>
              <w:rPr>
                <w:rFonts w:hint="eastAsia" w:ascii="宋体" w:hAnsi="宋体" w:cs="宋体"/>
                <w:color w:val="000000" w:themeColor="text1"/>
                <w:sz w:val="24"/>
                <w14:textFill>
                  <w14:solidFill>
                    <w14:schemeClr w14:val="tx1"/>
                  </w14:solidFill>
                </w14:textFill>
              </w:rPr>
              <w:t>）；</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截止时点：投标截止时间以后、资格审查阶段采购人或采购代理机构的实际查询时间；</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信用信息查询记录和证据留存具体方式：查询结果网页打印页作为查询记录和证据，与其他采购文件一并保存；</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信用信息的使用原则：经认定的被列入失信被执行人、重大税收违法失信主体名单、政府采购严重违法失信行为记录名单的投标人，其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。联合体形式投标的，联合体成员存在不良信用记录，视同联合体存在不良信用记录。</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无须投标人提供，由采购人或采购代理机构查询。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1-4</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法律、行政法规</w:t>
            </w:r>
            <w:r>
              <w:rPr>
                <w:rFonts w:hint="eastAsia" w:ascii="宋体" w:hAnsi="宋体" w:cs="宋体"/>
                <w:color w:val="000000" w:themeColor="text1"/>
                <w:spacing w:val="-1"/>
                <w:sz w:val="24"/>
                <w14:textFill>
                  <w14:solidFill>
                    <w14:schemeClr w14:val="tx1"/>
                  </w14:solidFill>
                </w14:textFill>
              </w:rPr>
              <w:t>规定的其他条件</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法律、行政法规规定的其他条件</w:t>
            </w:r>
          </w:p>
        </w:tc>
        <w:tc>
          <w:tcPr>
            <w:tcW w:w="1442"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落实政府采购政策需满足的资格要求</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2-1-1</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r>
              <w:rPr>
                <w:rFonts w:hint="eastAsia" w:ascii="宋体" w:hAnsi="宋体" w:cs="宋体"/>
                <w:sz w:val="24"/>
              </w:rPr>
              <w:t>（不适用）</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当本项目（包）涉及预留份额专门面向中小企业采购，此时建议在《资格证明文件》中提供。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1、投标人单独投标的，应提供《中小企业声 明函》或《残疾人福利性单位声明函》或由省级以上监狱管理局、戒毒管理局（含新疆生产建设兵团）出具的属于监狱企业的证明 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函》或由省级以上监狱管理局、戒毒管理局</w:t>
            </w:r>
            <w:r>
              <w:rPr>
                <w:rFonts w:hint="eastAsia" w:ascii="宋体" w:hAnsi="宋体" w:cs="宋体"/>
                <w:color w:val="000000" w:themeColor="text1"/>
                <w:spacing w:val="2"/>
                <w:sz w:val="24"/>
                <w14:textFill>
                  <w14:solidFill>
                    <w14:schemeClr w14:val="tx1"/>
                  </w14:solidFill>
                </w14:textFill>
              </w:rPr>
              <w:t>（含新疆生产建设兵团）出具的属于监狱企业的证明文件中如实填报，且满足招标文件</w:t>
            </w:r>
            <w:r>
              <w:rPr>
                <w:rFonts w:hint="eastAsia" w:ascii="宋体" w:hAnsi="宋体" w:cs="宋体"/>
                <w:color w:val="000000" w:themeColor="text1"/>
                <w:spacing w:val="-1"/>
                <w:sz w:val="24"/>
                <w14:textFill>
                  <w14:solidFill>
                    <w14:schemeClr w14:val="tx1"/>
                  </w14:solidFill>
                </w14:textFill>
              </w:rPr>
              <w:t>关于预留份额的要求。</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拟分包情况说明及分包意向协议</w:t>
            </w:r>
            <w:bookmarkStart w:id="757" w:name="OLE_LINK122"/>
            <w:bookmarkStart w:id="758" w:name="OLE_LINK123"/>
            <w:r>
              <w:rPr>
                <w:rFonts w:hint="eastAsia" w:ascii="宋体" w:hAnsi="宋体" w:cs="宋体"/>
                <w:color w:val="000000" w:themeColor="text1"/>
                <w:sz w:val="24"/>
                <w14:textFill>
                  <w14:solidFill>
                    <w14:schemeClr w14:val="tx1"/>
                  </w14:solidFill>
                </w14:textFill>
              </w:rPr>
              <w:t>（本项目不适用）</w:t>
            </w:r>
            <w:bookmarkEnd w:id="757"/>
            <w:bookmarkEnd w:id="758"/>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如本项目（包）要求通过分包措施预留部分 采购份额面向中小企业采购、且投标人因落 实政府采购政策拟进行分包的，必须提供； 否则无须提供。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对于预留份额专门面向中小企业采购的项目 （包），组成联合体或者接受分包合同的中小 企业与联合体内其他企业、分包企业之间不 得存在直接控股、管理关系。</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其它落实政府采购政策的资格要求</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本项目的特定资格要求</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是否接受联合体投标（本项目不适用）</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1、如本项目接受联合体投标，且投标人为联 合体时必须提供《联合协议》，明确各方拟担的工作和责任，并指定联合体牵头人，授 权其代表所有联合体成员负责本项目投标和 合同实施阶段的牵头、协调工作。该联合协 议应当作为投标文件的组成部分，与投标文 件其他内容同时递交。</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2、联合体各成员单位均须提供本表中序号 1-1、1-2的证明文件。联合体各成员单位均 应满足本表3-2项规定。</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3、本表序号3-3项规定的其他特定资格要求中的每一小项要求，联合体各方中至少应当有一方符合本表中其他资格要求并提供证 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4、联合体中有同类资质的供应商按照联合体 分工承担相同工作的，应当按照资质等级较 低的供应商确定资质等级。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5、以联合体形式参加政府采购活动的，联合 体各方不得再单独参加或者与其他供应商另 外组成联合体参加同一合同项下的政府采购 活动。</w:t>
            </w:r>
          </w:p>
          <w:p>
            <w:pPr>
              <w:tabs>
                <w:tab w:val="left" w:pos="1080"/>
              </w:tabs>
              <w:snapToGrid w:val="0"/>
              <w:rPr>
                <w:rFonts w:ascii="宋体" w:hAnsi="宋体" w:cs="宋体"/>
                <w:b/>
                <w:bCs/>
                <w:color w:val="000000" w:themeColor="text1"/>
                <w:spacing w:val="-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6、若联合体中任一成员单位中途退出，则该</w:t>
            </w:r>
            <w:r>
              <w:rPr>
                <w:rFonts w:hint="eastAsia" w:ascii="宋体" w:hAnsi="宋体" w:cs="宋体"/>
                <w:color w:val="000000" w:themeColor="text1"/>
                <w:spacing w:val="-1"/>
                <w:sz w:val="24"/>
                <w14:textFill>
                  <w14:solidFill>
                    <w14:schemeClr w14:val="tx1"/>
                  </w14:solidFill>
                </w14:textFill>
              </w:rPr>
              <w:t>联合体的</w:t>
            </w:r>
            <w:r>
              <w:rPr>
                <w:rFonts w:hint="eastAsia" w:ascii="宋体" w:hAnsi="宋体" w:cs="宋体"/>
                <w:b/>
                <w:bCs/>
                <w:color w:val="000000" w:themeColor="text1"/>
                <w:spacing w:val="-1"/>
                <w:sz w:val="24"/>
                <w14:textFill>
                  <w14:solidFill>
                    <w14:schemeClr w14:val="tx1"/>
                  </w14:solidFill>
                </w14:textFill>
              </w:rPr>
              <w:t>投标无效。</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7、本项目不接受联合体投标时，投标人不得</w:t>
            </w:r>
            <w:r>
              <w:rPr>
                <w:rFonts w:hint="eastAsia" w:ascii="宋体" w:hAnsi="宋体" w:cs="宋体"/>
                <w:color w:val="000000" w:themeColor="text1"/>
                <w:spacing w:val="-3"/>
                <w:sz w:val="24"/>
                <w14:textFill>
                  <w14:solidFill>
                    <w14:schemeClr w14:val="tx1"/>
                  </w14:solidFill>
                </w14:textFill>
              </w:rPr>
              <w:t>为联合体。</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提供《联合协议》原件的电子件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政府购买服务承接主体的要求</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如本项目属于政府购买服务，投标人不属于 公益一类事业单位、使用事业编制且由财政 拨款保障的群团组织。</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格式见《投标文件格式》“1-2投标人资格声明书”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其他特定资格要求</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 ：如联合体中有同类资质的供应商按照联合体分工承担相同工作的，均应当提供资质证书电子件或电子证照。</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按照招标文件的规定提交投标保证金。</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bookmarkStart w:id="759" w:name="_Hlt487900425"/>
        <w:bookmarkStart w:id="760" w:name="_Hlt522424701"/>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获取招标文件</w:t>
            </w:r>
          </w:p>
        </w:tc>
        <w:tc>
          <w:tcPr>
            <w:tcW w:w="5047" w:type="dxa"/>
            <w:vAlign w:val="center"/>
          </w:tcPr>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在规定期限内通过北京市政府采购电子交易平台获取所参与包的招标文件。</w:t>
            </w:r>
          </w:p>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注：如本项目接受联合体，且供应商为联合体时，联合体中任一成员获取文件即视为满足要求。</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754"/>
      <w:bookmarkEnd w:id="759"/>
      <w:bookmarkEnd w:id="760"/>
    </w:tbl>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61" w:name="_Toc353825550"/>
      <w:bookmarkStart w:id="762" w:name="_Toc127161490"/>
      <w:bookmarkStart w:id="763" w:name="_Toc127151779"/>
      <w:bookmarkStart w:id="764" w:name="_Toc353873940"/>
      <w:bookmarkStart w:id="765" w:name="_Toc226965858"/>
      <w:bookmarkStart w:id="766" w:name="_Toc99301423"/>
      <w:r>
        <w:rPr>
          <w:rFonts w:hint="eastAsia" w:ascii="宋体" w:hAnsi="宋体" w:cs="宋体"/>
          <w:b/>
          <w:color w:val="000000" w:themeColor="text1"/>
          <w:sz w:val="36"/>
          <w:szCs w:val="36"/>
          <w14:textFill>
            <w14:solidFill>
              <w14:schemeClr w14:val="tx1"/>
            </w14:solidFill>
          </w14:textFill>
        </w:rPr>
        <w:br w:type="page"/>
      </w:r>
      <w:bookmarkStart w:id="767" w:name="_Toc218620569"/>
      <w:r>
        <w:rPr>
          <w:rFonts w:hint="eastAsia" w:ascii="宋体" w:hAnsi="宋体" w:cs="宋体"/>
          <w:b/>
          <w:color w:val="000000" w:themeColor="text1"/>
          <w:sz w:val="36"/>
          <w:szCs w:val="36"/>
          <w14:textFill>
            <w14:solidFill>
              <w14:schemeClr w14:val="tx1"/>
            </w14:solidFill>
          </w14:textFill>
        </w:rPr>
        <w:t xml:space="preserve">第四章   </w:t>
      </w:r>
      <w:bookmarkEnd w:id="761"/>
      <w:bookmarkEnd w:id="762"/>
      <w:bookmarkEnd w:id="763"/>
      <w:bookmarkEnd w:id="764"/>
      <w:bookmarkEnd w:id="765"/>
      <w:bookmarkStart w:id="768" w:name="_Hlt164229061"/>
      <w:bookmarkEnd w:id="768"/>
      <w:r>
        <w:rPr>
          <w:rFonts w:hint="eastAsia" w:ascii="宋体" w:hAnsi="宋体" w:cs="宋体"/>
          <w:b/>
          <w:color w:val="000000" w:themeColor="text1"/>
          <w:sz w:val="36"/>
          <w:szCs w:val="36"/>
          <w14:textFill>
            <w14:solidFill>
              <w14:schemeClr w14:val="tx1"/>
            </w14:solidFill>
          </w14:textFill>
        </w:rPr>
        <w:t>评标程序、评标方法和评标标准</w:t>
      </w:r>
      <w:bookmarkEnd w:id="766"/>
      <w:bookmarkEnd w:id="767"/>
    </w:p>
    <w:p>
      <w:pPr>
        <w:pStyle w:val="4"/>
        <w:rPr>
          <w:rStyle w:val="461"/>
          <w:rFonts w:hint="default" w:ascii="宋体" w:hAnsi="宋体"/>
          <w:b/>
        </w:rPr>
      </w:pPr>
      <w:r>
        <w:rPr>
          <w:rStyle w:val="461"/>
          <w:rFonts w:hint="default" w:ascii="宋体" w:hAnsi="宋体"/>
          <w:b/>
        </w:rPr>
        <w:t>一、评标方法</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bookmarkStart w:id="769" w:name="_Toc149720834"/>
      <w:bookmarkStart w:id="770" w:name="_Toc150509292"/>
      <w:bookmarkStart w:id="771" w:name="_Toc127151541"/>
      <w:bookmarkStart w:id="772" w:name="_Toc127151742"/>
      <w:bookmarkStart w:id="773" w:name="_Toc151193783"/>
      <w:bookmarkStart w:id="774" w:name="_Toc150774641"/>
      <w:bookmarkStart w:id="775" w:name="_Toc195842906"/>
      <w:bookmarkStart w:id="776" w:name="_Toc127161455"/>
      <w:bookmarkStart w:id="777" w:name="_Toc164351635"/>
      <w:bookmarkStart w:id="778" w:name="_Toc226309785"/>
      <w:bookmarkStart w:id="779" w:name="_Toc265228379"/>
      <w:bookmarkStart w:id="780" w:name="_Toc226965731"/>
      <w:bookmarkStart w:id="781" w:name="_Toc264969231"/>
      <w:bookmarkStart w:id="782" w:name="_Toc151193639"/>
      <w:bookmarkStart w:id="783" w:name="_Toc151193929"/>
      <w:bookmarkStart w:id="784" w:name="_Toc150774746"/>
      <w:bookmarkStart w:id="785" w:name="_Toc164608655"/>
      <w:bookmarkStart w:id="786" w:name="_Toc151193855"/>
      <w:bookmarkStart w:id="787" w:name="_Toc226337237"/>
      <w:bookmarkStart w:id="788" w:name="_Toc305158883"/>
      <w:bookmarkStart w:id="789" w:name="_Toc151193711"/>
      <w:bookmarkStart w:id="790" w:name="_Toc142311043"/>
      <w:bookmarkStart w:id="791" w:name="_Toc305158809"/>
      <w:bookmarkStart w:id="792" w:name="_Toc226965814"/>
      <w:bookmarkStart w:id="793" w:name="_Toc164229382"/>
      <w:bookmarkStart w:id="794" w:name="_Toc151190168"/>
      <w:bookmarkStart w:id="795" w:name="_Toc150480779"/>
      <w:bookmarkStart w:id="796" w:name="_Toc164608810"/>
      <w:bookmarkStart w:id="797" w:name="_Toc164229236"/>
      <w:bookmarkStart w:id="798" w:name="_Toc353825551"/>
      <w:bookmarkStart w:id="799" w:name="_Toc353873941"/>
      <w:bookmarkStart w:id="800" w:name="_Toc142311057"/>
      <w:bookmarkStart w:id="801" w:name="_Toc195842920"/>
      <w:bookmarkStart w:id="802" w:name="_Toc127151555"/>
      <w:bookmarkStart w:id="803" w:name="_Toc305158823"/>
      <w:bookmarkStart w:id="804" w:name="_Toc265228393"/>
      <w:bookmarkStart w:id="805" w:name="_Toc353873935"/>
      <w:bookmarkStart w:id="806" w:name="_Toc353825545"/>
      <w:bookmarkStart w:id="807" w:name="_Toc226965828"/>
      <w:bookmarkStart w:id="808" w:name="_Toc264969245"/>
      <w:bookmarkStart w:id="809" w:name="_Toc150774760"/>
      <w:bookmarkStart w:id="810" w:name="_Toc226337251"/>
      <w:bookmarkStart w:id="811" w:name="_Toc305158897"/>
      <w:bookmarkStart w:id="812" w:name="_Toc150480793"/>
      <w:bookmarkStart w:id="813" w:name="_Toc353873665"/>
      <w:r>
        <w:rPr>
          <w:rFonts w:hint="eastAsia" w:ascii="宋体" w:hAnsi="宋体" w:cs="宋体"/>
          <w:color w:val="000000" w:themeColor="text1"/>
          <w:sz w:val="24"/>
          <w14:textFill>
            <w14:solidFill>
              <w14:schemeClr w14:val="tx1"/>
            </w14:solidFill>
          </w14:textFill>
        </w:rPr>
        <w:t>投标文件的符合性审查</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评标委员会对资格审查合格的投标人的投标文件进行符合性审查，以确定其是否满足招标文件的实质性要求。</w:t>
      </w:r>
      <w:bookmarkStart w:id="814" w:name="_Toc520356167"/>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14"/>
      <w:r>
        <w:rPr>
          <w:rFonts w:hint="eastAsia" w:ascii="宋体" w:hAnsi="宋体" w:cs="宋体"/>
          <w:color w:val="000000" w:themeColor="text1"/>
          <w:sz w:val="24"/>
          <w14:textFill>
            <w14:solidFill>
              <w14:schemeClr w14:val="tx1"/>
            </w14:solidFill>
          </w14:textFill>
        </w:rPr>
        <w:t>要求的，</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900"/>
          <w:tab w:val="left" w:pos="1080"/>
          <w:tab w:val="left" w:pos="1589"/>
        </w:tabs>
        <w:snapToGrid w:val="0"/>
        <w:spacing w:line="360" w:lineRule="auto"/>
        <w:ind w:leftChars="-170" w:hanging="357" w:hangingChars="148"/>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符合性审查要求</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663"/>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402"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序号</w:t>
            </w:r>
          </w:p>
        </w:tc>
        <w:tc>
          <w:tcPr>
            <w:tcW w:w="975"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审查因素</w:t>
            </w:r>
          </w:p>
        </w:tc>
        <w:tc>
          <w:tcPr>
            <w:tcW w:w="3621"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授权委托书</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按招标文件要求提供授权委托书；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投标完整性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未将一个采购包中的内容拆分投标；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投标报价</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投标报价未超过招标文件中规定的项目/采购包预算金额或者项目/采购包最高限价；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报价唯一性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投标有效期</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实质性格式</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标记为“实质性格式”的文件均按招标文件要求提供且签署、盖章的；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★号条款响应（如有）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投标文件满足招标文件第五章《采购需求》中★号条款要求的；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拟分包情况说</w:t>
            </w:r>
            <w:r>
              <w:rPr>
                <w:rFonts w:hint="eastAsia" w:ascii="宋体" w:hAnsi="宋体" w:cs="宋体"/>
                <w:color w:val="000000" w:themeColor="text1"/>
                <w:spacing w:val="-3"/>
                <w:sz w:val="24"/>
                <w14:textFill>
                  <w14:solidFill>
                    <w14:schemeClr w14:val="tx1"/>
                  </w14:solidFill>
                </w14:textFill>
              </w:rPr>
              <w:t>明（如有）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如本项目（包）非因“落实政府采购政策”亦允许分包，且供应商拟进行分包时，必须提供；否则无须提供；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分包其他要求</w:t>
            </w:r>
            <w:r>
              <w:rPr>
                <w:rFonts w:hint="eastAsia" w:ascii="宋体" w:hAnsi="宋体" w:cs="宋体"/>
                <w:color w:val="000000" w:themeColor="text1"/>
                <w:spacing w:val="3"/>
                <w:sz w:val="24"/>
                <w14:textFill>
                  <w14:solidFill>
                    <w14:schemeClr w14:val="tx1"/>
                  </w14:solidFill>
                </w14:textFill>
              </w:rPr>
              <w:t>（如有）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分包履行的内容、金额或者比例未超出《投标人须知资料表》中的规定；</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分包承担主体具备《投标人须知资料表》载明的资质条件且提供了资质证书电子件（如有）；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报价的修正（如有）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不涉及报价修正，或投标文件报价出现前后不一致时，投标人对修正后的报价予以确认；（如有）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报价合理性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报价合理，或投标人的报价明显低于其他通过符合性审查投标人的报价，有可能影响产品质量或者不能诚信履约的 ，能够应评标委员会要求在规定时间内证明其报价合理性的；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进口产品</w:t>
            </w:r>
          </w:p>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招标文件不接受进口产品投标的内容时，投标人所投产品不含进口产品；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国家有关部门对投标人的投标产品有强制性规定或要求的（如有）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国家有关部门对投标人的投标产品有强制性规定或要求的（如相应技术、安全、节能和环保等），投标人的投标产品应符合相应规定或要求，并提供证明文件电子件：</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1）采购的产品若属于《节能产品政府采购品目清单》范围中政府强制采购产品，则投标人所报产品必须获得国家确定的认证机构出具的、处于有效期之内的节能产品认证证书；</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3）项目中涉及涂料、胶黏剂、油墨、清洗剂等挥发性有机物产品，且属于强制性标准的，供应商应执行符合本市和国家的VOCs含量限制标准。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公平竞争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串通投标</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不存在《政府采购货物和服务招标投标管理办法》视为投标人串通投标的情形：（一）不同投标人的投标文件由同一单位或者   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附加条件</w:t>
            </w:r>
          </w:p>
        </w:tc>
        <w:tc>
          <w:tcPr>
            <w:tcW w:w="3621"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其他无效情形</w:t>
            </w:r>
          </w:p>
        </w:tc>
        <w:tc>
          <w:tcPr>
            <w:tcW w:w="3621"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投标人、投标文件不存在不符合法律、法规和招标文件规定的其他无效情形。</w:t>
            </w:r>
          </w:p>
        </w:tc>
      </w:tr>
    </w:tbl>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投标文件有关事项的澄清或者说明</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其他组织或分支机构，可为单位负责人）或其授权的代表签字。投标人的澄清、说明或者补正不得超出投标文件的范围或者改变投标文件的实质性内容。澄清文件将作为投标文件内容的一部分。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color w:val="000000" w:themeColor="text1"/>
          <w:sz w:val="24"/>
          <w14:textFill>
            <w14:solidFill>
              <w14:schemeClr w14:val="tx1"/>
            </w14:solidFill>
          </w14:textFill>
        </w:rPr>
        <w:t>无效投标处理</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仿宋"/>
          <w:sz w:val="24"/>
        </w:rPr>
        <w:t>根据财政部《关于推动解决异常低价问题的通知》（财库〔2026〕2号）要求，政府采购评审中出现下列情形之一的，评标委员会应当启动异常低价投标（响应）审查程序：</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投标（响应）报价低于全部通过符合性审查投标人投标（响应）报价平均值50%的，即投标（响应）报价&lt;全部通过符合性审查投标人投标（响应）报价平均值×50%；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投标（响应）报价低于通过符合性审查的次低报价投标人投标（响应）报价50%的，即投标（响应）报价&lt;通过符合性审查的次低报价投标人投标（响应）报价×50%；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投标（响应）报价低于采购项目最高限价45%的，即投标（响应）报价&lt;采购项目最高限价×45%；</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评标委员会基于专业判断，认为投标人报价过低，有可能影响产品质量或者不能诚信履约的其他情形。采购人可以结合具体项目实际情况，提高上述第1项至第3项中启动异常低价投标（响应）审查的数值标准，但是最高不得超过65%。相关法律法规对投标人报价有规定的，从其规定。</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为30分钟。其中，属于第3项情形，供应商已随投标（响应）文件一并提交相关书面说明及必要的证明材料的，在评审现场可不再重复提交。 </w:t>
      </w:r>
    </w:p>
    <w:p>
      <w:pPr>
        <w:numPr>
          <w:ilvl w:val="1"/>
          <w:numId w:val="13"/>
        </w:numPr>
        <w:tabs>
          <w:tab w:val="left" w:pos="1080"/>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w:t>
      </w:r>
      <w:r>
        <w:rPr>
          <w:rFonts w:hint="eastAsia" w:ascii="宋体" w:hAnsi="宋体" w:cs="宋体"/>
          <w:b/>
          <w:color w:val="000000" w:themeColor="text1"/>
          <w:sz w:val="24"/>
          <w14:textFill>
            <w14:solidFill>
              <w14:schemeClr w14:val="tx1"/>
            </w14:solidFill>
          </w14:textFill>
        </w:rPr>
        <w:t>无效投标（响应）处理。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投标文件报价出现前后不一致的，按照下列规定修正：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招标文件对于报价修正是否另有规定：</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□有，具体规定为：______________</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■无，按下述2.4.2-2.4.8项规定修正。</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投标文件中开标一览表（报价表）内容与投标文件中相应内容不一致的，以开标一览表（报价表）为准；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大写金额和小写金额不一致的，以大写金额为准；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单价金额小数点或者百分比有明显错位的，以开标一览表的总价为准，并修改单价；</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总价金额与按单价汇总金额不一致的，以单价金额计算结果为准。</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同时出现两种以上不一致的，按照前款规定的顺序修正。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修正后的报价经投标人书面确认后产生约束力，投标人不确认的，其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落实政府采购政策的价格调整：只有符合第二章《投标人须知》5.2条规定情形的，可以享受中小企业扶持政策，用扣除后的价格参加评审；否则，评标时价格不予扣除。</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对于未预留份额专门面向中小企业采购的采购项目，以及预留份额项目中的非预留部分采购包，对小微企业报价给予</w:t>
      </w:r>
      <w:r>
        <w:rPr>
          <w:rFonts w:hint="eastAsia" w:ascii="宋体" w:hAnsi="宋体" w:cs="宋体"/>
          <w:color w:val="000000" w:themeColor="text1"/>
          <w:sz w:val="24"/>
          <w:u w:val="single"/>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价格扣除比例对小型企业和微型企业同等对待，不作区分。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中小企业参加政府采购活动，</w:t>
      </w:r>
      <w:bookmarkStart w:id="815" w:name="OLE_LINK3"/>
      <w:bookmarkStart w:id="816" w:name="OLE_LINK4"/>
      <w:r>
        <w:rPr>
          <w:rFonts w:hint="eastAsia" w:ascii="宋体" w:hAnsi="宋体" w:cs="宋体"/>
          <w:color w:val="000000" w:themeColor="text1"/>
          <w:sz w:val="24"/>
          <w14:textFill>
            <w14:solidFill>
              <w14:schemeClr w14:val="tx1"/>
            </w14:solidFill>
          </w14:textFill>
        </w:rPr>
        <w:t>应当按照招标文件给定的格式出具</w:t>
      </w:r>
      <w:bookmarkEnd w:id="815"/>
      <w:bookmarkEnd w:id="816"/>
      <w:r>
        <w:rPr>
          <w:rFonts w:hint="eastAsia" w:ascii="宋体" w:hAnsi="宋体" w:cs="宋体"/>
          <w:color w:val="000000" w:themeColor="text1"/>
          <w:sz w:val="24"/>
          <w14:textFill>
            <w14:solidFill>
              <w14:schemeClr w14:val="tx1"/>
            </w14:solidFill>
          </w14:textFill>
        </w:rPr>
        <w:t>《中小企业声明函》，否则不得享受相关中小企业扶持政策。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监狱企业提供了由省级以上监狱</w:t>
      </w:r>
      <w:r>
        <w:rPr>
          <w:rFonts w:hint="eastAsia" w:ascii="宋体" w:hAnsi="宋体" w:cs="宋体"/>
          <w:color w:val="000000" w:themeColor="text1"/>
          <w:spacing w:val="-1"/>
          <w:sz w:val="24"/>
          <w14:textFill>
            <w14:solidFill>
              <w14:schemeClr w14:val="tx1"/>
            </w14:solidFill>
          </w14:textFill>
        </w:rPr>
        <w:t>管理局、戒毒管理局</w:t>
      </w:r>
      <w:r>
        <w:rPr>
          <w:rFonts w:hint="eastAsia" w:ascii="宋体" w:hAnsi="宋体" w:cs="宋体"/>
          <w:color w:val="000000" w:themeColor="text1"/>
          <w:sz w:val="24"/>
          <w14:textFill>
            <w14:solidFill>
              <w14:schemeClr w14:val="tx1"/>
            </w14:solidFill>
          </w14:textFill>
        </w:rPr>
        <w:t>（含新疆生产建设兵团）出具的属于监狱企业的证明文件的，视同小微企业。</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残疾人福利性单位按招标文件要求提供了《残疾人福利性单位声明函》的，视同小微企业。</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若投标人同时属于小型或微型企业、监狱企业、残疾人福利性单位中的两种及以上，将不重复享受小微企业价格扣减的优惠政策。</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sz w:val="24"/>
        </w:rPr>
        <w:t>支持本国产品政府采购政策</w:t>
      </w:r>
      <w:r>
        <w:rPr>
          <w:rFonts w:ascii="宋体" w:hAnsi="宋体"/>
          <w:sz w:val="24"/>
        </w:rPr>
        <w:t>的价格调整</w:t>
      </w:r>
      <w:r>
        <w:rPr>
          <w:rFonts w:hint="eastAsia" w:ascii="宋体" w:hAnsi="宋体" w:cs="宋体"/>
          <w:color w:val="000000" w:themeColor="text1"/>
          <w:sz w:val="24"/>
          <w14:textFill>
            <w14:solidFill>
              <w14:schemeClr w14:val="tx1"/>
            </w14:solidFill>
          </w14:textFill>
        </w:rPr>
        <w:t>：只有符合第二章《投标人须知》5.</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条规定情形的，可以享受本国产品价格评审优惠政策，用扣除后的价格参加评审；否则，评标时价格不予扣除。</w:t>
      </w:r>
    </w:p>
    <w:p>
      <w:pPr>
        <w:numPr>
          <w:ilvl w:val="2"/>
          <w:numId w:val="13"/>
        </w:numPr>
        <w:tabs>
          <w:tab w:val="left" w:pos="1080"/>
          <w:tab w:val="left" w:pos="1589"/>
          <w:tab w:val="left" w:pos="2014"/>
          <w:tab w:val="clear" w:pos="1980"/>
        </w:tabs>
        <w:snapToGrid w:val="0"/>
        <w:spacing w:line="360" w:lineRule="auto"/>
        <w:ind w:left="2035"/>
        <w:rPr>
          <w:rFonts w:ascii="宋体" w:hAnsi="宋体"/>
          <w:sz w:val="24"/>
        </w:rPr>
      </w:pPr>
      <w:r>
        <w:rPr>
          <w:rFonts w:hint="eastAsia" w:ascii="宋体" w:hAnsi="宋体"/>
          <w:sz w:val="24"/>
        </w:rPr>
        <w:t>本项目既有本国产品又有非本国产品参与竞争的，依法对本国产品给予价格评审优惠，对本国产品的报价给予20%的价格扣除，用扣除后的价格参与评审。</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pPr>
        <w:numPr>
          <w:ilvl w:val="2"/>
          <w:numId w:val="13"/>
        </w:numPr>
        <w:tabs>
          <w:tab w:val="left" w:pos="1080"/>
          <w:tab w:val="left" w:pos="1589"/>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w:t>
      </w:r>
      <w:r>
        <w:rPr>
          <w:rFonts w:hint="eastAsia" w:ascii="宋体" w:hAnsi="宋体"/>
          <w:sz w:val="24"/>
        </w:rPr>
        <w:t>提供本国产品参加政府采购活动的，</w:t>
      </w:r>
      <w:r>
        <w:rPr>
          <w:rFonts w:hint="eastAsia" w:ascii="宋体" w:hAnsi="宋体" w:cs="宋体"/>
          <w:color w:val="000000" w:themeColor="text1"/>
          <w:sz w:val="24"/>
          <w14:textFill>
            <w14:solidFill>
              <w14:schemeClr w14:val="tx1"/>
            </w14:solidFill>
          </w14:textFill>
        </w:rPr>
        <w:t>应当按照招标文件给定的格式出具《关于符合本国产品标准的声明函》，以下简称《声明函》）或财政部会同有关部门规定的有关证明文件。出具符合要求的《声明函》或有关证明文件的，该产品视为本国产品。提供的符合本国产品标准的产品成本之和占该供应商提供的全部产品成本之和的比例达到80%以上时享受本国产品价格评审优惠政策。</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评标委员会应对《关于符合本国产品标准的声明函》的完整性、准确性进行审查。评审中发现《关于符合本国产品标准的声明函》内容含义不明确、同类问题表述不一致或者有明显文字和计算错误的内容，应当以书面形式要求投标人作出必要的澄清、说明或者补正。</w:t>
      </w:r>
      <w:r>
        <w:rPr>
          <w:rFonts w:hint="eastAsia" w:ascii="宋体" w:hAnsi="宋体" w:cs="宋体"/>
          <w:color w:val="000000" w:themeColor="text1"/>
          <w:sz w:val="24"/>
          <w14:textFill>
            <w14:solidFill>
              <w14:schemeClr w14:val="tx1"/>
            </w14:solidFill>
          </w14:textFill>
        </w:rPr>
        <w:t>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w:t>
      </w:r>
      <w:r>
        <w:rPr>
          <w:rFonts w:hint="eastAsia" w:ascii="宋体" w:hAnsi="宋体"/>
          <w:sz w:val="24"/>
        </w:rPr>
        <w:t>经澄清、说明或者补正的《关于符合本国产品标准的声明函》仍然不符合要求的，视为未出具符合要求的《声明函》或有关证明文件。</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投标人提供虚假《关于符合本国产品标准的声明函》、虚假证明文件谋取中标、成交的，依照《中华人民共和国政府采购法》等法律法规规定追究相应责任。</w:t>
      </w:r>
    </w:p>
    <w:p>
      <w:pPr>
        <w:numPr>
          <w:ilvl w:val="1"/>
          <w:numId w:val="13"/>
        </w:numPr>
        <w:tabs>
          <w:tab w:val="left" w:pos="1080"/>
        </w:tabs>
        <w:snapToGrid w:val="0"/>
        <w:spacing w:line="360" w:lineRule="auto"/>
        <w:ind w:left="1077" w:hanging="720"/>
        <w:rPr>
          <w:rFonts w:ascii="宋体" w:hAnsi="宋体"/>
          <w:sz w:val="24"/>
        </w:rPr>
      </w:pPr>
      <w:bookmarkStart w:id="817" w:name="_Hlk217989284"/>
      <w:r>
        <w:rPr>
          <w:rFonts w:hint="eastAsia" w:ascii="宋体" w:hAnsi="宋体"/>
          <w:sz w:val="24"/>
        </w:rPr>
        <w:t>对于非专门面向中小企业的采购项目，既有本国产品也有非本国产品参与竞争，且提供本国产品的投标人同时为小微企业的，应按2.</w:t>
      </w:r>
      <w:r>
        <w:rPr>
          <w:rFonts w:ascii="宋体" w:hAnsi="宋体"/>
          <w:sz w:val="24"/>
        </w:rPr>
        <w:t>8</w:t>
      </w:r>
      <w:r>
        <w:rPr>
          <w:rFonts w:hint="eastAsia" w:ascii="宋体" w:hAnsi="宋体"/>
          <w:sz w:val="24"/>
        </w:rPr>
        <w:t>条修正后的投标（响应）报价的基础上同时给予支持本国产品和小微企业产品的价格评审优惠，用扣除后的价格参与评审。</w:t>
      </w:r>
      <w:bookmarkEnd w:id="817"/>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投标文件的比较和评价</w:t>
      </w:r>
      <w:bookmarkEnd w:id="798"/>
      <w:bookmarkEnd w:id="799"/>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评标委员会将按照招标文件中规定的评标方法和标准，对符合性审查合格的投标文件进行商务和技术评估，综合比较与评价；未通过符合性审查的投标文件不得进入比较与评价。</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评标方法和评标标准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本项目采用的评标方法为：</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■综合评分法，指投标文件满足招标文件全部实质性要求，且按照评审因素的量化指标评审得分最高的投标人为中标候选人的评标方法，见《评标标准》，招标文件中没有规定的评标标准不得作为评审的依据。</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□最低评标价法，指投标文件满足招标文件全部实质性要求，且投标报价最低的投标人为中标候选人的评标方法。</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□随机抽取</w:t>
      </w:r>
    </w:p>
    <w:p>
      <w:pPr>
        <w:tabs>
          <w:tab w:val="left" w:pos="1080"/>
          <w:tab w:val="left" w:pos="1589"/>
          <w:tab w:val="left" w:pos="2035"/>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□其他方式，具体要求：_____</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非政府强制采购的节能产品或环境标志产品，依据品目清单和认证证书实施政府优先采购。优先采购的具体规定（如涉及）</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w:t>
      </w:r>
      <w:bookmarkStart w:id="818" w:name="_Toc264969236"/>
      <w:bookmarkStart w:id="819" w:name="_Toc150774646"/>
      <w:bookmarkStart w:id="820" w:name="_Toc150774751"/>
      <w:bookmarkStart w:id="821" w:name="_Toc226965819"/>
      <w:bookmarkStart w:id="822" w:name="_Toc164608660"/>
      <w:bookmarkStart w:id="823" w:name="_Toc149720839"/>
      <w:bookmarkStart w:id="824" w:name="_Toc265228384"/>
      <w:bookmarkStart w:id="825" w:name="_Toc226965736"/>
      <w:bookmarkStart w:id="826" w:name="_Ref467307010"/>
      <w:bookmarkStart w:id="827" w:name="_Toc151193934"/>
      <w:bookmarkStart w:id="828" w:name="_Toc226309790"/>
      <w:bookmarkStart w:id="829" w:name="_Toc151193860"/>
      <w:bookmarkStart w:id="830" w:name="_Toc150480784"/>
      <w:bookmarkStart w:id="831" w:name="_Toc164608815"/>
      <w:bookmarkStart w:id="832" w:name="_Toc520356170"/>
      <w:bookmarkStart w:id="833" w:name="_Toc305158888"/>
      <w:bookmarkStart w:id="834" w:name="_Toc151193716"/>
      <w:bookmarkStart w:id="835" w:name="_Toc127161460"/>
      <w:bookmarkStart w:id="836" w:name="_Toc127151546"/>
      <w:bookmarkStart w:id="837" w:name="_Toc127151747"/>
      <w:bookmarkStart w:id="838" w:name="_Toc164229241"/>
      <w:bookmarkStart w:id="839" w:name="_Toc164351640"/>
      <w:bookmarkStart w:id="840" w:name="_Toc142311048"/>
      <w:bookmarkStart w:id="841" w:name="_Toc151193644"/>
      <w:bookmarkStart w:id="842" w:name="_Toc226337242"/>
      <w:bookmarkStart w:id="843" w:name="_Toc305158814"/>
      <w:bookmarkStart w:id="844" w:name="_Toc151193788"/>
      <w:bookmarkStart w:id="845" w:name="_Toc164229387"/>
      <w:bookmarkStart w:id="846" w:name="_Toc151190173"/>
      <w:bookmarkStart w:id="847" w:name="_Toc195842911"/>
      <w:bookmarkStart w:id="848" w:name="_Toc150509297"/>
      <w:r>
        <w:rPr>
          <w:rFonts w:hint="eastAsia" w:ascii="宋体" w:hAnsi="宋体" w:cs="宋体"/>
          <w:color w:val="000000" w:themeColor="text1"/>
          <w:sz w:val="24"/>
          <w14:textFill>
            <w14:solidFill>
              <w14:schemeClr w14:val="tx1"/>
            </w14:solidFill>
          </w14:textFill>
        </w:rPr>
        <w:t>中标候选人名单</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pPr>
        <w:pStyle w:val="27"/>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14:textFill>
            <w14:solidFill>
              <w14:schemeClr w14:val="tx1"/>
            </w14:solidFill>
          </w14:textFill>
        </w:rPr>
      </w:pPr>
      <w:r>
        <w:rPr>
          <w:rFonts w:hAnsi="宋体" w:cs="宋体"/>
          <w:color w:val="000000" w:themeColor="text1"/>
          <w:sz w:val="24"/>
          <w:szCs w:val="24"/>
          <w14:textFill>
            <w14:solidFill>
              <w14:schemeClr w14:val="tx1"/>
            </w14:solidFill>
          </w14:textFill>
        </w:rPr>
        <w:t>□随机抽取</w:t>
      </w:r>
    </w:p>
    <w:p>
      <w:pPr>
        <w:pStyle w:val="27"/>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u w:val="single"/>
          <w14:textFill>
            <w14:solidFill>
              <w14:schemeClr w14:val="tx1"/>
            </w14:solidFill>
          </w14:textFill>
        </w:rPr>
      </w:pPr>
      <w:r>
        <w:rPr>
          <w:rFonts w:hAnsi="宋体" w:cs="宋体"/>
          <w:color w:val="000000" w:themeColor="text1"/>
          <w:sz w:val="24"/>
          <w14:textFill>
            <w14:solidFill>
              <w14:schemeClr w14:val="tx1"/>
            </w14:solidFill>
          </w14:textFill>
        </w:rPr>
        <w:t>■</w:t>
      </w:r>
      <w:r>
        <w:rPr>
          <w:rFonts w:hAnsi="宋体" w:cs="宋体"/>
          <w:color w:val="000000" w:themeColor="text1"/>
          <w:sz w:val="24"/>
          <w:szCs w:val="24"/>
          <w14:textFill>
            <w14:solidFill>
              <w14:schemeClr w14:val="tx1"/>
            </w14:solidFill>
          </w14:textFill>
        </w:rPr>
        <w:t>其他方式，具体要求：</w:t>
      </w:r>
      <w:r>
        <w:rPr>
          <w:rFonts w:hAnsi="宋体" w:cs="宋体"/>
          <w:color w:val="000000" w:themeColor="text1"/>
          <w:sz w:val="24"/>
          <w:szCs w:val="24"/>
          <w:u w:val="single"/>
          <w14:textFill>
            <w14:solidFill>
              <w14:schemeClr w14:val="tx1"/>
            </w14:solidFill>
          </w14:textFill>
        </w:rPr>
        <w:t>如果是得分相同的情况，以投标报价最低的获得中标人推荐资格。得分且投标报价均相同的 ，以技术部分得分高者为中标人推荐资格。</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采用最低评标价法时，评标结果按本章2.4、2.5调整后的投标报价由低到高顺序排列。投标报价相同的并列。投标文件满足招标文件全部实质性要求且投标报价最低的投标人为排名第一的中标候选人。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评标委员会要对评分汇总情况进行复核，特别是对排名第一的、报价最低的、投标或投标文件被认定为无效的情形进行重点复核。</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评标委员会将根据各投标人的评标排序，依次推荐本项目（各采购包）的中标候选人，起草并签署评标报告。本项目（各采购包）评标委员会共（各）推荐</w:t>
      </w:r>
      <w:r>
        <w:rPr>
          <w:rFonts w:hint="eastAsia" w:ascii="宋体" w:hAnsi="宋体" w:cs="宋体"/>
          <w:color w:val="000000" w:themeColor="text1"/>
          <w:sz w:val="24"/>
          <w:u w:val="single"/>
          <w14:textFill>
            <w14:solidFill>
              <w14:schemeClr w14:val="tx1"/>
            </w14:solidFill>
          </w14:textFill>
        </w:rPr>
        <w:t xml:space="preserve">  3 </w:t>
      </w:r>
      <w:r>
        <w:rPr>
          <w:rFonts w:hint="eastAsia" w:ascii="宋体" w:hAnsi="宋体" w:cs="宋体"/>
          <w:color w:val="000000" w:themeColor="text1"/>
          <w:sz w:val="24"/>
          <w14:textFill>
            <w14:solidFill>
              <w14:schemeClr w14:val="tx1"/>
            </w14:solidFill>
          </w14:textFill>
        </w:rPr>
        <w:t>名中标候选人。</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报告违法行为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评标委员会在评标过程中发现投标人有行贿、提供虚假材料或者串通等违法行为时，</w:t>
      </w:r>
      <w:r>
        <w:rPr>
          <w:rFonts w:hint="eastAsia" w:ascii="宋体" w:hAnsi="宋体" w:cs="宋体"/>
          <w:color w:val="000000" w:themeColor="text1"/>
          <w:spacing w:val="-1"/>
          <w:sz w:val="24"/>
          <w14:textFill>
            <w14:solidFill>
              <w14:schemeClr w14:val="tx1"/>
            </w14:solidFill>
          </w14:textFill>
        </w:rPr>
        <w:t>应当及时向财政部门报告</w:t>
      </w:r>
      <w:r>
        <w:rPr>
          <w:rFonts w:hint="eastAsia" w:ascii="宋体" w:hAnsi="宋体" w:cs="宋体"/>
          <w:color w:val="000000" w:themeColor="text1"/>
          <w:sz w:val="24"/>
          <w14:textFill>
            <w14:solidFill>
              <w14:schemeClr w14:val="tx1"/>
            </w14:solidFill>
          </w14:textFill>
        </w:rPr>
        <w:t>。</w:t>
      </w: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pStyle w:val="4"/>
        <w:rPr>
          <w:rStyle w:val="461"/>
          <w:rFonts w:hint="default" w:ascii="宋体" w:hAnsi="宋体"/>
          <w:b/>
        </w:rPr>
      </w:pPr>
      <w:r>
        <w:rPr>
          <w:rStyle w:val="461"/>
          <w:rFonts w:hint="default" w:ascii="宋体" w:hAnsi="宋体"/>
          <w:b/>
        </w:rPr>
        <w:t>二、评标标准</w:t>
      </w:r>
    </w:p>
    <w:tbl>
      <w:tblPr>
        <w:tblStyle w:val="51"/>
        <w:tblpPr w:leftFromText="180" w:rightFromText="180" w:vertAnchor="text" w:horzAnchor="margin" w:tblpXSpec="center" w:tblpY="1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192"/>
        <w:gridCol w:w="6521"/>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bookmarkStart w:id="849" w:name="_Toc218620570"/>
            <w:bookmarkStart w:id="850" w:name="_Toc209958496"/>
            <w:bookmarkStart w:id="851" w:name="_Toc99301425"/>
            <w:r>
              <w:rPr>
                <w:rFonts w:hint="eastAsia" w:cs="Times New Roman" w:asciiTheme="minorEastAsia" w:hAnsiTheme="minorEastAsia" w:eastAsiaTheme="minorEastAsia"/>
                <w:sz w:val="21"/>
                <w:szCs w:val="21"/>
              </w:rPr>
              <w:t>序号</w:t>
            </w:r>
          </w:p>
        </w:tc>
        <w:tc>
          <w:tcPr>
            <w:tcW w:w="1192"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评分因素</w:t>
            </w:r>
          </w:p>
        </w:tc>
        <w:tc>
          <w:tcPr>
            <w:tcW w:w="6521"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评分标准</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46"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w:t>
            </w:r>
          </w:p>
        </w:tc>
        <w:tc>
          <w:tcPr>
            <w:tcW w:w="1192"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投标价格</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napToGrid w:val="0"/>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满足招标文件要求且投标报价最低的评审价格为评标基准价，其价格为满分。报价得分按照下列公式计算： </w:t>
            </w:r>
          </w:p>
          <w:p>
            <w:pPr>
              <w:widowControl/>
              <w:snapToGrid w:val="0"/>
              <w:rPr>
                <w:rFonts w:asciiTheme="minorEastAsia" w:hAnsiTheme="minorEastAsia" w:eastAsiaTheme="minorEastAsia"/>
                <w:kern w:val="0"/>
                <w:szCs w:val="21"/>
              </w:rPr>
            </w:pPr>
            <w:r>
              <w:rPr>
                <w:rFonts w:hint="eastAsia" w:asciiTheme="minorEastAsia" w:hAnsiTheme="minorEastAsia" w:eastAsiaTheme="minorEastAsia"/>
                <w:kern w:val="0"/>
                <w:szCs w:val="21"/>
              </w:rPr>
              <w:t>投标报价得分=（评标基准价/投标报价）×30。</w:t>
            </w:r>
          </w:p>
          <w:p>
            <w:pPr>
              <w:adjustRightInd w:val="0"/>
              <w:snapToGrid w:val="0"/>
              <w:rPr>
                <w:rFonts w:asciiTheme="minorEastAsia" w:hAnsiTheme="minorEastAsia" w:eastAsiaTheme="minorEastAsia"/>
                <w:kern w:val="0"/>
                <w:szCs w:val="21"/>
              </w:rPr>
            </w:pPr>
            <w:r>
              <w:rPr>
                <w:rFonts w:hint="eastAsia" w:asciiTheme="minorEastAsia" w:hAnsiTheme="minorEastAsia" w:eastAsiaTheme="minorEastAsia"/>
                <w:kern w:val="0"/>
                <w:szCs w:val="21"/>
              </w:rPr>
              <w:t>保留至小数点后两位，第三位四舍五入。</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646" w:type="dxa"/>
            <w:tcBorders>
              <w:left w:val="single" w:color="auto" w:sz="4" w:space="0"/>
              <w:right w:val="single" w:color="auto" w:sz="4" w:space="0"/>
            </w:tcBorders>
            <w:vAlign w:val="center"/>
          </w:tcPr>
          <w:p>
            <w:pPr>
              <w:widowControl/>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w:t>
            </w:r>
          </w:p>
        </w:tc>
        <w:tc>
          <w:tcPr>
            <w:tcW w:w="1192" w:type="dxa"/>
            <w:tcBorders>
              <w:top w:val="single" w:color="auto" w:sz="4" w:space="0"/>
              <w:left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相关业绩</w:t>
            </w:r>
          </w:p>
        </w:tc>
        <w:tc>
          <w:tcPr>
            <w:tcW w:w="6521" w:type="dxa"/>
            <w:tcBorders>
              <w:top w:val="single" w:color="auto" w:sz="4" w:space="0"/>
              <w:left w:val="single" w:color="auto" w:sz="4" w:space="0"/>
              <w:right w:val="single" w:color="auto" w:sz="4" w:space="0"/>
            </w:tcBorders>
            <w:vAlign w:val="center"/>
          </w:tcPr>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投标人需提供近三年（自202</w:t>
            </w:r>
            <w:r>
              <w:rPr>
                <w:rFonts w:cs="宋体" w:asciiTheme="minorEastAsia" w:hAnsiTheme="minorEastAsia" w:eastAsiaTheme="minorEastAsia"/>
                <w:szCs w:val="21"/>
              </w:rPr>
              <w:t>3</w:t>
            </w:r>
            <w:r>
              <w:rPr>
                <w:rFonts w:hint="eastAsia" w:cs="宋体" w:asciiTheme="minorEastAsia" w:hAnsiTheme="minorEastAsia" w:eastAsiaTheme="minorEastAsia"/>
                <w:szCs w:val="21"/>
              </w:rPr>
              <w:t>年</w:t>
            </w:r>
            <w:r>
              <w:rPr>
                <w:rFonts w:cs="宋体" w:asciiTheme="minorEastAsia" w:hAnsiTheme="minorEastAsia" w:eastAsiaTheme="minorEastAsia"/>
                <w:szCs w:val="21"/>
              </w:rPr>
              <w:t>6</w:t>
            </w:r>
            <w:r>
              <w:rPr>
                <w:rFonts w:hint="eastAsia" w:cs="宋体" w:asciiTheme="minorEastAsia" w:hAnsiTheme="minorEastAsia" w:eastAsiaTheme="minorEastAsia"/>
                <w:szCs w:val="21"/>
              </w:rPr>
              <w:t>月1日至本项目招标公告发布之日止，以合同签订时间为准）已完成的类似项目案例，每提供一个有效业绩得2分，满分6分。</w:t>
            </w:r>
          </w:p>
          <w:p>
            <w:pPr>
              <w:adjustRightInd w:val="0"/>
              <w:snapToGrid w:val="0"/>
              <w:jc w:val="left"/>
              <w:rPr>
                <w:rFonts w:asciiTheme="minorEastAsia" w:hAnsiTheme="minorEastAsia" w:eastAsiaTheme="minorEastAsia"/>
                <w:kern w:val="0"/>
                <w:szCs w:val="21"/>
              </w:rPr>
            </w:pPr>
            <w:r>
              <w:rPr>
                <w:rFonts w:hint="eastAsia" w:cs="宋体" w:asciiTheme="minorEastAsia" w:hAnsiTheme="minorEastAsia" w:eastAsiaTheme="minorEastAsia"/>
                <w:szCs w:val="21"/>
              </w:rPr>
              <w:t>注：提供合同关键页复印件（包含但不限于合同首页、合同标的页（能够显示项目主要采购内容）、签署日期页及盖章页等），未提供或证明材料不完整或不清晰，不得分。</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646" w:type="dxa"/>
            <w:tcBorders>
              <w:left w:val="single" w:color="auto" w:sz="4" w:space="0"/>
              <w:right w:val="single" w:color="auto" w:sz="4" w:space="0"/>
            </w:tcBorders>
            <w:vAlign w:val="center"/>
          </w:tcPr>
          <w:p>
            <w:pPr>
              <w:widowControl/>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3</w:t>
            </w:r>
          </w:p>
        </w:tc>
        <w:tc>
          <w:tcPr>
            <w:tcW w:w="1192" w:type="dxa"/>
            <w:tcBorders>
              <w:top w:val="single" w:color="auto" w:sz="4" w:space="0"/>
              <w:left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节能环保</w:t>
            </w:r>
          </w:p>
        </w:tc>
        <w:tc>
          <w:tcPr>
            <w:tcW w:w="6521" w:type="dxa"/>
            <w:tcBorders>
              <w:top w:val="single" w:color="auto" w:sz="4" w:space="0"/>
              <w:left w:val="single" w:color="auto" w:sz="4" w:space="0"/>
              <w:right w:val="single" w:color="auto" w:sz="4" w:space="0"/>
            </w:tcBorders>
            <w:vAlign w:val="center"/>
          </w:tcPr>
          <w:p>
            <w:pPr>
              <w:adjustRightInd w:val="0"/>
              <w:snapToGrid w:val="0"/>
              <w:rPr>
                <w:rFonts w:asciiTheme="minorEastAsia" w:hAnsiTheme="minorEastAsia" w:eastAsiaTheme="minorEastAsia"/>
                <w:kern w:val="0"/>
                <w:szCs w:val="21"/>
              </w:rPr>
            </w:pPr>
            <w:r>
              <w:rPr>
                <w:rFonts w:hint="eastAsia" w:asciiTheme="minorEastAsia" w:hAnsiTheme="minorEastAsia" w:eastAsiaTheme="minorEastAsia"/>
                <w:kern w:val="0"/>
                <w:szCs w:val="21"/>
              </w:rPr>
              <w:t>1.投标产品中有属于品目清单范围内优先采购节能产品的（提供由国家确定的认证机构出具的、处于有效期之内的认证证书复印件），得0.5分，否则不得分。</w:t>
            </w:r>
          </w:p>
          <w:p>
            <w:pPr>
              <w:adjustRightInd w:val="0"/>
              <w:snapToGrid w:val="0"/>
              <w:rPr>
                <w:rFonts w:asciiTheme="minorEastAsia" w:hAnsiTheme="minorEastAsia" w:eastAsiaTheme="minorEastAsia"/>
                <w:kern w:val="0"/>
                <w:szCs w:val="21"/>
              </w:rPr>
            </w:pPr>
            <w:r>
              <w:rPr>
                <w:rFonts w:hint="eastAsia" w:asciiTheme="minorEastAsia" w:hAnsiTheme="minorEastAsia" w:eastAsiaTheme="minorEastAsia"/>
                <w:kern w:val="0"/>
                <w:szCs w:val="21"/>
              </w:rPr>
              <w:t>注：以上复印件需加盖投标人公章；属于政府强制采购节能产品的不加分。</w:t>
            </w:r>
          </w:p>
          <w:p>
            <w:pPr>
              <w:adjustRightInd w:val="0"/>
              <w:snapToGrid w:val="0"/>
              <w:rPr>
                <w:rFonts w:asciiTheme="minorEastAsia" w:hAnsiTheme="minorEastAsia" w:eastAsiaTheme="minorEastAsia"/>
                <w:kern w:val="0"/>
                <w:szCs w:val="21"/>
              </w:rPr>
            </w:pPr>
            <w:r>
              <w:rPr>
                <w:rFonts w:hint="eastAsia" w:asciiTheme="minorEastAsia" w:hAnsiTheme="minorEastAsia" w:eastAsiaTheme="minorEastAsia"/>
                <w:kern w:val="0"/>
                <w:szCs w:val="21"/>
              </w:rPr>
              <w:t>2.投标产品中有属于品目清单范围内环境标志产品的（提供由国家确定的认证机构出具的、处于有效期之内的认证证书复印件），得0.5分，否则不得分。</w:t>
            </w:r>
          </w:p>
          <w:p>
            <w:pPr>
              <w:jc w:val="left"/>
              <w:rPr>
                <w:rFonts w:cs="宋体" w:asciiTheme="minorEastAsia" w:hAnsiTheme="minorEastAsia" w:eastAsiaTheme="minorEastAsia"/>
                <w:szCs w:val="21"/>
              </w:rPr>
            </w:pPr>
            <w:r>
              <w:rPr>
                <w:rFonts w:hint="eastAsia" w:asciiTheme="minorEastAsia" w:hAnsiTheme="minorEastAsia" w:eastAsiaTheme="minorEastAsia"/>
                <w:kern w:val="0"/>
                <w:szCs w:val="21"/>
              </w:rPr>
              <w:t>注：以上复印件需加盖投标人公章。</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46" w:type="dxa"/>
            <w:tcBorders>
              <w:left w:val="single" w:color="auto" w:sz="4" w:space="0"/>
              <w:right w:val="single" w:color="auto" w:sz="4" w:space="0"/>
            </w:tcBorders>
            <w:vAlign w:val="center"/>
          </w:tcPr>
          <w:p>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4</w:t>
            </w:r>
          </w:p>
        </w:tc>
        <w:tc>
          <w:tcPr>
            <w:tcW w:w="1192"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基础分</w:t>
            </w:r>
          </w:p>
        </w:tc>
        <w:tc>
          <w:tcPr>
            <w:tcW w:w="6521" w:type="dxa"/>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供应商逐条响应技术指标，得基础分</w:t>
            </w:r>
            <w:r>
              <w:rPr>
                <w:rFonts w:cs="宋体" w:asciiTheme="minorEastAsia" w:hAnsiTheme="minorEastAsia" w:eastAsiaTheme="minorEastAsia"/>
                <w:szCs w:val="21"/>
              </w:rPr>
              <w:t>38</w:t>
            </w:r>
            <w:r>
              <w:rPr>
                <w:rFonts w:hint="eastAsia" w:cs="宋体" w:asciiTheme="minorEastAsia" w:hAnsiTheme="minorEastAsia" w:eastAsiaTheme="minorEastAsia"/>
                <w:szCs w:val="21"/>
              </w:rPr>
              <w:t>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1.供应商所报产品技术指标全部满足招标文件要求，不扣分；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2.每项标注“</w:t>
            </w:r>
            <w:r>
              <w:rPr>
                <w:rFonts w:hint="eastAsia" w:cs="宋体" w:asciiTheme="minorEastAsia" w:hAnsiTheme="minorEastAsia" w:eastAsiaTheme="minorEastAsia"/>
                <w:bCs/>
                <w:szCs w:val="21"/>
              </w:rPr>
              <w:t>#</w:t>
            </w:r>
            <w:r>
              <w:rPr>
                <w:rFonts w:hint="eastAsia" w:cs="宋体" w:asciiTheme="minorEastAsia" w:hAnsiTheme="minorEastAsia" w:eastAsiaTheme="minorEastAsia"/>
                <w:szCs w:val="21"/>
              </w:rPr>
              <w:t>”的主要投标参数无法提供证明材料的扣</w:t>
            </w:r>
            <w:r>
              <w:rPr>
                <w:rFonts w:cs="宋体" w:asciiTheme="minorEastAsia" w:hAnsiTheme="minorEastAsia" w:eastAsiaTheme="minorEastAsia"/>
                <w:szCs w:val="21"/>
              </w:rPr>
              <w:t>2</w:t>
            </w:r>
            <w:r>
              <w:rPr>
                <w:rFonts w:hint="eastAsia" w:cs="宋体" w:asciiTheme="minorEastAsia" w:hAnsiTheme="minorEastAsia" w:eastAsiaTheme="minorEastAsia"/>
                <w:szCs w:val="21"/>
              </w:rPr>
              <w:t>分，最多</w:t>
            </w:r>
            <w:r>
              <w:rPr>
                <w:rFonts w:cs="宋体" w:asciiTheme="minorEastAsia" w:hAnsiTheme="minorEastAsia" w:eastAsiaTheme="minorEastAsia"/>
                <w:szCs w:val="21"/>
              </w:rPr>
              <w:t>20</w:t>
            </w:r>
            <w:r>
              <w:rPr>
                <w:rFonts w:hint="eastAsia" w:cs="宋体" w:asciiTheme="minorEastAsia" w:hAnsiTheme="minorEastAsia" w:eastAsiaTheme="minorEastAsia"/>
                <w:szCs w:val="21"/>
              </w:rPr>
              <w:t>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3.其他参数每项负偏离或不满足的扣</w:t>
            </w:r>
            <w:r>
              <w:rPr>
                <w:rFonts w:cs="宋体" w:asciiTheme="minorEastAsia" w:hAnsiTheme="minorEastAsia" w:eastAsiaTheme="minorEastAsia"/>
                <w:szCs w:val="21"/>
              </w:rPr>
              <w:t>1</w:t>
            </w:r>
            <w:r>
              <w:rPr>
                <w:rFonts w:hint="eastAsia" w:cs="宋体" w:asciiTheme="minorEastAsia" w:hAnsiTheme="minorEastAsia" w:eastAsiaTheme="minorEastAsia"/>
                <w:szCs w:val="21"/>
              </w:rPr>
              <w:t>分，最多</w:t>
            </w:r>
            <w:r>
              <w:rPr>
                <w:rFonts w:cs="宋体" w:asciiTheme="minorEastAsia" w:hAnsiTheme="minorEastAsia" w:eastAsiaTheme="minorEastAsia"/>
                <w:szCs w:val="21"/>
              </w:rPr>
              <w:t>18</w:t>
            </w:r>
            <w:r>
              <w:rPr>
                <w:rFonts w:hint="eastAsia" w:cs="宋体" w:asciiTheme="minorEastAsia" w:hAnsiTheme="minorEastAsia" w:eastAsiaTheme="minorEastAsia"/>
                <w:szCs w:val="21"/>
              </w:rPr>
              <w:t>分。</w:t>
            </w:r>
          </w:p>
          <w:p>
            <w:pPr>
              <w:widowControl/>
              <w:adjustRightInd w:val="0"/>
              <w:snapToGrid w:val="0"/>
              <w:jc w:val="left"/>
              <w:textAlignment w:val="baseline"/>
              <w:rPr>
                <w:rFonts w:cs="宋体" w:asciiTheme="minorEastAsia" w:hAnsiTheme="minorEastAsia" w:eastAsiaTheme="minorEastAsia"/>
                <w:szCs w:val="21"/>
              </w:rPr>
            </w:pPr>
            <w:r>
              <w:rPr>
                <w:rFonts w:hint="eastAsia" w:cs="宋体" w:asciiTheme="minorEastAsia" w:hAnsiTheme="minorEastAsia" w:eastAsiaTheme="minorEastAsia"/>
                <w:szCs w:val="21"/>
              </w:rPr>
              <w:t>4.总计扣分不超过</w:t>
            </w:r>
            <w:r>
              <w:rPr>
                <w:rFonts w:cs="宋体" w:asciiTheme="minorEastAsia" w:hAnsiTheme="minorEastAsia" w:eastAsiaTheme="minorEastAsia"/>
                <w:szCs w:val="21"/>
              </w:rPr>
              <w:t>38</w:t>
            </w:r>
            <w:r>
              <w:rPr>
                <w:rFonts w:hint="eastAsia" w:cs="宋体" w:asciiTheme="minorEastAsia" w:hAnsiTheme="minorEastAsia" w:eastAsiaTheme="minorEastAsia"/>
                <w:szCs w:val="21"/>
              </w:rPr>
              <w:t>分</w:t>
            </w:r>
          </w:p>
          <w:p>
            <w:pPr>
              <w:tabs>
                <w:tab w:val="left" w:pos="312"/>
              </w:tabs>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rPr>
              <w:t>注：如招标文件“技术参数要求”有明确需要提供的相关证明文件，投标人需明确写明相关证明文件所在页码；数量有误或漏报技术条款视为“#”号负偏离扣分。</w:t>
            </w:r>
            <w:r>
              <w:rPr>
                <w:rFonts w:hint="eastAsia" w:asciiTheme="minorEastAsia" w:hAnsiTheme="minorEastAsia" w:eastAsiaTheme="minorEastAsia"/>
                <w:kern w:val="0"/>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46" w:type="dxa"/>
            <w:tcBorders>
              <w:left w:val="single" w:color="auto" w:sz="4" w:space="0"/>
              <w:right w:val="single" w:color="auto" w:sz="4" w:space="0"/>
            </w:tcBorders>
            <w:vAlign w:val="center"/>
          </w:tcPr>
          <w:p>
            <w:pPr>
              <w:widowControl/>
              <w:adjustRightInd w:val="0"/>
              <w:snapToGrid w:val="0"/>
              <w:jc w:val="center"/>
              <w:rPr>
                <w:rFonts w:asciiTheme="minorEastAsia" w:hAnsiTheme="minorEastAsia" w:eastAsiaTheme="minorEastAsia"/>
                <w:kern w:val="0"/>
                <w:szCs w:val="21"/>
              </w:rPr>
            </w:pPr>
            <w:r>
              <w:rPr>
                <w:rFonts w:cs="宋体" w:asciiTheme="minorEastAsia" w:hAnsiTheme="minorEastAsia" w:eastAsiaTheme="minorEastAsia"/>
                <w:szCs w:val="21"/>
              </w:rPr>
              <w:t>5</w:t>
            </w:r>
          </w:p>
        </w:tc>
        <w:tc>
          <w:tcPr>
            <w:tcW w:w="1192"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asciiTheme="minorEastAsia" w:hAnsiTheme="minorEastAsia" w:eastAsiaTheme="minorEastAsia"/>
                <w:sz w:val="21"/>
                <w:szCs w:val="21"/>
              </w:rPr>
              <w:t>实施组织方案及各项保障措施</w:t>
            </w:r>
          </w:p>
        </w:tc>
        <w:tc>
          <w:tcPr>
            <w:tcW w:w="6521" w:type="dxa"/>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安装调试方案完整，各项保障措施合理可行，得</w:t>
            </w:r>
            <w:r>
              <w:rPr>
                <w:rFonts w:cs="宋体" w:asciiTheme="minorEastAsia" w:hAnsiTheme="minorEastAsia" w:eastAsiaTheme="minorEastAsia"/>
                <w:szCs w:val="21"/>
              </w:rPr>
              <w:t>5</w:t>
            </w:r>
            <w:r>
              <w:rPr>
                <w:rFonts w:hint="eastAsia" w:cs="宋体" w:asciiTheme="minorEastAsia" w:hAnsiTheme="minorEastAsia" w:eastAsiaTheme="minorEastAsia"/>
                <w:szCs w:val="21"/>
              </w:rPr>
              <w:t>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安装调试方案较完整，各项保障措施较合理可行，得</w:t>
            </w:r>
            <w:r>
              <w:rPr>
                <w:rFonts w:cs="宋体" w:asciiTheme="minorEastAsia" w:hAnsiTheme="minorEastAsia" w:eastAsiaTheme="minorEastAsia"/>
                <w:szCs w:val="21"/>
              </w:rPr>
              <w:t>2</w:t>
            </w:r>
            <w:r>
              <w:rPr>
                <w:rFonts w:hint="eastAsia" w:cs="宋体" w:asciiTheme="minorEastAsia" w:hAnsiTheme="minorEastAsia" w:eastAsiaTheme="minorEastAsia"/>
                <w:szCs w:val="21"/>
              </w:rPr>
              <w:t>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安装调试方案有欠缺，各项保障措施存在不足，得1分；</w:t>
            </w:r>
          </w:p>
          <w:p>
            <w:pPr>
              <w:adjustRightInd w:val="0"/>
              <w:snapToGrid w:val="0"/>
              <w:rPr>
                <w:rFonts w:asciiTheme="minorEastAsia" w:hAnsiTheme="minorEastAsia" w:eastAsiaTheme="minorEastAsia"/>
                <w:kern w:val="0"/>
                <w:szCs w:val="21"/>
              </w:rPr>
            </w:pPr>
            <w:r>
              <w:rPr>
                <w:rFonts w:hint="eastAsia" w:cs="宋体" w:asciiTheme="minorEastAsia" w:hAnsiTheme="minorEastAsia" w:eastAsiaTheme="minorEastAsia"/>
                <w:szCs w:val="21"/>
              </w:rPr>
              <w:t>未提供调试方案，得0分。</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asciiTheme="minorEastAsia" w:hAnsiTheme="minor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46" w:type="dxa"/>
            <w:tcBorders>
              <w:left w:val="single" w:color="auto" w:sz="4" w:space="0"/>
              <w:right w:val="single" w:color="auto" w:sz="4" w:space="0"/>
            </w:tcBorders>
            <w:vAlign w:val="center"/>
          </w:tcPr>
          <w:p>
            <w:pPr>
              <w:widowControl/>
              <w:adjustRightInd w:val="0"/>
              <w:snapToGrid w:val="0"/>
              <w:jc w:val="center"/>
              <w:rPr>
                <w:rFonts w:asciiTheme="minorEastAsia" w:hAnsiTheme="minorEastAsia" w:eastAsiaTheme="minorEastAsia"/>
                <w:kern w:val="0"/>
                <w:szCs w:val="21"/>
              </w:rPr>
            </w:pPr>
            <w:r>
              <w:rPr>
                <w:rFonts w:cs="宋体" w:asciiTheme="minorEastAsia" w:hAnsiTheme="minorEastAsia" w:eastAsiaTheme="minorEastAsia"/>
                <w:szCs w:val="21"/>
              </w:rPr>
              <w:t>6</w:t>
            </w:r>
          </w:p>
        </w:tc>
        <w:tc>
          <w:tcPr>
            <w:tcW w:w="1192"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asciiTheme="minorEastAsia" w:hAnsiTheme="minorEastAsia" w:eastAsiaTheme="minorEastAsia"/>
                <w:sz w:val="21"/>
                <w:szCs w:val="21"/>
              </w:rPr>
              <w:t>售后服务体系及售后响应时间</w:t>
            </w:r>
          </w:p>
        </w:tc>
        <w:tc>
          <w:tcPr>
            <w:tcW w:w="6521" w:type="dxa"/>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售后服务体系和服务方案完善、备品备件齐全、人员配置安排合理，响应时间迅速得：</w:t>
            </w:r>
            <w:r>
              <w:rPr>
                <w:rFonts w:cs="宋体" w:asciiTheme="minorEastAsia" w:hAnsiTheme="minorEastAsia" w:eastAsiaTheme="minorEastAsia"/>
                <w:szCs w:val="21"/>
              </w:rPr>
              <w:t>5</w:t>
            </w:r>
            <w:r>
              <w:rPr>
                <w:rFonts w:hint="eastAsia" w:cs="宋体" w:asciiTheme="minorEastAsia" w:hAnsiTheme="minorEastAsia" w:eastAsiaTheme="minorEastAsia"/>
                <w:szCs w:val="21"/>
              </w:rPr>
              <w:t>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售后服务体系和服务方案较完善、备品备件一般、人员配置安排较合理，响应时间较迅速得：</w:t>
            </w:r>
            <w:r>
              <w:rPr>
                <w:rFonts w:hint="eastAsia" w:cs="宋体" w:asciiTheme="minorEastAsia" w:hAnsiTheme="minorEastAsia" w:eastAsiaTheme="minorEastAsia"/>
                <w:szCs w:val="21"/>
                <w:lang w:val="en-US" w:eastAsia="zh-CN"/>
              </w:rPr>
              <w:t>3</w:t>
            </w:r>
            <w:bookmarkStart w:id="1066" w:name="_GoBack"/>
            <w:bookmarkEnd w:id="1066"/>
            <w:r>
              <w:rPr>
                <w:rFonts w:hint="eastAsia" w:cs="宋体" w:asciiTheme="minorEastAsia" w:hAnsiTheme="minorEastAsia" w:eastAsiaTheme="minorEastAsia"/>
                <w:szCs w:val="21"/>
              </w:rPr>
              <w:t>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售后服务体系和服务方案不完善、备品备件较差、人员配置安排不合理，响应时间慢，得：1分；</w:t>
            </w:r>
          </w:p>
          <w:p>
            <w:pPr>
              <w:adjustRightInd w:val="0"/>
              <w:snapToGrid w:val="0"/>
              <w:jc w:val="left"/>
              <w:rPr>
                <w:rFonts w:asciiTheme="minorEastAsia" w:hAnsiTheme="minorEastAsia" w:eastAsiaTheme="minorEastAsia"/>
                <w:kern w:val="0"/>
                <w:szCs w:val="21"/>
              </w:rPr>
            </w:pPr>
            <w:r>
              <w:rPr>
                <w:rFonts w:hint="eastAsia" w:cs="宋体" w:asciiTheme="minorEastAsia" w:hAnsiTheme="minorEastAsia" w:eastAsiaTheme="minorEastAsia"/>
                <w:szCs w:val="21"/>
              </w:rPr>
              <w:t>无售后服务体系或服务方案，得0分。</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asciiTheme="minorEastAsia" w:hAnsiTheme="minor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46" w:type="dxa"/>
            <w:tcBorders>
              <w:left w:val="single" w:color="auto" w:sz="4" w:space="0"/>
              <w:right w:val="single" w:color="auto" w:sz="4" w:space="0"/>
            </w:tcBorders>
            <w:vAlign w:val="center"/>
          </w:tcPr>
          <w:p>
            <w:pPr>
              <w:widowControl/>
              <w:adjustRightInd w:val="0"/>
              <w:snapToGrid w:val="0"/>
              <w:jc w:val="center"/>
              <w:rPr>
                <w:rFonts w:asciiTheme="minorEastAsia" w:hAnsiTheme="minorEastAsia" w:eastAsiaTheme="minorEastAsia"/>
                <w:kern w:val="0"/>
                <w:szCs w:val="21"/>
              </w:rPr>
            </w:pPr>
            <w:r>
              <w:rPr>
                <w:rFonts w:hint="eastAsia" w:cs="宋体" w:asciiTheme="minorEastAsia" w:hAnsiTheme="minorEastAsia" w:eastAsiaTheme="minorEastAsia"/>
                <w:szCs w:val="21"/>
              </w:rPr>
              <w:t>7</w:t>
            </w:r>
          </w:p>
        </w:tc>
        <w:tc>
          <w:tcPr>
            <w:tcW w:w="1192"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asciiTheme="minorEastAsia" w:hAnsiTheme="minorEastAsia" w:eastAsiaTheme="minorEastAsia"/>
                <w:sz w:val="21"/>
                <w:szCs w:val="21"/>
              </w:rPr>
              <w:t>质保期</w:t>
            </w:r>
          </w:p>
        </w:tc>
        <w:tc>
          <w:tcPr>
            <w:tcW w:w="65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kern w:val="0"/>
                <w:szCs w:val="21"/>
              </w:rPr>
            </w:pPr>
            <w:r>
              <w:rPr>
                <w:rFonts w:hint="eastAsia" w:cs="宋体" w:asciiTheme="minorEastAsia" w:hAnsiTheme="minorEastAsia" w:eastAsiaTheme="minorEastAsia"/>
                <w:szCs w:val="21"/>
              </w:rPr>
              <w:t>满足招标文件质保期要求的基础上，所有产品质保期每增加一年加 1分，质保期最高得3分。(1年以上不足1整年的不加分，投标人须写明具体年限不得有“超过”“不少于”等不确定性的描述）</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asciiTheme="minorEastAsia" w:hAnsiTheme="minorEastAsia" w:eastAsiaTheme="minor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46" w:type="dxa"/>
            <w:tcBorders>
              <w:left w:val="single" w:color="auto" w:sz="4" w:space="0"/>
              <w:right w:val="single" w:color="auto" w:sz="4" w:space="0"/>
            </w:tcBorders>
            <w:vAlign w:val="center"/>
          </w:tcPr>
          <w:p>
            <w:pPr>
              <w:widowControl/>
              <w:adjustRightInd w:val="0"/>
              <w:snapToGrid w:val="0"/>
              <w:jc w:val="center"/>
              <w:rPr>
                <w:rFonts w:asciiTheme="minorEastAsia" w:hAnsiTheme="minorEastAsia" w:eastAsiaTheme="minorEastAsia"/>
                <w:kern w:val="0"/>
                <w:szCs w:val="21"/>
              </w:rPr>
            </w:pPr>
            <w:r>
              <w:rPr>
                <w:rFonts w:cs="宋体" w:asciiTheme="minorEastAsia" w:hAnsiTheme="minorEastAsia" w:eastAsiaTheme="minorEastAsia"/>
                <w:szCs w:val="21"/>
              </w:rPr>
              <w:t>8</w:t>
            </w:r>
          </w:p>
        </w:tc>
        <w:tc>
          <w:tcPr>
            <w:tcW w:w="1192"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asciiTheme="minorEastAsia" w:hAnsiTheme="minorEastAsia" w:eastAsiaTheme="minorEastAsia"/>
                <w:sz w:val="21"/>
                <w:szCs w:val="21"/>
              </w:rPr>
              <w:t>原厂售后服务承诺</w:t>
            </w:r>
          </w:p>
        </w:tc>
        <w:tc>
          <w:tcPr>
            <w:tcW w:w="65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kern w:val="0"/>
                <w:szCs w:val="21"/>
              </w:rPr>
            </w:pPr>
            <w:r>
              <w:rPr>
                <w:rFonts w:hint="eastAsia" w:ascii="宋体" w:hAnsi="宋体" w:cs="宋体"/>
                <w:szCs w:val="21"/>
              </w:rPr>
              <w:t>提供制造商针对本项目所投产品的原厂售后服务承诺函(必须加盖制造厂商公章)得</w:t>
            </w:r>
            <w:r>
              <w:rPr>
                <w:rFonts w:ascii="宋体" w:hAnsi="宋体" w:cs="宋体"/>
                <w:szCs w:val="21"/>
              </w:rPr>
              <w:t>2</w:t>
            </w:r>
            <w:r>
              <w:rPr>
                <w:rFonts w:hint="eastAsia" w:ascii="宋体" w:hAnsi="宋体" w:cs="宋体"/>
                <w:szCs w:val="21"/>
              </w:rPr>
              <w:t>分，未提供的不得分。注:如供应商为所投产品的制造商，除原厂售后服务承诺函原件外，还需提供加盖供应商单位公章的制造商资格声明函作为审核依据，否则不予认定。</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asciiTheme="minorEastAsia" w:hAnsiTheme="minorEastAsia" w:eastAsiaTheme="minor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46" w:type="dxa"/>
            <w:tcBorders>
              <w:left w:val="single" w:color="auto" w:sz="4" w:space="0"/>
              <w:right w:val="single" w:color="auto" w:sz="4" w:space="0"/>
            </w:tcBorders>
            <w:vAlign w:val="center"/>
          </w:tcPr>
          <w:p>
            <w:pPr>
              <w:widowControl/>
              <w:adjustRightInd w:val="0"/>
              <w:snapToGrid w:val="0"/>
              <w:jc w:val="center"/>
              <w:rPr>
                <w:rFonts w:asciiTheme="minorEastAsia" w:hAnsiTheme="minorEastAsia" w:eastAsiaTheme="minorEastAsia"/>
                <w:kern w:val="0"/>
                <w:szCs w:val="21"/>
              </w:rPr>
            </w:pPr>
            <w:r>
              <w:rPr>
                <w:rFonts w:cs="宋体" w:asciiTheme="minorEastAsia" w:hAnsiTheme="minorEastAsia" w:eastAsiaTheme="minorEastAsia"/>
                <w:szCs w:val="21"/>
              </w:rPr>
              <w:t>9</w:t>
            </w:r>
          </w:p>
        </w:tc>
        <w:tc>
          <w:tcPr>
            <w:tcW w:w="1192"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asciiTheme="minorEastAsia" w:hAnsiTheme="minorEastAsia" w:eastAsiaTheme="minorEastAsia"/>
                <w:sz w:val="21"/>
                <w:szCs w:val="21"/>
              </w:rPr>
              <w:t>供货方案</w:t>
            </w:r>
          </w:p>
        </w:tc>
        <w:tc>
          <w:tcPr>
            <w:tcW w:w="6521" w:type="dxa"/>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供货方案科学合理，内容全面，与本项目契合度高，体现供货能力强，保障度高，得</w:t>
            </w:r>
            <w:r>
              <w:rPr>
                <w:rFonts w:cs="宋体" w:asciiTheme="minorEastAsia" w:hAnsiTheme="minorEastAsia" w:eastAsiaTheme="minorEastAsia"/>
                <w:szCs w:val="21"/>
              </w:rPr>
              <w:t>5</w:t>
            </w:r>
            <w:r>
              <w:rPr>
                <w:rFonts w:hint="eastAsia" w:cs="宋体" w:asciiTheme="minorEastAsia" w:hAnsiTheme="minorEastAsia" w:eastAsiaTheme="minorEastAsia"/>
                <w:szCs w:val="21"/>
              </w:rPr>
              <w:t>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供货方案合理完整，与本项目比较适合，能体现供货能力与保障，得</w:t>
            </w:r>
            <w:r>
              <w:rPr>
                <w:rFonts w:cs="宋体" w:asciiTheme="minorEastAsia" w:hAnsiTheme="minorEastAsia" w:eastAsiaTheme="minorEastAsia"/>
                <w:szCs w:val="21"/>
              </w:rPr>
              <w:t>2</w:t>
            </w:r>
            <w:r>
              <w:rPr>
                <w:rFonts w:hint="eastAsia" w:cs="宋体" w:asciiTheme="minorEastAsia" w:hAnsiTheme="minorEastAsia" w:eastAsiaTheme="minorEastAsia"/>
                <w:szCs w:val="21"/>
              </w:rPr>
              <w:t>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供货方案不合理不完整，得1分</w:t>
            </w:r>
          </w:p>
          <w:p>
            <w:pPr>
              <w:adjustRightInd w:val="0"/>
              <w:snapToGrid w:val="0"/>
              <w:jc w:val="left"/>
              <w:rPr>
                <w:rFonts w:asciiTheme="minorEastAsia" w:hAnsiTheme="minorEastAsia" w:eastAsiaTheme="minorEastAsia"/>
                <w:kern w:val="0"/>
                <w:szCs w:val="21"/>
              </w:rPr>
            </w:pPr>
            <w:r>
              <w:rPr>
                <w:rFonts w:hint="eastAsia" w:cs="宋体" w:asciiTheme="minorEastAsia" w:hAnsiTheme="minorEastAsia" w:eastAsiaTheme="minorEastAsia"/>
                <w:szCs w:val="21"/>
              </w:rPr>
              <w:t>未提供供货方案得0分</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asciiTheme="minorEastAsia" w:hAnsiTheme="minor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46" w:type="dxa"/>
            <w:tcBorders>
              <w:left w:val="single" w:color="auto" w:sz="4" w:space="0"/>
              <w:right w:val="single" w:color="auto" w:sz="4" w:space="0"/>
            </w:tcBorders>
            <w:vAlign w:val="center"/>
          </w:tcPr>
          <w:p>
            <w:pPr>
              <w:widowControl/>
              <w:adjustRightInd w:val="0"/>
              <w:snapToGrid w:val="0"/>
              <w:jc w:val="center"/>
              <w:rPr>
                <w:rFonts w:asciiTheme="minorEastAsia" w:hAnsiTheme="minorEastAsia" w:eastAsiaTheme="minorEastAsia"/>
                <w:kern w:val="0"/>
                <w:szCs w:val="21"/>
              </w:rPr>
            </w:pPr>
            <w:r>
              <w:rPr>
                <w:rFonts w:cs="宋体" w:asciiTheme="minorEastAsia" w:hAnsiTheme="minorEastAsia" w:eastAsiaTheme="minorEastAsia"/>
                <w:szCs w:val="21"/>
              </w:rPr>
              <w:t>10</w:t>
            </w:r>
          </w:p>
        </w:tc>
        <w:tc>
          <w:tcPr>
            <w:tcW w:w="1192" w:type="dxa"/>
            <w:tcBorders>
              <w:top w:val="single" w:color="auto" w:sz="4" w:space="0"/>
              <w:left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asciiTheme="minorEastAsia" w:hAnsiTheme="minorEastAsia" w:eastAsiaTheme="minorEastAsia"/>
                <w:sz w:val="21"/>
                <w:szCs w:val="21"/>
              </w:rPr>
              <w:t>培训方案</w:t>
            </w:r>
          </w:p>
        </w:tc>
        <w:tc>
          <w:tcPr>
            <w:tcW w:w="6521" w:type="dxa"/>
            <w:tcBorders>
              <w:top w:val="single" w:color="auto" w:sz="4" w:space="0"/>
              <w:left w:val="single" w:color="auto" w:sz="4" w:space="0"/>
              <w:right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培训方案计划完善，培训时间安排合理、师资力量雄厚，得：</w:t>
            </w:r>
            <w:r>
              <w:rPr>
                <w:rFonts w:cs="宋体" w:asciiTheme="minorEastAsia" w:hAnsiTheme="minorEastAsia" w:eastAsiaTheme="minorEastAsia"/>
                <w:szCs w:val="21"/>
              </w:rPr>
              <w:t>5</w:t>
            </w:r>
            <w:r>
              <w:rPr>
                <w:rFonts w:hint="eastAsia" w:cs="宋体" w:asciiTheme="minorEastAsia" w:hAnsiTheme="minorEastAsia" w:eastAsiaTheme="minorEastAsia"/>
                <w:szCs w:val="21"/>
              </w:rPr>
              <w:t>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培训方案计划较完善，培训时间安排较合理、师资力量较好，得：</w:t>
            </w:r>
            <w:r>
              <w:rPr>
                <w:rFonts w:cs="宋体" w:asciiTheme="minorEastAsia" w:hAnsiTheme="minorEastAsia" w:eastAsiaTheme="minorEastAsia"/>
                <w:szCs w:val="21"/>
              </w:rPr>
              <w:t>2</w:t>
            </w:r>
            <w:r>
              <w:rPr>
                <w:rFonts w:hint="eastAsia" w:cs="宋体" w:asciiTheme="minorEastAsia" w:hAnsiTheme="minorEastAsia" w:eastAsiaTheme="minorEastAsia"/>
                <w:szCs w:val="21"/>
              </w:rPr>
              <w:t>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培训方案计划不完善，培训时间安排不合理，师资力量较弱，得：1分。</w:t>
            </w:r>
          </w:p>
          <w:p>
            <w:pPr>
              <w:adjustRightInd w:val="0"/>
              <w:snapToGrid w:val="0"/>
              <w:rPr>
                <w:rFonts w:asciiTheme="minorEastAsia" w:hAnsiTheme="minorEastAsia" w:eastAsiaTheme="minorEastAsia"/>
                <w:kern w:val="0"/>
                <w:szCs w:val="21"/>
              </w:rPr>
            </w:pPr>
            <w:r>
              <w:rPr>
                <w:rFonts w:hint="eastAsia" w:cs="宋体" w:asciiTheme="minorEastAsia" w:hAnsiTheme="minorEastAsia" w:eastAsiaTheme="minorEastAsia"/>
                <w:szCs w:val="21"/>
              </w:rPr>
              <w:t>无培训方案不得分。</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asciiTheme="minorEastAsia" w:hAnsiTheme="minor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359" w:type="dxa"/>
            <w:gridSpan w:val="3"/>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合  计</w:t>
            </w:r>
          </w:p>
        </w:tc>
        <w:tc>
          <w:tcPr>
            <w:tcW w:w="708" w:type="dxa"/>
            <w:tcBorders>
              <w:top w:val="single" w:color="auto" w:sz="4" w:space="0"/>
              <w:left w:val="single" w:color="auto" w:sz="4" w:space="0"/>
              <w:bottom w:val="single" w:color="auto" w:sz="4" w:space="0"/>
              <w:right w:val="single" w:color="auto" w:sz="4" w:space="0"/>
            </w:tcBorders>
            <w:vAlign w:val="center"/>
          </w:tcPr>
          <w:p>
            <w:pPr>
              <w:pStyle w:val="45"/>
              <w:adjustRightInd w:val="0"/>
              <w:snapToGrid w:val="0"/>
              <w:spacing w:before="0" w:beforeAutospacing="0" w:after="0" w:afterAutospacing="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100</w:t>
            </w:r>
          </w:p>
        </w:tc>
      </w:tr>
    </w:tbl>
    <w:p>
      <w:pPr>
        <w:rPr>
          <w:rFonts w:ascii="宋体" w:hAnsi="宋体" w:cs="宋体"/>
          <w:b/>
          <w:sz w:val="36"/>
          <w:szCs w:val="36"/>
        </w:rPr>
      </w:pPr>
      <w:r>
        <w:rPr>
          <w:rFonts w:hint="eastAsia" w:ascii="宋体" w:hAnsi="宋体" w:cs="宋体"/>
          <w:b/>
          <w:sz w:val="36"/>
          <w:szCs w:val="36"/>
        </w:rPr>
        <w:br w:type="page"/>
      </w:r>
    </w:p>
    <w:p>
      <w:pPr>
        <w:spacing w:line="360" w:lineRule="auto"/>
        <w:jc w:val="center"/>
        <w:outlineLvl w:val="0"/>
        <w:rPr>
          <w:rFonts w:ascii="宋体" w:hAnsi="宋体" w:cs="宋体"/>
          <w:sz w:val="24"/>
        </w:rPr>
      </w:pPr>
      <w:r>
        <w:rPr>
          <w:rFonts w:hint="eastAsia" w:ascii="宋体" w:hAnsi="宋体" w:cs="宋体"/>
          <w:b/>
          <w:sz w:val="36"/>
          <w:szCs w:val="36"/>
        </w:rPr>
        <w:t>第五章   采购需求</w:t>
      </w:r>
      <w:bookmarkEnd w:id="849"/>
      <w:bookmarkEnd w:id="850"/>
    </w:p>
    <w:p>
      <w:pPr>
        <w:pStyle w:val="3"/>
        <w:numPr>
          <w:ilvl w:val="0"/>
          <w:numId w:val="14"/>
        </w:numPr>
        <w:jc w:val="left"/>
        <w:rPr>
          <w:rFonts w:hAnsi="宋体"/>
          <w:sz w:val="24"/>
          <w:szCs w:val="24"/>
        </w:rPr>
      </w:pPr>
      <w:bookmarkStart w:id="852" w:name="_Toc209958497"/>
      <w:bookmarkStart w:id="853" w:name="_Toc218620571"/>
      <w:r>
        <w:rPr>
          <w:rFonts w:hint="eastAsia" w:hAnsi="宋体"/>
          <w:sz w:val="24"/>
          <w:szCs w:val="24"/>
        </w:rPr>
        <w:t>采购标的</w:t>
      </w:r>
      <w:bookmarkEnd w:id="852"/>
      <w:bookmarkEnd w:id="853"/>
    </w:p>
    <w:p>
      <w:pPr>
        <w:spacing w:line="360" w:lineRule="auto"/>
        <w:contextualSpacing/>
        <w:rPr>
          <w:rFonts w:ascii="宋体" w:hAnsi="宋体" w:cs="宋体"/>
          <w:bCs/>
          <w:sz w:val="24"/>
        </w:rPr>
      </w:pPr>
      <w:r>
        <w:rPr>
          <w:rFonts w:hint="eastAsia" w:ascii="宋体" w:hAnsi="宋体" w:cs="宋体"/>
          <w:bCs/>
          <w:sz w:val="24"/>
        </w:rPr>
        <w:t>1.采购标的（货物需求一览表或简要服务内容及数量）</w:t>
      </w:r>
    </w:p>
    <w:p>
      <w:pPr>
        <w:spacing w:line="360" w:lineRule="auto"/>
        <w:ind w:firstLine="480" w:firstLineChars="200"/>
        <w:rPr>
          <w:rFonts w:ascii="宋体" w:hAnsi="宋体" w:cs="宋体"/>
          <w:sz w:val="24"/>
        </w:rPr>
      </w:pPr>
      <w:r>
        <w:rPr>
          <w:rFonts w:hint="eastAsia" w:ascii="宋体" w:hAnsi="宋体" w:cs="宋体"/>
          <w:sz w:val="24"/>
        </w:rPr>
        <w:t>该项目共分5个包，本招标文件作为整体项目的第5包进行招标，要求投标人需对整包进行投标，中标后不得分包。</w:t>
      </w:r>
    </w:p>
    <w:tbl>
      <w:tblPr>
        <w:tblStyle w:val="51"/>
        <w:tblW w:w="9122"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129"/>
        <w:gridCol w:w="1701"/>
        <w:gridCol w:w="709"/>
        <w:gridCol w:w="2100"/>
        <w:gridCol w:w="17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07" w:type="dxa"/>
            <w:vAlign w:val="center"/>
          </w:tcPr>
          <w:p>
            <w:pPr>
              <w:autoSpaceDE w:val="0"/>
              <w:autoSpaceDN w:val="0"/>
              <w:spacing w:before="86" w:line="211" w:lineRule="auto"/>
              <w:ind w:firstLine="1"/>
              <w:jc w:val="center"/>
              <w:rPr>
                <w:rFonts w:ascii="宋体" w:hAnsi="宋体" w:cs="宋体"/>
                <w:sz w:val="24"/>
              </w:rPr>
            </w:pPr>
            <w:bookmarkStart w:id="854" w:name="OLE_LINK136"/>
            <w:bookmarkStart w:id="855" w:name="OLE_LINK137"/>
            <w:r>
              <w:rPr>
                <w:rFonts w:hint="eastAsia" w:ascii="宋体" w:hAnsi="宋体" w:cs="宋体"/>
                <w:spacing w:val="7"/>
                <w:sz w:val="24"/>
              </w:rPr>
              <w:t>包号</w:t>
            </w:r>
          </w:p>
        </w:tc>
        <w:tc>
          <w:tcPr>
            <w:tcW w:w="2129"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pacing w:val="8"/>
                <w:sz w:val="24"/>
              </w:rPr>
              <w:t>分包名称</w:t>
            </w:r>
          </w:p>
        </w:tc>
        <w:tc>
          <w:tcPr>
            <w:tcW w:w="1701" w:type="dxa"/>
            <w:vAlign w:val="center"/>
          </w:tcPr>
          <w:p>
            <w:pPr>
              <w:jc w:val="center"/>
              <w:rPr>
                <w:bCs/>
                <w:szCs w:val="21"/>
              </w:rPr>
            </w:pPr>
            <w:r>
              <w:rPr>
                <w:bCs/>
                <w:szCs w:val="21"/>
              </w:rPr>
              <w:t>采购包预算金额</w:t>
            </w:r>
            <w:r>
              <w:rPr>
                <w:rFonts w:hint="eastAsia"/>
                <w:bCs/>
                <w:szCs w:val="21"/>
              </w:rPr>
              <w:t>/最高限价</w:t>
            </w:r>
          </w:p>
          <w:p>
            <w:pPr>
              <w:autoSpaceDE w:val="0"/>
              <w:autoSpaceDN w:val="0"/>
              <w:spacing w:before="40" w:line="203" w:lineRule="auto"/>
              <w:ind w:right="-5" w:firstLine="128"/>
              <w:jc w:val="center"/>
              <w:rPr>
                <w:rFonts w:ascii="宋体" w:hAnsi="宋体" w:cs="宋体"/>
                <w:sz w:val="24"/>
              </w:rPr>
            </w:pPr>
            <w:r>
              <w:rPr>
                <w:bCs/>
                <w:szCs w:val="21"/>
              </w:rPr>
              <w:t>（万元）</w:t>
            </w:r>
          </w:p>
        </w:tc>
        <w:tc>
          <w:tcPr>
            <w:tcW w:w="709"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2100"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776"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07" w:type="dxa"/>
            <w:vAlign w:val="center"/>
          </w:tcPr>
          <w:p>
            <w:pPr>
              <w:jc w:val="center"/>
              <w:rPr>
                <w:rFonts w:ascii="宋体" w:hAnsi="宋体" w:cs="宋体"/>
                <w:sz w:val="24"/>
              </w:rPr>
            </w:pPr>
            <w:r>
              <w:rPr>
                <w:rFonts w:hint="eastAsia" w:ascii="宋体" w:hAnsi="宋体" w:cs="宋体"/>
                <w:sz w:val="24"/>
              </w:rPr>
              <w:t>05</w:t>
            </w:r>
          </w:p>
        </w:tc>
        <w:tc>
          <w:tcPr>
            <w:tcW w:w="2129" w:type="dxa"/>
            <w:vAlign w:val="center"/>
          </w:tcPr>
          <w:p>
            <w:pPr>
              <w:jc w:val="center"/>
              <w:rPr>
                <w:rFonts w:ascii="宋体" w:hAnsi="宋体" w:cs="宋体"/>
                <w:sz w:val="24"/>
              </w:rPr>
            </w:pPr>
            <w:r>
              <w:rPr>
                <w:rFonts w:hint="eastAsia" w:ascii="宋体" w:hAnsi="宋体" w:cs="宋体"/>
                <w:sz w:val="24"/>
              </w:rPr>
              <w:t>AED除颤仪购置</w:t>
            </w:r>
          </w:p>
        </w:tc>
        <w:tc>
          <w:tcPr>
            <w:tcW w:w="1701" w:type="dxa"/>
            <w:vAlign w:val="center"/>
          </w:tcPr>
          <w:p>
            <w:pPr>
              <w:jc w:val="center"/>
              <w:rPr>
                <w:rFonts w:ascii="宋体" w:hAnsi="宋体" w:cs="宋体"/>
                <w:sz w:val="24"/>
              </w:rPr>
            </w:pPr>
            <w:r>
              <w:rPr>
                <w:rFonts w:hint="eastAsia" w:ascii="宋体" w:hAnsi="宋体" w:cs="宋体"/>
                <w:sz w:val="24"/>
              </w:rPr>
              <w:t>13.4</w:t>
            </w:r>
          </w:p>
        </w:tc>
        <w:tc>
          <w:tcPr>
            <w:tcW w:w="709" w:type="dxa"/>
            <w:vAlign w:val="center"/>
          </w:tcPr>
          <w:p>
            <w:pPr>
              <w:jc w:val="center"/>
              <w:rPr>
                <w:rFonts w:ascii="宋体" w:hAnsi="宋体" w:cs="宋体"/>
                <w:sz w:val="24"/>
              </w:rPr>
            </w:pPr>
            <w:r>
              <w:rPr>
                <w:bCs/>
                <w:szCs w:val="21"/>
              </w:rPr>
              <w:t>5</w:t>
            </w:r>
            <w:r>
              <w:rPr>
                <w:rFonts w:hint="eastAsia"/>
                <w:bCs/>
                <w:szCs w:val="21"/>
              </w:rPr>
              <w:t>台</w:t>
            </w:r>
          </w:p>
        </w:tc>
        <w:tc>
          <w:tcPr>
            <w:tcW w:w="2100" w:type="dxa"/>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具体详见招标文件 第五章</w:t>
            </w:r>
          </w:p>
        </w:tc>
        <w:tc>
          <w:tcPr>
            <w:tcW w:w="1776"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bl>
    <w:p>
      <w:pPr>
        <w:spacing w:line="360" w:lineRule="auto"/>
        <w:contextualSpacing/>
        <w:rPr>
          <w:rFonts w:ascii="宋体" w:hAnsi="宋体" w:cs="宋体"/>
          <w:bCs/>
          <w:sz w:val="24"/>
        </w:rPr>
      </w:pPr>
      <w:r>
        <w:rPr>
          <w:rFonts w:hint="eastAsia" w:ascii="宋体" w:hAnsi="宋体" w:cs="宋体"/>
          <w:b/>
          <w:bCs/>
          <w:sz w:val="24"/>
        </w:rPr>
        <w:t>注：如满足中小企业政策要求，则投标人应在中小企业声明函中对“所有标的”即“标的名称”项下的所有产品进行声明，对产品的制造商信息进行填报。</w:t>
      </w:r>
    </w:p>
    <w:bookmarkEnd w:id="854"/>
    <w:bookmarkEnd w:id="855"/>
    <w:p>
      <w:pPr>
        <w:pStyle w:val="3"/>
        <w:numPr>
          <w:ilvl w:val="0"/>
          <w:numId w:val="14"/>
        </w:numPr>
        <w:jc w:val="left"/>
        <w:rPr>
          <w:rFonts w:hAnsi="宋体"/>
          <w:sz w:val="24"/>
          <w:szCs w:val="24"/>
        </w:rPr>
      </w:pPr>
      <w:bookmarkStart w:id="856" w:name="_Toc209958498"/>
      <w:bookmarkStart w:id="857" w:name="_Toc218620572"/>
      <w:r>
        <w:rPr>
          <w:rFonts w:hint="eastAsia" w:hAnsi="宋体"/>
          <w:sz w:val="24"/>
          <w:szCs w:val="24"/>
        </w:rPr>
        <w:t>商务要求</w:t>
      </w:r>
      <w:bookmarkEnd w:id="856"/>
      <w:bookmarkEnd w:id="857"/>
    </w:p>
    <w:p>
      <w:pPr>
        <w:tabs>
          <w:tab w:val="left" w:pos="900"/>
          <w:tab w:val="left" w:pos="1980"/>
        </w:tabs>
        <w:spacing w:line="360" w:lineRule="auto"/>
        <w:outlineLvl w:val="1"/>
        <w:rPr>
          <w:rFonts w:ascii="宋体" w:hAnsi="宋体" w:cs="宋体"/>
          <w:b/>
          <w:bCs/>
          <w:sz w:val="24"/>
        </w:rPr>
      </w:pPr>
      <w:bookmarkStart w:id="858" w:name="_Toc194046417"/>
      <w:r>
        <w:rPr>
          <w:rFonts w:hint="eastAsia" w:ascii="宋体" w:hAnsi="宋体" w:cs="宋体"/>
          <w:b/>
          <w:bCs/>
          <w:sz w:val="24"/>
        </w:rPr>
        <w:t>1.供货要求</w:t>
      </w:r>
      <w:bookmarkEnd w:id="858"/>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1.1投标人投标提供的设备必须是全新的，配置与装箱单相符；数量、质量及性能不低于本招标文件中提出的要求；应准确无误地表明设备型号、规格、制造厂商；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1.2所供货物不得侵犯任何第三方知识产权；</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1.3送货地址：采购人指定地点。</w:t>
      </w:r>
    </w:p>
    <w:p>
      <w:pPr>
        <w:tabs>
          <w:tab w:val="left" w:pos="900"/>
          <w:tab w:val="left" w:pos="1980"/>
        </w:tabs>
        <w:spacing w:line="360" w:lineRule="auto"/>
        <w:outlineLvl w:val="1"/>
        <w:rPr>
          <w:rFonts w:ascii="宋体" w:hAnsi="宋体" w:cs="宋体"/>
          <w:b/>
          <w:bCs/>
          <w:sz w:val="24"/>
        </w:rPr>
      </w:pPr>
      <w:bookmarkStart w:id="859" w:name="_Toc194046418"/>
      <w:r>
        <w:rPr>
          <w:rFonts w:hint="eastAsia" w:ascii="宋体" w:hAnsi="宋体" w:cs="宋体"/>
          <w:b/>
          <w:bCs/>
          <w:sz w:val="24"/>
        </w:rPr>
        <w:t>二、售后服务及培训要求</w:t>
      </w:r>
      <w:bookmarkEnd w:id="859"/>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1．安装和调试：</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1.1中标方负责安装、调试、培训及售后服务，所有辅材辅料均包含在报价中。</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1.2中标方负责实施电和网络到桌或者设备指定位置，安装线路需满足国家相关标准。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1.3中标方负责派技术人员到现场免费进行安装调试，直至验收合格；中标方应在货物运抵现场一周前，向买方提供安装调试及运行的进度计划表。</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1.4中标后送样：中标方需满足甲方送样要求，甲方可根据样品及现场实际情况进行调整，以甲方最终结果确认为准。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1.5满足甲方拍摄需求：中标方需满足甲方根据实际情况，双方协商部分设备提前送达现场及完成安装，配合及满足甲方拍摄宣传需求。</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1.6安装调试完成后，甲方进行环境检测，若检测不符合国家相关标准，中标方需按照甲方要求配合整改，直到环境检测合格为止，再进行验收工作，并承担相应责任，无偿配合甲方办公及开学节点需求。</w:t>
      </w:r>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2．技术培训：</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中标方应负责对甲方人员进行专业培训，直至甲方能完全操作（投标人列明具体培训计划方案），提供详细培训计划并定期进行回访。</w:t>
      </w:r>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3．售后服务承诺：</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3.1提供</w:t>
      </w:r>
      <w:r>
        <w:rPr>
          <w:rFonts w:ascii="宋体" w:hAnsi="宋体" w:cs="宋体"/>
          <w:sz w:val="24"/>
        </w:rPr>
        <w:t>2</w:t>
      </w:r>
      <w:r>
        <w:rPr>
          <w:rFonts w:hint="eastAsia" w:ascii="宋体" w:hAnsi="宋体" w:cs="宋体"/>
          <w:sz w:val="24"/>
        </w:rPr>
        <w:t>年或以上质保，具体年限在投标文件中体现。满足相关国家规定，质保时间从全部设备正式验收合格并签署相关文件之日起开始计算（采购需求内特殊要求以采购需求为准）。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3.2 提供免费终身维护。</w:t>
      </w:r>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4．验收标准和验收方法：</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4.1设备按国家行业标准进行验收。</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4.2产品质量达到设计要求，安装调试各项指标符合技术参数。</w:t>
      </w:r>
    </w:p>
    <w:p>
      <w:pPr>
        <w:tabs>
          <w:tab w:val="left" w:pos="900"/>
          <w:tab w:val="left" w:pos="1980"/>
        </w:tabs>
        <w:spacing w:line="360" w:lineRule="auto"/>
        <w:outlineLvl w:val="1"/>
        <w:rPr>
          <w:rFonts w:ascii="宋体" w:hAnsi="宋体" w:cs="宋体"/>
          <w:b/>
          <w:bCs/>
          <w:sz w:val="24"/>
        </w:rPr>
      </w:pPr>
      <w:bookmarkStart w:id="860" w:name="_Toc194046419"/>
      <w:r>
        <w:rPr>
          <w:rFonts w:hint="eastAsia" w:ascii="宋体" w:hAnsi="宋体" w:cs="宋体"/>
          <w:b/>
          <w:bCs/>
          <w:sz w:val="24"/>
        </w:rPr>
        <w:t>三、付款方式</w:t>
      </w:r>
      <w:bookmarkEnd w:id="860"/>
    </w:p>
    <w:p>
      <w:pPr>
        <w:tabs>
          <w:tab w:val="left" w:pos="900"/>
          <w:tab w:val="left" w:pos="1980"/>
        </w:tabs>
        <w:spacing w:line="360" w:lineRule="auto"/>
        <w:rPr>
          <w:rFonts w:ascii="宋体" w:hAnsi="宋体" w:cs="宋体"/>
          <w:b/>
          <w:bCs/>
          <w:sz w:val="24"/>
        </w:rPr>
      </w:pPr>
      <w:r>
        <w:rPr>
          <w:rFonts w:hint="eastAsia" w:ascii="宋体" w:hAnsi="宋体" w:cs="宋体"/>
          <w:sz w:val="24"/>
        </w:rPr>
        <w:t>1．合同签订后，支付合同金额的</w:t>
      </w:r>
      <w:r>
        <w:rPr>
          <w:rFonts w:ascii="宋体" w:hAnsi="宋体" w:cs="宋体"/>
          <w:sz w:val="24"/>
        </w:rPr>
        <w:t>5</w:t>
      </w:r>
      <w:r>
        <w:rPr>
          <w:rFonts w:hint="eastAsia" w:ascii="宋体" w:hAnsi="宋体" w:cs="宋体"/>
          <w:sz w:val="24"/>
        </w:rPr>
        <w:t>0%。货到现场并完成安装、调试、验收合格等工作后，支付不高于合同金额的</w:t>
      </w:r>
      <w:r>
        <w:rPr>
          <w:rFonts w:ascii="宋体" w:hAnsi="宋体" w:cs="宋体"/>
          <w:sz w:val="24"/>
        </w:rPr>
        <w:t>3</w:t>
      </w:r>
      <w:r>
        <w:rPr>
          <w:rFonts w:hint="eastAsia" w:ascii="宋体" w:hAnsi="宋体" w:cs="宋体"/>
          <w:sz w:val="24"/>
        </w:rPr>
        <w:t>0%。验收合格之日起六个月后无质量问题，支付剩余合同金额。最终付款时间以财政拨款为准，因财政资金按照相关程序和资金计划拨付本项目各项费用，因此拨付周期较长，所以中标方不得就甲方因费用拨付不到位而因此导致的逾期付款提出索赔</w:t>
      </w:r>
      <w:r>
        <w:rPr>
          <w:rFonts w:hint="eastAsia" w:ascii="宋体" w:hAnsi="宋体" w:cs="宋体"/>
          <w:b/>
          <w:bCs/>
          <w:sz w:val="24"/>
        </w:rPr>
        <w:t>。</w:t>
      </w:r>
    </w:p>
    <w:p>
      <w:pPr>
        <w:tabs>
          <w:tab w:val="left" w:pos="900"/>
          <w:tab w:val="left" w:pos="1980"/>
        </w:tabs>
        <w:spacing w:line="360" w:lineRule="auto"/>
        <w:rPr>
          <w:rFonts w:ascii="宋体" w:hAnsi="宋体" w:cs="宋体"/>
          <w:sz w:val="24"/>
        </w:rPr>
      </w:pPr>
      <w:r>
        <w:rPr>
          <w:rFonts w:hint="eastAsia" w:ascii="宋体" w:hAnsi="宋体"/>
          <w:sz w:val="24"/>
          <w:szCs w:val="22"/>
        </w:rPr>
        <w:t>2．每次付款之前，中标方应按照甲方要求出具等额合规的增值税发票，如中标方提供的发票金额少于付款金额，甲方有权依据发票金额进行付款。因中标方未及时向甲方开具发票或因其开具的发票不规范、不合法或涉嫌虚开发票等问题，甲方有权拒绝付款且不构成违约。</w:t>
      </w:r>
    </w:p>
    <w:p>
      <w:pPr>
        <w:pStyle w:val="3"/>
        <w:numPr>
          <w:ilvl w:val="0"/>
          <w:numId w:val="14"/>
        </w:numPr>
        <w:jc w:val="left"/>
        <w:rPr>
          <w:rFonts w:hAnsi="宋体"/>
          <w:sz w:val="24"/>
          <w:szCs w:val="24"/>
        </w:rPr>
      </w:pPr>
      <w:bookmarkStart w:id="861" w:name="OLE_LINK140"/>
      <w:bookmarkStart w:id="862" w:name="_Toc209958503"/>
      <w:bookmarkStart w:id="863" w:name="_Toc218620573"/>
      <w:bookmarkStart w:id="864" w:name="OLE_LINK138"/>
      <w:bookmarkStart w:id="865" w:name="OLE_LINK116"/>
      <w:bookmarkStart w:id="866" w:name="OLE_LINK115"/>
      <w:r>
        <w:rPr>
          <w:rFonts w:hint="eastAsia" w:hAnsi="宋体"/>
          <w:sz w:val="24"/>
          <w:szCs w:val="24"/>
        </w:rPr>
        <w:t>技术要求</w:t>
      </w:r>
      <w:bookmarkEnd w:id="861"/>
      <w:bookmarkEnd w:id="862"/>
      <w:bookmarkEnd w:id="863"/>
      <w:bookmarkEnd w:id="864"/>
    </w:p>
    <w:bookmarkEnd w:id="865"/>
    <w:bookmarkEnd w:id="866"/>
    <w:p>
      <w:pPr>
        <w:pStyle w:val="4"/>
        <w:jc w:val="left"/>
        <w:rPr>
          <w:rFonts w:ascii="宋体" w:hAnsi="宋体" w:eastAsia="宋体"/>
          <w:sz w:val="24"/>
          <w:szCs w:val="24"/>
        </w:rPr>
      </w:pPr>
      <w:r>
        <w:rPr>
          <w:rFonts w:hint="eastAsia" w:ascii="宋体" w:hAnsi="宋体" w:eastAsia="宋体"/>
          <w:sz w:val="24"/>
          <w:szCs w:val="24"/>
        </w:rPr>
        <w:t>1.基本要求</w:t>
      </w:r>
    </w:p>
    <w:p>
      <w:pPr>
        <w:spacing w:line="360" w:lineRule="auto"/>
        <w:contextualSpacing/>
        <w:rPr>
          <w:rFonts w:ascii="宋体" w:hAnsi="宋体" w:cs="宋体"/>
          <w:b/>
          <w:bCs/>
          <w:sz w:val="24"/>
        </w:rPr>
      </w:pPr>
      <w:r>
        <w:rPr>
          <w:rFonts w:hint="eastAsia" w:ascii="宋体" w:hAnsi="宋体" w:cs="宋体"/>
          <w:b/>
          <w:bCs/>
          <w:sz w:val="24"/>
        </w:rPr>
        <w:t>1.1采购标的需实现的功能或者目标</w:t>
      </w:r>
    </w:p>
    <w:p>
      <w:pPr>
        <w:adjustRightInd w:val="0"/>
        <w:snapToGrid w:val="0"/>
        <w:spacing w:line="360" w:lineRule="auto"/>
        <w:ind w:firstLine="480" w:firstLineChars="200"/>
        <w:rPr>
          <w:rFonts w:ascii="宋体" w:hAnsi="宋体" w:cs="宋体"/>
          <w:sz w:val="24"/>
        </w:rPr>
      </w:pPr>
      <w:r>
        <w:rPr>
          <w:rFonts w:hint="eastAsia" w:ascii="宋体" w:hAnsi="宋体"/>
          <w:bCs/>
          <w:sz w:val="24"/>
        </w:rPr>
        <w:t>满足北京第四实验学校实际办学需求。</w:t>
      </w:r>
    </w:p>
    <w:p>
      <w:pPr>
        <w:spacing w:line="360" w:lineRule="auto"/>
        <w:contextualSpacing/>
        <w:rPr>
          <w:rFonts w:ascii="宋体" w:hAnsi="宋体" w:cs="宋体"/>
          <w:b/>
          <w:bCs/>
          <w:sz w:val="24"/>
        </w:rPr>
      </w:pPr>
      <w:r>
        <w:rPr>
          <w:rFonts w:hint="eastAsia" w:ascii="宋体" w:hAnsi="宋体" w:cs="宋体"/>
          <w:b/>
          <w:bCs/>
          <w:sz w:val="24"/>
        </w:rPr>
        <w:t>1.2需执行的国家相关标准、行业标准、地方标准或者其他标准、规范</w:t>
      </w:r>
    </w:p>
    <w:p>
      <w:pPr>
        <w:spacing w:line="360" w:lineRule="auto"/>
        <w:ind w:firstLine="480" w:firstLineChars="200"/>
        <w:contextualSpacing/>
        <w:rPr>
          <w:rFonts w:ascii="宋体" w:hAnsi="宋体" w:cs="宋体"/>
          <w:sz w:val="24"/>
        </w:rPr>
      </w:pPr>
      <w:r>
        <w:rPr>
          <w:rFonts w:hint="eastAsia" w:ascii="宋体" w:hAnsi="宋体" w:cs="宋体"/>
          <w:sz w:val="24"/>
        </w:rPr>
        <w:t>按照国家或行业内相关标准及规范及本项目规定的标准与法规的最高标准执行，</w:t>
      </w:r>
      <w:r>
        <w:rPr>
          <w:rFonts w:ascii="宋体" w:hAnsi="宋体" w:cs="宋体"/>
          <w:sz w:val="24"/>
        </w:rPr>
        <w:t>且若前述标准或规范存在最新版本，</w:t>
      </w:r>
      <w:r>
        <w:rPr>
          <w:rFonts w:hint="eastAsia" w:ascii="宋体" w:hAnsi="宋体" w:cs="宋体"/>
          <w:sz w:val="24"/>
        </w:rPr>
        <w:t>则</w:t>
      </w:r>
      <w:r>
        <w:rPr>
          <w:rFonts w:ascii="宋体" w:hAnsi="宋体" w:cs="宋体"/>
          <w:sz w:val="24"/>
        </w:rPr>
        <w:t>以该最新版本为准</w:t>
      </w:r>
      <w:r>
        <w:rPr>
          <w:rFonts w:hint="eastAsia" w:ascii="宋体" w:hAnsi="宋体" w:cs="宋体"/>
          <w:sz w:val="24"/>
        </w:rPr>
        <w:t>。</w:t>
      </w:r>
    </w:p>
    <w:p>
      <w:pPr>
        <w:pStyle w:val="4"/>
        <w:jc w:val="lef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货物技术要求</w:t>
      </w:r>
    </w:p>
    <w:p>
      <w:pPr>
        <w:pStyle w:val="4"/>
        <w:jc w:val="left"/>
        <w:rPr>
          <w:rFonts w:ascii="宋体" w:hAnsi="宋体" w:eastAsia="宋体" w:cs="宋体"/>
          <w:spacing w:val="-1"/>
          <w:sz w:val="24"/>
          <w:szCs w:val="24"/>
        </w:rPr>
      </w:pPr>
      <w:r>
        <w:rPr>
          <w:rFonts w:hint="eastAsia" w:ascii="宋体" w:hAnsi="宋体" w:eastAsia="宋体"/>
          <w:sz w:val="24"/>
          <w:szCs w:val="24"/>
        </w:rPr>
        <w:t>2.1</w:t>
      </w:r>
      <w:r>
        <w:rPr>
          <w:rFonts w:hint="eastAsia" w:ascii="宋体" w:hAnsi="宋体" w:eastAsia="宋体" w:cs="宋体"/>
          <w:spacing w:val="-1"/>
          <w:sz w:val="24"/>
          <w:szCs w:val="24"/>
        </w:rPr>
        <w:t>采购标的需满足的性能、材料、结构、外观、质量、安全、技术规格、物理特性等要求</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说明：一般指标项指未标注“#”、“★”号的条款。</w:t>
      </w:r>
    </w:p>
    <w:tbl>
      <w:tblPr>
        <w:tblStyle w:val="51"/>
        <w:tblW w:w="8661" w:type="dxa"/>
        <w:tblInd w:w="93" w:type="dxa"/>
        <w:tblLayout w:type="fixed"/>
        <w:tblCellMar>
          <w:top w:w="0" w:type="dxa"/>
          <w:left w:w="108" w:type="dxa"/>
          <w:bottom w:w="0" w:type="dxa"/>
          <w:right w:w="108" w:type="dxa"/>
        </w:tblCellMar>
      </w:tblPr>
      <w:tblGrid>
        <w:gridCol w:w="689"/>
        <w:gridCol w:w="1463"/>
        <w:gridCol w:w="5009"/>
        <w:gridCol w:w="624"/>
        <w:gridCol w:w="876"/>
      </w:tblGrid>
      <w:tr>
        <w:tblPrEx>
          <w:tblCellMar>
            <w:top w:w="0" w:type="dxa"/>
            <w:left w:w="108" w:type="dxa"/>
            <w:bottom w:w="0" w:type="dxa"/>
            <w:right w:w="108" w:type="dxa"/>
          </w:tblCellMar>
        </w:tblPrEx>
        <w:trPr>
          <w:trHeight w:val="604" w:hRule="atLeast"/>
        </w:trPr>
        <w:tc>
          <w:tcPr>
            <w:tcW w:w="6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序号</w:t>
            </w: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项目明细名称</w:t>
            </w:r>
          </w:p>
        </w:tc>
        <w:tc>
          <w:tcPr>
            <w:tcW w:w="5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内容描述</w:t>
            </w:r>
          </w:p>
        </w:tc>
        <w:tc>
          <w:tcPr>
            <w:tcW w:w="6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单位</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数量</w:t>
            </w:r>
          </w:p>
        </w:tc>
      </w:tr>
      <w:tr>
        <w:tblPrEx>
          <w:tblCellMar>
            <w:top w:w="0" w:type="dxa"/>
            <w:left w:w="108" w:type="dxa"/>
            <w:bottom w:w="0" w:type="dxa"/>
            <w:right w:w="108" w:type="dxa"/>
          </w:tblCellMar>
        </w:tblPrEx>
        <w:trPr>
          <w:trHeight w:val="4560" w:hRule="atLeast"/>
        </w:trPr>
        <w:tc>
          <w:tcPr>
            <w:tcW w:w="6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AED 急救仪</w:t>
            </w:r>
          </w:p>
        </w:tc>
        <w:tc>
          <w:tcPr>
            <w:tcW w:w="5009"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color w:val="000000"/>
                <w:kern w:val="0"/>
                <w:sz w:val="20"/>
                <w:szCs w:val="20"/>
                <w:lang w:bidi="ar"/>
              </w:rPr>
            </w:pPr>
            <w:r>
              <w:rPr>
                <w:rFonts w:hint="eastAsia" w:ascii="新宋体" w:hAnsi="新宋体" w:eastAsia="新宋体"/>
                <w:b/>
                <w:kern w:val="0"/>
                <w:sz w:val="20"/>
                <w:szCs w:val="20"/>
              </w:rPr>
              <w:t>标注#号项技术指标需提供相应证明文件 (如产品技术说明书、技术白皮书、产品彩页等之一均可)</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1、设备主机具有≥7寸彩色显示屏，分辨率≥800×480像素，支持动画指导用户执行急救操作，心电波形显示时间≥6S；</w:t>
            </w:r>
            <w:r>
              <w:rPr>
                <w:rFonts w:ascii="宋体" w:hAnsi="宋体" w:cs="宋体"/>
                <w:color w:val="000000"/>
                <w:kern w:val="0"/>
                <w:sz w:val="20"/>
                <w:szCs w:val="20"/>
                <w:lang w:bidi="ar"/>
              </w:rPr>
              <w:t xml:space="preserve"> </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#2、电池电量显示比较精准，采用百分比的显示模式；</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#3、设备使用简单，支持全自动除颤功能；</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4、主机、电池和电极片防水防尘均达到≥IP55等级；</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5、设备从≥1.5米高度分别以每个角、边和面朝下跌落无损；</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#6、设备</w:t>
            </w:r>
            <w:r>
              <w:rPr>
                <w:rFonts w:ascii="宋体" w:hAnsi="宋体" w:cs="宋体"/>
                <w:color w:val="000000"/>
                <w:kern w:val="0"/>
                <w:sz w:val="20"/>
                <w:szCs w:val="20"/>
                <w:lang w:bidi="ar"/>
              </w:rPr>
              <w:t>具备NMPA认证，符合GB9706.204-2022要求</w:t>
            </w:r>
            <w:r>
              <w:rPr>
                <w:rFonts w:hint="eastAsia" w:ascii="宋体" w:hAnsi="宋体" w:cs="宋体"/>
                <w:color w:val="000000"/>
                <w:kern w:val="0"/>
                <w:sz w:val="20"/>
                <w:szCs w:val="20"/>
                <w:lang w:bidi="ar"/>
              </w:rPr>
              <w:t>；</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7、支持工频干扰抑制功能及起搏脉冲抑制功能，共模抑制能力≥106dB；</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#8、支持多挡位除颤能量调节，成人模式挡位≥6种，小儿模式挡位≥7种，电击能量可配置；</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#9、设备操作便捷，支持开盖开机，主机操作面板上的操作键数量：≤2个，（屏幕操作属于按键）（提供使用说明书和主机操作面板实物图证明材料）；</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10、具有显示屏亮度调节功能，支持根据环境光强度自动调节屏幕显示亮度，适应野外强光环境下使用；</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11、支持多级音量功能，支持自动调节音量，最大音量≥85dB；</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12、可存储≥4500份自检报告，≥4500条事件记录，≥8小时ECG波形，具备录音功能，可保存≥100分钟抢救现场录音；</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#13、数据传输和存储：支持内置无线数据传输功能；可存储记录数据，自检记录、ECG波形记录、事件数据、现场录音记录等；支持USB、Micro USB接口，可通过外部闪存设备导出抢救记录数据；</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14、电池后盖采用螺丝紧固设计，提高电池的连接可靠性和密封性能，确保电池在使用过程中的稳定性和安全性；</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15、最高运行环境温度不高于50℃，最低运行环境温度不低于-5℃，且从室温环境下进入-20℃环境后，至少能工作60分钟；最高工作湿度不高于95%（非冷凝），最低工作湿度不低于0%（非冷凝）；</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#16、支持配置按压反馈传感器，辅助提升按压质量。具有按压频率、按压深度显示，并能发出语音提示，引导施救者进行心肺复苏操作。（提供原厂说明书或检测报告）</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#17、支持配套电极片可检测CPR按压频率，并可在屏幕上实时显示且提供不同颜色反馈，提高心肺复苏质量。（提供原厂说明书或检测报告）</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18、最高除颤能量360J，成人首次放电能量不高于200J；</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19、默认逐次递增输出能量为200-300-360J。支持手动设置除颤能量， 除颤能量范围成人从100-360J可预设，小儿除颤能量范围从10J-100J可预设；</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20、设备的除颤能量精度≤±10%；</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#21、采用双相波技术，双相指数截断（BTE）波形，波形参数可根据病人阻抗进行自动补偿，病人阻抗范围：20-300Ω；</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22、设备开机充电到200J能量完成时间＜8秒、充电到360J完在时间＜15秒，ECG分析最快可≤6秒完成；</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23、除颤后ECG波形恢复的时间≤2S；</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24、电极片有效期≥60个月；</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25、主机具有电极片收纳仓，用于存放电极片，自带电极片电缆整理线槽。（需提供产品实物图证明材料）；</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26、可检测电池低电量并给出报警提示，至少可持续30分钟工作时间和至少10次200J除颤放电或至少6 次360J 除颤放电；</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#27、至少可支持≥360次200J除颤治疗或210次360J除颤冶疗，需提供产品说明书；</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28、柜子结构：双层柜子+钢化玻璃可视窗+声光报警器上层柜子：存放AED，下层柜子：存放急救包或消防器械。</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柜子尺寸：≥360*170*1400mm可视窗：≥4.0mm厚玻璃可视窗，透光率：≥95%</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柜子材料：≥1.2mm冷轧板</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门锁类型：不锈钢把手</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柜门类型：自吸式</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声光报警器：报警灯+内置电池</w:t>
            </w:r>
          </w:p>
          <w:p>
            <w:pPr>
              <w:widowControl/>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三角牌材质：冷轧板</w:t>
            </w:r>
          </w:p>
          <w:p>
            <w:pPr>
              <w:widowControl/>
              <w:textAlignment w:val="center"/>
              <w:rPr>
                <w:rFonts w:ascii="宋体" w:hAnsi="宋体" w:cs="宋体"/>
                <w:color w:val="000000"/>
                <w:sz w:val="20"/>
                <w:szCs w:val="20"/>
              </w:rPr>
            </w:pPr>
            <w:r>
              <w:rPr>
                <w:rFonts w:hint="eastAsia" w:ascii="宋体" w:hAnsi="宋体" w:cs="宋体"/>
                <w:color w:val="000000"/>
                <w:kern w:val="0"/>
                <w:sz w:val="20"/>
                <w:szCs w:val="20"/>
                <w:lang w:bidi="ar"/>
              </w:rPr>
              <w:t>表面处理：静电粉喷涂/户外粉，喷涂均匀柜子颜色：红色+白色</w:t>
            </w:r>
          </w:p>
        </w:tc>
        <w:tc>
          <w:tcPr>
            <w:tcW w:w="6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sz w:val="20"/>
                <w:szCs w:val="20"/>
              </w:rPr>
              <w:t>台</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5</w:t>
            </w:r>
          </w:p>
        </w:tc>
      </w:tr>
    </w:tbl>
    <w:p>
      <w:pPr>
        <w:widowControl/>
        <w:jc w:val="left"/>
        <w:rPr>
          <w:rFonts w:ascii="宋体" w:hAnsi="宋体"/>
          <w:sz w:val="24"/>
        </w:rPr>
      </w:pPr>
    </w:p>
    <w:p>
      <w:pPr>
        <w:pStyle w:val="4"/>
        <w:jc w:val="both"/>
        <w:rPr>
          <w:rFonts w:ascii="宋体" w:hAnsi="宋体" w:eastAsia="宋体"/>
          <w:sz w:val="24"/>
          <w:szCs w:val="24"/>
        </w:rPr>
      </w:pPr>
      <w:r>
        <w:rPr>
          <w:rFonts w:hint="eastAsia" w:ascii="宋体" w:hAnsi="宋体" w:eastAsia="宋体"/>
          <w:sz w:val="24"/>
          <w:szCs w:val="24"/>
        </w:rPr>
        <w:t>2.2为落实政府采购政策需满足的要求</w:t>
      </w:r>
    </w:p>
    <w:p>
      <w:pPr>
        <w:snapToGrid w:val="0"/>
        <w:spacing w:line="360" w:lineRule="auto"/>
        <w:ind w:firstLine="480" w:firstLineChars="200"/>
        <w:rPr>
          <w:rFonts w:ascii="宋体" w:hAnsi="宋体" w:cs="宋体"/>
          <w:sz w:val="24"/>
        </w:rPr>
      </w:pPr>
      <w:r>
        <w:rPr>
          <w:rFonts w:hint="eastAsia" w:ascii="宋体" w:hAnsi="宋体" w:cs="宋体"/>
          <w:sz w:val="24"/>
        </w:rPr>
        <w:t>包号05不专门面向中小企业采购。</w:t>
      </w:r>
    </w:p>
    <w:p>
      <w:pPr>
        <w:pStyle w:val="4"/>
        <w:spacing w:line="360" w:lineRule="auto"/>
        <w:jc w:val="left"/>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3采购标的的其他技术、服务等要求</w:t>
      </w:r>
    </w:p>
    <w:p>
      <w:pPr>
        <w:spacing w:line="360" w:lineRule="auto"/>
        <w:contextualSpacing/>
        <w:rPr>
          <w:rFonts w:ascii="宋体" w:hAnsi="宋体" w:cs="宋体"/>
          <w:sz w:val="24"/>
        </w:rPr>
      </w:pPr>
      <w:r>
        <w:rPr>
          <w:rFonts w:hint="eastAsia" w:ascii="宋体" w:hAnsi="宋体" w:cs="宋体"/>
          <w:sz w:val="24"/>
        </w:rPr>
        <w:t>/</w:t>
      </w:r>
    </w:p>
    <w:p>
      <w:pPr>
        <w:pStyle w:val="4"/>
        <w:spacing w:line="360" w:lineRule="auto"/>
        <w:jc w:val="left"/>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验收标准</w:t>
      </w:r>
    </w:p>
    <w:p>
      <w:pPr>
        <w:spacing w:line="360" w:lineRule="auto"/>
        <w:ind w:firstLine="480" w:firstLineChars="200"/>
        <w:rPr>
          <w:rFonts w:ascii="宋体" w:hAnsi="宋体"/>
          <w:sz w:val="24"/>
        </w:rPr>
      </w:pPr>
      <w:r>
        <w:rPr>
          <w:rFonts w:hint="eastAsia" w:ascii="宋体" w:hAnsi="宋体"/>
          <w:sz w:val="24"/>
        </w:rPr>
        <w:t>3.1交付要求：合同签订生效后，计划于202</w:t>
      </w:r>
      <w:r>
        <w:rPr>
          <w:rFonts w:hint="eastAsia" w:ascii="宋体" w:hAnsi="宋体"/>
          <w:sz w:val="24"/>
          <w:lang w:val="en-US" w:eastAsia="zh-CN"/>
        </w:rPr>
        <w:t>6</w:t>
      </w:r>
      <w:r>
        <w:rPr>
          <w:rFonts w:hint="eastAsia" w:ascii="宋体" w:hAnsi="宋体"/>
          <w:sz w:val="24"/>
        </w:rPr>
        <w:t>年8月20日之前完成供货、安装、调试、验收，具体进场时间以采购人通知为准。同时服从学校主体工程竣工验收及开学前等工作安排。交货地点：甲方指定地点。</w:t>
      </w:r>
    </w:p>
    <w:p>
      <w:pPr>
        <w:spacing w:line="360" w:lineRule="auto"/>
        <w:ind w:firstLine="480" w:firstLineChars="200"/>
        <w:rPr>
          <w:rFonts w:ascii="宋体" w:hAnsi="宋体"/>
          <w:sz w:val="24"/>
        </w:rPr>
      </w:pPr>
      <w:r>
        <w:rPr>
          <w:rFonts w:hint="eastAsia" w:ascii="宋体" w:hAnsi="宋体"/>
          <w:sz w:val="24"/>
        </w:rPr>
        <w:t>3.2投标人保证所有货物均可以安装并使用，投标人所递交的产品经过甲方确认可以根据实际情况进行大小调整但是不能影响使用，如果未经甲方确认或不能使用的甲方拒收并不支付此项费用。</w:t>
      </w:r>
    </w:p>
    <w:p>
      <w:pPr>
        <w:spacing w:line="360" w:lineRule="auto"/>
        <w:ind w:firstLine="723" w:firstLineChars="200"/>
        <w:rPr>
          <w:rFonts w:ascii="宋体" w:hAnsi="宋体"/>
          <w:color w:val="000000"/>
          <w:sz w:val="24"/>
        </w:rPr>
      </w:pPr>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867" w:name="_Toc218620574"/>
      <w:r>
        <w:rPr>
          <w:rFonts w:hint="eastAsia" w:ascii="宋体" w:hAnsi="宋体" w:cs="宋体"/>
          <w:b/>
          <w:color w:val="000000" w:themeColor="text1"/>
          <w:sz w:val="36"/>
          <w:szCs w:val="36"/>
          <w14:textFill>
            <w14:solidFill>
              <w14:schemeClr w14:val="tx1"/>
            </w14:solidFill>
          </w14:textFill>
        </w:rPr>
        <w:t>第六章   拟签订的合同文本</w:t>
      </w:r>
      <w:bookmarkEnd w:id="851"/>
      <w:bookmarkEnd w:id="867"/>
    </w:p>
    <w:p>
      <w:pPr>
        <w:spacing w:line="360" w:lineRule="auto"/>
        <w:jc w:val="center"/>
        <w:rPr>
          <w:rFonts w:ascii="宋体" w:hAnsi="宋体" w:cs="宋体"/>
          <w:b/>
          <w:color w:val="000000"/>
          <w:sz w:val="48"/>
          <w:szCs w:val="48"/>
        </w:rPr>
      </w:pPr>
    </w:p>
    <w:p>
      <w:pPr>
        <w:widowControl/>
        <w:jc w:val="left"/>
        <w:rPr>
          <w:rFonts w:ascii="宋体" w:hAnsi="宋体" w:cs="宋体"/>
          <w:b/>
          <w:bCs/>
          <w:color w:val="000000"/>
          <w:sz w:val="48"/>
          <w:szCs w:val="48"/>
        </w:rPr>
      </w:pPr>
      <w:r>
        <w:rPr>
          <w:rFonts w:ascii="宋体" w:hAnsi="宋体" w:cs="宋体"/>
          <w:b/>
          <w:bCs/>
          <w:color w:val="000000"/>
          <w:sz w:val="48"/>
          <w:szCs w:val="48"/>
        </w:rPr>
        <w:br w:type="page"/>
      </w:r>
    </w:p>
    <w:p>
      <w:pPr>
        <w:tabs>
          <w:tab w:val="left" w:pos="3240"/>
          <w:tab w:val="left" w:pos="3420"/>
        </w:tabs>
        <w:spacing w:line="360" w:lineRule="auto"/>
        <w:jc w:val="center"/>
        <w:rPr>
          <w:rFonts w:ascii="宋体" w:hAnsi="宋体" w:cs="宋体"/>
          <w:bCs/>
          <w:sz w:val="36"/>
          <w:szCs w:val="36"/>
        </w:rPr>
      </w:pPr>
      <w:bookmarkStart w:id="868" w:name="_Toc99301426"/>
      <w:r>
        <w:rPr>
          <w:rFonts w:hint="eastAsia" w:ascii="宋体" w:hAnsi="宋体" w:cs="宋体"/>
          <w:bCs/>
          <w:sz w:val="36"/>
          <w:szCs w:val="36"/>
        </w:rPr>
        <w:t>北京第四实验学校教育教学设备购置项目（二期）</w:t>
      </w:r>
    </w:p>
    <w:p>
      <w:pPr>
        <w:tabs>
          <w:tab w:val="left" w:pos="2415"/>
          <w:tab w:val="left" w:pos="9181"/>
        </w:tabs>
        <w:spacing w:line="360" w:lineRule="auto"/>
        <w:jc w:val="center"/>
        <w:rPr>
          <w:sz w:val="36"/>
          <w:szCs w:val="36"/>
          <w:u w:val="single"/>
        </w:rPr>
      </w:pPr>
      <w:bookmarkStart w:id="869" w:name="_bookmark94"/>
      <w:bookmarkEnd w:id="869"/>
    </w:p>
    <w:p>
      <w:pPr>
        <w:tabs>
          <w:tab w:val="left" w:pos="2415"/>
          <w:tab w:val="left" w:pos="9181"/>
        </w:tabs>
        <w:spacing w:line="360" w:lineRule="auto"/>
        <w:jc w:val="center"/>
        <w:rPr>
          <w:sz w:val="36"/>
          <w:szCs w:val="36"/>
          <w:u w:val="single"/>
        </w:rPr>
      </w:pPr>
    </w:p>
    <w:p>
      <w:pPr>
        <w:tabs>
          <w:tab w:val="left" w:pos="2415"/>
          <w:tab w:val="left" w:pos="9181"/>
        </w:tabs>
        <w:spacing w:line="360" w:lineRule="auto"/>
        <w:jc w:val="center"/>
        <w:rPr>
          <w:sz w:val="36"/>
          <w:szCs w:val="36"/>
          <w:u w:val="single"/>
        </w:rPr>
      </w:pPr>
    </w:p>
    <w:p>
      <w:pPr>
        <w:tabs>
          <w:tab w:val="left" w:pos="2415"/>
          <w:tab w:val="left" w:pos="9181"/>
        </w:tabs>
        <w:spacing w:line="360" w:lineRule="auto"/>
        <w:jc w:val="center"/>
        <w:rPr>
          <w:sz w:val="36"/>
          <w:szCs w:val="36"/>
          <w:u w:val="single"/>
        </w:rPr>
      </w:pPr>
    </w:p>
    <w:p>
      <w:pPr>
        <w:tabs>
          <w:tab w:val="left" w:pos="2415"/>
          <w:tab w:val="left" w:pos="9181"/>
        </w:tabs>
        <w:spacing w:line="360" w:lineRule="auto"/>
        <w:jc w:val="center"/>
        <w:rPr>
          <w:sz w:val="36"/>
          <w:szCs w:val="36"/>
          <w:u w:val="single"/>
        </w:rPr>
      </w:pPr>
    </w:p>
    <w:p>
      <w:pPr>
        <w:spacing w:line="360" w:lineRule="auto"/>
        <w:jc w:val="center"/>
        <w:rPr>
          <w:b/>
          <w:sz w:val="52"/>
          <w:szCs w:val="52"/>
        </w:rPr>
      </w:pPr>
      <w:r>
        <w:rPr>
          <w:rFonts w:hint="eastAsia"/>
          <w:b/>
          <w:sz w:val="52"/>
          <w:szCs w:val="52"/>
        </w:rPr>
        <w:t>采 购 合 同</w:t>
      </w:r>
    </w:p>
    <w:p>
      <w:pPr>
        <w:spacing w:line="360" w:lineRule="auto"/>
        <w:jc w:val="center"/>
        <w:rPr>
          <w:b/>
          <w:sz w:val="44"/>
        </w:rPr>
      </w:pPr>
    </w:p>
    <w:p>
      <w:pPr>
        <w:spacing w:line="360" w:lineRule="auto"/>
        <w:jc w:val="center"/>
        <w:rPr>
          <w:b/>
          <w:sz w:val="44"/>
        </w:rPr>
      </w:pPr>
    </w:p>
    <w:p>
      <w:pPr>
        <w:spacing w:line="360" w:lineRule="auto"/>
        <w:jc w:val="center"/>
        <w:rPr>
          <w:b/>
          <w:sz w:val="44"/>
        </w:rPr>
      </w:pPr>
    </w:p>
    <w:p>
      <w:pPr>
        <w:spacing w:line="360" w:lineRule="auto"/>
        <w:jc w:val="center"/>
        <w:rPr>
          <w:b/>
          <w:sz w:val="44"/>
        </w:rPr>
      </w:pPr>
    </w:p>
    <w:p>
      <w:pPr>
        <w:spacing w:line="360" w:lineRule="auto"/>
        <w:jc w:val="center"/>
        <w:rPr>
          <w:b/>
          <w:sz w:val="44"/>
        </w:rPr>
      </w:pPr>
    </w:p>
    <w:p>
      <w:pPr>
        <w:tabs>
          <w:tab w:val="left" w:pos="4203"/>
        </w:tabs>
        <w:spacing w:line="360" w:lineRule="auto"/>
        <w:ind w:firstLine="2240" w:firstLineChars="800"/>
        <w:rPr>
          <w:sz w:val="28"/>
        </w:rPr>
      </w:pPr>
      <w:bookmarkStart w:id="870" w:name="_Toc96670695"/>
      <w:bookmarkStart w:id="871" w:name="_Toc93247345"/>
      <w:bookmarkStart w:id="872" w:name="_Toc93264253"/>
      <w:bookmarkStart w:id="873" w:name="_Toc96349074"/>
      <w:r>
        <w:rPr>
          <w:rFonts w:hint="eastAsia"/>
          <w:sz w:val="28"/>
        </w:rPr>
        <w:t>甲方（采购人）：</w:t>
      </w:r>
      <w:r>
        <w:rPr>
          <w:rFonts w:hint="eastAsia"/>
          <w:sz w:val="28"/>
          <w:u w:val="single"/>
        </w:rPr>
        <w:t xml:space="preserve"> </w:t>
      </w:r>
      <w:bookmarkEnd w:id="870"/>
      <w:bookmarkEnd w:id="871"/>
      <w:bookmarkEnd w:id="872"/>
      <w:bookmarkEnd w:id="873"/>
      <w:r>
        <w:rPr>
          <w:rFonts w:hint="eastAsia"/>
          <w:sz w:val="28"/>
          <w:u w:val="single"/>
        </w:rPr>
        <w:t xml:space="preserve">北京第四实验学校 </w:t>
      </w:r>
    </w:p>
    <w:p>
      <w:pPr>
        <w:tabs>
          <w:tab w:val="left" w:pos="4203"/>
        </w:tabs>
        <w:adjustRightInd w:val="0"/>
        <w:snapToGrid w:val="0"/>
        <w:spacing w:line="360" w:lineRule="auto"/>
        <w:ind w:firstLine="2240" w:firstLineChars="800"/>
        <w:rPr>
          <w:sz w:val="28"/>
          <w:u w:val="single"/>
        </w:rPr>
      </w:pPr>
      <w:r>
        <w:rPr>
          <w:rFonts w:hint="eastAsia"/>
          <w:sz w:val="28"/>
        </w:rPr>
        <w:t>乙方（供应商）：</w:t>
      </w:r>
      <w:bookmarkStart w:id="874" w:name="_Toc27216"/>
      <w:r>
        <w:rPr>
          <w:rFonts w:hint="eastAsia"/>
          <w:sz w:val="28"/>
          <w:u w:val="single"/>
        </w:rPr>
        <w:t xml:space="preserve">                  </w:t>
      </w:r>
    </w:p>
    <w:p>
      <w:pPr>
        <w:adjustRightInd w:val="0"/>
        <w:snapToGrid w:val="0"/>
        <w:spacing w:line="360" w:lineRule="auto"/>
        <w:ind w:firstLine="480" w:firstLineChars="200"/>
        <w:rPr>
          <w:rFonts w:ascii="宋体" w:hAnsi="宋体" w:cs="宋体"/>
          <w:bCs/>
          <w:sz w:val="24"/>
        </w:rPr>
      </w:pPr>
      <w:r>
        <w:rPr>
          <w:color w:val="FF0000"/>
          <w:sz w:val="24"/>
        </w:rPr>
        <w:br w:type="page"/>
      </w:r>
      <w:bookmarkEnd w:id="874"/>
      <w:r>
        <w:rPr>
          <w:rFonts w:hint="eastAsia" w:ascii="宋体" w:hAnsi="宋体" w:cs="宋体"/>
          <w:sz w:val="24"/>
        </w:rPr>
        <w:t>甲、乙双方根据</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日（北京第四实验学校教育教学设备购置项目（二期））</w:t>
      </w:r>
      <w:r>
        <w:rPr>
          <w:rFonts w:hint="eastAsia" w:ascii="宋体" w:hAnsi="宋体" w:cs="宋体"/>
          <w:bCs/>
          <w:sz w:val="24"/>
        </w:rPr>
        <w:t>招标结果和有关招、投标文件的要求，</w:t>
      </w:r>
      <w:r>
        <w:rPr>
          <w:rFonts w:hint="eastAsia" w:ascii="宋体" w:hAnsi="宋体" w:cs="宋体"/>
          <w:sz w:val="24"/>
        </w:rPr>
        <w:t>依照《中华人民共和国民法典》及有关法律、法规，遵循平等、自愿、公平和诚实信用的原则，双方就本采购事项协商一致</w:t>
      </w:r>
      <w:r>
        <w:rPr>
          <w:rFonts w:hint="eastAsia" w:ascii="宋体" w:hAnsi="宋体" w:cs="宋体"/>
          <w:bCs/>
          <w:sz w:val="24"/>
        </w:rPr>
        <w:t>，订立本合同：</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第一条  项目的名称和单价、总价，项目所包含货物的清单（名称、数量、规格、单价）</w:t>
      </w:r>
    </w:p>
    <w:p>
      <w:pPr>
        <w:tabs>
          <w:tab w:val="left" w:pos="1004"/>
        </w:tabs>
        <w:adjustRightInd w:val="0"/>
        <w:snapToGrid w:val="0"/>
        <w:spacing w:line="360" w:lineRule="auto"/>
        <w:ind w:firstLine="480" w:firstLineChars="200"/>
        <w:jc w:val="left"/>
        <w:rPr>
          <w:rFonts w:ascii="宋体" w:hAnsi="宋体" w:cs="宋体"/>
          <w:bCs/>
          <w:sz w:val="24"/>
        </w:rPr>
      </w:pPr>
      <w:r>
        <w:rPr>
          <w:rFonts w:hint="eastAsia" w:ascii="宋体" w:hAnsi="宋体" w:cs="宋体"/>
          <w:bCs/>
          <w:sz w:val="24"/>
        </w:rPr>
        <w:t>1．项目名称：</w:t>
      </w:r>
      <w:r>
        <w:rPr>
          <w:rFonts w:hint="eastAsia" w:ascii="宋体" w:hAnsi="宋体" w:cs="宋体"/>
          <w:bCs/>
          <w:sz w:val="24"/>
          <w:u w:val="single"/>
        </w:rPr>
        <w:t xml:space="preserve">                                       </w:t>
      </w:r>
    </w:p>
    <w:p>
      <w:pPr>
        <w:tabs>
          <w:tab w:val="left" w:pos="1004"/>
        </w:tabs>
        <w:adjustRightInd w:val="0"/>
        <w:snapToGrid w:val="0"/>
        <w:spacing w:line="360" w:lineRule="auto"/>
        <w:ind w:firstLine="480" w:firstLineChars="200"/>
        <w:jc w:val="left"/>
        <w:rPr>
          <w:rFonts w:ascii="宋体" w:hAnsi="宋体" w:cs="宋体"/>
          <w:bCs/>
          <w:sz w:val="24"/>
          <w:u w:val="single"/>
        </w:rPr>
      </w:pPr>
      <w:r>
        <w:rPr>
          <w:rFonts w:hint="eastAsia" w:ascii="宋体" w:hAnsi="宋体" w:cs="宋体"/>
          <w:bCs/>
          <w:sz w:val="24"/>
        </w:rPr>
        <w:t>2．货物清单：</w:t>
      </w:r>
      <w:r>
        <w:rPr>
          <w:rFonts w:hint="eastAsia" w:ascii="宋体" w:hAnsi="宋体" w:cs="宋体"/>
          <w:bCs/>
          <w:sz w:val="24"/>
          <w:u w:val="single"/>
        </w:rPr>
        <w:t xml:space="preserve">                                       </w:t>
      </w:r>
    </w:p>
    <w:p>
      <w:pPr>
        <w:tabs>
          <w:tab w:val="left" w:pos="1004"/>
        </w:tabs>
        <w:adjustRightInd w:val="0"/>
        <w:snapToGrid w:val="0"/>
        <w:spacing w:line="360" w:lineRule="auto"/>
        <w:ind w:firstLine="480" w:firstLineChars="200"/>
        <w:jc w:val="left"/>
        <w:rPr>
          <w:rFonts w:ascii="宋体" w:hAnsi="宋体" w:cs="宋体"/>
          <w:bCs/>
          <w:sz w:val="24"/>
        </w:rPr>
      </w:pPr>
      <w:r>
        <w:rPr>
          <w:rFonts w:hint="eastAsia" w:ascii="宋体" w:hAnsi="宋体" w:cs="宋体"/>
          <w:bCs/>
          <w:sz w:val="24"/>
        </w:rPr>
        <w:t>3．中标金额：</w:t>
      </w:r>
      <w:r>
        <w:rPr>
          <w:rFonts w:hint="eastAsia" w:ascii="宋体" w:hAnsi="宋体" w:cs="宋体"/>
          <w:bCs/>
          <w:sz w:val="24"/>
          <w:u w:val="single"/>
        </w:rPr>
        <w:t xml:space="preserve">                                       </w:t>
      </w:r>
    </w:p>
    <w:p>
      <w:pPr>
        <w:tabs>
          <w:tab w:val="left" w:pos="1004"/>
        </w:tabs>
        <w:adjustRightInd w:val="0"/>
        <w:snapToGrid w:val="0"/>
        <w:spacing w:line="360" w:lineRule="auto"/>
        <w:ind w:firstLine="480" w:firstLineChars="200"/>
        <w:jc w:val="left"/>
        <w:rPr>
          <w:rFonts w:ascii="宋体" w:hAnsi="宋体" w:cs="宋体"/>
          <w:bCs/>
          <w:sz w:val="24"/>
          <w:u w:val="single"/>
        </w:rPr>
      </w:pPr>
      <w:r>
        <w:rPr>
          <w:rFonts w:hint="eastAsia" w:ascii="宋体" w:hAnsi="宋体" w:cs="宋体"/>
          <w:bCs/>
          <w:sz w:val="24"/>
        </w:rPr>
        <w:t>4．合同价格：</w:t>
      </w:r>
      <w:r>
        <w:rPr>
          <w:rFonts w:hint="eastAsia" w:ascii="宋体" w:hAnsi="宋体" w:cs="宋体"/>
          <w:bCs/>
          <w:sz w:val="24"/>
          <w:u w:val="single"/>
        </w:rPr>
        <w:t xml:space="preserve">（小写）                               </w:t>
      </w:r>
    </w:p>
    <w:p>
      <w:pPr>
        <w:tabs>
          <w:tab w:val="left" w:pos="1004"/>
        </w:tabs>
        <w:adjustRightInd w:val="0"/>
        <w:snapToGrid w:val="0"/>
        <w:spacing w:line="360" w:lineRule="auto"/>
        <w:ind w:firstLine="480" w:firstLineChars="200"/>
        <w:jc w:val="left"/>
        <w:rPr>
          <w:rFonts w:ascii="宋体" w:hAnsi="宋体" w:cs="宋体"/>
          <w:bCs/>
          <w:sz w:val="24"/>
          <w:u w:val="single"/>
        </w:rPr>
      </w:pPr>
      <w:r>
        <w:rPr>
          <w:rFonts w:hint="eastAsia" w:ascii="宋体" w:hAnsi="宋体" w:cs="宋体"/>
          <w:bCs/>
          <w:sz w:val="24"/>
        </w:rPr>
        <w:t xml:space="preserve">            </w:t>
      </w:r>
      <w:r>
        <w:rPr>
          <w:rFonts w:hint="eastAsia" w:ascii="宋体" w:hAnsi="宋体" w:cs="宋体"/>
          <w:bCs/>
          <w:sz w:val="24"/>
          <w:u w:val="single"/>
        </w:rPr>
        <w:t xml:space="preserve">（大写）                               </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合同价格包括所有设备费、服务费、备品备件费、专用工具费、商检费、包装运输费、装卸费、保险费、安装调试费、人员培训费、技术支持费、管理费、利润、税费、质量保证期内的售后维护服务费等其它费用在内的全包价；整体验收前所发生的一切费用由乙方承担。</w:t>
      </w:r>
    </w:p>
    <w:p>
      <w:pPr>
        <w:numPr>
          <w:ilvl w:val="0"/>
          <w:numId w:val="15"/>
        </w:num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因业务或实际需求调整，甲方有权在合同总价不变的前提下适当调整项目需求，乙方须无条件同意。</w:t>
      </w:r>
    </w:p>
    <w:p>
      <w:pPr>
        <w:tabs>
          <w:tab w:val="left" w:pos="1276"/>
        </w:tabs>
        <w:adjustRightInd w:val="0"/>
        <w:snapToGrid w:val="0"/>
        <w:spacing w:line="360" w:lineRule="auto"/>
        <w:ind w:firstLine="480" w:firstLineChars="200"/>
        <w:rPr>
          <w:rFonts w:ascii="宋体" w:hAnsi="宋体" w:cs="宋体"/>
          <w:sz w:val="24"/>
        </w:rPr>
      </w:pPr>
      <w:bookmarkStart w:id="875" w:name="_Hlk199367990"/>
      <w:r>
        <w:rPr>
          <w:rFonts w:hint="eastAsia" w:ascii="宋体" w:hAnsi="宋体" w:cs="宋体"/>
          <w:sz w:val="24"/>
        </w:rPr>
        <w:t>6．根据项目实际情况须调整局部参数时，甲方有权对局部技术参数进行调整，甲方应以书面形式通知乙方。乙方应在接到甲方通知后3个工作日内作出书面回应，回应内容应包括详细的该变更对合同价格、项目交付日期、系统性能、项目技术参数的影响和变化以及对合同条款的影响等。</w:t>
      </w:r>
      <w:bookmarkEnd w:id="875"/>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第二条 货物包装、运输、保险和交付要求</w:t>
      </w:r>
    </w:p>
    <w:p>
      <w:pPr>
        <w:autoSpaceDE w:val="0"/>
        <w:autoSpaceDN w:val="0"/>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1．乙方负责货物的包装、运输、装卸等事宜，相关费用已包含在合同价款中。包装应采取适应远距离运输，有良好的防潮、防湿、防晒、防锈、防腐蚀、防雨、防碰撞及防止其它损坏的必要保护措施。每个独立包装箱内应附装箱清单、质量合格证、装配图、说明书、操作指南等资料。如因包装、运输问题导致货物损毁、丢失或者品质下降，甲方有权要求降价、换货、拒收部分或整批货物，由此产生的费用和损失，均由乙方承担。</w:t>
      </w:r>
    </w:p>
    <w:p>
      <w:pPr>
        <w:autoSpaceDE w:val="0"/>
        <w:autoSpaceDN w:val="0"/>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2．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3．乙方在运输到达之前应提前通知甲方，并提示货物运输装卸的注意事项，甲方配合乙方做好货物的接收工作。</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4．</w:t>
      </w:r>
      <w:r>
        <w:rPr>
          <w:rFonts w:hint="eastAsia" w:ascii="宋体" w:hAnsi="宋体"/>
          <w:sz w:val="24"/>
          <w:lang w:bidi="ar"/>
        </w:rPr>
        <w:t>本项目不投保安装工程一切险等工程保险。</w:t>
      </w:r>
      <w:bookmarkStart w:id="876" w:name="_Hlk524818717"/>
      <w:r>
        <w:rPr>
          <w:rFonts w:hint="eastAsia" w:ascii="宋体" w:hAnsi="宋体"/>
          <w:sz w:val="24"/>
          <w:lang w:bidi="ar"/>
        </w:rPr>
        <w:t>如果在货物制作、安装过程中发生事故导致财产损失、人员伤亡，由责任方自行承担相关财产损失、人员伤亡所产生的全部责任。</w:t>
      </w:r>
      <w:bookmarkEnd w:id="876"/>
      <w:r>
        <w:rPr>
          <w:rFonts w:hint="eastAsia" w:ascii="宋体" w:hAnsi="宋体"/>
          <w:sz w:val="24"/>
          <w:lang w:bidi="ar"/>
        </w:rPr>
        <w:t>货物运输保险由乙方自行选择是否办理，因货物运输过程发生意外或其他事故而由此产生的损失均由乙方自行承担。</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第三条  货物的质量标准</w:t>
      </w:r>
    </w:p>
    <w:p>
      <w:pPr>
        <w:tabs>
          <w:tab w:val="left" w:pos="84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乙方应保证货物是生产厂商原厂制造的，已通过产品制造厂商的出厂检验，是全新、未曾使用过的，保证货物配置与装箱单相符，应准确无误地表明设备型号、规格、制造厂商；保证货物质量、规格、性能及技术特征符合国家标准、规范及招标文件的要求，不存在设计或制造上的缺陷，保证最终提供的货物与双方确认的样品质量相符。</w:t>
      </w:r>
    </w:p>
    <w:p>
      <w:pPr>
        <w:tabs>
          <w:tab w:val="left" w:pos="84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2．乙方所提供的货物应符合国家有关安全、环保、卫生的规定。</w:t>
      </w:r>
    </w:p>
    <w:p>
      <w:pPr>
        <w:tabs>
          <w:tab w:val="left" w:pos="84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3．乙方应向甲方提交所提供货物的技术文件，包括相应的中文技术文件，如：产品目录、图纸、操作手册、使用说明、维护手册或服务指南等。</w:t>
      </w:r>
    </w:p>
    <w:p>
      <w:pPr>
        <w:keepLines/>
        <w:widowControl/>
        <w:tabs>
          <w:tab w:val="left" w:pos="1004"/>
        </w:tabs>
        <w:adjustRightInd w:val="0"/>
        <w:snapToGrid w:val="0"/>
        <w:spacing w:line="360" w:lineRule="auto"/>
        <w:ind w:firstLine="482" w:firstLineChars="200"/>
        <w:jc w:val="left"/>
        <w:outlineLvl w:val="2"/>
        <w:rPr>
          <w:rFonts w:ascii="宋体" w:hAnsi="宋体" w:cs="宋体"/>
          <w:b/>
          <w:bCs/>
          <w:sz w:val="24"/>
        </w:rPr>
      </w:pPr>
      <w:r>
        <w:rPr>
          <w:rFonts w:hint="eastAsia" w:ascii="宋体" w:hAnsi="宋体" w:cs="宋体"/>
          <w:b/>
          <w:bCs/>
          <w:sz w:val="24"/>
        </w:rPr>
        <w:t>第四条  交货、验收、对产品异议的处理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1．工期：202</w:t>
      </w:r>
      <w:r>
        <w:rPr>
          <w:rFonts w:ascii="宋体" w:hAnsi="宋体" w:cs="宋体"/>
          <w:sz w:val="24"/>
        </w:rPr>
        <w:t>6</w:t>
      </w:r>
      <w:r>
        <w:rPr>
          <w:rFonts w:hint="eastAsia" w:ascii="宋体" w:hAnsi="宋体" w:cs="宋体"/>
          <w:sz w:val="24"/>
        </w:rPr>
        <w:t>年8月20日前完成安装及调试，甲方有权赴排产工厂检查排产情况、有权要求货物分批次进场，具体进场时间以甲方通知为准。同时服从学校主体工程竣工验收及开学前等工作安排。</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2．交货地点：甲方指定地点</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3．验收方式：验收分初次开箱验收和最终验收两个阶段，以最终验收为准。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4．验收标准：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（1）开箱验收标准：满足国家及行业强制标准，符合招标文件要求、投标文件承诺、本合同要求。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（2）最终验收标准：安装调试完毕的设备能够正常运行和使用，满足货物采购清单中描述的有关技术要求和甲方的使用需求。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5．验收时间、地点、方式：</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（1）货物到达甲方指定地点后，甲、乙双方共同开箱验收。在检查货物原产地、型号、规格、配置、颜色、材质、包装、数量等符合合同要求后，由乙方负责安装、调试。</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（2）在乙方对货物安装调试完成后，由乙方协助甲方对货物进行最终验收，包括但不限于货物单项及总体功能、性能及各项技术参数指标等，验收完毕后由</w:t>
      </w:r>
      <w:r>
        <w:rPr>
          <w:rFonts w:hint="eastAsia" w:ascii="宋体" w:hAnsi="宋体" w:cs="宋体"/>
          <w:sz w:val="24"/>
          <w:lang w:val="en-US" w:eastAsia="zh-CN"/>
        </w:rPr>
        <w:t>甲乙双方共同</w:t>
      </w:r>
      <w:r>
        <w:rPr>
          <w:rFonts w:hint="eastAsia" w:ascii="宋体" w:hAnsi="宋体" w:cs="宋体"/>
          <w:sz w:val="24"/>
        </w:rPr>
        <w:t>填写《验收单》，载明验收意见，作为验收合格和付款的依据。如验收合格，则甲方签收确认；如验收不合格，甲方有权拒绝接收，乙方应当在甲方要求的时间内进行调试、更换或退货，并承担由此发生的费用，否则应按照本合同相关约定承担违约责任。</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3）甲方如果发现货物的品种、型号、数量、规格和质量有关工程不符合规定，应妥为保管，并在30天内提出异议。乙方在接到甲方书面异议后，应在48小时内负责处理，否则，即视为默认甲方提出的异议和处理意见。</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6．甲方对货物及安装调试验收合格不排除乙方的产品质量责任，如因货物本身质量问题导致甲方损害的，乙方仍应承担全部责任。</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第五条 货物的安装和调试</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1．乙方负责安装、调试、培训及售后服务，所有辅材辅料均包含在报价中。</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2.乙方需满足所有需要电和网络的设备，负责实施电和网络到桌或者设备指定位置，安装线路需满足国家相关标准。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3．乙方应安排具有相关资质、技能和经验的人员负责产品的生产、安装和调试工作，直至验收合格。确保安全文明施工，并自行负责施工和安装人员的安全，如因操作不当或者乙方未尽安全保障义务而造成的一切人身、财产损失，均由乙方承担完全责任，甲方不承担任何责任。</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4．乙方应在货物运抵现场一周前，向甲方提供安装调试及运行的进度计划表。</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5．乙方需满足甲方送样要求，甲方可根据样品及现场实际情况进行调整，以甲方最终结果确认为准。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6．甲方有权根据实际情况，与乙方协商部分设备提前于合同约定的交货日期送达现场及安装完成，乙方应当配合及满足甲方拍摄宣传需求。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7.安装调试完成后，甲方进行环境检测，若检测不符合国家相关标准，乙方需按照甲方要求配合整改，直到环境检测合格为止，再进行验收工作，并承担相应责任，无偿配合甲方办公及开学节点需求。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8．乙方在安装调试过程中，应严格遵守甲方的各项制度，接受甲方的监督和检查，并及时对甲方提出的不符合甲方要求的情形进行调整。</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第六条  价款的结算</w:t>
      </w:r>
    </w:p>
    <w:p>
      <w:pPr>
        <w:tabs>
          <w:tab w:val="left" w:pos="900"/>
          <w:tab w:val="left" w:pos="1980"/>
        </w:tabs>
        <w:snapToGrid w:val="0"/>
        <w:spacing w:line="360" w:lineRule="auto"/>
        <w:ind w:firstLine="480" w:firstLineChars="200"/>
        <w:rPr>
          <w:rFonts w:ascii="宋体" w:hAnsi="宋体" w:cs="宋体"/>
          <w:b/>
          <w:bCs/>
          <w:sz w:val="24"/>
        </w:rPr>
      </w:pPr>
      <w:r>
        <w:rPr>
          <w:rFonts w:hint="eastAsia" w:ascii="宋体" w:hAnsi="宋体" w:cs="宋体"/>
          <w:sz w:val="24"/>
        </w:rPr>
        <w:t>1．付款方式：合同签订后，支付合同金额的</w:t>
      </w:r>
      <w:r>
        <w:rPr>
          <w:rFonts w:ascii="宋体" w:hAnsi="宋体" w:cs="宋体"/>
          <w:sz w:val="24"/>
        </w:rPr>
        <w:t>5</w:t>
      </w:r>
      <w:r>
        <w:rPr>
          <w:rFonts w:hint="eastAsia" w:ascii="宋体" w:hAnsi="宋体" w:cs="宋体"/>
          <w:sz w:val="24"/>
        </w:rPr>
        <w:t>0%。货到现场并完成安装、调试、验收合格等工作后，支付不高于合同金额的</w:t>
      </w:r>
      <w:r>
        <w:rPr>
          <w:rFonts w:ascii="宋体" w:hAnsi="宋体" w:cs="宋体"/>
          <w:sz w:val="24"/>
        </w:rPr>
        <w:t>3</w:t>
      </w:r>
      <w:r>
        <w:rPr>
          <w:rFonts w:hint="eastAsia" w:ascii="宋体" w:hAnsi="宋体" w:cs="宋体"/>
          <w:sz w:val="24"/>
        </w:rPr>
        <w:t>0%。验收合格之日起六个月后无质量问题，支付剩余合同金额。最终付款时间以财政拨款为准，因财政资金按照相关程序和资金计划拨付本项目各项费用，因此拨付周期较长，所以乙方不得就甲方因费用拨付不到位而因此导致的逾期付款提出索赔</w:t>
      </w:r>
      <w:r>
        <w:rPr>
          <w:rFonts w:hint="eastAsia" w:ascii="宋体" w:hAnsi="宋体" w:cs="宋体"/>
          <w:b/>
          <w:bCs/>
          <w:sz w:val="24"/>
        </w:rPr>
        <w:t>。</w:t>
      </w:r>
    </w:p>
    <w:p>
      <w:pPr>
        <w:tabs>
          <w:tab w:val="left" w:pos="900"/>
          <w:tab w:val="left" w:pos="1980"/>
        </w:tabs>
        <w:snapToGrid w:val="0"/>
        <w:spacing w:line="360" w:lineRule="auto"/>
        <w:ind w:firstLine="480" w:firstLineChars="200"/>
        <w:rPr>
          <w:rFonts w:ascii="宋体" w:hAnsi="宋体"/>
          <w:sz w:val="24"/>
          <w:szCs w:val="22"/>
        </w:rPr>
      </w:pPr>
      <w:r>
        <w:rPr>
          <w:rFonts w:hint="eastAsia" w:ascii="宋体" w:hAnsi="宋体"/>
          <w:sz w:val="24"/>
          <w:szCs w:val="22"/>
        </w:rPr>
        <w:t>2．付款条件：乙方应于甲方每次付款之前，按照甲方要求出具等额合规的增值税发票，如乙方提供的发票金额少于付款金额，甲方有权依据发票金额进行付款。因乙方未及时向甲方开具发票或因其开具的发票不规范、不合法或涉嫌虚开发票等问题，甲方有权拒绝付款且不构成违约。</w:t>
      </w:r>
    </w:p>
    <w:p>
      <w:pPr>
        <w:tabs>
          <w:tab w:val="left" w:pos="900"/>
          <w:tab w:val="left" w:pos="1980"/>
        </w:tabs>
        <w:snapToGrid w:val="0"/>
        <w:spacing w:line="360" w:lineRule="auto"/>
        <w:ind w:firstLine="480" w:firstLineChars="200"/>
        <w:rPr>
          <w:rFonts w:ascii="宋体" w:hAnsi="宋体"/>
          <w:sz w:val="24"/>
          <w:szCs w:val="22"/>
        </w:rPr>
      </w:pPr>
      <w:r>
        <w:rPr>
          <w:rFonts w:hint="eastAsia" w:ascii="宋体" w:hAnsi="宋体"/>
          <w:sz w:val="24"/>
          <w:szCs w:val="22"/>
        </w:rPr>
        <w:t>3．乙方银行账户信息：以合同签署页载明的信息为准。</w:t>
      </w:r>
    </w:p>
    <w:p>
      <w:pPr>
        <w:tabs>
          <w:tab w:val="left" w:pos="900"/>
          <w:tab w:val="left" w:pos="1980"/>
        </w:tabs>
        <w:snapToGrid w:val="0"/>
        <w:spacing w:line="360" w:lineRule="auto"/>
        <w:ind w:firstLine="480" w:firstLineChars="200"/>
        <w:rPr>
          <w:rFonts w:ascii="宋体" w:hAnsi="宋体"/>
          <w:sz w:val="24"/>
          <w:szCs w:val="22"/>
        </w:rPr>
      </w:pPr>
      <w:r>
        <w:rPr>
          <w:rFonts w:hint="eastAsia" w:ascii="宋体" w:hAnsi="宋体"/>
          <w:sz w:val="24"/>
          <w:szCs w:val="22"/>
        </w:rPr>
        <w:t>4．甲方发票信息：</w:t>
      </w:r>
    </w:p>
    <w:p>
      <w:pPr>
        <w:tabs>
          <w:tab w:val="left" w:pos="900"/>
          <w:tab w:val="left" w:pos="1980"/>
        </w:tabs>
        <w:snapToGrid w:val="0"/>
        <w:spacing w:line="360" w:lineRule="auto"/>
        <w:ind w:firstLine="480" w:firstLineChars="200"/>
        <w:rPr>
          <w:rFonts w:ascii="宋体" w:hAnsi="宋体" w:cs="宋体"/>
          <w:sz w:val="24"/>
        </w:rPr>
      </w:pPr>
      <w:r>
        <w:rPr>
          <w:rFonts w:hint="eastAsia" w:ascii="宋体" w:hAnsi="宋体" w:cs="宋体"/>
          <w:sz w:val="24"/>
        </w:rPr>
        <w:t>抬头：</w:t>
      </w:r>
    </w:p>
    <w:p>
      <w:pPr>
        <w:tabs>
          <w:tab w:val="left" w:pos="900"/>
          <w:tab w:val="left" w:pos="1980"/>
        </w:tabs>
        <w:snapToGrid w:val="0"/>
        <w:spacing w:line="360" w:lineRule="auto"/>
        <w:ind w:firstLine="480" w:firstLineChars="200"/>
        <w:rPr>
          <w:rFonts w:ascii="宋体" w:hAnsi="宋体" w:cs="宋体"/>
          <w:sz w:val="24"/>
        </w:rPr>
      </w:pPr>
      <w:r>
        <w:rPr>
          <w:rFonts w:hint="eastAsia" w:ascii="宋体" w:hAnsi="宋体" w:cs="宋体"/>
          <w:sz w:val="24"/>
        </w:rPr>
        <w:t>统一社会信用代码：</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第七条 产品质量保证、售后服务、培训费用及损害赔偿</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乙方应保证最终交付给甲方的货物完全符合合同规定的质量、规格和性能要求，保证所有货物均可以安装并投入使用，保证货物在正确安装、正常使用和保养条件下，在其使用寿命期内具备合同约定的性能。乙方所交付的货物经过甲方确认后，可以根据实际情况进行大小调整，但是不能影响使用，如果未经甲方确认或不能使用的，甲方有权拒收且不支付此项费用。</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2．乙方为交付给甲方的货物提供</w:t>
      </w:r>
      <w:r>
        <w:rPr>
          <w:rFonts w:hint="eastAsia" w:ascii="宋体" w:hAnsi="宋体" w:cs="宋体"/>
          <w:sz w:val="24"/>
          <w:u w:val="single"/>
        </w:rPr>
        <w:t xml:space="preserve">      </w:t>
      </w:r>
      <w:r>
        <w:rPr>
          <w:rFonts w:hint="eastAsia" w:ascii="宋体" w:hAnsi="宋体" w:cs="宋体"/>
          <w:sz w:val="24"/>
        </w:rPr>
        <w:t>年的质量保证期（以投标文件中承诺的质量保证期为准），自甲方收货、安装调试完毕且验收合格之日开始计算。</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若国家和/或制造商对本项目所涉及货物的质量保证期的规定高于本项目的要求，应按国家和/或制造商的规定执行；乙方投标承诺质量保证其比上述要求长的，按照乙方承诺执行。在质量保证期内发生的质量问题，由乙方负责免费解决；任何时候，乙方均不能免除因货物本身的缺陷所应付的责任。</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3．在质量保证期内，如果货物的质量或规格与合同不符，或证实货物是有缺陷的，包括潜在的缺陷或使用不符合要求的材料等，甲方有权追究乙方的违约责任。</w:t>
      </w:r>
      <w:r>
        <w:rPr>
          <w:rFonts w:ascii="宋体" w:hAnsi="宋体" w:cs="宋体"/>
          <w:sz w:val="24"/>
        </w:rPr>
        <w:t xml:space="preserve"> </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4．在设备整个使用期内乙方应确保设备的正常使用。</w:t>
      </w:r>
      <w:r>
        <w:rPr>
          <w:rFonts w:hint="eastAsia" w:ascii="宋体" w:hAnsi="宋体" w:cs="宋体"/>
          <w:sz w:val="24"/>
          <w:lang w:val="en-US" w:eastAsia="zh-CN"/>
        </w:rPr>
        <w:t>乙方应按照</w:t>
      </w:r>
      <w:r>
        <w:rPr>
          <w:rFonts w:hint="eastAsia" w:ascii="宋体" w:hAnsi="宋体" w:cs="宋体"/>
          <w:sz w:val="24"/>
        </w:rPr>
        <w:t>投标文件中</w:t>
      </w:r>
      <w:r>
        <w:rPr>
          <w:rFonts w:hint="eastAsia" w:ascii="宋体" w:hAnsi="宋体" w:cs="宋体"/>
          <w:sz w:val="24"/>
          <w:lang w:eastAsia="zh-CN"/>
        </w:rPr>
        <w:t>的</w:t>
      </w:r>
      <w:r>
        <w:rPr>
          <w:rFonts w:hint="eastAsia" w:ascii="宋体" w:hAnsi="宋体" w:cs="宋体"/>
          <w:sz w:val="24"/>
          <w:lang w:val="en-US" w:eastAsia="zh-CN"/>
        </w:rPr>
        <w:t>售后服务</w:t>
      </w:r>
      <w:r>
        <w:rPr>
          <w:rFonts w:hint="eastAsia" w:ascii="宋体" w:hAnsi="宋体" w:cs="宋体"/>
          <w:sz w:val="24"/>
        </w:rPr>
        <w:t>承诺</w:t>
      </w:r>
      <w:r>
        <w:rPr>
          <w:rFonts w:hint="eastAsia" w:ascii="宋体" w:hAnsi="宋体" w:cs="宋体"/>
          <w:sz w:val="24"/>
          <w:lang w:eastAsia="zh-CN"/>
        </w:rPr>
        <w:t>，</w:t>
      </w:r>
      <w:r>
        <w:rPr>
          <w:rFonts w:hint="eastAsia" w:ascii="宋体" w:hAnsi="宋体" w:cs="宋体"/>
          <w:sz w:val="24"/>
          <w:lang w:val="en-US" w:eastAsia="zh-CN"/>
        </w:rPr>
        <w:t>为甲方</w:t>
      </w:r>
      <w:r>
        <w:rPr>
          <w:rFonts w:hint="eastAsia" w:ascii="宋体" w:hAnsi="宋体" w:cs="宋体"/>
          <w:sz w:val="24"/>
        </w:rPr>
        <w:t>提供免费终身维护</w:t>
      </w:r>
      <w:r>
        <w:rPr>
          <w:rFonts w:hint="eastAsia" w:ascii="宋体" w:hAnsi="宋体" w:cs="宋体"/>
          <w:sz w:val="24"/>
          <w:lang w:eastAsia="zh-CN"/>
        </w:rPr>
        <w:t>。</w:t>
      </w:r>
      <w:r>
        <w:rPr>
          <w:rFonts w:hint="eastAsia" w:ascii="宋体" w:hAnsi="宋体" w:cs="宋体"/>
          <w:sz w:val="24"/>
        </w:rPr>
        <w:t>在质量保证期内所发现的缺陷，甲方应尽快以书面形式通知乙方，乙方在接到甲方维修要求后24小时内做出回应，有必要的情况下在48小时内派人员到达甲方现场实施维修并排除故障。如乙方在接到甲方维修要求未按时间要求响应、拒绝或没有派员到达甲方提供技术服务、修理或退换设备的，甲方有权委托第三方对合同设备进行维修或提供技术服务，由此产生的一切费用由乙方承担。如乙方投标文件承诺的售后服务优于前述约定，则按照乙方承诺的售后服务内容执行。</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5.乙方应负责对甲方人员进行专业培训，列明具体培训计划方案，直至甲方能完全操作，并定期进行回访。培训费用已包含在合同总价款中。</w:t>
      </w:r>
    </w:p>
    <w:p>
      <w:pPr>
        <w:tabs>
          <w:tab w:val="left" w:pos="1004"/>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6．乙方按招标文件和乙方投标文件技术标准向甲方提供货物、服务及培训。如乙方不按招投标文件和本合同约定向甲方提供货物及服务，导致甲方损失，乙方应予以赔偿。属于正常合理的损耗应由甲方承担。如因乙方货物质量或安装问题等原因，导致甲方或第三方人身或财产损失的（不含人为因素），乙方应承担全部损害赔偿责任。甲方因此遭受索赔的，甲方有权向乙方追偿并有权从未付的合同价款中予以扣除。</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第八条 乙方保证</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1．乙方保证对其出售的货物享有合法的权利，保证在交付的货物上不存在抵押权等担保物权。如甲方使用上述货物构成对第三人侵权的，则由乙方承担全部责任。</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乙方对其所销售的货物应当享有知识产权或经权利人合法授权，保证未侵犯任何第三人的知识产权等权利。因违反前述约定对第三人构成侵权的，应当由乙方向第三人承担法律责任；甲方依法向第三人赔偿后，有权向乙方追偿。甲方有其他损失的，乙方应当赔偿。</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3．乙方指定项目负责人（姓名：      ；联系电话：  ），负责与本合同履行有关的事务。</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4．除甲方事先书面同意外，乙方不得部分或全部转让其应履行的合同项下的义务。否则甲方有权单方解除本合同，并要求乙方按照合同总金额的20%支付违约金。</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第九条 保密义务</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w:t>
      </w:r>
    </w:p>
    <w:p>
      <w:pPr>
        <w:keepLines/>
        <w:widowControl/>
        <w:tabs>
          <w:tab w:val="left" w:pos="1004"/>
        </w:tabs>
        <w:adjustRightInd w:val="0"/>
        <w:snapToGrid w:val="0"/>
        <w:spacing w:line="360" w:lineRule="auto"/>
        <w:ind w:firstLine="482" w:firstLineChars="200"/>
        <w:jc w:val="left"/>
        <w:outlineLvl w:val="2"/>
        <w:rPr>
          <w:rFonts w:ascii="宋体" w:hAnsi="宋体" w:cs="宋体"/>
          <w:bCs/>
          <w:sz w:val="24"/>
        </w:rPr>
      </w:pPr>
      <w:r>
        <w:rPr>
          <w:rFonts w:hint="eastAsia" w:ascii="宋体" w:hAnsi="宋体" w:cs="宋体"/>
          <w:b/>
          <w:sz w:val="24"/>
        </w:rPr>
        <w:t xml:space="preserve">第十条  违约责任 </w:t>
      </w:r>
      <w:r>
        <w:rPr>
          <w:rFonts w:hint="eastAsia" w:ascii="宋体" w:hAnsi="宋体" w:cs="宋体"/>
          <w:bCs/>
          <w:sz w:val="24"/>
        </w:rPr>
        <w:t xml:space="preserve">    </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1.任何一方未履行合同义务或履行合同义务不符合约定，给对方造成损失的，违约方应就给守约方造成的损失承担赔偿责任。本条另有约定的，从其约定。</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甲方非因财政费用拨付不到位或不可抗力逾期付款的，每逾期一天，甲方应按逾期未付款金额的万分之五向乙方支付违约金，但该违约金金额最高不超过逾期未付款金额的20%。逾期超过15天，乙方有权解除合同，要求甲方按照逾期未付款金额的20%支付违约金，违约金不足以弥补乙方损失的，甲方还应继续赔偿损失。</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3．甲方违反合同规定拒绝接货的，应当承担由此对乙方造成的损失。</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bCs/>
          <w:sz w:val="24"/>
        </w:rPr>
        <w:t>4．</w:t>
      </w:r>
      <w:r>
        <w:rPr>
          <w:rFonts w:hint="eastAsia" w:ascii="宋体" w:hAnsi="宋体" w:cs="宋体"/>
          <w:sz w:val="24"/>
        </w:rPr>
        <w:t>接到甲方供货通知后，乙方应按照当时交通状况及目的地点，以合理时间将货物送达甲方指定地点，非因不可抗力及甲方责任造成的严重交货延期的，乙方应承担违约责任，每逾期一天，乙方应按延迟交货部分货款的万分之五向甲方支付违约金，但该违约金金额累计不超过延迟交货部分货款的20%；逾期交货超过15天，甲方有权解除合同，要求乙方按未交货总金额的20%支付违约金，违约金不足以弥补甲方损失的，乙方还应继续赔偿损失。甲方有权直接从货款中扣除违约金部分。</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5．因乙方供应的货物存在质量瑕疵或不符合安全使用标准或安装质量未达到合同约定的标准，乙方应无条件负责重新供货、返工、更换，因此产生的费用均由乙方承担。</w:t>
      </w:r>
      <w:bookmarkStart w:id="877" w:name="_Hlk50458815"/>
      <w:r>
        <w:rPr>
          <w:rFonts w:hint="eastAsia" w:ascii="宋体" w:hAnsi="宋体" w:cs="宋体"/>
          <w:sz w:val="24"/>
        </w:rPr>
        <w:t>若乙方拒不履行重新供货、返工、更换的，甲方有权要求乙方承担货物标的额三倍的赔偿责任。若乙方未能在约定或甲方要求时间内完成重新供货、返工或更换的，视为乙方未能完成交货义务，甲方按照乙方逾期交货追究乙方的违约责任。问题货物经更换后仍不能满足甲方需求的，甲方有权选择解除本合同，并要求乙方承担合同总额20%的违约金并赔偿甲方全部的经济损失。</w:t>
      </w:r>
      <w:bookmarkEnd w:id="877"/>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 xml:space="preserve">6．货物生产、安装过程中发生以下情况导致停工整顿，因停工造成的违约责任由乙方承担： </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1)发生人身伤亡事故；</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2)发生施工机械、生产主设备严重损坏事故；</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3)发生火灾事故；</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4)发生违章作业、冒险作业不听劝告的；</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5)生产安装现场脏、乱、差，不能满足安全和文明施工要求的；</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6)生产过程中，因违反相关规定，被有关管理机关勒令停工的。</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7．乙方在为甲方供货及服务的过程中，出现的任何不能归责于甲方的意外伤害或安全事故均由乙方及相关责任人承担相应的法律责任和后果。乙方因故意或过失行为造成第三人人身损害或财产损失的，乙方须无条件承担先行赔付责任，乙方承担先行赔付责任后，有权向相关责任人进行追偿。</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8.一方违约导致另一方不得不通过法律手段主张权利的，违约方还应当承担守约方因此而支出的合理费用，包括但不限于诉讼费、律师费、交通费、通讯费及其他必要支出。</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9．违约方在承担合同约定的一项或多项违约责任后，仍应继续履行合同规定的义务（守约方解除合同的除外）。守约方未能及时追究违约方的任何一项违约责任并不表明守约方放弃追究违约方该项或其他违约责任。</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10．因乙方违约应向甲方承担的违约金及赔偿金，甲方有权从应付乙方的合同价款中直接扣除，并不以乙方提供的发票金额为限。</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第十一条  不可抗力</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不可抗力事故系指合同双方在缔结合同时所不能预见的，并且它的发生及其后果是无法避免和无法克服的事故。受阻一方应在不可抗力事故发生后尽快用电报、传真或电传通知对方，并于事故发生后14天内将有关当局出具的证明文件用特快专递或挂号信寄给对方审阅确认。</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2．合同双方任一方由于受诸如战争、严重火灾、洪水、台风、地震等不可抗力事故的影响而不能执行合同时，经确认后，允许延期履行、部分履行或不履行合同，并根据情况可部分或全部免予承担违约责任。</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第十二条  争议的解决方式</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1．因货物的质量问题发生争议，由法律及有关规章规定的技术单位进行质量鉴定，双方无条件服从该鉴定的结论。</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2．合同实施或与合同有关的一切争议应通过双方友好协商解决。无法协商一致的，任何一方均可以依法向甲方所在地人民法院提起诉讼解决。</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3．守约方因违约方责任提起诉讼，违约方除承担法律和本合同约定的责任外，还应承担守约方为解决纠纷产生的诉讼费、律师费及其他相关费用。</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4．如甲乙双方有争议的事项不影响合同其他部分的履行，在争议解决期间，合同其他部分应当继续履行。</w:t>
      </w:r>
    </w:p>
    <w:p>
      <w:pPr>
        <w:tabs>
          <w:tab w:val="left" w:pos="1276"/>
        </w:tabs>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第十三条 通知和送达</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本合同任何一方向对方发出的书面通知、函件资料、数据电文等，应当以快递、电子邮件发送至本合同所约定的通讯地址、联系人、联系电话或电子邮箱。如出现无法送达的情形，可以采用公证或公告方式送达。</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2．通知、函件等文件若以快递形式送达的，收件方签收日视为送达，收件方未签收的，则为发送方持有的发送凭证所示日起第3日视为送达；若以电子邮件送达的，发件人邮件系统显示已成功发送之日视为送达。</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如双方之间发生纠纷，法院的送达地址仍以本合同所列明的通讯信息为准，可以采用快递、电子邮件形式发送。各方进一步同意，如其通讯地址、联系人、联系电话及电子邮件地址等联系方式发生变更时，自前述变更发生之日起3个工作日内将变更通知送达至对方并取得回执，在争议解决期间还应当及时向人民法院履行送达地址变更的通知义务。否则，对方、人民法院按照本合同所约定的联系方式及送达方式对变更方送达法律文书的，视为有效送达，无需履行公告等程序。如发生无法送达情形，邮寄送达的，以文书退回之日视为送达之日；直接送达的，送达人当场在送达回证上记明情况之日或留置/张贴文书之日视为送达之日；以邮件形式送达的，以邮件发出之日为送达之日。</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第十四条  其他</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1．本合同在甲乙双方法定代表人或其授权代表签字或盖章并加盖单位公章或合同专用章后生效。如授权代表签字，该方需提供有效的授权文件。</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2．合同一式</w:t>
      </w:r>
      <w:r>
        <w:rPr>
          <w:rFonts w:hint="eastAsia" w:ascii="宋体" w:hAnsi="宋体" w:cs="宋体"/>
          <w:sz w:val="24"/>
          <w:u w:val="single"/>
        </w:rPr>
        <w:t xml:space="preserve">    </w:t>
      </w:r>
      <w:r>
        <w:rPr>
          <w:rFonts w:hint="eastAsia" w:ascii="宋体" w:hAnsi="宋体" w:cs="宋体"/>
          <w:sz w:val="24"/>
        </w:rPr>
        <w:t>份。甲方执</w:t>
      </w:r>
      <w:r>
        <w:rPr>
          <w:rFonts w:hint="eastAsia" w:ascii="宋体" w:hAnsi="宋体" w:cs="宋体"/>
          <w:sz w:val="24"/>
          <w:u w:val="single"/>
        </w:rPr>
        <w:t xml:space="preserve">   </w:t>
      </w:r>
      <w:r>
        <w:rPr>
          <w:rFonts w:hint="eastAsia" w:ascii="宋体" w:hAnsi="宋体" w:cs="宋体"/>
          <w:sz w:val="24"/>
        </w:rPr>
        <w:t>份；乙方执</w:t>
      </w:r>
      <w:r>
        <w:rPr>
          <w:rFonts w:hint="eastAsia" w:ascii="宋体" w:hAnsi="宋体" w:cs="宋体"/>
          <w:sz w:val="24"/>
          <w:u w:val="single"/>
        </w:rPr>
        <w:t xml:space="preserve">   </w:t>
      </w:r>
      <w:r>
        <w:rPr>
          <w:rFonts w:hint="eastAsia" w:ascii="宋体" w:hAnsi="宋体" w:cs="宋体"/>
          <w:sz w:val="24"/>
        </w:rPr>
        <w:t>份，具有同等法律效力。</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3．本合同未尽事项，甲乙双方另行协商签订补充协议，补充协议需采用书面形式。</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4．本合同所有附件、招标文件、投标文件、中标通知书均为合同的有效组成部分，与本合同具有同等法律效力。</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5．在执行本合同的过程中，所有经双方签署确认的文件（包括会议纪要、补充协议、往来信函）即成为本合同的有效组成部分。</w:t>
      </w:r>
      <w:r>
        <w:rPr>
          <w:rFonts w:hint="eastAsia" w:ascii="宋体" w:hAnsi="宋体" w:cs="宋体"/>
          <w:sz w:val="24"/>
        </w:rPr>
        <w:br w:type="page"/>
      </w:r>
    </w:p>
    <w:p>
      <w:pPr>
        <w:tabs>
          <w:tab w:val="left" w:pos="1276"/>
        </w:tabs>
        <w:adjustRightInd w:val="0"/>
        <w:snapToGrid w:val="0"/>
        <w:spacing w:line="360" w:lineRule="auto"/>
        <w:jc w:val="center"/>
        <w:rPr>
          <w:rFonts w:ascii="宋体" w:hAnsi="宋体" w:cs="宋体"/>
          <w:sz w:val="24"/>
        </w:rPr>
      </w:pPr>
      <w:r>
        <w:rPr>
          <w:rFonts w:hint="eastAsia" w:ascii="宋体" w:hAnsi="宋体" w:cs="宋体"/>
          <w:sz w:val="24"/>
        </w:rPr>
        <w:t>（以下无正文）</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140" w:type="dxa"/>
            <w:vAlign w:val="center"/>
          </w:tcPr>
          <w:p>
            <w:pPr>
              <w:adjustRightInd w:val="0"/>
              <w:snapToGrid w:val="0"/>
              <w:spacing w:line="360" w:lineRule="auto"/>
              <w:rPr>
                <w:rFonts w:ascii="宋体" w:hAnsi="宋体" w:cs="宋体"/>
                <w:sz w:val="24"/>
              </w:rPr>
            </w:pPr>
            <w:r>
              <w:rPr>
                <w:rFonts w:hint="eastAsia" w:ascii="宋体" w:hAnsi="宋体" w:cs="宋体"/>
                <w:sz w:val="24"/>
                <w:u w:val="single" w:color="FFFFFF"/>
              </w:rPr>
              <w:t>甲方（签章）：</w:t>
            </w:r>
          </w:p>
          <w:p>
            <w:pPr>
              <w:adjustRightInd w:val="0"/>
              <w:snapToGrid w:val="0"/>
              <w:spacing w:line="360" w:lineRule="auto"/>
              <w:rPr>
                <w:rFonts w:ascii="宋体" w:hAnsi="宋体" w:cs="宋体"/>
                <w:sz w:val="24"/>
              </w:rPr>
            </w:pPr>
          </w:p>
        </w:tc>
        <w:tc>
          <w:tcPr>
            <w:tcW w:w="4274" w:type="dxa"/>
            <w:vAlign w:val="center"/>
          </w:tcPr>
          <w:p>
            <w:pPr>
              <w:adjustRightInd w:val="0"/>
              <w:snapToGrid w:val="0"/>
              <w:spacing w:line="360" w:lineRule="auto"/>
              <w:rPr>
                <w:rFonts w:ascii="宋体" w:hAnsi="宋体" w:cs="宋体"/>
                <w:sz w:val="24"/>
              </w:rPr>
            </w:pPr>
            <w:r>
              <w:rPr>
                <w:rFonts w:hint="eastAsia" w:ascii="宋体" w:hAnsi="宋体" w:cs="宋体"/>
                <w:sz w:val="24"/>
                <w:u w:val="single" w:color="FFFFFF"/>
              </w:rPr>
              <w:t>乙方</w:t>
            </w:r>
            <w:r>
              <w:rPr>
                <w:rFonts w:hint="eastAsia" w:ascii="宋体" w:hAnsi="宋体" w:cs="宋体"/>
                <w:sz w:val="24"/>
              </w:rPr>
              <w:t>（签章）：</w:t>
            </w:r>
          </w:p>
          <w:p>
            <w:pPr>
              <w:adjustRightInd w:val="0"/>
              <w:snapToGrid w:val="0"/>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4140" w:type="dxa"/>
          </w:tcPr>
          <w:p>
            <w:pPr>
              <w:adjustRightInd w:val="0"/>
              <w:snapToGrid w:val="0"/>
              <w:spacing w:line="360" w:lineRule="auto"/>
              <w:rPr>
                <w:rFonts w:ascii="宋体" w:hAnsi="宋体" w:cs="宋体"/>
                <w:sz w:val="24"/>
              </w:rPr>
            </w:pPr>
            <w:r>
              <w:rPr>
                <w:rFonts w:hint="eastAsia" w:ascii="宋体" w:hAnsi="宋体" w:cs="宋体"/>
                <w:sz w:val="24"/>
              </w:rPr>
              <w:t>法定代表人 ：</w:t>
            </w:r>
          </w:p>
          <w:p>
            <w:pPr>
              <w:adjustRightInd w:val="0"/>
              <w:snapToGrid w:val="0"/>
              <w:spacing w:line="360" w:lineRule="auto"/>
              <w:rPr>
                <w:rFonts w:ascii="宋体" w:hAnsi="宋体" w:cs="宋体"/>
                <w:sz w:val="24"/>
              </w:rPr>
            </w:pPr>
            <w:r>
              <w:rPr>
                <w:rFonts w:hint="eastAsia" w:ascii="宋体" w:hAnsi="宋体" w:cs="宋体"/>
                <w:sz w:val="24"/>
              </w:rPr>
              <w:t>（或委托代理人）</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p>
        </w:tc>
        <w:tc>
          <w:tcPr>
            <w:tcW w:w="4274" w:type="dxa"/>
          </w:tcPr>
          <w:p>
            <w:pPr>
              <w:adjustRightInd w:val="0"/>
              <w:snapToGrid w:val="0"/>
              <w:spacing w:line="360" w:lineRule="auto"/>
              <w:rPr>
                <w:rFonts w:ascii="宋体" w:hAnsi="宋体" w:cs="宋体"/>
                <w:sz w:val="24"/>
              </w:rPr>
            </w:pPr>
            <w:r>
              <w:rPr>
                <w:rFonts w:hint="eastAsia" w:ascii="宋体" w:hAnsi="宋体" w:cs="宋体"/>
                <w:sz w:val="24"/>
              </w:rPr>
              <w:t>法定代表人 ：</w:t>
            </w:r>
          </w:p>
          <w:p>
            <w:pPr>
              <w:adjustRightInd w:val="0"/>
              <w:snapToGrid w:val="0"/>
              <w:spacing w:line="360" w:lineRule="auto"/>
              <w:rPr>
                <w:rFonts w:ascii="宋体" w:hAnsi="宋体" w:cs="宋体"/>
                <w:sz w:val="24"/>
              </w:rPr>
            </w:pPr>
            <w:r>
              <w:rPr>
                <w:rFonts w:hint="eastAsia" w:ascii="宋体" w:hAnsi="宋体" w:cs="宋体"/>
                <w:sz w:val="24"/>
              </w:rPr>
              <w:t>（或委托代理人）</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2" w:hRule="atLeast"/>
          <w:jc w:val="center"/>
        </w:trPr>
        <w:tc>
          <w:tcPr>
            <w:tcW w:w="4140" w:type="dxa"/>
            <w:tcBorders>
              <w:bottom w:val="single" w:color="auto" w:sz="4" w:space="0"/>
            </w:tcBorders>
          </w:tcPr>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详细地址：</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电话：</w:t>
            </w:r>
          </w:p>
          <w:p>
            <w:pPr>
              <w:adjustRightInd w:val="0"/>
              <w:snapToGrid w:val="0"/>
              <w:spacing w:line="360" w:lineRule="auto"/>
              <w:rPr>
                <w:rFonts w:ascii="宋体" w:hAnsi="宋体" w:cs="宋体"/>
                <w:sz w:val="24"/>
              </w:rPr>
            </w:pPr>
            <w:r>
              <w:rPr>
                <w:rFonts w:hint="eastAsia" w:ascii="宋体" w:hAnsi="宋体" w:cs="宋体"/>
                <w:sz w:val="24"/>
              </w:rPr>
              <w:t>传真：</w:t>
            </w:r>
          </w:p>
        </w:tc>
        <w:tc>
          <w:tcPr>
            <w:tcW w:w="4274" w:type="dxa"/>
            <w:tcBorders>
              <w:bottom w:val="single" w:color="auto" w:sz="4" w:space="0"/>
            </w:tcBorders>
          </w:tcPr>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 xml:space="preserve">详细地址： </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电话：</w:t>
            </w:r>
          </w:p>
          <w:p>
            <w:pPr>
              <w:adjustRightInd w:val="0"/>
              <w:snapToGrid w:val="0"/>
              <w:spacing w:line="360" w:lineRule="auto"/>
              <w:rPr>
                <w:rFonts w:ascii="宋体" w:hAnsi="宋体" w:cs="宋体"/>
                <w:sz w:val="24"/>
              </w:rPr>
            </w:pPr>
            <w:r>
              <w:rPr>
                <w:rFonts w:hint="eastAsia" w:ascii="宋体" w:hAnsi="宋体" w:cs="宋体"/>
                <w:sz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4140" w:type="dxa"/>
          </w:tcPr>
          <w:p>
            <w:pPr>
              <w:adjustRightInd w:val="0"/>
              <w:snapToGrid w:val="0"/>
              <w:spacing w:line="360" w:lineRule="auto"/>
              <w:rPr>
                <w:rFonts w:ascii="宋体" w:hAnsi="宋体" w:cs="宋体"/>
                <w:sz w:val="24"/>
              </w:rPr>
            </w:pPr>
            <w:r>
              <w:rPr>
                <w:rFonts w:hint="eastAsia" w:ascii="宋体" w:hAnsi="宋体" w:cs="宋体"/>
                <w:sz w:val="24"/>
              </w:rPr>
              <w:t>开户银行：</w:t>
            </w:r>
          </w:p>
          <w:p>
            <w:pPr>
              <w:adjustRightInd w:val="0"/>
              <w:snapToGrid w:val="0"/>
              <w:spacing w:line="360" w:lineRule="auto"/>
              <w:rPr>
                <w:rFonts w:ascii="宋体" w:hAnsi="宋体" w:cs="宋体"/>
                <w:sz w:val="24"/>
              </w:rPr>
            </w:pPr>
            <w:r>
              <w:rPr>
                <w:rFonts w:hint="eastAsia" w:ascii="宋体" w:hAnsi="宋体" w:cs="宋体"/>
                <w:sz w:val="24"/>
              </w:rPr>
              <w:t>账号：</w:t>
            </w:r>
          </w:p>
        </w:tc>
        <w:tc>
          <w:tcPr>
            <w:tcW w:w="4274" w:type="dxa"/>
          </w:tcPr>
          <w:p>
            <w:pPr>
              <w:adjustRightInd w:val="0"/>
              <w:snapToGrid w:val="0"/>
              <w:spacing w:line="360" w:lineRule="auto"/>
              <w:rPr>
                <w:rFonts w:ascii="宋体" w:hAnsi="宋体" w:cs="宋体"/>
                <w:sz w:val="24"/>
              </w:rPr>
            </w:pPr>
            <w:r>
              <w:rPr>
                <w:rFonts w:hint="eastAsia" w:ascii="宋体" w:hAnsi="宋体" w:cs="宋体"/>
                <w:sz w:val="24"/>
              </w:rPr>
              <w:t>开户银行：</w:t>
            </w:r>
          </w:p>
          <w:p>
            <w:pPr>
              <w:adjustRightInd w:val="0"/>
              <w:snapToGrid w:val="0"/>
              <w:spacing w:line="360" w:lineRule="auto"/>
              <w:rPr>
                <w:rFonts w:ascii="宋体" w:hAnsi="宋体" w:cs="宋体"/>
                <w:sz w:val="24"/>
              </w:rPr>
            </w:pPr>
            <w:r>
              <w:rPr>
                <w:rFonts w:hint="eastAsia" w:ascii="宋体" w:hAnsi="宋体" w:cs="宋体"/>
                <w:sz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414" w:type="dxa"/>
            <w:gridSpan w:val="2"/>
          </w:tcPr>
          <w:p>
            <w:pPr>
              <w:adjustRightInd w:val="0"/>
              <w:snapToGrid w:val="0"/>
              <w:spacing w:line="360" w:lineRule="auto"/>
              <w:rPr>
                <w:rFonts w:ascii="宋体" w:hAnsi="宋体" w:cs="宋体"/>
                <w:sz w:val="2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tc>
      </w:tr>
    </w:tbl>
    <w:p>
      <w:pP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br w:type="page"/>
      </w:r>
    </w:p>
    <w:p>
      <w:pPr>
        <w:widowControl/>
        <w:shd w:val="clear" w:color="auto" w:fill="FFFFFF"/>
        <w:spacing w:line="360" w:lineRule="auto"/>
        <w:ind w:firstLine="723" w:firstLineChars="200"/>
        <w:jc w:val="center"/>
        <w:outlineLvl w:val="0"/>
        <w:rPr>
          <w:rFonts w:ascii="宋体" w:hAnsi="宋体" w:cs="宋体"/>
          <w:b/>
          <w:color w:val="000000" w:themeColor="text1"/>
          <w:sz w:val="36"/>
          <w:szCs w:val="36"/>
          <w14:textFill>
            <w14:solidFill>
              <w14:schemeClr w14:val="tx1"/>
            </w14:solidFill>
          </w14:textFill>
        </w:rPr>
      </w:pPr>
      <w:bookmarkStart w:id="878" w:name="_Toc218620575"/>
      <w:r>
        <w:rPr>
          <w:rFonts w:hint="eastAsia" w:ascii="宋体" w:hAnsi="宋体" w:cs="宋体"/>
          <w:b/>
          <w:color w:val="000000" w:themeColor="text1"/>
          <w:sz w:val="36"/>
          <w:szCs w:val="36"/>
          <w14:textFill>
            <w14:solidFill>
              <w14:schemeClr w14:val="tx1"/>
            </w14:solidFill>
          </w14:textFill>
        </w:rPr>
        <w:t>第七章   投标文件格式</w:t>
      </w:r>
      <w:bookmarkEnd w:id="868"/>
      <w:bookmarkEnd w:id="878"/>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投标人编制文件须知</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1、投标人按照本部分的顺序编制投标文件（资格证明文件）、投标文件（商务技术文件），编制中涉及格式资料的，应按照本部分提供的内容和格式（所有表格的格式可扩展）填写提交。</w:t>
      </w:r>
    </w:p>
    <w:p>
      <w:pPr>
        <w:tabs>
          <w:tab w:val="left" w:pos="900"/>
          <w:tab w:val="left" w:pos="1980"/>
        </w:tabs>
        <w:snapToGrid w:val="0"/>
        <w:spacing w:line="360" w:lineRule="auto"/>
        <w:ind w:left="14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3、全部声明和问题的回答及所附材料必须是真实的、准确的和完整的。</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Pr>
        <w:pStyle w:val="4"/>
        <w:jc w:val="left"/>
        <w:rPr>
          <w:rFonts w:ascii="宋体" w:hAnsi="宋体" w:eastAsia="宋体"/>
          <w:kern w:val="2"/>
          <w:sz w:val="24"/>
          <w:szCs w:val="24"/>
        </w:rPr>
      </w:pPr>
      <w:r>
        <w:rPr>
          <w:rFonts w:hint="eastAsia" w:ascii="宋体" w:hAnsi="宋体" w:eastAsia="宋体"/>
          <w:sz w:val="24"/>
          <w:szCs w:val="24"/>
        </w:rPr>
        <w:t>一、资格证明文件格式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投标文件（资格证明文件）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（资格证明文件）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rPr>
          <w:rFonts w:ascii="宋体" w:hAnsi="宋体" w:cs="宋体"/>
          <w:b/>
          <w:color w:val="000000" w:themeColor="text1"/>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br w:type="page"/>
      </w:r>
    </w:p>
    <w:p>
      <w:pPr>
        <w:pStyle w:val="6"/>
        <w:rPr>
          <w:rStyle w:val="461"/>
          <w:rFonts w:hint="default" w:ascii="宋体" w:hAnsi="宋体"/>
          <w:b w:val="0"/>
          <w:sz w:val="24"/>
          <w:szCs w:val="24"/>
          <w:u w:val="none"/>
        </w:rPr>
      </w:pPr>
      <w:r>
        <w:rPr>
          <w:rStyle w:val="461"/>
          <w:rFonts w:hint="default" w:ascii="宋体" w:hAnsi="宋体"/>
          <w:b w:val="0"/>
          <w:sz w:val="24"/>
          <w:szCs w:val="24"/>
          <w:u w:val="none"/>
        </w:rPr>
        <w:t>1  满足《中华人民共和国政府采购法》第二十二条规定</w:t>
      </w:r>
    </w:p>
    <w:p>
      <w:pPr>
        <w:pStyle w:val="7"/>
        <w:jc w:val="left"/>
        <w:rPr>
          <w:rFonts w:ascii="宋体" w:hAnsi="宋体" w:eastAsia="宋体"/>
          <w:b w:val="0"/>
          <w:sz w:val="24"/>
          <w:szCs w:val="24"/>
        </w:rPr>
      </w:pPr>
      <w:r>
        <w:rPr>
          <w:rFonts w:hint="eastAsia" w:ascii="宋体" w:hAnsi="宋体" w:eastAsia="宋体"/>
          <w:b w:val="0"/>
          <w:sz w:val="24"/>
          <w:szCs w:val="24"/>
        </w:rPr>
        <w:t>1-1</w:t>
      </w:r>
      <w:r>
        <w:rPr>
          <w:rFonts w:ascii="宋体" w:hAnsi="宋体" w:eastAsia="宋体"/>
          <w:b w:val="0"/>
          <w:sz w:val="24"/>
          <w:szCs w:val="24"/>
        </w:rPr>
        <w:t xml:space="preserve"> </w:t>
      </w:r>
      <w:r>
        <w:rPr>
          <w:rFonts w:hint="eastAsia" w:ascii="宋体" w:hAnsi="宋体" w:eastAsia="宋体"/>
          <w:b w:val="0"/>
          <w:sz w:val="24"/>
          <w:szCs w:val="24"/>
        </w:rPr>
        <w:t>营业执照等证明文件</w:t>
      </w:r>
    </w:p>
    <w:p>
      <w:pPr>
        <w:tabs>
          <w:tab w:val="left" w:pos="1080"/>
        </w:tabs>
        <w:snapToGrid w:val="0"/>
        <w:rPr>
          <w:rFonts w:ascii="宋体" w:hAnsi="宋体" w:cs="宋体"/>
          <w:color w:val="000000" w:themeColor="text1"/>
          <w:sz w:val="24"/>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1-2</w:t>
      </w:r>
      <w:r>
        <w:rPr>
          <w:rFonts w:ascii="宋体" w:hAnsi="宋体" w:eastAsia="宋体"/>
          <w:b w:val="0"/>
          <w:sz w:val="24"/>
          <w:szCs w:val="24"/>
        </w:rPr>
        <w:t xml:space="preserve"> </w:t>
      </w:r>
      <w:r>
        <w:rPr>
          <w:rFonts w:hint="eastAsia" w:ascii="宋体" w:hAnsi="宋体" w:eastAsia="宋体"/>
          <w:b w:val="0"/>
          <w:sz w:val="24"/>
          <w:szCs w:val="24"/>
        </w:rPr>
        <w:t>投标人资格声明书</w:t>
      </w:r>
    </w:p>
    <w:p>
      <w:pPr>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投标人资格声明书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在参与本次项目投标中，我单位承诺：</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具有良好的商业信誉和健全的财务会计制度；</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具有履行合同所必需的设备和专业技术能力；</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有依法缴纳税收和社会保障资金的良好记录；</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我单位不属于政府采购法律、行政法规规定的公益一类事业单位、或使用事业编制且由财政拨款保障的群团组织（仅适用于政府购买服务项目）；</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我单位不存在为采购项目提供整体设计、规范编制或者项目管理、监理、检测等服务后，再参加该采购项目的其他采购活动的情形（单一来源采购项目除外）；</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与我单位存在“单位负责人为同一人或者存在直接控股、管理关系”的其他法人单位信息如下（如有，不论其是否参加同一合同项下的政府采购活动均须填写）：</w:t>
      </w:r>
    </w:p>
    <w:tbl>
      <w:tblPr>
        <w:tblStyle w:val="5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4574"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单位名称</w:t>
            </w:r>
          </w:p>
        </w:tc>
        <w:tc>
          <w:tcPr>
            <w:tcW w:w="2976"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bl>
    <w:p>
      <w:pPr>
        <w:ind w:firstLine="480" w:firstLineChars="200"/>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上述声明真实有效，否则我方负全部责任。</w:t>
      </w:r>
    </w:p>
    <w:p>
      <w:pPr>
        <w:autoSpaceDE w:val="0"/>
        <w:autoSpaceDN w:val="0"/>
        <w:adjustRightInd w:val="0"/>
        <w:snapToGrid w:val="0"/>
        <w:spacing w:before="25" w:after="25" w:line="360" w:lineRule="auto"/>
        <w:jc w:val="righ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360"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说明：供应商承诺不实的，依据《政府采购法》第七十七条“提供虚假材料谋取中标、成交的”有关规定予以处理。</w:t>
      </w:r>
    </w:p>
    <w:p>
      <w:pPr>
        <w:pStyle w:val="6"/>
        <w:rPr>
          <w:rStyle w:val="461"/>
          <w:rFonts w:hint="default" w:ascii="宋体" w:hAnsi="宋体"/>
          <w:b w:val="0"/>
          <w:sz w:val="24"/>
          <w:u w:val="none"/>
        </w:rPr>
      </w:pPr>
      <w:r>
        <w:rPr>
          <w:rStyle w:val="461"/>
          <w:rFonts w:hint="default" w:ascii="宋体" w:hAnsi="宋体"/>
          <w:b w:val="0"/>
          <w:sz w:val="24"/>
          <w:u w:val="none"/>
        </w:rPr>
        <w:t xml:space="preserve">2 </w:t>
      </w:r>
      <w:r>
        <w:rPr>
          <w:rStyle w:val="461"/>
          <w:rFonts w:hint="default" w:ascii="宋体" w:hAnsi="宋体"/>
          <w:b w:val="0"/>
          <w:sz w:val="24"/>
          <w:szCs w:val="24"/>
          <w:u w:val="none"/>
        </w:rPr>
        <w:t xml:space="preserve"> </w:t>
      </w:r>
      <w:r>
        <w:rPr>
          <w:rStyle w:val="461"/>
          <w:rFonts w:hint="default" w:ascii="宋体" w:hAnsi="宋体"/>
          <w:b w:val="0"/>
          <w:sz w:val="24"/>
          <w:u w:val="none"/>
        </w:rPr>
        <w:t>落实政府采购政策需满足的资格要求</w:t>
      </w:r>
    </w:p>
    <w:p>
      <w:pPr>
        <w:pStyle w:val="7"/>
        <w:jc w:val="left"/>
        <w:rPr>
          <w:rFonts w:ascii="宋体" w:hAnsi="宋体" w:eastAsia="宋体"/>
          <w:b w:val="0"/>
          <w:sz w:val="24"/>
          <w:szCs w:val="24"/>
        </w:rPr>
      </w:pPr>
      <w:r>
        <w:rPr>
          <w:rFonts w:hint="eastAsia" w:ascii="宋体" w:hAnsi="宋体" w:eastAsia="宋体"/>
          <w:b w:val="0"/>
          <w:sz w:val="24"/>
          <w:szCs w:val="24"/>
        </w:rPr>
        <w:t>2-1</w:t>
      </w:r>
      <w:r>
        <w:rPr>
          <w:rFonts w:ascii="宋体" w:hAnsi="宋体" w:eastAsia="宋体"/>
          <w:b w:val="0"/>
          <w:sz w:val="24"/>
          <w:szCs w:val="24"/>
        </w:rPr>
        <w:t xml:space="preserve"> </w:t>
      </w:r>
      <w:r>
        <w:rPr>
          <w:rFonts w:hint="eastAsia" w:ascii="宋体" w:hAnsi="宋体" w:eastAsia="宋体"/>
          <w:b w:val="0"/>
          <w:sz w:val="24"/>
          <w:szCs w:val="24"/>
        </w:rPr>
        <w:t>中小企业政策证明文件（不适用）</w:t>
      </w:r>
    </w:p>
    <w:p>
      <w:pPr>
        <w:tabs>
          <w:tab w:val="left" w:pos="5580"/>
        </w:tabs>
        <w:spacing w:line="360" w:lineRule="auto"/>
        <w:rPr>
          <w:rFonts w:ascii="宋体" w:hAnsi="宋体" w:cs="宋体"/>
          <w:color w:val="000000" w:themeColor="text1"/>
          <w:sz w:val="24"/>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 文件，建议在商务技术文件中提供。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（2）如本项目（包）专门面向中小企业采购，投标文件中须提供《中小企业声明函》 或《残疾人福利性单位声明函》或由省级以上监狱管理局、戒毒管理局（含新疆生产建设兵团）出具的属于监狱企业的证明文件，且建议在资格证明文件部分提供。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 利性单位声明函》或由省级以上监狱管理局、戒毒管理局（含新疆生产建设兵团）出具的属于监狱企业的证明文件，还须同时提供《拟分包情况说明》及《分包意向协议》，且建议在资格证明文件部分提供。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（4）如本项目（包）预留部分采购项目预算专门面向中小企业采购，且要求供应商以联合体形式参加采购活动，如供应商为联合体的，投标文件中除须提供《中小企业声明 函》或《残疾人福利性单位声明函》或由省级以上监狱管理局、戒毒管理局（含新疆生产建设兵团）出具的属于监狱企业的证明文件，还须同时提供《联合协议》；上述文件建议在资格证明文件部分提供。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（5）中小企业声明函填写注意事项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1）《中小企业声明函》由参加政府采购活动的投标人出具。联合体投标的，《中小企业声明函》可由牵头人出具。</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2）对于联合体中由中小企业承担的部分，或者分包给中小企业的部分，必须全部由中小企业制造、承建或者承接。供应商应当在声明函“标的名称”部分标明联合体中中小企 业承担的具体内容或者中小企业的具体分包内容。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3）对于多标的采购项目，投标人应充分、准确地了解所提供货物的制造企业、提供服 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（6）温馨提示</w:t>
      </w:r>
      <w:r>
        <w:rPr>
          <w:rFonts w:hint="eastAsia" w:ascii="宋体" w:hAnsi="宋体" w:cs="宋体"/>
          <w:color w:val="000000" w:themeColor="text1"/>
          <w:spacing w:val="-13"/>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为方便广大中小企业识别企业规模类型</w:t>
      </w:r>
      <w:r>
        <w:rPr>
          <w:rFonts w:hint="eastAsia" w:ascii="宋体" w:hAnsi="宋体" w:cs="宋体"/>
          <w:color w:val="000000" w:themeColor="text1"/>
          <w:spacing w:val="-29"/>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工业和信息化部组织开发了中小企业规模类型自测小程序，在国务院客户端和工</w:t>
      </w:r>
      <w:r>
        <w:rPr>
          <w:rFonts w:hint="eastAsia" w:ascii="宋体" w:hAnsi="宋体" w:cs="宋体"/>
          <w:color w:val="000000" w:themeColor="text1"/>
          <w:spacing w:val="-2"/>
          <w:sz w:val="24"/>
          <w14:textFill>
            <w14:solidFill>
              <w14:schemeClr w14:val="tx1"/>
            </w14:solidFill>
          </w14:textFill>
        </w:rPr>
        <w:t>业和信息化部网站上均有链接，投</w:t>
      </w:r>
      <w:r>
        <w:rPr>
          <w:rFonts w:hint="eastAsia" w:ascii="宋体" w:hAnsi="宋体" w:cs="宋体"/>
          <w:color w:val="000000" w:themeColor="text1"/>
          <w:spacing w:val="-1"/>
          <w:sz w:val="24"/>
          <w14:textFill>
            <w14:solidFill>
              <w14:schemeClr w14:val="tx1"/>
            </w14:solidFill>
          </w14:textFill>
        </w:rPr>
        <w:t>标人填写所属的行业和指标数据可自动生成企业规模</w:t>
      </w:r>
      <w:r>
        <w:rPr>
          <w:rFonts w:hint="eastAsia" w:ascii="宋体" w:hAnsi="宋体" w:cs="宋体"/>
          <w:color w:val="000000" w:themeColor="text1"/>
          <w:spacing w:val="-2"/>
          <w:sz w:val="24"/>
          <w14:textFill>
            <w14:solidFill>
              <w14:schemeClr w14:val="tx1"/>
            </w14:solidFill>
          </w14:textFill>
        </w:rPr>
        <w:t>类型测试结果。本项目中小企业划</w:t>
      </w:r>
      <w:r>
        <w:rPr>
          <w:rFonts w:hint="eastAsia" w:ascii="宋体" w:hAnsi="宋体" w:cs="宋体"/>
          <w:color w:val="000000" w:themeColor="text1"/>
          <w:spacing w:val="-1"/>
          <w:sz w:val="24"/>
          <w14:textFill>
            <w14:solidFill>
              <w14:schemeClr w14:val="tx1"/>
            </w14:solidFill>
          </w14:textFill>
        </w:rPr>
        <w:t>分标准所属行业详见第二章《投标人须知资料</w:t>
      </w:r>
      <w:r>
        <w:rPr>
          <w:rFonts w:hint="eastAsia" w:ascii="宋体" w:hAnsi="宋体" w:cs="宋体"/>
          <w:color w:val="000000" w:themeColor="text1"/>
          <w:spacing w:val="-2"/>
          <w:sz w:val="24"/>
          <w14:textFill>
            <w14:solidFill>
              <w14:schemeClr w14:val="tx1"/>
            </w14:solidFill>
          </w14:textFill>
        </w:rPr>
        <w:t>表》，如在该程序中未找到本项目文件规</w:t>
      </w:r>
      <w:r>
        <w:rPr>
          <w:rFonts w:hint="eastAsia" w:ascii="宋体" w:hAnsi="宋体" w:cs="宋体"/>
          <w:color w:val="000000" w:themeColor="text1"/>
          <w:spacing w:val="-1"/>
          <w:sz w:val="24"/>
          <w14:textFill>
            <w14:solidFill>
              <w14:schemeClr w14:val="tx1"/>
            </w14:solidFill>
          </w14:textFill>
        </w:rPr>
        <w:t>定的中小企业划分标准所属行业，则按照《关于印发</w:t>
      </w:r>
      <w:r>
        <w:rPr>
          <w:rFonts w:hint="eastAsia" w:ascii="宋体" w:hAnsi="宋体" w:cs="宋体"/>
          <w:color w:val="000000" w:themeColor="text1"/>
          <w:spacing w:val="-2"/>
          <w:sz w:val="24"/>
          <w14:textFill>
            <w14:solidFill>
              <w14:schemeClr w14:val="tx1"/>
            </w14:solidFill>
          </w14:textFill>
        </w:rPr>
        <w:t>中小企业划型标准规定的通知（工</w:t>
      </w:r>
      <w:r>
        <w:rPr>
          <w:rFonts w:hint="eastAsia" w:ascii="宋体" w:hAnsi="宋体" w:cs="宋体"/>
          <w:color w:val="000000" w:themeColor="text1"/>
          <w:spacing w:val="-5"/>
          <w:sz w:val="24"/>
          <w14:textFill>
            <w14:solidFill>
              <w14:schemeClr w14:val="tx1"/>
            </w14:solidFill>
          </w14:textFill>
        </w:rPr>
        <w:t>信部联企业﹝2011﹞300 号）》及《金融业企业划型标准规定》（〔2015〕309号）等</w:t>
      </w:r>
      <w:r>
        <w:rPr>
          <w:rFonts w:hint="eastAsia" w:ascii="宋体" w:hAnsi="宋体" w:cs="宋体"/>
          <w:color w:val="000000" w:themeColor="text1"/>
          <w:spacing w:val="-1"/>
          <w:sz w:val="24"/>
          <w14:textFill>
            <w14:solidFill>
              <w14:schemeClr w14:val="tx1"/>
            </w14:solidFill>
          </w14:textFill>
        </w:rPr>
        <w:t>国务院批准的中小企业划分标准执行。</w:t>
      </w:r>
    </w:p>
    <w:p>
      <w:pPr>
        <w:pStyle w:val="8"/>
        <w:jc w:val="left"/>
        <w:rPr>
          <w:rStyle w:val="93"/>
          <w:rFonts w:ascii="宋体" w:hAnsi="宋体" w:eastAsia="宋体"/>
          <w:b w:val="0"/>
          <w:sz w:val="24"/>
          <w:szCs w:val="24"/>
        </w:rPr>
      </w:pPr>
      <w:r>
        <w:rPr>
          <w:rFonts w:hint="eastAsia" w:ascii="宋体" w:hAnsi="宋体" w:cs="宋体"/>
          <w:color w:val="000000" w:themeColor="text1"/>
          <w:sz w:val="24"/>
          <w14:textFill>
            <w14:solidFill>
              <w14:schemeClr w14:val="tx1"/>
            </w14:solidFill>
          </w14:textFill>
        </w:rPr>
        <w:br w:type="page"/>
      </w:r>
      <w:r>
        <w:rPr>
          <w:rStyle w:val="93"/>
          <w:rFonts w:hint="eastAsia" w:ascii="宋体" w:hAnsi="宋体" w:eastAsia="宋体"/>
          <w:b w:val="0"/>
          <w:sz w:val="24"/>
          <w:szCs w:val="24"/>
        </w:rPr>
        <w:t>2-1-1中小企业证明文件</w:t>
      </w:r>
    </w:p>
    <w:p>
      <w:pPr>
        <w:spacing w:before="240" w:beforeLines="100" w:after="240" w:afterLines="100" w:line="360" w:lineRule="auto"/>
        <w:jc w:val="center"/>
        <w:rPr>
          <w:rFonts w:ascii="宋体" w:hAnsi="宋体" w:cs="宋体"/>
          <w:b/>
          <w:sz w:val="36"/>
          <w:szCs w:val="36"/>
        </w:rPr>
      </w:pPr>
      <w:r>
        <w:rPr>
          <w:rFonts w:hint="eastAsia" w:ascii="宋体" w:hAnsi="宋体" w:cs="宋体"/>
          <w:b/>
          <w:bCs/>
          <w:sz w:val="36"/>
          <w:szCs w:val="36"/>
        </w:rPr>
        <w:t>中小企业声明函（货物）格式</w:t>
      </w:r>
    </w:p>
    <w:p>
      <w:pPr>
        <w:spacing w:line="360" w:lineRule="auto"/>
        <w:ind w:firstLine="504"/>
        <w:rPr>
          <w:rFonts w:ascii="宋体" w:hAnsi="宋体" w:cs="宋体"/>
          <w:spacing w:val="6"/>
          <w:sz w:val="24"/>
        </w:rPr>
      </w:pPr>
      <w:r>
        <w:rPr>
          <w:rFonts w:hint="eastAsia" w:ascii="宋体" w:hAnsi="宋体" w:cs="宋体"/>
          <w:spacing w:val="6"/>
          <w:sz w:val="24"/>
        </w:rPr>
        <w:t>本公司（联合体）郑重声明，根据《政府采购促进中小企业发展管理办法》（财库﹝2020﹞46 号）的规定，本公司（联合体）参加</w:t>
      </w:r>
      <w:r>
        <w:rPr>
          <w:rFonts w:hint="eastAsia" w:ascii="宋体" w:hAnsi="宋体" w:cs="宋体"/>
          <w:spacing w:val="6"/>
          <w:sz w:val="24"/>
          <w:u w:val="single"/>
        </w:rPr>
        <w:t>（单位名称）</w:t>
      </w:r>
      <w:r>
        <w:rPr>
          <w:rFonts w:hint="eastAsia" w:ascii="宋体" w:hAnsi="宋体" w:cs="宋体"/>
          <w:spacing w:val="6"/>
          <w:sz w:val="24"/>
        </w:rPr>
        <w:t>的</w:t>
      </w:r>
      <w:r>
        <w:rPr>
          <w:rFonts w:hint="eastAsia" w:ascii="宋体" w:hAnsi="宋体" w:cs="宋体"/>
          <w:spacing w:val="6"/>
          <w:sz w:val="24"/>
          <w:u w:val="single"/>
        </w:rPr>
        <w:t>（项目名称）</w:t>
      </w:r>
      <w:r>
        <w:rPr>
          <w:rFonts w:hint="eastAsia" w:ascii="宋体" w:hAnsi="宋体" w:cs="宋体"/>
          <w:spacing w:val="6"/>
          <w:sz w:val="24"/>
        </w:rPr>
        <w:t>采购活动，提供的货物全部由符合政策要求的中小企业制造。相关企业（含联合体中的中小企业、签订分包意向协议的中小企业）的具体情况如下：</w:t>
      </w:r>
    </w:p>
    <w:p>
      <w:pPr>
        <w:spacing w:line="360" w:lineRule="auto"/>
        <w:ind w:firstLine="504"/>
        <w:rPr>
          <w:rFonts w:ascii="宋体" w:hAnsi="宋体" w:cs="宋体"/>
          <w:spacing w:val="6"/>
          <w:sz w:val="24"/>
        </w:rPr>
      </w:pPr>
      <w:r>
        <w:rPr>
          <w:rFonts w:hint="eastAsia" w:ascii="宋体" w:hAnsi="宋体" w:cs="宋体"/>
          <w:spacing w:val="6"/>
          <w:sz w:val="24"/>
        </w:rPr>
        <w:t>1.</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w:t>
      </w:r>
      <w:r>
        <w:rPr>
          <w:rFonts w:hint="eastAsia" w:ascii="宋体" w:hAnsi="宋体" w:cs="宋体"/>
          <w:spacing w:val="6"/>
          <w:sz w:val="24"/>
          <w:vertAlign w:val="superscript"/>
        </w:rPr>
        <w:t>1</w:t>
      </w:r>
      <w:r>
        <w:rPr>
          <w:rFonts w:hint="eastAsia" w:ascii="宋体" w:hAnsi="宋体" w:cs="宋体"/>
          <w:spacing w:val="6"/>
          <w:sz w:val="24"/>
        </w:rPr>
        <w:t>，属于（中型企业、小型企业、微型企业）；</w:t>
      </w:r>
    </w:p>
    <w:p>
      <w:pPr>
        <w:spacing w:line="360" w:lineRule="auto"/>
        <w:ind w:firstLine="504"/>
        <w:rPr>
          <w:rFonts w:ascii="宋体" w:hAnsi="宋体" w:cs="宋体"/>
          <w:spacing w:val="6"/>
          <w:sz w:val="24"/>
        </w:rPr>
      </w:pPr>
      <w:r>
        <w:rPr>
          <w:rFonts w:hint="eastAsia" w:ascii="宋体" w:hAnsi="宋体" w:cs="宋体"/>
          <w:spacing w:val="6"/>
          <w:sz w:val="24"/>
        </w:rPr>
        <w:t>2.</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，从业人员______人，营业收入为______万元，资产总额为______万元，属于</w:t>
      </w:r>
      <w:r>
        <w:rPr>
          <w:rFonts w:hint="eastAsia" w:ascii="宋体" w:hAnsi="宋体" w:cs="宋体"/>
          <w:spacing w:val="6"/>
          <w:sz w:val="24"/>
          <w:u w:val="single"/>
        </w:rPr>
        <w:t>（中型企业、小型企业、微型企业）</w:t>
      </w: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以上企业，不属于大企业的分支机构，不存在控股股东为大企业的情形，也不存在与大企业的负责人为同一人的情形。</w:t>
      </w:r>
    </w:p>
    <w:p>
      <w:pPr>
        <w:spacing w:line="360" w:lineRule="auto"/>
        <w:ind w:firstLine="504"/>
        <w:rPr>
          <w:rFonts w:ascii="宋体" w:hAnsi="宋体" w:cs="宋体"/>
          <w:spacing w:val="6"/>
          <w:sz w:val="24"/>
        </w:rPr>
      </w:pPr>
      <w:r>
        <w:rPr>
          <w:rFonts w:hint="eastAsia" w:ascii="宋体" w:hAnsi="宋体" w:cs="宋体"/>
          <w:spacing w:val="6"/>
          <w:sz w:val="24"/>
        </w:rPr>
        <w:t>本企业对上述声明内容的真实性负责。如有虚假，将依法承担相应责任。</w:t>
      </w:r>
    </w:p>
    <w:p>
      <w:pPr>
        <w:spacing w:line="360" w:lineRule="auto"/>
        <w:ind w:firstLine="504"/>
        <w:rPr>
          <w:rFonts w:ascii="宋体" w:hAnsi="宋体" w:cs="宋体"/>
          <w:spacing w:val="6"/>
          <w:sz w:val="24"/>
        </w:rPr>
      </w:pPr>
    </w:p>
    <w:p>
      <w:pPr>
        <w:spacing w:line="360" w:lineRule="auto"/>
        <w:ind w:right="360" w:firstLine="480"/>
        <w:jc w:val="right"/>
        <w:rPr>
          <w:rFonts w:ascii="宋体" w:hAnsi="宋体" w:cs="宋体"/>
          <w:sz w:val="24"/>
        </w:rPr>
      </w:pPr>
      <w:r>
        <w:rPr>
          <w:rFonts w:hint="eastAsia" w:ascii="宋体" w:hAnsi="宋体" w:cs="宋体"/>
          <w:sz w:val="24"/>
        </w:rPr>
        <w:t>企业名称（盖章）：________</w:t>
      </w:r>
    </w:p>
    <w:p>
      <w:pPr>
        <w:spacing w:line="360" w:lineRule="auto"/>
        <w:ind w:right="360" w:firstLine="480"/>
        <w:jc w:val="right"/>
        <w:rPr>
          <w:rFonts w:ascii="宋体" w:hAnsi="宋体" w:cs="宋体"/>
          <w:sz w:val="24"/>
        </w:rPr>
      </w:pPr>
      <w:r>
        <w:rPr>
          <w:rFonts w:hint="eastAsia" w:ascii="宋体" w:hAnsi="宋体" w:cs="宋体"/>
          <w:sz w:val="24"/>
        </w:rPr>
        <w:t>日 期：________</w:t>
      </w:r>
    </w:p>
    <w:p>
      <w:pPr>
        <w:spacing w:line="360" w:lineRule="auto"/>
        <w:ind w:right="360" w:firstLine="480"/>
        <w:jc w:val="right"/>
        <w:rPr>
          <w:rFonts w:ascii="宋体" w:hAnsi="宋体" w:cs="宋体"/>
          <w:sz w:val="24"/>
        </w:rPr>
      </w:pPr>
    </w:p>
    <w:p>
      <w:pPr>
        <w:spacing w:line="360" w:lineRule="auto"/>
        <w:ind w:right="360" w:firstLine="480"/>
        <w:jc w:val="right"/>
        <w:rPr>
          <w:rFonts w:ascii="宋体" w:hAnsi="宋体" w:cs="宋体"/>
          <w:sz w:val="24"/>
        </w:rPr>
      </w:pPr>
    </w:p>
    <w:tbl>
      <w:tblPr>
        <w:tblStyle w:val="51"/>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Borders>
              <w:top w:val="single" w:color="auto" w:sz="4" w:space="0"/>
              <w:left w:val="nil"/>
              <w:bottom w:val="nil"/>
              <w:right w:val="nil"/>
            </w:tcBorders>
          </w:tcPr>
          <w:p>
            <w:pPr>
              <w:adjustRightInd w:val="0"/>
              <w:snapToGrid w:val="0"/>
              <w:jc w:val="left"/>
              <w:rPr>
                <w:rFonts w:ascii="宋体" w:hAnsi="宋体" w:cs="宋体"/>
                <w:szCs w:val="21"/>
              </w:rPr>
            </w:pPr>
            <w:r>
              <w:rPr>
                <w:rFonts w:hint="eastAsia" w:ascii="宋体" w:hAnsi="宋体" w:cs="宋体"/>
                <w:szCs w:val="21"/>
                <w:vertAlign w:val="superscript"/>
              </w:rPr>
              <w:t>1</w:t>
            </w:r>
            <w:r>
              <w:rPr>
                <w:rFonts w:hint="eastAsia" w:ascii="宋体" w:hAnsi="宋体" w:cs="宋体"/>
                <w:szCs w:val="21"/>
              </w:rPr>
              <w:t>从业人员、营业收入、资产总额填报上一年度数据，无上一年度数据的新成立企业可不填报。</w:t>
            </w:r>
          </w:p>
        </w:tc>
      </w:tr>
    </w:tbl>
    <w:p>
      <w:pPr>
        <w:spacing w:line="360" w:lineRule="auto"/>
        <w:rPr>
          <w:rFonts w:ascii="宋体" w:hAnsi="宋体" w:cs="宋体"/>
          <w:color w:val="000000" w:themeColor="text1"/>
          <w:sz w:val="24"/>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spacing w:before="240" w:beforeLines="100" w:after="240" w:afterLines="100"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 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8"/>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Style w:val="93"/>
          <w:rFonts w:hint="eastAsia" w:ascii="宋体" w:hAnsi="宋体" w:eastAsia="宋体"/>
          <w:b w:val="0"/>
          <w:sz w:val="24"/>
          <w:szCs w:val="24"/>
        </w:rPr>
        <w:t>2-1-2 拟分包情况说明及分包意向协议（本项目不适用）</w:t>
      </w:r>
    </w:p>
    <w:p>
      <w:pPr>
        <w:autoSpaceDE w:val="0"/>
        <w:autoSpaceDN w:val="0"/>
        <w:adjustRightInd w:val="0"/>
        <w:jc w:val="center"/>
        <w:rPr>
          <w:rFonts w:ascii="宋体" w:hAnsi="宋体" w:cs="宋体"/>
          <w:color w:val="000000" w:themeColor="text1"/>
          <w:sz w:val="30"/>
          <w:szCs w:val="30"/>
          <w14:textFill>
            <w14:solidFill>
              <w14:schemeClr w14:val="tx1"/>
            </w14:solidFill>
          </w14:textFill>
        </w:rPr>
      </w:pP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1"/>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pacing w:val="2"/>
                <w:sz w:val="24"/>
                <w:szCs w:val="24"/>
                <w:lang w:eastAsia="zh-CN"/>
                <w14:textFill>
                  <w14:solidFill>
                    <w14:schemeClr w14:val="tx1"/>
                  </w14:solidFill>
                </w14:textFill>
              </w:rPr>
              <w:t>选择</w:t>
            </w:r>
            <w:r>
              <w:rPr>
                <w:rFonts w:hint="eastAsia"/>
                <w:color w:val="000000" w:themeColor="text1"/>
                <w:sz w:val="24"/>
                <w:lang w:eastAsia="zh-CN"/>
                <w14:textFill>
                  <w14:solidFill>
                    <w14:schemeClr w14:val="tx1"/>
                  </w14:solidFill>
                </w14:textFill>
              </w:rPr>
              <w:t>）</w:t>
            </w:r>
          </w:p>
        </w:tc>
        <w:tc>
          <w:tcPr>
            <w:tcW w:w="1125"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58"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占该采购包</w:t>
            </w:r>
          </w:p>
          <w:p>
            <w:pPr>
              <w:pStyle w:val="257"/>
              <w:jc w:val="center"/>
              <w:rPr>
                <w:color w:val="000000" w:themeColor="text1"/>
                <w:sz w:val="24"/>
                <w:lang w:eastAsia="zh-CN"/>
                <w14:textFill>
                  <w14:solidFill>
                    <w14:schemeClr w14:val="tx1"/>
                  </w14:solidFill>
                </w14:textFill>
              </w:rPr>
            </w:pPr>
            <w:r>
              <w:rPr>
                <w:rFonts w:hint="eastAsia"/>
                <w:b/>
                <w:bCs/>
                <w:color w:val="000000" w:themeColor="text1"/>
                <w:sz w:val="24"/>
                <w:lang w:eastAsia="zh-CN"/>
                <w14:textFill>
                  <w14:solidFill>
                    <w14:schemeClr w14:val="tx1"/>
                  </w14:solidFill>
                </w14:textFill>
              </w:rPr>
              <w:t>合同金额的</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7"/>
              <w:jc w:val="center"/>
              <w:rPr>
                <w:color w:val="000000" w:themeColor="text1"/>
                <w:sz w:val="30"/>
                <w:lang w:eastAsia="zh-CN"/>
                <w14:textFill>
                  <w14:solidFill>
                    <w14:schemeClr w14:val="tx1"/>
                  </w14:solidFill>
                </w14:textFill>
              </w:rPr>
            </w:pPr>
          </w:p>
        </w:tc>
        <w:tc>
          <w:tcPr>
            <w:tcW w:w="1558" w:type="dxa"/>
            <w:vAlign w:val="center"/>
          </w:tcPr>
          <w:p>
            <w:pPr>
              <w:pStyle w:val="257"/>
              <w:jc w:val="center"/>
              <w:rPr>
                <w:color w:val="000000" w:themeColor="text1"/>
                <w:sz w:val="30"/>
                <w:lang w:eastAsia="zh-CN"/>
                <w14:textFill>
                  <w14:solidFill>
                    <w14:schemeClr w14:val="tx1"/>
                  </w14:solidFill>
                </w14:textFill>
              </w:rPr>
            </w:pPr>
          </w:p>
        </w:tc>
        <w:tc>
          <w:tcPr>
            <w:tcW w:w="1498" w:type="dxa"/>
            <w:vAlign w:val="center"/>
          </w:tcPr>
          <w:p>
            <w:pPr>
              <w:pStyle w:val="257"/>
              <w:jc w:val="center"/>
              <w:rPr>
                <w:color w:val="000000" w:themeColor="text1"/>
                <w:sz w:val="30"/>
                <w:lang w:eastAsia="zh-CN"/>
                <w14:textFill>
                  <w14:solidFill>
                    <w14:schemeClr w14:val="tx1"/>
                  </w14:solidFill>
                </w14:textFill>
              </w:rPr>
            </w:pPr>
          </w:p>
        </w:tc>
        <w:tc>
          <w:tcPr>
            <w:tcW w:w="1564" w:type="dxa"/>
            <w:vAlign w:val="center"/>
          </w:tcPr>
          <w:p>
            <w:pPr>
              <w:pStyle w:val="257"/>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7"/>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7"/>
              <w:jc w:val="center"/>
              <w:rPr>
                <w:color w:val="000000" w:themeColor="text1"/>
                <w:sz w:val="30"/>
                <w:lang w:eastAsia="zh-CN"/>
                <w14:textFill>
                  <w14:solidFill>
                    <w14:schemeClr w14:val="tx1"/>
                  </w14:solidFill>
                </w14:textFill>
              </w:rPr>
            </w:pPr>
          </w:p>
        </w:tc>
        <w:tc>
          <w:tcPr>
            <w:tcW w:w="1558" w:type="dxa"/>
            <w:vAlign w:val="center"/>
          </w:tcPr>
          <w:p>
            <w:pPr>
              <w:pStyle w:val="257"/>
              <w:jc w:val="center"/>
              <w:rPr>
                <w:color w:val="000000" w:themeColor="text1"/>
                <w:sz w:val="30"/>
                <w:lang w:eastAsia="zh-CN"/>
                <w14:textFill>
                  <w14:solidFill>
                    <w14:schemeClr w14:val="tx1"/>
                  </w14:solidFill>
                </w14:textFill>
              </w:rPr>
            </w:pPr>
          </w:p>
        </w:tc>
        <w:tc>
          <w:tcPr>
            <w:tcW w:w="1498" w:type="dxa"/>
            <w:vAlign w:val="center"/>
          </w:tcPr>
          <w:p>
            <w:pPr>
              <w:pStyle w:val="257"/>
              <w:jc w:val="center"/>
              <w:rPr>
                <w:color w:val="000000" w:themeColor="text1"/>
                <w:sz w:val="30"/>
                <w:lang w:eastAsia="zh-CN"/>
                <w14:textFill>
                  <w14:solidFill>
                    <w14:schemeClr w14:val="tx1"/>
                  </w14:solidFill>
                </w14:textFill>
              </w:rPr>
            </w:pPr>
          </w:p>
        </w:tc>
        <w:tc>
          <w:tcPr>
            <w:tcW w:w="1564" w:type="dxa"/>
            <w:vAlign w:val="center"/>
          </w:tcPr>
          <w:p>
            <w:pPr>
              <w:pStyle w:val="257"/>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jc w:val="center"/>
              <w:rPr>
                <w:color w:val="000000" w:themeColor="text1"/>
                <w:sz w:val="24"/>
                <w14:textFill>
                  <w14:solidFill>
                    <w14:schemeClr w14:val="tx1"/>
                  </w14:solidFill>
                </w14:textFill>
              </w:rPr>
            </w:pPr>
          </w:p>
        </w:tc>
        <w:tc>
          <w:tcPr>
            <w:tcW w:w="1125" w:type="dxa"/>
            <w:vAlign w:val="center"/>
          </w:tcPr>
          <w:p>
            <w:pPr>
              <w:pStyle w:val="257"/>
              <w:jc w:val="center"/>
              <w:rPr>
                <w:color w:val="000000" w:themeColor="text1"/>
                <w:sz w:val="30"/>
                <w14:textFill>
                  <w14:solidFill>
                    <w14:schemeClr w14:val="tx1"/>
                  </w14:solidFill>
                </w14:textFill>
              </w:rPr>
            </w:pPr>
          </w:p>
        </w:tc>
        <w:tc>
          <w:tcPr>
            <w:tcW w:w="1558" w:type="dxa"/>
            <w:vAlign w:val="center"/>
          </w:tcPr>
          <w:p>
            <w:pPr>
              <w:pStyle w:val="257"/>
              <w:jc w:val="center"/>
              <w:rPr>
                <w:color w:val="000000" w:themeColor="text1"/>
                <w:sz w:val="30"/>
                <w14:textFill>
                  <w14:solidFill>
                    <w14:schemeClr w14:val="tx1"/>
                  </w14:solidFill>
                </w14:textFill>
              </w:rPr>
            </w:pPr>
          </w:p>
        </w:tc>
        <w:tc>
          <w:tcPr>
            <w:tcW w:w="1498" w:type="dxa"/>
            <w:vAlign w:val="center"/>
          </w:tcPr>
          <w:p>
            <w:pPr>
              <w:pStyle w:val="257"/>
              <w:jc w:val="center"/>
              <w:rPr>
                <w:color w:val="000000" w:themeColor="text1"/>
                <w:sz w:val="30"/>
                <w14:textFill>
                  <w14:solidFill>
                    <w14:schemeClr w14:val="tx1"/>
                  </w14:solidFill>
                </w14:textFill>
              </w:rPr>
            </w:pPr>
          </w:p>
        </w:tc>
        <w:tc>
          <w:tcPr>
            <w:tcW w:w="1564" w:type="dxa"/>
            <w:vAlign w:val="center"/>
          </w:tcPr>
          <w:p>
            <w:pPr>
              <w:pStyle w:val="257"/>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7"/>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7"/>
              <w:jc w:val="center"/>
              <w:rPr>
                <w:color w:val="000000" w:themeColor="text1"/>
                <w:sz w:val="30"/>
                <w14:textFill>
                  <w14:solidFill>
                    <w14:schemeClr w14:val="tx1"/>
                  </w14:solidFill>
                </w14:textFill>
              </w:rPr>
            </w:pPr>
          </w:p>
        </w:tc>
        <w:tc>
          <w:tcPr>
            <w:tcW w:w="1564" w:type="dxa"/>
            <w:vAlign w:val="center"/>
          </w:tcPr>
          <w:p>
            <w:pPr>
              <w:pStyle w:val="257"/>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57"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adjustRightInd w:val="0"/>
        <w:snapToGrid w:val="0"/>
        <w:spacing w:line="360" w:lineRule="auto"/>
        <w:jc w:val="left"/>
        <w:rPr>
          <w:rFonts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ascii="宋体" w:hAnsi="宋体" w:cs="宋体"/>
          <w:color w:val="000000" w:themeColor="text1"/>
          <w:spacing w:val="-2"/>
          <w:sz w:val="24"/>
          <w14:textFill>
            <w14:solidFill>
              <w14:schemeClr w14:val="tx1"/>
            </w14:solidFill>
          </w14:textFill>
        </w:rPr>
        <w:t>，否则</w:t>
      </w:r>
      <w:r>
        <w:rPr>
          <w:rFonts w:hint="eastAsia" w:ascii="宋体" w:hAnsi="宋体" w:cs="宋体"/>
          <w:b/>
          <w:bCs/>
          <w:color w:val="000000" w:themeColor="text1"/>
          <w:spacing w:val="-2"/>
          <w:sz w:val="24"/>
          <w14:textFill>
            <w14:solidFill>
              <w14:schemeClr w14:val="tx1"/>
            </w14:solidFill>
          </w14:textFill>
        </w:rPr>
        <w:t>投标</w:t>
      </w:r>
      <w:r>
        <w:rPr>
          <w:rFonts w:hint="eastAsia" w:ascii="宋体" w:hAnsi="宋体" w:cs="宋体"/>
          <w:b/>
          <w:bCs/>
          <w:color w:val="000000" w:themeColor="text1"/>
          <w:spacing w:val="-1"/>
          <w:sz w:val="24"/>
          <w14:textFill>
            <w14:solidFill>
              <w14:schemeClr w14:val="tx1"/>
            </w14:solidFill>
          </w14:textFill>
        </w:rPr>
        <w:t>无效</w:t>
      </w:r>
      <w:r>
        <w:rPr>
          <w:rFonts w:hint="eastAsia" w:ascii="宋体" w:hAnsi="宋体" w:cs="宋体"/>
          <w:color w:val="000000" w:themeColor="text1"/>
          <w:spacing w:val="-1"/>
          <w:sz w:val="24"/>
          <w14:textFill>
            <w14:solidFill>
              <w14:schemeClr w14:val="tx1"/>
            </w14:solidFill>
          </w14:textFill>
        </w:rPr>
        <w:t>。</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bCs/>
          <w:color w:val="000000" w:themeColor="text1"/>
          <w:sz w:val="36"/>
          <w:szCs w:val="36"/>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wordWrap w:val="0"/>
        <w:spacing w:line="360" w:lineRule="auto"/>
        <w:ind w:left="48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本协议仅在投标人“为落实政府采购政策”而向中</w:t>
      </w:r>
      <w:r>
        <w:rPr>
          <w:rFonts w:hint="eastAsia" w:ascii="宋体" w:hAnsi="宋体" w:cs="宋体"/>
          <w:color w:val="000000" w:themeColor="text1"/>
          <w:spacing w:val="-2"/>
          <w:sz w:val="24"/>
          <w14:textFill>
            <w14:solidFill>
              <w14:schemeClr w14:val="tx1"/>
            </w14:solidFill>
          </w14:textFill>
        </w:rPr>
        <w:t>小企业分包时必须提供，否则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且投标人须与所有拟分包单位分别签订《分包意向协</w:t>
      </w:r>
      <w:r>
        <w:rPr>
          <w:rFonts w:hint="eastAsia" w:ascii="宋体" w:hAnsi="宋体" w:cs="宋体"/>
          <w:color w:val="000000" w:themeColor="text1"/>
          <w:spacing w:val="-2"/>
          <w:sz w:val="24"/>
          <w14:textFill>
            <w14:solidFill>
              <w14:schemeClr w14:val="tx1"/>
            </w14:solidFill>
          </w14:textFill>
        </w:rPr>
        <w:t>议》，每单位签订一份，并在投标文件中提交全部协议原件的电子件，否则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p>
    <w:p>
      <w:pPr>
        <w:widowControl/>
        <w:jc w:val="left"/>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2-2 其它落实政府采购政策的资格要求（如有）</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本项目的特定资格要求（本项目不适用）</w:t>
      </w:r>
    </w:p>
    <w:p>
      <w:pPr>
        <w:pStyle w:val="7"/>
        <w:jc w:val="left"/>
        <w:rPr>
          <w:rFonts w:ascii="宋体" w:hAnsi="宋体" w:eastAsia="宋体"/>
          <w:b w:val="0"/>
          <w:sz w:val="24"/>
          <w:szCs w:val="24"/>
        </w:rPr>
      </w:pPr>
      <w:r>
        <w:rPr>
          <w:rFonts w:hint="eastAsia" w:ascii="宋体" w:hAnsi="宋体" w:eastAsia="宋体"/>
          <w:b w:val="0"/>
          <w:sz w:val="24"/>
          <w:szCs w:val="24"/>
        </w:rPr>
        <w:t>3-1</w:t>
      </w:r>
      <w:r>
        <w:rPr>
          <w:rFonts w:ascii="宋体" w:hAnsi="宋体" w:eastAsia="宋体"/>
          <w:b w:val="0"/>
          <w:sz w:val="24"/>
          <w:szCs w:val="24"/>
        </w:rPr>
        <w:t xml:space="preserve"> </w:t>
      </w:r>
      <w:r>
        <w:rPr>
          <w:rFonts w:hint="eastAsia" w:ascii="宋体" w:hAnsi="宋体" w:eastAsia="宋体"/>
          <w:b w:val="0"/>
          <w:sz w:val="24"/>
          <w:szCs w:val="24"/>
        </w:rPr>
        <w:t>联合协议（本项目不适用）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联合协议</w:t>
      </w:r>
    </w:p>
    <w:p>
      <w:pPr>
        <w:spacing w:line="360" w:lineRule="auto"/>
        <w:ind w:firstLine="828" w:firstLineChars="345"/>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______、_____及_____就“________（项目名称）</w:t>
      </w:r>
      <w:r>
        <w:rPr>
          <w:rFonts w:hint="eastAsia" w:ascii="宋体" w:hAnsi="宋体" w:cs="宋体"/>
          <w:color w:val="000000" w:themeColor="text1"/>
          <w:sz w:val="24"/>
          <w14:textFill>
            <w14:solidFill>
              <w14:schemeClr w14:val="tx1"/>
            </w14:solidFill>
          </w14:textFill>
        </w:rPr>
        <w:t>”____包</w:t>
      </w:r>
      <w:r>
        <w:rPr>
          <w:rFonts w:hint="eastAsia" w:ascii="宋体" w:hAnsi="宋体" w:cs="宋体"/>
          <w:bCs/>
          <w:color w:val="000000" w:themeColor="text1"/>
          <w:sz w:val="24"/>
          <w14:textFill>
            <w14:solidFill>
              <w14:schemeClr w14:val="tx1"/>
            </w14:solidFill>
          </w14:textFill>
        </w:rPr>
        <w:t>招标项目的投标事宜，经各方充分协商一致，达成如下协议：</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由_________牵头，_________、__________参加，组成联合体共同进行招标项目的投标工作。</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联合体中标后，联合体各方共同与采购人签订合同，就采购合同约定的事项对采</w:t>
      </w:r>
      <w:r>
        <w:rPr>
          <w:rFonts w:hint="eastAsia" w:ascii="宋体" w:hAnsi="宋体" w:cs="宋体"/>
          <w:color w:val="000000" w:themeColor="text1"/>
          <w:spacing w:val="-1"/>
          <w:sz w:val="24"/>
          <w14:textFill>
            <w14:solidFill>
              <w14:schemeClr w14:val="tx1"/>
            </w14:solidFill>
          </w14:textFill>
        </w:rPr>
        <w:t>购人承担连带责任。</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联合体各方均同意由牵头人代表其他联合体成员单位按招标文件要求出具《授权委托书》。</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牵头人为项目的总负责单位；组织各参加方进行项目实施工作。</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______负责_____（如有），具体工作范围、内容以投标文件及合同为准。</w:t>
      </w:r>
    </w:p>
    <w:p>
      <w:pPr>
        <w:numPr>
          <w:ilvl w:val="0"/>
          <w:numId w:val="17"/>
        </w:num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本项目联合协议合同总额为________元，联合体各成员按照如下比例分摊（按联合体成员分别列明）：</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numPr>
          <w:ilvl w:val="0"/>
          <w:numId w:val="17"/>
        </w:numPr>
        <w:tabs>
          <w:tab w:val="left" w:pos="993"/>
        </w:tabs>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以联合体形式参加政府采购活动的，联合体各方不得再单独参加或者与其他供应商另外组成联合体参加同一合同项下的政府采购活动。</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其他约定（如有）：_______。</w:t>
      </w:r>
    </w:p>
    <w:p>
      <w:pPr>
        <w:tabs>
          <w:tab w:val="left" w:pos="780"/>
        </w:tabs>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本协议自各方盖章后生效，采购合同履行完毕后自动失效。如未中标，本协议自动终止。</w:t>
      </w:r>
      <w:r>
        <w:rPr>
          <w:rFonts w:hint="eastAsia" w:ascii="宋体" w:hAnsi="宋体" w:cs="宋体"/>
          <w:color w:val="000000" w:themeColor="text1"/>
          <w:sz w:val="24"/>
          <w14:textFill>
            <w14:solidFill>
              <w14:schemeClr w14:val="tx1"/>
            </w14:solidFill>
          </w14:textFill>
        </w:rPr>
        <w:br w:type="page"/>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联合体牵头人名称：</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 xml:space="preserve">                           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spacing w:line="360" w:lineRule="auto"/>
        <w:ind w:left="480"/>
        <w:jc w:val="right"/>
        <w:rPr>
          <w:rFonts w:ascii="宋体" w:hAnsi="宋体" w:cs="宋体"/>
          <w:b/>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pStyle w:val="20"/>
        <w:spacing w:before="171" w:line="360" w:lineRule="auto"/>
        <w:ind w:left="723" w:firstLine="488"/>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1.如本项目（包）接受供应商以联合体形式参加采购活动，且供应商以联合体形</w:t>
      </w:r>
      <w:r>
        <w:rPr>
          <w:rFonts w:hint="eastAsia" w:cs="宋体"/>
          <w:color w:val="000000" w:themeColor="text1"/>
          <w:spacing w:val="-6"/>
          <w14:textFill>
            <w14:solidFill>
              <w14:schemeClr w14:val="tx1"/>
            </w14:solidFill>
          </w14:textFill>
        </w:rPr>
        <w:t>式参与时，须提供《联合协议》，否则</w:t>
      </w:r>
      <w:r>
        <w:rPr>
          <w:rFonts w:hint="eastAsia" w:cs="宋体"/>
          <w:b/>
          <w:bCs/>
          <w:color w:val="000000" w:themeColor="text1"/>
          <w:spacing w:val="-6"/>
          <w14:textFill>
            <w14:solidFill>
              <w14:schemeClr w14:val="tx1"/>
            </w14:solidFill>
          </w14:textFill>
        </w:rPr>
        <w:t>投标无效</w:t>
      </w:r>
      <w:r>
        <w:rPr>
          <w:rFonts w:hint="eastAsia" w:cs="宋体"/>
          <w:color w:val="000000" w:themeColor="text1"/>
          <w:spacing w:val="-6"/>
          <w14:textFill>
            <w14:solidFill>
              <w14:schemeClr w14:val="tx1"/>
            </w14:solidFill>
          </w14:textFill>
        </w:rPr>
        <w:t>。</w:t>
      </w: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2.联合体各方成员须在本协议上共同盖章。</w:t>
      </w:r>
    </w:p>
    <w:p>
      <w:pPr>
        <w:pStyle w:val="7"/>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b w:val="0"/>
          <w:sz w:val="24"/>
          <w:szCs w:val="24"/>
        </w:rPr>
        <w:t>3-2</w:t>
      </w:r>
      <w:r>
        <w:rPr>
          <w:rFonts w:ascii="宋体" w:hAnsi="宋体" w:eastAsia="宋体"/>
          <w:b w:val="0"/>
          <w:sz w:val="24"/>
          <w:szCs w:val="24"/>
        </w:rPr>
        <w:t xml:space="preserve"> </w:t>
      </w:r>
      <w:r>
        <w:rPr>
          <w:rFonts w:hint="eastAsia" w:ascii="宋体" w:hAnsi="宋体" w:eastAsia="宋体"/>
          <w:b w:val="0"/>
          <w:sz w:val="24"/>
          <w:szCs w:val="24"/>
        </w:rPr>
        <w:t>其他特定资格要求</w:t>
      </w:r>
    </w:p>
    <w:p>
      <w:pPr>
        <w:spacing w:line="360" w:lineRule="auto"/>
        <w:rPr>
          <w:rFonts w:ascii="宋体" w:hAnsi="宋体"/>
          <w:color w:val="000000" w:themeColor="text1"/>
          <w:sz w:val="24"/>
          <w14:textFill>
            <w14:solidFill>
              <w14:schemeClr w14:val="tx1"/>
            </w14:solidFill>
          </w14:textFill>
        </w:rPr>
      </w:pPr>
      <w:r>
        <w:rPr>
          <w:rFonts w:hint="eastAsia" w:ascii="宋体" w:hAnsi="宋体" w:cs="宋体"/>
          <w:spacing w:val="2"/>
          <w:sz w:val="24"/>
          <w:u w:val="single"/>
        </w:rPr>
        <w:t>所投产品属于医疗器械的，提供相应产品的医疗器械注册证或医疗器械备案表。代理商参与投标的，须提供医疗器械经营许可证和医疗器械经营备案凭证。</w:t>
      </w:r>
    </w:p>
    <w:p>
      <w:pPr>
        <w:pStyle w:val="6"/>
        <w:rPr>
          <w:rFonts w:hAnsi="宋体"/>
          <w:color w:val="000000" w:themeColor="text1"/>
          <w:u w:val="none"/>
          <w14:textFill>
            <w14:solidFill>
              <w14:schemeClr w14:val="tx1"/>
            </w14:solidFill>
          </w14:textFill>
        </w:rPr>
      </w:pPr>
      <w:r>
        <w:rPr>
          <w:rFonts w:hint="eastAsia" w:hAnsi="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4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投标保证金凭证/交款单据电子件</w:t>
      </w:r>
    </w:p>
    <w:p>
      <w:pPr>
        <w:spacing w:line="360" w:lineRule="auto"/>
        <w:rPr>
          <w:rFonts w:ascii="宋体" w:hAnsi="宋体" w:cs="宋体"/>
          <w:color w:val="000000" w:themeColor="text1"/>
          <w:sz w:val="24"/>
          <w:szCs w:val="20"/>
          <w14:textFill>
            <w14:solidFill>
              <w14:schemeClr w14:val="tx1"/>
            </w14:solidFill>
          </w14:textFill>
        </w:rPr>
      </w:pPr>
    </w:p>
    <w:p>
      <w:pPr>
        <w:spacing w:line="360" w:lineRule="auto"/>
        <w:rPr>
          <w:rFonts w:ascii="宋体" w:hAnsi="宋体" w:cs="宋体"/>
          <w:color w:val="000000" w:themeColor="text1"/>
          <w:sz w:val="24"/>
          <w:szCs w:val="20"/>
          <w14:textFill>
            <w14:solidFill>
              <w14:schemeClr w14:val="tx1"/>
            </w14:solidFill>
          </w14:textFill>
        </w:rPr>
      </w:pPr>
    </w:p>
    <w:p>
      <w:pPr>
        <w:widowControl/>
        <w:jc w:val="left"/>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4"/>
        <w:jc w:val="left"/>
        <w:rPr>
          <w:rFonts w:ascii="宋体" w:hAnsi="宋体" w:eastAsia="宋体"/>
          <w:sz w:val="24"/>
          <w:szCs w:val="24"/>
        </w:rPr>
      </w:pPr>
      <w:r>
        <w:rPr>
          <w:rFonts w:hint="eastAsia" w:ascii="宋体" w:hAnsi="宋体" w:eastAsia="宋体"/>
          <w:sz w:val="24"/>
          <w:szCs w:val="24"/>
        </w:rPr>
        <w:t>二、商务技术文件格式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投标文件（商务技术文件）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（商务技术文件）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bookmarkStart w:id="879" w:name="_Hlt520343000"/>
      <w:bookmarkEnd w:id="879"/>
      <w:bookmarkStart w:id="880" w:name="_Hlt520274065"/>
      <w:bookmarkEnd w:id="880"/>
      <w:bookmarkStart w:id="881" w:name="_Hlt520343392"/>
      <w:bookmarkEnd w:id="881"/>
      <w:bookmarkStart w:id="882" w:name="_Hlt520355504"/>
      <w:bookmarkEnd w:id="882"/>
      <w:bookmarkStart w:id="883" w:name="_Hlt520274393"/>
      <w:bookmarkEnd w:id="883"/>
      <w:bookmarkStart w:id="884" w:name="_Hlt520273711"/>
      <w:bookmarkEnd w:id="884"/>
      <w:bookmarkStart w:id="885" w:name="_Hlt520274407"/>
      <w:bookmarkEnd w:id="885"/>
      <w:bookmarkStart w:id="886" w:name="_Hlt520350918"/>
      <w:bookmarkEnd w:id="886"/>
      <w:bookmarkStart w:id="887" w:name="_Hlt520271212"/>
      <w:bookmarkEnd w:id="887"/>
      <w:bookmarkStart w:id="888" w:name="_Hlt520274121"/>
      <w:bookmarkEnd w:id="888"/>
      <w:bookmarkStart w:id="889" w:name="_Toc480942349"/>
      <w:bookmarkStart w:id="890" w:name="_Ref467988698"/>
      <w:bookmarkStart w:id="891" w:name="_Toc150774761"/>
      <w:bookmarkStart w:id="892" w:name="_Toc226965829"/>
      <w:bookmarkStart w:id="893" w:name="_Toc226309800"/>
      <w:bookmarkStart w:id="894" w:name="_Toc150480794"/>
      <w:bookmarkStart w:id="895" w:name="_Toc520356217"/>
      <w:bookmarkStart w:id="896" w:name="_Toc195842921"/>
      <w:bookmarkStart w:id="897" w:name="_Toc127151556"/>
      <w:bookmarkStart w:id="898" w:name="_Toc226965746"/>
      <w:bookmarkStart w:id="899" w:name="_Toc142311058"/>
      <w:bookmarkStart w:id="900" w:name="_Toc226337252"/>
      <w:r>
        <w:rPr>
          <w:rFonts w:hint="eastAsia" w:hAnsi="宋体" w:cs="宋体"/>
          <w:b w:val="0"/>
          <w:color w:val="000000" w:themeColor="text1"/>
          <w:szCs w:val="24"/>
          <w:u w:val="none"/>
          <w14:textFill>
            <w14:solidFill>
              <w14:schemeClr w14:val="tx1"/>
            </w14:solidFill>
          </w14:textFill>
        </w:rPr>
        <w:t>1</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w:t>
      </w:r>
      <w:bookmarkEnd w:id="889"/>
      <w:bookmarkEnd w:id="890"/>
      <w:r>
        <w:rPr>
          <w:rFonts w:hint="eastAsia" w:hAnsi="宋体" w:cs="宋体"/>
          <w:b w:val="0"/>
          <w:color w:val="000000" w:themeColor="text1"/>
          <w:szCs w:val="24"/>
          <w:u w:val="none"/>
          <w14:textFill>
            <w14:solidFill>
              <w14:schemeClr w14:val="tx1"/>
            </w14:solidFill>
          </w14:textFill>
        </w:rPr>
        <w:t>书</w:t>
      </w:r>
      <w:bookmarkEnd w:id="891"/>
      <w:bookmarkEnd w:id="892"/>
      <w:bookmarkEnd w:id="893"/>
      <w:bookmarkEnd w:id="894"/>
      <w:bookmarkEnd w:id="895"/>
      <w:bookmarkEnd w:id="896"/>
      <w:bookmarkEnd w:id="897"/>
      <w:bookmarkEnd w:id="898"/>
      <w:bookmarkEnd w:id="899"/>
      <w:bookmarkEnd w:id="900"/>
      <w:r>
        <w:rPr>
          <w:rFonts w:hint="eastAsia" w:hAnsi="宋体" w:cs="宋体"/>
          <w:b w:val="0"/>
          <w:color w:val="000000" w:themeColor="text1"/>
          <w:szCs w:val="24"/>
          <w:u w:val="none"/>
          <w14:textFill>
            <w14:solidFill>
              <w14:schemeClr w14:val="tx1"/>
            </w14:solidFill>
          </w14:textFill>
        </w:rPr>
        <w:t>（实质性格式）</w:t>
      </w:r>
    </w:p>
    <w:p>
      <w:pPr>
        <w:tabs>
          <w:tab w:val="left" w:pos="5580"/>
        </w:tabs>
        <w:spacing w:line="360" w:lineRule="auto"/>
        <w:rPr>
          <w:rFonts w:ascii="宋体" w:hAnsi="宋体" w:cs="宋体"/>
          <w:color w:val="000000" w:themeColor="text1"/>
          <w:sz w:val="24"/>
          <w14:textFill>
            <w14:solidFill>
              <w14:schemeClr w14:val="tx1"/>
            </w14:solidFill>
          </w14:textFill>
        </w:rPr>
      </w:pPr>
    </w:p>
    <w:p>
      <w:pPr>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tabs>
          <w:tab w:val="left" w:pos="5580"/>
        </w:tabs>
        <w:spacing w:line="360" w:lineRule="auto"/>
        <w:rPr>
          <w:rFonts w:ascii="宋体" w:hAnsi="宋体" w:cs="宋体"/>
          <w:color w:val="000000" w:themeColor="text1"/>
          <w:sz w:val="24"/>
          <w:szCs w:val="20"/>
          <w14:textFill>
            <w14:solidFill>
              <w14:schemeClr w14:val="tx1"/>
            </w14:solidFill>
          </w14:textFill>
        </w:rPr>
      </w:pP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我方参加你方就___________（项目名称，</w:t>
      </w:r>
      <w:r>
        <w:rPr>
          <w:rFonts w:hint="eastAsia" w:ascii="宋体" w:hAnsi="宋体" w:cs="宋体"/>
          <w:sz w:val="24"/>
          <w:szCs w:val="20"/>
        </w:rPr>
        <w:t>项目编号/包号</w:t>
      </w:r>
      <w:r>
        <w:rPr>
          <w:rFonts w:hint="eastAsia" w:ascii="宋体" w:hAnsi="宋体" w:cs="宋体"/>
          <w:color w:val="000000" w:themeColor="text1"/>
          <w:sz w:val="24"/>
          <w:szCs w:val="20"/>
          <w14:textFill>
            <w14:solidFill>
              <w14:schemeClr w14:val="tx1"/>
            </w14:solidFill>
          </w14:textFill>
        </w:rPr>
        <w:t>）组织的招标活动，并对此项目进行投标。</w:t>
      </w: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 我方</w:t>
      </w:r>
      <w:r>
        <w:rPr>
          <w:rFonts w:hint="eastAsia" w:ascii="宋体" w:hAnsi="宋体" w:cs="宋体"/>
          <w:color w:val="000000" w:themeColor="text1"/>
          <w:sz w:val="24"/>
          <w14:textFill>
            <w14:solidFill>
              <w14:schemeClr w14:val="tx1"/>
            </w14:solidFill>
          </w14:textFill>
        </w:rPr>
        <w:t>已详细审查全部招标文件</w:t>
      </w:r>
      <w:r>
        <w:rPr>
          <w:rFonts w:hint="eastAsia" w:ascii="宋体" w:hAnsi="宋体" w:cs="宋体"/>
          <w:color w:val="000000" w:themeColor="text1"/>
          <w:sz w:val="24"/>
          <w:szCs w:val="20"/>
          <w14:textFill>
            <w14:solidFill>
              <w14:schemeClr w14:val="tx1"/>
            </w14:solidFill>
          </w14:textFill>
        </w:rPr>
        <w:t>，自愿参与投标并承诺如下：</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（1）本投标有效期为自提交投标文件的截止之日起</w:t>
      </w:r>
      <w:r>
        <w:rPr>
          <w:rFonts w:hint="eastAsia" w:ascii="宋体" w:hAnsi="宋体" w:cs="宋体"/>
          <w:color w:val="000000" w:themeColor="text1"/>
          <w:sz w:val="24"/>
          <w14:textFill>
            <w14:solidFill>
              <w14:schemeClr w14:val="tx1"/>
            </w14:solidFill>
          </w14:textFill>
        </w:rPr>
        <w:t>_____</w:t>
      </w:r>
      <w:r>
        <w:rPr>
          <w:rFonts w:hint="eastAsia" w:ascii="宋体" w:hAnsi="宋体" w:cs="宋体"/>
          <w:color w:val="000000" w:themeColor="text1"/>
          <w:sz w:val="24"/>
          <w:szCs w:val="20"/>
          <w14:textFill>
            <w14:solidFill>
              <w14:schemeClr w14:val="tx1"/>
            </w14:solidFill>
          </w14:textFill>
        </w:rPr>
        <w:t>个日历日。</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（2）除合同条款及采购需求偏离表列出的偏离外，我方响应招标文件的全部要求。</w:t>
      </w:r>
    </w:p>
    <w:p>
      <w:pPr>
        <w:tabs>
          <w:tab w:val="left" w:pos="5580"/>
        </w:tabs>
        <w:spacing w:line="360" w:lineRule="auto"/>
        <w:ind w:firstLine="420" w:firstLineChars="175"/>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（3）我方已提供的全部文件资料是真实、准确的，并对此承担一切法律后果。</w:t>
      </w:r>
    </w:p>
    <w:p>
      <w:pPr>
        <w:tabs>
          <w:tab w:val="left" w:pos="5580"/>
        </w:tabs>
        <w:spacing w:line="360" w:lineRule="auto"/>
        <w:ind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（4）如我方中标，我方将在法律规定的期限内与你方签订合同，按照招标文件要求提交履约保证金，并在合同约定的期限内完成合同规定的全部义务。</w:t>
      </w:r>
    </w:p>
    <w:p>
      <w:pPr>
        <w:spacing w:line="360" w:lineRule="auto"/>
        <w:ind w:lef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 其他补充条款（如有）：</w:t>
      </w:r>
      <w:r>
        <w:rPr>
          <w:rFonts w:hint="eastAsia" w:ascii="宋体" w:hAnsi="宋体" w:cs="宋体"/>
          <w:color w:val="000000" w:themeColor="text1"/>
          <w:sz w:val="24"/>
          <w:szCs w:val="20"/>
          <w14:textFill>
            <w14:solidFill>
              <w14:schemeClr w14:val="tx1"/>
            </w14:solidFill>
          </w14:textFill>
        </w:rPr>
        <w:t>___________</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与本投标有关的一切正式往来信函请寄：</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地址_________________________   </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传真____________________________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电话_________________________</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电子函件________________________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投标人名称（加盖公章） 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5580"/>
        </w:tabs>
        <w:spacing w:line="360" w:lineRule="auto"/>
        <w:ind w:left="420"/>
        <w:rPr>
          <w:rFonts w:ascii="宋体" w:hAnsi="宋体" w:cs="宋体"/>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14:textFill>
            <w14:solidFill>
              <w14:schemeClr w14:val="tx1"/>
            </w14:solidFill>
          </w14:textFill>
        </w:rPr>
      </w:pPr>
      <w:bookmarkStart w:id="901" w:name="_Hlt520355938"/>
      <w:bookmarkEnd w:id="901"/>
      <w:bookmarkStart w:id="902" w:name="_Hlt520356243"/>
      <w:bookmarkEnd w:id="902"/>
      <w:bookmarkStart w:id="903" w:name="_Toc305158899"/>
      <w:bookmarkStart w:id="904" w:name="_Toc264969247"/>
      <w:bookmarkStart w:id="905" w:name="_Toc127151557"/>
      <w:bookmarkStart w:id="906" w:name="_Toc265228395"/>
      <w:bookmarkStart w:id="907" w:name="_Toc305158825"/>
      <w:bookmarkStart w:id="908" w:name="_Toc226965830"/>
      <w:bookmarkStart w:id="909" w:name="_Toc226309801"/>
      <w:bookmarkStart w:id="910" w:name="_Toc150480795"/>
      <w:bookmarkStart w:id="911" w:name="_Toc150774762"/>
      <w:bookmarkStart w:id="912" w:name="_Toc226965747"/>
      <w:bookmarkStart w:id="913" w:name="_Ref467988705"/>
      <w:bookmarkStart w:id="914" w:name="_Toc195842922"/>
      <w:bookmarkStart w:id="915" w:name="_Toc520356218"/>
      <w:bookmarkStart w:id="916" w:name="_Toc226337253"/>
      <w:bookmarkStart w:id="917" w:name="_Toc480942350"/>
      <w:bookmarkStart w:id="918" w:name="_Toc142311059"/>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 xml:space="preserve">2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授权委托书（实质性格式）</w:t>
      </w:r>
    </w:p>
    <w:p>
      <w:pPr>
        <w:spacing w:line="360" w:lineRule="exact"/>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授权委托书</w:t>
      </w:r>
    </w:p>
    <w:p>
      <w:pPr>
        <w:spacing w:line="360" w:lineRule="auto"/>
        <w:ind w:firstLine="420"/>
        <w:rPr>
          <w:rFonts w:ascii="宋体" w:hAnsi="宋体" w:cs="宋体"/>
          <w:color w:val="000000" w:themeColor="text1"/>
          <w:sz w:val="24"/>
          <w:szCs w:val="20"/>
          <w14:textFill>
            <w14:solidFill>
              <w14:schemeClr w14:val="tx1"/>
            </w14:solidFill>
          </w14:textFill>
        </w:rPr>
      </w:pP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本人</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（姓名）系</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（投标人名称）的法定代表人（单位负责人），现委托</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（姓名）为我方代理人。代理人根据授权，以我方名义签署、澄清确认、提交、撤回、修改</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（项目名称）投标文件和处理有关事宜，其法律后果由我方承担。</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委托期限：自本授权委托书签署之日起至投标有效期届满之日止。</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代理人无转委托权。</w:t>
      </w:r>
      <w:r>
        <w:rPr>
          <w:rFonts w:hint="eastAsia" w:ascii="宋体" w:hAnsi="宋体" w:cs="宋体"/>
          <w:color w:val="000000" w:themeColor="text1"/>
          <w:sz w:val="24"/>
          <w:szCs w:val="20"/>
          <w14:textFill>
            <w14:solidFill>
              <w14:schemeClr w14:val="tx1"/>
            </w14:solidFill>
          </w14:textFill>
        </w:rPr>
        <w:cr/>
      </w:r>
    </w:p>
    <w:p>
      <w:pPr>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spacing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法定代表人（单位负责人）（签字或盖章）：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附：</w:t>
      </w:r>
      <w:r>
        <w:rPr>
          <w:rFonts w:ascii="宋体" w:hAnsi="宋体"/>
          <w:spacing w:val="-1"/>
          <w:sz w:val="24"/>
        </w:rPr>
        <w:t>法定代表人（单位负责人）及委托代理人身份证明文件电子件</w:t>
      </w:r>
      <w:r>
        <w:rPr>
          <w:rFonts w:hint="eastAsia" w:ascii="宋体" w:hAnsi="宋体" w:cs="宋体"/>
          <w:color w:val="000000" w:themeColor="text1"/>
          <w:spacing w:val="-1"/>
          <w:sz w:val="24"/>
          <w14:textFill>
            <w14:solidFill>
              <w14:schemeClr w14:val="tx1"/>
            </w14:solidFill>
          </w14:textFill>
        </w:rPr>
        <w:t>：</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说明：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1.若供应商为事业单位或其他组织或分支机构，则法定代表人（单位负责人）处的签署人可为单位负责人。</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若投标文件中签字之处均为法定代表人（单位负责人）本人签署，则可不提供本《授权委托书》，但须提供《法定代表人（单位负责人）身份证明》；否则，不需要提供《法定代表人（单位负责人）身份证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3.供应商为自然人的情形，可不提供本《授权委托书》。</w:t>
      </w:r>
    </w:p>
    <w:p>
      <w:pPr>
        <w:tabs>
          <w:tab w:val="left" w:pos="5580"/>
        </w:tabs>
        <w:spacing w:line="360" w:lineRule="auto"/>
        <w:jc w:val="left"/>
        <w:rPr>
          <w:rStyle w:val="60"/>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4.供应商应随本《授权委托书》同时提供法定代表人（单位负责人）及委托代理人的有效的身份证或护照等身份证明文件</w:t>
      </w:r>
      <w:r>
        <w:rPr>
          <w:rFonts w:ascii="宋体" w:hAnsi="宋体"/>
          <w:spacing w:val="-1"/>
          <w:sz w:val="24"/>
        </w:rPr>
        <w:t>电子件</w:t>
      </w:r>
      <w:r>
        <w:rPr>
          <w:rFonts w:hint="eastAsia" w:ascii="宋体" w:hAnsi="宋体" w:cs="宋体"/>
          <w:color w:val="000000" w:themeColor="text1"/>
          <w:sz w:val="24"/>
          <w:szCs w:val="20"/>
          <w14:textFill>
            <w14:solidFill>
              <w14:schemeClr w14:val="tx1"/>
            </w14:solidFill>
          </w14:textFill>
        </w:rPr>
        <w:t>。提供身份证的，应同时提供身份证</w:t>
      </w:r>
      <w:r>
        <w:rPr>
          <w:rFonts w:hint="eastAsia" w:ascii="宋体" w:hAnsi="宋体" w:cs="宋体"/>
          <w:b/>
          <w:bCs/>
          <w:color w:val="000000" w:themeColor="text1"/>
          <w:sz w:val="24"/>
          <w:szCs w:val="20"/>
          <w14:textFill>
            <w14:solidFill>
              <w14:schemeClr w14:val="tx1"/>
            </w14:solidFill>
          </w14:textFill>
        </w:rPr>
        <w:t>双面</w:t>
      </w:r>
      <w:r>
        <w:rPr>
          <w:rFonts w:hint="eastAsia" w:ascii="宋体" w:hAnsi="宋体" w:cs="宋体"/>
          <w:bCs/>
          <w:color w:val="000000" w:themeColor="text1"/>
          <w:sz w:val="24"/>
          <w:szCs w:val="20"/>
          <w14:textFill>
            <w14:solidFill>
              <w14:schemeClr w14:val="tx1"/>
            </w14:solidFill>
          </w14:textFill>
        </w:rPr>
        <w:t>电子件</w:t>
      </w:r>
      <w:r>
        <w:rPr>
          <w:rFonts w:hint="eastAsia" w:ascii="宋体" w:hAnsi="宋体" w:cs="宋体"/>
          <w:color w:val="000000" w:themeColor="text1"/>
          <w:sz w:val="24"/>
          <w:szCs w:val="20"/>
          <w14:textFill>
            <w14:solidFill>
              <w14:schemeClr w14:val="tx1"/>
            </w14:solidFill>
          </w14:textFill>
        </w:rPr>
        <w:t>。</w:t>
      </w:r>
    </w:p>
    <w:p>
      <w:pPr>
        <w:tabs>
          <w:tab w:val="left" w:pos="5580"/>
        </w:tabs>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color w:val="000000" w:themeColor="text1"/>
          <w:sz w:val="36"/>
          <w:szCs w:val="36"/>
          <w14:textFill>
            <w14:solidFill>
              <w14:schemeClr w14:val="tx1"/>
            </w14:solidFill>
          </w14:textFill>
        </w:rPr>
        <w:t>法定代表人（单位负责人）身份证明</w:t>
      </w:r>
    </w:p>
    <w:p>
      <w:pPr>
        <w:kinsoku w:val="0"/>
        <w:overflowPunct w:val="0"/>
        <w:spacing w:line="200" w:lineRule="exact"/>
        <w:rPr>
          <w:rFonts w:ascii="宋体" w:hAnsi="宋体" w:cs="宋体"/>
          <w:color w:val="000000" w:themeColor="text1"/>
          <w:sz w:val="20"/>
          <w:szCs w:val="20"/>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pStyle w:val="20"/>
        <w:tabs>
          <w:tab w:val="left" w:pos="2412"/>
          <w:tab w:val="left" w:pos="3883"/>
          <w:tab w:val="left" w:pos="5352"/>
          <w:tab w:val="left" w:pos="6821"/>
        </w:tabs>
        <w:kinsoku w:val="0"/>
        <w:overflowPunct w:val="0"/>
        <w:spacing w:line="335" w:lineRule="exact"/>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兹证明，</w:t>
      </w:r>
    </w:p>
    <w:p>
      <w:pPr>
        <w:pStyle w:val="20"/>
        <w:tabs>
          <w:tab w:val="left" w:pos="1690"/>
          <w:tab w:val="left" w:pos="3400"/>
          <w:tab w:val="left" w:pos="5110"/>
          <w:tab w:val="left" w:pos="6821"/>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姓名：____性别：____年龄：____职务：____</w:t>
      </w: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tabs>
          <w:tab w:val="left" w:pos="2250"/>
          <w:tab w:val="left" w:pos="2412"/>
          <w:tab w:val="left" w:pos="3883"/>
          <w:tab w:val="left" w:pos="5352"/>
          <w:tab w:val="left" w:pos="6821"/>
          <w:tab w:val="clear" w:pos="567"/>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系</w:t>
      </w:r>
      <w:r>
        <w:rPr>
          <w:rFonts w:hint="eastAsia" w:cs="宋体"/>
          <w:color w:val="000000" w:themeColor="text1"/>
          <w:u w:val="single"/>
          <w14:textFill>
            <w14:solidFill>
              <w14:schemeClr w14:val="tx1"/>
            </w14:solidFill>
          </w14:textFill>
        </w:rPr>
        <w:tab/>
      </w:r>
      <w:r>
        <w:rPr>
          <w:rFonts w:hint="eastAsia" w:cs="宋体"/>
          <w:color w:val="000000" w:themeColor="text1"/>
          <w14:textFill>
            <w14:solidFill>
              <w14:schemeClr w14:val="tx1"/>
            </w14:solidFill>
          </w14:textFill>
        </w:rPr>
        <w:t>（投标人名称）的法定代表人（单位负责人）。</w:t>
      </w: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kinsoku w:val="0"/>
        <w:overflowPunct w:val="0"/>
        <w:spacing w:line="583" w:lineRule="auto"/>
        <w:ind w:right="-46"/>
        <w:rPr>
          <w:rFonts w:cs="宋体"/>
          <w:color w:val="000000" w:themeColor="text1"/>
          <w:spacing w:val="-3"/>
          <w14:textFill>
            <w14:solidFill>
              <w14:schemeClr w14:val="tx1"/>
            </w14:solidFill>
          </w14:textFill>
        </w:rPr>
      </w:pPr>
      <w:r>
        <w:rPr>
          <w:rFonts w:hint="eastAsia" w:cs="宋体"/>
          <w:color w:val="000000" w:themeColor="text1"/>
          <w14:textFill>
            <w14:solidFill>
              <w14:schemeClr w14:val="tx1"/>
            </w14:solidFill>
          </w14:textFill>
        </w:rPr>
        <w:t>附：</w:t>
      </w:r>
      <w:r>
        <w:rPr>
          <w:rFonts w:hint="eastAsia" w:cs="宋体"/>
          <w:color w:val="000000" w:themeColor="text1"/>
          <w:spacing w:val="-3"/>
          <w14:textFill>
            <w14:solidFill>
              <w14:schemeClr w14:val="tx1"/>
            </w14:solidFill>
          </w14:textFill>
        </w:rPr>
        <w:t>法定代表人（单位负责人）身份证或护照等身份证明文件电子件。</w:t>
      </w:r>
    </w:p>
    <w:p>
      <w:pPr>
        <w:pStyle w:val="20"/>
        <w:kinsoku w:val="0"/>
        <w:overflowPunct w:val="0"/>
        <w:spacing w:line="583" w:lineRule="auto"/>
        <w:ind w:right="4305" w:firstLine="468"/>
        <w:rPr>
          <w:rFonts w:cs="宋体"/>
          <w:color w:val="000000" w:themeColor="text1"/>
          <w:spacing w:val="-3"/>
          <w14:textFill>
            <w14:solidFill>
              <w14:schemeClr w14:val="tx1"/>
            </w14:solidFill>
          </w14:textFill>
        </w:rPr>
      </w:pPr>
    </w:p>
    <w:p>
      <w:pPr>
        <w:pStyle w:val="20"/>
        <w:kinsoku w:val="0"/>
        <w:overflowPunct w:val="0"/>
        <w:spacing w:line="583" w:lineRule="auto"/>
        <w:ind w:right="4305" w:firstLine="468"/>
        <w:rPr>
          <w:rFonts w:cs="宋体"/>
          <w:color w:val="000000" w:themeColor="text1"/>
          <w:spacing w:val="-3"/>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pStyle w:val="20"/>
        <w:kinsoku w:val="0"/>
        <w:overflowPunct w:val="0"/>
        <w:spacing w:line="583" w:lineRule="auto"/>
        <w:ind w:right="95" w:firstLine="468"/>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法定代表人（</w:t>
      </w:r>
      <w:r>
        <w:rPr>
          <w:rFonts w:hint="eastAsia" w:cs="宋体"/>
          <w:color w:val="000000" w:themeColor="text1"/>
          <w14:textFill>
            <w14:solidFill>
              <w14:schemeClr w14:val="tx1"/>
            </w14:solidFill>
          </w14:textFill>
        </w:rPr>
        <w:t>单位负责人</w:t>
      </w:r>
      <w:r>
        <w:rPr>
          <w:rFonts w:hint="eastAsia" w:cs="宋体"/>
          <w:color w:val="000000" w:themeColor="text1"/>
          <w:spacing w:val="-3"/>
          <w14:textFill>
            <w14:solidFill>
              <w14:schemeClr w14:val="tx1"/>
            </w14:solidFill>
          </w14:textFill>
        </w:rPr>
        <w:t>）（签字或盖章）：_______</w:t>
      </w:r>
    </w:p>
    <w:p>
      <w:pPr>
        <w:autoSpaceDE w:val="0"/>
        <w:autoSpaceDN w:val="0"/>
        <w:adjustRightInd w:val="0"/>
        <w:snapToGrid w:val="0"/>
        <w:spacing w:line="360" w:lineRule="auto"/>
        <w:rPr>
          <w:rFonts w:ascii="宋体" w:hAnsi="宋体" w:cs="宋体"/>
          <w:color w:val="000000" w:themeColor="text1"/>
          <w:sz w:val="24"/>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widowControl/>
        <w:jc w:val="left"/>
        <w:rPr>
          <w:rFonts w:ascii="宋体" w:hAnsi="宋体" w:cs="宋体"/>
          <w:i/>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  开标一览表</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Pr>
          <w:rFonts w:hint="eastAsia" w:hAnsi="宋体" w:cs="宋体"/>
          <w:b w:val="0"/>
          <w:color w:val="000000" w:themeColor="text1"/>
          <w:szCs w:val="24"/>
          <w:u w:val="none"/>
          <w14:textFill>
            <w14:solidFill>
              <w14:schemeClr w14:val="tx1"/>
            </w14:solidFill>
          </w14:textFill>
        </w:rPr>
        <w:t>（实质性格式）</w:t>
      </w:r>
    </w:p>
    <w:p>
      <w:pPr>
        <w:spacing w:line="360" w:lineRule="exact"/>
        <w:jc w:val="center"/>
        <w:rPr>
          <w:rFonts w:ascii="宋体" w:hAnsi="宋体" w:cs="宋体"/>
          <w:b/>
          <w:color w:val="000000" w:themeColor="text1"/>
          <w:sz w:val="36"/>
          <w:szCs w:val="36"/>
          <w14:textFill>
            <w14:solidFill>
              <w14:schemeClr w14:val="tx1"/>
            </w14:solidFill>
          </w14:textFill>
        </w:rPr>
      </w:pPr>
      <w:bookmarkStart w:id="919" w:name="_Toc226337254"/>
      <w:bookmarkStart w:id="920" w:name="_Toc195842923"/>
      <w:bookmarkStart w:id="921" w:name="_Toc226965748"/>
      <w:bookmarkStart w:id="922" w:name="_Toc305158900"/>
      <w:bookmarkStart w:id="923" w:name="_Toc164608827"/>
      <w:bookmarkStart w:id="924" w:name="_Toc264969248"/>
      <w:bookmarkStart w:id="925" w:name="_Toc164608672"/>
      <w:bookmarkStart w:id="926" w:name="_Toc226965831"/>
      <w:bookmarkStart w:id="927" w:name="_Toc226309802"/>
      <w:bookmarkStart w:id="928" w:name="_Toc305158826"/>
      <w:bookmarkStart w:id="929" w:name="_Toc265228396"/>
      <w:r>
        <w:rPr>
          <w:rFonts w:hint="eastAsia" w:ascii="宋体" w:hAnsi="宋体" w:cs="宋体"/>
          <w:b/>
          <w:color w:val="000000" w:themeColor="text1"/>
          <w:sz w:val="36"/>
          <w:szCs w:val="36"/>
          <w14:textFill>
            <w14:solidFill>
              <w14:schemeClr w14:val="tx1"/>
            </w14:solidFill>
          </w14:textFill>
        </w:rPr>
        <w:t>开标一览表</w:t>
      </w:r>
      <w:bookmarkEnd w:id="919"/>
      <w:bookmarkEnd w:id="920"/>
      <w:bookmarkEnd w:id="921"/>
      <w:bookmarkEnd w:id="922"/>
      <w:bookmarkEnd w:id="923"/>
      <w:bookmarkEnd w:id="924"/>
      <w:bookmarkEnd w:id="925"/>
      <w:bookmarkEnd w:id="926"/>
      <w:bookmarkEnd w:id="927"/>
      <w:bookmarkEnd w:id="928"/>
      <w:bookmarkEnd w:id="929"/>
    </w:p>
    <w:p>
      <w:pPr>
        <w:tabs>
          <w:tab w:val="left" w:pos="1800"/>
          <w:tab w:val="left" w:pos="5580"/>
        </w:tabs>
        <w:spacing w:line="360" w:lineRule="auto"/>
        <w:jc w:val="left"/>
        <w:rPr>
          <w:rFonts w:ascii="宋体" w:hAnsi="宋体" w:cs="宋体"/>
          <w:i/>
          <w:color w:val="000000" w:themeColor="text1"/>
          <w:sz w:val="24"/>
          <w14:textFill>
            <w14:solidFill>
              <w14:schemeClr w14:val="tx1"/>
            </w14:solidFill>
          </w14:textFill>
        </w:rPr>
      </w:pPr>
    </w:p>
    <w:p>
      <w:pPr>
        <w:tabs>
          <w:tab w:val="left" w:pos="1800"/>
          <w:tab w:val="left" w:pos="5580"/>
        </w:tabs>
        <w:spacing w:line="360" w:lineRule="auto"/>
        <w:ind w:firstLine="240" w:firstLineChars="100"/>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项目编号：_____________________     项目名称：____________</w:t>
      </w:r>
    </w:p>
    <w:tbl>
      <w:tblPr>
        <w:tblStyle w:val="51"/>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2"/>
        <w:gridCol w:w="3396"/>
        <w:gridCol w:w="182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包号</w:t>
            </w:r>
          </w:p>
        </w:tc>
        <w:tc>
          <w:tcPr>
            <w:tcW w:w="2215"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投标人名称</w:t>
            </w:r>
          </w:p>
        </w:tc>
        <w:tc>
          <w:tcPr>
            <w:tcW w:w="2373" w:type="pct"/>
            <w:gridSpan w:val="2"/>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2215"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大写</w:t>
            </w:r>
          </w:p>
        </w:tc>
        <w:tc>
          <w:tcPr>
            <w:tcW w:w="1182"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pPr>
              <w:tabs>
                <w:tab w:val="left" w:pos="5580"/>
              </w:tabs>
              <w:jc w:val="center"/>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05</w:t>
            </w:r>
          </w:p>
        </w:tc>
        <w:tc>
          <w:tcPr>
            <w:tcW w:w="2215"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2"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r>
    </w:tbl>
    <w:p>
      <w:pPr>
        <w:autoSpaceDE w:val="0"/>
        <w:autoSpaceDN w:val="0"/>
        <w:adjustRightInd w:val="0"/>
        <w:jc w:val="left"/>
        <w:rPr>
          <w:rFonts w:ascii="宋体" w:hAnsi="宋体" w:cs="宋体"/>
          <w:color w:val="000000" w:themeColor="text1"/>
          <w:kern w:val="0"/>
          <w:sz w:val="24"/>
          <w14:textFill>
            <w14:solidFill>
              <w14:schemeClr w14:val="tx1"/>
            </w14:solidFill>
          </w14:textFill>
        </w:rPr>
      </w:pPr>
    </w:p>
    <w:p>
      <w:pPr>
        <w:autoSpaceDE w:val="0"/>
        <w:autoSpaceDN w:val="0"/>
        <w:adjustRightInd w:val="0"/>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注：1</w:t>
      </w:r>
      <w:r>
        <w:rPr>
          <w:rFonts w:hint="eastAsia" w:ascii="宋体" w:hAnsi="宋体" w:cs="宋体"/>
          <w:color w:val="000000" w:themeColor="text1"/>
          <w:sz w:val="24"/>
          <w:szCs w:val="20"/>
          <w14:textFill>
            <w14:solidFill>
              <w14:schemeClr w14:val="tx1"/>
            </w14:solidFill>
          </w14:textFill>
        </w:rPr>
        <w:t>.此表中，每包的投标报价应和《投标分项报价表》中的总价相一致。</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2.本表必须按包分别填写。</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bookmarkStart w:id="930" w:name="_Toc195842924"/>
      <w:bookmarkStart w:id="931" w:name="_Toc226965749"/>
      <w:bookmarkStart w:id="932" w:name="_Toc226309803"/>
      <w:bookmarkStart w:id="933" w:name="_Toc226965832"/>
      <w:bookmarkStart w:id="934" w:name="_Toc265228397"/>
      <w:bookmarkStart w:id="935" w:name="_Toc150774763"/>
      <w:bookmarkStart w:id="936" w:name="_Toc305158827"/>
      <w:bookmarkStart w:id="937" w:name="_Toc305158901"/>
      <w:bookmarkStart w:id="938" w:name="_Toc142311060"/>
      <w:bookmarkStart w:id="939" w:name="_Toc226337255"/>
      <w:bookmarkStart w:id="940" w:name="_Toc150480796"/>
      <w:bookmarkStart w:id="941" w:name="_Toc127151558"/>
      <w:bookmarkStart w:id="942" w:name="_Toc264969249"/>
    </w:p>
    <w:p>
      <w:pPr>
        <w:widowControl/>
        <w:jc w:val="left"/>
        <w:rPr>
          <w:rFonts w:ascii="宋体" w:hAnsi="宋体" w:cs="宋体"/>
          <w:color w:val="000000" w:themeColor="text1"/>
          <w:sz w:val="24"/>
          <w:szCs w:val="20"/>
          <w14:textFill>
            <w14:solidFill>
              <w14:schemeClr w14:val="tx1"/>
            </w14:solidFill>
          </w14:textFill>
        </w:rPr>
        <w:sectPr>
          <w:footerReference r:id="rId8" w:type="default"/>
          <w:pgSz w:w="11907" w:h="16840"/>
          <w:pgMar w:top="1440" w:right="1800" w:bottom="1440" w:left="1800" w:header="851" w:footer="851" w:gutter="0"/>
          <w:pgNumType w:start="1"/>
          <w:cols w:space="720" w:num="1"/>
          <w:docGrid w:linePitch="462" w:charSpace="0"/>
        </w:sectPr>
      </w:pPr>
    </w:p>
    <w:p>
      <w:pPr>
        <w:spacing w:line="360" w:lineRule="auto"/>
        <w:outlineLvl w:val="2"/>
        <w:rPr>
          <w:rFonts w:ascii="宋体" w:hAnsi="宋体" w:cs="宋体"/>
          <w:sz w:val="24"/>
          <w:szCs w:val="20"/>
        </w:rPr>
      </w:pPr>
      <w:r>
        <w:rPr>
          <w:rFonts w:hint="eastAsia" w:ascii="宋体" w:hAnsi="宋体" w:cs="宋体"/>
          <w:sz w:val="24"/>
          <w:szCs w:val="20"/>
        </w:rPr>
        <w:t>4  投标分项报价表（实质性格式）</w:t>
      </w:r>
    </w:p>
    <w:p>
      <w:pPr>
        <w:spacing w:line="360" w:lineRule="exact"/>
        <w:jc w:val="center"/>
        <w:rPr>
          <w:rFonts w:ascii="宋体" w:hAnsi="宋体" w:cs="宋体"/>
          <w:b/>
          <w:sz w:val="36"/>
          <w:szCs w:val="36"/>
        </w:rPr>
      </w:pPr>
      <w:r>
        <w:rPr>
          <w:rFonts w:hint="eastAsia" w:ascii="宋体" w:hAnsi="宋体" w:cs="宋体"/>
          <w:b/>
          <w:sz w:val="36"/>
          <w:szCs w:val="36"/>
        </w:rPr>
        <w:t>投标分项报价表</w:t>
      </w:r>
    </w:p>
    <w:p>
      <w:pPr>
        <w:tabs>
          <w:tab w:val="left" w:pos="1800"/>
          <w:tab w:val="left" w:pos="5580"/>
        </w:tabs>
        <w:rPr>
          <w:rFonts w:ascii="宋体" w:hAnsi="宋体" w:cs="宋体"/>
          <w:sz w:val="24"/>
        </w:rPr>
      </w:pPr>
      <w:r>
        <w:rPr>
          <w:rFonts w:hint="eastAsia" w:ascii="宋体" w:hAnsi="宋体" w:cs="宋体"/>
          <w:sz w:val="24"/>
        </w:rPr>
        <w:t>项目编号</w:t>
      </w:r>
      <w:bookmarkStart w:id="943" w:name="OLE_LINK49"/>
      <w:r>
        <w:rPr>
          <w:rFonts w:hint="eastAsia" w:ascii="宋体" w:hAnsi="宋体" w:cs="宋体"/>
          <w:sz w:val="24"/>
        </w:rPr>
        <w:t>/包号</w:t>
      </w:r>
      <w:bookmarkEnd w:id="943"/>
      <w:r>
        <w:rPr>
          <w:rFonts w:hint="eastAsia" w:ascii="宋体" w:hAnsi="宋体" w:cs="宋体"/>
          <w:sz w:val="24"/>
        </w:rPr>
        <w:t>：___________ 项目名称：__________报价单位：人民币元</w:t>
      </w:r>
    </w:p>
    <w:tbl>
      <w:tblPr>
        <w:tblStyle w:val="51"/>
        <w:tblW w:w="142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3"/>
        <w:gridCol w:w="1052"/>
        <w:gridCol w:w="1324"/>
        <w:gridCol w:w="944"/>
        <w:gridCol w:w="1253"/>
        <w:gridCol w:w="1253"/>
        <w:gridCol w:w="1253"/>
        <w:gridCol w:w="1254"/>
        <w:gridCol w:w="1254"/>
        <w:gridCol w:w="1253"/>
        <w:gridCol w:w="1024"/>
        <w:gridCol w:w="831"/>
        <w:gridCol w:w="10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503" w:type="dxa"/>
            <w:textDirection w:val="tbRlV"/>
            <w:vAlign w:val="center"/>
          </w:tcPr>
          <w:p>
            <w:pPr>
              <w:autoSpaceDE w:val="0"/>
              <w:autoSpaceDN w:val="0"/>
              <w:spacing w:before="149" w:line="179" w:lineRule="auto"/>
              <w:ind w:left="218"/>
              <w:jc w:val="center"/>
              <w:rPr>
                <w:rFonts w:ascii="宋体" w:hAnsi="宋体" w:cs="宋体"/>
                <w:sz w:val="24"/>
              </w:rPr>
            </w:pPr>
            <w:r>
              <w:rPr>
                <w:rFonts w:hint="eastAsia" w:ascii="宋体" w:hAnsi="宋体" w:cs="宋体"/>
                <w:b/>
                <w:bCs/>
                <w:spacing w:val="20"/>
                <w:sz w:val="24"/>
              </w:rPr>
              <w:t>序 号</w:t>
            </w:r>
          </w:p>
        </w:tc>
        <w:tc>
          <w:tcPr>
            <w:tcW w:w="1052" w:type="dxa"/>
            <w:vAlign w:val="center"/>
          </w:tcPr>
          <w:p>
            <w:pPr>
              <w:autoSpaceDE w:val="0"/>
              <w:autoSpaceDN w:val="0"/>
              <w:spacing w:before="218" w:line="202" w:lineRule="auto"/>
              <w:ind w:left="106" w:right="222"/>
              <w:jc w:val="center"/>
              <w:rPr>
                <w:rFonts w:ascii="宋体" w:hAnsi="宋体" w:cs="宋体"/>
                <w:sz w:val="24"/>
              </w:rPr>
            </w:pPr>
            <w:r>
              <w:rPr>
                <w:rFonts w:hint="eastAsia" w:ascii="宋体" w:hAnsi="宋体" w:cs="宋体"/>
                <w:b/>
                <w:bCs/>
                <w:spacing w:val="-2"/>
                <w:sz w:val="24"/>
              </w:rPr>
              <w:t>分项名</w:t>
            </w:r>
            <w:r>
              <w:rPr>
                <w:rFonts w:hint="eastAsia" w:ascii="宋体" w:hAnsi="宋体" w:cs="宋体"/>
                <w:b/>
                <w:bCs/>
                <w:spacing w:val="1"/>
                <w:sz w:val="24"/>
              </w:rPr>
              <w:t xml:space="preserve"> </w:t>
            </w:r>
            <w:r>
              <w:rPr>
                <w:rFonts w:hint="eastAsia" w:ascii="宋体" w:hAnsi="宋体" w:cs="宋体"/>
                <w:b/>
                <w:bCs/>
                <w:sz w:val="24"/>
              </w:rPr>
              <w:t>称</w:t>
            </w:r>
          </w:p>
        </w:tc>
        <w:tc>
          <w:tcPr>
            <w:tcW w:w="1324" w:type="dxa"/>
          </w:tcPr>
          <w:p>
            <w:pPr>
              <w:pStyle w:val="258"/>
              <w:spacing w:line="287" w:lineRule="auto"/>
              <w:jc w:val="center"/>
              <w:rPr>
                <w:rFonts w:ascii="宋体" w:hAnsi="宋体" w:eastAsia="宋体" w:cs="宋体"/>
                <w:color w:val="auto"/>
                <w:sz w:val="22"/>
              </w:rPr>
            </w:pPr>
          </w:p>
          <w:p>
            <w:pPr>
              <w:autoSpaceDE w:val="0"/>
              <w:autoSpaceDN w:val="0"/>
              <w:spacing w:before="103" w:line="201" w:lineRule="auto"/>
              <w:jc w:val="center"/>
              <w:rPr>
                <w:rFonts w:ascii="宋体" w:hAnsi="宋体" w:cs="宋体"/>
                <w:sz w:val="24"/>
              </w:rPr>
            </w:pPr>
            <w:r>
              <w:rPr>
                <w:rFonts w:hint="eastAsia" w:ascii="宋体" w:hAnsi="宋体" w:cs="宋体"/>
                <w:b/>
                <w:bCs/>
                <w:spacing w:val="-2"/>
                <w:sz w:val="24"/>
              </w:rPr>
              <w:t>制造商</w:t>
            </w:r>
          </w:p>
        </w:tc>
        <w:tc>
          <w:tcPr>
            <w:tcW w:w="944" w:type="dxa"/>
            <w:vAlign w:val="center"/>
          </w:tcPr>
          <w:p>
            <w:pPr>
              <w:pStyle w:val="258"/>
              <w:spacing w:before="219" w:line="201" w:lineRule="auto"/>
              <w:ind w:left="132" w:right="266" w:hanging="23"/>
              <w:jc w:val="center"/>
              <w:rPr>
                <w:rFonts w:ascii="宋体" w:hAnsi="宋体" w:eastAsia="宋体" w:cs="宋体"/>
                <w:color w:val="auto"/>
                <w:sz w:val="24"/>
                <w:szCs w:val="24"/>
              </w:rPr>
            </w:pPr>
            <w:r>
              <w:rPr>
                <w:rFonts w:hint="eastAsia" w:ascii="宋体" w:hAnsi="宋体" w:eastAsia="宋体" w:cs="宋体"/>
                <w:b/>
                <w:bCs/>
                <w:color w:val="auto"/>
                <w:spacing w:val="5"/>
                <w:sz w:val="24"/>
                <w:szCs w:val="24"/>
              </w:rPr>
              <w:t>产地/</w:t>
            </w:r>
            <w:r>
              <w:rPr>
                <w:rFonts w:hint="eastAsia" w:ascii="宋体" w:hAnsi="宋体" w:eastAsia="宋体" w:cs="宋体"/>
                <w:b/>
                <w:bCs/>
                <w:color w:val="auto"/>
                <w:sz w:val="24"/>
                <w:szCs w:val="24"/>
              </w:rPr>
              <w:t xml:space="preserve"> </w:t>
            </w:r>
            <w:r>
              <w:rPr>
                <w:rFonts w:hint="eastAsia" w:ascii="宋体" w:hAnsi="宋体" w:eastAsia="宋体" w:cs="宋体"/>
                <w:b/>
                <w:bCs/>
                <w:color w:val="auto"/>
                <w:spacing w:val="-15"/>
                <w:sz w:val="24"/>
                <w:szCs w:val="24"/>
              </w:rPr>
              <w:t>国别</w:t>
            </w:r>
          </w:p>
        </w:tc>
        <w:tc>
          <w:tcPr>
            <w:tcW w:w="1253" w:type="dxa"/>
            <w:vAlign w:val="center"/>
          </w:tcPr>
          <w:p>
            <w:pPr>
              <w:autoSpaceDE w:val="0"/>
              <w:autoSpaceDN w:val="0"/>
              <w:spacing w:before="48" w:line="193" w:lineRule="auto"/>
              <w:ind w:left="6" w:right="143" w:hanging="6"/>
              <w:jc w:val="center"/>
              <w:rPr>
                <w:rFonts w:ascii="宋体" w:hAnsi="宋体" w:cs="宋体"/>
                <w:sz w:val="24"/>
              </w:rPr>
            </w:pPr>
            <w:r>
              <w:rPr>
                <w:rFonts w:hint="eastAsia" w:ascii="宋体" w:hAnsi="宋体" w:cs="宋体"/>
                <w:b/>
                <w:bCs/>
                <w:spacing w:val="-2"/>
                <w:sz w:val="24"/>
              </w:rPr>
              <w:t>制造商</w:t>
            </w:r>
            <w:r>
              <w:rPr>
                <w:rFonts w:hint="eastAsia" w:ascii="宋体" w:hAnsi="宋体" w:cs="宋体"/>
                <w:b/>
                <w:bCs/>
                <w:sz w:val="24"/>
              </w:rPr>
              <w:t xml:space="preserve">  </w:t>
            </w:r>
            <w:r>
              <w:rPr>
                <w:rFonts w:hint="eastAsia" w:ascii="宋体" w:hAnsi="宋体" w:cs="宋体"/>
                <w:b/>
                <w:bCs/>
                <w:spacing w:val="-1"/>
                <w:sz w:val="24"/>
              </w:rPr>
              <w:t>统一社会</w:t>
            </w:r>
            <w:r>
              <w:rPr>
                <w:rFonts w:hint="eastAsia" w:ascii="宋体" w:hAnsi="宋体" w:cs="宋体"/>
                <w:b/>
                <w:bCs/>
                <w:sz w:val="24"/>
              </w:rPr>
              <w:t xml:space="preserve"> </w:t>
            </w:r>
            <w:r>
              <w:rPr>
                <w:rFonts w:hint="eastAsia" w:ascii="宋体" w:hAnsi="宋体" w:cs="宋体"/>
                <w:b/>
                <w:bCs/>
                <w:spacing w:val="-1"/>
                <w:sz w:val="24"/>
              </w:rPr>
              <w:t>信用代码</w:t>
            </w:r>
          </w:p>
        </w:tc>
        <w:tc>
          <w:tcPr>
            <w:tcW w:w="1253" w:type="dxa"/>
            <w:vAlign w:val="center"/>
          </w:tcPr>
          <w:p>
            <w:pPr>
              <w:autoSpaceDE w:val="0"/>
              <w:autoSpaceDN w:val="0"/>
              <w:spacing w:before="218" w:line="201" w:lineRule="auto"/>
              <w:ind w:right="261"/>
              <w:jc w:val="center"/>
              <w:rPr>
                <w:rFonts w:ascii="宋体" w:hAnsi="宋体" w:cs="宋体"/>
                <w:sz w:val="24"/>
              </w:rPr>
            </w:pPr>
            <w:r>
              <w:rPr>
                <w:rFonts w:hint="eastAsia" w:ascii="宋体" w:hAnsi="宋体" w:cs="宋体"/>
                <w:b/>
                <w:bCs/>
                <w:spacing w:val="-2"/>
                <w:sz w:val="24"/>
              </w:rPr>
              <w:t>制造商</w:t>
            </w:r>
            <w:r>
              <w:rPr>
                <w:rFonts w:hint="eastAsia" w:ascii="宋体" w:hAnsi="宋体" w:cs="宋体"/>
                <w:b/>
                <w:bCs/>
                <w:spacing w:val="1"/>
                <w:sz w:val="24"/>
              </w:rPr>
              <w:t xml:space="preserve"> </w:t>
            </w:r>
            <w:r>
              <w:rPr>
                <w:rFonts w:hint="eastAsia" w:ascii="宋体" w:hAnsi="宋体" w:cs="宋体"/>
                <w:b/>
                <w:bCs/>
                <w:spacing w:val="-3"/>
                <w:sz w:val="24"/>
              </w:rPr>
              <w:t>规模</w:t>
            </w:r>
          </w:p>
        </w:tc>
        <w:tc>
          <w:tcPr>
            <w:tcW w:w="1253" w:type="dxa"/>
            <w:vAlign w:val="center"/>
          </w:tcPr>
          <w:p>
            <w:pPr>
              <w:autoSpaceDE w:val="0"/>
              <w:autoSpaceDN w:val="0"/>
              <w:spacing w:before="45" w:line="201" w:lineRule="auto"/>
              <w:ind w:right="141"/>
              <w:jc w:val="center"/>
              <w:rPr>
                <w:rFonts w:ascii="宋体" w:hAnsi="宋体" w:cs="宋体"/>
                <w:sz w:val="24"/>
              </w:rPr>
            </w:pPr>
            <w:r>
              <w:rPr>
                <w:rFonts w:hint="eastAsia" w:ascii="宋体" w:hAnsi="宋体" w:cs="宋体"/>
                <w:b/>
                <w:bCs/>
                <w:spacing w:val="-1"/>
                <w:sz w:val="24"/>
              </w:rPr>
              <w:t>制造商所</w:t>
            </w:r>
            <w:r>
              <w:rPr>
                <w:rFonts w:hint="eastAsia" w:ascii="宋体" w:hAnsi="宋体" w:cs="宋体"/>
                <w:b/>
                <w:bCs/>
                <w:sz w:val="24"/>
              </w:rPr>
              <w:t xml:space="preserve"> </w:t>
            </w:r>
            <w:r>
              <w:rPr>
                <w:rFonts w:hint="eastAsia" w:ascii="宋体" w:hAnsi="宋体" w:cs="宋体"/>
                <w:b/>
                <w:bCs/>
                <w:spacing w:val="-2"/>
                <w:sz w:val="24"/>
              </w:rPr>
              <w:t>属性别</w:t>
            </w:r>
          </w:p>
        </w:tc>
        <w:tc>
          <w:tcPr>
            <w:tcW w:w="1254" w:type="dxa"/>
            <w:vAlign w:val="center"/>
          </w:tcPr>
          <w:p>
            <w:pPr>
              <w:autoSpaceDE w:val="0"/>
              <w:autoSpaceDN w:val="0"/>
              <w:spacing w:before="45" w:line="201" w:lineRule="auto"/>
              <w:ind w:right="140"/>
              <w:jc w:val="center"/>
              <w:rPr>
                <w:rFonts w:ascii="宋体" w:hAnsi="宋体" w:cs="宋体"/>
                <w:sz w:val="24"/>
              </w:rPr>
            </w:pPr>
            <w:r>
              <w:rPr>
                <w:rFonts w:hint="eastAsia" w:ascii="宋体" w:hAnsi="宋体" w:cs="宋体"/>
                <w:b/>
                <w:bCs/>
                <w:spacing w:val="-1"/>
                <w:sz w:val="24"/>
              </w:rPr>
              <w:t>外商投资</w:t>
            </w:r>
            <w:r>
              <w:rPr>
                <w:rFonts w:hint="eastAsia" w:ascii="宋体" w:hAnsi="宋体" w:cs="宋体"/>
                <w:b/>
                <w:bCs/>
                <w:spacing w:val="1"/>
                <w:sz w:val="24"/>
              </w:rPr>
              <w:t xml:space="preserve"> </w:t>
            </w:r>
            <w:r>
              <w:rPr>
                <w:rFonts w:hint="eastAsia" w:ascii="宋体" w:hAnsi="宋体" w:cs="宋体"/>
                <w:b/>
                <w:bCs/>
                <w:spacing w:val="-2"/>
                <w:sz w:val="24"/>
              </w:rPr>
              <w:t>类型</w:t>
            </w:r>
          </w:p>
        </w:tc>
        <w:tc>
          <w:tcPr>
            <w:tcW w:w="1254" w:type="dxa"/>
          </w:tcPr>
          <w:p>
            <w:pPr>
              <w:pStyle w:val="258"/>
              <w:spacing w:line="286" w:lineRule="auto"/>
              <w:jc w:val="center"/>
              <w:rPr>
                <w:rFonts w:ascii="宋体" w:hAnsi="宋体" w:eastAsia="宋体" w:cs="宋体"/>
                <w:color w:val="auto"/>
                <w:sz w:val="22"/>
              </w:rPr>
            </w:pPr>
          </w:p>
          <w:p>
            <w:pPr>
              <w:autoSpaceDE w:val="0"/>
              <w:autoSpaceDN w:val="0"/>
              <w:spacing w:before="103" w:line="201" w:lineRule="auto"/>
              <w:jc w:val="center"/>
              <w:rPr>
                <w:rFonts w:ascii="宋体" w:hAnsi="宋体" w:cs="宋体"/>
                <w:sz w:val="24"/>
              </w:rPr>
            </w:pPr>
            <w:r>
              <w:rPr>
                <w:rFonts w:hint="eastAsia" w:ascii="宋体" w:hAnsi="宋体" w:cs="宋体"/>
                <w:b/>
                <w:bCs/>
                <w:spacing w:val="-12"/>
                <w:sz w:val="24"/>
              </w:rPr>
              <w:t>品牌</w:t>
            </w:r>
          </w:p>
        </w:tc>
        <w:tc>
          <w:tcPr>
            <w:tcW w:w="1253" w:type="dxa"/>
            <w:vAlign w:val="center"/>
          </w:tcPr>
          <w:p>
            <w:pPr>
              <w:autoSpaceDE w:val="0"/>
              <w:autoSpaceDN w:val="0"/>
              <w:spacing w:before="219" w:line="202" w:lineRule="auto"/>
              <w:ind w:left="113" w:right="177"/>
              <w:jc w:val="center"/>
              <w:rPr>
                <w:rFonts w:ascii="宋体" w:hAnsi="宋体" w:cs="宋体"/>
                <w:sz w:val="24"/>
              </w:rPr>
            </w:pPr>
            <w:r>
              <w:rPr>
                <w:rFonts w:hint="eastAsia" w:ascii="宋体" w:hAnsi="宋体" w:cs="宋体"/>
                <w:b/>
                <w:bCs/>
                <w:spacing w:val="-1"/>
                <w:sz w:val="24"/>
              </w:rPr>
              <w:t>规格、型</w:t>
            </w:r>
            <w:r>
              <w:rPr>
                <w:rFonts w:hint="eastAsia" w:ascii="宋体" w:hAnsi="宋体" w:cs="宋体"/>
                <w:b/>
                <w:bCs/>
                <w:sz w:val="24"/>
              </w:rPr>
              <w:t xml:space="preserve"> 号</w:t>
            </w:r>
          </w:p>
        </w:tc>
        <w:tc>
          <w:tcPr>
            <w:tcW w:w="1024" w:type="dxa"/>
            <w:vAlign w:val="center"/>
          </w:tcPr>
          <w:p>
            <w:pPr>
              <w:autoSpaceDE w:val="0"/>
              <w:autoSpaceDN w:val="0"/>
              <w:spacing w:before="217" w:line="199" w:lineRule="auto"/>
              <w:ind w:left="102" w:right="183" w:firstLine="9"/>
              <w:jc w:val="center"/>
              <w:rPr>
                <w:rFonts w:ascii="宋体" w:hAnsi="宋体" w:cs="宋体"/>
                <w:sz w:val="24"/>
              </w:rPr>
            </w:pPr>
            <w:r>
              <w:rPr>
                <w:rFonts w:hint="eastAsia" w:ascii="宋体" w:hAnsi="宋体" w:cs="宋体"/>
                <w:b/>
                <w:bCs/>
                <w:spacing w:val="-2"/>
                <w:sz w:val="24"/>
              </w:rPr>
              <w:t>单价</w:t>
            </w:r>
            <w:r>
              <w:rPr>
                <w:rFonts w:hint="eastAsia" w:ascii="宋体" w:hAnsi="宋体" w:cs="宋体"/>
                <w:b/>
                <w:bCs/>
                <w:sz w:val="24"/>
              </w:rPr>
              <w:t xml:space="preserve">    </w:t>
            </w:r>
            <w:r>
              <w:rPr>
                <w:rFonts w:hint="eastAsia" w:ascii="宋体" w:hAnsi="宋体" w:cs="宋体"/>
                <w:b/>
                <w:bCs/>
                <w:spacing w:val="4"/>
                <w:sz w:val="24"/>
              </w:rPr>
              <w:t>（元）</w:t>
            </w:r>
          </w:p>
        </w:tc>
        <w:tc>
          <w:tcPr>
            <w:tcW w:w="831" w:type="dxa"/>
          </w:tcPr>
          <w:p>
            <w:pPr>
              <w:pStyle w:val="258"/>
              <w:spacing w:line="286" w:lineRule="auto"/>
              <w:jc w:val="center"/>
              <w:rPr>
                <w:rFonts w:ascii="宋体" w:hAnsi="宋体" w:eastAsia="宋体" w:cs="宋体"/>
                <w:color w:val="auto"/>
                <w:sz w:val="22"/>
              </w:rPr>
            </w:pPr>
          </w:p>
          <w:p>
            <w:pPr>
              <w:autoSpaceDE w:val="0"/>
              <w:autoSpaceDN w:val="0"/>
              <w:spacing w:before="103" w:line="201" w:lineRule="auto"/>
              <w:jc w:val="center"/>
              <w:rPr>
                <w:rFonts w:ascii="宋体" w:hAnsi="宋体" w:cs="宋体"/>
                <w:sz w:val="24"/>
              </w:rPr>
            </w:pPr>
            <w:r>
              <w:rPr>
                <w:rFonts w:hint="eastAsia" w:ascii="宋体" w:hAnsi="宋体" w:cs="宋体"/>
                <w:b/>
                <w:bCs/>
                <w:spacing w:val="-3"/>
                <w:sz w:val="24"/>
              </w:rPr>
              <w:t>数量</w:t>
            </w:r>
          </w:p>
        </w:tc>
        <w:tc>
          <w:tcPr>
            <w:tcW w:w="1026" w:type="dxa"/>
            <w:vAlign w:val="center"/>
          </w:tcPr>
          <w:p>
            <w:pPr>
              <w:autoSpaceDE w:val="0"/>
              <w:autoSpaceDN w:val="0"/>
              <w:spacing w:before="217" w:line="199" w:lineRule="auto"/>
              <w:ind w:left="102" w:right="185" w:firstLine="9"/>
              <w:jc w:val="center"/>
              <w:rPr>
                <w:rFonts w:ascii="宋体" w:hAnsi="宋体" w:cs="宋体"/>
                <w:sz w:val="24"/>
              </w:rPr>
            </w:pPr>
            <w:r>
              <w:rPr>
                <w:rFonts w:hint="eastAsia" w:ascii="宋体" w:hAnsi="宋体" w:cs="宋体"/>
                <w:b/>
                <w:bCs/>
                <w:spacing w:val="-2"/>
                <w:sz w:val="24"/>
              </w:rPr>
              <w:t>合价</w:t>
            </w:r>
            <w:r>
              <w:rPr>
                <w:rFonts w:hint="eastAsia" w:ascii="宋体" w:hAnsi="宋体" w:cs="宋体"/>
                <w:b/>
                <w:bCs/>
                <w:sz w:val="24"/>
              </w:rPr>
              <w:t xml:space="preserve">    </w:t>
            </w:r>
            <w:r>
              <w:rPr>
                <w:rFonts w:hint="eastAsia" w:ascii="宋体" w:hAnsi="宋体" w:cs="宋体"/>
                <w:b/>
                <w:bCs/>
                <w:spacing w:val="4"/>
                <w:sz w:val="24"/>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tcPr>
          <w:p>
            <w:pPr>
              <w:pStyle w:val="258"/>
              <w:spacing w:before="44" w:line="199" w:lineRule="auto"/>
              <w:ind w:left="134"/>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1052" w:type="dxa"/>
          </w:tcPr>
          <w:p>
            <w:pPr>
              <w:pStyle w:val="258"/>
              <w:jc w:val="center"/>
              <w:rPr>
                <w:rFonts w:ascii="宋体" w:hAnsi="宋体" w:eastAsia="宋体" w:cs="宋体"/>
                <w:color w:val="auto"/>
                <w:sz w:val="22"/>
              </w:rPr>
            </w:pPr>
          </w:p>
        </w:tc>
        <w:tc>
          <w:tcPr>
            <w:tcW w:w="1324" w:type="dxa"/>
          </w:tcPr>
          <w:p>
            <w:pPr>
              <w:pStyle w:val="258"/>
              <w:jc w:val="center"/>
              <w:rPr>
                <w:rFonts w:ascii="宋体" w:hAnsi="宋体" w:eastAsia="宋体" w:cs="宋体"/>
                <w:color w:val="auto"/>
                <w:sz w:val="22"/>
              </w:rPr>
            </w:pPr>
          </w:p>
        </w:tc>
        <w:tc>
          <w:tcPr>
            <w:tcW w:w="94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024" w:type="dxa"/>
          </w:tcPr>
          <w:p>
            <w:pPr>
              <w:pStyle w:val="258"/>
              <w:jc w:val="center"/>
              <w:rPr>
                <w:rFonts w:ascii="宋体" w:hAnsi="宋体" w:eastAsia="宋体" w:cs="宋体"/>
                <w:color w:val="auto"/>
                <w:sz w:val="22"/>
              </w:rPr>
            </w:pPr>
          </w:p>
        </w:tc>
        <w:tc>
          <w:tcPr>
            <w:tcW w:w="831" w:type="dxa"/>
          </w:tcPr>
          <w:p>
            <w:pPr>
              <w:pStyle w:val="258"/>
              <w:jc w:val="center"/>
              <w:rPr>
                <w:rFonts w:ascii="宋体" w:hAnsi="宋体" w:eastAsia="宋体" w:cs="宋体"/>
                <w:color w:val="auto"/>
                <w:sz w:val="22"/>
              </w:rPr>
            </w:pPr>
          </w:p>
        </w:tc>
        <w:tc>
          <w:tcPr>
            <w:tcW w:w="1026" w:type="dxa"/>
          </w:tcPr>
          <w:p>
            <w:pPr>
              <w:pStyle w:val="258"/>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tcPr>
          <w:p>
            <w:pPr>
              <w:pStyle w:val="258"/>
              <w:spacing w:before="42" w:line="201" w:lineRule="auto"/>
              <w:ind w:left="125"/>
              <w:jc w:val="center"/>
              <w:rPr>
                <w:rFonts w:ascii="宋体" w:hAnsi="宋体" w:eastAsia="宋体" w:cs="宋体"/>
                <w:color w:val="auto"/>
                <w:sz w:val="24"/>
                <w:szCs w:val="24"/>
              </w:rPr>
            </w:pPr>
            <w:r>
              <w:rPr>
                <w:rFonts w:hint="eastAsia" w:ascii="宋体" w:hAnsi="宋体" w:eastAsia="宋体" w:cs="宋体"/>
                <w:color w:val="auto"/>
                <w:spacing w:val="1"/>
                <w:sz w:val="24"/>
                <w:szCs w:val="24"/>
              </w:rPr>
              <w:t>2</w:t>
            </w:r>
          </w:p>
        </w:tc>
        <w:tc>
          <w:tcPr>
            <w:tcW w:w="1052" w:type="dxa"/>
          </w:tcPr>
          <w:p>
            <w:pPr>
              <w:pStyle w:val="258"/>
              <w:jc w:val="center"/>
              <w:rPr>
                <w:rFonts w:ascii="宋体" w:hAnsi="宋体" w:eastAsia="宋体" w:cs="宋体"/>
                <w:color w:val="auto"/>
                <w:sz w:val="22"/>
              </w:rPr>
            </w:pPr>
          </w:p>
        </w:tc>
        <w:tc>
          <w:tcPr>
            <w:tcW w:w="1324" w:type="dxa"/>
          </w:tcPr>
          <w:p>
            <w:pPr>
              <w:pStyle w:val="258"/>
              <w:jc w:val="center"/>
              <w:rPr>
                <w:rFonts w:ascii="宋体" w:hAnsi="宋体" w:eastAsia="宋体" w:cs="宋体"/>
                <w:color w:val="auto"/>
                <w:sz w:val="22"/>
              </w:rPr>
            </w:pPr>
          </w:p>
        </w:tc>
        <w:tc>
          <w:tcPr>
            <w:tcW w:w="94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024" w:type="dxa"/>
          </w:tcPr>
          <w:p>
            <w:pPr>
              <w:pStyle w:val="258"/>
              <w:jc w:val="center"/>
              <w:rPr>
                <w:rFonts w:ascii="宋体" w:hAnsi="宋体" w:eastAsia="宋体" w:cs="宋体"/>
                <w:color w:val="auto"/>
                <w:sz w:val="22"/>
              </w:rPr>
            </w:pPr>
          </w:p>
        </w:tc>
        <w:tc>
          <w:tcPr>
            <w:tcW w:w="831" w:type="dxa"/>
          </w:tcPr>
          <w:p>
            <w:pPr>
              <w:pStyle w:val="258"/>
              <w:jc w:val="center"/>
              <w:rPr>
                <w:rFonts w:ascii="宋体" w:hAnsi="宋体" w:eastAsia="宋体" w:cs="宋体"/>
                <w:color w:val="auto"/>
                <w:sz w:val="22"/>
              </w:rPr>
            </w:pPr>
          </w:p>
        </w:tc>
        <w:tc>
          <w:tcPr>
            <w:tcW w:w="1026" w:type="dxa"/>
          </w:tcPr>
          <w:p>
            <w:pPr>
              <w:pStyle w:val="258"/>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tcPr>
          <w:p>
            <w:pPr>
              <w:pStyle w:val="258"/>
              <w:spacing w:before="42" w:line="201" w:lineRule="auto"/>
              <w:ind w:left="126"/>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1052" w:type="dxa"/>
          </w:tcPr>
          <w:p>
            <w:pPr>
              <w:pStyle w:val="258"/>
              <w:jc w:val="center"/>
              <w:rPr>
                <w:rFonts w:ascii="宋体" w:hAnsi="宋体" w:eastAsia="宋体" w:cs="宋体"/>
                <w:color w:val="auto"/>
                <w:sz w:val="22"/>
              </w:rPr>
            </w:pPr>
          </w:p>
        </w:tc>
        <w:tc>
          <w:tcPr>
            <w:tcW w:w="1324" w:type="dxa"/>
          </w:tcPr>
          <w:p>
            <w:pPr>
              <w:pStyle w:val="258"/>
              <w:jc w:val="center"/>
              <w:rPr>
                <w:rFonts w:ascii="宋体" w:hAnsi="宋体" w:eastAsia="宋体" w:cs="宋体"/>
                <w:color w:val="auto"/>
                <w:sz w:val="22"/>
              </w:rPr>
            </w:pPr>
          </w:p>
        </w:tc>
        <w:tc>
          <w:tcPr>
            <w:tcW w:w="94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024" w:type="dxa"/>
          </w:tcPr>
          <w:p>
            <w:pPr>
              <w:pStyle w:val="258"/>
              <w:jc w:val="center"/>
              <w:rPr>
                <w:rFonts w:ascii="宋体" w:hAnsi="宋体" w:eastAsia="宋体" w:cs="宋体"/>
                <w:color w:val="auto"/>
                <w:sz w:val="22"/>
              </w:rPr>
            </w:pPr>
          </w:p>
        </w:tc>
        <w:tc>
          <w:tcPr>
            <w:tcW w:w="831" w:type="dxa"/>
          </w:tcPr>
          <w:p>
            <w:pPr>
              <w:pStyle w:val="258"/>
              <w:jc w:val="center"/>
              <w:rPr>
                <w:rFonts w:ascii="宋体" w:hAnsi="宋体" w:eastAsia="宋体" w:cs="宋体"/>
                <w:color w:val="auto"/>
                <w:sz w:val="22"/>
              </w:rPr>
            </w:pPr>
          </w:p>
        </w:tc>
        <w:tc>
          <w:tcPr>
            <w:tcW w:w="1026" w:type="dxa"/>
          </w:tcPr>
          <w:p>
            <w:pPr>
              <w:pStyle w:val="258"/>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03" w:type="dxa"/>
          </w:tcPr>
          <w:p>
            <w:pPr>
              <w:pStyle w:val="258"/>
              <w:spacing w:before="46" w:line="197" w:lineRule="auto"/>
              <w:ind w:left="119"/>
              <w:jc w:val="center"/>
              <w:rPr>
                <w:rFonts w:ascii="宋体" w:hAnsi="宋体" w:eastAsia="宋体" w:cs="宋体"/>
                <w:color w:val="auto"/>
                <w:sz w:val="24"/>
                <w:szCs w:val="24"/>
              </w:rPr>
            </w:pPr>
            <w:r>
              <w:rPr>
                <w:rFonts w:hint="eastAsia" w:ascii="宋体" w:hAnsi="宋体" w:eastAsia="宋体" w:cs="宋体"/>
                <w:color w:val="auto"/>
                <w:spacing w:val="7"/>
                <w:sz w:val="24"/>
                <w:szCs w:val="24"/>
              </w:rPr>
              <w:t>4</w:t>
            </w:r>
          </w:p>
        </w:tc>
        <w:tc>
          <w:tcPr>
            <w:tcW w:w="1052" w:type="dxa"/>
          </w:tcPr>
          <w:p>
            <w:pPr>
              <w:pStyle w:val="258"/>
              <w:jc w:val="center"/>
              <w:rPr>
                <w:rFonts w:ascii="宋体" w:hAnsi="宋体" w:eastAsia="宋体" w:cs="宋体"/>
                <w:color w:val="auto"/>
                <w:sz w:val="22"/>
              </w:rPr>
            </w:pPr>
          </w:p>
        </w:tc>
        <w:tc>
          <w:tcPr>
            <w:tcW w:w="1324" w:type="dxa"/>
          </w:tcPr>
          <w:p>
            <w:pPr>
              <w:pStyle w:val="258"/>
              <w:jc w:val="center"/>
              <w:rPr>
                <w:rFonts w:ascii="宋体" w:hAnsi="宋体" w:eastAsia="宋体" w:cs="宋体"/>
                <w:color w:val="auto"/>
                <w:sz w:val="22"/>
              </w:rPr>
            </w:pPr>
          </w:p>
        </w:tc>
        <w:tc>
          <w:tcPr>
            <w:tcW w:w="94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024" w:type="dxa"/>
          </w:tcPr>
          <w:p>
            <w:pPr>
              <w:pStyle w:val="258"/>
              <w:jc w:val="center"/>
              <w:rPr>
                <w:rFonts w:ascii="宋体" w:hAnsi="宋体" w:eastAsia="宋体" w:cs="宋体"/>
                <w:color w:val="auto"/>
                <w:sz w:val="22"/>
              </w:rPr>
            </w:pPr>
          </w:p>
        </w:tc>
        <w:tc>
          <w:tcPr>
            <w:tcW w:w="831" w:type="dxa"/>
          </w:tcPr>
          <w:p>
            <w:pPr>
              <w:pStyle w:val="258"/>
              <w:jc w:val="center"/>
              <w:rPr>
                <w:rFonts w:ascii="宋体" w:hAnsi="宋体" w:eastAsia="宋体" w:cs="宋体"/>
                <w:color w:val="auto"/>
                <w:sz w:val="22"/>
              </w:rPr>
            </w:pPr>
          </w:p>
        </w:tc>
        <w:tc>
          <w:tcPr>
            <w:tcW w:w="1026" w:type="dxa"/>
          </w:tcPr>
          <w:p>
            <w:pPr>
              <w:pStyle w:val="258"/>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tcPr>
          <w:p>
            <w:pPr>
              <w:pStyle w:val="258"/>
              <w:spacing w:before="196" w:line="77" w:lineRule="exact"/>
              <w:ind w:left="135"/>
              <w:jc w:val="center"/>
              <w:rPr>
                <w:rFonts w:ascii="宋体" w:hAnsi="宋体" w:eastAsia="宋体" w:cs="宋体"/>
                <w:color w:val="auto"/>
                <w:sz w:val="24"/>
                <w:szCs w:val="24"/>
              </w:rPr>
            </w:pPr>
            <w:r>
              <w:rPr>
                <w:rFonts w:hint="eastAsia" w:ascii="宋体" w:hAnsi="宋体" w:eastAsia="宋体" w:cs="宋体"/>
                <w:color w:val="auto"/>
                <w:position w:val="1"/>
                <w:sz w:val="24"/>
                <w:szCs w:val="24"/>
              </w:rPr>
              <w:t>…</w:t>
            </w:r>
          </w:p>
        </w:tc>
        <w:tc>
          <w:tcPr>
            <w:tcW w:w="1052" w:type="dxa"/>
          </w:tcPr>
          <w:p>
            <w:pPr>
              <w:pStyle w:val="258"/>
              <w:jc w:val="center"/>
              <w:rPr>
                <w:rFonts w:ascii="宋体" w:hAnsi="宋体" w:eastAsia="宋体" w:cs="宋体"/>
                <w:color w:val="auto"/>
                <w:sz w:val="22"/>
              </w:rPr>
            </w:pPr>
          </w:p>
        </w:tc>
        <w:tc>
          <w:tcPr>
            <w:tcW w:w="1324" w:type="dxa"/>
          </w:tcPr>
          <w:p>
            <w:pPr>
              <w:pStyle w:val="258"/>
              <w:jc w:val="center"/>
              <w:rPr>
                <w:rFonts w:ascii="宋体" w:hAnsi="宋体" w:eastAsia="宋体" w:cs="宋体"/>
                <w:color w:val="auto"/>
                <w:sz w:val="22"/>
              </w:rPr>
            </w:pPr>
          </w:p>
        </w:tc>
        <w:tc>
          <w:tcPr>
            <w:tcW w:w="94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024" w:type="dxa"/>
          </w:tcPr>
          <w:p>
            <w:pPr>
              <w:pStyle w:val="258"/>
              <w:jc w:val="center"/>
              <w:rPr>
                <w:rFonts w:ascii="宋体" w:hAnsi="宋体" w:eastAsia="宋体" w:cs="宋体"/>
                <w:color w:val="auto"/>
                <w:sz w:val="22"/>
              </w:rPr>
            </w:pPr>
          </w:p>
        </w:tc>
        <w:tc>
          <w:tcPr>
            <w:tcW w:w="831" w:type="dxa"/>
          </w:tcPr>
          <w:p>
            <w:pPr>
              <w:pStyle w:val="258"/>
              <w:jc w:val="center"/>
              <w:rPr>
                <w:rFonts w:ascii="宋体" w:hAnsi="宋体" w:eastAsia="宋体" w:cs="宋体"/>
                <w:color w:val="auto"/>
                <w:sz w:val="22"/>
              </w:rPr>
            </w:pPr>
          </w:p>
        </w:tc>
        <w:tc>
          <w:tcPr>
            <w:tcW w:w="1026" w:type="dxa"/>
          </w:tcPr>
          <w:p>
            <w:pPr>
              <w:pStyle w:val="258"/>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3198" w:type="dxa"/>
            <w:gridSpan w:val="12"/>
          </w:tcPr>
          <w:p>
            <w:pPr>
              <w:autoSpaceDE w:val="0"/>
              <w:autoSpaceDN w:val="0"/>
              <w:spacing w:before="44" w:line="176" w:lineRule="auto"/>
              <w:ind w:left="11903"/>
              <w:rPr>
                <w:rFonts w:ascii="宋体" w:hAnsi="宋体" w:cs="宋体"/>
                <w:sz w:val="24"/>
              </w:rPr>
            </w:pPr>
            <w:r>
              <w:rPr>
                <w:rFonts w:hint="eastAsia" w:ascii="宋体" w:hAnsi="宋体" w:cs="宋体"/>
                <w:b/>
                <w:bCs/>
                <w:spacing w:val="-1"/>
                <w:sz w:val="24"/>
              </w:rPr>
              <w:t>总价（元）</w:t>
            </w:r>
          </w:p>
        </w:tc>
        <w:tc>
          <w:tcPr>
            <w:tcW w:w="1026" w:type="dxa"/>
          </w:tcPr>
          <w:p>
            <w:pPr>
              <w:pStyle w:val="258"/>
              <w:rPr>
                <w:rFonts w:ascii="宋体" w:hAnsi="宋体" w:eastAsia="宋体" w:cs="宋体"/>
                <w:color w:val="auto"/>
                <w:sz w:val="22"/>
              </w:rPr>
            </w:pPr>
          </w:p>
        </w:tc>
      </w:tr>
    </w:tbl>
    <w:p>
      <w:pPr>
        <w:pStyle w:val="20"/>
        <w:spacing w:before="42" w:line="240" w:lineRule="auto"/>
        <w:ind w:left="99" w:firstLine="470"/>
        <w:rPr>
          <w:rFonts w:cs="宋体"/>
        </w:rPr>
      </w:pPr>
      <w:r>
        <w:rPr>
          <w:rFonts w:hint="eastAsia" w:cs="宋体"/>
          <w:b/>
          <w:bCs/>
          <w:i/>
          <w:iCs/>
          <w:spacing w:val="-3"/>
        </w:rPr>
        <w:t>说明：制造商规模请填写“大型”、“中型”、“小型”、“微型”或“其他”，中小企业的定义见第二章《投标人须知》。</w:t>
      </w:r>
    </w:p>
    <w:p>
      <w:pPr>
        <w:pStyle w:val="20"/>
        <w:spacing w:before="2" w:line="240" w:lineRule="auto"/>
        <w:ind w:left="124" w:right="112" w:firstLine="486"/>
        <w:rPr>
          <w:rFonts w:cs="宋体"/>
          <w:b/>
          <w:bCs/>
          <w:i/>
          <w:iCs/>
          <w:spacing w:val="-2"/>
        </w:rPr>
      </w:pPr>
      <w:r>
        <w:rPr>
          <w:rFonts w:hint="eastAsia" w:cs="宋体"/>
          <w:b/>
          <w:bCs/>
          <w:i/>
          <w:iCs/>
          <w:spacing w:val="1"/>
        </w:rPr>
        <w:t>制造商所属性别请填写“男”或“女”，</w:t>
      </w:r>
      <w:r>
        <w:rPr>
          <w:rFonts w:hint="eastAsia" w:cs="宋体"/>
          <w:b/>
          <w:bCs/>
          <w:spacing w:val="1"/>
        </w:rPr>
        <w:t xml:space="preserve"> </w:t>
      </w:r>
      <w:r>
        <w:rPr>
          <w:rFonts w:hint="eastAsia" w:cs="宋体"/>
          <w:spacing w:val="1"/>
        </w:rPr>
        <w:t>指拥有制造商51</w:t>
      </w:r>
      <w:r>
        <w:rPr>
          <w:rFonts w:hint="eastAsia" w:cs="宋体"/>
        </w:rPr>
        <w:t>%以上绝对所有权的性别；绝对所有权拥有者可以是一个人，也可以是</w:t>
      </w:r>
      <w:r>
        <w:rPr>
          <w:rFonts w:hint="eastAsia" w:cs="宋体"/>
          <w:spacing w:val="-2"/>
        </w:rPr>
        <w:t>多人合计计算</w:t>
      </w:r>
      <w:r>
        <w:rPr>
          <w:rFonts w:hint="eastAsia" w:cs="宋体"/>
          <w:b/>
          <w:bCs/>
          <w:i/>
          <w:iCs/>
          <w:spacing w:val="-2"/>
        </w:rPr>
        <w:t>。</w:t>
      </w:r>
    </w:p>
    <w:p>
      <w:pPr>
        <w:pStyle w:val="20"/>
        <w:spacing w:before="2" w:line="240" w:lineRule="auto"/>
        <w:ind w:left="124" w:right="112" w:firstLine="482"/>
        <w:rPr>
          <w:rFonts w:cs="宋体"/>
        </w:rPr>
      </w:pPr>
      <w:r>
        <w:rPr>
          <w:rFonts w:hint="eastAsia" w:cs="宋体"/>
          <w:b/>
          <w:bCs/>
          <w:i/>
          <w:iCs/>
        </w:rPr>
        <w:t>外商投资类型请填写“外商单独投资”、</w:t>
      </w:r>
      <w:r>
        <w:rPr>
          <w:rFonts w:hint="eastAsia" w:cs="宋体"/>
          <w:b/>
          <w:bCs/>
          <w:spacing w:val="-37"/>
        </w:rPr>
        <w:t xml:space="preserve"> </w:t>
      </w:r>
      <w:r>
        <w:rPr>
          <w:rFonts w:hint="eastAsia" w:cs="宋体"/>
          <w:b/>
          <w:bCs/>
          <w:i/>
          <w:iCs/>
        </w:rPr>
        <w:t>“外商部分投资”或“内资”。</w:t>
      </w:r>
    </w:p>
    <w:p>
      <w:pPr>
        <w:rPr>
          <w:rFonts w:ascii="宋体" w:hAnsi="宋体"/>
          <w:sz w:val="24"/>
        </w:rPr>
      </w:pPr>
      <w:r>
        <w:rPr>
          <w:rFonts w:ascii="宋体" w:hAnsi="宋体"/>
          <w:sz w:val="24"/>
        </w:rPr>
        <w:t>注：1.本表应按包分别填写。</w:t>
      </w:r>
    </w:p>
    <w:p>
      <w:pPr>
        <w:ind w:firstLine="480" w:firstLineChars="200"/>
        <w:rPr>
          <w:rFonts w:ascii="宋体" w:hAnsi="宋体"/>
          <w:sz w:val="24"/>
        </w:rPr>
      </w:pPr>
      <w:r>
        <w:rPr>
          <w:rFonts w:ascii="宋体" w:hAnsi="宋体"/>
          <w:sz w:val="24"/>
        </w:rPr>
        <w:t xml:space="preserve">2.如果不提供分项报价将视为没有实质性响应招标文件。 </w:t>
      </w:r>
    </w:p>
    <w:p>
      <w:pPr>
        <w:ind w:firstLine="480" w:firstLineChars="200"/>
        <w:rPr>
          <w:rFonts w:ascii="宋体" w:hAnsi="宋体"/>
          <w:sz w:val="24"/>
        </w:rPr>
      </w:pPr>
      <w:r>
        <w:rPr>
          <w:rFonts w:ascii="宋体" w:hAnsi="宋体"/>
          <w:sz w:val="24"/>
        </w:rPr>
        <w:t>3.上述各项的详细规格（如有），可另页描述。</w:t>
      </w:r>
    </w:p>
    <w:p>
      <w:pPr>
        <w:ind w:firstLine="480" w:firstLineChars="200"/>
        <w:rPr>
          <w:rFonts w:ascii="宋体" w:hAnsi="宋体"/>
          <w:sz w:val="24"/>
        </w:rPr>
      </w:pPr>
      <w:r>
        <w:rPr>
          <w:rFonts w:ascii="宋体" w:hAnsi="宋体"/>
          <w:sz w:val="24"/>
        </w:rPr>
        <w:t>4.制造商规模列应填写“大型”、“中型”、“小型”、“微型”或“其他”，且不应与《中小企业声明函》或《拟分包情况说明》中内容矛盾。制造商所属性别请填写“男”或“女”，指拥有制造商51%以上绝对所有权的性别；绝对所有权拥有者可以是一个人，也可以是多人合计计算。外商投资类型请填写“外商单独投资”、“外商部分投资”或“内资”。</w:t>
      </w:r>
    </w:p>
    <w:p>
      <w:pPr>
        <w:pStyle w:val="20"/>
        <w:spacing w:before="103" w:line="196" w:lineRule="auto"/>
        <w:ind w:firstLine="476"/>
        <w:rPr>
          <w:spacing w:val="-1"/>
        </w:rPr>
      </w:pPr>
    </w:p>
    <w:p>
      <w:pPr>
        <w:pStyle w:val="20"/>
        <w:spacing w:before="103" w:line="196" w:lineRule="auto"/>
        <w:ind w:firstLine="476"/>
      </w:pPr>
      <w:r>
        <w:rPr>
          <w:spacing w:val="-1"/>
        </w:rPr>
        <w:t>投标人名称（加盖公章</w:t>
      </w:r>
      <w:r>
        <w:rPr>
          <w:spacing w:val="-60"/>
        </w:rPr>
        <w:t>）：</w:t>
      </w:r>
      <w:r>
        <w:rPr>
          <w:u w:val="single"/>
        </w:rPr>
        <w:t xml:space="preserve">                     </w:t>
      </w:r>
    </w:p>
    <w:p>
      <w:pPr>
        <w:widowControl/>
        <w:jc w:val="left"/>
        <w:rPr>
          <w:rFonts w:ascii="宋体" w:hAnsi="宋体"/>
          <w:spacing w:val="-13"/>
          <w:sz w:val="24"/>
        </w:rPr>
        <w:sectPr>
          <w:pgSz w:w="16840" w:h="11907" w:orient="landscape"/>
          <w:pgMar w:top="1800" w:right="1440" w:bottom="1800" w:left="1440" w:header="851" w:footer="851" w:gutter="0"/>
          <w:cols w:space="720" w:num="1"/>
          <w:docGrid w:linePitch="462" w:charSpace="0"/>
        </w:sectPr>
      </w:pPr>
      <w:r>
        <w:rPr>
          <w:rFonts w:ascii="宋体" w:hAnsi="宋体"/>
          <w:spacing w:val="-13"/>
          <w:sz w:val="24"/>
        </w:rPr>
        <w:t>日期：</w:t>
      </w:r>
      <w:r>
        <w:rPr>
          <w:rFonts w:ascii="宋体" w:hAnsi="宋体"/>
          <w:spacing w:val="4"/>
          <w:sz w:val="24"/>
          <w:u w:val="single"/>
        </w:rPr>
        <w:t xml:space="preserve">        </w:t>
      </w:r>
      <w:r>
        <w:rPr>
          <w:rFonts w:ascii="宋体" w:hAnsi="宋体"/>
          <w:spacing w:val="-59"/>
          <w:sz w:val="24"/>
        </w:rPr>
        <w:t xml:space="preserve"> </w:t>
      </w:r>
      <w:r>
        <w:rPr>
          <w:rFonts w:ascii="宋体" w:hAnsi="宋体"/>
          <w:spacing w:val="-13"/>
          <w:sz w:val="24"/>
        </w:rPr>
        <w:t>年</w:t>
      </w:r>
      <w:r>
        <w:rPr>
          <w:rFonts w:ascii="宋体" w:hAnsi="宋体"/>
          <w:spacing w:val="1"/>
          <w:sz w:val="24"/>
          <w:u w:val="single"/>
        </w:rPr>
        <w:t xml:space="preserve">          </w:t>
      </w:r>
      <w:r>
        <w:rPr>
          <w:rFonts w:ascii="宋体" w:hAnsi="宋体"/>
          <w:spacing w:val="-63"/>
          <w:sz w:val="24"/>
        </w:rPr>
        <w:t xml:space="preserve"> </w:t>
      </w:r>
      <w:r>
        <w:rPr>
          <w:rFonts w:ascii="宋体" w:hAnsi="宋体"/>
          <w:spacing w:val="-13"/>
          <w:sz w:val="24"/>
        </w:rPr>
        <w:t>月</w:t>
      </w:r>
      <w:r>
        <w:rPr>
          <w:rFonts w:ascii="宋体" w:hAnsi="宋体"/>
          <w:spacing w:val="1"/>
          <w:sz w:val="24"/>
          <w:u w:val="single"/>
        </w:rPr>
        <w:t xml:space="preserve">          </w:t>
      </w:r>
      <w:r>
        <w:rPr>
          <w:rFonts w:ascii="宋体" w:hAnsi="宋体"/>
          <w:spacing w:val="-15"/>
          <w:sz w:val="24"/>
        </w:rPr>
        <w:t xml:space="preserve"> </w:t>
      </w:r>
      <w:r>
        <w:rPr>
          <w:rFonts w:ascii="宋体" w:hAnsi="宋体"/>
          <w:spacing w:val="-13"/>
          <w:sz w:val="24"/>
        </w:rPr>
        <w:t>日</w:t>
      </w:r>
    </w:p>
    <w:bookmarkEnd w:id="930"/>
    <w:bookmarkEnd w:id="931"/>
    <w:bookmarkEnd w:id="932"/>
    <w:bookmarkEnd w:id="933"/>
    <w:bookmarkEnd w:id="934"/>
    <w:bookmarkEnd w:id="935"/>
    <w:bookmarkEnd w:id="936"/>
    <w:bookmarkEnd w:id="937"/>
    <w:bookmarkEnd w:id="938"/>
    <w:bookmarkEnd w:id="939"/>
    <w:bookmarkEnd w:id="940"/>
    <w:bookmarkEnd w:id="941"/>
    <w:bookmarkEnd w:id="942"/>
    <w:p>
      <w:pPr>
        <w:pStyle w:val="6"/>
        <w:rPr>
          <w:rFonts w:hAnsi="宋体" w:cs="宋体"/>
          <w:b w:val="0"/>
          <w:color w:val="000000" w:themeColor="text1"/>
          <w:szCs w:val="24"/>
          <w:u w:val="none"/>
          <w14:textFill>
            <w14:solidFill>
              <w14:schemeClr w14:val="tx1"/>
            </w14:solidFill>
          </w14:textFill>
        </w:rPr>
      </w:pPr>
      <w:bookmarkStart w:id="944" w:name="_Toc226337258"/>
      <w:bookmarkStart w:id="945" w:name="_Toc305158830"/>
      <w:bookmarkStart w:id="946" w:name="_Toc195842927"/>
      <w:bookmarkStart w:id="947" w:name="_Toc264969252"/>
      <w:bookmarkStart w:id="948" w:name="_Toc150480798"/>
      <w:bookmarkStart w:id="949" w:name="_Toc142311062"/>
      <w:bookmarkStart w:id="950" w:name="_Toc226309806"/>
      <w:bookmarkStart w:id="951" w:name="_Toc150774765"/>
      <w:bookmarkStart w:id="952" w:name="_Toc265228400"/>
      <w:bookmarkStart w:id="953" w:name="_Toc127151562"/>
      <w:bookmarkStart w:id="954" w:name="_Toc305158904"/>
      <w:bookmarkStart w:id="955" w:name="_Toc226965835"/>
      <w:bookmarkStart w:id="956" w:name="_Toc226965752"/>
      <w:bookmarkStart w:id="957" w:name="_Toc265228399"/>
      <w:bookmarkStart w:id="958" w:name="_Toc226965751"/>
      <w:bookmarkStart w:id="959" w:name="_Toc226337257"/>
      <w:bookmarkStart w:id="960" w:name="_Toc305158903"/>
      <w:bookmarkStart w:id="961" w:name="_Toc142311061"/>
      <w:bookmarkStart w:id="962" w:name="_Toc195842926"/>
      <w:bookmarkStart w:id="963" w:name="_Toc226965834"/>
      <w:bookmarkStart w:id="964" w:name="_Toc150774764"/>
      <w:bookmarkStart w:id="965" w:name="_Toc150480797"/>
      <w:bookmarkStart w:id="966" w:name="_Toc127151561"/>
      <w:bookmarkStart w:id="967" w:name="_Toc305158829"/>
      <w:bookmarkStart w:id="968" w:name="_Toc226309805"/>
      <w:bookmarkStart w:id="969" w:name="_Toc264969251"/>
      <w:r>
        <w:rPr>
          <w:rFonts w:hint="eastAsia" w:hAnsi="宋体" w:cs="宋体"/>
          <w:b w:val="0"/>
          <w:color w:val="000000" w:themeColor="text1"/>
          <w:szCs w:val="24"/>
          <w:u w:val="none"/>
          <w14:textFill>
            <w14:solidFill>
              <w14:schemeClr w14:val="tx1"/>
            </w14:solidFill>
          </w14:textFill>
        </w:rPr>
        <w:t>5  合同条款偏离表</w:t>
      </w:r>
      <w:bookmarkEnd w:id="944"/>
      <w:bookmarkEnd w:id="945"/>
      <w:bookmarkEnd w:id="946"/>
      <w:bookmarkEnd w:id="947"/>
      <w:bookmarkEnd w:id="948"/>
      <w:bookmarkEnd w:id="949"/>
      <w:bookmarkEnd w:id="950"/>
      <w:bookmarkEnd w:id="951"/>
      <w:bookmarkEnd w:id="952"/>
      <w:bookmarkEnd w:id="953"/>
      <w:bookmarkEnd w:id="954"/>
      <w:bookmarkEnd w:id="955"/>
      <w:bookmarkEnd w:id="956"/>
      <w:r>
        <w:rPr>
          <w:rFonts w:hint="eastAsia" w:hAnsi="宋体" w:cs="宋体"/>
          <w:b w:val="0"/>
          <w:color w:val="000000" w:themeColor="text1"/>
          <w:szCs w:val="24"/>
          <w:u w:val="none"/>
          <w14:textFill>
            <w14:solidFill>
              <w14:schemeClr w14:val="tx1"/>
            </w14:solidFill>
          </w14:textFill>
        </w:rPr>
        <w:t>（实质性格式）</w:t>
      </w:r>
    </w:p>
    <w:p>
      <w:pPr>
        <w:tabs>
          <w:tab w:val="left" w:pos="2775"/>
          <w:tab w:val="center" w:pos="4153"/>
        </w:tabs>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合同条款偏离表</w:t>
      </w:r>
    </w:p>
    <w:p>
      <w:pPr>
        <w:tabs>
          <w:tab w:val="left" w:pos="1800"/>
          <w:tab w:val="left" w:pos="5580"/>
        </w:tabs>
        <w:spacing w:line="360" w:lineRule="auto"/>
        <w:ind w:firstLine="360" w:firstLineChars="150"/>
        <w:jc w:val="left"/>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项目名称：_____________</w:t>
      </w:r>
    </w:p>
    <w:tbl>
      <w:tblPr>
        <w:tblStyle w:val="51"/>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autoSpaceDE w:val="0"/>
              <w:autoSpaceDN w:val="0"/>
              <w:spacing w:before="336" w:line="201" w:lineRule="auto"/>
              <w:ind w:left="34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772" w:type="dxa"/>
          </w:tcPr>
          <w:p>
            <w:pPr>
              <w:autoSpaceDE w:val="0"/>
              <w:autoSpaceDN w:val="0"/>
              <w:spacing w:before="163" w:line="199" w:lineRule="auto"/>
              <w:ind w:left="287" w:right="165" w:hanging="12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招标文件条目</w:t>
            </w:r>
            <w:r>
              <w:rPr>
                <w:rFonts w:hint="eastAsia" w:ascii="宋体" w:hAnsi="宋体" w:cs="宋体"/>
                <w:color w:val="000000" w:themeColor="text1"/>
                <w:sz w:val="24"/>
                <w14:textFill>
                  <w14:solidFill>
                    <w14:schemeClr w14:val="tx1"/>
                  </w14:solidFill>
                </w14:textFill>
              </w:rPr>
              <w:t xml:space="preserve"> 号（页码）</w:t>
            </w:r>
          </w:p>
        </w:tc>
        <w:tc>
          <w:tcPr>
            <w:tcW w:w="1675" w:type="dxa"/>
          </w:tcPr>
          <w:p>
            <w:pPr>
              <w:autoSpaceDE w:val="0"/>
              <w:autoSpaceDN w:val="0"/>
              <w:spacing w:before="336" w:line="201" w:lineRule="auto"/>
              <w:ind w:left="11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1675" w:type="dxa"/>
          </w:tcPr>
          <w:p>
            <w:pPr>
              <w:autoSpaceDE w:val="0"/>
              <w:autoSpaceDN w:val="0"/>
              <w:spacing w:before="337" w:line="201" w:lineRule="auto"/>
              <w:ind w:left="1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投标文件内容</w:t>
            </w:r>
          </w:p>
        </w:tc>
        <w:tc>
          <w:tcPr>
            <w:tcW w:w="1874" w:type="dxa"/>
          </w:tcPr>
          <w:p>
            <w:pPr>
              <w:autoSpaceDE w:val="0"/>
              <w:autoSpaceDN w:val="0"/>
              <w:spacing w:before="337" w:line="201" w:lineRule="auto"/>
              <w:ind w:left="45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137" w:type="dxa"/>
          </w:tcPr>
          <w:p>
            <w:pPr>
              <w:autoSpaceDE w:val="0"/>
              <w:autoSpaceDN w:val="0"/>
              <w:spacing w:before="336" w:line="201" w:lineRule="auto"/>
              <w:ind w:left="32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tcPr>
          <w:p>
            <w:pPr>
              <w:autoSpaceDE w:val="0"/>
              <w:autoSpaceDN w:val="0"/>
              <w:spacing w:before="40" w:line="360" w:lineRule="auto"/>
              <w:ind w:left="11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对本项目合同条款的偏离情况</w:t>
            </w:r>
            <w:r>
              <w:rPr>
                <w:rFonts w:hint="eastAsia" w:ascii="宋体" w:hAnsi="宋体" w:cs="宋体"/>
                <w:color w:val="000000" w:themeColor="text1"/>
                <w:sz w:val="24"/>
                <w14:textFill>
                  <w14:solidFill>
                    <w14:schemeClr w14:val="tx1"/>
                  </w14:solidFill>
                </w14:textFill>
              </w:rPr>
              <w:t>（应进行选择，未选择</w:t>
            </w:r>
            <w:r>
              <w:rPr>
                <w:rFonts w:hint="eastAsia" w:ascii="宋体" w:hAnsi="宋体" w:cs="宋体"/>
                <w:b/>
                <w:bCs/>
                <w:color w:val="000000" w:themeColor="text1"/>
                <w:sz w:val="24"/>
                <w14:textFill>
                  <w14:solidFill>
                    <w14:schemeClr w14:val="tx1"/>
                  </w14:solidFill>
                </w14:textFill>
              </w:rPr>
              <w:t>投标无效</w:t>
            </w:r>
            <w:r>
              <w:rPr>
                <w:rFonts w:hint="eastAsia" w:ascii="宋体" w:hAnsi="宋体" w:cs="宋体"/>
                <w:color w:val="000000" w:themeColor="text1"/>
                <w:spacing w:val="-51"/>
                <w:sz w:val="24"/>
                <w14:textFill>
                  <w14:solidFill>
                    <w14:schemeClr w14:val="tx1"/>
                  </w14:solidFill>
                </w14:textFill>
              </w:rPr>
              <w:t>）：</w:t>
            </w:r>
          </w:p>
          <w:p>
            <w:pPr>
              <w:pStyle w:val="258"/>
              <w:spacing w:before="13" w:line="360" w:lineRule="auto"/>
              <w:ind w:left="112" w:right="106" w:firstLine="1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□无偏离</w:t>
            </w:r>
            <w:r>
              <w:rPr>
                <w:rFonts w:hint="eastAsia" w:ascii="宋体" w:hAnsi="宋体" w:eastAsia="宋体" w:cs="宋体"/>
                <w:color w:val="000000" w:themeColor="text1"/>
                <w:spacing w:val="1"/>
                <w:sz w:val="24"/>
                <w:szCs w:val="24"/>
                <w:lang w:eastAsia="zh-CN"/>
                <w14:textFill>
                  <w14:solidFill>
                    <w14:schemeClr w14:val="tx1"/>
                  </w14:solidFill>
                </w14:textFill>
              </w:rPr>
              <w:t>（如无偏离，仅选择无偏离即可；无偏离即为</w:t>
            </w:r>
            <w:r>
              <w:rPr>
                <w:rFonts w:hint="eastAsia" w:ascii="宋体" w:hAnsi="宋体" w:eastAsia="宋体" w:cs="宋体"/>
                <w:color w:val="000000" w:themeColor="text1"/>
                <w:sz w:val="24"/>
                <w:szCs w:val="24"/>
                <w:lang w:eastAsia="zh-CN"/>
                <w14:textFill>
                  <w14:solidFill>
                    <w14:schemeClr w14:val="tx1"/>
                  </w14:solidFill>
                </w14:textFill>
              </w:rPr>
              <w:t xml:space="preserve">对合同条款中的所有要求，均视 </w:t>
            </w:r>
            <w:r>
              <w:rPr>
                <w:rFonts w:hint="eastAsia" w:ascii="宋体" w:hAnsi="宋体" w:eastAsia="宋体" w:cs="宋体"/>
                <w:color w:val="000000" w:themeColor="text1"/>
                <w:spacing w:val="-5"/>
                <w:sz w:val="24"/>
                <w:szCs w:val="24"/>
                <w:lang w:eastAsia="zh-CN"/>
                <w14:textFill>
                  <w14:solidFill>
                    <w14:schemeClr w14:val="tx1"/>
                  </w14:solidFill>
                </w14:textFill>
              </w:rPr>
              <w:t>作供应商已对之理解和响应。）</w:t>
            </w:r>
          </w:p>
          <w:p>
            <w:pPr>
              <w:pStyle w:val="258"/>
              <w:spacing w:before="11" w:line="360" w:lineRule="auto"/>
              <w:ind w:left="137" w:right="106" w:hanging="7"/>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□有偏离</w:t>
            </w:r>
            <w:r>
              <w:rPr>
                <w:rFonts w:hint="eastAsia" w:ascii="宋体" w:hAnsi="宋体" w:eastAsia="宋体" w:cs="宋体"/>
                <w:color w:val="000000" w:themeColor="text1"/>
                <w:spacing w:val="1"/>
                <w:sz w:val="24"/>
                <w:szCs w:val="24"/>
                <w:lang w:eastAsia="zh-CN"/>
                <w14:textFill>
                  <w14:solidFill>
                    <w14:schemeClr w14:val="tx1"/>
                  </w14:solidFill>
                </w14:textFill>
              </w:rPr>
              <w:t>（如有偏离，则应在本表中对负偏离项逐一列</w:t>
            </w:r>
            <w:r>
              <w:rPr>
                <w:rFonts w:hint="eastAsia" w:ascii="宋体" w:hAnsi="宋体" w:eastAsia="宋体" w:cs="宋体"/>
                <w:color w:val="000000" w:themeColor="text1"/>
                <w:sz w:val="24"/>
                <w:szCs w:val="24"/>
                <w:lang w:eastAsia="zh-CN"/>
                <w14:textFill>
                  <w14:solidFill>
                    <w14:schemeClr w14:val="tx1"/>
                  </w14:solidFill>
                </w14:textFill>
              </w:rPr>
              <w:t>明，否则</w:t>
            </w:r>
            <w:r>
              <w:rPr>
                <w:rFonts w:hint="eastAsia" w:ascii="宋体" w:hAnsi="宋体" w:eastAsia="宋体" w:cs="宋体"/>
                <w:b/>
                <w:bCs/>
                <w:color w:val="000000" w:themeColor="text1"/>
                <w:sz w:val="24"/>
                <w:szCs w:val="24"/>
                <w:lang w:eastAsia="zh-CN"/>
                <w14:textFill>
                  <w14:solidFill>
                    <w14:schemeClr w14:val="tx1"/>
                  </w14:solidFill>
                </w14:textFill>
              </w:rPr>
              <w:t>投标无效</w:t>
            </w:r>
            <w:r>
              <w:rPr>
                <w:rFonts w:hint="eastAsia" w:ascii="宋体" w:hAnsi="宋体" w:eastAsia="宋体" w:cs="宋体"/>
                <w:color w:val="000000" w:themeColor="text1"/>
                <w:sz w:val="24"/>
                <w:szCs w:val="24"/>
                <w:lang w:eastAsia="zh-CN"/>
                <w14:textFill>
                  <w14:solidFill>
                    <w14:schemeClr w14:val="tx1"/>
                  </w14:solidFill>
                </w14:textFill>
              </w:rPr>
              <w:t xml:space="preserve">；对合同条款 </w:t>
            </w:r>
            <w:r>
              <w:rPr>
                <w:rFonts w:hint="eastAsia" w:ascii="宋体" w:hAnsi="宋体" w:eastAsia="宋体" w:cs="宋体"/>
                <w:color w:val="000000" w:themeColor="text1"/>
                <w:spacing w:val="-5"/>
                <w:sz w:val="24"/>
                <w:szCs w:val="24"/>
                <w:lang w:eastAsia="zh-CN"/>
                <w14:textFill>
                  <w14:solidFill>
                    <w14:schemeClr w14:val="tx1"/>
                  </w14:solidFill>
                </w14:textFill>
              </w:rPr>
              <w:t>中的所有要求，除本表列明的偏离外，均视作供应商已对之理解</w:t>
            </w:r>
            <w:r>
              <w:rPr>
                <w:rFonts w:hint="eastAsia" w:ascii="宋体" w:hAnsi="宋体" w:eastAsia="宋体" w:cs="宋体"/>
                <w:color w:val="000000" w:themeColor="text1"/>
                <w:spacing w:val="-6"/>
                <w:sz w:val="24"/>
                <w:szCs w:val="24"/>
                <w:lang w:eastAsia="zh-CN"/>
                <w14:textFill>
                  <w14:solidFill>
                    <w14:schemeClr w14:val="tx1"/>
                  </w14:solidFill>
                </w14:textFill>
              </w:rPr>
              <w:t>和响应。</w:t>
            </w:r>
            <w:r>
              <w:rPr>
                <w:rFonts w:hint="eastAsia" w:ascii="宋体" w:hAnsi="宋体" w:eastAsia="宋体" w:cs="宋体"/>
                <w:color w:val="000000" w:themeColor="text1"/>
                <w:spacing w:val="-6"/>
                <w:sz w:val="24"/>
                <w:szCs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8"/>
              <w:rPr>
                <w:rFonts w:ascii="宋体" w:hAnsi="宋体" w:eastAsia="宋体" w:cs="宋体"/>
                <w:color w:val="000000" w:themeColor="text1"/>
                <w:sz w:val="22"/>
                <w14:textFill>
                  <w14:solidFill>
                    <w14:schemeClr w14:val="tx1"/>
                  </w14:solidFill>
                </w14:textFill>
              </w:rPr>
            </w:pPr>
          </w:p>
        </w:tc>
        <w:tc>
          <w:tcPr>
            <w:tcW w:w="1772"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874" w:type="dxa"/>
          </w:tcPr>
          <w:p>
            <w:pPr>
              <w:pStyle w:val="258"/>
              <w:rPr>
                <w:rFonts w:ascii="宋体" w:hAnsi="宋体" w:eastAsia="宋体" w:cs="宋体"/>
                <w:color w:val="000000" w:themeColor="text1"/>
                <w:sz w:val="22"/>
                <w14:textFill>
                  <w14:solidFill>
                    <w14:schemeClr w14:val="tx1"/>
                  </w14:solidFill>
                </w14:textFill>
              </w:rPr>
            </w:pPr>
          </w:p>
        </w:tc>
        <w:tc>
          <w:tcPr>
            <w:tcW w:w="1137"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8"/>
              <w:rPr>
                <w:rFonts w:ascii="宋体" w:hAnsi="宋体" w:eastAsia="宋体" w:cs="宋体"/>
                <w:color w:val="000000" w:themeColor="text1"/>
                <w:sz w:val="22"/>
                <w14:textFill>
                  <w14:solidFill>
                    <w14:schemeClr w14:val="tx1"/>
                  </w14:solidFill>
                </w14:textFill>
              </w:rPr>
            </w:pPr>
          </w:p>
        </w:tc>
        <w:tc>
          <w:tcPr>
            <w:tcW w:w="1772"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874" w:type="dxa"/>
          </w:tcPr>
          <w:p>
            <w:pPr>
              <w:pStyle w:val="258"/>
              <w:rPr>
                <w:rFonts w:ascii="宋体" w:hAnsi="宋体" w:eastAsia="宋体" w:cs="宋体"/>
                <w:color w:val="000000" w:themeColor="text1"/>
                <w:sz w:val="22"/>
                <w14:textFill>
                  <w14:solidFill>
                    <w14:schemeClr w14:val="tx1"/>
                  </w14:solidFill>
                </w14:textFill>
              </w:rPr>
            </w:pPr>
          </w:p>
        </w:tc>
        <w:tc>
          <w:tcPr>
            <w:tcW w:w="1137"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8"/>
              <w:rPr>
                <w:rFonts w:ascii="宋体" w:hAnsi="宋体" w:eastAsia="宋体" w:cs="宋体"/>
                <w:color w:val="000000" w:themeColor="text1"/>
                <w:sz w:val="22"/>
                <w14:textFill>
                  <w14:solidFill>
                    <w14:schemeClr w14:val="tx1"/>
                  </w14:solidFill>
                </w14:textFill>
              </w:rPr>
            </w:pPr>
          </w:p>
        </w:tc>
        <w:tc>
          <w:tcPr>
            <w:tcW w:w="1772"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874" w:type="dxa"/>
          </w:tcPr>
          <w:p>
            <w:pPr>
              <w:pStyle w:val="258"/>
              <w:rPr>
                <w:rFonts w:ascii="宋体" w:hAnsi="宋体" w:eastAsia="宋体" w:cs="宋体"/>
                <w:color w:val="000000" w:themeColor="text1"/>
                <w:sz w:val="22"/>
                <w14:textFill>
                  <w14:solidFill>
                    <w14:schemeClr w14:val="tx1"/>
                  </w14:solidFill>
                </w14:textFill>
              </w:rPr>
            </w:pPr>
          </w:p>
        </w:tc>
        <w:tc>
          <w:tcPr>
            <w:tcW w:w="1137"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pStyle w:val="258"/>
              <w:rPr>
                <w:rFonts w:ascii="宋体" w:hAnsi="宋体" w:eastAsia="宋体" w:cs="宋体"/>
                <w:color w:val="000000" w:themeColor="text1"/>
                <w:sz w:val="22"/>
                <w14:textFill>
                  <w14:solidFill>
                    <w14:schemeClr w14:val="tx1"/>
                  </w14:solidFill>
                </w14:textFill>
              </w:rPr>
            </w:pPr>
          </w:p>
        </w:tc>
        <w:tc>
          <w:tcPr>
            <w:tcW w:w="1772"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874" w:type="dxa"/>
          </w:tcPr>
          <w:p>
            <w:pPr>
              <w:pStyle w:val="258"/>
              <w:rPr>
                <w:rFonts w:ascii="宋体" w:hAnsi="宋体" w:eastAsia="宋体" w:cs="宋体"/>
                <w:color w:val="000000" w:themeColor="text1"/>
                <w:sz w:val="22"/>
                <w14:textFill>
                  <w14:solidFill>
                    <w14:schemeClr w14:val="tx1"/>
                  </w14:solidFill>
                </w14:textFill>
              </w:rPr>
            </w:pPr>
          </w:p>
        </w:tc>
        <w:tc>
          <w:tcPr>
            <w:tcW w:w="1137" w:type="dxa"/>
          </w:tcPr>
          <w:p>
            <w:pPr>
              <w:pStyle w:val="258"/>
              <w:rPr>
                <w:rFonts w:ascii="宋体" w:hAnsi="宋体" w:eastAsia="宋体" w:cs="宋体"/>
                <w:color w:val="000000" w:themeColor="text1"/>
                <w:sz w:val="22"/>
                <w14:textFill>
                  <w14:solidFill>
                    <w14:schemeClr w14:val="tx1"/>
                  </w14:solidFill>
                </w14:textFill>
              </w:rPr>
            </w:pPr>
          </w:p>
        </w:tc>
      </w:tr>
    </w:tbl>
    <w:p>
      <w:pPr>
        <w:tabs>
          <w:tab w:val="left" w:pos="1800"/>
          <w:tab w:val="left" w:pos="5580"/>
        </w:tabs>
        <w:jc w:val="left"/>
        <w:rPr>
          <w:rFonts w:ascii="宋体" w:hAnsi="宋体" w:cs="宋体"/>
          <w:color w:val="000000" w:themeColor="text1"/>
          <w:sz w:val="24"/>
          <w14:textFill>
            <w14:solidFill>
              <w14:schemeClr w14:val="tx1"/>
            </w14:solidFill>
          </w14:textFill>
        </w:rPr>
      </w:pPr>
    </w:p>
    <w:p>
      <w:pPr>
        <w:tabs>
          <w:tab w:val="left" w:pos="1800"/>
          <w:tab w:val="left" w:pos="5580"/>
        </w:tabs>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r>
        <w:rPr>
          <w:rFonts w:hint="eastAsia" w:ascii="宋体" w:hAnsi="宋体" w:cs="宋体"/>
          <w:color w:val="000000" w:themeColor="text1"/>
          <w:spacing w:val="4"/>
          <w:sz w:val="24"/>
          <w14:textFill>
            <w14:solidFill>
              <w14:schemeClr w14:val="tx1"/>
            </w14:solidFill>
          </w14:textFill>
        </w:rPr>
        <w:t>“偏离情况”列应据实填写“正偏离”或“负偏离”。</w:t>
      </w:r>
    </w:p>
    <w:p>
      <w:pPr>
        <w:spacing w:line="360" w:lineRule="auto"/>
        <w:rPr>
          <w:rFonts w:ascii="宋体" w:hAnsi="宋体" w:cs="宋体"/>
          <w:color w:val="000000" w:themeColor="text1"/>
          <w:sz w:val="24"/>
          <w:szCs w:val="20"/>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6  </w:t>
      </w:r>
      <w:bookmarkEnd w:id="957"/>
      <w:bookmarkEnd w:id="958"/>
      <w:bookmarkEnd w:id="959"/>
      <w:bookmarkEnd w:id="960"/>
      <w:bookmarkEnd w:id="961"/>
      <w:bookmarkEnd w:id="962"/>
      <w:bookmarkEnd w:id="963"/>
      <w:bookmarkEnd w:id="964"/>
      <w:bookmarkEnd w:id="965"/>
      <w:bookmarkEnd w:id="966"/>
      <w:bookmarkEnd w:id="967"/>
      <w:bookmarkEnd w:id="968"/>
      <w:bookmarkEnd w:id="969"/>
      <w:r>
        <w:rPr>
          <w:rFonts w:hint="eastAsia" w:hAnsi="宋体" w:cs="宋体"/>
          <w:b w:val="0"/>
          <w:color w:val="000000" w:themeColor="text1"/>
          <w:szCs w:val="24"/>
          <w:u w:val="none"/>
          <w14:textFill>
            <w14:solidFill>
              <w14:schemeClr w14:val="tx1"/>
            </w14:solidFill>
          </w14:textFill>
        </w:rPr>
        <w:t>采购需求偏离表（实质性格式）</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采购需求偏离表</w:t>
      </w:r>
    </w:p>
    <w:p>
      <w:pPr>
        <w:tabs>
          <w:tab w:val="left" w:pos="1800"/>
          <w:tab w:val="left" w:pos="5580"/>
        </w:tabs>
        <w:spacing w:line="360" w:lineRule="auto"/>
        <w:ind w:firstLine="360" w:firstLineChars="150"/>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1"/>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482" w:type="dxa"/>
            <w:vAlign w:val="center"/>
          </w:tcPr>
          <w:p>
            <w:pPr>
              <w:pStyle w:val="258"/>
              <w:spacing w:before="221" w:line="197" w:lineRule="auto"/>
              <w:ind w:right="138"/>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招标文件条</w:t>
            </w:r>
            <w:r>
              <w:rPr>
                <w:rFonts w:hint="eastAsia" w:ascii="宋体" w:hAnsi="宋体" w:eastAsia="宋体" w:cs="宋体"/>
                <w:color w:val="000000" w:themeColor="text1"/>
                <w:spacing w:val="-4"/>
                <w:sz w:val="24"/>
                <w:szCs w:val="24"/>
                <w14:textFill>
                  <w14:solidFill>
                    <w14:schemeClr w14:val="tx1"/>
                  </w14:solidFill>
                </w14:textFill>
              </w:rPr>
              <w:t>目号(页码)</w:t>
            </w:r>
          </w:p>
        </w:tc>
        <w:tc>
          <w:tcPr>
            <w:tcW w:w="2384"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2126"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投标响应内容</w:t>
            </w:r>
          </w:p>
        </w:tc>
        <w:tc>
          <w:tcPr>
            <w:tcW w:w="18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009"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bl>
    <w:p>
      <w:pPr>
        <w:tabs>
          <w:tab w:val="left" w:pos="1800"/>
          <w:tab w:val="left" w:pos="5580"/>
        </w:tabs>
        <w:spacing w:line="360" w:lineRule="auto"/>
        <w:jc w:val="left"/>
        <w:rPr>
          <w:rFonts w:ascii="宋体" w:hAnsi="宋体" w:cs="宋体"/>
          <w:sz w:val="24"/>
        </w:rPr>
      </w:pPr>
      <w:r>
        <w:rPr>
          <w:rFonts w:hint="eastAsia" w:ascii="宋体" w:hAnsi="宋体" w:cs="宋体"/>
          <w:sz w:val="24"/>
        </w:rPr>
        <w:t>注：</w:t>
      </w:r>
    </w:p>
    <w:p>
      <w:pPr>
        <w:spacing w:line="312" w:lineRule="auto"/>
        <w:rPr>
          <w:rFonts w:ascii="宋体" w:hAnsi="宋体"/>
          <w:b/>
          <w:sz w:val="24"/>
        </w:rPr>
      </w:pPr>
      <w:r>
        <w:rPr>
          <w:rFonts w:hint="eastAsia" w:ascii="宋体" w:hAnsi="宋体"/>
          <w:sz w:val="24"/>
        </w:rPr>
        <w:t>1</w:t>
      </w:r>
      <w:r>
        <w:rPr>
          <w:rFonts w:ascii="宋体" w:hAnsi="宋体"/>
          <w:sz w:val="24"/>
        </w:rPr>
        <w:t>.</w:t>
      </w:r>
      <w:r>
        <w:rPr>
          <w:rFonts w:hint="eastAsia" w:ascii="宋体" w:hAnsi="宋体"/>
          <w:sz w:val="24"/>
        </w:rPr>
        <w:t>对招标文件中的所有商务、技术要求，除本表所列明的所有偏离外，均视作供应商已对之理解和响应。此表中若无任何文字说明，内容为空白的，</w:t>
      </w:r>
      <w:r>
        <w:rPr>
          <w:rFonts w:hint="eastAsia" w:ascii="宋体" w:hAnsi="宋体"/>
          <w:b/>
          <w:sz w:val="24"/>
        </w:rPr>
        <w:t>投标无效。</w:t>
      </w:r>
    </w:p>
    <w:p>
      <w:pPr>
        <w:widowControl/>
        <w:spacing w:line="312" w:lineRule="auto"/>
        <w:rPr>
          <w:rFonts w:ascii="宋体" w:hAnsi="宋体"/>
          <w:b/>
          <w:sz w:val="24"/>
        </w:rPr>
      </w:pPr>
      <w:r>
        <w:rPr>
          <w:rFonts w:hint="eastAsia" w:ascii="宋体" w:hAnsi="宋体"/>
          <w:b/>
          <w:sz w:val="24"/>
        </w:rPr>
        <w:t>2</w:t>
      </w:r>
      <w:r>
        <w:rPr>
          <w:rFonts w:ascii="宋体" w:hAnsi="宋体"/>
          <w:b/>
          <w:sz w:val="24"/>
        </w:rPr>
        <w:t>.</w:t>
      </w:r>
      <w:r>
        <w:rPr>
          <w:rFonts w:hint="eastAsia" w:ascii="宋体" w:hAnsi="宋体" w:cs="宋体"/>
          <w:b/>
          <w:kern w:val="0"/>
          <w:sz w:val="24"/>
        </w:rPr>
        <w:t>招标文件有要求提供证明材料的，应按招标文件要求逐项提供证明材料。</w:t>
      </w:r>
      <w:r>
        <w:rPr>
          <w:rFonts w:hint="eastAsia" w:ascii="宋体" w:hAnsi="宋体"/>
          <w:b/>
          <w:sz w:val="24"/>
        </w:rPr>
        <w:t>并且所有证明材料均应在《采购需求偏离表》中“说明”列标明页码及具体位置。未提供或提供的证明材料无法支撑或漏报技术条款视为该项不满足。</w:t>
      </w:r>
    </w:p>
    <w:p>
      <w:pPr>
        <w:widowControl/>
        <w:spacing w:line="312" w:lineRule="auto"/>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证明材料与《采购需求偏离表》表述不一致的以证明材料为准。</w:t>
      </w:r>
    </w:p>
    <w:p>
      <w:pPr>
        <w:tabs>
          <w:tab w:val="left" w:pos="1800"/>
          <w:tab w:val="left" w:pos="5580"/>
        </w:tabs>
        <w:spacing w:line="360" w:lineRule="auto"/>
        <w:jc w:val="left"/>
        <w:rPr>
          <w:rFonts w:ascii="宋体" w:hAnsi="宋体" w:cs="宋体"/>
          <w:sz w:val="24"/>
        </w:rPr>
      </w:pPr>
      <w:r>
        <w:rPr>
          <w:rFonts w:hint="eastAsia" w:ascii="宋体" w:hAnsi="宋体"/>
          <w:sz w:val="24"/>
        </w:rPr>
        <w:t>4</w:t>
      </w:r>
      <w:r>
        <w:rPr>
          <w:rFonts w:ascii="宋体" w:hAnsi="宋体"/>
          <w:sz w:val="24"/>
        </w:rPr>
        <w:t>.</w:t>
      </w:r>
      <w:r>
        <w:rPr>
          <w:rFonts w:hint="eastAsia" w:ascii="宋体" w:hAnsi="宋体"/>
          <w:sz w:val="24"/>
        </w:rPr>
        <w:t>因未在《采购需求偏离表》注明证明资料具体位置或位置不准确（如页码或序号）导致评审不得分的，由投标人自行承担由此产生的一切后果。</w:t>
      </w:r>
    </w:p>
    <w:p>
      <w:pPr>
        <w:tabs>
          <w:tab w:val="left" w:pos="1800"/>
          <w:tab w:val="left" w:pos="5580"/>
        </w:tabs>
        <w:spacing w:line="360" w:lineRule="auto"/>
        <w:jc w:val="left"/>
        <w:rPr>
          <w:rFonts w:ascii="宋体" w:hAnsi="宋体" w:cs="宋体"/>
          <w:color w:val="000000" w:themeColor="text1"/>
          <w:sz w:val="24"/>
          <w14:textFill>
            <w14:solidFill>
              <w14:schemeClr w14:val="tx1"/>
            </w14:solidFill>
          </w14:textFill>
        </w:rPr>
      </w:pPr>
      <w:r>
        <w:rPr>
          <w:rFonts w:ascii="宋体" w:hAnsi="宋体" w:cs="宋体"/>
          <w:b/>
          <w:sz w:val="24"/>
        </w:rPr>
        <w:t>5.</w:t>
      </w:r>
      <w:r>
        <w:rPr>
          <w:rFonts w:hint="eastAsia" w:ascii="宋体" w:hAnsi="宋体" w:cs="宋体"/>
          <w:b/>
          <w:sz w:val="24"/>
        </w:rPr>
        <w:t>“偏离情况”列应据实填写“无偏离”或“正偏离”或“负偏离”。</w:t>
      </w:r>
    </w:p>
    <w:p>
      <w:pPr>
        <w:tabs>
          <w:tab w:val="left" w:pos="1800"/>
          <w:tab w:val="left" w:pos="5580"/>
        </w:tabs>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7  中小企业证明文件</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1）中小企业参加政府采购活动，应当出具《中小企业声明函》或《残疾人福利性单位 声明函》或由省级以上监狱管理局、戒毒管理局（含新疆生产建设兵团）出具的属于监狱企业的证明文件，以证明中小企业身份。《中小企业声明函》 由参加政府采购活动的投标人出具。联合体投标的，《中小企业声明函》可由牵头人出具。</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2 ）对于联合体中由中小企业承担的部分，或者分包给中小企业的部分，必须全部由中小企业制造、承建或者承接。供应商应当在声明函“标的名称 ”部分标明联合体中中小企业承担的具体内容或者中小企业的具体分包内容。</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3）对于多标的采购项目，投标人应充分、准确地了解所提供货物的制造企业 、提供服务的承接企业信息。对相关情况了解不清楚的，不建议填报本声明函。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pPr>
        <w:widowControl/>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p>
    <w:p>
      <w:pPr>
        <w:spacing w:before="240" w:beforeLines="100" w:after="240" w:afterLines="100" w:line="360" w:lineRule="auto"/>
        <w:jc w:val="center"/>
        <w:rPr>
          <w:rFonts w:ascii="宋体" w:hAnsi="宋体" w:cs="宋体"/>
          <w:b/>
          <w:sz w:val="36"/>
          <w:szCs w:val="36"/>
        </w:rPr>
      </w:pPr>
      <w:bookmarkStart w:id="970" w:name="OLE_LINK192"/>
      <w:bookmarkStart w:id="971" w:name="OLE_LINK193"/>
      <w:r>
        <w:rPr>
          <w:rFonts w:hint="eastAsia" w:ascii="宋体" w:hAnsi="宋体" w:cs="宋体"/>
          <w:b/>
          <w:bCs/>
          <w:sz w:val="36"/>
          <w:szCs w:val="36"/>
        </w:rPr>
        <w:t>中小企业声明函（货物）格式</w:t>
      </w:r>
    </w:p>
    <w:p>
      <w:pPr>
        <w:spacing w:line="360" w:lineRule="auto"/>
        <w:ind w:firstLine="504"/>
        <w:rPr>
          <w:rFonts w:ascii="宋体" w:hAnsi="宋体" w:cs="宋体"/>
          <w:spacing w:val="6"/>
          <w:sz w:val="24"/>
        </w:rPr>
      </w:pPr>
      <w:r>
        <w:rPr>
          <w:rFonts w:hint="eastAsia" w:ascii="宋体" w:hAnsi="宋体" w:cs="宋体"/>
          <w:spacing w:val="6"/>
          <w:sz w:val="24"/>
        </w:rPr>
        <w:t>本公司（联合体）郑重声明，根据《政府采购促进中小企业发展管理办法》（财库﹝2020﹞46 号）的规定，本公司（联合体）参加</w:t>
      </w:r>
      <w:r>
        <w:rPr>
          <w:rFonts w:hint="eastAsia" w:ascii="宋体" w:hAnsi="宋体" w:cs="宋体"/>
          <w:spacing w:val="6"/>
          <w:sz w:val="24"/>
          <w:u w:val="single"/>
        </w:rPr>
        <w:t>（单位名称）</w:t>
      </w:r>
      <w:r>
        <w:rPr>
          <w:rFonts w:hint="eastAsia" w:ascii="宋体" w:hAnsi="宋体" w:cs="宋体"/>
          <w:spacing w:val="6"/>
          <w:sz w:val="24"/>
        </w:rPr>
        <w:t>的</w:t>
      </w:r>
      <w:r>
        <w:rPr>
          <w:rFonts w:hint="eastAsia" w:ascii="宋体" w:hAnsi="宋体" w:cs="宋体"/>
          <w:spacing w:val="6"/>
          <w:sz w:val="24"/>
          <w:u w:val="single"/>
        </w:rPr>
        <w:t>（项目名称）</w:t>
      </w:r>
      <w:r>
        <w:rPr>
          <w:rFonts w:hint="eastAsia" w:ascii="宋体" w:hAnsi="宋体" w:cs="宋体"/>
          <w:spacing w:val="6"/>
          <w:sz w:val="24"/>
        </w:rPr>
        <w:t>采购活动，提供的货物全部由符合政策要求的中小企业制造。相关企业（含联合体中的中小企业、签订分包意向协议的中小企业）的具体情况如下：</w:t>
      </w:r>
    </w:p>
    <w:p>
      <w:pPr>
        <w:spacing w:line="360" w:lineRule="auto"/>
        <w:ind w:firstLine="504"/>
        <w:rPr>
          <w:rFonts w:ascii="宋体" w:hAnsi="宋体" w:cs="宋体"/>
          <w:spacing w:val="6"/>
          <w:sz w:val="24"/>
        </w:rPr>
      </w:pPr>
      <w:r>
        <w:rPr>
          <w:rFonts w:hint="eastAsia" w:ascii="宋体" w:hAnsi="宋体" w:cs="宋体"/>
          <w:spacing w:val="6"/>
          <w:sz w:val="24"/>
        </w:rPr>
        <w:t>1.</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w:t>
      </w:r>
      <w:r>
        <w:rPr>
          <w:rFonts w:hint="eastAsia" w:ascii="宋体" w:hAnsi="宋体" w:cs="宋体"/>
          <w:spacing w:val="6"/>
          <w:sz w:val="24"/>
          <w:vertAlign w:val="superscript"/>
        </w:rPr>
        <w:t>1</w:t>
      </w:r>
      <w:r>
        <w:rPr>
          <w:rFonts w:hint="eastAsia" w:ascii="宋体" w:hAnsi="宋体" w:cs="宋体"/>
          <w:spacing w:val="6"/>
          <w:sz w:val="24"/>
        </w:rPr>
        <w:t>，属于（中型企业、小型企业、微型企业）；</w:t>
      </w:r>
    </w:p>
    <w:p>
      <w:pPr>
        <w:spacing w:line="360" w:lineRule="auto"/>
        <w:ind w:firstLine="504"/>
        <w:rPr>
          <w:rFonts w:ascii="宋体" w:hAnsi="宋体" w:cs="宋体"/>
          <w:spacing w:val="6"/>
          <w:sz w:val="24"/>
        </w:rPr>
      </w:pPr>
      <w:r>
        <w:rPr>
          <w:rFonts w:hint="eastAsia" w:ascii="宋体" w:hAnsi="宋体" w:cs="宋体"/>
          <w:spacing w:val="6"/>
          <w:sz w:val="24"/>
        </w:rPr>
        <w:t>2.</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，从业人员______人，营业收入为______万元，资产总额为______万元，属于</w:t>
      </w:r>
      <w:r>
        <w:rPr>
          <w:rFonts w:hint="eastAsia" w:ascii="宋体" w:hAnsi="宋体" w:cs="宋体"/>
          <w:spacing w:val="6"/>
          <w:sz w:val="24"/>
          <w:u w:val="single"/>
        </w:rPr>
        <w:t>（中型企业、小型企业、微型企业）</w:t>
      </w: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以上企业，不属于大企业的分支机构，不存在控股股东为大企业的情形，也不存在与大企业的负责人为同一人的情形。</w:t>
      </w:r>
    </w:p>
    <w:p>
      <w:pPr>
        <w:spacing w:line="360" w:lineRule="auto"/>
        <w:ind w:firstLine="504"/>
        <w:rPr>
          <w:rFonts w:ascii="宋体" w:hAnsi="宋体" w:cs="宋体"/>
          <w:spacing w:val="6"/>
          <w:sz w:val="24"/>
        </w:rPr>
      </w:pPr>
      <w:r>
        <w:rPr>
          <w:rFonts w:hint="eastAsia" w:ascii="宋体" w:hAnsi="宋体" w:cs="宋体"/>
          <w:spacing w:val="6"/>
          <w:sz w:val="24"/>
        </w:rPr>
        <w:t>本企业对上述声明内容的真实性负责。如有虚假，将依法承担相应责任。</w:t>
      </w:r>
    </w:p>
    <w:p>
      <w:pPr>
        <w:spacing w:line="360" w:lineRule="auto"/>
        <w:ind w:firstLine="504"/>
        <w:rPr>
          <w:rFonts w:ascii="宋体" w:hAnsi="宋体" w:cs="宋体"/>
          <w:spacing w:val="6"/>
          <w:sz w:val="24"/>
        </w:rPr>
      </w:pPr>
    </w:p>
    <w:p>
      <w:pPr>
        <w:spacing w:line="360" w:lineRule="auto"/>
        <w:ind w:right="360" w:firstLine="480"/>
        <w:jc w:val="right"/>
        <w:rPr>
          <w:rFonts w:ascii="宋体" w:hAnsi="宋体" w:cs="宋体"/>
          <w:sz w:val="24"/>
        </w:rPr>
      </w:pPr>
      <w:r>
        <w:rPr>
          <w:rFonts w:hint="eastAsia" w:ascii="宋体" w:hAnsi="宋体" w:cs="宋体"/>
          <w:sz w:val="24"/>
        </w:rPr>
        <w:t>企业名称（盖章）：________</w:t>
      </w:r>
    </w:p>
    <w:p>
      <w:pPr>
        <w:spacing w:line="360" w:lineRule="auto"/>
        <w:ind w:right="360" w:firstLine="480"/>
        <w:jc w:val="right"/>
        <w:rPr>
          <w:rFonts w:ascii="宋体" w:hAnsi="宋体" w:cs="宋体"/>
          <w:sz w:val="24"/>
        </w:rPr>
      </w:pPr>
      <w:r>
        <w:rPr>
          <w:rFonts w:hint="eastAsia" w:ascii="宋体" w:hAnsi="宋体" w:cs="宋体"/>
          <w:sz w:val="24"/>
        </w:rPr>
        <w:t>日 期：________</w:t>
      </w:r>
    </w:p>
    <w:p>
      <w:pPr>
        <w:spacing w:line="360" w:lineRule="auto"/>
        <w:ind w:right="360" w:firstLine="480"/>
        <w:jc w:val="right"/>
        <w:rPr>
          <w:rFonts w:ascii="宋体" w:hAnsi="宋体" w:cs="宋体"/>
          <w:sz w:val="24"/>
        </w:rPr>
      </w:pPr>
    </w:p>
    <w:p>
      <w:pPr>
        <w:spacing w:line="360" w:lineRule="auto"/>
        <w:ind w:right="360" w:firstLine="480"/>
        <w:jc w:val="right"/>
        <w:rPr>
          <w:rFonts w:ascii="宋体" w:hAnsi="宋体" w:cs="宋体"/>
          <w:sz w:val="24"/>
        </w:rPr>
      </w:pPr>
    </w:p>
    <w:tbl>
      <w:tblPr>
        <w:tblStyle w:val="51"/>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c>
          <w:tcPr>
            <w:tcW w:w="8946" w:type="dxa"/>
            <w:tcBorders>
              <w:top w:val="single" w:color="auto" w:sz="4" w:space="0"/>
              <w:left w:val="nil"/>
              <w:bottom w:val="nil"/>
              <w:right w:val="nil"/>
            </w:tcBorders>
          </w:tcPr>
          <w:p>
            <w:pPr>
              <w:adjustRightInd w:val="0"/>
              <w:snapToGrid w:val="0"/>
              <w:jc w:val="left"/>
              <w:rPr>
                <w:rFonts w:ascii="宋体" w:hAnsi="宋体" w:cs="宋体"/>
                <w:szCs w:val="21"/>
              </w:rPr>
            </w:pPr>
            <w:r>
              <w:rPr>
                <w:rFonts w:hint="eastAsia" w:ascii="宋体" w:hAnsi="宋体" w:cs="宋体"/>
                <w:szCs w:val="21"/>
                <w:vertAlign w:val="superscript"/>
              </w:rPr>
              <w:t>1</w:t>
            </w:r>
            <w:r>
              <w:rPr>
                <w:rFonts w:hint="eastAsia" w:ascii="宋体" w:hAnsi="宋体" w:cs="宋体"/>
                <w:szCs w:val="21"/>
              </w:rPr>
              <w:t>从业人员、营业收入、资产总额填报上一年度数据，无上一年度数据的新成立企业可不填报。</w:t>
            </w:r>
          </w:p>
        </w:tc>
      </w:tr>
    </w:tbl>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bookmarkEnd w:id="970"/>
    <w:bookmarkEnd w:id="971"/>
    <w:p>
      <w:pPr>
        <w:spacing w:before="240" w:beforeLines="100" w:after="240" w:afterLines="100" w:line="360" w:lineRule="auto"/>
        <w:jc w:val="center"/>
        <w:rPr>
          <w:rFonts w:ascii="宋体" w:hAnsi="宋体" w:cs="宋体"/>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6"/>
        <w:rPr>
          <w:rFonts w:hAnsi="宋体" w:cs="宋体"/>
          <w:b w:val="0"/>
          <w:color w:val="000000" w:themeColor="text1"/>
          <w:szCs w:val="24"/>
          <w:u w:val="none"/>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8</w:t>
      </w:r>
      <w:r>
        <w:rPr>
          <w:rFonts w:hint="eastAsia" w:hAnsi="宋体" w:cs="宋体"/>
          <w:b w:val="0"/>
          <w:color w:val="000000" w:themeColor="text1"/>
          <w:szCs w:val="24"/>
          <w:u w:val="none"/>
          <w14:textFill>
            <w14:solidFill>
              <w14:schemeClr w14:val="tx1"/>
            </w14:solidFill>
          </w14:textFill>
        </w:rPr>
        <w:t xml:space="preserve">  关于符合本国产品标准的声明函</w:t>
      </w:r>
    </w:p>
    <w:p>
      <w:pPr>
        <w:pStyle w:val="45"/>
        <w:shd w:val="clear" w:color="auto" w:fill="FFFFFF"/>
        <w:spacing w:before="30" w:beforeAutospacing="0" w:after="30" w:afterAutospacing="0"/>
        <w:jc w:val="center"/>
        <w:rPr>
          <w:color w:val="333333"/>
          <w:sz w:val="36"/>
          <w:szCs w:val="36"/>
        </w:rPr>
      </w:pPr>
      <w:r>
        <w:rPr>
          <w:rStyle w:val="55"/>
          <w:rFonts w:hint="eastAsia"/>
          <w:color w:val="333333"/>
          <w:sz w:val="36"/>
          <w:szCs w:val="36"/>
          <w:shd w:val="clear" w:color="auto" w:fill="FFFFFF"/>
        </w:rPr>
        <w:t>关于符合本国产品标准的声明函</w:t>
      </w:r>
    </w:p>
    <w:p>
      <w:pPr>
        <w:pStyle w:val="45"/>
        <w:shd w:val="clear" w:color="auto" w:fill="FFFFFF"/>
        <w:spacing w:before="30" w:beforeAutospacing="0" w:after="30" w:afterAutospacing="0"/>
        <w:ind w:firstLine="420"/>
        <w:rPr>
          <w:color w:val="333333"/>
        </w:rPr>
      </w:pPr>
    </w:p>
    <w:p>
      <w:pPr>
        <w:pStyle w:val="45"/>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pPr>
        <w:pStyle w:val="45"/>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8"/>
          <w:rFonts w:hint="eastAsia"/>
          <w:color w:val="333333"/>
          <w:u w:val="single"/>
          <w:shd w:val="clear" w:color="auto" w:fill="FFFFFF"/>
        </w:rPr>
        <w:t>（产品名称1）</w:t>
      </w:r>
      <w:r>
        <w:rPr>
          <w:rStyle w:val="58"/>
          <w:rFonts w:hint="eastAsia"/>
          <w:color w:val="333333"/>
          <w:shd w:val="clear" w:color="auto" w:fill="FFFFFF"/>
          <w:vertAlign w:val="superscript"/>
        </w:rPr>
        <w:t>1</w:t>
      </w:r>
      <w:r>
        <w:rPr>
          <w:rFonts w:hint="eastAsia"/>
          <w:color w:val="333333"/>
          <w:shd w:val="clear" w:color="auto" w:fill="FFFFFF"/>
        </w:rPr>
        <w:t>，生产厂为</w:t>
      </w:r>
      <w:r>
        <w:rPr>
          <w:rStyle w:val="58"/>
          <w:rFonts w:hint="eastAsia"/>
          <w:color w:val="333333"/>
          <w:u w:val="single"/>
          <w:shd w:val="clear" w:color="auto" w:fill="FFFFFF"/>
        </w:rPr>
        <w:t>（厂名）</w:t>
      </w:r>
      <w:r>
        <w:rPr>
          <w:rStyle w:val="58"/>
          <w:rFonts w:hint="eastAsia"/>
          <w:color w:val="333333"/>
          <w:shd w:val="clear" w:color="auto" w:fill="FFFFFF"/>
          <w:vertAlign w:val="superscript"/>
        </w:rPr>
        <w:t>2</w:t>
      </w:r>
      <w:r>
        <w:rPr>
          <w:rFonts w:hint="eastAsia"/>
          <w:color w:val="333333"/>
          <w:shd w:val="clear" w:color="auto" w:fill="FFFFFF"/>
        </w:rPr>
        <w:t>，厂址为</w:t>
      </w:r>
      <w:r>
        <w:rPr>
          <w:rStyle w:val="58"/>
          <w:rFonts w:hint="eastAsia"/>
          <w:color w:val="333333"/>
          <w:u w:val="single"/>
          <w:shd w:val="clear" w:color="auto" w:fill="FFFFFF"/>
        </w:rPr>
        <w:t>（生产厂址）</w:t>
      </w:r>
      <w:r>
        <w:rPr>
          <w:rFonts w:hint="eastAsia"/>
          <w:color w:val="333333"/>
          <w:shd w:val="clear" w:color="auto" w:fill="FFFFFF"/>
        </w:rPr>
        <w:t>。</w:t>
      </w:r>
      <w:r>
        <w:rPr>
          <w:rStyle w:val="58"/>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8"/>
          <w:rFonts w:hint="eastAsia"/>
          <w:color w:val="333333"/>
          <w:u w:val="single"/>
          <w:shd w:val="clear" w:color="auto" w:fill="FFFFFF"/>
        </w:rPr>
        <w:t>（规定比例）</w:t>
      </w:r>
      <w:r>
        <w:rPr>
          <w:rStyle w:val="58"/>
          <w:rFonts w:hint="eastAsia"/>
          <w:color w:val="333333"/>
          <w:shd w:val="clear" w:color="auto" w:fill="FFFFFF"/>
          <w:vertAlign w:val="superscript"/>
        </w:rPr>
        <w:t>3</w:t>
      </w:r>
      <w:r>
        <w:rPr>
          <w:rFonts w:hint="eastAsia"/>
          <w:color w:val="333333"/>
          <w:shd w:val="clear" w:color="auto" w:fill="FFFFFF"/>
        </w:rPr>
        <w:t>。</w:t>
      </w:r>
      <w:r>
        <w:rPr>
          <w:rStyle w:val="58"/>
          <w:rFonts w:hint="eastAsia"/>
          <w:color w:val="333333"/>
          <w:u w:val="single"/>
          <w:shd w:val="clear" w:color="auto" w:fill="FFFFFF"/>
        </w:rPr>
        <w:t>（产品名称1）</w:t>
      </w:r>
      <w:r>
        <w:rPr>
          <w:rFonts w:hint="eastAsia"/>
          <w:color w:val="333333"/>
          <w:shd w:val="clear" w:color="auto" w:fill="FFFFFF"/>
        </w:rPr>
        <w:t>的</w:t>
      </w:r>
      <w:r>
        <w:rPr>
          <w:rStyle w:val="58"/>
          <w:rFonts w:hint="eastAsia"/>
          <w:color w:val="333333"/>
          <w:u w:val="single"/>
          <w:shd w:val="clear" w:color="auto" w:fill="FFFFFF"/>
        </w:rPr>
        <w:t>（关键组件）</w:t>
      </w:r>
      <w:r>
        <w:rPr>
          <w:rStyle w:val="58"/>
          <w:rFonts w:hint="eastAsia"/>
          <w:color w:val="333333"/>
          <w:shd w:val="clear" w:color="auto" w:fill="FFFFFF"/>
          <w:vertAlign w:val="superscript"/>
        </w:rPr>
        <w:t>4</w:t>
      </w:r>
      <w:r>
        <w:rPr>
          <w:rFonts w:hint="eastAsia"/>
          <w:color w:val="333333"/>
          <w:shd w:val="clear" w:color="auto" w:fill="FFFFFF"/>
        </w:rPr>
        <w:t>在中国境内生产。</w:t>
      </w:r>
      <w:r>
        <w:rPr>
          <w:rStyle w:val="58"/>
          <w:rFonts w:hint="eastAsia"/>
          <w:color w:val="333333"/>
          <w:u w:val="single"/>
          <w:shd w:val="clear" w:color="auto" w:fill="FFFFFF"/>
        </w:rPr>
        <w:t>（产品名称1）</w:t>
      </w:r>
      <w:r>
        <w:rPr>
          <w:rFonts w:hint="eastAsia"/>
          <w:color w:val="333333"/>
          <w:shd w:val="clear" w:color="auto" w:fill="FFFFFF"/>
        </w:rPr>
        <w:t>的</w:t>
      </w:r>
      <w:r>
        <w:rPr>
          <w:rStyle w:val="58"/>
          <w:rFonts w:hint="eastAsia"/>
          <w:color w:val="333333"/>
          <w:u w:val="single"/>
          <w:shd w:val="clear" w:color="auto" w:fill="FFFFFF"/>
        </w:rPr>
        <w:t>（关键工序）</w:t>
      </w:r>
      <w:r>
        <w:rPr>
          <w:rStyle w:val="58"/>
          <w:rFonts w:hint="eastAsia"/>
          <w:color w:val="333333"/>
          <w:shd w:val="clear" w:color="auto" w:fill="FFFFFF"/>
          <w:vertAlign w:val="superscript"/>
        </w:rPr>
        <w:t>5</w:t>
      </w:r>
      <w:r>
        <w:rPr>
          <w:rFonts w:hint="eastAsia"/>
          <w:color w:val="333333"/>
          <w:shd w:val="clear" w:color="auto" w:fill="FFFFFF"/>
        </w:rPr>
        <w:t>在中国境内完成。</w:t>
      </w:r>
    </w:p>
    <w:p>
      <w:pPr>
        <w:pStyle w:val="45"/>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8"/>
          <w:rFonts w:hint="eastAsia"/>
          <w:color w:val="333333"/>
          <w:u w:val="single"/>
          <w:shd w:val="clear" w:color="auto" w:fill="FFFFFF"/>
        </w:rPr>
        <w:t>（产品名称2）</w:t>
      </w:r>
      <w:r>
        <w:rPr>
          <w:rFonts w:hint="eastAsia"/>
          <w:color w:val="333333"/>
          <w:shd w:val="clear" w:color="auto" w:fill="FFFFFF"/>
        </w:rPr>
        <w:t>，生产厂为</w:t>
      </w:r>
      <w:r>
        <w:rPr>
          <w:rStyle w:val="58"/>
          <w:rFonts w:hint="eastAsia"/>
          <w:color w:val="333333"/>
          <w:u w:val="single"/>
          <w:shd w:val="clear" w:color="auto" w:fill="FFFFFF"/>
        </w:rPr>
        <w:t>（厂名）</w:t>
      </w:r>
      <w:r>
        <w:rPr>
          <w:rFonts w:hint="eastAsia"/>
          <w:color w:val="333333"/>
          <w:shd w:val="clear" w:color="auto" w:fill="FFFFFF"/>
        </w:rPr>
        <w:t>，厂址为</w:t>
      </w:r>
      <w:r>
        <w:rPr>
          <w:rStyle w:val="58"/>
          <w:rFonts w:hint="eastAsia"/>
          <w:color w:val="333333"/>
          <w:u w:val="single"/>
          <w:shd w:val="clear" w:color="auto" w:fill="FFFFFF"/>
        </w:rPr>
        <w:t>（生产厂址）</w:t>
      </w:r>
      <w:r>
        <w:rPr>
          <w:rFonts w:hint="eastAsia"/>
          <w:color w:val="333333"/>
          <w:shd w:val="clear" w:color="auto" w:fill="FFFFFF"/>
        </w:rPr>
        <w:t>。</w:t>
      </w:r>
      <w:r>
        <w:rPr>
          <w:rStyle w:val="58"/>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8"/>
          <w:rFonts w:hint="eastAsia"/>
          <w:color w:val="333333"/>
          <w:u w:val="single"/>
          <w:shd w:val="clear" w:color="auto" w:fill="FFFFFF"/>
        </w:rPr>
        <w:t>（规定比例）</w:t>
      </w:r>
      <w:r>
        <w:rPr>
          <w:rFonts w:hint="eastAsia"/>
          <w:color w:val="333333"/>
          <w:shd w:val="clear" w:color="auto" w:fill="FFFFFF"/>
        </w:rPr>
        <w:t>。</w:t>
      </w:r>
      <w:r>
        <w:rPr>
          <w:rStyle w:val="58"/>
          <w:rFonts w:hint="eastAsia"/>
          <w:color w:val="333333"/>
          <w:u w:val="single"/>
          <w:shd w:val="clear" w:color="auto" w:fill="FFFFFF"/>
        </w:rPr>
        <w:t>（产品名称2）</w:t>
      </w:r>
      <w:r>
        <w:rPr>
          <w:rFonts w:hint="eastAsia"/>
          <w:color w:val="333333"/>
          <w:shd w:val="clear" w:color="auto" w:fill="FFFFFF"/>
        </w:rPr>
        <w:t>的</w:t>
      </w:r>
      <w:r>
        <w:rPr>
          <w:rStyle w:val="58"/>
          <w:rFonts w:hint="eastAsia"/>
          <w:color w:val="333333"/>
          <w:u w:val="single"/>
          <w:shd w:val="clear" w:color="auto" w:fill="FFFFFF"/>
        </w:rPr>
        <w:t>（关键组件）</w:t>
      </w:r>
      <w:r>
        <w:rPr>
          <w:rFonts w:hint="eastAsia"/>
          <w:color w:val="333333"/>
          <w:shd w:val="clear" w:color="auto" w:fill="FFFFFF"/>
        </w:rPr>
        <w:t>在中国境内生产。</w:t>
      </w:r>
      <w:r>
        <w:rPr>
          <w:rStyle w:val="58"/>
          <w:rFonts w:hint="eastAsia"/>
          <w:color w:val="333333"/>
          <w:u w:val="single"/>
          <w:shd w:val="clear" w:color="auto" w:fill="FFFFFF"/>
        </w:rPr>
        <w:t>（产品名称2）</w:t>
      </w:r>
      <w:r>
        <w:rPr>
          <w:rFonts w:hint="eastAsia"/>
          <w:color w:val="333333"/>
          <w:shd w:val="clear" w:color="auto" w:fill="FFFFFF"/>
        </w:rPr>
        <w:t>的</w:t>
      </w:r>
      <w:r>
        <w:rPr>
          <w:rStyle w:val="58"/>
          <w:rFonts w:hint="eastAsia"/>
          <w:color w:val="333333"/>
          <w:u w:val="single"/>
          <w:shd w:val="clear" w:color="auto" w:fill="FFFFFF"/>
        </w:rPr>
        <w:t>（关键工序）</w:t>
      </w:r>
      <w:r>
        <w:rPr>
          <w:rFonts w:hint="eastAsia"/>
          <w:color w:val="333333"/>
          <w:shd w:val="clear" w:color="auto" w:fill="FFFFFF"/>
        </w:rPr>
        <w:t>在中国境内完成。</w:t>
      </w:r>
    </w:p>
    <w:p>
      <w:pPr>
        <w:pStyle w:val="45"/>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pPr>
        <w:pStyle w:val="45"/>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pPr>
        <w:pStyle w:val="45"/>
        <w:shd w:val="clear" w:color="auto" w:fill="FFFFFF"/>
        <w:spacing w:before="0" w:beforeAutospacing="0" w:after="0" w:afterAutospacing="0" w:line="360" w:lineRule="auto"/>
        <w:rPr>
          <w:color w:val="333333"/>
        </w:rPr>
      </w:pPr>
    </w:p>
    <w:p>
      <w:pPr>
        <w:pStyle w:val="45"/>
        <w:shd w:val="clear" w:color="auto" w:fill="FFFFFF"/>
        <w:spacing w:before="0" w:beforeAutospacing="0" w:after="0" w:afterAutospacing="0" w:line="360" w:lineRule="auto"/>
        <w:jc w:val="right"/>
        <w:rPr>
          <w:color w:val="333333"/>
          <w:shd w:val="clear" w:color="auto" w:fill="FFFFFF"/>
        </w:rPr>
      </w:pPr>
    </w:p>
    <w:p>
      <w:pPr>
        <w:pStyle w:val="45"/>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5"/>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p>
    <w:p>
      <w:pPr>
        <w:pStyle w:val="45"/>
        <w:shd w:val="clear" w:color="auto" w:fill="FFFFFF"/>
        <w:spacing w:before="0" w:beforeAutospacing="0" w:after="0" w:afterAutospacing="0" w:line="360" w:lineRule="auto"/>
        <w:rPr>
          <w:color w:val="333333"/>
          <w:shd w:val="clear" w:color="auto" w:fill="FFFFFF"/>
        </w:rPr>
      </w:pPr>
    </w:p>
    <w:p>
      <w:pPr>
        <w:pStyle w:val="45"/>
        <w:shd w:val="clear" w:color="auto" w:fill="FFFFFF"/>
        <w:spacing w:before="0" w:beforeAutospacing="0" w:after="0" w:afterAutospacing="0" w:line="360" w:lineRule="auto"/>
        <w:rPr>
          <w:color w:val="333333"/>
          <w:shd w:val="clear" w:color="auto" w:fill="FFFFFF"/>
        </w:rPr>
      </w:pPr>
    </w:p>
    <w:p>
      <w:pPr>
        <w:spacing w:line="360" w:lineRule="auto"/>
        <w:ind w:left="424" w:leftChars="1" w:hanging="422" w:hangingChars="201"/>
        <w:rPr>
          <w:rFonts w:ascii="宋体" w:hAnsi="宋体"/>
          <w:color w:val="333333"/>
          <w:shd w:val="clear" w:color="auto" w:fill="FFFFFF"/>
        </w:rPr>
      </w:pPr>
      <w:r>
        <w:rPr>
          <w:rFonts w:ascii="宋体" w:hAnsi="宋体"/>
          <w:color w:val="333333"/>
          <w:shd w:val="clear" w:color="auto" w:fill="FFFFFF"/>
        </w:rPr>
        <w:t>注：1.</w:t>
      </w:r>
      <w:r>
        <w:rPr>
          <w:rFonts w:hint="eastAsia" w:ascii="宋体" w:hAnsi="宋体"/>
          <w:color w:val="333333"/>
          <w:shd w:val="clear" w:color="auto" w:fill="FFFFFF"/>
        </w:rPr>
        <w:t>产品如有型号，请在“产品名称”栏一并填写</w:t>
      </w:r>
      <w:r>
        <w:rPr>
          <w:rFonts w:ascii="宋体" w:hAnsi="宋体"/>
          <w:color w:val="333333"/>
          <w:shd w:val="clear" w:color="auto" w:fill="FFFFFF"/>
        </w:rPr>
        <w:t>。</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2.生产厂名与厂址应与生产厂营业执照载明的相关信息保持一致。</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3.该产品的中国境内生产的组件成本占比相关要求实施前，“规定比例”栏可不填。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4.该产品的关键组件要求实施前，“关键组件”栏可不填。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5.该产品的关键工序要求实施前，“关键工序”栏可不填。</w:t>
      </w:r>
    </w:p>
    <w:p>
      <w:pPr>
        <w:spacing w:line="360" w:lineRule="auto"/>
        <w:ind w:left="420" w:leftChars="200"/>
        <w:rPr>
          <w:rFonts w:ascii="宋体" w:hAnsi="宋体"/>
          <w:color w:val="333333"/>
          <w:shd w:val="clear" w:color="auto" w:fill="FFFFFF"/>
        </w:rPr>
      </w:pPr>
      <w:r>
        <w:rPr>
          <w:rFonts w:hint="eastAsia" w:ascii="宋体" w:hAnsi="宋体"/>
          <w:color w:val="333333"/>
          <w:shd w:val="clear" w:color="auto" w:fill="FFFFFF"/>
        </w:rPr>
        <w:t>6</w:t>
      </w:r>
      <w:r>
        <w:rPr>
          <w:rFonts w:ascii="宋体" w:hAnsi="宋体"/>
          <w:color w:val="333333"/>
          <w:shd w:val="clear" w:color="auto" w:fill="FFFFFF"/>
        </w:rPr>
        <w:t>.</w:t>
      </w:r>
      <w:r>
        <w:rPr>
          <w:rFonts w:hint="eastAsia" w:ascii="宋体" w:hAnsi="宋体"/>
          <w:color w:val="333333"/>
          <w:shd w:val="clear" w:color="auto" w:fill="FFFFFF"/>
        </w:rPr>
        <w:t>当单个采购包中含有多种产品，投标人还需在本函之后附上为采购包提供的全部产品的成本之和，以及符合本国产品标准的产品成本之和，以便评标委员会计算本国产品成本比例。（参考格式附后）</w:t>
      </w:r>
    </w:p>
    <w:p>
      <w:pPr>
        <w:rPr>
          <w:rFonts w:ascii="宋体" w:hAnsi="宋体"/>
        </w:rPr>
      </w:pPr>
    </w:p>
    <w:p>
      <w:pPr>
        <w:pStyle w:val="45"/>
        <w:shd w:val="clear" w:color="auto" w:fill="FFFFFF"/>
        <w:spacing w:before="30" w:beforeAutospacing="0" w:after="30" w:afterAutospacing="0"/>
        <w:jc w:val="center"/>
        <w:rPr>
          <w:rStyle w:val="55"/>
          <w:sz w:val="36"/>
          <w:szCs w:val="36"/>
        </w:rPr>
      </w:pPr>
      <w:r>
        <w:rPr>
          <w:rStyle w:val="55"/>
          <w:rFonts w:hint="eastAsia"/>
          <w:sz w:val="36"/>
          <w:szCs w:val="36"/>
        </w:rPr>
        <w:t>所投产品成本汇总信息</w:t>
      </w:r>
    </w:p>
    <w:p>
      <w:pPr>
        <w:pStyle w:val="45"/>
        <w:shd w:val="clear" w:color="auto" w:fill="FFFFFF"/>
        <w:spacing w:before="30" w:beforeAutospacing="0" w:after="30" w:afterAutospacing="0"/>
        <w:rPr>
          <w:rStyle w:val="55"/>
          <w:sz w:val="36"/>
          <w:szCs w:val="36"/>
        </w:rPr>
      </w:pP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本公司（单位）郑重声明，我公司已阅读并理解《国务院办公厅关于在政府采购中实施本国产品标准及相关政策的通知》（国办发〔2025〕34号）的规定。据此声明如下：</w:t>
      </w: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本公司在本项目中提供的</w:t>
      </w:r>
    </w:p>
    <w:p>
      <w:pPr>
        <w:spacing w:line="360" w:lineRule="auto"/>
        <w:ind w:firstLine="480" w:firstLineChars="200"/>
        <w:rPr>
          <w:rFonts w:ascii="宋体" w:hAnsi="宋体"/>
          <w:spacing w:val="6"/>
          <w:sz w:val="24"/>
        </w:rPr>
      </w:pPr>
      <w:r>
        <w:rPr>
          <w:rFonts w:hint="eastAsia" w:ascii="宋体" w:hAnsi="宋体"/>
          <w:color w:val="333333"/>
          <w:sz w:val="24"/>
          <w:shd w:val="clear" w:color="auto" w:fill="FFFFFF"/>
        </w:rPr>
        <w:t>（1）符合本国产品标准的产品成本之和为人民币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（2）全部产品成本之和</w:t>
      </w:r>
      <w:r>
        <w:rPr>
          <w:rFonts w:hint="eastAsia" w:ascii="宋体" w:hAnsi="宋体"/>
          <w:color w:val="333333"/>
          <w:sz w:val="24"/>
          <w:shd w:val="clear" w:color="auto" w:fill="FFFFFF"/>
        </w:rPr>
        <w:t>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（3）成本比例计算：（1）/（2）=</w:t>
      </w:r>
      <w:r>
        <w:rPr>
          <w:rFonts w:ascii="宋体" w:hAnsi="宋体"/>
          <w:spacing w:val="6"/>
          <w:sz w:val="24"/>
        </w:rPr>
        <w:t>______%</w:t>
      </w:r>
    </w:p>
    <w:p>
      <w:pPr>
        <w:spacing w:line="360" w:lineRule="auto"/>
        <w:ind w:firstLine="480" w:firstLineChars="200"/>
        <w:rPr>
          <w:rFonts w:ascii="宋体" w:hAnsi="宋体"/>
          <w:sz w:val="24"/>
        </w:rPr>
      </w:pPr>
    </w:p>
    <w:p>
      <w:pPr>
        <w:pStyle w:val="45"/>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5"/>
        <w:shd w:val="clear" w:color="auto" w:fill="FFFFFF"/>
        <w:spacing w:before="0" w:beforeAutospacing="0" w:after="0" w:afterAutospacing="0" w:line="360" w:lineRule="auto"/>
        <w:ind w:right="480"/>
        <w:jc w:val="right"/>
        <w:rPr>
          <w:szCs w:val="20"/>
          <w:u w:val="single"/>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r>
        <w:br w:type="page"/>
      </w:r>
    </w:p>
    <w:p>
      <w:pPr>
        <w:pStyle w:val="6"/>
        <w:rPr>
          <w:rFonts w:hAnsi="宋体" w:cs="宋体"/>
          <w:color w:val="000000" w:themeColor="text1"/>
          <w14:textFill>
            <w14:solidFill>
              <w14:schemeClr w14:val="tx1"/>
            </w14:solidFill>
          </w14:textFill>
        </w:rPr>
      </w:pPr>
      <w:r>
        <w:rPr>
          <w:rFonts w:hAnsi="宋体" w:cs="宋体"/>
          <w:b w:val="0"/>
          <w:color w:val="000000" w:themeColor="text1"/>
          <w:szCs w:val="24"/>
          <w:u w:val="none"/>
          <w14:textFill>
            <w14:solidFill>
              <w14:schemeClr w14:val="tx1"/>
            </w14:solidFill>
          </w14:textFill>
        </w:rPr>
        <w:t>9</w:t>
      </w:r>
      <w:r>
        <w:rPr>
          <w:rFonts w:hint="eastAsia" w:hAnsi="宋体" w:cs="宋体"/>
          <w:b w:val="0"/>
          <w:color w:val="000000" w:themeColor="text1"/>
          <w:szCs w:val="24"/>
          <w:u w:val="none"/>
          <w14:textFill>
            <w14:solidFill>
              <w14:schemeClr w14:val="tx1"/>
            </w14:solidFill>
          </w14:textFill>
        </w:rPr>
        <w:t xml:space="preserve">  拟分包情况说明（本项目不适用）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1"/>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（勾选）</w:t>
            </w:r>
          </w:p>
        </w:tc>
        <w:tc>
          <w:tcPr>
            <w:tcW w:w="1125"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61"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7"/>
              <w:jc w:val="center"/>
              <w:rPr>
                <w:color w:val="000000" w:themeColor="text1"/>
                <w:sz w:val="24"/>
                <w:lang w:eastAsia="zh-CN"/>
                <w14:textFill>
                  <w14:solidFill>
                    <w14:schemeClr w14:val="tx1"/>
                  </w14:solidFill>
                </w14:textFill>
              </w:rPr>
            </w:pPr>
            <w:r>
              <w:rPr>
                <w:rFonts w:hint="eastAsia"/>
                <w:b/>
                <w:bCs/>
                <w:color w:val="000000" w:themeColor="text1"/>
                <w:spacing w:val="-7"/>
                <w:sz w:val="24"/>
                <w:szCs w:val="24"/>
                <w:lang w:eastAsia="zh-CN"/>
                <w14:textFill>
                  <w14:solidFill>
                    <w14:schemeClr w14:val="tx1"/>
                  </w14:solidFill>
                </w14:textFill>
              </w:rPr>
              <w:t>占合同金额</w:t>
            </w:r>
            <w:r>
              <w:rPr>
                <w:rFonts w:hint="eastAsia"/>
                <w:b/>
                <w:bCs/>
                <w:color w:val="000000" w:themeColor="text1"/>
                <w:spacing w:val="1"/>
                <w:sz w:val="24"/>
                <w:szCs w:val="24"/>
                <w:lang w:eastAsia="zh-CN"/>
                <w14:textFill>
                  <w14:solidFill>
                    <w14:schemeClr w14:val="tx1"/>
                  </w14:solidFill>
                </w14:textFill>
              </w:rPr>
              <w:t>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7"/>
              <w:jc w:val="center"/>
              <w:rPr>
                <w:color w:val="000000" w:themeColor="text1"/>
                <w:sz w:val="30"/>
                <w:lang w:eastAsia="zh-CN"/>
                <w14:textFill>
                  <w14:solidFill>
                    <w14:schemeClr w14:val="tx1"/>
                  </w14:solidFill>
                </w14:textFill>
              </w:rPr>
            </w:pPr>
          </w:p>
        </w:tc>
        <w:tc>
          <w:tcPr>
            <w:tcW w:w="1561" w:type="dxa"/>
            <w:vAlign w:val="center"/>
          </w:tcPr>
          <w:p>
            <w:pPr>
              <w:pStyle w:val="257"/>
              <w:jc w:val="center"/>
              <w:rPr>
                <w:color w:val="000000" w:themeColor="text1"/>
                <w:sz w:val="30"/>
                <w:lang w:eastAsia="zh-CN"/>
                <w14:textFill>
                  <w14:solidFill>
                    <w14:schemeClr w14:val="tx1"/>
                  </w14:solidFill>
                </w14:textFill>
              </w:rPr>
            </w:pPr>
          </w:p>
        </w:tc>
        <w:tc>
          <w:tcPr>
            <w:tcW w:w="1498" w:type="dxa"/>
            <w:vAlign w:val="center"/>
          </w:tcPr>
          <w:p>
            <w:pPr>
              <w:pStyle w:val="257"/>
              <w:jc w:val="center"/>
              <w:rPr>
                <w:color w:val="000000" w:themeColor="text1"/>
                <w:sz w:val="30"/>
                <w:lang w:eastAsia="zh-CN"/>
                <w14:textFill>
                  <w14:solidFill>
                    <w14:schemeClr w14:val="tx1"/>
                  </w14:solidFill>
                </w14:textFill>
              </w:rPr>
            </w:pPr>
          </w:p>
        </w:tc>
        <w:tc>
          <w:tcPr>
            <w:tcW w:w="1564" w:type="dxa"/>
            <w:vAlign w:val="center"/>
          </w:tcPr>
          <w:p>
            <w:pPr>
              <w:pStyle w:val="257"/>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7"/>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7"/>
              <w:jc w:val="center"/>
              <w:rPr>
                <w:color w:val="000000" w:themeColor="text1"/>
                <w:sz w:val="30"/>
                <w:lang w:eastAsia="zh-CN"/>
                <w14:textFill>
                  <w14:solidFill>
                    <w14:schemeClr w14:val="tx1"/>
                  </w14:solidFill>
                </w14:textFill>
              </w:rPr>
            </w:pPr>
          </w:p>
        </w:tc>
        <w:tc>
          <w:tcPr>
            <w:tcW w:w="1561" w:type="dxa"/>
            <w:vAlign w:val="center"/>
          </w:tcPr>
          <w:p>
            <w:pPr>
              <w:pStyle w:val="257"/>
              <w:jc w:val="center"/>
              <w:rPr>
                <w:color w:val="000000" w:themeColor="text1"/>
                <w:sz w:val="30"/>
                <w:lang w:eastAsia="zh-CN"/>
                <w14:textFill>
                  <w14:solidFill>
                    <w14:schemeClr w14:val="tx1"/>
                  </w14:solidFill>
                </w14:textFill>
              </w:rPr>
            </w:pPr>
          </w:p>
        </w:tc>
        <w:tc>
          <w:tcPr>
            <w:tcW w:w="1498" w:type="dxa"/>
            <w:vAlign w:val="center"/>
          </w:tcPr>
          <w:p>
            <w:pPr>
              <w:pStyle w:val="257"/>
              <w:jc w:val="center"/>
              <w:rPr>
                <w:color w:val="000000" w:themeColor="text1"/>
                <w:sz w:val="30"/>
                <w:lang w:eastAsia="zh-CN"/>
                <w14:textFill>
                  <w14:solidFill>
                    <w14:schemeClr w14:val="tx1"/>
                  </w14:solidFill>
                </w14:textFill>
              </w:rPr>
            </w:pPr>
          </w:p>
        </w:tc>
        <w:tc>
          <w:tcPr>
            <w:tcW w:w="1564" w:type="dxa"/>
            <w:vAlign w:val="center"/>
          </w:tcPr>
          <w:p>
            <w:pPr>
              <w:pStyle w:val="257"/>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jc w:val="center"/>
              <w:rPr>
                <w:color w:val="000000" w:themeColor="text1"/>
                <w:sz w:val="24"/>
                <w14:textFill>
                  <w14:solidFill>
                    <w14:schemeClr w14:val="tx1"/>
                  </w14:solidFill>
                </w14:textFill>
              </w:rPr>
            </w:pPr>
          </w:p>
        </w:tc>
        <w:tc>
          <w:tcPr>
            <w:tcW w:w="1125" w:type="dxa"/>
            <w:vAlign w:val="center"/>
          </w:tcPr>
          <w:p>
            <w:pPr>
              <w:pStyle w:val="257"/>
              <w:jc w:val="center"/>
              <w:rPr>
                <w:color w:val="000000" w:themeColor="text1"/>
                <w:sz w:val="30"/>
                <w14:textFill>
                  <w14:solidFill>
                    <w14:schemeClr w14:val="tx1"/>
                  </w14:solidFill>
                </w14:textFill>
              </w:rPr>
            </w:pPr>
          </w:p>
        </w:tc>
        <w:tc>
          <w:tcPr>
            <w:tcW w:w="1561" w:type="dxa"/>
            <w:vAlign w:val="center"/>
          </w:tcPr>
          <w:p>
            <w:pPr>
              <w:pStyle w:val="257"/>
              <w:jc w:val="center"/>
              <w:rPr>
                <w:color w:val="000000" w:themeColor="text1"/>
                <w:sz w:val="30"/>
                <w14:textFill>
                  <w14:solidFill>
                    <w14:schemeClr w14:val="tx1"/>
                  </w14:solidFill>
                </w14:textFill>
              </w:rPr>
            </w:pPr>
          </w:p>
        </w:tc>
        <w:tc>
          <w:tcPr>
            <w:tcW w:w="1498" w:type="dxa"/>
            <w:vAlign w:val="center"/>
          </w:tcPr>
          <w:p>
            <w:pPr>
              <w:pStyle w:val="257"/>
              <w:jc w:val="center"/>
              <w:rPr>
                <w:color w:val="000000" w:themeColor="text1"/>
                <w:sz w:val="30"/>
                <w14:textFill>
                  <w14:solidFill>
                    <w14:schemeClr w14:val="tx1"/>
                  </w14:solidFill>
                </w14:textFill>
              </w:rPr>
            </w:pPr>
          </w:p>
        </w:tc>
        <w:tc>
          <w:tcPr>
            <w:tcW w:w="1564" w:type="dxa"/>
            <w:vAlign w:val="center"/>
          </w:tcPr>
          <w:p>
            <w:pPr>
              <w:pStyle w:val="257"/>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7"/>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7"/>
              <w:jc w:val="center"/>
              <w:rPr>
                <w:color w:val="000000" w:themeColor="text1"/>
                <w:sz w:val="30"/>
                <w14:textFill>
                  <w14:solidFill>
                    <w14:schemeClr w14:val="tx1"/>
                  </w14:solidFill>
                </w14:textFill>
              </w:rPr>
            </w:pPr>
          </w:p>
        </w:tc>
        <w:tc>
          <w:tcPr>
            <w:tcW w:w="1564" w:type="dxa"/>
            <w:vAlign w:val="center"/>
          </w:tcPr>
          <w:p>
            <w:pPr>
              <w:pStyle w:val="257"/>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注： </w:t>
      </w:r>
    </w:p>
    <w:p>
      <w:pPr>
        <w:pStyle w:val="20"/>
        <w:spacing w:before="174" w:line="301" w:lineRule="auto"/>
        <w:ind w:left="25" w:right="156" w:firstLine="472"/>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1.如本项目（包）允许分包，且投标人拟进行分</w:t>
      </w:r>
      <w:r>
        <w:rPr>
          <w:rFonts w:hint="eastAsia" w:cs="宋体"/>
          <w:color w:val="000000" w:themeColor="text1"/>
          <w:spacing w:val="-3"/>
          <w14:textFill>
            <w14:solidFill>
              <w14:schemeClr w14:val="tx1"/>
            </w14:solidFill>
          </w14:textFill>
        </w:rPr>
        <w:t>包时，必须提供；如未提供，或提供</w:t>
      </w:r>
      <w:r>
        <w:rPr>
          <w:rFonts w:hint="eastAsia" w:cs="宋体"/>
          <w:color w:val="000000" w:themeColor="text1"/>
          <w:spacing w:val="-1"/>
          <w14:textFill>
            <w14:solidFill>
              <w14:schemeClr w14:val="tx1"/>
            </w14:solidFill>
          </w14:textFill>
        </w:rPr>
        <w:t>了但未填写分包承担主体名称、拟分包合同内容、拟分包合同金额，</w:t>
      </w:r>
      <w:r>
        <w:rPr>
          <w:rFonts w:hint="eastAsia" w:cs="宋体"/>
          <w:b/>
          <w:bCs/>
          <w:color w:val="000000" w:themeColor="text1"/>
          <w:spacing w:val="-1"/>
          <w14:textFill>
            <w14:solidFill>
              <w14:schemeClr w14:val="tx1"/>
            </w14:solidFill>
          </w14:textFill>
        </w:rPr>
        <w:t>投标无效</w:t>
      </w:r>
      <w:r>
        <w:rPr>
          <w:rFonts w:hint="eastAsia" w:cs="宋体"/>
          <w:color w:val="000000" w:themeColor="text1"/>
          <w:spacing w:val="-1"/>
          <w14:textFill>
            <w14:solidFill>
              <w14:schemeClr w14:val="tx1"/>
            </w14:solidFill>
          </w14:textFill>
        </w:rPr>
        <w:t>。</w:t>
      </w:r>
    </w:p>
    <w:p>
      <w:pPr>
        <w:pStyle w:val="20"/>
        <w:spacing w:before="11" w:line="302" w:lineRule="auto"/>
        <w:ind w:left="3" w:firstLine="460"/>
        <w:rPr>
          <w:rFonts w:cs="宋体"/>
          <w:color w:val="000000" w:themeColor="text1"/>
          <w14:textFill>
            <w14:solidFill>
              <w14:schemeClr w14:val="tx1"/>
            </w14:solidFill>
          </w14:textFill>
        </w:rPr>
      </w:pPr>
      <w:r>
        <w:rPr>
          <w:rFonts w:hint="eastAsia" w:cs="宋体"/>
          <w:color w:val="000000" w:themeColor="text1"/>
          <w:spacing w:val="-5"/>
          <w14:textFill>
            <w14:solidFill>
              <w14:schemeClr w14:val="tx1"/>
            </w14:solidFill>
          </w14:textFill>
        </w:rPr>
        <w:t>2.</w:t>
      </w:r>
      <w:r>
        <w:rPr>
          <w:rFonts w:hint="eastAsia"/>
        </w:rPr>
        <w:t xml:space="preserve"> </w:t>
      </w:r>
      <w:r>
        <w:rPr>
          <w:rFonts w:hint="eastAsia" w:cs="宋体"/>
          <w:color w:val="000000" w:themeColor="text1"/>
          <w:spacing w:val="-5"/>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cs="宋体"/>
          <w:color w:val="000000" w:themeColor="text1"/>
          <w:spacing w:val="-2"/>
          <w14:textFill>
            <w14:solidFill>
              <w14:schemeClr w14:val="tx1"/>
            </w14:solidFill>
          </w14:textFill>
        </w:rPr>
        <w:t>，否则</w:t>
      </w:r>
      <w:r>
        <w:rPr>
          <w:rFonts w:hint="eastAsia" w:cs="宋体"/>
          <w:b/>
          <w:bCs/>
          <w:color w:val="000000" w:themeColor="text1"/>
          <w:spacing w:val="-2"/>
          <w14:textFill>
            <w14:solidFill>
              <w14:schemeClr w14:val="tx1"/>
            </w14:solidFill>
          </w14:textFill>
        </w:rPr>
        <w:t>投标</w:t>
      </w:r>
      <w:r>
        <w:rPr>
          <w:rFonts w:hint="eastAsia" w:cs="宋体"/>
          <w:b/>
          <w:bCs/>
          <w:color w:val="000000" w:themeColor="text1"/>
          <w:spacing w:val="-1"/>
          <w14:textFill>
            <w14:solidFill>
              <w14:schemeClr w14:val="tx1"/>
            </w14:solidFill>
          </w14:textFill>
        </w:rPr>
        <w:t>无效</w:t>
      </w:r>
      <w:r>
        <w:rPr>
          <w:rFonts w:hint="eastAsia" w:cs="宋体"/>
          <w:color w:val="000000" w:themeColor="text1"/>
          <w:spacing w:val="-1"/>
          <w14:textFill>
            <w14:solidFill>
              <w14:schemeClr w14:val="tx1"/>
            </w14:solidFill>
          </w14:textFill>
        </w:rPr>
        <w:t>。</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3.投标人“为落实政府采购政策”而向中小企业分包时请仔细阅读资格证明文件格式</w:t>
      </w:r>
      <w:r>
        <w:rPr>
          <w:rFonts w:hint="eastAsia" w:ascii="宋体" w:hAnsi="宋体" w:cs="宋体"/>
          <w:color w:val="000000" w:themeColor="text1"/>
          <w:sz w:val="24"/>
          <w14:textFill>
            <w14:solidFill>
              <w14:schemeClr w14:val="tx1"/>
            </w14:solidFill>
          </w14:textFill>
        </w:rPr>
        <w:t xml:space="preserve">    2-1中说明，并建议按要求在资格证明文件中提供相关全部文件；投</w:t>
      </w:r>
      <w:r>
        <w:rPr>
          <w:rFonts w:hint="eastAsia" w:ascii="宋体" w:hAnsi="宋体" w:cs="宋体"/>
          <w:color w:val="000000" w:themeColor="text1"/>
          <w:spacing w:val="-1"/>
          <w:sz w:val="24"/>
          <w14:textFill>
            <w14:solidFill>
              <w14:schemeClr w14:val="tx1"/>
            </w14:solidFill>
          </w14:textFill>
        </w:rPr>
        <w:t>标人非“为落实政</w:t>
      </w:r>
      <w:r>
        <w:rPr>
          <w:rFonts w:hint="eastAsia" w:ascii="宋体" w:hAnsi="宋体" w:cs="宋体"/>
          <w:color w:val="000000" w:themeColor="text1"/>
          <w:sz w:val="24"/>
          <w14:textFill>
            <w14:solidFill>
              <w14:schemeClr w14:val="tx1"/>
            </w14:solidFill>
          </w14:textFill>
        </w:rPr>
        <w:t xml:space="preserve"> 府采购政策”而向中小企业分包时，建议在本册提供。</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ind w:right="480" w:firstLine="480" w:firstLineChars="20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投标人名称（盖章）：______</w:t>
      </w:r>
    </w:p>
    <w:p>
      <w:pPr>
        <w:adjustRightInd w:val="0"/>
        <w:snapToGrid w:val="0"/>
        <w:spacing w:line="360" w:lineRule="auto"/>
        <w:ind w:firstLine="480" w:firstLineChars="20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pStyle w:val="20"/>
        <w:tabs>
          <w:tab w:val="left" w:pos="3460"/>
          <w:tab w:val="clear" w:pos="567"/>
        </w:tabs>
        <w:spacing w:before="328" w:line="205" w:lineRule="auto"/>
        <w:ind w:left="2" w:leftChars="-1" w:hanging="4" w:hangingChars="1"/>
        <w:jc w:val="center"/>
        <w:rPr>
          <w:rFonts w:cs="宋体"/>
          <w:color w:val="000000" w:themeColor="text1"/>
          <w:sz w:val="35"/>
          <w:szCs w:val="35"/>
          <w14:textFill>
            <w14:solidFill>
              <w14:schemeClr w14:val="tx1"/>
            </w14:solidFill>
          </w14:textFill>
        </w:rPr>
      </w:pPr>
      <w:r>
        <w:rPr>
          <w:rFonts w:hint="eastAsia" w:cs="宋体"/>
          <w:b/>
          <w:bCs/>
          <w:color w:val="000000" w:themeColor="text1"/>
          <w:spacing w:val="9"/>
          <w:sz w:val="35"/>
          <w:szCs w:val="35"/>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pStyle w:val="20"/>
        <w:spacing w:before="103" w:line="360" w:lineRule="auto"/>
        <w:jc w:val="right"/>
        <w:rPr>
          <w:rFonts w:cs="宋体"/>
          <w:color w:val="000000" w:themeColor="text1"/>
          <w14:textFill>
            <w14:solidFill>
              <w14:schemeClr w14:val="tx1"/>
            </w14:solidFill>
          </w14:textFill>
        </w:rPr>
      </w:pPr>
      <w:r>
        <w:rPr>
          <w:rFonts w:hint="eastAsia" w:cs="宋体"/>
          <w:color w:val="000000" w:themeColor="text1"/>
          <w:szCs w:val="20"/>
          <w14:textFill>
            <w14:solidFill>
              <w14:schemeClr w14:val="tx1"/>
            </w14:solidFill>
          </w14:textFill>
        </w:rPr>
        <w:t>日期：_____年______月______日</w:t>
      </w: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pStyle w:val="20"/>
        <w:spacing w:before="104" w:line="360" w:lineRule="auto"/>
        <w:ind w:left="10" w:firstLine="456"/>
        <w:rPr>
          <w:rFonts w:cs="宋体"/>
          <w:color w:val="000000" w:themeColor="text1"/>
          <w14:textFill>
            <w14:solidFill>
              <w14:schemeClr w14:val="tx1"/>
            </w14:solidFill>
          </w14:textFill>
        </w:rPr>
      </w:pPr>
      <w:r>
        <w:rPr>
          <w:rFonts w:hint="eastAsia" w:cs="宋体"/>
          <w:color w:val="000000" w:themeColor="text1"/>
          <w:spacing w:val="-6"/>
          <w14:textFill>
            <w14:solidFill>
              <w14:schemeClr w14:val="tx1"/>
            </w14:solidFill>
          </w14:textFill>
        </w:rPr>
        <w:t>注：</w:t>
      </w:r>
    </w:p>
    <w:p>
      <w:pPr>
        <w:pStyle w:val="20"/>
        <w:spacing w:before="176" w:line="360" w:lineRule="auto"/>
        <w:ind w:left="2" w:right="72" w:firstLine="48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1.投标人“为落实政府采购政策”而向中小企业分包时必须提供，否则</w:t>
      </w:r>
      <w:r>
        <w:rPr>
          <w:rFonts w:hint="eastAsia" w:cs="宋体"/>
          <w:b/>
          <w:bCs/>
          <w:color w:val="000000" w:themeColor="text1"/>
          <w14:textFill>
            <w14:solidFill>
              <w14:schemeClr w14:val="tx1"/>
            </w14:solidFill>
          </w14:textFill>
        </w:rPr>
        <w:t>投标无效</w:t>
      </w:r>
      <w:r>
        <w:rPr>
          <w:rFonts w:hint="eastAsia" w:cs="宋体"/>
          <w:color w:val="000000" w:themeColor="text1"/>
          <w14:textFill>
            <w14:solidFill>
              <w14:schemeClr w14:val="tx1"/>
            </w14:solidFill>
          </w14:textFill>
        </w:rPr>
        <w:t>；且建</w:t>
      </w:r>
      <w:r>
        <w:rPr>
          <w:rFonts w:hint="eastAsia" w:cs="宋体"/>
          <w:color w:val="000000" w:themeColor="text1"/>
          <w:spacing w:val="-1"/>
          <w14:textFill>
            <w14:solidFill>
              <w14:schemeClr w14:val="tx1"/>
            </w14:solidFill>
          </w14:textFill>
        </w:rPr>
        <w:t>议按照采购文件要求在资格证明文件部分提供；</w:t>
      </w:r>
    </w:p>
    <w:p>
      <w:pPr>
        <w:pStyle w:val="20"/>
        <w:spacing w:before="175" w:line="360" w:lineRule="auto"/>
        <w:ind w:left="5" w:firstLine="476"/>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2.投标人满足《政府采购促进中小企业发展管理办</w:t>
      </w:r>
      <w:r>
        <w:rPr>
          <w:rFonts w:hint="eastAsia" w:cs="宋体"/>
          <w:color w:val="000000" w:themeColor="text1"/>
          <w:spacing w:val="-2"/>
          <w14:textFill>
            <w14:solidFill>
              <w14:schemeClr w14:val="tx1"/>
            </w14:solidFill>
          </w14:textFill>
        </w:rPr>
        <w:t>法》（财库〔2020〕46 号）第九条</w:t>
      </w:r>
      <w:r>
        <w:rPr>
          <w:rFonts w:hint="eastAsia" w:cs="宋体"/>
          <w:color w:val="000000" w:themeColor="text1"/>
          <w:spacing w:val="-3"/>
          <w14:textFill>
            <w14:solidFill>
              <w14:schemeClr w14:val="tx1"/>
            </w14:solidFill>
          </w14:textFill>
        </w:rPr>
        <w:t>有关规定</w:t>
      </w:r>
      <w:r>
        <w:rPr>
          <w:rFonts w:hint="eastAsia" w:cs="宋体"/>
          <w:color w:val="000000" w:themeColor="text1"/>
          <w:spacing w:val="-15"/>
          <w14:textFill>
            <w14:solidFill>
              <w14:schemeClr w14:val="tx1"/>
            </w14:solidFill>
          </w14:textFill>
        </w:rPr>
        <w:t>，</w:t>
      </w:r>
      <w:r>
        <w:rPr>
          <w:rFonts w:hint="eastAsia" w:cs="宋体"/>
          <w:color w:val="000000" w:themeColor="text1"/>
          <w:spacing w:val="-3"/>
          <w14:textFill>
            <w14:solidFill>
              <w14:schemeClr w14:val="tx1"/>
            </w14:solidFill>
          </w14:textFill>
        </w:rPr>
        <w:t>拟享受中小企业政策优惠措施的，仍需提供本协，否则不予认可；</w:t>
      </w:r>
    </w:p>
    <w:p>
      <w:pPr>
        <w:pStyle w:val="20"/>
        <w:spacing w:before="175" w:line="360" w:lineRule="auto"/>
        <w:ind w:left="5" w:firstLine="468"/>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 投标人须与所有拟分包单位分别签订《分包意向协议》，每单位签订一份，并在投标文件中提交全部协议原件的电子件，否则不予认可。</w:t>
      </w:r>
    </w:p>
    <w:p>
      <w:pPr>
        <w:rPr>
          <w:rFonts w:ascii="宋体" w:hAnsi="宋体"/>
          <w:color w:val="000000" w:themeColor="text1"/>
          <w14:textFill>
            <w14:solidFill>
              <w14:schemeClr w14:val="tx1"/>
            </w14:solidFill>
          </w14:textFill>
        </w:rPr>
      </w:pP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10</w:t>
      </w:r>
      <w:r>
        <w:rPr>
          <w:rFonts w:hint="eastAsia" w:hAnsi="宋体" w:cs="宋体"/>
          <w:b w:val="0"/>
          <w:color w:val="000000" w:themeColor="text1"/>
          <w:szCs w:val="24"/>
          <w:u w:val="none"/>
          <w14:textFill>
            <w14:solidFill>
              <w14:schemeClr w14:val="tx1"/>
            </w14:solidFill>
          </w14:textFill>
        </w:rPr>
        <w:t xml:space="preserve">  招标文件要求提供或投标人认为应附的其他材料</w:t>
      </w:r>
    </w:p>
    <w:p>
      <w:pPr>
        <w:pStyle w:val="7"/>
        <w:jc w:val="left"/>
        <w:rPr>
          <w:rFonts w:ascii="宋体" w:hAnsi="宋体" w:eastAsia="宋体"/>
          <w:b w:val="0"/>
          <w:sz w:val="24"/>
          <w:szCs w:val="24"/>
        </w:rPr>
      </w:pPr>
      <w:r>
        <w:rPr>
          <w:rFonts w:ascii="宋体" w:hAnsi="宋体" w:eastAsia="宋体"/>
          <w:b w:val="0"/>
          <w:sz w:val="24"/>
          <w:szCs w:val="24"/>
        </w:rPr>
        <w:t>10</w:t>
      </w:r>
      <w:r>
        <w:rPr>
          <w:rFonts w:hint="eastAsia" w:ascii="宋体" w:hAnsi="宋体" w:eastAsia="宋体"/>
          <w:b w:val="0"/>
          <w:sz w:val="24"/>
          <w:szCs w:val="24"/>
        </w:rPr>
        <w:t>-1 供应商信息采集表</w:t>
      </w:r>
    </w:p>
    <w:tbl>
      <w:tblPr>
        <w:tblStyle w:val="51"/>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pPr>
              <w:autoSpaceDE w:val="0"/>
              <w:autoSpaceDN w:val="0"/>
              <w:spacing w:before="43" w:line="195" w:lineRule="auto"/>
              <w:ind w:left="11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供应商名称</w:t>
            </w:r>
          </w:p>
        </w:tc>
        <w:tc>
          <w:tcPr>
            <w:tcW w:w="3095" w:type="dxa"/>
          </w:tcPr>
          <w:p>
            <w:pPr>
              <w:autoSpaceDE w:val="0"/>
              <w:autoSpaceDN w:val="0"/>
              <w:spacing w:before="43" w:line="195" w:lineRule="auto"/>
              <w:ind w:left="109"/>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供应商所属性别</w:t>
            </w:r>
          </w:p>
        </w:tc>
        <w:tc>
          <w:tcPr>
            <w:tcW w:w="3098" w:type="dxa"/>
          </w:tcPr>
          <w:p>
            <w:pPr>
              <w:autoSpaceDE w:val="0"/>
              <w:autoSpaceDN w:val="0"/>
              <w:spacing w:before="43" w:line="195" w:lineRule="auto"/>
              <w:ind w:left="11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外商投资类型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tcPr>
          <w:p>
            <w:pPr>
              <w:pStyle w:val="258"/>
              <w:rPr>
                <w:rFonts w:ascii="宋体" w:hAnsi="宋体" w:eastAsia="宋体" w:cs="宋体"/>
                <w:color w:val="000000" w:themeColor="text1"/>
                <w:sz w:val="22"/>
                <w14:textFill>
                  <w14:solidFill>
                    <w14:schemeClr w14:val="tx1"/>
                  </w14:solidFill>
                </w14:textFill>
              </w:rPr>
            </w:pPr>
          </w:p>
        </w:tc>
        <w:tc>
          <w:tcPr>
            <w:tcW w:w="3095" w:type="dxa"/>
          </w:tcPr>
          <w:p>
            <w:pPr>
              <w:pStyle w:val="258"/>
              <w:rPr>
                <w:rFonts w:ascii="宋体" w:hAnsi="宋体" w:eastAsia="宋体" w:cs="宋体"/>
                <w:color w:val="000000" w:themeColor="text1"/>
                <w:sz w:val="22"/>
                <w14:textFill>
                  <w14:solidFill>
                    <w14:schemeClr w14:val="tx1"/>
                  </w14:solidFill>
                </w14:textFill>
              </w:rPr>
            </w:pPr>
          </w:p>
        </w:tc>
        <w:tc>
          <w:tcPr>
            <w:tcW w:w="3098"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tcPr>
          <w:p>
            <w:pPr>
              <w:pStyle w:val="258"/>
              <w:rPr>
                <w:rFonts w:ascii="宋体" w:hAnsi="宋体" w:eastAsia="宋体" w:cs="宋体"/>
                <w:color w:val="000000" w:themeColor="text1"/>
                <w:sz w:val="22"/>
                <w14:textFill>
                  <w14:solidFill>
                    <w14:schemeClr w14:val="tx1"/>
                  </w14:solidFill>
                </w14:textFill>
              </w:rPr>
            </w:pPr>
          </w:p>
        </w:tc>
        <w:tc>
          <w:tcPr>
            <w:tcW w:w="3095" w:type="dxa"/>
          </w:tcPr>
          <w:p>
            <w:pPr>
              <w:pStyle w:val="258"/>
              <w:rPr>
                <w:rFonts w:ascii="宋体" w:hAnsi="宋体" w:eastAsia="宋体" w:cs="宋体"/>
                <w:color w:val="000000" w:themeColor="text1"/>
                <w:sz w:val="22"/>
                <w14:textFill>
                  <w14:solidFill>
                    <w14:schemeClr w14:val="tx1"/>
                  </w14:solidFill>
                </w14:textFill>
              </w:rPr>
            </w:pPr>
          </w:p>
        </w:tc>
        <w:tc>
          <w:tcPr>
            <w:tcW w:w="3098"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tcPr>
          <w:p>
            <w:pPr>
              <w:pStyle w:val="258"/>
              <w:rPr>
                <w:rFonts w:ascii="宋体" w:hAnsi="宋体" w:eastAsia="宋体" w:cs="宋体"/>
                <w:color w:val="000000" w:themeColor="text1"/>
                <w:sz w:val="22"/>
                <w14:textFill>
                  <w14:solidFill>
                    <w14:schemeClr w14:val="tx1"/>
                  </w14:solidFill>
                </w14:textFill>
              </w:rPr>
            </w:pPr>
          </w:p>
        </w:tc>
        <w:tc>
          <w:tcPr>
            <w:tcW w:w="3095" w:type="dxa"/>
          </w:tcPr>
          <w:p>
            <w:pPr>
              <w:pStyle w:val="258"/>
              <w:rPr>
                <w:rFonts w:ascii="宋体" w:hAnsi="宋体" w:eastAsia="宋体" w:cs="宋体"/>
                <w:color w:val="000000" w:themeColor="text1"/>
                <w:sz w:val="22"/>
                <w14:textFill>
                  <w14:solidFill>
                    <w14:schemeClr w14:val="tx1"/>
                  </w14:solidFill>
                </w14:textFill>
              </w:rPr>
            </w:pPr>
          </w:p>
        </w:tc>
        <w:tc>
          <w:tcPr>
            <w:tcW w:w="3098"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tcPr>
          <w:p>
            <w:pPr>
              <w:pStyle w:val="258"/>
              <w:rPr>
                <w:rFonts w:ascii="宋体" w:hAnsi="宋体" w:eastAsia="宋体" w:cs="宋体"/>
                <w:color w:val="000000" w:themeColor="text1"/>
                <w:sz w:val="22"/>
                <w14:textFill>
                  <w14:solidFill>
                    <w14:schemeClr w14:val="tx1"/>
                  </w14:solidFill>
                </w14:textFill>
              </w:rPr>
            </w:pPr>
          </w:p>
        </w:tc>
        <w:tc>
          <w:tcPr>
            <w:tcW w:w="3095" w:type="dxa"/>
          </w:tcPr>
          <w:p>
            <w:pPr>
              <w:pStyle w:val="258"/>
              <w:rPr>
                <w:rFonts w:ascii="宋体" w:hAnsi="宋体" w:eastAsia="宋体" w:cs="宋体"/>
                <w:color w:val="000000" w:themeColor="text1"/>
                <w:sz w:val="22"/>
                <w14:textFill>
                  <w14:solidFill>
                    <w14:schemeClr w14:val="tx1"/>
                  </w14:solidFill>
                </w14:textFill>
              </w:rPr>
            </w:pPr>
          </w:p>
        </w:tc>
        <w:tc>
          <w:tcPr>
            <w:tcW w:w="3098" w:type="dxa"/>
          </w:tcPr>
          <w:p>
            <w:pPr>
              <w:pStyle w:val="258"/>
              <w:rPr>
                <w:rFonts w:ascii="宋体" w:hAnsi="宋体" w:eastAsia="宋体" w:cs="宋体"/>
                <w:color w:val="000000" w:themeColor="text1"/>
                <w:sz w:val="22"/>
                <w14:textFill>
                  <w14:solidFill>
                    <w14:schemeClr w14:val="tx1"/>
                  </w14:solidFill>
                </w14:textFill>
              </w:rPr>
            </w:pPr>
          </w:p>
        </w:tc>
      </w:tr>
    </w:tbl>
    <w:p>
      <w:pPr>
        <w:pStyle w:val="20"/>
        <w:spacing w:before="39" w:line="360" w:lineRule="auto"/>
        <w:ind w:left="123" w:firstLine="476"/>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注：1.供应商如为联合体，则应填写联合体各成员信息。</w:t>
      </w:r>
    </w:p>
    <w:p>
      <w:pPr>
        <w:pStyle w:val="20"/>
        <w:spacing w:before="3" w:line="360" w:lineRule="auto"/>
        <w:ind w:left="118" w:right="36" w:firstLine="484"/>
        <w:rPr>
          <w:rFonts w:cs="宋体"/>
          <w:color w:val="000000" w:themeColor="text1"/>
          <w:spacing w:val="-1"/>
          <w14:textFill>
            <w14:solidFill>
              <w14:schemeClr w14:val="tx1"/>
            </w14:solidFill>
          </w14:textFill>
        </w:rPr>
      </w:pPr>
      <w:r>
        <w:rPr>
          <w:rFonts w:hint="eastAsia" w:cs="宋体"/>
          <w:color w:val="000000" w:themeColor="text1"/>
          <w:spacing w:val="1"/>
          <w14:textFill>
            <w14:solidFill>
              <w14:schemeClr w14:val="tx1"/>
            </w14:solidFill>
          </w14:textFill>
        </w:rPr>
        <w:t>2.供应商所属性别请填写“男”或“女”，指拥有供应商 51%以上绝对所有权的性别；</w:t>
      </w:r>
      <w:r>
        <w:rPr>
          <w:rFonts w:hint="eastAsia" w:cs="宋体"/>
          <w:color w:val="000000" w:themeColor="text1"/>
          <w14:textFill>
            <w14:solidFill>
              <w14:schemeClr w14:val="tx1"/>
            </w14:solidFill>
          </w14:textFill>
        </w:rPr>
        <w:t xml:space="preserve"> 绝对所有权拥有者可以是一个人，也可以是</w:t>
      </w:r>
      <w:r>
        <w:rPr>
          <w:rFonts w:hint="eastAsia" w:cs="宋体"/>
          <w:color w:val="000000" w:themeColor="text1"/>
          <w:spacing w:val="-1"/>
          <w14:textFill>
            <w14:solidFill>
              <w14:schemeClr w14:val="tx1"/>
            </w14:solidFill>
          </w14:textFill>
        </w:rPr>
        <w:t>多人合计计算。</w:t>
      </w:r>
    </w:p>
    <w:p>
      <w:pPr>
        <w:pStyle w:val="20"/>
        <w:spacing w:before="3" w:line="360" w:lineRule="auto"/>
        <w:ind w:left="118" w:right="36" w:firstLine="492"/>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3.外商投资类型请填写“外商单独投资”、“外商部分投资”或“内资”。</w:t>
      </w:r>
    </w:p>
    <w:p>
      <w:pPr>
        <w:widowControl/>
        <w:jc w:val="left"/>
        <w:rPr>
          <w:rFonts w:ascii="宋体" w:hAnsi="宋体" w:cs="宋体"/>
          <w:color w:val="000000" w:themeColor="text1"/>
          <w:spacing w:val="3"/>
          <w:sz w:val="24"/>
          <w14:textFill>
            <w14:solidFill>
              <w14:schemeClr w14:val="tx1"/>
            </w14:solidFill>
          </w14:textFill>
        </w:rPr>
      </w:pPr>
      <w:r>
        <w:rPr>
          <w:rFonts w:ascii="宋体" w:hAnsi="宋体" w:cs="宋体"/>
          <w:color w:val="000000" w:themeColor="text1"/>
          <w:spacing w:val="3"/>
          <w14:textFill>
            <w14:solidFill>
              <w14:schemeClr w14:val="tx1"/>
            </w14:solidFill>
          </w14:textFill>
        </w:rPr>
        <w:br w:type="page"/>
      </w:r>
    </w:p>
    <w:p>
      <w:pPr>
        <w:pStyle w:val="7"/>
        <w:jc w:val="left"/>
        <w:rPr>
          <w:rFonts w:ascii="宋体" w:hAnsi="宋体" w:eastAsia="宋体"/>
          <w:b w:val="0"/>
          <w:sz w:val="24"/>
          <w:szCs w:val="24"/>
        </w:rPr>
      </w:pPr>
      <w:bookmarkStart w:id="972" w:name="_Toc6182"/>
      <w:bookmarkStart w:id="973" w:name="_Toc1455919030"/>
      <w:r>
        <w:rPr>
          <w:rFonts w:ascii="宋体" w:hAnsi="宋体" w:eastAsia="宋体"/>
          <w:b w:val="0"/>
          <w:sz w:val="24"/>
          <w:szCs w:val="24"/>
        </w:rPr>
        <w:t>10</w:t>
      </w:r>
      <w:r>
        <w:rPr>
          <w:rFonts w:hint="eastAsia" w:ascii="宋体" w:hAnsi="宋体" w:eastAsia="宋体"/>
          <w:b w:val="0"/>
          <w:sz w:val="24"/>
          <w:szCs w:val="24"/>
        </w:rPr>
        <w:t>-2 业绩证明材料</w:t>
      </w:r>
      <w:bookmarkEnd w:id="972"/>
      <w:bookmarkEnd w:id="973"/>
    </w:p>
    <w:p>
      <w:pPr>
        <w:spacing w:line="360" w:lineRule="auto"/>
        <w:ind w:right="658"/>
        <w:rPr>
          <w:rFonts w:ascii="宋体" w:hAnsi="宋体" w:cs="宋体"/>
          <w:color w:val="000000" w:themeColor="text1"/>
          <w14:textFill>
            <w14:solidFill>
              <w14:schemeClr w14:val="tx1"/>
            </w14:solidFill>
          </w14:textFill>
        </w:rPr>
      </w:pPr>
    </w:p>
    <w:p>
      <w:pPr>
        <w:spacing w:line="360" w:lineRule="auto"/>
        <w:ind w:right="658"/>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1"/>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23"/>
        <w:gridCol w:w="823"/>
        <w:gridCol w:w="823"/>
        <w:gridCol w:w="1239"/>
        <w:gridCol w:w="1358"/>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项目内容</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合同价</w:t>
            </w:r>
          </w:p>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（金额）</w:t>
            </w: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项目年份</w:t>
            </w: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用户、联系电话、联系人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bl>
    <w:p>
      <w:pPr>
        <w:tabs>
          <w:tab w:val="left" w:pos="5580"/>
        </w:tabs>
        <w:spacing w:line="360" w:lineRule="auto"/>
        <w:ind w:left="1258"/>
        <w:rPr>
          <w:rFonts w:ascii="宋体" w:hAnsi="宋体" w:cs="宋体"/>
          <w:b/>
          <w:color w:val="000000" w:themeColor="text1"/>
          <w:sz w:val="24"/>
          <w14:textFill>
            <w14:solidFill>
              <w14:schemeClr w14:val="tx1"/>
            </w14:solidFill>
          </w14:textFill>
        </w:rPr>
      </w:pPr>
    </w:p>
    <w:p>
      <w:pPr>
        <w:pStyle w:val="5"/>
        <w:spacing w:line="360" w:lineRule="auto"/>
        <w:ind w:firstLine="720" w:firstLineChars="300"/>
        <w:rPr>
          <w:rFonts w:hAnsi="宋体" w:cs="宋体"/>
          <w:color w:val="000000" w:themeColor="text1"/>
          <w14:textFill>
            <w14:solidFill>
              <w14:schemeClr w14:val="tx1"/>
            </w14:solidFill>
          </w14:textFill>
        </w:rPr>
      </w:pPr>
      <w:bookmarkStart w:id="974" w:name="OLE_LINK195"/>
      <w:r>
        <w:rPr>
          <w:rFonts w:hint="eastAsia" w:hAnsi="宋体" w:cs="宋体"/>
          <w:color w:val="000000" w:themeColor="text1"/>
          <w14:textFill>
            <w14:solidFill>
              <w14:schemeClr w14:val="tx1"/>
            </w14:solidFill>
          </w14:textFill>
        </w:rPr>
        <w:t>说明：</w:t>
      </w:r>
    </w:p>
    <w:p>
      <w:pPr>
        <w:pStyle w:val="5"/>
        <w:numPr>
          <w:ilvl w:val="0"/>
          <w:numId w:val="18"/>
        </w:numPr>
        <w:spacing w:line="360" w:lineRule="auto"/>
        <w:rPr>
          <w:rFonts w:hAnsi="宋体" w:cs="宋体"/>
          <w:color w:val="000000" w:themeColor="text1"/>
          <w14:textFill>
            <w14:solidFill>
              <w14:schemeClr w14:val="tx1"/>
            </w14:solidFill>
          </w14:textFill>
        </w:rPr>
      </w:pPr>
      <w:bookmarkStart w:id="975" w:name="OLE_LINK194"/>
      <w:r>
        <w:rPr>
          <w:rFonts w:hint="eastAsia" w:hAnsi="宋体" w:cs="宋体"/>
        </w:rPr>
        <w:t>指</w:t>
      </w:r>
      <w:r>
        <w:rPr>
          <w:rFonts w:hint="eastAsia" w:hAnsi="宋体" w:cs="宋体"/>
          <w:kern w:val="0"/>
        </w:rPr>
        <w:t>类似项目业绩（以合同签约日期为准，具体要求详见评标标准）</w:t>
      </w:r>
      <w:r>
        <w:rPr>
          <w:rFonts w:hint="eastAsia" w:hAnsi="宋体" w:cs="宋体"/>
          <w:color w:val="000000" w:themeColor="text1"/>
          <w14:textFill>
            <w14:solidFill>
              <w14:schemeClr w14:val="tx1"/>
            </w14:solidFill>
          </w14:textFill>
        </w:rPr>
        <w:t>。</w:t>
      </w:r>
    </w:p>
    <w:p>
      <w:pPr>
        <w:pStyle w:val="5"/>
        <w:numPr>
          <w:ilvl w:val="0"/>
          <w:numId w:val="18"/>
        </w:numPr>
        <w:spacing w:line="360" w:lineRule="auto"/>
        <w:rPr>
          <w:rFonts w:hAnsi="宋体"/>
          <w:szCs w:val="21"/>
        </w:rPr>
      </w:pPr>
      <w:r>
        <w:rPr>
          <w:rFonts w:hint="eastAsia" w:hAnsi="宋体" w:cs="宋体"/>
        </w:rPr>
        <w:t>应提供其证明材料（</w:t>
      </w:r>
      <w:r>
        <w:rPr>
          <w:rFonts w:hint="eastAsia" w:hAnsi="宋体"/>
          <w:szCs w:val="21"/>
        </w:rPr>
        <w:t>合同首页、关键内容页、签字盖章页复印件加盖</w:t>
      </w:r>
    </w:p>
    <w:p>
      <w:pPr>
        <w:pStyle w:val="5"/>
        <w:spacing w:line="360" w:lineRule="auto"/>
        <w:ind w:left="1080" w:firstLine="0"/>
        <w:rPr>
          <w:rFonts w:hAnsi="宋体"/>
          <w:color w:val="000000" w:themeColor="text1"/>
          <w14:textFill>
            <w14:solidFill>
              <w14:schemeClr w14:val="tx1"/>
            </w14:solidFill>
          </w14:textFill>
        </w:rPr>
      </w:pPr>
      <w:r>
        <w:rPr>
          <w:rFonts w:hint="eastAsia" w:hAnsi="宋体"/>
          <w:szCs w:val="21"/>
        </w:rPr>
        <w:t>投标人公章</w:t>
      </w:r>
      <w:r>
        <w:rPr>
          <w:rFonts w:hint="eastAsia" w:hAnsi="宋体" w:cs="宋体"/>
        </w:rPr>
        <w:t>）</w:t>
      </w:r>
      <w:r>
        <w:rPr>
          <w:rFonts w:hint="eastAsia" w:hAnsi="宋体"/>
          <w:color w:val="000000" w:themeColor="text1"/>
          <w14:textFill>
            <w14:solidFill>
              <w14:schemeClr w14:val="tx1"/>
            </w14:solidFill>
          </w14:textFill>
        </w:rPr>
        <w:t>。</w:t>
      </w:r>
    </w:p>
    <w:p>
      <w:pPr>
        <w:pStyle w:val="5"/>
        <w:spacing w:line="360" w:lineRule="auto"/>
        <w:ind w:firstLine="720" w:firstLineChars="300"/>
        <w:rPr>
          <w:rFonts w:hAnsi="宋体" w:cs="宋体"/>
          <w:color w:val="000000" w:themeColor="text1"/>
          <w14:textFill>
            <w14:solidFill>
              <w14:schemeClr w14:val="tx1"/>
            </w14:solidFill>
          </w14:textFill>
        </w:rPr>
      </w:pPr>
      <w:r>
        <w:rPr>
          <w:rFonts w:hAnsi="宋体" w:cs="宋体"/>
          <w:color w:val="000000" w:themeColor="text1"/>
          <w14:textFill>
            <w14:solidFill>
              <w14:schemeClr w14:val="tx1"/>
            </w14:solidFill>
          </w14:textFill>
        </w:rPr>
        <w:t>3</w:t>
      </w:r>
      <w:r>
        <w:rPr>
          <w:rFonts w:hint="eastAsia" w:hAnsi="宋体" w:cs="宋体"/>
          <w:color w:val="000000" w:themeColor="text1"/>
          <w14:textFill>
            <w14:solidFill>
              <w14:schemeClr w14:val="tx1"/>
            </w14:solidFill>
          </w14:textFill>
        </w:rPr>
        <w:t>、</w:t>
      </w:r>
      <w:r>
        <w:rPr>
          <w:rFonts w:hint="eastAsia" w:hAnsi="宋体" w:cs="宋体"/>
        </w:rPr>
        <w:t>为证明业绩列表中的内容真实和有效，采购人保留审核原件的权利</w:t>
      </w:r>
      <w:r>
        <w:rPr>
          <w:rFonts w:hint="eastAsia" w:hAnsi="宋体" w:cs="宋体"/>
          <w:color w:val="000000" w:themeColor="text1"/>
          <w14:textFill>
            <w14:solidFill>
              <w14:schemeClr w14:val="tx1"/>
            </w14:solidFill>
          </w14:textFill>
        </w:rPr>
        <w:t>。</w:t>
      </w:r>
      <w:bookmarkEnd w:id="974"/>
      <w:bookmarkEnd w:id="975"/>
    </w:p>
    <w:p>
      <w:pPr>
        <w:pStyle w:val="27"/>
        <w:tabs>
          <w:tab w:val="left" w:pos="5580"/>
        </w:tabs>
        <w:spacing w:line="360" w:lineRule="auto"/>
        <w:rPr>
          <w:rFonts w:hint="default" w:hAnsi="宋体" w:cs="宋体"/>
          <w:color w:val="000000" w:themeColor="text1"/>
          <w:sz w:val="24"/>
          <w:szCs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widowControl/>
        <w:jc w:val="lef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日期：_____年______月______日</w:t>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cs="宋体"/>
          <w:color w:val="000000" w:themeColor="text1"/>
          <w14:textFill>
            <w14:solidFill>
              <w14:schemeClr w14:val="tx1"/>
            </w14:solidFill>
          </w14:textFill>
        </w:rPr>
        <w:br w:type="page"/>
      </w:r>
      <w:bookmarkStart w:id="976" w:name="_Toc188382274"/>
      <w:r>
        <w:rPr>
          <w:rFonts w:ascii="宋体" w:hAnsi="宋体" w:eastAsia="宋体"/>
          <w:b w:val="0"/>
          <w:sz w:val="24"/>
          <w:szCs w:val="24"/>
        </w:rPr>
        <w:t>10</w:t>
      </w:r>
      <w:r>
        <w:rPr>
          <w:rFonts w:hint="eastAsia" w:ascii="宋体" w:hAnsi="宋体" w:eastAsia="宋体"/>
          <w:b w:val="0"/>
          <w:sz w:val="24"/>
          <w:szCs w:val="24"/>
        </w:rPr>
        <w:t>-3 招标文件要求提供的其他资料</w:t>
      </w:r>
    </w:p>
    <w:p>
      <w:pPr>
        <w:widowControl/>
        <w:spacing w:line="360" w:lineRule="auto"/>
        <w:jc w:val="left"/>
        <w:rPr>
          <w:rFonts w:ascii="宋体" w:hAnsi="宋体" w:cs="宋体"/>
          <w:b/>
          <w:color w:val="000000" w:themeColor="text1"/>
          <w:kern w:val="0"/>
          <w:sz w:val="28"/>
          <w:szCs w:val="20"/>
          <w14:textFill>
            <w14:solidFill>
              <w14:schemeClr w14:val="tx1"/>
            </w14:solidFill>
          </w14:textFill>
        </w:rPr>
      </w:pPr>
      <w:r>
        <w:rPr>
          <w:rFonts w:ascii="宋体" w:hAnsi="宋体" w:cs="宋体"/>
          <w:sz w:val="24"/>
        </w:rPr>
        <w:t>包括不限于：国家有关部门对投标人的投标产品有强制性规定或要求（</w:t>
      </w:r>
      <w:r>
        <w:rPr>
          <w:rFonts w:hint="eastAsia" w:ascii="宋体" w:hAnsi="宋体" w:cs="宋体"/>
          <w:sz w:val="24"/>
        </w:rPr>
        <w:t>如3C认证及强制节能产品认证证书等，提供复印件</w:t>
      </w:r>
      <w:r>
        <w:rPr>
          <w:rFonts w:ascii="宋体" w:hAnsi="宋体" w:cs="宋体"/>
          <w:sz w:val="24"/>
        </w:rPr>
        <w:t>）</w:t>
      </w:r>
      <w:r>
        <w:rPr>
          <w:rFonts w:hint="eastAsia" w:ascii="宋体" w:hAnsi="宋体" w:cs="宋体"/>
          <w:b/>
          <w:sz w:val="24"/>
        </w:rPr>
        <w:t>（详见第五章采购需求及</w:t>
      </w:r>
      <w:r>
        <w:rPr>
          <w:rFonts w:ascii="宋体" w:hAnsi="宋体" w:cs="宋体"/>
          <w:b/>
          <w:sz w:val="24"/>
        </w:rPr>
        <w:t>10-4</w:t>
      </w:r>
      <w:r>
        <w:rPr>
          <w:rFonts w:hint="eastAsia" w:ascii="宋体" w:hAnsi="宋体" w:cs="宋体"/>
          <w:b/>
          <w:sz w:val="24"/>
          <w:szCs w:val="20"/>
        </w:rPr>
        <w:t>节能产品、环境标志产品的证明材料</w:t>
      </w:r>
      <w:r>
        <w:rPr>
          <w:rFonts w:hint="eastAsia" w:ascii="宋体" w:hAnsi="宋体" w:cs="宋体"/>
          <w:b/>
          <w:sz w:val="24"/>
        </w:rPr>
        <w:t>）</w:t>
      </w:r>
      <w:r>
        <w:rPr>
          <w:rFonts w:ascii="宋体" w:hAnsi="宋体" w:cs="宋体"/>
          <w:color w:val="000000" w:themeColor="text1"/>
          <w14:textFill>
            <w14:solidFill>
              <w14:schemeClr w14:val="tx1"/>
            </w14:solidFill>
          </w14:textFill>
        </w:rPr>
        <w:br w:type="page"/>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b w:val="0"/>
          <w:sz w:val="24"/>
          <w:szCs w:val="24"/>
        </w:rPr>
        <w:t>10</w:t>
      </w:r>
      <w:r>
        <w:rPr>
          <w:rFonts w:hint="eastAsia" w:ascii="宋体" w:hAnsi="宋体" w:eastAsia="宋体"/>
          <w:b w:val="0"/>
          <w:sz w:val="24"/>
          <w:szCs w:val="24"/>
        </w:rPr>
        <w:t>-</w:t>
      </w:r>
      <w:r>
        <w:rPr>
          <w:rFonts w:ascii="宋体" w:hAnsi="宋体" w:eastAsia="宋体"/>
          <w:b w:val="0"/>
          <w:sz w:val="24"/>
          <w:szCs w:val="24"/>
        </w:rPr>
        <w:t>4</w:t>
      </w:r>
      <w:r>
        <w:rPr>
          <w:rFonts w:hint="eastAsia" w:ascii="宋体" w:hAnsi="宋体" w:eastAsia="宋体"/>
          <w:b w:val="0"/>
          <w:sz w:val="24"/>
          <w:szCs w:val="24"/>
        </w:rPr>
        <w:t xml:space="preserve"> 节能产品、环境标志产品的证明材料（如有）</w:t>
      </w:r>
      <w:bookmarkEnd w:id="976"/>
    </w:p>
    <w:p>
      <w:pPr>
        <w:spacing w:line="360" w:lineRule="auto"/>
        <w:rPr>
          <w:rFonts w:ascii="宋体" w:hAnsi="宋体" w:cs="宋体"/>
          <w:b/>
          <w:color w:val="000000" w:themeColor="text1"/>
          <w:sz w:val="24"/>
          <w14:textFill>
            <w14:solidFill>
              <w14:schemeClr w14:val="tx1"/>
            </w14:solidFill>
          </w14:textFill>
        </w:rPr>
      </w:pP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在技术、服务等指标满足采购需求的前提下，本项目优先采购节能产品，对部分节能效果、性能等达到要求的产品，实行强制采购。</w:t>
      </w:r>
    </w:p>
    <w:p>
      <w:pPr>
        <w:spacing w:line="360" w:lineRule="auto"/>
        <w:ind w:firstLine="480" w:firstLineChars="200"/>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拟采购产品属于节能产品政府采购品目清单范围内规定必须强制采购的为：</w:t>
      </w:r>
      <w:r>
        <w:rPr>
          <w:rFonts w:hint="eastAsia" w:ascii="宋体" w:hAnsi="宋体" w:cs="仿宋_GB2312"/>
          <w:b/>
          <w:bCs/>
          <w:color w:val="000000" w:themeColor="text1"/>
          <w:sz w:val="24"/>
          <w:u w:val="single"/>
          <w14:textFill>
            <w14:solidFill>
              <w14:schemeClr w14:val="tx1"/>
            </w14:solidFill>
          </w14:textFill>
        </w:rPr>
        <w:t>具体详见附录6</w:t>
      </w:r>
      <w:r>
        <w:rPr>
          <w:rFonts w:hint="eastAsia" w:ascii="宋体" w:hAnsi="宋体" w:cs="仿宋_GB2312"/>
          <w:color w:val="000000" w:themeColor="text1"/>
          <w:sz w:val="24"/>
          <w:u w:val="single"/>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依据财政部、发展改革委、生态环境部等部门发布的品目清单和认证证书实施政府优先采购和强制采购。本项目采购人拟采购的产品属于品目清单范围的，需响应人提供国家确定的认证机构出具的、处于有效期之内的节能产品、环境标志产品认证证书（加盖投标人公章）。</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发布认证机构和获证产品信息，依据市场监管总局组织建立的节能产品、环境标志产品认证结果信息发布平台，公布相关认证机构和获证产品信息。同时中国政府采购网(www.ccgp.gov.cn)建立与认证结果信息发布平台的链接。（17家认证机构可参与实施不同品目的政府采购节能产品认证，4家认证机构可参与实施政府采购环境标志产品认证，</w:t>
      </w:r>
      <w:bookmarkStart w:id="977" w:name="OLE_LINK6"/>
      <w:r>
        <w:rPr>
          <w:rFonts w:hint="eastAsia" w:ascii="宋体" w:hAnsi="宋体" w:cs="仿宋_GB2312"/>
          <w:b/>
          <w:bCs/>
          <w:color w:val="000000" w:themeColor="text1"/>
          <w:sz w:val="24"/>
          <w14:textFill>
            <w14:solidFill>
              <w14:schemeClr w14:val="tx1"/>
            </w14:solidFill>
          </w14:textFill>
        </w:rPr>
        <w:t>具体详见附录8</w:t>
      </w:r>
      <w:bookmarkEnd w:id="977"/>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对所投产品为节能产品、环保标志产品的优惠幅度，以及评审标准和方法详见第六章《</w:t>
      </w:r>
      <w:r>
        <w:rPr>
          <w:rFonts w:ascii="宋体" w:hAnsi="宋体"/>
          <w:color w:val="000000" w:themeColor="text1"/>
          <w:sz w:val="24"/>
          <w14:textFill>
            <w14:solidFill>
              <w14:schemeClr w14:val="tx1"/>
            </w14:solidFill>
          </w14:textFill>
        </w:rPr>
        <w:t>评标程序、评标方法和评标标准</w:t>
      </w:r>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1.在本处提供的证明材料如与响应人所投产品内容（品牌、型号、规格等）不符，视为无效。</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2.如提供虚假材料，响应人须承担相应法律责任。</w:t>
      </w:r>
    </w:p>
    <w:p>
      <w:pPr>
        <w:widowControl/>
        <w:spacing w:line="360" w:lineRule="auto"/>
        <w:jc w:val="left"/>
        <w:rPr>
          <w:rFonts w:ascii="宋体" w:hAnsi="宋体" w:cs="仿宋_GB2312"/>
          <w:bCs/>
          <w:color w:val="000000" w:themeColor="text1"/>
          <w:sz w:val="24"/>
          <w14:textFill>
            <w14:solidFill>
              <w14:schemeClr w14:val="tx1"/>
            </w14:solidFill>
          </w14:textFill>
        </w:rPr>
      </w:pPr>
      <w:r>
        <w:rPr>
          <w:rFonts w:hint="eastAsia" w:ascii="宋体" w:hAnsi="宋体" w:cs="仿宋_GB2312"/>
          <w:bCs/>
          <w:color w:val="000000" w:themeColor="text1"/>
          <w:sz w:val="24"/>
          <w14:textFill>
            <w14:solidFill>
              <w14:schemeClr w14:val="tx1"/>
            </w14:solidFill>
          </w14:textFill>
        </w:rPr>
        <w:t>3.节能产品、环境标志产品品目清单登陆中国政府采购网(www.ccgp.gov.cn)查询</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仿宋_GB2312"/>
          <w:bCs/>
          <w:color w:val="000000" w:themeColor="text1"/>
          <w:sz w:val="24"/>
          <w14:textFill>
            <w14:solidFill>
              <w14:schemeClr w14:val="tx1"/>
            </w14:solidFill>
          </w14:textFill>
        </w:rPr>
        <w:t>关于印发节能产品政府采购品目清单的通知（财库〔2019〕19号）</w:t>
      </w:r>
      <w:r>
        <w:rPr>
          <w:rFonts w:hint="eastAsia" w:ascii="宋体" w:hAnsi="宋体" w:cs="仿宋_GB2312"/>
          <w:bCs/>
          <w:color w:val="000000" w:themeColor="text1"/>
          <w:sz w:val="24"/>
          <w14:textFill>
            <w14:solidFill>
              <w14:schemeClr w14:val="tx1"/>
            </w14:solidFill>
          </w14:textFill>
        </w:rPr>
        <w:fldChar w:fldCharType="end"/>
      </w:r>
      <w:r>
        <w:rPr>
          <w:rFonts w:hint="eastAsia" w:ascii="宋体" w:hAnsi="宋体" w:cs="仿宋_GB2312"/>
          <w:bCs/>
          <w:color w:val="000000" w:themeColor="text1"/>
          <w:sz w:val="24"/>
          <w14:textFill>
            <w14:solidFill>
              <w14:schemeClr w14:val="tx1"/>
            </w14:solidFill>
          </w14:textFill>
        </w:rPr>
        <w:t xml:space="preserve"> 、关于印发环境标志产品政府采购品目清单的通知（财库〔2019〕18号）。</w:t>
      </w:r>
    </w:p>
    <w:p>
      <w:pPr>
        <w:pStyle w:val="3"/>
        <w:tabs>
          <w:tab w:val="left" w:pos="432"/>
        </w:tabs>
        <w:spacing w:line="360" w:lineRule="auto"/>
        <w:jc w:val="left"/>
        <w:rPr>
          <w:rFonts w:hAnsi="宋体" w:cs="宋体"/>
          <w:bCs/>
          <w:sz w:val="24"/>
          <w:szCs w:val="24"/>
        </w:rPr>
      </w:pPr>
      <w:r>
        <w:rPr>
          <w:rFonts w:hAnsi="宋体" w:cs="仿宋_GB2312"/>
          <w:bCs/>
          <w:color w:val="000000" w:themeColor="text1"/>
          <w14:textFill>
            <w14:solidFill>
              <w14:schemeClr w14:val="tx1"/>
            </w14:solidFill>
          </w14:textFill>
        </w:rPr>
        <w:br w:type="page"/>
      </w:r>
      <w:bookmarkStart w:id="978" w:name="_Toc218620576"/>
      <w:bookmarkStart w:id="979" w:name="_Toc209958510"/>
      <w:bookmarkStart w:id="980" w:name="_Toc624"/>
      <w:bookmarkStart w:id="981" w:name="_Toc199921595"/>
      <w:r>
        <w:rPr>
          <w:rFonts w:hint="eastAsia" w:hAnsi="宋体" w:cs="宋体"/>
          <w:bCs/>
          <w:sz w:val="24"/>
          <w:szCs w:val="24"/>
        </w:rPr>
        <w:t>附录1：政府采购促进中小企业发展管理办法</w:t>
      </w:r>
      <w:bookmarkEnd w:id="978"/>
      <w:bookmarkEnd w:id="979"/>
      <w:bookmarkEnd w:id="980"/>
      <w:bookmarkEnd w:id="981"/>
    </w:p>
    <w:p>
      <w:pPr>
        <w:adjustRightInd w:val="0"/>
        <w:snapToGrid w:val="0"/>
        <w:spacing w:line="360" w:lineRule="auto"/>
        <w:jc w:val="center"/>
        <w:rPr>
          <w:rFonts w:ascii="宋体" w:hAnsi="宋体" w:cs="宋体"/>
          <w:bCs/>
        </w:rPr>
      </w:pPr>
      <w:r>
        <w:rPr>
          <w:rFonts w:hint="eastAsia" w:ascii="宋体" w:hAnsi="宋体" w:cs="宋体"/>
          <w:bCs/>
        </w:rPr>
        <w:t>政府采购促进中小企业发展管理办法</w:t>
      </w:r>
    </w:p>
    <w:p>
      <w:pPr>
        <w:spacing w:line="360" w:lineRule="auto"/>
        <w:jc w:val="center"/>
        <w:rPr>
          <w:rFonts w:ascii="宋体" w:hAnsi="宋体" w:cs="宋体"/>
          <w:bCs/>
        </w:rPr>
      </w:pPr>
      <w:r>
        <w:rPr>
          <w:rFonts w:hint="eastAsia" w:ascii="宋体" w:hAnsi="宋体" w:cs="宋体"/>
          <w:bCs/>
        </w:rPr>
        <w:t>财库[2020]46号</w:t>
      </w:r>
    </w:p>
    <w:p>
      <w:pPr>
        <w:spacing w:line="360" w:lineRule="auto"/>
        <w:jc w:val="center"/>
        <w:rPr>
          <w:rFonts w:ascii="宋体" w:hAnsi="宋体" w:cs="宋体"/>
        </w:rPr>
      </w:pPr>
    </w:p>
    <w:p>
      <w:pPr>
        <w:spacing w:line="360" w:lineRule="auto"/>
        <w:rPr>
          <w:rFonts w:ascii="宋体" w:hAnsi="宋体" w:cs="宋体"/>
          <w:bCs/>
        </w:rPr>
      </w:pPr>
      <w:r>
        <w:rPr>
          <w:rFonts w:hint="eastAsia" w:ascii="宋体" w:hAnsi="宋体" w:cs="宋体"/>
          <w:bCs/>
        </w:rPr>
        <w:t>第一条 为了发挥政府采购的政策功能，促进中小企业健康发展，根据《中华人民共和国政府采购法》、《中华人民共和国中小企业促进法》等有关法律法规，制定本办法。</w:t>
      </w:r>
    </w:p>
    <w:p>
      <w:pPr>
        <w:spacing w:line="360" w:lineRule="auto"/>
        <w:rPr>
          <w:rFonts w:ascii="宋体" w:hAnsi="宋体" w:cs="宋体"/>
          <w:bCs/>
        </w:rPr>
      </w:pPr>
      <w:r>
        <w:rPr>
          <w:rFonts w:hint="eastAsia" w:ascii="宋体" w:hAnsi="宋体" w:cs="宋体"/>
          <w:bCs/>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ascii="宋体" w:hAnsi="宋体" w:cs="宋体"/>
          <w:bCs/>
        </w:rPr>
      </w:pPr>
      <w:r>
        <w:rPr>
          <w:rFonts w:hint="eastAsia" w:ascii="宋体" w:hAnsi="宋体" w:cs="宋体"/>
          <w:bCs/>
        </w:rPr>
        <w:t>符合中小企业划分标准的个体工商户，在政府采购活动中视同中小企业。</w:t>
      </w:r>
    </w:p>
    <w:p>
      <w:pPr>
        <w:spacing w:line="360" w:lineRule="auto"/>
        <w:rPr>
          <w:rFonts w:ascii="宋体" w:hAnsi="宋体" w:cs="宋体"/>
          <w:bCs/>
        </w:rPr>
      </w:pPr>
      <w:r>
        <w:rPr>
          <w:rFonts w:hint="eastAsia" w:ascii="宋体" w:hAnsi="宋体" w:cs="宋体"/>
          <w:bCs/>
        </w:rPr>
        <w:t>第三条 采购人在政府采购活动中应当通过加强采购需求管理，落实预留采购份额、价格评审优惠、优先采购等措施，提高中小企业在政府采购中的份额，支持中小企业发展。</w:t>
      </w:r>
    </w:p>
    <w:p>
      <w:pPr>
        <w:spacing w:line="360" w:lineRule="auto"/>
        <w:rPr>
          <w:rFonts w:ascii="宋体" w:hAnsi="宋体" w:cs="宋体"/>
          <w:bCs/>
        </w:rPr>
      </w:pPr>
      <w:r>
        <w:rPr>
          <w:rFonts w:hint="eastAsia" w:ascii="宋体" w:hAnsi="宋体" w:cs="宋体"/>
          <w:bCs/>
        </w:rPr>
        <w:t>第四条 在政府采购活动中，供应商提供的货物、工程或者服务符合下列情形的，享受本办法规定的中小企业扶持政策：</w:t>
      </w:r>
    </w:p>
    <w:p>
      <w:pPr>
        <w:spacing w:line="360" w:lineRule="auto"/>
        <w:rPr>
          <w:rFonts w:ascii="宋体" w:hAnsi="宋体" w:cs="宋体"/>
          <w:bCs/>
        </w:rPr>
      </w:pPr>
    </w:p>
    <w:p>
      <w:pPr>
        <w:spacing w:line="360" w:lineRule="auto"/>
        <w:rPr>
          <w:rFonts w:ascii="宋体" w:hAnsi="宋体" w:cs="宋体"/>
          <w:bCs/>
        </w:rPr>
      </w:pPr>
      <w:r>
        <w:rPr>
          <w:rFonts w:hint="eastAsia" w:ascii="宋体" w:hAnsi="宋体" w:cs="宋体"/>
          <w:bCs/>
        </w:rPr>
        <w:t>（一）在货物采购项目中，货物由中小企业制造，即货物由中小企业生产且使用该中小企业商号或者注册商标；</w:t>
      </w:r>
    </w:p>
    <w:p>
      <w:pPr>
        <w:spacing w:line="360" w:lineRule="auto"/>
        <w:rPr>
          <w:rFonts w:ascii="宋体" w:hAnsi="宋体" w:cs="宋体"/>
          <w:bCs/>
        </w:rPr>
      </w:pPr>
      <w:r>
        <w:rPr>
          <w:rFonts w:hint="eastAsia" w:ascii="宋体" w:hAnsi="宋体" w:cs="宋体"/>
          <w:bCs/>
        </w:rPr>
        <w:t>（二）在工程采购项目中，工程由中小企业承建，即工程施工单位为中小企业；</w:t>
      </w:r>
    </w:p>
    <w:p>
      <w:pPr>
        <w:spacing w:line="360" w:lineRule="auto"/>
        <w:rPr>
          <w:rFonts w:ascii="宋体" w:hAnsi="宋体" w:cs="宋体"/>
          <w:bCs/>
        </w:rPr>
      </w:pPr>
      <w:r>
        <w:rPr>
          <w:rFonts w:hint="eastAsia" w:ascii="宋体" w:hAnsi="宋体" w:cs="宋体"/>
          <w:bCs/>
        </w:rPr>
        <w:t>（三）在服务采购项目中，服务由中小企业承接，即提</w:t>
      </w:r>
      <w:bookmarkStart w:id="982" w:name="page2"/>
      <w:bookmarkEnd w:id="982"/>
      <w:r>
        <w:rPr>
          <w:rFonts w:hint="eastAsia" w:ascii="宋体" w:hAnsi="宋体" w:cs="宋体"/>
          <w:bCs/>
        </w:rPr>
        <w:t>供服务的人员为中小企业依照《中华人民共和国劳动合同法》订立劳动合同的从业人员。</w:t>
      </w:r>
    </w:p>
    <w:p>
      <w:pPr>
        <w:spacing w:line="360" w:lineRule="auto"/>
        <w:rPr>
          <w:rFonts w:ascii="宋体" w:hAnsi="宋体" w:cs="宋体"/>
          <w:bCs/>
        </w:rPr>
      </w:pPr>
      <w:r>
        <w:rPr>
          <w:rFonts w:hint="eastAsia" w:ascii="宋体" w:hAnsi="宋体" w:cs="宋体"/>
          <w:bCs/>
        </w:rPr>
        <w:t>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360" w:lineRule="auto"/>
        <w:rPr>
          <w:rFonts w:ascii="宋体" w:hAnsi="宋体" w:cs="宋体"/>
          <w:bCs/>
        </w:rPr>
      </w:pPr>
      <w:r>
        <w:rPr>
          <w:rFonts w:hint="eastAsia" w:ascii="宋体" w:hAnsi="宋体" w:cs="宋体"/>
          <w:bCs/>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spacing w:line="360" w:lineRule="auto"/>
        <w:rPr>
          <w:rFonts w:ascii="宋体" w:hAnsi="宋体" w:cs="宋体"/>
          <w:bCs/>
        </w:rPr>
      </w:pPr>
      <w:r>
        <w:rPr>
          <w:rFonts w:hint="eastAsia" w:ascii="宋体" w:hAnsi="宋体" w:cs="宋体"/>
          <w:bCs/>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spacing w:line="360" w:lineRule="auto"/>
        <w:rPr>
          <w:rFonts w:ascii="宋体" w:hAnsi="宋体" w:cs="宋体"/>
          <w:bCs/>
        </w:rPr>
      </w:pPr>
      <w:r>
        <w:rPr>
          <w:rFonts w:hint="eastAsia" w:ascii="宋体" w:hAnsi="宋体" w:cs="宋体"/>
          <w:bCs/>
        </w:rPr>
        <w:t>符合下列情形之一的，可不专门面向中小企业预留采购份额：</w:t>
      </w:r>
    </w:p>
    <w:p>
      <w:pPr>
        <w:spacing w:line="360" w:lineRule="auto"/>
        <w:rPr>
          <w:rFonts w:ascii="宋体" w:hAnsi="宋体" w:cs="宋体"/>
          <w:bCs/>
        </w:rPr>
      </w:pPr>
      <w:r>
        <w:rPr>
          <w:rFonts w:hint="eastAsia" w:ascii="宋体" w:hAnsi="宋体" w:cs="宋体"/>
          <w:bCs/>
        </w:rPr>
        <w:t>（一）法律法规和国家有关政策明确规定优先或者应当面向事业单位、社会组织等非企业主体采购的；</w:t>
      </w:r>
    </w:p>
    <w:p>
      <w:pPr>
        <w:spacing w:line="360" w:lineRule="auto"/>
        <w:rPr>
          <w:rFonts w:ascii="宋体" w:hAnsi="宋体" w:cs="宋体"/>
          <w:bCs/>
        </w:rPr>
      </w:pPr>
      <w:r>
        <w:rPr>
          <w:rFonts w:hint="eastAsia" w:ascii="宋体" w:hAnsi="宋体" w:cs="宋体"/>
          <w:bCs/>
        </w:rPr>
        <w:t>（二）因确需使用不可替代的专利、专有技术，基础设施限制，或者提供特定公共服务等原因，只能从中小企业之外的供应商处采购的；</w:t>
      </w:r>
      <w:bookmarkStart w:id="983" w:name="page3"/>
      <w:bookmarkEnd w:id="983"/>
    </w:p>
    <w:p>
      <w:pPr>
        <w:spacing w:line="360" w:lineRule="auto"/>
        <w:rPr>
          <w:rFonts w:ascii="宋体" w:hAnsi="宋体" w:cs="宋体"/>
          <w:bCs/>
        </w:rPr>
      </w:pPr>
      <w:r>
        <w:rPr>
          <w:rFonts w:hint="eastAsia" w:ascii="宋体" w:hAnsi="宋体" w:cs="宋体"/>
          <w:bCs/>
        </w:rPr>
        <w:t>（三）按照本办法规定预留采购份额无法确保充分供应、充分竞争，或者存在可能影响政府采购目标实现的情形；</w:t>
      </w:r>
    </w:p>
    <w:p>
      <w:pPr>
        <w:spacing w:line="360" w:lineRule="auto"/>
        <w:rPr>
          <w:rFonts w:ascii="宋体" w:hAnsi="宋体" w:cs="宋体"/>
          <w:bCs/>
        </w:rPr>
      </w:pPr>
      <w:r>
        <w:rPr>
          <w:rFonts w:hint="eastAsia" w:ascii="宋体" w:hAnsi="宋体" w:cs="宋体"/>
          <w:bCs/>
        </w:rPr>
        <w:t>（四）框架协议采购项目；</w:t>
      </w:r>
    </w:p>
    <w:p>
      <w:pPr>
        <w:spacing w:line="360" w:lineRule="auto"/>
        <w:rPr>
          <w:rFonts w:ascii="宋体" w:hAnsi="宋体" w:cs="宋体"/>
          <w:bCs/>
        </w:rPr>
      </w:pPr>
      <w:r>
        <w:rPr>
          <w:rFonts w:hint="eastAsia" w:ascii="宋体" w:hAnsi="宋体" w:cs="宋体"/>
          <w:bCs/>
        </w:rPr>
        <w:t>（五）省级以上人民政府财政部门规定的其他情形。</w:t>
      </w:r>
    </w:p>
    <w:p>
      <w:pPr>
        <w:spacing w:line="360" w:lineRule="auto"/>
        <w:rPr>
          <w:rFonts w:ascii="宋体" w:hAnsi="宋体" w:cs="宋体"/>
          <w:bCs/>
        </w:rPr>
      </w:pPr>
      <w:r>
        <w:rPr>
          <w:rFonts w:hint="eastAsia" w:ascii="宋体" w:hAnsi="宋体" w:cs="宋体"/>
          <w:bCs/>
        </w:rPr>
        <w:t>除上述情形外，其他均为适宜由中小企业提供的情形。</w:t>
      </w:r>
    </w:p>
    <w:p>
      <w:pPr>
        <w:spacing w:line="360" w:lineRule="auto"/>
        <w:rPr>
          <w:rFonts w:ascii="宋体" w:hAnsi="宋体" w:cs="宋体"/>
          <w:bCs/>
        </w:rPr>
      </w:pPr>
      <w:r>
        <w:rPr>
          <w:rFonts w:hint="eastAsia" w:ascii="宋体" w:hAnsi="宋体" w:cs="宋体"/>
          <w:bCs/>
        </w:rPr>
        <w:t>第七条 采购限额标准以上，200万元以下的货物和服务采购项目、400万元以下的工程采购项目，适宜由中小企业提供的，采购人应当专门面向中小企业采购。</w:t>
      </w:r>
    </w:p>
    <w:p>
      <w:pPr>
        <w:spacing w:line="360" w:lineRule="auto"/>
        <w:rPr>
          <w:rFonts w:ascii="宋体" w:hAnsi="宋体" w:cs="宋体"/>
          <w:bCs/>
        </w:rPr>
      </w:pPr>
      <w:r>
        <w:rPr>
          <w:rFonts w:hint="eastAsia" w:ascii="宋体" w:hAnsi="宋体" w:cs="宋体"/>
          <w:bCs/>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spacing w:line="360" w:lineRule="auto"/>
        <w:rPr>
          <w:rFonts w:ascii="宋体" w:hAnsi="宋体" w:cs="宋体"/>
          <w:bCs/>
        </w:rPr>
      </w:pPr>
      <w:r>
        <w:rPr>
          <w:rFonts w:hint="eastAsia" w:ascii="宋体" w:hAnsi="宋体" w:cs="宋体"/>
          <w:bCs/>
        </w:rPr>
        <w:t>（一）将采购项目整体或者设置采购包专门面向中小企业采购；</w:t>
      </w:r>
    </w:p>
    <w:p>
      <w:pPr>
        <w:spacing w:line="360" w:lineRule="auto"/>
        <w:rPr>
          <w:rFonts w:ascii="宋体" w:hAnsi="宋体" w:cs="宋体"/>
          <w:bCs/>
        </w:rPr>
      </w:pPr>
      <w:r>
        <w:rPr>
          <w:rFonts w:hint="eastAsia" w:ascii="宋体" w:hAnsi="宋体" w:cs="宋体"/>
          <w:bCs/>
        </w:rPr>
        <w:t>（二）要求供应商以联合体形式参加采购活动，且联合体中中小企业承担的部分达到一定比例；</w:t>
      </w:r>
    </w:p>
    <w:p>
      <w:pPr>
        <w:spacing w:line="360" w:lineRule="auto"/>
        <w:rPr>
          <w:rFonts w:ascii="宋体" w:hAnsi="宋体" w:cs="宋体"/>
          <w:bCs/>
        </w:rPr>
      </w:pPr>
      <w:r>
        <w:rPr>
          <w:rFonts w:hint="eastAsia" w:ascii="宋体" w:hAnsi="宋体" w:cs="宋体"/>
          <w:bCs/>
        </w:rPr>
        <w:t>（三）要求获得采购合同的供应商将采购项目中的一定比例分包给一家或者多家中小企业。组成联合体或者接受分包合同的中小企业与联合体内其他企业、分包企业之间不得存在直接控股、管理关系。</w:t>
      </w:r>
    </w:p>
    <w:p>
      <w:pPr>
        <w:spacing w:line="360" w:lineRule="auto"/>
        <w:rPr>
          <w:rFonts w:ascii="宋体" w:hAnsi="宋体" w:cs="宋体"/>
          <w:bCs/>
        </w:rPr>
      </w:pPr>
      <w:r>
        <w:rPr>
          <w:rFonts w:hint="eastAsia" w:ascii="宋体" w:hAnsi="宋体" w:cs="宋体"/>
          <w:bCs/>
        </w:rPr>
        <w:t>第九条 对于经主管预算单位统筹后未预留份额专门面向中小企业采购的采购项目，以及预留份额项目中的非预留部分采购包，采购人、采购代理机构应当对符合本办法规定的小微企业报价给予6%—10%（工程项目为3%—5%）的扣</w:t>
      </w:r>
      <w:bookmarkStart w:id="984" w:name="page4"/>
      <w:bookmarkEnd w:id="984"/>
      <w:r>
        <w:rPr>
          <w:rFonts w:hint="eastAsia" w:ascii="宋体" w:hAnsi="宋体" w:cs="宋体"/>
          <w:bCs/>
        </w:rPr>
        <w:t>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spacing w:line="360" w:lineRule="auto"/>
        <w:rPr>
          <w:rFonts w:ascii="宋体" w:hAnsi="宋体" w:cs="宋体"/>
          <w:bCs/>
        </w:rPr>
      </w:pPr>
      <w:r>
        <w:rPr>
          <w:rFonts w:hint="eastAsia" w:ascii="宋体" w:hAnsi="宋体" w:cs="宋体"/>
          <w:bCs/>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w:t>
      </w:r>
      <w:bookmarkStart w:id="985" w:name="page5"/>
      <w:bookmarkEnd w:id="985"/>
      <w:r>
        <w:rPr>
          <w:rFonts w:hint="eastAsia" w:ascii="宋体" w:hAnsi="宋体" w:cs="宋体"/>
          <w:bCs/>
        </w:rPr>
        <w:t>九条有关规定重新组织采购活动。</w:t>
      </w:r>
    </w:p>
    <w:p>
      <w:pPr>
        <w:spacing w:line="360" w:lineRule="auto"/>
        <w:rPr>
          <w:rFonts w:ascii="宋体" w:hAnsi="宋体" w:cs="宋体"/>
          <w:bCs/>
        </w:rPr>
      </w:pPr>
      <w:r>
        <w:rPr>
          <w:rFonts w:hint="eastAsia" w:ascii="宋体" w:hAnsi="宋体" w:cs="宋体"/>
          <w:bCs/>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spacing w:line="360" w:lineRule="auto"/>
        <w:rPr>
          <w:rFonts w:ascii="宋体" w:hAnsi="宋体" w:cs="宋体"/>
          <w:bCs/>
        </w:rPr>
      </w:pPr>
      <w:r>
        <w:rPr>
          <w:rFonts w:hint="eastAsia" w:ascii="宋体" w:hAnsi="宋体" w:cs="宋体"/>
          <w:bCs/>
        </w:rPr>
        <w:t>第十二条 采购项目涉及中小企业采购的，采购文件应当明确以下内容：</w:t>
      </w:r>
    </w:p>
    <w:p>
      <w:pPr>
        <w:spacing w:line="360" w:lineRule="auto"/>
        <w:rPr>
          <w:rFonts w:ascii="宋体" w:hAnsi="宋体" w:cs="宋体"/>
          <w:bCs/>
        </w:rPr>
      </w:pPr>
      <w:r>
        <w:rPr>
          <w:rFonts w:hint="eastAsia" w:ascii="宋体" w:hAnsi="宋体" w:cs="宋体"/>
          <w:bCs/>
        </w:rPr>
        <w:t>（一）预留份额的采购项目或者采购包，明确该项目或相关采购包专门面向中小企业采购，以及相关标的及预算金额；</w:t>
      </w:r>
    </w:p>
    <w:p>
      <w:pPr>
        <w:spacing w:line="360" w:lineRule="auto"/>
        <w:rPr>
          <w:rFonts w:ascii="宋体" w:hAnsi="宋体" w:cs="宋体"/>
          <w:bCs/>
        </w:rPr>
      </w:pPr>
      <w:r>
        <w:rPr>
          <w:rFonts w:hint="eastAsia" w:ascii="宋体" w:hAnsi="宋体" w:cs="宋体"/>
          <w:bCs/>
        </w:rPr>
        <w:t>（二）要求以联合体形式参加或者合同分包的，明确联合协议或者分包意向协议中中小企业合同金额应当达到的比例，并作为供应商资格条件；</w:t>
      </w:r>
    </w:p>
    <w:p>
      <w:pPr>
        <w:spacing w:line="360" w:lineRule="auto"/>
        <w:rPr>
          <w:rFonts w:ascii="宋体" w:hAnsi="宋体" w:cs="宋体"/>
          <w:bCs/>
        </w:rPr>
      </w:pPr>
      <w:r>
        <w:rPr>
          <w:rFonts w:hint="eastAsia" w:ascii="宋体" w:hAnsi="宋体" w:cs="宋体"/>
          <w:bCs/>
        </w:rPr>
        <w:t>（三）非预留份额的采购项目或者采购包，明确有关价格扣除比例或者价格分加分比例；</w:t>
      </w:r>
    </w:p>
    <w:p>
      <w:pPr>
        <w:spacing w:line="360" w:lineRule="auto"/>
        <w:rPr>
          <w:rFonts w:ascii="宋体" w:hAnsi="宋体" w:cs="宋体"/>
          <w:bCs/>
        </w:rPr>
      </w:pPr>
      <w:r>
        <w:rPr>
          <w:rFonts w:hint="eastAsia" w:ascii="宋体" w:hAnsi="宋体" w:cs="宋体"/>
          <w:bCs/>
        </w:rPr>
        <w:t>（四）规定依据本办法规定享受扶持政策获得政府采购合同的，小微企业不得将合同分包给大中型企业，中型企业不得将合同分包给大型企业；</w:t>
      </w:r>
    </w:p>
    <w:p>
      <w:pPr>
        <w:spacing w:line="360" w:lineRule="auto"/>
        <w:rPr>
          <w:rFonts w:ascii="宋体" w:hAnsi="宋体" w:cs="宋体"/>
          <w:bCs/>
        </w:rPr>
      </w:pPr>
      <w:r>
        <w:rPr>
          <w:rFonts w:hint="eastAsia" w:ascii="宋体" w:hAnsi="宋体" w:cs="宋体"/>
          <w:bCs/>
        </w:rPr>
        <w:t>（五）采购人认为具备相关条件的，明确对中小企业在资金支付期限、预付款比例等方面的优惠措施；</w:t>
      </w:r>
    </w:p>
    <w:p>
      <w:pPr>
        <w:spacing w:line="360" w:lineRule="auto"/>
        <w:rPr>
          <w:rFonts w:ascii="宋体" w:hAnsi="宋体" w:cs="宋体"/>
          <w:bCs/>
        </w:rPr>
      </w:pPr>
      <w:r>
        <w:rPr>
          <w:rFonts w:hint="eastAsia" w:ascii="宋体" w:hAnsi="宋体" w:cs="宋体"/>
          <w:bCs/>
        </w:rPr>
        <w:t>（六）明确采购标的对应的中小企业划分标准所属行业；</w:t>
      </w:r>
    </w:p>
    <w:p>
      <w:pPr>
        <w:spacing w:line="360" w:lineRule="auto"/>
        <w:rPr>
          <w:rFonts w:ascii="宋体" w:hAnsi="宋体" w:cs="宋体"/>
          <w:bCs/>
        </w:rPr>
      </w:pPr>
      <w:r>
        <w:rPr>
          <w:rFonts w:hint="eastAsia" w:ascii="宋体" w:hAnsi="宋体" w:cs="宋体"/>
          <w:bCs/>
        </w:rPr>
        <w:t>（七）法律法规和省级以上人民政府财政部门规定的其他事项。</w:t>
      </w:r>
    </w:p>
    <w:p>
      <w:pPr>
        <w:spacing w:line="360" w:lineRule="auto"/>
        <w:rPr>
          <w:rFonts w:ascii="宋体" w:hAnsi="宋体" w:cs="宋体"/>
          <w:bCs/>
        </w:rPr>
      </w:pPr>
      <w:r>
        <w:rPr>
          <w:rFonts w:hint="eastAsia" w:ascii="宋体" w:hAnsi="宋体" w:cs="宋体"/>
          <w:bCs/>
        </w:rPr>
        <w:t>第十三条 中标、成交供应商享受本办法规定的中小企</w:t>
      </w:r>
      <w:bookmarkStart w:id="986" w:name="page6"/>
      <w:bookmarkEnd w:id="986"/>
      <w:r>
        <w:rPr>
          <w:rFonts w:hint="eastAsia" w:ascii="宋体" w:hAnsi="宋体" w:cs="宋体"/>
          <w:bCs/>
        </w:rPr>
        <w:t>业扶持政策的，采购人、采购代理机构应当随中标、成交结果公开中标、成交供应商的《中小企业声明函》。适用招标投标法的政府采购工程建设项目，应当在公示中标候选人时公开中标候选人的《中小企业声明函》。</w:t>
      </w:r>
    </w:p>
    <w:p>
      <w:pPr>
        <w:spacing w:line="360" w:lineRule="auto"/>
        <w:rPr>
          <w:rFonts w:ascii="宋体" w:hAnsi="宋体" w:cs="宋体"/>
          <w:bCs/>
        </w:rPr>
      </w:pPr>
      <w:r>
        <w:rPr>
          <w:rFonts w:hint="eastAsia" w:ascii="宋体" w:hAnsi="宋体" w:cs="宋体"/>
          <w:bCs/>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360" w:lineRule="auto"/>
        <w:rPr>
          <w:rFonts w:ascii="宋体" w:hAnsi="宋体" w:cs="宋体"/>
          <w:bCs/>
        </w:rPr>
      </w:pPr>
      <w:r>
        <w:rPr>
          <w:rFonts w:hint="eastAsia" w:ascii="宋体" w:hAnsi="宋体" w:cs="宋体"/>
          <w:bCs/>
        </w:rPr>
        <w:t>第十五条 鼓励各地区、各部门在采购活动中允许中小企业引入信用担保手段，为中小企业在投标（响应）保证、履约保证等方面提供专业化服务。鼓励中小企业依法合规通过政府采购合同融资。</w:t>
      </w:r>
    </w:p>
    <w:p>
      <w:pPr>
        <w:spacing w:line="360" w:lineRule="auto"/>
        <w:rPr>
          <w:rFonts w:ascii="宋体" w:hAnsi="宋体" w:cs="宋体"/>
          <w:bCs/>
        </w:rPr>
      </w:pPr>
      <w:r>
        <w:rPr>
          <w:rFonts w:hint="eastAsia" w:ascii="宋体" w:hAnsi="宋体" w:cs="宋体"/>
          <w:bCs/>
        </w:rPr>
        <w:t>第十六条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pPr>
        <w:spacing w:line="360" w:lineRule="auto"/>
        <w:rPr>
          <w:rFonts w:ascii="宋体" w:hAnsi="宋体" w:cs="宋体"/>
          <w:bCs/>
        </w:rPr>
      </w:pPr>
      <w:r>
        <w:rPr>
          <w:rFonts w:hint="eastAsia" w:ascii="宋体" w:hAnsi="宋体" w:cs="宋体"/>
          <w:bCs/>
        </w:rPr>
        <w:t>第十七条 各地区、各部门应当对涉及中小企业采购的预算项目实施全过程绩效管理，合理设置绩效目标和指标，落实扶持中小企业有关政策要求，定期开展绩效监控和评价，强化绩效评价结果应用。</w:t>
      </w:r>
      <w:bookmarkStart w:id="987" w:name="page7"/>
      <w:bookmarkEnd w:id="987"/>
    </w:p>
    <w:p>
      <w:pPr>
        <w:spacing w:line="360" w:lineRule="auto"/>
        <w:rPr>
          <w:rFonts w:ascii="宋体" w:hAnsi="宋体" w:cs="宋体"/>
          <w:bCs/>
        </w:rPr>
      </w:pPr>
      <w:r>
        <w:rPr>
          <w:rFonts w:hint="eastAsia" w:ascii="宋体" w:hAnsi="宋体" w:cs="宋体"/>
          <w:bCs/>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spacing w:line="360" w:lineRule="auto"/>
        <w:rPr>
          <w:rFonts w:ascii="宋体" w:hAnsi="宋体" w:cs="宋体"/>
          <w:bCs/>
        </w:rPr>
      </w:pPr>
      <w:r>
        <w:rPr>
          <w:rFonts w:hint="eastAsia" w:ascii="宋体" w:hAnsi="宋体" w:cs="宋体"/>
          <w:bCs/>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spacing w:line="360" w:lineRule="auto"/>
        <w:rPr>
          <w:rFonts w:ascii="宋体" w:hAnsi="宋体" w:cs="宋体"/>
          <w:bCs/>
        </w:rPr>
      </w:pPr>
      <w:r>
        <w:rPr>
          <w:rFonts w:hint="eastAsia" w:ascii="宋体" w:hAnsi="宋体" w:cs="宋体"/>
          <w:bCs/>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rPr>
          <w:rFonts w:ascii="宋体" w:hAnsi="宋体" w:cs="宋体"/>
          <w:bCs/>
        </w:rPr>
      </w:pPr>
      <w:r>
        <w:rPr>
          <w:rFonts w:hint="eastAsia" w:ascii="宋体" w:hAnsi="宋体" w:cs="宋体"/>
          <w:bCs/>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spacing w:line="360" w:lineRule="auto"/>
        <w:rPr>
          <w:rFonts w:ascii="宋体" w:hAnsi="宋体" w:cs="宋体"/>
          <w:bCs/>
        </w:rPr>
      </w:pPr>
      <w:r>
        <w:rPr>
          <w:rFonts w:hint="eastAsia" w:ascii="宋体" w:hAnsi="宋体" w:cs="宋体"/>
          <w:bCs/>
        </w:rPr>
        <w:t>第二十二条 对外援助项目、国家相关资格或者资质管理制度另有规定的项目，不适用本办法。</w:t>
      </w:r>
    </w:p>
    <w:p>
      <w:pPr>
        <w:spacing w:line="360" w:lineRule="auto"/>
        <w:rPr>
          <w:rFonts w:ascii="宋体" w:hAnsi="宋体" w:cs="宋体"/>
          <w:bCs/>
        </w:rPr>
      </w:pPr>
      <w:r>
        <w:rPr>
          <w:rFonts w:hint="eastAsia" w:ascii="宋体" w:hAnsi="宋体" w:cs="宋体"/>
          <w:bCs/>
        </w:rPr>
        <w:t>第二十三条</w:t>
      </w:r>
      <w:r>
        <w:rPr>
          <w:rFonts w:hint="eastAsia" w:ascii="宋体" w:hAnsi="宋体" w:cs="宋体"/>
          <w:bCs/>
        </w:rPr>
        <w:tab/>
      </w:r>
      <w:r>
        <w:rPr>
          <w:rFonts w:hint="eastAsia" w:ascii="宋体" w:hAnsi="宋体" w:cs="宋体"/>
          <w:bCs/>
        </w:rPr>
        <w:t>关于视同中小企业的其他主体的政府采购扶持政策，由财政部会同有关部门另行规定。</w:t>
      </w:r>
    </w:p>
    <w:p>
      <w:pPr>
        <w:spacing w:line="360" w:lineRule="auto"/>
        <w:rPr>
          <w:rFonts w:ascii="宋体" w:hAnsi="宋体" w:cs="宋体"/>
          <w:bCs/>
        </w:rPr>
      </w:pPr>
      <w:r>
        <w:rPr>
          <w:rFonts w:hint="eastAsia" w:ascii="宋体" w:hAnsi="宋体" w:cs="宋体"/>
          <w:bCs/>
        </w:rPr>
        <w:t>第二十四条</w:t>
      </w:r>
      <w:r>
        <w:rPr>
          <w:rFonts w:hint="eastAsia" w:ascii="宋体" w:hAnsi="宋体" w:cs="宋体"/>
          <w:bCs/>
        </w:rPr>
        <w:tab/>
      </w:r>
      <w:r>
        <w:rPr>
          <w:rFonts w:hint="eastAsia" w:ascii="宋体" w:hAnsi="宋体" w:cs="宋体"/>
          <w:bCs/>
        </w:rPr>
        <w:t>省级财政部门可以会同中小企业主管部门根据本办法的规定制定具体实施办法。</w:t>
      </w:r>
    </w:p>
    <w:p>
      <w:pPr>
        <w:pStyle w:val="20"/>
        <w:adjustRightInd w:val="0"/>
        <w:snapToGrid w:val="0"/>
        <w:spacing w:line="360" w:lineRule="auto"/>
        <w:ind w:right="-45" w:firstLine="480"/>
        <w:rPr>
          <w:rFonts w:cs="宋体"/>
        </w:rPr>
      </w:pPr>
      <w:r>
        <w:rPr>
          <w:rFonts w:hint="eastAsia" w:cs="宋体"/>
          <w:bCs/>
        </w:rPr>
        <w:t>第二十五条 本办法自 2021 年 1 月 1 日起施行。《财政部 工业和信息化部关于印发〈政府采购促进中小企业发展暂行办法〉的通知》（财库﹝2011﹞181 号）同时废止。</w:t>
      </w:r>
    </w:p>
    <w:p>
      <w:pPr>
        <w:spacing w:line="360" w:lineRule="auto"/>
        <w:rPr>
          <w:rFonts w:ascii="宋体" w:hAnsi="宋体" w:cs="宋体"/>
          <w:bCs/>
        </w:rPr>
      </w:pPr>
      <w:bookmarkStart w:id="988" w:name="_Toc447223799"/>
      <w:bookmarkStart w:id="989" w:name="_Toc497489391"/>
      <w:bookmarkStart w:id="990" w:name="_Toc21554"/>
      <w:bookmarkStart w:id="991" w:name="_Toc20829"/>
      <w:bookmarkStart w:id="992" w:name="_Toc445984998"/>
      <w:bookmarkStart w:id="993" w:name="_Toc445916627"/>
      <w:bookmarkStart w:id="994" w:name="_Toc12674"/>
      <w:r>
        <w:rPr>
          <w:rFonts w:hint="eastAsia" w:ascii="宋体" w:hAnsi="宋体" w:cs="宋体"/>
          <w:bCs/>
        </w:rPr>
        <w:br w:type="page"/>
      </w:r>
    </w:p>
    <w:p>
      <w:pPr>
        <w:pStyle w:val="3"/>
        <w:tabs>
          <w:tab w:val="left" w:pos="432"/>
        </w:tabs>
        <w:jc w:val="left"/>
        <w:rPr>
          <w:rFonts w:hAnsi="宋体" w:cs="宋体"/>
          <w:bCs/>
          <w:sz w:val="24"/>
          <w:szCs w:val="24"/>
        </w:rPr>
      </w:pPr>
      <w:bookmarkStart w:id="995" w:name="_Toc83722638"/>
      <w:bookmarkStart w:id="996" w:name="_Toc199921596"/>
      <w:bookmarkStart w:id="997" w:name="_Toc209958511"/>
      <w:bookmarkStart w:id="998" w:name="_Toc101191899"/>
      <w:bookmarkStart w:id="999" w:name="_Toc8999377"/>
      <w:bookmarkStart w:id="1000" w:name="_Toc1628643191"/>
      <w:bookmarkStart w:id="1001" w:name="_Toc105425452"/>
      <w:bookmarkStart w:id="1002" w:name="_Toc15435094"/>
      <w:bookmarkStart w:id="1003" w:name="_Toc102058323"/>
      <w:bookmarkStart w:id="1004" w:name="_Toc50760979"/>
      <w:bookmarkStart w:id="1005" w:name="_Toc92789350"/>
      <w:bookmarkStart w:id="1006" w:name="_Toc85461450"/>
      <w:bookmarkStart w:id="1007" w:name="_Toc218620577"/>
      <w:bookmarkStart w:id="1008" w:name="_Toc16436"/>
      <w:r>
        <w:rPr>
          <w:rFonts w:hint="eastAsia" w:hAnsi="宋体" w:cs="宋体"/>
          <w:bCs/>
          <w:sz w:val="24"/>
          <w:szCs w:val="24"/>
        </w:rPr>
        <w:t>附录2：关于印发中小企业划型标准规定的通知</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pPr>
        <w:rPr>
          <w:rFonts w:ascii="宋体" w:hAnsi="宋体" w:cs="宋体"/>
        </w:rPr>
      </w:pPr>
    </w:p>
    <w:p>
      <w:pPr>
        <w:spacing w:line="360" w:lineRule="auto"/>
        <w:jc w:val="center"/>
        <w:rPr>
          <w:rFonts w:ascii="宋体" w:hAnsi="宋体" w:cs="宋体"/>
          <w:spacing w:val="6"/>
          <w:szCs w:val="21"/>
        </w:rPr>
      </w:pPr>
      <w:r>
        <w:rPr>
          <w:rFonts w:hint="eastAsia" w:ascii="宋体" w:hAnsi="宋体" w:cs="宋体"/>
          <w:spacing w:val="6"/>
          <w:szCs w:val="21"/>
        </w:rPr>
        <w:t>工信部联企业〔2011〕300号</w:t>
      </w:r>
    </w:p>
    <w:p>
      <w:pPr>
        <w:pStyle w:val="45"/>
        <w:spacing w:line="360" w:lineRule="auto"/>
        <w:ind w:firstLine="480"/>
        <w:rPr>
          <w:sz w:val="21"/>
          <w:szCs w:val="21"/>
        </w:rPr>
      </w:pPr>
      <w:r>
        <w:rPr>
          <w:rFonts w:hint="eastAsia"/>
          <w:sz w:val="21"/>
          <w:szCs w:val="21"/>
        </w:rPr>
        <w:t>各省、自治区、直辖市人民政府，国务院各部委、各直属机构及有关单位：</w:t>
      </w:r>
    </w:p>
    <w:p>
      <w:pPr>
        <w:pStyle w:val="45"/>
        <w:spacing w:line="360" w:lineRule="auto"/>
        <w:ind w:firstLine="480"/>
        <w:rPr>
          <w:sz w:val="21"/>
          <w:szCs w:val="21"/>
        </w:rPr>
      </w:pPr>
      <w:r>
        <w:rPr>
          <w:rFonts w:hint="eastAsia"/>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45"/>
        <w:spacing w:line="360" w:lineRule="auto"/>
        <w:ind w:firstLine="480"/>
        <w:rPr>
          <w:sz w:val="21"/>
          <w:szCs w:val="21"/>
        </w:rPr>
      </w:pPr>
      <w:r>
        <w:rPr>
          <w:rFonts w:hint="eastAsia"/>
          <w:sz w:val="21"/>
          <w:szCs w:val="21"/>
        </w:rPr>
        <w:t>　　　　　　　　　　　　　　　　　　     　工业和信息化部　国家统计局</w:t>
      </w:r>
    </w:p>
    <w:p>
      <w:pPr>
        <w:pStyle w:val="45"/>
        <w:spacing w:line="360" w:lineRule="auto"/>
        <w:ind w:firstLine="480"/>
        <w:rPr>
          <w:sz w:val="21"/>
          <w:szCs w:val="21"/>
        </w:rPr>
      </w:pPr>
      <w:r>
        <w:rPr>
          <w:rFonts w:hint="eastAsia"/>
          <w:sz w:val="21"/>
          <w:szCs w:val="21"/>
        </w:rPr>
        <w:t>　　　　　　　　　　　　　　　　           国家发展和改革委员会　财政部</w:t>
      </w:r>
    </w:p>
    <w:p>
      <w:pPr>
        <w:pStyle w:val="45"/>
        <w:spacing w:line="360" w:lineRule="auto"/>
        <w:ind w:firstLine="480"/>
        <w:rPr>
          <w:sz w:val="21"/>
          <w:szCs w:val="21"/>
        </w:rPr>
      </w:pPr>
      <w:r>
        <w:rPr>
          <w:rFonts w:hint="eastAsia"/>
          <w:sz w:val="21"/>
          <w:szCs w:val="21"/>
        </w:rPr>
        <w:t>　　　　　　　　　　　　　　　　　　　　  　二○一一年六月十八日</w:t>
      </w:r>
    </w:p>
    <w:p>
      <w:pPr>
        <w:pStyle w:val="45"/>
        <w:spacing w:line="360" w:lineRule="auto"/>
        <w:ind w:firstLine="480"/>
        <w:jc w:val="center"/>
      </w:pPr>
      <w:r>
        <w:rPr>
          <w:rStyle w:val="55"/>
          <w:rFonts w:hint="eastAsia"/>
        </w:rPr>
        <w:t>中小企业划型标准规定</w:t>
      </w:r>
    </w:p>
    <w:p>
      <w:pPr>
        <w:numPr>
          <w:ilvl w:val="0"/>
          <w:numId w:val="19"/>
        </w:numPr>
        <w:spacing w:line="360" w:lineRule="auto"/>
        <w:ind w:firstLine="420" w:firstLineChars="200"/>
        <w:rPr>
          <w:rFonts w:ascii="宋体" w:hAnsi="宋体" w:cs="宋体"/>
        </w:rPr>
      </w:pPr>
      <w:r>
        <w:rPr>
          <w:rFonts w:hint="eastAsia" w:ascii="宋体" w:hAnsi="宋体" w:cs="宋体"/>
        </w:rPr>
        <w:t>根据《中华人民共和国中小企业促进法》和《国务院关于进一步促进中小企业发展的若干意见》(国发〔2009〕36号)，制定本规定。</w:t>
      </w:r>
    </w:p>
    <w:p>
      <w:pPr>
        <w:numPr>
          <w:ilvl w:val="0"/>
          <w:numId w:val="19"/>
        </w:numPr>
        <w:spacing w:line="360" w:lineRule="auto"/>
        <w:ind w:firstLine="420" w:firstLineChars="200"/>
        <w:rPr>
          <w:rFonts w:ascii="宋体" w:hAnsi="宋体" w:cs="宋体"/>
        </w:rPr>
      </w:pPr>
      <w:r>
        <w:rPr>
          <w:rFonts w:hint="eastAsia" w:ascii="宋体" w:hAnsi="宋体" w:cs="宋体"/>
        </w:rPr>
        <w:t>中小企业划分为中型、小型、微型三种类型，具体标准根据企业从业人员、营业收入、资产总额等指标，结合行业特点制定。</w:t>
      </w:r>
    </w:p>
    <w:p>
      <w:pPr>
        <w:numPr>
          <w:ilvl w:val="0"/>
          <w:numId w:val="19"/>
        </w:numPr>
        <w:spacing w:line="360" w:lineRule="auto"/>
        <w:ind w:firstLine="420" w:firstLineChars="200"/>
        <w:rPr>
          <w:rFonts w:ascii="宋体" w:hAnsi="宋体" w:cs="宋体"/>
        </w:rPr>
      </w:pPr>
      <w:r>
        <w:rPr>
          <w:rFonts w:hint="eastAsia" w:ascii="宋体" w:hAnsi="宋体" w:cs="宋体"/>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numPr>
          <w:ilvl w:val="0"/>
          <w:numId w:val="19"/>
        </w:numPr>
        <w:spacing w:line="360" w:lineRule="auto"/>
        <w:ind w:firstLine="420" w:firstLineChars="200"/>
        <w:rPr>
          <w:rFonts w:ascii="宋体" w:hAnsi="宋体" w:cs="宋体"/>
        </w:rPr>
      </w:pPr>
      <w:r>
        <w:rPr>
          <w:rFonts w:hint="eastAsia" w:ascii="宋体" w:hAnsi="宋体" w:cs="宋体"/>
        </w:rPr>
        <w:t>各行业划型标准为：</w:t>
      </w:r>
    </w:p>
    <w:p>
      <w:pPr>
        <w:spacing w:line="360" w:lineRule="auto"/>
        <w:rPr>
          <w:rFonts w:ascii="宋体" w:hAnsi="宋体" w:cs="宋体"/>
        </w:rPr>
      </w:pPr>
      <w:r>
        <w:rPr>
          <w:rFonts w:hint="eastAsia" w:ascii="宋体" w:hAnsi="宋体" w:cs="宋体"/>
        </w:rPr>
        <w:t>（一）农、林、牧、渔业。营业收入20000万元以下的为中小微型企业。其中，营业收入500万元及以上的为中型企业，营业收入50万元及以上的为小型企业，营业收入50万元以下的为微型企业。</w:t>
      </w:r>
    </w:p>
    <w:p>
      <w:pPr>
        <w:spacing w:line="360" w:lineRule="auto"/>
        <w:rPr>
          <w:rFonts w:ascii="宋体" w:hAnsi="宋体" w:cs="宋体"/>
        </w:rPr>
      </w:pPr>
      <w:r>
        <w:rPr>
          <w:rFonts w:hint="eastAsia" w:ascii="宋体" w:hAnsi="宋体" w:cs="宋体"/>
        </w:rPr>
        <w:t>（二）</w:t>
      </w:r>
      <w:bookmarkStart w:id="1009" w:name="OLE_LINK23"/>
      <w:bookmarkStart w:id="1010" w:name="OLE_LINK30"/>
      <w:r>
        <w:rPr>
          <w:rFonts w:hint="eastAsia" w:ascii="宋体" w:hAnsi="宋体" w:cs="宋体"/>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bookmarkEnd w:id="1009"/>
      <w:bookmarkEnd w:id="1010"/>
    </w:p>
    <w:p>
      <w:pPr>
        <w:spacing w:line="360" w:lineRule="auto"/>
        <w:rPr>
          <w:rFonts w:ascii="宋体" w:hAnsi="宋体" w:cs="宋体"/>
        </w:rPr>
      </w:pPr>
      <w:r>
        <w:rPr>
          <w:rFonts w:hint="eastAsia" w:ascii="宋体" w:hAnsi="宋体" w:cs="宋体"/>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ascii="宋体" w:hAnsi="宋体" w:cs="宋体"/>
        </w:rPr>
      </w:pPr>
      <w:r>
        <w:rPr>
          <w:rFonts w:hint="eastAsia" w:ascii="宋体" w:hAnsi="宋体" w:cs="宋体"/>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ascii="宋体" w:hAnsi="宋体" w:cs="宋体"/>
        </w:rPr>
      </w:pPr>
      <w:r>
        <w:rPr>
          <w:rFonts w:hint="eastAsia" w:ascii="宋体" w:hAnsi="宋体" w:cs="宋体"/>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ascii="宋体" w:hAnsi="宋体" w:cs="宋体"/>
        </w:rPr>
      </w:pPr>
      <w:r>
        <w:rPr>
          <w:rFonts w:hint="eastAsia" w:ascii="宋体" w:hAnsi="宋体" w:cs="宋体"/>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ascii="宋体" w:hAnsi="宋体" w:cs="宋体"/>
        </w:rPr>
      </w:pPr>
      <w:r>
        <w:rPr>
          <w:rFonts w:hint="eastAsia" w:ascii="宋体" w:hAnsi="宋体" w:cs="宋体"/>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ascii="宋体" w:hAnsi="宋体" w:cs="宋体"/>
        </w:rPr>
      </w:pPr>
      <w:r>
        <w:rPr>
          <w:rFonts w:hint="eastAsia" w:ascii="宋体" w:hAnsi="宋体" w:cs="宋体"/>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ascii="宋体" w:hAnsi="宋体" w:cs="宋体"/>
        </w:rPr>
      </w:pPr>
      <w:r>
        <w:rPr>
          <w:rFonts w:hint="eastAsia" w:ascii="宋体" w:hAnsi="宋体" w:cs="宋体"/>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ascii="宋体" w:hAnsi="宋体" w:cs="宋体"/>
        </w:rPr>
      </w:pPr>
      <w:r>
        <w:rPr>
          <w:rFonts w:hint="eastAsia" w:ascii="宋体" w:hAnsi="宋体" w:cs="宋体"/>
        </w:rPr>
        <w:t>（十六）其他未列明行业。从业人员300人以下的为中小微型企业。其中，从业人员100人及以上的为中型企业；从业人员10人及以上的为小型企业；从业人员10人以下的为微型企业。</w:t>
      </w:r>
    </w:p>
    <w:p>
      <w:pPr>
        <w:numPr>
          <w:ilvl w:val="0"/>
          <w:numId w:val="19"/>
        </w:numPr>
        <w:spacing w:line="360" w:lineRule="auto"/>
        <w:ind w:firstLine="420" w:firstLineChars="200"/>
        <w:rPr>
          <w:rFonts w:ascii="宋体" w:hAnsi="宋体" w:cs="宋体"/>
        </w:rPr>
      </w:pPr>
      <w:r>
        <w:rPr>
          <w:rFonts w:hint="eastAsia" w:ascii="宋体" w:hAnsi="宋体" w:cs="宋体"/>
        </w:rPr>
        <w:t>企业类型的划分以统计部门的统计数据为依据。</w:t>
      </w:r>
    </w:p>
    <w:p>
      <w:pPr>
        <w:numPr>
          <w:ilvl w:val="0"/>
          <w:numId w:val="19"/>
        </w:numPr>
        <w:spacing w:line="360" w:lineRule="auto"/>
        <w:ind w:firstLine="420" w:firstLineChars="200"/>
        <w:rPr>
          <w:rFonts w:ascii="宋体" w:hAnsi="宋体" w:cs="宋体"/>
        </w:rPr>
      </w:pPr>
      <w:r>
        <w:rPr>
          <w:rFonts w:hint="eastAsia" w:ascii="宋体" w:hAnsi="宋体" w:cs="宋体"/>
        </w:rPr>
        <w:t>本规定适用于在中华人民共和国境内依法设立的各类所有制和各种组织形式的企业。个体工商户和本规定以外的行业，参照本规定进行划型。</w:t>
      </w:r>
    </w:p>
    <w:p>
      <w:pPr>
        <w:numPr>
          <w:ilvl w:val="0"/>
          <w:numId w:val="19"/>
        </w:numPr>
        <w:spacing w:line="360" w:lineRule="auto"/>
        <w:ind w:firstLine="420" w:firstLineChars="200"/>
        <w:rPr>
          <w:rFonts w:ascii="宋体" w:hAnsi="宋体" w:cs="宋体"/>
        </w:rPr>
      </w:pPr>
      <w:r>
        <w:rPr>
          <w:rFonts w:hint="eastAsia" w:ascii="宋体" w:hAnsi="宋体" w:cs="宋体"/>
        </w:rPr>
        <w:t>本规定的中型企业标准上限即为大型企业标准的下限，国家统计部门据此制定大中小微型企业的统计分类。国务院有关部门据此进行相关数据分析，不得制定与本规定不一致的企业划型标准。</w:t>
      </w:r>
    </w:p>
    <w:p>
      <w:pPr>
        <w:numPr>
          <w:ilvl w:val="0"/>
          <w:numId w:val="19"/>
        </w:numPr>
        <w:spacing w:line="360" w:lineRule="auto"/>
        <w:ind w:firstLine="420" w:firstLineChars="200"/>
        <w:rPr>
          <w:rFonts w:ascii="宋体" w:hAnsi="宋体" w:cs="宋体"/>
        </w:rPr>
      </w:pPr>
      <w:r>
        <w:rPr>
          <w:rFonts w:hint="eastAsia" w:ascii="宋体" w:hAnsi="宋体" w:cs="宋体"/>
        </w:rPr>
        <w:t>、本规定由工业和信息化部、国家统计局会同有关部门根据《国民经济行业分类》修订情况和企业发展变化情况适时修订。</w:t>
      </w:r>
    </w:p>
    <w:p>
      <w:pPr>
        <w:numPr>
          <w:ilvl w:val="0"/>
          <w:numId w:val="19"/>
        </w:numPr>
        <w:spacing w:line="360" w:lineRule="auto"/>
        <w:ind w:firstLine="420" w:firstLineChars="200"/>
        <w:rPr>
          <w:rFonts w:ascii="宋体" w:hAnsi="宋体" w:cs="宋体"/>
        </w:rPr>
      </w:pPr>
      <w:r>
        <w:rPr>
          <w:rFonts w:hint="eastAsia" w:ascii="宋体" w:hAnsi="宋体" w:cs="宋体"/>
        </w:rPr>
        <w:t>本规定由工业和信息化部、国家统计局会同有关部门负责解释。</w:t>
      </w:r>
    </w:p>
    <w:p>
      <w:pPr>
        <w:numPr>
          <w:ilvl w:val="0"/>
          <w:numId w:val="19"/>
        </w:numPr>
        <w:spacing w:line="360" w:lineRule="auto"/>
        <w:ind w:firstLine="420" w:firstLineChars="200"/>
        <w:rPr>
          <w:rFonts w:ascii="宋体" w:hAnsi="宋体" w:cs="宋体"/>
        </w:rPr>
      </w:pPr>
      <w:r>
        <w:rPr>
          <w:rFonts w:hint="eastAsia" w:ascii="宋体" w:hAnsi="宋体" w:cs="宋体"/>
        </w:rPr>
        <w:t>本规定自发布之日起执行，原国家经贸委、原国家计委、财政部和国家统计局2003年颁布的《中小企业标准暂行规定》同时废止。</w:t>
      </w:r>
    </w:p>
    <w:p>
      <w:pPr>
        <w:pStyle w:val="3"/>
        <w:tabs>
          <w:tab w:val="left" w:pos="432"/>
        </w:tabs>
        <w:jc w:val="left"/>
        <w:rPr>
          <w:rFonts w:hAnsi="宋体" w:cs="宋体"/>
          <w:bCs/>
          <w:sz w:val="24"/>
          <w:szCs w:val="24"/>
        </w:rPr>
      </w:pPr>
      <w:bookmarkStart w:id="1011" w:name="_Toc101191900"/>
      <w:bookmarkStart w:id="1012" w:name="_Toc8999378"/>
      <w:bookmarkStart w:id="1013" w:name="_Toc50760980"/>
      <w:bookmarkStart w:id="1014" w:name="_Toc102058324"/>
      <w:bookmarkStart w:id="1015" w:name="_Toc8212"/>
      <w:bookmarkStart w:id="1016" w:name="_Toc497489392"/>
      <w:bookmarkStart w:id="1017" w:name="_Toc92789351"/>
      <w:bookmarkStart w:id="1018" w:name="_Toc85461451"/>
      <w:bookmarkStart w:id="1019" w:name="_Toc779546475"/>
      <w:bookmarkStart w:id="1020" w:name="_Toc105425453"/>
      <w:bookmarkStart w:id="1021" w:name="_Toc15435095"/>
      <w:bookmarkStart w:id="1022" w:name="_Toc83722639"/>
      <w:r>
        <w:rPr>
          <w:rFonts w:hint="eastAsia" w:hAnsi="宋体" w:cs="宋体"/>
          <w:bCs/>
          <w:sz w:val="24"/>
          <w:szCs w:val="24"/>
        </w:rPr>
        <w:br w:type="page"/>
      </w:r>
      <w:bookmarkStart w:id="1023" w:name="_Toc218620578"/>
      <w:bookmarkStart w:id="1024" w:name="_Toc18061"/>
      <w:bookmarkStart w:id="1025" w:name="_Toc199921597"/>
      <w:bookmarkStart w:id="1026" w:name="_Toc209958512"/>
      <w:r>
        <w:rPr>
          <w:rFonts w:hint="eastAsia" w:hAnsi="宋体" w:cs="宋体"/>
          <w:bCs/>
          <w:sz w:val="24"/>
          <w:szCs w:val="24"/>
        </w:rPr>
        <w:t>附录3：财政部 民政部 中国残疾人联合会关于促进残疾人就业政府采购政策的通知</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pPr>
        <w:spacing w:line="360" w:lineRule="auto"/>
        <w:jc w:val="center"/>
        <w:rPr>
          <w:rFonts w:ascii="宋体" w:hAnsi="宋体" w:cs="宋体"/>
          <w:b/>
          <w:bCs/>
        </w:rPr>
      </w:pPr>
      <w:r>
        <w:rPr>
          <w:rFonts w:hint="eastAsia" w:ascii="宋体" w:hAnsi="宋体" w:cs="宋体"/>
          <w:spacing w:val="6"/>
        </w:rPr>
        <w:t>财库</w:t>
      </w:r>
      <w:r>
        <w:rPr>
          <w:rFonts w:hint="eastAsia" w:ascii="宋体" w:hAnsi="宋体" w:cs="宋体"/>
        </w:rPr>
        <w:t>〔2017〕 141</w:t>
      </w:r>
      <w:r>
        <w:rPr>
          <w:rFonts w:hint="eastAsia" w:ascii="宋体" w:hAnsi="宋体" w:cs="宋体"/>
          <w:spacing w:val="6"/>
        </w:rPr>
        <w:t>号</w:t>
      </w:r>
    </w:p>
    <w:p>
      <w:pPr>
        <w:pStyle w:val="45"/>
        <w:shd w:val="clear" w:color="auto" w:fill="FFFFFF"/>
        <w:spacing w:before="0" w:beforeAutospacing="0" w:after="0" w:afterAutospacing="0" w:line="360" w:lineRule="auto"/>
        <w:ind w:firstLine="480"/>
        <w:jc w:val="both"/>
        <w:rPr>
          <w:sz w:val="21"/>
          <w:szCs w:val="21"/>
        </w:rPr>
      </w:pPr>
      <w:bookmarkStart w:id="1027" w:name="toDeptId"/>
      <w:r>
        <w:rPr>
          <w:rFonts w:hint="eastAsia"/>
          <w:sz w:val="21"/>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027"/>
      <w:r>
        <w:rPr>
          <w:rFonts w:hint="eastAsia"/>
          <w:sz w:val="21"/>
          <w:szCs w:val="21"/>
        </w:rPr>
        <w:t>：</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为了发挥政府采购促进残疾人就业的作用，进一步保障残疾人权益，依照《政府采购法》、《残疾人保障法》等法律法规及相关规定，现就促进残疾人就业政府采购政策通知如下：</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一、享受政府采购支持政策的残疾人福利性单位应当同时满足以下条件：</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（一）安置的残疾人占本单位在职职工人数的比例不低于25%（含25%），并且安置的残疾人人数不少于10人（含10人）；</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（二）依法与安置的每位残疾人签订了一年以上（含一年）的劳动合同或服务协议；</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（三）为安置的每位残疾人按月足额缴纳了基本养老保险、基本医疗保险、失业保险、工伤保险和生育保险等社会保险费；</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（四）通过银行等金融机构向安置的每位残疾人，按月支付了不低于单位所在区县适用的经省级人民政府批准的月最低工资标准的工资；</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（五）提供本单位制造的货物、承担的工程或者服务（以下简称产品），或者提供其他残疾人福利性单位制造的货物（不包括使用非残疾人福利性单位注册商标的货物）。</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中标、成交供应商为残疾人福利性单位的，采购人或者其委托的采购代理机构应当随中标、成交结果同时公告其《残疾人福利性单位声明函》，接受社会监督。</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供应商提供的《残疾人福利性单位声明函》与事实不符的，依照《政府采购法》第七十七条第一款的规定追究法律责任。</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四、采购人采购公开招标数额标准以上的货物或者服务，因落实促进残疾人就业政策的需要，依法履行有关报批程序后，可采用公开招标以外的采购人式。</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七、本通知自2017年10月1日起执行。</w:t>
      </w:r>
    </w:p>
    <w:p>
      <w:pPr>
        <w:pStyle w:val="45"/>
        <w:shd w:val="clear" w:color="auto" w:fill="FFFFFF"/>
        <w:spacing w:before="0" w:beforeAutospacing="0" w:after="0" w:afterAutospacing="0" w:line="360" w:lineRule="auto"/>
        <w:ind w:firstLine="480"/>
        <w:jc w:val="right"/>
        <w:rPr>
          <w:sz w:val="21"/>
          <w:szCs w:val="21"/>
        </w:rPr>
      </w:pPr>
      <w:r>
        <w:rPr>
          <w:rFonts w:hint="eastAsia"/>
          <w:sz w:val="21"/>
          <w:szCs w:val="21"/>
        </w:rPr>
        <w:t>　　财政部 民政部 中国残疾人联合会</w:t>
      </w:r>
    </w:p>
    <w:p>
      <w:pPr>
        <w:pStyle w:val="45"/>
        <w:shd w:val="clear" w:color="auto" w:fill="FFFFFF"/>
        <w:spacing w:before="0" w:beforeAutospacing="0" w:after="0" w:afterAutospacing="0" w:line="360" w:lineRule="auto"/>
        <w:ind w:firstLine="480"/>
        <w:jc w:val="right"/>
        <w:rPr>
          <w:sz w:val="21"/>
          <w:szCs w:val="21"/>
        </w:rPr>
      </w:pPr>
      <w:r>
        <w:rPr>
          <w:rFonts w:hint="eastAsia"/>
          <w:sz w:val="21"/>
          <w:szCs w:val="21"/>
        </w:rPr>
        <w:t>　　2017年8月22日</w:t>
      </w:r>
    </w:p>
    <w:p>
      <w:pPr>
        <w:widowControl/>
        <w:jc w:val="left"/>
        <w:rPr>
          <w:rFonts w:ascii="宋体" w:hAnsi="宋体" w:cs="宋体"/>
          <w:kern w:val="0"/>
          <w:szCs w:val="21"/>
        </w:rPr>
      </w:pPr>
      <w:r>
        <w:rPr>
          <w:rFonts w:ascii="宋体" w:hAnsi="宋体"/>
          <w:szCs w:val="21"/>
        </w:rPr>
        <w:br w:type="page"/>
      </w:r>
    </w:p>
    <w:p>
      <w:pPr>
        <w:pStyle w:val="3"/>
        <w:tabs>
          <w:tab w:val="left" w:pos="432"/>
        </w:tabs>
        <w:spacing w:line="360" w:lineRule="auto"/>
        <w:jc w:val="left"/>
        <w:rPr>
          <w:rFonts w:hAnsi="宋体" w:cs="宋体"/>
          <w:bCs/>
          <w:sz w:val="24"/>
          <w:szCs w:val="24"/>
        </w:rPr>
      </w:pPr>
      <w:bookmarkStart w:id="1028" w:name="_Toc199921598"/>
      <w:bookmarkStart w:id="1029" w:name="_Toc218620579"/>
      <w:bookmarkStart w:id="1030" w:name="_Toc209958513"/>
      <w:r>
        <w:rPr>
          <w:rFonts w:hint="eastAsia" w:hAnsi="宋体" w:cs="宋体"/>
          <w:bCs/>
          <w:sz w:val="24"/>
          <w:szCs w:val="24"/>
        </w:rPr>
        <w:t>附录4：财政部 司法部 关于政府采购支持监狱企业发展有关问题的通知</w:t>
      </w:r>
      <w:bookmarkEnd w:id="1028"/>
      <w:bookmarkEnd w:id="1029"/>
      <w:bookmarkEnd w:id="1030"/>
      <w:r>
        <w:rPr>
          <w:rFonts w:hint="eastAsia" w:hAnsi="宋体" w:cs="宋体"/>
          <w:bCs/>
          <w:sz w:val="24"/>
          <w:szCs w:val="24"/>
        </w:rPr>
        <w:t xml:space="preserve">  </w:t>
      </w:r>
    </w:p>
    <w:p>
      <w:pPr>
        <w:pStyle w:val="5"/>
        <w:snapToGrid w:val="0"/>
        <w:rPr>
          <w:rFonts w:hAnsi="宋体"/>
        </w:rPr>
      </w:pPr>
    </w:p>
    <w:p>
      <w:pPr>
        <w:pStyle w:val="5"/>
        <w:snapToGrid w:val="0"/>
        <w:ind w:firstLine="0"/>
        <w:jc w:val="center"/>
        <w:rPr>
          <w:rFonts w:hAnsi="宋体"/>
        </w:rPr>
      </w:pPr>
      <w:r>
        <w:rPr>
          <w:rFonts w:hint="eastAsia" w:hAnsi="宋体"/>
        </w:rPr>
        <w:t>2014年6月10日 财库〔2014〕68号</w:t>
      </w:r>
    </w:p>
    <w:p>
      <w:pPr>
        <w:pStyle w:val="5"/>
        <w:snapToGrid w:val="0"/>
        <w:rPr>
          <w:rFonts w:hAnsi="宋体"/>
        </w:rPr>
      </w:pPr>
    </w:p>
    <w:p>
      <w:pPr>
        <w:pStyle w:val="45"/>
        <w:shd w:val="clear" w:color="auto" w:fill="FFFFFF"/>
        <w:spacing w:before="0" w:beforeAutospacing="0" w:after="0" w:afterAutospacing="0" w:line="360" w:lineRule="auto"/>
        <w:ind w:firstLine="480" w:firstLineChars="200"/>
        <w:jc w:val="both"/>
      </w:pPr>
      <w:r>
        <w:rPr>
          <w:rFonts w:hint="eastAsia"/>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pPr>
        <w:pStyle w:val="45"/>
        <w:shd w:val="clear" w:color="auto" w:fill="FFFFFF"/>
        <w:spacing w:before="0" w:beforeAutospacing="0" w:after="0" w:afterAutospacing="0" w:line="360" w:lineRule="auto"/>
        <w:ind w:firstLine="480" w:firstLineChars="200"/>
        <w:jc w:val="both"/>
      </w:pPr>
      <w:r>
        <w:rPr>
          <w:rFonts w:hint="eastAsia"/>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精神，发挥政府采购支持监狱企业发展的作用，现就有关事项通知如下：</w:t>
      </w:r>
    </w:p>
    <w:p>
      <w:pPr>
        <w:pStyle w:val="45"/>
        <w:shd w:val="clear" w:color="auto" w:fill="FFFFFF"/>
        <w:spacing w:before="0" w:beforeAutospacing="0" w:after="0" w:afterAutospacing="0" w:line="360" w:lineRule="auto"/>
        <w:ind w:firstLine="480" w:firstLineChars="200"/>
        <w:jc w:val="both"/>
      </w:pPr>
      <w:r>
        <w:rPr>
          <w:rFonts w:hint="eastAsia"/>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pStyle w:val="45"/>
        <w:shd w:val="clear" w:color="auto" w:fill="FFFFFF"/>
        <w:spacing w:before="0" w:beforeAutospacing="0" w:after="0" w:afterAutospacing="0" w:line="360" w:lineRule="auto"/>
        <w:ind w:firstLine="480" w:firstLineChars="200"/>
        <w:jc w:val="both"/>
      </w:pPr>
      <w:r>
        <w:rPr>
          <w:rFonts w:hint="eastAsia"/>
        </w:rPr>
        <w:t>二、在政府采购活动中，监狱企业视同小型、微型企业，享受预留份额、评审中价格扣除等政府采购促进中小企业发展的政府采购政策。向监狱企业采购的金额，计入面向中小企业采购的统计数据。</w:t>
      </w:r>
    </w:p>
    <w:p>
      <w:pPr>
        <w:pStyle w:val="45"/>
        <w:shd w:val="clear" w:color="auto" w:fill="FFFFFF"/>
        <w:spacing w:before="0" w:beforeAutospacing="0" w:after="0" w:afterAutospacing="0" w:line="360" w:lineRule="auto"/>
        <w:ind w:firstLine="480" w:firstLineChars="200"/>
        <w:jc w:val="both"/>
      </w:pPr>
      <w:r>
        <w:rPr>
          <w:rFonts w:hint="eastAsia"/>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pPr>
        <w:pStyle w:val="45"/>
        <w:shd w:val="clear" w:color="auto" w:fill="FFFFFF"/>
        <w:spacing w:before="0" w:beforeAutospacing="0" w:after="0" w:afterAutospacing="0" w:line="360" w:lineRule="auto"/>
        <w:ind w:firstLine="480" w:firstLineChars="200"/>
        <w:jc w:val="both"/>
      </w:pPr>
      <w:r>
        <w:rPr>
          <w:rFonts w:hint="eastAsia"/>
        </w:rPr>
        <w:t>四、各地区可以结合本地区实际，对监狱企业生产的办公用品、家具用具、车辆维修和提供的保养服务、消防设备等，提出预留份额等政府采购支持措施，加大对监狱企业产品的采购力度。</w:t>
      </w:r>
    </w:p>
    <w:p>
      <w:pPr>
        <w:pStyle w:val="45"/>
        <w:shd w:val="clear" w:color="auto" w:fill="FFFFFF"/>
        <w:spacing w:before="0" w:beforeAutospacing="0" w:after="0" w:afterAutospacing="0" w:line="360" w:lineRule="auto"/>
        <w:ind w:firstLine="480" w:firstLineChars="200"/>
        <w:jc w:val="both"/>
      </w:pPr>
      <w:r>
        <w:rPr>
          <w:rFonts w:hint="eastAsia"/>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widowControl/>
        <w:jc w:val="left"/>
        <w:rPr>
          <w:rFonts w:ascii="宋体" w:hAnsi="宋体" w:cs="宋体"/>
          <w:kern w:val="0"/>
          <w:sz w:val="24"/>
        </w:rPr>
      </w:pPr>
      <w:r>
        <w:rPr>
          <w:rFonts w:ascii="宋体" w:hAnsi="宋体"/>
        </w:rPr>
        <w:br w:type="page"/>
      </w:r>
    </w:p>
    <w:p>
      <w:pPr>
        <w:pStyle w:val="3"/>
        <w:tabs>
          <w:tab w:val="left" w:pos="432"/>
        </w:tabs>
        <w:spacing w:line="360" w:lineRule="auto"/>
        <w:jc w:val="left"/>
        <w:rPr>
          <w:rFonts w:hAnsi="宋体" w:cs="宋体"/>
          <w:bCs/>
          <w:sz w:val="24"/>
          <w:szCs w:val="24"/>
        </w:rPr>
      </w:pPr>
      <w:bookmarkStart w:id="1031" w:name="_Toc199921599"/>
      <w:bookmarkStart w:id="1032" w:name="_Toc218620580"/>
      <w:bookmarkStart w:id="1033" w:name="_Toc209958514"/>
      <w:r>
        <w:rPr>
          <w:rFonts w:hint="eastAsia" w:hAnsi="宋体" w:cs="宋体"/>
          <w:bCs/>
          <w:sz w:val="24"/>
          <w:szCs w:val="24"/>
        </w:rPr>
        <w:t>附录5：关于进一步加大政府采购支持中小企业力度的通知</w:t>
      </w:r>
      <w:bookmarkEnd w:id="1031"/>
      <w:bookmarkEnd w:id="1032"/>
      <w:bookmarkEnd w:id="1033"/>
    </w:p>
    <w:p>
      <w:pPr>
        <w:jc w:val="center"/>
        <w:rPr>
          <w:rFonts w:ascii="宋体" w:hAnsi="宋体"/>
          <w:sz w:val="24"/>
        </w:rPr>
      </w:pPr>
      <w:r>
        <w:rPr>
          <w:rFonts w:hint="eastAsia" w:ascii="宋体" w:hAnsi="宋体"/>
          <w:sz w:val="24"/>
        </w:rPr>
        <w:t>财库〔2022〕19号</w:t>
      </w:r>
    </w:p>
    <w:p>
      <w:pPr>
        <w:pStyle w:val="45"/>
        <w:shd w:val="clear" w:color="auto" w:fill="FFFFFF"/>
        <w:spacing w:before="0" w:beforeAutospacing="0" w:after="225" w:afterAutospacing="0" w:line="360" w:lineRule="auto"/>
      </w:pPr>
      <w:r>
        <w:rPr>
          <w:rFonts w:hint="eastAsia"/>
        </w:rPr>
        <w:t>各中央预算单位，各省、自治区、直辖市、计划单列市财政厅（局），新疆生产建设兵团财政局：</w:t>
      </w:r>
    </w:p>
    <w:p>
      <w:pPr>
        <w:pStyle w:val="45"/>
        <w:shd w:val="clear" w:color="auto" w:fill="FFFFFF"/>
        <w:spacing w:before="0" w:beforeAutospacing="0" w:after="225" w:afterAutospacing="0" w:line="360" w:lineRule="auto"/>
        <w:ind w:firstLine="480"/>
      </w:pPr>
      <w:r>
        <w:rPr>
          <w:rFonts w:hint="eastAsia"/>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pStyle w:val="45"/>
        <w:shd w:val="clear" w:color="auto" w:fill="FFFFFF"/>
        <w:spacing w:before="0" w:beforeAutospacing="0" w:after="0" w:afterAutospacing="0" w:line="360" w:lineRule="auto"/>
        <w:ind w:firstLine="480"/>
      </w:pPr>
      <w:r>
        <w:rPr>
          <w:rFonts w:hint="eastAsia"/>
          <w:b/>
          <w:bCs/>
        </w:rPr>
        <w:t>一、严格落实支持中小企业政府采购政策。</w:t>
      </w:r>
      <w:r>
        <w:rPr>
          <w:rFonts w:hint="eastAsia"/>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pStyle w:val="45"/>
        <w:shd w:val="clear" w:color="auto" w:fill="FFFFFF"/>
        <w:spacing w:before="0" w:beforeAutospacing="0" w:after="0" w:afterAutospacing="0" w:line="360" w:lineRule="auto"/>
        <w:ind w:firstLine="480"/>
      </w:pPr>
      <w:r>
        <w:rPr>
          <w:rFonts w:hint="eastAsia"/>
          <w:b/>
          <w:bCs/>
        </w:rPr>
        <w:t>二、调整对小微企业的价格评审优惠幅度。</w:t>
      </w:r>
      <w:r>
        <w:rPr>
          <w:rFonts w:hint="eastAsia"/>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45"/>
        <w:shd w:val="clear" w:color="auto" w:fill="FFFFFF"/>
        <w:spacing w:before="0" w:beforeAutospacing="0" w:after="0" w:afterAutospacing="0" w:line="360" w:lineRule="auto"/>
        <w:ind w:firstLine="480"/>
      </w:pPr>
      <w:r>
        <w:rPr>
          <w:rFonts w:hint="eastAsia"/>
          <w:b/>
          <w:bCs/>
        </w:rPr>
        <w:t>三、提高政府采购工程面向中小企业预留份额。</w:t>
      </w:r>
      <w:r>
        <w:rPr>
          <w:rFonts w:hint="eastAsia"/>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pStyle w:val="45"/>
        <w:shd w:val="clear" w:color="auto" w:fill="FFFFFF"/>
        <w:spacing w:before="0" w:beforeAutospacing="0" w:after="0" w:afterAutospacing="0" w:line="360" w:lineRule="auto"/>
        <w:ind w:firstLine="480"/>
      </w:pPr>
      <w:r>
        <w:rPr>
          <w:rFonts w:hint="eastAsia"/>
          <w:b/>
          <w:bCs/>
        </w:rPr>
        <w:t>四、认真做好组织实施。</w:t>
      </w:r>
      <w:r>
        <w:rPr>
          <w:rFonts w:hint="eastAsia"/>
        </w:rPr>
        <w:t>各地区、各部门应当加强组织领导，明确工作责任，细化执行要求，强化监督检查，确保国务院部署落实到位，对通知执行中出现的问题要及时向财政部报告。</w:t>
      </w:r>
    </w:p>
    <w:p>
      <w:pPr>
        <w:pStyle w:val="45"/>
        <w:shd w:val="clear" w:color="auto" w:fill="FFFFFF"/>
        <w:spacing w:before="0" w:beforeAutospacing="0" w:after="225" w:afterAutospacing="0" w:line="360" w:lineRule="auto"/>
        <w:ind w:firstLine="480"/>
      </w:pPr>
      <w:r>
        <w:rPr>
          <w:rFonts w:hint="eastAsia"/>
        </w:rPr>
        <w:t>本通知自2022年7月1日起执行。</w:t>
      </w:r>
    </w:p>
    <w:p>
      <w:pPr>
        <w:pStyle w:val="45"/>
        <w:shd w:val="clear" w:color="auto" w:fill="FFFFFF"/>
        <w:spacing w:before="0" w:beforeAutospacing="0" w:after="0" w:afterAutospacing="0" w:line="360" w:lineRule="auto"/>
        <w:jc w:val="right"/>
      </w:pPr>
      <w:r>
        <w:rPr>
          <w:rFonts w:hint="eastAsia"/>
        </w:rPr>
        <w:t>财政部</w:t>
      </w:r>
      <w:r>
        <w:rPr>
          <w:rFonts w:hint="eastAsia"/>
        </w:rPr>
        <w:br w:type="textWrapping"/>
      </w:r>
      <w:r>
        <w:rPr>
          <w:rFonts w:hint="eastAsia"/>
        </w:rPr>
        <w:t>2022年5月30日</w:t>
      </w:r>
    </w:p>
    <w:p>
      <w:pPr>
        <w:widowControl/>
        <w:spacing w:line="360" w:lineRule="auto"/>
        <w:jc w:val="left"/>
        <w:rPr>
          <w:rFonts w:ascii="宋体" w:hAnsi="宋体"/>
          <w:kern w:val="0"/>
          <w:sz w:val="24"/>
        </w:rPr>
      </w:pPr>
      <w:r>
        <w:rPr>
          <w:rFonts w:ascii="宋体" w:hAnsi="宋体"/>
          <w:kern w:val="0"/>
          <w:sz w:val="24"/>
        </w:rPr>
        <w:br w:type="page"/>
      </w:r>
    </w:p>
    <w:p>
      <w:pPr>
        <w:pStyle w:val="3"/>
        <w:tabs>
          <w:tab w:val="left" w:pos="432"/>
        </w:tabs>
        <w:spacing w:line="360" w:lineRule="auto"/>
        <w:jc w:val="left"/>
        <w:rPr>
          <w:rFonts w:hAnsi="宋体" w:cs="宋体"/>
          <w:bCs/>
          <w:sz w:val="24"/>
          <w:szCs w:val="24"/>
        </w:rPr>
      </w:pPr>
      <w:bookmarkStart w:id="1034" w:name="_Toc218620581"/>
      <w:bookmarkStart w:id="1035" w:name="_Toc199921600"/>
      <w:bookmarkStart w:id="1036" w:name="_Toc209958515"/>
      <w:bookmarkStart w:id="1037" w:name="_Toc92789352"/>
      <w:bookmarkStart w:id="1038" w:name="_Toc85461452"/>
      <w:bookmarkStart w:id="1039" w:name="_Toc83722640"/>
      <w:bookmarkStart w:id="1040" w:name="_Toc102058325"/>
      <w:bookmarkStart w:id="1041" w:name="_Toc9219"/>
      <w:bookmarkStart w:id="1042" w:name="_Toc101191901"/>
      <w:bookmarkStart w:id="1043" w:name="_Toc39874978"/>
      <w:bookmarkStart w:id="1044" w:name="_Toc105425454"/>
      <w:r>
        <w:rPr>
          <w:rFonts w:hint="eastAsia" w:hAnsi="宋体" w:cs="宋体"/>
          <w:bCs/>
          <w:sz w:val="24"/>
          <w:szCs w:val="24"/>
        </w:rPr>
        <w:t>附录6：财政部 发展改革委关于印发节能产品政府采购品目清单的通知</w:t>
      </w:r>
      <w:bookmarkEnd w:id="1034"/>
      <w:bookmarkEnd w:id="1035"/>
      <w:bookmarkEnd w:id="1036"/>
    </w:p>
    <w:p>
      <w:pPr>
        <w:spacing w:line="360" w:lineRule="auto"/>
        <w:ind w:firstLine="480" w:firstLineChars="200"/>
        <w:jc w:val="center"/>
        <w:rPr>
          <w:rFonts w:ascii="宋体" w:hAnsi="宋体"/>
          <w:sz w:val="24"/>
        </w:rPr>
      </w:pPr>
      <w:r>
        <w:rPr>
          <w:rFonts w:hint="eastAsia" w:ascii="宋体" w:hAnsi="宋体" w:cs="宋体"/>
          <w:sz w:val="24"/>
        </w:rPr>
        <w:t>（财库〔2019〕19号）</w:t>
      </w: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市场监管总局关于调整优化节能产品环境标志产品政府采购执行机制的通知》（财库〔2019〕9号），我们研究制定节能产品政府采购品目清单，现印发给你们，请遵照执行。</w:t>
      </w:r>
    </w:p>
    <w:p>
      <w:pPr>
        <w:tabs>
          <w:tab w:val="left" w:pos="7088"/>
        </w:tabs>
        <w:spacing w:before="602" w:after="302" w:line="360" w:lineRule="auto"/>
        <w:ind w:left="302" w:right="226" w:firstLine="480" w:firstLineChars="200"/>
        <w:rPr>
          <w:rFonts w:ascii="宋体" w:hAnsi="宋体" w:cs="宋体"/>
          <w:szCs w:val="21"/>
        </w:rPr>
      </w:pPr>
      <w:r>
        <w:rPr>
          <w:rFonts w:ascii="宋体" w:hAnsi="宋体"/>
          <w:sz w:val="24"/>
        </w:rPr>
        <w:t xml:space="preserve"> </w:t>
      </w:r>
    </w:p>
    <w:p>
      <w:pPr>
        <w:rPr>
          <w:rFonts w:ascii="宋体" w:hAnsi="宋体" w:cs="宋体"/>
        </w:rPr>
      </w:pPr>
    </w:p>
    <w:p>
      <w:pPr>
        <w:tabs>
          <w:tab w:val="left" w:pos="7088"/>
        </w:tabs>
        <w:spacing w:before="602" w:after="302" w:line="360" w:lineRule="auto"/>
        <w:ind w:right="226"/>
        <w:rPr>
          <w:rFonts w:ascii="宋体" w:hAnsi="宋体" w:cs="宋体"/>
        </w:rPr>
      </w:pPr>
      <w:r>
        <w:rPr>
          <w:rFonts w:hint="eastAsia" w:ascii="宋体" w:hAnsi="宋体" w:cs="宋体"/>
        </w:rPr>
        <w:drawing>
          <wp:inline distT="0" distB="0" distL="114300" distR="114300">
            <wp:extent cx="5274945" cy="6802120"/>
            <wp:effectExtent l="0" t="0" r="1905" b="17780"/>
            <wp:docPr id="29" name="图片 29" descr="D:\传输文件\WeChat Files\wxid_9890248905412\FileStorage\Temp\1666628018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传输文件\WeChat Files\wxid_9890248905412\FileStorage\Temp\1666628018257.png"/>
                    <pic:cNvPicPr>
                      <a:picLocks noChangeAspect="1"/>
                    </pic:cNvPicPr>
                  </pic:nvPicPr>
                  <pic:blipFill>
                    <a:blip r:embed="rId11"/>
                    <a:stretch>
                      <a:fillRect/>
                    </a:stretch>
                  </pic:blipFill>
                  <pic:spPr>
                    <a:xfrm>
                      <a:off x="0" y="0"/>
                      <a:ext cx="5274945" cy="6802120"/>
                    </a:xfrm>
                    <a:prstGeom prst="rect">
                      <a:avLst/>
                    </a:prstGeom>
                    <a:noFill/>
                    <a:ln>
                      <a:noFill/>
                    </a:ln>
                  </pic:spPr>
                </pic:pic>
              </a:graphicData>
            </a:graphic>
          </wp:inline>
        </w:drawing>
      </w:r>
      <w:r>
        <w:rPr>
          <w:rFonts w:hint="eastAsia" w:ascii="宋体" w:hAnsi="宋体" w:cs="宋体"/>
        </w:rPr>
        <w:t xml:space="preserve"> </w:t>
      </w:r>
      <w:r>
        <w:rPr>
          <w:rFonts w:hint="eastAsia" w:ascii="宋体" w:hAnsi="宋体" w:cs="宋体"/>
        </w:rPr>
        <w:drawing>
          <wp:inline distT="0" distB="0" distL="114300" distR="114300">
            <wp:extent cx="5391150" cy="7409815"/>
            <wp:effectExtent l="0" t="0" r="0" b="635"/>
            <wp:docPr id="30" name="图片 30" descr="D:\传输文件\WeChat Files\wxid_9890248905412\FileStorage\Temp\16666280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传输文件\WeChat Files\wxid_9890248905412\FileStorage\Temp\1666628028421.png"/>
                    <pic:cNvPicPr>
                      <a:picLocks noChangeAspect="1"/>
                    </pic:cNvPicPr>
                  </pic:nvPicPr>
                  <pic:blipFill>
                    <a:blip r:embed="rId12"/>
                    <a:stretch>
                      <a:fillRect/>
                    </a:stretch>
                  </pic:blipFill>
                  <pic:spPr>
                    <a:xfrm>
                      <a:off x="0" y="0"/>
                      <a:ext cx="5391150" cy="7409815"/>
                    </a:xfrm>
                    <a:prstGeom prst="rect">
                      <a:avLst/>
                    </a:prstGeom>
                    <a:noFill/>
                    <a:ln>
                      <a:noFill/>
                    </a:ln>
                  </pic:spPr>
                </pic:pic>
              </a:graphicData>
            </a:graphic>
          </wp:inline>
        </w:drawing>
      </w:r>
    </w:p>
    <w:p>
      <w:pPr>
        <w:shd w:val="clear" w:color="auto" w:fill="FFFFFF"/>
        <w:spacing w:before="602" w:after="302" w:line="360" w:lineRule="auto"/>
        <w:ind w:right="226"/>
        <w:rPr>
          <w:rFonts w:ascii="宋体" w:hAnsi="宋体" w:cs="宋体"/>
        </w:rPr>
      </w:pPr>
      <w:r>
        <w:rPr>
          <w:rFonts w:hint="eastAsia" w:ascii="宋体" w:hAnsi="宋体" w:cs="宋体"/>
        </w:rPr>
        <w:t> </w:t>
      </w:r>
      <w:r>
        <w:rPr>
          <w:rFonts w:hint="eastAsia" w:ascii="宋体" w:hAnsi="宋体" w:cs="宋体"/>
        </w:rPr>
        <w:drawing>
          <wp:inline distT="0" distB="0" distL="114300" distR="114300">
            <wp:extent cx="5355590" cy="7303135"/>
            <wp:effectExtent l="0" t="0" r="16510" b="12065"/>
            <wp:docPr id="31" name="图片 31" descr="D:\传输文件\WeChat Files\wxid_9890248905412\FileStorage\Temp\166662803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传输文件\WeChat Files\wxid_9890248905412\FileStorage\Temp\1666628035161.png"/>
                    <pic:cNvPicPr>
                      <a:picLocks noChangeAspect="1"/>
                    </pic:cNvPicPr>
                  </pic:nvPicPr>
                  <pic:blipFill>
                    <a:blip r:embed="rId13"/>
                    <a:stretch>
                      <a:fillRect/>
                    </a:stretch>
                  </pic:blipFill>
                  <pic:spPr>
                    <a:xfrm>
                      <a:off x="0" y="0"/>
                      <a:ext cx="5355590" cy="7303135"/>
                    </a:xfrm>
                    <a:prstGeom prst="rect">
                      <a:avLst/>
                    </a:prstGeom>
                    <a:noFill/>
                    <a:ln>
                      <a:noFill/>
                    </a:ln>
                  </pic:spPr>
                </pic:pic>
              </a:graphicData>
            </a:graphic>
          </wp:inline>
        </w:drawing>
      </w:r>
    </w:p>
    <w:p>
      <w:pPr>
        <w:shd w:val="clear" w:color="auto" w:fill="FFFFFF"/>
        <w:spacing w:before="602" w:after="302" w:line="360" w:lineRule="auto"/>
        <w:ind w:left="302" w:right="226"/>
        <w:rPr>
          <w:rFonts w:ascii="宋体" w:hAnsi="宋体" w:cs="宋体"/>
        </w:rPr>
      </w:pPr>
      <w:r>
        <w:rPr>
          <w:rFonts w:hint="eastAsia" w:ascii="宋体" w:hAnsi="宋体" w:cs="宋体"/>
        </w:rPr>
        <w:drawing>
          <wp:inline distT="0" distB="0" distL="114300" distR="114300">
            <wp:extent cx="5082540" cy="7635240"/>
            <wp:effectExtent l="0" t="0" r="3810" b="3810"/>
            <wp:docPr id="32" name="图片 32" descr="D:\传输文件\WeChat Files\wxid_9890248905412\FileStorage\Temp\1666628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传输文件\WeChat Files\wxid_9890248905412\FileStorage\Temp\1666628055209.png"/>
                    <pic:cNvPicPr>
                      <a:picLocks noChangeAspect="1"/>
                    </pic:cNvPicPr>
                  </pic:nvPicPr>
                  <pic:blipFill>
                    <a:blip r:embed="rId14"/>
                    <a:stretch>
                      <a:fillRect/>
                    </a:stretch>
                  </pic:blipFill>
                  <pic:spPr>
                    <a:xfrm>
                      <a:off x="0" y="0"/>
                      <a:ext cx="5082540" cy="7635240"/>
                    </a:xfrm>
                    <a:prstGeom prst="rect">
                      <a:avLst/>
                    </a:prstGeom>
                    <a:noFill/>
                    <a:ln>
                      <a:noFill/>
                    </a:ln>
                  </pic:spPr>
                </pic:pic>
              </a:graphicData>
            </a:graphic>
          </wp:inline>
        </w:drawing>
      </w:r>
    </w:p>
    <w:p>
      <w:pPr>
        <w:rPr>
          <w:rFonts w:ascii="宋体" w:hAnsi="宋体" w:cs="宋体"/>
          <w:sz w:val="28"/>
          <w:szCs w:val="28"/>
        </w:rPr>
      </w:pPr>
      <w:r>
        <w:rPr>
          <w:rFonts w:hint="eastAsia" w:ascii="宋体" w:hAnsi="宋体" w:cs="宋体"/>
          <w:sz w:val="28"/>
          <w:szCs w:val="28"/>
        </w:rPr>
        <w:br w:type="page"/>
      </w:r>
    </w:p>
    <w:p>
      <w:pPr>
        <w:pStyle w:val="3"/>
        <w:tabs>
          <w:tab w:val="left" w:pos="432"/>
        </w:tabs>
        <w:spacing w:line="360" w:lineRule="auto"/>
        <w:jc w:val="left"/>
        <w:rPr>
          <w:rFonts w:hAnsi="宋体" w:cs="宋体"/>
          <w:bCs/>
          <w:sz w:val="24"/>
          <w:szCs w:val="24"/>
        </w:rPr>
      </w:pPr>
      <w:bookmarkStart w:id="1045" w:name="_Toc199921601"/>
      <w:bookmarkStart w:id="1046" w:name="_Toc209958516"/>
      <w:bookmarkStart w:id="1047" w:name="_Toc218620582"/>
      <w:r>
        <w:rPr>
          <w:rFonts w:hint="eastAsia" w:hAnsi="宋体" w:cs="宋体"/>
          <w:bCs/>
          <w:sz w:val="24"/>
          <w:szCs w:val="24"/>
        </w:rPr>
        <w:t>附录7：关于印发环境标志产品政府采购品目清单的通知</w:t>
      </w:r>
      <w:bookmarkEnd w:id="1045"/>
      <w:bookmarkEnd w:id="1046"/>
      <w:bookmarkEnd w:id="1047"/>
    </w:p>
    <w:p>
      <w:pPr>
        <w:jc w:val="center"/>
        <w:rPr>
          <w:rFonts w:ascii="宋体" w:hAnsi="宋体"/>
          <w:sz w:val="24"/>
        </w:rPr>
      </w:pPr>
      <w:r>
        <w:rPr>
          <w:rFonts w:hint="eastAsia" w:ascii="宋体" w:hAnsi="宋体"/>
          <w:sz w:val="24"/>
        </w:rPr>
        <w:t>财库〔2019〕18号</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 我们研究制定节能产品政府采购品目清单，现印发给你们，请遵照执行。</w:t>
      </w:r>
      <w:r>
        <w:rPr>
          <w:rFonts w:ascii="宋体" w:hAnsi="宋体"/>
          <w:sz w:val="24"/>
        </w:rPr>
        <w:drawing>
          <wp:inline distT="0" distB="0" distL="0" distR="0">
            <wp:extent cx="4626610" cy="6482715"/>
            <wp:effectExtent l="0" t="0" r="2540" b="0"/>
            <wp:docPr id="85" name="图片 85" descr="D:\WeChat Files\wxid_9890248905412\FileStorage\Temp\17480013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WeChat Files\wxid_9890248905412\FileStorage\Temp\17480013191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26610" cy="648271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sz w:val="24"/>
        </w:rPr>
        <w:drawing>
          <wp:inline distT="0" distB="0" distL="0" distR="0">
            <wp:extent cx="4721860" cy="6264275"/>
            <wp:effectExtent l="0" t="0" r="2540" b="3175"/>
            <wp:docPr id="86" name="图片 86" descr="D:\WeChat Files\wxid_9890248905412\FileStorage\Temp\1748001329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WeChat Files\wxid_9890248905412\FileStorage\Temp\17480013294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21860" cy="626427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721860" cy="6455410"/>
            <wp:effectExtent l="0" t="0" r="2540" b="2540"/>
            <wp:docPr id="87" name="图片 87" descr="D:\WeChat Files\wxid_9890248905412\FileStorage\Temp\1748001337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WeChat Files\wxid_9890248905412\FileStorage\Temp\17480013374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1860" cy="6455410"/>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845050" cy="6714490"/>
            <wp:effectExtent l="0" t="0" r="0" b="0"/>
            <wp:docPr id="88" name="图片 88" descr="D:\WeChat Files\wxid_9890248905412\FileStorage\Temp\1748001346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WeChat Files\wxid_9890248905412\FileStorage\Temp\174800134637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45050" cy="6714490"/>
                    </a:xfrm>
                    <a:prstGeom prst="rect">
                      <a:avLst/>
                    </a:prstGeom>
                    <a:noFill/>
                    <a:ln>
                      <a:noFill/>
                    </a:ln>
                  </pic:spPr>
                </pic:pic>
              </a:graphicData>
            </a:graphic>
          </wp:inline>
        </w:drawing>
      </w:r>
      <w:r>
        <w:rPr>
          <w:rFonts w:ascii="宋体" w:hAnsi="宋体" w:cs="宋体"/>
          <w:bCs/>
          <w:sz w:val="24"/>
        </w:rPr>
        <w:br w:type="page"/>
      </w:r>
    </w:p>
    <w:p>
      <w:pPr>
        <w:pStyle w:val="3"/>
        <w:tabs>
          <w:tab w:val="left" w:pos="432"/>
        </w:tabs>
        <w:spacing w:line="360" w:lineRule="auto"/>
        <w:jc w:val="left"/>
        <w:rPr>
          <w:rFonts w:hAnsi="宋体" w:cs="宋体"/>
          <w:bCs/>
          <w:sz w:val="24"/>
          <w:szCs w:val="24"/>
        </w:rPr>
      </w:pPr>
      <w:bookmarkStart w:id="1048" w:name="_Toc218620583"/>
      <w:bookmarkStart w:id="1049" w:name="_Toc199921602"/>
      <w:bookmarkStart w:id="1050" w:name="_Toc209958517"/>
      <w:r>
        <w:rPr>
          <w:rFonts w:hint="eastAsia" w:hAnsi="宋体" w:cs="宋体"/>
          <w:bCs/>
          <w:sz w:val="24"/>
          <w:szCs w:val="24"/>
        </w:rPr>
        <w:t>附录8：</w:t>
      </w:r>
      <w:bookmarkEnd w:id="1037"/>
      <w:bookmarkEnd w:id="1038"/>
      <w:bookmarkEnd w:id="1039"/>
      <w:r>
        <w:rPr>
          <w:rFonts w:hint="eastAsia" w:hAnsi="宋体" w:cs="宋体"/>
          <w:bCs/>
          <w:sz w:val="24"/>
          <w:szCs w:val="24"/>
        </w:rPr>
        <w:t>市场监管总局关于发布参与实施政府采购节能产品、环境标志产品认证机构名录的公告</w:t>
      </w:r>
      <w:bookmarkEnd w:id="1040"/>
      <w:bookmarkEnd w:id="1041"/>
      <w:bookmarkEnd w:id="1042"/>
      <w:bookmarkEnd w:id="1043"/>
      <w:bookmarkEnd w:id="1044"/>
      <w:bookmarkEnd w:id="1048"/>
      <w:bookmarkEnd w:id="1049"/>
      <w:bookmarkEnd w:id="1050"/>
    </w:p>
    <w:p>
      <w:pPr>
        <w:spacing w:line="360" w:lineRule="auto"/>
        <w:jc w:val="center"/>
        <w:rPr>
          <w:rFonts w:ascii="宋体" w:hAnsi="宋体" w:cs="宋体"/>
        </w:rPr>
      </w:pPr>
      <w:r>
        <w:rPr>
          <w:rFonts w:hint="eastAsia" w:ascii="宋体" w:hAnsi="宋体" w:cs="宋体"/>
        </w:rPr>
        <w:t>市场监管总局关于发布参与实施政府采购节能产品、</w:t>
      </w:r>
    </w:p>
    <w:p>
      <w:pPr>
        <w:spacing w:line="360" w:lineRule="auto"/>
        <w:jc w:val="center"/>
        <w:rPr>
          <w:rFonts w:ascii="宋体" w:hAnsi="宋体" w:cs="宋体"/>
        </w:rPr>
      </w:pPr>
      <w:r>
        <w:rPr>
          <w:rFonts w:hint="eastAsia" w:ascii="宋体" w:hAnsi="宋体" w:cs="宋体"/>
        </w:rPr>
        <w:t>环境标志产品认证机构名录的公告</w:t>
      </w:r>
    </w:p>
    <w:p>
      <w:pPr>
        <w:spacing w:line="360" w:lineRule="auto"/>
        <w:jc w:val="center"/>
        <w:rPr>
          <w:rFonts w:ascii="宋体" w:hAnsi="宋体" w:cs="宋体"/>
        </w:rPr>
      </w:pPr>
      <w:r>
        <w:rPr>
          <w:rFonts w:hint="eastAsia" w:ascii="宋体" w:hAnsi="宋体" w:cs="宋体"/>
        </w:rPr>
        <w:t>2019年第16号</w:t>
      </w:r>
    </w:p>
    <w:p>
      <w:pPr>
        <w:pStyle w:val="45"/>
        <w:spacing w:before="680" w:beforeAutospacing="0" w:after="632" w:afterAutospacing="0" w:line="360" w:lineRule="auto"/>
        <w:ind w:left="302" w:right="226" w:firstLine="480"/>
        <w:rPr>
          <w:sz w:val="21"/>
          <w:szCs w:val="21"/>
        </w:rPr>
      </w:pPr>
      <w:r>
        <w:rPr>
          <w:rFonts w:hint="eastAsia"/>
          <w:sz w:val="21"/>
          <w:szCs w:val="21"/>
        </w:rPr>
        <w:t>　　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45"/>
        <w:spacing w:before="680" w:beforeAutospacing="0" w:after="632" w:afterAutospacing="0" w:line="360" w:lineRule="auto"/>
        <w:ind w:left="302" w:right="226" w:firstLine="480"/>
        <w:rPr>
          <w:sz w:val="21"/>
          <w:szCs w:val="21"/>
        </w:rPr>
      </w:pPr>
    </w:p>
    <w:p>
      <w:pPr>
        <w:pStyle w:val="45"/>
        <w:spacing w:before="680" w:beforeAutospacing="0" w:after="632" w:afterAutospacing="0" w:line="360" w:lineRule="auto"/>
        <w:ind w:left="302" w:right="226" w:firstLine="480"/>
        <w:rPr>
          <w:sz w:val="21"/>
          <w:szCs w:val="21"/>
        </w:rPr>
      </w:pPr>
      <w:r>
        <w:rPr>
          <w:rFonts w:hint="eastAsia"/>
          <w:sz w:val="21"/>
          <w:szCs w:val="21"/>
        </w:rPr>
        <w:t>　　自本公告发布后，新增认证机构应尽快完成政府采购认证信息系统对接，对接完成后方可开展相关认证工作。</w:t>
      </w:r>
    </w:p>
    <w:p>
      <w:pPr>
        <w:pStyle w:val="45"/>
        <w:spacing w:before="680" w:beforeAutospacing="0" w:after="632" w:afterAutospacing="0" w:line="360" w:lineRule="auto"/>
        <w:ind w:left="302" w:right="226" w:firstLine="480"/>
        <w:jc w:val="right"/>
        <w:rPr>
          <w:sz w:val="21"/>
          <w:szCs w:val="21"/>
        </w:rPr>
      </w:pPr>
      <w:r>
        <w:rPr>
          <w:rFonts w:hint="eastAsia"/>
          <w:sz w:val="21"/>
          <w:szCs w:val="21"/>
        </w:rPr>
        <w:t>市场监管总局</w:t>
      </w:r>
    </w:p>
    <w:p>
      <w:pPr>
        <w:pStyle w:val="45"/>
        <w:spacing w:before="680" w:beforeAutospacing="0" w:after="632" w:afterAutospacing="0" w:line="360" w:lineRule="auto"/>
        <w:ind w:left="302" w:right="226" w:firstLine="480"/>
        <w:jc w:val="right"/>
        <w:rPr>
          <w:sz w:val="21"/>
          <w:szCs w:val="21"/>
        </w:rPr>
      </w:pPr>
      <w:r>
        <w:rPr>
          <w:rFonts w:hint="eastAsia"/>
          <w:sz w:val="21"/>
          <w:szCs w:val="21"/>
        </w:rPr>
        <w:t>2019年4月3日</w:t>
      </w:r>
    </w:p>
    <w:p>
      <w:pPr>
        <w:tabs>
          <w:tab w:val="left" w:pos="7088"/>
        </w:tabs>
        <w:spacing w:before="602" w:after="302" w:line="360" w:lineRule="auto"/>
        <w:ind w:left="302" w:right="226" w:firstLine="420" w:firstLineChars="200"/>
        <w:rPr>
          <w:rFonts w:ascii="宋体" w:hAnsi="宋体" w:cs="宋体"/>
          <w:sz w:val="28"/>
          <w:szCs w:val="28"/>
        </w:rPr>
      </w:pPr>
      <w:r>
        <w:rPr>
          <w:rFonts w:hint="eastAsia" w:ascii="宋体" w:hAnsi="宋体" w:cs="宋体"/>
          <w:szCs w:val="21"/>
        </w:rPr>
        <w:t>（此件公开发布）</w:t>
      </w:r>
    </w:p>
    <w:p>
      <w:pPr>
        <w:widowControl/>
        <w:jc w:val="left"/>
        <w:rPr>
          <w:rFonts w:ascii="宋体" w:hAnsi="宋体" w:cs="宋体"/>
          <w:sz w:val="28"/>
          <w:szCs w:val="28"/>
        </w:rPr>
      </w:pPr>
      <w:r>
        <w:rPr>
          <w:rFonts w:ascii="宋体" w:hAnsi="宋体" w:cs="宋体"/>
          <w:sz w:val="28"/>
          <w:szCs w:val="28"/>
        </w:rPr>
        <w:br w:type="page"/>
      </w:r>
    </w:p>
    <w:p>
      <w:pPr>
        <w:spacing w:before="602" w:after="302" w:line="360" w:lineRule="auto"/>
        <w:ind w:left="302" w:right="226"/>
        <w:jc w:val="center"/>
        <w:rPr>
          <w:rFonts w:ascii="宋体" w:hAnsi="宋体" w:cs="宋体"/>
        </w:rPr>
      </w:pPr>
      <w:r>
        <w:rPr>
          <w:rFonts w:hint="eastAsia" w:ascii="宋体" w:hAnsi="宋体" w:cs="宋体"/>
          <w:sz w:val="28"/>
          <w:szCs w:val="28"/>
        </w:rPr>
        <w:t>参与实施政府采购节能产品认证机构名录</w:t>
      </w:r>
    </w:p>
    <w:tbl>
      <w:tblPr>
        <w:tblStyle w:val="51"/>
        <w:tblW w:w="8076"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15"/>
        <w:gridCol w:w="1064"/>
        <w:gridCol w:w="1599"/>
        <w:gridCol w:w="139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279"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一级目录</w:t>
            </w:r>
          </w:p>
        </w:tc>
        <w:tc>
          <w:tcPr>
            <w:tcW w:w="2998"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二级目录</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计算机设备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台式计算机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北京赛西认证有限责任公司</w:t>
            </w:r>
          </w:p>
          <w:p>
            <w:pPr>
              <w:spacing w:beforeAutospacing="1" w:afterAutospacing="1" w:line="360" w:lineRule="auto"/>
              <w:rPr>
                <w:rFonts w:ascii="宋体" w:hAnsi="宋体" w:cs="宋体"/>
              </w:rPr>
            </w:pPr>
            <w:r>
              <w:rPr>
                <w:rFonts w:hint="eastAsia" w:ascii="宋体" w:hAnsi="宋体" w:cs="宋体"/>
              </w:rPr>
              <w:t>中国网络安全审查技术与认证中心</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便携式计算机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平板式微型计算机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2</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输入输出设备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打印设备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显示设备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图形图像输入设备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rPr>
                <w:rFonts w:ascii="宋体" w:hAnsi="宋体" w:cs="宋体"/>
              </w:rPr>
            </w:pPr>
            <w:r>
              <w:rPr>
                <w:rFonts w:hint="eastAsia" w:ascii="宋体" w:hAnsi="宋体" w:cs="宋体"/>
              </w:rPr>
              <w:t>A020202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投影仪</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A020204</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多功能一体机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泵</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离心泵</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6</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制冷空调设备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制冷压缩机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p>
            <w:pPr>
              <w:spacing w:beforeAutospacing="1" w:afterAutospacing="1" w:line="360" w:lineRule="auto"/>
              <w:rPr>
                <w:rFonts w:ascii="宋体" w:hAnsi="宋体" w:cs="宋体"/>
              </w:rPr>
            </w:pPr>
            <w:r>
              <w:rPr>
                <w:rFonts w:hint="eastAsia" w:ascii="宋体" w:hAnsi="宋体" w:cs="宋体"/>
              </w:rPr>
              <w:t>北京中冷通质量认证中心有限公司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空调机组</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专用制冷、空调设备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A02052399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其他制冷空调设备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中国船级社质量认证公司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变压器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9</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镇流器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10</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生活用电器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A0206180101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电冰箱</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A0206180203</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洗衣机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A02061808</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热水器</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合肥通用机械产品认证有限公司(范围仅限于“热泵热水器”)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11</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照明设备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12</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电视设备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普通电视设备（电视机）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北京泰瑞特认证有限责任公司</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视频监控设备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A031210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饮食炊事机械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北京鉴衡认证中心</w:t>
            </w:r>
          </w:p>
          <w:p>
            <w:pPr>
              <w:spacing w:beforeAutospacing="1" w:afterAutospacing="1" w:line="360" w:lineRule="auto"/>
              <w:rPr>
                <w:rFonts w:ascii="宋体" w:hAnsi="宋体" w:cs="宋体"/>
              </w:rPr>
            </w:pPr>
            <w:r>
              <w:rPr>
                <w:rFonts w:hint="eastAsia" w:ascii="宋体" w:hAnsi="宋体" w:cs="宋体"/>
              </w:rPr>
              <w:t>中国市政工程华北设计研究总院有限公司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A060805</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北京新华节水产品认证有限公司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16</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A060806</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水嘴</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A060807</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便器冲洗阀</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淋浴器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bl>
    <w:p>
      <w:pPr>
        <w:spacing w:before="602" w:after="302" w:line="360" w:lineRule="auto"/>
        <w:ind w:left="302" w:right="226"/>
        <w:jc w:val="center"/>
        <w:rPr>
          <w:rFonts w:ascii="宋体" w:hAnsi="宋体" w:cs="宋体"/>
        </w:rPr>
      </w:pPr>
      <w:r>
        <w:rPr>
          <w:rFonts w:hint="eastAsia" w:ascii="宋体" w:hAnsi="宋体" w:cs="宋体"/>
        </w:rPr>
        <w:t> </w:t>
      </w:r>
    </w:p>
    <w:p>
      <w:pPr>
        <w:spacing w:before="602" w:after="302" w:line="360" w:lineRule="auto"/>
        <w:ind w:left="302" w:right="226"/>
        <w:jc w:val="center"/>
        <w:rPr>
          <w:rFonts w:ascii="宋体" w:hAnsi="宋体" w:cs="宋体"/>
          <w:sz w:val="28"/>
          <w:szCs w:val="28"/>
        </w:rPr>
      </w:pPr>
      <w:r>
        <w:rPr>
          <w:rFonts w:hint="eastAsia" w:ascii="宋体" w:hAnsi="宋体" w:cs="宋体"/>
          <w:sz w:val="28"/>
          <w:szCs w:val="28"/>
        </w:rPr>
        <w:t>参与实施政府采购环境标志产品认证机构名录 </w:t>
      </w:r>
    </w:p>
    <w:tbl>
      <w:tblPr>
        <w:tblStyle w:val="51"/>
        <w:tblW w:w="884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22"/>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目录</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环境标志产品</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中环联合（北京）认证中心有限公司</w:t>
            </w:r>
          </w:p>
          <w:p>
            <w:pPr>
              <w:spacing w:beforeAutospacing="1" w:afterAutospacing="1" w:line="360" w:lineRule="auto"/>
              <w:jc w:val="center"/>
              <w:rPr>
                <w:rFonts w:ascii="宋体" w:hAnsi="宋体" w:cs="宋体"/>
              </w:rPr>
            </w:pPr>
            <w:r>
              <w:rPr>
                <w:rFonts w:hint="eastAsia" w:ascii="宋体" w:hAnsi="宋体" w:cs="宋体"/>
              </w:rPr>
              <w:t>中标合信（北京）认证有限公司</w:t>
            </w:r>
          </w:p>
          <w:p>
            <w:pPr>
              <w:spacing w:beforeAutospacing="1" w:afterAutospacing="1" w:line="360" w:lineRule="auto"/>
              <w:jc w:val="center"/>
              <w:rPr>
                <w:rFonts w:ascii="宋体" w:hAnsi="宋体" w:cs="宋体"/>
              </w:rPr>
            </w:pPr>
            <w:r>
              <w:rPr>
                <w:rFonts w:hint="eastAsia" w:ascii="宋体" w:hAnsi="宋体" w:cs="宋体"/>
              </w:rPr>
              <w:t>中环协（北京）认证有限公司</w:t>
            </w:r>
          </w:p>
          <w:p>
            <w:pPr>
              <w:spacing w:beforeAutospacing="1" w:afterAutospacing="1" w:line="360" w:lineRule="auto"/>
              <w:jc w:val="center"/>
              <w:rPr>
                <w:rFonts w:ascii="宋体" w:hAnsi="宋体" w:cs="宋体"/>
              </w:rPr>
            </w:pPr>
            <w:r>
              <w:rPr>
                <w:rFonts w:hint="eastAsia" w:ascii="宋体" w:hAnsi="宋体" w:cs="宋体"/>
              </w:rPr>
              <w:t>天津华诚认证有限公司</w:t>
            </w:r>
          </w:p>
        </w:tc>
      </w:tr>
    </w:tbl>
    <w:p>
      <w:pPr>
        <w:spacing w:line="360" w:lineRule="auto"/>
        <w:rPr>
          <w:rFonts w:ascii="宋体" w:hAnsi="宋体" w:cs="宋体"/>
        </w:rPr>
      </w:pPr>
    </w:p>
    <w:p>
      <w:pPr>
        <w:widowControl/>
        <w:jc w:val="left"/>
        <w:rPr>
          <w:rFonts w:ascii="宋体" w:hAnsi="宋体" w:cs="宋体"/>
          <w:b/>
          <w:sz w:val="24"/>
          <w:lang w:val="zh-CN"/>
        </w:rPr>
      </w:pPr>
      <w:r>
        <w:rPr>
          <w:rFonts w:ascii="宋体" w:hAnsi="宋体" w:cs="宋体"/>
          <w:lang w:val="zh-CN"/>
        </w:rPr>
        <w:br w:type="page"/>
      </w:r>
    </w:p>
    <w:p>
      <w:pPr>
        <w:pStyle w:val="3"/>
        <w:tabs>
          <w:tab w:val="left" w:pos="432"/>
        </w:tabs>
        <w:spacing w:line="360" w:lineRule="auto"/>
        <w:jc w:val="left"/>
        <w:rPr>
          <w:rFonts w:hAnsi="宋体" w:cs="宋体"/>
          <w:bCs/>
          <w:sz w:val="24"/>
          <w:szCs w:val="24"/>
        </w:rPr>
      </w:pPr>
      <w:bookmarkStart w:id="1051" w:name="_Toc218620584"/>
      <w:bookmarkStart w:id="1052" w:name="_Toc209958518"/>
      <w:bookmarkStart w:id="1053" w:name="_Toc199921604"/>
      <w:bookmarkStart w:id="1054" w:name="_Toc199921603"/>
      <w:r>
        <w:rPr>
          <w:rFonts w:hint="eastAsia" w:hAnsi="宋体" w:cs="宋体"/>
          <w:bCs/>
          <w:sz w:val="24"/>
          <w:szCs w:val="24"/>
        </w:rPr>
        <w:t>附录</w:t>
      </w:r>
      <w:r>
        <w:rPr>
          <w:rFonts w:hAnsi="宋体" w:cs="宋体"/>
          <w:bCs/>
          <w:sz w:val="24"/>
          <w:szCs w:val="24"/>
        </w:rPr>
        <w:t>9</w:t>
      </w:r>
      <w:r>
        <w:rPr>
          <w:rFonts w:hint="eastAsia" w:hAnsi="宋体" w:cs="宋体"/>
          <w:bCs/>
          <w:sz w:val="24"/>
          <w:szCs w:val="24"/>
        </w:rPr>
        <w:t>：财政部关于在政府采购活动中查询及使用信用记录有关问题的通知</w:t>
      </w:r>
      <w:bookmarkEnd w:id="1051"/>
      <w:bookmarkEnd w:id="1052"/>
      <w:bookmarkEnd w:id="1053"/>
    </w:p>
    <w:p>
      <w:pPr>
        <w:spacing w:line="360" w:lineRule="auto"/>
        <w:jc w:val="center"/>
        <w:rPr>
          <w:rFonts w:ascii="宋体" w:hAnsi="宋体"/>
          <w:sz w:val="24"/>
        </w:rPr>
      </w:pPr>
      <w:r>
        <w:rPr>
          <w:rFonts w:hint="eastAsia" w:ascii="宋体" w:hAnsi="宋体"/>
          <w:sz w:val="24"/>
        </w:rPr>
        <w:t>财政部关于在政府采购活动中查询及使用信用记录</w:t>
      </w:r>
      <w:r>
        <w:rPr>
          <w:rFonts w:hint="eastAsia" w:ascii="宋体" w:hAnsi="宋体"/>
          <w:sz w:val="24"/>
        </w:rPr>
        <w:br w:type="textWrapping"/>
      </w:r>
      <w:r>
        <w:rPr>
          <w:rFonts w:hint="eastAsia" w:ascii="宋体" w:hAnsi="宋体"/>
          <w:sz w:val="24"/>
        </w:rPr>
        <w:t>有关问题的通知</w:t>
      </w:r>
    </w:p>
    <w:p>
      <w:pPr>
        <w:spacing w:line="360" w:lineRule="auto"/>
        <w:jc w:val="center"/>
        <w:rPr>
          <w:rFonts w:ascii="宋体" w:hAnsi="宋体"/>
          <w:sz w:val="24"/>
        </w:rPr>
      </w:pPr>
      <w:r>
        <w:rPr>
          <w:rFonts w:hint="eastAsia" w:ascii="宋体" w:hAnsi="宋体"/>
          <w:sz w:val="24"/>
        </w:rPr>
        <w:t>财库〔2016〕125号</w:t>
      </w:r>
    </w:p>
    <w:p>
      <w:pPr>
        <w:pStyle w:val="45"/>
        <w:shd w:val="clear" w:color="auto" w:fill="FFFFFF"/>
        <w:spacing w:before="0" w:beforeAutospacing="0" w:after="0" w:afterAutospacing="0" w:line="360" w:lineRule="auto"/>
        <w:textAlignment w:val="baseline"/>
      </w:pPr>
      <w:r>
        <w:rPr>
          <w:rFonts w:hint="eastAsia"/>
        </w:rPr>
        <w:t>党中央有关部门，国务院各部委、各直属机构，全国人大常委会办公厅，全国政协办公厅，高法院，高检院，各民主党派中央，有关人民团体，中央国家机关政府采购中心，中共中央直属机关采购中心，全国人大机关采购中心，各省、自治区、直辖市、计划单列市财政厅（局）、政府采购中心，新疆生产建设兵团财务局、政府采购中心：</w:t>
      </w:r>
    </w:p>
    <w:p>
      <w:pPr>
        <w:pStyle w:val="45"/>
        <w:shd w:val="clear" w:color="auto" w:fill="FFFFFF"/>
        <w:spacing w:before="0" w:beforeAutospacing="0" w:after="0" w:afterAutospacing="0" w:line="360" w:lineRule="auto"/>
        <w:textAlignment w:val="baseline"/>
      </w:pPr>
      <w:r>
        <w:rPr>
          <w:rFonts w:hint="eastAsia"/>
        </w:rPr>
        <w:t>　　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推进社会信用体系建设、健全守信激励失信约束机制，现就政府采购活动中查询及使用信用记录有关事项通知如下：</w:t>
      </w:r>
    </w:p>
    <w:p>
      <w:pPr>
        <w:pStyle w:val="45"/>
        <w:shd w:val="clear" w:color="auto" w:fill="FFFFFF"/>
        <w:spacing w:before="0" w:beforeAutospacing="0" w:after="0" w:afterAutospacing="0" w:line="360" w:lineRule="auto"/>
        <w:textAlignment w:val="baseline"/>
      </w:pPr>
      <w:r>
        <w:rPr>
          <w:rFonts w:hint="eastAsia"/>
        </w:rPr>
        <w:t>　　</w:t>
      </w:r>
      <w:r>
        <w:rPr>
          <w:rStyle w:val="55"/>
        </w:rPr>
        <w:t>一、高度重视信用记录查询及使用工作</w:t>
      </w:r>
    </w:p>
    <w:p>
      <w:pPr>
        <w:pStyle w:val="45"/>
        <w:shd w:val="clear" w:color="auto" w:fill="FFFFFF"/>
        <w:spacing w:before="0" w:beforeAutospacing="0" w:after="0" w:afterAutospacing="0" w:line="360" w:lineRule="auto"/>
        <w:textAlignment w:val="baseline"/>
      </w:pPr>
      <w:r>
        <w:rPr>
          <w:rFonts w:hint="eastAsia"/>
        </w:rPr>
        <w:t>　　诚实信用是政府采购活动的基本原则之一。在政府采购活动中查询及使用信用记录，对参与政府采购活动的供应商、采购代理机构及评审专家进行守信激励、失信约束，是政府相关部门开展协同监管和联合惩戒的重要举措，对降低市场运行成本、改善营商环境、高效开展市场经济活动具有重要作用，有利于形成“一处违规、处处受限”的信用机制。</w:t>
      </w:r>
    </w:p>
    <w:p>
      <w:pPr>
        <w:pStyle w:val="45"/>
        <w:shd w:val="clear" w:color="auto" w:fill="FFFFFF"/>
        <w:spacing w:before="0" w:beforeAutospacing="0" w:after="0" w:afterAutospacing="0" w:line="360" w:lineRule="auto"/>
        <w:textAlignment w:val="baseline"/>
      </w:pPr>
      <w:r>
        <w:rPr>
          <w:rFonts w:hint="eastAsia"/>
        </w:rPr>
        <w:t>　　近年来，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各地区各部门要进一步提高认识，推动建立政府采购活动信用记录查询及使用工作机制，加快建立政府采购信用评价制度，有效应用信用信息和信用报告，积极推进政府采购领域联合惩戒工作。</w:t>
      </w:r>
    </w:p>
    <w:p>
      <w:pPr>
        <w:pStyle w:val="45"/>
        <w:shd w:val="clear" w:color="auto" w:fill="FFFFFF"/>
        <w:spacing w:before="0" w:beforeAutospacing="0" w:after="0" w:afterAutospacing="0" w:line="360" w:lineRule="auto"/>
        <w:textAlignment w:val="baseline"/>
      </w:pPr>
      <w:r>
        <w:rPr>
          <w:rFonts w:hint="eastAsia"/>
        </w:rPr>
        <w:t>　　</w:t>
      </w:r>
      <w:r>
        <w:rPr>
          <w:rStyle w:val="55"/>
        </w:rPr>
        <w:t>二、认真做好信用记录查询及使用工作</w:t>
      </w:r>
    </w:p>
    <w:p>
      <w:pPr>
        <w:pStyle w:val="45"/>
        <w:shd w:val="clear" w:color="auto" w:fill="FFFFFF"/>
        <w:spacing w:before="0" w:beforeAutospacing="0" w:after="0" w:afterAutospacing="0" w:line="360" w:lineRule="auto"/>
        <w:textAlignment w:val="baseline"/>
      </w:pPr>
      <w:r>
        <w:rPr>
          <w:rFonts w:hint="eastAsia"/>
        </w:rPr>
        <w:t>　　</w:t>
      </w:r>
      <w:r>
        <w:rPr>
          <w:rStyle w:val="55"/>
          <w:rFonts w:hint="eastAsia"/>
        </w:rPr>
        <w:t>（一）总体要求。</w:t>
      </w:r>
    </w:p>
    <w:p>
      <w:pPr>
        <w:pStyle w:val="45"/>
        <w:shd w:val="clear" w:color="auto" w:fill="FFFFFF"/>
        <w:spacing w:before="0" w:beforeAutospacing="0" w:after="0" w:afterAutospacing="0" w:line="360" w:lineRule="auto"/>
        <w:textAlignment w:val="baseline"/>
      </w:pPr>
      <w:r>
        <w:rPr>
          <w:rFonts w:hint="eastAsia"/>
        </w:rPr>
        <w:t>　　各地区各部门应当按照社会信用体系建设有关要求，根据社会信用体系建设情况，创造条件将相关主体的信用记录作为供应商资格审查、采购代理机构委托、评审专家管理的重要依据。</w:t>
      </w:r>
    </w:p>
    <w:p>
      <w:pPr>
        <w:pStyle w:val="45"/>
        <w:shd w:val="clear" w:color="auto" w:fill="FFFFFF"/>
        <w:spacing w:before="0" w:beforeAutospacing="0" w:after="0" w:afterAutospacing="0" w:line="360" w:lineRule="auto"/>
        <w:textAlignment w:val="baseline"/>
      </w:pPr>
      <w:r>
        <w:rPr>
          <w:rFonts w:hint="eastAsia"/>
        </w:rPr>
        <w:t>　　</w:t>
      </w:r>
      <w:r>
        <w:rPr>
          <w:rStyle w:val="55"/>
          <w:rFonts w:hint="eastAsia"/>
        </w:rPr>
        <w:t>（二）信用记录查询渠道。</w:t>
      </w:r>
    </w:p>
    <w:p>
      <w:pPr>
        <w:pStyle w:val="45"/>
        <w:shd w:val="clear" w:color="auto" w:fill="FFFFFF"/>
        <w:spacing w:before="0" w:beforeAutospacing="0" w:after="0" w:afterAutospacing="0" w:line="360" w:lineRule="auto"/>
        <w:textAlignment w:val="baseline"/>
      </w:pPr>
      <w:r>
        <w:rPr>
          <w:rFonts w:hint="eastAsia"/>
        </w:rPr>
        <w:t>　　各级财政部门、采购人、采购代理机构应当通过“信用中国”网站（www.creditchina.gov.cn）、中国政府采购网（www.ccgp.gov.cn）等渠道查询相关主体信用记录，并采取必要方式做好信用信息查询记录和证据留存，信用信息查询记录及相关证据应当与其他采购文件一并保存。</w:t>
      </w:r>
    </w:p>
    <w:p>
      <w:pPr>
        <w:pStyle w:val="45"/>
        <w:shd w:val="clear" w:color="auto" w:fill="FFFFFF"/>
        <w:spacing w:before="0" w:beforeAutospacing="0" w:after="0" w:afterAutospacing="0" w:line="360" w:lineRule="auto"/>
        <w:textAlignment w:val="baseline"/>
      </w:pPr>
      <w:r>
        <w:rPr>
          <w:rFonts w:hint="eastAsia"/>
        </w:rPr>
        <w:t>　　</w:t>
      </w:r>
      <w:r>
        <w:rPr>
          <w:rStyle w:val="55"/>
          <w:rFonts w:hint="eastAsia"/>
        </w:rPr>
        <w:t>（三）信用记录的使用。</w:t>
      </w:r>
    </w:p>
    <w:p>
      <w:pPr>
        <w:pStyle w:val="45"/>
        <w:shd w:val="clear" w:color="auto" w:fill="FFFFFF"/>
        <w:spacing w:before="0" w:beforeAutospacing="0" w:after="0" w:afterAutospacing="0" w:line="360" w:lineRule="auto"/>
        <w:textAlignment w:val="baseline"/>
      </w:pPr>
      <w:r>
        <w:rPr>
          <w:rFonts w:hint="eastAsia"/>
        </w:rPr>
        <w:t>　　1．采购人或者采购代理机构应当在采购文件中明确信用信息查询的查询渠道及截止时点、信用信息查询记录和证据留存的具体方式、信用信息的使用规则等内容。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pPr>
        <w:pStyle w:val="45"/>
        <w:shd w:val="clear" w:color="auto" w:fill="FFFFFF"/>
        <w:spacing w:before="0" w:beforeAutospacing="0" w:after="0" w:afterAutospacing="0" w:line="360" w:lineRule="auto"/>
        <w:textAlignment w:val="baseline"/>
      </w:pPr>
      <w:r>
        <w:rPr>
          <w:rFonts w:hint="eastAsia"/>
        </w:rPr>
        <w:t>　　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5"/>
        <w:shd w:val="clear" w:color="auto" w:fill="FFFFFF"/>
        <w:spacing w:before="0" w:beforeAutospacing="0" w:after="0" w:afterAutospacing="0" w:line="360" w:lineRule="auto"/>
        <w:textAlignment w:val="baseline"/>
      </w:pPr>
      <w:r>
        <w:rPr>
          <w:rFonts w:hint="eastAsia"/>
        </w:rPr>
        <w:t>　　2．各级财政部门应当在评审专家选聘及日常管理中查询有关信用记录，对具有行贿、受贿、欺诈等不良信用记录的人员不得聘用为评审专家，已聘用的应当及时解聘。</w:t>
      </w:r>
      <w:r>
        <w:rPr>
          <w:rFonts w:hint="eastAsia"/>
        </w:rPr>
        <w:br w:type="textWrapping"/>
      </w:r>
      <w:r>
        <w:rPr>
          <w:rFonts w:hint="eastAsia"/>
        </w:rPr>
        <w:t>　　依法自行选定评审专家的，采购人或者采购代理机构应当查询有关信用记录，不得选定具有行贿、受贿、欺诈等不良信用记录的人员。</w:t>
      </w:r>
    </w:p>
    <w:p>
      <w:pPr>
        <w:pStyle w:val="45"/>
        <w:shd w:val="clear" w:color="auto" w:fill="FFFFFF"/>
        <w:spacing w:before="0" w:beforeAutospacing="0" w:after="0" w:afterAutospacing="0" w:line="360" w:lineRule="auto"/>
        <w:textAlignment w:val="baseline"/>
      </w:pPr>
      <w:r>
        <w:rPr>
          <w:rFonts w:hint="eastAsia"/>
        </w:rPr>
        <w:t>　　3．采购人委托采购代理机构办理政府采购事宜的，应当查询其信用记录，优先选择无不良信用记录的采购代理机构。</w:t>
      </w:r>
    </w:p>
    <w:p>
      <w:pPr>
        <w:pStyle w:val="45"/>
        <w:shd w:val="clear" w:color="auto" w:fill="FFFFFF"/>
        <w:spacing w:before="0" w:beforeAutospacing="0" w:after="0" w:afterAutospacing="0" w:line="360" w:lineRule="auto"/>
        <w:textAlignment w:val="baseline"/>
      </w:pPr>
      <w:r>
        <w:rPr>
          <w:rFonts w:hint="eastAsia"/>
        </w:rPr>
        <w:t>　　4．采购人及采购代理机构应当妥善保管相关主体信用信息，不得用于政府采购以外事项。</w:t>
      </w:r>
    </w:p>
    <w:p>
      <w:pPr>
        <w:pStyle w:val="45"/>
        <w:shd w:val="clear" w:color="auto" w:fill="FFFFFF"/>
        <w:spacing w:before="0" w:beforeAutospacing="0" w:after="0" w:afterAutospacing="0" w:line="360" w:lineRule="auto"/>
        <w:textAlignment w:val="baseline"/>
      </w:pPr>
      <w:r>
        <w:rPr>
          <w:rFonts w:hint="eastAsia"/>
        </w:rPr>
        <w:t>　　</w:t>
      </w:r>
      <w:r>
        <w:rPr>
          <w:rStyle w:val="55"/>
        </w:rPr>
        <w:t>三、工作要求</w:t>
      </w:r>
    </w:p>
    <w:p>
      <w:pPr>
        <w:pStyle w:val="45"/>
        <w:shd w:val="clear" w:color="auto" w:fill="FFFFFF"/>
        <w:spacing w:before="0" w:beforeAutospacing="0" w:after="0" w:afterAutospacing="0" w:line="360" w:lineRule="auto"/>
        <w:textAlignment w:val="baseline"/>
      </w:pPr>
      <w:r>
        <w:rPr>
          <w:rFonts w:hint="eastAsia"/>
        </w:rPr>
        <w:t>　　（一）各级财政部门和有关部门应当根据政府采购法及其实施条例相关规定，对参加政府采购活动的供应商、采购代理机构、评审专家的不良行为予以记录，并纳入统一的信用信息平台。</w:t>
      </w:r>
    </w:p>
    <w:p>
      <w:pPr>
        <w:pStyle w:val="45"/>
        <w:shd w:val="clear" w:color="auto" w:fill="FFFFFF"/>
        <w:spacing w:before="0" w:beforeAutospacing="0" w:after="0" w:afterAutospacing="0" w:line="360" w:lineRule="auto"/>
        <w:textAlignment w:val="baseline"/>
      </w:pPr>
      <w:r>
        <w:rPr>
          <w:rFonts w:hint="eastAsia"/>
        </w:rPr>
        <w:t>　　（二）各级财政部门应当切实加强政府采购信息化建设，做好相关技术保障，建立与相关信用信息平台的数据共享机制，逐步实现信用信息推送、接收、查询、应用的自动化。</w:t>
      </w:r>
    </w:p>
    <w:p>
      <w:pPr>
        <w:pStyle w:val="45"/>
        <w:shd w:val="clear" w:color="auto" w:fill="FFFFFF"/>
        <w:spacing w:before="0" w:beforeAutospacing="0" w:after="0" w:afterAutospacing="0" w:line="360" w:lineRule="auto"/>
        <w:textAlignment w:val="baseline"/>
      </w:pPr>
      <w:r>
        <w:rPr>
          <w:rFonts w:hint="eastAsia"/>
        </w:rPr>
        <w:t>　　（三）各地区各部门应当根据上述原则和要求，在政府采购活动中积极推进信用信息的共享和使用，研究制定符合本地本部门实际情况的具体操作程序和办法，落实相关工作要求，及时将信用信息使用情况反馈至财政部。</w:t>
      </w:r>
    </w:p>
    <w:p>
      <w:pPr>
        <w:pStyle w:val="45"/>
        <w:shd w:val="clear" w:color="auto" w:fill="FFFFFF"/>
        <w:spacing w:before="0" w:beforeAutospacing="0" w:after="0" w:afterAutospacing="0" w:line="360" w:lineRule="auto"/>
        <w:jc w:val="right"/>
        <w:textAlignment w:val="baseline"/>
      </w:pPr>
      <w:r>
        <w:rPr>
          <w:rFonts w:hint="eastAsia"/>
        </w:rPr>
        <w:t>财政部</w:t>
      </w:r>
      <w:r>
        <w:rPr>
          <w:rFonts w:hint="eastAsia"/>
        </w:rPr>
        <w:br w:type="textWrapping"/>
      </w:r>
      <w:r>
        <w:rPr>
          <w:rFonts w:hint="eastAsia"/>
        </w:rPr>
        <w:t>2016年8月1日</w:t>
      </w:r>
    </w:p>
    <w:p>
      <w:pPr>
        <w:widowControl/>
        <w:jc w:val="left"/>
        <w:rPr>
          <w:rFonts w:ascii="宋体" w:hAnsi="宋体" w:cs="宋体"/>
          <w:kern w:val="0"/>
          <w:sz w:val="24"/>
        </w:rPr>
      </w:pPr>
    </w:p>
    <w:p>
      <w:pPr>
        <w:widowControl/>
        <w:jc w:val="left"/>
        <w:rPr>
          <w:rFonts w:ascii="宋体" w:hAnsi="宋体" w:cs="宋体"/>
          <w:b/>
          <w:bCs/>
          <w:kern w:val="44"/>
          <w:sz w:val="24"/>
        </w:rPr>
      </w:pPr>
      <w:r>
        <w:rPr>
          <w:rFonts w:ascii="宋体" w:hAnsi="宋体" w:cs="宋体"/>
          <w:bCs/>
          <w:sz w:val="24"/>
        </w:rPr>
        <w:br w:type="page"/>
      </w:r>
    </w:p>
    <w:bookmarkEnd w:id="1054"/>
    <w:p>
      <w:pPr>
        <w:pStyle w:val="3"/>
        <w:tabs>
          <w:tab w:val="left" w:pos="432"/>
        </w:tabs>
        <w:spacing w:line="360" w:lineRule="auto"/>
        <w:jc w:val="left"/>
        <w:rPr>
          <w:rFonts w:hAnsi="宋体" w:cs="宋体"/>
          <w:bCs/>
          <w:sz w:val="24"/>
          <w:szCs w:val="24"/>
        </w:rPr>
      </w:pPr>
      <w:bookmarkStart w:id="1055" w:name="_Toc209958520"/>
      <w:bookmarkStart w:id="1056" w:name="_Toc218620585"/>
      <w:r>
        <w:rPr>
          <w:rFonts w:hint="eastAsia" w:hAnsi="宋体" w:cs="宋体"/>
          <w:bCs/>
          <w:sz w:val="24"/>
          <w:szCs w:val="24"/>
        </w:rPr>
        <w:t>附录</w:t>
      </w:r>
      <w:r>
        <w:rPr>
          <w:rFonts w:hAnsi="宋体" w:cs="宋体"/>
          <w:bCs/>
          <w:sz w:val="24"/>
          <w:szCs w:val="24"/>
        </w:rPr>
        <w:t>10</w:t>
      </w:r>
      <w:r>
        <w:rPr>
          <w:rFonts w:hint="eastAsia" w:hAnsi="宋体" w:cs="宋体"/>
          <w:bCs/>
          <w:sz w:val="24"/>
          <w:szCs w:val="24"/>
        </w:rPr>
        <w:t>：关于印发《商品包装政府采购需求标准（试行）》、《快递包装政府采购需求标准（试行）》的通知</w:t>
      </w:r>
      <w:bookmarkEnd w:id="1055"/>
      <w:bookmarkEnd w:id="1056"/>
    </w:p>
    <w:p>
      <w:pPr>
        <w:widowControl/>
        <w:spacing w:line="360" w:lineRule="auto"/>
        <w:jc w:val="center"/>
        <w:rPr>
          <w:rFonts w:ascii="宋体" w:hAnsi="宋体" w:cs="宋体"/>
          <w:bCs/>
          <w:sz w:val="24"/>
        </w:rPr>
      </w:pPr>
      <w:r>
        <w:rPr>
          <w:rFonts w:hint="eastAsia" w:ascii="宋体" w:hAnsi="宋体" w:cs="宋体"/>
          <w:bCs/>
          <w:sz w:val="24"/>
        </w:rPr>
        <w:t>财办库〔2020〕123号</w:t>
      </w:r>
    </w:p>
    <w:p>
      <w:pPr>
        <w:widowControl/>
        <w:spacing w:line="360" w:lineRule="auto"/>
        <w:jc w:val="left"/>
        <w:rPr>
          <w:rFonts w:ascii="宋体" w:hAnsi="宋体" w:cs="宋体"/>
          <w:bCs/>
          <w:sz w:val="24"/>
        </w:rPr>
      </w:pPr>
      <w:r>
        <w:rPr>
          <w:rFonts w:hint="eastAsia" w:ascii="宋体" w:hAnsi="宋体" w:cs="宋体"/>
          <w:bCs/>
          <w:sz w:val="24"/>
        </w:rPr>
        <w:t>各省、自治区、直辖市、计划单列市财政厅（局）、生态环境厅（局）、邮政局，新疆生产建设兵团财政局、生态环境局、邮政局，各中央预算单位办公厅（室）：</w:t>
      </w:r>
    </w:p>
    <w:p>
      <w:pPr>
        <w:widowControl/>
        <w:spacing w:line="360" w:lineRule="auto"/>
        <w:jc w:val="left"/>
        <w:rPr>
          <w:rFonts w:ascii="宋体" w:hAnsi="宋体" w:cs="宋体"/>
          <w:bCs/>
          <w:sz w:val="24"/>
        </w:rPr>
      </w:pPr>
      <w:r>
        <w:rPr>
          <w:rFonts w:hint="eastAsia" w:ascii="宋体" w:hAnsi="宋体" w:cs="宋体"/>
          <w:bCs/>
          <w:sz w:val="24"/>
        </w:rPr>
        <w:t>为助力打好污染防治攻坚战，推广使用绿色包装，现将《商品包装政府采购需求标准（试行）》、《快递包装政府采购需求标准（试行）》（以下统称包装需求标准，见附件）印发给你们，请结合实际，积极推广应用。现就有关事项通知如下：</w:t>
      </w:r>
    </w:p>
    <w:p>
      <w:pPr>
        <w:widowControl/>
        <w:spacing w:line="360" w:lineRule="auto"/>
        <w:jc w:val="left"/>
        <w:rPr>
          <w:rFonts w:ascii="宋体" w:hAnsi="宋体" w:cs="宋体"/>
          <w:bCs/>
          <w:sz w:val="24"/>
        </w:rPr>
      </w:pPr>
      <w:r>
        <w:rPr>
          <w:rFonts w:hint="eastAsia" w:ascii="宋体" w:hAnsi="宋体" w:cs="宋体"/>
          <w:bCs/>
          <w:sz w:val="24"/>
        </w:rPr>
        <w:t>一、政府采购货物、工程和服务项目中涉及商品包装和快递包装的，要参考包装需求标准，在采购文件中明确政府采购供应商提供产品及相关快递服务的具体包装要求。</w:t>
      </w:r>
    </w:p>
    <w:p>
      <w:pPr>
        <w:widowControl/>
        <w:spacing w:line="360" w:lineRule="auto"/>
        <w:jc w:val="left"/>
        <w:rPr>
          <w:rFonts w:ascii="宋体" w:hAnsi="宋体" w:cs="宋体"/>
          <w:bCs/>
          <w:sz w:val="24"/>
        </w:rPr>
      </w:pPr>
      <w:r>
        <w:rPr>
          <w:rFonts w:hint="eastAsia" w:ascii="宋体" w:hAnsi="宋体" w:cs="宋体"/>
          <w:bCs/>
          <w:sz w:val="24"/>
        </w:rPr>
        <w:t>二、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pPr>
        <w:widowControl/>
        <w:spacing w:line="360" w:lineRule="auto"/>
        <w:jc w:val="left"/>
        <w:rPr>
          <w:rFonts w:ascii="宋体" w:hAnsi="宋体" w:cs="宋体"/>
          <w:bCs/>
          <w:sz w:val="24"/>
        </w:rPr>
      </w:pPr>
      <w:r>
        <w:rPr>
          <w:rFonts w:hint="eastAsia" w:ascii="宋体" w:hAnsi="宋体" w:cs="宋体"/>
          <w:bCs/>
          <w:sz w:val="24"/>
        </w:rPr>
        <w:t>三、政府采购协议供货、定点采购项目和电子卖场也要积极推广应用包装需求标准，对商品包装和快递包装符合包装需求标准的产品加挂标识，引导采购人优先选择。</w:t>
      </w:r>
    </w:p>
    <w:p>
      <w:pPr>
        <w:widowControl/>
        <w:spacing w:line="360" w:lineRule="auto"/>
        <w:jc w:val="left"/>
        <w:rPr>
          <w:rFonts w:ascii="宋体" w:hAnsi="宋体" w:cs="宋体"/>
          <w:bCs/>
          <w:sz w:val="24"/>
        </w:rPr>
      </w:pPr>
      <w:r>
        <w:rPr>
          <w:rFonts w:hint="eastAsia" w:ascii="宋体" w:hAnsi="宋体" w:cs="宋体"/>
          <w:bCs/>
          <w:sz w:val="24"/>
        </w:rPr>
        <w:t>四、对于政策执行过程中遇到的问题，请及时向财政部国库司、生态环境部科技与财务司和国家邮政局市场监管司反馈。</w:t>
      </w:r>
    </w:p>
    <w:p>
      <w:pPr>
        <w:widowControl/>
        <w:spacing w:line="360" w:lineRule="auto"/>
        <w:jc w:val="left"/>
        <w:rPr>
          <w:rFonts w:ascii="宋体" w:hAnsi="宋体" w:cs="宋体"/>
          <w:bCs/>
          <w:sz w:val="24"/>
        </w:rPr>
      </w:pPr>
    </w:p>
    <w:p>
      <w:pPr>
        <w:widowControl/>
        <w:spacing w:line="360" w:lineRule="auto"/>
        <w:jc w:val="right"/>
        <w:rPr>
          <w:rFonts w:ascii="宋体" w:hAnsi="宋体" w:cs="宋体"/>
          <w:bCs/>
          <w:sz w:val="24"/>
        </w:rPr>
      </w:pPr>
    </w:p>
    <w:p>
      <w:pPr>
        <w:widowControl/>
        <w:spacing w:line="360" w:lineRule="auto"/>
        <w:jc w:val="right"/>
        <w:rPr>
          <w:rFonts w:ascii="宋体" w:hAnsi="宋体" w:cs="宋体"/>
          <w:bCs/>
          <w:sz w:val="24"/>
        </w:rPr>
      </w:pPr>
      <w:r>
        <w:rPr>
          <w:rFonts w:hint="eastAsia" w:ascii="宋体" w:hAnsi="宋体" w:cs="宋体"/>
          <w:bCs/>
          <w:sz w:val="24"/>
        </w:rPr>
        <w:t>财政部办公厅</w:t>
      </w:r>
      <w:r>
        <w:rPr>
          <w:rFonts w:hint="eastAsia" w:ascii="宋体" w:hAnsi="宋体" w:cs="宋体"/>
          <w:bCs/>
          <w:sz w:val="24"/>
        </w:rPr>
        <w:br w:type="textWrapping"/>
      </w:r>
      <w:r>
        <w:rPr>
          <w:rFonts w:hint="eastAsia" w:ascii="宋体" w:hAnsi="宋体" w:cs="宋体"/>
          <w:bCs/>
          <w:sz w:val="24"/>
        </w:rPr>
        <w:t>生态环境部办公厅</w:t>
      </w:r>
      <w:r>
        <w:rPr>
          <w:rFonts w:hint="eastAsia" w:ascii="宋体" w:hAnsi="宋体" w:cs="宋体"/>
          <w:bCs/>
          <w:sz w:val="24"/>
        </w:rPr>
        <w:br w:type="textWrapping"/>
      </w:r>
      <w:r>
        <w:rPr>
          <w:rFonts w:hint="eastAsia" w:ascii="宋体" w:hAnsi="宋体" w:cs="宋体"/>
          <w:bCs/>
          <w:sz w:val="24"/>
        </w:rPr>
        <w:t>国家邮政局办公室</w:t>
      </w:r>
      <w:r>
        <w:rPr>
          <w:rFonts w:hint="eastAsia" w:ascii="宋体" w:hAnsi="宋体" w:cs="宋体"/>
          <w:bCs/>
          <w:sz w:val="24"/>
        </w:rPr>
        <w:br w:type="textWrapping"/>
      </w:r>
      <w:r>
        <w:rPr>
          <w:rFonts w:hint="eastAsia" w:ascii="宋体" w:hAnsi="宋体" w:cs="宋体"/>
          <w:bCs/>
          <w:sz w:val="24"/>
        </w:rPr>
        <w:t>2020年6月19日</w:t>
      </w:r>
    </w:p>
    <w:p>
      <w:pPr>
        <w:widowControl/>
        <w:jc w:val="left"/>
        <w:rPr>
          <w:rFonts w:ascii="宋体" w:hAnsi="宋体" w:cs="宋体"/>
          <w:bCs/>
          <w:sz w:val="24"/>
        </w:rPr>
      </w:pPr>
      <w:r>
        <w:rPr>
          <w:rFonts w:ascii="宋体" w:hAnsi="宋体" w:cs="宋体"/>
          <w:bCs/>
          <w:sz w:val="24"/>
        </w:rPr>
        <w:br w:type="page"/>
      </w:r>
    </w:p>
    <w:p>
      <w:pPr>
        <w:pStyle w:val="3"/>
        <w:tabs>
          <w:tab w:val="left" w:pos="432"/>
        </w:tabs>
        <w:spacing w:line="360" w:lineRule="auto"/>
        <w:jc w:val="left"/>
        <w:rPr>
          <w:rFonts w:hAnsi="宋体" w:cs="宋体"/>
          <w:bCs/>
          <w:sz w:val="24"/>
          <w:szCs w:val="24"/>
        </w:rPr>
      </w:pPr>
      <w:r>
        <w:rPr>
          <w:rFonts w:hint="eastAsia" w:hAnsi="宋体" w:cs="宋体"/>
          <w:bCs/>
          <w:sz w:val="24"/>
          <w:szCs w:val="24"/>
        </w:rPr>
        <w:t>附录1</w:t>
      </w:r>
      <w:r>
        <w:rPr>
          <w:rFonts w:hAnsi="宋体" w:cs="宋体"/>
          <w:bCs/>
          <w:sz w:val="24"/>
          <w:szCs w:val="24"/>
        </w:rPr>
        <w:t>1</w:t>
      </w:r>
      <w:r>
        <w:rPr>
          <w:rFonts w:hint="eastAsia" w:hAnsi="宋体" w:cs="宋体"/>
          <w:bCs/>
          <w:sz w:val="24"/>
          <w:szCs w:val="24"/>
        </w:rPr>
        <w:t>：国务院办公厅关于在政府采购中实施本国产品标准及相关政策的通知</w:t>
      </w:r>
    </w:p>
    <w:p>
      <w:pPr>
        <w:pStyle w:val="45"/>
        <w:shd w:val="clear" w:color="auto" w:fill="FFFFFF"/>
        <w:spacing w:before="0" w:beforeAutospacing="0" w:after="0" w:afterAutospacing="0"/>
        <w:jc w:val="center"/>
        <w:rPr>
          <w:color w:val="333333"/>
          <w:sz w:val="36"/>
          <w:szCs w:val="36"/>
        </w:rPr>
      </w:pPr>
      <w:bookmarkStart w:id="1057" w:name="OLE_LINK21"/>
      <w:r>
        <w:rPr>
          <w:rStyle w:val="55"/>
          <w:rFonts w:hint="eastAsia"/>
          <w:color w:val="333333"/>
          <w:sz w:val="36"/>
          <w:szCs w:val="36"/>
        </w:rPr>
        <w:t>国务院办公厅关于在政府采购中</w:t>
      </w:r>
    </w:p>
    <w:p>
      <w:pPr>
        <w:pStyle w:val="45"/>
        <w:shd w:val="clear" w:color="auto" w:fill="FFFFFF"/>
        <w:spacing w:before="0" w:beforeAutospacing="0" w:after="0" w:afterAutospacing="0"/>
        <w:jc w:val="center"/>
        <w:rPr>
          <w:color w:val="333333"/>
          <w:sz w:val="36"/>
          <w:szCs w:val="36"/>
        </w:rPr>
      </w:pPr>
      <w:r>
        <w:rPr>
          <w:rStyle w:val="55"/>
          <w:rFonts w:hint="eastAsia"/>
          <w:color w:val="333333"/>
          <w:sz w:val="36"/>
          <w:szCs w:val="36"/>
        </w:rPr>
        <w:t>实施本国产品标准及相关政策的通知</w:t>
      </w:r>
    </w:p>
    <w:p>
      <w:pPr>
        <w:pStyle w:val="45"/>
        <w:shd w:val="clear" w:color="auto" w:fill="FFFFFF"/>
        <w:spacing w:before="30" w:beforeAutospacing="0" w:after="30" w:afterAutospacing="0"/>
        <w:ind w:firstLine="480"/>
        <w:rPr>
          <w:color w:val="333333"/>
        </w:rPr>
      </w:pPr>
    </w:p>
    <w:p>
      <w:pPr>
        <w:pStyle w:val="45"/>
        <w:shd w:val="clear" w:color="auto" w:fill="FFFFFF"/>
        <w:spacing w:before="0" w:beforeAutospacing="0" w:after="0" w:afterAutospacing="0"/>
        <w:jc w:val="right"/>
        <w:rPr>
          <w:color w:val="333333"/>
        </w:rPr>
      </w:pPr>
      <w:r>
        <w:rPr>
          <w:rFonts w:hint="eastAsia"/>
          <w:color w:val="333333"/>
        </w:rPr>
        <w:t>国办发〔2025〕34号  </w:t>
      </w:r>
    </w:p>
    <w:p>
      <w:pPr>
        <w:pStyle w:val="45"/>
        <w:shd w:val="clear" w:color="auto" w:fill="FFFFFF"/>
        <w:spacing w:before="30" w:beforeAutospacing="0" w:after="30" w:afterAutospacing="0"/>
        <w:rPr>
          <w:color w:val="333333"/>
        </w:rPr>
      </w:pPr>
      <w:r>
        <w:rPr>
          <w:rFonts w:hint="eastAsia"/>
          <w:color w:val="333333"/>
        </w:rPr>
        <w:t>各省、自治区、直辖市人民政府，国务院各部委、各直属机构：</w:t>
      </w:r>
    </w:p>
    <w:p>
      <w:pPr>
        <w:pStyle w:val="45"/>
        <w:shd w:val="clear" w:color="auto" w:fill="FFFFFF"/>
        <w:spacing w:before="30" w:beforeAutospacing="0" w:after="30" w:afterAutospacing="0"/>
        <w:ind w:firstLine="480"/>
        <w:rPr>
          <w:color w:val="333333"/>
        </w:rPr>
      </w:pPr>
      <w:r>
        <w:rPr>
          <w:rFonts w:hint="eastAsia"/>
          <w:color w:val="333333"/>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pPr>
        <w:pStyle w:val="45"/>
        <w:shd w:val="clear" w:color="auto" w:fill="FFFFFF"/>
        <w:spacing w:before="0" w:beforeAutospacing="0" w:after="0" w:afterAutospacing="0"/>
        <w:ind w:firstLine="480"/>
        <w:rPr>
          <w:color w:val="333333"/>
        </w:rPr>
      </w:pPr>
      <w:r>
        <w:rPr>
          <w:rStyle w:val="55"/>
          <w:rFonts w:hint="eastAsia"/>
          <w:color w:val="333333"/>
        </w:rPr>
        <w:t>一、本国产品标准</w:t>
      </w:r>
    </w:p>
    <w:p>
      <w:pPr>
        <w:pStyle w:val="45"/>
        <w:shd w:val="clear" w:color="auto" w:fill="FFFFFF"/>
        <w:spacing w:before="30" w:beforeAutospacing="0" w:after="30" w:afterAutospacing="0"/>
        <w:ind w:firstLine="480"/>
        <w:rPr>
          <w:color w:val="333333"/>
        </w:rPr>
      </w:pPr>
      <w:r>
        <w:rPr>
          <w:rFonts w:hint="eastAsia"/>
          <w:color w:val="333333"/>
        </w:rPr>
        <w:t>本国产品应当符合以下条件：</w:t>
      </w:r>
    </w:p>
    <w:p>
      <w:pPr>
        <w:pStyle w:val="45"/>
        <w:shd w:val="clear" w:color="auto" w:fill="FFFFFF"/>
        <w:spacing w:before="0" w:beforeAutospacing="0" w:after="0" w:afterAutospacing="0"/>
        <w:ind w:firstLine="480"/>
        <w:rPr>
          <w:color w:val="333333"/>
        </w:rPr>
      </w:pPr>
      <w:r>
        <w:rPr>
          <w:rFonts w:hint="eastAsia"/>
          <w:color w:val="333333"/>
        </w:rPr>
        <w:t>（一）在中国境内生产</w:t>
      </w:r>
    </w:p>
    <w:p>
      <w:pPr>
        <w:pStyle w:val="45"/>
        <w:shd w:val="clear" w:color="auto" w:fill="FFFFFF"/>
        <w:spacing w:before="30" w:beforeAutospacing="0" w:after="30" w:afterAutospacing="0"/>
        <w:ind w:firstLine="480"/>
        <w:rPr>
          <w:color w:val="333333"/>
        </w:rPr>
      </w:pPr>
      <w:r>
        <w:rPr>
          <w:rFonts w:hint="eastAsia"/>
          <w:color w:val="333333"/>
        </w:rPr>
        <w:t>产品应当在中国境内生产，即在中华人民共和国关境内实现从原材料、组件到产品的属性改变。</w:t>
      </w:r>
    </w:p>
    <w:p>
      <w:pPr>
        <w:pStyle w:val="45"/>
        <w:shd w:val="clear" w:color="auto" w:fill="FFFFFF"/>
        <w:spacing w:before="30" w:beforeAutospacing="0" w:after="30" w:afterAutospacing="0"/>
        <w:ind w:firstLine="480"/>
        <w:rPr>
          <w:color w:val="333333"/>
        </w:rPr>
      </w:pPr>
      <w:r>
        <w:rPr>
          <w:rFonts w:hint="eastAsia"/>
          <w:color w:val="333333"/>
        </w:rPr>
        <w:t>属性改变是指经过制造、加工或者组装等工序，产生完全不同于原材料、组件的新产品，并具有新的名称和特征（用途）。属性改变不包括以下细微操作：</w:t>
      </w:r>
    </w:p>
    <w:p>
      <w:pPr>
        <w:pStyle w:val="45"/>
        <w:shd w:val="clear" w:color="auto" w:fill="FFFFFF"/>
        <w:spacing w:before="30" w:beforeAutospacing="0" w:after="30" w:afterAutospacing="0"/>
        <w:ind w:firstLine="480"/>
        <w:rPr>
          <w:color w:val="333333"/>
        </w:rPr>
      </w:pPr>
      <w:r>
        <w:rPr>
          <w:rFonts w:hint="eastAsia"/>
          <w:color w:val="333333"/>
        </w:rPr>
        <w:t>1.为确保产品在运输或者储存期间保持某种状态而进行的操作；</w:t>
      </w:r>
    </w:p>
    <w:p>
      <w:pPr>
        <w:pStyle w:val="45"/>
        <w:shd w:val="clear" w:color="auto" w:fill="FFFFFF"/>
        <w:spacing w:before="30" w:beforeAutospacing="0" w:after="30" w:afterAutospacing="0"/>
        <w:ind w:firstLine="480"/>
        <w:rPr>
          <w:color w:val="333333"/>
        </w:rPr>
      </w:pPr>
      <w:r>
        <w:rPr>
          <w:rFonts w:hint="eastAsia"/>
          <w:color w:val="333333"/>
        </w:rPr>
        <w:t>2.为产品运输或者销售进行的包装或者展示；</w:t>
      </w:r>
    </w:p>
    <w:p>
      <w:pPr>
        <w:pStyle w:val="45"/>
        <w:shd w:val="clear" w:color="auto" w:fill="FFFFFF"/>
        <w:spacing w:before="30" w:beforeAutospacing="0" w:after="30" w:afterAutospacing="0"/>
        <w:ind w:firstLine="480"/>
        <w:rPr>
          <w:color w:val="333333"/>
        </w:rPr>
      </w:pPr>
      <w:r>
        <w:rPr>
          <w:rFonts w:hint="eastAsia"/>
          <w:color w:val="333333"/>
        </w:rPr>
        <w:t>3.在产品或者其包装上粘贴或者印刷品牌、标志、标识以及其他用于区别的标记；</w:t>
      </w:r>
    </w:p>
    <w:p>
      <w:pPr>
        <w:pStyle w:val="45"/>
        <w:shd w:val="clear" w:color="auto" w:fill="FFFFFF"/>
        <w:spacing w:before="30" w:beforeAutospacing="0" w:after="30" w:afterAutospacing="0"/>
        <w:ind w:firstLine="480"/>
        <w:rPr>
          <w:color w:val="333333"/>
        </w:rPr>
      </w:pPr>
      <w:r>
        <w:rPr>
          <w:rFonts w:hint="eastAsia"/>
          <w:color w:val="333333"/>
        </w:rPr>
        <w:t>4.简单的上漆、磨光和分装；</w:t>
      </w:r>
    </w:p>
    <w:p>
      <w:pPr>
        <w:pStyle w:val="45"/>
        <w:shd w:val="clear" w:color="auto" w:fill="FFFFFF"/>
        <w:spacing w:before="30" w:beforeAutospacing="0" w:after="30" w:afterAutospacing="0"/>
        <w:ind w:firstLine="480"/>
        <w:rPr>
          <w:color w:val="333333"/>
        </w:rPr>
      </w:pPr>
      <w:r>
        <w:rPr>
          <w:rFonts w:hint="eastAsia"/>
          <w:color w:val="333333"/>
        </w:rPr>
        <w:t>5.其他不属于属性改变的情形。</w:t>
      </w:r>
    </w:p>
    <w:p>
      <w:pPr>
        <w:pStyle w:val="45"/>
        <w:shd w:val="clear" w:color="auto" w:fill="FFFFFF"/>
        <w:spacing w:before="0" w:beforeAutospacing="0" w:after="0" w:afterAutospacing="0"/>
        <w:ind w:firstLine="480"/>
        <w:rPr>
          <w:color w:val="333333"/>
        </w:rPr>
      </w:pPr>
      <w:r>
        <w:rPr>
          <w:rFonts w:hint="eastAsia"/>
          <w:color w:val="333333"/>
        </w:rPr>
        <w:t>（二）在中国境内生产的组件成本占比达到规定比例</w:t>
      </w:r>
    </w:p>
    <w:p>
      <w:pPr>
        <w:pStyle w:val="45"/>
        <w:shd w:val="clear" w:color="auto" w:fill="FFFFFF"/>
        <w:spacing w:before="30" w:beforeAutospacing="0" w:after="30" w:afterAutospacing="0"/>
        <w:ind w:firstLine="480"/>
        <w:rPr>
          <w:color w:val="333333"/>
        </w:rPr>
      </w:pPr>
      <w:r>
        <w:rPr>
          <w:rFonts w:hint="eastAsia"/>
          <w:color w:val="333333"/>
        </w:rPr>
        <w:t>产品在中国境内生产的组件成本占比应当达到规定比例，计算公式为：</w:t>
      </w:r>
    </w:p>
    <w:p>
      <w:pPr>
        <w:pStyle w:val="45"/>
        <w:shd w:val="clear" w:color="auto" w:fill="FFFFFF"/>
        <w:spacing w:before="30" w:beforeAutospacing="0" w:after="30" w:afterAutospacing="0"/>
        <w:ind w:firstLine="480"/>
        <w:rPr>
          <w:color w:val="333333"/>
        </w:rPr>
      </w:pPr>
      <w:r>
        <w:rPr>
          <w:color w:val="333333"/>
        </w:rPr>
        <w:drawing>
          <wp:inline distT="0" distB="0" distL="0" distR="0">
            <wp:extent cx="2731135" cy="391795"/>
            <wp:effectExtent l="0" t="0" r="0" b="8255"/>
            <wp:docPr id="2" name="图片 2"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pStyle w:val="45"/>
        <w:shd w:val="clear" w:color="auto" w:fill="FFFFFF"/>
        <w:spacing w:before="30" w:beforeAutospacing="0" w:after="30" w:afterAutospacing="0"/>
        <w:ind w:firstLine="480"/>
        <w:rPr>
          <w:color w:val="333333"/>
        </w:rPr>
      </w:pPr>
      <w:r>
        <w:rPr>
          <w:rFonts w:hint="eastAsia"/>
          <w:color w:val="333333"/>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pStyle w:val="45"/>
        <w:shd w:val="clear" w:color="auto" w:fill="FFFFFF"/>
        <w:spacing w:before="0" w:beforeAutospacing="0" w:after="0" w:afterAutospacing="0"/>
        <w:ind w:firstLine="480"/>
        <w:rPr>
          <w:color w:val="333333"/>
        </w:rPr>
      </w:pPr>
      <w:r>
        <w:rPr>
          <w:rFonts w:hint="eastAsia"/>
          <w:color w:val="333333"/>
        </w:rPr>
        <w:t>（三）特定产品的关键组件、关键工序符合相关要求</w:t>
      </w:r>
    </w:p>
    <w:p>
      <w:pPr>
        <w:pStyle w:val="45"/>
        <w:shd w:val="clear" w:color="auto" w:fill="FFFFFF"/>
        <w:spacing w:before="30" w:beforeAutospacing="0" w:after="30" w:afterAutospacing="0"/>
        <w:ind w:firstLine="480"/>
        <w:rPr>
          <w:color w:val="333333"/>
        </w:rPr>
      </w:pPr>
      <w:r>
        <w:rPr>
          <w:rFonts w:hint="eastAsia"/>
          <w:color w:val="333333"/>
        </w:rPr>
        <w:t>对特定产品，在符合本通知第一条第（一）项和第（二）项条件的基础上，应当符合财政部会同有关行业主管部门确定的其关键组件、关键工序在中国境内生产、完成等要求。</w:t>
      </w:r>
    </w:p>
    <w:p>
      <w:pPr>
        <w:pStyle w:val="45"/>
        <w:shd w:val="clear" w:color="auto" w:fill="FFFFFF"/>
        <w:spacing w:before="30" w:beforeAutospacing="0" w:after="30" w:afterAutospacing="0"/>
        <w:ind w:firstLine="480"/>
        <w:rPr>
          <w:color w:val="333333"/>
        </w:rPr>
      </w:pPr>
      <w:r>
        <w:rPr>
          <w:rFonts w:hint="eastAsia"/>
          <w:color w:val="333333"/>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pPr>
        <w:pStyle w:val="45"/>
        <w:shd w:val="clear" w:color="auto" w:fill="FFFFFF"/>
        <w:spacing w:before="0" w:beforeAutospacing="0" w:after="0" w:afterAutospacing="0"/>
        <w:ind w:firstLine="480"/>
        <w:rPr>
          <w:color w:val="333333"/>
        </w:rPr>
      </w:pPr>
      <w:r>
        <w:rPr>
          <w:rStyle w:val="55"/>
          <w:rFonts w:hint="eastAsia"/>
          <w:color w:val="333333"/>
        </w:rPr>
        <w:t>二、本国产品标准的适用范围</w:t>
      </w:r>
    </w:p>
    <w:p>
      <w:pPr>
        <w:pStyle w:val="45"/>
        <w:shd w:val="clear" w:color="auto" w:fill="FFFFFF"/>
        <w:spacing w:before="30" w:beforeAutospacing="0" w:after="30" w:afterAutospacing="0"/>
        <w:ind w:firstLine="480"/>
        <w:rPr>
          <w:color w:val="333333"/>
        </w:rPr>
      </w:pPr>
      <w:r>
        <w:rPr>
          <w:rFonts w:hint="eastAsia"/>
          <w:color w:val="333333"/>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45"/>
        <w:shd w:val="clear" w:color="auto" w:fill="FFFFFF"/>
        <w:spacing w:before="0" w:beforeAutospacing="0" w:after="0" w:afterAutospacing="0"/>
        <w:ind w:firstLine="480"/>
        <w:rPr>
          <w:color w:val="333333"/>
        </w:rPr>
      </w:pPr>
      <w:r>
        <w:rPr>
          <w:rStyle w:val="55"/>
          <w:rFonts w:hint="eastAsia"/>
          <w:color w:val="333333"/>
        </w:rPr>
        <w:t>三、对本国产品的支持政策</w:t>
      </w:r>
    </w:p>
    <w:p>
      <w:pPr>
        <w:pStyle w:val="45"/>
        <w:shd w:val="clear" w:color="auto" w:fill="FFFFFF"/>
        <w:spacing w:before="30" w:beforeAutospacing="0" w:after="30" w:afterAutospacing="0"/>
        <w:ind w:firstLine="480"/>
        <w:rPr>
          <w:color w:val="333333"/>
        </w:rPr>
      </w:pPr>
      <w:r>
        <w:rPr>
          <w:rFonts w:hint="eastAsia"/>
          <w:color w:val="333333"/>
        </w:rPr>
        <w:t>政府采购活动中既有本国产品又有非本国产品参与竞争的，依法对本国产品给予价格评审优惠，对本国产品的报价给予20%的价格扣除，用扣除后的价格参与评审。</w:t>
      </w:r>
    </w:p>
    <w:p>
      <w:pPr>
        <w:pStyle w:val="45"/>
        <w:shd w:val="clear" w:color="auto" w:fill="FFFFFF"/>
        <w:spacing w:before="30" w:beforeAutospacing="0" w:after="30" w:afterAutospacing="0"/>
        <w:ind w:firstLine="480"/>
        <w:rPr>
          <w:color w:val="333333"/>
        </w:rPr>
      </w:pPr>
      <w:r>
        <w:rPr>
          <w:rFonts w:hint="eastAsia"/>
          <w:color w:val="333333"/>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45"/>
        <w:shd w:val="clear" w:color="auto" w:fill="FFFFFF"/>
        <w:spacing w:before="0" w:beforeAutospacing="0" w:after="0" w:afterAutospacing="0"/>
        <w:ind w:firstLine="480"/>
        <w:rPr>
          <w:color w:val="333333"/>
        </w:rPr>
      </w:pPr>
      <w:r>
        <w:rPr>
          <w:rStyle w:val="55"/>
          <w:rFonts w:hint="eastAsia"/>
          <w:color w:val="333333"/>
        </w:rPr>
        <w:t>四、政策执行要求</w:t>
      </w:r>
    </w:p>
    <w:p>
      <w:pPr>
        <w:pStyle w:val="45"/>
        <w:shd w:val="clear" w:color="auto" w:fill="FFFFFF"/>
        <w:spacing w:before="0" w:beforeAutospacing="0" w:after="0" w:afterAutospacing="0"/>
        <w:ind w:firstLine="480"/>
        <w:rPr>
          <w:color w:val="333333"/>
        </w:rPr>
      </w:pPr>
      <w:r>
        <w:rPr>
          <w:rFonts w:hint="eastAsia"/>
          <w:color w:val="333333"/>
        </w:rPr>
        <w:t>（一）产品在中国境内生产的组件成本核算规则。产品在中国境内生产的组件成本，按照《中国境内生产的组件成本核算基本规则》（见附件1）计算。</w:t>
      </w:r>
    </w:p>
    <w:p>
      <w:pPr>
        <w:pStyle w:val="45"/>
        <w:shd w:val="clear" w:color="auto" w:fill="FFFFFF"/>
        <w:spacing w:before="0" w:beforeAutospacing="0" w:after="0" w:afterAutospacing="0"/>
        <w:ind w:firstLine="480"/>
        <w:rPr>
          <w:color w:val="333333"/>
        </w:rPr>
      </w:pPr>
      <w:r>
        <w:rPr>
          <w:rFonts w:hint="eastAsia"/>
          <w:color w:val="333333"/>
        </w:rPr>
        <w:t>（二）有关证明文件。采购人、采购代理机构应当在采购文件中明确要求供应商对其提供的产品出具《关于符合本国产品标准的声明函》（样式见附件2，以下简称《声明函》）或财政部会同有关部门规定的有关证明文件。出具</w:t>
      </w:r>
      <w:bookmarkStart w:id="1058" w:name="OLE_LINK8"/>
      <w:r>
        <w:rPr>
          <w:rFonts w:hint="eastAsia"/>
          <w:color w:val="333333"/>
        </w:rPr>
        <w:t>符合要求的《声明函》或有关证明文件的</w:t>
      </w:r>
      <w:bookmarkEnd w:id="1058"/>
      <w:r>
        <w:rPr>
          <w:rFonts w:hint="eastAsia"/>
          <w:color w:val="333333"/>
        </w:rPr>
        <w:t>，该产品视为本国产品，采购人、采购代理机构不得再要求供应商提供其他证明材料。供应商提供虚假《声明函》、虚假证明文件谋取中标、成交的，依照《中华人民共和国政府采购法》等法律法规规定追究相应责任。</w:t>
      </w:r>
    </w:p>
    <w:p>
      <w:pPr>
        <w:pStyle w:val="45"/>
        <w:shd w:val="clear" w:color="auto" w:fill="FFFFFF"/>
        <w:spacing w:before="30" w:beforeAutospacing="0" w:after="30" w:afterAutospacing="0"/>
        <w:ind w:firstLine="480"/>
        <w:rPr>
          <w:color w:val="333333"/>
        </w:rPr>
      </w:pPr>
      <w:r>
        <w:rPr>
          <w:rFonts w:hint="eastAsia"/>
          <w:color w:val="333333"/>
        </w:rPr>
        <w:t>采购人、采购代理机构应当随中标、成交结果同时公告中标、成交供应商提供的《声明函》或有关证明文件。</w:t>
      </w:r>
    </w:p>
    <w:p>
      <w:pPr>
        <w:pStyle w:val="45"/>
        <w:shd w:val="clear" w:color="auto" w:fill="FFFFFF"/>
        <w:spacing w:before="0" w:beforeAutospacing="0" w:after="0" w:afterAutospacing="0"/>
        <w:ind w:firstLine="480"/>
        <w:rPr>
          <w:color w:val="333333"/>
        </w:rPr>
      </w:pPr>
      <w:r>
        <w:rPr>
          <w:rFonts w:hint="eastAsia"/>
          <w:color w:val="333333"/>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pPr>
        <w:pStyle w:val="45"/>
        <w:shd w:val="clear" w:color="auto" w:fill="FFFFFF"/>
        <w:spacing w:before="30" w:beforeAutospacing="0" w:after="30" w:afterAutospacing="0"/>
        <w:ind w:firstLine="480"/>
        <w:rPr>
          <w:color w:val="333333"/>
        </w:rPr>
      </w:pPr>
      <w:r>
        <w:rPr>
          <w:rFonts w:hint="eastAsia"/>
          <w:color w:val="333333"/>
        </w:rPr>
        <w:t>（四）中华人民共和国缔结或者共同参加的国际条约、协定对政府采购中本国产品政策另有规定的，按照有关条约、协定执行。</w:t>
      </w:r>
    </w:p>
    <w:p>
      <w:pPr>
        <w:pStyle w:val="45"/>
        <w:shd w:val="clear" w:color="auto" w:fill="FFFFFF"/>
        <w:spacing w:before="0" w:beforeAutospacing="0" w:after="0" w:afterAutospacing="0"/>
        <w:ind w:firstLine="480"/>
        <w:rPr>
          <w:color w:val="333333"/>
        </w:rPr>
      </w:pPr>
      <w:r>
        <w:rPr>
          <w:rStyle w:val="55"/>
          <w:rFonts w:hint="eastAsia"/>
          <w:color w:val="333333"/>
        </w:rPr>
        <w:t>五、争议处理</w:t>
      </w:r>
    </w:p>
    <w:p>
      <w:pPr>
        <w:pStyle w:val="45"/>
        <w:shd w:val="clear" w:color="auto" w:fill="FFFFFF"/>
        <w:spacing w:before="30" w:beforeAutospacing="0" w:after="30" w:afterAutospacing="0"/>
        <w:ind w:firstLine="480"/>
        <w:rPr>
          <w:color w:val="333333"/>
        </w:rPr>
      </w:pPr>
      <w:r>
        <w:rPr>
          <w:rFonts w:hint="eastAsia"/>
          <w:color w:val="333333"/>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pPr>
        <w:pStyle w:val="45"/>
        <w:shd w:val="clear" w:color="auto" w:fill="FFFFFF"/>
        <w:spacing w:before="30" w:beforeAutospacing="0" w:after="30" w:afterAutospacing="0"/>
        <w:ind w:firstLine="480"/>
        <w:rPr>
          <w:color w:val="333333"/>
        </w:rPr>
      </w:pPr>
      <w:r>
        <w:rPr>
          <w:rFonts w:hint="eastAsia"/>
          <w:color w:val="333333"/>
        </w:rPr>
        <w:t>（一）政府采购投诉处理、监督检查中，对产品或组件是否在中国境内生产存在争议的，按照以下原则处理：</w:t>
      </w:r>
    </w:p>
    <w:p>
      <w:pPr>
        <w:pStyle w:val="45"/>
        <w:shd w:val="clear" w:color="auto" w:fill="FFFFFF"/>
        <w:spacing w:before="30" w:beforeAutospacing="0" w:after="30" w:afterAutospacing="0"/>
        <w:ind w:firstLine="480"/>
        <w:rPr>
          <w:color w:val="333333"/>
        </w:rPr>
      </w:pPr>
      <w:r>
        <w:rPr>
          <w:rFonts w:hint="eastAsia"/>
          <w:color w:val="333333"/>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pPr>
        <w:pStyle w:val="45"/>
        <w:shd w:val="clear" w:color="auto" w:fill="FFFFFF"/>
        <w:spacing w:before="30" w:beforeAutospacing="0" w:after="30" w:afterAutospacing="0"/>
        <w:ind w:firstLine="480"/>
        <w:rPr>
          <w:color w:val="333333"/>
        </w:rPr>
      </w:pPr>
      <w:r>
        <w:rPr>
          <w:rFonts w:hint="eastAsia"/>
          <w:color w:val="333333"/>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pPr>
        <w:pStyle w:val="45"/>
        <w:shd w:val="clear" w:color="auto" w:fill="FFFFFF"/>
        <w:spacing w:before="30" w:beforeAutospacing="0" w:after="30" w:afterAutospacing="0"/>
        <w:ind w:firstLine="480"/>
        <w:rPr>
          <w:color w:val="333333"/>
        </w:rPr>
      </w:pPr>
      <w:r>
        <w:rPr>
          <w:rFonts w:hint="eastAsia"/>
          <w:color w:val="333333"/>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pPr>
        <w:pStyle w:val="45"/>
        <w:shd w:val="clear" w:color="auto" w:fill="FFFFFF"/>
        <w:spacing w:before="30" w:beforeAutospacing="0" w:after="30" w:afterAutospacing="0"/>
        <w:ind w:firstLine="480"/>
        <w:rPr>
          <w:color w:val="333333"/>
        </w:rPr>
      </w:pPr>
      <w:r>
        <w:rPr>
          <w:rFonts w:hint="eastAsia"/>
          <w:color w:val="333333"/>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pPr>
        <w:pStyle w:val="45"/>
        <w:shd w:val="clear" w:color="auto" w:fill="FFFFFF"/>
        <w:spacing w:before="30" w:beforeAutospacing="0" w:after="30" w:afterAutospacing="0"/>
        <w:ind w:firstLine="480"/>
        <w:rPr>
          <w:color w:val="333333"/>
        </w:rPr>
      </w:pPr>
      <w:r>
        <w:rPr>
          <w:rFonts w:hint="eastAsia"/>
          <w:color w:val="333333"/>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pPr>
        <w:pStyle w:val="45"/>
        <w:shd w:val="clear" w:color="auto" w:fill="FFFFFF"/>
        <w:spacing w:before="30" w:beforeAutospacing="0" w:after="30" w:afterAutospacing="0"/>
        <w:ind w:firstLine="480"/>
        <w:rPr>
          <w:color w:val="333333"/>
        </w:rPr>
      </w:pPr>
      <w:r>
        <w:rPr>
          <w:rFonts w:hint="eastAsia"/>
          <w:color w:val="333333"/>
        </w:rPr>
        <w:t>本通知自2026年1月1日起施行。</w:t>
      </w:r>
    </w:p>
    <w:p>
      <w:pPr>
        <w:pStyle w:val="45"/>
        <w:shd w:val="clear" w:color="auto" w:fill="FFFFFF"/>
        <w:spacing w:before="30" w:beforeAutospacing="0" w:after="30" w:afterAutospacing="0"/>
        <w:ind w:firstLine="480"/>
        <w:rPr>
          <w:color w:val="333333"/>
        </w:rPr>
      </w:pPr>
      <w:r>
        <w:rPr>
          <w:rFonts w:hint="eastAsia"/>
          <w:color w:val="333333"/>
        </w:rPr>
        <w:t>附件：1.中国境内生产的组件成本核算基本规则</w:t>
      </w:r>
    </w:p>
    <w:p>
      <w:pPr>
        <w:pStyle w:val="45"/>
        <w:shd w:val="clear" w:color="auto" w:fill="FFFFFF"/>
        <w:spacing w:before="30" w:beforeAutospacing="0" w:after="30" w:afterAutospacing="0"/>
        <w:ind w:firstLine="480"/>
        <w:rPr>
          <w:color w:val="333333"/>
        </w:rPr>
      </w:pPr>
      <w:r>
        <w:rPr>
          <w:rFonts w:hint="eastAsia"/>
          <w:color w:val="333333"/>
        </w:rPr>
        <w:t>　　　2.关于符合本国产品标准的声明函</w:t>
      </w:r>
    </w:p>
    <w:p>
      <w:pPr>
        <w:pStyle w:val="45"/>
        <w:shd w:val="clear" w:color="auto" w:fill="FFFFFF"/>
        <w:spacing w:before="30" w:beforeAutospacing="0" w:after="30" w:afterAutospacing="0"/>
        <w:jc w:val="right"/>
        <w:rPr>
          <w:color w:val="333333"/>
        </w:rPr>
      </w:pPr>
      <w:r>
        <w:rPr>
          <w:rFonts w:hint="eastAsia"/>
          <w:color w:val="333333"/>
        </w:rPr>
        <w:t>国务院办公厅         </w:t>
      </w:r>
    </w:p>
    <w:p>
      <w:pPr>
        <w:pStyle w:val="45"/>
        <w:shd w:val="clear" w:color="auto" w:fill="FFFFFF"/>
        <w:spacing w:before="30" w:beforeAutospacing="0" w:after="30" w:afterAutospacing="0"/>
        <w:jc w:val="right"/>
        <w:rPr>
          <w:color w:val="333333"/>
        </w:rPr>
      </w:pPr>
      <w:r>
        <w:rPr>
          <w:rFonts w:hint="eastAsia"/>
          <w:color w:val="333333"/>
        </w:rPr>
        <w:t>2025年9月28日    </w:t>
      </w: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ind w:firstLine="480"/>
        <w:rPr>
          <w:color w:val="333333"/>
        </w:rPr>
      </w:pPr>
    </w:p>
    <w:p>
      <w:pPr>
        <w:widowControl/>
        <w:jc w:val="left"/>
        <w:rPr>
          <w:rStyle w:val="55"/>
          <w:rFonts w:ascii="宋体" w:hAnsi="宋体" w:cs="宋体"/>
          <w:color w:val="333333"/>
          <w:kern w:val="0"/>
          <w:sz w:val="24"/>
        </w:rPr>
      </w:pPr>
      <w:r>
        <w:rPr>
          <w:rStyle w:val="55"/>
          <w:rFonts w:ascii="宋体" w:hAnsi="宋体"/>
          <w:color w:val="333333"/>
        </w:rPr>
        <w:br w:type="page"/>
      </w:r>
    </w:p>
    <w:p>
      <w:pPr>
        <w:pStyle w:val="45"/>
        <w:shd w:val="clear" w:color="auto" w:fill="FFFFFF"/>
        <w:spacing w:before="0" w:beforeAutospacing="0" w:after="0" w:afterAutospacing="0"/>
        <w:rPr>
          <w:color w:val="333333"/>
        </w:rPr>
      </w:pPr>
      <w:r>
        <w:rPr>
          <w:rStyle w:val="55"/>
          <w:rFonts w:hint="eastAsia"/>
          <w:color w:val="333333"/>
        </w:rPr>
        <w:t>附件1</w:t>
      </w:r>
    </w:p>
    <w:p>
      <w:pPr>
        <w:pStyle w:val="45"/>
        <w:shd w:val="clear" w:color="auto" w:fill="FFFFFF"/>
        <w:spacing w:before="30" w:beforeAutospacing="0" w:after="30" w:afterAutospacing="0"/>
        <w:ind w:firstLine="480"/>
        <w:rPr>
          <w:color w:val="333333"/>
        </w:rPr>
      </w:pPr>
    </w:p>
    <w:p>
      <w:pPr>
        <w:pStyle w:val="45"/>
        <w:shd w:val="clear" w:color="auto" w:fill="FFFFFF"/>
        <w:spacing w:before="0" w:beforeAutospacing="0" w:after="0" w:afterAutospacing="0"/>
        <w:jc w:val="center"/>
        <w:rPr>
          <w:color w:val="333333"/>
          <w:sz w:val="36"/>
          <w:szCs w:val="36"/>
        </w:rPr>
      </w:pPr>
      <w:r>
        <w:rPr>
          <w:rStyle w:val="55"/>
          <w:rFonts w:hint="eastAsia"/>
          <w:color w:val="333333"/>
          <w:sz w:val="36"/>
          <w:szCs w:val="36"/>
        </w:rPr>
        <w:t>中国境内生产的组件成本核算基本规则</w:t>
      </w: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ind w:firstLine="480"/>
        <w:rPr>
          <w:color w:val="333333"/>
        </w:rPr>
      </w:pPr>
      <w:r>
        <w:rPr>
          <w:rFonts w:hint="eastAsia"/>
          <w:color w:val="333333"/>
        </w:rPr>
        <w:t>产品在中国境内生产的组件成本，一般按照其二级组件的相关成本进行核算。按照产品的一级组件进行成本核算能够满足中国境内生产的组件成本判定需求的，可以按照一级组件的相关成本进行核算。</w:t>
      </w:r>
    </w:p>
    <w:p>
      <w:pPr>
        <w:pStyle w:val="45"/>
        <w:shd w:val="clear" w:color="auto" w:fill="FFFFFF"/>
        <w:spacing w:before="30" w:beforeAutospacing="0" w:after="30" w:afterAutospacing="0"/>
        <w:ind w:firstLine="480"/>
        <w:rPr>
          <w:color w:val="333333"/>
        </w:rPr>
      </w:pPr>
      <w:r>
        <w:rPr>
          <w:rFonts w:hint="eastAsia"/>
          <w:color w:val="333333"/>
        </w:rPr>
        <w:t>一、产品的一级组件是指直接组成产品的组件。产品的二级组件是指直接组成产品一级组件的组件。一级组件不可分解的，视同二级组件。</w:t>
      </w:r>
    </w:p>
    <w:p>
      <w:pPr>
        <w:pStyle w:val="45"/>
        <w:shd w:val="clear" w:color="auto" w:fill="FFFFFF"/>
        <w:spacing w:before="30" w:beforeAutospacing="0" w:after="30" w:afterAutospacing="0"/>
        <w:ind w:firstLine="480"/>
        <w:rPr>
          <w:color w:val="333333"/>
        </w:rPr>
      </w:pPr>
      <w:r>
        <w:rPr>
          <w:rFonts w:hint="eastAsia"/>
          <w:color w:val="333333"/>
        </w:rPr>
        <w:t>二、二级组件在中国境内生产的，其全部成本计入中国境内生产的组件成本；二级组件不在中国境内生产的，其成本不计入中国境内生产的组件成本。</w:t>
      </w:r>
    </w:p>
    <w:p>
      <w:pPr>
        <w:pStyle w:val="45"/>
        <w:shd w:val="clear" w:color="auto" w:fill="FFFFFF"/>
        <w:spacing w:before="30" w:beforeAutospacing="0" w:after="30" w:afterAutospacing="0"/>
        <w:ind w:firstLine="480"/>
        <w:rPr>
          <w:color w:val="333333"/>
        </w:rPr>
      </w:pPr>
      <w:r>
        <w:rPr>
          <w:rFonts w:hint="eastAsia"/>
          <w:color w:val="333333"/>
        </w:rPr>
        <w:t>三、产品总成本和组件成本以相关会计核算数据、采购合同、进货记录等为基础进行计算。</w:t>
      </w:r>
    </w:p>
    <w:p>
      <w:pPr>
        <w:pStyle w:val="45"/>
        <w:shd w:val="clear" w:color="auto" w:fill="FFFFFF"/>
        <w:spacing w:before="30" w:beforeAutospacing="0" w:after="30" w:afterAutospacing="0"/>
        <w:ind w:firstLine="480"/>
        <w:rPr>
          <w:color w:val="333333"/>
        </w:rPr>
      </w:pPr>
      <w:r>
        <w:rPr>
          <w:rFonts w:hint="eastAsia"/>
          <w:color w:val="333333"/>
        </w:rPr>
        <w:t>四、需要对成本核算规则予以进一步明确的其他有关事项，由财政部会同有关部门另行规定。</w:t>
      </w: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ind w:firstLine="480"/>
        <w:rPr>
          <w:color w:val="333333"/>
        </w:rPr>
      </w:pPr>
    </w:p>
    <w:p>
      <w:pPr>
        <w:widowControl/>
        <w:jc w:val="left"/>
        <w:rPr>
          <w:rStyle w:val="55"/>
          <w:rFonts w:ascii="宋体" w:hAnsi="宋体" w:cs="宋体"/>
          <w:color w:val="333333"/>
          <w:kern w:val="0"/>
          <w:sz w:val="24"/>
        </w:rPr>
      </w:pPr>
      <w:r>
        <w:rPr>
          <w:rStyle w:val="55"/>
          <w:rFonts w:ascii="宋体" w:hAnsi="宋体"/>
          <w:color w:val="333333"/>
        </w:rPr>
        <w:br w:type="page"/>
      </w:r>
    </w:p>
    <w:p>
      <w:pPr>
        <w:pStyle w:val="45"/>
        <w:shd w:val="clear" w:color="auto" w:fill="FFFFFF"/>
        <w:spacing w:before="0" w:beforeAutospacing="0" w:after="0" w:afterAutospacing="0"/>
        <w:rPr>
          <w:color w:val="333333"/>
        </w:rPr>
      </w:pPr>
      <w:r>
        <w:rPr>
          <w:rStyle w:val="55"/>
          <w:rFonts w:hint="eastAsia"/>
          <w:color w:val="333333"/>
        </w:rPr>
        <w:t>附件2</w:t>
      </w:r>
    </w:p>
    <w:p>
      <w:pPr>
        <w:pStyle w:val="45"/>
        <w:shd w:val="clear" w:color="auto" w:fill="FFFFFF"/>
        <w:spacing w:before="30" w:beforeAutospacing="0" w:after="30" w:afterAutospacing="0"/>
        <w:ind w:firstLine="480"/>
        <w:rPr>
          <w:color w:val="333333"/>
        </w:rPr>
      </w:pPr>
    </w:p>
    <w:p>
      <w:pPr>
        <w:pStyle w:val="45"/>
        <w:shd w:val="clear" w:color="auto" w:fill="FFFFFF"/>
        <w:spacing w:before="0" w:beforeAutospacing="0" w:after="0" w:afterAutospacing="0"/>
        <w:jc w:val="center"/>
        <w:rPr>
          <w:color w:val="333333"/>
          <w:sz w:val="36"/>
          <w:szCs w:val="36"/>
        </w:rPr>
      </w:pPr>
      <w:r>
        <w:rPr>
          <w:rStyle w:val="55"/>
          <w:rFonts w:hint="eastAsia"/>
          <w:color w:val="333333"/>
          <w:sz w:val="36"/>
          <w:szCs w:val="36"/>
        </w:rPr>
        <w:t>关于符合本国产品标准的声明函</w:t>
      </w: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ind w:firstLine="480"/>
        <w:rPr>
          <w:color w:val="333333"/>
        </w:rPr>
      </w:pPr>
      <w:r>
        <w:rPr>
          <w:rFonts w:hint="eastAsia"/>
          <w:color w:val="333333"/>
        </w:rPr>
        <w:t>本公司（单位）郑重声明，根据《国务院办公厅关于在政府采购中实施本国产品标准及相关政策的通知》（国办发〔2025〕34号）的规定，本公司（单位）提供的以下产品属于本国产品。具体情况如下：</w:t>
      </w:r>
    </w:p>
    <w:p>
      <w:pPr>
        <w:pStyle w:val="45"/>
        <w:shd w:val="clear" w:color="auto" w:fill="FFFFFF"/>
        <w:spacing w:before="0" w:beforeAutospacing="0" w:after="0" w:afterAutospacing="0"/>
        <w:ind w:firstLine="480"/>
        <w:rPr>
          <w:color w:val="333333"/>
        </w:rPr>
      </w:pPr>
      <w:r>
        <w:rPr>
          <w:rFonts w:hint="eastAsia"/>
          <w:color w:val="333333"/>
        </w:rPr>
        <w:t>1.</w:t>
      </w:r>
      <w:r>
        <w:rPr>
          <w:rStyle w:val="58"/>
          <w:rFonts w:hint="eastAsia"/>
          <w:color w:val="333333"/>
        </w:rPr>
        <w:t>（产品名称1）</w:t>
      </w:r>
      <w:r>
        <w:rPr>
          <w:rStyle w:val="58"/>
          <w:rFonts w:hint="eastAsia"/>
          <w:color w:val="333333"/>
          <w:vertAlign w:val="superscript"/>
        </w:rPr>
        <w:t>1</w:t>
      </w:r>
      <w:r>
        <w:rPr>
          <w:rFonts w:hint="eastAsia"/>
          <w:color w:val="333333"/>
        </w:rPr>
        <w:t>，生产厂为</w:t>
      </w:r>
      <w:r>
        <w:rPr>
          <w:rStyle w:val="58"/>
          <w:rFonts w:hint="eastAsia"/>
          <w:color w:val="333333"/>
        </w:rPr>
        <w:t>（厂名）</w:t>
      </w:r>
      <w:r>
        <w:rPr>
          <w:rStyle w:val="58"/>
          <w:rFonts w:hint="eastAsia"/>
          <w:color w:val="333333"/>
          <w:vertAlign w:val="superscript"/>
        </w:rPr>
        <w:t>2</w:t>
      </w:r>
      <w:r>
        <w:rPr>
          <w:rFonts w:hint="eastAsia"/>
          <w:color w:val="333333"/>
        </w:rPr>
        <w:t>，厂址为</w:t>
      </w:r>
      <w:r>
        <w:rPr>
          <w:rStyle w:val="58"/>
          <w:rFonts w:hint="eastAsia"/>
          <w:color w:val="333333"/>
        </w:rPr>
        <w:t>（生产厂址）</w:t>
      </w:r>
      <w:r>
        <w:rPr>
          <w:rFonts w:hint="eastAsia"/>
          <w:color w:val="333333"/>
        </w:rPr>
        <w:t>。</w:t>
      </w:r>
      <w:r>
        <w:rPr>
          <w:rStyle w:val="58"/>
          <w:rFonts w:hint="eastAsia"/>
          <w:color w:val="333333"/>
        </w:rPr>
        <w:t>（产品名称1）</w:t>
      </w:r>
      <w:r>
        <w:rPr>
          <w:rFonts w:hint="eastAsia"/>
          <w:color w:val="333333"/>
        </w:rPr>
        <w:t>的中国境内生产的组件成本占比≥</w:t>
      </w:r>
      <w:r>
        <w:rPr>
          <w:rStyle w:val="58"/>
          <w:rFonts w:hint="eastAsia"/>
          <w:color w:val="333333"/>
        </w:rPr>
        <w:t>（规定比例）</w:t>
      </w:r>
      <w:r>
        <w:rPr>
          <w:rStyle w:val="58"/>
          <w:rFonts w:hint="eastAsia"/>
          <w:color w:val="333333"/>
          <w:vertAlign w:val="superscript"/>
        </w:rPr>
        <w:t>3</w:t>
      </w:r>
      <w:r>
        <w:rPr>
          <w:rFonts w:hint="eastAsia"/>
          <w:color w:val="333333"/>
        </w:rPr>
        <w:t>。</w:t>
      </w:r>
      <w:r>
        <w:rPr>
          <w:rStyle w:val="58"/>
          <w:rFonts w:hint="eastAsia"/>
          <w:color w:val="333333"/>
        </w:rPr>
        <w:t>（产品名称1）</w:t>
      </w:r>
      <w:r>
        <w:rPr>
          <w:rFonts w:hint="eastAsia"/>
          <w:color w:val="333333"/>
        </w:rPr>
        <w:t>的</w:t>
      </w:r>
      <w:r>
        <w:rPr>
          <w:rStyle w:val="58"/>
          <w:rFonts w:hint="eastAsia"/>
          <w:color w:val="333333"/>
        </w:rPr>
        <w:t>（关键组件）</w:t>
      </w:r>
      <w:r>
        <w:rPr>
          <w:rStyle w:val="58"/>
          <w:rFonts w:hint="eastAsia"/>
          <w:color w:val="333333"/>
          <w:vertAlign w:val="superscript"/>
        </w:rPr>
        <w:t>4</w:t>
      </w:r>
      <w:r>
        <w:rPr>
          <w:rFonts w:hint="eastAsia"/>
          <w:color w:val="333333"/>
        </w:rPr>
        <w:t>在中国境内生产。</w:t>
      </w:r>
      <w:r>
        <w:rPr>
          <w:rStyle w:val="58"/>
          <w:rFonts w:hint="eastAsia"/>
          <w:color w:val="333333"/>
        </w:rPr>
        <w:t>（产品名称1）</w:t>
      </w:r>
      <w:r>
        <w:rPr>
          <w:rFonts w:hint="eastAsia"/>
          <w:color w:val="333333"/>
        </w:rPr>
        <w:t>的</w:t>
      </w:r>
      <w:r>
        <w:rPr>
          <w:rStyle w:val="58"/>
          <w:rFonts w:hint="eastAsia"/>
          <w:color w:val="333333"/>
        </w:rPr>
        <w:t>（关键工序）</w:t>
      </w:r>
      <w:r>
        <w:rPr>
          <w:rStyle w:val="58"/>
          <w:rFonts w:hint="eastAsia"/>
          <w:color w:val="333333"/>
          <w:vertAlign w:val="superscript"/>
        </w:rPr>
        <w:t>5</w:t>
      </w:r>
      <w:r>
        <w:rPr>
          <w:rFonts w:hint="eastAsia"/>
          <w:color w:val="333333"/>
        </w:rPr>
        <w:t>在中国境内完成。</w:t>
      </w:r>
    </w:p>
    <w:p>
      <w:pPr>
        <w:pStyle w:val="45"/>
        <w:shd w:val="clear" w:color="auto" w:fill="FFFFFF"/>
        <w:spacing w:before="0" w:beforeAutospacing="0" w:after="0" w:afterAutospacing="0"/>
        <w:ind w:firstLine="480"/>
        <w:rPr>
          <w:color w:val="333333"/>
        </w:rPr>
      </w:pPr>
      <w:r>
        <w:rPr>
          <w:rFonts w:hint="eastAsia"/>
          <w:color w:val="333333"/>
        </w:rPr>
        <w:t>2.</w:t>
      </w:r>
      <w:r>
        <w:rPr>
          <w:rStyle w:val="58"/>
          <w:rFonts w:hint="eastAsia"/>
          <w:color w:val="333333"/>
        </w:rPr>
        <w:t>（产品名称2）</w:t>
      </w:r>
      <w:r>
        <w:rPr>
          <w:rFonts w:hint="eastAsia"/>
          <w:color w:val="333333"/>
        </w:rPr>
        <w:t>，生产厂为</w:t>
      </w:r>
      <w:r>
        <w:rPr>
          <w:rStyle w:val="58"/>
          <w:rFonts w:hint="eastAsia"/>
          <w:color w:val="333333"/>
        </w:rPr>
        <w:t>（厂名）</w:t>
      </w:r>
      <w:r>
        <w:rPr>
          <w:rFonts w:hint="eastAsia"/>
          <w:color w:val="333333"/>
        </w:rPr>
        <w:t>，厂址为</w:t>
      </w:r>
      <w:r>
        <w:rPr>
          <w:rStyle w:val="58"/>
          <w:rFonts w:hint="eastAsia"/>
          <w:color w:val="333333"/>
        </w:rPr>
        <w:t>（生产厂址）</w:t>
      </w:r>
      <w:r>
        <w:rPr>
          <w:rFonts w:hint="eastAsia"/>
          <w:color w:val="333333"/>
        </w:rPr>
        <w:t>。</w:t>
      </w:r>
      <w:r>
        <w:rPr>
          <w:rStyle w:val="58"/>
          <w:rFonts w:hint="eastAsia"/>
          <w:color w:val="333333"/>
        </w:rPr>
        <w:t>（产品名称2）</w:t>
      </w:r>
      <w:r>
        <w:rPr>
          <w:rFonts w:hint="eastAsia"/>
          <w:color w:val="333333"/>
        </w:rPr>
        <w:t>的中国境内生产的组件成本占比≥</w:t>
      </w:r>
      <w:r>
        <w:rPr>
          <w:rStyle w:val="58"/>
          <w:rFonts w:hint="eastAsia"/>
          <w:color w:val="333333"/>
        </w:rPr>
        <w:t>（规定比例）</w:t>
      </w:r>
      <w:r>
        <w:rPr>
          <w:rFonts w:hint="eastAsia"/>
          <w:color w:val="333333"/>
        </w:rPr>
        <w:t>。</w:t>
      </w:r>
      <w:r>
        <w:rPr>
          <w:rStyle w:val="58"/>
          <w:rFonts w:hint="eastAsia"/>
          <w:color w:val="333333"/>
        </w:rPr>
        <w:t>（产品名称2）</w:t>
      </w:r>
      <w:r>
        <w:rPr>
          <w:rFonts w:hint="eastAsia"/>
          <w:color w:val="333333"/>
        </w:rPr>
        <w:t>的</w:t>
      </w:r>
      <w:r>
        <w:rPr>
          <w:rStyle w:val="58"/>
          <w:rFonts w:hint="eastAsia"/>
          <w:color w:val="333333"/>
        </w:rPr>
        <w:t>（关键组件）</w:t>
      </w:r>
      <w:r>
        <w:rPr>
          <w:rFonts w:hint="eastAsia"/>
          <w:color w:val="333333"/>
        </w:rPr>
        <w:t>在中国境内生产。</w:t>
      </w:r>
      <w:r>
        <w:rPr>
          <w:rStyle w:val="58"/>
          <w:rFonts w:hint="eastAsia"/>
          <w:color w:val="333333"/>
        </w:rPr>
        <w:t>（产品名称2）</w:t>
      </w:r>
      <w:r>
        <w:rPr>
          <w:rFonts w:hint="eastAsia"/>
          <w:color w:val="333333"/>
        </w:rPr>
        <w:t>的</w:t>
      </w:r>
      <w:r>
        <w:rPr>
          <w:rStyle w:val="58"/>
          <w:rFonts w:hint="eastAsia"/>
          <w:color w:val="333333"/>
        </w:rPr>
        <w:t>（关键工序）</w:t>
      </w:r>
      <w:r>
        <w:rPr>
          <w:rFonts w:hint="eastAsia"/>
          <w:color w:val="333333"/>
        </w:rPr>
        <w:t>在中国境内完成。</w:t>
      </w:r>
    </w:p>
    <w:p>
      <w:pPr>
        <w:pStyle w:val="45"/>
        <w:shd w:val="clear" w:color="auto" w:fill="FFFFFF"/>
        <w:spacing w:before="30" w:beforeAutospacing="0" w:after="30" w:afterAutospacing="0"/>
        <w:ind w:firstLine="480"/>
        <w:rPr>
          <w:color w:val="333333"/>
        </w:rPr>
      </w:pPr>
      <w:r>
        <w:rPr>
          <w:rFonts w:hint="eastAsia"/>
          <w:color w:val="333333"/>
        </w:rPr>
        <w:t>……</w:t>
      </w:r>
    </w:p>
    <w:p>
      <w:pPr>
        <w:pStyle w:val="45"/>
        <w:shd w:val="clear" w:color="auto" w:fill="FFFFFF"/>
        <w:spacing w:before="30" w:beforeAutospacing="0" w:after="30" w:afterAutospacing="0"/>
        <w:ind w:firstLine="480"/>
        <w:rPr>
          <w:color w:val="333333"/>
        </w:rPr>
      </w:pPr>
      <w:r>
        <w:rPr>
          <w:rFonts w:hint="eastAsia"/>
          <w:color w:val="333333"/>
        </w:rPr>
        <w:t>本公司（单位）对上述声明内容的真实性负责。如有虚假，愿承担相应法律责任。</w:t>
      </w:r>
    </w:p>
    <w:p>
      <w:pPr>
        <w:pStyle w:val="45"/>
        <w:shd w:val="clear" w:color="auto" w:fill="FFFFFF"/>
        <w:spacing w:before="30" w:beforeAutospacing="0" w:after="30" w:afterAutospacing="0"/>
        <w:ind w:firstLine="480"/>
        <w:jc w:val="right"/>
        <w:rPr>
          <w:color w:val="333333"/>
        </w:rPr>
      </w:pPr>
      <w:r>
        <w:rPr>
          <w:rFonts w:hint="eastAsia"/>
          <w:color w:val="333333"/>
        </w:rPr>
        <w:t>公司（单位）名称（盖章）：      </w:t>
      </w:r>
    </w:p>
    <w:p>
      <w:pPr>
        <w:pStyle w:val="45"/>
        <w:shd w:val="clear" w:color="auto" w:fill="FFFFFF"/>
        <w:spacing w:before="30" w:beforeAutospacing="0" w:after="30" w:afterAutospacing="0"/>
        <w:ind w:firstLine="480"/>
        <w:jc w:val="right"/>
        <w:rPr>
          <w:color w:val="333333"/>
        </w:rPr>
      </w:pPr>
      <w:r>
        <w:rPr>
          <w:rFonts w:hint="eastAsia"/>
          <w:color w:val="333333"/>
        </w:rPr>
        <w:t>日期：　　　　　年　　月　日    </w:t>
      </w: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rPr>
          <w:color w:val="333333"/>
        </w:rPr>
      </w:pPr>
      <w:r>
        <w:rPr>
          <w:rFonts w:hint="eastAsia"/>
          <w:color w:val="333333"/>
        </w:rPr>
        <w:t>_____________________________</w:t>
      </w:r>
    </w:p>
    <w:p>
      <w:pPr>
        <w:pStyle w:val="45"/>
        <w:shd w:val="clear" w:color="auto" w:fill="FFFFFF"/>
        <w:spacing w:before="0" w:beforeAutospacing="0" w:after="0" w:afterAutospacing="0"/>
        <w:ind w:firstLine="480"/>
        <w:rPr>
          <w:color w:val="333333"/>
        </w:rPr>
      </w:pPr>
      <w:r>
        <w:rPr>
          <w:rFonts w:hint="eastAsia"/>
          <w:color w:val="333333"/>
        </w:rPr>
        <w:t>1.产品如有型号，请在“产品名称”栏一并填写。</w:t>
      </w:r>
    </w:p>
    <w:p>
      <w:pPr>
        <w:pStyle w:val="45"/>
        <w:shd w:val="clear" w:color="auto" w:fill="FFFFFF"/>
        <w:spacing w:before="0" w:beforeAutospacing="0" w:after="0" w:afterAutospacing="0"/>
        <w:ind w:firstLine="480"/>
        <w:rPr>
          <w:color w:val="333333"/>
        </w:rPr>
      </w:pPr>
      <w:r>
        <w:rPr>
          <w:rFonts w:hint="eastAsia"/>
          <w:color w:val="333333"/>
        </w:rPr>
        <w:t>2.生产厂名与厂址应与生产厂营业执照载明的相关信息保持一致。</w:t>
      </w:r>
    </w:p>
    <w:p>
      <w:pPr>
        <w:pStyle w:val="45"/>
        <w:shd w:val="clear" w:color="auto" w:fill="FFFFFF"/>
        <w:spacing w:before="0" w:beforeAutospacing="0" w:after="0" w:afterAutospacing="0"/>
        <w:ind w:firstLine="480"/>
        <w:rPr>
          <w:color w:val="333333"/>
        </w:rPr>
      </w:pPr>
      <w:r>
        <w:rPr>
          <w:rFonts w:hint="eastAsia"/>
          <w:color w:val="333333"/>
        </w:rPr>
        <w:t>3.该产品的中国境内生产的组件成本占比相关要求实施前，“规定比例”栏可不填，下同。</w:t>
      </w:r>
    </w:p>
    <w:p>
      <w:pPr>
        <w:pStyle w:val="45"/>
        <w:shd w:val="clear" w:color="auto" w:fill="FFFFFF"/>
        <w:spacing w:before="0" w:beforeAutospacing="0" w:after="0" w:afterAutospacing="0"/>
        <w:ind w:firstLine="480"/>
        <w:rPr>
          <w:color w:val="333333"/>
        </w:rPr>
      </w:pPr>
      <w:r>
        <w:rPr>
          <w:rFonts w:hint="eastAsia"/>
          <w:color w:val="333333"/>
        </w:rPr>
        <w:t>4.该产品的关键组件要求实施前，“关键组件”栏可不填，下同。</w:t>
      </w:r>
    </w:p>
    <w:p>
      <w:pPr>
        <w:pStyle w:val="45"/>
        <w:shd w:val="clear" w:color="auto" w:fill="FFFFFF"/>
        <w:spacing w:before="0" w:beforeAutospacing="0" w:after="0" w:afterAutospacing="0"/>
        <w:ind w:firstLine="480"/>
        <w:rPr>
          <w:color w:val="333333"/>
        </w:rPr>
      </w:pPr>
      <w:r>
        <w:rPr>
          <w:rFonts w:hint="eastAsia"/>
          <w:color w:val="333333"/>
        </w:rPr>
        <w:t>5.该产品的关键工序要求实施前，“关键工序”栏可不填，下同。</w:t>
      </w:r>
    </w:p>
    <w:bookmarkEnd w:id="1057"/>
    <w:p>
      <w:pPr>
        <w:rPr>
          <w:rFonts w:ascii="宋体" w:hAnsi="宋体"/>
        </w:rPr>
      </w:pPr>
    </w:p>
    <w:p>
      <w:pPr>
        <w:rPr>
          <w:rFonts w:ascii="宋体" w:hAnsi="宋体"/>
        </w:rPr>
      </w:pPr>
      <w:r>
        <w:rPr>
          <w:rFonts w:ascii="宋体" w:hAnsi="宋体"/>
        </w:rPr>
        <w:br w:type="page"/>
      </w:r>
    </w:p>
    <w:p>
      <w:pPr>
        <w:pStyle w:val="3"/>
        <w:spacing w:line="360" w:lineRule="auto"/>
        <w:jc w:val="left"/>
        <w:rPr>
          <w:rFonts w:hAnsi="宋体"/>
          <w:bCs/>
          <w:sz w:val="24"/>
          <w:szCs w:val="24"/>
        </w:rPr>
      </w:pPr>
      <w:bookmarkStart w:id="1059" w:name="_Toc203404616"/>
      <w:bookmarkStart w:id="1060" w:name="_Toc218620586"/>
      <w:bookmarkStart w:id="1061" w:name="_Toc209958521"/>
      <w:bookmarkStart w:id="1062" w:name="OLE_LINK187"/>
      <w:bookmarkStart w:id="1063" w:name="OLE_LINK188"/>
      <w:r>
        <w:rPr>
          <w:rFonts w:hint="eastAsia" w:hAnsi="宋体"/>
          <w:bCs/>
          <w:sz w:val="24"/>
          <w:szCs w:val="24"/>
        </w:rPr>
        <w:t>附录1</w:t>
      </w:r>
      <w:r>
        <w:rPr>
          <w:rFonts w:hAnsi="宋体"/>
          <w:bCs/>
          <w:sz w:val="24"/>
          <w:szCs w:val="24"/>
        </w:rPr>
        <w:t>2</w:t>
      </w:r>
      <w:r>
        <w:rPr>
          <w:rFonts w:hint="eastAsia" w:hAnsi="宋体"/>
          <w:bCs/>
          <w:sz w:val="24"/>
          <w:szCs w:val="24"/>
        </w:rPr>
        <w:t>：关于推动解决政府采购异常低价问题的通知</w:t>
      </w:r>
    </w:p>
    <w:p>
      <w:pPr>
        <w:pStyle w:val="45"/>
        <w:shd w:val="clear" w:color="auto" w:fill="FFFFFF"/>
        <w:spacing w:before="0" w:beforeAutospacing="0" w:after="0" w:afterAutospacing="0"/>
        <w:jc w:val="center"/>
        <w:rPr>
          <w:rStyle w:val="55"/>
          <w:color w:val="333333"/>
          <w:sz w:val="36"/>
          <w:szCs w:val="36"/>
        </w:rPr>
      </w:pPr>
      <w:r>
        <w:rPr>
          <w:rStyle w:val="55"/>
          <w:color w:val="333333"/>
          <w:sz w:val="36"/>
          <w:szCs w:val="36"/>
        </w:rPr>
        <w:t>关于推动解决政府采购异常低价问题的通知</w:t>
      </w:r>
    </w:p>
    <w:p>
      <w:pPr>
        <w:shd w:val="clear" w:color="auto" w:fill="FFFFFF"/>
        <w:spacing w:line="480" w:lineRule="atLeast"/>
        <w:jc w:val="center"/>
        <w:textAlignment w:val="baseline"/>
        <w:rPr>
          <w:rFonts w:ascii="宋体" w:hAnsi="宋体" w:cs="Calibri"/>
          <w:b/>
          <w:color w:val="383838"/>
          <w:szCs w:val="21"/>
        </w:rPr>
      </w:pPr>
      <w:r>
        <w:rPr>
          <w:rFonts w:ascii="宋体" w:hAnsi="宋体" w:cs="Calibri"/>
          <w:b/>
          <w:color w:val="383838"/>
          <w:szCs w:val="21"/>
        </w:rPr>
        <w:t>财库〔2026〕2号</w:t>
      </w:r>
    </w:p>
    <w:p>
      <w:pPr>
        <w:shd w:val="clear" w:color="auto" w:fill="FFFFFF"/>
        <w:spacing w:line="480" w:lineRule="atLeast"/>
        <w:jc w:val="center"/>
        <w:textAlignment w:val="baseline"/>
        <w:rPr>
          <w:rFonts w:ascii="宋体" w:hAnsi="宋体" w:cs="Calibri"/>
          <w:b/>
          <w:color w:val="383838"/>
          <w:szCs w:val="21"/>
        </w:rPr>
      </w:pPr>
    </w:p>
    <w:p>
      <w:pPr>
        <w:shd w:val="clear" w:color="auto" w:fill="FFFFFF"/>
        <w:spacing w:line="480" w:lineRule="atLeast"/>
        <w:textAlignment w:val="baseline"/>
        <w:rPr>
          <w:rFonts w:ascii="宋体" w:hAnsi="宋体" w:cs="Calibri"/>
          <w:color w:val="383838"/>
          <w:szCs w:val="21"/>
        </w:rPr>
      </w:pPr>
      <w:r>
        <w:rPr>
          <w:rFonts w:hint="eastAsia" w:ascii="宋体" w:hAnsi="宋体" w:cs="Calibri"/>
          <w:color w:val="383838"/>
        </w:rPr>
        <w:t>各中央预算单位，各省、自治区、直辖市、计划单列市财政厅（局），新疆生产建设兵团财政局：</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为整治政府采购领域“内卷式”竞争，形成优质优价、良性竞争的市场秩序，现就推动解决政府采购异常低价问题有关事项通知如下：</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一、加强政府采购需求管理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二、强化政府采购异常低价审查</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（一）采购人应当在采购文件中明确，政府采购评审中出现下列情形之一的，评审委员会应当启动异常低价投标（响应）审查程序：</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1.投标（响应）报价低于全部通过符合性审查供应商投标（响应）报价平均值50%的，即投标（响应）报价&lt;全部通过符合性审查供应商投标（响应）报价平均值×50%；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2.投标（响应）报价低于通过符合性审查的次低报价供应商投标（响应）报价50%的，即投标（响应）报价&lt;通过符合性审查的次低报价供应商投标（响应）报价×50%；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3.投标（响应）报价低于采购项目最高限价45%的，即投标（响应）报价&lt;采购项目最高限价×45%；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4.评审委员会基于专业判断，认为供应商报价过低，有可能影响产品质量或者不能诚信履约的其他情形。</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采购人可以结合具体项目实际情况，提高上述第1项至第3项中启动异常低价投标（响应）审查的数值标准，但是最高不得超过65%。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相关法律法规对供应商报价有规定的，从其规定。</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异常低价投标（响应）审查的启动原因、审查意见和审查结果应当在评审报告中记录，并随供应商提供的相关书面说明及证明材料，以及评审委员会有关互联网浏览、查询历史一并归档。</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三、加强政府采购履约验收管理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本通知自2026年2月1日起施行。</w:t>
      </w:r>
    </w:p>
    <w:p>
      <w:pPr>
        <w:shd w:val="clear" w:color="auto" w:fill="FFFFFF"/>
        <w:spacing w:line="588" w:lineRule="atLeast"/>
        <w:ind w:firstLine="640"/>
        <w:textAlignment w:val="baseline"/>
        <w:rPr>
          <w:rFonts w:ascii="宋体" w:hAnsi="宋体" w:cs="宋体"/>
          <w:color w:val="383838"/>
          <w:sz w:val="24"/>
        </w:rPr>
      </w:pPr>
    </w:p>
    <w:p>
      <w:pPr>
        <w:pStyle w:val="45"/>
        <w:shd w:val="clear" w:color="auto" w:fill="FFFFFF"/>
        <w:spacing w:before="75" w:beforeAutospacing="0" w:after="330" w:afterAutospacing="0"/>
        <w:jc w:val="right"/>
        <w:textAlignment w:val="baseline"/>
        <w:rPr>
          <w:color w:val="383838"/>
        </w:rPr>
      </w:pPr>
      <w:r>
        <w:rPr>
          <w:color w:val="383838"/>
        </w:rPr>
        <w:t>财政部</w:t>
      </w:r>
    </w:p>
    <w:p>
      <w:pPr>
        <w:pStyle w:val="45"/>
        <w:shd w:val="clear" w:color="auto" w:fill="FFFFFF"/>
        <w:spacing w:before="75" w:beforeAutospacing="0" w:after="330" w:afterAutospacing="0"/>
        <w:jc w:val="right"/>
        <w:textAlignment w:val="baseline"/>
        <w:rPr>
          <w:color w:val="383838"/>
        </w:rPr>
      </w:pPr>
      <w:r>
        <w:rPr>
          <w:color w:val="383838"/>
        </w:rPr>
        <w:t>2026年1月14日</w:t>
      </w:r>
    </w:p>
    <w:p>
      <w:pPr>
        <w:rPr>
          <w:rFonts w:ascii="宋体" w:hAnsi="宋体"/>
          <w:kern w:val="44"/>
        </w:rPr>
      </w:pPr>
      <w:r>
        <w:rPr>
          <w:rFonts w:ascii="宋体" w:hAnsi="宋体"/>
        </w:rPr>
        <w:t xml:space="preserve"> </w:t>
      </w:r>
      <w:r>
        <w:rPr>
          <w:rFonts w:ascii="宋体" w:hAnsi="宋体"/>
        </w:rPr>
        <w:br w:type="page"/>
      </w:r>
    </w:p>
    <w:p>
      <w:pPr>
        <w:pStyle w:val="3"/>
        <w:spacing w:line="360" w:lineRule="auto"/>
        <w:jc w:val="left"/>
        <w:rPr>
          <w:rFonts w:hAnsi="宋体"/>
          <w:bCs/>
          <w:sz w:val="24"/>
          <w:szCs w:val="24"/>
        </w:rPr>
      </w:pPr>
      <w:r>
        <w:rPr>
          <w:rFonts w:hint="eastAsia" w:hAnsi="宋体"/>
          <w:bCs/>
          <w:sz w:val="24"/>
          <w:szCs w:val="24"/>
        </w:rPr>
        <w:t>附录</w:t>
      </w:r>
      <w:r>
        <w:rPr>
          <w:rFonts w:hAnsi="宋体"/>
          <w:bCs/>
          <w:sz w:val="24"/>
          <w:szCs w:val="24"/>
        </w:rPr>
        <w:t>13</w:t>
      </w:r>
      <w:r>
        <w:rPr>
          <w:rFonts w:hint="eastAsia" w:hAnsi="宋体"/>
          <w:bCs/>
          <w:sz w:val="24"/>
          <w:szCs w:val="24"/>
        </w:rPr>
        <w:t>：市场监管总局关于发布强制性产品认证目录描述与界定表的公告</w:t>
      </w:r>
      <w:bookmarkEnd w:id="1059"/>
      <w:bookmarkEnd w:id="1060"/>
      <w:bookmarkEnd w:id="1061"/>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国家市场监督管理总局</w:t>
      </w:r>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公　　告</w:t>
      </w:r>
    </w:p>
    <w:p>
      <w:pPr>
        <w:widowControl/>
        <w:shd w:val="clear" w:color="auto" w:fill="FFFFFF"/>
        <w:spacing w:line="480" w:lineRule="atLeast"/>
        <w:jc w:val="center"/>
        <w:rPr>
          <w:rFonts w:ascii="宋体" w:hAnsi="宋体" w:cs="宋体"/>
          <w:kern w:val="0"/>
          <w:sz w:val="24"/>
        </w:rPr>
      </w:pPr>
      <w:r>
        <w:rPr>
          <w:rFonts w:ascii="宋体" w:hAnsi="宋体"/>
          <w:spacing w:val="10"/>
          <w:kern w:val="0"/>
          <w:szCs w:val="32"/>
        </w:rPr>
        <w:t>2023</w:t>
      </w:r>
      <w:r>
        <w:rPr>
          <w:rFonts w:ascii="宋体" w:hAnsi="宋体" w:cs="宋体"/>
          <w:spacing w:val="10"/>
          <w:kern w:val="0"/>
          <w:szCs w:val="32"/>
        </w:rPr>
        <w:t>年</w:t>
      </w:r>
      <w:r>
        <w:rPr>
          <w:rFonts w:ascii="宋体" w:hAnsi="宋体"/>
          <w:spacing w:val="10"/>
          <w:kern w:val="0"/>
          <w:szCs w:val="32"/>
        </w:rPr>
        <w:t>第36号</w:t>
      </w:r>
    </w:p>
    <w:p>
      <w:pPr>
        <w:widowControl/>
        <w:shd w:val="clear" w:color="auto" w:fill="FFFFFF"/>
        <w:spacing w:line="480" w:lineRule="atLeast"/>
        <w:jc w:val="left"/>
        <w:rPr>
          <w:rFonts w:ascii="宋体" w:hAnsi="宋体" w:cs="宋体"/>
          <w:kern w:val="0"/>
          <w:sz w:val="24"/>
        </w:rPr>
      </w:pPr>
      <w:r>
        <w:rPr>
          <w:rFonts w:ascii="宋体" w:hAnsi="宋体"/>
          <w:spacing w:val="10"/>
          <w:kern w:val="0"/>
          <w:szCs w:val="32"/>
        </w:rPr>
        <w:br w:type="textWrapping"/>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市场监管总局关于发布强制性产品认证</w:t>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目录描述与界定表的公告</w:t>
      </w:r>
    </w:p>
    <w:p>
      <w:pPr>
        <w:widowControl/>
        <w:shd w:val="clear" w:color="auto" w:fill="FFFFFF"/>
        <w:spacing w:line="594" w:lineRule="atLeast"/>
        <w:rPr>
          <w:rFonts w:ascii="宋体" w:hAnsi="宋体" w:cs="宋体"/>
          <w:kern w:val="0"/>
          <w:sz w:val="24"/>
        </w:rPr>
      </w:pP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为便利各相关方准确界定强制性产品认证目录范围，市场监管总局根据强制性产品认证目录调整和认证依据相关标准调整等情况，修订形成《强制性产品认证目录描述与界定表（</w:t>
      </w:r>
      <w:r>
        <w:rPr>
          <w:rFonts w:ascii="宋体" w:hAnsi="宋体"/>
          <w:kern w:val="0"/>
          <w:sz w:val="24"/>
        </w:rPr>
        <w:t>2023</w:t>
      </w:r>
      <w:r>
        <w:rPr>
          <w:rFonts w:ascii="宋体" w:hAnsi="宋体" w:cs="宋体"/>
          <w:kern w:val="0"/>
          <w:sz w:val="24"/>
        </w:rPr>
        <w:t>年修订）》，共</w:t>
      </w:r>
      <w:r>
        <w:rPr>
          <w:rFonts w:ascii="宋体" w:hAnsi="宋体"/>
          <w:kern w:val="0"/>
          <w:sz w:val="24"/>
        </w:rPr>
        <w:t>16</w:t>
      </w:r>
      <w:r>
        <w:rPr>
          <w:rFonts w:ascii="宋体" w:hAnsi="宋体" w:cs="宋体"/>
          <w:kern w:val="0"/>
          <w:sz w:val="24"/>
        </w:rPr>
        <w:t>大类</w:t>
      </w:r>
      <w:r>
        <w:rPr>
          <w:rFonts w:ascii="宋体" w:hAnsi="宋体"/>
          <w:kern w:val="0"/>
          <w:sz w:val="24"/>
        </w:rPr>
        <w:t>96</w:t>
      </w:r>
      <w:r>
        <w:rPr>
          <w:rFonts w:ascii="宋体" w:hAnsi="宋体" w:cs="宋体"/>
          <w:kern w:val="0"/>
          <w:sz w:val="24"/>
        </w:rPr>
        <w:t>种产品</w:t>
      </w:r>
      <w:r>
        <w:rPr>
          <w:rFonts w:ascii="宋体" w:hAnsi="宋体"/>
          <w:kern w:val="0"/>
          <w:sz w:val="24"/>
        </w:rPr>
        <w:t>，现予公告</w:t>
      </w:r>
      <w:r>
        <w:rPr>
          <w:rFonts w:ascii="宋体" w:hAnsi="宋体" w:cs="宋体"/>
          <w:kern w:val="0"/>
          <w:sz w:val="24"/>
        </w:rPr>
        <w:t>。市场监管总局</w:t>
      </w:r>
      <w:r>
        <w:rPr>
          <w:rFonts w:ascii="宋体" w:hAnsi="宋体"/>
          <w:kern w:val="0"/>
          <w:sz w:val="24"/>
        </w:rPr>
        <w:t>2020</w:t>
      </w:r>
      <w:r>
        <w:rPr>
          <w:rFonts w:ascii="宋体" w:hAnsi="宋体" w:cs="宋体"/>
          <w:kern w:val="0"/>
          <w:sz w:val="24"/>
        </w:rPr>
        <w:t>年第</w:t>
      </w:r>
      <w:r>
        <w:rPr>
          <w:rFonts w:ascii="宋体" w:hAnsi="宋体"/>
          <w:kern w:val="0"/>
          <w:sz w:val="24"/>
        </w:rPr>
        <w:t>18</w:t>
      </w:r>
      <w:r>
        <w:rPr>
          <w:rFonts w:ascii="宋体" w:hAnsi="宋体" w:cs="宋体"/>
          <w:kern w:val="0"/>
          <w:sz w:val="24"/>
        </w:rPr>
        <w:t>号公告发布的《强制性产品认证目录描述与界定表（</w:t>
      </w:r>
      <w:r>
        <w:rPr>
          <w:rFonts w:ascii="宋体" w:hAnsi="宋体"/>
          <w:kern w:val="0"/>
          <w:sz w:val="24"/>
        </w:rPr>
        <w:t>2020</w:t>
      </w:r>
      <w:r>
        <w:rPr>
          <w:rFonts w:ascii="宋体" w:hAnsi="宋体" w:cs="宋体"/>
          <w:kern w:val="0"/>
          <w:sz w:val="24"/>
        </w:rPr>
        <w:t>年修订）》同时废止。</w:t>
      </w:r>
    </w:p>
    <w:p>
      <w:pPr>
        <w:widowControl/>
        <w:shd w:val="clear" w:color="auto" w:fill="FFFFFF"/>
        <w:spacing w:line="594" w:lineRule="atLeast"/>
        <w:ind w:firstLine="640"/>
        <w:rPr>
          <w:rFonts w:ascii="宋体" w:hAnsi="宋体" w:cs="宋体"/>
          <w:kern w:val="0"/>
          <w:sz w:val="24"/>
        </w:rPr>
      </w:pPr>
      <w:r>
        <w:rPr>
          <w:rFonts w:hint="eastAsia" w:ascii="宋体" w:hAnsi="宋体" w:cs="宋体"/>
          <w:kern w:val="0"/>
          <w:sz w:val="24"/>
        </w:rPr>
        <w:t> </w:t>
      </w: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附件：</w:t>
      </w:r>
      <w:r>
        <w:rPr>
          <w:rFonts w:ascii="宋体" w:hAnsi="宋体"/>
          <w:kern w:val="0"/>
          <w:sz w:val="24"/>
        </w:rPr>
        <w:t>1.强制性产品认证目录</w:t>
      </w:r>
    </w:p>
    <w:p>
      <w:pPr>
        <w:widowControl/>
        <w:shd w:val="clear" w:color="auto" w:fill="FFFFFF"/>
        <w:spacing w:line="594" w:lineRule="atLeast"/>
        <w:ind w:firstLine="1440" w:firstLineChars="600"/>
        <w:rPr>
          <w:rFonts w:ascii="宋体" w:hAnsi="宋体" w:cs="宋体"/>
          <w:kern w:val="0"/>
          <w:sz w:val="24"/>
        </w:rPr>
      </w:pPr>
      <w:r>
        <w:rPr>
          <w:rFonts w:ascii="宋体" w:hAnsi="宋体"/>
          <w:kern w:val="0"/>
          <w:sz w:val="24"/>
        </w:rPr>
        <w:t>2.</w:t>
      </w:r>
      <w:r>
        <w:fldChar w:fldCharType="begin"/>
      </w:r>
      <w:r>
        <w:instrText xml:space="preserve"> HYPERLINK "https://www.cnca.gov.cn/api-gateway/jpaas-web-server/front/document/download?fileUrl=YW5UzzlvCwcM%2FNHHX%2FtT6F5yXryzuRkKaR8xDXYwlU0XkgL29Ze1%2FR2OA6D2u5Ro6MBm4vHA1zCC5dlKhdDiNQ%2FpyN0YKmrD9zx0HBES0fcjSiP4c1tAvUIpr8PHpzvLCGK83c0I%2BG3N76%2B870OsqYRMvOJ%2FBg6jsc2HLJDotFc%3D&amp;fileName=%E9%99%84%E4%BB%B62%EF%BC%9A%E5%BC%BA%E5%88%B6%E6%80%A7%E4%BA%A7%E5%93%81%E8%AE%A4%E8%AF%81%E7%9B%AE%E5%BD%95%E6%8F%8F%E8%BF%B0%E4%B8%8E%E7%95%8C%E5%AE%9A%E8%A1%A8%EF%BC%882023%E5%B9%B4%E4%BF%AE%E8%AE%A2%EF%BC%89.pdf" </w:instrText>
      </w:r>
      <w:r>
        <w:fldChar w:fldCharType="separate"/>
      </w:r>
      <w:r>
        <w:rPr>
          <w:rFonts w:ascii="宋体" w:hAnsi="宋体" w:cs="宋体"/>
          <w:kern w:val="0"/>
          <w:sz w:val="24"/>
        </w:rPr>
        <w:t>强制性产品认证目录描述与界定表（</w:t>
      </w:r>
      <w:r>
        <w:rPr>
          <w:rFonts w:ascii="宋体" w:hAnsi="宋体"/>
          <w:kern w:val="0"/>
          <w:sz w:val="24"/>
        </w:rPr>
        <w:t>2023</w:t>
      </w:r>
      <w:r>
        <w:rPr>
          <w:rFonts w:ascii="宋体" w:hAnsi="宋体" w:cs="宋体"/>
          <w:kern w:val="0"/>
          <w:sz w:val="24"/>
        </w:rPr>
        <w:t>年修订）</w:t>
      </w:r>
      <w:r>
        <w:rPr>
          <w:rFonts w:ascii="宋体" w:hAnsi="宋体" w:cs="宋体"/>
          <w:kern w:val="0"/>
          <w:sz w:val="24"/>
        </w:rPr>
        <w:fldChar w:fldCharType="end"/>
      </w:r>
    </w:p>
    <w:p>
      <w:pPr>
        <w:pStyle w:val="45"/>
        <w:shd w:val="clear" w:color="auto" w:fill="FFFFFF"/>
        <w:spacing w:before="0" w:beforeAutospacing="0" w:after="0" w:afterAutospacing="0" w:line="560" w:lineRule="atLeast"/>
        <w:ind w:left="1678" w:hanging="1040"/>
      </w:pPr>
    </w:p>
    <w:p>
      <w:pPr>
        <w:pStyle w:val="45"/>
        <w:shd w:val="clear" w:color="auto" w:fill="FFFFFF"/>
        <w:spacing w:before="0" w:beforeAutospacing="0" w:after="0" w:afterAutospacing="0" w:line="560" w:lineRule="atLeast"/>
        <w:ind w:firstLine="640"/>
        <w:jc w:val="both"/>
      </w:pPr>
      <w:r>
        <w:rPr>
          <w:rStyle w:val="518"/>
          <w:rFonts w:hint="eastAsia"/>
          <w:szCs w:val="32"/>
        </w:rPr>
        <w:t> </w:t>
      </w:r>
    </w:p>
    <w:p>
      <w:pPr>
        <w:pStyle w:val="45"/>
        <w:shd w:val="clear" w:color="auto" w:fill="FFFFFF"/>
        <w:spacing w:before="0" w:beforeAutospacing="0" w:after="0" w:afterAutospacing="0" w:line="560" w:lineRule="atLeast"/>
        <w:ind w:firstLine="5440"/>
        <w:jc w:val="right"/>
      </w:pPr>
      <w:r>
        <w:rPr>
          <w:rStyle w:val="518"/>
        </w:rPr>
        <w:t>市场监管总局</w:t>
      </w:r>
    </w:p>
    <w:p>
      <w:pPr>
        <w:pStyle w:val="45"/>
        <w:shd w:val="clear" w:color="auto" w:fill="FFFFFF"/>
        <w:spacing w:before="0" w:beforeAutospacing="0" w:after="0" w:afterAutospacing="0" w:line="560" w:lineRule="atLeast"/>
        <w:ind w:firstLine="5440"/>
        <w:jc w:val="right"/>
      </w:pPr>
      <w:r>
        <w:t>2023年8月10日</w:t>
      </w:r>
    </w:p>
    <w:p>
      <w:pPr>
        <w:pStyle w:val="45"/>
        <w:shd w:val="clear" w:color="auto" w:fill="FFFFFF"/>
        <w:spacing w:before="0" w:beforeAutospacing="0" w:after="0" w:afterAutospacing="0" w:line="594" w:lineRule="atLeast"/>
      </w:pPr>
      <w:r>
        <w:rPr>
          <w:rStyle w:val="518"/>
          <w:sz w:val="44"/>
          <w:szCs w:val="44"/>
        </w:rPr>
        <w:br w:type="page"/>
      </w:r>
      <w:r>
        <w:rPr>
          <w:rFonts w:hint="eastAsia"/>
          <w:szCs w:val="32"/>
        </w:rPr>
        <w:t>附件</w:t>
      </w:r>
      <w:r>
        <w:rPr>
          <w:szCs w:val="32"/>
        </w:rPr>
        <w:t>1</w:t>
      </w:r>
    </w:p>
    <w:p>
      <w:pPr>
        <w:widowControl/>
        <w:shd w:val="clear" w:color="auto" w:fill="FFFFFF"/>
        <w:spacing w:line="594" w:lineRule="atLeast"/>
        <w:jc w:val="center"/>
        <w:rPr>
          <w:rFonts w:ascii="宋体" w:hAnsi="宋体" w:cs="宋体"/>
          <w:kern w:val="0"/>
          <w:sz w:val="24"/>
        </w:rPr>
      </w:pPr>
      <w:r>
        <w:rPr>
          <w:rFonts w:hint="eastAsia" w:ascii="宋体" w:hAnsi="宋体" w:cs="宋体"/>
          <w:kern w:val="0"/>
          <w:sz w:val="44"/>
          <w:szCs w:val="44"/>
        </w:rPr>
        <w:t>强制性产品认证目录</w:t>
      </w:r>
    </w:p>
    <w:tbl>
      <w:tblPr>
        <w:tblStyle w:val="51"/>
        <w:tblW w:w="9498" w:type="dxa"/>
        <w:tblInd w:w="-743" w:type="dxa"/>
        <w:tblLayout w:type="autofit"/>
        <w:tblCellMar>
          <w:top w:w="0" w:type="dxa"/>
          <w:left w:w="0" w:type="dxa"/>
          <w:bottom w:w="0" w:type="dxa"/>
          <w:right w:w="0" w:type="dxa"/>
        </w:tblCellMar>
      </w:tblPr>
      <w:tblGrid>
        <w:gridCol w:w="1560"/>
        <w:gridCol w:w="7938"/>
      </w:tblGrid>
      <w:tr>
        <w:tblPrEx>
          <w:tblCellMar>
            <w:top w:w="0" w:type="dxa"/>
            <w:left w:w="0" w:type="dxa"/>
            <w:bottom w:w="0" w:type="dxa"/>
            <w:right w:w="0" w:type="dxa"/>
          </w:tblCellMar>
        </w:tblPrEx>
        <w:tc>
          <w:tcPr>
            <w:tcW w:w="15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产品大类</w:t>
            </w:r>
          </w:p>
        </w:tc>
        <w:tc>
          <w:tcPr>
            <w:tcW w:w="793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产品种类及代码</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一、电线电缆（3种）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1.电线组件（0101）</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90" w:lineRule="atLeast"/>
              <w:jc w:val="left"/>
              <w:rPr>
                <w:rFonts w:ascii="宋体" w:hAnsi="宋体" w:cs="宋体"/>
                <w:kern w:val="0"/>
                <w:sz w:val="24"/>
              </w:rPr>
            </w:pPr>
            <w:r>
              <w:rPr>
                <w:rFonts w:ascii="宋体" w:hAnsi="宋体"/>
                <w:kern w:val="0"/>
                <w:sz w:val="23"/>
                <w:szCs w:val="23"/>
              </w:rPr>
              <w:t>2.额定电压450/750V及以下橡皮绝缘电线电缆（0104）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3.额定电压450/750V及以下聚氯乙烯绝缘电线电缆（0105）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二、电路开关及保护或连接用电器装置（5种）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4.插头插座（0201）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5.家用和类似用途固定式电气装置的开关（0202）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6.器具耦合器（0204）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7.家用和类似用途固定式电气装置电器附件外壳（0206）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**8.熔断体（0205、0207）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三、低压电器（2种）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**9.低压成套开关设备（0301）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**10.低压元器件（0302、0303、0304、0305、0306、0307、0308、0309）</w:t>
            </w:r>
          </w:p>
        </w:tc>
      </w:tr>
      <w:tr>
        <w:tblPrEx>
          <w:tblCellMar>
            <w:top w:w="0" w:type="dxa"/>
            <w:left w:w="0" w:type="dxa"/>
            <w:bottom w:w="0" w:type="dxa"/>
            <w:right w:w="0" w:type="dxa"/>
          </w:tblCellMar>
        </w:tblPrEx>
        <w:tc>
          <w:tcPr>
            <w:tcW w:w="15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四、小功率电动机（1种）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**11.小功率电动机（0401）</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五、电动工具（3种）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*12.电钻（0501）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*13.电动砂轮机（0503）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*14.电锤（0506）</w:t>
            </w:r>
          </w:p>
        </w:tc>
      </w:tr>
      <w:tr>
        <w:tblPrEx>
          <w:tblCellMar>
            <w:top w:w="0" w:type="dxa"/>
            <w:left w:w="0" w:type="dxa"/>
            <w:bottom w:w="0" w:type="dxa"/>
            <w:right w:w="0" w:type="dxa"/>
          </w:tblCellMar>
        </w:tblPrEx>
        <w:trPr>
          <w:trHeight w:val="335"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六、电焊机（4种）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*15.直流弧焊机（0603）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*16.TIG弧焊机（0604）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*17.MIG/MAG弧焊机（0605）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*18.等离子弧切割机（0607）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七、家用和类似用途</w:t>
            </w:r>
          </w:p>
          <w:p>
            <w:pPr>
              <w:widowControl/>
              <w:spacing w:line="500" w:lineRule="atLeast"/>
              <w:jc w:val="center"/>
              <w:rPr>
                <w:rFonts w:ascii="宋体" w:hAnsi="宋体" w:cs="宋体"/>
                <w:kern w:val="0"/>
                <w:sz w:val="24"/>
              </w:rPr>
            </w:pPr>
            <w:r>
              <w:rPr>
                <w:rFonts w:ascii="宋体" w:hAnsi="宋体"/>
                <w:kern w:val="0"/>
                <w:sz w:val="23"/>
                <w:szCs w:val="23"/>
              </w:rPr>
              <w:t>设备（19种）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19.家用电冰箱和食品冷冻箱（0701）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20.电风扇（0702）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21.空调器（0703）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**22.电动机－压缩机（0704）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23.家用电动洗衣机（0705）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24.电热水器（0706）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25.室内加热器（0707）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26.真空吸尘器（0708）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27.皮肤和毛发护理器具（0709）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28.电熨斗（0710）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29.电磁灶（0711）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30.电烤箱（便携式烤架、面包片烘烤器及类似烹调器具）（0712）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31.电动食品加工器具（食品加工机（厨房机械））（0713）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32.微波炉（0714）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33.电灶、灶台、烤炉和类似器具（驻立式电烤箱、固定式烤架及类似烹调器具）（0715）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34.吸油烟机（0716）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35.液体加热器和</w:t>
            </w:r>
            <w:bookmarkStart w:id="1064" w:name="OLE_LINK211"/>
            <w:bookmarkStart w:id="1065" w:name="OLE_LINK212"/>
            <w:r>
              <w:rPr>
                <w:rFonts w:ascii="宋体" w:hAnsi="宋体"/>
                <w:kern w:val="0"/>
                <w:sz w:val="23"/>
                <w:szCs w:val="23"/>
              </w:rPr>
              <w:t>冷热饮水机</w:t>
            </w:r>
            <w:bookmarkEnd w:id="1064"/>
            <w:bookmarkEnd w:id="1065"/>
            <w:r>
              <w:rPr>
                <w:rFonts w:ascii="宋体" w:hAnsi="宋体"/>
                <w:kern w:val="0"/>
                <w:sz w:val="23"/>
                <w:szCs w:val="23"/>
              </w:rPr>
              <w:t>（0717）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36.电饭锅（0718）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37.电热毯、电热垫及类似柔性发热器具（0719）</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八、电子产品及安全</w:t>
            </w:r>
          </w:p>
          <w:p>
            <w:pPr>
              <w:widowControl/>
              <w:spacing w:line="500" w:lineRule="atLeast"/>
              <w:jc w:val="center"/>
              <w:rPr>
                <w:rFonts w:ascii="宋体" w:hAnsi="宋体" w:cs="宋体"/>
                <w:kern w:val="0"/>
                <w:sz w:val="24"/>
              </w:rPr>
            </w:pPr>
            <w:r>
              <w:rPr>
                <w:rFonts w:ascii="宋体" w:hAnsi="宋体"/>
                <w:kern w:val="0"/>
                <w:sz w:val="23"/>
                <w:szCs w:val="23"/>
              </w:rPr>
              <w:t>附件（13种）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38.各种成像方式的彩色电视接收机、电视机顶盒（0808）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39.微型计算机（0901）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40.便携式计算机（0902）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41.与计算机连用的显示设备（0903）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42.与计算机相连的打印设备（0904）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43.多用途打印复印机（0905）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44.扫描仪（0906）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45.服务器（0911）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46.传真机（1602）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47.移动用户终端（1606）</w:t>
            </w:r>
          </w:p>
        </w:tc>
      </w:tr>
      <w:tr>
        <w:tblPrEx>
          <w:tblCellMar>
            <w:top w:w="0" w:type="dxa"/>
            <w:left w:w="0" w:type="dxa"/>
            <w:bottom w:w="0" w:type="dxa"/>
            <w:right w:w="0" w:type="dxa"/>
          </w:tblCellMar>
        </w:tblPrEx>
        <w:trPr>
          <w:trHeight w:val="192"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192" w:lineRule="atLeast"/>
              <w:jc w:val="left"/>
              <w:rPr>
                <w:rFonts w:ascii="宋体" w:hAnsi="宋体" w:cs="宋体"/>
                <w:kern w:val="0"/>
                <w:sz w:val="24"/>
              </w:rPr>
            </w:pPr>
            <w:r>
              <w:rPr>
                <w:rFonts w:ascii="宋体" w:hAnsi="宋体"/>
                <w:kern w:val="0"/>
                <w:sz w:val="23"/>
                <w:szCs w:val="23"/>
              </w:rPr>
              <w:t>48.电源（0807、0907）</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49.移动电源（0914）</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50.锂离子电池和电池组（0915）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九、照明电器（2种）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51.灯具（1001）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52.镇流器（1002）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十、车辆及安全附件</w:t>
            </w:r>
          </w:p>
          <w:p>
            <w:pPr>
              <w:widowControl/>
              <w:spacing w:line="500" w:lineRule="atLeast"/>
              <w:jc w:val="center"/>
              <w:rPr>
                <w:rFonts w:ascii="宋体" w:hAnsi="宋体" w:cs="宋体"/>
                <w:kern w:val="0"/>
                <w:sz w:val="24"/>
              </w:rPr>
            </w:pPr>
            <w:r>
              <w:rPr>
                <w:rFonts w:ascii="宋体" w:hAnsi="宋体"/>
                <w:kern w:val="0"/>
                <w:sz w:val="23"/>
                <w:szCs w:val="23"/>
              </w:rPr>
              <w:t>（13种）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53.汽车（1101）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54.摩托车（1102）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55.电动自行车（1119）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56.机动车辆轮胎（1201、1202）</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57.摩托车乘员头盔（1105）</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58.汽车用制动器衬片（1120）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**59.汽车安全玻璃（1301）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**60.汽车安全带（1104）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**61.机动车外部照明及光信号装置（1109、1116）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**62.机动车辆间接视野装置（1110、1115）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**63.汽车座椅及座椅头枕（1114）</w:t>
            </w:r>
          </w:p>
        </w:tc>
      </w:tr>
      <w:tr>
        <w:tblPrEx>
          <w:tblCellMar>
            <w:top w:w="0" w:type="dxa"/>
            <w:left w:w="0" w:type="dxa"/>
            <w:bottom w:w="0" w:type="dxa"/>
            <w:right w:w="0" w:type="dxa"/>
          </w:tblCellMar>
        </w:tblPrEx>
        <w:trPr>
          <w:trHeight w:val="299"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**64.汽车行驶记录仪（1117）</w:t>
            </w:r>
          </w:p>
        </w:tc>
      </w:tr>
      <w:tr>
        <w:tblPrEx>
          <w:tblCellMar>
            <w:top w:w="0" w:type="dxa"/>
            <w:left w:w="0" w:type="dxa"/>
            <w:bottom w:w="0" w:type="dxa"/>
            <w:right w:w="0" w:type="dxa"/>
          </w:tblCellMar>
        </w:tblPrEx>
        <w:trPr>
          <w:trHeight w:val="297"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**65.车身反光标识（1118）</w:t>
            </w:r>
          </w:p>
        </w:tc>
      </w:tr>
      <w:tr>
        <w:tblPrEx>
          <w:tblCellMar>
            <w:top w:w="0" w:type="dxa"/>
            <w:left w:w="0" w:type="dxa"/>
            <w:bottom w:w="0" w:type="dxa"/>
            <w:right w:w="0" w:type="dxa"/>
          </w:tblCellMar>
        </w:tblPrEx>
        <w:trPr>
          <w:trHeight w:val="414"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十一、农机产品（2种）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66.植物保护机械（1401）</w:t>
            </w:r>
          </w:p>
        </w:tc>
      </w:tr>
      <w:tr>
        <w:tblPrEx>
          <w:tblCellMar>
            <w:top w:w="0" w:type="dxa"/>
            <w:left w:w="0" w:type="dxa"/>
            <w:bottom w:w="0" w:type="dxa"/>
            <w:right w:w="0" w:type="dxa"/>
          </w:tblCellMar>
        </w:tblPrEx>
        <w:trPr>
          <w:trHeight w:val="428"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67.轮式拖拉机（1402）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十二、消防产品（3种）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68.火灾报警产品（1801）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69.灭火器（1810）</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90" w:lineRule="atLeast"/>
              <w:jc w:val="left"/>
              <w:rPr>
                <w:rFonts w:ascii="宋体" w:hAnsi="宋体" w:cs="宋体"/>
                <w:kern w:val="0"/>
                <w:sz w:val="24"/>
              </w:rPr>
            </w:pPr>
            <w:r>
              <w:rPr>
                <w:rFonts w:ascii="宋体" w:hAnsi="宋体"/>
                <w:kern w:val="0"/>
                <w:sz w:val="23"/>
                <w:szCs w:val="23"/>
              </w:rPr>
              <w:t>70.避难逃生产品（1815）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十三、建材产品（3种）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71.溶剂型木器涂料（2101）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72.瓷质砖（2102）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73.建筑安全玻璃（1302）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十四、儿童用品（3种）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74.童车类产品（2201）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75.玩具（2202）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76.机动车儿童乘员用约束系统（2207）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十五、防爆电气（17种）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77.防爆电机（2301）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78.防爆电泵（2302）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79.防爆配电装置类产品（2303）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80.防爆开关、控制及保护产品（2304）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81.防爆起动器类产品（2305）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82.防爆变压器类产品（2306）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83.防爆电动执行机构、电磁阀类产品（2307）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84.防爆插接装置（2308）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85.防爆监控产品（2309）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86.防爆通讯、信号装置（2310）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87.防爆空调、通风设备（2311）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88.防爆电加热产品（2312）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89.防爆附件、Ex元件（2313）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90.防爆仪器仪表类产品（2314）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91.防爆传感器（2315）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92.安全栅类产品（2316）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93.防爆仪表箱类产品（2317）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十六、家用燃气器具</w:t>
            </w:r>
          </w:p>
          <w:p>
            <w:pPr>
              <w:widowControl/>
              <w:spacing w:line="500" w:lineRule="atLeast"/>
              <w:jc w:val="center"/>
              <w:rPr>
                <w:rFonts w:ascii="宋体" w:hAnsi="宋体" w:cs="宋体"/>
                <w:kern w:val="0"/>
                <w:sz w:val="24"/>
              </w:rPr>
            </w:pPr>
            <w:r>
              <w:rPr>
                <w:rFonts w:ascii="宋体" w:hAnsi="宋体"/>
                <w:kern w:val="0"/>
                <w:sz w:val="23"/>
                <w:szCs w:val="23"/>
              </w:rPr>
              <w:t>（3种）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94.家用燃气灶具（2401）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95.家用燃气快速热水器（2402）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96.燃气采暖热水炉（2403）</w:t>
            </w:r>
          </w:p>
        </w:tc>
      </w:tr>
    </w:tbl>
    <w:p>
      <w:pPr>
        <w:widowControl/>
        <w:shd w:val="clear" w:color="auto" w:fill="FFFFFF"/>
        <w:spacing w:line="500" w:lineRule="atLeast"/>
        <w:jc w:val="left"/>
        <w:rPr>
          <w:rFonts w:ascii="宋体" w:hAnsi="宋体" w:cs="宋体"/>
          <w:kern w:val="0"/>
          <w:sz w:val="24"/>
        </w:rPr>
      </w:pPr>
      <w:r>
        <w:rPr>
          <w:rFonts w:ascii="宋体" w:hAnsi="宋体"/>
          <w:kern w:val="0"/>
          <w:sz w:val="23"/>
          <w:szCs w:val="23"/>
        </w:rPr>
        <w:t>注：强制性产品认证目录共16大类96种产品，具体范围详见《强制性产品认证目录描述与界定表》。其中标记*的7种产品实施自我声明程序A（自选实验室型式试验+自我声明），标记**的12种产品实施自我声明程序B（指定实验室型式试验+自我声明）。</w:t>
      </w:r>
    </w:p>
    <w:p>
      <w:pPr>
        <w:pStyle w:val="45"/>
        <w:shd w:val="clear" w:color="auto" w:fill="FFFFFF"/>
        <w:spacing w:before="0" w:beforeAutospacing="0" w:after="0" w:afterAutospacing="0" w:line="480" w:lineRule="atLeast"/>
        <w:jc w:val="center"/>
      </w:pPr>
    </w:p>
    <w:bookmarkEnd w:id="1062"/>
    <w:bookmarkEnd w:id="1063"/>
    <w:p>
      <w:pPr>
        <w:rPr>
          <w:rFonts w:ascii="宋体" w:hAnsi="宋体"/>
        </w:rPr>
      </w:pPr>
    </w:p>
    <w:p>
      <w:pPr>
        <w:widowControl/>
        <w:spacing w:line="360" w:lineRule="auto"/>
        <w:jc w:val="right"/>
        <w:rPr>
          <w:rFonts w:ascii="宋体" w:hAnsi="宋体" w:cs="宋体"/>
          <w:bCs/>
          <w:sz w:val="24"/>
        </w:rPr>
      </w:pPr>
    </w:p>
    <w:p>
      <w:pPr>
        <w:widowControl/>
        <w:jc w:val="center"/>
        <w:rPr>
          <w:rFonts w:ascii="宋体" w:hAnsi="宋体" w:cs="宋体"/>
          <w:bCs/>
          <w:sz w:val="28"/>
          <w:szCs w:val="28"/>
        </w:rPr>
      </w:pPr>
      <w:r>
        <w:rPr>
          <w:rFonts w:ascii="宋体" w:hAnsi="宋体" w:cs="宋体"/>
          <w:bCs/>
          <w:sz w:val="24"/>
        </w:rPr>
        <w:br w:type="page"/>
      </w:r>
      <w:r>
        <w:rPr>
          <w:rFonts w:hint="eastAsia" w:ascii="宋体" w:hAnsi="宋体" w:cs="宋体"/>
          <w:bCs/>
          <w:sz w:val="28"/>
          <w:szCs w:val="28"/>
        </w:rPr>
        <w:t>商品包装政府采购需求标准（试行）</w:t>
      </w:r>
    </w:p>
    <w:p>
      <w:pPr>
        <w:widowControl/>
        <w:spacing w:line="360" w:lineRule="auto"/>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本标准规定了商品使用的塑料、纸质、木质等包装材料的环保要求。</w:t>
      </w:r>
    </w:p>
    <w:p>
      <w:pPr>
        <w:widowControl/>
        <w:spacing w:line="360" w:lineRule="auto"/>
        <w:jc w:val="left"/>
        <w:rPr>
          <w:rFonts w:ascii="宋体" w:hAnsi="宋体" w:cs="宋体"/>
          <w:bCs/>
          <w:sz w:val="24"/>
        </w:rPr>
      </w:pPr>
      <w:r>
        <w:rPr>
          <w:rFonts w:hint="eastAsia" w:ascii="宋体" w:hAnsi="宋体" w:cs="宋体"/>
          <w:bCs/>
          <w:sz w:val="24"/>
        </w:rPr>
        <w:t>二、商品包装环保要求</w:t>
      </w:r>
    </w:p>
    <w:p>
      <w:pPr>
        <w:widowControl/>
        <w:spacing w:line="360" w:lineRule="auto"/>
        <w:jc w:val="left"/>
        <w:rPr>
          <w:rFonts w:ascii="宋体" w:hAnsi="宋体" w:cs="宋体"/>
          <w:bCs/>
          <w:sz w:val="24"/>
        </w:rPr>
      </w:pPr>
      <w:r>
        <w:rPr>
          <w:rFonts w:hint="eastAsia" w:ascii="宋体" w:hAnsi="宋体" w:cs="宋体"/>
          <w:bCs/>
          <w:sz w:val="24"/>
        </w:rPr>
        <w:t>1.商品包装层数不得超过3层，空隙率不大于40%；</w:t>
      </w:r>
    </w:p>
    <w:p>
      <w:pPr>
        <w:widowControl/>
        <w:spacing w:line="360" w:lineRule="auto"/>
        <w:jc w:val="left"/>
        <w:rPr>
          <w:rFonts w:ascii="宋体" w:hAnsi="宋体" w:cs="宋体"/>
          <w:bCs/>
          <w:sz w:val="24"/>
        </w:rPr>
      </w:pPr>
      <w:r>
        <w:rPr>
          <w:rFonts w:hint="eastAsia" w:ascii="宋体" w:hAnsi="宋体" w:cs="宋体"/>
          <w:bCs/>
          <w:sz w:val="24"/>
        </w:rPr>
        <w:t>2商品包装尽可能使用单一材质的包装材料，如因功能 需求必需使用不同材质，不同材质间应便于分离；</w:t>
      </w:r>
    </w:p>
    <w:p>
      <w:pPr>
        <w:widowControl/>
        <w:spacing w:line="360" w:lineRule="auto"/>
        <w:jc w:val="left"/>
        <w:rPr>
          <w:rFonts w:ascii="宋体" w:hAnsi="宋体" w:cs="宋体"/>
          <w:bCs/>
          <w:sz w:val="24"/>
        </w:rPr>
      </w:pPr>
      <w:r>
        <w:rPr>
          <w:rFonts w:hint="eastAsia" w:ascii="宋体" w:hAnsi="宋体" w:cs="宋体"/>
          <w:bCs/>
          <w:sz w:val="24"/>
        </w:rPr>
        <w:t>3.商品包装中铅、汞、镉、六价铬的总含量应不大于100mg/kg；</w:t>
      </w:r>
    </w:p>
    <w:p>
      <w:pPr>
        <w:widowControl/>
        <w:spacing w:line="360" w:lineRule="auto"/>
        <w:jc w:val="left"/>
        <w:rPr>
          <w:rFonts w:ascii="宋体" w:hAnsi="宋体" w:cs="宋体"/>
          <w:bCs/>
          <w:sz w:val="24"/>
        </w:rPr>
      </w:pPr>
      <w:r>
        <w:rPr>
          <w:rFonts w:hint="eastAsia" w:ascii="宋体" w:hAnsi="宋体" w:cs="宋体"/>
          <w:bCs/>
          <w:sz w:val="24"/>
        </w:rPr>
        <w:t>4.商品包装印刷使用的油墨中挥发性有机化合物(VOCs)含量应不大于5%（以重量计）；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5.塑料材质商品包装上呈现的印刷颜色不得超过6色；</w:t>
      </w:r>
    </w:p>
    <w:p>
      <w:pPr>
        <w:widowControl/>
        <w:spacing w:line="360" w:lineRule="auto"/>
        <w:jc w:val="left"/>
        <w:rPr>
          <w:rFonts w:ascii="宋体" w:hAnsi="宋体" w:cs="宋体"/>
          <w:bCs/>
          <w:sz w:val="24"/>
        </w:rPr>
      </w:pPr>
      <w:r>
        <w:rPr>
          <w:rFonts w:hint="eastAsia" w:ascii="宋体" w:hAnsi="宋体" w:cs="宋体"/>
          <w:bCs/>
          <w:sz w:val="24"/>
        </w:rPr>
        <w:t>6.纸质商品包装应使用75%以上的可再生纤维原料生产；</w:t>
      </w:r>
    </w:p>
    <w:p>
      <w:pPr>
        <w:widowControl/>
        <w:spacing w:line="360" w:lineRule="auto"/>
        <w:jc w:val="left"/>
        <w:rPr>
          <w:rFonts w:ascii="宋体" w:hAnsi="宋体" w:cs="宋体"/>
          <w:bCs/>
          <w:sz w:val="24"/>
        </w:rPr>
      </w:pPr>
      <w:r>
        <w:rPr>
          <w:rFonts w:hint="eastAsia" w:ascii="宋体" w:hAnsi="宋体" w:cs="宋体"/>
          <w:bCs/>
          <w:sz w:val="24"/>
        </w:rPr>
        <w:t>7.木质商品包装的原料应来源于可持续性森林。</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1.商品包装中重金属（铅、汞、镉、六价铬）总量的检 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2.商品包装印刷使用的油墨中挥发性有机化合物(VOCs)的检测按照GB/T 23986-2009《色漆和清漆挥发性有机化合物(VOC)含量的测定气相色谱法》规定的方法进行。</w:t>
      </w:r>
      <w:r>
        <w:rPr>
          <w:rFonts w:ascii="宋体" w:hAnsi="宋体" w:cs="宋体"/>
          <w:bCs/>
          <w:sz w:val="24"/>
        </w:rPr>
        <w:br w:type="page"/>
      </w:r>
    </w:p>
    <w:p>
      <w:pPr>
        <w:widowControl/>
        <w:jc w:val="center"/>
        <w:rPr>
          <w:rFonts w:ascii="宋体" w:hAnsi="宋体" w:cs="宋体"/>
          <w:bCs/>
          <w:sz w:val="28"/>
          <w:szCs w:val="28"/>
        </w:rPr>
      </w:pPr>
      <w:r>
        <w:rPr>
          <w:rFonts w:hint="eastAsia" w:ascii="宋体" w:hAnsi="宋体" w:cs="宋体"/>
          <w:bCs/>
          <w:sz w:val="28"/>
          <w:szCs w:val="28"/>
        </w:rPr>
        <w:t>快递包装政府采购需求标准（试行）</w:t>
      </w:r>
    </w:p>
    <w:p>
      <w:pPr>
        <w:widowControl/>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本标准中的快递包装主要指快递封装材料，包括封套、 胶带、面单、包装袋/箱、填充物、集装袋、周转箱等。</w:t>
      </w:r>
    </w:p>
    <w:p>
      <w:pPr>
        <w:widowControl/>
        <w:spacing w:line="360" w:lineRule="auto"/>
        <w:jc w:val="left"/>
        <w:rPr>
          <w:rFonts w:ascii="宋体" w:hAnsi="宋体" w:cs="宋体"/>
          <w:bCs/>
          <w:sz w:val="24"/>
        </w:rPr>
      </w:pPr>
      <w:r>
        <w:rPr>
          <w:rFonts w:hint="eastAsia" w:ascii="宋体" w:hAnsi="宋体" w:cs="宋体"/>
          <w:bCs/>
          <w:sz w:val="24"/>
        </w:rPr>
        <w:t>二、快递包装环保要求</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1.快递包装中重金属（铅、汞、镉、六价铬）总量应不大于100mg/kg；</w:t>
      </w:r>
    </w:p>
    <w:p>
      <w:pPr>
        <w:widowControl/>
        <w:spacing w:line="360" w:lineRule="auto"/>
        <w:jc w:val="left"/>
        <w:rPr>
          <w:rFonts w:ascii="宋体" w:hAnsi="宋体" w:cs="宋体"/>
          <w:bCs/>
          <w:sz w:val="24"/>
        </w:rPr>
      </w:pPr>
      <w:r>
        <w:rPr>
          <w:rFonts w:hint="eastAsia" w:ascii="宋体" w:hAnsi="宋体" w:cs="宋体"/>
          <w:bCs/>
          <w:sz w:val="24"/>
        </w:rPr>
        <w:t>2.快递包装印刷使用的油墨中不应添加邻苯二甲酸酯，其挥发性有机化合物(VOCs)含量应不大于5%（以重量计）；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3.快递包装中使用纸基材的包装材料，纸基材中的有机氯的含量应不大于150mg/kg；</w:t>
      </w:r>
    </w:p>
    <w:p>
      <w:pPr>
        <w:widowControl/>
        <w:spacing w:line="360" w:lineRule="auto"/>
        <w:jc w:val="left"/>
        <w:rPr>
          <w:rFonts w:ascii="宋体" w:hAnsi="宋体" w:cs="宋体"/>
          <w:bCs/>
          <w:sz w:val="24"/>
        </w:rPr>
      </w:pPr>
      <w:r>
        <w:rPr>
          <w:rFonts w:hint="eastAsia" w:ascii="宋体" w:hAnsi="宋体" w:cs="宋体"/>
          <w:bCs/>
          <w:sz w:val="24"/>
        </w:rPr>
        <w:t>4.快递包装中使用塑料基材的包装材料不得使用邻苯二甲酸二异壬酯、邻苯二甲酸二正辛酯、邻苯二甲酸二(2-乙基)己酯、邻苯二甲酸二异癸酯、邻苯二甲酸丁基苄基酯、邻苯二甲酸二丁酯等作为增塑剂；</w:t>
      </w:r>
    </w:p>
    <w:p>
      <w:pPr>
        <w:widowControl/>
        <w:spacing w:line="360" w:lineRule="auto"/>
        <w:jc w:val="left"/>
        <w:rPr>
          <w:rFonts w:ascii="宋体" w:hAnsi="宋体" w:cs="宋体"/>
          <w:bCs/>
          <w:sz w:val="24"/>
        </w:rPr>
      </w:pPr>
      <w:r>
        <w:rPr>
          <w:rFonts w:hint="eastAsia" w:ascii="宋体" w:hAnsi="宋体" w:cs="宋体"/>
          <w:bCs/>
          <w:sz w:val="24"/>
        </w:rPr>
        <w:t>5.快递中使用的塑料包装袋不得使用聚氯乙烯作为原料，且原料应为单一材质制成，生物分解率大于60%；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6.快递中使用的充气类填充物不得使用聚氯乙烯作为原料，且原料为单一材质制成，生物分解率大于60%；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7.快递中使用的集装袋应为单一材质制成，其重复使用次数应不小于80次；</w:t>
      </w:r>
    </w:p>
    <w:p>
      <w:pPr>
        <w:widowControl/>
        <w:spacing w:line="360" w:lineRule="auto"/>
        <w:jc w:val="left"/>
        <w:rPr>
          <w:rFonts w:ascii="宋体" w:hAnsi="宋体" w:cs="宋体"/>
          <w:bCs/>
          <w:sz w:val="24"/>
        </w:rPr>
      </w:pPr>
      <w:r>
        <w:rPr>
          <w:rFonts w:hint="eastAsia" w:ascii="宋体" w:hAnsi="宋体" w:cs="宋体"/>
          <w:bCs/>
          <w:sz w:val="24"/>
        </w:rPr>
        <w:t>8.快递中应使用幅宽不大于45mm的生物降解胶带；</w:t>
      </w:r>
    </w:p>
    <w:p>
      <w:pPr>
        <w:widowControl/>
        <w:spacing w:line="360" w:lineRule="auto"/>
        <w:jc w:val="left"/>
        <w:rPr>
          <w:rFonts w:ascii="宋体" w:hAnsi="宋体" w:cs="宋体"/>
          <w:bCs/>
          <w:sz w:val="24"/>
        </w:rPr>
      </w:pPr>
      <w:r>
        <w:rPr>
          <w:rFonts w:hint="eastAsia" w:ascii="宋体" w:hAnsi="宋体" w:cs="宋体"/>
          <w:bCs/>
          <w:sz w:val="24"/>
        </w:rPr>
        <w:t>9.快递包装中不得使用溶剂型胶粘剂；</w:t>
      </w:r>
    </w:p>
    <w:p>
      <w:pPr>
        <w:widowControl/>
        <w:spacing w:line="360" w:lineRule="auto"/>
        <w:jc w:val="left"/>
        <w:rPr>
          <w:rFonts w:ascii="宋体" w:hAnsi="宋体" w:cs="宋体"/>
          <w:bCs/>
          <w:sz w:val="24"/>
        </w:rPr>
      </w:pPr>
      <w:r>
        <w:rPr>
          <w:rFonts w:hint="eastAsia" w:ascii="宋体" w:hAnsi="宋体" w:cs="宋体"/>
          <w:bCs/>
          <w:sz w:val="24"/>
        </w:rPr>
        <w:t>10.快递应使用电子面单；</w:t>
      </w:r>
    </w:p>
    <w:p>
      <w:pPr>
        <w:widowControl/>
        <w:spacing w:line="360" w:lineRule="auto"/>
        <w:jc w:val="left"/>
        <w:rPr>
          <w:rFonts w:ascii="宋体" w:hAnsi="宋体" w:cs="宋体"/>
          <w:bCs/>
          <w:sz w:val="24"/>
        </w:rPr>
      </w:pPr>
      <w:r>
        <w:rPr>
          <w:rFonts w:hint="eastAsia" w:ascii="宋体" w:hAnsi="宋体" w:cs="宋体"/>
          <w:bCs/>
          <w:sz w:val="24"/>
        </w:rPr>
        <w:t>11.直接使用商品包装作为快递包装的商品，其商品包装满足《商品包装政府采购需求标准（试行）》即可；</w:t>
      </w:r>
    </w:p>
    <w:p>
      <w:pPr>
        <w:widowControl/>
        <w:spacing w:line="360" w:lineRule="auto"/>
        <w:jc w:val="left"/>
        <w:rPr>
          <w:rFonts w:ascii="宋体" w:hAnsi="宋体" w:cs="宋体"/>
          <w:bCs/>
          <w:sz w:val="24"/>
        </w:rPr>
      </w:pPr>
      <w:r>
        <w:rPr>
          <w:rFonts w:hint="eastAsia" w:ascii="宋体" w:hAnsi="宋体" w:cs="宋体"/>
          <w:bCs/>
          <w:sz w:val="24"/>
        </w:rPr>
        <w:t>12.快递包装产品质量和封装方式应符合相关国家或行 业标准技术指标要求。</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1.快递包装中重金属（铅、汞、镉、六价铬）总量的检测按照GB/T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2.快递包装印刷使用的油墨中挥发性有机化合物(VOCs) 的检测按照GB/T 23986-2009《色漆和清漆挥发性有机化合物(VOC)含量的测定气相色谱法》规定的方法进行。</w:t>
      </w:r>
    </w:p>
    <w:p>
      <w:pPr>
        <w:widowControl/>
        <w:spacing w:line="360" w:lineRule="auto"/>
        <w:jc w:val="left"/>
        <w:rPr>
          <w:rFonts w:ascii="宋体" w:hAnsi="宋体" w:cs="宋体"/>
          <w:bCs/>
          <w:sz w:val="24"/>
        </w:rPr>
      </w:pPr>
      <w:r>
        <w:rPr>
          <w:rFonts w:hint="eastAsia" w:ascii="宋体" w:hAnsi="宋体" w:cs="宋体"/>
          <w:bCs/>
          <w:sz w:val="24"/>
        </w:rPr>
        <w:t>3.快递包装所使用的塑料包装的生物降解率的检测按照GB/T 20197-2006《降解塑料的定义、分类、标识和降解性能要求》规定的方法进行。</w:t>
      </w:r>
    </w:p>
    <w:p>
      <w:pPr>
        <w:widowControl/>
        <w:spacing w:line="360" w:lineRule="auto"/>
        <w:jc w:val="left"/>
        <w:rPr>
          <w:rFonts w:ascii="宋体" w:hAnsi="宋体" w:cs="宋体"/>
          <w:bCs/>
          <w:sz w:val="24"/>
        </w:rPr>
      </w:pPr>
      <w:r>
        <w:rPr>
          <w:rFonts w:hint="eastAsia" w:ascii="宋体" w:hAnsi="宋体" w:cs="宋体"/>
          <w:bCs/>
          <w:sz w:val="24"/>
        </w:rPr>
        <w:t>4.快递包装使用纸基材的包装材料中有机氯的检测按照GB/T 22904-2008《纸浆、纸和纸板总氯和有机氯的检定》规定的方法进行。</w:t>
      </w:r>
    </w:p>
    <w:p>
      <w:pPr>
        <w:widowControl/>
        <w:spacing w:line="360" w:lineRule="auto"/>
        <w:jc w:val="left"/>
        <w:rPr>
          <w:rFonts w:ascii="宋体" w:hAnsi="宋体" w:cs="宋体"/>
          <w:b/>
          <w:bCs/>
          <w:kern w:val="44"/>
          <w:sz w:val="24"/>
        </w:rPr>
      </w:pPr>
      <w:r>
        <w:rPr>
          <w:rFonts w:hint="eastAsia" w:ascii="宋体" w:hAnsi="宋体" w:cs="宋体"/>
          <w:bCs/>
          <w:sz w:val="24"/>
        </w:rPr>
        <w:t>5.快递包装中使用的生物降解胶带的生物降解率的检测按照GB/T19277.1《受控堆肥条件下材料最终需氧生物分解能力的测定采用测定释放的二氧化碳的方法 第 1 部分： 通用方法》规定的方法进行。</w:t>
      </w:r>
    </w:p>
    <w:p>
      <w:pPr>
        <w:widowControl/>
        <w:jc w:val="left"/>
        <w:rPr>
          <w:rFonts w:ascii="宋体" w:hAnsi="宋体" w:cs="仿宋_GB2312"/>
          <w:b/>
          <w:bCs/>
          <w:color w:val="000000" w:themeColor="text1"/>
          <w:kern w:val="0"/>
          <w:sz w:val="24"/>
          <w:szCs w:val="20"/>
          <w:u w:val="single"/>
          <w14:textFill>
            <w14:solidFill>
              <w14:schemeClr w14:val="tx1"/>
            </w14:solidFill>
          </w14:textFill>
        </w:rPr>
      </w:pPr>
    </w:p>
    <w:sectPr>
      <w:pgSz w:w="11907" w:h="16840"/>
      <w:pgMar w:top="1440" w:right="1800" w:bottom="1440" w:left="1800"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B0B68D9-923C-4B89-B33C-424619F0EE7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F32DD5B-9836-448F-99F3-F946FA1D0C92}"/>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C0BB0B02-164E-49F4-8CAD-E57CC0537409}"/>
  </w:font>
  <w:font w:name="Cambria">
    <w:panose1 w:val="02040503050406030204"/>
    <w:charset w:val="00"/>
    <w:family w:val="roman"/>
    <w:pitch w:val="default"/>
    <w:sig w:usb0="E00006FF" w:usb1="420024FF" w:usb2="0200000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Sans Serif">
    <w:altName w:val="Segoe UI Symbol"/>
    <w:panose1 w:val="00000000000000000000"/>
    <w:charset w:val="00"/>
    <w:family w:val="swiss"/>
    <w:pitch w:val="default"/>
    <w:sig w:usb0="00000000" w:usb1="00000000" w:usb2="00000000" w:usb3="00000000" w:csb0="00000001" w:csb1="00000000"/>
  </w:font>
  <w:font w:name="font-weight : 400">
    <w:altName w:val="Noto Sans SC"/>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1" w:usb3="00000000" w:csb0="400001BF" w:csb1="DFF70000"/>
  </w:font>
  <w:font w:name="Candara">
    <w:panose1 w:val="020E0502030303020204"/>
    <w:charset w:val="00"/>
    <w:family w:val="swiss"/>
    <w:pitch w:val="default"/>
    <w:sig w:usb0="A00002EF" w:usb1="4000A44B" w:usb2="00000000" w:usb3="00000000" w:csb0="2000019F" w:csb1="00000000"/>
  </w:font>
  <w:font w:name="Arial-BoldMT">
    <w:altName w:val="Segoe Print"/>
    <w:panose1 w:val="00000000000000000000"/>
    <w:charset w:val="00"/>
    <w:family w:val="auto"/>
    <w:pitch w:val="default"/>
    <w:sig w:usb0="00000000" w:usb1="00000000" w:usb2="00000001" w:usb3="00000000" w:csb0="400001BF" w:csb1="DFF7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embedRegular r:id="rId4" w:fontKey="{84E82F34-5E29-4611-A5BF-BBFFA226D89E}"/>
  </w:font>
  <w:font w:name="仿宋">
    <w:panose1 w:val="02010609060101010101"/>
    <w:charset w:val="86"/>
    <w:family w:val="modern"/>
    <w:pitch w:val="default"/>
    <w:sig w:usb0="800002BF" w:usb1="38CF7CFA" w:usb2="00000016" w:usb3="00000000" w:csb0="00040001" w:csb1="00000000"/>
    <w:embedRegular r:id="rId5" w:fontKey="{9918D592-77DE-424A-B0DD-774C37AC2339}"/>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Noto Sans SC">
    <w:panose1 w:val="020B0200000000000000"/>
    <w:charset w:val="86"/>
    <w:family w:val="auto"/>
    <w:pitch w:val="default"/>
    <w:sig w:usb0="20000083" w:usb1="2ADF3C10" w:usb2="00000016" w:usb3="00000000" w:csb0="60060107"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6"/>
      </w:rPr>
    </w:pPr>
    <w:r>
      <w:rPr>
        <w:rStyle w:val="56"/>
      </w:rPr>
      <w:fldChar w:fldCharType="begin"/>
    </w:r>
    <w:r>
      <w:rPr>
        <w:rStyle w:val="56"/>
      </w:rPr>
      <w:instrText xml:space="preserve">PAGE  </w:instrText>
    </w:r>
    <w:r>
      <w:rPr>
        <w:rStyle w:val="56"/>
      </w:rPr>
      <w:fldChar w:fldCharType="end"/>
    </w:r>
  </w:p>
  <w:p>
    <w:pPr>
      <w:pStyle w:val="32"/>
      <w:ind w:right="360"/>
    </w:pPr>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4565179"/>
    </w:sdtPr>
    <w:sdtContent>
      <w:p>
        <w:pPr>
          <w:pStyle w:val="32"/>
          <w:jc w:val="center"/>
        </w:pPr>
        <w:r>
          <w:fldChar w:fldCharType="begin"/>
        </w:r>
        <w:r>
          <w:instrText xml:space="preserve">PAGE   \* MERGEFORMAT</w:instrText>
        </w:r>
        <w:r>
          <w:fldChar w:fldCharType="separate"/>
        </w:r>
        <w:r>
          <w:rPr>
            <w:lang w:val="zh-CN"/>
          </w:rPr>
          <w:t>1</w:t>
        </w:r>
        <w:r>
          <w:fldChar w:fldCharType="end"/>
        </w:r>
      </w:p>
    </w:sdtContent>
  </w:sdt>
  <w:p>
    <w:pPr>
      <w:pStyle w:val="32"/>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2751890"/>
    </w:sdtPr>
    <w:sdtContent>
      <w:p>
        <w:pPr>
          <w:pStyle w:val="32"/>
          <w:jc w:val="center"/>
        </w:pPr>
        <w:r>
          <w:fldChar w:fldCharType="begin"/>
        </w:r>
        <w:r>
          <w:instrText xml:space="preserve">PAGE   \* MERGEFORMAT</w:instrText>
        </w:r>
        <w:r>
          <w:fldChar w:fldCharType="separate"/>
        </w:r>
        <w:r>
          <w:rPr>
            <w:lang w:val="zh-CN"/>
          </w:rPr>
          <w:t>57</w:t>
        </w:r>
        <w:r>
          <w:fldChar w:fldCharType="end"/>
        </w:r>
      </w:p>
    </w:sdtContent>
  </w:sdt>
  <w:p>
    <w:pPr>
      <w:pStyle w:val="32"/>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jc w:val="left"/>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1">
    <w:nsid w:val="0000000A"/>
    <w:multiLevelType w:val="multilevel"/>
    <w:tmpl w:val="0000000A"/>
    <w:lvl w:ilvl="0" w:tentative="0">
      <w:start w:val="1"/>
      <w:numFmt w:val="decimal"/>
      <w:pStyle w:val="119"/>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194"/>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64"/>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113"/>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2"/>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9"/>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8"/>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7"/>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0"/>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3"/>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1"/>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eastAsia="宋体" w:cs="Times New Roman"/>
        <w:b w:val="0"/>
        <w:color w:val="00000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1.%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
    <w:nsid w:val="0000002F"/>
    <w:multiLevelType w:val="multilevel"/>
    <w:tmpl w:val="0000002F"/>
    <w:lvl w:ilvl="0" w:tentative="0">
      <w:start w:val="1"/>
      <w:numFmt w:val="decimal"/>
      <w:pStyle w:val="118"/>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4F55ADE"/>
    <w:multiLevelType w:val="multilevel"/>
    <w:tmpl w:val="04F55ADE"/>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9">
    <w:nsid w:val="0E230849"/>
    <w:multiLevelType w:val="multilevel"/>
    <w:tmpl w:val="0E230849"/>
    <w:lvl w:ilvl="0" w:tentative="0">
      <w:start w:val="1"/>
      <w:numFmt w:val="decimal"/>
      <w:pStyle w:val="219"/>
      <w:lvlText w:val="%1"/>
      <w:lvlJc w:val="left"/>
      <w:pPr>
        <w:ind w:left="680" w:hanging="680"/>
      </w:pPr>
      <w:rPr>
        <w:rFonts w:hint="eastAsia" w:ascii="宋体" w:hAnsi="宋体" w:eastAsia="宋体"/>
      </w:rPr>
    </w:lvl>
    <w:lvl w:ilvl="1" w:tentative="0">
      <w:start w:val="1"/>
      <w:numFmt w:val="decimal"/>
      <w:pStyle w:val="220"/>
      <w:lvlText w:val="%1.%2"/>
      <w:lvlJc w:val="left"/>
      <w:pPr>
        <w:ind w:left="851" w:hanging="851"/>
      </w:pPr>
      <w:rPr>
        <w:rFonts w:hint="eastAsia" w:ascii="宋体" w:hAnsi="宋体" w:eastAsia="宋体"/>
        <w:color w:val="auto"/>
      </w:rPr>
    </w:lvl>
    <w:lvl w:ilvl="2" w:tentative="0">
      <w:start w:val="1"/>
      <w:numFmt w:val="decimal"/>
      <w:pStyle w:val="221"/>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0">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宋体" w:hAnsi="宋体" w:eastAsia="宋体" w:cs="Times New Roman"/>
        <w:b w:val="0"/>
        <w:sz w:val="24"/>
        <w:szCs w:val="24"/>
      </w:rPr>
    </w:lvl>
    <w:lvl w:ilvl="2" w:tentative="0">
      <w:start w:val="1"/>
      <w:numFmt w:val="decimal"/>
      <w:lvlText w:val="%1.%2.%3"/>
      <w:lvlJc w:val="left"/>
      <w:pPr>
        <w:tabs>
          <w:tab w:val="left" w:pos="1980"/>
        </w:tabs>
        <w:ind w:left="1980" w:hanging="900"/>
      </w:pPr>
      <w:rPr>
        <w:rFonts w:hint="eastAsia" w:asciiTheme="minorEastAsia" w:hAnsiTheme="minorEastAsia" w:eastAsiaTheme="minor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667154C"/>
    <w:multiLevelType w:val="multilevel"/>
    <w:tmpl w:val="1667154C"/>
    <w:lvl w:ilvl="0" w:tentative="0">
      <w:start w:val="1"/>
      <w:numFmt w:val="decimal"/>
      <w:pStyle w:val="356"/>
      <w:lvlText w:val="%1"/>
      <w:lvlJc w:val="left"/>
      <w:pPr>
        <w:tabs>
          <w:tab w:val="left" w:pos="900"/>
        </w:tabs>
        <w:ind w:left="900" w:hanging="900"/>
      </w:pPr>
      <w:rPr>
        <w:rFonts w:hint="eastAsia"/>
      </w:rPr>
    </w:lvl>
    <w:lvl w:ilvl="1" w:tentative="0">
      <w:start w:val="1"/>
      <w:numFmt w:val="decimal"/>
      <w:pStyle w:val="355"/>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pStyle w:val="357"/>
      <w:lvlText w:val="%1.%2.%3"/>
      <w:lvlJc w:val="left"/>
      <w:pPr>
        <w:tabs>
          <w:tab w:val="left" w:pos="1980"/>
        </w:tabs>
        <w:ind w:left="1980" w:hanging="900"/>
      </w:pPr>
      <w:rPr>
        <w:rFonts w:hint="eastAsia"/>
      </w:rPr>
    </w:lvl>
    <w:lvl w:ilvl="3" w:tentative="0">
      <w:start w:val="1"/>
      <w:numFmt w:val="decimal"/>
      <w:lvlText w:val="5.1.2.%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3">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3A3A0617"/>
    <w:multiLevelType w:val="multilevel"/>
    <w:tmpl w:val="3A3A0617"/>
    <w:lvl w:ilvl="0" w:tentative="0">
      <w:start w:val="1"/>
      <w:numFmt w:val="decimal"/>
      <w:lvlText w:val="（%1）"/>
      <w:lvlJc w:val="left"/>
      <w:pPr>
        <w:ind w:left="3065" w:hanging="720"/>
      </w:pPr>
      <w:rPr>
        <w:rFonts w:hint="default"/>
      </w:rPr>
    </w:lvl>
    <w:lvl w:ilvl="1" w:tentative="0">
      <w:start w:val="1"/>
      <w:numFmt w:val="lowerLetter"/>
      <w:lvlText w:val="%2)"/>
      <w:lvlJc w:val="left"/>
      <w:pPr>
        <w:ind w:left="3185" w:hanging="420"/>
      </w:pPr>
    </w:lvl>
    <w:lvl w:ilvl="2" w:tentative="0">
      <w:start w:val="1"/>
      <w:numFmt w:val="lowerRoman"/>
      <w:lvlText w:val="%3."/>
      <w:lvlJc w:val="right"/>
      <w:pPr>
        <w:ind w:left="3605" w:hanging="420"/>
      </w:pPr>
    </w:lvl>
    <w:lvl w:ilvl="3" w:tentative="0">
      <w:start w:val="1"/>
      <w:numFmt w:val="decimal"/>
      <w:lvlText w:val="%4."/>
      <w:lvlJc w:val="left"/>
      <w:pPr>
        <w:ind w:left="4025" w:hanging="420"/>
      </w:pPr>
    </w:lvl>
    <w:lvl w:ilvl="4" w:tentative="0">
      <w:start w:val="1"/>
      <w:numFmt w:val="lowerLetter"/>
      <w:lvlText w:val="%5)"/>
      <w:lvlJc w:val="left"/>
      <w:pPr>
        <w:ind w:left="4445" w:hanging="420"/>
      </w:pPr>
    </w:lvl>
    <w:lvl w:ilvl="5" w:tentative="0">
      <w:start w:val="1"/>
      <w:numFmt w:val="lowerRoman"/>
      <w:lvlText w:val="%6."/>
      <w:lvlJc w:val="right"/>
      <w:pPr>
        <w:ind w:left="4865" w:hanging="420"/>
      </w:pPr>
    </w:lvl>
    <w:lvl w:ilvl="6" w:tentative="0">
      <w:start w:val="1"/>
      <w:numFmt w:val="decimal"/>
      <w:lvlText w:val="%7."/>
      <w:lvlJc w:val="left"/>
      <w:pPr>
        <w:ind w:left="5285" w:hanging="420"/>
      </w:pPr>
    </w:lvl>
    <w:lvl w:ilvl="7" w:tentative="0">
      <w:start w:val="1"/>
      <w:numFmt w:val="lowerLetter"/>
      <w:lvlText w:val="%8)"/>
      <w:lvlJc w:val="left"/>
      <w:pPr>
        <w:ind w:left="5705" w:hanging="420"/>
      </w:pPr>
    </w:lvl>
    <w:lvl w:ilvl="8" w:tentative="0">
      <w:start w:val="1"/>
      <w:numFmt w:val="lowerRoman"/>
      <w:lvlText w:val="%9."/>
      <w:lvlJc w:val="right"/>
      <w:pPr>
        <w:ind w:left="6125" w:hanging="420"/>
      </w:pPr>
    </w:lvl>
  </w:abstractNum>
  <w:abstractNum w:abstractNumId="15">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6">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7">
    <w:nsid w:val="59F6D0D3"/>
    <w:multiLevelType w:val="singleLevel"/>
    <w:tmpl w:val="59F6D0D3"/>
    <w:lvl w:ilvl="0" w:tentative="0">
      <w:start w:val="1"/>
      <w:numFmt w:val="chineseCounting"/>
      <w:suff w:val="nothing"/>
      <w:lvlText w:val="%1、"/>
      <w:lvlJc w:val="left"/>
    </w:lvl>
  </w:abstractNum>
  <w:abstractNum w:abstractNumId="18">
    <w:nsid w:val="6D3B2244"/>
    <w:multiLevelType w:val="singleLevel"/>
    <w:tmpl w:val="6D3B2244"/>
    <w:lvl w:ilvl="0" w:tentative="0">
      <w:start w:val="5"/>
      <w:numFmt w:val="decimal"/>
      <w:suff w:val="nothing"/>
      <w:lvlText w:val="%1．"/>
      <w:lvlJc w:val="left"/>
    </w:lvl>
  </w:abstractNum>
  <w:num w:numId="1">
    <w:abstractNumId w:val="4"/>
  </w:num>
  <w:num w:numId="2">
    <w:abstractNumId w:val="7"/>
  </w:num>
  <w:num w:numId="3">
    <w:abstractNumId w:val="1"/>
  </w:num>
  <w:num w:numId="4">
    <w:abstractNumId w:val="5"/>
  </w:num>
  <w:num w:numId="5">
    <w:abstractNumId w:val="3"/>
  </w:num>
  <w:num w:numId="6">
    <w:abstractNumId w:val="2"/>
  </w:num>
  <w:num w:numId="7">
    <w:abstractNumId w:val="9"/>
  </w:num>
  <w:num w:numId="8">
    <w:abstractNumId w:val="12"/>
  </w:num>
  <w:num w:numId="9">
    <w:abstractNumId w:val="6"/>
  </w:num>
  <w:num w:numId="10">
    <w:abstractNumId w:val="14"/>
  </w:num>
  <w:num w:numId="11">
    <w:abstractNumId w:val="0"/>
  </w:num>
  <w:num w:numId="12">
    <w:abstractNumId w:val="15"/>
  </w:num>
  <w:num w:numId="13">
    <w:abstractNumId w:val="10"/>
  </w:num>
  <w:num w:numId="14">
    <w:abstractNumId w:val="11"/>
  </w:num>
  <w:num w:numId="15">
    <w:abstractNumId w:val="18"/>
  </w:num>
  <w:num w:numId="16">
    <w:abstractNumId w:val="13"/>
  </w:num>
  <w:num w:numId="17">
    <w:abstractNumId w:val="16"/>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mE1MGM0MjI3MGVlZjJlYmY5NDVjMjRhYmY0ZGE5Nz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03"/>
    <w:rsid w:val="000020BD"/>
    <w:rsid w:val="00002147"/>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1"/>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8F8"/>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C7B"/>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2CD"/>
    <w:rsid w:val="000173B8"/>
    <w:rsid w:val="0001745D"/>
    <w:rsid w:val="00017521"/>
    <w:rsid w:val="00017674"/>
    <w:rsid w:val="00017821"/>
    <w:rsid w:val="000178F8"/>
    <w:rsid w:val="00017A16"/>
    <w:rsid w:val="00017A27"/>
    <w:rsid w:val="00017A3B"/>
    <w:rsid w:val="00017A46"/>
    <w:rsid w:val="00017B36"/>
    <w:rsid w:val="00017C5E"/>
    <w:rsid w:val="00020232"/>
    <w:rsid w:val="000203B5"/>
    <w:rsid w:val="00020505"/>
    <w:rsid w:val="00020696"/>
    <w:rsid w:val="0002075C"/>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136"/>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B00"/>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1F99"/>
    <w:rsid w:val="000620CE"/>
    <w:rsid w:val="0006234D"/>
    <w:rsid w:val="00062474"/>
    <w:rsid w:val="0006280B"/>
    <w:rsid w:val="00062854"/>
    <w:rsid w:val="000630BA"/>
    <w:rsid w:val="0006314D"/>
    <w:rsid w:val="0006336F"/>
    <w:rsid w:val="000633D6"/>
    <w:rsid w:val="000634A5"/>
    <w:rsid w:val="000639E6"/>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0DBF"/>
    <w:rsid w:val="0007103D"/>
    <w:rsid w:val="00071223"/>
    <w:rsid w:val="00071356"/>
    <w:rsid w:val="00071D3C"/>
    <w:rsid w:val="00071DF6"/>
    <w:rsid w:val="00071FFA"/>
    <w:rsid w:val="0007206F"/>
    <w:rsid w:val="000720B4"/>
    <w:rsid w:val="0007228D"/>
    <w:rsid w:val="0007233A"/>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CFD"/>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B5"/>
    <w:rsid w:val="00077705"/>
    <w:rsid w:val="000778B7"/>
    <w:rsid w:val="0007790D"/>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5EF"/>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39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86E"/>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3AE"/>
    <w:rsid w:val="000A06D5"/>
    <w:rsid w:val="000A08FB"/>
    <w:rsid w:val="000A0C74"/>
    <w:rsid w:val="000A0CC1"/>
    <w:rsid w:val="000A0CE8"/>
    <w:rsid w:val="000A0CFB"/>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686"/>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3A4"/>
    <w:rsid w:val="000A6A43"/>
    <w:rsid w:val="000A6D69"/>
    <w:rsid w:val="000A6F72"/>
    <w:rsid w:val="000A6F99"/>
    <w:rsid w:val="000A6FE6"/>
    <w:rsid w:val="000A721F"/>
    <w:rsid w:val="000A72E7"/>
    <w:rsid w:val="000A77E9"/>
    <w:rsid w:val="000A79A7"/>
    <w:rsid w:val="000A7ACC"/>
    <w:rsid w:val="000A7D7F"/>
    <w:rsid w:val="000A7EBB"/>
    <w:rsid w:val="000B0123"/>
    <w:rsid w:val="000B0141"/>
    <w:rsid w:val="000B0362"/>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B63"/>
    <w:rsid w:val="000B3FFC"/>
    <w:rsid w:val="000B3FFE"/>
    <w:rsid w:val="000B41ED"/>
    <w:rsid w:val="000B43F5"/>
    <w:rsid w:val="000B43FB"/>
    <w:rsid w:val="000B4569"/>
    <w:rsid w:val="000B45D7"/>
    <w:rsid w:val="000B4721"/>
    <w:rsid w:val="000B4993"/>
    <w:rsid w:val="000B4A43"/>
    <w:rsid w:val="000B4EA9"/>
    <w:rsid w:val="000B4EC2"/>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3FB3"/>
    <w:rsid w:val="000C41AB"/>
    <w:rsid w:val="000C4314"/>
    <w:rsid w:val="000C440E"/>
    <w:rsid w:val="000C463D"/>
    <w:rsid w:val="000C4681"/>
    <w:rsid w:val="000C48A6"/>
    <w:rsid w:val="000C4985"/>
    <w:rsid w:val="000C4C98"/>
    <w:rsid w:val="000C4D5E"/>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3B"/>
    <w:rsid w:val="000C655D"/>
    <w:rsid w:val="000C692E"/>
    <w:rsid w:val="000C69D5"/>
    <w:rsid w:val="000C6D78"/>
    <w:rsid w:val="000C6EBF"/>
    <w:rsid w:val="000C6F06"/>
    <w:rsid w:val="000C6F5F"/>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7C6"/>
    <w:rsid w:val="000D5B64"/>
    <w:rsid w:val="000D5C3A"/>
    <w:rsid w:val="000D5CD1"/>
    <w:rsid w:val="000D6209"/>
    <w:rsid w:val="000D643C"/>
    <w:rsid w:val="000D64DD"/>
    <w:rsid w:val="000D6AEB"/>
    <w:rsid w:val="000D6C0B"/>
    <w:rsid w:val="000D6C2E"/>
    <w:rsid w:val="000D7460"/>
    <w:rsid w:val="000D7971"/>
    <w:rsid w:val="000D79DB"/>
    <w:rsid w:val="000D7D7F"/>
    <w:rsid w:val="000D7D9A"/>
    <w:rsid w:val="000D7E52"/>
    <w:rsid w:val="000D7EEC"/>
    <w:rsid w:val="000E008C"/>
    <w:rsid w:val="000E0249"/>
    <w:rsid w:val="000E06F3"/>
    <w:rsid w:val="000E0865"/>
    <w:rsid w:val="000E0994"/>
    <w:rsid w:val="000E09FF"/>
    <w:rsid w:val="000E0A07"/>
    <w:rsid w:val="000E10BC"/>
    <w:rsid w:val="000E11BF"/>
    <w:rsid w:val="000E1232"/>
    <w:rsid w:val="000E1253"/>
    <w:rsid w:val="000E12D6"/>
    <w:rsid w:val="000E1590"/>
    <w:rsid w:val="000E1859"/>
    <w:rsid w:val="000E1C30"/>
    <w:rsid w:val="000E1CCF"/>
    <w:rsid w:val="000E208B"/>
    <w:rsid w:val="000E2595"/>
    <w:rsid w:val="000E2650"/>
    <w:rsid w:val="000E2824"/>
    <w:rsid w:val="000E2961"/>
    <w:rsid w:val="000E2A71"/>
    <w:rsid w:val="000E2C27"/>
    <w:rsid w:val="000E2CE7"/>
    <w:rsid w:val="000E2D24"/>
    <w:rsid w:val="000E2F58"/>
    <w:rsid w:val="000E2F7A"/>
    <w:rsid w:val="000E321B"/>
    <w:rsid w:val="000E3359"/>
    <w:rsid w:val="000E371C"/>
    <w:rsid w:val="000E37B4"/>
    <w:rsid w:val="000E3C86"/>
    <w:rsid w:val="000E3D59"/>
    <w:rsid w:val="000E3DAC"/>
    <w:rsid w:val="000E3E6F"/>
    <w:rsid w:val="000E401D"/>
    <w:rsid w:val="000E4215"/>
    <w:rsid w:val="000E439E"/>
    <w:rsid w:val="000E4476"/>
    <w:rsid w:val="000E4703"/>
    <w:rsid w:val="000E478F"/>
    <w:rsid w:val="000E48E2"/>
    <w:rsid w:val="000E48F7"/>
    <w:rsid w:val="000E4CBB"/>
    <w:rsid w:val="000E4DCA"/>
    <w:rsid w:val="000E5132"/>
    <w:rsid w:val="000E53E9"/>
    <w:rsid w:val="000E5466"/>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317"/>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52F"/>
    <w:rsid w:val="000F66A1"/>
    <w:rsid w:val="000F67F0"/>
    <w:rsid w:val="000F6921"/>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1EC"/>
    <w:rsid w:val="001104BE"/>
    <w:rsid w:val="001104C4"/>
    <w:rsid w:val="00110517"/>
    <w:rsid w:val="00110661"/>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5ED"/>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77"/>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20D"/>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3E"/>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86"/>
    <w:rsid w:val="00130C9F"/>
    <w:rsid w:val="00130D4E"/>
    <w:rsid w:val="00130DBC"/>
    <w:rsid w:val="00130F26"/>
    <w:rsid w:val="001310F1"/>
    <w:rsid w:val="00131197"/>
    <w:rsid w:val="00131391"/>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CE0"/>
    <w:rsid w:val="00133D72"/>
    <w:rsid w:val="001342F7"/>
    <w:rsid w:val="00134320"/>
    <w:rsid w:val="00134437"/>
    <w:rsid w:val="001344F5"/>
    <w:rsid w:val="0013450B"/>
    <w:rsid w:val="001346A0"/>
    <w:rsid w:val="001348C4"/>
    <w:rsid w:val="00134B36"/>
    <w:rsid w:val="00134DBA"/>
    <w:rsid w:val="00134EFC"/>
    <w:rsid w:val="00134F72"/>
    <w:rsid w:val="00135024"/>
    <w:rsid w:val="001352D6"/>
    <w:rsid w:val="0013565E"/>
    <w:rsid w:val="00135760"/>
    <w:rsid w:val="001359D7"/>
    <w:rsid w:val="00135DD4"/>
    <w:rsid w:val="00135E44"/>
    <w:rsid w:val="0013606C"/>
    <w:rsid w:val="001361CD"/>
    <w:rsid w:val="001361D6"/>
    <w:rsid w:val="0013624E"/>
    <w:rsid w:val="001363BC"/>
    <w:rsid w:val="0013654A"/>
    <w:rsid w:val="00136A38"/>
    <w:rsid w:val="001371D4"/>
    <w:rsid w:val="001371DC"/>
    <w:rsid w:val="001379B7"/>
    <w:rsid w:val="00137A98"/>
    <w:rsid w:val="00137DD9"/>
    <w:rsid w:val="00137F03"/>
    <w:rsid w:val="001400A0"/>
    <w:rsid w:val="001404E9"/>
    <w:rsid w:val="00140656"/>
    <w:rsid w:val="0014097B"/>
    <w:rsid w:val="00140A96"/>
    <w:rsid w:val="00140C98"/>
    <w:rsid w:val="00140CC4"/>
    <w:rsid w:val="00140E02"/>
    <w:rsid w:val="00141657"/>
    <w:rsid w:val="001416C8"/>
    <w:rsid w:val="00141C91"/>
    <w:rsid w:val="00141D25"/>
    <w:rsid w:val="00141DF4"/>
    <w:rsid w:val="00141E33"/>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9AB"/>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CA3"/>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9DB"/>
    <w:rsid w:val="00153B7D"/>
    <w:rsid w:val="00153BC8"/>
    <w:rsid w:val="00153F15"/>
    <w:rsid w:val="00154401"/>
    <w:rsid w:val="001545AD"/>
    <w:rsid w:val="00154682"/>
    <w:rsid w:val="001547F6"/>
    <w:rsid w:val="00154E2A"/>
    <w:rsid w:val="00154E60"/>
    <w:rsid w:val="00155202"/>
    <w:rsid w:val="0015525C"/>
    <w:rsid w:val="0015538F"/>
    <w:rsid w:val="00155434"/>
    <w:rsid w:val="001557D0"/>
    <w:rsid w:val="001564FC"/>
    <w:rsid w:val="00156D28"/>
    <w:rsid w:val="00156D64"/>
    <w:rsid w:val="00156EF9"/>
    <w:rsid w:val="00157375"/>
    <w:rsid w:val="00157500"/>
    <w:rsid w:val="00157721"/>
    <w:rsid w:val="00157952"/>
    <w:rsid w:val="001579D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6D9"/>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5D1A"/>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831"/>
    <w:rsid w:val="001719E1"/>
    <w:rsid w:val="00171BD4"/>
    <w:rsid w:val="00171E69"/>
    <w:rsid w:val="0017203E"/>
    <w:rsid w:val="001721B3"/>
    <w:rsid w:val="001722BA"/>
    <w:rsid w:val="0017234F"/>
    <w:rsid w:val="0017273A"/>
    <w:rsid w:val="00172877"/>
    <w:rsid w:val="00172A27"/>
    <w:rsid w:val="0017305A"/>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4F7"/>
    <w:rsid w:val="00175843"/>
    <w:rsid w:val="001759C5"/>
    <w:rsid w:val="00175AFE"/>
    <w:rsid w:val="00175BBF"/>
    <w:rsid w:val="0017603C"/>
    <w:rsid w:val="00176149"/>
    <w:rsid w:val="0017622F"/>
    <w:rsid w:val="0017623A"/>
    <w:rsid w:val="00176250"/>
    <w:rsid w:val="00176399"/>
    <w:rsid w:val="00176768"/>
    <w:rsid w:val="0017677A"/>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F7B"/>
    <w:rsid w:val="0018115A"/>
    <w:rsid w:val="001813A3"/>
    <w:rsid w:val="001813BA"/>
    <w:rsid w:val="001813BE"/>
    <w:rsid w:val="001813C3"/>
    <w:rsid w:val="00181581"/>
    <w:rsid w:val="00181919"/>
    <w:rsid w:val="00181A20"/>
    <w:rsid w:val="00181C43"/>
    <w:rsid w:val="00181C75"/>
    <w:rsid w:val="00181D48"/>
    <w:rsid w:val="00181D80"/>
    <w:rsid w:val="001822D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1FA"/>
    <w:rsid w:val="0018723C"/>
    <w:rsid w:val="001872B3"/>
    <w:rsid w:val="00187350"/>
    <w:rsid w:val="001874D5"/>
    <w:rsid w:val="00187BD3"/>
    <w:rsid w:val="00187D09"/>
    <w:rsid w:val="00187D47"/>
    <w:rsid w:val="00190143"/>
    <w:rsid w:val="0019015C"/>
    <w:rsid w:val="00190335"/>
    <w:rsid w:val="00190396"/>
    <w:rsid w:val="001907E2"/>
    <w:rsid w:val="00190CEE"/>
    <w:rsid w:val="00190D98"/>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29F"/>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A06"/>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0CBC"/>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1C6"/>
    <w:rsid w:val="001C7330"/>
    <w:rsid w:val="001C7368"/>
    <w:rsid w:val="001C778F"/>
    <w:rsid w:val="001C7909"/>
    <w:rsid w:val="001C7A23"/>
    <w:rsid w:val="001C7A82"/>
    <w:rsid w:val="001C7AE7"/>
    <w:rsid w:val="001C7C91"/>
    <w:rsid w:val="001C7E5E"/>
    <w:rsid w:val="001C7EC8"/>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CBF"/>
    <w:rsid w:val="001D3F50"/>
    <w:rsid w:val="001D4067"/>
    <w:rsid w:val="001D4254"/>
    <w:rsid w:val="001D42B2"/>
    <w:rsid w:val="001D4345"/>
    <w:rsid w:val="001D4529"/>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9EC"/>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A03"/>
    <w:rsid w:val="001E1D1A"/>
    <w:rsid w:val="001E1D45"/>
    <w:rsid w:val="001E1E94"/>
    <w:rsid w:val="001E21AE"/>
    <w:rsid w:val="001E2222"/>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26"/>
    <w:rsid w:val="001E7640"/>
    <w:rsid w:val="001E7815"/>
    <w:rsid w:val="001E78E7"/>
    <w:rsid w:val="001E7962"/>
    <w:rsid w:val="001E7ABB"/>
    <w:rsid w:val="001E7ACA"/>
    <w:rsid w:val="001E7CB2"/>
    <w:rsid w:val="001E7CBF"/>
    <w:rsid w:val="001E7CFD"/>
    <w:rsid w:val="001F00CF"/>
    <w:rsid w:val="001F0106"/>
    <w:rsid w:val="001F02DD"/>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9B3"/>
    <w:rsid w:val="001F39F2"/>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5E44"/>
    <w:rsid w:val="001F6084"/>
    <w:rsid w:val="001F61FB"/>
    <w:rsid w:val="001F6286"/>
    <w:rsid w:val="001F6533"/>
    <w:rsid w:val="001F68EE"/>
    <w:rsid w:val="001F68FD"/>
    <w:rsid w:val="001F6946"/>
    <w:rsid w:val="001F694E"/>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02"/>
    <w:rsid w:val="0020059F"/>
    <w:rsid w:val="002005BB"/>
    <w:rsid w:val="00200769"/>
    <w:rsid w:val="00200896"/>
    <w:rsid w:val="002008C8"/>
    <w:rsid w:val="00200FFD"/>
    <w:rsid w:val="00201195"/>
    <w:rsid w:val="002013FB"/>
    <w:rsid w:val="0020150D"/>
    <w:rsid w:val="00201870"/>
    <w:rsid w:val="002019EA"/>
    <w:rsid w:val="002021B4"/>
    <w:rsid w:val="00202316"/>
    <w:rsid w:val="002023D4"/>
    <w:rsid w:val="0020295D"/>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3FC"/>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2C8"/>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504"/>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3CB"/>
    <w:rsid w:val="0022656B"/>
    <w:rsid w:val="00226831"/>
    <w:rsid w:val="00226AE3"/>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8C"/>
    <w:rsid w:val="002334AF"/>
    <w:rsid w:val="0023385B"/>
    <w:rsid w:val="002339B5"/>
    <w:rsid w:val="00233BE4"/>
    <w:rsid w:val="00233CFD"/>
    <w:rsid w:val="00233DA6"/>
    <w:rsid w:val="00234295"/>
    <w:rsid w:val="00234AA6"/>
    <w:rsid w:val="00234AED"/>
    <w:rsid w:val="00234B77"/>
    <w:rsid w:val="00234BF1"/>
    <w:rsid w:val="00234FFC"/>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D1"/>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2E2"/>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D69"/>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5FD"/>
    <w:rsid w:val="00250604"/>
    <w:rsid w:val="0025066C"/>
    <w:rsid w:val="00250861"/>
    <w:rsid w:val="002509A9"/>
    <w:rsid w:val="0025129E"/>
    <w:rsid w:val="00251429"/>
    <w:rsid w:val="002515FE"/>
    <w:rsid w:val="00251844"/>
    <w:rsid w:val="002518B2"/>
    <w:rsid w:val="00251A07"/>
    <w:rsid w:val="00251B0E"/>
    <w:rsid w:val="00251B30"/>
    <w:rsid w:val="00251D5A"/>
    <w:rsid w:val="00251FDC"/>
    <w:rsid w:val="002522D3"/>
    <w:rsid w:val="0025234D"/>
    <w:rsid w:val="002525FE"/>
    <w:rsid w:val="002527A2"/>
    <w:rsid w:val="002527B3"/>
    <w:rsid w:val="0025298E"/>
    <w:rsid w:val="00252DF4"/>
    <w:rsid w:val="00252E4C"/>
    <w:rsid w:val="00252F1D"/>
    <w:rsid w:val="002531AA"/>
    <w:rsid w:val="002535A1"/>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A"/>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249"/>
    <w:rsid w:val="0025735E"/>
    <w:rsid w:val="00257615"/>
    <w:rsid w:val="0025784D"/>
    <w:rsid w:val="0025796D"/>
    <w:rsid w:val="00257AE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A38"/>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15B"/>
    <w:rsid w:val="00274416"/>
    <w:rsid w:val="002746C7"/>
    <w:rsid w:val="00274816"/>
    <w:rsid w:val="002748DF"/>
    <w:rsid w:val="0027490A"/>
    <w:rsid w:val="00274969"/>
    <w:rsid w:val="00274991"/>
    <w:rsid w:val="00274B8B"/>
    <w:rsid w:val="00274C67"/>
    <w:rsid w:val="00274FAE"/>
    <w:rsid w:val="002751EC"/>
    <w:rsid w:val="0027528F"/>
    <w:rsid w:val="00275316"/>
    <w:rsid w:val="002755A1"/>
    <w:rsid w:val="002756B4"/>
    <w:rsid w:val="00275BC6"/>
    <w:rsid w:val="00275C3F"/>
    <w:rsid w:val="00275D51"/>
    <w:rsid w:val="00275DF0"/>
    <w:rsid w:val="00276115"/>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0E"/>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64"/>
    <w:rsid w:val="00282F4A"/>
    <w:rsid w:val="00283031"/>
    <w:rsid w:val="002832A6"/>
    <w:rsid w:val="002834E4"/>
    <w:rsid w:val="002837B1"/>
    <w:rsid w:val="00283AA1"/>
    <w:rsid w:val="00283C48"/>
    <w:rsid w:val="00283D5E"/>
    <w:rsid w:val="00283E2E"/>
    <w:rsid w:val="00283ED2"/>
    <w:rsid w:val="00283FC0"/>
    <w:rsid w:val="00284483"/>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D22"/>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6B9"/>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D5"/>
    <w:rsid w:val="00292ACA"/>
    <w:rsid w:val="00292D49"/>
    <w:rsid w:val="00292E74"/>
    <w:rsid w:val="00293497"/>
    <w:rsid w:val="00293919"/>
    <w:rsid w:val="002939AF"/>
    <w:rsid w:val="00293A5D"/>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AEB"/>
    <w:rsid w:val="00297B6E"/>
    <w:rsid w:val="00297C57"/>
    <w:rsid w:val="00297D32"/>
    <w:rsid w:val="002A008C"/>
    <w:rsid w:val="002A00A1"/>
    <w:rsid w:val="002A01EE"/>
    <w:rsid w:val="002A0456"/>
    <w:rsid w:val="002A066E"/>
    <w:rsid w:val="002A09EF"/>
    <w:rsid w:val="002A0D46"/>
    <w:rsid w:val="002A0E83"/>
    <w:rsid w:val="002A0F6D"/>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36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80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06B"/>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C5C"/>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7E"/>
    <w:rsid w:val="002D0993"/>
    <w:rsid w:val="002D09CD"/>
    <w:rsid w:val="002D0CA6"/>
    <w:rsid w:val="002D0D29"/>
    <w:rsid w:val="002D0EB2"/>
    <w:rsid w:val="002D1025"/>
    <w:rsid w:val="002D11D6"/>
    <w:rsid w:val="002D11EA"/>
    <w:rsid w:val="002D159C"/>
    <w:rsid w:val="002D19F8"/>
    <w:rsid w:val="002D1A90"/>
    <w:rsid w:val="002D1C06"/>
    <w:rsid w:val="002D1ED9"/>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4"/>
    <w:rsid w:val="002E3880"/>
    <w:rsid w:val="002E397A"/>
    <w:rsid w:val="002E3B9E"/>
    <w:rsid w:val="002E3C7B"/>
    <w:rsid w:val="002E3DDA"/>
    <w:rsid w:val="002E4190"/>
    <w:rsid w:val="002E421F"/>
    <w:rsid w:val="002E4257"/>
    <w:rsid w:val="002E426B"/>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2F90"/>
    <w:rsid w:val="002F3169"/>
    <w:rsid w:val="002F33A6"/>
    <w:rsid w:val="002F33EA"/>
    <w:rsid w:val="002F348E"/>
    <w:rsid w:val="002F350C"/>
    <w:rsid w:val="002F3571"/>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863"/>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07B"/>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664"/>
    <w:rsid w:val="00304758"/>
    <w:rsid w:val="003047BF"/>
    <w:rsid w:val="0030490D"/>
    <w:rsid w:val="00304A48"/>
    <w:rsid w:val="00304AFE"/>
    <w:rsid w:val="00304B8A"/>
    <w:rsid w:val="00304F46"/>
    <w:rsid w:val="003052AB"/>
    <w:rsid w:val="003055B0"/>
    <w:rsid w:val="003055EB"/>
    <w:rsid w:val="00305B2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8F7"/>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083"/>
    <w:rsid w:val="00316210"/>
    <w:rsid w:val="0031639C"/>
    <w:rsid w:val="00316530"/>
    <w:rsid w:val="00316650"/>
    <w:rsid w:val="003167D3"/>
    <w:rsid w:val="00316A43"/>
    <w:rsid w:val="00316A48"/>
    <w:rsid w:val="00316AE9"/>
    <w:rsid w:val="00316B62"/>
    <w:rsid w:val="00316BCD"/>
    <w:rsid w:val="00316CC7"/>
    <w:rsid w:val="00316F85"/>
    <w:rsid w:val="00317263"/>
    <w:rsid w:val="00317339"/>
    <w:rsid w:val="00317343"/>
    <w:rsid w:val="0031737A"/>
    <w:rsid w:val="00317642"/>
    <w:rsid w:val="003179C8"/>
    <w:rsid w:val="00320187"/>
    <w:rsid w:val="00320305"/>
    <w:rsid w:val="003203EF"/>
    <w:rsid w:val="003203F0"/>
    <w:rsid w:val="00320658"/>
    <w:rsid w:val="003207F3"/>
    <w:rsid w:val="00320E72"/>
    <w:rsid w:val="00321322"/>
    <w:rsid w:val="003213AC"/>
    <w:rsid w:val="00321898"/>
    <w:rsid w:val="003219FA"/>
    <w:rsid w:val="00321F0D"/>
    <w:rsid w:val="0032215D"/>
    <w:rsid w:val="00322400"/>
    <w:rsid w:val="00322572"/>
    <w:rsid w:val="0032269F"/>
    <w:rsid w:val="003227CF"/>
    <w:rsid w:val="003227D9"/>
    <w:rsid w:val="003229A5"/>
    <w:rsid w:val="00322AC9"/>
    <w:rsid w:val="00322AE7"/>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E74"/>
    <w:rsid w:val="00325398"/>
    <w:rsid w:val="00325455"/>
    <w:rsid w:val="00325751"/>
    <w:rsid w:val="00325A09"/>
    <w:rsid w:val="00325A44"/>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2"/>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0D39"/>
    <w:rsid w:val="00340DAE"/>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66"/>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D89"/>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765"/>
    <w:rsid w:val="00351986"/>
    <w:rsid w:val="00351F38"/>
    <w:rsid w:val="003520C4"/>
    <w:rsid w:val="00352375"/>
    <w:rsid w:val="003523C1"/>
    <w:rsid w:val="003527E0"/>
    <w:rsid w:val="003527F0"/>
    <w:rsid w:val="0035280A"/>
    <w:rsid w:val="003528AC"/>
    <w:rsid w:val="00352999"/>
    <w:rsid w:val="003529AB"/>
    <w:rsid w:val="00352A4C"/>
    <w:rsid w:val="00352BBB"/>
    <w:rsid w:val="00352C22"/>
    <w:rsid w:val="00352DC3"/>
    <w:rsid w:val="00352DF4"/>
    <w:rsid w:val="00352E5C"/>
    <w:rsid w:val="0035318F"/>
    <w:rsid w:val="003531A5"/>
    <w:rsid w:val="00353263"/>
    <w:rsid w:val="003532EF"/>
    <w:rsid w:val="003533C1"/>
    <w:rsid w:val="00353568"/>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270"/>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CB1"/>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B2C"/>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5F"/>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7F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AF1"/>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A4A"/>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0C"/>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102"/>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3B1"/>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4EB"/>
    <w:rsid w:val="003E281C"/>
    <w:rsid w:val="003E292E"/>
    <w:rsid w:val="003E2A2E"/>
    <w:rsid w:val="003E2B3B"/>
    <w:rsid w:val="003E2B91"/>
    <w:rsid w:val="003E2CD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0A"/>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51"/>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36E"/>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4C80"/>
    <w:rsid w:val="00415122"/>
    <w:rsid w:val="004153BF"/>
    <w:rsid w:val="0041569A"/>
    <w:rsid w:val="00415833"/>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46"/>
    <w:rsid w:val="004263FE"/>
    <w:rsid w:val="004266D1"/>
    <w:rsid w:val="00426707"/>
    <w:rsid w:val="0042670D"/>
    <w:rsid w:val="00426B64"/>
    <w:rsid w:val="00426B70"/>
    <w:rsid w:val="00426D3F"/>
    <w:rsid w:val="00426F88"/>
    <w:rsid w:val="004270A2"/>
    <w:rsid w:val="004272F1"/>
    <w:rsid w:val="00427411"/>
    <w:rsid w:val="004279F1"/>
    <w:rsid w:val="00427BC9"/>
    <w:rsid w:val="00427EB3"/>
    <w:rsid w:val="00430090"/>
    <w:rsid w:val="004300DC"/>
    <w:rsid w:val="004302BA"/>
    <w:rsid w:val="004304C5"/>
    <w:rsid w:val="004304C6"/>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C76"/>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935"/>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5F7"/>
    <w:rsid w:val="004466E4"/>
    <w:rsid w:val="00446AB1"/>
    <w:rsid w:val="00446B58"/>
    <w:rsid w:val="00446C69"/>
    <w:rsid w:val="00446E59"/>
    <w:rsid w:val="004473B1"/>
    <w:rsid w:val="00447477"/>
    <w:rsid w:val="004477E0"/>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05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80"/>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06F"/>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10"/>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55B"/>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B36"/>
    <w:rsid w:val="00472C48"/>
    <w:rsid w:val="00472EB7"/>
    <w:rsid w:val="004730D6"/>
    <w:rsid w:val="00473303"/>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6D87"/>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9D6"/>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D6E"/>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D0"/>
    <w:rsid w:val="00497AF8"/>
    <w:rsid w:val="00497D3E"/>
    <w:rsid w:val="004A039F"/>
    <w:rsid w:val="004A053C"/>
    <w:rsid w:val="004A06C1"/>
    <w:rsid w:val="004A0B5A"/>
    <w:rsid w:val="004A0B66"/>
    <w:rsid w:val="004A0FE8"/>
    <w:rsid w:val="004A1240"/>
    <w:rsid w:val="004A1346"/>
    <w:rsid w:val="004A14E1"/>
    <w:rsid w:val="004A1636"/>
    <w:rsid w:val="004A1C93"/>
    <w:rsid w:val="004A1F90"/>
    <w:rsid w:val="004A24C2"/>
    <w:rsid w:val="004A273A"/>
    <w:rsid w:val="004A2810"/>
    <w:rsid w:val="004A2945"/>
    <w:rsid w:val="004A2C49"/>
    <w:rsid w:val="004A2F9B"/>
    <w:rsid w:val="004A30E8"/>
    <w:rsid w:val="004A35D1"/>
    <w:rsid w:val="004A3719"/>
    <w:rsid w:val="004A3941"/>
    <w:rsid w:val="004A3C45"/>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3CA"/>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1E46"/>
    <w:rsid w:val="004C2112"/>
    <w:rsid w:val="004C2120"/>
    <w:rsid w:val="004C228C"/>
    <w:rsid w:val="004C22D4"/>
    <w:rsid w:val="004C22FC"/>
    <w:rsid w:val="004C2840"/>
    <w:rsid w:val="004C288A"/>
    <w:rsid w:val="004C2F53"/>
    <w:rsid w:val="004C2F6C"/>
    <w:rsid w:val="004C306D"/>
    <w:rsid w:val="004C3211"/>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0DD"/>
    <w:rsid w:val="004C43B8"/>
    <w:rsid w:val="004C486E"/>
    <w:rsid w:val="004C4A2C"/>
    <w:rsid w:val="004C4A30"/>
    <w:rsid w:val="004C4AE7"/>
    <w:rsid w:val="004C4BCC"/>
    <w:rsid w:val="004C4D88"/>
    <w:rsid w:val="004C508A"/>
    <w:rsid w:val="004C50AA"/>
    <w:rsid w:val="004C51EB"/>
    <w:rsid w:val="004C534F"/>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BBE"/>
    <w:rsid w:val="004D4C89"/>
    <w:rsid w:val="004D4F45"/>
    <w:rsid w:val="004D5082"/>
    <w:rsid w:val="004D526C"/>
    <w:rsid w:val="004D52F3"/>
    <w:rsid w:val="004D543A"/>
    <w:rsid w:val="004D5590"/>
    <w:rsid w:val="004D55D0"/>
    <w:rsid w:val="004D57ED"/>
    <w:rsid w:val="004D598D"/>
    <w:rsid w:val="004D5BE8"/>
    <w:rsid w:val="004D5E46"/>
    <w:rsid w:val="004D63B3"/>
    <w:rsid w:val="004D64B2"/>
    <w:rsid w:val="004D66D9"/>
    <w:rsid w:val="004D6765"/>
    <w:rsid w:val="004D679C"/>
    <w:rsid w:val="004D6B60"/>
    <w:rsid w:val="004D6FC1"/>
    <w:rsid w:val="004D7442"/>
    <w:rsid w:val="004D7568"/>
    <w:rsid w:val="004D78AA"/>
    <w:rsid w:val="004D79C6"/>
    <w:rsid w:val="004D7EDE"/>
    <w:rsid w:val="004D7FA6"/>
    <w:rsid w:val="004E00B0"/>
    <w:rsid w:val="004E0180"/>
    <w:rsid w:val="004E0375"/>
    <w:rsid w:val="004E053E"/>
    <w:rsid w:val="004E081B"/>
    <w:rsid w:val="004E091C"/>
    <w:rsid w:val="004E0A30"/>
    <w:rsid w:val="004E0A50"/>
    <w:rsid w:val="004E0D8B"/>
    <w:rsid w:val="004E1045"/>
    <w:rsid w:val="004E10CE"/>
    <w:rsid w:val="004E1201"/>
    <w:rsid w:val="004E16E4"/>
    <w:rsid w:val="004E19C3"/>
    <w:rsid w:val="004E1D7B"/>
    <w:rsid w:val="004E1FF2"/>
    <w:rsid w:val="004E23DA"/>
    <w:rsid w:val="004E257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0CA"/>
    <w:rsid w:val="004F128F"/>
    <w:rsid w:val="004F1420"/>
    <w:rsid w:val="004F15DE"/>
    <w:rsid w:val="004F1A6A"/>
    <w:rsid w:val="004F1DDB"/>
    <w:rsid w:val="004F1F4D"/>
    <w:rsid w:val="004F2217"/>
    <w:rsid w:val="004F22E1"/>
    <w:rsid w:val="004F25F3"/>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B7F"/>
    <w:rsid w:val="004F4FDD"/>
    <w:rsid w:val="004F50AD"/>
    <w:rsid w:val="004F52A0"/>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6AF"/>
    <w:rsid w:val="004F78C8"/>
    <w:rsid w:val="004F79A5"/>
    <w:rsid w:val="004F7A5D"/>
    <w:rsid w:val="004F7B83"/>
    <w:rsid w:val="004F7D30"/>
    <w:rsid w:val="004F7DAE"/>
    <w:rsid w:val="0050023C"/>
    <w:rsid w:val="00500AC9"/>
    <w:rsid w:val="00500DA9"/>
    <w:rsid w:val="00500FA7"/>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B7A"/>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04"/>
    <w:rsid w:val="00507698"/>
    <w:rsid w:val="00507A8B"/>
    <w:rsid w:val="00507CF5"/>
    <w:rsid w:val="00507DD1"/>
    <w:rsid w:val="00507EC6"/>
    <w:rsid w:val="005100D9"/>
    <w:rsid w:val="0051058D"/>
    <w:rsid w:val="0051066B"/>
    <w:rsid w:val="00510766"/>
    <w:rsid w:val="0051082E"/>
    <w:rsid w:val="00510A3A"/>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9B"/>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650"/>
    <w:rsid w:val="00520A8B"/>
    <w:rsid w:val="00521016"/>
    <w:rsid w:val="005210E0"/>
    <w:rsid w:val="0052125C"/>
    <w:rsid w:val="005215D4"/>
    <w:rsid w:val="00521663"/>
    <w:rsid w:val="005217E8"/>
    <w:rsid w:val="00521851"/>
    <w:rsid w:val="0052192E"/>
    <w:rsid w:val="005224FF"/>
    <w:rsid w:val="005226C2"/>
    <w:rsid w:val="0052276E"/>
    <w:rsid w:val="005227C6"/>
    <w:rsid w:val="00522BE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609"/>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1AB"/>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DF4"/>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20"/>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3EB"/>
    <w:rsid w:val="00541555"/>
    <w:rsid w:val="005415DA"/>
    <w:rsid w:val="00541AD3"/>
    <w:rsid w:val="00541B36"/>
    <w:rsid w:val="00541CD1"/>
    <w:rsid w:val="00541DC9"/>
    <w:rsid w:val="00541E06"/>
    <w:rsid w:val="00541FCC"/>
    <w:rsid w:val="00542053"/>
    <w:rsid w:val="0054209A"/>
    <w:rsid w:val="005420E4"/>
    <w:rsid w:val="005421B1"/>
    <w:rsid w:val="00542212"/>
    <w:rsid w:val="005423BB"/>
    <w:rsid w:val="005427D3"/>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A50"/>
    <w:rsid w:val="00544BD5"/>
    <w:rsid w:val="00544E2C"/>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46A"/>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B3"/>
    <w:rsid w:val="005618F1"/>
    <w:rsid w:val="00561AC8"/>
    <w:rsid w:val="00561AD8"/>
    <w:rsid w:val="00561C44"/>
    <w:rsid w:val="00561E31"/>
    <w:rsid w:val="00561FF7"/>
    <w:rsid w:val="005621E4"/>
    <w:rsid w:val="005623E4"/>
    <w:rsid w:val="005624BB"/>
    <w:rsid w:val="0056253B"/>
    <w:rsid w:val="0056256F"/>
    <w:rsid w:val="005627B4"/>
    <w:rsid w:val="005629EA"/>
    <w:rsid w:val="00562B3D"/>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4B"/>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48A"/>
    <w:rsid w:val="005735DF"/>
    <w:rsid w:val="00573815"/>
    <w:rsid w:val="0057393D"/>
    <w:rsid w:val="00573978"/>
    <w:rsid w:val="00573AC3"/>
    <w:rsid w:val="00573E28"/>
    <w:rsid w:val="00573E43"/>
    <w:rsid w:val="005740C0"/>
    <w:rsid w:val="00574280"/>
    <w:rsid w:val="005742E1"/>
    <w:rsid w:val="00574424"/>
    <w:rsid w:val="005744BF"/>
    <w:rsid w:val="0057456B"/>
    <w:rsid w:val="0057495D"/>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D0"/>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4B"/>
    <w:rsid w:val="005818E6"/>
    <w:rsid w:val="00581D8F"/>
    <w:rsid w:val="00581E63"/>
    <w:rsid w:val="00581F59"/>
    <w:rsid w:val="0058203C"/>
    <w:rsid w:val="00582196"/>
    <w:rsid w:val="005825F2"/>
    <w:rsid w:val="005826D5"/>
    <w:rsid w:val="005828E1"/>
    <w:rsid w:val="00582989"/>
    <w:rsid w:val="00582A72"/>
    <w:rsid w:val="00582D1C"/>
    <w:rsid w:val="00582F90"/>
    <w:rsid w:val="00582FAF"/>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21"/>
    <w:rsid w:val="005902D0"/>
    <w:rsid w:val="00590CA4"/>
    <w:rsid w:val="00590CA6"/>
    <w:rsid w:val="00590CB2"/>
    <w:rsid w:val="00590CFA"/>
    <w:rsid w:val="00590F63"/>
    <w:rsid w:val="005915BE"/>
    <w:rsid w:val="005917C0"/>
    <w:rsid w:val="0059195C"/>
    <w:rsid w:val="00591AE2"/>
    <w:rsid w:val="00591CCA"/>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4F3"/>
    <w:rsid w:val="0059389C"/>
    <w:rsid w:val="00593C7C"/>
    <w:rsid w:val="00593D33"/>
    <w:rsid w:val="00594208"/>
    <w:rsid w:val="00594210"/>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0B1"/>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801"/>
    <w:rsid w:val="005A1A4F"/>
    <w:rsid w:val="005A1CD1"/>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726"/>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A12"/>
    <w:rsid w:val="005B0DC3"/>
    <w:rsid w:val="005B0EA7"/>
    <w:rsid w:val="005B11F1"/>
    <w:rsid w:val="005B180E"/>
    <w:rsid w:val="005B1BBF"/>
    <w:rsid w:val="005B1ECB"/>
    <w:rsid w:val="005B20D5"/>
    <w:rsid w:val="005B225B"/>
    <w:rsid w:val="005B2331"/>
    <w:rsid w:val="005B2546"/>
    <w:rsid w:val="005B2DCC"/>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07D"/>
    <w:rsid w:val="005B54AF"/>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AE0"/>
    <w:rsid w:val="005C3BDD"/>
    <w:rsid w:val="005C3F31"/>
    <w:rsid w:val="005C4021"/>
    <w:rsid w:val="005C404B"/>
    <w:rsid w:val="005C4719"/>
    <w:rsid w:val="005C4A16"/>
    <w:rsid w:val="005C4A32"/>
    <w:rsid w:val="005C4B7B"/>
    <w:rsid w:val="005C4BC1"/>
    <w:rsid w:val="005C4D3D"/>
    <w:rsid w:val="005C54D3"/>
    <w:rsid w:val="005C5540"/>
    <w:rsid w:val="005C5719"/>
    <w:rsid w:val="005C5911"/>
    <w:rsid w:val="005C5944"/>
    <w:rsid w:val="005C5A89"/>
    <w:rsid w:val="005C5B2A"/>
    <w:rsid w:val="005C5E5C"/>
    <w:rsid w:val="005C63CC"/>
    <w:rsid w:val="005C65F6"/>
    <w:rsid w:val="005C668A"/>
    <w:rsid w:val="005C6701"/>
    <w:rsid w:val="005C68F2"/>
    <w:rsid w:val="005C6B27"/>
    <w:rsid w:val="005C6B7E"/>
    <w:rsid w:val="005C6BF1"/>
    <w:rsid w:val="005C6FAA"/>
    <w:rsid w:val="005C710E"/>
    <w:rsid w:val="005C7248"/>
    <w:rsid w:val="005C7294"/>
    <w:rsid w:val="005C737F"/>
    <w:rsid w:val="005C7384"/>
    <w:rsid w:val="005C76C6"/>
    <w:rsid w:val="005C7811"/>
    <w:rsid w:val="005C7C45"/>
    <w:rsid w:val="005C7F60"/>
    <w:rsid w:val="005D0079"/>
    <w:rsid w:val="005D02EF"/>
    <w:rsid w:val="005D032D"/>
    <w:rsid w:val="005D0456"/>
    <w:rsid w:val="005D04B0"/>
    <w:rsid w:val="005D0859"/>
    <w:rsid w:val="005D0864"/>
    <w:rsid w:val="005D088A"/>
    <w:rsid w:val="005D10FC"/>
    <w:rsid w:val="005D15F9"/>
    <w:rsid w:val="005D1BD8"/>
    <w:rsid w:val="005D1CE6"/>
    <w:rsid w:val="005D23E7"/>
    <w:rsid w:val="005D24D1"/>
    <w:rsid w:val="005D26F2"/>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0B3"/>
    <w:rsid w:val="005E019B"/>
    <w:rsid w:val="005E0B26"/>
    <w:rsid w:val="005E1749"/>
    <w:rsid w:val="005E1C8A"/>
    <w:rsid w:val="005E1DA5"/>
    <w:rsid w:val="005E222A"/>
    <w:rsid w:val="005E23E1"/>
    <w:rsid w:val="005E291A"/>
    <w:rsid w:val="005E2B37"/>
    <w:rsid w:val="005E33C3"/>
    <w:rsid w:val="005E3406"/>
    <w:rsid w:val="005E3610"/>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028"/>
    <w:rsid w:val="005E6164"/>
    <w:rsid w:val="005E6402"/>
    <w:rsid w:val="005E6430"/>
    <w:rsid w:val="005E6457"/>
    <w:rsid w:val="005E64C2"/>
    <w:rsid w:val="005E6E35"/>
    <w:rsid w:val="005E6EB7"/>
    <w:rsid w:val="005E72AA"/>
    <w:rsid w:val="005E73CA"/>
    <w:rsid w:val="005E74F8"/>
    <w:rsid w:val="005E76B5"/>
    <w:rsid w:val="005E792F"/>
    <w:rsid w:val="005E7E29"/>
    <w:rsid w:val="005F023D"/>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3"/>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ADB"/>
    <w:rsid w:val="005F5B2D"/>
    <w:rsid w:val="005F5ED6"/>
    <w:rsid w:val="005F5FE6"/>
    <w:rsid w:val="005F6159"/>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83"/>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ACA"/>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7E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5FC3"/>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30"/>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0A3"/>
    <w:rsid w:val="006362B2"/>
    <w:rsid w:val="00636440"/>
    <w:rsid w:val="0063653A"/>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292"/>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67D"/>
    <w:rsid w:val="00647849"/>
    <w:rsid w:val="00647B99"/>
    <w:rsid w:val="00647BA9"/>
    <w:rsid w:val="00647D06"/>
    <w:rsid w:val="00647E7B"/>
    <w:rsid w:val="00647ED1"/>
    <w:rsid w:val="00650002"/>
    <w:rsid w:val="006502FC"/>
    <w:rsid w:val="00650441"/>
    <w:rsid w:val="00650683"/>
    <w:rsid w:val="00650A9A"/>
    <w:rsid w:val="00650C4C"/>
    <w:rsid w:val="00650D13"/>
    <w:rsid w:val="00650D42"/>
    <w:rsid w:val="00650F31"/>
    <w:rsid w:val="00651076"/>
    <w:rsid w:val="00651223"/>
    <w:rsid w:val="00651373"/>
    <w:rsid w:val="00651490"/>
    <w:rsid w:val="006514DB"/>
    <w:rsid w:val="0065157A"/>
    <w:rsid w:val="00651918"/>
    <w:rsid w:val="006519BD"/>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201"/>
    <w:rsid w:val="0065577D"/>
    <w:rsid w:val="006559E7"/>
    <w:rsid w:val="00655F67"/>
    <w:rsid w:val="00656011"/>
    <w:rsid w:val="006563B4"/>
    <w:rsid w:val="006567CE"/>
    <w:rsid w:val="00656ACD"/>
    <w:rsid w:val="0065703F"/>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CAA"/>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DB2"/>
    <w:rsid w:val="00683044"/>
    <w:rsid w:val="00683238"/>
    <w:rsid w:val="00683471"/>
    <w:rsid w:val="006834FA"/>
    <w:rsid w:val="006835A5"/>
    <w:rsid w:val="0068374C"/>
    <w:rsid w:val="006839F5"/>
    <w:rsid w:val="00683C9D"/>
    <w:rsid w:val="0068454A"/>
    <w:rsid w:val="006848E3"/>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58"/>
    <w:rsid w:val="00687D9F"/>
    <w:rsid w:val="006901A5"/>
    <w:rsid w:val="006902AC"/>
    <w:rsid w:val="0069030C"/>
    <w:rsid w:val="0069032C"/>
    <w:rsid w:val="00690509"/>
    <w:rsid w:val="00690722"/>
    <w:rsid w:val="00690740"/>
    <w:rsid w:val="00690D91"/>
    <w:rsid w:val="00691377"/>
    <w:rsid w:val="00691490"/>
    <w:rsid w:val="0069155C"/>
    <w:rsid w:val="0069177A"/>
    <w:rsid w:val="006917AE"/>
    <w:rsid w:val="00691B47"/>
    <w:rsid w:val="00691B6D"/>
    <w:rsid w:val="00691DEA"/>
    <w:rsid w:val="00691F17"/>
    <w:rsid w:val="006923E6"/>
    <w:rsid w:val="0069243E"/>
    <w:rsid w:val="00692510"/>
    <w:rsid w:val="006926AB"/>
    <w:rsid w:val="006926D0"/>
    <w:rsid w:val="006926D4"/>
    <w:rsid w:val="006929B9"/>
    <w:rsid w:val="006929F5"/>
    <w:rsid w:val="00692AAD"/>
    <w:rsid w:val="00692B5F"/>
    <w:rsid w:val="00692FB1"/>
    <w:rsid w:val="00693341"/>
    <w:rsid w:val="00693424"/>
    <w:rsid w:val="006934BC"/>
    <w:rsid w:val="0069386D"/>
    <w:rsid w:val="006939B2"/>
    <w:rsid w:val="00693BFA"/>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88F"/>
    <w:rsid w:val="006B29B7"/>
    <w:rsid w:val="006B29C5"/>
    <w:rsid w:val="006B2DC8"/>
    <w:rsid w:val="006B3054"/>
    <w:rsid w:val="006B36B9"/>
    <w:rsid w:val="006B37B0"/>
    <w:rsid w:val="006B3809"/>
    <w:rsid w:val="006B398D"/>
    <w:rsid w:val="006B3B6C"/>
    <w:rsid w:val="006B3D55"/>
    <w:rsid w:val="006B3F75"/>
    <w:rsid w:val="006B4499"/>
    <w:rsid w:val="006B465A"/>
    <w:rsid w:val="006B48A6"/>
    <w:rsid w:val="006B49A8"/>
    <w:rsid w:val="006B4CAE"/>
    <w:rsid w:val="006B4E36"/>
    <w:rsid w:val="006B53C2"/>
    <w:rsid w:val="006B5575"/>
    <w:rsid w:val="006B5619"/>
    <w:rsid w:val="006B5624"/>
    <w:rsid w:val="006B58D8"/>
    <w:rsid w:val="006B5A24"/>
    <w:rsid w:val="006B5BC4"/>
    <w:rsid w:val="006B5CB7"/>
    <w:rsid w:val="006B6074"/>
    <w:rsid w:val="006B61BE"/>
    <w:rsid w:val="006B627F"/>
    <w:rsid w:val="006B63E5"/>
    <w:rsid w:val="006B666A"/>
    <w:rsid w:val="006B67F2"/>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670"/>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CA4"/>
    <w:rsid w:val="006D0E75"/>
    <w:rsid w:val="006D0F2A"/>
    <w:rsid w:val="006D1130"/>
    <w:rsid w:val="006D1201"/>
    <w:rsid w:val="006D15BE"/>
    <w:rsid w:val="006D1725"/>
    <w:rsid w:val="006D191A"/>
    <w:rsid w:val="006D1935"/>
    <w:rsid w:val="006D19C7"/>
    <w:rsid w:val="006D19FF"/>
    <w:rsid w:val="006D1B3B"/>
    <w:rsid w:val="006D1D65"/>
    <w:rsid w:val="006D20DB"/>
    <w:rsid w:val="006D21DA"/>
    <w:rsid w:val="006D2631"/>
    <w:rsid w:val="006D29B4"/>
    <w:rsid w:val="006D2B4E"/>
    <w:rsid w:val="006D2B68"/>
    <w:rsid w:val="006D2EF2"/>
    <w:rsid w:val="006D3042"/>
    <w:rsid w:val="006D30DF"/>
    <w:rsid w:val="006D342A"/>
    <w:rsid w:val="006D34DF"/>
    <w:rsid w:val="006D38A7"/>
    <w:rsid w:val="006D3A97"/>
    <w:rsid w:val="006D3B23"/>
    <w:rsid w:val="006D3BF5"/>
    <w:rsid w:val="006D3CA6"/>
    <w:rsid w:val="006D41B7"/>
    <w:rsid w:val="006D42C5"/>
    <w:rsid w:val="006D455A"/>
    <w:rsid w:val="006D4954"/>
    <w:rsid w:val="006D4A83"/>
    <w:rsid w:val="006D4DD2"/>
    <w:rsid w:val="006D4E72"/>
    <w:rsid w:val="006D4E86"/>
    <w:rsid w:val="006D5150"/>
    <w:rsid w:val="006D5889"/>
    <w:rsid w:val="006D5DE2"/>
    <w:rsid w:val="006D5EB0"/>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62"/>
    <w:rsid w:val="006E209F"/>
    <w:rsid w:val="006E233C"/>
    <w:rsid w:val="006E24AB"/>
    <w:rsid w:val="006E2649"/>
    <w:rsid w:val="006E27AC"/>
    <w:rsid w:val="006E2B6F"/>
    <w:rsid w:val="006E3029"/>
    <w:rsid w:val="006E316F"/>
    <w:rsid w:val="006E3340"/>
    <w:rsid w:val="006E33DD"/>
    <w:rsid w:val="006E361A"/>
    <w:rsid w:val="006E392C"/>
    <w:rsid w:val="006E39A4"/>
    <w:rsid w:val="006E3A24"/>
    <w:rsid w:val="006E3D1B"/>
    <w:rsid w:val="006E3D46"/>
    <w:rsid w:val="006E3E9A"/>
    <w:rsid w:val="006E42A7"/>
    <w:rsid w:val="006E42DE"/>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7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902"/>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0A"/>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EA2"/>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941"/>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7FF"/>
    <w:rsid w:val="00720C4C"/>
    <w:rsid w:val="00720E64"/>
    <w:rsid w:val="00720EED"/>
    <w:rsid w:val="0072110E"/>
    <w:rsid w:val="0072118B"/>
    <w:rsid w:val="007212AB"/>
    <w:rsid w:val="007212F3"/>
    <w:rsid w:val="00721725"/>
    <w:rsid w:val="00721779"/>
    <w:rsid w:val="00721C43"/>
    <w:rsid w:val="00721C65"/>
    <w:rsid w:val="0072231C"/>
    <w:rsid w:val="0072236A"/>
    <w:rsid w:val="00722531"/>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4F94"/>
    <w:rsid w:val="007252FC"/>
    <w:rsid w:val="007253BD"/>
    <w:rsid w:val="00725452"/>
    <w:rsid w:val="00725531"/>
    <w:rsid w:val="00725A67"/>
    <w:rsid w:val="00725AC0"/>
    <w:rsid w:val="00725B37"/>
    <w:rsid w:val="00725B57"/>
    <w:rsid w:val="00725D05"/>
    <w:rsid w:val="00725FA5"/>
    <w:rsid w:val="0072605A"/>
    <w:rsid w:val="00726173"/>
    <w:rsid w:val="007261B7"/>
    <w:rsid w:val="0072638A"/>
    <w:rsid w:val="00726646"/>
    <w:rsid w:val="00726A09"/>
    <w:rsid w:val="00726ACE"/>
    <w:rsid w:val="00726B6E"/>
    <w:rsid w:val="00726D4E"/>
    <w:rsid w:val="00726F74"/>
    <w:rsid w:val="007274EC"/>
    <w:rsid w:val="00727520"/>
    <w:rsid w:val="00727552"/>
    <w:rsid w:val="007279B8"/>
    <w:rsid w:val="007279FC"/>
    <w:rsid w:val="00727AE6"/>
    <w:rsid w:val="00727BEE"/>
    <w:rsid w:val="0073000A"/>
    <w:rsid w:val="007300F6"/>
    <w:rsid w:val="0073016A"/>
    <w:rsid w:val="00730173"/>
    <w:rsid w:val="007301A7"/>
    <w:rsid w:val="00730A14"/>
    <w:rsid w:val="00730BB1"/>
    <w:rsid w:val="00730D35"/>
    <w:rsid w:val="00730DFE"/>
    <w:rsid w:val="00730F0E"/>
    <w:rsid w:val="00730FCE"/>
    <w:rsid w:val="007312F7"/>
    <w:rsid w:val="007313C9"/>
    <w:rsid w:val="00731485"/>
    <w:rsid w:val="007315B1"/>
    <w:rsid w:val="00731615"/>
    <w:rsid w:val="007316A1"/>
    <w:rsid w:val="007319F0"/>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8D"/>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C7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3D4"/>
    <w:rsid w:val="007465E4"/>
    <w:rsid w:val="00746830"/>
    <w:rsid w:val="0074692D"/>
    <w:rsid w:val="00746985"/>
    <w:rsid w:val="00746A6E"/>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3D0"/>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072"/>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386"/>
    <w:rsid w:val="00760816"/>
    <w:rsid w:val="00760C0D"/>
    <w:rsid w:val="00760FB1"/>
    <w:rsid w:val="007612CA"/>
    <w:rsid w:val="00761924"/>
    <w:rsid w:val="00761975"/>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24"/>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901"/>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2ED"/>
    <w:rsid w:val="007723D6"/>
    <w:rsid w:val="00772462"/>
    <w:rsid w:val="0077248E"/>
    <w:rsid w:val="007728B1"/>
    <w:rsid w:val="007729F5"/>
    <w:rsid w:val="00772A24"/>
    <w:rsid w:val="00772A52"/>
    <w:rsid w:val="00772F8D"/>
    <w:rsid w:val="007730B5"/>
    <w:rsid w:val="007733C7"/>
    <w:rsid w:val="007734BB"/>
    <w:rsid w:val="007736AB"/>
    <w:rsid w:val="007738C3"/>
    <w:rsid w:val="00773A62"/>
    <w:rsid w:val="00773C34"/>
    <w:rsid w:val="00773E05"/>
    <w:rsid w:val="00773F38"/>
    <w:rsid w:val="007740DB"/>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625"/>
    <w:rsid w:val="00781860"/>
    <w:rsid w:val="00781AA5"/>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9CD"/>
    <w:rsid w:val="00784C5A"/>
    <w:rsid w:val="00784CBE"/>
    <w:rsid w:val="00784CD4"/>
    <w:rsid w:val="00784F26"/>
    <w:rsid w:val="00784F60"/>
    <w:rsid w:val="0078509D"/>
    <w:rsid w:val="00785759"/>
    <w:rsid w:val="00785B54"/>
    <w:rsid w:val="007860AA"/>
    <w:rsid w:val="0078635D"/>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64"/>
    <w:rsid w:val="00793436"/>
    <w:rsid w:val="00793493"/>
    <w:rsid w:val="0079367E"/>
    <w:rsid w:val="0079376A"/>
    <w:rsid w:val="00793777"/>
    <w:rsid w:val="007939D8"/>
    <w:rsid w:val="00793CAB"/>
    <w:rsid w:val="00793CD1"/>
    <w:rsid w:val="00793CE3"/>
    <w:rsid w:val="00794010"/>
    <w:rsid w:val="0079420C"/>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420"/>
    <w:rsid w:val="007A35C0"/>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1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77"/>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CB0"/>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2E4"/>
    <w:rsid w:val="007B6302"/>
    <w:rsid w:val="007B6428"/>
    <w:rsid w:val="007B6430"/>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A1A"/>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5A4"/>
    <w:rsid w:val="007D06D8"/>
    <w:rsid w:val="007D08BF"/>
    <w:rsid w:val="007D0955"/>
    <w:rsid w:val="007D0EAF"/>
    <w:rsid w:val="007D0F65"/>
    <w:rsid w:val="007D0F9D"/>
    <w:rsid w:val="007D1532"/>
    <w:rsid w:val="007D18E0"/>
    <w:rsid w:val="007D1947"/>
    <w:rsid w:val="007D1A2C"/>
    <w:rsid w:val="007D1DA8"/>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D7D97"/>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1BB"/>
    <w:rsid w:val="007E4740"/>
    <w:rsid w:val="007E4760"/>
    <w:rsid w:val="007E4853"/>
    <w:rsid w:val="007E4AAA"/>
    <w:rsid w:val="007E4F14"/>
    <w:rsid w:val="007E5284"/>
    <w:rsid w:val="007E53A0"/>
    <w:rsid w:val="007E5E24"/>
    <w:rsid w:val="007E5F1A"/>
    <w:rsid w:val="007E60DE"/>
    <w:rsid w:val="007E6261"/>
    <w:rsid w:val="007E63F7"/>
    <w:rsid w:val="007E6448"/>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2B"/>
    <w:rsid w:val="007F3D8E"/>
    <w:rsid w:val="007F3EB7"/>
    <w:rsid w:val="007F3F48"/>
    <w:rsid w:val="007F4162"/>
    <w:rsid w:val="007F4A41"/>
    <w:rsid w:val="007F4AC6"/>
    <w:rsid w:val="007F4B3B"/>
    <w:rsid w:val="007F4B5E"/>
    <w:rsid w:val="007F4DE9"/>
    <w:rsid w:val="007F4E0E"/>
    <w:rsid w:val="007F4E9D"/>
    <w:rsid w:val="007F5150"/>
    <w:rsid w:val="007F51F7"/>
    <w:rsid w:val="007F5834"/>
    <w:rsid w:val="007F5C0C"/>
    <w:rsid w:val="007F5D71"/>
    <w:rsid w:val="007F5FAB"/>
    <w:rsid w:val="007F615C"/>
    <w:rsid w:val="007F67A2"/>
    <w:rsid w:val="007F67A8"/>
    <w:rsid w:val="007F691D"/>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1E"/>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B7C"/>
    <w:rsid w:val="00805C03"/>
    <w:rsid w:val="00805D99"/>
    <w:rsid w:val="0080631D"/>
    <w:rsid w:val="0080668A"/>
    <w:rsid w:val="00806957"/>
    <w:rsid w:val="008069EC"/>
    <w:rsid w:val="00806C4A"/>
    <w:rsid w:val="00806DDE"/>
    <w:rsid w:val="0080721C"/>
    <w:rsid w:val="008073FA"/>
    <w:rsid w:val="00807499"/>
    <w:rsid w:val="00807509"/>
    <w:rsid w:val="00807525"/>
    <w:rsid w:val="008075F7"/>
    <w:rsid w:val="008077D5"/>
    <w:rsid w:val="00807869"/>
    <w:rsid w:val="008078BF"/>
    <w:rsid w:val="00807AD1"/>
    <w:rsid w:val="00807C9A"/>
    <w:rsid w:val="00807CCE"/>
    <w:rsid w:val="00807CF5"/>
    <w:rsid w:val="00807DFC"/>
    <w:rsid w:val="0081011F"/>
    <w:rsid w:val="00810315"/>
    <w:rsid w:val="008103D3"/>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95"/>
    <w:rsid w:val="008117DB"/>
    <w:rsid w:val="00811871"/>
    <w:rsid w:val="00811896"/>
    <w:rsid w:val="00811A93"/>
    <w:rsid w:val="00811B29"/>
    <w:rsid w:val="00811B91"/>
    <w:rsid w:val="00812051"/>
    <w:rsid w:val="0081214D"/>
    <w:rsid w:val="008126DF"/>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7F"/>
    <w:rsid w:val="008164D1"/>
    <w:rsid w:val="0081651B"/>
    <w:rsid w:val="00816528"/>
    <w:rsid w:val="00816541"/>
    <w:rsid w:val="0081683B"/>
    <w:rsid w:val="00816A26"/>
    <w:rsid w:val="00816BFB"/>
    <w:rsid w:val="00816C22"/>
    <w:rsid w:val="00816E17"/>
    <w:rsid w:val="0081721F"/>
    <w:rsid w:val="008172C2"/>
    <w:rsid w:val="0081733D"/>
    <w:rsid w:val="0081746B"/>
    <w:rsid w:val="00817638"/>
    <w:rsid w:val="00817D68"/>
    <w:rsid w:val="00817EEC"/>
    <w:rsid w:val="00820288"/>
    <w:rsid w:val="0082039E"/>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37"/>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40B"/>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27F"/>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AF"/>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5FA"/>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8B6"/>
    <w:rsid w:val="00865B0D"/>
    <w:rsid w:val="00865DF5"/>
    <w:rsid w:val="00865F05"/>
    <w:rsid w:val="00865F0C"/>
    <w:rsid w:val="008661B5"/>
    <w:rsid w:val="008661C7"/>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3C5"/>
    <w:rsid w:val="008727CF"/>
    <w:rsid w:val="008727D4"/>
    <w:rsid w:val="00872A2B"/>
    <w:rsid w:val="00872B33"/>
    <w:rsid w:val="00872CD4"/>
    <w:rsid w:val="00872CD5"/>
    <w:rsid w:val="00872F5A"/>
    <w:rsid w:val="00872FD8"/>
    <w:rsid w:val="0087306A"/>
    <w:rsid w:val="008734F9"/>
    <w:rsid w:val="0087363C"/>
    <w:rsid w:val="0087393E"/>
    <w:rsid w:val="00873AF2"/>
    <w:rsid w:val="00873B8E"/>
    <w:rsid w:val="00873DD8"/>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86C"/>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CC1"/>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1D"/>
    <w:rsid w:val="008861C6"/>
    <w:rsid w:val="0088631A"/>
    <w:rsid w:val="00886671"/>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DF6"/>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D9E"/>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13"/>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598"/>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A67"/>
    <w:rsid w:val="008D4C14"/>
    <w:rsid w:val="008D4C2C"/>
    <w:rsid w:val="008D4D0E"/>
    <w:rsid w:val="008D5435"/>
    <w:rsid w:val="008D57EE"/>
    <w:rsid w:val="008D590C"/>
    <w:rsid w:val="008D5A3E"/>
    <w:rsid w:val="008D5B1F"/>
    <w:rsid w:val="008D5CC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2C"/>
    <w:rsid w:val="008E06D4"/>
    <w:rsid w:val="008E07AB"/>
    <w:rsid w:val="008E07E6"/>
    <w:rsid w:val="008E0855"/>
    <w:rsid w:val="008E099B"/>
    <w:rsid w:val="008E0A61"/>
    <w:rsid w:val="008E0FBB"/>
    <w:rsid w:val="008E1624"/>
    <w:rsid w:val="008E180F"/>
    <w:rsid w:val="008E1970"/>
    <w:rsid w:val="008E1A99"/>
    <w:rsid w:val="008E1D2E"/>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E7B67"/>
    <w:rsid w:val="008E7C50"/>
    <w:rsid w:val="008F0102"/>
    <w:rsid w:val="008F01F5"/>
    <w:rsid w:val="008F053B"/>
    <w:rsid w:val="008F0726"/>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89"/>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58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7A"/>
    <w:rsid w:val="0091609D"/>
    <w:rsid w:val="009160C5"/>
    <w:rsid w:val="0091610E"/>
    <w:rsid w:val="0091667B"/>
    <w:rsid w:val="00916843"/>
    <w:rsid w:val="009168CA"/>
    <w:rsid w:val="009168FB"/>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7"/>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889"/>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3B6"/>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6E35"/>
    <w:rsid w:val="009576B3"/>
    <w:rsid w:val="00957747"/>
    <w:rsid w:val="009578F0"/>
    <w:rsid w:val="00957AE1"/>
    <w:rsid w:val="00957C00"/>
    <w:rsid w:val="00957C4E"/>
    <w:rsid w:val="00957CB5"/>
    <w:rsid w:val="00957EAC"/>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ACE"/>
    <w:rsid w:val="00961E94"/>
    <w:rsid w:val="009620AB"/>
    <w:rsid w:val="009623CA"/>
    <w:rsid w:val="00962995"/>
    <w:rsid w:val="0096299A"/>
    <w:rsid w:val="00962B1A"/>
    <w:rsid w:val="00962B51"/>
    <w:rsid w:val="009632EE"/>
    <w:rsid w:val="009634DD"/>
    <w:rsid w:val="009636E9"/>
    <w:rsid w:val="00963710"/>
    <w:rsid w:val="009637A9"/>
    <w:rsid w:val="009637CF"/>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0E0"/>
    <w:rsid w:val="009723F2"/>
    <w:rsid w:val="009725D1"/>
    <w:rsid w:val="0097285B"/>
    <w:rsid w:val="00972AB4"/>
    <w:rsid w:val="00972D36"/>
    <w:rsid w:val="00973416"/>
    <w:rsid w:val="0097356C"/>
    <w:rsid w:val="009736C3"/>
    <w:rsid w:val="0097397D"/>
    <w:rsid w:val="00973C21"/>
    <w:rsid w:val="00973C4C"/>
    <w:rsid w:val="00973C88"/>
    <w:rsid w:val="0097476F"/>
    <w:rsid w:val="0097481B"/>
    <w:rsid w:val="00974CA4"/>
    <w:rsid w:val="00975051"/>
    <w:rsid w:val="009750EF"/>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B99"/>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4C"/>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1D4"/>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5F5"/>
    <w:rsid w:val="009A5677"/>
    <w:rsid w:val="009A585D"/>
    <w:rsid w:val="009A59E9"/>
    <w:rsid w:val="009A5D2A"/>
    <w:rsid w:val="009A5E2B"/>
    <w:rsid w:val="009A6025"/>
    <w:rsid w:val="009A62D2"/>
    <w:rsid w:val="009A6737"/>
    <w:rsid w:val="009A6B12"/>
    <w:rsid w:val="009A6E3E"/>
    <w:rsid w:val="009A715B"/>
    <w:rsid w:val="009A720E"/>
    <w:rsid w:val="009A72A3"/>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056"/>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70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85F"/>
    <w:rsid w:val="009C692B"/>
    <w:rsid w:val="009C6CAF"/>
    <w:rsid w:val="009C6CBB"/>
    <w:rsid w:val="009C6EF6"/>
    <w:rsid w:val="009C6F46"/>
    <w:rsid w:val="009C71EE"/>
    <w:rsid w:val="009C729D"/>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CA1"/>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6D"/>
    <w:rsid w:val="009D73A2"/>
    <w:rsid w:val="009D74E9"/>
    <w:rsid w:val="009D75B6"/>
    <w:rsid w:val="009D75D6"/>
    <w:rsid w:val="009D765A"/>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39DD"/>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92"/>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4F4"/>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71F"/>
    <w:rsid w:val="00A04A3E"/>
    <w:rsid w:val="00A04C50"/>
    <w:rsid w:val="00A04D47"/>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27"/>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20"/>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75"/>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CDE"/>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05"/>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5F0"/>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51A"/>
    <w:rsid w:val="00A3368C"/>
    <w:rsid w:val="00A33866"/>
    <w:rsid w:val="00A339E7"/>
    <w:rsid w:val="00A340AA"/>
    <w:rsid w:val="00A341B5"/>
    <w:rsid w:val="00A343EF"/>
    <w:rsid w:val="00A3445C"/>
    <w:rsid w:val="00A3463A"/>
    <w:rsid w:val="00A347D1"/>
    <w:rsid w:val="00A34A2A"/>
    <w:rsid w:val="00A34A69"/>
    <w:rsid w:val="00A34B79"/>
    <w:rsid w:val="00A34C23"/>
    <w:rsid w:val="00A34F3B"/>
    <w:rsid w:val="00A350DF"/>
    <w:rsid w:val="00A353E5"/>
    <w:rsid w:val="00A35417"/>
    <w:rsid w:val="00A358FF"/>
    <w:rsid w:val="00A35B60"/>
    <w:rsid w:val="00A35B78"/>
    <w:rsid w:val="00A35FA3"/>
    <w:rsid w:val="00A36296"/>
    <w:rsid w:val="00A3642D"/>
    <w:rsid w:val="00A364B7"/>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CBC"/>
    <w:rsid w:val="00A37E45"/>
    <w:rsid w:val="00A40110"/>
    <w:rsid w:val="00A40172"/>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52"/>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2A7"/>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4F1C"/>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340"/>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6"/>
    <w:rsid w:val="00A7096A"/>
    <w:rsid w:val="00A709FA"/>
    <w:rsid w:val="00A70CD7"/>
    <w:rsid w:val="00A71159"/>
    <w:rsid w:val="00A71168"/>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8CF"/>
    <w:rsid w:val="00A76A95"/>
    <w:rsid w:val="00A76C12"/>
    <w:rsid w:val="00A76C51"/>
    <w:rsid w:val="00A77035"/>
    <w:rsid w:val="00A77136"/>
    <w:rsid w:val="00A77267"/>
    <w:rsid w:val="00A773C6"/>
    <w:rsid w:val="00A775FD"/>
    <w:rsid w:val="00A77784"/>
    <w:rsid w:val="00A77807"/>
    <w:rsid w:val="00A77993"/>
    <w:rsid w:val="00A80272"/>
    <w:rsid w:val="00A80273"/>
    <w:rsid w:val="00A802CE"/>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3A"/>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2D0"/>
    <w:rsid w:val="00A974D5"/>
    <w:rsid w:val="00A97536"/>
    <w:rsid w:val="00A97551"/>
    <w:rsid w:val="00A97581"/>
    <w:rsid w:val="00A9766F"/>
    <w:rsid w:val="00A977C6"/>
    <w:rsid w:val="00A97857"/>
    <w:rsid w:val="00A97A0C"/>
    <w:rsid w:val="00A97E78"/>
    <w:rsid w:val="00A97FF2"/>
    <w:rsid w:val="00AA003E"/>
    <w:rsid w:val="00AA007C"/>
    <w:rsid w:val="00AA00EC"/>
    <w:rsid w:val="00AA02B1"/>
    <w:rsid w:val="00AA0746"/>
    <w:rsid w:val="00AA089A"/>
    <w:rsid w:val="00AA09A4"/>
    <w:rsid w:val="00AA0A27"/>
    <w:rsid w:val="00AA0AA9"/>
    <w:rsid w:val="00AA0C22"/>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5D5"/>
    <w:rsid w:val="00AA36C0"/>
    <w:rsid w:val="00AA3863"/>
    <w:rsid w:val="00AA3896"/>
    <w:rsid w:val="00AA38E2"/>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E66"/>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7B"/>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0B"/>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17"/>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9F3"/>
    <w:rsid w:val="00AC7D08"/>
    <w:rsid w:val="00AC7DAA"/>
    <w:rsid w:val="00AD0099"/>
    <w:rsid w:val="00AD0135"/>
    <w:rsid w:val="00AD06E3"/>
    <w:rsid w:val="00AD0AF2"/>
    <w:rsid w:val="00AD0D6E"/>
    <w:rsid w:val="00AD101C"/>
    <w:rsid w:val="00AD1124"/>
    <w:rsid w:val="00AD1174"/>
    <w:rsid w:val="00AD176A"/>
    <w:rsid w:val="00AD1808"/>
    <w:rsid w:val="00AD19BD"/>
    <w:rsid w:val="00AD1AFF"/>
    <w:rsid w:val="00AD209C"/>
    <w:rsid w:val="00AD235D"/>
    <w:rsid w:val="00AD2668"/>
    <w:rsid w:val="00AD27DC"/>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1"/>
    <w:rsid w:val="00AD7CE7"/>
    <w:rsid w:val="00AD7F1E"/>
    <w:rsid w:val="00AD7F21"/>
    <w:rsid w:val="00AD7F73"/>
    <w:rsid w:val="00AE0298"/>
    <w:rsid w:val="00AE038C"/>
    <w:rsid w:val="00AE047F"/>
    <w:rsid w:val="00AE075D"/>
    <w:rsid w:val="00AE07E7"/>
    <w:rsid w:val="00AE08B3"/>
    <w:rsid w:val="00AE0B6E"/>
    <w:rsid w:val="00AE0C2E"/>
    <w:rsid w:val="00AE0C70"/>
    <w:rsid w:val="00AE0D0A"/>
    <w:rsid w:val="00AE0F81"/>
    <w:rsid w:val="00AE1330"/>
    <w:rsid w:val="00AE1634"/>
    <w:rsid w:val="00AE16FE"/>
    <w:rsid w:val="00AE1733"/>
    <w:rsid w:val="00AE174B"/>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303"/>
    <w:rsid w:val="00AE4703"/>
    <w:rsid w:val="00AE4BF3"/>
    <w:rsid w:val="00AE516D"/>
    <w:rsid w:val="00AE517E"/>
    <w:rsid w:val="00AE5246"/>
    <w:rsid w:val="00AE5292"/>
    <w:rsid w:val="00AE52B4"/>
    <w:rsid w:val="00AE56A2"/>
    <w:rsid w:val="00AE56C7"/>
    <w:rsid w:val="00AE58C5"/>
    <w:rsid w:val="00AE5993"/>
    <w:rsid w:val="00AE5B55"/>
    <w:rsid w:val="00AE5BEE"/>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158"/>
    <w:rsid w:val="00AF0225"/>
    <w:rsid w:val="00AF039B"/>
    <w:rsid w:val="00AF0476"/>
    <w:rsid w:val="00AF0497"/>
    <w:rsid w:val="00AF0508"/>
    <w:rsid w:val="00AF0606"/>
    <w:rsid w:val="00AF067A"/>
    <w:rsid w:val="00AF0924"/>
    <w:rsid w:val="00AF0B8F"/>
    <w:rsid w:val="00AF0C0E"/>
    <w:rsid w:val="00AF0F53"/>
    <w:rsid w:val="00AF15AF"/>
    <w:rsid w:val="00AF1672"/>
    <w:rsid w:val="00AF1A75"/>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61A"/>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4A6"/>
    <w:rsid w:val="00AF7535"/>
    <w:rsid w:val="00AF799C"/>
    <w:rsid w:val="00AF7CE4"/>
    <w:rsid w:val="00B00000"/>
    <w:rsid w:val="00B003EC"/>
    <w:rsid w:val="00B00B19"/>
    <w:rsid w:val="00B00D80"/>
    <w:rsid w:val="00B00F03"/>
    <w:rsid w:val="00B012CC"/>
    <w:rsid w:val="00B0177D"/>
    <w:rsid w:val="00B01857"/>
    <w:rsid w:val="00B01887"/>
    <w:rsid w:val="00B01E07"/>
    <w:rsid w:val="00B0237B"/>
    <w:rsid w:val="00B02530"/>
    <w:rsid w:val="00B02BFB"/>
    <w:rsid w:val="00B030F8"/>
    <w:rsid w:val="00B03106"/>
    <w:rsid w:val="00B03253"/>
    <w:rsid w:val="00B03895"/>
    <w:rsid w:val="00B03904"/>
    <w:rsid w:val="00B03A5D"/>
    <w:rsid w:val="00B03AC9"/>
    <w:rsid w:val="00B03B4C"/>
    <w:rsid w:val="00B03B56"/>
    <w:rsid w:val="00B03B9A"/>
    <w:rsid w:val="00B03BD0"/>
    <w:rsid w:val="00B03EBB"/>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6F4F"/>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7EC"/>
    <w:rsid w:val="00B15897"/>
    <w:rsid w:val="00B159C1"/>
    <w:rsid w:val="00B15A26"/>
    <w:rsid w:val="00B15B78"/>
    <w:rsid w:val="00B15D1D"/>
    <w:rsid w:val="00B162EC"/>
    <w:rsid w:val="00B1636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0B8"/>
    <w:rsid w:val="00B21494"/>
    <w:rsid w:val="00B217EB"/>
    <w:rsid w:val="00B21D08"/>
    <w:rsid w:val="00B21D2C"/>
    <w:rsid w:val="00B21FBF"/>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D6A"/>
    <w:rsid w:val="00B24E0C"/>
    <w:rsid w:val="00B24EB8"/>
    <w:rsid w:val="00B24EE1"/>
    <w:rsid w:val="00B2503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785"/>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5D2"/>
    <w:rsid w:val="00B3261B"/>
    <w:rsid w:val="00B3269A"/>
    <w:rsid w:val="00B32BB0"/>
    <w:rsid w:val="00B33185"/>
    <w:rsid w:val="00B33196"/>
    <w:rsid w:val="00B331B4"/>
    <w:rsid w:val="00B3334F"/>
    <w:rsid w:val="00B333C6"/>
    <w:rsid w:val="00B341E3"/>
    <w:rsid w:val="00B3449D"/>
    <w:rsid w:val="00B34507"/>
    <w:rsid w:val="00B34511"/>
    <w:rsid w:val="00B34768"/>
    <w:rsid w:val="00B34B78"/>
    <w:rsid w:val="00B34BD6"/>
    <w:rsid w:val="00B34D6A"/>
    <w:rsid w:val="00B34F23"/>
    <w:rsid w:val="00B34F3A"/>
    <w:rsid w:val="00B35083"/>
    <w:rsid w:val="00B3518D"/>
    <w:rsid w:val="00B35799"/>
    <w:rsid w:val="00B357D5"/>
    <w:rsid w:val="00B357EA"/>
    <w:rsid w:val="00B35C09"/>
    <w:rsid w:val="00B35FBF"/>
    <w:rsid w:val="00B3614C"/>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BD0"/>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E17"/>
    <w:rsid w:val="00B45F88"/>
    <w:rsid w:val="00B4604D"/>
    <w:rsid w:val="00B46080"/>
    <w:rsid w:val="00B461B6"/>
    <w:rsid w:val="00B463FF"/>
    <w:rsid w:val="00B464EF"/>
    <w:rsid w:val="00B466E4"/>
    <w:rsid w:val="00B4682D"/>
    <w:rsid w:val="00B46989"/>
    <w:rsid w:val="00B46CAE"/>
    <w:rsid w:val="00B46DBA"/>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974"/>
    <w:rsid w:val="00B50AB8"/>
    <w:rsid w:val="00B50B0E"/>
    <w:rsid w:val="00B50C6A"/>
    <w:rsid w:val="00B50C8A"/>
    <w:rsid w:val="00B5149E"/>
    <w:rsid w:val="00B517F8"/>
    <w:rsid w:val="00B5183F"/>
    <w:rsid w:val="00B51979"/>
    <w:rsid w:val="00B51A65"/>
    <w:rsid w:val="00B51A6A"/>
    <w:rsid w:val="00B51C62"/>
    <w:rsid w:val="00B51D3F"/>
    <w:rsid w:val="00B51DBB"/>
    <w:rsid w:val="00B51FF2"/>
    <w:rsid w:val="00B521D0"/>
    <w:rsid w:val="00B5228F"/>
    <w:rsid w:val="00B5233E"/>
    <w:rsid w:val="00B52413"/>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64"/>
    <w:rsid w:val="00B60D77"/>
    <w:rsid w:val="00B61085"/>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932"/>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B3C"/>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166"/>
    <w:rsid w:val="00B742AD"/>
    <w:rsid w:val="00B74331"/>
    <w:rsid w:val="00B7438F"/>
    <w:rsid w:val="00B7450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4F"/>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2E3"/>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96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1C7"/>
    <w:rsid w:val="00BA12C3"/>
    <w:rsid w:val="00BA1432"/>
    <w:rsid w:val="00BA15B9"/>
    <w:rsid w:val="00BA1913"/>
    <w:rsid w:val="00BA198C"/>
    <w:rsid w:val="00BA1A6C"/>
    <w:rsid w:val="00BA1C33"/>
    <w:rsid w:val="00BA1DA0"/>
    <w:rsid w:val="00BA1DF1"/>
    <w:rsid w:val="00BA1F19"/>
    <w:rsid w:val="00BA1FBE"/>
    <w:rsid w:val="00BA23F6"/>
    <w:rsid w:val="00BA242D"/>
    <w:rsid w:val="00BA246A"/>
    <w:rsid w:val="00BA27FC"/>
    <w:rsid w:val="00BA2F00"/>
    <w:rsid w:val="00BA388A"/>
    <w:rsid w:val="00BA3A40"/>
    <w:rsid w:val="00BA3CE6"/>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8B9"/>
    <w:rsid w:val="00BB09BC"/>
    <w:rsid w:val="00BB0A06"/>
    <w:rsid w:val="00BB0B5D"/>
    <w:rsid w:val="00BB0F4D"/>
    <w:rsid w:val="00BB1071"/>
    <w:rsid w:val="00BB108B"/>
    <w:rsid w:val="00BB110B"/>
    <w:rsid w:val="00BB136B"/>
    <w:rsid w:val="00BB13C4"/>
    <w:rsid w:val="00BB14B6"/>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5EB"/>
    <w:rsid w:val="00BB38EA"/>
    <w:rsid w:val="00BB3A15"/>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96E"/>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C8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43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663"/>
    <w:rsid w:val="00BF0784"/>
    <w:rsid w:val="00BF0A9D"/>
    <w:rsid w:val="00BF0DAE"/>
    <w:rsid w:val="00BF10B7"/>
    <w:rsid w:val="00BF114E"/>
    <w:rsid w:val="00BF1401"/>
    <w:rsid w:val="00BF1480"/>
    <w:rsid w:val="00BF1651"/>
    <w:rsid w:val="00BF1A35"/>
    <w:rsid w:val="00BF1BD7"/>
    <w:rsid w:val="00BF1CA3"/>
    <w:rsid w:val="00BF1D73"/>
    <w:rsid w:val="00BF225C"/>
    <w:rsid w:val="00BF2324"/>
    <w:rsid w:val="00BF26BE"/>
    <w:rsid w:val="00BF26C3"/>
    <w:rsid w:val="00BF2803"/>
    <w:rsid w:val="00BF2D63"/>
    <w:rsid w:val="00BF33AD"/>
    <w:rsid w:val="00BF34E7"/>
    <w:rsid w:val="00BF3777"/>
    <w:rsid w:val="00BF3914"/>
    <w:rsid w:val="00BF3A01"/>
    <w:rsid w:val="00BF3BF6"/>
    <w:rsid w:val="00BF3EC6"/>
    <w:rsid w:val="00BF42BD"/>
    <w:rsid w:val="00BF48F4"/>
    <w:rsid w:val="00BF492C"/>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6C2E"/>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070"/>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A88"/>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BF"/>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12"/>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03"/>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DB0"/>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B6"/>
    <w:rsid w:val="00C30DE6"/>
    <w:rsid w:val="00C31173"/>
    <w:rsid w:val="00C312DF"/>
    <w:rsid w:val="00C3141B"/>
    <w:rsid w:val="00C31501"/>
    <w:rsid w:val="00C315AB"/>
    <w:rsid w:val="00C316DD"/>
    <w:rsid w:val="00C31DE7"/>
    <w:rsid w:val="00C31E10"/>
    <w:rsid w:val="00C320B7"/>
    <w:rsid w:val="00C32243"/>
    <w:rsid w:val="00C322C4"/>
    <w:rsid w:val="00C322D1"/>
    <w:rsid w:val="00C3252A"/>
    <w:rsid w:val="00C32539"/>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633"/>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5"/>
    <w:rsid w:val="00C37397"/>
    <w:rsid w:val="00C3743B"/>
    <w:rsid w:val="00C374D6"/>
    <w:rsid w:val="00C37618"/>
    <w:rsid w:val="00C37689"/>
    <w:rsid w:val="00C37AB4"/>
    <w:rsid w:val="00C37C3A"/>
    <w:rsid w:val="00C37D11"/>
    <w:rsid w:val="00C37D38"/>
    <w:rsid w:val="00C37FED"/>
    <w:rsid w:val="00C406A2"/>
    <w:rsid w:val="00C407D8"/>
    <w:rsid w:val="00C40A33"/>
    <w:rsid w:val="00C40B04"/>
    <w:rsid w:val="00C40C5C"/>
    <w:rsid w:val="00C40E4D"/>
    <w:rsid w:val="00C40E78"/>
    <w:rsid w:val="00C412CD"/>
    <w:rsid w:val="00C41407"/>
    <w:rsid w:val="00C41557"/>
    <w:rsid w:val="00C41A77"/>
    <w:rsid w:val="00C41F9B"/>
    <w:rsid w:val="00C42023"/>
    <w:rsid w:val="00C429B4"/>
    <w:rsid w:val="00C42A62"/>
    <w:rsid w:val="00C42B80"/>
    <w:rsid w:val="00C430C6"/>
    <w:rsid w:val="00C43ADE"/>
    <w:rsid w:val="00C445BE"/>
    <w:rsid w:val="00C44609"/>
    <w:rsid w:val="00C44C6E"/>
    <w:rsid w:val="00C452D9"/>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902"/>
    <w:rsid w:val="00C47A6F"/>
    <w:rsid w:val="00C47D3C"/>
    <w:rsid w:val="00C47D7C"/>
    <w:rsid w:val="00C47F39"/>
    <w:rsid w:val="00C47FE6"/>
    <w:rsid w:val="00C50321"/>
    <w:rsid w:val="00C50C64"/>
    <w:rsid w:val="00C510DD"/>
    <w:rsid w:val="00C511E3"/>
    <w:rsid w:val="00C517F3"/>
    <w:rsid w:val="00C51E31"/>
    <w:rsid w:val="00C51E7E"/>
    <w:rsid w:val="00C52399"/>
    <w:rsid w:val="00C5258C"/>
    <w:rsid w:val="00C525DD"/>
    <w:rsid w:val="00C525F4"/>
    <w:rsid w:val="00C52734"/>
    <w:rsid w:val="00C5277F"/>
    <w:rsid w:val="00C527E5"/>
    <w:rsid w:val="00C52A62"/>
    <w:rsid w:val="00C52A68"/>
    <w:rsid w:val="00C52ABC"/>
    <w:rsid w:val="00C52B20"/>
    <w:rsid w:val="00C52D1E"/>
    <w:rsid w:val="00C52E02"/>
    <w:rsid w:val="00C52E6C"/>
    <w:rsid w:val="00C52E79"/>
    <w:rsid w:val="00C53276"/>
    <w:rsid w:val="00C534AD"/>
    <w:rsid w:val="00C53669"/>
    <w:rsid w:val="00C536D8"/>
    <w:rsid w:val="00C53937"/>
    <w:rsid w:val="00C53963"/>
    <w:rsid w:val="00C53BD5"/>
    <w:rsid w:val="00C53D90"/>
    <w:rsid w:val="00C53DD8"/>
    <w:rsid w:val="00C53ECF"/>
    <w:rsid w:val="00C54172"/>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E71"/>
    <w:rsid w:val="00C5707C"/>
    <w:rsid w:val="00C572B3"/>
    <w:rsid w:val="00C5738D"/>
    <w:rsid w:val="00C575DB"/>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2A3"/>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C5D"/>
    <w:rsid w:val="00C65E23"/>
    <w:rsid w:val="00C65EA3"/>
    <w:rsid w:val="00C65FC0"/>
    <w:rsid w:val="00C65FCA"/>
    <w:rsid w:val="00C6609F"/>
    <w:rsid w:val="00C6633B"/>
    <w:rsid w:val="00C6681D"/>
    <w:rsid w:val="00C6688C"/>
    <w:rsid w:val="00C66B29"/>
    <w:rsid w:val="00C66EEF"/>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AE2"/>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B25"/>
    <w:rsid w:val="00C74CEC"/>
    <w:rsid w:val="00C74EBE"/>
    <w:rsid w:val="00C751DF"/>
    <w:rsid w:val="00C753CF"/>
    <w:rsid w:val="00C75555"/>
    <w:rsid w:val="00C75657"/>
    <w:rsid w:val="00C75765"/>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71"/>
    <w:rsid w:val="00C77EAA"/>
    <w:rsid w:val="00C80530"/>
    <w:rsid w:val="00C8053D"/>
    <w:rsid w:val="00C805B9"/>
    <w:rsid w:val="00C80612"/>
    <w:rsid w:val="00C80766"/>
    <w:rsid w:val="00C808B7"/>
    <w:rsid w:val="00C80A18"/>
    <w:rsid w:val="00C80A98"/>
    <w:rsid w:val="00C80DE5"/>
    <w:rsid w:val="00C8116B"/>
    <w:rsid w:val="00C813CD"/>
    <w:rsid w:val="00C81487"/>
    <w:rsid w:val="00C81E70"/>
    <w:rsid w:val="00C81F7F"/>
    <w:rsid w:val="00C8207F"/>
    <w:rsid w:val="00C8272D"/>
    <w:rsid w:val="00C82922"/>
    <w:rsid w:val="00C82968"/>
    <w:rsid w:val="00C82CCB"/>
    <w:rsid w:val="00C830FA"/>
    <w:rsid w:val="00C831B6"/>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BC1"/>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7E5"/>
    <w:rsid w:val="00C90C3F"/>
    <w:rsid w:val="00C90CE6"/>
    <w:rsid w:val="00C90F22"/>
    <w:rsid w:val="00C90F28"/>
    <w:rsid w:val="00C90FEE"/>
    <w:rsid w:val="00C9112C"/>
    <w:rsid w:val="00C9116D"/>
    <w:rsid w:val="00C911DB"/>
    <w:rsid w:val="00C91A57"/>
    <w:rsid w:val="00C91B20"/>
    <w:rsid w:val="00C91C40"/>
    <w:rsid w:val="00C91D9C"/>
    <w:rsid w:val="00C91EFF"/>
    <w:rsid w:val="00C92143"/>
    <w:rsid w:val="00C92173"/>
    <w:rsid w:val="00C921CC"/>
    <w:rsid w:val="00C923BD"/>
    <w:rsid w:val="00C92584"/>
    <w:rsid w:val="00C92928"/>
    <w:rsid w:val="00C929FE"/>
    <w:rsid w:val="00C92AB4"/>
    <w:rsid w:val="00C92B19"/>
    <w:rsid w:val="00C92E1B"/>
    <w:rsid w:val="00C93049"/>
    <w:rsid w:val="00C93472"/>
    <w:rsid w:val="00C934C9"/>
    <w:rsid w:val="00C93744"/>
    <w:rsid w:val="00C9379C"/>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CDC"/>
    <w:rsid w:val="00C95DEE"/>
    <w:rsid w:val="00C95FD6"/>
    <w:rsid w:val="00C960C8"/>
    <w:rsid w:val="00C962B9"/>
    <w:rsid w:val="00C96474"/>
    <w:rsid w:val="00C9680C"/>
    <w:rsid w:val="00C96948"/>
    <w:rsid w:val="00C96958"/>
    <w:rsid w:val="00C96B52"/>
    <w:rsid w:val="00C96BD7"/>
    <w:rsid w:val="00C96D40"/>
    <w:rsid w:val="00C96DB6"/>
    <w:rsid w:val="00C96FA7"/>
    <w:rsid w:val="00C971CD"/>
    <w:rsid w:val="00C97211"/>
    <w:rsid w:val="00C97279"/>
    <w:rsid w:val="00C97323"/>
    <w:rsid w:val="00C9742A"/>
    <w:rsid w:val="00C97620"/>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64"/>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C3"/>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2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76"/>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09B"/>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B9"/>
    <w:rsid w:val="00CD60C4"/>
    <w:rsid w:val="00CD620A"/>
    <w:rsid w:val="00CD6A76"/>
    <w:rsid w:val="00CD6D39"/>
    <w:rsid w:val="00CD6EAC"/>
    <w:rsid w:val="00CD6F01"/>
    <w:rsid w:val="00CD73DB"/>
    <w:rsid w:val="00CD7575"/>
    <w:rsid w:val="00CD767C"/>
    <w:rsid w:val="00CD7735"/>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39A"/>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B6"/>
    <w:rsid w:val="00CF2564"/>
    <w:rsid w:val="00CF2AE6"/>
    <w:rsid w:val="00CF304C"/>
    <w:rsid w:val="00CF35EE"/>
    <w:rsid w:val="00CF393C"/>
    <w:rsid w:val="00CF3C01"/>
    <w:rsid w:val="00CF3C43"/>
    <w:rsid w:val="00CF3C57"/>
    <w:rsid w:val="00CF404F"/>
    <w:rsid w:val="00CF414C"/>
    <w:rsid w:val="00CF4656"/>
    <w:rsid w:val="00CF4F35"/>
    <w:rsid w:val="00CF4FA6"/>
    <w:rsid w:val="00CF5018"/>
    <w:rsid w:val="00CF5257"/>
    <w:rsid w:val="00CF52CF"/>
    <w:rsid w:val="00CF53CD"/>
    <w:rsid w:val="00CF55E0"/>
    <w:rsid w:val="00CF56BA"/>
    <w:rsid w:val="00CF56F9"/>
    <w:rsid w:val="00CF5739"/>
    <w:rsid w:val="00CF5772"/>
    <w:rsid w:val="00CF59FB"/>
    <w:rsid w:val="00CF5E58"/>
    <w:rsid w:val="00CF5EEA"/>
    <w:rsid w:val="00CF60CE"/>
    <w:rsid w:val="00CF635E"/>
    <w:rsid w:val="00CF63C0"/>
    <w:rsid w:val="00CF660A"/>
    <w:rsid w:val="00CF669A"/>
    <w:rsid w:val="00CF66A1"/>
    <w:rsid w:val="00CF6F09"/>
    <w:rsid w:val="00CF7137"/>
    <w:rsid w:val="00CF733F"/>
    <w:rsid w:val="00CF74E3"/>
    <w:rsid w:val="00CF756E"/>
    <w:rsid w:val="00CF76C2"/>
    <w:rsid w:val="00CF7AFF"/>
    <w:rsid w:val="00CF7CDC"/>
    <w:rsid w:val="00CF7E65"/>
    <w:rsid w:val="00D0041B"/>
    <w:rsid w:val="00D00C21"/>
    <w:rsid w:val="00D00FD7"/>
    <w:rsid w:val="00D012CB"/>
    <w:rsid w:val="00D0137F"/>
    <w:rsid w:val="00D0169D"/>
    <w:rsid w:val="00D01726"/>
    <w:rsid w:val="00D017CB"/>
    <w:rsid w:val="00D01B3A"/>
    <w:rsid w:val="00D01BC3"/>
    <w:rsid w:val="00D02470"/>
    <w:rsid w:val="00D0249C"/>
    <w:rsid w:val="00D024E0"/>
    <w:rsid w:val="00D0252E"/>
    <w:rsid w:val="00D026A7"/>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DB1"/>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35"/>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8FB"/>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2D2"/>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15"/>
    <w:rsid w:val="00D25258"/>
    <w:rsid w:val="00D25343"/>
    <w:rsid w:val="00D2549E"/>
    <w:rsid w:val="00D25B49"/>
    <w:rsid w:val="00D25C74"/>
    <w:rsid w:val="00D25FFD"/>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797"/>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B06"/>
    <w:rsid w:val="00D45EC8"/>
    <w:rsid w:val="00D464F3"/>
    <w:rsid w:val="00D4661C"/>
    <w:rsid w:val="00D466C6"/>
    <w:rsid w:val="00D46875"/>
    <w:rsid w:val="00D46AF0"/>
    <w:rsid w:val="00D46C81"/>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A1"/>
    <w:rsid w:val="00D51860"/>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0BD"/>
    <w:rsid w:val="00D54169"/>
    <w:rsid w:val="00D54291"/>
    <w:rsid w:val="00D54426"/>
    <w:rsid w:val="00D54501"/>
    <w:rsid w:val="00D5456A"/>
    <w:rsid w:val="00D546DE"/>
    <w:rsid w:val="00D547D9"/>
    <w:rsid w:val="00D5487B"/>
    <w:rsid w:val="00D5487E"/>
    <w:rsid w:val="00D5494B"/>
    <w:rsid w:val="00D54AE0"/>
    <w:rsid w:val="00D54C0F"/>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D62"/>
    <w:rsid w:val="00D57E0E"/>
    <w:rsid w:val="00D57F71"/>
    <w:rsid w:val="00D600EF"/>
    <w:rsid w:val="00D6015F"/>
    <w:rsid w:val="00D60214"/>
    <w:rsid w:val="00D60260"/>
    <w:rsid w:val="00D60680"/>
    <w:rsid w:val="00D6083B"/>
    <w:rsid w:val="00D60B11"/>
    <w:rsid w:val="00D60CBF"/>
    <w:rsid w:val="00D60CD3"/>
    <w:rsid w:val="00D610E6"/>
    <w:rsid w:val="00D615EE"/>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2D"/>
    <w:rsid w:val="00D63902"/>
    <w:rsid w:val="00D63925"/>
    <w:rsid w:val="00D63C09"/>
    <w:rsid w:val="00D63C7D"/>
    <w:rsid w:val="00D63DB7"/>
    <w:rsid w:val="00D63E54"/>
    <w:rsid w:val="00D6403E"/>
    <w:rsid w:val="00D64142"/>
    <w:rsid w:val="00D645EC"/>
    <w:rsid w:val="00D646A9"/>
    <w:rsid w:val="00D646F4"/>
    <w:rsid w:val="00D647B8"/>
    <w:rsid w:val="00D648B8"/>
    <w:rsid w:val="00D64915"/>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3D98"/>
    <w:rsid w:val="00D74331"/>
    <w:rsid w:val="00D743C3"/>
    <w:rsid w:val="00D743DC"/>
    <w:rsid w:val="00D74528"/>
    <w:rsid w:val="00D7464A"/>
    <w:rsid w:val="00D74719"/>
    <w:rsid w:val="00D74780"/>
    <w:rsid w:val="00D7495F"/>
    <w:rsid w:val="00D74A16"/>
    <w:rsid w:val="00D74B70"/>
    <w:rsid w:val="00D74D77"/>
    <w:rsid w:val="00D74DE1"/>
    <w:rsid w:val="00D750F8"/>
    <w:rsid w:val="00D75177"/>
    <w:rsid w:val="00D7528F"/>
    <w:rsid w:val="00D752E8"/>
    <w:rsid w:val="00D75304"/>
    <w:rsid w:val="00D7567A"/>
    <w:rsid w:val="00D7589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0E81"/>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47D"/>
    <w:rsid w:val="00D94689"/>
    <w:rsid w:val="00D948A7"/>
    <w:rsid w:val="00D94B94"/>
    <w:rsid w:val="00D94D05"/>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7D9"/>
    <w:rsid w:val="00DA2B9E"/>
    <w:rsid w:val="00DA2D8E"/>
    <w:rsid w:val="00DA2E17"/>
    <w:rsid w:val="00DA2E2C"/>
    <w:rsid w:val="00DA2FA4"/>
    <w:rsid w:val="00DA304D"/>
    <w:rsid w:val="00DA3065"/>
    <w:rsid w:val="00DA3095"/>
    <w:rsid w:val="00DA34D6"/>
    <w:rsid w:val="00DA38D5"/>
    <w:rsid w:val="00DA3FD4"/>
    <w:rsid w:val="00DA4506"/>
    <w:rsid w:val="00DA4620"/>
    <w:rsid w:val="00DA4705"/>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5C"/>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BDE"/>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2AD"/>
    <w:rsid w:val="00DC0328"/>
    <w:rsid w:val="00DC0370"/>
    <w:rsid w:val="00DC066C"/>
    <w:rsid w:val="00DC095B"/>
    <w:rsid w:val="00DC0994"/>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1DE"/>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A0"/>
    <w:rsid w:val="00DC53E8"/>
    <w:rsid w:val="00DC54CE"/>
    <w:rsid w:val="00DC5651"/>
    <w:rsid w:val="00DC5A26"/>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2CF"/>
    <w:rsid w:val="00DD06CB"/>
    <w:rsid w:val="00DD08E6"/>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12"/>
    <w:rsid w:val="00DD2925"/>
    <w:rsid w:val="00DD2B15"/>
    <w:rsid w:val="00DD2E3D"/>
    <w:rsid w:val="00DD2F9A"/>
    <w:rsid w:val="00DD3189"/>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073"/>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B2D"/>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1CC"/>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17"/>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BF6"/>
    <w:rsid w:val="00E02CFC"/>
    <w:rsid w:val="00E02D7F"/>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C8F"/>
    <w:rsid w:val="00E16D8A"/>
    <w:rsid w:val="00E16E34"/>
    <w:rsid w:val="00E16EEE"/>
    <w:rsid w:val="00E173C1"/>
    <w:rsid w:val="00E17990"/>
    <w:rsid w:val="00E17C3D"/>
    <w:rsid w:val="00E17E53"/>
    <w:rsid w:val="00E20089"/>
    <w:rsid w:val="00E20238"/>
    <w:rsid w:val="00E20394"/>
    <w:rsid w:val="00E20423"/>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1D8"/>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49"/>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FDA"/>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AAA"/>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5FFC"/>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DF4"/>
    <w:rsid w:val="00E53E1A"/>
    <w:rsid w:val="00E53E9C"/>
    <w:rsid w:val="00E54308"/>
    <w:rsid w:val="00E54498"/>
    <w:rsid w:val="00E5456F"/>
    <w:rsid w:val="00E5465F"/>
    <w:rsid w:val="00E5468D"/>
    <w:rsid w:val="00E546B4"/>
    <w:rsid w:val="00E54756"/>
    <w:rsid w:val="00E54809"/>
    <w:rsid w:val="00E54A9B"/>
    <w:rsid w:val="00E54E0A"/>
    <w:rsid w:val="00E55056"/>
    <w:rsid w:val="00E55079"/>
    <w:rsid w:val="00E550EE"/>
    <w:rsid w:val="00E556E9"/>
    <w:rsid w:val="00E557A0"/>
    <w:rsid w:val="00E557B2"/>
    <w:rsid w:val="00E5589A"/>
    <w:rsid w:val="00E55AA5"/>
    <w:rsid w:val="00E562E2"/>
    <w:rsid w:val="00E5659C"/>
    <w:rsid w:val="00E567A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9C0"/>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99A"/>
    <w:rsid w:val="00E65E3D"/>
    <w:rsid w:val="00E65EF6"/>
    <w:rsid w:val="00E65EFA"/>
    <w:rsid w:val="00E65EFE"/>
    <w:rsid w:val="00E65FFE"/>
    <w:rsid w:val="00E660C5"/>
    <w:rsid w:val="00E66293"/>
    <w:rsid w:val="00E66479"/>
    <w:rsid w:val="00E667E3"/>
    <w:rsid w:val="00E669C1"/>
    <w:rsid w:val="00E66E5F"/>
    <w:rsid w:val="00E670A6"/>
    <w:rsid w:val="00E67265"/>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E15"/>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89"/>
    <w:rsid w:val="00E81DD5"/>
    <w:rsid w:val="00E81EAC"/>
    <w:rsid w:val="00E8209F"/>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E0"/>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D02"/>
    <w:rsid w:val="00E90E8B"/>
    <w:rsid w:val="00E90ECC"/>
    <w:rsid w:val="00E90FA8"/>
    <w:rsid w:val="00E90FB4"/>
    <w:rsid w:val="00E9104C"/>
    <w:rsid w:val="00E910A5"/>
    <w:rsid w:val="00E917E9"/>
    <w:rsid w:val="00E9181C"/>
    <w:rsid w:val="00E9191F"/>
    <w:rsid w:val="00E91AA4"/>
    <w:rsid w:val="00E91E6C"/>
    <w:rsid w:val="00E92168"/>
    <w:rsid w:val="00E922A6"/>
    <w:rsid w:val="00E924DA"/>
    <w:rsid w:val="00E92550"/>
    <w:rsid w:val="00E92597"/>
    <w:rsid w:val="00E928FA"/>
    <w:rsid w:val="00E92922"/>
    <w:rsid w:val="00E92951"/>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3F80"/>
    <w:rsid w:val="00E94035"/>
    <w:rsid w:val="00E940E2"/>
    <w:rsid w:val="00E9461A"/>
    <w:rsid w:val="00E94726"/>
    <w:rsid w:val="00E94786"/>
    <w:rsid w:val="00E94861"/>
    <w:rsid w:val="00E949DB"/>
    <w:rsid w:val="00E94AF7"/>
    <w:rsid w:val="00E956C4"/>
    <w:rsid w:val="00E9582C"/>
    <w:rsid w:val="00E95B1C"/>
    <w:rsid w:val="00E95BA3"/>
    <w:rsid w:val="00E95E85"/>
    <w:rsid w:val="00E962AA"/>
    <w:rsid w:val="00E964AA"/>
    <w:rsid w:val="00E96896"/>
    <w:rsid w:val="00E968F5"/>
    <w:rsid w:val="00E9692F"/>
    <w:rsid w:val="00E96949"/>
    <w:rsid w:val="00E96B09"/>
    <w:rsid w:val="00E96F8E"/>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803"/>
    <w:rsid w:val="00EA0BCD"/>
    <w:rsid w:val="00EA0CC9"/>
    <w:rsid w:val="00EA0E29"/>
    <w:rsid w:val="00EA0E9D"/>
    <w:rsid w:val="00EA0F71"/>
    <w:rsid w:val="00EA10A1"/>
    <w:rsid w:val="00EA14F4"/>
    <w:rsid w:val="00EA15BB"/>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4FC5"/>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CE3"/>
    <w:rsid w:val="00EA6D06"/>
    <w:rsid w:val="00EA736E"/>
    <w:rsid w:val="00EA7934"/>
    <w:rsid w:val="00EA7F07"/>
    <w:rsid w:val="00EA7FC3"/>
    <w:rsid w:val="00EB0190"/>
    <w:rsid w:val="00EB02A1"/>
    <w:rsid w:val="00EB0500"/>
    <w:rsid w:val="00EB07BC"/>
    <w:rsid w:val="00EB0A07"/>
    <w:rsid w:val="00EB0BD6"/>
    <w:rsid w:val="00EB0DFC"/>
    <w:rsid w:val="00EB13BB"/>
    <w:rsid w:val="00EB148F"/>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5F45"/>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6E"/>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86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4DA"/>
    <w:rsid w:val="00ED3555"/>
    <w:rsid w:val="00ED358B"/>
    <w:rsid w:val="00ED386C"/>
    <w:rsid w:val="00ED388D"/>
    <w:rsid w:val="00ED3F2C"/>
    <w:rsid w:val="00ED3FDF"/>
    <w:rsid w:val="00ED444C"/>
    <w:rsid w:val="00ED46BE"/>
    <w:rsid w:val="00ED4813"/>
    <w:rsid w:val="00ED4861"/>
    <w:rsid w:val="00ED48C7"/>
    <w:rsid w:val="00ED4AD4"/>
    <w:rsid w:val="00ED4D82"/>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88"/>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EE9"/>
    <w:rsid w:val="00EE2F25"/>
    <w:rsid w:val="00EE31C3"/>
    <w:rsid w:val="00EE3797"/>
    <w:rsid w:val="00EE380A"/>
    <w:rsid w:val="00EE3994"/>
    <w:rsid w:val="00EE39E6"/>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CC5"/>
    <w:rsid w:val="00EF2EEA"/>
    <w:rsid w:val="00EF2FF5"/>
    <w:rsid w:val="00EF32EF"/>
    <w:rsid w:val="00EF3821"/>
    <w:rsid w:val="00EF3AFF"/>
    <w:rsid w:val="00EF3C24"/>
    <w:rsid w:val="00EF3F75"/>
    <w:rsid w:val="00EF3FAA"/>
    <w:rsid w:val="00EF4185"/>
    <w:rsid w:val="00EF421E"/>
    <w:rsid w:val="00EF4329"/>
    <w:rsid w:val="00EF438F"/>
    <w:rsid w:val="00EF4717"/>
    <w:rsid w:val="00EF4A02"/>
    <w:rsid w:val="00EF4CC9"/>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459"/>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91"/>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1F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251"/>
    <w:rsid w:val="00F2536A"/>
    <w:rsid w:val="00F2537F"/>
    <w:rsid w:val="00F2546E"/>
    <w:rsid w:val="00F25C6C"/>
    <w:rsid w:val="00F26066"/>
    <w:rsid w:val="00F26125"/>
    <w:rsid w:val="00F261FB"/>
    <w:rsid w:val="00F2622B"/>
    <w:rsid w:val="00F262C1"/>
    <w:rsid w:val="00F26423"/>
    <w:rsid w:val="00F2650D"/>
    <w:rsid w:val="00F265C5"/>
    <w:rsid w:val="00F26A49"/>
    <w:rsid w:val="00F26BA5"/>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380"/>
    <w:rsid w:val="00F32644"/>
    <w:rsid w:val="00F32948"/>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892"/>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8A2"/>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5B4"/>
    <w:rsid w:val="00F5286F"/>
    <w:rsid w:val="00F528A3"/>
    <w:rsid w:val="00F52A68"/>
    <w:rsid w:val="00F52BE5"/>
    <w:rsid w:val="00F52F59"/>
    <w:rsid w:val="00F530A7"/>
    <w:rsid w:val="00F53112"/>
    <w:rsid w:val="00F531C0"/>
    <w:rsid w:val="00F53294"/>
    <w:rsid w:val="00F532DD"/>
    <w:rsid w:val="00F533CF"/>
    <w:rsid w:val="00F533FC"/>
    <w:rsid w:val="00F534D1"/>
    <w:rsid w:val="00F536B0"/>
    <w:rsid w:val="00F5386A"/>
    <w:rsid w:val="00F538B2"/>
    <w:rsid w:val="00F538B7"/>
    <w:rsid w:val="00F53988"/>
    <w:rsid w:val="00F53A0D"/>
    <w:rsid w:val="00F53E43"/>
    <w:rsid w:val="00F540E7"/>
    <w:rsid w:val="00F54168"/>
    <w:rsid w:val="00F541CB"/>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393"/>
    <w:rsid w:val="00F57583"/>
    <w:rsid w:val="00F578A7"/>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392"/>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50"/>
    <w:rsid w:val="00F749BA"/>
    <w:rsid w:val="00F74EFA"/>
    <w:rsid w:val="00F74FD2"/>
    <w:rsid w:val="00F757D2"/>
    <w:rsid w:val="00F759C3"/>
    <w:rsid w:val="00F75DBB"/>
    <w:rsid w:val="00F76182"/>
    <w:rsid w:val="00F762BC"/>
    <w:rsid w:val="00F7665A"/>
    <w:rsid w:val="00F76928"/>
    <w:rsid w:val="00F76947"/>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D4"/>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CF9"/>
    <w:rsid w:val="00F86E66"/>
    <w:rsid w:val="00F87590"/>
    <w:rsid w:val="00F875DF"/>
    <w:rsid w:val="00F875E0"/>
    <w:rsid w:val="00F87722"/>
    <w:rsid w:val="00F878B7"/>
    <w:rsid w:val="00F878BA"/>
    <w:rsid w:val="00F87B05"/>
    <w:rsid w:val="00F87BC6"/>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3C"/>
    <w:rsid w:val="00F93C7F"/>
    <w:rsid w:val="00F9410B"/>
    <w:rsid w:val="00F94214"/>
    <w:rsid w:val="00F94243"/>
    <w:rsid w:val="00F943B5"/>
    <w:rsid w:val="00F94563"/>
    <w:rsid w:val="00F94D15"/>
    <w:rsid w:val="00F94D54"/>
    <w:rsid w:val="00F94D7B"/>
    <w:rsid w:val="00F94DD9"/>
    <w:rsid w:val="00F95443"/>
    <w:rsid w:val="00F95532"/>
    <w:rsid w:val="00F95639"/>
    <w:rsid w:val="00F95A22"/>
    <w:rsid w:val="00F95BC6"/>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93"/>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51"/>
    <w:rsid w:val="00FA43DB"/>
    <w:rsid w:val="00FA445F"/>
    <w:rsid w:val="00FA45D1"/>
    <w:rsid w:val="00FA465A"/>
    <w:rsid w:val="00FA46F9"/>
    <w:rsid w:val="00FA4B87"/>
    <w:rsid w:val="00FA4BAB"/>
    <w:rsid w:val="00FA4E8D"/>
    <w:rsid w:val="00FA4EEF"/>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5D0"/>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0F63"/>
    <w:rsid w:val="00FB103E"/>
    <w:rsid w:val="00FB11AF"/>
    <w:rsid w:val="00FB11E9"/>
    <w:rsid w:val="00FB14ED"/>
    <w:rsid w:val="00FB15BB"/>
    <w:rsid w:val="00FB17C7"/>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A92"/>
    <w:rsid w:val="00FB2DA9"/>
    <w:rsid w:val="00FB2DDC"/>
    <w:rsid w:val="00FB2F46"/>
    <w:rsid w:val="00FB330B"/>
    <w:rsid w:val="00FB3649"/>
    <w:rsid w:val="00FB36A0"/>
    <w:rsid w:val="00FB3D89"/>
    <w:rsid w:val="00FB4243"/>
    <w:rsid w:val="00FB44CA"/>
    <w:rsid w:val="00FB5189"/>
    <w:rsid w:val="00FB5282"/>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83B"/>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727"/>
    <w:rsid w:val="00FD37D9"/>
    <w:rsid w:val="00FD3958"/>
    <w:rsid w:val="00FD39F1"/>
    <w:rsid w:val="00FD435A"/>
    <w:rsid w:val="00FD45B8"/>
    <w:rsid w:val="00FD4643"/>
    <w:rsid w:val="00FD464A"/>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24"/>
    <w:rsid w:val="00FD7B88"/>
    <w:rsid w:val="00FD7C8B"/>
    <w:rsid w:val="00FD7DC5"/>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1DF6"/>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38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437"/>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3FC"/>
    <w:rsid w:val="00FF651C"/>
    <w:rsid w:val="00FF677B"/>
    <w:rsid w:val="00FF6916"/>
    <w:rsid w:val="00FF6982"/>
    <w:rsid w:val="00FF6A2B"/>
    <w:rsid w:val="00FF6C1C"/>
    <w:rsid w:val="00FF6C35"/>
    <w:rsid w:val="00FF7060"/>
    <w:rsid w:val="00FF7636"/>
    <w:rsid w:val="00FF765F"/>
    <w:rsid w:val="00FF76D1"/>
    <w:rsid w:val="00FF7989"/>
    <w:rsid w:val="00FF7AEC"/>
    <w:rsid w:val="00FF7D03"/>
    <w:rsid w:val="012F5884"/>
    <w:rsid w:val="014C68D7"/>
    <w:rsid w:val="01604217"/>
    <w:rsid w:val="01FA5805"/>
    <w:rsid w:val="02736662"/>
    <w:rsid w:val="02A84D69"/>
    <w:rsid w:val="02CF7A3A"/>
    <w:rsid w:val="0470002E"/>
    <w:rsid w:val="04B360C1"/>
    <w:rsid w:val="057A1069"/>
    <w:rsid w:val="0613161F"/>
    <w:rsid w:val="06BF0AA6"/>
    <w:rsid w:val="06CB35C4"/>
    <w:rsid w:val="077D4340"/>
    <w:rsid w:val="07A47FA9"/>
    <w:rsid w:val="07B02DFC"/>
    <w:rsid w:val="09B86599"/>
    <w:rsid w:val="0A8D315C"/>
    <w:rsid w:val="0ACF27DA"/>
    <w:rsid w:val="0B082CC1"/>
    <w:rsid w:val="0B401717"/>
    <w:rsid w:val="0B660C1A"/>
    <w:rsid w:val="0BE65DF4"/>
    <w:rsid w:val="0BE86EEE"/>
    <w:rsid w:val="0C436DA2"/>
    <w:rsid w:val="0CDF2F6F"/>
    <w:rsid w:val="0D480CF4"/>
    <w:rsid w:val="0DC900F6"/>
    <w:rsid w:val="0FAA561B"/>
    <w:rsid w:val="0FDF5034"/>
    <w:rsid w:val="12CB18A0"/>
    <w:rsid w:val="13B96E17"/>
    <w:rsid w:val="13D051BB"/>
    <w:rsid w:val="140002F3"/>
    <w:rsid w:val="14243948"/>
    <w:rsid w:val="142D7C09"/>
    <w:rsid w:val="14870AD5"/>
    <w:rsid w:val="14933A29"/>
    <w:rsid w:val="16125DAF"/>
    <w:rsid w:val="16D74B06"/>
    <w:rsid w:val="1701199D"/>
    <w:rsid w:val="1712445D"/>
    <w:rsid w:val="17F93E0B"/>
    <w:rsid w:val="1A9058A9"/>
    <w:rsid w:val="1AB01F69"/>
    <w:rsid w:val="1B5A57C5"/>
    <w:rsid w:val="1B720E61"/>
    <w:rsid w:val="1B83366B"/>
    <w:rsid w:val="1C077FF0"/>
    <w:rsid w:val="1C455CA5"/>
    <w:rsid w:val="1C675A41"/>
    <w:rsid w:val="1D2C69D2"/>
    <w:rsid w:val="1D783D2F"/>
    <w:rsid w:val="1DBB18AB"/>
    <w:rsid w:val="1E5C6AA1"/>
    <w:rsid w:val="1EAA1060"/>
    <w:rsid w:val="1EB32C36"/>
    <w:rsid w:val="2039750C"/>
    <w:rsid w:val="21637D6D"/>
    <w:rsid w:val="21A319E8"/>
    <w:rsid w:val="228144D0"/>
    <w:rsid w:val="22C57048"/>
    <w:rsid w:val="239E00B4"/>
    <w:rsid w:val="23BE3576"/>
    <w:rsid w:val="243B2FEE"/>
    <w:rsid w:val="250C37AD"/>
    <w:rsid w:val="251E74A4"/>
    <w:rsid w:val="25AE5FF7"/>
    <w:rsid w:val="25C3437A"/>
    <w:rsid w:val="25E15AE3"/>
    <w:rsid w:val="26A42060"/>
    <w:rsid w:val="273A295D"/>
    <w:rsid w:val="27843CE5"/>
    <w:rsid w:val="27C65076"/>
    <w:rsid w:val="28235435"/>
    <w:rsid w:val="28470060"/>
    <w:rsid w:val="28DF7A3C"/>
    <w:rsid w:val="28FC3596"/>
    <w:rsid w:val="29AA30DA"/>
    <w:rsid w:val="2AA36589"/>
    <w:rsid w:val="2B296CDD"/>
    <w:rsid w:val="2B5B5B5C"/>
    <w:rsid w:val="2BEDCB12"/>
    <w:rsid w:val="2C4810FA"/>
    <w:rsid w:val="2CCF7A75"/>
    <w:rsid w:val="2D2C76B3"/>
    <w:rsid w:val="2E8A26F1"/>
    <w:rsid w:val="2ECC1C8B"/>
    <w:rsid w:val="2EDE27BE"/>
    <w:rsid w:val="2F1B45D7"/>
    <w:rsid w:val="2FAA6ECD"/>
    <w:rsid w:val="2FCB5706"/>
    <w:rsid w:val="2FCD06EB"/>
    <w:rsid w:val="30784803"/>
    <w:rsid w:val="30C6397A"/>
    <w:rsid w:val="30DA198B"/>
    <w:rsid w:val="31BA0043"/>
    <w:rsid w:val="32152698"/>
    <w:rsid w:val="329C56D5"/>
    <w:rsid w:val="32C11E4B"/>
    <w:rsid w:val="32CD354C"/>
    <w:rsid w:val="32EB653A"/>
    <w:rsid w:val="36674365"/>
    <w:rsid w:val="36FA338C"/>
    <w:rsid w:val="37103BA1"/>
    <w:rsid w:val="37EDF4F5"/>
    <w:rsid w:val="397523E2"/>
    <w:rsid w:val="3AA60FFE"/>
    <w:rsid w:val="3BCB6780"/>
    <w:rsid w:val="3BDA58E1"/>
    <w:rsid w:val="3C9D5E15"/>
    <w:rsid w:val="3DB75AD1"/>
    <w:rsid w:val="3DFFB930"/>
    <w:rsid w:val="3EEB66BF"/>
    <w:rsid w:val="3F982986"/>
    <w:rsid w:val="3FDEA7DB"/>
    <w:rsid w:val="3FFBE3E2"/>
    <w:rsid w:val="400C0837"/>
    <w:rsid w:val="411A73CB"/>
    <w:rsid w:val="41762B1F"/>
    <w:rsid w:val="41DE2346"/>
    <w:rsid w:val="42CD0A98"/>
    <w:rsid w:val="42FA3861"/>
    <w:rsid w:val="42FB203E"/>
    <w:rsid w:val="431A0C09"/>
    <w:rsid w:val="44B903DB"/>
    <w:rsid w:val="45556501"/>
    <w:rsid w:val="46222FA9"/>
    <w:rsid w:val="46CC15CD"/>
    <w:rsid w:val="472C6CEC"/>
    <w:rsid w:val="47D629B1"/>
    <w:rsid w:val="47E2567D"/>
    <w:rsid w:val="480E2158"/>
    <w:rsid w:val="480F57AF"/>
    <w:rsid w:val="48233A15"/>
    <w:rsid w:val="492312D0"/>
    <w:rsid w:val="49286AB2"/>
    <w:rsid w:val="496A6DE7"/>
    <w:rsid w:val="4B3A7DC7"/>
    <w:rsid w:val="4B65373A"/>
    <w:rsid w:val="4B8D6483"/>
    <w:rsid w:val="4CEB48AD"/>
    <w:rsid w:val="4D00163A"/>
    <w:rsid w:val="4D6E0833"/>
    <w:rsid w:val="4F0F5BE3"/>
    <w:rsid w:val="4F2103FD"/>
    <w:rsid w:val="4F48437E"/>
    <w:rsid w:val="4F4DDC4D"/>
    <w:rsid w:val="5070230F"/>
    <w:rsid w:val="514D1A43"/>
    <w:rsid w:val="51596183"/>
    <w:rsid w:val="5233158F"/>
    <w:rsid w:val="52422029"/>
    <w:rsid w:val="52E87329"/>
    <w:rsid w:val="52FC7DC9"/>
    <w:rsid w:val="53215482"/>
    <w:rsid w:val="54637720"/>
    <w:rsid w:val="54D90AD4"/>
    <w:rsid w:val="54F037F9"/>
    <w:rsid w:val="55040901"/>
    <w:rsid w:val="55A81B98"/>
    <w:rsid w:val="55BB6F76"/>
    <w:rsid w:val="55E528CE"/>
    <w:rsid w:val="55F02DB1"/>
    <w:rsid w:val="56861391"/>
    <w:rsid w:val="56DF05DE"/>
    <w:rsid w:val="56F70118"/>
    <w:rsid w:val="57BD69DA"/>
    <w:rsid w:val="57FC6189"/>
    <w:rsid w:val="58F307D5"/>
    <w:rsid w:val="59D70523"/>
    <w:rsid w:val="59EF0258"/>
    <w:rsid w:val="59F40D00"/>
    <w:rsid w:val="5B54551A"/>
    <w:rsid w:val="5B963C9D"/>
    <w:rsid w:val="5BBA5184"/>
    <w:rsid w:val="5BC30933"/>
    <w:rsid w:val="5C226CF3"/>
    <w:rsid w:val="5C9F091B"/>
    <w:rsid w:val="5CA22D1D"/>
    <w:rsid w:val="5CB14C2F"/>
    <w:rsid w:val="5D7A51F0"/>
    <w:rsid w:val="5DF6728C"/>
    <w:rsid w:val="5EFE417B"/>
    <w:rsid w:val="5F073306"/>
    <w:rsid w:val="5F0B2725"/>
    <w:rsid w:val="5F1D1F5A"/>
    <w:rsid w:val="5F56244B"/>
    <w:rsid w:val="5F5F73B9"/>
    <w:rsid w:val="5F652B34"/>
    <w:rsid w:val="5F9252D0"/>
    <w:rsid w:val="5FFFD8C0"/>
    <w:rsid w:val="600B02EA"/>
    <w:rsid w:val="60196513"/>
    <w:rsid w:val="60BE4562"/>
    <w:rsid w:val="619260ED"/>
    <w:rsid w:val="61FF25AC"/>
    <w:rsid w:val="62861287"/>
    <w:rsid w:val="63795759"/>
    <w:rsid w:val="64BFAF20"/>
    <w:rsid w:val="656E5C27"/>
    <w:rsid w:val="65C74899"/>
    <w:rsid w:val="65E7D84C"/>
    <w:rsid w:val="660E3674"/>
    <w:rsid w:val="6637C928"/>
    <w:rsid w:val="677019ED"/>
    <w:rsid w:val="67804151"/>
    <w:rsid w:val="680846A1"/>
    <w:rsid w:val="6838144E"/>
    <w:rsid w:val="686719DE"/>
    <w:rsid w:val="686B2462"/>
    <w:rsid w:val="68AA7398"/>
    <w:rsid w:val="697A7B43"/>
    <w:rsid w:val="6AA0644F"/>
    <w:rsid w:val="6AB5580B"/>
    <w:rsid w:val="6ACE312D"/>
    <w:rsid w:val="6B3B6738"/>
    <w:rsid w:val="6CDF0224"/>
    <w:rsid w:val="6D405B9F"/>
    <w:rsid w:val="6E1753FD"/>
    <w:rsid w:val="6EF5249C"/>
    <w:rsid w:val="6F3EF8F4"/>
    <w:rsid w:val="6F97D24A"/>
    <w:rsid w:val="6FAD2AAB"/>
    <w:rsid w:val="7054013A"/>
    <w:rsid w:val="70775925"/>
    <w:rsid w:val="71895C77"/>
    <w:rsid w:val="71CF3736"/>
    <w:rsid w:val="71E909FE"/>
    <w:rsid w:val="71F820D6"/>
    <w:rsid w:val="724910AC"/>
    <w:rsid w:val="742C597A"/>
    <w:rsid w:val="74703E93"/>
    <w:rsid w:val="7499002B"/>
    <w:rsid w:val="75297821"/>
    <w:rsid w:val="75906307"/>
    <w:rsid w:val="75990E46"/>
    <w:rsid w:val="75B5A293"/>
    <w:rsid w:val="762D089E"/>
    <w:rsid w:val="76443AB5"/>
    <w:rsid w:val="77407BB6"/>
    <w:rsid w:val="77735706"/>
    <w:rsid w:val="77BE7064"/>
    <w:rsid w:val="77EB940F"/>
    <w:rsid w:val="77FE53E9"/>
    <w:rsid w:val="77FFD178"/>
    <w:rsid w:val="786579EC"/>
    <w:rsid w:val="78BE65B5"/>
    <w:rsid w:val="7A811C8D"/>
    <w:rsid w:val="7AF73C51"/>
    <w:rsid w:val="7B7F2F1D"/>
    <w:rsid w:val="7BC506FF"/>
    <w:rsid w:val="7BDBDEEB"/>
    <w:rsid w:val="7BFCFFC7"/>
    <w:rsid w:val="7DF3DCD2"/>
    <w:rsid w:val="7E244E09"/>
    <w:rsid w:val="7EE46D35"/>
    <w:rsid w:val="7EE7212B"/>
    <w:rsid w:val="7F77E014"/>
    <w:rsid w:val="7F7E4AED"/>
    <w:rsid w:val="7F7FEAE7"/>
    <w:rsid w:val="7F8D4A12"/>
    <w:rsid w:val="7F97D7F2"/>
    <w:rsid w:val="7FBFA80E"/>
    <w:rsid w:val="7FD7EDB6"/>
    <w:rsid w:val="7FFF3B73"/>
    <w:rsid w:val="8FBF7C1A"/>
    <w:rsid w:val="97FF4143"/>
    <w:rsid w:val="A6FEB8E8"/>
    <w:rsid w:val="B43F961E"/>
    <w:rsid w:val="B85FDB83"/>
    <w:rsid w:val="BDCD087A"/>
    <w:rsid w:val="BDFE5BF3"/>
    <w:rsid w:val="C1BF7C39"/>
    <w:rsid w:val="C4BD4666"/>
    <w:rsid w:val="C73B9E57"/>
    <w:rsid w:val="CADB60D7"/>
    <w:rsid w:val="D65B1328"/>
    <w:rsid w:val="DAF67373"/>
    <w:rsid w:val="DC7C6527"/>
    <w:rsid w:val="DEE73C2B"/>
    <w:rsid w:val="DF7F402F"/>
    <w:rsid w:val="DFDF7D7A"/>
    <w:rsid w:val="DFE6B962"/>
    <w:rsid w:val="DFFA6D9E"/>
    <w:rsid w:val="DFFD6CD8"/>
    <w:rsid w:val="E3EF15F8"/>
    <w:rsid w:val="EBA7250A"/>
    <w:rsid w:val="EBEEBA8A"/>
    <w:rsid w:val="EBEF1A80"/>
    <w:rsid w:val="EDFF1E69"/>
    <w:rsid w:val="EF7CB3D9"/>
    <w:rsid w:val="EF7E56C0"/>
    <w:rsid w:val="EFFD903C"/>
    <w:rsid w:val="F3FBC3B0"/>
    <w:rsid w:val="F5DF601C"/>
    <w:rsid w:val="F6B9DB1D"/>
    <w:rsid w:val="F9F3A651"/>
    <w:rsid w:val="FB2767F0"/>
    <w:rsid w:val="FBFF0D9D"/>
    <w:rsid w:val="FD7D5ACF"/>
    <w:rsid w:val="FDDF97A4"/>
    <w:rsid w:val="FE35255F"/>
    <w:rsid w:val="FEFFEEF7"/>
    <w:rsid w:val="FF9FAC0E"/>
    <w:rsid w:val="FFDA53F0"/>
    <w:rsid w:val="FFFC599E"/>
    <w:rsid w:val="FFFF9DF6"/>
    <w:rsid w:val="FFFFB9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qFormat="1" w:uiPriority="99" w:semiHidden="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semiHidden="0" w:name="macro"/>
    <w:lsdException w:uiPriority="0" w:name="toa heading"/>
    <w:lsdException w:uiPriority="0" w:name="List"/>
    <w:lsdException w:uiPriority="0" w:name="List Bullet"/>
    <w:lsdException w:qFormat="1" w:uiPriority="99"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uiPriority="0" w:name="Note Heading"/>
    <w:lsdException w:qFormat="1"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5"/>
    <w:link w:val="65"/>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5"/>
    <w:link w:val="67"/>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link w:val="68"/>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link w:val="69"/>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70"/>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71"/>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72"/>
    <w:autoRedefine/>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73"/>
    <w:autoRedefine/>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4">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2">
    <w:name w:val="macro"/>
    <w:link w:val="524"/>
    <w:autoRedefine/>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360" w:lineRule="auto"/>
      <w:jc w:val="both"/>
      <w:textAlignment w:val="baseline"/>
    </w:pPr>
    <w:rPr>
      <w:rFonts w:ascii="Arial Narrow" w:hAnsi="Arial Narrow" w:eastAsia="宋体" w:cs="Times New Roman"/>
      <w:lang w:val="en-US" w:eastAsia="zh-CN" w:bidi="ar-SA"/>
    </w:rPr>
  </w:style>
  <w:style w:type="paragraph" w:styleId="5">
    <w:name w:val="Normal Indent"/>
    <w:basedOn w:val="1"/>
    <w:link w:val="66"/>
    <w:autoRedefine/>
    <w:qFormat/>
    <w:uiPriority w:val="99"/>
    <w:pPr>
      <w:autoSpaceDE w:val="0"/>
      <w:autoSpaceDN w:val="0"/>
      <w:adjustRightInd w:val="0"/>
      <w:ind w:firstLine="420"/>
      <w:jc w:val="left"/>
    </w:pPr>
    <w:rPr>
      <w:rFonts w:ascii="宋体"/>
      <w:sz w:val="24"/>
    </w:rPr>
  </w:style>
  <w:style w:type="paragraph" w:styleId="13">
    <w:name w:val="toc 7"/>
    <w:basedOn w:val="1"/>
    <w:next w:val="1"/>
    <w:autoRedefine/>
    <w:qFormat/>
    <w:uiPriority w:val="99"/>
    <w:pPr>
      <w:ind w:left="2520" w:leftChars="1200"/>
    </w:pPr>
  </w:style>
  <w:style w:type="paragraph" w:styleId="14">
    <w:name w:val="List Number"/>
    <w:basedOn w:val="15"/>
    <w:autoRedefine/>
    <w:unhideWhenUsed/>
    <w:qFormat/>
    <w:uiPriority w:val="99"/>
    <w:pPr>
      <w:tabs>
        <w:tab w:val="left" w:pos="360"/>
      </w:tabs>
      <w:spacing w:line="360" w:lineRule="auto"/>
      <w:ind w:left="360" w:hanging="360"/>
    </w:pPr>
    <w:rPr>
      <w:rFonts w:ascii="宋体"/>
      <w:szCs w:val="21"/>
      <w:lang w:val="zh-CN"/>
    </w:rPr>
  </w:style>
  <w:style w:type="paragraph" w:styleId="15">
    <w:name w:val="List Paragraph"/>
    <w:basedOn w:val="1"/>
    <w:link w:val="105"/>
    <w:autoRedefine/>
    <w:qFormat/>
    <w:uiPriority w:val="34"/>
    <w:pPr>
      <w:ind w:firstLine="420" w:firstLineChars="200"/>
    </w:pPr>
    <w:rPr>
      <w:rFonts w:ascii="Calibri" w:hAnsi="Calibri"/>
      <w:szCs w:val="22"/>
    </w:rPr>
  </w:style>
  <w:style w:type="paragraph" w:styleId="16">
    <w:name w:val="caption"/>
    <w:basedOn w:val="1"/>
    <w:next w:val="1"/>
    <w:autoRedefine/>
    <w:qFormat/>
    <w:uiPriority w:val="99"/>
    <w:pPr>
      <w:spacing w:line="480" w:lineRule="auto"/>
    </w:pPr>
    <w:rPr>
      <w:rFonts w:ascii="华文中宋" w:hAnsi="华文中宋" w:eastAsia="华文中宋"/>
      <w:sz w:val="36"/>
      <w:szCs w:val="20"/>
    </w:rPr>
  </w:style>
  <w:style w:type="paragraph" w:styleId="17">
    <w:name w:val="Document Map"/>
    <w:basedOn w:val="1"/>
    <w:link w:val="74"/>
    <w:autoRedefine/>
    <w:qFormat/>
    <w:uiPriority w:val="99"/>
    <w:pPr>
      <w:shd w:val="clear" w:color="auto" w:fill="000080"/>
    </w:pPr>
  </w:style>
  <w:style w:type="paragraph" w:styleId="18">
    <w:name w:val="annotation text"/>
    <w:basedOn w:val="1"/>
    <w:link w:val="75"/>
    <w:autoRedefine/>
    <w:qFormat/>
    <w:uiPriority w:val="99"/>
    <w:pPr>
      <w:jc w:val="left"/>
    </w:pPr>
  </w:style>
  <w:style w:type="paragraph" w:styleId="19">
    <w:name w:val="Body Text 3"/>
    <w:basedOn w:val="1"/>
    <w:link w:val="76"/>
    <w:autoRedefine/>
    <w:qFormat/>
    <w:uiPriority w:val="99"/>
    <w:pPr>
      <w:spacing w:after="120"/>
    </w:pPr>
    <w:rPr>
      <w:sz w:val="16"/>
      <w:szCs w:val="16"/>
    </w:rPr>
  </w:style>
  <w:style w:type="paragraph" w:styleId="20">
    <w:name w:val="Body Text"/>
    <w:basedOn w:val="1"/>
    <w:next w:val="1"/>
    <w:link w:val="77"/>
    <w:autoRedefine/>
    <w:qFormat/>
    <w:uiPriority w:val="99"/>
    <w:pPr>
      <w:tabs>
        <w:tab w:val="left" w:pos="567"/>
      </w:tabs>
      <w:spacing w:before="120" w:line="22" w:lineRule="atLeast"/>
    </w:pPr>
    <w:rPr>
      <w:rFonts w:ascii="宋体" w:hAnsi="宋体"/>
      <w:sz w:val="24"/>
    </w:rPr>
  </w:style>
  <w:style w:type="paragraph" w:styleId="21">
    <w:name w:val="Body Text Indent"/>
    <w:basedOn w:val="1"/>
    <w:link w:val="78"/>
    <w:autoRedefine/>
    <w:qFormat/>
    <w:uiPriority w:val="99"/>
    <w:pPr>
      <w:spacing w:line="360" w:lineRule="auto"/>
      <w:ind w:firstLine="570"/>
    </w:pPr>
    <w:rPr>
      <w:sz w:val="24"/>
    </w:rPr>
  </w:style>
  <w:style w:type="paragraph" w:styleId="22">
    <w:name w:val="List 2"/>
    <w:basedOn w:val="1"/>
    <w:autoRedefine/>
    <w:qFormat/>
    <w:uiPriority w:val="99"/>
    <w:pPr>
      <w:ind w:left="100" w:leftChars="200" w:hanging="200" w:hangingChars="200"/>
    </w:pPr>
  </w:style>
  <w:style w:type="paragraph" w:styleId="23">
    <w:name w:val="Block Text"/>
    <w:basedOn w:val="1"/>
    <w:autoRedefine/>
    <w:qFormat/>
    <w:uiPriority w:val="99"/>
    <w:pPr>
      <w:widowControl/>
      <w:ind w:left="480" w:right="-341" w:firstLine="513"/>
    </w:pPr>
    <w:rPr>
      <w:kern w:val="0"/>
      <w:sz w:val="24"/>
      <w:szCs w:val="20"/>
    </w:rPr>
  </w:style>
  <w:style w:type="paragraph" w:styleId="24">
    <w:name w:val="index 4"/>
    <w:basedOn w:val="1"/>
    <w:next w:val="1"/>
    <w:autoRedefine/>
    <w:unhideWhenUsed/>
    <w:qFormat/>
    <w:uiPriority w:val="99"/>
    <w:pPr>
      <w:ind w:left="600" w:leftChars="600"/>
    </w:pPr>
  </w:style>
  <w:style w:type="paragraph" w:styleId="25">
    <w:name w:val="toc 5"/>
    <w:basedOn w:val="1"/>
    <w:next w:val="1"/>
    <w:autoRedefine/>
    <w:qFormat/>
    <w:uiPriority w:val="99"/>
    <w:pPr>
      <w:ind w:left="1680" w:leftChars="800"/>
    </w:pPr>
  </w:style>
  <w:style w:type="paragraph" w:styleId="26">
    <w:name w:val="toc 3"/>
    <w:basedOn w:val="1"/>
    <w:next w:val="1"/>
    <w:autoRedefine/>
    <w:qFormat/>
    <w:uiPriority w:val="99"/>
    <w:pPr>
      <w:ind w:left="840" w:leftChars="400"/>
    </w:pPr>
  </w:style>
  <w:style w:type="paragraph" w:styleId="27">
    <w:name w:val="Plain Text"/>
    <w:basedOn w:val="1"/>
    <w:link w:val="79"/>
    <w:autoRedefine/>
    <w:qFormat/>
    <w:uiPriority w:val="99"/>
    <w:rPr>
      <w:rFonts w:hint="eastAsia" w:ascii="宋体" w:hAnsi="Courier New"/>
      <w:szCs w:val="20"/>
    </w:rPr>
  </w:style>
  <w:style w:type="paragraph" w:styleId="28">
    <w:name w:val="toc 8"/>
    <w:basedOn w:val="1"/>
    <w:next w:val="1"/>
    <w:autoRedefine/>
    <w:qFormat/>
    <w:uiPriority w:val="99"/>
    <w:pPr>
      <w:ind w:left="2940" w:leftChars="1400"/>
    </w:pPr>
  </w:style>
  <w:style w:type="paragraph" w:styleId="29">
    <w:name w:val="Date"/>
    <w:basedOn w:val="1"/>
    <w:next w:val="1"/>
    <w:link w:val="80"/>
    <w:autoRedefine/>
    <w:qFormat/>
    <w:uiPriority w:val="99"/>
    <w:pPr>
      <w:ind w:left="100" w:leftChars="2500"/>
    </w:pPr>
    <w:rPr>
      <w:rFonts w:ascii="仿宋_GB2312" w:hAnsi="宋体" w:eastAsia="仿宋_GB2312"/>
      <w:color w:val="000000"/>
      <w:sz w:val="24"/>
    </w:rPr>
  </w:style>
  <w:style w:type="paragraph" w:styleId="30">
    <w:name w:val="Body Text Indent 2"/>
    <w:basedOn w:val="1"/>
    <w:link w:val="81"/>
    <w:autoRedefine/>
    <w:qFormat/>
    <w:uiPriority w:val="99"/>
    <w:pPr>
      <w:ind w:firstLine="480" w:firstLineChars="200"/>
    </w:pPr>
    <w:rPr>
      <w:rFonts w:ascii="仿宋_GB2312" w:eastAsia="仿宋_GB2312"/>
      <w:sz w:val="24"/>
    </w:rPr>
  </w:style>
  <w:style w:type="paragraph" w:styleId="31">
    <w:name w:val="Balloon Text"/>
    <w:basedOn w:val="1"/>
    <w:link w:val="82"/>
    <w:autoRedefine/>
    <w:qFormat/>
    <w:uiPriority w:val="99"/>
    <w:rPr>
      <w:sz w:val="18"/>
      <w:szCs w:val="18"/>
    </w:rPr>
  </w:style>
  <w:style w:type="paragraph" w:styleId="32">
    <w:name w:val="footer"/>
    <w:basedOn w:val="1"/>
    <w:link w:val="83"/>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3">
    <w:name w:val="header"/>
    <w:basedOn w:val="1"/>
    <w:link w:val="84"/>
    <w:autoRedefine/>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5">
    <w:name w:val="toc 4"/>
    <w:basedOn w:val="1"/>
    <w:next w:val="1"/>
    <w:autoRedefine/>
    <w:qFormat/>
    <w:uiPriority w:val="99"/>
    <w:pPr>
      <w:ind w:left="1260" w:leftChars="600"/>
    </w:pPr>
  </w:style>
  <w:style w:type="paragraph" w:styleId="36">
    <w:name w:val="Subtitle"/>
    <w:basedOn w:val="1"/>
    <w:next w:val="1"/>
    <w:link w:val="415"/>
    <w:autoRedefine/>
    <w:qFormat/>
    <w:uiPriority w:val="99"/>
    <w:pPr>
      <w:spacing w:before="240" w:after="60" w:line="312" w:lineRule="auto"/>
      <w:jc w:val="center"/>
      <w:outlineLvl w:val="1"/>
    </w:pPr>
    <w:rPr>
      <w:rFonts w:ascii="Cambria" w:hAnsi="Cambria" w:eastAsia="Times New Roman"/>
      <w:b/>
      <w:bCs/>
      <w:kern w:val="28"/>
      <w:sz w:val="32"/>
      <w:szCs w:val="32"/>
      <w:lang w:val="zh-CN"/>
    </w:rPr>
  </w:style>
  <w:style w:type="paragraph" w:styleId="37">
    <w:name w:val="footnote text"/>
    <w:basedOn w:val="1"/>
    <w:link w:val="266"/>
    <w:autoRedefine/>
    <w:unhideWhenUsed/>
    <w:qFormat/>
    <w:uiPriority w:val="99"/>
    <w:pPr>
      <w:adjustRightInd w:val="0"/>
      <w:spacing w:line="312" w:lineRule="atLeast"/>
      <w:jc w:val="left"/>
    </w:pPr>
    <w:rPr>
      <w:kern w:val="0"/>
      <w:sz w:val="18"/>
      <w:szCs w:val="20"/>
      <w:lang w:val="zh-CN"/>
    </w:rPr>
  </w:style>
  <w:style w:type="paragraph" w:styleId="38">
    <w:name w:val="toc 6"/>
    <w:basedOn w:val="1"/>
    <w:next w:val="1"/>
    <w:autoRedefine/>
    <w:qFormat/>
    <w:uiPriority w:val="99"/>
    <w:pPr>
      <w:ind w:left="2100" w:leftChars="1000"/>
    </w:pPr>
  </w:style>
  <w:style w:type="paragraph" w:styleId="39">
    <w:name w:val="Body Text Indent 3"/>
    <w:basedOn w:val="1"/>
    <w:link w:val="85"/>
    <w:autoRedefine/>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40">
    <w:name w:val="table of figures"/>
    <w:basedOn w:val="1"/>
    <w:next w:val="1"/>
    <w:autoRedefine/>
    <w:unhideWhenUsed/>
    <w:qFormat/>
    <w:uiPriority w:val="99"/>
    <w:pPr>
      <w:ind w:left="840" w:hanging="420"/>
    </w:pPr>
    <w:rPr>
      <w:szCs w:val="20"/>
    </w:rPr>
  </w:style>
  <w:style w:type="paragraph" w:styleId="41">
    <w:name w:val="toc 2"/>
    <w:basedOn w:val="1"/>
    <w:next w:val="1"/>
    <w:autoRedefine/>
    <w:qFormat/>
    <w:uiPriority w:val="99"/>
    <w:pPr>
      <w:tabs>
        <w:tab w:val="right" w:leader="dot" w:pos="8937"/>
      </w:tabs>
      <w:spacing w:line="312" w:lineRule="auto"/>
      <w:ind w:left="420" w:leftChars="200"/>
    </w:pPr>
  </w:style>
  <w:style w:type="paragraph" w:styleId="42">
    <w:name w:val="toc 9"/>
    <w:basedOn w:val="1"/>
    <w:next w:val="1"/>
    <w:autoRedefine/>
    <w:qFormat/>
    <w:uiPriority w:val="99"/>
    <w:pPr>
      <w:ind w:left="3360" w:leftChars="1600"/>
    </w:pPr>
  </w:style>
  <w:style w:type="paragraph" w:styleId="43">
    <w:name w:val="Body Text 2"/>
    <w:basedOn w:val="1"/>
    <w:link w:val="267"/>
    <w:autoRedefine/>
    <w:unhideWhenUsed/>
    <w:qFormat/>
    <w:uiPriority w:val="99"/>
    <w:pPr>
      <w:adjustRightInd w:val="0"/>
      <w:spacing w:line="360" w:lineRule="atLeast"/>
    </w:pPr>
    <w:rPr>
      <w:rFonts w:ascii="宋体" w:hAnsi="宋体"/>
      <w:kern w:val="0"/>
      <w:sz w:val="24"/>
      <w:u w:val="single"/>
      <w:lang w:val="zh-CN"/>
    </w:rPr>
  </w:style>
  <w:style w:type="paragraph" w:styleId="44">
    <w:name w:val="HTML Preformatted"/>
    <w:basedOn w:val="1"/>
    <w:link w:val="8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5">
    <w:name w:val="Normal (Web)"/>
    <w:basedOn w:val="1"/>
    <w:link w:val="262"/>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rPr>
      <w:szCs w:val="20"/>
    </w:rPr>
  </w:style>
  <w:style w:type="paragraph" w:styleId="47">
    <w:name w:val="Title"/>
    <w:basedOn w:val="1"/>
    <w:link w:val="87"/>
    <w:autoRedefine/>
    <w:qFormat/>
    <w:uiPriority w:val="99"/>
    <w:pPr>
      <w:jc w:val="center"/>
      <w:outlineLvl w:val="0"/>
    </w:pPr>
    <w:rPr>
      <w:b/>
      <w:sz w:val="32"/>
      <w:szCs w:val="20"/>
    </w:rPr>
  </w:style>
  <w:style w:type="paragraph" w:styleId="48">
    <w:name w:val="annotation subject"/>
    <w:basedOn w:val="18"/>
    <w:next w:val="18"/>
    <w:link w:val="88"/>
    <w:autoRedefine/>
    <w:qFormat/>
    <w:uiPriority w:val="99"/>
    <w:rPr>
      <w:b/>
      <w:bCs/>
    </w:rPr>
  </w:style>
  <w:style w:type="paragraph" w:styleId="49">
    <w:name w:val="Body Text First Indent"/>
    <w:basedOn w:val="20"/>
    <w:link w:val="269"/>
    <w:autoRedefine/>
    <w:unhideWhenUsed/>
    <w:qFormat/>
    <w:uiPriority w:val="99"/>
    <w:pPr>
      <w:tabs>
        <w:tab w:val="clear" w:pos="567"/>
      </w:tabs>
      <w:spacing w:before="0" w:after="120" w:line="240" w:lineRule="auto"/>
      <w:ind w:firstLine="420" w:firstLineChars="100"/>
    </w:pPr>
    <w:rPr>
      <w:rFonts w:ascii="Times New Roman" w:hAnsi="Times New Roman"/>
      <w:sz w:val="21"/>
    </w:rPr>
  </w:style>
  <w:style w:type="paragraph" w:styleId="50">
    <w:name w:val="Body Text First Indent 2"/>
    <w:basedOn w:val="21"/>
    <w:link w:val="89"/>
    <w:autoRedefine/>
    <w:qFormat/>
    <w:uiPriority w:val="99"/>
    <w:pPr>
      <w:spacing w:after="120" w:line="480" w:lineRule="exact"/>
      <w:ind w:left="420" w:leftChars="200" w:firstLine="420" w:firstLineChars="200"/>
    </w:pPr>
    <w:rPr>
      <w:szCs w:val="20"/>
    </w:rPr>
  </w:style>
  <w:style w:type="table" w:styleId="52">
    <w:name w:val="Table Grid"/>
    <w:basedOn w:val="51"/>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3">
    <w:name w:val="Medium Grid 1 Accent 2"/>
    <w:basedOn w:val="51"/>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5">
    <w:name w:val="Strong"/>
    <w:autoRedefine/>
    <w:qFormat/>
    <w:uiPriority w:val="22"/>
    <w:rPr>
      <w:b/>
      <w:bCs/>
    </w:rPr>
  </w:style>
  <w:style w:type="character" w:styleId="56">
    <w:name w:val="page number"/>
    <w:autoRedefine/>
    <w:qFormat/>
    <w:uiPriority w:val="0"/>
  </w:style>
  <w:style w:type="character" w:styleId="57">
    <w:name w:val="FollowedHyperlink"/>
    <w:autoRedefine/>
    <w:qFormat/>
    <w:uiPriority w:val="99"/>
    <w:rPr>
      <w:color w:val="800080"/>
      <w:u w:val="single"/>
    </w:rPr>
  </w:style>
  <w:style w:type="character" w:styleId="58">
    <w:name w:val="Emphasis"/>
    <w:autoRedefine/>
    <w:qFormat/>
    <w:uiPriority w:val="20"/>
    <w:rPr>
      <w:color w:val="CC0033"/>
    </w:rPr>
  </w:style>
  <w:style w:type="character" w:styleId="59">
    <w:name w:val="Hyperlink"/>
    <w:autoRedefine/>
    <w:qFormat/>
    <w:uiPriority w:val="99"/>
    <w:rPr>
      <w:color w:val="0000FF"/>
      <w:u w:val="single"/>
    </w:rPr>
  </w:style>
  <w:style w:type="character" w:styleId="60">
    <w:name w:val="annotation reference"/>
    <w:autoRedefine/>
    <w:qFormat/>
    <w:uiPriority w:val="99"/>
    <w:rPr>
      <w:sz w:val="21"/>
      <w:szCs w:val="21"/>
    </w:rPr>
  </w:style>
  <w:style w:type="character" w:styleId="61">
    <w:name w:val="HTML Cite"/>
    <w:autoRedefine/>
    <w:qFormat/>
    <w:uiPriority w:val="0"/>
    <w:rPr>
      <w:i/>
      <w:iCs/>
    </w:rPr>
  </w:style>
  <w:style w:type="character" w:styleId="62">
    <w:name w:val="footnote reference"/>
    <w:autoRedefine/>
    <w:unhideWhenUsed/>
    <w:qFormat/>
    <w:uiPriority w:val="0"/>
    <w:rPr>
      <w:vertAlign w:val="superscript"/>
    </w:rPr>
  </w:style>
  <w:style w:type="character" w:customStyle="1" w:styleId="63">
    <w:name w:val="标题 2 字符"/>
    <w:autoRedefine/>
    <w:qFormat/>
    <w:locked/>
    <w:uiPriority w:val="0"/>
    <w:rPr>
      <w:rFonts w:hint="default" w:ascii="Arial" w:hAnsi="Arial" w:eastAsia="宋体" w:cs="Arial"/>
      <w:sz w:val="28"/>
      <w:lang w:val="zh-CN" w:eastAsia="zh-CN"/>
    </w:rPr>
  </w:style>
  <w:style w:type="character" w:customStyle="1" w:styleId="64">
    <w:name w:val="标题 1 字符1"/>
    <w:link w:val="3"/>
    <w:autoRedefine/>
    <w:qFormat/>
    <w:uiPriority w:val="0"/>
    <w:rPr>
      <w:rFonts w:ascii="宋体"/>
      <w:b/>
      <w:kern w:val="44"/>
      <w:sz w:val="32"/>
    </w:rPr>
  </w:style>
  <w:style w:type="character" w:customStyle="1" w:styleId="65">
    <w:name w:val="标题 2 字符1"/>
    <w:link w:val="4"/>
    <w:autoRedefine/>
    <w:qFormat/>
    <w:uiPriority w:val="0"/>
    <w:rPr>
      <w:rFonts w:ascii="Arial" w:hAnsi="Arial" w:eastAsia="黑体"/>
      <w:b/>
      <w:sz w:val="30"/>
      <w:lang w:val="en-US" w:eastAsia="zh-CN" w:bidi="ar-SA"/>
    </w:rPr>
  </w:style>
  <w:style w:type="character" w:customStyle="1" w:styleId="66">
    <w:name w:val="正文缩进 字符3"/>
    <w:link w:val="5"/>
    <w:autoRedefine/>
    <w:qFormat/>
    <w:uiPriority w:val="0"/>
    <w:rPr>
      <w:rFonts w:ascii="宋体" w:eastAsia="宋体"/>
      <w:kern w:val="2"/>
      <w:sz w:val="24"/>
      <w:szCs w:val="24"/>
      <w:lang w:val="en-US" w:eastAsia="zh-CN" w:bidi="ar-SA"/>
    </w:rPr>
  </w:style>
  <w:style w:type="character" w:customStyle="1" w:styleId="67">
    <w:name w:val="标题 3 字符2"/>
    <w:link w:val="6"/>
    <w:autoRedefine/>
    <w:qFormat/>
    <w:uiPriority w:val="9"/>
    <w:rPr>
      <w:rFonts w:ascii="宋体" w:eastAsia="宋体"/>
      <w:b/>
      <w:sz w:val="24"/>
      <w:u w:val="single"/>
      <w:lang w:val="en-US" w:eastAsia="zh-CN" w:bidi="ar-SA"/>
    </w:rPr>
  </w:style>
  <w:style w:type="character" w:customStyle="1" w:styleId="68">
    <w:name w:val="标题 4 字符1"/>
    <w:link w:val="7"/>
    <w:autoRedefine/>
    <w:qFormat/>
    <w:uiPriority w:val="0"/>
    <w:rPr>
      <w:rFonts w:ascii="Arial" w:hAnsi="Arial" w:eastAsia="黑体"/>
      <w:b/>
      <w:sz w:val="28"/>
    </w:rPr>
  </w:style>
  <w:style w:type="character" w:customStyle="1" w:styleId="69">
    <w:name w:val="标题 5 字符1"/>
    <w:link w:val="8"/>
    <w:autoRedefine/>
    <w:qFormat/>
    <w:uiPriority w:val="0"/>
    <w:rPr>
      <w:b/>
      <w:sz w:val="28"/>
    </w:rPr>
  </w:style>
  <w:style w:type="character" w:customStyle="1" w:styleId="70">
    <w:name w:val="标题 6 字符1"/>
    <w:link w:val="9"/>
    <w:autoRedefine/>
    <w:qFormat/>
    <w:uiPriority w:val="0"/>
    <w:rPr>
      <w:rFonts w:ascii="Arial" w:hAnsi="Arial" w:eastAsia="黑体"/>
      <w:b/>
      <w:sz w:val="24"/>
    </w:rPr>
  </w:style>
  <w:style w:type="character" w:customStyle="1" w:styleId="71">
    <w:name w:val="标题 7 字符1"/>
    <w:link w:val="10"/>
    <w:autoRedefine/>
    <w:qFormat/>
    <w:uiPriority w:val="0"/>
    <w:rPr>
      <w:b/>
      <w:sz w:val="24"/>
    </w:rPr>
  </w:style>
  <w:style w:type="character" w:customStyle="1" w:styleId="72">
    <w:name w:val="标题 8 字符1"/>
    <w:link w:val="11"/>
    <w:autoRedefine/>
    <w:qFormat/>
    <w:uiPriority w:val="0"/>
    <w:rPr>
      <w:rFonts w:ascii="Arial" w:hAnsi="Arial" w:eastAsia="黑体"/>
      <w:sz w:val="24"/>
    </w:rPr>
  </w:style>
  <w:style w:type="character" w:customStyle="1" w:styleId="73">
    <w:name w:val="标题 9 字符1"/>
    <w:link w:val="12"/>
    <w:autoRedefine/>
    <w:qFormat/>
    <w:uiPriority w:val="0"/>
    <w:rPr>
      <w:rFonts w:ascii="Arial" w:hAnsi="Arial" w:eastAsia="黑体"/>
      <w:sz w:val="21"/>
    </w:rPr>
  </w:style>
  <w:style w:type="character" w:customStyle="1" w:styleId="74">
    <w:name w:val="文档结构图 字符1"/>
    <w:link w:val="17"/>
    <w:autoRedefine/>
    <w:qFormat/>
    <w:uiPriority w:val="0"/>
    <w:rPr>
      <w:kern w:val="2"/>
      <w:sz w:val="21"/>
      <w:szCs w:val="24"/>
      <w:shd w:val="clear" w:color="auto" w:fill="000080"/>
    </w:rPr>
  </w:style>
  <w:style w:type="character" w:customStyle="1" w:styleId="75">
    <w:name w:val="批注文字 字符3"/>
    <w:link w:val="18"/>
    <w:autoRedefine/>
    <w:qFormat/>
    <w:uiPriority w:val="99"/>
    <w:rPr>
      <w:kern w:val="2"/>
      <w:sz w:val="21"/>
      <w:szCs w:val="24"/>
    </w:rPr>
  </w:style>
  <w:style w:type="character" w:customStyle="1" w:styleId="76">
    <w:name w:val="正文文本 3 字符1"/>
    <w:link w:val="19"/>
    <w:autoRedefine/>
    <w:qFormat/>
    <w:uiPriority w:val="0"/>
    <w:rPr>
      <w:kern w:val="2"/>
      <w:sz w:val="16"/>
      <w:szCs w:val="16"/>
    </w:rPr>
  </w:style>
  <w:style w:type="character" w:customStyle="1" w:styleId="77">
    <w:name w:val="正文文本 字符1"/>
    <w:link w:val="20"/>
    <w:autoRedefine/>
    <w:qFormat/>
    <w:uiPriority w:val="0"/>
    <w:rPr>
      <w:rFonts w:ascii="宋体" w:hAnsi="宋体"/>
      <w:kern w:val="2"/>
      <w:sz w:val="24"/>
      <w:szCs w:val="24"/>
    </w:rPr>
  </w:style>
  <w:style w:type="character" w:customStyle="1" w:styleId="78">
    <w:name w:val="正文文本缩进 字符1"/>
    <w:link w:val="21"/>
    <w:autoRedefine/>
    <w:qFormat/>
    <w:uiPriority w:val="0"/>
    <w:rPr>
      <w:rFonts w:eastAsia="宋体"/>
      <w:kern w:val="2"/>
      <w:sz w:val="24"/>
      <w:szCs w:val="24"/>
      <w:lang w:val="en-US" w:eastAsia="zh-CN" w:bidi="ar-SA"/>
    </w:rPr>
  </w:style>
  <w:style w:type="character" w:customStyle="1" w:styleId="79">
    <w:name w:val="纯文本 字符2"/>
    <w:link w:val="27"/>
    <w:autoRedefine/>
    <w:qFormat/>
    <w:uiPriority w:val="99"/>
    <w:rPr>
      <w:rFonts w:hint="eastAsia" w:ascii="宋体" w:hAnsi="Courier New" w:eastAsia="宋体" w:cs="宋体"/>
      <w:kern w:val="2"/>
      <w:sz w:val="21"/>
    </w:rPr>
  </w:style>
  <w:style w:type="character" w:customStyle="1" w:styleId="80">
    <w:name w:val="日期 字符2"/>
    <w:link w:val="29"/>
    <w:autoRedefine/>
    <w:qFormat/>
    <w:uiPriority w:val="99"/>
    <w:rPr>
      <w:rFonts w:ascii="仿宋_GB2312" w:hAnsi="宋体" w:eastAsia="仿宋_GB2312"/>
      <w:color w:val="000000"/>
      <w:kern w:val="2"/>
      <w:sz w:val="24"/>
      <w:szCs w:val="24"/>
    </w:rPr>
  </w:style>
  <w:style w:type="character" w:customStyle="1" w:styleId="81">
    <w:name w:val="正文文本缩进 2 字符1"/>
    <w:link w:val="30"/>
    <w:autoRedefine/>
    <w:qFormat/>
    <w:uiPriority w:val="0"/>
    <w:rPr>
      <w:rFonts w:ascii="仿宋_GB2312" w:eastAsia="仿宋_GB2312"/>
      <w:kern w:val="2"/>
      <w:sz w:val="24"/>
      <w:szCs w:val="24"/>
    </w:rPr>
  </w:style>
  <w:style w:type="character" w:customStyle="1" w:styleId="82">
    <w:name w:val="批注框文本 字符2"/>
    <w:link w:val="31"/>
    <w:autoRedefine/>
    <w:qFormat/>
    <w:uiPriority w:val="0"/>
    <w:rPr>
      <w:kern w:val="2"/>
      <w:sz w:val="18"/>
      <w:szCs w:val="18"/>
    </w:rPr>
  </w:style>
  <w:style w:type="character" w:customStyle="1" w:styleId="83">
    <w:name w:val="页脚 字符2"/>
    <w:link w:val="32"/>
    <w:autoRedefine/>
    <w:qFormat/>
    <w:uiPriority w:val="0"/>
    <w:rPr>
      <w:rFonts w:ascii="宋体" w:eastAsia="宋体"/>
      <w:sz w:val="18"/>
      <w:lang w:val="en-US" w:eastAsia="zh-CN" w:bidi="ar-SA"/>
    </w:rPr>
  </w:style>
  <w:style w:type="character" w:customStyle="1" w:styleId="84">
    <w:name w:val="页眉 字符2"/>
    <w:link w:val="33"/>
    <w:autoRedefine/>
    <w:qFormat/>
    <w:uiPriority w:val="99"/>
    <w:rPr>
      <w:rFonts w:eastAsia="宋体"/>
      <w:kern w:val="2"/>
      <w:sz w:val="18"/>
      <w:szCs w:val="18"/>
      <w:lang w:val="en-US" w:eastAsia="zh-CN" w:bidi="ar-SA"/>
    </w:rPr>
  </w:style>
  <w:style w:type="character" w:customStyle="1" w:styleId="85">
    <w:name w:val="正文文本缩进 3 字符1"/>
    <w:link w:val="39"/>
    <w:autoRedefine/>
    <w:qFormat/>
    <w:uiPriority w:val="99"/>
    <w:rPr>
      <w:rFonts w:ascii="宋体"/>
      <w:sz w:val="24"/>
    </w:rPr>
  </w:style>
  <w:style w:type="character" w:customStyle="1" w:styleId="86">
    <w:name w:val="HTML 预设格式 字符1"/>
    <w:link w:val="44"/>
    <w:autoRedefine/>
    <w:qFormat/>
    <w:uiPriority w:val="0"/>
    <w:rPr>
      <w:rFonts w:ascii="宋体" w:hAnsi="宋体" w:cs="宋体"/>
      <w:sz w:val="24"/>
      <w:szCs w:val="24"/>
    </w:rPr>
  </w:style>
  <w:style w:type="character" w:customStyle="1" w:styleId="87">
    <w:name w:val="标题 字符1"/>
    <w:link w:val="47"/>
    <w:autoRedefine/>
    <w:qFormat/>
    <w:uiPriority w:val="0"/>
    <w:rPr>
      <w:b/>
      <w:kern w:val="2"/>
      <w:sz w:val="32"/>
    </w:rPr>
  </w:style>
  <w:style w:type="character" w:customStyle="1" w:styleId="88">
    <w:name w:val="批注主题 字符2"/>
    <w:link w:val="48"/>
    <w:autoRedefine/>
    <w:qFormat/>
    <w:uiPriority w:val="0"/>
    <w:rPr>
      <w:rFonts w:ascii="Times New Roman" w:hAnsi="Times New Roman" w:eastAsia="宋体" w:cs="Times New Roman"/>
      <w:b/>
      <w:bCs/>
      <w:kern w:val="2"/>
      <w:sz w:val="21"/>
      <w:szCs w:val="24"/>
      <w:lang w:val="en-US" w:eastAsia="zh-CN" w:bidi="ar-SA"/>
    </w:rPr>
  </w:style>
  <w:style w:type="character" w:customStyle="1" w:styleId="89">
    <w:name w:val="正文首行缩进 2 字符"/>
    <w:link w:val="50"/>
    <w:autoRedefine/>
    <w:qFormat/>
    <w:uiPriority w:val="99"/>
    <w:rPr>
      <w:rFonts w:eastAsia="宋体"/>
      <w:kern w:val="2"/>
      <w:sz w:val="24"/>
      <w:szCs w:val="24"/>
      <w:lang w:val="en-US" w:eastAsia="zh-CN" w:bidi="ar-SA"/>
    </w:rPr>
  </w:style>
  <w:style w:type="character" w:customStyle="1" w:styleId="90">
    <w:name w:val="批注文字 字符"/>
    <w:autoRedefine/>
    <w:qFormat/>
    <w:uiPriority w:val="99"/>
    <w:rPr>
      <w:rFonts w:ascii="Times New Roman" w:hAnsi="Times New Roman" w:eastAsia="宋体" w:cs="Times New Roman"/>
      <w:sz w:val="24"/>
      <w:lang w:val="en-US" w:eastAsia="zh-CN" w:bidi="ar-SA"/>
    </w:rPr>
  </w:style>
  <w:style w:type="character" w:customStyle="1" w:styleId="91">
    <w:name w:val="c21"/>
    <w:autoRedefine/>
    <w:qFormat/>
    <w:uiPriority w:val="0"/>
    <w:rPr>
      <w:rFonts w:hint="default" w:ascii="ˎ̥" w:hAnsi="ˎ̥"/>
      <w:color w:val="000000"/>
      <w:sz w:val="20"/>
      <w:szCs w:val="20"/>
      <w:u w:val="none"/>
    </w:rPr>
  </w:style>
  <w:style w:type="character" w:customStyle="1" w:styleId="92">
    <w:name w:val="title4"/>
    <w:autoRedefine/>
    <w:qFormat/>
    <w:uiPriority w:val="0"/>
    <w:rPr>
      <w:b/>
      <w:bCs/>
      <w:color w:val="1D87B3"/>
      <w:sz w:val="15"/>
      <w:szCs w:val="15"/>
    </w:rPr>
  </w:style>
  <w:style w:type="character" w:customStyle="1" w:styleId="93">
    <w:name w:val="标题 2 Char Char"/>
    <w:autoRedefine/>
    <w:qFormat/>
    <w:uiPriority w:val="0"/>
    <w:rPr>
      <w:rFonts w:ascii="Arial" w:hAnsi="Arial" w:eastAsia="黑体"/>
      <w:b/>
      <w:bCs/>
      <w:kern w:val="2"/>
      <w:sz w:val="32"/>
      <w:szCs w:val="32"/>
      <w:lang w:val="en-US" w:eastAsia="zh-CN" w:bidi="ar-SA"/>
    </w:rPr>
  </w:style>
  <w:style w:type="character" w:customStyle="1" w:styleId="94">
    <w:name w:val="black1"/>
    <w:autoRedefine/>
    <w:qFormat/>
    <w:uiPriority w:val="0"/>
    <w:rPr>
      <w:color w:val="000000"/>
    </w:rPr>
  </w:style>
  <w:style w:type="character" w:customStyle="1" w:styleId="95">
    <w:name w:val="street-address"/>
    <w:autoRedefine/>
    <w:qFormat/>
    <w:uiPriority w:val="0"/>
  </w:style>
  <w:style w:type="character" w:customStyle="1" w:styleId="96">
    <w:name w:val="locality"/>
    <w:autoRedefine/>
    <w:qFormat/>
    <w:uiPriority w:val="0"/>
  </w:style>
  <w:style w:type="character" w:customStyle="1" w:styleId="97">
    <w:name w:val="正文文本缩进 Char1"/>
    <w:link w:val="98"/>
    <w:autoRedefine/>
    <w:qFormat/>
    <w:uiPriority w:val="0"/>
    <w:rPr>
      <w:rFonts w:ascii="宋体" w:hAnsi="宋体" w:eastAsia="宋体"/>
      <w:sz w:val="24"/>
      <w:szCs w:val="24"/>
      <w:lang w:bidi="ar-SA"/>
    </w:rPr>
  </w:style>
  <w:style w:type="paragraph" w:customStyle="1" w:styleId="98">
    <w:name w:val="正文文本缩进1"/>
    <w:basedOn w:val="1"/>
    <w:link w:val="97"/>
    <w:autoRedefine/>
    <w:qFormat/>
    <w:uiPriority w:val="0"/>
    <w:pPr>
      <w:spacing w:line="480" w:lineRule="exact"/>
      <w:ind w:firstLine="480" w:firstLineChars="200"/>
    </w:pPr>
    <w:rPr>
      <w:rFonts w:ascii="宋体" w:hAnsi="宋体"/>
      <w:kern w:val="0"/>
      <w:sz w:val="24"/>
    </w:rPr>
  </w:style>
  <w:style w:type="character" w:customStyle="1" w:styleId="99">
    <w:name w:val="Char Char11"/>
    <w:autoRedefine/>
    <w:qFormat/>
    <w:uiPriority w:val="0"/>
    <w:rPr>
      <w:rFonts w:ascii="宋体" w:eastAsia="宋体"/>
      <w:b/>
      <w:sz w:val="24"/>
      <w:u w:val="single"/>
      <w:lang w:val="en-US" w:eastAsia="zh-CN" w:bidi="ar-SA"/>
    </w:rPr>
  </w:style>
  <w:style w:type="character" w:customStyle="1" w:styleId="100">
    <w:name w:val="txt"/>
    <w:autoRedefine/>
    <w:qFormat/>
    <w:uiPriority w:val="0"/>
  </w:style>
  <w:style w:type="character" w:customStyle="1" w:styleId="101">
    <w:name w:val="正文缩进 Char Char"/>
    <w:link w:val="102"/>
    <w:autoRedefine/>
    <w:qFormat/>
    <w:uiPriority w:val="0"/>
    <w:rPr>
      <w:rFonts w:ascii="宋体" w:eastAsia="宋体"/>
      <w:snapToGrid w:val="0"/>
      <w:color w:val="000000"/>
      <w:kern w:val="28"/>
      <w:sz w:val="28"/>
      <w:lang w:bidi="ar-SA"/>
    </w:rPr>
  </w:style>
  <w:style w:type="paragraph" w:customStyle="1" w:styleId="102">
    <w:name w:val="正文缩进1"/>
    <w:basedOn w:val="1"/>
    <w:link w:val="10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3">
    <w:name w:val="普通文字1 Char1"/>
    <w:autoRedefine/>
    <w:qFormat/>
    <w:uiPriority w:val="0"/>
    <w:rPr>
      <w:rFonts w:ascii="宋体" w:hAnsi="Courier New" w:eastAsia="宋体"/>
      <w:kern w:val="2"/>
      <w:sz w:val="21"/>
      <w:lang w:val="en-US" w:eastAsia="zh-CN" w:bidi="ar-SA"/>
    </w:rPr>
  </w:style>
  <w:style w:type="character" w:customStyle="1" w:styleId="104">
    <w:name w:val="chanpin1"/>
    <w:autoRedefine/>
    <w:qFormat/>
    <w:uiPriority w:val="0"/>
    <w:rPr>
      <w:rFonts w:hint="default" w:ascii="ˎ̥" w:hAnsi="ˎ̥"/>
      <w:color w:val="000000"/>
      <w:sz w:val="20"/>
      <w:szCs w:val="20"/>
      <w:u w:val="none"/>
    </w:rPr>
  </w:style>
  <w:style w:type="character" w:customStyle="1" w:styleId="105">
    <w:name w:val="列出段落 字符"/>
    <w:link w:val="15"/>
    <w:autoRedefine/>
    <w:qFormat/>
    <w:uiPriority w:val="34"/>
    <w:rPr>
      <w:rFonts w:ascii="Calibri" w:hAnsi="Calibri" w:eastAsia="宋体"/>
      <w:kern w:val="2"/>
      <w:sz w:val="21"/>
      <w:szCs w:val="22"/>
      <w:lang w:val="en-US" w:eastAsia="zh-CN" w:bidi="ar-SA"/>
    </w:rPr>
  </w:style>
  <w:style w:type="character" w:customStyle="1" w:styleId="106">
    <w:name w:val="标题 3 Char Char"/>
    <w:autoRedefine/>
    <w:qFormat/>
    <w:uiPriority w:val="0"/>
    <w:rPr>
      <w:rFonts w:eastAsia="宋体"/>
      <w:b/>
      <w:bCs/>
      <w:kern w:val="2"/>
      <w:sz w:val="32"/>
      <w:szCs w:val="32"/>
      <w:lang w:val="en-US" w:eastAsia="zh-CN" w:bidi="ar-SA"/>
    </w:rPr>
  </w:style>
  <w:style w:type="character" w:customStyle="1" w:styleId="107">
    <w:name w:val="段1 Char"/>
    <w:autoRedefine/>
    <w:qFormat/>
    <w:uiPriority w:val="0"/>
    <w:rPr>
      <w:rFonts w:ascii="宋体" w:eastAsia="宋体"/>
      <w:sz w:val="24"/>
      <w:lang w:val="en-US" w:eastAsia="zh-CN" w:bidi="ar-SA"/>
    </w:rPr>
  </w:style>
  <w:style w:type="character" w:customStyle="1" w:styleId="108">
    <w:name w:val="chanpin拷贝"/>
    <w:autoRedefine/>
    <w:qFormat/>
    <w:uiPriority w:val="0"/>
  </w:style>
  <w:style w:type="character" w:customStyle="1" w:styleId="109">
    <w:name w:val="纯文本 Char1"/>
    <w:autoRedefine/>
    <w:qFormat/>
    <w:uiPriority w:val="0"/>
    <w:rPr>
      <w:rFonts w:ascii="宋体" w:hAnsi="Courier New" w:eastAsia="宋体"/>
      <w:kern w:val="2"/>
      <w:sz w:val="21"/>
      <w:lang w:val="en-US" w:eastAsia="zh-CN" w:bidi="ar-SA"/>
    </w:rPr>
  </w:style>
  <w:style w:type="character" w:customStyle="1" w:styleId="110">
    <w:name w:val="apple-style-span"/>
    <w:autoRedefine/>
    <w:qFormat/>
    <w:uiPriority w:val="0"/>
    <w:rPr>
      <w:rFonts w:cs="Times New Roman"/>
    </w:rPr>
  </w:style>
  <w:style w:type="paragraph" w:customStyle="1" w:styleId="111">
    <w:name w:val="二级条标题"/>
    <w:basedOn w:val="112"/>
    <w:next w:val="1"/>
    <w:autoRedefine/>
    <w:qFormat/>
    <w:uiPriority w:val="99"/>
    <w:pPr>
      <w:numPr>
        <w:ilvl w:val="0"/>
        <w:numId w:val="0"/>
      </w:numPr>
      <w:tabs>
        <w:tab w:val="left" w:pos="360"/>
        <w:tab w:val="left" w:pos="840"/>
      </w:tabs>
      <w:ind w:hanging="840"/>
      <w:outlineLvl w:val="2"/>
    </w:pPr>
    <w:rPr>
      <w:rFonts w:ascii="宋体" w:eastAsia="宋体"/>
      <w:b w:val="0"/>
    </w:rPr>
  </w:style>
  <w:style w:type="paragraph" w:customStyle="1" w:styleId="112">
    <w:name w:val="一级条标题"/>
    <w:basedOn w:val="113"/>
    <w:next w:val="1"/>
    <w:autoRedefine/>
    <w:qFormat/>
    <w:uiPriority w:val="99"/>
    <w:pPr>
      <w:numPr>
        <w:ilvl w:val="1"/>
      </w:numPr>
      <w:tabs>
        <w:tab w:val="left" w:pos="360"/>
        <w:tab w:val="left" w:pos="840"/>
      </w:tabs>
      <w:ind w:left="0" w:hanging="840"/>
      <w:outlineLvl w:val="1"/>
    </w:pPr>
  </w:style>
  <w:style w:type="paragraph" w:customStyle="1" w:styleId="113">
    <w:name w:val="章标题"/>
    <w:next w:val="1"/>
    <w:autoRedefine/>
    <w:qFormat/>
    <w:uiPriority w:val="99"/>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4">
    <w:name w:val="font7"/>
    <w:basedOn w:val="1"/>
    <w:autoRedefine/>
    <w:qFormat/>
    <w:uiPriority w:val="99"/>
    <w:pPr>
      <w:widowControl/>
      <w:spacing w:before="100" w:beforeAutospacing="1" w:after="100" w:afterAutospacing="1"/>
      <w:jc w:val="left"/>
    </w:pPr>
    <w:rPr>
      <w:rFonts w:eastAsia="Arial Unicode MS"/>
      <w:b/>
      <w:bCs/>
      <w:color w:val="000000"/>
      <w:kern w:val="0"/>
      <w:sz w:val="20"/>
      <w:szCs w:val="20"/>
    </w:rPr>
  </w:style>
  <w:style w:type="paragraph" w:customStyle="1" w:styleId="115">
    <w:name w:val="字元 字元"/>
    <w:basedOn w:val="1"/>
    <w:autoRedefine/>
    <w:qFormat/>
    <w:uiPriority w:val="99"/>
    <w:rPr>
      <w:rFonts w:ascii="Tahoma" w:hAnsi="Tahoma"/>
      <w:sz w:val="24"/>
      <w:szCs w:val="20"/>
    </w:rPr>
  </w:style>
  <w:style w:type="paragraph" w:customStyle="1" w:styleId="116">
    <w:name w:val="Char3 Char Char Char"/>
    <w:basedOn w:val="1"/>
    <w:autoRedefine/>
    <w:qFormat/>
    <w:uiPriority w:val="99"/>
    <w:rPr>
      <w:rFonts w:ascii="Tahoma" w:hAnsi="Tahoma"/>
      <w:sz w:val="24"/>
      <w:szCs w:val="20"/>
    </w:rPr>
  </w:style>
  <w:style w:type="paragraph" w:customStyle="1" w:styleId="117">
    <w:name w:val="font6"/>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118">
    <w:name w:val="项目编号2"/>
    <w:basedOn w:val="119"/>
    <w:autoRedefine/>
    <w:qFormat/>
    <w:uiPriority w:val="99"/>
    <w:pPr>
      <w:numPr>
        <w:numId w:val="2"/>
      </w:numPr>
    </w:pPr>
  </w:style>
  <w:style w:type="paragraph" w:customStyle="1" w:styleId="119">
    <w:name w:val="项目编号1"/>
    <w:basedOn w:val="1"/>
    <w:autoRedefine/>
    <w:qFormat/>
    <w:uiPriority w:val="99"/>
    <w:pPr>
      <w:numPr>
        <w:ilvl w:val="0"/>
        <w:numId w:val="3"/>
      </w:numPr>
      <w:spacing w:before="100" w:beforeAutospacing="1" w:after="100" w:afterAutospacing="1" w:line="360" w:lineRule="auto"/>
    </w:pPr>
    <w:rPr>
      <w:sz w:val="24"/>
    </w:rPr>
  </w:style>
  <w:style w:type="paragraph" w:customStyle="1" w:styleId="120">
    <w:name w:val="图中文字"/>
    <w:basedOn w:val="1"/>
    <w:autoRedefine/>
    <w:qFormat/>
    <w:uiPriority w:val="99"/>
    <w:pPr>
      <w:adjustRightInd w:val="0"/>
      <w:snapToGrid w:val="0"/>
      <w:spacing w:line="0" w:lineRule="atLeast"/>
      <w:jc w:val="center"/>
    </w:pPr>
    <w:rPr>
      <w:sz w:val="24"/>
      <w:szCs w:val="20"/>
    </w:rPr>
  </w:style>
  <w:style w:type="paragraph" w:customStyle="1" w:styleId="121">
    <w:name w:val="xl46"/>
    <w:basedOn w:val="1"/>
    <w:autoRedefine/>
    <w:qFormat/>
    <w:uiPriority w:val="99"/>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2">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3">
    <w:name w:val="Char2"/>
    <w:basedOn w:val="1"/>
    <w:autoRedefine/>
    <w:qFormat/>
    <w:uiPriority w:val="99"/>
    <w:rPr>
      <w:rFonts w:ascii="Tahoma" w:hAnsi="Tahoma"/>
      <w:sz w:val="24"/>
      <w:szCs w:val="20"/>
    </w:rPr>
  </w:style>
  <w:style w:type="paragraph" w:customStyle="1" w:styleId="124">
    <w:name w:val="xl35"/>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5">
    <w:name w:val="xl4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6">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7">
    <w:name w:val="xl43"/>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8">
    <w:name w:val="background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29">
    <w:name w:val="Char Char Char Char Char Char Char"/>
    <w:basedOn w:val="1"/>
    <w:autoRedefine/>
    <w:qFormat/>
    <w:uiPriority w:val="99"/>
    <w:pPr>
      <w:snapToGrid w:val="0"/>
      <w:spacing w:line="360" w:lineRule="auto"/>
      <w:ind w:firstLine="200" w:firstLineChars="200"/>
    </w:pPr>
    <w:rPr>
      <w:rFonts w:eastAsia="仿宋_GB2312"/>
      <w:sz w:val="24"/>
    </w:rPr>
  </w:style>
  <w:style w:type="paragraph" w:customStyle="1" w:styleId="130">
    <w:name w:val="xl3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1">
    <w:name w:val="xl36"/>
    <w:basedOn w:val="1"/>
    <w:autoRedefine/>
    <w:qFormat/>
    <w:uiPriority w:val="99"/>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2">
    <w:name w:val="正文 + 宋体"/>
    <w:basedOn w:val="1"/>
    <w:autoRedefine/>
    <w:qFormat/>
    <w:uiPriority w:val="99"/>
    <w:pPr>
      <w:widowControl/>
      <w:ind w:left="360" w:hanging="360"/>
      <w:jc w:val="left"/>
    </w:pPr>
    <w:rPr>
      <w:rFonts w:ascii="宋体" w:hAnsi="宋体" w:cs="宋体"/>
      <w:b/>
      <w:bCs/>
      <w:color w:val="000000"/>
      <w:kern w:val="0"/>
      <w:sz w:val="18"/>
      <w:szCs w:val="18"/>
    </w:rPr>
  </w:style>
  <w:style w:type="paragraph" w:customStyle="1" w:styleId="133">
    <w:name w:val="正文列项_数字"/>
    <w:basedOn w:val="1"/>
    <w:autoRedefine/>
    <w:qFormat/>
    <w:uiPriority w:val="99"/>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4">
    <w:name w:val="xl3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5">
    <w:name w:val="xl37"/>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6">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7">
    <w:name w:val="font8"/>
    <w:basedOn w:val="1"/>
    <w:autoRedefine/>
    <w:qFormat/>
    <w:uiPriority w:val="99"/>
    <w:pPr>
      <w:widowControl/>
      <w:spacing w:before="100" w:beforeAutospacing="1" w:after="100" w:afterAutospacing="1"/>
      <w:jc w:val="left"/>
    </w:pPr>
    <w:rPr>
      <w:kern w:val="0"/>
      <w:sz w:val="36"/>
      <w:szCs w:val="36"/>
    </w:rPr>
  </w:style>
  <w:style w:type="paragraph" w:customStyle="1" w:styleId="138">
    <w:name w:val="Char"/>
    <w:basedOn w:val="1"/>
    <w:autoRedefine/>
    <w:qFormat/>
    <w:uiPriority w:val="99"/>
    <w:pPr>
      <w:tabs>
        <w:tab w:val="left" w:pos="360"/>
      </w:tabs>
    </w:pPr>
    <w:rPr>
      <w:sz w:val="24"/>
    </w:rPr>
  </w:style>
  <w:style w:type="paragraph" w:customStyle="1" w:styleId="139">
    <w:name w:val="Char Char Char Char Char Char Char Char Char Char Char Char Char Char Char Char"/>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140">
    <w:name w:val="xl4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1">
    <w:name w:val="Char Char1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2">
    <w:name w:val="Char Char1"/>
    <w:basedOn w:val="17"/>
    <w:autoRedefine/>
    <w:qFormat/>
    <w:uiPriority w:val="99"/>
    <w:rPr>
      <w:rFonts w:ascii="Tahoma" w:hAnsi="Tahoma"/>
      <w:sz w:val="24"/>
    </w:rPr>
  </w:style>
  <w:style w:type="paragraph" w:customStyle="1" w:styleId="143">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4">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5">
    <w:name w:val="xl4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6">
    <w:name w:val="样式 宋体 五号 行距: 单倍行距"/>
    <w:basedOn w:val="1"/>
    <w:autoRedefine/>
    <w:qFormat/>
    <w:uiPriority w:val="99"/>
    <w:pPr>
      <w:adjustRightInd w:val="0"/>
      <w:jc w:val="left"/>
      <w:textAlignment w:val="baseline"/>
    </w:pPr>
    <w:rPr>
      <w:rFonts w:ascii="宋体" w:hAnsi="宋体"/>
      <w:kern w:val="0"/>
      <w:szCs w:val="20"/>
    </w:rPr>
  </w:style>
  <w:style w:type="paragraph" w:customStyle="1" w:styleId="147">
    <w:name w:val="Char1 Char Char Char1"/>
    <w:basedOn w:val="1"/>
    <w:autoRedefine/>
    <w:qFormat/>
    <w:uiPriority w:val="99"/>
    <w:rPr>
      <w:rFonts w:ascii="Tahoma" w:hAnsi="Tahoma" w:cs="仿宋_GB2312"/>
      <w:sz w:val="24"/>
      <w:szCs w:val="28"/>
    </w:rPr>
  </w:style>
  <w:style w:type="paragraph" w:customStyle="1" w:styleId="148">
    <w:name w:val="四级条标题"/>
    <w:basedOn w:val="149"/>
    <w:next w:val="1"/>
    <w:autoRedefine/>
    <w:qFormat/>
    <w:uiPriority w:val="99"/>
    <w:pPr>
      <w:numPr>
        <w:ilvl w:val="4"/>
      </w:numPr>
      <w:tabs>
        <w:tab w:val="left" w:pos="360"/>
        <w:tab w:val="left" w:pos="840"/>
      </w:tabs>
      <w:ind w:left="0" w:hanging="840"/>
      <w:outlineLvl w:val="4"/>
    </w:pPr>
  </w:style>
  <w:style w:type="paragraph" w:customStyle="1" w:styleId="149">
    <w:name w:val="三级条标题"/>
    <w:basedOn w:val="111"/>
    <w:next w:val="1"/>
    <w:autoRedefine/>
    <w:qFormat/>
    <w:uiPriority w:val="99"/>
    <w:pPr>
      <w:numPr>
        <w:ilvl w:val="3"/>
        <w:numId w:val="1"/>
      </w:numPr>
      <w:ind w:left="0" w:hanging="840"/>
      <w:outlineLvl w:val="3"/>
    </w:pPr>
  </w:style>
  <w:style w:type="paragraph" w:customStyle="1" w:styleId="150">
    <w:name w:val="??"/>
    <w:autoRedefine/>
    <w:qFormat/>
    <w:uiPriority w:val="99"/>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1">
    <w:name w:val="样式 标题 2 + 宋体 五号 行距: 单倍行距"/>
    <w:basedOn w:val="4"/>
    <w:autoRedefine/>
    <w:qFormat/>
    <w:uiPriority w:val="99"/>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2">
    <w:name w:val="List Paragraph1"/>
    <w:basedOn w:val="1"/>
    <w:autoRedefine/>
    <w:qFormat/>
    <w:uiPriority w:val="99"/>
    <w:pPr>
      <w:ind w:firstLine="420" w:firstLineChars="200"/>
    </w:pPr>
    <w:rPr>
      <w:rFonts w:ascii="Calibri" w:hAnsi="Calibri"/>
      <w:szCs w:val="22"/>
    </w:rPr>
  </w:style>
  <w:style w:type="paragraph" w:customStyle="1" w:styleId="153">
    <w:name w:val="项目符号1"/>
    <w:basedOn w:val="154"/>
    <w:autoRedefine/>
    <w:qFormat/>
    <w:uiPriority w:val="99"/>
    <w:pPr>
      <w:ind w:left="-25" w:firstLine="0"/>
    </w:pPr>
  </w:style>
  <w:style w:type="paragraph" w:customStyle="1" w:styleId="154">
    <w:name w:val="正文文本样式"/>
    <w:basedOn w:val="1"/>
    <w:autoRedefine/>
    <w:qFormat/>
    <w:uiPriority w:val="99"/>
    <w:pPr>
      <w:spacing w:line="360" w:lineRule="auto"/>
      <w:ind w:firstLine="482"/>
    </w:pPr>
    <w:rPr>
      <w:rFonts w:cs="宋体"/>
      <w:sz w:val="24"/>
      <w:szCs w:val="20"/>
    </w:rPr>
  </w:style>
  <w:style w:type="paragraph" w:customStyle="1" w:styleId="155">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6">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157">
    <w:name w:val="五级条标题"/>
    <w:basedOn w:val="148"/>
    <w:next w:val="1"/>
    <w:autoRedefine/>
    <w:qFormat/>
    <w:uiPriority w:val="99"/>
    <w:pPr>
      <w:numPr>
        <w:ilvl w:val="5"/>
      </w:numPr>
      <w:ind w:left="0" w:hanging="840"/>
      <w:outlineLvl w:val="5"/>
    </w:pPr>
  </w:style>
  <w:style w:type="paragraph" w:customStyle="1" w:styleId="158">
    <w:name w:val="xl4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9">
    <w:name w:val="文档正文"/>
    <w:basedOn w:val="1"/>
    <w:autoRedefine/>
    <w:qFormat/>
    <w:uiPriority w:val="99"/>
    <w:pPr>
      <w:snapToGrid w:val="0"/>
      <w:spacing w:before="120" w:after="120" w:line="180" w:lineRule="auto"/>
    </w:pPr>
    <w:rPr>
      <w:rFonts w:ascii="Arial" w:hAnsi="Arial"/>
      <w:szCs w:val="20"/>
    </w:rPr>
  </w:style>
  <w:style w:type="paragraph" w:customStyle="1" w:styleId="160">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1">
    <w:name w:val="xl4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2">
    <w:name w:val="Char Char Char1 Char"/>
    <w:basedOn w:val="1"/>
    <w:autoRedefine/>
    <w:qFormat/>
    <w:uiPriority w:val="99"/>
    <w:rPr>
      <w:rFonts w:ascii="Tahoma" w:hAnsi="Tahoma"/>
      <w:sz w:val="24"/>
      <w:szCs w:val="20"/>
    </w:rPr>
  </w:style>
  <w:style w:type="paragraph" w:customStyle="1" w:styleId="163">
    <w:name w:val="xl44"/>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4">
    <w:name w:val="1名"/>
    <w:basedOn w:val="1"/>
    <w:autoRedefine/>
    <w:qFormat/>
    <w:uiPriority w:val="99"/>
    <w:pPr>
      <w:numPr>
        <w:ilvl w:val="0"/>
        <w:numId w:val="5"/>
      </w:numPr>
      <w:spacing w:before="120"/>
    </w:pPr>
    <w:rPr>
      <w:rFonts w:ascii="宋体"/>
      <w:sz w:val="28"/>
      <w:szCs w:val="20"/>
    </w:rPr>
  </w:style>
  <w:style w:type="paragraph" w:customStyle="1" w:styleId="165">
    <w:name w:val="font9"/>
    <w:basedOn w:val="1"/>
    <w:autoRedefine/>
    <w:qFormat/>
    <w:uiPriority w:val="99"/>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6">
    <w:name w:val="Char Char Char1 Char1"/>
    <w:basedOn w:val="1"/>
    <w:autoRedefine/>
    <w:qFormat/>
    <w:uiPriority w:val="99"/>
    <w:rPr>
      <w:rFonts w:ascii="Tahoma" w:hAnsi="Tahoma"/>
      <w:sz w:val="24"/>
      <w:szCs w:val="20"/>
    </w:rPr>
  </w:style>
  <w:style w:type="paragraph" w:customStyle="1" w:styleId="167">
    <w:name w:val="Char Char Char Char Char Char Char Char Char Char"/>
    <w:basedOn w:val="1"/>
    <w:autoRedefine/>
    <w:qFormat/>
    <w:uiPriority w:val="99"/>
  </w:style>
  <w:style w:type="paragraph" w:customStyle="1" w:styleId="168">
    <w:name w:val="Char Char1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69">
    <w:name w:val="Char1"/>
    <w:basedOn w:val="1"/>
    <w:autoRedefine/>
    <w:qFormat/>
    <w:uiPriority w:val="99"/>
    <w:pPr>
      <w:tabs>
        <w:tab w:val="left" w:pos="360"/>
      </w:tabs>
    </w:pPr>
    <w:rPr>
      <w:sz w:val="24"/>
    </w:rPr>
  </w:style>
  <w:style w:type="paragraph" w:customStyle="1" w:styleId="170">
    <w:name w:val="正文列项_字母"/>
    <w:basedOn w:val="1"/>
    <w:autoRedefine/>
    <w:qFormat/>
    <w:uiPriority w:val="99"/>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1">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2">
    <w:name w:val="xl47"/>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3">
    <w:name w:val="默认段落字体 Para Char Char Char Char"/>
    <w:basedOn w:val="1"/>
    <w:autoRedefine/>
    <w:qFormat/>
    <w:uiPriority w:val="99"/>
    <w:rPr>
      <w:rFonts w:ascii="Arial" w:hAnsi="Arial" w:cs="Arial"/>
      <w:szCs w:val="21"/>
    </w:rPr>
  </w:style>
  <w:style w:type="paragraph" w:customStyle="1" w:styleId="174">
    <w:name w:val="xl4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5">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6">
    <w:name w:val="xl5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7">
    <w:name w:val="Char Char Char"/>
    <w:basedOn w:val="1"/>
    <w:autoRedefine/>
    <w:qFormat/>
    <w:uiPriority w:val="99"/>
    <w:rPr>
      <w:rFonts w:ascii="Tahoma" w:hAnsi="Tahoma"/>
      <w:sz w:val="24"/>
      <w:szCs w:val="20"/>
    </w:rPr>
  </w:style>
  <w:style w:type="paragraph" w:customStyle="1" w:styleId="178">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79">
    <w:name w:val="缺省文本"/>
    <w:basedOn w:val="1"/>
    <w:autoRedefine/>
    <w:qFormat/>
    <w:uiPriority w:val="99"/>
    <w:pPr>
      <w:autoSpaceDE w:val="0"/>
      <w:autoSpaceDN w:val="0"/>
      <w:adjustRightInd w:val="0"/>
      <w:jc w:val="left"/>
    </w:pPr>
    <w:rPr>
      <w:kern w:val="0"/>
      <w:sz w:val="24"/>
    </w:rPr>
  </w:style>
  <w:style w:type="paragraph" w:customStyle="1" w:styleId="180">
    <w:name w:val="Char Char Char1"/>
    <w:basedOn w:val="1"/>
    <w:autoRedefine/>
    <w:qFormat/>
    <w:uiPriority w:val="99"/>
    <w:rPr>
      <w:rFonts w:ascii="Tahoma" w:hAnsi="Tahoma"/>
      <w:sz w:val="24"/>
      <w:szCs w:val="20"/>
    </w:rPr>
  </w:style>
  <w:style w:type="paragraph" w:customStyle="1" w:styleId="181">
    <w:name w:val="Char Char Char Char Char Char Char1"/>
    <w:basedOn w:val="1"/>
    <w:autoRedefine/>
    <w:qFormat/>
    <w:uiPriority w:val="99"/>
    <w:pPr>
      <w:snapToGrid w:val="0"/>
      <w:spacing w:line="360" w:lineRule="auto"/>
      <w:ind w:firstLine="200" w:firstLineChars="200"/>
    </w:pPr>
    <w:rPr>
      <w:rFonts w:eastAsia="仿宋_GB2312"/>
      <w:sz w:val="24"/>
    </w:rPr>
  </w:style>
  <w:style w:type="paragraph" w:customStyle="1" w:styleId="182">
    <w:name w:val="xl5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3">
    <w:name w:val="样式2"/>
    <w:basedOn w:val="46"/>
    <w:autoRedefine/>
    <w:qFormat/>
    <w:uiPriority w:val="99"/>
    <w:pPr>
      <w:spacing w:line="360" w:lineRule="auto"/>
      <w:jc w:val="center"/>
    </w:pPr>
    <w:rPr>
      <w:sz w:val="24"/>
    </w:rPr>
  </w:style>
  <w:style w:type="paragraph" w:customStyle="1" w:styleId="184">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5">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6">
    <w:name w:val="正文 + 楷体_GB2312"/>
    <w:basedOn w:val="1"/>
    <w:autoRedefine/>
    <w:qFormat/>
    <w:uiPriority w:val="99"/>
    <w:pPr>
      <w:widowControl/>
      <w:jc w:val="left"/>
    </w:pPr>
    <w:rPr>
      <w:rFonts w:ascii="楷体_GB2312" w:eastAsia="楷体_GB2312" w:cs="Arial"/>
      <w:kern w:val="0"/>
      <w:sz w:val="24"/>
    </w:rPr>
  </w:style>
  <w:style w:type="paragraph" w:customStyle="1" w:styleId="187">
    <w:name w:val="xl3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8">
    <w:name w:val="1 Char Char Char Char"/>
    <w:basedOn w:val="1"/>
    <w:autoRedefine/>
    <w:qFormat/>
    <w:uiPriority w:val="99"/>
    <w:rPr>
      <w:rFonts w:ascii="Tahoma" w:hAnsi="Tahoma"/>
      <w:sz w:val="24"/>
      <w:szCs w:val="20"/>
    </w:rPr>
  </w:style>
  <w:style w:type="paragraph" w:customStyle="1" w:styleId="189">
    <w:name w:val="Default"/>
    <w:autoRedefine/>
    <w:qFormat/>
    <w:uiPriority w:val="99"/>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0">
    <w:name w:val="列出段落1"/>
    <w:basedOn w:val="1"/>
    <w:autoRedefine/>
    <w:qFormat/>
    <w:uiPriority w:val="99"/>
    <w:pPr>
      <w:ind w:firstLine="420" w:firstLineChars="200"/>
    </w:pPr>
    <w:rPr>
      <w:rFonts w:ascii="Calibri" w:hAnsi="Calibri"/>
      <w:szCs w:val="22"/>
    </w:rPr>
  </w:style>
  <w:style w:type="paragraph" w:customStyle="1" w:styleId="191">
    <w:name w:val="defaul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92">
    <w:name w:val="字元 字元1"/>
    <w:basedOn w:val="1"/>
    <w:autoRedefine/>
    <w:qFormat/>
    <w:uiPriority w:val="99"/>
    <w:rPr>
      <w:rFonts w:ascii="Tahoma" w:hAnsi="Tahoma"/>
      <w:sz w:val="24"/>
      <w:szCs w:val="20"/>
    </w:rPr>
  </w:style>
  <w:style w:type="paragraph" w:customStyle="1" w:styleId="193">
    <w:name w:val="_Style 160"/>
    <w:autoRedefine/>
    <w:qFormat/>
    <w:uiPriority w:val="99"/>
    <w:rPr>
      <w:rFonts w:ascii="Times New Roman" w:hAnsi="Times New Roman" w:eastAsia="宋体" w:cs="Times New Roman"/>
      <w:kern w:val="2"/>
      <w:sz w:val="21"/>
      <w:szCs w:val="24"/>
      <w:lang w:val="en-US" w:eastAsia="zh-CN" w:bidi="ar-SA"/>
    </w:rPr>
  </w:style>
  <w:style w:type="paragraph" w:customStyle="1" w:styleId="194">
    <w:name w:val="项目编号3"/>
    <w:basedOn w:val="154"/>
    <w:autoRedefine/>
    <w:qFormat/>
    <w:uiPriority w:val="99"/>
    <w:pPr>
      <w:numPr>
        <w:ilvl w:val="0"/>
        <w:numId w:val="6"/>
      </w:numPr>
    </w:pPr>
  </w:style>
  <w:style w:type="paragraph" w:customStyle="1" w:styleId="195">
    <w:name w:val="Char21"/>
    <w:basedOn w:val="1"/>
    <w:autoRedefine/>
    <w:qFormat/>
    <w:uiPriority w:val="99"/>
    <w:rPr>
      <w:rFonts w:ascii="Tahoma" w:hAnsi="Tahoma"/>
      <w:sz w:val="24"/>
      <w:szCs w:val="20"/>
    </w:rPr>
  </w:style>
  <w:style w:type="paragraph" w:customStyle="1" w:styleId="196">
    <w:name w:val="表格文字"/>
    <w:basedOn w:val="21"/>
    <w:autoRedefine/>
    <w:qFormat/>
    <w:uiPriority w:val="99"/>
    <w:pPr>
      <w:spacing w:before="20" w:after="20" w:line="240" w:lineRule="auto"/>
      <w:ind w:firstLine="0"/>
    </w:pPr>
    <w:rPr>
      <w:rFonts w:ascii="Century Gothic" w:hAnsi="Century Gothic"/>
      <w:sz w:val="20"/>
      <w:szCs w:val="20"/>
    </w:rPr>
  </w:style>
  <w:style w:type="paragraph" w:customStyle="1" w:styleId="197">
    <w:name w:val="Char Char Char Char Char Char Char Char Char Char1"/>
    <w:basedOn w:val="1"/>
    <w:autoRedefine/>
    <w:qFormat/>
    <w:uiPriority w:val="99"/>
    <w:rPr>
      <w:rFonts w:ascii="宋体" w:hAnsi="宋体" w:cs="Courier New"/>
      <w:sz w:val="32"/>
      <w:szCs w:val="32"/>
    </w:rPr>
  </w:style>
  <w:style w:type="paragraph" w:customStyle="1" w:styleId="198">
    <w:name w:val="正文文本样式 加粗"/>
    <w:basedOn w:val="154"/>
    <w:autoRedefine/>
    <w:qFormat/>
    <w:uiPriority w:val="99"/>
    <w:rPr>
      <w:b/>
    </w:rPr>
  </w:style>
  <w:style w:type="paragraph" w:customStyle="1" w:styleId="199">
    <w:name w:val="Char2 Char Char Char Char Char Char"/>
    <w:basedOn w:val="1"/>
    <w:autoRedefine/>
    <w:qFormat/>
    <w:uiPriority w:val="99"/>
    <w:pPr>
      <w:widowControl/>
      <w:spacing w:line="400" w:lineRule="exact"/>
      <w:jc w:val="center"/>
    </w:pPr>
  </w:style>
  <w:style w:type="paragraph" w:customStyle="1" w:styleId="200">
    <w:name w:val="Char Char4"/>
    <w:basedOn w:val="1"/>
    <w:autoRedefine/>
    <w:qFormat/>
    <w:uiPriority w:val="99"/>
    <w:pPr>
      <w:widowControl/>
      <w:spacing w:line="400" w:lineRule="exact"/>
      <w:jc w:val="center"/>
    </w:pPr>
  </w:style>
  <w:style w:type="paragraph" w:customStyle="1" w:styleId="201">
    <w:name w:val="Char3 Char Char Char1"/>
    <w:basedOn w:val="1"/>
    <w:autoRedefine/>
    <w:qFormat/>
    <w:uiPriority w:val="99"/>
    <w:rPr>
      <w:rFonts w:ascii="Tahoma" w:hAnsi="Tahoma"/>
      <w:sz w:val="24"/>
      <w:szCs w:val="20"/>
    </w:rPr>
  </w:style>
  <w:style w:type="paragraph" w:styleId="202">
    <w:name w:val="No Spacing"/>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3">
    <w:name w:val="22222222222222"/>
    <w:basedOn w:val="1"/>
    <w:autoRedefine/>
    <w:qFormat/>
    <w:uiPriority w:val="99"/>
    <w:pPr>
      <w:widowControl/>
      <w:adjustRightInd w:val="0"/>
      <w:spacing w:line="360" w:lineRule="auto"/>
      <w:ind w:firstLine="480" w:firstLineChars="200"/>
      <w:jc w:val="left"/>
    </w:pPr>
    <w:rPr>
      <w:color w:val="FF0000"/>
      <w:kern w:val="0"/>
      <w:sz w:val="24"/>
      <w:szCs w:val="20"/>
    </w:rPr>
  </w:style>
  <w:style w:type="character" w:customStyle="1" w:styleId="204">
    <w:name w:val="中等深浅网格 1 - 强调文字颜色 2 Char"/>
    <w:link w:val="205"/>
    <w:autoRedefine/>
    <w:qFormat/>
    <w:uiPriority w:val="0"/>
    <w:rPr>
      <w:kern w:val="2"/>
      <w:sz w:val="21"/>
      <w:szCs w:val="24"/>
      <w:lang w:val="zh-CN" w:eastAsia="zh-CN"/>
    </w:rPr>
  </w:style>
  <w:style w:type="paragraph" w:customStyle="1" w:styleId="205">
    <w:name w:val="1"/>
    <w:link w:val="204"/>
    <w:autoRedefine/>
    <w:qFormat/>
    <w:uiPriority w:val="0"/>
    <w:rPr>
      <w:rFonts w:ascii="Times New Roman" w:hAnsi="Times New Roman" w:eastAsia="宋体" w:cs="Times New Roman"/>
      <w:kern w:val="2"/>
      <w:sz w:val="21"/>
      <w:szCs w:val="24"/>
      <w:lang w:val="zh-CN" w:eastAsia="zh-CN" w:bidi="ar-SA"/>
    </w:rPr>
  </w:style>
  <w:style w:type="paragraph" w:customStyle="1" w:styleId="206">
    <w:name w:val="图文"/>
    <w:basedOn w:val="1"/>
    <w:autoRedefine/>
    <w:qFormat/>
    <w:uiPriority w:val="99"/>
    <w:pPr>
      <w:adjustRightInd w:val="0"/>
      <w:snapToGrid w:val="0"/>
      <w:spacing w:after="50" w:line="360" w:lineRule="auto"/>
    </w:pPr>
    <w:rPr>
      <w:sz w:val="24"/>
    </w:rPr>
  </w:style>
  <w:style w:type="paragraph" w:customStyle="1" w:styleId="207">
    <w:name w:val="xl23"/>
    <w:basedOn w:val="1"/>
    <w:autoRedefine/>
    <w:qFormat/>
    <w:uiPriority w:val="99"/>
    <w:pPr>
      <w:widowControl/>
      <w:spacing w:before="100" w:beforeAutospacing="1" w:after="100" w:afterAutospacing="1" w:line="360" w:lineRule="auto"/>
      <w:textAlignment w:val="top"/>
    </w:pPr>
    <w:rPr>
      <w:kern w:val="0"/>
      <w:sz w:val="24"/>
      <w:szCs w:val="20"/>
    </w:rPr>
  </w:style>
  <w:style w:type="paragraph" w:customStyle="1" w:styleId="208">
    <w:name w:val="正文表格"/>
    <w:basedOn w:val="1"/>
    <w:link w:val="209"/>
    <w:autoRedefine/>
    <w:qFormat/>
    <w:uiPriority w:val="0"/>
    <w:pPr>
      <w:adjustRightInd w:val="0"/>
      <w:snapToGrid w:val="0"/>
      <w:jc w:val="left"/>
    </w:pPr>
    <w:rPr>
      <w:rFonts w:ascii="宋体" w:hAnsi="宋体"/>
      <w:color w:val="000000"/>
      <w:szCs w:val="21"/>
    </w:rPr>
  </w:style>
  <w:style w:type="character" w:customStyle="1" w:styleId="209">
    <w:name w:val="正文表格 Char"/>
    <w:link w:val="208"/>
    <w:autoRedefine/>
    <w:qFormat/>
    <w:uiPriority w:val="0"/>
    <w:rPr>
      <w:rFonts w:ascii="宋体" w:hAnsi="宋体"/>
      <w:color w:val="000000"/>
      <w:kern w:val="2"/>
      <w:sz w:val="21"/>
      <w:szCs w:val="21"/>
    </w:rPr>
  </w:style>
  <w:style w:type="paragraph" w:customStyle="1" w:styleId="210">
    <w:name w:val="正文重点"/>
    <w:basedOn w:val="1"/>
    <w:link w:val="211"/>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1">
    <w:name w:val="正文重点 Char"/>
    <w:link w:val="210"/>
    <w:autoRedefine/>
    <w:qFormat/>
    <w:uiPriority w:val="0"/>
    <w:rPr>
      <w:b/>
      <w:sz w:val="24"/>
    </w:rPr>
  </w:style>
  <w:style w:type="paragraph" w:customStyle="1" w:styleId="212">
    <w:name w:val="标题1-附件"/>
    <w:basedOn w:val="3"/>
    <w:autoRedefine/>
    <w:qFormat/>
    <w:uiPriority w:val="99"/>
    <w:pPr>
      <w:jc w:val="left"/>
    </w:pPr>
    <w:rPr>
      <w:sz w:val="24"/>
      <w:szCs w:val="24"/>
    </w:rPr>
  </w:style>
  <w:style w:type="paragraph" w:customStyle="1" w:styleId="213">
    <w:name w:val="正文小标题"/>
    <w:basedOn w:val="1"/>
    <w:next w:val="5"/>
    <w:link w:val="214"/>
    <w:autoRedefine/>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14">
    <w:name w:val="正文小标题 Char"/>
    <w:link w:val="213"/>
    <w:autoRedefine/>
    <w:qFormat/>
    <w:uiPriority w:val="0"/>
    <w:rPr>
      <w:rFonts w:ascii="宋体" w:hAnsi="宋体"/>
      <w:b/>
      <w:i/>
      <w:color w:val="FF0000"/>
      <w:kern w:val="2"/>
      <w:sz w:val="24"/>
    </w:rPr>
  </w:style>
  <w:style w:type="paragraph" w:customStyle="1" w:styleId="215">
    <w:name w:val="正文大标题"/>
    <w:basedOn w:val="213"/>
    <w:next w:val="5"/>
    <w:link w:val="216"/>
    <w:autoRedefine/>
    <w:qFormat/>
    <w:uiPriority w:val="0"/>
    <w:pPr>
      <w:jc w:val="center"/>
    </w:pPr>
    <w:rPr>
      <w:i w:val="0"/>
      <w:color w:val="000000"/>
      <w:sz w:val="28"/>
      <w:szCs w:val="21"/>
    </w:rPr>
  </w:style>
  <w:style w:type="character" w:customStyle="1" w:styleId="216">
    <w:name w:val="正文大标题 Char"/>
    <w:link w:val="215"/>
    <w:autoRedefine/>
    <w:qFormat/>
    <w:uiPriority w:val="0"/>
    <w:rPr>
      <w:rFonts w:ascii="宋体" w:hAnsi="宋体"/>
      <w:b/>
      <w:color w:val="000000"/>
      <w:kern w:val="2"/>
      <w:sz w:val="28"/>
      <w:szCs w:val="21"/>
    </w:rPr>
  </w:style>
  <w:style w:type="paragraph" w:customStyle="1" w:styleId="217">
    <w:name w:val="注释"/>
    <w:basedOn w:val="1"/>
    <w:link w:val="218"/>
    <w:autoRedefine/>
    <w:qFormat/>
    <w:uiPriority w:val="0"/>
    <w:pPr>
      <w:adjustRightInd w:val="0"/>
      <w:snapToGrid w:val="0"/>
      <w:ind w:left="420" w:hanging="420" w:hangingChars="200"/>
      <w:jc w:val="left"/>
    </w:pPr>
    <w:rPr>
      <w:rFonts w:ascii="宋体" w:hAnsi="宋体"/>
      <w:szCs w:val="21"/>
    </w:rPr>
  </w:style>
  <w:style w:type="character" w:customStyle="1" w:styleId="218">
    <w:name w:val="注释 Char"/>
    <w:link w:val="217"/>
    <w:autoRedefine/>
    <w:qFormat/>
    <w:uiPriority w:val="0"/>
    <w:rPr>
      <w:rFonts w:ascii="宋体" w:hAnsi="宋体"/>
      <w:kern w:val="2"/>
      <w:sz w:val="21"/>
      <w:szCs w:val="21"/>
    </w:rPr>
  </w:style>
  <w:style w:type="paragraph" w:customStyle="1" w:styleId="219">
    <w:name w:val="正文须知-1级"/>
    <w:basedOn w:val="1"/>
    <w:next w:val="1"/>
    <w:autoRedefine/>
    <w:qFormat/>
    <w:uiPriority w:val="99"/>
    <w:pPr>
      <w:numPr>
        <w:ilvl w:val="0"/>
        <w:numId w:val="7"/>
      </w:numPr>
      <w:adjustRightInd w:val="0"/>
      <w:snapToGrid w:val="0"/>
      <w:spacing w:line="300" w:lineRule="auto"/>
    </w:pPr>
    <w:rPr>
      <w:rFonts w:ascii="宋体" w:hAnsi="Calibri"/>
      <w:sz w:val="24"/>
      <w:szCs w:val="21"/>
    </w:rPr>
  </w:style>
  <w:style w:type="paragraph" w:customStyle="1" w:styleId="220">
    <w:name w:val="正文须知-2级"/>
    <w:basedOn w:val="1"/>
    <w:autoRedefine/>
    <w:qFormat/>
    <w:uiPriority w:val="99"/>
    <w:pPr>
      <w:numPr>
        <w:ilvl w:val="1"/>
        <w:numId w:val="7"/>
      </w:numPr>
      <w:adjustRightInd w:val="0"/>
      <w:snapToGrid w:val="0"/>
      <w:spacing w:line="300" w:lineRule="auto"/>
    </w:pPr>
    <w:rPr>
      <w:rFonts w:ascii="宋体" w:hAnsi="Calibri"/>
      <w:sz w:val="24"/>
      <w:szCs w:val="21"/>
    </w:rPr>
  </w:style>
  <w:style w:type="paragraph" w:customStyle="1" w:styleId="221">
    <w:name w:val="正文须知-3级"/>
    <w:basedOn w:val="1"/>
    <w:autoRedefine/>
    <w:qFormat/>
    <w:uiPriority w:val="99"/>
    <w:pPr>
      <w:numPr>
        <w:ilvl w:val="2"/>
        <w:numId w:val="7"/>
      </w:numPr>
      <w:adjustRightInd w:val="0"/>
      <w:snapToGrid w:val="0"/>
      <w:spacing w:line="300" w:lineRule="auto"/>
      <w:ind w:hanging="355" w:hangingChars="355"/>
    </w:pPr>
    <w:rPr>
      <w:rFonts w:ascii="宋体" w:hAnsi="Calibri"/>
      <w:sz w:val="24"/>
      <w:szCs w:val="21"/>
    </w:rPr>
  </w:style>
  <w:style w:type="character" w:customStyle="1" w:styleId="222">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23">
    <w:name w:val="表格1"/>
    <w:basedOn w:val="1"/>
    <w:autoRedefine/>
    <w:qFormat/>
    <w:uiPriority w:val="99"/>
    <w:pPr>
      <w:ind w:firstLine="480" w:firstLineChars="200"/>
      <w:jc w:val="center"/>
    </w:pPr>
    <w:rPr>
      <w:sz w:val="24"/>
      <w:szCs w:val="20"/>
    </w:rPr>
  </w:style>
  <w:style w:type="character" w:customStyle="1" w:styleId="224">
    <w:name w:val="纯文本 字符1"/>
    <w:autoRedefine/>
    <w:qFormat/>
    <w:uiPriority w:val="0"/>
    <w:rPr>
      <w:rFonts w:ascii="宋体" w:hAnsi="Courier New"/>
    </w:rPr>
  </w:style>
  <w:style w:type="character" w:customStyle="1" w:styleId="225">
    <w:name w:val="bjh-p"/>
    <w:autoRedefine/>
    <w:qFormat/>
    <w:uiPriority w:val="0"/>
  </w:style>
  <w:style w:type="paragraph" w:customStyle="1" w:styleId="226">
    <w:name w:val="无标题条"/>
    <w:next w:val="1"/>
    <w:autoRedefine/>
    <w:qFormat/>
    <w:uiPriority w:val="99"/>
    <w:pPr>
      <w:jc w:val="both"/>
    </w:pPr>
    <w:rPr>
      <w:rFonts w:ascii="Times New Roman" w:hAnsi="Times New Roman" w:eastAsia="宋体" w:cs="Times New Roman"/>
      <w:sz w:val="21"/>
      <w:lang w:val="en-US" w:eastAsia="zh-CN" w:bidi="ar-SA"/>
    </w:rPr>
  </w:style>
  <w:style w:type="character" w:customStyle="1" w:styleId="227">
    <w:name w:val="正文格式 Char"/>
    <w:link w:val="228"/>
    <w:autoRedefine/>
    <w:qFormat/>
    <w:locked/>
    <w:uiPriority w:val="0"/>
    <w:rPr>
      <w:rFonts w:ascii="宋体" w:hAnsi="宋体"/>
      <w:sz w:val="24"/>
      <w:szCs w:val="24"/>
      <w:lang w:val="en-GB"/>
    </w:rPr>
  </w:style>
  <w:style w:type="paragraph" w:customStyle="1" w:styleId="228">
    <w:name w:val="正文格式"/>
    <w:basedOn w:val="1"/>
    <w:link w:val="227"/>
    <w:autoRedefine/>
    <w:qFormat/>
    <w:uiPriority w:val="0"/>
    <w:pPr>
      <w:spacing w:beforeLines="50" w:line="360" w:lineRule="auto"/>
      <w:ind w:firstLine="480" w:firstLineChars="200"/>
    </w:pPr>
    <w:rPr>
      <w:rFonts w:ascii="宋体" w:hAnsi="宋体"/>
      <w:kern w:val="0"/>
      <w:sz w:val="24"/>
      <w:lang w:val="en-GB"/>
    </w:rPr>
  </w:style>
  <w:style w:type="character" w:customStyle="1" w:styleId="229">
    <w:name w:val="标题 3 Char"/>
    <w:autoRedefine/>
    <w:qFormat/>
    <w:uiPriority w:val="0"/>
    <w:rPr>
      <w:rFonts w:ascii="宋体" w:eastAsia="宋体"/>
      <w:b/>
      <w:sz w:val="24"/>
      <w:u w:val="single"/>
      <w:lang w:val="en-US" w:eastAsia="zh-CN" w:bidi="ar-SA"/>
    </w:rPr>
  </w:style>
  <w:style w:type="character" w:customStyle="1" w:styleId="230">
    <w:name w:val="正文缩进 Char"/>
    <w:autoRedefine/>
    <w:qFormat/>
    <w:uiPriority w:val="0"/>
    <w:rPr>
      <w:rFonts w:ascii="宋体" w:eastAsia="宋体"/>
      <w:kern w:val="2"/>
      <w:sz w:val="24"/>
      <w:szCs w:val="24"/>
      <w:lang w:val="en-US" w:eastAsia="zh-CN" w:bidi="ar-SA"/>
    </w:rPr>
  </w:style>
  <w:style w:type="character" w:customStyle="1" w:styleId="231">
    <w:name w:val="Char Char111"/>
    <w:autoRedefine/>
    <w:qFormat/>
    <w:uiPriority w:val="0"/>
    <w:rPr>
      <w:rFonts w:ascii="宋体" w:eastAsia="宋体"/>
      <w:b/>
      <w:sz w:val="24"/>
      <w:u w:val="single"/>
      <w:lang w:val="en-US" w:eastAsia="zh-CN" w:bidi="ar-SA"/>
    </w:rPr>
  </w:style>
  <w:style w:type="character" w:customStyle="1" w:styleId="232">
    <w:name w:val="正文文本缩进 Char"/>
    <w:autoRedefine/>
    <w:qFormat/>
    <w:uiPriority w:val="0"/>
    <w:rPr>
      <w:rFonts w:eastAsia="宋体"/>
      <w:kern w:val="2"/>
      <w:sz w:val="24"/>
      <w:szCs w:val="24"/>
      <w:lang w:val="en-US" w:eastAsia="zh-CN" w:bidi="ar-SA"/>
    </w:rPr>
  </w:style>
  <w:style w:type="character" w:customStyle="1" w:styleId="233">
    <w:name w:val="列出段落 Char"/>
    <w:autoRedefine/>
    <w:qFormat/>
    <w:uiPriority w:val="0"/>
    <w:rPr>
      <w:rFonts w:ascii="Calibri" w:hAnsi="Calibri" w:eastAsia="宋体"/>
      <w:kern w:val="2"/>
      <w:sz w:val="21"/>
      <w:szCs w:val="22"/>
      <w:lang w:val="en-US" w:eastAsia="zh-CN" w:bidi="ar-SA"/>
    </w:rPr>
  </w:style>
  <w:style w:type="character" w:customStyle="1" w:styleId="234">
    <w:name w:val="页眉 Char"/>
    <w:autoRedefine/>
    <w:qFormat/>
    <w:uiPriority w:val="0"/>
    <w:rPr>
      <w:rFonts w:eastAsia="宋体"/>
      <w:kern w:val="2"/>
      <w:sz w:val="18"/>
      <w:szCs w:val="18"/>
      <w:lang w:val="en-US" w:eastAsia="zh-CN" w:bidi="ar-SA"/>
    </w:rPr>
  </w:style>
  <w:style w:type="character" w:customStyle="1" w:styleId="235">
    <w:name w:val="标题 2 Char"/>
    <w:autoRedefine/>
    <w:qFormat/>
    <w:uiPriority w:val="99"/>
    <w:rPr>
      <w:rFonts w:ascii="Arial" w:hAnsi="Arial" w:eastAsia="黑体"/>
      <w:b/>
      <w:sz w:val="30"/>
      <w:lang w:val="en-US" w:eastAsia="zh-CN" w:bidi="ar-SA"/>
    </w:rPr>
  </w:style>
  <w:style w:type="paragraph" w:customStyle="1" w:styleId="236">
    <w:name w:val="字元 字元2"/>
    <w:basedOn w:val="1"/>
    <w:autoRedefine/>
    <w:qFormat/>
    <w:uiPriority w:val="99"/>
    <w:rPr>
      <w:rFonts w:ascii="Tahoma" w:hAnsi="Tahoma"/>
      <w:sz w:val="24"/>
      <w:szCs w:val="20"/>
    </w:rPr>
  </w:style>
  <w:style w:type="paragraph" w:customStyle="1" w:styleId="237">
    <w:name w:val="Char3 Char Char Char2"/>
    <w:basedOn w:val="1"/>
    <w:autoRedefine/>
    <w:qFormat/>
    <w:uiPriority w:val="99"/>
    <w:rPr>
      <w:rFonts w:ascii="Tahoma" w:hAnsi="Tahoma"/>
      <w:sz w:val="24"/>
      <w:szCs w:val="20"/>
    </w:rPr>
  </w:style>
  <w:style w:type="paragraph" w:customStyle="1" w:styleId="238">
    <w:name w:val="正文文本缩进2"/>
    <w:basedOn w:val="1"/>
    <w:autoRedefine/>
    <w:qFormat/>
    <w:uiPriority w:val="99"/>
    <w:pPr>
      <w:spacing w:line="480" w:lineRule="exact"/>
      <w:ind w:firstLine="480" w:firstLineChars="200"/>
    </w:pPr>
    <w:rPr>
      <w:rFonts w:ascii="宋体" w:hAnsi="宋体"/>
      <w:kern w:val="0"/>
      <w:sz w:val="24"/>
      <w:lang w:val="zh-CN"/>
    </w:rPr>
  </w:style>
  <w:style w:type="paragraph" w:customStyle="1" w:styleId="239">
    <w:name w:val="Char3"/>
    <w:basedOn w:val="1"/>
    <w:autoRedefine/>
    <w:qFormat/>
    <w:uiPriority w:val="99"/>
    <w:pPr>
      <w:tabs>
        <w:tab w:val="left" w:pos="360"/>
      </w:tabs>
    </w:pPr>
    <w:rPr>
      <w:sz w:val="24"/>
    </w:rPr>
  </w:style>
  <w:style w:type="paragraph" w:customStyle="1" w:styleId="240">
    <w:name w:val="Char Char Char Char Char Char Char Char Char Char Char Char Char Char Char Char1"/>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241">
    <w:name w:val="Char Char1 Char Char Char Char Char 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42">
    <w:name w:val="列出段落2"/>
    <w:basedOn w:val="1"/>
    <w:autoRedefine/>
    <w:qFormat/>
    <w:uiPriority w:val="99"/>
    <w:pPr>
      <w:ind w:firstLine="420" w:firstLineChars="200"/>
    </w:pPr>
    <w:rPr>
      <w:rFonts w:ascii="Calibri" w:hAnsi="Calibri"/>
      <w:szCs w:val="22"/>
    </w:rPr>
  </w:style>
  <w:style w:type="paragraph" w:customStyle="1" w:styleId="243">
    <w:name w:val="Char Char Char1 Char2"/>
    <w:basedOn w:val="1"/>
    <w:autoRedefine/>
    <w:qFormat/>
    <w:uiPriority w:val="99"/>
    <w:rPr>
      <w:rFonts w:ascii="Tahoma" w:hAnsi="Tahoma"/>
      <w:sz w:val="24"/>
      <w:szCs w:val="20"/>
    </w:rPr>
  </w:style>
  <w:style w:type="paragraph" w:customStyle="1" w:styleId="244">
    <w:name w:val="Char Char Char2"/>
    <w:basedOn w:val="1"/>
    <w:autoRedefine/>
    <w:qFormat/>
    <w:uiPriority w:val="99"/>
    <w:rPr>
      <w:rFonts w:ascii="Tahoma" w:hAnsi="Tahoma"/>
      <w:sz w:val="24"/>
      <w:szCs w:val="20"/>
    </w:rPr>
  </w:style>
  <w:style w:type="paragraph" w:customStyle="1" w:styleId="245">
    <w:name w:val="Char Char Char Char Char Char Char2"/>
    <w:basedOn w:val="1"/>
    <w:autoRedefine/>
    <w:qFormat/>
    <w:uiPriority w:val="99"/>
    <w:pPr>
      <w:snapToGrid w:val="0"/>
      <w:spacing w:line="360" w:lineRule="auto"/>
      <w:ind w:firstLine="200" w:firstLineChars="200"/>
    </w:pPr>
    <w:rPr>
      <w:rFonts w:eastAsia="仿宋_GB2312"/>
      <w:sz w:val="24"/>
    </w:rPr>
  </w:style>
  <w:style w:type="paragraph" w:customStyle="1" w:styleId="246">
    <w:name w:val="正文缩进2"/>
    <w:basedOn w:val="1"/>
    <w:autoRedefine/>
    <w:qFormat/>
    <w:uiPriority w:val="99"/>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7">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248">
    <w:name w:val="Char22"/>
    <w:basedOn w:val="1"/>
    <w:autoRedefine/>
    <w:qFormat/>
    <w:uiPriority w:val="99"/>
    <w:rPr>
      <w:rFonts w:ascii="Tahoma" w:hAnsi="Tahoma"/>
      <w:sz w:val="24"/>
      <w:szCs w:val="20"/>
    </w:rPr>
  </w:style>
  <w:style w:type="paragraph" w:customStyle="1" w:styleId="249">
    <w:name w:val="Char Char Char Char Char Char Char Char Char Char2"/>
    <w:basedOn w:val="1"/>
    <w:autoRedefine/>
    <w:qFormat/>
    <w:uiPriority w:val="99"/>
    <w:rPr>
      <w:rFonts w:ascii="宋体" w:hAnsi="宋体" w:cs="Courier New"/>
      <w:sz w:val="32"/>
      <w:szCs w:val="32"/>
    </w:rPr>
  </w:style>
  <w:style w:type="paragraph" w:customStyle="1" w:styleId="250">
    <w:name w:val="Char2 Char Char Char Char Char Char1"/>
    <w:basedOn w:val="1"/>
    <w:autoRedefine/>
    <w:qFormat/>
    <w:uiPriority w:val="99"/>
    <w:pPr>
      <w:widowControl/>
      <w:spacing w:line="400" w:lineRule="exact"/>
      <w:jc w:val="center"/>
    </w:pPr>
  </w:style>
  <w:style w:type="character" w:customStyle="1" w:styleId="251">
    <w:name w:val="页脚 Char"/>
    <w:autoRedefine/>
    <w:qFormat/>
    <w:uiPriority w:val="0"/>
    <w:rPr>
      <w:rFonts w:ascii="宋体" w:eastAsia="宋体"/>
      <w:sz w:val="18"/>
      <w:lang w:val="en-US" w:eastAsia="zh-CN" w:bidi="ar-SA"/>
    </w:rPr>
  </w:style>
  <w:style w:type="paragraph" w:customStyle="1" w:styleId="252">
    <w:name w:val="Char Char41"/>
    <w:basedOn w:val="1"/>
    <w:autoRedefine/>
    <w:qFormat/>
    <w:uiPriority w:val="99"/>
    <w:pPr>
      <w:widowControl/>
      <w:spacing w:line="400" w:lineRule="exact"/>
      <w:jc w:val="center"/>
    </w:pPr>
  </w:style>
  <w:style w:type="character" w:customStyle="1" w:styleId="253">
    <w:name w:val="批注文字 Char"/>
    <w:autoRedefine/>
    <w:qFormat/>
    <w:uiPriority w:val="99"/>
    <w:rPr>
      <w:kern w:val="2"/>
      <w:sz w:val="21"/>
      <w:szCs w:val="24"/>
    </w:rPr>
  </w:style>
  <w:style w:type="character" w:customStyle="1" w:styleId="254">
    <w:name w:val="标题 Char"/>
    <w:autoRedefine/>
    <w:qFormat/>
    <w:uiPriority w:val="0"/>
    <w:rPr>
      <w:b/>
      <w:kern w:val="2"/>
      <w:sz w:val="32"/>
    </w:rPr>
  </w:style>
  <w:style w:type="paragraph" w:customStyle="1" w:styleId="255">
    <w:name w:val="图例"/>
    <w:basedOn w:val="1"/>
    <w:autoRedefine/>
    <w:qFormat/>
    <w:uiPriority w:val="99"/>
    <w:pPr>
      <w:spacing w:before="120" w:after="120" w:line="360" w:lineRule="auto"/>
      <w:jc w:val="center"/>
    </w:pPr>
    <w:rPr>
      <w:rFonts w:eastAsia="仿宋_GB2312"/>
      <w:b/>
      <w:sz w:val="24"/>
      <w:szCs w:val="20"/>
    </w:rPr>
  </w:style>
  <w:style w:type="table" w:customStyle="1" w:styleId="256">
    <w:name w:val="Table Normal"/>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7">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58">
    <w:name w:val="Table Text"/>
    <w:basedOn w:val="1"/>
    <w:autoRedefine/>
    <w:semiHidden/>
    <w:qFormat/>
    <w:uiPriority w:val="99"/>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character" w:customStyle="1" w:styleId="259">
    <w:name w:val="批注文字 Char2"/>
    <w:autoRedefine/>
    <w:qFormat/>
    <w:locked/>
    <w:uiPriority w:val="0"/>
    <w:rPr>
      <w:szCs w:val="24"/>
    </w:rPr>
  </w:style>
  <w:style w:type="character" w:customStyle="1" w:styleId="260">
    <w:name w:val="cwhdiv-l"/>
    <w:basedOn w:val="54"/>
    <w:autoRedefine/>
    <w:qFormat/>
    <w:uiPriority w:val="0"/>
  </w:style>
  <w:style w:type="character" w:customStyle="1" w:styleId="261">
    <w:name w:val="cwhdiv-r"/>
    <w:basedOn w:val="54"/>
    <w:autoRedefine/>
    <w:qFormat/>
    <w:uiPriority w:val="0"/>
  </w:style>
  <w:style w:type="character" w:customStyle="1" w:styleId="262">
    <w:name w:val="普通(网站) 字符"/>
    <w:link w:val="45"/>
    <w:autoRedefine/>
    <w:qFormat/>
    <w:uiPriority w:val="99"/>
    <w:rPr>
      <w:rFonts w:ascii="宋体" w:hAnsi="宋体" w:cs="宋体"/>
      <w:sz w:val="24"/>
      <w:szCs w:val="24"/>
    </w:rPr>
  </w:style>
  <w:style w:type="paragraph" w:customStyle="1" w:styleId="263">
    <w:name w:val="表"/>
    <w:basedOn w:val="1"/>
    <w:link w:val="264"/>
    <w:autoRedefine/>
    <w:qFormat/>
    <w:uiPriority w:val="0"/>
    <w:pPr>
      <w:spacing w:line="360" w:lineRule="auto"/>
      <w:jc w:val="center"/>
    </w:pPr>
    <w:rPr>
      <w:rFonts w:ascii="宋体" w:hAnsi="宋体" w:cstheme="minorBidi"/>
      <w:sz w:val="24"/>
      <w:szCs w:val="22"/>
    </w:rPr>
  </w:style>
  <w:style w:type="character" w:customStyle="1" w:styleId="264">
    <w:name w:val="表 字符"/>
    <w:basedOn w:val="54"/>
    <w:link w:val="263"/>
    <w:autoRedefine/>
    <w:qFormat/>
    <w:uiPriority w:val="0"/>
    <w:rPr>
      <w:rFonts w:ascii="宋体" w:hAnsi="宋体" w:cstheme="minorBidi"/>
      <w:kern w:val="2"/>
      <w:sz w:val="24"/>
      <w:szCs w:val="22"/>
    </w:rPr>
  </w:style>
  <w:style w:type="character" w:customStyle="1" w:styleId="265">
    <w:name w:val="正文缩进 Char2"/>
    <w:autoRedefine/>
    <w:qFormat/>
    <w:locked/>
    <w:uiPriority w:val="0"/>
    <w:rPr>
      <w:lang w:val="zh-CN" w:eastAsia="zh-CN"/>
    </w:rPr>
  </w:style>
  <w:style w:type="character" w:customStyle="1" w:styleId="266">
    <w:name w:val="脚注文本 字符1"/>
    <w:basedOn w:val="54"/>
    <w:link w:val="37"/>
    <w:autoRedefine/>
    <w:qFormat/>
    <w:uiPriority w:val="99"/>
    <w:rPr>
      <w:sz w:val="18"/>
      <w:lang w:val="zh-CN" w:eastAsia="zh-CN"/>
    </w:rPr>
  </w:style>
  <w:style w:type="character" w:customStyle="1" w:styleId="267">
    <w:name w:val="正文文本 2 字符1"/>
    <w:basedOn w:val="54"/>
    <w:link w:val="43"/>
    <w:autoRedefine/>
    <w:qFormat/>
    <w:uiPriority w:val="99"/>
    <w:rPr>
      <w:rFonts w:ascii="宋体" w:hAnsi="宋体"/>
      <w:sz w:val="24"/>
      <w:szCs w:val="24"/>
      <w:u w:val="single"/>
      <w:lang w:val="zh-CN" w:eastAsia="zh-CN"/>
    </w:rPr>
  </w:style>
  <w:style w:type="character" w:customStyle="1" w:styleId="268">
    <w:name w:val="副标题 Char"/>
    <w:basedOn w:val="54"/>
    <w:autoRedefine/>
    <w:qFormat/>
    <w:uiPriority w:val="0"/>
    <w:rPr>
      <w:rFonts w:asciiTheme="majorHAnsi" w:hAnsiTheme="majorHAnsi" w:cstheme="majorBidi"/>
      <w:b/>
      <w:bCs/>
      <w:kern w:val="28"/>
      <w:sz w:val="32"/>
      <w:szCs w:val="32"/>
    </w:rPr>
  </w:style>
  <w:style w:type="character" w:customStyle="1" w:styleId="269">
    <w:name w:val="正文首行缩进 字符"/>
    <w:basedOn w:val="77"/>
    <w:link w:val="49"/>
    <w:autoRedefine/>
    <w:qFormat/>
    <w:uiPriority w:val="99"/>
    <w:rPr>
      <w:rFonts w:ascii="宋体" w:hAnsi="宋体"/>
      <w:kern w:val="2"/>
      <w:sz w:val="21"/>
      <w:szCs w:val="24"/>
    </w:rPr>
  </w:style>
  <w:style w:type="character" w:customStyle="1" w:styleId="270">
    <w:name w:val="正文加粗 Char"/>
    <w:link w:val="271"/>
    <w:autoRedefine/>
    <w:qFormat/>
    <w:locked/>
    <w:uiPriority w:val="0"/>
    <w:rPr>
      <w:b/>
      <w:sz w:val="24"/>
      <w:szCs w:val="24"/>
    </w:rPr>
  </w:style>
  <w:style w:type="paragraph" w:customStyle="1" w:styleId="271">
    <w:name w:val="正文加粗"/>
    <w:basedOn w:val="1"/>
    <w:next w:val="1"/>
    <w:link w:val="270"/>
    <w:autoRedefine/>
    <w:qFormat/>
    <w:uiPriority w:val="0"/>
    <w:pPr>
      <w:adjustRightInd w:val="0"/>
      <w:snapToGrid w:val="0"/>
      <w:spacing w:line="360" w:lineRule="auto"/>
      <w:ind w:right="240" w:firstLine="480" w:firstLineChars="200"/>
      <w:jc w:val="left"/>
    </w:pPr>
    <w:rPr>
      <w:b/>
      <w:kern w:val="0"/>
      <w:sz w:val="24"/>
    </w:rPr>
  </w:style>
  <w:style w:type="character" w:customStyle="1" w:styleId="272">
    <w:name w:val="xmfy Char Char"/>
    <w:link w:val="273"/>
    <w:autoRedefine/>
    <w:qFormat/>
    <w:locked/>
    <w:uiPriority w:val="0"/>
    <w:rPr>
      <w:rFonts w:ascii="宋体" w:hAnsi="宋体" w:cs="宋体"/>
      <w:sz w:val="28"/>
    </w:rPr>
  </w:style>
  <w:style w:type="paragraph" w:customStyle="1" w:styleId="273">
    <w:name w:val="xmfy"/>
    <w:basedOn w:val="5"/>
    <w:link w:val="272"/>
    <w:autoRedefine/>
    <w:qFormat/>
    <w:uiPriority w:val="0"/>
    <w:pPr>
      <w:autoSpaceDE/>
      <w:autoSpaceDN/>
      <w:adjustRightInd/>
      <w:spacing w:line="312" w:lineRule="auto"/>
      <w:ind w:firstLine="567"/>
      <w:jc w:val="both"/>
    </w:pPr>
    <w:rPr>
      <w:rFonts w:hAnsi="宋体" w:cs="宋体"/>
      <w:kern w:val="0"/>
      <w:sz w:val="28"/>
      <w:szCs w:val="20"/>
    </w:rPr>
  </w:style>
  <w:style w:type="character" w:customStyle="1" w:styleId="274">
    <w:name w:val="引用 Char"/>
    <w:link w:val="275"/>
    <w:autoRedefine/>
    <w:qFormat/>
    <w:locked/>
    <w:uiPriority w:val="0"/>
    <w:rPr>
      <w:i/>
      <w:iCs/>
      <w:color w:val="000000"/>
    </w:rPr>
  </w:style>
  <w:style w:type="paragraph" w:customStyle="1" w:styleId="275">
    <w:name w:val="引用1"/>
    <w:basedOn w:val="1"/>
    <w:next w:val="1"/>
    <w:link w:val="274"/>
    <w:autoRedefine/>
    <w:qFormat/>
    <w:uiPriority w:val="0"/>
    <w:rPr>
      <w:i/>
      <w:iCs/>
      <w:color w:val="000000"/>
      <w:kern w:val="0"/>
      <w:sz w:val="20"/>
      <w:szCs w:val="20"/>
    </w:rPr>
  </w:style>
  <w:style w:type="character" w:customStyle="1" w:styleId="276">
    <w:name w:val="标题4 Char Char"/>
    <w:link w:val="277"/>
    <w:autoRedefine/>
    <w:qFormat/>
    <w:locked/>
    <w:uiPriority w:val="0"/>
    <w:rPr>
      <w:rFonts w:ascii="Arial" w:hAnsi="Arial" w:cs="Arial"/>
      <w:b/>
      <w:bCs/>
      <w:sz w:val="24"/>
      <w:szCs w:val="32"/>
    </w:rPr>
  </w:style>
  <w:style w:type="paragraph" w:customStyle="1" w:styleId="277">
    <w:name w:val="标题4"/>
    <w:basedOn w:val="4"/>
    <w:next w:val="24"/>
    <w:link w:val="276"/>
    <w:autoRedefine/>
    <w:qFormat/>
    <w:uiPriority w:val="0"/>
    <w:pPr>
      <w:autoSpaceDE/>
      <w:autoSpaceDN/>
      <w:adjustRightInd/>
      <w:spacing w:before="260" w:after="260" w:line="410" w:lineRule="auto"/>
      <w:jc w:val="both"/>
    </w:pPr>
    <w:rPr>
      <w:rFonts w:eastAsia="宋体" w:cs="Arial"/>
      <w:bCs/>
      <w:sz w:val="24"/>
      <w:szCs w:val="32"/>
    </w:rPr>
  </w:style>
  <w:style w:type="character" w:customStyle="1" w:styleId="278">
    <w:name w:val="明显引用 Char"/>
    <w:link w:val="279"/>
    <w:autoRedefine/>
    <w:qFormat/>
    <w:locked/>
    <w:uiPriority w:val="0"/>
    <w:rPr>
      <w:b/>
      <w:bCs/>
      <w:i/>
      <w:iCs/>
      <w:color w:val="4F81BD"/>
    </w:rPr>
  </w:style>
  <w:style w:type="paragraph" w:customStyle="1" w:styleId="279">
    <w:name w:val="明显引用1"/>
    <w:basedOn w:val="1"/>
    <w:next w:val="1"/>
    <w:link w:val="278"/>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280">
    <w:name w:val="标题5 Char Char"/>
    <w:link w:val="281"/>
    <w:autoRedefine/>
    <w:qFormat/>
    <w:locked/>
    <w:uiPriority w:val="0"/>
    <w:rPr>
      <w:rFonts w:ascii="Arial" w:hAnsi="Arial" w:cs="Arial"/>
      <w:b/>
      <w:bCs/>
      <w:sz w:val="24"/>
      <w:szCs w:val="32"/>
    </w:rPr>
  </w:style>
  <w:style w:type="paragraph" w:customStyle="1" w:styleId="281">
    <w:name w:val="标题5"/>
    <w:basedOn w:val="6"/>
    <w:link w:val="280"/>
    <w:autoRedefine/>
    <w:qFormat/>
    <w:uiPriority w:val="0"/>
    <w:pPr>
      <w:tabs>
        <w:tab w:val="left" w:pos="432"/>
        <w:tab w:val="left" w:pos="720"/>
      </w:tabs>
      <w:autoSpaceDE/>
      <w:autoSpaceDN/>
      <w:adjustRightInd/>
      <w:spacing w:before="260" w:after="260" w:line="410" w:lineRule="auto"/>
      <w:jc w:val="both"/>
    </w:pPr>
    <w:rPr>
      <w:rFonts w:ascii="Arial" w:hAnsi="Arial" w:cs="Arial"/>
      <w:bCs/>
      <w:szCs w:val="32"/>
      <w:u w:val="none"/>
    </w:rPr>
  </w:style>
  <w:style w:type="character" w:customStyle="1" w:styleId="282">
    <w:name w:val="my正文 Char"/>
    <w:link w:val="283"/>
    <w:autoRedefine/>
    <w:qFormat/>
    <w:locked/>
    <w:uiPriority w:val="0"/>
    <w:rPr>
      <w:rFonts w:ascii="宋体" w:hAnsi="宋体"/>
      <w:kern w:val="2"/>
      <w:sz w:val="24"/>
      <w:szCs w:val="22"/>
    </w:rPr>
  </w:style>
  <w:style w:type="paragraph" w:customStyle="1" w:styleId="283">
    <w:name w:val="my正文"/>
    <w:link w:val="282"/>
    <w:autoRedefine/>
    <w:qFormat/>
    <w:uiPriority w:val="0"/>
    <w:pPr>
      <w:spacing w:line="360" w:lineRule="auto"/>
      <w:ind w:firstLine="225" w:firstLineChars="225"/>
    </w:pPr>
    <w:rPr>
      <w:rFonts w:ascii="宋体" w:hAnsi="宋体" w:eastAsia="宋体" w:cs="Times New Roman"/>
      <w:kern w:val="2"/>
      <w:sz w:val="24"/>
      <w:szCs w:val="22"/>
      <w:lang w:val="en-US" w:eastAsia="zh-CN" w:bidi="ar-SA"/>
    </w:rPr>
  </w:style>
  <w:style w:type="character" w:customStyle="1" w:styleId="284">
    <w:name w:val="!BECC正文 Char"/>
    <w:link w:val="285"/>
    <w:autoRedefine/>
    <w:qFormat/>
    <w:locked/>
    <w:uiPriority w:val="0"/>
    <w:rPr>
      <w:sz w:val="24"/>
      <w:szCs w:val="24"/>
    </w:rPr>
  </w:style>
  <w:style w:type="paragraph" w:customStyle="1" w:styleId="285">
    <w:name w:val="!BECC正文"/>
    <w:basedOn w:val="1"/>
    <w:link w:val="284"/>
    <w:autoRedefine/>
    <w:qFormat/>
    <w:uiPriority w:val="0"/>
    <w:pPr>
      <w:tabs>
        <w:tab w:val="left" w:pos="0"/>
      </w:tabs>
      <w:spacing w:beforeLines="50" w:line="360" w:lineRule="auto"/>
      <w:ind w:firstLine="200" w:firstLineChars="200"/>
      <w:contextualSpacing/>
    </w:pPr>
    <w:rPr>
      <w:kern w:val="0"/>
      <w:sz w:val="24"/>
    </w:rPr>
  </w:style>
  <w:style w:type="paragraph" w:customStyle="1" w:styleId="286">
    <w:name w:val="表内文字居中"/>
    <w:autoRedefine/>
    <w:qFormat/>
    <w:uiPriority w:val="99"/>
    <w:pPr>
      <w:jc w:val="center"/>
    </w:pPr>
    <w:rPr>
      <w:rFonts w:ascii="Times New Roman" w:hAnsi="Times New Roman" w:eastAsia="宋体" w:cs="Times New Roman"/>
      <w:kern w:val="2"/>
      <w:sz w:val="24"/>
      <w:szCs w:val="24"/>
      <w:lang w:val="en-US" w:eastAsia="zh-CN" w:bidi="ar-SA"/>
    </w:rPr>
  </w:style>
  <w:style w:type="paragraph" w:customStyle="1" w:styleId="287">
    <w:name w:val="样式 标题 3 + (中文) 黑体 小四 非加粗 段前: 7.8 磅 段后: 0 磅 行距: 固定值 20 磅"/>
    <w:basedOn w:val="6"/>
    <w:autoRedefine/>
    <w:qFormat/>
    <w:uiPriority w:val="99"/>
    <w:pPr>
      <w:tabs>
        <w:tab w:val="left" w:pos="432"/>
        <w:tab w:val="left" w:pos="720"/>
      </w:tabs>
      <w:autoSpaceDE/>
      <w:autoSpaceDN/>
      <w:adjustRightInd/>
      <w:spacing w:before="0" w:after="0" w:line="400" w:lineRule="exact"/>
      <w:jc w:val="both"/>
    </w:pPr>
    <w:rPr>
      <w:rFonts w:ascii="Times New Roman" w:eastAsia="黑体" w:cs="宋体"/>
      <w:b w:val="0"/>
      <w:kern w:val="2"/>
      <w:u w:val="none"/>
    </w:rPr>
  </w:style>
  <w:style w:type="paragraph" w:customStyle="1" w:styleId="288">
    <w:name w:val="xl821"/>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9">
    <w:name w:val="正文文字缩进"/>
    <w:basedOn w:val="1"/>
    <w:next w:val="1"/>
    <w:autoRedefine/>
    <w:qFormat/>
    <w:uiPriority w:val="99"/>
    <w:pPr>
      <w:widowControl/>
      <w:ind w:left="420"/>
    </w:pPr>
    <w:rPr>
      <w:rFonts w:ascii="仿宋_GB2312" w:eastAsia="仿宋_GB2312"/>
      <w:color w:val="000000"/>
      <w:sz w:val="30"/>
    </w:rPr>
  </w:style>
  <w:style w:type="paragraph" w:customStyle="1" w:styleId="290">
    <w:name w:val="font14"/>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91">
    <w:name w:val="列出段落3"/>
    <w:basedOn w:val="1"/>
    <w:autoRedefine/>
    <w:qFormat/>
    <w:uiPriority w:val="34"/>
    <w:pPr>
      <w:ind w:firstLine="420" w:firstLineChars="200"/>
    </w:pPr>
    <w:rPr>
      <w:rFonts w:ascii="Calibri" w:hAnsi="Calibri"/>
      <w:szCs w:val="22"/>
    </w:rPr>
  </w:style>
  <w:style w:type="paragraph" w:customStyle="1" w:styleId="292">
    <w:name w:val="xl822"/>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3">
    <w:name w:val="xl7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4">
    <w:name w:val="xl81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5">
    <w:name w:val="图标题"/>
    <w:basedOn w:val="1"/>
    <w:autoRedefine/>
    <w:qFormat/>
    <w:uiPriority w:val="99"/>
    <w:pPr>
      <w:spacing w:line="360" w:lineRule="auto"/>
      <w:jc w:val="center"/>
    </w:pPr>
  </w:style>
  <w:style w:type="paragraph" w:customStyle="1" w:styleId="296">
    <w:name w:val="xl81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7">
    <w:name w:val="xl80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98">
    <w:name w:val="xl8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9">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0">
    <w:name w:val="xl8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1">
    <w:name w:val="font10"/>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02">
    <w:name w:val="xl79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3">
    <w:name w:val="xl8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4">
    <w:name w:val="xl8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5">
    <w:name w:val="正文首缩两字"/>
    <w:basedOn w:val="1"/>
    <w:autoRedefine/>
    <w:qFormat/>
    <w:uiPriority w:val="99"/>
    <w:pPr>
      <w:spacing w:line="360" w:lineRule="auto"/>
      <w:ind w:firstLine="200" w:firstLineChars="200"/>
    </w:pPr>
    <w:rPr>
      <w:rFonts w:ascii="Verdana" w:hAnsi="Verdana"/>
      <w:sz w:val="24"/>
      <w:szCs w:val="22"/>
    </w:rPr>
  </w:style>
  <w:style w:type="paragraph" w:customStyle="1" w:styleId="306">
    <w:name w:val="插图居中"/>
    <w:next w:val="1"/>
    <w:autoRedefine/>
    <w:qFormat/>
    <w:uiPriority w:val="99"/>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307">
    <w:name w:val="目录文字"/>
    <w:basedOn w:val="1"/>
    <w:autoRedefine/>
    <w:qFormat/>
    <w:uiPriority w:val="99"/>
    <w:pPr>
      <w:widowControl/>
      <w:spacing w:line="480" w:lineRule="auto"/>
      <w:jc w:val="left"/>
    </w:pPr>
    <w:rPr>
      <w:rFonts w:ascii="宋体" w:hAnsi="宋体"/>
      <w:kern w:val="0"/>
      <w:sz w:val="24"/>
      <w:szCs w:val="20"/>
    </w:rPr>
  </w:style>
  <w:style w:type="paragraph" w:customStyle="1" w:styleId="308">
    <w:name w:val="xl81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9">
    <w:name w:val="xl7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0">
    <w:name w:val="xl80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1">
    <w:name w:val="xl80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2">
    <w:name w:val="xl81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3">
    <w:name w:val="空半行"/>
    <w:basedOn w:val="1"/>
    <w:autoRedefine/>
    <w:qFormat/>
    <w:uiPriority w:val="99"/>
    <w:pPr>
      <w:adjustRightInd w:val="0"/>
      <w:spacing w:line="120" w:lineRule="exact"/>
    </w:pPr>
    <w:rPr>
      <w:rFonts w:eastAsia="仿宋_GB2312"/>
      <w:color w:val="FFFFFF"/>
      <w:kern w:val="0"/>
      <w:sz w:val="30"/>
      <w:szCs w:val="20"/>
    </w:rPr>
  </w:style>
  <w:style w:type="paragraph" w:customStyle="1" w:styleId="314">
    <w:name w:val="xl81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5">
    <w:name w:val="font11"/>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316">
    <w:name w:val="xl81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7">
    <w:name w:val="xl820"/>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8">
    <w:name w:val="TOC 标题1"/>
    <w:basedOn w:val="3"/>
    <w:next w:val="1"/>
    <w:autoRedefine/>
    <w:qFormat/>
    <w:uiPriority w:val="39"/>
    <w:pPr>
      <w:tabs>
        <w:tab w:val="left" w:pos="432"/>
      </w:tabs>
      <w:autoSpaceDE/>
      <w:autoSpaceDN/>
      <w:adjustRightInd/>
      <w:spacing w:before="340" w:after="330" w:line="576" w:lineRule="auto"/>
      <w:jc w:val="both"/>
      <w:outlineLvl w:val="9"/>
    </w:pPr>
    <w:rPr>
      <w:rFonts w:ascii="Calibri" w:hAnsi="Calibri"/>
      <w:b w:val="0"/>
      <w:bCs/>
      <w:sz w:val="44"/>
      <w:szCs w:val="44"/>
      <w:lang w:val="zh-CN"/>
    </w:rPr>
  </w:style>
  <w:style w:type="paragraph" w:customStyle="1" w:styleId="319">
    <w:name w:val="表内文字居左"/>
    <w:autoRedefine/>
    <w:qFormat/>
    <w:uiPriority w:val="99"/>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320">
    <w:name w:val="图内文字5号居中"/>
    <w:autoRedefine/>
    <w:qFormat/>
    <w:uiPriority w:val="99"/>
    <w:pPr>
      <w:jc w:val="center"/>
    </w:pPr>
    <w:rPr>
      <w:rFonts w:ascii="Times New Roman" w:hAnsi="Times New Roman" w:eastAsia="宋体" w:cs="Times New Roman"/>
      <w:kern w:val="2"/>
      <w:sz w:val="21"/>
      <w:szCs w:val="24"/>
      <w:lang w:val="en-US" w:eastAsia="zh-CN" w:bidi="ar-SA"/>
    </w:rPr>
  </w:style>
  <w:style w:type="paragraph" w:customStyle="1" w:styleId="321">
    <w:name w:val="样式1"/>
    <w:basedOn w:val="1"/>
    <w:autoRedefine/>
    <w:qFormat/>
    <w:uiPriority w:val="99"/>
    <w:pPr>
      <w:spacing w:before="120" w:after="120" w:line="300" w:lineRule="auto"/>
    </w:pPr>
    <w:rPr>
      <w:rFonts w:ascii="宋体" w:hAnsi="宋体"/>
      <w:b/>
      <w:sz w:val="24"/>
      <w:szCs w:val="20"/>
    </w:rPr>
  </w:style>
  <w:style w:type="paragraph" w:customStyle="1" w:styleId="322">
    <w:name w:val="Style2"/>
    <w:basedOn w:val="1"/>
    <w:autoRedefine/>
    <w:qFormat/>
    <w:uiPriority w:val="99"/>
    <w:pPr>
      <w:adjustRightInd w:val="0"/>
      <w:spacing w:line="533" w:lineRule="exact"/>
      <w:jc w:val="left"/>
    </w:pPr>
    <w:rPr>
      <w:rFonts w:ascii="宋体" w:hAnsi="Calibri"/>
      <w:kern w:val="0"/>
      <w:sz w:val="24"/>
    </w:rPr>
  </w:style>
  <w:style w:type="paragraph" w:customStyle="1" w:styleId="323">
    <w:name w:val="xl8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4">
    <w:name w:val="Char1 Char Char Char"/>
    <w:basedOn w:val="1"/>
    <w:autoRedefine/>
    <w:qFormat/>
    <w:uiPriority w:val="99"/>
    <w:rPr>
      <w:rFonts w:ascii="Tahoma" w:hAnsi="Tahoma"/>
      <w:sz w:val="24"/>
      <w:szCs w:val="20"/>
    </w:rPr>
  </w:style>
  <w:style w:type="paragraph" w:customStyle="1" w:styleId="325">
    <w:name w:val="目录"/>
    <w:basedOn w:val="1"/>
    <w:autoRedefine/>
    <w:qFormat/>
    <w:uiPriority w:val="99"/>
    <w:pPr>
      <w:widowControl/>
      <w:jc w:val="center"/>
    </w:pPr>
    <w:rPr>
      <w:rFonts w:ascii="宋体"/>
      <w:b/>
      <w:kern w:val="0"/>
      <w:sz w:val="36"/>
      <w:szCs w:val="20"/>
    </w:rPr>
  </w:style>
  <w:style w:type="paragraph" w:customStyle="1" w:styleId="326">
    <w:name w:val="Style3"/>
    <w:basedOn w:val="1"/>
    <w:autoRedefine/>
    <w:qFormat/>
    <w:uiPriority w:val="99"/>
    <w:pPr>
      <w:adjustRightInd w:val="0"/>
      <w:spacing w:line="550" w:lineRule="exact"/>
      <w:ind w:firstLine="571"/>
      <w:jc w:val="left"/>
    </w:pPr>
    <w:rPr>
      <w:rFonts w:ascii="宋体" w:hAnsi="Calibri"/>
      <w:kern w:val="0"/>
      <w:sz w:val="24"/>
    </w:rPr>
  </w:style>
  <w:style w:type="paragraph" w:customStyle="1" w:styleId="327">
    <w:name w:val="xl8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8">
    <w:name w:val="font12"/>
    <w:basedOn w:val="1"/>
    <w:autoRedefine/>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29">
    <w:name w:val="xl80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30">
    <w:name w:val="xl79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1">
    <w:name w:val="xl81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2">
    <w:name w:val="List Paragraph2"/>
    <w:basedOn w:val="1"/>
    <w:autoRedefine/>
    <w:qFormat/>
    <w:uiPriority w:val="34"/>
    <w:pPr>
      <w:widowControl/>
      <w:ind w:firstLine="420" w:firstLineChars="200"/>
      <w:jc w:val="left"/>
    </w:pPr>
    <w:rPr>
      <w:rFonts w:ascii="宋体" w:hAnsi="Calibri"/>
      <w:kern w:val="0"/>
      <w:sz w:val="24"/>
    </w:rPr>
  </w:style>
  <w:style w:type="paragraph" w:customStyle="1" w:styleId="333">
    <w:name w:val="xl7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4">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35">
    <w:name w:val="font13"/>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36">
    <w:name w:val="正常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7">
    <w:name w:val="xl79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8">
    <w:name w:val="Style4"/>
    <w:basedOn w:val="1"/>
    <w:autoRedefine/>
    <w:qFormat/>
    <w:uiPriority w:val="99"/>
    <w:pPr>
      <w:adjustRightInd w:val="0"/>
      <w:jc w:val="left"/>
    </w:pPr>
    <w:rPr>
      <w:rFonts w:ascii="宋体" w:hAnsi="Calibri"/>
      <w:kern w:val="0"/>
      <w:sz w:val="24"/>
    </w:rPr>
  </w:style>
  <w:style w:type="paragraph" w:customStyle="1" w:styleId="339">
    <w:name w:val="正文文字缩进 2"/>
    <w:basedOn w:val="1"/>
    <w:next w:val="1"/>
    <w:autoRedefine/>
    <w:qFormat/>
    <w:uiPriority w:val="99"/>
    <w:pPr>
      <w:widowControl/>
      <w:spacing w:line="288" w:lineRule="auto"/>
      <w:ind w:firstLine="560"/>
    </w:pPr>
    <w:rPr>
      <w:rFonts w:ascii="宋体"/>
      <w:color w:val="000000"/>
      <w:sz w:val="28"/>
    </w:rPr>
  </w:style>
  <w:style w:type="paragraph" w:customStyle="1" w:styleId="340">
    <w:name w:val="xl81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1">
    <w:name w:val="修订2"/>
    <w:autoRedefine/>
    <w:qFormat/>
    <w:uiPriority w:val="99"/>
    <w:rPr>
      <w:rFonts w:ascii="Calibri" w:hAnsi="Calibri" w:eastAsia="宋体" w:cs="Times New Roman"/>
      <w:kern w:val="2"/>
      <w:sz w:val="21"/>
      <w:szCs w:val="22"/>
      <w:lang w:val="en-US" w:eastAsia="zh-CN" w:bidi="ar-SA"/>
    </w:rPr>
  </w:style>
  <w:style w:type="paragraph" w:customStyle="1" w:styleId="342">
    <w:name w:val="xl81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43">
    <w:name w:val="列出段落6"/>
    <w:basedOn w:val="1"/>
    <w:autoRedefine/>
    <w:qFormat/>
    <w:uiPriority w:val="99"/>
    <w:pPr>
      <w:ind w:firstLine="420" w:firstLineChars="200"/>
    </w:pPr>
    <w:rPr>
      <w:rFonts w:ascii="Calibri" w:hAnsi="Calibri"/>
      <w:szCs w:val="22"/>
    </w:rPr>
  </w:style>
  <w:style w:type="paragraph" w:customStyle="1" w:styleId="344">
    <w:name w:val="样式 标题 2 + Times New Roman 四号 非加粗 段前: 5 磅 段后: 0 磅 行距: 固定值 20..."/>
    <w:basedOn w:val="4"/>
    <w:autoRedefine/>
    <w:qFormat/>
    <w:uiPriority w:val="99"/>
    <w:pPr>
      <w:autoSpaceDE/>
      <w:autoSpaceDN/>
      <w:adjustRightInd/>
      <w:spacing w:before="100" w:line="400" w:lineRule="exact"/>
      <w:jc w:val="both"/>
    </w:pPr>
    <w:rPr>
      <w:rFonts w:ascii="Times New Roman" w:hAnsi="Times New Roman" w:eastAsia="宋体" w:cs="宋体"/>
      <w:sz w:val="28"/>
      <w:lang w:val="zh-CN"/>
    </w:rPr>
  </w:style>
  <w:style w:type="paragraph" w:customStyle="1" w:styleId="345">
    <w:name w:val="flNote"/>
    <w:basedOn w:val="1"/>
    <w:autoRedefine/>
    <w:qFormat/>
    <w:uiPriority w:val="99"/>
    <w:pPr>
      <w:adjustRightInd w:val="0"/>
      <w:spacing w:before="320" w:after="160" w:line="360" w:lineRule="atLeast"/>
      <w:jc w:val="center"/>
    </w:pPr>
    <w:rPr>
      <w:rFonts w:ascii="Arial" w:eastAsia="黑体"/>
      <w:kern w:val="0"/>
      <w:sz w:val="30"/>
      <w:szCs w:val="20"/>
    </w:rPr>
  </w:style>
  <w:style w:type="paragraph" w:customStyle="1" w:styleId="346">
    <w:name w:val="xl80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7">
    <w:name w:val="xl81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8">
    <w:name w:val="Style1"/>
    <w:basedOn w:val="1"/>
    <w:autoRedefine/>
    <w:qFormat/>
    <w:uiPriority w:val="99"/>
    <w:pPr>
      <w:adjustRightInd w:val="0"/>
      <w:jc w:val="left"/>
    </w:pPr>
    <w:rPr>
      <w:rFonts w:ascii="宋体" w:hAnsi="Calibri"/>
      <w:kern w:val="0"/>
      <w:sz w:val="24"/>
    </w:rPr>
  </w:style>
  <w:style w:type="paragraph" w:customStyle="1" w:styleId="349">
    <w:name w:val="列出段落31"/>
    <w:basedOn w:val="1"/>
    <w:autoRedefine/>
    <w:qFormat/>
    <w:uiPriority w:val="99"/>
    <w:pPr>
      <w:ind w:firstLine="420" w:firstLineChars="200"/>
    </w:pPr>
    <w:rPr>
      <w:szCs w:val="20"/>
    </w:rPr>
  </w:style>
  <w:style w:type="paragraph" w:customStyle="1" w:styleId="350">
    <w:name w:val="_Style 251"/>
    <w:basedOn w:val="1"/>
    <w:next w:val="15"/>
    <w:autoRedefine/>
    <w:qFormat/>
    <w:uiPriority w:val="1"/>
    <w:pPr>
      <w:ind w:firstLine="420" w:firstLineChars="200"/>
    </w:pPr>
    <w:rPr>
      <w:rFonts w:ascii="Calibri" w:hAnsi="Calibri"/>
      <w:szCs w:val="22"/>
    </w:rPr>
  </w:style>
  <w:style w:type="paragraph" w:customStyle="1" w:styleId="351">
    <w:name w:val="_Style 261"/>
    <w:basedOn w:val="1"/>
    <w:next w:val="15"/>
    <w:autoRedefine/>
    <w:qFormat/>
    <w:uiPriority w:val="1"/>
    <w:pPr>
      <w:ind w:firstLine="420" w:firstLineChars="200"/>
    </w:pPr>
    <w:rPr>
      <w:rFonts w:ascii="Calibri" w:hAnsi="Calibri"/>
      <w:szCs w:val="22"/>
    </w:rPr>
  </w:style>
  <w:style w:type="paragraph" w:customStyle="1" w:styleId="352">
    <w:name w:val="1.1.1"/>
    <w:basedOn w:val="349"/>
    <w:autoRedefine/>
    <w:qFormat/>
    <w:uiPriority w:val="99"/>
    <w:pPr>
      <w:adjustRightInd w:val="0"/>
      <w:snapToGrid w:val="0"/>
      <w:spacing w:before="100" w:beforeAutospacing="1" w:after="100" w:afterAutospacing="1" w:line="440" w:lineRule="exact"/>
      <w:ind w:left="1276" w:hanging="567" w:firstLineChars="0"/>
      <w:contextualSpacing/>
    </w:pPr>
    <w:rPr>
      <w:rFonts w:eastAsia="等线"/>
    </w:rPr>
  </w:style>
  <w:style w:type="paragraph" w:customStyle="1" w:styleId="353">
    <w:name w:val="列出段落41"/>
    <w:basedOn w:val="1"/>
    <w:autoRedefine/>
    <w:qFormat/>
    <w:uiPriority w:val="99"/>
    <w:pPr>
      <w:adjustRightInd w:val="0"/>
      <w:snapToGrid w:val="0"/>
      <w:spacing w:before="100" w:beforeAutospacing="1" w:after="100" w:afterAutospacing="1" w:line="360" w:lineRule="auto"/>
      <w:ind w:firstLine="420" w:firstLineChars="200"/>
      <w:contextualSpacing/>
    </w:pPr>
    <w:rPr>
      <w:rFonts w:eastAsia="等线"/>
      <w:szCs w:val="20"/>
    </w:rPr>
  </w:style>
  <w:style w:type="paragraph" w:customStyle="1" w:styleId="354">
    <w:name w:val="正文（缩进）"/>
    <w:basedOn w:val="1"/>
    <w:autoRedefine/>
    <w:qFormat/>
    <w:uiPriority w:val="99"/>
    <w:pPr>
      <w:spacing w:beforeLines="50"/>
      <w:ind w:firstLine="480"/>
    </w:pPr>
    <w:rPr>
      <w:rFonts w:ascii="Calibri" w:hAnsi="Calibri"/>
      <w:sz w:val="24"/>
      <w:szCs w:val="22"/>
    </w:rPr>
  </w:style>
  <w:style w:type="paragraph" w:customStyle="1" w:styleId="355">
    <w:name w:val="2级小标题"/>
    <w:basedOn w:val="3"/>
    <w:autoRedefine/>
    <w:qFormat/>
    <w:uiPriority w:val="99"/>
    <w:pPr>
      <w:keepNext w:val="0"/>
      <w:keepLines w:val="0"/>
      <w:numPr>
        <w:ilvl w:val="1"/>
        <w:numId w:val="8"/>
      </w:numPr>
      <w:kinsoku w:val="0"/>
      <w:adjustRightInd/>
      <w:snapToGrid w:val="0"/>
      <w:spacing w:beforeLines="50" w:after="0" w:line="240" w:lineRule="auto"/>
      <w:jc w:val="both"/>
      <w:outlineLvl w:val="1"/>
    </w:pPr>
    <w:rPr>
      <w:rFonts w:ascii="Times New Roman" w:cs="Arial"/>
      <w:b w:val="0"/>
      <w:color w:val="000000"/>
      <w:kern w:val="2"/>
      <w:sz w:val="21"/>
      <w:szCs w:val="24"/>
      <w:lang w:eastAsia="en-US"/>
    </w:rPr>
  </w:style>
  <w:style w:type="paragraph" w:customStyle="1" w:styleId="356">
    <w:name w:val="1级大标题"/>
    <w:basedOn w:val="3"/>
    <w:autoRedefine/>
    <w:qFormat/>
    <w:uiPriority w:val="99"/>
    <w:pPr>
      <w:keepNext w:val="0"/>
      <w:keepLines w:val="0"/>
      <w:numPr>
        <w:ilvl w:val="0"/>
        <w:numId w:val="8"/>
      </w:numPr>
      <w:kinsoku w:val="0"/>
      <w:adjustRightInd/>
      <w:snapToGrid w:val="0"/>
      <w:spacing w:beforeLines="50" w:after="0" w:line="240" w:lineRule="auto"/>
      <w:jc w:val="both"/>
    </w:pPr>
    <w:rPr>
      <w:rFonts w:ascii="Times New Roman" w:cs="Arial"/>
      <w:color w:val="000000"/>
      <w:kern w:val="2"/>
      <w:sz w:val="21"/>
      <w:szCs w:val="21"/>
      <w:lang w:eastAsia="en-US"/>
    </w:rPr>
  </w:style>
  <w:style w:type="paragraph" w:customStyle="1" w:styleId="357">
    <w:name w:val="3级小标题"/>
    <w:basedOn w:val="3"/>
    <w:autoRedefine/>
    <w:qFormat/>
    <w:uiPriority w:val="99"/>
    <w:pPr>
      <w:keepNext w:val="0"/>
      <w:keepLines w:val="0"/>
      <w:numPr>
        <w:ilvl w:val="2"/>
        <w:numId w:val="8"/>
      </w:numPr>
      <w:kinsoku w:val="0"/>
      <w:adjustRightInd/>
      <w:snapToGrid w:val="0"/>
      <w:spacing w:beforeLines="50" w:after="0" w:line="240" w:lineRule="auto"/>
      <w:jc w:val="both"/>
      <w:outlineLvl w:val="2"/>
    </w:pPr>
    <w:rPr>
      <w:rFonts w:ascii="Times New Roman" w:cs="Arial"/>
      <w:b w:val="0"/>
      <w:color w:val="000000"/>
      <w:kern w:val="2"/>
      <w:sz w:val="21"/>
      <w:szCs w:val="24"/>
      <w:lang w:eastAsia="en-US"/>
    </w:rPr>
  </w:style>
  <w:style w:type="paragraph" w:customStyle="1" w:styleId="358">
    <w:name w:val="WW-正文缩进"/>
    <w:basedOn w:val="1"/>
    <w:autoRedefine/>
    <w:qFormat/>
    <w:uiPriority w:val="99"/>
    <w:pPr>
      <w:suppressAutoHyphens/>
      <w:autoSpaceDE w:val="0"/>
      <w:ind w:firstLine="420"/>
      <w:jc w:val="left"/>
    </w:pPr>
    <w:rPr>
      <w:rFonts w:ascii="宋体" w:hAnsi="宋体"/>
      <w:kern w:val="0"/>
      <w:sz w:val="24"/>
      <w:szCs w:val="20"/>
    </w:rPr>
  </w:style>
  <w:style w:type="paragraph" w:customStyle="1" w:styleId="359">
    <w:name w:val="彩色列表 - 强调文字颜色 11"/>
    <w:basedOn w:val="1"/>
    <w:autoRedefine/>
    <w:qFormat/>
    <w:uiPriority w:val="99"/>
    <w:pPr>
      <w:ind w:firstLine="420" w:firstLineChars="200"/>
    </w:pPr>
  </w:style>
  <w:style w:type="character" w:customStyle="1" w:styleId="360">
    <w:name w:val="样式 Char"/>
    <w:link w:val="361"/>
    <w:autoRedefine/>
    <w:qFormat/>
    <w:locked/>
    <w:uiPriority w:val="0"/>
    <w:rPr>
      <w:rFonts w:ascii="宋体" w:hAnsi="宋体"/>
      <w:sz w:val="24"/>
      <w:szCs w:val="24"/>
    </w:rPr>
  </w:style>
  <w:style w:type="paragraph" w:customStyle="1" w:styleId="361">
    <w:name w:val="样式"/>
    <w:link w:val="360"/>
    <w:autoRedefine/>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362">
    <w:name w:val="1.1.1.1A"/>
    <w:basedOn w:val="1"/>
    <w:autoRedefine/>
    <w:qFormat/>
    <w:uiPriority w:val="99"/>
    <w:pPr>
      <w:tabs>
        <w:tab w:val="left" w:pos="1843"/>
        <w:tab w:val="left" w:pos="26875"/>
      </w:tabs>
      <w:autoSpaceDE w:val="0"/>
      <w:autoSpaceDN w:val="0"/>
      <w:adjustRightInd w:val="0"/>
      <w:spacing w:before="60" w:after="60" w:line="360" w:lineRule="atLeast"/>
      <w:ind w:left="1560" w:hanging="426"/>
      <w:jc w:val="left"/>
    </w:pPr>
    <w:rPr>
      <w:rFonts w:ascii="宋体"/>
      <w:kern w:val="0"/>
      <w:sz w:val="24"/>
      <w:szCs w:val="20"/>
    </w:rPr>
  </w:style>
  <w:style w:type="paragraph" w:customStyle="1" w:styleId="363">
    <w:name w:val="Char Char Char Char Char Char1 Char"/>
    <w:basedOn w:val="1"/>
    <w:autoRedefine/>
    <w:qFormat/>
    <w:uiPriority w:val="99"/>
    <w:pPr>
      <w:widowControl/>
      <w:wordWrap w:val="0"/>
      <w:jc w:val="left"/>
    </w:pPr>
  </w:style>
  <w:style w:type="paragraph" w:customStyle="1" w:styleId="364">
    <w:name w:val="Char1 Char Char1 Char Char Char Char"/>
    <w:basedOn w:val="1"/>
    <w:autoRedefine/>
    <w:qFormat/>
    <w:uiPriority w:val="99"/>
    <w:rPr>
      <w:rFonts w:ascii="Tahoma" w:hAnsi="Tahoma"/>
      <w:sz w:val="24"/>
      <w:szCs w:val="20"/>
    </w:rPr>
  </w:style>
  <w:style w:type="paragraph" w:customStyle="1" w:styleId="365">
    <w:name w:val="plaintext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66">
    <w:name w:val="Char Char Char Char Char Char1 Char1"/>
    <w:basedOn w:val="1"/>
    <w:autoRedefine/>
    <w:qFormat/>
    <w:uiPriority w:val="99"/>
    <w:pPr>
      <w:widowControl/>
      <w:wordWrap w:val="0"/>
      <w:jc w:val="left"/>
    </w:pPr>
    <w:rPr>
      <w:rFonts w:ascii="Tahoma" w:hAnsi="Tahoma"/>
      <w:sz w:val="24"/>
      <w:szCs w:val="20"/>
    </w:rPr>
  </w:style>
  <w:style w:type="paragraph" w:customStyle="1" w:styleId="367">
    <w:name w:val="标题六"/>
    <w:basedOn w:val="6"/>
    <w:autoRedefine/>
    <w:qFormat/>
    <w:uiPriority w:val="99"/>
    <w:pPr>
      <w:autoSpaceDE/>
      <w:autoSpaceDN/>
      <w:adjustRightInd/>
      <w:spacing w:before="260" w:after="260" w:line="415" w:lineRule="auto"/>
      <w:jc w:val="both"/>
    </w:pPr>
    <w:rPr>
      <w:rFonts w:ascii="Times New Roman"/>
      <w:bCs/>
      <w:kern w:val="2"/>
      <w:sz w:val="28"/>
      <w:szCs w:val="32"/>
      <w:u w:val="none"/>
    </w:rPr>
  </w:style>
  <w:style w:type="paragraph" w:customStyle="1" w:styleId="368">
    <w:name w:val="_Style 23"/>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69">
    <w:name w:val="第一章"/>
    <w:basedOn w:val="1"/>
    <w:autoRedefine/>
    <w:qFormat/>
    <w:uiPriority w:val="99"/>
    <w:pPr>
      <w:pageBreakBefore/>
      <w:tabs>
        <w:tab w:val="left" w:pos="720"/>
      </w:tabs>
      <w:spacing w:line="360" w:lineRule="auto"/>
      <w:ind w:left="720" w:firstLine="200" w:firstLineChars="200"/>
      <w:jc w:val="left"/>
    </w:pPr>
    <w:rPr>
      <w:rFonts w:eastAsia="黑体"/>
      <w:b/>
      <w:sz w:val="32"/>
    </w:rPr>
  </w:style>
  <w:style w:type="paragraph" w:customStyle="1" w:styleId="370">
    <w:name w:val="样式 正文缩进 + 首行缩进:  2.06 字符"/>
    <w:basedOn w:val="5"/>
    <w:autoRedefine/>
    <w:qFormat/>
    <w:uiPriority w:val="99"/>
    <w:pPr>
      <w:autoSpaceDE/>
      <w:autoSpaceDN/>
      <w:adjustRightInd/>
      <w:spacing w:line="360" w:lineRule="auto"/>
      <w:ind w:right="31" w:rightChars="15" w:firstLine="433" w:firstLineChars="206"/>
      <w:jc w:val="both"/>
    </w:pPr>
    <w:rPr>
      <w:rFonts w:hAnsi="宋体" w:cs="宋体"/>
      <w:szCs w:val="20"/>
    </w:rPr>
  </w:style>
  <w:style w:type="paragraph" w:customStyle="1" w:styleId="371">
    <w:name w:val="1."/>
    <w:basedOn w:val="1"/>
    <w:autoRedefine/>
    <w:qFormat/>
    <w:uiPriority w:val="99"/>
    <w:pPr>
      <w:spacing w:line="360" w:lineRule="auto"/>
    </w:pPr>
    <w:rPr>
      <w:sz w:val="24"/>
    </w:rPr>
  </w:style>
  <w:style w:type="paragraph" w:customStyle="1" w:styleId="372">
    <w:name w:val="首行缩进"/>
    <w:autoRedefine/>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73">
    <w:name w:val="WW-正文文本缩进 3"/>
    <w:basedOn w:val="1"/>
    <w:autoRedefine/>
    <w:qFormat/>
    <w:uiPriority w:val="99"/>
    <w:pPr>
      <w:suppressAutoHyphens/>
      <w:spacing w:line="360" w:lineRule="auto"/>
      <w:ind w:left="2" w:firstLine="482"/>
    </w:pPr>
    <w:rPr>
      <w:rFonts w:ascii="宋体" w:hAnsi="宋体"/>
      <w:sz w:val="24"/>
      <w:lang w:val="zh-CN" w:eastAsia="ar-SA"/>
    </w:rPr>
  </w:style>
  <w:style w:type="paragraph" w:customStyle="1" w:styleId="374">
    <w:name w:val="Char Char Char Char Char Char Char Char Char Char Char Char Char"/>
    <w:basedOn w:val="1"/>
    <w:autoRedefine/>
    <w:qFormat/>
    <w:uiPriority w:val="99"/>
    <w:rPr>
      <w:rFonts w:ascii="Tahoma" w:hAnsi="Tahoma"/>
      <w:sz w:val="24"/>
      <w:szCs w:val="20"/>
    </w:rPr>
  </w:style>
  <w:style w:type="paragraph" w:customStyle="1" w:styleId="375">
    <w:name w:val="p0"/>
    <w:basedOn w:val="1"/>
    <w:autoRedefine/>
    <w:qFormat/>
    <w:uiPriority w:val="99"/>
    <w:pPr>
      <w:widowControl/>
      <w:jc w:val="left"/>
    </w:pPr>
    <w:rPr>
      <w:rFonts w:ascii="宋体" w:hAnsi="宋体" w:cs="宋体"/>
      <w:kern w:val="0"/>
      <w:sz w:val="24"/>
      <w:szCs w:val="21"/>
    </w:rPr>
  </w:style>
  <w:style w:type="paragraph" w:customStyle="1" w:styleId="376">
    <w:name w:val="Body Text Indent_b26e1f60-4e99-4b4f-abdd-c44c689b7a4c"/>
    <w:basedOn w:val="1"/>
    <w:autoRedefine/>
    <w:qFormat/>
    <w:uiPriority w:val="99"/>
    <w:pPr>
      <w:spacing w:after="120"/>
      <w:ind w:left="420" w:leftChars="200"/>
    </w:pPr>
    <w:rPr>
      <w:rFonts w:ascii="Calibri" w:hAnsi="Calibri"/>
      <w:sz w:val="24"/>
      <w:szCs w:val="22"/>
    </w:rPr>
  </w:style>
  <w:style w:type="paragraph" w:customStyle="1" w:styleId="377">
    <w:name w:val="默认段落字体 Para Char Char Char Char Char Char Char"/>
    <w:basedOn w:val="17"/>
    <w:autoRedefine/>
    <w:qFormat/>
    <w:uiPriority w:val="99"/>
    <w:pPr>
      <w:adjustRightInd w:val="0"/>
      <w:spacing w:line="436" w:lineRule="exact"/>
      <w:ind w:left="357"/>
      <w:jc w:val="left"/>
      <w:outlineLvl w:val="3"/>
    </w:pPr>
    <w:rPr>
      <w:rFonts w:eastAsia="Times New Roman"/>
      <w:kern w:val="0"/>
      <w:sz w:val="20"/>
      <w:szCs w:val="20"/>
    </w:rPr>
  </w:style>
  <w:style w:type="paragraph" w:customStyle="1" w:styleId="378">
    <w:name w:val="1)"/>
    <w:basedOn w:val="1"/>
    <w:autoRedefine/>
    <w:qFormat/>
    <w:uiPriority w:val="99"/>
    <w:pPr>
      <w:tabs>
        <w:tab w:val="left" w:pos="900"/>
        <w:tab w:val="left" w:pos="964"/>
      </w:tabs>
      <w:spacing w:line="360" w:lineRule="auto"/>
      <w:ind w:left="420" w:hanging="420"/>
    </w:pPr>
    <w:rPr>
      <w:sz w:val="24"/>
    </w:rPr>
  </w:style>
  <w:style w:type="paragraph" w:customStyle="1" w:styleId="379">
    <w:name w:val="Char Char1 Char Char Char Char Char Char Char"/>
    <w:basedOn w:val="1"/>
    <w:autoRedefine/>
    <w:qFormat/>
    <w:uiPriority w:val="99"/>
    <w:rPr>
      <w:rFonts w:ascii="Tahoma" w:hAnsi="Tahoma"/>
      <w:sz w:val="24"/>
      <w:szCs w:val="20"/>
    </w:rPr>
  </w:style>
  <w:style w:type="paragraph" w:customStyle="1" w:styleId="380">
    <w:name w:val="Blockquote"/>
    <w:basedOn w:val="1"/>
    <w:autoRedefine/>
    <w:qFormat/>
    <w:uiPriority w:val="99"/>
    <w:pPr>
      <w:autoSpaceDE w:val="0"/>
      <w:autoSpaceDN w:val="0"/>
      <w:adjustRightInd w:val="0"/>
      <w:spacing w:before="100" w:after="100"/>
      <w:ind w:left="360" w:right="360"/>
      <w:jc w:val="left"/>
    </w:pPr>
    <w:rPr>
      <w:kern w:val="0"/>
      <w:sz w:val="24"/>
      <w:szCs w:val="20"/>
    </w:rPr>
  </w:style>
  <w:style w:type="paragraph" w:customStyle="1" w:styleId="381">
    <w:name w:val="p15"/>
    <w:basedOn w:val="1"/>
    <w:autoRedefine/>
    <w:qFormat/>
    <w:uiPriority w:val="99"/>
    <w:pPr>
      <w:widowControl/>
      <w:jc w:val="left"/>
    </w:pPr>
    <w:rPr>
      <w:rFonts w:ascii="Calibri" w:hAnsi="Calibri"/>
      <w:kern w:val="0"/>
      <w:sz w:val="24"/>
      <w:szCs w:val="22"/>
    </w:rPr>
  </w:style>
  <w:style w:type="paragraph" w:customStyle="1" w:styleId="382">
    <w:name w:val="xl65"/>
    <w:basedOn w:val="1"/>
    <w:autoRedefine/>
    <w:qFormat/>
    <w:uiPriority w:val="99"/>
    <w:pPr>
      <w:widowControl/>
      <w:spacing w:before="100" w:beforeAutospacing="1" w:after="100" w:afterAutospacing="1"/>
      <w:jc w:val="center"/>
    </w:pPr>
    <w:rPr>
      <w:rFonts w:ascii="宋体" w:hAnsi="宋体" w:cs="宋体"/>
      <w:b/>
      <w:bCs/>
      <w:kern w:val="0"/>
      <w:sz w:val="24"/>
    </w:rPr>
  </w:style>
  <w:style w:type="paragraph" w:customStyle="1" w:styleId="383">
    <w:name w:val="xl66"/>
    <w:basedOn w:val="1"/>
    <w:autoRedefine/>
    <w:qFormat/>
    <w:uiPriority w:val="99"/>
    <w:pPr>
      <w:widowControl/>
      <w:spacing w:before="100" w:beforeAutospacing="1" w:after="100" w:afterAutospacing="1"/>
    </w:pPr>
    <w:rPr>
      <w:rFonts w:ascii="宋体" w:hAnsi="宋体" w:cs="宋体"/>
      <w:kern w:val="0"/>
      <w:sz w:val="24"/>
    </w:rPr>
  </w:style>
  <w:style w:type="paragraph" w:customStyle="1" w:styleId="384">
    <w:name w:val="xl67"/>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5">
    <w:name w:val="xl68"/>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6">
    <w:name w:val="xl69"/>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7">
    <w:name w:val="xl70"/>
    <w:basedOn w:val="1"/>
    <w:autoRedefine/>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8">
    <w:name w:val="xl7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9">
    <w:name w:val="xl72"/>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0">
    <w:name w:val="xl73"/>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1">
    <w:name w:val="xl74"/>
    <w:basedOn w:val="1"/>
    <w:autoRedefine/>
    <w:qFormat/>
    <w:uiPriority w:val="99"/>
    <w:pPr>
      <w:widowControl/>
      <w:pBdr>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2">
    <w:name w:val="xl75"/>
    <w:basedOn w:val="1"/>
    <w:autoRedefine/>
    <w:qFormat/>
    <w:uiPriority w:val="99"/>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3">
    <w:name w:val="xl76"/>
    <w:basedOn w:val="1"/>
    <w:autoRedefine/>
    <w:qFormat/>
    <w:uiPriority w:val="99"/>
    <w:pPr>
      <w:widowControl/>
      <w:pBdr>
        <w:right w:val="single" w:color="auto" w:sz="8" w:space="0"/>
      </w:pBdr>
      <w:spacing w:before="100" w:beforeAutospacing="1" w:after="100" w:afterAutospacing="1"/>
    </w:pPr>
    <w:rPr>
      <w:rFonts w:ascii="宋体" w:hAnsi="宋体" w:cs="宋体"/>
      <w:kern w:val="0"/>
      <w:sz w:val="24"/>
    </w:rPr>
  </w:style>
  <w:style w:type="paragraph" w:customStyle="1" w:styleId="394">
    <w:name w:val="xl77"/>
    <w:basedOn w:val="1"/>
    <w:autoRedefine/>
    <w:qFormat/>
    <w:uiPriority w:val="99"/>
    <w:pPr>
      <w:widowControl/>
      <w:pBdr>
        <w:right w:val="single" w:color="auto" w:sz="8" w:space="0"/>
      </w:pBdr>
      <w:spacing w:before="100" w:beforeAutospacing="1" w:after="100" w:afterAutospacing="1"/>
      <w:jc w:val="center"/>
    </w:pPr>
    <w:rPr>
      <w:rFonts w:ascii="宋体" w:hAnsi="宋体" w:cs="宋体"/>
      <w:kern w:val="0"/>
      <w:sz w:val="24"/>
    </w:rPr>
  </w:style>
  <w:style w:type="paragraph" w:customStyle="1" w:styleId="395">
    <w:name w:val="xl78"/>
    <w:basedOn w:val="1"/>
    <w:autoRedefine/>
    <w:qFormat/>
    <w:uiPriority w:val="99"/>
    <w:pPr>
      <w:widowControl/>
      <w:pBdr>
        <w:right w:val="single" w:color="auto" w:sz="8" w:space="0"/>
      </w:pBdr>
      <w:spacing w:before="100" w:beforeAutospacing="1" w:after="100" w:afterAutospacing="1"/>
      <w:jc w:val="left"/>
    </w:pPr>
    <w:rPr>
      <w:rFonts w:ascii="宋体" w:hAnsi="宋体" w:cs="宋体"/>
      <w:kern w:val="0"/>
      <w:sz w:val="24"/>
    </w:rPr>
  </w:style>
  <w:style w:type="paragraph" w:customStyle="1" w:styleId="396">
    <w:name w:val="xl79"/>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7">
    <w:name w:val="xl80"/>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8">
    <w:name w:val="xl8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9">
    <w:name w:val="xl82"/>
    <w:basedOn w:val="1"/>
    <w:autoRedefine/>
    <w:qFormat/>
    <w:uiPriority w:val="99"/>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0">
    <w:name w:val="修订21"/>
    <w:autoRedefine/>
    <w:qFormat/>
    <w:uiPriority w:val="99"/>
    <w:rPr>
      <w:rFonts w:ascii="Calibri" w:hAnsi="Calibri" w:eastAsia="宋体" w:cs="Times New Roman"/>
      <w:kern w:val="2"/>
      <w:sz w:val="21"/>
      <w:szCs w:val="22"/>
      <w:lang w:val="en-US" w:eastAsia="zh-CN" w:bidi="ar-SA"/>
    </w:rPr>
  </w:style>
  <w:style w:type="character" w:styleId="401">
    <w:name w:val="Placeholder Text"/>
    <w:autoRedefine/>
    <w:semiHidden/>
    <w:qFormat/>
    <w:uiPriority w:val="99"/>
    <w:rPr>
      <w:color w:val="808080"/>
    </w:rPr>
  </w:style>
  <w:style w:type="character" w:customStyle="1" w:styleId="402">
    <w:name w:val="标题 1 Char1"/>
    <w:autoRedefine/>
    <w:qFormat/>
    <w:locked/>
    <w:uiPriority w:val="0"/>
    <w:rPr>
      <w:rFonts w:ascii="黑体" w:cs="宋体"/>
      <w:b/>
      <w:sz w:val="28"/>
      <w:lang w:val="zh-CN"/>
    </w:rPr>
  </w:style>
  <w:style w:type="character" w:customStyle="1" w:styleId="403">
    <w:name w:val="标题 4 Char1"/>
    <w:autoRedefine/>
    <w:semiHidden/>
    <w:qFormat/>
    <w:locked/>
    <w:uiPriority w:val="0"/>
    <w:rPr>
      <w:rFonts w:ascii="Arial" w:hAnsi="Arial" w:eastAsia="仿宋_GB2312"/>
      <w:b/>
      <w:bCs/>
      <w:sz w:val="28"/>
      <w:szCs w:val="28"/>
      <w:lang w:val="zh-CN" w:eastAsia="zh-CN"/>
    </w:rPr>
  </w:style>
  <w:style w:type="character" w:customStyle="1" w:styleId="404">
    <w:name w:val="标题 5 Char1"/>
    <w:autoRedefine/>
    <w:semiHidden/>
    <w:qFormat/>
    <w:locked/>
    <w:uiPriority w:val="0"/>
    <w:rPr>
      <w:rFonts w:ascii="Calibri" w:hAnsi="Calibri"/>
      <w:b/>
      <w:bCs/>
      <w:sz w:val="28"/>
      <w:szCs w:val="28"/>
      <w:lang w:val="zh-CN" w:eastAsia="zh-CN"/>
    </w:rPr>
  </w:style>
  <w:style w:type="character" w:customStyle="1" w:styleId="405">
    <w:name w:val="标题 6 Char1"/>
    <w:autoRedefine/>
    <w:semiHidden/>
    <w:qFormat/>
    <w:locked/>
    <w:uiPriority w:val="0"/>
    <w:rPr>
      <w:rFonts w:ascii="Arial" w:hAnsi="Arial" w:eastAsia="黑体"/>
      <w:b/>
      <w:bCs/>
      <w:sz w:val="24"/>
      <w:szCs w:val="24"/>
      <w:lang w:val="zh-CN"/>
    </w:rPr>
  </w:style>
  <w:style w:type="character" w:customStyle="1" w:styleId="406">
    <w:name w:val="标题 7 Char2"/>
    <w:autoRedefine/>
    <w:semiHidden/>
    <w:qFormat/>
    <w:locked/>
    <w:uiPriority w:val="99"/>
    <w:rPr>
      <w:b/>
      <w:bCs/>
      <w:sz w:val="24"/>
      <w:szCs w:val="24"/>
      <w:lang w:val="zh-CN"/>
    </w:rPr>
  </w:style>
  <w:style w:type="character" w:customStyle="1" w:styleId="407">
    <w:name w:val="标题 8 Char1"/>
    <w:autoRedefine/>
    <w:semiHidden/>
    <w:qFormat/>
    <w:locked/>
    <w:uiPriority w:val="99"/>
    <w:rPr>
      <w:rFonts w:ascii="Arial" w:hAnsi="Arial" w:eastAsia="黑体"/>
      <w:sz w:val="24"/>
      <w:szCs w:val="24"/>
      <w:lang w:val="zh-CN"/>
    </w:rPr>
  </w:style>
  <w:style w:type="character" w:customStyle="1" w:styleId="408">
    <w:name w:val="标题 9 Char1"/>
    <w:autoRedefine/>
    <w:semiHidden/>
    <w:qFormat/>
    <w:locked/>
    <w:uiPriority w:val="99"/>
    <w:rPr>
      <w:rFonts w:ascii="Arial" w:hAnsi="Arial" w:eastAsia="黑体"/>
      <w:szCs w:val="21"/>
      <w:lang w:val="zh-CN"/>
    </w:rPr>
  </w:style>
  <w:style w:type="character" w:customStyle="1" w:styleId="409">
    <w:name w:val="文档结构图 Char2"/>
    <w:autoRedefine/>
    <w:semiHidden/>
    <w:qFormat/>
    <w:locked/>
    <w:uiPriority w:val="99"/>
    <w:rPr>
      <w:rFonts w:eastAsia="Times New Roman"/>
      <w:szCs w:val="24"/>
      <w:shd w:val="clear" w:color="auto" w:fill="000080"/>
      <w:lang w:val="zh-CN" w:eastAsia="zh-CN"/>
    </w:rPr>
  </w:style>
  <w:style w:type="character" w:customStyle="1" w:styleId="410">
    <w:name w:val="正文文本 3 Char1"/>
    <w:autoRedefine/>
    <w:semiHidden/>
    <w:qFormat/>
    <w:locked/>
    <w:uiPriority w:val="99"/>
    <w:rPr>
      <w:rFonts w:eastAsia="Times New Roman"/>
      <w:sz w:val="16"/>
      <w:szCs w:val="16"/>
      <w:lang w:val="zh-CN" w:eastAsia="zh-CN"/>
    </w:rPr>
  </w:style>
  <w:style w:type="character" w:customStyle="1" w:styleId="411">
    <w:name w:val="正文文本 Char2"/>
    <w:autoRedefine/>
    <w:semiHidden/>
    <w:qFormat/>
    <w:locked/>
    <w:uiPriority w:val="99"/>
    <w:rPr>
      <w:rFonts w:eastAsia="Times New Roman"/>
      <w:sz w:val="30"/>
      <w:lang w:val="zh-CN" w:eastAsia="zh-CN"/>
    </w:rPr>
  </w:style>
  <w:style w:type="character" w:customStyle="1" w:styleId="412">
    <w:name w:val="正文文本缩进 2 Char1"/>
    <w:autoRedefine/>
    <w:semiHidden/>
    <w:qFormat/>
    <w:locked/>
    <w:uiPriority w:val="99"/>
    <w:rPr>
      <w:rFonts w:ascii="宋体" w:hAnsi="MS Sans Serif" w:eastAsia="Times New Roman"/>
      <w:spacing w:val="12"/>
      <w:sz w:val="24"/>
      <w:lang w:val="zh-CN" w:eastAsia="zh-CN"/>
    </w:rPr>
  </w:style>
  <w:style w:type="character" w:customStyle="1" w:styleId="413">
    <w:name w:val="批注框文本 Char2"/>
    <w:autoRedefine/>
    <w:semiHidden/>
    <w:qFormat/>
    <w:locked/>
    <w:uiPriority w:val="99"/>
    <w:rPr>
      <w:rFonts w:eastAsia="Times New Roman"/>
      <w:sz w:val="18"/>
      <w:szCs w:val="18"/>
      <w:lang w:val="zh-CN" w:eastAsia="zh-CN"/>
    </w:rPr>
  </w:style>
  <w:style w:type="character" w:customStyle="1" w:styleId="414">
    <w:name w:val="页脚 Char2"/>
    <w:autoRedefine/>
    <w:semiHidden/>
    <w:qFormat/>
    <w:locked/>
    <w:uiPriority w:val="99"/>
    <w:rPr>
      <w:rFonts w:eastAsia="Times New Roman"/>
      <w:sz w:val="18"/>
      <w:lang w:val="zh-CN" w:eastAsia="zh-CN"/>
    </w:rPr>
  </w:style>
  <w:style w:type="character" w:customStyle="1" w:styleId="415">
    <w:name w:val="副标题 字符1"/>
    <w:link w:val="36"/>
    <w:autoRedefine/>
    <w:qFormat/>
    <w:locked/>
    <w:uiPriority w:val="99"/>
    <w:rPr>
      <w:rFonts w:ascii="Cambria" w:hAnsi="Cambria" w:eastAsia="Times New Roman"/>
      <w:b/>
      <w:bCs/>
      <w:kern w:val="28"/>
      <w:sz w:val="32"/>
      <w:szCs w:val="32"/>
      <w:lang w:val="zh-CN" w:eastAsia="zh-CN"/>
    </w:rPr>
  </w:style>
  <w:style w:type="character" w:customStyle="1" w:styleId="416">
    <w:name w:val="HTML 预设格式 Char2"/>
    <w:autoRedefine/>
    <w:semiHidden/>
    <w:qFormat/>
    <w:locked/>
    <w:uiPriority w:val="0"/>
    <w:rPr>
      <w:rFonts w:ascii="宋体" w:hAnsi="宋体" w:eastAsia="仿宋_GB2312"/>
      <w:sz w:val="24"/>
      <w:szCs w:val="24"/>
      <w:lang w:val="zh-CN" w:eastAsia="zh-CN"/>
    </w:rPr>
  </w:style>
  <w:style w:type="character" w:customStyle="1" w:styleId="417">
    <w:name w:val="标题 Char2"/>
    <w:autoRedefine/>
    <w:qFormat/>
    <w:locked/>
    <w:uiPriority w:val="99"/>
    <w:rPr>
      <w:rFonts w:ascii="Cambria" w:hAnsi="Cambria" w:eastAsia="Times New Roman"/>
      <w:b/>
      <w:bCs/>
      <w:kern w:val="2"/>
      <w:sz w:val="44"/>
      <w:szCs w:val="32"/>
      <w:lang w:val="zh-CN" w:eastAsia="zh-CN"/>
    </w:rPr>
  </w:style>
  <w:style w:type="character" w:customStyle="1" w:styleId="418">
    <w:name w:val="批注主题 Char2"/>
    <w:autoRedefine/>
    <w:semiHidden/>
    <w:qFormat/>
    <w:locked/>
    <w:uiPriority w:val="99"/>
    <w:rPr>
      <w:rFonts w:eastAsia="Times New Roman"/>
      <w:b/>
      <w:bCs/>
      <w:szCs w:val="24"/>
      <w:lang w:val="zh-CN" w:eastAsia="zh-CN"/>
    </w:rPr>
  </w:style>
  <w:style w:type="character" w:customStyle="1" w:styleId="419">
    <w:name w:val="Font Style11"/>
    <w:autoRedefine/>
    <w:qFormat/>
    <w:uiPriority w:val="0"/>
    <w:rPr>
      <w:rFonts w:hint="eastAsia" w:ascii="宋体" w:hAnsi="宋体" w:eastAsia="宋体" w:cs="宋体"/>
      <w:sz w:val="22"/>
      <w:szCs w:val="22"/>
    </w:rPr>
  </w:style>
  <w:style w:type="character" w:customStyle="1" w:styleId="420">
    <w:name w:val="font61"/>
    <w:autoRedefine/>
    <w:qFormat/>
    <w:uiPriority w:val="0"/>
    <w:rPr>
      <w:rFonts w:hint="eastAsia" w:ascii="宋体" w:hAnsi="宋体" w:eastAsia="宋体" w:cs="宋体"/>
      <w:color w:val="000000"/>
      <w:sz w:val="22"/>
      <w:szCs w:val="22"/>
      <w:u w:val="none"/>
    </w:rPr>
  </w:style>
  <w:style w:type="character" w:customStyle="1" w:styleId="421">
    <w:name w:val="不明显强调1"/>
    <w:autoRedefine/>
    <w:qFormat/>
    <w:uiPriority w:val="19"/>
    <w:rPr>
      <w:i/>
      <w:iCs/>
      <w:color w:val="808080"/>
    </w:rPr>
  </w:style>
  <w:style w:type="character" w:customStyle="1" w:styleId="422">
    <w:name w:val="font21"/>
    <w:basedOn w:val="54"/>
    <w:autoRedefine/>
    <w:qFormat/>
    <w:uiPriority w:val="0"/>
    <w:rPr>
      <w:rFonts w:hint="default" w:ascii="Arial" w:hAnsi="Arial" w:cs="Arial"/>
      <w:color w:val="000000"/>
      <w:sz w:val="20"/>
      <w:szCs w:val="20"/>
      <w:u w:val="none"/>
    </w:rPr>
  </w:style>
  <w:style w:type="character" w:customStyle="1" w:styleId="423">
    <w:name w:val="书籍标题1"/>
    <w:autoRedefine/>
    <w:qFormat/>
    <w:uiPriority w:val="33"/>
    <w:rPr>
      <w:b/>
      <w:bCs/>
      <w:smallCaps/>
      <w:spacing w:val="5"/>
    </w:rPr>
  </w:style>
  <w:style w:type="character" w:customStyle="1" w:styleId="424">
    <w:name w:val="正文文本 Char1"/>
    <w:autoRedefine/>
    <w:qFormat/>
    <w:uiPriority w:val="0"/>
    <w:rPr>
      <w:kern w:val="2"/>
      <w:sz w:val="21"/>
      <w:szCs w:val="22"/>
    </w:rPr>
  </w:style>
  <w:style w:type="character" w:customStyle="1" w:styleId="425">
    <w:name w:val="font01"/>
    <w:autoRedefine/>
    <w:qFormat/>
    <w:uiPriority w:val="0"/>
    <w:rPr>
      <w:rFonts w:hint="default" w:ascii="font-weight : 400" w:hAnsi="font-weight : 400" w:eastAsia="font-weight : 400" w:cs="font-weight : 400"/>
      <w:color w:val="000000"/>
      <w:sz w:val="22"/>
      <w:szCs w:val="22"/>
      <w:u w:val="none"/>
    </w:rPr>
  </w:style>
  <w:style w:type="character" w:customStyle="1" w:styleId="426">
    <w:name w:val="Font Style13"/>
    <w:autoRedefine/>
    <w:qFormat/>
    <w:uiPriority w:val="0"/>
    <w:rPr>
      <w:rFonts w:hint="eastAsia" w:ascii="宋体" w:hAnsi="宋体" w:eastAsia="宋体" w:cs="宋体"/>
      <w:b/>
      <w:bCs/>
      <w:spacing w:val="500"/>
      <w:sz w:val="48"/>
      <w:szCs w:val="48"/>
    </w:rPr>
  </w:style>
  <w:style w:type="character" w:customStyle="1" w:styleId="427">
    <w:name w:val="text1"/>
    <w:autoRedefine/>
    <w:qFormat/>
    <w:uiPriority w:val="0"/>
    <w:rPr>
      <w:spacing w:val="280"/>
      <w:sz w:val="18"/>
      <w:szCs w:val="18"/>
    </w:rPr>
  </w:style>
  <w:style w:type="character" w:customStyle="1" w:styleId="428">
    <w:name w:val="fontstyle31"/>
    <w:autoRedefine/>
    <w:qFormat/>
    <w:uiPriority w:val="0"/>
    <w:rPr>
      <w:rFonts w:hint="default" w:ascii="ArialMT" w:hAnsi="ArialMT" w:eastAsia="ArialMT" w:cs="ArialMT"/>
      <w:color w:val="000000"/>
      <w:sz w:val="24"/>
      <w:szCs w:val="24"/>
    </w:rPr>
  </w:style>
  <w:style w:type="character" w:customStyle="1" w:styleId="429">
    <w:name w:val="Font Style15"/>
    <w:autoRedefine/>
    <w:qFormat/>
    <w:uiPriority w:val="0"/>
    <w:rPr>
      <w:rFonts w:hint="eastAsia" w:ascii="宋体" w:hAnsi="宋体" w:eastAsia="宋体" w:cs="宋体"/>
      <w:b/>
      <w:bCs/>
      <w:sz w:val="20"/>
      <w:szCs w:val="20"/>
    </w:rPr>
  </w:style>
  <w:style w:type="character" w:customStyle="1" w:styleId="430">
    <w:name w:val="fontstyle41"/>
    <w:autoRedefine/>
    <w:qFormat/>
    <w:uiPriority w:val="0"/>
    <w:rPr>
      <w:rFonts w:hint="default" w:ascii="ArialMT" w:hAnsi="ArialMT" w:eastAsia="ArialMT" w:cs="ArialMT"/>
      <w:color w:val="000000"/>
      <w:sz w:val="24"/>
      <w:szCs w:val="24"/>
    </w:rPr>
  </w:style>
  <w:style w:type="character" w:customStyle="1" w:styleId="431">
    <w:name w:val="font81"/>
    <w:autoRedefine/>
    <w:qFormat/>
    <w:uiPriority w:val="0"/>
    <w:rPr>
      <w:rFonts w:hint="default" w:ascii="Times New Roman" w:hAnsi="Times New Roman" w:cs="Times New Roman"/>
      <w:color w:val="000000"/>
      <w:sz w:val="21"/>
      <w:szCs w:val="21"/>
      <w:u w:val="none"/>
    </w:rPr>
  </w:style>
  <w:style w:type="character" w:customStyle="1" w:styleId="432">
    <w:name w:val="样式 正文 +"/>
    <w:autoRedefine/>
    <w:qFormat/>
    <w:uiPriority w:val="0"/>
    <w:rPr>
      <w:rFonts w:hint="default" w:ascii="Times New Roman" w:hAnsi="Times New Roman" w:eastAsia="Times New Roman" w:cs="Times New Roman"/>
      <w:kern w:val="0"/>
      <w:sz w:val="28"/>
    </w:rPr>
  </w:style>
  <w:style w:type="character" w:customStyle="1" w:styleId="433">
    <w:name w:val="日期 Char1"/>
    <w:autoRedefine/>
    <w:qFormat/>
    <w:uiPriority w:val="0"/>
    <w:rPr>
      <w:kern w:val="2"/>
      <w:sz w:val="21"/>
      <w:szCs w:val="22"/>
    </w:rPr>
  </w:style>
  <w:style w:type="character" w:customStyle="1" w:styleId="434">
    <w:name w:val="font71"/>
    <w:autoRedefine/>
    <w:qFormat/>
    <w:uiPriority w:val="0"/>
    <w:rPr>
      <w:rFonts w:hint="default" w:ascii="Times New Roman" w:hAnsi="Times New Roman" w:cs="Times New Roman"/>
      <w:color w:val="000000"/>
      <w:sz w:val="20"/>
      <w:szCs w:val="20"/>
      <w:u w:val="none"/>
    </w:rPr>
  </w:style>
  <w:style w:type="character" w:customStyle="1" w:styleId="435">
    <w:name w:val="明显参考1"/>
    <w:autoRedefine/>
    <w:qFormat/>
    <w:uiPriority w:val="32"/>
    <w:rPr>
      <w:b/>
      <w:bCs/>
      <w:smallCaps/>
      <w:color w:val="C0504D"/>
      <w:spacing w:val="5"/>
      <w:u w:val="single"/>
    </w:rPr>
  </w:style>
  <w:style w:type="character" w:customStyle="1" w:styleId="436">
    <w:name w:val="Font Style16"/>
    <w:autoRedefine/>
    <w:qFormat/>
    <w:uiPriority w:val="0"/>
    <w:rPr>
      <w:rFonts w:hint="default" w:ascii="Times New Roman" w:hAnsi="Times New Roman" w:cs="Times New Roman"/>
      <w:sz w:val="22"/>
      <w:szCs w:val="22"/>
    </w:rPr>
  </w:style>
  <w:style w:type="character" w:customStyle="1" w:styleId="437">
    <w:name w:val="HTML 预设格式 Char1"/>
    <w:autoRedefine/>
    <w:qFormat/>
    <w:uiPriority w:val="0"/>
    <w:rPr>
      <w:rFonts w:hint="default" w:ascii="Courier New" w:hAnsi="Courier New" w:cs="Courier New"/>
      <w:kern w:val="2"/>
    </w:rPr>
  </w:style>
  <w:style w:type="character" w:customStyle="1" w:styleId="438">
    <w:name w:val="不明显参考1"/>
    <w:autoRedefine/>
    <w:qFormat/>
    <w:uiPriority w:val="31"/>
    <w:rPr>
      <w:smallCaps/>
      <w:color w:val="C0504D"/>
      <w:u w:val="single"/>
    </w:rPr>
  </w:style>
  <w:style w:type="character" w:customStyle="1" w:styleId="439">
    <w:name w:val="批注文字 Char Char"/>
    <w:autoRedefine/>
    <w:qFormat/>
    <w:uiPriority w:val="0"/>
    <w:rPr>
      <w:rFonts w:hint="eastAsia" w:ascii="宋体" w:hAnsi="Times New Roman" w:eastAsia="宋体" w:cs="Times New Roman"/>
      <w:sz w:val="28"/>
      <w:szCs w:val="20"/>
    </w:rPr>
  </w:style>
  <w:style w:type="character" w:customStyle="1" w:styleId="440">
    <w:name w:val="批注主题 Char1"/>
    <w:autoRedefine/>
    <w:qFormat/>
    <w:uiPriority w:val="0"/>
    <w:rPr>
      <w:b/>
      <w:bCs/>
      <w:kern w:val="2"/>
      <w:sz w:val="21"/>
      <w:szCs w:val="22"/>
    </w:rPr>
  </w:style>
  <w:style w:type="character" w:customStyle="1" w:styleId="441">
    <w:name w:val="文档结构图 Char1"/>
    <w:autoRedefine/>
    <w:qFormat/>
    <w:uiPriority w:val="0"/>
    <w:rPr>
      <w:rFonts w:hint="eastAsia" w:ascii="宋体" w:hAnsi="宋体" w:eastAsia="宋体"/>
      <w:kern w:val="2"/>
      <w:sz w:val="18"/>
      <w:szCs w:val="18"/>
    </w:rPr>
  </w:style>
  <w:style w:type="character" w:customStyle="1" w:styleId="442">
    <w:name w:val="font141"/>
    <w:autoRedefine/>
    <w:qFormat/>
    <w:uiPriority w:val="0"/>
    <w:rPr>
      <w:rFonts w:hint="eastAsia" w:ascii="宋体" w:hAnsi="宋体" w:eastAsia="宋体" w:cs="宋体"/>
      <w:color w:val="000000"/>
      <w:sz w:val="22"/>
      <w:szCs w:val="22"/>
      <w:u w:val="none"/>
    </w:rPr>
  </w:style>
  <w:style w:type="character" w:customStyle="1" w:styleId="443">
    <w:name w:val="Font Style18"/>
    <w:autoRedefine/>
    <w:qFormat/>
    <w:uiPriority w:val="0"/>
    <w:rPr>
      <w:rFonts w:hint="default" w:ascii="Candara" w:hAnsi="Candara" w:cs="Candara"/>
      <w:spacing w:val="-20"/>
      <w:sz w:val="20"/>
      <w:szCs w:val="20"/>
    </w:rPr>
  </w:style>
  <w:style w:type="character" w:customStyle="1" w:styleId="444">
    <w:name w:val="明显引用 Char1"/>
    <w:autoRedefine/>
    <w:qFormat/>
    <w:uiPriority w:val="30"/>
    <w:rPr>
      <w:rFonts w:hint="default" w:ascii="Calibri" w:hAnsi="Calibri" w:eastAsia="宋体" w:cs="Times New Roman"/>
      <w:b/>
      <w:bCs/>
      <w:i/>
      <w:iCs/>
      <w:color w:val="4F81BD"/>
    </w:rPr>
  </w:style>
  <w:style w:type="character" w:customStyle="1" w:styleId="445">
    <w:name w:val="明显强调1"/>
    <w:autoRedefine/>
    <w:qFormat/>
    <w:uiPriority w:val="21"/>
    <w:rPr>
      <w:b/>
      <w:bCs/>
      <w:i/>
      <w:iCs/>
      <w:color w:val="4F81BD"/>
    </w:rPr>
  </w:style>
  <w:style w:type="character" w:customStyle="1" w:styleId="446">
    <w:name w:val="副标题 Char1"/>
    <w:autoRedefine/>
    <w:qFormat/>
    <w:uiPriority w:val="0"/>
    <w:rPr>
      <w:rFonts w:hint="default" w:ascii="Cambria" w:hAnsi="Cambria" w:cs="Times New Roman"/>
      <w:b/>
      <w:bCs/>
      <w:kern w:val="28"/>
      <w:sz w:val="32"/>
      <w:szCs w:val="32"/>
    </w:rPr>
  </w:style>
  <w:style w:type="character" w:customStyle="1" w:styleId="447">
    <w:name w:val="font41"/>
    <w:autoRedefine/>
    <w:qFormat/>
    <w:uiPriority w:val="0"/>
    <w:rPr>
      <w:rFonts w:hint="eastAsia" w:ascii="宋体" w:hAnsi="宋体" w:eastAsia="宋体" w:cs="宋体"/>
      <w:color w:val="000000"/>
      <w:sz w:val="21"/>
      <w:szCs w:val="21"/>
      <w:u w:val="none"/>
    </w:rPr>
  </w:style>
  <w:style w:type="character" w:customStyle="1" w:styleId="448">
    <w:name w:val="xmfy Char Char Char"/>
    <w:autoRedefine/>
    <w:qFormat/>
    <w:uiPriority w:val="0"/>
    <w:rPr>
      <w:rFonts w:hint="eastAsia" w:ascii="宋体" w:hAnsi="宋体" w:eastAsia="宋体" w:cs="宋体"/>
      <w:kern w:val="2"/>
      <w:sz w:val="28"/>
      <w:szCs w:val="28"/>
      <w:lang w:val="en-US" w:eastAsia="zh-CN" w:bidi="ar-SA"/>
    </w:rPr>
  </w:style>
  <w:style w:type="character" w:customStyle="1" w:styleId="449">
    <w:name w:val="文字加横线"/>
    <w:autoRedefine/>
    <w:qFormat/>
    <w:uiPriority w:val="0"/>
    <w:rPr>
      <w:u w:val="single"/>
    </w:rPr>
  </w:style>
  <w:style w:type="character" w:customStyle="1" w:styleId="450">
    <w:name w:val="fontstyle11"/>
    <w:autoRedefine/>
    <w:qFormat/>
    <w:uiPriority w:val="0"/>
    <w:rPr>
      <w:rFonts w:hint="eastAsia" w:ascii="宋体" w:hAnsi="宋体" w:eastAsia="宋体" w:cs="宋体"/>
      <w:color w:val="000000"/>
      <w:sz w:val="24"/>
      <w:szCs w:val="24"/>
    </w:rPr>
  </w:style>
  <w:style w:type="character" w:customStyle="1" w:styleId="451">
    <w:name w:val="textcontents"/>
    <w:autoRedefine/>
    <w:qFormat/>
    <w:uiPriority w:val="0"/>
    <w:rPr>
      <w:rFonts w:hint="default" w:ascii="Times New Roman" w:hAnsi="Times New Roman" w:cs="Times New Roman"/>
    </w:rPr>
  </w:style>
  <w:style w:type="character" w:customStyle="1" w:styleId="452">
    <w:name w:val="引用 Char1"/>
    <w:autoRedefine/>
    <w:qFormat/>
    <w:uiPriority w:val="29"/>
    <w:rPr>
      <w:rFonts w:hint="default" w:ascii="Calibri" w:hAnsi="Calibri" w:eastAsia="宋体" w:cs="Times New Roman"/>
      <w:i/>
      <w:iCs/>
      <w:color w:val="000000"/>
    </w:rPr>
  </w:style>
  <w:style w:type="character" w:customStyle="1" w:styleId="453">
    <w:name w:val="fontstyle21"/>
    <w:autoRedefine/>
    <w:qFormat/>
    <w:uiPriority w:val="0"/>
    <w:rPr>
      <w:rFonts w:hint="default" w:ascii="Arial-BoldMT" w:hAnsi="Arial-BoldMT" w:eastAsia="Arial-BoldMT" w:cs="Arial-BoldMT"/>
      <w:b/>
      <w:color w:val="000000"/>
      <w:sz w:val="24"/>
      <w:szCs w:val="24"/>
    </w:rPr>
  </w:style>
  <w:style w:type="character" w:customStyle="1" w:styleId="454">
    <w:name w:val="fontstyle01"/>
    <w:autoRedefine/>
    <w:qFormat/>
    <w:uiPriority w:val="0"/>
    <w:rPr>
      <w:rFonts w:hint="eastAsia" w:ascii="宋体" w:hAnsi="宋体" w:eastAsia="宋体" w:cs="宋体"/>
      <w:color w:val="000000"/>
      <w:sz w:val="32"/>
      <w:szCs w:val="32"/>
    </w:rPr>
  </w:style>
  <w:style w:type="character" w:customStyle="1" w:styleId="455">
    <w:name w:val="style11"/>
    <w:autoRedefine/>
    <w:qFormat/>
    <w:uiPriority w:val="0"/>
    <w:rPr>
      <w:color w:val="000000"/>
      <w:sz w:val="18"/>
      <w:szCs w:val="18"/>
    </w:rPr>
  </w:style>
  <w:style w:type="character" w:customStyle="1" w:styleId="456">
    <w:name w:val="font112"/>
    <w:autoRedefine/>
    <w:qFormat/>
    <w:uiPriority w:val="0"/>
    <w:rPr>
      <w:rFonts w:hint="eastAsia" w:ascii="宋体" w:hAnsi="宋体" w:eastAsia="宋体" w:cs="宋体"/>
      <w:color w:val="000000"/>
      <w:sz w:val="20"/>
      <w:szCs w:val="20"/>
      <w:u w:val="none"/>
    </w:rPr>
  </w:style>
  <w:style w:type="character" w:customStyle="1" w:styleId="457">
    <w:name w:val="Font Style14"/>
    <w:autoRedefine/>
    <w:qFormat/>
    <w:uiPriority w:val="0"/>
    <w:rPr>
      <w:rFonts w:hint="eastAsia" w:ascii="宋体" w:hAnsi="宋体" w:eastAsia="宋体" w:cs="宋体"/>
      <w:sz w:val="22"/>
      <w:szCs w:val="22"/>
    </w:rPr>
  </w:style>
  <w:style w:type="character" w:customStyle="1" w:styleId="458">
    <w:name w:val="批注框文本 Char1"/>
    <w:autoRedefine/>
    <w:qFormat/>
    <w:uiPriority w:val="0"/>
    <w:rPr>
      <w:kern w:val="2"/>
      <w:sz w:val="18"/>
      <w:szCs w:val="18"/>
    </w:rPr>
  </w:style>
  <w:style w:type="character" w:customStyle="1" w:styleId="459">
    <w:name w:val="15"/>
    <w:autoRedefine/>
    <w:qFormat/>
    <w:uiPriority w:val="0"/>
    <w:rPr>
      <w:rFonts w:hint="default" w:ascii="Times New Roman" w:hAnsi="Times New Roman" w:cs="Times New Roman"/>
      <w:sz w:val="21"/>
      <w:szCs w:val="21"/>
    </w:rPr>
  </w:style>
  <w:style w:type="character" w:customStyle="1" w:styleId="460">
    <w:name w:val="标题 3 字符1"/>
    <w:autoRedefine/>
    <w:qFormat/>
    <w:locked/>
    <w:uiPriority w:val="9"/>
    <w:rPr>
      <w:b/>
      <w:sz w:val="32"/>
      <w:lang w:val="zh-CN"/>
    </w:rPr>
  </w:style>
  <w:style w:type="character" w:customStyle="1" w:styleId="461">
    <w:name w:val="标题 1 字符"/>
    <w:autoRedefine/>
    <w:qFormat/>
    <w:locked/>
    <w:uiPriority w:val="0"/>
    <w:rPr>
      <w:rFonts w:hint="eastAsia" w:ascii="黑体" w:hAnsi="Times New Roman" w:eastAsia="宋体" w:cs="宋体"/>
      <w:b/>
      <w:sz w:val="28"/>
      <w:lang w:val="zh-CN" w:eastAsia="zh-CN"/>
    </w:rPr>
  </w:style>
  <w:style w:type="character" w:customStyle="1" w:styleId="462">
    <w:name w:val="正文缩进 字符1"/>
    <w:autoRedefine/>
    <w:qFormat/>
    <w:locked/>
    <w:uiPriority w:val="0"/>
    <w:rPr>
      <w:rFonts w:hint="default" w:ascii="Times New Roman" w:hAnsi="Times New Roman" w:eastAsia="宋体" w:cs="Times New Roman"/>
      <w:kern w:val="0"/>
      <w:sz w:val="20"/>
      <w:szCs w:val="20"/>
    </w:rPr>
  </w:style>
  <w:style w:type="character" w:customStyle="1" w:styleId="463">
    <w:name w:val="标题 4 字符"/>
    <w:autoRedefine/>
    <w:qFormat/>
    <w:locked/>
    <w:uiPriority w:val="0"/>
    <w:rPr>
      <w:rFonts w:hint="default" w:ascii="Arial" w:hAnsi="Arial" w:eastAsia="仿宋_GB2312" w:cs="Times New Roman"/>
      <w:b/>
      <w:bCs/>
      <w:sz w:val="28"/>
      <w:szCs w:val="28"/>
    </w:rPr>
  </w:style>
  <w:style w:type="character" w:customStyle="1" w:styleId="464">
    <w:name w:val="标题 5 字符"/>
    <w:autoRedefine/>
    <w:qFormat/>
    <w:locked/>
    <w:uiPriority w:val="0"/>
    <w:rPr>
      <w:rFonts w:hint="default" w:ascii="Calibri" w:hAnsi="Calibri" w:eastAsia="宋体" w:cs="宋体"/>
      <w:b/>
      <w:bCs/>
      <w:sz w:val="28"/>
      <w:szCs w:val="28"/>
    </w:rPr>
  </w:style>
  <w:style w:type="character" w:customStyle="1" w:styleId="465">
    <w:name w:val="标题 6 字符"/>
    <w:autoRedefine/>
    <w:qFormat/>
    <w:locked/>
    <w:uiPriority w:val="0"/>
    <w:rPr>
      <w:rFonts w:hint="default" w:ascii="Arial" w:hAnsi="Arial" w:eastAsia="黑体" w:cs="Times New Roman"/>
      <w:b/>
      <w:bCs/>
      <w:kern w:val="0"/>
      <w:sz w:val="24"/>
      <w:szCs w:val="24"/>
      <w:lang w:val="zh-CN" w:eastAsia="zh-CN"/>
    </w:rPr>
  </w:style>
  <w:style w:type="character" w:customStyle="1" w:styleId="466">
    <w:name w:val="标题 7 字符"/>
    <w:autoRedefine/>
    <w:qFormat/>
    <w:locked/>
    <w:uiPriority w:val="99"/>
    <w:rPr>
      <w:rFonts w:hint="default" w:ascii="Times New Roman" w:hAnsi="Times New Roman" w:eastAsia="宋体" w:cs="Times New Roman"/>
      <w:b/>
      <w:bCs/>
      <w:kern w:val="0"/>
      <w:sz w:val="24"/>
      <w:szCs w:val="24"/>
      <w:lang w:val="zh-CN" w:eastAsia="zh-CN"/>
    </w:rPr>
  </w:style>
  <w:style w:type="character" w:customStyle="1" w:styleId="467">
    <w:name w:val="标题 8 字符"/>
    <w:autoRedefine/>
    <w:qFormat/>
    <w:locked/>
    <w:uiPriority w:val="99"/>
    <w:rPr>
      <w:rFonts w:hint="default" w:ascii="Arial" w:hAnsi="Arial" w:eastAsia="黑体" w:cs="Times New Roman"/>
      <w:kern w:val="0"/>
      <w:sz w:val="24"/>
      <w:szCs w:val="24"/>
      <w:lang w:val="zh-CN" w:eastAsia="zh-CN"/>
    </w:rPr>
  </w:style>
  <w:style w:type="character" w:customStyle="1" w:styleId="468">
    <w:name w:val="标题 9 字符"/>
    <w:autoRedefine/>
    <w:qFormat/>
    <w:locked/>
    <w:uiPriority w:val="99"/>
    <w:rPr>
      <w:rFonts w:hint="default" w:ascii="Arial" w:hAnsi="Arial" w:eastAsia="黑体" w:cs="Times New Roman"/>
      <w:kern w:val="0"/>
      <w:szCs w:val="21"/>
      <w:lang w:val="zh-CN" w:eastAsia="zh-CN"/>
    </w:rPr>
  </w:style>
  <w:style w:type="character" w:customStyle="1" w:styleId="469">
    <w:name w:val="文档结构图 字符"/>
    <w:autoRedefine/>
    <w:qFormat/>
    <w:locked/>
    <w:uiPriority w:val="99"/>
    <w:rPr>
      <w:rFonts w:hint="default" w:ascii="Times New Roman" w:hAnsi="Times New Roman" w:eastAsia="Times New Roman" w:cs="Times New Roman"/>
      <w:szCs w:val="24"/>
      <w:shd w:val="clear" w:color="auto" w:fill="000080"/>
    </w:rPr>
  </w:style>
  <w:style w:type="character" w:customStyle="1" w:styleId="470">
    <w:name w:val="批注文字 字符1"/>
    <w:autoRedefine/>
    <w:qFormat/>
    <w:locked/>
    <w:uiPriority w:val="99"/>
    <w:rPr>
      <w:rFonts w:hint="default" w:ascii="Times New Roman" w:hAnsi="Times New Roman" w:eastAsia="宋体" w:cs="Times New Roman"/>
      <w:szCs w:val="24"/>
    </w:rPr>
  </w:style>
  <w:style w:type="character" w:customStyle="1" w:styleId="471">
    <w:name w:val="正文文本 3 字符"/>
    <w:autoRedefine/>
    <w:qFormat/>
    <w:locked/>
    <w:uiPriority w:val="99"/>
    <w:rPr>
      <w:rFonts w:hint="default" w:ascii="Times New Roman" w:hAnsi="Times New Roman" w:eastAsia="Times New Roman" w:cs="Times New Roman"/>
      <w:sz w:val="16"/>
      <w:szCs w:val="16"/>
    </w:rPr>
  </w:style>
  <w:style w:type="character" w:customStyle="1" w:styleId="472">
    <w:name w:val="正文文本 字符"/>
    <w:autoRedefine/>
    <w:qFormat/>
    <w:locked/>
    <w:uiPriority w:val="99"/>
    <w:rPr>
      <w:rFonts w:hint="default" w:ascii="Times New Roman" w:hAnsi="Times New Roman" w:eastAsia="Times New Roman" w:cs="Times New Roman"/>
      <w:sz w:val="30"/>
      <w:szCs w:val="20"/>
    </w:rPr>
  </w:style>
  <w:style w:type="character" w:customStyle="1" w:styleId="473">
    <w:name w:val="正文文本缩进 字符"/>
    <w:autoRedefine/>
    <w:qFormat/>
    <w:locked/>
    <w:uiPriority w:val="99"/>
    <w:rPr>
      <w:rFonts w:hint="eastAsia" w:ascii="宋体" w:hAnsi="MS Sans Serif" w:eastAsia="Times New Roman" w:cs="Times New Roman"/>
      <w:spacing w:val="12"/>
      <w:kern w:val="0"/>
      <w:sz w:val="24"/>
      <w:szCs w:val="20"/>
    </w:rPr>
  </w:style>
  <w:style w:type="character" w:customStyle="1" w:styleId="474">
    <w:name w:val="日期 字符1"/>
    <w:autoRedefine/>
    <w:qFormat/>
    <w:uiPriority w:val="0"/>
    <w:rPr>
      <w:rFonts w:hint="default" w:ascii="Times New Roman" w:hAnsi="Times New Roman" w:eastAsia="宋体" w:cs="Times New Roman"/>
      <w:sz w:val="24"/>
      <w:szCs w:val="20"/>
    </w:rPr>
  </w:style>
  <w:style w:type="character" w:customStyle="1" w:styleId="475">
    <w:name w:val="正文文本缩进 2 字符"/>
    <w:autoRedefine/>
    <w:qFormat/>
    <w:locked/>
    <w:uiPriority w:val="99"/>
    <w:rPr>
      <w:rFonts w:hint="eastAsia" w:ascii="宋体" w:hAnsi="MS Sans Serif" w:eastAsia="Times New Roman" w:cs="Times New Roman"/>
      <w:spacing w:val="12"/>
      <w:kern w:val="0"/>
      <w:sz w:val="24"/>
      <w:szCs w:val="20"/>
    </w:rPr>
  </w:style>
  <w:style w:type="character" w:customStyle="1" w:styleId="476">
    <w:name w:val="批注框文本 字符1"/>
    <w:autoRedefine/>
    <w:qFormat/>
    <w:locked/>
    <w:uiPriority w:val="0"/>
    <w:rPr>
      <w:rFonts w:hint="default" w:ascii="Times New Roman" w:hAnsi="Times New Roman" w:eastAsia="Times New Roman" w:cs="Times New Roman"/>
      <w:sz w:val="18"/>
      <w:szCs w:val="18"/>
    </w:rPr>
  </w:style>
  <w:style w:type="character" w:customStyle="1" w:styleId="477">
    <w:name w:val="页脚 字符1"/>
    <w:autoRedefine/>
    <w:qFormat/>
    <w:locked/>
    <w:uiPriority w:val="99"/>
    <w:rPr>
      <w:rFonts w:hint="default" w:ascii="Times New Roman" w:hAnsi="Times New Roman" w:eastAsia="Times New Roman" w:cs="Times New Roman"/>
      <w:kern w:val="0"/>
      <w:sz w:val="18"/>
      <w:szCs w:val="20"/>
    </w:rPr>
  </w:style>
  <w:style w:type="character" w:customStyle="1" w:styleId="478">
    <w:name w:val="页眉 字符1"/>
    <w:autoRedefine/>
    <w:qFormat/>
    <w:locked/>
    <w:uiPriority w:val="99"/>
    <w:rPr>
      <w:rFonts w:hint="default" w:ascii="Times New Roman" w:hAnsi="Times New Roman" w:eastAsia="Times New Roman" w:cs="Times New Roman"/>
      <w:kern w:val="0"/>
      <w:sz w:val="18"/>
      <w:szCs w:val="20"/>
    </w:rPr>
  </w:style>
  <w:style w:type="character" w:customStyle="1" w:styleId="479">
    <w:name w:val="副标题 字符"/>
    <w:autoRedefine/>
    <w:qFormat/>
    <w:locked/>
    <w:uiPriority w:val="0"/>
    <w:rPr>
      <w:rFonts w:hint="default" w:ascii="Cambria" w:hAnsi="Cambria" w:eastAsia="Times New Roman" w:cs="Times New Roman"/>
      <w:b/>
      <w:bCs/>
      <w:kern w:val="28"/>
      <w:sz w:val="32"/>
      <w:szCs w:val="32"/>
    </w:rPr>
  </w:style>
  <w:style w:type="character" w:customStyle="1" w:styleId="480">
    <w:name w:val="脚注文本 字符"/>
    <w:autoRedefine/>
    <w:qFormat/>
    <w:uiPriority w:val="0"/>
    <w:rPr>
      <w:rFonts w:hint="default" w:ascii="Times New Roman" w:hAnsi="Times New Roman" w:eastAsia="宋体" w:cs="Times New Roman"/>
      <w:kern w:val="0"/>
      <w:sz w:val="18"/>
      <w:szCs w:val="20"/>
    </w:rPr>
  </w:style>
  <w:style w:type="character" w:customStyle="1" w:styleId="481">
    <w:name w:val="正文文本缩进 3 字符"/>
    <w:autoRedefine/>
    <w:qFormat/>
    <w:uiPriority w:val="99"/>
    <w:rPr>
      <w:rFonts w:hint="eastAsia" w:ascii="宋体" w:hAnsi="MS Sans Serif" w:eastAsia="宋体" w:cs="Times New Roman"/>
      <w:color w:val="000000"/>
      <w:kern w:val="0"/>
      <w:sz w:val="24"/>
      <w:szCs w:val="20"/>
    </w:rPr>
  </w:style>
  <w:style w:type="character" w:customStyle="1" w:styleId="482">
    <w:name w:val="正文文本 2 字符"/>
    <w:autoRedefine/>
    <w:qFormat/>
    <w:uiPriority w:val="99"/>
    <w:rPr>
      <w:rFonts w:hint="eastAsia" w:ascii="宋体" w:hAnsi="宋体" w:eastAsia="宋体" w:cs="Times New Roman"/>
      <w:sz w:val="24"/>
      <w:szCs w:val="24"/>
      <w:u w:val="single"/>
    </w:rPr>
  </w:style>
  <w:style w:type="character" w:customStyle="1" w:styleId="483">
    <w:name w:val="HTML 预设格式 字符"/>
    <w:autoRedefine/>
    <w:qFormat/>
    <w:locked/>
    <w:uiPriority w:val="0"/>
    <w:rPr>
      <w:rFonts w:hint="eastAsia" w:ascii="宋体" w:hAnsi="宋体" w:eastAsia="仿宋_GB2312" w:cs="Times New Roman"/>
      <w:kern w:val="0"/>
      <w:sz w:val="24"/>
      <w:szCs w:val="24"/>
    </w:rPr>
  </w:style>
  <w:style w:type="character" w:customStyle="1" w:styleId="484">
    <w:name w:val="标题 字符"/>
    <w:autoRedefine/>
    <w:qFormat/>
    <w:locked/>
    <w:uiPriority w:val="99"/>
    <w:rPr>
      <w:rFonts w:hint="default" w:ascii="Cambria" w:hAnsi="Cambria" w:eastAsia="Times New Roman"/>
      <w:b/>
      <w:bCs/>
      <w:kern w:val="2"/>
      <w:sz w:val="44"/>
      <w:szCs w:val="32"/>
    </w:rPr>
  </w:style>
  <w:style w:type="character" w:customStyle="1" w:styleId="485">
    <w:name w:val="批注主题 字符1"/>
    <w:autoRedefine/>
    <w:qFormat/>
    <w:locked/>
    <w:uiPriority w:val="0"/>
    <w:rPr>
      <w:rFonts w:hint="default" w:ascii="Times New Roman" w:hAnsi="Times New Roman" w:eastAsia="Times New Roman" w:cs="Times New Roman"/>
      <w:b/>
      <w:bCs/>
      <w:szCs w:val="24"/>
    </w:rPr>
  </w:style>
  <w:style w:type="character" w:customStyle="1" w:styleId="486">
    <w:name w:val="页眉 字符"/>
    <w:autoRedefine/>
    <w:qFormat/>
    <w:uiPriority w:val="99"/>
    <w:rPr>
      <w:sz w:val="18"/>
      <w:szCs w:val="18"/>
    </w:rPr>
  </w:style>
  <w:style w:type="character" w:customStyle="1" w:styleId="487">
    <w:name w:val="页脚 字符"/>
    <w:autoRedefine/>
    <w:qFormat/>
    <w:uiPriority w:val="99"/>
    <w:rPr>
      <w:sz w:val="18"/>
      <w:szCs w:val="18"/>
    </w:rPr>
  </w:style>
  <w:style w:type="character" w:customStyle="1" w:styleId="488">
    <w:name w:val="标题 3 字符"/>
    <w:autoRedefine/>
    <w:qFormat/>
    <w:uiPriority w:val="0"/>
    <w:rPr>
      <w:rFonts w:hint="eastAsia" w:ascii="宋体" w:hAnsi="宋体" w:eastAsia="宋体"/>
      <w:bCs/>
      <w:sz w:val="21"/>
      <w:szCs w:val="21"/>
    </w:rPr>
  </w:style>
  <w:style w:type="character" w:customStyle="1" w:styleId="489">
    <w:name w:val="正文缩进 字符"/>
    <w:autoRedefine/>
    <w:qFormat/>
    <w:locked/>
    <w:uiPriority w:val="99"/>
    <w:rPr>
      <w:rFonts w:hint="default" w:ascii="Times New Roman" w:hAnsi="Times New Roman" w:eastAsia="宋体" w:cs="Times New Roman"/>
      <w:kern w:val="0"/>
      <w:sz w:val="20"/>
      <w:szCs w:val="20"/>
    </w:rPr>
  </w:style>
  <w:style w:type="character" w:customStyle="1" w:styleId="490">
    <w:name w:val="日期 字符"/>
    <w:autoRedefine/>
    <w:qFormat/>
    <w:uiPriority w:val="99"/>
    <w:rPr>
      <w:sz w:val="21"/>
      <w:szCs w:val="22"/>
    </w:rPr>
  </w:style>
  <w:style w:type="character" w:customStyle="1" w:styleId="491">
    <w:name w:val="批注框文本 字符"/>
    <w:autoRedefine/>
    <w:qFormat/>
    <w:uiPriority w:val="99"/>
    <w:rPr>
      <w:sz w:val="18"/>
      <w:szCs w:val="18"/>
    </w:rPr>
  </w:style>
  <w:style w:type="character" w:customStyle="1" w:styleId="492">
    <w:name w:val="批注主题 字符"/>
    <w:autoRedefine/>
    <w:qFormat/>
    <w:uiPriority w:val="99"/>
    <w:rPr>
      <w:b/>
      <w:bCs/>
      <w:kern w:val="2"/>
      <w:sz w:val="21"/>
      <w:szCs w:val="22"/>
    </w:rPr>
  </w:style>
  <w:style w:type="character" w:customStyle="1" w:styleId="493">
    <w:name w:val="标题 7 Char1"/>
    <w:autoRedefine/>
    <w:qFormat/>
    <w:locked/>
    <w:uiPriority w:val="0"/>
    <w:rPr>
      <w:rFonts w:hint="default" w:ascii="Times New Roman" w:hAnsi="Times New Roman" w:eastAsia="宋体" w:cs="Times New Roman"/>
      <w:b/>
      <w:bCs/>
      <w:kern w:val="0"/>
      <w:sz w:val="24"/>
      <w:szCs w:val="24"/>
      <w:lang w:val="zh-CN"/>
    </w:rPr>
  </w:style>
  <w:style w:type="character" w:customStyle="1" w:styleId="494">
    <w:name w:val="批注文字 字符2"/>
    <w:autoRedefine/>
    <w:qFormat/>
    <w:locked/>
    <w:uiPriority w:val="0"/>
    <w:rPr>
      <w:rFonts w:hint="default" w:ascii="Times New Roman" w:hAnsi="Times New Roman" w:eastAsia="宋体" w:cs="Times New Roman"/>
      <w:szCs w:val="24"/>
    </w:rPr>
  </w:style>
  <w:style w:type="character" w:customStyle="1" w:styleId="495">
    <w:name w:val="正文缩进 字符2"/>
    <w:autoRedefine/>
    <w:qFormat/>
    <w:locked/>
    <w:uiPriority w:val="0"/>
    <w:rPr>
      <w:rFonts w:hint="default" w:ascii="Times New Roman" w:hAnsi="Times New Roman" w:eastAsia="宋体" w:cs="Times New Roman"/>
      <w:kern w:val="0"/>
      <w:sz w:val="20"/>
      <w:szCs w:val="20"/>
    </w:rPr>
  </w:style>
  <w:style w:type="character" w:customStyle="1" w:styleId="496">
    <w:name w:val="正文首行缩进 2 Char1"/>
    <w:basedOn w:val="232"/>
    <w:autoRedefine/>
    <w:semiHidden/>
    <w:qFormat/>
    <w:uiPriority w:val="99"/>
    <w:rPr>
      <w:rFonts w:hint="default" w:ascii="Calibri" w:hAnsi="Calibri" w:eastAsia="宋体" w:cs="Calibri"/>
      <w:kern w:val="2"/>
      <w:sz w:val="21"/>
      <w:szCs w:val="22"/>
      <w:lang w:val="en-US" w:eastAsia="zh-CN" w:bidi="ar-SA"/>
    </w:rPr>
  </w:style>
  <w:style w:type="character" w:customStyle="1" w:styleId="497">
    <w:name w:val="正文文本缩进 3 Char1"/>
    <w:autoRedefine/>
    <w:qFormat/>
    <w:uiPriority w:val="0"/>
    <w:rPr>
      <w:kern w:val="2"/>
      <w:sz w:val="16"/>
      <w:szCs w:val="16"/>
    </w:rPr>
  </w:style>
  <w:style w:type="character" w:customStyle="1" w:styleId="498">
    <w:name w:val="结束语 Char1"/>
    <w:autoRedefine/>
    <w:qFormat/>
    <w:uiPriority w:val="0"/>
    <w:rPr>
      <w:kern w:val="2"/>
      <w:sz w:val="21"/>
    </w:rPr>
  </w:style>
  <w:style w:type="character" w:customStyle="1" w:styleId="499">
    <w:name w:val="普通文字 Char2"/>
    <w:autoRedefine/>
    <w:qFormat/>
    <w:uiPriority w:val="0"/>
    <w:rPr>
      <w:rFonts w:hint="eastAsia" w:ascii="宋体" w:hAnsi="Courier New" w:eastAsia="宋体" w:cs="Courier New"/>
      <w:kern w:val="2"/>
      <w:sz w:val="24"/>
      <w:szCs w:val="21"/>
      <w:lang w:val="en-US" w:eastAsia="zh-CN" w:bidi="ar-SA"/>
    </w:rPr>
  </w:style>
  <w:style w:type="character" w:customStyle="1" w:styleId="500">
    <w:name w:val="msonormal"/>
    <w:autoRedefine/>
    <w:qFormat/>
    <w:uiPriority w:val="0"/>
    <w:rPr>
      <w:rFonts w:hint="default" w:ascii="Tahoma" w:hAnsi="Tahoma" w:eastAsia="仿宋_GB2312" w:cs="Tahoma"/>
      <w:kern w:val="2"/>
      <w:sz w:val="24"/>
      <w:lang w:val="en-US" w:eastAsia="ar-SA" w:bidi="ar-SA"/>
    </w:rPr>
  </w:style>
  <w:style w:type="character" w:customStyle="1" w:styleId="501">
    <w:name w:val="正文首行缩进 Char1"/>
    <w:autoRedefine/>
    <w:qFormat/>
    <w:uiPriority w:val="0"/>
    <w:rPr>
      <w:rFonts w:hint="eastAsia" w:ascii="宋体" w:hAnsi="宋体" w:eastAsia="宋体"/>
      <w:kern w:val="2"/>
      <w:sz w:val="21"/>
      <w:szCs w:val="24"/>
    </w:rPr>
  </w:style>
  <w:style w:type="character" w:customStyle="1" w:styleId="502">
    <w:name w:val="WW-默认段落字体"/>
    <w:autoRedefine/>
    <w:qFormat/>
    <w:uiPriority w:val="0"/>
  </w:style>
  <w:style w:type="character" w:customStyle="1" w:styleId="503">
    <w:name w:val="正文文本 3 Char2"/>
    <w:autoRedefine/>
    <w:qFormat/>
    <w:uiPriority w:val="0"/>
    <w:rPr>
      <w:rFonts w:hint="default" w:ascii="Calibri" w:hAnsi="Calibri" w:cs="Calibri"/>
      <w:kern w:val="2"/>
      <w:sz w:val="16"/>
      <w:szCs w:val="16"/>
    </w:rPr>
  </w:style>
  <w:style w:type="character" w:customStyle="1" w:styleId="504">
    <w:name w:val="正文文本缩进 3 Char2"/>
    <w:autoRedefine/>
    <w:qFormat/>
    <w:uiPriority w:val="0"/>
    <w:rPr>
      <w:rFonts w:hint="default" w:ascii="Calibri" w:hAnsi="Calibri" w:cs="Calibri"/>
      <w:kern w:val="2"/>
      <w:sz w:val="16"/>
      <w:szCs w:val="16"/>
    </w:rPr>
  </w:style>
  <w:style w:type="character" w:customStyle="1" w:styleId="505">
    <w:name w:val="正文文本缩进 2 Char2"/>
    <w:autoRedefine/>
    <w:qFormat/>
    <w:uiPriority w:val="0"/>
    <w:rPr>
      <w:rFonts w:hint="default" w:ascii="Calibri" w:hAnsi="Calibri" w:cs="Calibri"/>
      <w:kern w:val="2"/>
      <w:sz w:val="21"/>
      <w:szCs w:val="22"/>
    </w:rPr>
  </w:style>
  <w:style w:type="character" w:customStyle="1" w:styleId="506">
    <w:name w:val="vu61wz24xka"/>
    <w:autoRedefine/>
    <w:qFormat/>
    <w:uiPriority w:val="0"/>
  </w:style>
  <w:style w:type="character" w:customStyle="1" w:styleId="507">
    <w:name w:val="tjdpxq74904"/>
    <w:autoRedefine/>
    <w:qFormat/>
    <w:uiPriority w:val="0"/>
  </w:style>
  <w:style w:type="character" w:customStyle="1" w:styleId="508">
    <w:name w:val="gj6pbv7a4"/>
    <w:autoRedefine/>
    <w:qFormat/>
    <w:uiPriority w:val="0"/>
  </w:style>
  <w:style w:type="character" w:customStyle="1" w:styleId="509">
    <w:name w:val="vqd08s3i"/>
    <w:autoRedefine/>
    <w:qFormat/>
    <w:uiPriority w:val="0"/>
  </w:style>
  <w:style w:type="character" w:customStyle="1" w:styleId="510">
    <w:name w:val="i4dt25oa"/>
    <w:autoRedefine/>
    <w:qFormat/>
    <w:uiPriority w:val="0"/>
  </w:style>
  <w:style w:type="character" w:customStyle="1" w:styleId="511">
    <w:name w:val="bw21zv1o44"/>
    <w:autoRedefine/>
    <w:qFormat/>
    <w:uiPriority w:val="0"/>
  </w:style>
  <w:style w:type="character" w:customStyle="1" w:styleId="512">
    <w:name w:val="font131"/>
    <w:autoRedefine/>
    <w:qFormat/>
    <w:uiPriority w:val="0"/>
    <w:rPr>
      <w:rFonts w:hint="eastAsia" w:ascii="宋体" w:hAnsi="宋体" w:eastAsia="宋体" w:cs="宋体"/>
      <w:color w:val="000000"/>
      <w:sz w:val="24"/>
      <w:szCs w:val="24"/>
      <w:u w:val="none"/>
    </w:rPr>
  </w:style>
  <w:style w:type="paragraph" w:customStyle="1" w:styleId="513">
    <w:name w:val=".Listenabsatz"/>
    <w:basedOn w:val="1"/>
    <w:next w:val="15"/>
    <w:link w:val="514"/>
    <w:autoRedefine/>
    <w:qFormat/>
    <w:uiPriority w:val="34"/>
    <w:pPr>
      <w:ind w:firstLine="420" w:firstLineChars="200"/>
    </w:pPr>
    <w:rPr>
      <w:rFonts w:ascii="等线" w:hAnsi="等线" w:eastAsia="等线"/>
      <w:szCs w:val="22"/>
    </w:rPr>
  </w:style>
  <w:style w:type="character" w:customStyle="1" w:styleId="514">
    <w:name w:val="列表段落 字符"/>
    <w:link w:val="513"/>
    <w:autoRedefine/>
    <w:qFormat/>
    <w:uiPriority w:val="34"/>
    <w:rPr>
      <w:rFonts w:ascii="等线" w:hAnsi="等线" w:eastAsia="等线"/>
      <w:kern w:val="2"/>
      <w:sz w:val="21"/>
      <w:szCs w:val="22"/>
    </w:rPr>
  </w:style>
  <w:style w:type="character" w:customStyle="1" w:styleId="515">
    <w:name w:val="font51"/>
    <w:basedOn w:val="54"/>
    <w:autoRedefine/>
    <w:qFormat/>
    <w:uiPriority w:val="0"/>
    <w:rPr>
      <w:rFonts w:hint="eastAsia" w:ascii="宋体" w:hAnsi="宋体" w:eastAsia="宋体" w:cs="宋体"/>
      <w:color w:val="FF0000"/>
      <w:sz w:val="21"/>
      <w:szCs w:val="21"/>
      <w:u w:val="none"/>
    </w:rPr>
  </w:style>
  <w:style w:type="paragraph" w:customStyle="1" w:styleId="516">
    <w:name w:val="AONormal"/>
    <w:autoRedefine/>
    <w:qFormat/>
    <w:uiPriority w:val="99"/>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17">
    <w:name w:val="普通(网站) Char1"/>
    <w:autoRedefine/>
    <w:qFormat/>
    <w:uiPriority w:val="99"/>
    <w:rPr>
      <w:rFonts w:ascii="宋体" w:hAnsi="宋体"/>
      <w:sz w:val="24"/>
      <w:szCs w:val="24"/>
    </w:rPr>
  </w:style>
  <w:style w:type="character" w:customStyle="1" w:styleId="518">
    <w:name w:val="text-tag"/>
    <w:autoRedefine/>
    <w:qFormat/>
    <w:uiPriority w:val="0"/>
  </w:style>
  <w:style w:type="paragraph" w:customStyle="1" w:styleId="519">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520">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521">
    <w:name w:val="网格型1"/>
    <w:basedOn w:val="51"/>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2">
    <w:name w:val="中等深浅网格 1 - 着色 21"/>
    <w:basedOn w:val="51"/>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FA7A6"/>
      </w:tcPr>
    </w:tblStylePr>
    <w:tblStylePr w:type="band1Horz">
      <w:tcPr>
        <w:shd w:val="clear" w:color="auto" w:fill="DFA7A6"/>
      </w:tcPr>
    </w:tblStylePr>
  </w:style>
  <w:style w:type="table" w:customStyle="1" w:styleId="523">
    <w:name w:val="Table Normal1"/>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24">
    <w:name w:val="宏文本 字符"/>
    <w:basedOn w:val="54"/>
    <w:link w:val="2"/>
    <w:autoRedefine/>
    <w:qFormat/>
    <w:uiPriority w:val="0"/>
    <w:rPr>
      <w:rFonts w:ascii="Arial Narrow" w:hAnsi="Arial Narrow"/>
    </w:rPr>
  </w:style>
  <w:style w:type="paragraph" w:customStyle="1" w:styleId="525">
    <w:name w:val="tc"/>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26">
    <w:name w:val="font31"/>
    <w:basedOn w:val="54"/>
    <w:autoRedefine/>
    <w:qFormat/>
    <w:uiPriority w:val="0"/>
    <w:rPr>
      <w:rFonts w:hint="eastAsia" w:ascii="宋体" w:hAnsi="宋体" w:eastAsia="宋体" w:cs="宋体"/>
      <w:color w:val="000000"/>
      <w:sz w:val="20"/>
      <w:szCs w:val="20"/>
      <w:u w:val="none"/>
    </w:rPr>
  </w:style>
  <w:style w:type="character" w:customStyle="1" w:styleId="527">
    <w:name w:val="font91"/>
    <w:basedOn w:val="54"/>
    <w:autoRedefine/>
    <w:qFormat/>
    <w:uiPriority w:val="0"/>
    <w:rPr>
      <w:rFonts w:ascii="Calibri" w:hAnsi="Calibri" w:cs="Calibri"/>
      <w:color w:val="000000"/>
      <w:sz w:val="20"/>
      <w:szCs w:val="20"/>
      <w:u w:val="none"/>
    </w:rPr>
  </w:style>
  <w:style w:type="character" w:customStyle="1" w:styleId="528">
    <w:name w:val="font101"/>
    <w:basedOn w:val="54"/>
    <w:autoRedefine/>
    <w:qFormat/>
    <w:uiPriority w:val="0"/>
    <w:rPr>
      <w:rFonts w:ascii="Arial" w:hAnsi="Arial" w:cs="Arial"/>
      <w:color w:val="000000"/>
      <w:sz w:val="20"/>
      <w:szCs w:val="20"/>
      <w:u w:val="none"/>
    </w:rPr>
  </w:style>
  <w:style w:type="paragraph" w:customStyle="1" w:styleId="529">
    <w:name w:val="表格无缩进"/>
    <w:basedOn w:val="1"/>
    <w:autoRedefine/>
    <w:qFormat/>
    <w:uiPriority w:val="0"/>
    <w:pPr>
      <w:adjustRightInd w:val="0"/>
      <w:snapToGrid w:val="0"/>
    </w:pPr>
    <w:rPr>
      <w:rFonts w:eastAsia="新宋体" w:cs="宋体"/>
    </w:rPr>
  </w:style>
  <w:style w:type="paragraph" w:customStyle="1" w:styleId="530">
    <w:name w:val="Revision"/>
    <w:autoRedefine/>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7F3CC483-37A2-4982-BA58-FCF58C286FCB}">
  <ds:schemaRefs/>
</ds:datastoreItem>
</file>

<file path=docProps/app.xml><?xml version="1.0" encoding="utf-8"?>
<Properties xmlns="http://schemas.openxmlformats.org/officeDocument/2006/extended-properties" xmlns:vt="http://schemas.openxmlformats.org/officeDocument/2006/docPropsVTypes">
  <Template>Normal</Template>
  <Pages>138</Pages>
  <Words>17635</Words>
  <Characters>18270</Characters>
  <Lines>528</Lines>
  <Paragraphs>148</Paragraphs>
  <TotalTime>2</TotalTime>
  <ScaleCrop>false</ScaleCrop>
  <LinksUpToDate>false</LinksUpToDate>
  <CharactersWithSpaces>18469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2026-05-28T05:00:00Z</dcterms:created>
  <dcterms:modified xsi:type="dcterms:W3CDTF">2026-06-25T00:45:49Z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7C47DC71724F4BD180406EEA7776BEAE_13</vt:lpwstr>
  </property>
  <property fmtid="{D5CDD505-2E9C-101B-9397-08002B2CF9AE}" pid="4" name="KSOTemplateDocerSaveRecord">
    <vt:lpwstr>eyJoZGlkIjoiZDdkYzA3YjU5YjJmMTExNjA5OGVjY2I0OGMzNWM3NjQiLCJ1c2VySWQiOiI3NTQ1NzQxMDAifQ==</vt:lpwstr>
  </property>
</Properties>
</file>