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DC0152">
      <w:pPr>
        <w:spacing w:line="360" w:lineRule="auto"/>
        <w:ind w:firstLine="300" w:firstLineChars="50"/>
        <w:rPr>
          <w:rFonts w:eastAsiaTheme="minorEastAsia"/>
          <w:sz w:val="60"/>
          <w:szCs w:val="60"/>
        </w:rPr>
      </w:pPr>
    </w:p>
    <w:p w14:paraId="34838F7E">
      <w:pPr>
        <w:spacing w:line="360" w:lineRule="auto"/>
        <w:ind w:firstLine="300" w:firstLineChars="50"/>
        <w:rPr>
          <w:rFonts w:eastAsiaTheme="minorEastAsia"/>
          <w:sz w:val="60"/>
          <w:szCs w:val="60"/>
        </w:rPr>
      </w:pPr>
    </w:p>
    <w:p w14:paraId="09E3CFE5">
      <w:pPr>
        <w:jc w:val="center"/>
        <w:rPr>
          <w:rFonts w:eastAsiaTheme="minorEastAsia"/>
          <w:b/>
          <w:bCs/>
          <w:sz w:val="60"/>
          <w:szCs w:val="60"/>
        </w:rPr>
      </w:pPr>
      <w:r>
        <w:rPr>
          <w:rFonts w:hint="eastAsia" w:eastAsiaTheme="minorEastAsia"/>
          <w:b/>
          <w:bCs/>
          <w:sz w:val="60"/>
          <w:szCs w:val="60"/>
        </w:rPr>
        <w:t>改善办学保障条件-基础设施改造-新校区电力线路及配电室改造项目</w:t>
      </w:r>
    </w:p>
    <w:p w14:paraId="47F314B9">
      <w:pPr>
        <w:jc w:val="center"/>
        <w:rPr>
          <w:b/>
          <w:bCs/>
          <w:sz w:val="60"/>
          <w:szCs w:val="60"/>
        </w:rPr>
      </w:pPr>
      <w:r>
        <w:rPr>
          <w:rFonts w:eastAsiaTheme="minorEastAsia"/>
          <w:b/>
          <w:bCs/>
          <w:sz w:val="60"/>
          <w:szCs w:val="60"/>
        </w:rPr>
        <w:t>竞争性磋商文件</w:t>
      </w:r>
    </w:p>
    <w:p w14:paraId="499C222C">
      <w:pPr>
        <w:spacing w:line="360" w:lineRule="auto"/>
        <w:jc w:val="center"/>
        <w:rPr>
          <w:rFonts w:eastAsiaTheme="majorEastAsia"/>
          <w:b/>
          <w:bCs/>
          <w:sz w:val="60"/>
          <w:szCs w:val="60"/>
        </w:rPr>
      </w:pPr>
    </w:p>
    <w:p w14:paraId="27F4B04A">
      <w:pPr>
        <w:spacing w:line="360" w:lineRule="auto"/>
        <w:jc w:val="center"/>
        <w:rPr>
          <w:rFonts w:eastAsiaTheme="majorEastAsia"/>
          <w:b/>
          <w:bCs/>
          <w:sz w:val="60"/>
          <w:szCs w:val="60"/>
        </w:rPr>
      </w:pPr>
    </w:p>
    <w:p w14:paraId="732E6A0D">
      <w:pPr>
        <w:spacing w:line="360" w:lineRule="auto"/>
        <w:jc w:val="center"/>
        <w:rPr>
          <w:rFonts w:eastAsiaTheme="majorEastAsia"/>
          <w:b/>
          <w:bCs/>
          <w:sz w:val="60"/>
          <w:szCs w:val="60"/>
        </w:rPr>
      </w:pPr>
    </w:p>
    <w:p w14:paraId="000FB301">
      <w:pPr>
        <w:spacing w:line="360" w:lineRule="auto"/>
        <w:jc w:val="center"/>
        <w:rPr>
          <w:rFonts w:eastAsiaTheme="majorEastAsia"/>
          <w:b/>
          <w:bCs/>
          <w:sz w:val="60"/>
          <w:szCs w:val="60"/>
        </w:rPr>
      </w:pPr>
    </w:p>
    <w:p w14:paraId="06C90109">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改善办学保障条件-基础设施改造-新校区电力线路及配电室改造项目</w:t>
      </w:r>
    </w:p>
    <w:p w14:paraId="4B0623B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2604-HXTC-IE1136/01</w:t>
      </w:r>
    </w:p>
    <w:p w14:paraId="317186D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中国音乐学院</w:t>
      </w:r>
    </w:p>
    <w:p w14:paraId="02C990BE">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北京宏信天诚国际招标有限公司</w:t>
      </w:r>
    </w:p>
    <w:p w14:paraId="1CA10FEC">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003D11DA">
      <w:pPr>
        <w:pStyle w:val="157"/>
        <w:spacing w:line="360" w:lineRule="auto"/>
        <w:ind w:firstLine="723" w:firstLineChars="200"/>
        <w:rPr>
          <w:rFonts w:hint="eastAsia" w:eastAsiaTheme="minorEastAsia"/>
          <w:b/>
          <w:sz w:val="36"/>
          <w:szCs w:val="36"/>
        </w:rPr>
      </w:pPr>
      <w:bookmarkStart w:id="0" w:name="_Toc74227630"/>
    </w:p>
    <w:bookmarkEnd w:id="0"/>
    <w:p w14:paraId="01BF785B">
      <w:pPr>
        <w:spacing w:line="360" w:lineRule="auto"/>
        <w:jc w:val="center"/>
        <w:outlineLvl w:val="0"/>
        <w:rPr>
          <w:rFonts w:eastAsiaTheme="minorEastAsia"/>
          <w:b/>
          <w:sz w:val="36"/>
          <w:szCs w:val="36"/>
        </w:rPr>
      </w:pPr>
      <w:r>
        <w:rPr>
          <w:rFonts w:eastAsiaTheme="minorEastAsia"/>
          <w:b/>
          <w:sz w:val="36"/>
          <w:szCs w:val="36"/>
        </w:rPr>
        <w:t>目      录</w:t>
      </w:r>
    </w:p>
    <w:p w14:paraId="05F09747">
      <w:pPr>
        <w:rPr>
          <w:rFonts w:eastAsiaTheme="minorEastAsia"/>
        </w:rPr>
      </w:pPr>
    </w:p>
    <w:p w14:paraId="6368163F">
      <w:pPr>
        <w:rPr>
          <w:rFonts w:eastAsiaTheme="minorEastAsia"/>
        </w:rPr>
      </w:pPr>
    </w:p>
    <w:p w14:paraId="2E4E7023">
      <w:pPr>
        <w:rPr>
          <w:rFonts w:eastAsiaTheme="minorEastAsia"/>
        </w:rPr>
      </w:pPr>
    </w:p>
    <w:p w14:paraId="1BC6F69B">
      <w:pPr>
        <w:rPr>
          <w:rFonts w:eastAsiaTheme="minorEastAsia"/>
        </w:rPr>
      </w:pPr>
    </w:p>
    <w:p w14:paraId="3E6072B5">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088B332">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bookmarkStart w:id="775" w:name="_GoBack"/>
      <w:bookmarkEnd w:id="775"/>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5F825713">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15A74416">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71B6174B">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53DC91EC">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4A56A567">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2C0C5B16"/>
    <w:p w14:paraId="56F7209B">
      <w:pPr>
        <w:spacing w:line="360" w:lineRule="auto"/>
        <w:rPr>
          <w:sz w:val="24"/>
        </w:rPr>
      </w:pPr>
      <w:r>
        <w:rPr>
          <w:rFonts w:hint="eastAsia"/>
          <w:sz w:val="24"/>
        </w:rPr>
        <w:t>注：采购文件条款中以</w:t>
      </w:r>
      <w:r>
        <w:rPr>
          <w:sz w:val="24"/>
        </w:rPr>
        <w:t>“</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FA23D84">
      <w:pPr>
        <w:pStyle w:val="30"/>
        <w:spacing w:line="360" w:lineRule="auto"/>
        <w:rPr>
          <w:rFonts w:ascii="Times New Roman" w:hAnsi="Times New Roman" w:eastAsiaTheme="minorEastAsia"/>
          <w:b w:val="0"/>
        </w:rPr>
      </w:pPr>
    </w:p>
    <w:p w14:paraId="71F9C4A5">
      <w:pPr>
        <w:pStyle w:val="30"/>
        <w:spacing w:line="360" w:lineRule="auto"/>
        <w:rPr>
          <w:rFonts w:ascii="Times New Roman" w:hAnsi="Times New Roman" w:eastAsiaTheme="minorEastAsia"/>
          <w:b w:val="0"/>
          <w:sz w:val="36"/>
          <w:szCs w:val="36"/>
        </w:rPr>
      </w:pPr>
      <w:bookmarkStart w:id="1" w:name="_Toc97371941"/>
    </w:p>
    <w:p w14:paraId="7878DCE5">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50068D8">
      <w:pPr>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02"/>
      <w:bookmarkStart w:id="3" w:name="_Toc35393790"/>
      <w:bookmarkStart w:id="4" w:name="_Toc28359079"/>
      <w:bookmarkStart w:id="5" w:name="_Toc35393621"/>
      <w:bookmarkStart w:id="6" w:name="_Hlk24379207"/>
    </w:p>
    <w:p w14:paraId="51056DF0">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60DDD626">
      <w:pPr>
        <w:spacing w:line="360" w:lineRule="auto"/>
        <w:ind w:firstLine="480" w:firstLineChars="200"/>
        <w:rPr>
          <w:rFonts w:eastAsiaTheme="minorEastAsia"/>
          <w:sz w:val="24"/>
          <w:u w:val="single"/>
        </w:rPr>
      </w:pPr>
      <w:r>
        <w:rPr>
          <w:rFonts w:eastAsiaTheme="minorEastAsia"/>
          <w:sz w:val="24"/>
        </w:rPr>
        <w:t>1.项目编号：</w:t>
      </w:r>
      <w:r>
        <w:rPr>
          <w:rFonts w:hint="eastAsia" w:eastAsiaTheme="minorEastAsia"/>
          <w:sz w:val="24"/>
          <w:u w:val="single"/>
        </w:rPr>
        <w:t>2604-HXTC-IE1136</w:t>
      </w:r>
    </w:p>
    <w:p w14:paraId="09714A28">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rPr>
        <w:t>改善办学保障条件-基础设施改造-新校区电力线路及配电室改造项目</w:t>
      </w:r>
    </w:p>
    <w:p w14:paraId="615261E8">
      <w:pPr>
        <w:spacing w:line="360" w:lineRule="auto"/>
        <w:ind w:firstLine="480" w:firstLineChars="200"/>
        <w:rPr>
          <w:rFonts w:eastAsiaTheme="minorEastAsia"/>
          <w:sz w:val="24"/>
        </w:rPr>
      </w:pPr>
      <w:r>
        <w:rPr>
          <w:rFonts w:eastAsiaTheme="minorEastAsia"/>
          <w:sz w:val="24"/>
        </w:rPr>
        <w:t>3.采购方式：竞争性磋商</w:t>
      </w:r>
    </w:p>
    <w:bookmarkEnd w:id="6"/>
    <w:p w14:paraId="2FE6448D">
      <w:pPr>
        <w:spacing w:line="360" w:lineRule="auto"/>
        <w:ind w:firstLine="480" w:firstLineChars="200"/>
        <w:rPr>
          <w:rFonts w:eastAsiaTheme="minorEastAsia"/>
          <w:sz w:val="24"/>
        </w:rPr>
      </w:pPr>
      <w:r>
        <w:rPr>
          <w:rFonts w:eastAsiaTheme="minorEastAsia"/>
          <w:sz w:val="24"/>
        </w:rPr>
        <w:t>4.项目预算金</w:t>
      </w:r>
      <w:r>
        <w:rPr>
          <w:rFonts w:eastAsiaTheme="minorEastAsia"/>
          <w:sz w:val="24"/>
          <w:highlight w:val="none"/>
        </w:rPr>
        <w:t>额：</w:t>
      </w:r>
      <w:r>
        <w:rPr>
          <w:rFonts w:hint="eastAsia" w:eastAsiaTheme="minorEastAsia"/>
          <w:b/>
          <w:bCs/>
          <w:sz w:val="24"/>
          <w:highlight w:val="none"/>
          <w:u w:val="single"/>
        </w:rPr>
        <w:t>712.925275</w:t>
      </w:r>
      <w:r>
        <w:rPr>
          <w:rFonts w:eastAsiaTheme="minorEastAsia"/>
          <w:sz w:val="24"/>
          <w:highlight w:val="none"/>
        </w:rPr>
        <w:t>万元、</w:t>
      </w:r>
      <w:r>
        <w:rPr>
          <w:rFonts w:eastAsiaTheme="minorEastAsia"/>
          <w:b/>
          <w:bCs/>
          <w:sz w:val="24"/>
          <w:highlight w:val="none"/>
        </w:rPr>
        <w:t>项目最高</w:t>
      </w:r>
      <w:r>
        <w:rPr>
          <w:rFonts w:eastAsiaTheme="minorEastAsia"/>
          <w:b/>
          <w:bCs/>
          <w:sz w:val="24"/>
        </w:rPr>
        <w:t>限价：</w:t>
      </w:r>
      <w:r>
        <w:rPr>
          <w:rFonts w:hint="eastAsia" w:eastAsiaTheme="minorEastAsia"/>
          <w:b/>
          <w:bCs/>
          <w:sz w:val="24"/>
          <w:u w:val="single"/>
        </w:rPr>
        <w:t>712.925275</w:t>
      </w:r>
      <w:r>
        <w:rPr>
          <w:rFonts w:eastAsiaTheme="minorEastAsia"/>
          <w:b/>
          <w:bCs/>
          <w:sz w:val="24"/>
        </w:rPr>
        <w:t>万元</w:t>
      </w:r>
    </w:p>
    <w:p w14:paraId="2D1F814B">
      <w:pPr>
        <w:spacing w:line="360" w:lineRule="auto"/>
        <w:ind w:firstLine="480" w:firstLineChars="200"/>
        <w:rPr>
          <w:rFonts w:eastAsiaTheme="minorEastAsia"/>
          <w:sz w:val="24"/>
        </w:rPr>
      </w:pPr>
      <w:r>
        <w:rPr>
          <w:rFonts w:eastAsiaTheme="minorEastAsia"/>
          <w:sz w:val="24"/>
        </w:rPr>
        <w:t>5.采购需求：</w:t>
      </w:r>
    </w:p>
    <w:p w14:paraId="1AB97051">
      <w:pPr>
        <w:spacing w:line="360" w:lineRule="auto"/>
        <w:ind w:firstLine="480" w:firstLineChars="200"/>
        <w:rPr>
          <w:rFonts w:eastAsiaTheme="minorEastAsia"/>
          <w:sz w:val="24"/>
        </w:rPr>
      </w:pPr>
      <w:r>
        <w:rPr>
          <w:rFonts w:hint="eastAsia" w:eastAsiaTheme="minorEastAsia"/>
          <w:sz w:val="24"/>
        </w:rPr>
        <w:t>完成改善办学保障条件-基础设施改造-新校区电力线路及配电室改造项目所需全部内容，包括配电室改造、外电源改造。详见图纸及工程量清单。</w:t>
      </w:r>
    </w:p>
    <w:p w14:paraId="3CA7EF5C">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自合同签订生效后开始至双方合同完全履行后截止。</w:t>
      </w:r>
    </w:p>
    <w:p w14:paraId="467116E2">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rPr>
        <w:t>□</w:t>
      </w:r>
      <w:r>
        <w:rPr>
          <w:rFonts w:eastAsiaTheme="minorEastAsia"/>
          <w:sz w:val="24"/>
        </w:rPr>
        <w:t xml:space="preserve">是  </w:t>
      </w:r>
      <w:r>
        <w:rPr>
          <w:rFonts w:hint="eastAsia" w:eastAsiaTheme="minorEastAsia"/>
          <w:sz w:val="24"/>
        </w:rPr>
        <w:t>■</w:t>
      </w:r>
      <w:r>
        <w:rPr>
          <w:rFonts w:eastAsiaTheme="minorEastAsia"/>
          <w:sz w:val="24"/>
        </w:rPr>
        <w:t>否。</w:t>
      </w:r>
    </w:p>
    <w:p w14:paraId="0153B59D">
      <w:pPr>
        <w:spacing w:line="360" w:lineRule="auto"/>
        <w:ind w:firstLine="480" w:firstLineChars="200"/>
        <w:rPr>
          <w:rFonts w:eastAsiaTheme="minorEastAsia"/>
          <w:sz w:val="24"/>
        </w:rPr>
      </w:pPr>
    </w:p>
    <w:p w14:paraId="1CA179DD">
      <w:pPr>
        <w:pStyle w:val="3"/>
        <w:spacing w:before="0" w:line="360" w:lineRule="auto"/>
        <w:jc w:val="left"/>
        <w:rPr>
          <w:rFonts w:ascii="Times New Roman" w:hAnsi="Times New Roman" w:eastAsiaTheme="minorEastAsia"/>
          <w:sz w:val="24"/>
          <w:szCs w:val="24"/>
        </w:rPr>
      </w:pPr>
      <w:bookmarkStart w:id="7" w:name="_Toc28359003"/>
      <w:bookmarkStart w:id="8" w:name="_Toc35393791"/>
      <w:bookmarkStart w:id="9" w:name="_Toc35393622"/>
      <w:bookmarkStart w:id="10" w:name="_Toc28359080"/>
      <w:r>
        <w:rPr>
          <w:rFonts w:ascii="Times New Roman" w:hAnsi="Times New Roman" w:eastAsiaTheme="minorEastAsia"/>
          <w:sz w:val="24"/>
          <w:szCs w:val="24"/>
        </w:rPr>
        <w:t>二、申请人的资格要求（须同时满足）</w:t>
      </w:r>
      <w:bookmarkEnd w:id="7"/>
      <w:bookmarkEnd w:id="8"/>
      <w:bookmarkEnd w:id="9"/>
      <w:bookmarkEnd w:id="10"/>
    </w:p>
    <w:p w14:paraId="70AC99D5">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92456E6">
      <w:pPr>
        <w:spacing w:line="360" w:lineRule="auto"/>
        <w:ind w:firstLine="480" w:firstLineChars="200"/>
        <w:rPr>
          <w:rFonts w:eastAsiaTheme="minorEastAsia"/>
          <w:sz w:val="24"/>
        </w:rPr>
      </w:pPr>
      <w:bookmarkStart w:id="11" w:name="_Toc28359004"/>
      <w:bookmarkStart w:id="12" w:name="_Toc28359081"/>
      <w:r>
        <w:rPr>
          <w:rFonts w:eastAsiaTheme="minorEastAsia"/>
          <w:sz w:val="24"/>
        </w:rPr>
        <w:t>2.落实政府采购政策需满足的资格要求：</w:t>
      </w:r>
    </w:p>
    <w:p w14:paraId="7578B5F0">
      <w:pPr>
        <w:spacing w:line="360" w:lineRule="auto"/>
        <w:ind w:firstLine="480" w:firstLineChars="200"/>
        <w:rPr>
          <w:rFonts w:eastAsiaTheme="minorEastAsia"/>
          <w:sz w:val="24"/>
        </w:rPr>
      </w:pPr>
      <w:r>
        <w:rPr>
          <w:rFonts w:eastAsiaTheme="minorEastAsia"/>
          <w:sz w:val="24"/>
        </w:rPr>
        <w:t>2.1 中小企业政策</w:t>
      </w:r>
    </w:p>
    <w:p w14:paraId="5ED21132">
      <w:pPr>
        <w:spacing w:line="360" w:lineRule="auto"/>
        <w:ind w:firstLine="482" w:firstLineChars="200"/>
        <w:rPr>
          <w:rFonts w:eastAsiaTheme="minorEastAsia"/>
          <w:sz w:val="24"/>
        </w:rPr>
      </w:pPr>
      <w:r>
        <w:rPr>
          <w:rFonts w:hint="eastAsia" w:eastAsiaTheme="minorEastAsia"/>
          <w:b/>
          <w:bCs/>
          <w:sz w:val="24"/>
          <w:highlight w:val="none"/>
        </w:rPr>
        <w:t>■</w:t>
      </w:r>
      <w:r>
        <w:rPr>
          <w:rFonts w:eastAsiaTheme="minorEastAsia"/>
          <w:b/>
          <w:bCs/>
          <w:sz w:val="24"/>
          <w:highlight w:val="none"/>
        </w:rPr>
        <w:t>本项目专门面向  中小  采购。</w:t>
      </w:r>
      <w:r>
        <w:rPr>
          <w:rFonts w:eastAsiaTheme="minorEastAsia"/>
          <w:sz w:val="24"/>
          <w:highlight w:val="none"/>
        </w:rPr>
        <w:t>即：提供的货物全部由符合政策要求的中</w:t>
      </w:r>
      <w:r>
        <w:rPr>
          <w:rFonts w:eastAsiaTheme="minorEastAsia"/>
          <w:sz w:val="24"/>
        </w:rPr>
        <w:t>小企业制造、服务全部由符合政策要求的中小企业承接。</w:t>
      </w:r>
    </w:p>
    <w:p w14:paraId="57113D6E">
      <w:pPr>
        <w:spacing w:line="360" w:lineRule="auto"/>
        <w:ind w:firstLine="480" w:firstLineChars="200"/>
        <w:rPr>
          <w:rFonts w:eastAsiaTheme="minorEastAsia"/>
          <w:sz w:val="24"/>
        </w:rPr>
      </w:pPr>
      <w:r>
        <w:rPr>
          <w:rFonts w:eastAsiaTheme="minorEastAsia"/>
          <w:sz w:val="24"/>
        </w:rPr>
        <w:t>2.2 其它落实政府采购政策的资格要求：</w:t>
      </w:r>
      <w:r>
        <w:rPr>
          <w:rFonts w:hint="eastAsia" w:eastAsiaTheme="minorEastAsia"/>
          <w:sz w:val="24"/>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7DB6BC8E">
      <w:pPr>
        <w:spacing w:line="360" w:lineRule="auto"/>
        <w:ind w:firstLine="480" w:firstLineChars="200"/>
        <w:rPr>
          <w:rFonts w:eastAsiaTheme="minorEastAsia"/>
          <w:color w:val="FF0000"/>
          <w:sz w:val="24"/>
        </w:rPr>
      </w:pPr>
      <w:r>
        <w:rPr>
          <w:rFonts w:eastAsiaTheme="minorEastAsia"/>
          <w:sz w:val="24"/>
        </w:rPr>
        <w:t>3.本项目的特定资格要求：</w:t>
      </w:r>
    </w:p>
    <w:p w14:paraId="0F6BC71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r>
        <w:rPr>
          <w:rFonts w:hint="eastAsia" w:eastAsiaTheme="minorEastAsia"/>
          <w:sz w:val="24"/>
        </w:rPr>
        <w:t>■</w:t>
      </w:r>
      <w:r>
        <w:rPr>
          <w:rFonts w:eastAsiaTheme="minorEastAsia"/>
          <w:sz w:val="24"/>
        </w:rPr>
        <w:t>否</w:t>
      </w:r>
    </w:p>
    <w:p w14:paraId="7E2359C5">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14:paraId="11915379">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u w:val="single"/>
        </w:rPr>
        <w:t>（1）供应商须同时具有有效的电力工程施工总承包三级（含）以上资质证书、《承装（修、试）电力设施许可证》（许可类别和等级：承装类、承修类、承试类五级及以上）及有效的安全生产许可证；（2）非北京市建筑企业，应提供有效的《外省市建筑业企业进京施工备案信息》；（3）项目经理须具有机电工程专业二级（含）以上注册建造师执业资格和有效的安全生产考核合格证书（简称B本），且在确定成交时不得担任其他在施建设工程的项目经理；（4）供应商没有处于被责令停业，投标资格被取消，财产被接管、冻结，破产状态；（5）供应商在最近三年内没有骗取中标和严重违约及重大工程质量问题</w:t>
      </w:r>
      <w:r>
        <w:rPr>
          <w:rFonts w:eastAsiaTheme="minorEastAsia"/>
          <w:sz w:val="24"/>
          <w:highlight w:val="none"/>
        </w:rPr>
        <w:t>。</w:t>
      </w:r>
    </w:p>
    <w:p w14:paraId="344756EB">
      <w:pPr>
        <w:spacing w:line="360" w:lineRule="auto"/>
        <w:ind w:firstLine="480" w:firstLineChars="200"/>
        <w:rPr>
          <w:rFonts w:eastAsiaTheme="minorEastAsia"/>
          <w:i/>
          <w:iCs/>
          <w:sz w:val="24"/>
          <w:u w:val="single"/>
        </w:rPr>
      </w:pPr>
    </w:p>
    <w:bookmarkEnd w:id="11"/>
    <w:bookmarkEnd w:id="12"/>
    <w:p w14:paraId="18735702">
      <w:pPr>
        <w:pStyle w:val="3"/>
        <w:widowControl/>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2021644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u w:val="single"/>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5</w:t>
      </w:r>
      <w:r>
        <w:rPr>
          <w:rFonts w:hint="eastAsia" w:ascii="宋体" w:hAnsi="宋体" w:eastAsia="宋体" w:cs="宋体"/>
          <w:sz w:val="24"/>
          <w:lang w:bidi="ar"/>
        </w:rPr>
        <w:t>月</w:t>
      </w:r>
      <w:r>
        <w:rPr>
          <w:rFonts w:hint="eastAsia" w:ascii="宋体" w:hAnsi="宋体" w:eastAsia="宋体" w:cs="宋体"/>
          <w:sz w:val="24"/>
          <w:u w:val="single"/>
          <w:lang w:val="en-US" w:eastAsia="zh-CN"/>
        </w:rPr>
        <w:t>18</w:t>
      </w:r>
      <w:r>
        <w:rPr>
          <w:rFonts w:hint="eastAsia" w:ascii="宋体" w:hAnsi="宋体" w:eastAsia="宋体" w:cs="宋体"/>
          <w:sz w:val="24"/>
          <w:lang w:bidi="ar"/>
        </w:rPr>
        <w:t>日至</w:t>
      </w:r>
      <w:r>
        <w:rPr>
          <w:rFonts w:hint="eastAsia" w:ascii="宋体" w:hAnsi="宋体" w:eastAsia="宋体" w:cs="宋体"/>
          <w:sz w:val="24"/>
          <w:u w:val="single"/>
        </w:rPr>
        <w:t>2026</w:t>
      </w:r>
      <w:r>
        <w:rPr>
          <w:rFonts w:hint="eastAsia" w:ascii="宋体" w:hAnsi="宋体" w:eastAsia="宋体" w:cs="宋体"/>
          <w:sz w:val="24"/>
          <w:lang w:bidi="ar"/>
        </w:rPr>
        <w:t>年</w:t>
      </w:r>
      <w:r>
        <w:rPr>
          <w:rFonts w:hint="eastAsia" w:ascii="宋体" w:hAnsi="宋体" w:eastAsia="宋体" w:cs="宋体"/>
          <w:sz w:val="24"/>
          <w:u w:val="single"/>
          <w:lang w:val="en-US" w:eastAsia="zh-CN"/>
        </w:rPr>
        <w:t>5</w:t>
      </w:r>
      <w:r>
        <w:rPr>
          <w:rFonts w:hint="eastAsia" w:ascii="宋体" w:hAnsi="宋体" w:eastAsia="宋体" w:cs="宋体"/>
          <w:sz w:val="24"/>
          <w:lang w:bidi="ar"/>
        </w:rPr>
        <w:t>月</w:t>
      </w:r>
      <w:r>
        <w:rPr>
          <w:rFonts w:hint="eastAsia" w:ascii="宋体" w:hAnsi="宋体" w:eastAsia="宋体" w:cs="宋体"/>
          <w:sz w:val="24"/>
          <w:u w:val="single"/>
          <w:lang w:val="en-US" w:eastAsia="zh-CN"/>
        </w:rPr>
        <w:t>25</w:t>
      </w:r>
      <w:r>
        <w:rPr>
          <w:rFonts w:hint="eastAsia" w:ascii="宋体" w:hAnsi="宋体" w:eastAsia="宋体" w:cs="宋体"/>
          <w:sz w:val="24"/>
          <w:lang w:bidi="ar"/>
        </w:rPr>
        <w:t>日，每天上午</w:t>
      </w:r>
      <w:r>
        <w:rPr>
          <w:rFonts w:hint="eastAsia" w:ascii="宋体" w:hAnsi="宋体" w:eastAsia="宋体" w:cs="宋体"/>
          <w:sz w:val="24"/>
          <w:szCs w:val="20"/>
          <w:u w:val="single"/>
        </w:rPr>
        <w:t>9:00</w:t>
      </w:r>
      <w:r>
        <w:rPr>
          <w:rFonts w:hint="eastAsia" w:ascii="宋体" w:hAnsi="宋体" w:eastAsia="宋体" w:cs="宋体"/>
          <w:sz w:val="24"/>
          <w:szCs w:val="20"/>
        </w:rPr>
        <w:t>至</w:t>
      </w:r>
      <w:r>
        <w:rPr>
          <w:rFonts w:hint="eastAsia" w:ascii="宋体" w:hAnsi="宋体" w:eastAsia="宋体" w:cs="宋体"/>
          <w:sz w:val="24"/>
          <w:szCs w:val="20"/>
          <w:u w:val="single"/>
        </w:rPr>
        <w:t>12:00</w:t>
      </w:r>
      <w:r>
        <w:rPr>
          <w:rFonts w:hint="eastAsia" w:ascii="宋体" w:hAnsi="宋体" w:eastAsia="宋体" w:cs="宋体"/>
          <w:sz w:val="24"/>
          <w:szCs w:val="20"/>
        </w:rPr>
        <w:t>，下午</w:t>
      </w:r>
      <w:r>
        <w:rPr>
          <w:rFonts w:hint="eastAsia" w:ascii="宋体" w:hAnsi="宋体" w:eastAsia="宋体" w:cs="宋体"/>
          <w:sz w:val="24"/>
          <w:szCs w:val="20"/>
          <w:u w:val="single"/>
        </w:rPr>
        <w:t>12:00</w:t>
      </w:r>
      <w:r>
        <w:rPr>
          <w:rFonts w:hint="eastAsia" w:ascii="宋体" w:hAnsi="宋体" w:eastAsia="宋体" w:cs="宋体"/>
          <w:sz w:val="24"/>
          <w:szCs w:val="20"/>
        </w:rPr>
        <w:t>至</w:t>
      </w:r>
      <w:r>
        <w:rPr>
          <w:rFonts w:hint="eastAsia" w:ascii="宋体" w:hAnsi="宋体" w:eastAsia="宋体" w:cs="宋体"/>
          <w:sz w:val="24"/>
          <w:szCs w:val="20"/>
          <w:u w:val="single"/>
        </w:rPr>
        <w:t>16：00</w:t>
      </w:r>
      <w:r>
        <w:rPr>
          <w:rFonts w:hint="eastAsia" w:ascii="宋体" w:hAnsi="宋体" w:eastAsia="宋体" w:cs="宋体"/>
          <w:sz w:val="24"/>
          <w:lang w:bidi="ar"/>
        </w:rPr>
        <w:t>（北京时间，法定节假日除外）。</w:t>
      </w:r>
    </w:p>
    <w:p w14:paraId="663347ED">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15E24A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C880B86">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F166C29">
      <w:pPr>
        <w:tabs>
          <w:tab w:val="left" w:pos="900"/>
          <w:tab w:val="left" w:pos="1980"/>
        </w:tabs>
        <w:snapToGrid w:val="0"/>
        <w:spacing w:line="360" w:lineRule="auto"/>
        <w:ind w:left="840"/>
        <w:rPr>
          <w:rFonts w:eastAsiaTheme="minorEastAsia"/>
          <w:sz w:val="24"/>
        </w:rPr>
      </w:pPr>
    </w:p>
    <w:p w14:paraId="3A9EAE27">
      <w:pPr>
        <w:pStyle w:val="3"/>
        <w:widowControl/>
        <w:spacing w:before="0" w:line="360" w:lineRule="auto"/>
        <w:jc w:val="left"/>
        <w:rPr>
          <w:rFonts w:ascii="Times New Roman" w:hAnsi="Times New Roman" w:eastAsiaTheme="minorEastAsia"/>
          <w:sz w:val="24"/>
          <w:szCs w:val="24"/>
        </w:rPr>
      </w:pPr>
      <w:bookmarkStart w:id="15" w:name="_Toc28359082"/>
      <w:bookmarkStart w:id="16" w:name="_Toc35393624"/>
      <w:bookmarkStart w:id="17" w:name="_Toc28359005"/>
      <w:bookmarkStart w:id="18" w:name="_Toc35393793"/>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4B938432">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u w:val="single"/>
        </w:rPr>
        <w:t>2026</w:t>
      </w:r>
      <w:r>
        <w:rPr>
          <w:rFonts w:eastAsiaTheme="minorEastAsia"/>
          <w:sz w:val="24"/>
          <w:lang w:bidi="ar"/>
        </w:rPr>
        <w:t>年</w:t>
      </w:r>
      <w:r>
        <w:rPr>
          <w:rFonts w:hint="eastAsia" w:eastAsiaTheme="minorEastAsia"/>
          <w:sz w:val="24"/>
          <w:u w:val="single"/>
        </w:rPr>
        <w:t>5</w:t>
      </w:r>
      <w:r>
        <w:rPr>
          <w:rFonts w:eastAsiaTheme="minorEastAsia"/>
          <w:sz w:val="24"/>
          <w:lang w:bidi="ar"/>
        </w:rPr>
        <w:t>月</w:t>
      </w:r>
      <w:r>
        <w:rPr>
          <w:rFonts w:hint="eastAsia" w:eastAsiaTheme="minorEastAsia"/>
          <w:sz w:val="24"/>
          <w:u w:val="single"/>
          <w:lang w:val="en-US" w:eastAsia="zh-CN"/>
        </w:rPr>
        <w:t>29</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F9D29C7">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rFonts w:eastAsiaTheme="minorEastAsia"/>
          <w:sz w:val="24"/>
          <w:lang w:val="zh-TW" w:bidi="ar"/>
        </w:rPr>
        <w:t>。</w:t>
      </w:r>
    </w:p>
    <w:p w14:paraId="14B80B92">
      <w:pPr>
        <w:spacing w:line="360" w:lineRule="auto"/>
        <w:ind w:firstLine="480" w:firstLineChars="200"/>
        <w:rPr>
          <w:rFonts w:eastAsiaTheme="minorEastAsia"/>
          <w:sz w:val="24"/>
          <w:lang w:val="zh-TW" w:bidi="ar"/>
        </w:rPr>
      </w:pPr>
    </w:p>
    <w:p w14:paraId="57A8643F">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F37D1E8">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u w:val="single"/>
        </w:rPr>
        <w:t>2026</w:t>
      </w:r>
      <w:r>
        <w:rPr>
          <w:rFonts w:eastAsiaTheme="minorEastAsia"/>
          <w:sz w:val="24"/>
          <w:lang w:bidi="ar"/>
        </w:rPr>
        <w:t>年</w:t>
      </w:r>
      <w:r>
        <w:rPr>
          <w:rFonts w:hint="eastAsia" w:eastAsiaTheme="minorEastAsia"/>
          <w:sz w:val="24"/>
          <w:u w:val="single"/>
        </w:rPr>
        <w:t>5</w:t>
      </w:r>
      <w:r>
        <w:rPr>
          <w:rFonts w:eastAsiaTheme="minorEastAsia"/>
          <w:sz w:val="24"/>
          <w:lang w:bidi="ar"/>
        </w:rPr>
        <w:t>月</w:t>
      </w:r>
      <w:r>
        <w:rPr>
          <w:rFonts w:hint="eastAsia" w:eastAsiaTheme="minorEastAsia"/>
          <w:sz w:val="24"/>
          <w:u w:val="single"/>
          <w:lang w:val="en-US" w:eastAsia="zh-CN"/>
        </w:rPr>
        <w:t>29</w:t>
      </w:r>
      <w:r>
        <w:rPr>
          <w:rFonts w:eastAsiaTheme="minorEastAsia"/>
          <w:sz w:val="24"/>
          <w:lang w:bidi="ar"/>
        </w:rPr>
        <w:t>日</w:t>
      </w:r>
      <w:r>
        <w:rPr>
          <w:rFonts w:hint="eastAsia" w:eastAsiaTheme="minorEastAsia"/>
          <w:sz w:val="24"/>
          <w:u w:val="single"/>
        </w:rPr>
        <w:t>13</w:t>
      </w:r>
      <w:r>
        <w:rPr>
          <w:rFonts w:eastAsiaTheme="minorEastAsia"/>
          <w:sz w:val="24"/>
          <w:lang w:bidi="ar"/>
        </w:rPr>
        <w:t>点</w:t>
      </w:r>
      <w:r>
        <w:rPr>
          <w:rFonts w:hint="eastAsia"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D37826D">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lang w:eastAsia="zh-CN" w:bidi="ar"/>
        </w:rPr>
        <w:t>：</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rFonts w:eastAsiaTheme="minorEastAsia"/>
          <w:sz w:val="24"/>
          <w:lang w:val="zh-TW" w:bidi="ar"/>
        </w:rPr>
        <w:t>。</w:t>
      </w:r>
    </w:p>
    <w:p w14:paraId="777BE94F">
      <w:pPr>
        <w:spacing w:line="360" w:lineRule="auto"/>
        <w:ind w:firstLine="480" w:firstLineChars="200"/>
        <w:rPr>
          <w:rFonts w:eastAsiaTheme="minorEastAsia"/>
          <w:bCs/>
          <w:sz w:val="24"/>
          <w:u w:val="single"/>
        </w:rPr>
      </w:pPr>
    </w:p>
    <w:p w14:paraId="606DD2A5">
      <w:pPr>
        <w:pStyle w:val="3"/>
        <w:spacing w:before="0" w:line="360" w:lineRule="auto"/>
        <w:jc w:val="left"/>
        <w:rPr>
          <w:rFonts w:ascii="Times New Roman" w:hAnsi="Times New Roman" w:eastAsiaTheme="minorEastAsia"/>
          <w:sz w:val="24"/>
          <w:szCs w:val="24"/>
        </w:rPr>
      </w:pPr>
      <w:bookmarkStart w:id="19" w:name="_Toc35393625"/>
      <w:bookmarkStart w:id="20" w:name="_Toc28359007"/>
      <w:bookmarkStart w:id="21" w:name="_Toc28359084"/>
      <w:bookmarkStart w:id="22" w:name="_Toc35393794"/>
      <w:r>
        <w:rPr>
          <w:rFonts w:ascii="Times New Roman" w:hAnsi="Times New Roman" w:eastAsiaTheme="minorEastAsia"/>
          <w:sz w:val="24"/>
          <w:szCs w:val="24"/>
        </w:rPr>
        <w:t>六、公告期限</w:t>
      </w:r>
      <w:bookmarkEnd w:id="19"/>
      <w:bookmarkEnd w:id="20"/>
      <w:bookmarkEnd w:id="21"/>
      <w:bookmarkEnd w:id="22"/>
    </w:p>
    <w:p w14:paraId="1DDE8950">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6D06817E">
      <w:pPr>
        <w:spacing w:line="360" w:lineRule="auto"/>
        <w:ind w:firstLine="480" w:firstLineChars="200"/>
        <w:rPr>
          <w:rFonts w:eastAsiaTheme="minorEastAsia"/>
          <w:kern w:val="0"/>
          <w:sz w:val="24"/>
        </w:rPr>
      </w:pPr>
    </w:p>
    <w:p w14:paraId="6B7C8343">
      <w:pPr>
        <w:pStyle w:val="3"/>
        <w:spacing w:before="0" w:line="360" w:lineRule="auto"/>
        <w:jc w:val="left"/>
        <w:rPr>
          <w:rFonts w:ascii="Times New Roman" w:hAnsi="Times New Roman" w:eastAsiaTheme="minorEastAsia"/>
          <w:sz w:val="24"/>
          <w:szCs w:val="24"/>
        </w:rPr>
      </w:pPr>
      <w:bookmarkStart w:id="23" w:name="_Toc35393626"/>
      <w:bookmarkStart w:id="24" w:name="_Toc35393795"/>
      <w:r>
        <w:rPr>
          <w:rFonts w:ascii="Times New Roman" w:hAnsi="Times New Roman" w:eastAsiaTheme="minorEastAsia"/>
          <w:sz w:val="24"/>
          <w:szCs w:val="24"/>
        </w:rPr>
        <w:t>七、其他补充事宜</w:t>
      </w:r>
      <w:bookmarkEnd w:id="23"/>
      <w:bookmarkEnd w:id="24"/>
    </w:p>
    <w:p w14:paraId="0007B359">
      <w:pPr>
        <w:spacing w:line="360" w:lineRule="auto"/>
        <w:ind w:firstLine="480" w:firstLineChars="200"/>
        <w:rPr>
          <w:rFonts w:eastAsiaTheme="minorEastAsia"/>
          <w:sz w:val="24"/>
        </w:rPr>
      </w:pPr>
      <w:r>
        <w:rPr>
          <w:rFonts w:eastAsiaTheme="minorEastAsia"/>
          <w:sz w:val="24"/>
        </w:rPr>
        <w:t>1.</w:t>
      </w:r>
      <w:r>
        <w:rPr>
          <w:rFonts w:hint="eastAsia" w:eastAsiaTheme="minorEastAsia"/>
          <w:sz w:val="24"/>
        </w:rPr>
        <w:t>磋商文件请于开启当日（响应文件提交截止时间之前）递交至开启地点，逾期递交文件恕不接受。开启当日请供应商授权代表参加磋商，参与磋商的人员应携带身份证。</w:t>
      </w:r>
    </w:p>
    <w:p w14:paraId="067A2A6F">
      <w:pPr>
        <w:spacing w:line="360" w:lineRule="auto"/>
        <w:ind w:firstLine="480" w:firstLineChars="200"/>
        <w:rPr>
          <w:rFonts w:eastAsiaTheme="minorEastAsia"/>
          <w:sz w:val="24"/>
        </w:rPr>
      </w:pPr>
      <w:r>
        <w:rPr>
          <w:rFonts w:hint="eastAsia" w:eastAsiaTheme="minorEastAsia"/>
          <w:sz w:val="24"/>
        </w:rPr>
        <w:t>2.</w:t>
      </w:r>
      <w:r>
        <w:rPr>
          <w:rFonts w:eastAsiaTheme="minorEastAsia"/>
          <w:sz w:val="24"/>
        </w:rPr>
        <w:t>本项目需要落实的政府采购政策：</w:t>
      </w:r>
      <w:r>
        <w:rPr>
          <w:rFonts w:hint="eastAsia" w:eastAsiaTheme="minorEastAsia"/>
          <w:sz w:val="24"/>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rFonts w:eastAsiaTheme="minorEastAsia"/>
          <w:sz w:val="24"/>
          <w:lang w:bidi="ar"/>
        </w:rPr>
        <w:t>。</w:t>
      </w:r>
    </w:p>
    <w:p w14:paraId="081FD0F0">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3</w:t>
      </w:r>
      <w:r>
        <w:rPr>
          <w:rFonts w:eastAsiaTheme="minorEastAsia"/>
          <w:sz w:val="24"/>
          <w:lang w:bidi="ar"/>
        </w:rPr>
        <w:t>.</w:t>
      </w:r>
      <w:r>
        <w:rPr>
          <w:b/>
          <w:bCs/>
          <w:sz w:val="24"/>
          <w:lang w:bidi="ar"/>
        </w:rPr>
        <w:t>本项目</w:t>
      </w:r>
      <w:r>
        <w:rPr>
          <w:rFonts w:hint="eastAsia"/>
          <w:b/>
          <w:bCs/>
          <w:sz w:val="24"/>
          <w:lang w:bidi="ar"/>
        </w:rPr>
        <w:t>采用线上获取磋商文件，线下递交纸质响应文件的方式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0CF905E6">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8137E94">
      <w:pPr>
        <w:adjustRightInd w:val="0"/>
        <w:snapToGrid w:val="0"/>
        <w:spacing w:line="360" w:lineRule="auto"/>
        <w:ind w:firstLine="480" w:firstLineChars="200"/>
        <w:rPr>
          <w:sz w:val="24"/>
        </w:rPr>
      </w:pPr>
      <w:r>
        <w:rPr>
          <w:sz w:val="24"/>
          <w:lang w:bidi="ar"/>
        </w:rPr>
        <w:t>电子营业执照服务热线 400-699-7000</w:t>
      </w:r>
    </w:p>
    <w:p w14:paraId="6FDBF66E">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7CD65BBB">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2FD094DC">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5EA59A50">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3D7E04D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A81BB4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5C85740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2C633ED6">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24CC9CC8">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52A5B7B3">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3320455E">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7A2EC860">
      <w:pPr>
        <w:adjustRightInd w:val="0"/>
        <w:snapToGrid w:val="0"/>
        <w:spacing w:line="360" w:lineRule="auto"/>
        <w:ind w:firstLine="480" w:firstLineChars="200"/>
        <w:rPr>
          <w:b/>
          <w:sz w:val="24"/>
          <w:lang w:bidi="ar"/>
        </w:rPr>
      </w:pPr>
      <w:r>
        <w:rPr>
          <w:sz w:val="24"/>
          <w:lang w:bidi="ar"/>
        </w:rPr>
        <w:t>未在规定期限内通过北京市政府采购电子交易平台获取</w:t>
      </w:r>
      <w:r>
        <w:rPr>
          <w:rFonts w:hint="eastAsia"/>
          <w:sz w:val="24"/>
          <w:lang w:bidi="ar"/>
        </w:rPr>
        <w:t>磋商文件</w:t>
      </w:r>
      <w:r>
        <w:rPr>
          <w:sz w:val="24"/>
          <w:lang w:bidi="ar"/>
        </w:rPr>
        <w:t>的</w:t>
      </w:r>
      <w:r>
        <w:rPr>
          <w:rFonts w:hint="eastAsia"/>
          <w:b/>
          <w:sz w:val="24"/>
          <w:lang w:bidi="ar"/>
        </w:rPr>
        <w:t>响应</w:t>
      </w:r>
      <w:r>
        <w:rPr>
          <w:b/>
          <w:sz w:val="24"/>
          <w:lang w:bidi="ar"/>
        </w:rPr>
        <w:t>无效</w:t>
      </w:r>
    </w:p>
    <w:p w14:paraId="127FCD41">
      <w:pPr>
        <w:spacing w:line="360" w:lineRule="auto"/>
        <w:ind w:firstLine="480" w:firstLineChars="200"/>
        <w:rPr>
          <w:rFonts w:eastAsiaTheme="minorEastAsia"/>
          <w:sz w:val="24"/>
        </w:rPr>
      </w:pPr>
    </w:p>
    <w:p w14:paraId="22F74846">
      <w:pPr>
        <w:pStyle w:val="3"/>
        <w:spacing w:before="0" w:line="360" w:lineRule="auto"/>
        <w:jc w:val="left"/>
        <w:rPr>
          <w:rFonts w:ascii="Times New Roman" w:hAnsi="Times New Roman" w:eastAsiaTheme="minorEastAsia"/>
          <w:sz w:val="24"/>
          <w:szCs w:val="24"/>
        </w:rPr>
      </w:pPr>
      <w:bookmarkStart w:id="25" w:name="_Toc35393627"/>
      <w:bookmarkStart w:id="26" w:name="_Toc28359085"/>
      <w:bookmarkStart w:id="27" w:name="_Toc35393796"/>
      <w:bookmarkStart w:id="28" w:name="_Toc28359008"/>
      <w:r>
        <w:rPr>
          <w:rFonts w:ascii="Times New Roman" w:hAnsi="Times New Roman" w:eastAsiaTheme="minorEastAsia"/>
          <w:sz w:val="24"/>
          <w:szCs w:val="24"/>
        </w:rPr>
        <w:t>八、对本次采购提出询问，请按以下方式联系。</w:t>
      </w:r>
      <w:bookmarkEnd w:id="25"/>
      <w:bookmarkEnd w:id="26"/>
      <w:bookmarkEnd w:id="27"/>
      <w:bookmarkEnd w:id="28"/>
    </w:p>
    <w:p w14:paraId="4C987F77">
      <w:pPr>
        <w:spacing w:line="360" w:lineRule="auto"/>
        <w:ind w:left="1078" w:leftChars="371" w:hanging="299" w:hangingChars="124"/>
        <w:jc w:val="left"/>
        <w:rPr>
          <w:rFonts w:eastAsiaTheme="minorEastAsia"/>
          <w:b/>
          <w:sz w:val="24"/>
        </w:rPr>
      </w:pPr>
      <w:r>
        <w:rPr>
          <w:rFonts w:eastAsiaTheme="minorEastAsia"/>
          <w:b/>
          <w:sz w:val="24"/>
        </w:rPr>
        <w:t>1.采购人信息</w:t>
      </w:r>
    </w:p>
    <w:p w14:paraId="23D120B8">
      <w:pPr>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u w:val="single"/>
        </w:rPr>
        <w:t>中国音乐学院</w:t>
      </w:r>
    </w:p>
    <w:p w14:paraId="77A830F7">
      <w:pPr>
        <w:spacing w:line="360" w:lineRule="auto"/>
        <w:ind w:left="1079" w:leftChars="371" w:hanging="300" w:hangingChars="125"/>
        <w:jc w:val="left"/>
        <w:rPr>
          <w:rFonts w:eastAsiaTheme="minorEastAsia"/>
          <w:sz w:val="24"/>
          <w:u w:val="single"/>
        </w:rPr>
      </w:pPr>
      <w:r>
        <w:rPr>
          <w:rFonts w:eastAsiaTheme="minorEastAsia"/>
          <w:sz w:val="24"/>
        </w:rPr>
        <w:t>地    址：</w:t>
      </w:r>
      <w:r>
        <w:rPr>
          <w:rFonts w:hint="eastAsia" w:eastAsiaTheme="minorEastAsia"/>
          <w:sz w:val="24"/>
          <w:u w:val="single"/>
        </w:rPr>
        <w:t>北京市朝阳区安翔路1号</w:t>
      </w:r>
    </w:p>
    <w:p w14:paraId="17B0E416">
      <w:pPr>
        <w:spacing w:line="360" w:lineRule="auto"/>
        <w:ind w:left="1079" w:leftChars="371" w:hanging="300" w:hangingChars="125"/>
        <w:jc w:val="left"/>
        <w:rPr>
          <w:rFonts w:eastAsiaTheme="minorEastAsia"/>
          <w:sz w:val="24"/>
          <w:u w:val="single"/>
        </w:rPr>
      </w:pPr>
      <w:r>
        <w:rPr>
          <w:rFonts w:eastAsiaTheme="minorEastAsia"/>
          <w:sz w:val="24"/>
        </w:rPr>
        <w:t>联系方式：</w:t>
      </w:r>
      <w:r>
        <w:rPr>
          <w:rFonts w:hint="eastAsia"/>
          <w:sz w:val="24"/>
          <w:u w:val="single"/>
        </w:rPr>
        <w:t>胡老师，010-64887161</w:t>
      </w:r>
    </w:p>
    <w:p w14:paraId="4999CAFB">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6F83DF96">
      <w:pPr>
        <w:spacing w:line="360" w:lineRule="auto"/>
        <w:ind w:left="1076" w:leftChars="371" w:hanging="297" w:hangingChars="124"/>
        <w:jc w:val="left"/>
        <w:rPr>
          <w:rFonts w:eastAsiaTheme="minorEastAsia"/>
          <w:sz w:val="24"/>
        </w:rPr>
      </w:pPr>
      <w:bookmarkStart w:id="31" w:name="_Toc28359010"/>
      <w:bookmarkStart w:id="32" w:name="_Toc28359087"/>
      <w:r>
        <w:rPr>
          <w:rFonts w:eastAsiaTheme="minorEastAsia"/>
          <w:sz w:val="24"/>
        </w:rPr>
        <w:t>名    称：</w:t>
      </w:r>
      <w:r>
        <w:rPr>
          <w:rFonts w:hint="eastAsia" w:eastAsiaTheme="minorEastAsia"/>
          <w:sz w:val="24"/>
          <w:u w:val="single"/>
        </w:rPr>
        <w:t>北京宏信天诚国际招标有限公司</w:t>
      </w:r>
    </w:p>
    <w:p w14:paraId="06350447">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北京市海淀区复兴路乙12号中国铝业大厦11层1110室</w:t>
      </w:r>
    </w:p>
    <w:p w14:paraId="4BB66D00">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闫文娟、黄艳、郝路、吉国侠、修海龙、吴众为、赵洁、陈博维、刘海英、姬小雪、成歌、孙银英、王思晨、刘京、杨晓楠、王东衍、孙佳、陈曦、王亚东、彭怡，010-63974645（项目报名）、010-63969957（项目咨询）</w:t>
      </w:r>
    </w:p>
    <w:p w14:paraId="336666B3">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46811BF2">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eastAsiaTheme="minorEastAsia"/>
          <w:sz w:val="24"/>
          <w:u w:val="single"/>
        </w:rPr>
        <w:t>闫文娟、黄艳、郝路、吉国侠、修海龙、吴众为、赵洁、陈博维、刘海英、姬小雪、成歌、孙银英、王思晨、刘京、杨晓楠、王东衍、孙佳、陈曦、王亚东、彭怡</w:t>
      </w:r>
    </w:p>
    <w:p w14:paraId="412FB76F">
      <w:pPr>
        <w:pStyle w:val="2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eastAsiaTheme="minorEastAsia"/>
          <w:sz w:val="24"/>
          <w:u w:val="single"/>
        </w:rPr>
        <w:t>010-63974645（项目报名）、010-63969957（项目咨询）</w:t>
      </w:r>
    </w:p>
    <w:p w14:paraId="24875DEA">
      <w:pPr>
        <w:spacing w:line="360" w:lineRule="auto"/>
        <w:ind w:firstLine="5880" w:firstLineChars="2450"/>
        <w:jc w:val="right"/>
        <w:rPr>
          <w:rFonts w:eastAsiaTheme="minorEastAsia"/>
          <w:sz w:val="24"/>
        </w:rPr>
      </w:pPr>
    </w:p>
    <w:p w14:paraId="456C50BC">
      <w:pPr>
        <w:spacing w:line="360" w:lineRule="auto"/>
        <w:jc w:val="center"/>
        <w:outlineLvl w:val="0"/>
        <w:rPr>
          <w:rFonts w:eastAsiaTheme="minorEastAsia"/>
          <w:b/>
          <w:sz w:val="32"/>
          <w:szCs w:val="32"/>
        </w:rPr>
      </w:pPr>
      <w:r>
        <w:rPr>
          <w:rFonts w:eastAsiaTheme="minorEastAsia"/>
          <w:sz w:val="24"/>
        </w:rPr>
        <w:br w:type="page"/>
      </w:r>
      <w:bookmarkStart w:id="33" w:name="_Toc353825548"/>
      <w:bookmarkStart w:id="34" w:name="_Toc150774783"/>
      <w:bookmarkStart w:id="35" w:name="_Toc265228423"/>
      <w:bookmarkStart w:id="36" w:name="_Toc97371942"/>
      <w:bookmarkStart w:id="37" w:name="_Toc305158928"/>
      <w:bookmarkStart w:id="38" w:name="_Toc195842950"/>
      <w:bookmarkStart w:id="39" w:name="_Toc353873938"/>
      <w:bookmarkStart w:id="40" w:name="_Toc127161488"/>
      <w:bookmarkStart w:id="41" w:name="_Toc305158854"/>
      <w:bookmarkStart w:id="42" w:name="_Toc226965856"/>
      <w:bookmarkStart w:id="43" w:name="_Toc264969275"/>
      <w:bookmarkStart w:id="44" w:name="_Toc512937850"/>
      <w:bookmarkStart w:id="45" w:name="_Toc127151777"/>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EB3FBF3">
      <w:pPr>
        <w:pStyle w:val="3"/>
        <w:tabs>
          <w:tab w:val="center" w:pos="4592"/>
          <w:tab w:val="left" w:pos="7860"/>
        </w:tabs>
        <w:spacing w:before="0" w:line="360" w:lineRule="auto"/>
        <w:rPr>
          <w:rFonts w:ascii="Times New Roman" w:hAnsi="Times New Roman" w:eastAsiaTheme="minorEastAsia"/>
          <w:b w:val="0"/>
          <w:sz w:val="28"/>
        </w:rPr>
      </w:pPr>
      <w:bookmarkStart w:id="46" w:name="_Toc151193833"/>
      <w:bookmarkStart w:id="47" w:name="_Toc226965709"/>
      <w:bookmarkStart w:id="48" w:name="_Toc520356144"/>
      <w:bookmarkStart w:id="49" w:name="_Toc226337215"/>
      <w:bookmarkStart w:id="50" w:name="_Toc150774724"/>
      <w:bookmarkStart w:id="51" w:name="_Toc226965792"/>
      <w:bookmarkStart w:id="52" w:name="_Toc150480757"/>
      <w:bookmarkStart w:id="53" w:name="_Toc164608788"/>
      <w:bookmarkStart w:id="54" w:name="_Toc149720812"/>
      <w:bookmarkStart w:id="55" w:name="_Toc164351613"/>
      <w:bookmarkStart w:id="56" w:name="_Toc151193761"/>
      <w:bookmarkStart w:id="57" w:name="_Toc127151720"/>
      <w:bookmarkStart w:id="58" w:name="_Toc127151519"/>
      <w:bookmarkStart w:id="59" w:name="_Toc151193617"/>
      <w:bookmarkStart w:id="60" w:name="_Toc151190146"/>
      <w:bookmarkStart w:id="61" w:name="_Toc164229214"/>
      <w:bookmarkStart w:id="62" w:name="_Toc164229360"/>
      <w:bookmarkStart w:id="63" w:name="_Toc150509270"/>
      <w:bookmarkStart w:id="64" w:name="_Toc142311021"/>
      <w:bookmarkStart w:id="65" w:name="_Toc151193907"/>
      <w:bookmarkStart w:id="66" w:name="_Toc164608633"/>
      <w:bookmarkStart w:id="67" w:name="_Toc151193689"/>
      <w:bookmarkStart w:id="68" w:name="_Toc226309763"/>
      <w:bookmarkStart w:id="69" w:name="_Toc195842884"/>
      <w:bookmarkStart w:id="70" w:name="_Toc150774619"/>
      <w:bookmarkStart w:id="71" w:name="_Toc127161433"/>
      <w:r>
        <w:rPr>
          <w:rFonts w:ascii="Times New Roman" w:hAnsi="Times New Roman" w:eastAsiaTheme="minorEastAsia"/>
          <w:sz w:val="28"/>
        </w:rPr>
        <w:t>供应商须知资料表</w:t>
      </w:r>
    </w:p>
    <w:p w14:paraId="4AEEF98F">
      <w:pPr>
        <w:jc w:val="center"/>
        <w:rPr>
          <w:rFonts w:eastAsiaTheme="minorEastAsia"/>
          <w:b/>
          <w:sz w:val="28"/>
          <w:szCs w:val="28"/>
        </w:rPr>
      </w:pPr>
    </w:p>
    <w:p w14:paraId="4611E653">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37A1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B0066C8">
            <w:pPr>
              <w:jc w:val="center"/>
              <w:rPr>
                <w:rFonts w:eastAsiaTheme="minorEastAsia"/>
                <w:b/>
                <w:bCs/>
                <w:sz w:val="24"/>
              </w:rPr>
            </w:pPr>
            <w:r>
              <w:rPr>
                <w:rFonts w:eastAsiaTheme="minorEastAsia"/>
                <w:b/>
                <w:sz w:val="24"/>
              </w:rPr>
              <w:t>条款号</w:t>
            </w:r>
          </w:p>
        </w:tc>
        <w:tc>
          <w:tcPr>
            <w:tcW w:w="1701" w:type="dxa"/>
            <w:vAlign w:val="center"/>
          </w:tcPr>
          <w:p w14:paraId="6F07FD5F">
            <w:pPr>
              <w:jc w:val="center"/>
              <w:rPr>
                <w:rFonts w:eastAsiaTheme="minorEastAsia"/>
                <w:b/>
                <w:bCs/>
                <w:sz w:val="24"/>
              </w:rPr>
            </w:pPr>
            <w:r>
              <w:rPr>
                <w:rFonts w:eastAsiaTheme="minorEastAsia"/>
                <w:b/>
                <w:bCs/>
                <w:sz w:val="24"/>
              </w:rPr>
              <w:t>条目</w:t>
            </w:r>
          </w:p>
        </w:tc>
        <w:tc>
          <w:tcPr>
            <w:tcW w:w="7253" w:type="dxa"/>
            <w:vAlign w:val="center"/>
          </w:tcPr>
          <w:p w14:paraId="4094C2BA">
            <w:pPr>
              <w:jc w:val="center"/>
              <w:rPr>
                <w:rFonts w:eastAsiaTheme="minorEastAsia"/>
                <w:b/>
                <w:bCs/>
                <w:sz w:val="24"/>
              </w:rPr>
            </w:pPr>
            <w:r>
              <w:rPr>
                <w:rFonts w:eastAsiaTheme="minorEastAsia"/>
                <w:b/>
                <w:bCs/>
                <w:sz w:val="24"/>
              </w:rPr>
              <w:t>内容</w:t>
            </w:r>
          </w:p>
        </w:tc>
      </w:tr>
      <w:tr w14:paraId="673E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B1E3A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7AEC8806">
            <w:pPr>
              <w:jc w:val="center"/>
              <w:rPr>
                <w:rFonts w:eastAsiaTheme="minorEastAsia"/>
                <w:sz w:val="24"/>
              </w:rPr>
            </w:pPr>
            <w:r>
              <w:rPr>
                <w:rFonts w:eastAsiaTheme="minorEastAsia"/>
                <w:sz w:val="24"/>
              </w:rPr>
              <w:t>项目属性</w:t>
            </w:r>
          </w:p>
        </w:tc>
        <w:tc>
          <w:tcPr>
            <w:tcW w:w="7253" w:type="dxa"/>
            <w:vAlign w:val="center"/>
          </w:tcPr>
          <w:p w14:paraId="0BB1893C">
            <w:pPr>
              <w:jc w:val="left"/>
              <w:rPr>
                <w:rFonts w:eastAsiaTheme="minorEastAsia"/>
                <w:sz w:val="24"/>
              </w:rPr>
            </w:pPr>
            <w:r>
              <w:rPr>
                <w:rFonts w:eastAsiaTheme="minorEastAsia"/>
                <w:sz w:val="24"/>
              </w:rPr>
              <w:t>项目属性：</w:t>
            </w:r>
          </w:p>
          <w:p w14:paraId="0B5015EC">
            <w:pPr>
              <w:jc w:val="left"/>
              <w:rPr>
                <w:rFonts w:eastAsiaTheme="minorEastAsia"/>
                <w:sz w:val="24"/>
              </w:rPr>
            </w:pPr>
            <w:r>
              <w:rPr>
                <w:rFonts w:eastAsiaTheme="minorEastAsia"/>
              </w:rPr>
              <w:t>□</w:t>
            </w:r>
            <w:r>
              <w:rPr>
                <w:rFonts w:eastAsiaTheme="minorEastAsia"/>
                <w:sz w:val="24"/>
              </w:rPr>
              <w:t>服务</w:t>
            </w:r>
          </w:p>
          <w:p w14:paraId="101F994B">
            <w:pPr>
              <w:jc w:val="left"/>
              <w:rPr>
                <w:rFonts w:eastAsiaTheme="minorEastAsia"/>
                <w:sz w:val="24"/>
              </w:rPr>
            </w:pPr>
            <w:r>
              <w:rPr>
                <w:rFonts w:eastAsiaTheme="minorEastAsia"/>
              </w:rPr>
              <w:t>□</w:t>
            </w:r>
            <w:r>
              <w:rPr>
                <w:rFonts w:eastAsiaTheme="minorEastAsia"/>
                <w:sz w:val="24"/>
              </w:rPr>
              <w:t>货物</w:t>
            </w:r>
          </w:p>
          <w:p w14:paraId="470C53DB">
            <w:pPr>
              <w:jc w:val="left"/>
              <w:rPr>
                <w:rFonts w:eastAsiaTheme="minorEastAsia"/>
                <w:sz w:val="24"/>
              </w:rPr>
            </w:pPr>
            <w:r>
              <w:rPr>
                <w:b/>
                <w:sz w:val="24"/>
              </w:rPr>
              <w:t>■</w:t>
            </w:r>
            <w:r>
              <w:rPr>
                <w:sz w:val="24"/>
              </w:rPr>
              <w:t>工程</w:t>
            </w:r>
          </w:p>
        </w:tc>
      </w:tr>
      <w:tr w14:paraId="0690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37CB9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0718A2F">
            <w:pPr>
              <w:jc w:val="center"/>
              <w:rPr>
                <w:rFonts w:eastAsiaTheme="minorEastAsia"/>
                <w:sz w:val="24"/>
              </w:rPr>
            </w:pPr>
            <w:r>
              <w:rPr>
                <w:rFonts w:eastAsiaTheme="minorEastAsia"/>
                <w:sz w:val="24"/>
              </w:rPr>
              <w:t>科研仪器设备</w:t>
            </w:r>
          </w:p>
        </w:tc>
        <w:tc>
          <w:tcPr>
            <w:tcW w:w="7253" w:type="dxa"/>
            <w:vAlign w:val="center"/>
          </w:tcPr>
          <w:p w14:paraId="41ED4AC4">
            <w:pPr>
              <w:jc w:val="left"/>
              <w:rPr>
                <w:rFonts w:eastAsiaTheme="minorEastAsia"/>
                <w:sz w:val="24"/>
              </w:rPr>
            </w:pPr>
            <w:r>
              <w:rPr>
                <w:rFonts w:eastAsiaTheme="minorEastAsia"/>
                <w:sz w:val="24"/>
              </w:rPr>
              <w:t>是否属于科研仪器设备采购项目：</w:t>
            </w:r>
          </w:p>
          <w:p w14:paraId="208D1897">
            <w:pPr>
              <w:jc w:val="left"/>
              <w:rPr>
                <w:rFonts w:eastAsiaTheme="minorEastAsia"/>
                <w:sz w:val="24"/>
              </w:rPr>
            </w:pPr>
            <w:r>
              <w:rPr>
                <w:rFonts w:eastAsiaTheme="minorEastAsia"/>
              </w:rPr>
              <w:t>□</w:t>
            </w:r>
            <w:r>
              <w:rPr>
                <w:rFonts w:eastAsiaTheme="minorEastAsia"/>
                <w:sz w:val="24"/>
              </w:rPr>
              <w:t>是</w:t>
            </w:r>
          </w:p>
          <w:p w14:paraId="3A9A2680">
            <w:pPr>
              <w:jc w:val="left"/>
              <w:rPr>
                <w:rFonts w:eastAsiaTheme="minorEastAsia"/>
                <w:sz w:val="24"/>
              </w:rPr>
            </w:pPr>
            <w:r>
              <w:rPr>
                <w:b/>
                <w:sz w:val="24"/>
              </w:rPr>
              <w:t>■</w:t>
            </w:r>
            <w:r>
              <w:rPr>
                <w:rFonts w:eastAsiaTheme="minorEastAsia"/>
                <w:sz w:val="24"/>
              </w:rPr>
              <w:t>否</w:t>
            </w:r>
          </w:p>
        </w:tc>
      </w:tr>
      <w:tr w14:paraId="37EC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9E263E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735101BE">
            <w:pPr>
              <w:jc w:val="center"/>
              <w:rPr>
                <w:rFonts w:eastAsiaTheme="minorEastAsia"/>
                <w:sz w:val="24"/>
                <w:highlight w:val="none"/>
              </w:rPr>
            </w:pPr>
            <w:r>
              <w:rPr>
                <w:rFonts w:eastAsiaTheme="minorEastAsia"/>
                <w:sz w:val="24"/>
                <w:highlight w:val="none"/>
              </w:rPr>
              <w:t>现场考察</w:t>
            </w:r>
          </w:p>
        </w:tc>
        <w:tc>
          <w:tcPr>
            <w:tcW w:w="7253" w:type="dxa"/>
            <w:vAlign w:val="center"/>
          </w:tcPr>
          <w:p w14:paraId="07FED6CB">
            <w:pPr>
              <w:jc w:val="left"/>
              <w:rPr>
                <w:rFonts w:hint="eastAsia" w:eastAsiaTheme="minorEastAsia"/>
                <w:sz w:val="24"/>
                <w:highlight w:val="none"/>
                <w:lang w:eastAsia="zh-CN"/>
              </w:rPr>
            </w:pPr>
            <w:r>
              <w:rPr>
                <w:b/>
                <w:sz w:val="24"/>
                <w:highlight w:val="none"/>
              </w:rPr>
              <w:t>■</w:t>
            </w:r>
            <w:r>
              <w:rPr>
                <w:rFonts w:eastAsiaTheme="minorEastAsia"/>
                <w:sz w:val="24"/>
                <w:highlight w:val="none"/>
              </w:rPr>
              <w:t>不组织</w:t>
            </w:r>
          </w:p>
          <w:p w14:paraId="3B4FEB4F">
            <w:pPr>
              <w:jc w:val="left"/>
              <w:rPr>
                <w:rFonts w:eastAsiaTheme="minorEastAsia"/>
                <w:bCs/>
                <w:sz w:val="24"/>
                <w:highlight w:val="none"/>
              </w:rPr>
            </w:pPr>
            <w:r>
              <w:rPr>
                <w:rFonts w:eastAsiaTheme="minorEastAsia"/>
                <w:highlight w:val="none"/>
              </w:rPr>
              <w:t>□</w:t>
            </w:r>
            <w:r>
              <w:rPr>
                <w:rFonts w:eastAsiaTheme="minorEastAsia"/>
                <w:sz w:val="24"/>
                <w:highlight w:val="none"/>
              </w:rPr>
              <w:t>组织，考察时间：</w:t>
            </w:r>
            <w:r>
              <w:rPr>
                <w:rFonts w:hint="eastAsia" w:eastAsiaTheme="minorEastAsia"/>
                <w:sz w:val="24"/>
                <w:highlight w:val="none"/>
                <w:u w:val="single"/>
              </w:rPr>
              <w:t xml:space="preserve">  \  </w:t>
            </w:r>
            <w:r>
              <w:rPr>
                <w:rFonts w:eastAsiaTheme="minorEastAsia"/>
                <w:sz w:val="24"/>
                <w:highlight w:val="none"/>
                <w:lang w:bidi="ar"/>
              </w:rPr>
              <w:t>年</w:t>
            </w:r>
            <w:r>
              <w:rPr>
                <w:rFonts w:hint="eastAsia" w:eastAsiaTheme="minorEastAsia"/>
                <w:sz w:val="24"/>
                <w:highlight w:val="none"/>
                <w:u w:val="single"/>
              </w:rPr>
              <w:t xml:space="preserve">  \  </w:t>
            </w:r>
            <w:r>
              <w:rPr>
                <w:rFonts w:eastAsiaTheme="minorEastAsia"/>
                <w:sz w:val="24"/>
                <w:highlight w:val="none"/>
                <w:lang w:bidi="ar"/>
              </w:rPr>
              <w:t>月</w:t>
            </w:r>
            <w:r>
              <w:rPr>
                <w:rFonts w:hint="eastAsia" w:eastAsiaTheme="minorEastAsia"/>
                <w:sz w:val="24"/>
                <w:highlight w:val="none"/>
                <w:u w:val="single"/>
              </w:rPr>
              <w:t xml:space="preserve">  \  </w:t>
            </w:r>
            <w:r>
              <w:rPr>
                <w:rFonts w:eastAsiaTheme="minorEastAsia"/>
                <w:sz w:val="24"/>
                <w:highlight w:val="none"/>
                <w:lang w:bidi="ar"/>
              </w:rPr>
              <w:t>日</w:t>
            </w:r>
            <w:r>
              <w:rPr>
                <w:rFonts w:hint="eastAsia" w:eastAsiaTheme="minorEastAsia"/>
                <w:sz w:val="24"/>
                <w:highlight w:val="none"/>
                <w:u w:val="single"/>
              </w:rPr>
              <w:t xml:space="preserve">  \  </w:t>
            </w:r>
            <w:r>
              <w:rPr>
                <w:rFonts w:eastAsiaTheme="minorEastAsia"/>
                <w:sz w:val="24"/>
                <w:highlight w:val="none"/>
                <w:lang w:bidi="ar"/>
              </w:rPr>
              <w:t>点</w:t>
            </w:r>
            <w:r>
              <w:rPr>
                <w:rFonts w:hint="eastAsia" w:eastAsiaTheme="minorEastAsia"/>
                <w:sz w:val="24"/>
                <w:highlight w:val="none"/>
                <w:u w:val="single"/>
              </w:rPr>
              <w:t xml:space="preserve">  \  </w:t>
            </w:r>
            <w:r>
              <w:rPr>
                <w:rFonts w:eastAsiaTheme="minorEastAsia"/>
                <w:sz w:val="24"/>
                <w:highlight w:val="none"/>
                <w:lang w:bidi="ar"/>
              </w:rPr>
              <w:t>分</w:t>
            </w:r>
          </w:p>
          <w:p w14:paraId="165D323A">
            <w:pPr>
              <w:pStyle w:val="23"/>
              <w:adjustRightInd w:val="0"/>
              <w:snapToGrid w:val="0"/>
              <w:rPr>
                <w:rFonts w:hint="default" w:ascii="Times New Roman" w:hAnsi="Times New Roman" w:eastAsiaTheme="minorEastAsia"/>
                <w:sz w:val="24"/>
                <w:highlight w:val="none"/>
              </w:rPr>
            </w:pPr>
            <w:r>
              <w:rPr>
                <w:rFonts w:hint="default" w:ascii="Times New Roman" w:hAnsi="Times New Roman" w:eastAsiaTheme="minorEastAsia"/>
                <w:sz w:val="24"/>
                <w:highlight w:val="none"/>
              </w:rPr>
              <w:t>考察地点：</w:t>
            </w:r>
            <w:r>
              <w:rPr>
                <w:rFonts w:hint="default" w:ascii="Times New Roman" w:hAnsi="Times New Roman" w:eastAsiaTheme="minorEastAsia"/>
                <w:sz w:val="24"/>
                <w:highlight w:val="none"/>
                <w:u w:val="single"/>
              </w:rPr>
              <w:t>朝阳区北四环中路35号院,原信息学院院内</w:t>
            </w:r>
            <w:r>
              <w:rPr>
                <w:rFonts w:hint="default" w:ascii="Times New Roman" w:hAnsi="Times New Roman" w:eastAsiaTheme="minorEastAsia"/>
                <w:sz w:val="24"/>
                <w:highlight w:val="none"/>
              </w:rPr>
              <w:t>。</w:t>
            </w:r>
          </w:p>
        </w:tc>
      </w:tr>
      <w:tr w14:paraId="79ED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D95FDA4">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48C68E31">
            <w:pPr>
              <w:jc w:val="center"/>
              <w:rPr>
                <w:rFonts w:eastAsiaTheme="minorEastAsia"/>
                <w:sz w:val="24"/>
              </w:rPr>
            </w:pPr>
            <w:r>
              <w:rPr>
                <w:rFonts w:eastAsiaTheme="minorEastAsia"/>
                <w:sz w:val="24"/>
              </w:rPr>
              <w:t>磋商前答疑会</w:t>
            </w:r>
          </w:p>
        </w:tc>
        <w:tc>
          <w:tcPr>
            <w:tcW w:w="7253" w:type="dxa"/>
            <w:vAlign w:val="center"/>
          </w:tcPr>
          <w:p w14:paraId="63F484E6">
            <w:pPr>
              <w:jc w:val="left"/>
              <w:rPr>
                <w:rFonts w:eastAsiaTheme="minorEastAsia"/>
                <w:sz w:val="24"/>
              </w:rPr>
            </w:pPr>
            <w:r>
              <w:rPr>
                <w:b/>
                <w:sz w:val="24"/>
              </w:rPr>
              <w:t>■</w:t>
            </w:r>
            <w:r>
              <w:rPr>
                <w:rFonts w:eastAsiaTheme="minorEastAsia"/>
                <w:sz w:val="24"/>
              </w:rPr>
              <w:t>不召开</w:t>
            </w:r>
          </w:p>
          <w:p w14:paraId="554084B1">
            <w:pPr>
              <w:jc w:val="left"/>
              <w:rPr>
                <w:rFonts w:eastAsiaTheme="minorEastAsia"/>
                <w:sz w:val="24"/>
              </w:rPr>
            </w:pPr>
            <w:r>
              <w:rPr>
                <w:rFonts w:eastAsiaTheme="minorEastAsia"/>
              </w:rPr>
              <w:t>□</w:t>
            </w:r>
            <w:r>
              <w:rPr>
                <w:rFonts w:eastAsiaTheme="minorEastAsia"/>
                <w:sz w:val="24"/>
              </w:rPr>
              <w:t>召开，召开时间：</w:t>
            </w:r>
            <w:r>
              <w:rPr>
                <w:rFonts w:hint="eastAsia" w:eastAsiaTheme="minorEastAsia"/>
                <w:sz w:val="24"/>
                <w:u w:val="single"/>
              </w:rPr>
              <w:t xml:space="preserve">  \  </w:t>
            </w:r>
            <w:r>
              <w:rPr>
                <w:rFonts w:eastAsiaTheme="minorEastAsia"/>
                <w:sz w:val="24"/>
                <w:lang w:bidi="ar"/>
              </w:rPr>
              <w:t>年</w:t>
            </w:r>
            <w:r>
              <w:rPr>
                <w:rFonts w:hint="eastAsia" w:eastAsiaTheme="minorEastAsia"/>
                <w:sz w:val="24"/>
                <w:u w:val="single"/>
              </w:rPr>
              <w:t xml:space="preserve">  \  </w:t>
            </w:r>
            <w:r>
              <w:rPr>
                <w:rFonts w:eastAsiaTheme="minorEastAsia"/>
                <w:sz w:val="24"/>
                <w:lang w:bidi="ar"/>
              </w:rPr>
              <w:t>月</w:t>
            </w:r>
            <w:r>
              <w:rPr>
                <w:rFonts w:hint="eastAsia" w:eastAsiaTheme="minorEastAsia"/>
                <w:sz w:val="24"/>
                <w:u w:val="single"/>
              </w:rPr>
              <w:t xml:space="preserve">  \  </w:t>
            </w:r>
            <w:r>
              <w:rPr>
                <w:rFonts w:eastAsiaTheme="minorEastAsia"/>
                <w:sz w:val="24"/>
                <w:lang w:bidi="ar"/>
              </w:rPr>
              <w:t>日</w:t>
            </w:r>
            <w:r>
              <w:rPr>
                <w:rFonts w:hint="eastAsia" w:eastAsiaTheme="minorEastAsia"/>
                <w:sz w:val="24"/>
                <w:u w:val="single"/>
              </w:rPr>
              <w:t xml:space="preserve">  \  </w:t>
            </w:r>
            <w:r>
              <w:rPr>
                <w:rFonts w:eastAsiaTheme="minorEastAsia"/>
                <w:sz w:val="24"/>
                <w:lang w:bidi="ar"/>
              </w:rPr>
              <w:t>点</w:t>
            </w:r>
            <w:r>
              <w:rPr>
                <w:rFonts w:hint="eastAsia" w:eastAsiaTheme="minorEastAsia"/>
                <w:sz w:val="24"/>
                <w:u w:val="single"/>
              </w:rPr>
              <w:t xml:space="preserve">  \  </w:t>
            </w:r>
            <w:r>
              <w:rPr>
                <w:rFonts w:eastAsiaTheme="minorEastAsia"/>
                <w:sz w:val="24"/>
                <w:lang w:bidi="ar"/>
              </w:rPr>
              <w:t>分</w:t>
            </w:r>
          </w:p>
          <w:p w14:paraId="4AC243C0">
            <w:pPr>
              <w:jc w:val="left"/>
              <w:rPr>
                <w:rFonts w:eastAsiaTheme="minorEastAsia"/>
                <w:sz w:val="24"/>
              </w:rPr>
            </w:pPr>
            <w:r>
              <w:rPr>
                <w:rFonts w:eastAsiaTheme="minorEastAsia"/>
                <w:sz w:val="24"/>
              </w:rPr>
              <w:t>召开地点：</w:t>
            </w:r>
            <w:r>
              <w:rPr>
                <w:rFonts w:hint="eastAsia" w:eastAsiaTheme="minorEastAsia"/>
                <w:sz w:val="24"/>
                <w:u w:val="single"/>
              </w:rPr>
              <w:t xml:space="preserve">  \  </w:t>
            </w:r>
            <w:r>
              <w:rPr>
                <w:rFonts w:eastAsiaTheme="minorEastAsia"/>
                <w:sz w:val="24"/>
              </w:rPr>
              <w:t>。</w:t>
            </w:r>
          </w:p>
        </w:tc>
      </w:tr>
      <w:tr w14:paraId="354D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1D0D51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04458C11">
            <w:pPr>
              <w:jc w:val="center"/>
              <w:rPr>
                <w:rFonts w:eastAsiaTheme="minorEastAsia"/>
                <w:sz w:val="24"/>
              </w:rPr>
            </w:pPr>
            <w:r>
              <w:rPr>
                <w:rFonts w:eastAsiaTheme="minorEastAsia"/>
                <w:sz w:val="24"/>
              </w:rPr>
              <w:t>标的所属行业</w:t>
            </w:r>
          </w:p>
        </w:tc>
        <w:tc>
          <w:tcPr>
            <w:tcW w:w="7253" w:type="dxa"/>
            <w:vAlign w:val="center"/>
          </w:tcPr>
          <w:p w14:paraId="2C3FEF3D">
            <w:pPr>
              <w:jc w:val="left"/>
              <w:rPr>
                <w:rFonts w:eastAsiaTheme="minorEastAsia"/>
                <w:sz w:val="24"/>
              </w:rPr>
            </w:pPr>
            <w:r>
              <w:rPr>
                <w:rFonts w:eastAsiaTheme="minorEastAsia"/>
                <w:sz w:val="24"/>
              </w:rPr>
              <w:t>本项目采购标的对应的中小企业划分标准所属行业：</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024"/>
              <w:gridCol w:w="3215"/>
            </w:tblGrid>
            <w:tr w14:paraId="232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598A115">
                  <w:pPr>
                    <w:jc w:val="center"/>
                    <w:rPr>
                      <w:rFonts w:eastAsiaTheme="minorEastAsia"/>
                      <w:bCs/>
                      <w:sz w:val="24"/>
                    </w:rPr>
                  </w:pPr>
                  <w:r>
                    <w:rPr>
                      <w:rFonts w:eastAsiaTheme="minorEastAsia"/>
                      <w:bCs/>
                      <w:sz w:val="24"/>
                    </w:rPr>
                    <w:t>包号</w:t>
                  </w:r>
                </w:p>
              </w:tc>
              <w:tc>
                <w:tcPr>
                  <w:tcW w:w="2152" w:type="pct"/>
                  <w:tcBorders>
                    <w:top w:val="single" w:color="auto" w:sz="4" w:space="0"/>
                    <w:left w:val="single" w:color="auto" w:sz="4" w:space="0"/>
                    <w:bottom w:val="single" w:color="auto" w:sz="4" w:space="0"/>
                    <w:right w:val="single" w:color="auto" w:sz="4" w:space="0"/>
                  </w:tcBorders>
                  <w:vAlign w:val="center"/>
                </w:tcPr>
                <w:p w14:paraId="377FF9EA">
                  <w:pPr>
                    <w:jc w:val="center"/>
                    <w:rPr>
                      <w:rFonts w:eastAsiaTheme="minorEastAsia"/>
                      <w:bCs/>
                      <w:sz w:val="24"/>
                    </w:rPr>
                  </w:pPr>
                  <w:r>
                    <w:rPr>
                      <w:rFonts w:eastAsiaTheme="minorEastAsia"/>
                      <w:bCs/>
                      <w:sz w:val="24"/>
                    </w:rPr>
                    <w:t>标的名称</w:t>
                  </w:r>
                </w:p>
              </w:tc>
              <w:tc>
                <w:tcPr>
                  <w:tcW w:w="2287" w:type="pct"/>
                  <w:tcBorders>
                    <w:top w:val="single" w:color="auto" w:sz="4" w:space="0"/>
                    <w:left w:val="single" w:color="auto" w:sz="4" w:space="0"/>
                    <w:bottom w:val="single" w:color="auto" w:sz="4" w:space="0"/>
                    <w:right w:val="single" w:color="auto" w:sz="4" w:space="0"/>
                  </w:tcBorders>
                  <w:vAlign w:val="center"/>
                </w:tcPr>
                <w:p w14:paraId="24668C32">
                  <w:pPr>
                    <w:jc w:val="center"/>
                    <w:rPr>
                      <w:rFonts w:eastAsiaTheme="minorEastAsia"/>
                      <w:sz w:val="24"/>
                    </w:rPr>
                  </w:pPr>
                  <w:r>
                    <w:rPr>
                      <w:rFonts w:eastAsiaTheme="minorEastAsia"/>
                      <w:sz w:val="24"/>
                    </w:rPr>
                    <w:t>中小企业划分标准所属行业</w:t>
                  </w:r>
                </w:p>
              </w:tc>
            </w:tr>
            <w:tr w14:paraId="6342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A62B597">
                  <w:pPr>
                    <w:jc w:val="center"/>
                    <w:rPr>
                      <w:rFonts w:eastAsiaTheme="minorEastAsia"/>
                      <w:bCs/>
                      <w:sz w:val="24"/>
                    </w:rPr>
                  </w:pPr>
                  <w:r>
                    <w:rPr>
                      <w:rFonts w:hint="eastAsia" w:eastAsiaTheme="minorEastAsia"/>
                      <w:bCs/>
                      <w:sz w:val="24"/>
                    </w:rPr>
                    <w:t>01</w:t>
                  </w:r>
                </w:p>
              </w:tc>
              <w:tc>
                <w:tcPr>
                  <w:tcW w:w="2152" w:type="pct"/>
                  <w:tcBorders>
                    <w:top w:val="single" w:color="auto" w:sz="4" w:space="0"/>
                    <w:left w:val="single" w:color="auto" w:sz="4" w:space="0"/>
                    <w:bottom w:val="single" w:color="auto" w:sz="4" w:space="0"/>
                    <w:right w:val="single" w:color="auto" w:sz="4" w:space="0"/>
                  </w:tcBorders>
                  <w:vAlign w:val="center"/>
                </w:tcPr>
                <w:p w14:paraId="7404BF05">
                  <w:pPr>
                    <w:jc w:val="center"/>
                    <w:rPr>
                      <w:rFonts w:eastAsiaTheme="minorEastAsia"/>
                      <w:bCs/>
                      <w:sz w:val="24"/>
                    </w:rPr>
                  </w:pPr>
                  <w:r>
                    <w:rPr>
                      <w:rFonts w:hint="eastAsia" w:eastAsiaTheme="minorEastAsia"/>
                      <w:bCs/>
                      <w:sz w:val="24"/>
                    </w:rPr>
                    <w:t>改善办学保障条件-基础设施改造-新校区电力线路及配电室改造项目</w:t>
                  </w:r>
                </w:p>
              </w:tc>
              <w:tc>
                <w:tcPr>
                  <w:tcW w:w="2287" w:type="pct"/>
                  <w:tcBorders>
                    <w:top w:val="single" w:color="auto" w:sz="4" w:space="0"/>
                    <w:left w:val="single" w:color="auto" w:sz="4" w:space="0"/>
                    <w:bottom w:val="single" w:color="auto" w:sz="4" w:space="0"/>
                    <w:right w:val="single" w:color="auto" w:sz="4" w:space="0"/>
                  </w:tcBorders>
                  <w:vAlign w:val="center"/>
                </w:tcPr>
                <w:p w14:paraId="0A57B0EE">
                  <w:pPr>
                    <w:jc w:val="center"/>
                    <w:rPr>
                      <w:rFonts w:eastAsiaTheme="minorEastAsia"/>
                      <w:kern w:val="0"/>
                      <w:sz w:val="24"/>
                    </w:rPr>
                  </w:pPr>
                  <w:r>
                    <w:rPr>
                      <w:rFonts w:hint="eastAsia"/>
                      <w:b/>
                      <w:bCs/>
                      <w:kern w:val="0"/>
                      <w:sz w:val="24"/>
                      <w:u w:val="single"/>
                    </w:rPr>
                    <w:t>建筑业</w:t>
                  </w:r>
                </w:p>
              </w:tc>
            </w:tr>
          </w:tbl>
          <w:p w14:paraId="6095E872">
            <w:pPr>
              <w:jc w:val="left"/>
              <w:rPr>
                <w:rFonts w:eastAsiaTheme="minorEastAsia"/>
                <w:sz w:val="24"/>
              </w:rPr>
            </w:pPr>
          </w:p>
        </w:tc>
      </w:tr>
      <w:tr w14:paraId="3436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8E0116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69A600DC">
            <w:pPr>
              <w:jc w:val="center"/>
              <w:rPr>
                <w:rFonts w:eastAsiaTheme="minorEastAsia"/>
                <w:sz w:val="24"/>
              </w:rPr>
            </w:pPr>
            <w:r>
              <w:rPr>
                <w:rFonts w:eastAsiaTheme="minorEastAsia"/>
                <w:sz w:val="24"/>
              </w:rPr>
              <w:t>报价</w:t>
            </w:r>
          </w:p>
        </w:tc>
        <w:tc>
          <w:tcPr>
            <w:tcW w:w="7253" w:type="dxa"/>
            <w:vAlign w:val="center"/>
          </w:tcPr>
          <w:p w14:paraId="6B524EFB">
            <w:pPr>
              <w:jc w:val="left"/>
              <w:rPr>
                <w:rFonts w:eastAsiaTheme="minorEastAsia"/>
                <w:sz w:val="24"/>
              </w:rPr>
            </w:pPr>
            <w:r>
              <w:rPr>
                <w:rFonts w:eastAsiaTheme="minorEastAsia"/>
                <w:sz w:val="24"/>
              </w:rPr>
              <w:t>报价的特殊规定：</w:t>
            </w:r>
          </w:p>
          <w:p w14:paraId="746B5713">
            <w:pPr>
              <w:jc w:val="left"/>
              <w:rPr>
                <w:rFonts w:eastAsiaTheme="minorEastAsia"/>
                <w:sz w:val="24"/>
              </w:rPr>
            </w:pPr>
            <w:r>
              <w:rPr>
                <w:b/>
                <w:sz w:val="24"/>
              </w:rPr>
              <w:t>■</w:t>
            </w:r>
            <w:r>
              <w:rPr>
                <w:rFonts w:eastAsiaTheme="minorEastAsia"/>
                <w:sz w:val="24"/>
              </w:rPr>
              <w:t>无</w:t>
            </w:r>
          </w:p>
          <w:p w14:paraId="4F88BD90">
            <w:pPr>
              <w:jc w:val="left"/>
              <w:rPr>
                <w:rFonts w:eastAsiaTheme="minorEastAsia"/>
                <w:sz w:val="24"/>
              </w:rPr>
            </w:pPr>
            <w:r>
              <w:rPr>
                <w:rFonts w:eastAsiaTheme="minorEastAsia"/>
              </w:rPr>
              <w:t>□</w:t>
            </w:r>
            <w:r>
              <w:rPr>
                <w:rFonts w:eastAsiaTheme="minorEastAsia"/>
                <w:sz w:val="24"/>
              </w:rPr>
              <w:t>有，具体情形：</w:t>
            </w:r>
            <w:r>
              <w:rPr>
                <w:rFonts w:hint="eastAsia" w:eastAsiaTheme="minorEastAsia"/>
                <w:sz w:val="24"/>
                <w:u w:val="single"/>
              </w:rPr>
              <w:t xml:space="preserve">  \  </w:t>
            </w:r>
            <w:r>
              <w:rPr>
                <w:rFonts w:eastAsiaTheme="minorEastAsia"/>
                <w:sz w:val="24"/>
              </w:rPr>
              <w:t>。</w:t>
            </w:r>
          </w:p>
        </w:tc>
      </w:tr>
      <w:tr w14:paraId="2F8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2022C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307AE683">
            <w:pPr>
              <w:jc w:val="center"/>
              <w:rPr>
                <w:rFonts w:eastAsiaTheme="minorEastAsia"/>
                <w:sz w:val="24"/>
              </w:rPr>
            </w:pPr>
            <w:r>
              <w:rPr>
                <w:rFonts w:eastAsiaTheme="minorEastAsia"/>
                <w:sz w:val="24"/>
              </w:rPr>
              <w:t>磋商保证金</w:t>
            </w:r>
          </w:p>
        </w:tc>
        <w:tc>
          <w:tcPr>
            <w:tcW w:w="7253" w:type="dxa"/>
            <w:vAlign w:val="center"/>
          </w:tcPr>
          <w:p w14:paraId="0A81A7AB">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3DC83D90">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ascii="Times New Roman" w:hAnsi="Times New Roman" w:eastAsiaTheme="minorEastAsia"/>
                <w:sz w:val="24"/>
                <w:szCs w:val="24"/>
                <w:u w:val="single"/>
              </w:rPr>
              <w:t>100,000</w:t>
            </w:r>
            <w:r>
              <w:rPr>
                <w:rFonts w:hint="default" w:ascii="Times New Roman" w:hAnsi="Times New Roman" w:eastAsiaTheme="minorEastAsia"/>
                <w:sz w:val="24"/>
                <w:szCs w:val="24"/>
              </w:rPr>
              <w:t>元。</w:t>
            </w:r>
          </w:p>
          <w:p w14:paraId="582735F0">
            <w:pPr>
              <w:jc w:val="left"/>
              <w:rPr>
                <w:rFonts w:eastAsiaTheme="minorEastAsia"/>
                <w:sz w:val="24"/>
              </w:rPr>
            </w:pPr>
            <w:r>
              <w:rPr>
                <w:rFonts w:eastAsiaTheme="minorEastAsia"/>
                <w:sz w:val="24"/>
              </w:rPr>
              <w:t>磋商保证金收受人信息：</w:t>
            </w:r>
          </w:p>
          <w:p w14:paraId="549585A5">
            <w:pPr>
              <w:pStyle w:val="23"/>
              <w:adjustRightInd w:val="0"/>
              <w:snapToGrid w:val="0"/>
              <w:rPr>
                <w:rFonts w:hint="default" w:ascii="Times New Roman" w:hAnsi="Times New Roman"/>
                <w:sz w:val="24"/>
                <w:szCs w:val="24"/>
              </w:rPr>
            </w:pPr>
            <w:r>
              <w:rPr>
                <w:rFonts w:ascii="Times New Roman" w:hAnsi="Times New Roman"/>
                <w:sz w:val="24"/>
                <w:szCs w:val="24"/>
              </w:rPr>
              <w:t>账户名称：北京宏信天诚国际招标有限公司</w:t>
            </w:r>
          </w:p>
          <w:p w14:paraId="3ED4D861">
            <w:pPr>
              <w:pStyle w:val="23"/>
              <w:adjustRightInd w:val="0"/>
              <w:snapToGrid w:val="0"/>
              <w:rPr>
                <w:rFonts w:hint="default" w:ascii="Times New Roman" w:hAnsi="Times New Roman"/>
                <w:sz w:val="24"/>
                <w:szCs w:val="24"/>
              </w:rPr>
            </w:pPr>
            <w:r>
              <w:rPr>
                <w:rFonts w:ascii="Times New Roman" w:hAnsi="Times New Roman"/>
                <w:sz w:val="24"/>
                <w:szCs w:val="24"/>
              </w:rPr>
              <w:t>开户银行：北京银行股份有限公司清华园支行</w:t>
            </w:r>
          </w:p>
          <w:p w14:paraId="10943F24">
            <w:pPr>
              <w:pStyle w:val="23"/>
              <w:adjustRightInd w:val="0"/>
              <w:snapToGrid w:val="0"/>
              <w:rPr>
                <w:rFonts w:hint="default" w:ascii="Times New Roman" w:hAnsi="Times New Roman"/>
                <w:sz w:val="24"/>
                <w:szCs w:val="24"/>
              </w:rPr>
            </w:pPr>
            <w:r>
              <w:rPr>
                <w:rFonts w:ascii="Times New Roman" w:hAnsi="Times New Roman"/>
                <w:sz w:val="24"/>
                <w:szCs w:val="24"/>
              </w:rPr>
              <w:t>银行账号：20000062274900106153382</w:t>
            </w:r>
          </w:p>
          <w:p w14:paraId="22C2E01F">
            <w:pPr>
              <w:jc w:val="left"/>
              <w:rPr>
                <w:rFonts w:eastAsiaTheme="minorEastAsia"/>
                <w:sz w:val="24"/>
              </w:rPr>
            </w:pPr>
            <w:r>
              <w:rPr>
                <w:sz w:val="24"/>
              </w:rPr>
              <w:t>法律法规允许的其他非现金形式</w:t>
            </w:r>
            <w:r>
              <w:rPr>
                <w:rFonts w:eastAsiaTheme="minorEastAsia"/>
                <w:sz w:val="24"/>
              </w:rPr>
              <w:t>。</w:t>
            </w:r>
          </w:p>
        </w:tc>
      </w:tr>
      <w:tr w14:paraId="1F0D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351FD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394668DA">
            <w:pPr>
              <w:jc w:val="center"/>
              <w:rPr>
                <w:rFonts w:eastAsiaTheme="minorEastAsia"/>
                <w:sz w:val="24"/>
              </w:rPr>
            </w:pPr>
          </w:p>
        </w:tc>
        <w:tc>
          <w:tcPr>
            <w:tcW w:w="7253" w:type="dxa"/>
            <w:vAlign w:val="center"/>
          </w:tcPr>
          <w:p w14:paraId="73636CDA">
            <w:pPr>
              <w:jc w:val="left"/>
              <w:rPr>
                <w:rFonts w:eastAsiaTheme="minorEastAsia"/>
                <w:sz w:val="24"/>
              </w:rPr>
            </w:pPr>
            <w:r>
              <w:rPr>
                <w:rFonts w:eastAsiaTheme="minorEastAsia"/>
                <w:sz w:val="24"/>
              </w:rPr>
              <w:t>磋商保证金不予退还的其他情形：</w:t>
            </w:r>
            <w:r>
              <w:rPr>
                <w:rFonts w:eastAsiaTheme="minorEastAsia"/>
              </w:rPr>
              <w:t>□</w:t>
            </w:r>
            <w:r>
              <w:rPr>
                <w:rFonts w:eastAsiaTheme="minorEastAsia"/>
                <w:sz w:val="24"/>
              </w:rPr>
              <w:t>无</w:t>
            </w:r>
          </w:p>
          <w:p w14:paraId="3EE372FB">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■有，具体情形：</w:t>
            </w:r>
          </w:p>
          <w:p w14:paraId="74CA557A">
            <w:pPr>
              <w:pStyle w:val="23"/>
              <w:adjustRightInd w:val="0"/>
              <w:snapToGrid w:val="0"/>
              <w:rPr>
                <w:rFonts w:hint="default"/>
                <w:sz w:val="24"/>
              </w:rPr>
            </w:pPr>
            <w:r>
              <w:rPr>
                <w:sz w:val="24"/>
              </w:rPr>
              <w:t>1供应商在提交响应文件截止时间后撤回响应文件的；</w:t>
            </w:r>
          </w:p>
          <w:p w14:paraId="0913B9D4">
            <w:pPr>
              <w:pStyle w:val="23"/>
              <w:adjustRightInd w:val="0"/>
              <w:snapToGrid w:val="0"/>
              <w:rPr>
                <w:rFonts w:hint="default"/>
                <w:sz w:val="24"/>
              </w:rPr>
            </w:pPr>
            <w:r>
              <w:rPr>
                <w:sz w:val="24"/>
              </w:rPr>
              <w:t>2供应商在响应文件中提供虚假材料的；</w:t>
            </w:r>
          </w:p>
          <w:p w14:paraId="08500577">
            <w:pPr>
              <w:pStyle w:val="23"/>
              <w:adjustRightInd w:val="0"/>
              <w:snapToGrid w:val="0"/>
              <w:rPr>
                <w:rFonts w:hint="default"/>
                <w:sz w:val="24"/>
              </w:rPr>
            </w:pPr>
            <w:r>
              <w:rPr>
                <w:sz w:val="24"/>
              </w:rPr>
              <w:t>3除因不可抗力或磋商文件认可的情形以外，成交供应商不与采购人签订合同的；</w:t>
            </w:r>
          </w:p>
          <w:p w14:paraId="24A42039">
            <w:pPr>
              <w:pStyle w:val="23"/>
              <w:adjustRightInd w:val="0"/>
              <w:snapToGrid w:val="0"/>
              <w:rPr>
                <w:rFonts w:hint="default"/>
                <w:sz w:val="24"/>
              </w:rPr>
            </w:pPr>
            <w:r>
              <w:rPr>
                <w:sz w:val="24"/>
              </w:rPr>
              <w:t>4供应商与采购人、其他供应商或者采购代理机构恶意串通的；</w:t>
            </w:r>
          </w:p>
          <w:p w14:paraId="04E68EB5">
            <w:pPr>
              <w:pStyle w:val="23"/>
              <w:adjustRightInd w:val="0"/>
              <w:snapToGrid w:val="0"/>
              <w:rPr>
                <w:rFonts w:hint="default" w:ascii="Times New Roman" w:hAnsi="Times New Roman" w:eastAsiaTheme="minorEastAsia"/>
                <w:sz w:val="24"/>
                <w:szCs w:val="24"/>
              </w:rPr>
            </w:pPr>
            <w:r>
              <w:rPr>
                <w:sz w:val="24"/>
              </w:rPr>
              <w:t>5成交供应商领取成交通知书时未按规定缴纳成交服务费的。</w:t>
            </w:r>
          </w:p>
        </w:tc>
      </w:tr>
      <w:tr w14:paraId="45C0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88C5F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943FBAF">
            <w:pPr>
              <w:jc w:val="center"/>
              <w:rPr>
                <w:rFonts w:eastAsiaTheme="minorEastAsia"/>
                <w:sz w:val="24"/>
              </w:rPr>
            </w:pPr>
            <w:r>
              <w:rPr>
                <w:rFonts w:eastAsiaTheme="minorEastAsia"/>
                <w:sz w:val="24"/>
              </w:rPr>
              <w:t>响应有效期</w:t>
            </w:r>
          </w:p>
        </w:tc>
        <w:tc>
          <w:tcPr>
            <w:tcW w:w="7253" w:type="dxa"/>
            <w:vAlign w:val="center"/>
          </w:tcPr>
          <w:p w14:paraId="22673918">
            <w:pPr>
              <w:jc w:val="left"/>
              <w:rPr>
                <w:rFonts w:eastAsiaTheme="minorEastAsia"/>
                <w:sz w:val="24"/>
              </w:rPr>
            </w:pPr>
            <w:r>
              <w:rPr>
                <w:rFonts w:eastAsiaTheme="minorEastAsia"/>
                <w:sz w:val="24"/>
              </w:rPr>
              <w:t>自响应文件提交截止之日起算</w:t>
            </w:r>
            <w:r>
              <w:rPr>
                <w:rFonts w:hint="eastAsia" w:eastAsiaTheme="minorEastAsia"/>
                <w:b/>
                <w:bCs/>
                <w:sz w:val="24"/>
                <w:u w:val="single"/>
              </w:rPr>
              <w:t xml:space="preserve"> 90 </w:t>
            </w:r>
            <w:r>
              <w:rPr>
                <w:rFonts w:eastAsiaTheme="minorEastAsia"/>
                <w:b/>
                <w:bCs/>
                <w:sz w:val="24"/>
              </w:rPr>
              <w:t>日历天</w:t>
            </w:r>
            <w:r>
              <w:rPr>
                <w:rFonts w:eastAsiaTheme="minorEastAsia"/>
                <w:sz w:val="24"/>
              </w:rPr>
              <w:t>。</w:t>
            </w:r>
          </w:p>
        </w:tc>
      </w:tr>
      <w:tr w14:paraId="438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52D9EF">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w:t>
            </w:r>
            <w:r>
              <w:rPr>
                <w:rFonts w:hint="default" w:ascii="Times New Roman" w:hAnsi="Times New Roman"/>
                <w:sz w:val="24"/>
                <w:szCs w:val="24"/>
              </w:rPr>
              <w:t>4.2.2</w:t>
            </w:r>
          </w:p>
        </w:tc>
        <w:tc>
          <w:tcPr>
            <w:tcW w:w="1701" w:type="dxa"/>
            <w:vAlign w:val="center"/>
          </w:tcPr>
          <w:p w14:paraId="01BEB22C">
            <w:pPr>
              <w:jc w:val="center"/>
              <w:rPr>
                <w:rFonts w:eastAsiaTheme="minorEastAsia"/>
                <w:sz w:val="24"/>
              </w:rPr>
            </w:pPr>
            <w:r>
              <w:rPr>
                <w:rFonts w:hint="eastAsia"/>
                <w:sz w:val="24"/>
              </w:rPr>
              <w:t>响应文件的提交</w:t>
            </w:r>
          </w:p>
        </w:tc>
        <w:tc>
          <w:tcPr>
            <w:tcW w:w="7253" w:type="dxa"/>
            <w:vAlign w:val="center"/>
          </w:tcPr>
          <w:p w14:paraId="2BCA9210">
            <w:pPr>
              <w:jc w:val="left"/>
              <w:rPr>
                <w:rFonts w:hint="eastAsia" w:ascii="宋体" w:hAnsi="宋体"/>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（正本一份、副本三份）、电子版（一份，U盘内容含响应文件WORD电子文档及盖章签字后的响应文件正本的PDF扫描件各一份）、磋商保证金（电汇底单复印件一份或</w:t>
            </w:r>
            <w:r>
              <w:rPr>
                <w:sz w:val="24"/>
              </w:rPr>
              <w:t>金融机构、担保机构出具的保函</w:t>
            </w:r>
            <w:r>
              <w:rPr>
                <w:rFonts w:hint="eastAsia"/>
                <w:sz w:val="24"/>
              </w:rPr>
              <w:t>原件</w:t>
            </w:r>
            <w:r>
              <w:rPr>
                <w:rFonts w:hint="eastAsia" w:ascii="宋体" w:hAnsi="宋体"/>
                <w:sz w:val="24"/>
              </w:rPr>
              <w:t>）分别密封提交。</w:t>
            </w:r>
          </w:p>
          <w:p w14:paraId="21B2615B">
            <w:pPr>
              <w:jc w:val="left"/>
              <w:rPr>
                <w:rFonts w:eastAsiaTheme="minorEastAsia"/>
                <w:sz w:val="24"/>
              </w:rPr>
            </w:pPr>
            <w:r>
              <w:rPr>
                <w:rFonts w:hint="eastAsia"/>
                <w:sz w:val="24"/>
              </w:rPr>
              <w:t>供应商须以“包”为单位编制响应文件。</w:t>
            </w:r>
          </w:p>
        </w:tc>
      </w:tr>
      <w:tr w14:paraId="3926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907603">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2BF7007">
            <w:pPr>
              <w:jc w:val="center"/>
              <w:rPr>
                <w:rFonts w:eastAsiaTheme="minorEastAsia"/>
                <w:sz w:val="24"/>
              </w:rPr>
            </w:pPr>
            <w:r>
              <w:rPr>
                <w:rFonts w:hint="eastAsia" w:eastAsiaTheme="minorEastAsia"/>
                <w:sz w:val="24"/>
              </w:rPr>
              <w:t>解密时间</w:t>
            </w:r>
          </w:p>
        </w:tc>
        <w:tc>
          <w:tcPr>
            <w:tcW w:w="7253" w:type="dxa"/>
            <w:vAlign w:val="center"/>
          </w:tcPr>
          <w:p w14:paraId="20AB2414">
            <w:pPr>
              <w:jc w:val="left"/>
              <w:rPr>
                <w:sz w:val="24"/>
              </w:rPr>
            </w:pPr>
            <w:r>
              <w:rPr>
                <w:rFonts w:hint="eastAsia" w:ascii="宋体" w:hAnsi="宋体"/>
                <w:sz w:val="24"/>
              </w:rPr>
              <w:t>解密时间：</w:t>
            </w:r>
            <w:r>
              <w:rPr>
                <w:rFonts w:hint="eastAsia" w:eastAsiaTheme="minorEastAsia"/>
                <w:sz w:val="24"/>
                <w:u w:val="single"/>
              </w:rPr>
              <w:t xml:space="preserve">  \  </w:t>
            </w:r>
            <w:r>
              <w:rPr>
                <w:rFonts w:hint="eastAsia" w:ascii="宋体" w:hAnsi="宋体"/>
                <w:sz w:val="24"/>
              </w:rPr>
              <w:t>分钟</w:t>
            </w:r>
            <w:r>
              <w:rPr>
                <w:rFonts w:hint="eastAsia" w:ascii="宋体" w:hAnsi="宋体"/>
                <w:b/>
                <w:bCs/>
                <w:sz w:val="24"/>
                <w:u w:val="single"/>
              </w:rPr>
              <w:t>（本项目不适用）</w:t>
            </w:r>
          </w:p>
        </w:tc>
      </w:tr>
      <w:tr w14:paraId="5B72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686F1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2DB4C188">
            <w:pPr>
              <w:jc w:val="center"/>
              <w:rPr>
                <w:rFonts w:eastAsiaTheme="minorEastAsia"/>
                <w:sz w:val="24"/>
              </w:rPr>
            </w:pPr>
            <w:r>
              <w:rPr>
                <w:sz w:val="24"/>
              </w:rPr>
              <w:t>确定成交供应商</w:t>
            </w:r>
          </w:p>
        </w:tc>
        <w:tc>
          <w:tcPr>
            <w:tcW w:w="7253" w:type="dxa"/>
            <w:vAlign w:val="center"/>
          </w:tcPr>
          <w:p w14:paraId="20A1FADB">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33A30961">
            <w:pPr>
              <w:pStyle w:val="23"/>
              <w:adjustRightInd w:val="0"/>
              <w:snapToGrid w:val="0"/>
              <w:rPr>
                <w:rFonts w:hint="default" w:eastAsiaTheme="minorEastAsia"/>
                <w:sz w:val="24"/>
              </w:rPr>
            </w:pPr>
            <w:r>
              <w:rPr>
                <w:rFonts w:hint="default" w:ascii="Times New Roman" w:hAnsi="Times New Roman" w:eastAsiaTheme="minorEastAsia"/>
                <w:sz w:val="24"/>
              </w:rPr>
              <w:t>■否</w:t>
            </w:r>
            <w:r>
              <w:rPr>
                <w:rFonts w:ascii="Times New Roman" w:hAnsi="Times New Roman" w:eastAsiaTheme="minorEastAsia"/>
                <w:sz w:val="24"/>
              </w:rPr>
              <w:t xml:space="preserve">  </w:t>
            </w:r>
            <w:r>
              <w:rPr>
                <w:rFonts w:eastAsiaTheme="minorEastAsia"/>
              </w:rPr>
              <w:t>□</w:t>
            </w:r>
            <w:r>
              <w:rPr>
                <w:rFonts w:eastAsiaTheme="minorEastAsia"/>
                <w:sz w:val="24"/>
              </w:rPr>
              <w:t>是</w:t>
            </w:r>
          </w:p>
          <w:p w14:paraId="25CDC856">
            <w:pPr>
              <w:jc w:val="left"/>
              <w:rPr>
                <w:rFonts w:eastAsiaTheme="minorEastAsia"/>
                <w:sz w:val="24"/>
              </w:rPr>
            </w:pPr>
            <w:r>
              <w:rPr>
                <w:rFonts w:eastAsiaTheme="minorEastAsia"/>
                <w:sz w:val="24"/>
              </w:rPr>
              <w:t>成交候选人并列的，按照以下方式确定成交供应商：</w:t>
            </w:r>
          </w:p>
          <w:p w14:paraId="3370929A">
            <w:pPr>
              <w:jc w:val="left"/>
              <w:rPr>
                <w:sz w:val="24"/>
              </w:rPr>
            </w:pPr>
            <w:r>
              <w:rPr>
                <w:rFonts w:eastAsiaTheme="minorEastAsia"/>
                <w:sz w:val="24"/>
              </w:rPr>
              <w:t>■</w:t>
            </w:r>
            <w:r>
              <w:rPr>
                <w:sz w:val="24"/>
              </w:rPr>
              <w:t>得分且投标报价均相同的，</w:t>
            </w:r>
            <w:r>
              <w:rPr>
                <w:sz w:val="24"/>
                <w:highlight w:val="none"/>
              </w:rPr>
              <w:t>以</w:t>
            </w:r>
            <w:r>
              <w:rPr>
                <w:rFonts w:hint="eastAsia"/>
                <w:b/>
                <w:bCs/>
                <w:sz w:val="24"/>
                <w:highlight w:val="none"/>
                <w:u w:val="single"/>
              </w:rPr>
              <w:t xml:space="preserve"> 施工方案及技术措施 </w:t>
            </w:r>
            <w:r>
              <w:rPr>
                <w:sz w:val="24"/>
                <w:highlight w:val="none"/>
              </w:rPr>
              <w:t>得分</w:t>
            </w:r>
            <w:r>
              <w:rPr>
                <w:sz w:val="24"/>
              </w:rPr>
              <w:t>高者为中标人</w:t>
            </w:r>
          </w:p>
          <w:p w14:paraId="750EED5F">
            <w:pPr>
              <w:jc w:val="left"/>
              <w:rPr>
                <w:rFonts w:eastAsiaTheme="minorEastAsia"/>
                <w:sz w:val="24"/>
                <w:u w:val="single"/>
              </w:rPr>
            </w:pPr>
            <w:r>
              <w:t>□</w:t>
            </w:r>
            <w:r>
              <w:rPr>
                <w:sz w:val="24"/>
              </w:rPr>
              <w:t>随机抽取</w:t>
            </w:r>
            <w:r>
              <w:rPr>
                <w:rFonts w:eastAsiaTheme="minorEastAsia"/>
                <w:sz w:val="24"/>
              </w:rPr>
              <w:t>。</w:t>
            </w:r>
          </w:p>
        </w:tc>
      </w:tr>
      <w:tr w14:paraId="5762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840BF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0AB22B11">
            <w:pPr>
              <w:jc w:val="center"/>
              <w:rPr>
                <w:rFonts w:eastAsiaTheme="minorEastAsia"/>
                <w:sz w:val="24"/>
              </w:rPr>
            </w:pPr>
            <w:r>
              <w:rPr>
                <w:rFonts w:eastAsiaTheme="minorEastAsia"/>
                <w:sz w:val="24"/>
              </w:rPr>
              <w:t>分包</w:t>
            </w:r>
          </w:p>
        </w:tc>
        <w:tc>
          <w:tcPr>
            <w:tcW w:w="7253" w:type="dxa"/>
            <w:vAlign w:val="center"/>
          </w:tcPr>
          <w:p w14:paraId="5570A880">
            <w:pPr>
              <w:jc w:val="left"/>
              <w:rPr>
                <w:rFonts w:eastAsiaTheme="minorEastAsia"/>
                <w:sz w:val="24"/>
              </w:rPr>
            </w:pPr>
            <w:r>
              <w:rPr>
                <w:rFonts w:eastAsiaTheme="minorEastAsia"/>
                <w:sz w:val="24"/>
              </w:rPr>
              <w:t>本项目是否允许分包：■不允许</w:t>
            </w:r>
          </w:p>
          <w:p w14:paraId="04B8ECCC">
            <w:pPr>
              <w:jc w:val="left"/>
              <w:rPr>
                <w:rFonts w:eastAsiaTheme="minorEastAsia"/>
                <w:sz w:val="24"/>
              </w:rPr>
            </w:pPr>
            <w:r>
              <w:rPr>
                <w:rFonts w:eastAsiaTheme="minorEastAsia"/>
              </w:rPr>
              <w:t>□</w:t>
            </w:r>
            <w:r>
              <w:rPr>
                <w:rFonts w:eastAsiaTheme="minorEastAsia"/>
                <w:sz w:val="24"/>
              </w:rPr>
              <w:t>允许，具体要求：</w:t>
            </w:r>
            <w:r>
              <w:rPr>
                <w:rFonts w:hint="eastAsia" w:eastAsiaTheme="minorEastAsia"/>
                <w:sz w:val="24"/>
                <w:u w:val="single"/>
              </w:rPr>
              <w:t xml:space="preserve">  \  </w:t>
            </w:r>
            <w:r>
              <w:rPr>
                <w:rFonts w:eastAsiaTheme="minorEastAsia"/>
                <w:sz w:val="24"/>
              </w:rPr>
              <w:t>。</w:t>
            </w:r>
          </w:p>
          <w:p w14:paraId="48FB14DB">
            <w:pPr>
              <w:jc w:val="left"/>
              <w:rPr>
                <w:rFonts w:eastAsiaTheme="minorEastAsia"/>
                <w:sz w:val="24"/>
              </w:rPr>
            </w:pPr>
            <w:r>
              <w:rPr>
                <w:rFonts w:eastAsiaTheme="minorEastAsia"/>
                <w:sz w:val="24"/>
              </w:rPr>
              <w:t>（1）可以分包履行的具体内容：</w:t>
            </w:r>
            <w:r>
              <w:rPr>
                <w:rFonts w:hint="eastAsia" w:eastAsiaTheme="minorEastAsia"/>
                <w:sz w:val="24"/>
                <w:u w:val="single"/>
              </w:rPr>
              <w:t xml:space="preserve">  \  </w:t>
            </w:r>
            <w:r>
              <w:rPr>
                <w:rFonts w:eastAsiaTheme="minorEastAsia"/>
                <w:sz w:val="24"/>
              </w:rPr>
              <w:t>；</w:t>
            </w:r>
          </w:p>
          <w:p w14:paraId="7F365089">
            <w:pPr>
              <w:jc w:val="left"/>
              <w:rPr>
                <w:rFonts w:eastAsiaTheme="minorEastAsia"/>
                <w:sz w:val="24"/>
              </w:rPr>
            </w:pPr>
            <w:r>
              <w:rPr>
                <w:rFonts w:eastAsiaTheme="minorEastAsia"/>
                <w:sz w:val="24"/>
              </w:rPr>
              <w:t>（2）允许分包的金额或者比例：</w:t>
            </w:r>
            <w:r>
              <w:rPr>
                <w:rFonts w:hint="eastAsia" w:eastAsiaTheme="minorEastAsia"/>
                <w:sz w:val="24"/>
                <w:u w:val="single"/>
              </w:rPr>
              <w:t xml:space="preserve">  \  </w:t>
            </w:r>
            <w:r>
              <w:rPr>
                <w:rFonts w:eastAsiaTheme="minorEastAsia"/>
                <w:sz w:val="24"/>
              </w:rPr>
              <w:t>；</w:t>
            </w:r>
          </w:p>
          <w:p w14:paraId="7AE34C79">
            <w:pPr>
              <w:jc w:val="left"/>
              <w:rPr>
                <w:rFonts w:eastAsiaTheme="minorEastAsia"/>
                <w:sz w:val="24"/>
                <w:u w:val="single"/>
              </w:rPr>
            </w:pPr>
            <w:r>
              <w:rPr>
                <w:rFonts w:eastAsiaTheme="minorEastAsia"/>
                <w:sz w:val="24"/>
              </w:rPr>
              <w:t>（3）其他要求：</w:t>
            </w:r>
            <w:r>
              <w:rPr>
                <w:rFonts w:hint="eastAsia" w:eastAsiaTheme="minorEastAsia"/>
                <w:sz w:val="24"/>
                <w:u w:val="single"/>
              </w:rPr>
              <w:t xml:space="preserve">  \  </w:t>
            </w:r>
            <w:r>
              <w:rPr>
                <w:rFonts w:eastAsiaTheme="minorEastAsia"/>
                <w:sz w:val="24"/>
              </w:rPr>
              <w:t>。</w:t>
            </w:r>
          </w:p>
        </w:tc>
      </w:tr>
      <w:tr w14:paraId="2045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3E420">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C5FE9BF">
            <w:pPr>
              <w:jc w:val="center"/>
              <w:rPr>
                <w:rFonts w:eastAsiaTheme="minorEastAsia"/>
                <w:sz w:val="24"/>
              </w:rPr>
            </w:pPr>
            <w:r>
              <w:rPr>
                <w:rFonts w:hint="eastAsia"/>
                <w:sz w:val="24"/>
              </w:rPr>
              <w:t>政采贷</w:t>
            </w:r>
          </w:p>
        </w:tc>
        <w:tc>
          <w:tcPr>
            <w:tcW w:w="7253" w:type="dxa"/>
            <w:vAlign w:val="center"/>
          </w:tcPr>
          <w:p w14:paraId="3CA50060">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08B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E605D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523A0BC4">
            <w:pPr>
              <w:jc w:val="center"/>
              <w:rPr>
                <w:rFonts w:eastAsiaTheme="minorEastAsia"/>
                <w:sz w:val="24"/>
              </w:rPr>
            </w:pPr>
            <w:r>
              <w:rPr>
                <w:rFonts w:eastAsiaTheme="minorEastAsia"/>
                <w:sz w:val="24"/>
              </w:rPr>
              <w:t>询问</w:t>
            </w:r>
          </w:p>
        </w:tc>
        <w:tc>
          <w:tcPr>
            <w:tcW w:w="7253" w:type="dxa"/>
            <w:vAlign w:val="center"/>
          </w:tcPr>
          <w:p w14:paraId="3A1FB8AB">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eastAsiaTheme="minorEastAsia"/>
                <w:sz w:val="24"/>
                <w:u w:val="single"/>
              </w:rPr>
              <w:t>书面形式</w:t>
            </w:r>
            <w:r>
              <w:rPr>
                <w:rFonts w:hint="eastAsia" w:eastAsiaTheme="minorEastAsia"/>
                <w:sz w:val="24"/>
              </w:rPr>
              <w:t>递交至北京市海淀区复兴路乙12号中国铝业大厦11层1110室</w:t>
            </w:r>
            <w:r>
              <w:rPr>
                <w:rFonts w:eastAsiaTheme="minorEastAsia"/>
                <w:sz w:val="24"/>
              </w:rPr>
              <w:t>。</w:t>
            </w:r>
          </w:p>
        </w:tc>
      </w:tr>
      <w:tr w14:paraId="19D3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FBD2D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43351C5E">
            <w:pPr>
              <w:jc w:val="center"/>
              <w:rPr>
                <w:rFonts w:eastAsiaTheme="minorEastAsia"/>
                <w:sz w:val="24"/>
              </w:rPr>
            </w:pPr>
            <w:r>
              <w:rPr>
                <w:rFonts w:eastAsiaTheme="minorEastAsia"/>
                <w:sz w:val="24"/>
              </w:rPr>
              <w:t>联系方式</w:t>
            </w:r>
          </w:p>
        </w:tc>
        <w:tc>
          <w:tcPr>
            <w:tcW w:w="7253" w:type="dxa"/>
            <w:vAlign w:val="center"/>
          </w:tcPr>
          <w:p w14:paraId="031382F3">
            <w:pPr>
              <w:jc w:val="left"/>
              <w:rPr>
                <w:rFonts w:eastAsiaTheme="minorEastAsia"/>
                <w:sz w:val="24"/>
              </w:rPr>
            </w:pPr>
            <w:r>
              <w:rPr>
                <w:rFonts w:eastAsiaTheme="minorEastAsia"/>
                <w:sz w:val="24"/>
              </w:rPr>
              <w:t>接收询问和质疑的联系方式</w:t>
            </w:r>
          </w:p>
          <w:p w14:paraId="7B5E7C3E">
            <w:pPr>
              <w:jc w:val="left"/>
              <w:rPr>
                <w:sz w:val="24"/>
              </w:rPr>
            </w:pPr>
            <w:r>
              <w:rPr>
                <w:sz w:val="24"/>
              </w:rPr>
              <w:t>联系部门：</w:t>
            </w:r>
            <w:r>
              <w:rPr>
                <w:rFonts w:hint="eastAsia"/>
                <w:sz w:val="24"/>
                <w:u w:val="single"/>
              </w:rPr>
              <w:t>综合法务部</w:t>
            </w:r>
            <w:r>
              <w:rPr>
                <w:sz w:val="24"/>
              </w:rPr>
              <w:t>；</w:t>
            </w:r>
          </w:p>
          <w:p w14:paraId="11C2F8A0">
            <w:pPr>
              <w:jc w:val="left"/>
              <w:rPr>
                <w:sz w:val="24"/>
              </w:rPr>
            </w:pPr>
            <w:r>
              <w:rPr>
                <w:sz w:val="24"/>
              </w:rPr>
              <w:t>联系电话：</w:t>
            </w:r>
            <w:r>
              <w:rPr>
                <w:sz w:val="24"/>
                <w:u w:val="single"/>
              </w:rPr>
              <w:t>010-</w:t>
            </w:r>
            <w:r>
              <w:rPr>
                <w:rFonts w:hint="eastAsia"/>
                <w:sz w:val="24"/>
                <w:u w:val="single"/>
              </w:rPr>
              <w:t>63974645</w:t>
            </w:r>
            <w:r>
              <w:rPr>
                <w:sz w:val="24"/>
              </w:rPr>
              <w:t>；</w:t>
            </w:r>
          </w:p>
          <w:p w14:paraId="5A88C626">
            <w:pPr>
              <w:jc w:val="left"/>
              <w:rPr>
                <w:rFonts w:eastAsiaTheme="minorEastAsia"/>
                <w:sz w:val="24"/>
              </w:rPr>
            </w:pPr>
            <w:r>
              <w:rPr>
                <w:sz w:val="24"/>
              </w:rPr>
              <w:t>通讯地址：</w:t>
            </w:r>
            <w:r>
              <w:rPr>
                <w:rFonts w:hint="eastAsia"/>
                <w:sz w:val="24"/>
                <w:u w:val="single"/>
              </w:rPr>
              <w:t>北京市海淀区复兴路乙12号中国铝业大厦11层1110室</w:t>
            </w:r>
            <w:r>
              <w:rPr>
                <w:rFonts w:eastAsiaTheme="minorEastAsia"/>
                <w:sz w:val="24"/>
              </w:rPr>
              <w:t>。</w:t>
            </w:r>
          </w:p>
        </w:tc>
      </w:tr>
      <w:tr w14:paraId="204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9052F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42421369">
            <w:pPr>
              <w:jc w:val="center"/>
              <w:rPr>
                <w:rFonts w:eastAsiaTheme="minorEastAsia"/>
                <w:sz w:val="24"/>
              </w:rPr>
            </w:pPr>
            <w:r>
              <w:rPr>
                <w:rFonts w:eastAsiaTheme="minorEastAsia"/>
                <w:sz w:val="24"/>
              </w:rPr>
              <w:t>代理费</w:t>
            </w:r>
          </w:p>
        </w:tc>
        <w:tc>
          <w:tcPr>
            <w:tcW w:w="7253" w:type="dxa"/>
            <w:vAlign w:val="center"/>
          </w:tcPr>
          <w:p w14:paraId="6FBE9A7C">
            <w:pPr>
              <w:jc w:val="left"/>
              <w:rPr>
                <w:rFonts w:eastAsiaTheme="minorEastAsia"/>
                <w:sz w:val="24"/>
              </w:rPr>
            </w:pPr>
            <w:r>
              <w:rPr>
                <w:rFonts w:eastAsiaTheme="minorEastAsia"/>
                <w:sz w:val="24"/>
              </w:rPr>
              <w:t>收费对象：</w:t>
            </w:r>
            <w:r>
              <w:rPr>
                <w:rFonts w:eastAsiaTheme="minorEastAsia"/>
              </w:rPr>
              <w:t>□</w:t>
            </w:r>
            <w:r>
              <w:rPr>
                <w:rFonts w:eastAsiaTheme="minorEastAsia"/>
                <w:sz w:val="24"/>
              </w:rPr>
              <w:t>采购人</w:t>
            </w:r>
            <w:r>
              <w:rPr>
                <w:rFonts w:hint="eastAsia" w:eastAsiaTheme="minorEastAsia"/>
                <w:sz w:val="24"/>
              </w:rPr>
              <w:t xml:space="preserve">  </w:t>
            </w:r>
            <w:r>
              <w:rPr>
                <w:rFonts w:eastAsiaTheme="minorEastAsia"/>
                <w:sz w:val="24"/>
              </w:rPr>
              <w:t>■成交供应商</w:t>
            </w:r>
          </w:p>
          <w:p w14:paraId="4DD7DE89">
            <w:pPr>
              <w:jc w:val="left"/>
              <w:rPr>
                <w:sz w:val="24"/>
              </w:rPr>
            </w:pPr>
            <w:r>
              <w:rPr>
                <w:rFonts w:eastAsiaTheme="minorEastAsia"/>
                <w:sz w:val="24"/>
              </w:rPr>
              <w:t>收费标准：</w:t>
            </w:r>
            <w:r>
              <w:rPr>
                <w:rFonts w:hint="eastAsia"/>
                <w:sz w:val="24"/>
                <w:u w:val="single"/>
              </w:rPr>
              <w:t>（1）按照成交金额作为收费的计算基数。（2）代理服务费按差额定率累进法计算</w:t>
            </w:r>
            <w:r>
              <w:rPr>
                <w:sz w:val="24"/>
                <w:u w:val="single"/>
              </w:rPr>
              <w:t>；</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3809"/>
            </w:tblGrid>
            <w:tr w14:paraId="58F7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89" w:type="pct"/>
                  <w:vAlign w:val="center"/>
                </w:tcPr>
                <w:p w14:paraId="26945EDB">
                  <w:pPr>
                    <w:tabs>
                      <w:tab w:val="left" w:pos="8640"/>
                    </w:tabs>
                    <w:jc w:val="center"/>
                    <w:rPr>
                      <w:rFonts w:ascii="宋体"/>
                    </w:rPr>
                  </w:pPr>
                  <w:r>
                    <w:rPr>
                      <w:rFonts w:hint="eastAsia" w:ascii="宋体"/>
                    </w:rPr>
                    <w:t>成交金额（万元）</w:t>
                  </w:r>
                </w:p>
              </w:tc>
              <w:tc>
                <w:tcPr>
                  <w:tcW w:w="2710" w:type="pct"/>
                  <w:vAlign w:val="center"/>
                </w:tcPr>
                <w:p w14:paraId="4C373F20">
                  <w:pPr>
                    <w:tabs>
                      <w:tab w:val="left" w:pos="8640"/>
                    </w:tabs>
                    <w:jc w:val="center"/>
                    <w:rPr>
                      <w:rFonts w:ascii="宋体"/>
                    </w:rPr>
                  </w:pPr>
                  <w:r>
                    <w:rPr>
                      <w:rFonts w:hint="eastAsia" w:ascii="宋体"/>
                    </w:rPr>
                    <w:t>费率</w:t>
                  </w:r>
                </w:p>
              </w:tc>
            </w:tr>
            <w:tr w14:paraId="5F8E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pct"/>
                  <w:vAlign w:val="center"/>
                </w:tcPr>
                <w:p w14:paraId="4B525DAE">
                  <w:pPr>
                    <w:tabs>
                      <w:tab w:val="left" w:pos="8640"/>
                    </w:tabs>
                    <w:jc w:val="center"/>
                    <w:rPr>
                      <w:rFonts w:ascii="宋体"/>
                    </w:rPr>
                  </w:pPr>
                  <w:r>
                    <w:rPr>
                      <w:rFonts w:hint="eastAsia" w:ascii="宋体"/>
                    </w:rPr>
                    <w:t>100以下</w:t>
                  </w:r>
                </w:p>
              </w:tc>
              <w:tc>
                <w:tcPr>
                  <w:tcW w:w="2710" w:type="pct"/>
                  <w:vAlign w:val="center"/>
                </w:tcPr>
                <w:p w14:paraId="30201371">
                  <w:pPr>
                    <w:jc w:val="center"/>
                    <w:rPr>
                      <w:rFonts w:hint="eastAsia" w:ascii="宋体" w:hAnsi="宋体"/>
                      <w:szCs w:val="21"/>
                    </w:rPr>
                  </w:pPr>
                  <w:r>
                    <w:rPr>
                      <w:rFonts w:ascii="宋体" w:hAnsi="宋体"/>
                      <w:szCs w:val="21"/>
                    </w:rPr>
                    <w:t>1.5%</w:t>
                  </w:r>
                </w:p>
              </w:tc>
            </w:tr>
            <w:tr w14:paraId="0CC4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pct"/>
                  <w:vAlign w:val="center"/>
                </w:tcPr>
                <w:p w14:paraId="5B597047">
                  <w:pPr>
                    <w:tabs>
                      <w:tab w:val="left" w:pos="8640"/>
                    </w:tabs>
                    <w:jc w:val="center"/>
                    <w:rPr>
                      <w:rFonts w:ascii="宋体"/>
                    </w:rPr>
                  </w:pPr>
                  <w:r>
                    <w:rPr>
                      <w:rFonts w:hint="eastAsia" w:ascii="宋体"/>
                    </w:rPr>
                    <w:t>100-500</w:t>
                  </w:r>
                </w:p>
              </w:tc>
              <w:tc>
                <w:tcPr>
                  <w:tcW w:w="2710" w:type="pct"/>
                  <w:vAlign w:val="center"/>
                </w:tcPr>
                <w:p w14:paraId="03F356DB">
                  <w:pPr>
                    <w:tabs>
                      <w:tab w:val="left" w:pos="8640"/>
                    </w:tabs>
                    <w:jc w:val="center"/>
                    <w:rPr>
                      <w:rFonts w:ascii="宋体"/>
                    </w:rPr>
                  </w:pPr>
                  <w:r>
                    <w:rPr>
                      <w:rFonts w:hint="eastAsia" w:ascii="宋体"/>
                    </w:rPr>
                    <w:t>1.1%</w:t>
                  </w:r>
                </w:p>
              </w:tc>
            </w:tr>
            <w:tr w14:paraId="12C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pct"/>
                  <w:vAlign w:val="center"/>
                </w:tcPr>
                <w:p w14:paraId="3C24C082">
                  <w:pPr>
                    <w:tabs>
                      <w:tab w:val="left" w:pos="8640"/>
                    </w:tabs>
                    <w:jc w:val="center"/>
                    <w:rPr>
                      <w:rFonts w:ascii="宋体"/>
                    </w:rPr>
                  </w:pPr>
                  <w:r>
                    <w:rPr>
                      <w:rFonts w:hint="eastAsia" w:ascii="宋体"/>
                    </w:rPr>
                    <w:t>500-1000</w:t>
                  </w:r>
                </w:p>
              </w:tc>
              <w:tc>
                <w:tcPr>
                  <w:tcW w:w="2710" w:type="pct"/>
                  <w:vAlign w:val="center"/>
                </w:tcPr>
                <w:p w14:paraId="5D988A19">
                  <w:pPr>
                    <w:tabs>
                      <w:tab w:val="left" w:pos="8640"/>
                    </w:tabs>
                    <w:jc w:val="center"/>
                    <w:rPr>
                      <w:rFonts w:ascii="宋体"/>
                    </w:rPr>
                  </w:pPr>
                  <w:r>
                    <w:rPr>
                      <w:rFonts w:hint="eastAsia" w:ascii="宋体"/>
                    </w:rPr>
                    <w:t>0.8%</w:t>
                  </w:r>
                </w:p>
              </w:tc>
            </w:tr>
          </w:tbl>
          <w:p w14:paraId="5F697EF8">
            <w:pPr>
              <w:jc w:val="left"/>
              <w:rPr>
                <w:rFonts w:eastAsiaTheme="minorEastAsia"/>
                <w:sz w:val="24"/>
              </w:rPr>
            </w:pPr>
            <w:r>
              <w:rPr>
                <w:rFonts w:eastAsiaTheme="minorEastAsia"/>
                <w:sz w:val="24"/>
              </w:rPr>
              <w:t>缴纳时间：</w:t>
            </w:r>
            <w:r>
              <w:rPr>
                <w:rFonts w:hint="eastAsia"/>
                <w:sz w:val="24"/>
                <w:u w:val="single"/>
              </w:rPr>
              <w:t>成交供应商在领取成交通知书前向采购代理机构缴付成交服务费</w:t>
            </w:r>
            <w:r>
              <w:rPr>
                <w:rFonts w:eastAsiaTheme="minorEastAsia"/>
                <w:sz w:val="24"/>
              </w:rPr>
              <w:t>。</w:t>
            </w:r>
          </w:p>
        </w:tc>
      </w:tr>
    </w:tbl>
    <w:p w14:paraId="4F504FF6">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06866A1B">
      <w:pPr>
        <w:spacing w:before="240" w:beforeLines="100" w:after="240" w:afterLines="100"/>
        <w:jc w:val="center"/>
        <w:rPr>
          <w:rFonts w:eastAsiaTheme="minorEastAsia"/>
          <w:b/>
          <w:sz w:val="28"/>
          <w:szCs w:val="28"/>
        </w:rPr>
      </w:pPr>
      <w:r>
        <w:rPr>
          <w:rFonts w:eastAsiaTheme="minorEastAsia"/>
          <w:b/>
          <w:sz w:val="28"/>
          <w:szCs w:val="28"/>
        </w:rPr>
        <w:t>供应商须知</w:t>
      </w:r>
    </w:p>
    <w:p w14:paraId="14A969A6">
      <w:pPr>
        <w:pStyle w:val="3"/>
        <w:tabs>
          <w:tab w:val="center" w:pos="4592"/>
          <w:tab w:val="left" w:pos="7860"/>
        </w:tabs>
        <w:spacing w:before="0" w:line="360" w:lineRule="auto"/>
        <w:jc w:val="left"/>
        <w:rPr>
          <w:rFonts w:ascii="Times New Roman" w:hAnsi="Times New Roman" w:eastAsiaTheme="minorEastAsia"/>
          <w:sz w:val="28"/>
        </w:rPr>
      </w:pPr>
      <w:bookmarkStart w:id="72" w:name="_Toc520356143"/>
      <w:bookmarkStart w:id="73" w:name="_Toc127151518"/>
      <w:r>
        <w:rPr>
          <w:rFonts w:ascii="Times New Roman" w:hAnsi="Times New Roman" w:eastAsiaTheme="minorEastAsia"/>
          <w:sz w:val="28"/>
        </w:rPr>
        <w:tab/>
      </w:r>
      <w:bookmarkStart w:id="74" w:name="_Toc151193688"/>
      <w:bookmarkStart w:id="75" w:name="_Toc226965708"/>
      <w:bookmarkStart w:id="76" w:name="_Toc150774723"/>
      <w:bookmarkStart w:id="77" w:name="_Toc150480756"/>
      <w:bookmarkStart w:id="78" w:name="_Toc305158786"/>
      <w:bookmarkStart w:id="79" w:name="_Toc142311020"/>
      <w:bookmarkStart w:id="80" w:name="_Toc151193832"/>
      <w:bookmarkStart w:id="81" w:name="_Toc150774618"/>
      <w:bookmarkStart w:id="82" w:name="_Toc264969208"/>
      <w:bookmarkStart w:id="83" w:name="_Toc226965791"/>
      <w:bookmarkStart w:id="84" w:name="_Toc151193906"/>
      <w:bookmarkStart w:id="85" w:name="_Toc151190145"/>
      <w:bookmarkStart w:id="86" w:name="_Toc226309762"/>
      <w:bookmarkStart w:id="87" w:name="_Toc265228356"/>
      <w:bookmarkStart w:id="88" w:name="_Toc150509269"/>
      <w:bookmarkStart w:id="89" w:name="_Toc226337214"/>
      <w:bookmarkStart w:id="90" w:name="_Toc151193616"/>
      <w:bookmarkStart w:id="91" w:name="_Toc151193760"/>
      <w:bookmarkStart w:id="92" w:name="_Toc305158860"/>
      <w:bookmarkStart w:id="93" w:name="_Toc195842883"/>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B05F32E">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305158787"/>
      <w:bookmarkStart w:id="95" w:name="_Toc305158861"/>
      <w:bookmarkStart w:id="96" w:name="_Toc264969209"/>
      <w:bookmarkStart w:id="97" w:name="_Toc265228357"/>
      <w:r>
        <w:rPr>
          <w:rFonts w:eastAsiaTheme="minorEastAsia"/>
          <w:sz w:val="24"/>
        </w:rPr>
        <w:t>采购人、采购代理机构、供应商</w:t>
      </w:r>
      <w:bookmarkEnd w:id="94"/>
      <w:bookmarkEnd w:id="95"/>
      <w:bookmarkEnd w:id="96"/>
      <w:bookmarkEnd w:id="97"/>
      <w:r>
        <w:rPr>
          <w:rFonts w:eastAsiaTheme="minorEastAsia"/>
          <w:sz w:val="24"/>
        </w:rPr>
        <w:t>、联合体</w:t>
      </w:r>
    </w:p>
    <w:p w14:paraId="559D890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3D8297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5EADA49">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BF3C875">
      <w:pPr>
        <w:numPr>
          <w:ilvl w:val="0"/>
          <w:numId w:val="8"/>
        </w:numPr>
        <w:tabs>
          <w:tab w:val="left" w:pos="360"/>
          <w:tab w:val="clear" w:pos="900"/>
        </w:tabs>
        <w:snapToGrid w:val="0"/>
        <w:spacing w:line="360" w:lineRule="auto"/>
        <w:ind w:left="357" w:hanging="357"/>
        <w:outlineLvl w:val="1"/>
        <w:rPr>
          <w:rFonts w:eastAsiaTheme="minorEastAsia"/>
          <w:sz w:val="24"/>
        </w:rPr>
      </w:pPr>
      <w:bookmarkStart w:id="98" w:name="_Toc151190147"/>
      <w:bookmarkStart w:id="99" w:name="_Toc151193834"/>
      <w:bookmarkStart w:id="100" w:name="_Toc305158788"/>
      <w:bookmarkStart w:id="101" w:name="_Toc226965793"/>
      <w:bookmarkStart w:id="102" w:name="_Toc151193618"/>
      <w:bookmarkStart w:id="103" w:name="_Toc127161434"/>
      <w:bookmarkStart w:id="104" w:name="_Toc151193690"/>
      <w:bookmarkStart w:id="105" w:name="_Toc151193762"/>
      <w:bookmarkStart w:id="106" w:name="_Toc226337216"/>
      <w:bookmarkStart w:id="107" w:name="_Toc142311022"/>
      <w:bookmarkStart w:id="108" w:name="_Toc149720813"/>
      <w:bookmarkStart w:id="109" w:name="_Toc164608634"/>
      <w:bookmarkStart w:id="110" w:name="_Toc195842885"/>
      <w:bookmarkStart w:id="111" w:name="_Toc305158862"/>
      <w:bookmarkStart w:id="112" w:name="_Toc164229215"/>
      <w:bookmarkStart w:id="113" w:name="_Toc150509271"/>
      <w:bookmarkStart w:id="114" w:name="_Toc127151520"/>
      <w:bookmarkStart w:id="115" w:name="_Toc150480758"/>
      <w:bookmarkStart w:id="116" w:name="_Toc164608789"/>
      <w:bookmarkStart w:id="117" w:name="_Toc226965710"/>
      <w:bookmarkStart w:id="118" w:name="_Toc151193908"/>
      <w:bookmarkStart w:id="119" w:name="_Toc150774725"/>
      <w:bookmarkStart w:id="120" w:name="_Toc127151721"/>
      <w:bookmarkStart w:id="121" w:name="_Toc226309764"/>
      <w:bookmarkStart w:id="122" w:name="_Toc150774620"/>
      <w:bookmarkStart w:id="123" w:name="_Toc164229361"/>
      <w:bookmarkStart w:id="124" w:name="_Toc265228358"/>
      <w:bookmarkStart w:id="125" w:name="_Toc264969210"/>
      <w:bookmarkStart w:id="126" w:name="_Toc164351614"/>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571A50C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0C4D785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3275FDD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680479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2536C465">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265228360"/>
      <w:bookmarkStart w:id="128" w:name="_Toc305158790"/>
      <w:bookmarkStart w:id="129" w:name="_Toc151193620"/>
      <w:bookmarkStart w:id="130" w:name="_Toc226309766"/>
      <w:bookmarkStart w:id="131" w:name="_Toc150509273"/>
      <w:bookmarkStart w:id="132" w:name="_Toc226965712"/>
      <w:bookmarkStart w:id="133" w:name="_Toc150480760"/>
      <w:bookmarkStart w:id="134" w:name="_Toc226965795"/>
      <w:bookmarkStart w:id="135" w:name="_Toc264969212"/>
      <w:bookmarkStart w:id="136" w:name="_Toc151193692"/>
      <w:bookmarkStart w:id="137" w:name="_Toc151193910"/>
      <w:bookmarkStart w:id="138" w:name="_Toc150774622"/>
      <w:bookmarkStart w:id="139" w:name="_Toc520356146"/>
      <w:bookmarkStart w:id="140" w:name="_Toc151193836"/>
      <w:bookmarkStart w:id="141" w:name="_Toc151190149"/>
      <w:bookmarkStart w:id="142" w:name="_Toc127151522"/>
      <w:bookmarkStart w:id="143" w:name="_Toc142311024"/>
      <w:bookmarkStart w:id="144" w:name="_Toc305158864"/>
      <w:bookmarkStart w:id="145" w:name="_Toc151193764"/>
      <w:bookmarkStart w:id="146" w:name="_Toc226337218"/>
      <w:bookmarkStart w:id="147" w:name="_Toc150774727"/>
      <w:bookmarkStart w:id="148" w:name="_Toc195842887"/>
    </w:p>
    <w:p w14:paraId="4FF164F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351F232D">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3716F69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F9CA8B9">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711DC27">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C539E8C">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BF43AB5">
      <w:pPr>
        <w:numPr>
          <w:ilvl w:val="1"/>
          <w:numId w:val="8"/>
        </w:numPr>
        <w:tabs>
          <w:tab w:val="left" w:pos="1080"/>
        </w:tabs>
        <w:snapToGrid w:val="0"/>
        <w:spacing w:line="360" w:lineRule="auto"/>
        <w:rPr>
          <w:sz w:val="24"/>
        </w:rPr>
      </w:pPr>
      <w:r>
        <w:rPr>
          <w:rFonts w:hint="eastAsia"/>
          <w:sz w:val="24"/>
        </w:rPr>
        <w:t>本国产品</w:t>
      </w:r>
    </w:p>
    <w:p w14:paraId="0DF42A94">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55BDDAC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34DA8FD7">
      <w:pPr>
        <w:numPr>
          <w:ilvl w:val="2"/>
          <w:numId w:val="8"/>
        </w:numPr>
        <w:snapToGrid w:val="0"/>
        <w:spacing w:line="360" w:lineRule="auto"/>
        <w:rPr>
          <w:rFonts w:eastAsiaTheme="minorEastAsia"/>
          <w:sz w:val="24"/>
        </w:rPr>
      </w:pPr>
      <w:r>
        <w:rPr>
          <w:rFonts w:eastAsiaTheme="minorEastAsia"/>
          <w:sz w:val="24"/>
        </w:rPr>
        <w:t>中小企业定义：</w:t>
      </w:r>
    </w:p>
    <w:p w14:paraId="11651BD3">
      <w:pPr>
        <w:numPr>
          <w:ilvl w:val="3"/>
          <w:numId w:val="8"/>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51D9EBE8">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07F7303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BBFFE14">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A10AC35">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EB744F9">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C68387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6D3A26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5FFDB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0397F1A">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6BB1199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6D10D520">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2177BE1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4DAD21A9">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557AE35">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C04A97">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6D6FB5D">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6C81F4F">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806349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79437E1">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3444708">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E4D869">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9A214FD">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9C57D8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012E991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1E870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0AFD58E">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057CA2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2AF52886">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BB3B95F">
      <w:pPr>
        <w:numPr>
          <w:ilvl w:val="1"/>
          <w:numId w:val="8"/>
        </w:numPr>
        <w:tabs>
          <w:tab w:val="left" w:pos="1080"/>
        </w:tabs>
        <w:snapToGrid w:val="0"/>
        <w:spacing w:line="360" w:lineRule="auto"/>
        <w:rPr>
          <w:sz w:val="24"/>
        </w:rPr>
      </w:pPr>
      <w:r>
        <w:rPr>
          <w:sz w:val="24"/>
        </w:rPr>
        <w:t>采购需求标准</w:t>
      </w:r>
    </w:p>
    <w:p w14:paraId="34BC03C1">
      <w:pPr>
        <w:numPr>
          <w:ilvl w:val="2"/>
          <w:numId w:val="8"/>
        </w:numPr>
        <w:snapToGrid w:val="0"/>
        <w:spacing w:line="360" w:lineRule="auto"/>
        <w:rPr>
          <w:sz w:val="24"/>
        </w:rPr>
      </w:pPr>
      <w:r>
        <w:rPr>
          <w:sz w:val="24"/>
        </w:rPr>
        <w:t>商品包装、快递包装政府采购需求标准（试行）</w:t>
      </w:r>
    </w:p>
    <w:p w14:paraId="1383016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55CB264">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CBD737B">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3BA854C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CBD03D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9E56D06">
      <w:pPr>
        <w:tabs>
          <w:tab w:val="left" w:pos="1080"/>
        </w:tabs>
        <w:snapToGrid w:val="0"/>
        <w:spacing w:line="360" w:lineRule="auto"/>
        <w:ind w:left="1080"/>
        <w:rPr>
          <w:rFonts w:eastAsiaTheme="minorEastAsia"/>
          <w:sz w:val="28"/>
        </w:rPr>
      </w:pPr>
      <w:bookmarkStart w:id="150" w:name="_1.8_计量单位"/>
      <w:bookmarkEnd w:id="150"/>
    </w:p>
    <w:p w14:paraId="0DD811A4">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986BE30">
      <w:pPr>
        <w:numPr>
          <w:ilvl w:val="0"/>
          <w:numId w:val="8"/>
        </w:numPr>
        <w:tabs>
          <w:tab w:val="left" w:pos="360"/>
        </w:tabs>
        <w:snapToGrid w:val="0"/>
        <w:spacing w:line="360" w:lineRule="auto"/>
        <w:ind w:left="357" w:hanging="357"/>
        <w:outlineLvl w:val="1"/>
        <w:rPr>
          <w:rFonts w:eastAsiaTheme="minorEastAsia"/>
          <w:sz w:val="24"/>
        </w:rPr>
      </w:pPr>
      <w:bookmarkStart w:id="151" w:name="_Toc150774728"/>
      <w:bookmarkStart w:id="152" w:name="_Toc151193765"/>
      <w:bookmarkStart w:id="153" w:name="_Toc127161437"/>
      <w:bookmarkStart w:id="154" w:name="_Toc150480761"/>
      <w:bookmarkStart w:id="155" w:name="_Toc520356147"/>
      <w:bookmarkStart w:id="156" w:name="_Toc151190150"/>
      <w:bookmarkStart w:id="157" w:name="_Toc150509274"/>
      <w:bookmarkStart w:id="158" w:name="_Toc151193911"/>
      <w:bookmarkStart w:id="159" w:name="_Toc226965796"/>
      <w:bookmarkStart w:id="160" w:name="_Toc127151523"/>
      <w:bookmarkStart w:id="161" w:name="_Toc264969213"/>
      <w:bookmarkStart w:id="162" w:name="_Toc305158865"/>
      <w:bookmarkStart w:id="163" w:name="_Toc150774623"/>
      <w:bookmarkStart w:id="164" w:name="_Toc151193837"/>
      <w:bookmarkStart w:id="165" w:name="_Toc164229218"/>
      <w:bookmarkStart w:id="166" w:name="_Toc164229364"/>
      <w:bookmarkStart w:id="167" w:name="_Toc226337219"/>
      <w:bookmarkStart w:id="168" w:name="_Toc226309767"/>
      <w:bookmarkStart w:id="169" w:name="_Toc151193621"/>
      <w:bookmarkStart w:id="170" w:name="_Toc164608792"/>
      <w:bookmarkStart w:id="171" w:name="_Toc265228361"/>
      <w:bookmarkStart w:id="172" w:name="_Toc195842888"/>
      <w:bookmarkStart w:id="173" w:name="_Toc142311025"/>
      <w:bookmarkStart w:id="174" w:name="_Toc127151724"/>
      <w:bookmarkStart w:id="175" w:name="_Toc164608637"/>
      <w:bookmarkStart w:id="176" w:name="_Toc164351617"/>
      <w:bookmarkStart w:id="177" w:name="_Toc226965713"/>
      <w:bookmarkStart w:id="178" w:name="_Toc151193693"/>
      <w:bookmarkStart w:id="179" w:name="_Toc305158791"/>
      <w:bookmarkStart w:id="180" w:name="_Toc149720816"/>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73FE8AF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16692D1">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37D3CD0">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171EE677">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0C1684A5">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B6181EC">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42AFEE3">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7B833D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CC7661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2B5050A4">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632404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3814F1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47925C52">
      <w:pPr>
        <w:tabs>
          <w:tab w:val="left" w:pos="1080"/>
          <w:tab w:val="left" w:pos="1561"/>
        </w:tabs>
        <w:snapToGrid w:val="0"/>
        <w:spacing w:line="360" w:lineRule="auto"/>
        <w:ind w:left="1080"/>
        <w:rPr>
          <w:rFonts w:eastAsiaTheme="minorEastAsia"/>
          <w:sz w:val="28"/>
        </w:rPr>
      </w:pPr>
      <w:bookmarkStart w:id="181" w:name="_Toc516367020"/>
      <w:bookmarkStart w:id="182" w:name="_Toc150774731"/>
      <w:bookmarkStart w:id="183" w:name="_Toc127151526"/>
      <w:bookmarkStart w:id="184" w:name="_Toc305158794"/>
      <w:bookmarkStart w:id="185" w:name="_Toc151193696"/>
      <w:bookmarkStart w:id="186" w:name="_Toc226965716"/>
      <w:bookmarkStart w:id="187" w:name="_Toc150480764"/>
      <w:bookmarkStart w:id="188" w:name="_Toc265228364"/>
      <w:bookmarkStart w:id="189" w:name="_Toc520356150"/>
      <w:bookmarkStart w:id="190" w:name="_Toc151193768"/>
      <w:bookmarkStart w:id="191" w:name="_Toc226965799"/>
      <w:bookmarkStart w:id="192" w:name="_Toc226337222"/>
      <w:bookmarkStart w:id="193" w:name="_Toc151193624"/>
      <w:bookmarkStart w:id="194" w:name="_Toc151190153"/>
      <w:bookmarkStart w:id="195" w:name="_Toc150509277"/>
      <w:bookmarkStart w:id="196" w:name="_Toc150774626"/>
      <w:bookmarkStart w:id="197" w:name="_Toc195842891"/>
      <w:bookmarkStart w:id="198" w:name="_Toc151193914"/>
      <w:bookmarkStart w:id="199" w:name="_Toc264969216"/>
      <w:bookmarkStart w:id="200" w:name="_Toc142311028"/>
      <w:bookmarkStart w:id="201" w:name="_Toc151193840"/>
      <w:bookmarkStart w:id="202" w:name="_Toc305158868"/>
      <w:bookmarkStart w:id="203" w:name="_Toc226309770"/>
    </w:p>
    <w:p w14:paraId="6CCA2122">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80F1931">
      <w:pPr>
        <w:numPr>
          <w:ilvl w:val="0"/>
          <w:numId w:val="8"/>
        </w:numPr>
        <w:tabs>
          <w:tab w:val="left" w:pos="360"/>
        </w:tabs>
        <w:snapToGrid w:val="0"/>
        <w:spacing w:line="360" w:lineRule="auto"/>
        <w:ind w:left="357" w:hanging="357"/>
        <w:outlineLvl w:val="1"/>
        <w:rPr>
          <w:rFonts w:eastAsiaTheme="minorEastAsia"/>
          <w:sz w:val="24"/>
        </w:rPr>
      </w:pPr>
      <w:bookmarkStart w:id="204" w:name="_Toc151193625"/>
      <w:bookmarkStart w:id="205" w:name="_Toc226309771"/>
      <w:bookmarkStart w:id="206" w:name="_Toc150774732"/>
      <w:bookmarkStart w:id="207" w:name="_Toc151193769"/>
      <w:bookmarkStart w:id="208" w:name="_Toc164229222"/>
      <w:bookmarkStart w:id="209" w:name="_Toc305158795"/>
      <w:bookmarkStart w:id="210" w:name="_Toc150774627"/>
      <w:bookmarkStart w:id="211" w:name="_Toc151193915"/>
      <w:bookmarkStart w:id="212" w:name="_Toc151190154"/>
      <w:bookmarkStart w:id="213" w:name="_Toc142311029"/>
      <w:bookmarkStart w:id="214" w:name="_Toc305158869"/>
      <w:bookmarkStart w:id="215" w:name="_Toc520356151"/>
      <w:bookmarkStart w:id="216" w:name="_Toc149720820"/>
      <w:bookmarkStart w:id="217" w:name="_Toc164608641"/>
      <w:bookmarkStart w:id="218" w:name="_Toc151193697"/>
      <w:bookmarkStart w:id="219" w:name="_Toc150480765"/>
      <w:bookmarkStart w:id="220" w:name="_Toc150509278"/>
      <w:bookmarkStart w:id="221" w:name="_Toc516367021"/>
      <w:bookmarkStart w:id="222" w:name="_Toc164229368"/>
      <w:bookmarkStart w:id="223" w:name="_Toc127151527"/>
      <w:bookmarkStart w:id="224" w:name="_Toc226965800"/>
      <w:bookmarkStart w:id="225" w:name="_Toc264969217"/>
      <w:bookmarkStart w:id="226" w:name="_Toc127161441"/>
      <w:bookmarkStart w:id="227" w:name="_Toc164351621"/>
      <w:bookmarkStart w:id="228" w:name="_Toc265228365"/>
      <w:bookmarkStart w:id="229" w:name="_Toc195842892"/>
      <w:bookmarkStart w:id="230" w:name="_Toc226965717"/>
      <w:bookmarkStart w:id="231" w:name="_Toc151193841"/>
      <w:bookmarkStart w:id="232" w:name="_Toc226337223"/>
      <w:bookmarkStart w:id="233" w:name="_Toc164608796"/>
      <w:bookmarkStart w:id="234" w:name="_Toc127151728"/>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5553B1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6ABD1FA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5B72745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A26C94">
      <w:pPr>
        <w:numPr>
          <w:ilvl w:val="0"/>
          <w:numId w:val="8"/>
        </w:numPr>
        <w:tabs>
          <w:tab w:val="left" w:pos="360"/>
        </w:tabs>
        <w:snapToGrid w:val="0"/>
        <w:spacing w:line="360" w:lineRule="auto"/>
        <w:ind w:left="357" w:hanging="357"/>
        <w:outlineLvl w:val="1"/>
        <w:rPr>
          <w:rFonts w:eastAsiaTheme="minorEastAsia"/>
          <w:sz w:val="24"/>
        </w:rPr>
      </w:pPr>
      <w:bookmarkStart w:id="235" w:name="_Toc516367022"/>
      <w:bookmarkStart w:id="236" w:name="_Ref467306676"/>
      <w:bookmarkStart w:id="237" w:name="_Ref467306195"/>
      <w:bookmarkStart w:id="238" w:name="_Toc164608642"/>
      <w:bookmarkStart w:id="239" w:name="_Toc226309772"/>
      <w:bookmarkStart w:id="240" w:name="_Toc151193626"/>
      <w:bookmarkStart w:id="241" w:name="_Toc150509279"/>
      <w:bookmarkStart w:id="242" w:name="_Toc127151528"/>
      <w:bookmarkStart w:id="243" w:name="_Toc305158870"/>
      <w:bookmarkStart w:id="244" w:name="_Toc164229223"/>
      <w:bookmarkStart w:id="245" w:name="_Toc151193916"/>
      <w:bookmarkStart w:id="246" w:name="_Toc149720821"/>
      <w:bookmarkStart w:id="247" w:name="_Toc520356152"/>
      <w:bookmarkStart w:id="248" w:name="_Toc226965718"/>
      <w:bookmarkStart w:id="249" w:name="_Toc164229369"/>
      <w:bookmarkStart w:id="250" w:name="_Toc150774628"/>
      <w:bookmarkStart w:id="251" w:name="_Toc142311030"/>
      <w:bookmarkStart w:id="252" w:name="_Toc265228366"/>
      <w:bookmarkStart w:id="253" w:name="_Toc151193770"/>
      <w:bookmarkStart w:id="254" w:name="_Toc164351622"/>
      <w:bookmarkStart w:id="255" w:name="_Toc151190155"/>
      <w:bookmarkStart w:id="256" w:name="_Toc226337224"/>
      <w:bookmarkStart w:id="257" w:name="_Toc226965801"/>
      <w:bookmarkStart w:id="258" w:name="_Toc305158796"/>
      <w:bookmarkStart w:id="259" w:name="_Toc127161442"/>
      <w:bookmarkStart w:id="260" w:name="_Toc150480766"/>
      <w:bookmarkStart w:id="261" w:name="_Toc195842893"/>
      <w:bookmarkStart w:id="262" w:name="_Toc264969218"/>
      <w:bookmarkStart w:id="263" w:name="_Toc127151729"/>
      <w:bookmarkStart w:id="264" w:name="_Toc151193698"/>
      <w:bookmarkStart w:id="265" w:name="_Toc150774733"/>
      <w:bookmarkStart w:id="266" w:name="_Toc164608797"/>
      <w:bookmarkStart w:id="267" w:name="_Toc151193842"/>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012CAAE">
      <w:pPr>
        <w:numPr>
          <w:ilvl w:val="1"/>
          <w:numId w:val="8"/>
        </w:numPr>
        <w:tabs>
          <w:tab w:val="left" w:pos="1080"/>
          <w:tab w:val="left" w:pos="2014"/>
        </w:tabs>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7B6F20D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64B399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D8BE42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DAECB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8"/>
    </w:p>
    <w:p w14:paraId="36A14066">
      <w:pPr>
        <w:numPr>
          <w:ilvl w:val="0"/>
          <w:numId w:val="8"/>
        </w:numPr>
        <w:tabs>
          <w:tab w:val="left" w:pos="360"/>
        </w:tabs>
        <w:snapToGrid w:val="0"/>
        <w:spacing w:line="360" w:lineRule="auto"/>
        <w:ind w:left="357" w:hanging="357"/>
        <w:outlineLvl w:val="1"/>
        <w:rPr>
          <w:rFonts w:eastAsiaTheme="minorEastAsia"/>
          <w:sz w:val="24"/>
        </w:rPr>
      </w:pPr>
      <w:bookmarkStart w:id="269" w:name="_Toc520356155"/>
      <w:bookmarkStart w:id="270" w:name="_Toc150509281"/>
      <w:bookmarkStart w:id="271" w:name="_Toc149720823"/>
      <w:bookmarkStart w:id="272" w:name="_Toc127161444"/>
      <w:bookmarkStart w:id="273" w:name="_Toc151193918"/>
      <w:bookmarkStart w:id="274" w:name="_Toc151193772"/>
      <w:bookmarkStart w:id="275" w:name="_Toc150774630"/>
      <w:bookmarkStart w:id="276" w:name="_Toc127151530"/>
      <w:bookmarkStart w:id="277" w:name="_Toc150774735"/>
      <w:bookmarkStart w:id="278" w:name="_Toc164608644"/>
      <w:bookmarkStart w:id="279" w:name="_Toc151193700"/>
      <w:bookmarkStart w:id="280" w:name="_Toc164608799"/>
      <w:bookmarkStart w:id="281" w:name="_Toc164229371"/>
      <w:bookmarkStart w:id="282" w:name="_Toc151193844"/>
      <w:bookmarkStart w:id="283" w:name="_Toc151193628"/>
      <w:bookmarkStart w:id="284" w:name="_Toc150480768"/>
      <w:bookmarkStart w:id="285" w:name="_Toc142311032"/>
      <w:bookmarkStart w:id="286" w:name="_Toc164351624"/>
      <w:bookmarkStart w:id="287" w:name="_Toc164229225"/>
      <w:bookmarkStart w:id="288" w:name="_Toc151190157"/>
      <w:bookmarkStart w:id="289" w:name="_Toc127151731"/>
      <w:bookmarkStart w:id="290" w:name="_Toc195842895"/>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269640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4B2DE9E6">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03701C4">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231A214">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AF5503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58F420A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58C35F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776D5561">
      <w:pPr>
        <w:numPr>
          <w:ilvl w:val="1"/>
          <w:numId w:val="8"/>
        </w:numPr>
        <w:tabs>
          <w:tab w:val="left" w:pos="1080"/>
          <w:tab w:val="left" w:pos="2014"/>
        </w:tabs>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18797EB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92182E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2B1399F6">
      <w:pPr>
        <w:numPr>
          <w:ilvl w:val="1"/>
          <w:numId w:val="8"/>
        </w:numPr>
        <w:tabs>
          <w:tab w:val="left" w:pos="1080"/>
          <w:tab w:val="left" w:pos="2014"/>
        </w:tabs>
        <w:snapToGrid w:val="0"/>
        <w:spacing w:line="360" w:lineRule="auto"/>
        <w:ind w:left="1077" w:hanging="720"/>
        <w:rPr>
          <w:b/>
          <w:bCs/>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r>
        <w:rPr>
          <w:rFonts w:hint="eastAsia"/>
          <w:b/>
          <w:bCs/>
          <w:sz w:val="24"/>
        </w:rPr>
        <w:t>（适用于全流程电子化采购项目）</w:t>
      </w:r>
    </w:p>
    <w:bookmarkEnd w:id="293"/>
    <w:p w14:paraId="6374826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44037C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2C08806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F7970B4">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1FAC5828">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85A2B03">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6D1C64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36DFE2B">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14A24F77">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33D2027">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ADA3A71">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DB9416C">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30C4418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6CC8EF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65FE479">
      <w:pPr>
        <w:numPr>
          <w:ilvl w:val="0"/>
          <w:numId w:val="8"/>
        </w:numPr>
        <w:tabs>
          <w:tab w:val="left" w:pos="360"/>
        </w:tabs>
        <w:snapToGrid w:val="0"/>
        <w:spacing w:line="360" w:lineRule="auto"/>
        <w:ind w:left="357" w:hanging="357"/>
        <w:outlineLvl w:val="1"/>
        <w:rPr>
          <w:rFonts w:eastAsiaTheme="minorEastAsia"/>
          <w:sz w:val="24"/>
        </w:rPr>
      </w:pPr>
      <w:bookmarkStart w:id="294" w:name="_Toc151193631"/>
      <w:bookmarkStart w:id="295" w:name="_Toc151190160"/>
      <w:bookmarkStart w:id="296" w:name="_Toc151193775"/>
      <w:bookmarkStart w:id="297" w:name="_Toc151193703"/>
      <w:bookmarkStart w:id="298" w:name="_Toc150774633"/>
      <w:bookmarkStart w:id="299" w:name="_Toc149720826"/>
      <w:bookmarkStart w:id="300" w:name="_Toc127161447"/>
      <w:bookmarkStart w:id="301" w:name="_Toc127151533"/>
      <w:bookmarkStart w:id="302" w:name="_Toc226965806"/>
      <w:bookmarkStart w:id="303" w:name="_Toc164229374"/>
      <w:bookmarkStart w:id="304" w:name="_Toc150509284"/>
      <w:bookmarkStart w:id="305" w:name="_Toc265228371"/>
      <w:bookmarkStart w:id="306" w:name="_Toc164229228"/>
      <w:bookmarkStart w:id="307" w:name="_Toc150480771"/>
      <w:bookmarkStart w:id="308" w:name="_Toc151193921"/>
      <w:bookmarkStart w:id="309" w:name="_Toc305158801"/>
      <w:bookmarkStart w:id="310" w:name="_Toc127151734"/>
      <w:bookmarkStart w:id="311" w:name="_Toc150774738"/>
      <w:bookmarkStart w:id="312" w:name="_Toc226965723"/>
      <w:bookmarkStart w:id="313" w:name="_Toc264969223"/>
      <w:bookmarkStart w:id="314" w:name="_Toc305158875"/>
      <w:bookmarkStart w:id="315" w:name="_Toc164608647"/>
      <w:bookmarkStart w:id="316" w:name="_Toc226337229"/>
      <w:bookmarkStart w:id="317" w:name="_Toc142311035"/>
      <w:bookmarkStart w:id="318" w:name="_Toc164608802"/>
      <w:bookmarkStart w:id="319" w:name="_Toc151193847"/>
      <w:bookmarkStart w:id="320" w:name="_Toc164351627"/>
      <w:bookmarkStart w:id="321" w:name="_Toc520356158"/>
      <w:bookmarkStart w:id="322" w:name="_Toc195842898"/>
      <w:bookmarkStart w:id="323" w:name="_Toc226309777"/>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37AD236A">
      <w:pPr>
        <w:numPr>
          <w:ilvl w:val="1"/>
          <w:numId w:val="8"/>
        </w:numPr>
        <w:tabs>
          <w:tab w:val="left" w:pos="1080"/>
        </w:tabs>
        <w:snapToGrid w:val="0"/>
        <w:spacing w:line="360" w:lineRule="auto"/>
        <w:rPr>
          <w:rFonts w:eastAsiaTheme="minorEastAsia"/>
          <w:b/>
          <w:bCs/>
          <w:sz w:val="24"/>
        </w:rPr>
      </w:pPr>
      <w:bookmarkStart w:id="324" w:name="_Toc127151534"/>
      <w:bookmarkStart w:id="325" w:name="_Toc151193632"/>
      <w:bookmarkStart w:id="326" w:name="_Toc226965724"/>
      <w:bookmarkStart w:id="327" w:name="_Toc150774634"/>
      <w:bookmarkStart w:id="328" w:name="_Toc151193922"/>
      <w:bookmarkStart w:id="329" w:name="_Toc305158802"/>
      <w:bookmarkStart w:id="330" w:name="_Toc151190161"/>
      <w:bookmarkStart w:id="331" w:name="_Toc226309778"/>
      <w:bookmarkStart w:id="332" w:name="_Toc195842899"/>
      <w:bookmarkStart w:id="333" w:name="_Toc150774739"/>
      <w:bookmarkStart w:id="334" w:name="_Toc520356159"/>
      <w:bookmarkStart w:id="335" w:name="_Toc226965807"/>
      <w:bookmarkStart w:id="336" w:name="_Toc305158876"/>
      <w:bookmarkStart w:id="337" w:name="_Toc151193776"/>
      <w:bookmarkStart w:id="338" w:name="_Toc264969224"/>
      <w:bookmarkStart w:id="339" w:name="_Toc226337230"/>
      <w:bookmarkStart w:id="340" w:name="_Toc150509285"/>
      <w:bookmarkStart w:id="341" w:name="_Toc150480772"/>
      <w:bookmarkStart w:id="342" w:name="_Toc265228372"/>
      <w:bookmarkStart w:id="343" w:name="_Toc151193848"/>
      <w:bookmarkStart w:id="344" w:name="_Toc142311036"/>
      <w:bookmarkStart w:id="345" w:name="_Toc151193704"/>
      <w:r>
        <w:rPr>
          <w:rFonts w:hint="eastAsia"/>
          <w:sz w:val="24"/>
          <w:lang w:bidi="ar"/>
        </w:rPr>
        <w:t>采用</w:t>
      </w:r>
      <w:r>
        <w:rPr>
          <w:sz w:val="24"/>
          <w:lang w:bidi="ar"/>
        </w:rPr>
        <w:t>全流程电子化采购</w:t>
      </w:r>
      <w:r>
        <w:rPr>
          <w:rFonts w:hint="eastAsia"/>
          <w:sz w:val="24"/>
          <w:lang w:bidi="ar"/>
        </w:rPr>
        <w:t>的情形</w:t>
      </w:r>
      <w:r>
        <w:rPr>
          <w:rFonts w:hint="eastAsia"/>
          <w:b/>
          <w:bCs/>
          <w:sz w:val="24"/>
          <w:lang w:bidi="ar"/>
        </w:rPr>
        <w:t>（本项目不适用）</w:t>
      </w:r>
    </w:p>
    <w:p w14:paraId="2207A1BE">
      <w:pPr>
        <w:numPr>
          <w:ilvl w:val="2"/>
          <w:numId w:val="8"/>
        </w:numPr>
        <w:snapToGrid w:val="0"/>
        <w:spacing w:line="360" w:lineRule="auto"/>
        <w:rPr>
          <w:rFonts w:eastAsiaTheme="minorEastAsia"/>
          <w:sz w:val="24"/>
        </w:rPr>
      </w:pPr>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33224044">
      <w:pPr>
        <w:numPr>
          <w:ilvl w:val="2"/>
          <w:numId w:val="8"/>
        </w:numPr>
        <w:snapToGrid w:val="0"/>
        <w:spacing w:line="360" w:lineRule="auto"/>
        <w:rPr>
          <w:rFonts w:eastAsiaTheme="minorEastAsia"/>
          <w:sz w:val="24"/>
        </w:rPr>
      </w:pPr>
      <w:r>
        <w:rPr>
          <w:rFonts w:hint="eastAsia" w:eastAsiaTheme="minorEastAsia"/>
          <w:sz w:val="24"/>
        </w:rPr>
        <w:t>竞争性磋商文件要求盖章的内容，一般通过投标文件编制工具加盖电子签章。</w:t>
      </w:r>
    </w:p>
    <w:p w14:paraId="77B3C127">
      <w:pPr>
        <w:numPr>
          <w:ilvl w:val="1"/>
          <w:numId w:val="8"/>
        </w:numPr>
        <w:tabs>
          <w:tab w:val="left" w:pos="1080"/>
          <w:tab w:val="left" w:pos="2014"/>
        </w:tabs>
        <w:snapToGrid w:val="0"/>
        <w:spacing w:line="360" w:lineRule="auto"/>
        <w:ind w:left="1077" w:hanging="720"/>
        <w:rPr>
          <w:sz w:val="24"/>
        </w:rPr>
      </w:pPr>
      <w:r>
        <w:rPr>
          <w:rFonts w:hint="eastAsia"/>
          <w:bCs/>
          <w:sz w:val="24"/>
        </w:rPr>
        <w:t>线上获取</w:t>
      </w:r>
      <w:r>
        <w:rPr>
          <w:sz w:val="24"/>
        </w:rPr>
        <w:t>竞争性磋商</w:t>
      </w:r>
      <w:r>
        <w:rPr>
          <w:rFonts w:hint="eastAsia"/>
          <w:bCs/>
          <w:sz w:val="24"/>
        </w:rPr>
        <w:t>文件，线下递交纸质响应文件的情形</w:t>
      </w:r>
      <w:r>
        <w:rPr>
          <w:rFonts w:hint="eastAsia"/>
          <w:b/>
          <w:sz w:val="24"/>
          <w:lang w:bidi="ar"/>
        </w:rPr>
        <w:t>（本项目适用）</w:t>
      </w:r>
    </w:p>
    <w:p w14:paraId="562B0FB4">
      <w:pPr>
        <w:numPr>
          <w:ilvl w:val="2"/>
          <w:numId w:val="8"/>
        </w:numPr>
        <w:snapToGrid w:val="0"/>
        <w:spacing w:line="360" w:lineRule="auto"/>
        <w:rPr>
          <w:rFonts w:eastAsiaTheme="minorEastAsia"/>
          <w:sz w:val="24"/>
        </w:rPr>
      </w:pPr>
      <w:r>
        <w:rPr>
          <w:rFonts w:hint="eastAsia"/>
          <w:sz w:val="24"/>
        </w:rPr>
        <w:t>竞争性磋商文件要求签字的内容，可以由签字人手签，加盖签字人签章或印鉴；磋商文件要求盖章的内容（如授权委托书等），必须使用原件；要求第三方出具的盖章件原件（如联合协议、分包意向协议、制造商授权书等），响应文件中应使用原件</w:t>
      </w:r>
      <w:r>
        <w:rPr>
          <w:sz w:val="24"/>
        </w:rPr>
        <w:t>。</w:t>
      </w:r>
    </w:p>
    <w:p w14:paraId="1CE3D272">
      <w:pPr>
        <w:tabs>
          <w:tab w:val="left" w:pos="900"/>
          <w:tab w:val="left" w:pos="1080"/>
        </w:tabs>
        <w:snapToGrid w:val="0"/>
        <w:spacing w:line="360" w:lineRule="auto"/>
        <w:ind w:left="357"/>
        <w:rPr>
          <w:rFonts w:eastAsiaTheme="minorEastAsia"/>
        </w:rPr>
      </w:pPr>
    </w:p>
    <w:p w14:paraId="461E1C52">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F0E062E">
      <w:pPr>
        <w:numPr>
          <w:ilvl w:val="0"/>
          <w:numId w:val="8"/>
        </w:numPr>
        <w:tabs>
          <w:tab w:val="left" w:pos="360"/>
        </w:tabs>
        <w:snapToGrid w:val="0"/>
        <w:spacing w:line="360" w:lineRule="auto"/>
        <w:ind w:left="357" w:hanging="357"/>
        <w:outlineLvl w:val="1"/>
        <w:rPr>
          <w:rFonts w:eastAsiaTheme="minorEastAsia"/>
          <w:sz w:val="24"/>
        </w:rPr>
      </w:pPr>
      <w:bookmarkStart w:id="346" w:name="_Toc164229230"/>
      <w:bookmarkStart w:id="347" w:name="_Toc226309779"/>
      <w:bookmarkStart w:id="348" w:name="_Toc142311037"/>
      <w:bookmarkStart w:id="349" w:name="_Toc164229376"/>
      <w:bookmarkStart w:id="350" w:name="_Toc151193849"/>
      <w:bookmarkStart w:id="351" w:name="_Toc226965808"/>
      <w:bookmarkStart w:id="352" w:name="_Toc151193777"/>
      <w:bookmarkStart w:id="353" w:name="_Toc150774740"/>
      <w:bookmarkStart w:id="354" w:name="_Toc226337231"/>
      <w:bookmarkStart w:id="355" w:name="_Toc164608649"/>
      <w:bookmarkStart w:id="356" w:name="_Toc164608804"/>
      <w:bookmarkStart w:id="357" w:name="_Toc265228373"/>
      <w:bookmarkStart w:id="358" w:name="_Toc305158877"/>
      <w:bookmarkStart w:id="359" w:name="_Toc127161449"/>
      <w:bookmarkStart w:id="360" w:name="_Toc151190162"/>
      <w:bookmarkStart w:id="361" w:name="_Toc226965725"/>
      <w:bookmarkStart w:id="362" w:name="_Toc195842900"/>
      <w:bookmarkStart w:id="363" w:name="_Toc151193923"/>
      <w:bookmarkStart w:id="364" w:name="_Toc150509286"/>
      <w:bookmarkStart w:id="365" w:name="_Toc150774635"/>
      <w:bookmarkStart w:id="366" w:name="_Toc127151736"/>
      <w:bookmarkStart w:id="367" w:name="_Toc150480773"/>
      <w:bookmarkStart w:id="368" w:name="_Toc151193633"/>
      <w:bookmarkStart w:id="369" w:name="_Toc127151535"/>
      <w:bookmarkStart w:id="370" w:name="_Toc164351629"/>
      <w:bookmarkStart w:id="371" w:name="_Toc305158803"/>
      <w:bookmarkStart w:id="372" w:name="_Toc520356160"/>
      <w:bookmarkStart w:id="373" w:name="_Toc151193705"/>
      <w:bookmarkStart w:id="374" w:name="_Toc264969225"/>
      <w:bookmarkStart w:id="375" w:name="_Toc149720828"/>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43CAA56A">
      <w:pPr>
        <w:numPr>
          <w:ilvl w:val="1"/>
          <w:numId w:val="8"/>
        </w:numPr>
        <w:tabs>
          <w:tab w:val="left" w:pos="1080"/>
          <w:tab w:val="left" w:pos="2014"/>
        </w:tabs>
        <w:snapToGrid w:val="0"/>
        <w:spacing w:line="360" w:lineRule="auto"/>
        <w:ind w:left="1077" w:hanging="720"/>
        <w:rPr>
          <w:rFonts w:eastAsiaTheme="minorEastAsia"/>
          <w:b/>
          <w:bCs/>
          <w:sz w:val="24"/>
        </w:rPr>
      </w:pPr>
      <w:r>
        <w:rPr>
          <w:rFonts w:hint="eastAsia" w:eastAsiaTheme="minorEastAsia"/>
          <w:sz w:val="24"/>
        </w:rPr>
        <w:t>采用全流程电子化采购的情形</w:t>
      </w:r>
      <w:r>
        <w:rPr>
          <w:rFonts w:hint="eastAsia" w:eastAsiaTheme="minorEastAsia"/>
          <w:b/>
          <w:bCs/>
          <w:sz w:val="24"/>
        </w:rPr>
        <w:t>（本项目不适用）</w:t>
      </w:r>
    </w:p>
    <w:p w14:paraId="74FC6CE8">
      <w:pPr>
        <w:numPr>
          <w:ilvl w:val="2"/>
          <w:numId w:val="8"/>
        </w:numPr>
        <w:snapToGrid w:val="0"/>
        <w:spacing w:line="360" w:lineRule="auto"/>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11B077C0">
      <w:pPr>
        <w:numPr>
          <w:ilvl w:val="2"/>
          <w:numId w:val="8"/>
        </w:numPr>
        <w:snapToGrid w:val="0"/>
        <w:spacing w:line="360" w:lineRule="auto"/>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53DB864">
      <w:pPr>
        <w:numPr>
          <w:ilvl w:val="1"/>
          <w:numId w:val="8"/>
        </w:numPr>
        <w:tabs>
          <w:tab w:val="left" w:pos="1080"/>
          <w:tab w:val="left" w:pos="2014"/>
        </w:tabs>
        <w:snapToGrid w:val="0"/>
        <w:spacing w:line="360" w:lineRule="auto"/>
        <w:ind w:left="1077" w:hanging="720"/>
        <w:rPr>
          <w:rFonts w:eastAsiaTheme="minorEastAsia"/>
          <w:b/>
          <w:bCs/>
          <w:sz w:val="24"/>
        </w:rPr>
      </w:pPr>
      <w:r>
        <w:rPr>
          <w:rFonts w:hint="eastAsia" w:eastAsiaTheme="minorEastAsia"/>
          <w:sz w:val="24"/>
        </w:rPr>
        <w:t>采用线上获取竞争性磋商文件，线下递交纸质响应文件的方式</w:t>
      </w:r>
      <w:r>
        <w:rPr>
          <w:rFonts w:hint="eastAsia" w:eastAsiaTheme="minorEastAsia"/>
          <w:b/>
          <w:bCs/>
          <w:sz w:val="24"/>
        </w:rPr>
        <w:t>（本项目适用）</w:t>
      </w:r>
    </w:p>
    <w:p w14:paraId="49035295">
      <w:pPr>
        <w:numPr>
          <w:ilvl w:val="2"/>
          <w:numId w:val="8"/>
        </w:numPr>
        <w:snapToGrid w:val="0"/>
        <w:spacing w:line="360" w:lineRule="auto"/>
        <w:rPr>
          <w:rFonts w:eastAsiaTheme="minorEastAsia"/>
          <w:sz w:val="24"/>
        </w:rPr>
      </w:pPr>
      <w:r>
        <w:rPr>
          <w:rFonts w:hint="eastAsia" w:eastAsiaTheme="minorEastAsia"/>
          <w:sz w:val="24"/>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76496261">
      <w:pPr>
        <w:numPr>
          <w:ilvl w:val="2"/>
          <w:numId w:val="8"/>
        </w:numPr>
        <w:snapToGrid w:val="0"/>
        <w:spacing w:line="360" w:lineRule="auto"/>
        <w:rPr>
          <w:rFonts w:eastAsiaTheme="minorEastAsia"/>
          <w:sz w:val="24"/>
        </w:rPr>
      </w:pPr>
      <w:r>
        <w:rPr>
          <w:rFonts w:hint="eastAsia" w:eastAsiaTheme="minorEastAsia"/>
          <w:sz w:val="24"/>
        </w:rPr>
        <w:t>供应商应将响应文件（正本一份、副本三份）、电子版（一份，U盘内容含响应文件WORD电子文档及盖章签字后的响应文件正本的PDF扫描件各一份）、磋商保证金（电汇底单复印件一份）分别密封提交，并在信封上分别注明标明 “响应文件正本”、“响应文件副本”、“电子版”、“磋商保证金”字样，在响应文件提交时单独递交。同时提供“法人代表授权书复印件（加盖供应商公章）”及“授权代表身份证复印件（加盖供应商公章）”。</w:t>
      </w:r>
    </w:p>
    <w:p w14:paraId="05778B2A">
      <w:pPr>
        <w:numPr>
          <w:ilvl w:val="2"/>
          <w:numId w:val="8"/>
        </w:numPr>
        <w:snapToGrid w:val="0"/>
        <w:spacing w:line="360" w:lineRule="auto"/>
        <w:rPr>
          <w:rFonts w:eastAsiaTheme="minorEastAsia"/>
          <w:sz w:val="24"/>
        </w:rPr>
      </w:pPr>
      <w:r>
        <w:rPr>
          <w:rFonts w:hint="eastAsia" w:eastAsiaTheme="minorEastAsia"/>
          <w:sz w:val="24"/>
        </w:rPr>
        <w:t>所有信封上均应：</w:t>
      </w:r>
    </w:p>
    <w:p w14:paraId="2A6C6481">
      <w:pPr>
        <w:tabs>
          <w:tab w:val="left" w:pos="1050"/>
          <w:tab w:val="left" w:pos="2014"/>
        </w:tabs>
        <w:snapToGrid w:val="0"/>
        <w:spacing w:line="360" w:lineRule="auto"/>
        <w:ind w:left="1480"/>
        <w:rPr>
          <w:rFonts w:eastAsiaTheme="minorEastAsia"/>
          <w:sz w:val="24"/>
        </w:rPr>
      </w:pPr>
      <w:r>
        <w:rPr>
          <w:rFonts w:hint="eastAsia" w:eastAsiaTheme="minorEastAsia"/>
          <w:sz w:val="24"/>
        </w:rPr>
        <w:t>1）清楚标明递交至采购公告或磋商邀请书中指明的地址。</w:t>
      </w:r>
    </w:p>
    <w:p w14:paraId="00F6FD81">
      <w:pPr>
        <w:tabs>
          <w:tab w:val="left" w:pos="1050"/>
          <w:tab w:val="left" w:pos="2014"/>
        </w:tabs>
        <w:snapToGrid w:val="0"/>
        <w:spacing w:line="360" w:lineRule="auto"/>
        <w:ind w:left="1480"/>
        <w:rPr>
          <w:rFonts w:eastAsiaTheme="minorEastAsia"/>
          <w:sz w:val="24"/>
        </w:rPr>
      </w:pPr>
      <w:r>
        <w:rPr>
          <w:rFonts w:hint="eastAsia" w:eastAsiaTheme="minorEastAsia"/>
          <w:sz w:val="24"/>
        </w:rPr>
        <w:t>2）注明项目名称、招标编号和“在（开标时间）之前不得启封”的字样。</w:t>
      </w:r>
    </w:p>
    <w:p w14:paraId="7BBF217C">
      <w:pPr>
        <w:tabs>
          <w:tab w:val="left" w:pos="1050"/>
          <w:tab w:val="left" w:pos="2014"/>
        </w:tabs>
        <w:snapToGrid w:val="0"/>
        <w:spacing w:line="360" w:lineRule="auto"/>
        <w:ind w:left="1480"/>
        <w:rPr>
          <w:rFonts w:eastAsiaTheme="minorEastAsia"/>
          <w:sz w:val="24"/>
        </w:rPr>
      </w:pPr>
      <w:r>
        <w:rPr>
          <w:rFonts w:hint="eastAsia" w:eastAsiaTheme="minorEastAsia"/>
          <w:sz w:val="24"/>
        </w:rPr>
        <w:t>3）供应商提供响应文件的密封粘贴处应加盖本单位公章或被授权代表签字，以便确认密封情况，不符合要求的将被拒绝。</w:t>
      </w:r>
    </w:p>
    <w:p w14:paraId="54C6F0B1">
      <w:pPr>
        <w:numPr>
          <w:ilvl w:val="2"/>
          <w:numId w:val="8"/>
        </w:numPr>
        <w:snapToGrid w:val="0"/>
        <w:spacing w:line="360" w:lineRule="auto"/>
        <w:rPr>
          <w:rFonts w:eastAsiaTheme="minorEastAsia"/>
          <w:sz w:val="24"/>
        </w:rPr>
      </w:pPr>
      <w:r>
        <w:rPr>
          <w:rFonts w:hint="eastAsia" w:eastAsiaTheme="minorEastAsia"/>
          <w:sz w:val="24"/>
        </w:rPr>
        <w:t>所有信封上还应写明供应商名称和地址，以便采购代理机构在响应文件提交截止时间以后收到的响应文件，能原封退回。如果供应商未按上述要求加写标记的，采购代理机构对响应文件的误投概不负责。</w:t>
      </w:r>
    </w:p>
    <w:p w14:paraId="6F032048">
      <w:pPr>
        <w:numPr>
          <w:ilvl w:val="0"/>
          <w:numId w:val="8"/>
        </w:numPr>
        <w:tabs>
          <w:tab w:val="left" w:pos="360"/>
        </w:tabs>
        <w:snapToGrid w:val="0"/>
        <w:spacing w:line="360" w:lineRule="auto"/>
        <w:ind w:left="357" w:hanging="357"/>
        <w:outlineLvl w:val="1"/>
        <w:rPr>
          <w:rFonts w:eastAsiaTheme="minorEastAsia"/>
          <w:sz w:val="24"/>
        </w:rPr>
      </w:pPr>
      <w:bookmarkStart w:id="376" w:name="_Toc151193778"/>
      <w:bookmarkStart w:id="377" w:name="_Toc164229231"/>
      <w:bookmarkStart w:id="378" w:name="_Toc265228374"/>
      <w:bookmarkStart w:id="379" w:name="_Toc305158878"/>
      <w:bookmarkStart w:id="380" w:name="_Toc150480774"/>
      <w:bookmarkStart w:id="381" w:name="_Toc226309780"/>
      <w:bookmarkStart w:id="382" w:name="_Toc151193924"/>
      <w:bookmarkStart w:id="383" w:name="_Toc520356161"/>
      <w:bookmarkStart w:id="384" w:name="_Toc226965809"/>
      <w:bookmarkStart w:id="385" w:name="_Toc142311038"/>
      <w:bookmarkStart w:id="386" w:name="_Toc127151536"/>
      <w:bookmarkStart w:id="387" w:name="_Toc151190163"/>
      <w:bookmarkStart w:id="388" w:name="_Toc226965726"/>
      <w:bookmarkStart w:id="389" w:name="_Toc127161450"/>
      <w:bookmarkStart w:id="390" w:name="_Toc150509287"/>
      <w:bookmarkStart w:id="391" w:name="_Toc164608650"/>
      <w:bookmarkStart w:id="392" w:name="_Toc151193706"/>
      <w:bookmarkStart w:id="393" w:name="_Toc127151737"/>
      <w:bookmarkStart w:id="394" w:name="_Toc264969226"/>
      <w:bookmarkStart w:id="395" w:name="_Toc305158804"/>
      <w:bookmarkStart w:id="396" w:name="_Toc164351630"/>
      <w:bookmarkStart w:id="397" w:name="_Toc150774636"/>
      <w:bookmarkStart w:id="398" w:name="_Toc151193850"/>
      <w:bookmarkStart w:id="399" w:name="_Toc164608805"/>
      <w:bookmarkStart w:id="400" w:name="_Toc164229377"/>
      <w:bookmarkStart w:id="401" w:name="_Toc149720829"/>
      <w:bookmarkStart w:id="402" w:name="_Toc150774741"/>
      <w:bookmarkStart w:id="403" w:name="_Toc151193634"/>
      <w:bookmarkStart w:id="404" w:name="_Toc226337232"/>
      <w:bookmarkStart w:id="405" w:name="_Toc195842901"/>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120B85DF">
      <w:pPr>
        <w:numPr>
          <w:ilvl w:val="1"/>
          <w:numId w:val="8"/>
        </w:numPr>
        <w:tabs>
          <w:tab w:val="left" w:pos="1080"/>
          <w:tab w:val="left" w:pos="2014"/>
        </w:tabs>
        <w:snapToGrid w:val="0"/>
        <w:spacing w:line="360" w:lineRule="auto"/>
        <w:ind w:left="1077" w:hanging="720"/>
        <w:rPr>
          <w:sz w:val="24"/>
        </w:rPr>
      </w:pPr>
      <w:r>
        <w:rPr>
          <w:rFonts w:eastAsiaTheme="minorEastAsia"/>
          <w:sz w:val="24"/>
        </w:rPr>
        <w:t>供应商应在竞争性磋商文件要求响应文件提交截止时间前，将电子响应文件提交至电子交易平台。</w:t>
      </w:r>
      <w:r>
        <w:rPr>
          <w:b/>
          <w:sz w:val="24"/>
        </w:rPr>
        <w:t>（本项目不适用）</w:t>
      </w:r>
    </w:p>
    <w:p w14:paraId="78C3A8CA">
      <w:pPr>
        <w:numPr>
          <w:ilvl w:val="1"/>
          <w:numId w:val="8"/>
        </w:numPr>
        <w:tabs>
          <w:tab w:val="left" w:pos="1080"/>
          <w:tab w:val="left" w:pos="2014"/>
        </w:tabs>
        <w:snapToGrid w:val="0"/>
        <w:spacing w:line="360" w:lineRule="auto"/>
        <w:ind w:left="1077" w:hanging="720"/>
        <w:rPr>
          <w:rFonts w:eastAsiaTheme="minorEastAsia"/>
          <w:b/>
          <w:bCs/>
          <w:sz w:val="24"/>
        </w:rPr>
      </w:pPr>
      <w:r>
        <w:rPr>
          <w:rFonts w:hint="eastAsia" w:eastAsiaTheme="minorEastAsia"/>
          <w:sz w:val="24"/>
        </w:rPr>
        <w:t>供应商应在竞争性磋商文件要求提交响应文件截止时间前，将纸质响应文件提交至竞争性磋商文件规定的地点。</w:t>
      </w:r>
      <w:r>
        <w:rPr>
          <w:rFonts w:hint="eastAsia" w:eastAsiaTheme="minorEastAsia"/>
          <w:b/>
          <w:bCs/>
          <w:sz w:val="24"/>
        </w:rPr>
        <w:t>（本项目适用）</w:t>
      </w:r>
    </w:p>
    <w:p w14:paraId="3FD2DB68">
      <w:pPr>
        <w:numPr>
          <w:ilvl w:val="0"/>
          <w:numId w:val="8"/>
        </w:numPr>
        <w:tabs>
          <w:tab w:val="left" w:pos="360"/>
        </w:tabs>
        <w:snapToGrid w:val="0"/>
        <w:spacing w:line="360" w:lineRule="auto"/>
        <w:ind w:left="357" w:hanging="357"/>
        <w:outlineLvl w:val="1"/>
        <w:rPr>
          <w:rFonts w:eastAsiaTheme="minorEastAsia"/>
          <w:sz w:val="24"/>
        </w:rPr>
      </w:pPr>
      <w:bookmarkStart w:id="406" w:name="_Toc264969227"/>
      <w:bookmarkStart w:id="407" w:name="_Toc164229232"/>
      <w:bookmarkStart w:id="408" w:name="_Toc305158879"/>
      <w:bookmarkStart w:id="409" w:name="_Toc150480775"/>
      <w:bookmarkStart w:id="410" w:name="_Toc150774637"/>
      <w:bookmarkStart w:id="411" w:name="_Toc520356162"/>
      <w:bookmarkStart w:id="412" w:name="_Toc127161451"/>
      <w:bookmarkStart w:id="413" w:name="_Toc164229378"/>
      <w:bookmarkStart w:id="414" w:name="_Toc305158805"/>
      <w:bookmarkStart w:id="415" w:name="_Toc265228375"/>
      <w:bookmarkStart w:id="416" w:name="_Toc151193635"/>
      <w:bookmarkStart w:id="417" w:name="_Toc151190164"/>
      <w:bookmarkStart w:id="418" w:name="_Toc151193851"/>
      <w:bookmarkStart w:id="419" w:name="_Toc226337233"/>
      <w:bookmarkStart w:id="420" w:name="_Toc127151537"/>
      <w:bookmarkStart w:id="421" w:name="_Toc195842902"/>
      <w:bookmarkStart w:id="422" w:name="_Toc226965727"/>
      <w:bookmarkStart w:id="423" w:name="_Toc164608806"/>
      <w:bookmarkStart w:id="424" w:name="_Toc150509288"/>
      <w:bookmarkStart w:id="425" w:name="_Toc142311039"/>
      <w:bookmarkStart w:id="426" w:name="_Toc226965810"/>
      <w:bookmarkStart w:id="427" w:name="_Toc164608651"/>
      <w:bookmarkStart w:id="428" w:name="_Toc226309781"/>
      <w:bookmarkStart w:id="429" w:name="_Toc127151738"/>
      <w:bookmarkStart w:id="430" w:name="_Toc150774742"/>
      <w:bookmarkStart w:id="431" w:name="_Toc151193925"/>
      <w:bookmarkStart w:id="432" w:name="_Toc149720830"/>
      <w:bookmarkStart w:id="433" w:name="_Toc151193707"/>
      <w:bookmarkStart w:id="434" w:name="_Toc164351631"/>
      <w:bookmarkStart w:id="435" w:name="_Toc151193779"/>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225A106">
      <w:pPr>
        <w:numPr>
          <w:ilvl w:val="1"/>
          <w:numId w:val="8"/>
        </w:numPr>
        <w:tabs>
          <w:tab w:val="left" w:pos="1080"/>
          <w:tab w:val="left" w:pos="2014"/>
        </w:tabs>
        <w:snapToGrid w:val="0"/>
        <w:spacing w:line="360" w:lineRule="auto"/>
        <w:ind w:left="1077" w:hanging="720"/>
        <w:rPr>
          <w:rFonts w:eastAsiaTheme="minorEastAsia"/>
          <w:b/>
          <w:bCs/>
          <w:color w:val="000000"/>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r>
        <w:rPr>
          <w:rFonts w:eastAsiaTheme="minorEastAsia"/>
          <w:b/>
          <w:bCs/>
          <w:color w:val="000000"/>
          <w:sz w:val="24"/>
        </w:rPr>
        <w:t>（本项目不适用）</w:t>
      </w:r>
    </w:p>
    <w:p w14:paraId="6BB8602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35B0406">
      <w:pPr>
        <w:tabs>
          <w:tab w:val="left" w:pos="900"/>
          <w:tab w:val="left" w:pos="1080"/>
          <w:tab w:val="left" w:pos="1589"/>
        </w:tabs>
        <w:snapToGrid w:val="0"/>
        <w:spacing w:line="360" w:lineRule="auto"/>
        <w:ind w:left="357"/>
        <w:rPr>
          <w:rFonts w:eastAsiaTheme="minorEastAsia"/>
          <w:sz w:val="24"/>
        </w:rPr>
      </w:pPr>
    </w:p>
    <w:p w14:paraId="297F43FC">
      <w:pPr>
        <w:pStyle w:val="3"/>
        <w:spacing w:before="0" w:line="360" w:lineRule="auto"/>
        <w:rPr>
          <w:rFonts w:ascii="Times New Roman" w:hAnsi="Times New Roman" w:eastAsiaTheme="minorEastAsia"/>
          <w:sz w:val="28"/>
        </w:rPr>
      </w:pPr>
      <w:bookmarkStart w:id="436" w:name="_Toc151193708"/>
      <w:bookmarkStart w:id="437" w:name="_Toc142311040"/>
      <w:bookmarkStart w:id="438" w:name="_Toc226337234"/>
      <w:bookmarkStart w:id="439" w:name="_Toc195842903"/>
      <w:bookmarkStart w:id="440" w:name="_Toc265228376"/>
      <w:bookmarkStart w:id="441" w:name="_Toc151193636"/>
      <w:bookmarkStart w:id="442" w:name="_Toc150480776"/>
      <w:bookmarkStart w:id="443" w:name="_Toc264969228"/>
      <w:bookmarkStart w:id="444" w:name="_Toc151193926"/>
      <w:bookmarkStart w:id="445" w:name="_Toc226309782"/>
      <w:bookmarkStart w:id="446" w:name="_Toc305158880"/>
      <w:bookmarkStart w:id="447" w:name="_Toc150509289"/>
      <w:bookmarkStart w:id="448" w:name="_Toc305158806"/>
      <w:bookmarkStart w:id="449" w:name="_Toc127151538"/>
      <w:bookmarkStart w:id="450" w:name="_Toc151193852"/>
      <w:bookmarkStart w:id="451" w:name="_Toc226965728"/>
      <w:bookmarkStart w:id="452" w:name="_Toc151190165"/>
      <w:bookmarkStart w:id="453" w:name="_Toc150774743"/>
      <w:bookmarkStart w:id="454" w:name="_Toc151193780"/>
      <w:bookmarkStart w:id="455" w:name="_Toc150774638"/>
      <w:bookmarkStart w:id="456" w:name="_Toc226965811"/>
      <w:bookmarkStart w:id="457" w:name="_Toc520356163"/>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4DDE14F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71EAAAE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3B9BB4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r>
        <w:rPr>
          <w:b/>
          <w:sz w:val="24"/>
        </w:rPr>
        <w:t>（本项目不适用）</w:t>
      </w:r>
    </w:p>
    <w:p w14:paraId="52ECF8C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EEA31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r>
        <w:rPr>
          <w:rFonts w:hint="eastAsia" w:eastAsiaTheme="minorEastAsia"/>
          <w:sz w:val="24"/>
        </w:rPr>
        <w:t>/磋商</w:t>
      </w:r>
      <w:r>
        <w:rPr>
          <w:rFonts w:eastAsiaTheme="minorEastAsia"/>
          <w:sz w:val="24"/>
        </w:rPr>
        <w:t>。</w:t>
      </w:r>
    </w:p>
    <w:p w14:paraId="37B7A565">
      <w:pPr>
        <w:numPr>
          <w:ilvl w:val="1"/>
          <w:numId w:val="8"/>
        </w:numPr>
        <w:tabs>
          <w:tab w:val="left" w:pos="1080"/>
          <w:tab w:val="left" w:pos="2014"/>
        </w:tabs>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0E293D1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7470E3A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2C97BE0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5D7E2A4C">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0ADB0B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4214879">
      <w:pPr>
        <w:tabs>
          <w:tab w:val="left" w:pos="360"/>
          <w:tab w:val="left" w:pos="1080"/>
        </w:tabs>
        <w:snapToGrid w:val="0"/>
        <w:spacing w:line="360" w:lineRule="auto"/>
        <w:ind w:left="1080"/>
        <w:rPr>
          <w:rFonts w:eastAsiaTheme="minorEastAsia"/>
          <w:sz w:val="24"/>
        </w:rPr>
      </w:pPr>
    </w:p>
    <w:p w14:paraId="60E0E02F">
      <w:pPr>
        <w:pStyle w:val="3"/>
        <w:spacing w:before="0" w:line="360" w:lineRule="auto"/>
        <w:rPr>
          <w:rFonts w:ascii="Times New Roman" w:hAnsi="Times New Roman" w:eastAsiaTheme="minorEastAsia"/>
          <w:sz w:val="28"/>
        </w:rPr>
      </w:pPr>
      <w:bookmarkStart w:id="461" w:name="_Toc226965818"/>
      <w:bookmarkStart w:id="462" w:name="_Toc305158887"/>
      <w:bookmarkStart w:id="463" w:name="_Toc226309789"/>
      <w:bookmarkStart w:id="464" w:name="_Toc226965735"/>
      <w:bookmarkStart w:id="465" w:name="_Toc305158813"/>
      <w:bookmarkStart w:id="466" w:name="_Toc151193787"/>
      <w:bookmarkStart w:id="467" w:name="_Toc127151545"/>
      <w:bookmarkStart w:id="468" w:name="_Toc151193715"/>
      <w:bookmarkStart w:id="469" w:name="_Toc150774645"/>
      <w:bookmarkStart w:id="470" w:name="_Toc150480783"/>
      <w:bookmarkStart w:id="471" w:name="_Toc195842910"/>
      <w:bookmarkStart w:id="472" w:name="_Toc226337241"/>
      <w:bookmarkStart w:id="473" w:name="_Toc142311047"/>
      <w:bookmarkStart w:id="474" w:name="_Toc150509296"/>
      <w:bookmarkStart w:id="475" w:name="_Toc265228383"/>
      <w:bookmarkStart w:id="476" w:name="_Toc151193933"/>
      <w:bookmarkStart w:id="477" w:name="_Toc151193859"/>
      <w:bookmarkStart w:id="478" w:name="_Toc150774750"/>
      <w:bookmarkStart w:id="479" w:name="_Toc264969235"/>
      <w:bookmarkStart w:id="480" w:name="_Toc151190172"/>
      <w:bookmarkStart w:id="481" w:name="_Toc151193643"/>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2307ADCF">
      <w:pPr>
        <w:numPr>
          <w:ilvl w:val="0"/>
          <w:numId w:val="8"/>
        </w:numPr>
        <w:tabs>
          <w:tab w:val="left" w:pos="360"/>
        </w:tabs>
        <w:snapToGrid w:val="0"/>
        <w:spacing w:line="360" w:lineRule="auto"/>
        <w:ind w:left="357" w:hanging="357"/>
        <w:outlineLvl w:val="1"/>
        <w:rPr>
          <w:rFonts w:eastAsiaTheme="minorEastAsia"/>
          <w:sz w:val="24"/>
        </w:rPr>
      </w:pPr>
      <w:bookmarkStart w:id="482" w:name="_Toc305158889"/>
      <w:bookmarkStart w:id="483" w:name="_Toc226337243"/>
      <w:bookmarkStart w:id="484" w:name="_Toc127151547"/>
      <w:bookmarkStart w:id="485" w:name="_Toc127151748"/>
      <w:bookmarkStart w:id="486" w:name="_Toc151193935"/>
      <w:bookmarkStart w:id="487" w:name="_Toc151193717"/>
      <w:bookmarkStart w:id="488" w:name="_Toc151193645"/>
      <w:bookmarkStart w:id="489" w:name="_Toc151190174"/>
      <w:bookmarkStart w:id="490" w:name="_Toc164229388"/>
      <w:bookmarkStart w:id="491" w:name="_Toc127161461"/>
      <w:bookmarkStart w:id="492" w:name="_Toc142311049"/>
      <w:bookmarkStart w:id="493" w:name="_Toc226965820"/>
      <w:bookmarkStart w:id="494" w:name="_Toc264969237"/>
      <w:bookmarkStart w:id="495" w:name="_Toc150509298"/>
      <w:bookmarkStart w:id="496" w:name="_Toc150480785"/>
      <w:bookmarkStart w:id="497" w:name="_Toc226965737"/>
      <w:bookmarkStart w:id="498" w:name="_Toc305158815"/>
      <w:bookmarkStart w:id="499" w:name="_Toc226309791"/>
      <w:bookmarkStart w:id="500" w:name="_Toc151193789"/>
      <w:bookmarkStart w:id="501" w:name="_Toc151193861"/>
      <w:bookmarkStart w:id="502" w:name="_Toc195842912"/>
      <w:bookmarkStart w:id="503" w:name="_Toc164229242"/>
      <w:bookmarkStart w:id="504" w:name="_Toc164351641"/>
      <w:bookmarkStart w:id="505" w:name="_Toc150774647"/>
      <w:bookmarkStart w:id="506" w:name="_Toc265228385"/>
      <w:bookmarkStart w:id="507" w:name="_Toc149720840"/>
      <w:bookmarkStart w:id="508" w:name="_Toc164608816"/>
      <w:bookmarkStart w:id="509" w:name="_Toc150774752"/>
      <w:bookmarkStart w:id="510" w:name="_Toc164608661"/>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EDC24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12A443A">
      <w:pPr>
        <w:numPr>
          <w:ilvl w:val="0"/>
          <w:numId w:val="8"/>
        </w:numPr>
        <w:tabs>
          <w:tab w:val="left" w:pos="360"/>
        </w:tabs>
        <w:snapToGrid w:val="0"/>
        <w:spacing w:line="360" w:lineRule="auto"/>
        <w:ind w:left="357" w:hanging="357"/>
        <w:outlineLvl w:val="1"/>
        <w:rPr>
          <w:rFonts w:eastAsiaTheme="minorEastAsia"/>
          <w:sz w:val="24"/>
        </w:rPr>
      </w:pPr>
      <w:bookmarkStart w:id="511" w:name="_Toc305158817"/>
      <w:bookmarkStart w:id="512" w:name="_Toc305158891"/>
      <w:bookmarkStart w:id="513" w:name="_Toc151193791"/>
      <w:bookmarkStart w:id="514" w:name="_Toc151190176"/>
      <w:bookmarkStart w:id="515" w:name="_Toc226337245"/>
      <w:bookmarkStart w:id="516" w:name="_Toc264969239"/>
      <w:bookmarkStart w:id="517" w:name="_Toc127161463"/>
      <w:bookmarkStart w:id="518" w:name="_Toc226965822"/>
      <w:bookmarkStart w:id="519" w:name="_Toc150774754"/>
      <w:bookmarkStart w:id="520" w:name="_Toc150480787"/>
      <w:bookmarkStart w:id="521" w:name="_Toc195842914"/>
      <w:bookmarkStart w:id="522" w:name="_Toc151193719"/>
      <w:bookmarkStart w:id="523" w:name="_Toc150774649"/>
      <w:bookmarkStart w:id="524" w:name="_Toc127151549"/>
      <w:bookmarkStart w:id="525" w:name="_Toc151193647"/>
      <w:bookmarkStart w:id="526" w:name="_Toc164229244"/>
      <w:bookmarkStart w:id="527" w:name="_Toc164351643"/>
      <w:bookmarkStart w:id="528" w:name="_Toc226309793"/>
      <w:bookmarkStart w:id="529" w:name="_Toc164608663"/>
      <w:bookmarkStart w:id="530" w:name="_Toc142311051"/>
      <w:bookmarkStart w:id="531" w:name="_Toc127151750"/>
      <w:bookmarkStart w:id="532" w:name="_Toc226965739"/>
      <w:bookmarkStart w:id="533" w:name="_Toc150509300"/>
      <w:bookmarkStart w:id="534" w:name="_Toc149720842"/>
      <w:bookmarkStart w:id="535" w:name="_Toc164229390"/>
      <w:bookmarkStart w:id="536" w:name="_Toc265228387"/>
      <w:bookmarkStart w:id="537" w:name="_Toc151193937"/>
      <w:bookmarkStart w:id="538" w:name="_Toc164608818"/>
      <w:bookmarkStart w:id="539" w:name="_Toc151193863"/>
      <w:bookmarkStart w:id="540" w:name="_Ref467306425"/>
      <w:bookmarkStart w:id="541" w:name="_Ref467307090"/>
      <w:bookmarkStart w:id="542" w:name="_Toc520356176"/>
      <w:r>
        <w:rPr>
          <w:rFonts w:eastAsiaTheme="minorEastAsia"/>
          <w:sz w:val="24"/>
        </w:rPr>
        <w:t>成交公告与成交通知书</w:t>
      </w:r>
      <w:bookmarkEnd w:id="511"/>
      <w:bookmarkEnd w:id="512"/>
    </w:p>
    <w:p w14:paraId="557BE6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BF911C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4C31E8A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42590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222D54B">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6FDE2B3">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597CD868">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09EC2C22">
      <w:pPr>
        <w:numPr>
          <w:ilvl w:val="0"/>
          <w:numId w:val="8"/>
        </w:numPr>
        <w:tabs>
          <w:tab w:val="left" w:pos="360"/>
        </w:tabs>
        <w:snapToGrid w:val="0"/>
        <w:spacing w:line="360" w:lineRule="auto"/>
        <w:ind w:left="357" w:hanging="357"/>
        <w:outlineLvl w:val="1"/>
        <w:rPr>
          <w:rFonts w:eastAsiaTheme="minorEastAsia"/>
          <w:sz w:val="24"/>
        </w:rPr>
      </w:pPr>
      <w:bookmarkStart w:id="543" w:name="_Toc265228388"/>
      <w:bookmarkStart w:id="544" w:name="_Toc264969240"/>
      <w:bookmarkStart w:id="545" w:name="_Toc151193792"/>
      <w:bookmarkStart w:id="546" w:name="_Toc226965740"/>
      <w:bookmarkStart w:id="547" w:name="_Ref467306377"/>
      <w:bookmarkStart w:id="548" w:name="_Toc305158892"/>
      <w:bookmarkStart w:id="549" w:name="_Toc150480788"/>
      <w:bookmarkStart w:id="550" w:name="_Toc226337246"/>
      <w:bookmarkStart w:id="551" w:name="_Toc164351644"/>
      <w:bookmarkStart w:id="552" w:name="_Toc226965823"/>
      <w:bookmarkStart w:id="553" w:name="_Toc305158818"/>
      <w:bookmarkStart w:id="554" w:name="_Toc150774650"/>
      <w:bookmarkStart w:id="555" w:name="_Toc226309794"/>
      <w:bookmarkStart w:id="556" w:name="_Toc151193648"/>
      <w:bookmarkStart w:id="557" w:name="_Ref467307204"/>
      <w:bookmarkStart w:id="558" w:name="_Toc151190177"/>
      <w:bookmarkStart w:id="559" w:name="_Toc164608819"/>
      <w:bookmarkStart w:id="560" w:name="_Toc127151751"/>
      <w:bookmarkStart w:id="561" w:name="_Toc127161464"/>
      <w:bookmarkStart w:id="562" w:name="_Toc151193720"/>
      <w:bookmarkStart w:id="563" w:name="_Toc195842915"/>
      <w:bookmarkStart w:id="564" w:name="_Toc150774755"/>
      <w:bookmarkStart w:id="565" w:name="_Toc149720843"/>
      <w:bookmarkStart w:id="566" w:name="_Ref467306978"/>
      <w:bookmarkStart w:id="567" w:name="_Toc150509301"/>
      <w:bookmarkStart w:id="568" w:name="_Toc164608664"/>
      <w:bookmarkStart w:id="569" w:name="_Toc151193938"/>
      <w:bookmarkStart w:id="570" w:name="_Toc142311052"/>
      <w:bookmarkStart w:id="571" w:name="_Ref467307062"/>
      <w:bookmarkStart w:id="572" w:name="_Toc151193864"/>
      <w:bookmarkStart w:id="573" w:name="_Toc127151550"/>
      <w:bookmarkStart w:id="574" w:name="_Toc520356175"/>
      <w:bookmarkStart w:id="575" w:name="_Toc164229391"/>
      <w:bookmarkStart w:id="576" w:name="_Toc164229245"/>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31FBA2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16A441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AF5942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6EE6E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5474F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025BACB7">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4A6B94F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16F02E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38A6EFE">
      <w:pPr>
        <w:numPr>
          <w:ilvl w:val="2"/>
          <w:numId w:val="8"/>
        </w:numPr>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537376D8">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9D6E5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45614E5">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CD2C5FF">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A7BC59D">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B7720A7">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6E65B2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3FD3232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5D889C7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B4A8311">
      <w:pPr>
        <w:tabs>
          <w:tab w:val="left" w:pos="360"/>
          <w:tab w:val="left" w:pos="1080"/>
        </w:tabs>
        <w:snapToGrid w:val="0"/>
        <w:spacing w:line="360" w:lineRule="auto"/>
        <w:ind w:left="360"/>
        <w:rPr>
          <w:rFonts w:eastAsiaTheme="minorEastAsia"/>
          <w:sz w:val="24"/>
        </w:rPr>
      </w:pPr>
    </w:p>
    <w:p w14:paraId="66D102A0">
      <w:pPr>
        <w:spacing w:line="360" w:lineRule="auto"/>
        <w:jc w:val="center"/>
        <w:outlineLvl w:val="0"/>
        <w:rPr>
          <w:rFonts w:eastAsiaTheme="minorEastAsia"/>
          <w:b/>
          <w:sz w:val="36"/>
          <w:szCs w:val="36"/>
        </w:rPr>
      </w:pPr>
      <w:bookmarkStart w:id="578" w:name="_Toc265228392"/>
      <w:bookmarkStart w:id="579" w:name="_Toc305158822"/>
      <w:bookmarkStart w:id="580" w:name="_Toc264969244"/>
      <w:bookmarkStart w:id="581" w:name="_Toc150774759"/>
      <w:bookmarkStart w:id="582" w:name="_Toc150480792"/>
      <w:bookmarkStart w:id="583" w:name="_Toc142311056"/>
      <w:bookmarkStart w:id="584" w:name="_Toc226965827"/>
      <w:bookmarkStart w:id="585" w:name="_Toc127151554"/>
      <w:bookmarkStart w:id="586" w:name="_Toc353873664"/>
      <w:bookmarkStart w:id="587" w:name="_Toc353873934"/>
      <w:bookmarkStart w:id="588" w:name="_Toc305158896"/>
      <w:bookmarkStart w:id="589" w:name="_Toc353825544"/>
      <w:bookmarkStart w:id="590" w:name="_Toc226337250"/>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3E47668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0F91632">
      <w:pPr>
        <w:tabs>
          <w:tab w:val="left" w:pos="1080"/>
        </w:tabs>
        <w:snapToGrid w:val="0"/>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6B8F397E">
      <w:pPr>
        <w:numPr>
          <w:ilvl w:val="0"/>
          <w:numId w:val="10"/>
        </w:numPr>
        <w:tabs>
          <w:tab w:val="left" w:pos="360"/>
        </w:tabs>
        <w:snapToGrid w:val="0"/>
        <w:spacing w:line="360" w:lineRule="auto"/>
        <w:outlineLvl w:val="1"/>
        <w:rPr>
          <w:rFonts w:eastAsiaTheme="minorEastAsia"/>
          <w:sz w:val="24"/>
        </w:rPr>
      </w:pPr>
      <w:bookmarkStart w:id="593" w:name="_Toc164351635"/>
      <w:bookmarkStart w:id="594" w:name="_Toc151193639"/>
      <w:bookmarkStart w:id="595" w:name="_Toc226337237"/>
      <w:bookmarkStart w:id="596" w:name="_Toc305158883"/>
      <w:bookmarkStart w:id="597" w:name="_Toc164229382"/>
      <w:bookmarkStart w:id="598" w:name="_Toc150774746"/>
      <w:bookmarkStart w:id="599" w:name="_Toc151193929"/>
      <w:bookmarkStart w:id="600" w:name="_Toc142311043"/>
      <w:bookmarkStart w:id="601" w:name="_Toc127151742"/>
      <w:bookmarkStart w:id="602" w:name="_Toc164608655"/>
      <w:bookmarkStart w:id="603" w:name="_Toc164608810"/>
      <w:bookmarkStart w:id="604" w:name="_Toc151190168"/>
      <w:bookmarkStart w:id="605" w:name="_Toc151193783"/>
      <w:bookmarkStart w:id="606" w:name="_Toc127151541"/>
      <w:bookmarkStart w:id="607" w:name="_Toc164229236"/>
      <w:bookmarkStart w:id="608" w:name="_Toc150509292"/>
      <w:bookmarkStart w:id="609" w:name="_Toc264969231"/>
      <w:bookmarkStart w:id="610" w:name="_Toc150480779"/>
      <w:bookmarkStart w:id="611" w:name="_Toc151193855"/>
      <w:bookmarkStart w:id="612" w:name="_Toc226965731"/>
      <w:bookmarkStart w:id="613" w:name="_Toc149720834"/>
      <w:bookmarkStart w:id="614" w:name="_Toc127161455"/>
      <w:bookmarkStart w:id="615" w:name="_Toc195842906"/>
      <w:bookmarkStart w:id="616" w:name="_Toc150774641"/>
      <w:bookmarkStart w:id="617" w:name="_Toc226965814"/>
      <w:bookmarkStart w:id="618" w:name="_Toc265228379"/>
      <w:bookmarkStart w:id="619" w:name="_Toc305158809"/>
      <w:bookmarkStart w:id="620" w:name="_Toc151193711"/>
      <w:bookmarkStart w:id="621" w:name="_Toc226309785"/>
      <w:bookmarkStart w:id="622" w:name="_Toc353873941"/>
      <w:bookmarkStart w:id="623" w:name="_Toc353825551"/>
      <w:bookmarkStart w:id="624" w:name="_Toc226965828"/>
      <w:bookmarkStart w:id="625" w:name="_Toc353825545"/>
      <w:bookmarkStart w:id="626" w:name="_Toc353873665"/>
      <w:bookmarkStart w:id="627" w:name="_Toc305158897"/>
      <w:bookmarkStart w:id="628" w:name="_Toc353873935"/>
      <w:bookmarkStart w:id="629" w:name="_Toc264969245"/>
      <w:bookmarkStart w:id="630" w:name="_Toc150480793"/>
      <w:bookmarkStart w:id="631" w:name="_Toc150774760"/>
      <w:bookmarkStart w:id="632" w:name="_Toc142311057"/>
      <w:bookmarkStart w:id="633" w:name="_Toc226337251"/>
      <w:bookmarkStart w:id="634" w:name="_Toc195842920"/>
      <w:bookmarkStart w:id="635" w:name="_Toc305158823"/>
      <w:bookmarkStart w:id="636" w:name="_Toc127151555"/>
      <w:bookmarkStart w:id="637" w:name="_Toc265228393"/>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7922202E">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4621B1B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7362B29">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ED26C7">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4039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511043D2">
            <w:pPr>
              <w:tabs>
                <w:tab w:val="left" w:pos="1080"/>
              </w:tabs>
              <w:snapToGrid w:val="0"/>
              <w:jc w:val="center"/>
              <w:rPr>
                <w:rFonts w:eastAsiaTheme="minorEastAsia"/>
                <w:b/>
                <w:sz w:val="24"/>
              </w:rPr>
            </w:pPr>
            <w:bookmarkStart w:id="638" w:name="_Hlt487972895"/>
            <w:bookmarkEnd w:id="638"/>
            <w:r>
              <w:rPr>
                <w:rFonts w:eastAsiaTheme="minorEastAsia"/>
                <w:b/>
                <w:sz w:val="24"/>
              </w:rPr>
              <w:t>序号</w:t>
            </w:r>
          </w:p>
        </w:tc>
        <w:tc>
          <w:tcPr>
            <w:tcW w:w="938" w:type="pct"/>
            <w:vAlign w:val="center"/>
          </w:tcPr>
          <w:p w14:paraId="028D740F">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11E7DAD">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7EF1B1C">
            <w:pPr>
              <w:tabs>
                <w:tab w:val="left" w:pos="1080"/>
              </w:tabs>
              <w:snapToGrid w:val="0"/>
              <w:jc w:val="center"/>
              <w:rPr>
                <w:rFonts w:eastAsiaTheme="minorEastAsia"/>
                <w:b/>
                <w:sz w:val="24"/>
              </w:rPr>
            </w:pPr>
            <w:r>
              <w:rPr>
                <w:rFonts w:eastAsiaTheme="minorEastAsia"/>
                <w:b/>
                <w:sz w:val="24"/>
              </w:rPr>
              <w:t>格式要求</w:t>
            </w:r>
          </w:p>
        </w:tc>
      </w:tr>
      <w:tr w14:paraId="69E4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8F79D3F">
            <w:pPr>
              <w:tabs>
                <w:tab w:val="left" w:pos="1080"/>
              </w:tabs>
              <w:snapToGrid w:val="0"/>
              <w:jc w:val="center"/>
              <w:rPr>
                <w:rFonts w:eastAsiaTheme="minorEastAsia"/>
                <w:sz w:val="24"/>
              </w:rPr>
            </w:pPr>
            <w:r>
              <w:rPr>
                <w:rFonts w:eastAsiaTheme="minorEastAsia"/>
                <w:sz w:val="24"/>
              </w:rPr>
              <w:t>1</w:t>
            </w:r>
          </w:p>
        </w:tc>
        <w:tc>
          <w:tcPr>
            <w:tcW w:w="938" w:type="pct"/>
            <w:vAlign w:val="center"/>
          </w:tcPr>
          <w:p w14:paraId="26337DD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081835C">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718B74B">
            <w:pPr>
              <w:tabs>
                <w:tab w:val="left" w:pos="1080"/>
              </w:tabs>
              <w:snapToGrid w:val="0"/>
              <w:jc w:val="left"/>
              <w:rPr>
                <w:rFonts w:eastAsiaTheme="minorEastAsia"/>
                <w:sz w:val="24"/>
              </w:rPr>
            </w:pPr>
          </w:p>
        </w:tc>
      </w:tr>
      <w:tr w14:paraId="21024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DC51F5">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3AD9FE6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5C2F481F">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75DE1E9">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17F5768E">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0E5A2A0D">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6AB827A8">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55BF7D7">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07A5D7E0">
            <w:pPr>
              <w:tabs>
                <w:tab w:val="left" w:pos="1080"/>
              </w:tabs>
              <w:snapToGrid w:val="0"/>
              <w:jc w:val="left"/>
              <w:rPr>
                <w:rFonts w:eastAsiaTheme="minorEastAsia"/>
                <w:sz w:val="24"/>
              </w:rPr>
            </w:pPr>
            <w:r>
              <w:rPr>
                <w:rFonts w:eastAsiaTheme="minorEastAsia"/>
                <w:sz w:val="24"/>
              </w:rPr>
              <w:t>提供证明文件</w:t>
            </w:r>
          </w:p>
        </w:tc>
      </w:tr>
      <w:tr w14:paraId="59CA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D2A53C">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5488A75A">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5AB642C">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D1D935A">
            <w:pPr>
              <w:tabs>
                <w:tab w:val="left" w:pos="1080"/>
              </w:tabs>
              <w:snapToGrid w:val="0"/>
              <w:jc w:val="left"/>
              <w:rPr>
                <w:rFonts w:eastAsiaTheme="minorEastAsia"/>
                <w:sz w:val="24"/>
              </w:rPr>
            </w:pPr>
            <w:r>
              <w:rPr>
                <w:rFonts w:eastAsiaTheme="minorEastAsia"/>
                <w:sz w:val="24"/>
              </w:rPr>
              <w:t>格式见《响应文件格式》</w:t>
            </w:r>
          </w:p>
        </w:tc>
      </w:tr>
      <w:tr w14:paraId="317A1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92D4E74">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0E13F8D6">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159FE3D">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5FB9378">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D3B9858">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440C9AD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C663E3C">
            <w:pPr>
              <w:tabs>
                <w:tab w:val="left" w:pos="1080"/>
              </w:tabs>
              <w:snapToGrid w:val="0"/>
              <w:rPr>
                <w:rFonts w:eastAsiaTheme="minorEastAsia"/>
                <w:sz w:val="24"/>
              </w:rPr>
            </w:pPr>
            <w:r>
              <w:rPr>
                <w:rFonts w:eastAsiaTheme="minorEastAsia"/>
                <w:sz w:val="24"/>
              </w:rPr>
              <w:t>无须供应商提供，由采购人或采购代理机构查询。</w:t>
            </w:r>
          </w:p>
        </w:tc>
      </w:tr>
      <w:tr w14:paraId="519A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4B0998">
            <w:pPr>
              <w:tabs>
                <w:tab w:val="left" w:pos="1080"/>
              </w:tabs>
              <w:snapToGrid w:val="0"/>
              <w:jc w:val="center"/>
              <w:rPr>
                <w:rFonts w:eastAsiaTheme="minorEastAsia"/>
                <w:sz w:val="24"/>
              </w:rPr>
            </w:pPr>
            <w:r>
              <w:rPr>
                <w:sz w:val="24"/>
              </w:rPr>
              <w:t>1-4</w:t>
            </w:r>
          </w:p>
        </w:tc>
        <w:tc>
          <w:tcPr>
            <w:tcW w:w="938" w:type="pct"/>
            <w:vAlign w:val="center"/>
          </w:tcPr>
          <w:p w14:paraId="4EF6A371">
            <w:pPr>
              <w:tabs>
                <w:tab w:val="left" w:pos="1080"/>
              </w:tabs>
              <w:snapToGrid w:val="0"/>
              <w:rPr>
                <w:rFonts w:eastAsiaTheme="minorEastAsia"/>
                <w:sz w:val="24"/>
              </w:rPr>
            </w:pPr>
            <w:r>
              <w:rPr>
                <w:sz w:val="24"/>
              </w:rPr>
              <w:t>法律、行政法规规定的其他条件</w:t>
            </w:r>
          </w:p>
        </w:tc>
        <w:tc>
          <w:tcPr>
            <w:tcW w:w="2579" w:type="pct"/>
            <w:vAlign w:val="center"/>
          </w:tcPr>
          <w:p w14:paraId="16303FD9">
            <w:pPr>
              <w:tabs>
                <w:tab w:val="left" w:pos="1080"/>
              </w:tabs>
              <w:snapToGrid w:val="0"/>
              <w:rPr>
                <w:rFonts w:eastAsiaTheme="minorEastAsia"/>
                <w:sz w:val="24"/>
              </w:rPr>
            </w:pPr>
            <w:r>
              <w:rPr>
                <w:sz w:val="24"/>
              </w:rPr>
              <w:t>法律、行政法规规定的其他条件</w:t>
            </w:r>
          </w:p>
        </w:tc>
        <w:tc>
          <w:tcPr>
            <w:tcW w:w="1028" w:type="pct"/>
            <w:vAlign w:val="center"/>
          </w:tcPr>
          <w:p w14:paraId="75BE9656">
            <w:pPr>
              <w:tabs>
                <w:tab w:val="left" w:pos="1080"/>
              </w:tabs>
              <w:snapToGrid w:val="0"/>
              <w:jc w:val="center"/>
              <w:rPr>
                <w:rFonts w:eastAsiaTheme="minorEastAsia"/>
                <w:sz w:val="24"/>
              </w:rPr>
            </w:pPr>
            <w:r>
              <w:rPr>
                <w:sz w:val="24"/>
              </w:rPr>
              <w:t>/</w:t>
            </w:r>
          </w:p>
        </w:tc>
      </w:tr>
      <w:tr w14:paraId="021BF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41933D">
            <w:pPr>
              <w:tabs>
                <w:tab w:val="left" w:pos="1080"/>
              </w:tabs>
              <w:snapToGrid w:val="0"/>
              <w:jc w:val="center"/>
              <w:rPr>
                <w:rFonts w:eastAsiaTheme="minorEastAsia"/>
                <w:sz w:val="24"/>
              </w:rPr>
            </w:pPr>
            <w:r>
              <w:rPr>
                <w:rFonts w:eastAsiaTheme="minorEastAsia"/>
                <w:sz w:val="24"/>
              </w:rPr>
              <w:t>2</w:t>
            </w:r>
          </w:p>
        </w:tc>
        <w:tc>
          <w:tcPr>
            <w:tcW w:w="938" w:type="pct"/>
            <w:vAlign w:val="center"/>
          </w:tcPr>
          <w:p w14:paraId="06FA72FF">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C79A318">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1271D40">
            <w:pPr>
              <w:tabs>
                <w:tab w:val="left" w:pos="1080"/>
              </w:tabs>
              <w:snapToGrid w:val="0"/>
              <w:jc w:val="left"/>
              <w:rPr>
                <w:rFonts w:eastAsiaTheme="minorEastAsia"/>
                <w:sz w:val="24"/>
              </w:rPr>
            </w:pPr>
          </w:p>
        </w:tc>
      </w:tr>
      <w:tr w14:paraId="54AB2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4EE6FD">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3BCE20B5">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4157997D">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7CD5F4F9">
            <w:pPr>
              <w:tabs>
                <w:tab w:val="left" w:pos="1080"/>
              </w:tabs>
              <w:snapToGrid w:val="0"/>
              <w:jc w:val="left"/>
              <w:rPr>
                <w:rFonts w:eastAsiaTheme="minorEastAsia"/>
                <w:sz w:val="24"/>
              </w:rPr>
            </w:pPr>
          </w:p>
        </w:tc>
      </w:tr>
      <w:tr w14:paraId="3A858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60AE92">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529691D7">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2CB0AE4F">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2E270E9A">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E8889F6">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16E3A591">
            <w:pPr>
              <w:tabs>
                <w:tab w:val="left" w:pos="1080"/>
              </w:tabs>
              <w:snapToGrid w:val="0"/>
              <w:jc w:val="left"/>
              <w:rPr>
                <w:rFonts w:eastAsiaTheme="minorEastAsia"/>
                <w:sz w:val="24"/>
              </w:rPr>
            </w:pPr>
            <w:r>
              <w:rPr>
                <w:rFonts w:eastAsiaTheme="minorEastAsia"/>
                <w:sz w:val="24"/>
              </w:rPr>
              <w:t>格式见《响应文件格式》</w:t>
            </w:r>
          </w:p>
        </w:tc>
      </w:tr>
      <w:tr w14:paraId="2D40C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3FF121">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50571CC">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60A35359">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B147C2C">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98B46C2">
            <w:pPr>
              <w:tabs>
                <w:tab w:val="left" w:pos="1080"/>
              </w:tabs>
              <w:snapToGrid w:val="0"/>
              <w:jc w:val="left"/>
              <w:rPr>
                <w:rFonts w:eastAsiaTheme="minorEastAsia"/>
                <w:sz w:val="24"/>
              </w:rPr>
            </w:pPr>
            <w:r>
              <w:rPr>
                <w:rFonts w:eastAsiaTheme="minorEastAsia"/>
                <w:sz w:val="24"/>
              </w:rPr>
              <w:t>格式见《响应文件格式》</w:t>
            </w:r>
          </w:p>
        </w:tc>
      </w:tr>
      <w:tr w14:paraId="5DF9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D9749EC">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480AC5D7">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7A56C609">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35BD7288">
            <w:pPr>
              <w:tabs>
                <w:tab w:val="left" w:pos="1080"/>
              </w:tabs>
              <w:snapToGrid w:val="0"/>
              <w:jc w:val="left"/>
              <w:rPr>
                <w:rFonts w:eastAsiaTheme="minorEastAsia"/>
                <w:sz w:val="24"/>
              </w:rPr>
            </w:pPr>
            <w:r>
              <w:rPr>
                <w:rFonts w:eastAsiaTheme="minorEastAsia"/>
                <w:sz w:val="24"/>
              </w:rPr>
              <w:t>提供证明文件</w:t>
            </w:r>
          </w:p>
        </w:tc>
      </w:tr>
      <w:tr w14:paraId="3E35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1AD66B">
            <w:pPr>
              <w:tabs>
                <w:tab w:val="left" w:pos="1080"/>
              </w:tabs>
              <w:snapToGrid w:val="0"/>
              <w:jc w:val="center"/>
              <w:rPr>
                <w:rFonts w:eastAsiaTheme="minorEastAsia"/>
                <w:sz w:val="24"/>
              </w:rPr>
            </w:pPr>
            <w:r>
              <w:rPr>
                <w:rFonts w:eastAsiaTheme="minorEastAsia"/>
                <w:sz w:val="24"/>
              </w:rPr>
              <w:t>3</w:t>
            </w:r>
          </w:p>
        </w:tc>
        <w:tc>
          <w:tcPr>
            <w:tcW w:w="938" w:type="pct"/>
            <w:vAlign w:val="center"/>
          </w:tcPr>
          <w:p w14:paraId="2C8C8ED7">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72A3F9E4">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11EDDB86">
            <w:pPr>
              <w:tabs>
                <w:tab w:val="left" w:pos="1080"/>
              </w:tabs>
              <w:snapToGrid w:val="0"/>
              <w:jc w:val="left"/>
              <w:rPr>
                <w:rFonts w:eastAsiaTheme="minorEastAsia"/>
                <w:sz w:val="24"/>
              </w:rPr>
            </w:pPr>
          </w:p>
        </w:tc>
      </w:tr>
      <w:tr w14:paraId="571D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9096BA">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A231400">
            <w:pPr>
              <w:tabs>
                <w:tab w:val="left" w:pos="1080"/>
              </w:tabs>
              <w:snapToGrid w:val="0"/>
              <w:rPr>
                <w:rFonts w:eastAsiaTheme="minorEastAsia"/>
                <w:sz w:val="24"/>
              </w:rPr>
            </w:pPr>
            <w:r>
              <w:rPr>
                <w:sz w:val="24"/>
              </w:rPr>
              <w:t>本项目对于联合体的要求</w:t>
            </w:r>
          </w:p>
        </w:tc>
        <w:tc>
          <w:tcPr>
            <w:tcW w:w="2579" w:type="pct"/>
            <w:vAlign w:val="center"/>
          </w:tcPr>
          <w:p w14:paraId="3FF6EAA5">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1CA5FB8">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6EF6B004">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4374D8F8">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305AA6AB">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7E7CC0B8">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3EF3BBA4">
            <w:pPr>
              <w:tabs>
                <w:tab w:val="left" w:pos="1080"/>
              </w:tabs>
              <w:snapToGrid w:val="0"/>
              <w:rPr>
                <w:rFonts w:eastAsiaTheme="minorEastAsia"/>
                <w:sz w:val="24"/>
              </w:rPr>
            </w:pPr>
            <w:r>
              <w:rPr>
                <w:rFonts w:eastAsiaTheme="minorEastAsia"/>
                <w:sz w:val="24"/>
              </w:rPr>
              <w:t>7、本项目不接受联合体响应时，供应商不得为联合体。</w:t>
            </w:r>
          </w:p>
        </w:tc>
        <w:tc>
          <w:tcPr>
            <w:tcW w:w="1028" w:type="pct"/>
            <w:vAlign w:val="center"/>
          </w:tcPr>
          <w:p w14:paraId="47DC0311">
            <w:pPr>
              <w:tabs>
                <w:tab w:val="left" w:pos="1080"/>
              </w:tabs>
              <w:snapToGrid w:val="0"/>
              <w:rPr>
                <w:rFonts w:eastAsiaTheme="minorEastAsia"/>
                <w:sz w:val="24"/>
              </w:rPr>
            </w:pPr>
            <w:r>
              <w:rPr>
                <w:rFonts w:eastAsiaTheme="minorEastAsia"/>
                <w:sz w:val="24"/>
              </w:rPr>
              <w:t>提供《联合协议》原件</w:t>
            </w:r>
          </w:p>
          <w:p w14:paraId="54C66241">
            <w:pPr>
              <w:tabs>
                <w:tab w:val="left" w:pos="1080"/>
              </w:tabs>
              <w:snapToGrid w:val="0"/>
              <w:rPr>
                <w:rFonts w:eastAsiaTheme="minorEastAsia"/>
                <w:sz w:val="24"/>
              </w:rPr>
            </w:pPr>
            <w:r>
              <w:rPr>
                <w:rFonts w:eastAsiaTheme="minorEastAsia"/>
                <w:sz w:val="24"/>
              </w:rPr>
              <w:t>格式见《响应文件格式》</w:t>
            </w:r>
          </w:p>
        </w:tc>
      </w:tr>
      <w:tr w14:paraId="23CB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3282CA">
            <w:pPr>
              <w:tabs>
                <w:tab w:val="left" w:pos="1080"/>
              </w:tabs>
              <w:snapToGrid w:val="0"/>
              <w:jc w:val="center"/>
              <w:rPr>
                <w:rFonts w:eastAsiaTheme="minorEastAsia"/>
                <w:sz w:val="24"/>
              </w:rPr>
            </w:pPr>
            <w:r>
              <w:rPr>
                <w:sz w:val="24"/>
              </w:rPr>
              <w:t>3-2</w:t>
            </w:r>
          </w:p>
        </w:tc>
        <w:tc>
          <w:tcPr>
            <w:tcW w:w="938" w:type="pct"/>
            <w:vAlign w:val="center"/>
          </w:tcPr>
          <w:p w14:paraId="0C03C8BA">
            <w:pPr>
              <w:tabs>
                <w:tab w:val="left" w:pos="1080"/>
              </w:tabs>
              <w:snapToGrid w:val="0"/>
              <w:rPr>
                <w:sz w:val="24"/>
              </w:rPr>
            </w:pPr>
            <w:r>
              <w:rPr>
                <w:sz w:val="24"/>
              </w:rPr>
              <w:t>政府购买服务承接主体的要求</w:t>
            </w:r>
          </w:p>
        </w:tc>
        <w:tc>
          <w:tcPr>
            <w:tcW w:w="2579" w:type="pct"/>
            <w:vAlign w:val="center"/>
          </w:tcPr>
          <w:p w14:paraId="096158C3">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17604136">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7D85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40445E">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01E14CF5">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5BBBB26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78C8A13A">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p>
        </w:tc>
        <w:tc>
          <w:tcPr>
            <w:tcW w:w="1028" w:type="pct"/>
            <w:vAlign w:val="center"/>
          </w:tcPr>
          <w:p w14:paraId="5E8E76FD">
            <w:pPr>
              <w:tabs>
                <w:tab w:val="left" w:pos="1080"/>
              </w:tabs>
              <w:snapToGrid w:val="0"/>
              <w:rPr>
                <w:rFonts w:eastAsiaTheme="minorEastAsia"/>
                <w:sz w:val="24"/>
              </w:rPr>
            </w:pPr>
            <w:r>
              <w:rPr>
                <w:rFonts w:eastAsiaTheme="minorEastAsia"/>
                <w:sz w:val="24"/>
              </w:rPr>
              <w:t>提供证明文件</w:t>
            </w:r>
          </w:p>
        </w:tc>
      </w:tr>
      <w:tr w14:paraId="4122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E073A6">
            <w:pPr>
              <w:tabs>
                <w:tab w:val="left" w:pos="1080"/>
              </w:tabs>
              <w:snapToGrid w:val="0"/>
              <w:jc w:val="center"/>
              <w:rPr>
                <w:rFonts w:eastAsiaTheme="minorEastAsia"/>
                <w:sz w:val="24"/>
              </w:rPr>
            </w:pPr>
            <w:r>
              <w:rPr>
                <w:rFonts w:eastAsiaTheme="minorEastAsia"/>
                <w:sz w:val="24"/>
              </w:rPr>
              <w:t>4</w:t>
            </w:r>
          </w:p>
        </w:tc>
        <w:tc>
          <w:tcPr>
            <w:tcW w:w="938" w:type="pct"/>
            <w:vAlign w:val="center"/>
          </w:tcPr>
          <w:p w14:paraId="3CC076F6">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376A4C2">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18AA6984">
            <w:pPr>
              <w:tabs>
                <w:tab w:val="left" w:pos="1080"/>
              </w:tabs>
              <w:snapToGrid w:val="0"/>
              <w:rPr>
                <w:rFonts w:eastAsiaTheme="minorEastAsia"/>
                <w:sz w:val="24"/>
              </w:rPr>
            </w:pPr>
          </w:p>
        </w:tc>
      </w:tr>
      <w:tr w14:paraId="00436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0AEB5E">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52FF11B6">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258F40EE">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6ADA65A">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531BF002">
            <w:pPr>
              <w:tabs>
                <w:tab w:val="left" w:pos="1080"/>
              </w:tabs>
              <w:snapToGrid w:val="0"/>
              <w:rPr>
                <w:rFonts w:eastAsiaTheme="minorEastAsia"/>
                <w:sz w:val="24"/>
              </w:rPr>
            </w:pPr>
          </w:p>
        </w:tc>
      </w:tr>
    </w:tbl>
    <w:p w14:paraId="57199606">
      <w:pPr>
        <w:widowControl/>
        <w:jc w:val="left"/>
        <w:rPr>
          <w:rFonts w:eastAsiaTheme="minorEastAsia"/>
          <w:sz w:val="24"/>
        </w:rPr>
      </w:pPr>
    </w:p>
    <w:p w14:paraId="0A5E06DC">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F2AC613">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15"/>
        <w:gridCol w:w="5057"/>
        <w:gridCol w:w="1819"/>
      </w:tblGrid>
      <w:tr w14:paraId="37E5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0D644D5C">
            <w:pPr>
              <w:widowControl/>
              <w:jc w:val="center"/>
              <w:rPr>
                <w:rFonts w:eastAsiaTheme="minorEastAsia"/>
                <w:b/>
                <w:color w:val="000000"/>
                <w:kern w:val="0"/>
                <w:sz w:val="24"/>
              </w:rPr>
            </w:pPr>
            <w:r>
              <w:rPr>
                <w:rFonts w:eastAsiaTheme="minorEastAsia"/>
                <w:b/>
                <w:color w:val="000000"/>
                <w:kern w:val="0"/>
                <w:sz w:val="24"/>
              </w:rPr>
              <w:t>序号</w:t>
            </w:r>
          </w:p>
        </w:tc>
        <w:tc>
          <w:tcPr>
            <w:tcW w:w="869" w:type="pct"/>
            <w:shd w:val="clear" w:color="000000" w:fill="FFFFFF"/>
            <w:vAlign w:val="center"/>
          </w:tcPr>
          <w:p w14:paraId="35EED04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722" w:type="pct"/>
            <w:shd w:val="clear" w:color="000000" w:fill="FFFFFF"/>
            <w:vAlign w:val="center"/>
          </w:tcPr>
          <w:p w14:paraId="36A1BBA5">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979" w:type="pct"/>
            <w:shd w:val="clear" w:color="000000" w:fill="FFFFFF"/>
            <w:vAlign w:val="center"/>
          </w:tcPr>
          <w:p w14:paraId="06D785DA">
            <w:pPr>
              <w:widowControl/>
              <w:jc w:val="center"/>
              <w:rPr>
                <w:rFonts w:eastAsiaTheme="minorEastAsia"/>
                <w:b/>
                <w:color w:val="000000"/>
                <w:kern w:val="0"/>
                <w:sz w:val="24"/>
              </w:rPr>
            </w:pPr>
            <w:r>
              <w:rPr>
                <w:rFonts w:eastAsiaTheme="minorEastAsia"/>
                <w:b/>
                <w:color w:val="000000"/>
                <w:kern w:val="0"/>
                <w:sz w:val="24"/>
              </w:rPr>
              <w:t>是否允许澄清、</w:t>
            </w:r>
          </w:p>
          <w:p w14:paraId="5B188F6A">
            <w:pPr>
              <w:widowControl/>
              <w:jc w:val="center"/>
              <w:rPr>
                <w:rFonts w:eastAsiaTheme="minorEastAsia"/>
                <w:b/>
                <w:color w:val="000000"/>
                <w:kern w:val="0"/>
                <w:sz w:val="24"/>
              </w:rPr>
            </w:pPr>
            <w:r>
              <w:rPr>
                <w:rFonts w:eastAsiaTheme="minorEastAsia"/>
                <w:b/>
                <w:color w:val="000000"/>
                <w:kern w:val="0"/>
                <w:sz w:val="24"/>
              </w:rPr>
              <w:t>说明或者更正</w:t>
            </w:r>
          </w:p>
        </w:tc>
      </w:tr>
      <w:tr w14:paraId="1064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62CE2F37">
            <w:pPr>
              <w:widowControl/>
              <w:jc w:val="center"/>
              <w:rPr>
                <w:kern w:val="0"/>
                <w:sz w:val="24"/>
              </w:rPr>
            </w:pPr>
            <w:r>
              <w:rPr>
                <w:kern w:val="0"/>
                <w:sz w:val="24"/>
              </w:rPr>
              <w:t>1</w:t>
            </w:r>
          </w:p>
        </w:tc>
        <w:tc>
          <w:tcPr>
            <w:tcW w:w="869" w:type="pct"/>
            <w:shd w:val="clear" w:color="000000" w:fill="FFFFFF"/>
            <w:vAlign w:val="center"/>
          </w:tcPr>
          <w:p w14:paraId="24934E20">
            <w:pPr>
              <w:widowControl/>
              <w:jc w:val="left"/>
              <w:rPr>
                <w:kern w:val="0"/>
                <w:sz w:val="24"/>
              </w:rPr>
            </w:pPr>
            <w:r>
              <w:rPr>
                <w:kern w:val="0"/>
                <w:sz w:val="24"/>
              </w:rPr>
              <w:t>授权委托书</w:t>
            </w:r>
          </w:p>
        </w:tc>
        <w:tc>
          <w:tcPr>
            <w:tcW w:w="2722" w:type="pct"/>
            <w:shd w:val="clear" w:color="000000" w:fill="FFFFFF"/>
            <w:vAlign w:val="center"/>
          </w:tcPr>
          <w:p w14:paraId="0862CFDF">
            <w:pPr>
              <w:widowControl/>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979" w:type="pct"/>
            <w:shd w:val="clear" w:color="000000" w:fill="FFFFFF"/>
            <w:vAlign w:val="center"/>
          </w:tcPr>
          <w:p w14:paraId="2D5F2E11">
            <w:pPr>
              <w:widowControl/>
              <w:jc w:val="center"/>
              <w:rPr>
                <w:kern w:val="0"/>
                <w:sz w:val="24"/>
              </w:rPr>
            </w:pPr>
            <w:r>
              <w:rPr>
                <w:rFonts w:hint="eastAsia"/>
                <w:kern w:val="0"/>
                <w:sz w:val="24"/>
              </w:rPr>
              <w:t>不允许</w:t>
            </w:r>
          </w:p>
        </w:tc>
      </w:tr>
      <w:tr w14:paraId="729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1693DF68">
            <w:pPr>
              <w:widowControl/>
              <w:jc w:val="center"/>
              <w:rPr>
                <w:kern w:val="0"/>
                <w:sz w:val="24"/>
              </w:rPr>
            </w:pPr>
            <w:r>
              <w:rPr>
                <w:kern w:val="0"/>
                <w:sz w:val="24"/>
              </w:rPr>
              <w:t>2</w:t>
            </w:r>
          </w:p>
        </w:tc>
        <w:tc>
          <w:tcPr>
            <w:tcW w:w="869" w:type="pct"/>
            <w:shd w:val="clear" w:color="000000" w:fill="FFFFFF"/>
            <w:vAlign w:val="center"/>
          </w:tcPr>
          <w:p w14:paraId="64BE9B3D">
            <w:pPr>
              <w:widowControl/>
              <w:jc w:val="left"/>
              <w:rPr>
                <w:kern w:val="0"/>
                <w:sz w:val="24"/>
              </w:rPr>
            </w:pPr>
            <w:r>
              <w:rPr>
                <w:rFonts w:hint="eastAsia"/>
                <w:kern w:val="0"/>
                <w:sz w:val="24"/>
              </w:rPr>
              <w:t>响应</w:t>
            </w:r>
            <w:r>
              <w:rPr>
                <w:kern w:val="0"/>
                <w:sz w:val="24"/>
              </w:rPr>
              <w:t>完整性</w:t>
            </w:r>
          </w:p>
        </w:tc>
        <w:tc>
          <w:tcPr>
            <w:tcW w:w="2722" w:type="pct"/>
            <w:shd w:val="clear" w:color="000000" w:fill="FFFFFF"/>
            <w:vAlign w:val="center"/>
          </w:tcPr>
          <w:p w14:paraId="4072D19A">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979" w:type="pct"/>
            <w:shd w:val="clear" w:color="000000" w:fill="FFFFFF"/>
            <w:vAlign w:val="center"/>
          </w:tcPr>
          <w:p w14:paraId="07BC7F4D">
            <w:pPr>
              <w:widowControl/>
              <w:jc w:val="center"/>
              <w:rPr>
                <w:kern w:val="0"/>
                <w:sz w:val="24"/>
              </w:rPr>
            </w:pPr>
            <w:r>
              <w:rPr>
                <w:rFonts w:hint="eastAsia"/>
                <w:kern w:val="0"/>
                <w:sz w:val="24"/>
              </w:rPr>
              <w:t>不允许</w:t>
            </w:r>
          </w:p>
        </w:tc>
      </w:tr>
      <w:tr w14:paraId="1AEC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2CF9BAFA">
            <w:pPr>
              <w:widowControl/>
              <w:jc w:val="center"/>
              <w:rPr>
                <w:kern w:val="0"/>
                <w:sz w:val="24"/>
              </w:rPr>
            </w:pPr>
            <w:r>
              <w:rPr>
                <w:kern w:val="0"/>
                <w:sz w:val="24"/>
              </w:rPr>
              <w:t>3</w:t>
            </w:r>
          </w:p>
        </w:tc>
        <w:tc>
          <w:tcPr>
            <w:tcW w:w="869" w:type="pct"/>
            <w:shd w:val="clear" w:color="000000" w:fill="FFFFFF"/>
            <w:vAlign w:val="center"/>
          </w:tcPr>
          <w:p w14:paraId="268B180F">
            <w:pPr>
              <w:widowControl/>
              <w:jc w:val="left"/>
              <w:rPr>
                <w:kern w:val="0"/>
                <w:sz w:val="24"/>
              </w:rPr>
            </w:pPr>
            <w:r>
              <w:rPr>
                <w:rFonts w:hint="eastAsia"/>
                <w:kern w:val="0"/>
                <w:sz w:val="24"/>
              </w:rPr>
              <w:t>响应</w:t>
            </w:r>
            <w:r>
              <w:rPr>
                <w:kern w:val="0"/>
                <w:sz w:val="24"/>
              </w:rPr>
              <w:t>报价</w:t>
            </w:r>
          </w:p>
        </w:tc>
        <w:tc>
          <w:tcPr>
            <w:tcW w:w="2722" w:type="pct"/>
            <w:shd w:val="clear" w:color="000000" w:fill="FFFFFF"/>
            <w:vAlign w:val="center"/>
          </w:tcPr>
          <w:p w14:paraId="74A4C993">
            <w:pPr>
              <w:widowControl/>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979" w:type="pct"/>
            <w:shd w:val="clear" w:color="000000" w:fill="FFFFFF"/>
            <w:vAlign w:val="center"/>
          </w:tcPr>
          <w:p w14:paraId="65A8D39D">
            <w:pPr>
              <w:widowControl/>
              <w:jc w:val="center"/>
              <w:rPr>
                <w:kern w:val="0"/>
                <w:sz w:val="24"/>
              </w:rPr>
            </w:pPr>
            <w:r>
              <w:rPr>
                <w:rFonts w:hint="eastAsia"/>
                <w:kern w:val="0"/>
                <w:sz w:val="24"/>
              </w:rPr>
              <w:t>不允许</w:t>
            </w:r>
          </w:p>
        </w:tc>
      </w:tr>
      <w:tr w14:paraId="1757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43288624">
            <w:pPr>
              <w:widowControl/>
              <w:jc w:val="center"/>
              <w:rPr>
                <w:kern w:val="0"/>
                <w:sz w:val="24"/>
              </w:rPr>
            </w:pPr>
            <w:r>
              <w:rPr>
                <w:kern w:val="0"/>
                <w:sz w:val="24"/>
              </w:rPr>
              <w:t>4</w:t>
            </w:r>
          </w:p>
        </w:tc>
        <w:tc>
          <w:tcPr>
            <w:tcW w:w="869" w:type="pct"/>
            <w:shd w:val="clear" w:color="000000" w:fill="FFFFFF"/>
            <w:vAlign w:val="center"/>
          </w:tcPr>
          <w:p w14:paraId="4C75CC7D">
            <w:pPr>
              <w:widowControl/>
              <w:jc w:val="left"/>
              <w:rPr>
                <w:kern w:val="0"/>
                <w:sz w:val="24"/>
              </w:rPr>
            </w:pPr>
            <w:r>
              <w:rPr>
                <w:kern w:val="0"/>
                <w:sz w:val="24"/>
              </w:rPr>
              <w:t>报价唯一性</w:t>
            </w:r>
          </w:p>
        </w:tc>
        <w:tc>
          <w:tcPr>
            <w:tcW w:w="2722" w:type="pct"/>
            <w:shd w:val="clear" w:color="000000" w:fill="FFFFFF"/>
            <w:vAlign w:val="center"/>
          </w:tcPr>
          <w:p w14:paraId="354BD886">
            <w:pPr>
              <w:widowControl/>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979" w:type="pct"/>
            <w:shd w:val="clear" w:color="000000" w:fill="FFFFFF"/>
            <w:vAlign w:val="center"/>
          </w:tcPr>
          <w:p w14:paraId="79B8440B">
            <w:pPr>
              <w:widowControl/>
              <w:jc w:val="center"/>
              <w:rPr>
                <w:kern w:val="0"/>
                <w:sz w:val="24"/>
              </w:rPr>
            </w:pPr>
            <w:r>
              <w:rPr>
                <w:rFonts w:hint="eastAsia"/>
                <w:kern w:val="0"/>
                <w:sz w:val="24"/>
              </w:rPr>
              <w:t>不允许</w:t>
            </w:r>
          </w:p>
        </w:tc>
      </w:tr>
      <w:tr w14:paraId="47FB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0E5491DA">
            <w:pPr>
              <w:widowControl/>
              <w:jc w:val="center"/>
              <w:rPr>
                <w:kern w:val="0"/>
                <w:sz w:val="24"/>
              </w:rPr>
            </w:pPr>
            <w:r>
              <w:rPr>
                <w:kern w:val="0"/>
                <w:sz w:val="24"/>
              </w:rPr>
              <w:t>5</w:t>
            </w:r>
          </w:p>
        </w:tc>
        <w:tc>
          <w:tcPr>
            <w:tcW w:w="869" w:type="pct"/>
            <w:shd w:val="clear" w:color="000000" w:fill="FFFFFF"/>
            <w:vAlign w:val="center"/>
          </w:tcPr>
          <w:p w14:paraId="6EC9818E">
            <w:pPr>
              <w:widowControl/>
              <w:jc w:val="left"/>
              <w:rPr>
                <w:kern w:val="0"/>
                <w:sz w:val="24"/>
              </w:rPr>
            </w:pPr>
            <w:r>
              <w:rPr>
                <w:rFonts w:hint="eastAsia"/>
                <w:kern w:val="0"/>
                <w:sz w:val="24"/>
              </w:rPr>
              <w:t>磋商</w:t>
            </w:r>
            <w:r>
              <w:rPr>
                <w:kern w:val="0"/>
                <w:sz w:val="24"/>
              </w:rPr>
              <w:t>有效期</w:t>
            </w:r>
          </w:p>
        </w:tc>
        <w:tc>
          <w:tcPr>
            <w:tcW w:w="2722" w:type="pct"/>
            <w:shd w:val="clear" w:color="000000" w:fill="FFFFFF"/>
            <w:vAlign w:val="center"/>
          </w:tcPr>
          <w:p w14:paraId="7FB92664">
            <w:pPr>
              <w:widowControl/>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979" w:type="pct"/>
            <w:shd w:val="clear" w:color="000000" w:fill="FFFFFF"/>
            <w:vAlign w:val="center"/>
          </w:tcPr>
          <w:p w14:paraId="40DCDE06">
            <w:pPr>
              <w:widowControl/>
              <w:jc w:val="center"/>
              <w:rPr>
                <w:kern w:val="0"/>
                <w:sz w:val="24"/>
              </w:rPr>
            </w:pPr>
            <w:r>
              <w:rPr>
                <w:rFonts w:hint="eastAsia"/>
                <w:kern w:val="0"/>
                <w:sz w:val="24"/>
              </w:rPr>
              <w:t>不允许</w:t>
            </w:r>
          </w:p>
        </w:tc>
      </w:tr>
      <w:tr w14:paraId="7D86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433DCB12">
            <w:pPr>
              <w:widowControl/>
              <w:jc w:val="center"/>
              <w:rPr>
                <w:kern w:val="0"/>
                <w:sz w:val="24"/>
              </w:rPr>
            </w:pPr>
            <w:r>
              <w:rPr>
                <w:kern w:val="0"/>
                <w:sz w:val="24"/>
              </w:rPr>
              <w:t>6</w:t>
            </w:r>
          </w:p>
        </w:tc>
        <w:tc>
          <w:tcPr>
            <w:tcW w:w="869" w:type="pct"/>
            <w:shd w:val="clear" w:color="000000" w:fill="FFFFFF"/>
            <w:vAlign w:val="center"/>
          </w:tcPr>
          <w:p w14:paraId="4D26CCAA">
            <w:pPr>
              <w:widowControl/>
              <w:jc w:val="left"/>
              <w:rPr>
                <w:kern w:val="0"/>
                <w:sz w:val="24"/>
              </w:rPr>
            </w:pPr>
            <w:r>
              <w:rPr>
                <w:color w:val="000000"/>
                <w:kern w:val="0"/>
                <w:sz w:val="24"/>
              </w:rPr>
              <w:t>实质性格式</w:t>
            </w:r>
          </w:p>
        </w:tc>
        <w:tc>
          <w:tcPr>
            <w:tcW w:w="2722" w:type="pct"/>
            <w:shd w:val="clear" w:color="000000" w:fill="FFFFFF"/>
            <w:vAlign w:val="center"/>
          </w:tcPr>
          <w:p w14:paraId="17532E37">
            <w:pPr>
              <w:widowControl/>
              <w:jc w:val="left"/>
              <w:rPr>
                <w:kern w:val="0"/>
                <w:sz w:val="24"/>
              </w:rPr>
            </w:pPr>
            <w:r>
              <w:rPr>
                <w:kern w:val="0"/>
                <w:sz w:val="24"/>
              </w:rPr>
              <w:t>标记为“实质性格式”的文件均按</w:t>
            </w:r>
            <w:r>
              <w:rPr>
                <w:rFonts w:hint="eastAsia"/>
                <w:sz w:val="24"/>
              </w:rPr>
              <w:t>竞争性磋商文件</w:t>
            </w:r>
            <w:r>
              <w:rPr>
                <w:kern w:val="0"/>
                <w:sz w:val="24"/>
              </w:rPr>
              <w:t>要求提供且签署、盖章的；</w:t>
            </w:r>
          </w:p>
        </w:tc>
        <w:tc>
          <w:tcPr>
            <w:tcW w:w="979" w:type="pct"/>
            <w:shd w:val="clear" w:color="000000" w:fill="FFFFFF"/>
            <w:vAlign w:val="center"/>
          </w:tcPr>
          <w:p w14:paraId="5962FF57">
            <w:pPr>
              <w:widowControl/>
              <w:jc w:val="center"/>
              <w:rPr>
                <w:kern w:val="0"/>
                <w:sz w:val="24"/>
              </w:rPr>
            </w:pPr>
            <w:r>
              <w:rPr>
                <w:rFonts w:hint="eastAsia"/>
                <w:kern w:val="0"/>
                <w:sz w:val="24"/>
              </w:rPr>
              <w:t>不允许</w:t>
            </w:r>
          </w:p>
        </w:tc>
      </w:tr>
      <w:tr w14:paraId="695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7B7A785E">
            <w:pPr>
              <w:widowControl/>
              <w:jc w:val="center"/>
              <w:rPr>
                <w:kern w:val="0"/>
                <w:sz w:val="24"/>
              </w:rPr>
            </w:pPr>
            <w:r>
              <w:rPr>
                <w:rFonts w:hint="eastAsia"/>
                <w:kern w:val="0"/>
                <w:sz w:val="24"/>
              </w:rPr>
              <w:t>7</w:t>
            </w:r>
          </w:p>
        </w:tc>
        <w:tc>
          <w:tcPr>
            <w:tcW w:w="869" w:type="pct"/>
            <w:shd w:val="clear" w:color="000000" w:fill="FFFFFF"/>
            <w:vAlign w:val="center"/>
          </w:tcPr>
          <w:p w14:paraId="728EECF1">
            <w:pPr>
              <w:widowControl/>
              <w:jc w:val="left"/>
              <w:rPr>
                <w:kern w:val="0"/>
                <w:sz w:val="24"/>
              </w:rPr>
            </w:pPr>
            <w:r>
              <w:rPr>
                <w:rFonts w:ascii="Segoe UI Symbol" w:hAnsi="Segoe UI Symbol" w:cs="Segoe UI Symbol"/>
                <w:kern w:val="0"/>
                <w:sz w:val="24"/>
              </w:rPr>
              <w:t>★</w:t>
            </w:r>
            <w:r>
              <w:rPr>
                <w:kern w:val="0"/>
                <w:sz w:val="24"/>
              </w:rPr>
              <w:t>号条款响应</w:t>
            </w:r>
          </w:p>
        </w:tc>
        <w:tc>
          <w:tcPr>
            <w:tcW w:w="2722" w:type="pct"/>
            <w:shd w:val="clear" w:color="000000" w:fill="FFFFFF"/>
            <w:vAlign w:val="center"/>
          </w:tcPr>
          <w:p w14:paraId="36B35D74">
            <w:pPr>
              <w:widowControl/>
              <w:jc w:val="left"/>
              <w:rPr>
                <w:kern w:val="0"/>
                <w:sz w:val="24"/>
              </w:rPr>
            </w:pPr>
            <w:r>
              <w:rPr>
                <w:rFonts w:hint="eastAsia"/>
                <w:sz w:val="24"/>
              </w:rPr>
              <w:t>响应文件</w:t>
            </w:r>
            <w:r>
              <w:rPr>
                <w:sz w:val="24"/>
              </w:rPr>
              <w:t>满足</w:t>
            </w:r>
            <w:r>
              <w:rPr>
                <w:rFonts w:hint="eastAsia"/>
                <w:sz w:val="24"/>
              </w:rPr>
              <w:t>竞争性磋商文件</w:t>
            </w:r>
            <w:r>
              <w:rPr>
                <w:sz w:val="24"/>
              </w:rPr>
              <w:t>第</w:t>
            </w:r>
            <w:r>
              <w:rPr>
                <w:rFonts w:hint="eastAsia"/>
                <w:sz w:val="24"/>
              </w:rPr>
              <w:t>四</w:t>
            </w:r>
            <w:r>
              <w:rPr>
                <w:sz w:val="24"/>
              </w:rPr>
              <w:t>章《采购需求》中★号条款要求的；</w:t>
            </w:r>
          </w:p>
        </w:tc>
        <w:tc>
          <w:tcPr>
            <w:tcW w:w="979" w:type="pct"/>
            <w:shd w:val="clear" w:color="000000" w:fill="FFFFFF"/>
            <w:vAlign w:val="center"/>
          </w:tcPr>
          <w:p w14:paraId="01FFA336">
            <w:pPr>
              <w:widowControl/>
              <w:jc w:val="center"/>
              <w:rPr>
                <w:kern w:val="0"/>
                <w:sz w:val="24"/>
              </w:rPr>
            </w:pPr>
            <w:r>
              <w:rPr>
                <w:rFonts w:hint="eastAsia"/>
                <w:kern w:val="0"/>
                <w:sz w:val="24"/>
              </w:rPr>
              <w:t>不允许</w:t>
            </w:r>
          </w:p>
        </w:tc>
      </w:tr>
      <w:tr w14:paraId="14CF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7141FE45">
            <w:pPr>
              <w:widowControl/>
              <w:jc w:val="center"/>
              <w:rPr>
                <w:kern w:val="0"/>
                <w:sz w:val="24"/>
              </w:rPr>
            </w:pPr>
            <w:r>
              <w:rPr>
                <w:kern w:val="0"/>
                <w:sz w:val="24"/>
              </w:rPr>
              <w:t>8</w:t>
            </w:r>
          </w:p>
        </w:tc>
        <w:tc>
          <w:tcPr>
            <w:tcW w:w="869" w:type="pct"/>
            <w:shd w:val="clear" w:color="000000" w:fill="FFFFFF"/>
            <w:vAlign w:val="center"/>
          </w:tcPr>
          <w:p w14:paraId="5BF42838">
            <w:pPr>
              <w:widowControl/>
              <w:jc w:val="left"/>
              <w:rPr>
                <w:kern w:val="0"/>
                <w:sz w:val="24"/>
              </w:rPr>
            </w:pPr>
            <w:r>
              <w:rPr>
                <w:kern w:val="0"/>
                <w:sz w:val="24"/>
              </w:rPr>
              <w:t>报价的修正（如有）</w:t>
            </w:r>
          </w:p>
        </w:tc>
        <w:tc>
          <w:tcPr>
            <w:tcW w:w="2722" w:type="pct"/>
            <w:shd w:val="clear" w:color="000000" w:fill="FFFFFF"/>
            <w:vAlign w:val="center"/>
          </w:tcPr>
          <w:p w14:paraId="0523EEDE">
            <w:pPr>
              <w:widowControl/>
              <w:jc w:val="left"/>
              <w:rPr>
                <w:kern w:val="0"/>
                <w:sz w:val="24"/>
              </w:rPr>
            </w:pPr>
            <w:r>
              <w:rPr>
                <w:rFonts w:hint="eastAsia"/>
                <w:sz w:val="24"/>
              </w:rPr>
              <w:t>不涉及报价修正</w:t>
            </w:r>
            <w:r>
              <w:rPr>
                <w:sz w:val="24"/>
              </w:rPr>
              <w:t>，或</w:t>
            </w:r>
            <w:r>
              <w:rPr>
                <w:rFonts w:hint="eastAsia"/>
                <w:sz w:val="24"/>
              </w:rPr>
              <w:t>响应文件</w:t>
            </w:r>
            <w:r>
              <w:rPr>
                <w:sz w:val="24"/>
              </w:rPr>
              <w:t>报价出现前后不一致</w:t>
            </w:r>
            <w:r>
              <w:rPr>
                <w:rFonts w:hint="eastAsia"/>
                <w:sz w:val="24"/>
              </w:rPr>
              <w:t>时</w:t>
            </w:r>
            <w:r>
              <w:rPr>
                <w:sz w:val="24"/>
              </w:rPr>
              <w:t>，</w:t>
            </w:r>
            <w:r>
              <w:rPr>
                <w:rFonts w:hint="eastAsia"/>
                <w:sz w:val="24"/>
              </w:rPr>
              <w:t>供应商</w:t>
            </w:r>
            <w:r>
              <w:rPr>
                <w:sz w:val="24"/>
              </w:rPr>
              <w:t>对修正后的报价予</w:t>
            </w:r>
            <w:r>
              <w:rPr>
                <w:rFonts w:hint="eastAsia"/>
                <w:sz w:val="24"/>
              </w:rPr>
              <w:t>以</w:t>
            </w:r>
            <w:r>
              <w:rPr>
                <w:sz w:val="24"/>
              </w:rPr>
              <w:t>确认；（如有）</w:t>
            </w:r>
          </w:p>
        </w:tc>
        <w:tc>
          <w:tcPr>
            <w:tcW w:w="979" w:type="pct"/>
            <w:shd w:val="clear" w:color="000000" w:fill="FFFFFF"/>
            <w:vAlign w:val="center"/>
          </w:tcPr>
          <w:p w14:paraId="7192D265">
            <w:pPr>
              <w:widowControl/>
              <w:jc w:val="center"/>
              <w:rPr>
                <w:kern w:val="0"/>
                <w:sz w:val="24"/>
              </w:rPr>
            </w:pPr>
            <w:r>
              <w:rPr>
                <w:rFonts w:hint="eastAsia"/>
                <w:kern w:val="0"/>
                <w:sz w:val="24"/>
              </w:rPr>
              <w:t>允许</w:t>
            </w:r>
          </w:p>
        </w:tc>
      </w:tr>
      <w:tr w14:paraId="4F00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1C5C951B">
            <w:pPr>
              <w:widowControl/>
              <w:jc w:val="center"/>
              <w:rPr>
                <w:kern w:val="0"/>
                <w:sz w:val="24"/>
              </w:rPr>
            </w:pPr>
            <w:r>
              <w:rPr>
                <w:rFonts w:hint="eastAsia"/>
                <w:kern w:val="0"/>
                <w:sz w:val="24"/>
              </w:rPr>
              <w:t>9</w:t>
            </w:r>
          </w:p>
        </w:tc>
        <w:tc>
          <w:tcPr>
            <w:tcW w:w="869" w:type="pct"/>
            <w:shd w:val="clear" w:color="000000" w:fill="FFFFFF"/>
            <w:vAlign w:val="center"/>
          </w:tcPr>
          <w:p w14:paraId="6FFF177A">
            <w:pPr>
              <w:widowControl/>
              <w:jc w:val="left"/>
              <w:rPr>
                <w:kern w:val="0"/>
                <w:sz w:val="24"/>
              </w:rPr>
            </w:pPr>
            <w:r>
              <w:rPr>
                <w:kern w:val="0"/>
                <w:sz w:val="24"/>
              </w:rPr>
              <w:t>公平竞争</w:t>
            </w:r>
          </w:p>
        </w:tc>
        <w:tc>
          <w:tcPr>
            <w:tcW w:w="2722" w:type="pct"/>
            <w:shd w:val="clear" w:color="000000" w:fill="FFFFFF"/>
            <w:vAlign w:val="center"/>
          </w:tcPr>
          <w:p w14:paraId="6FCB0E69">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979" w:type="pct"/>
            <w:shd w:val="clear" w:color="000000" w:fill="FFFFFF"/>
            <w:vAlign w:val="center"/>
          </w:tcPr>
          <w:p w14:paraId="54075FCF">
            <w:pPr>
              <w:widowControl/>
              <w:jc w:val="center"/>
              <w:rPr>
                <w:kern w:val="0"/>
                <w:sz w:val="24"/>
              </w:rPr>
            </w:pPr>
            <w:r>
              <w:rPr>
                <w:rFonts w:hint="eastAsia"/>
                <w:kern w:val="0"/>
                <w:sz w:val="24"/>
              </w:rPr>
              <w:t>不允许</w:t>
            </w:r>
          </w:p>
        </w:tc>
      </w:tr>
      <w:tr w14:paraId="48E2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254CA4B2">
            <w:pPr>
              <w:widowControl/>
              <w:jc w:val="center"/>
              <w:rPr>
                <w:kern w:val="0"/>
                <w:sz w:val="24"/>
              </w:rPr>
            </w:pPr>
            <w:r>
              <w:rPr>
                <w:rFonts w:hint="eastAsia"/>
                <w:kern w:val="0"/>
                <w:sz w:val="24"/>
              </w:rPr>
              <w:t>10</w:t>
            </w:r>
          </w:p>
        </w:tc>
        <w:tc>
          <w:tcPr>
            <w:tcW w:w="869" w:type="pct"/>
            <w:shd w:val="clear" w:color="000000" w:fill="FFFFFF"/>
            <w:vAlign w:val="center"/>
          </w:tcPr>
          <w:p w14:paraId="25DD2946">
            <w:pPr>
              <w:widowControl/>
              <w:jc w:val="left"/>
              <w:rPr>
                <w:kern w:val="0"/>
                <w:sz w:val="24"/>
              </w:rPr>
            </w:pPr>
            <w:r>
              <w:rPr>
                <w:kern w:val="0"/>
                <w:sz w:val="24"/>
              </w:rPr>
              <w:t>串通投标</w:t>
            </w:r>
          </w:p>
        </w:tc>
        <w:tc>
          <w:tcPr>
            <w:tcW w:w="2722" w:type="pct"/>
            <w:shd w:val="clear" w:color="000000" w:fill="FFFFFF"/>
            <w:vAlign w:val="center"/>
          </w:tcPr>
          <w:p w14:paraId="018C07A9">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979" w:type="pct"/>
            <w:shd w:val="clear" w:color="000000" w:fill="FFFFFF"/>
            <w:vAlign w:val="center"/>
          </w:tcPr>
          <w:p w14:paraId="2525289B">
            <w:pPr>
              <w:widowControl/>
              <w:jc w:val="center"/>
              <w:rPr>
                <w:kern w:val="0"/>
                <w:sz w:val="24"/>
              </w:rPr>
            </w:pPr>
            <w:r>
              <w:rPr>
                <w:rFonts w:hint="eastAsia"/>
                <w:kern w:val="0"/>
                <w:sz w:val="24"/>
              </w:rPr>
              <w:t>不允许</w:t>
            </w:r>
          </w:p>
        </w:tc>
      </w:tr>
      <w:tr w14:paraId="17D7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6BE35CBE">
            <w:pPr>
              <w:widowControl/>
              <w:jc w:val="center"/>
              <w:rPr>
                <w:kern w:val="0"/>
                <w:sz w:val="24"/>
              </w:rPr>
            </w:pPr>
            <w:r>
              <w:rPr>
                <w:rFonts w:hint="eastAsia"/>
                <w:kern w:val="0"/>
                <w:sz w:val="24"/>
              </w:rPr>
              <w:t>11</w:t>
            </w:r>
          </w:p>
        </w:tc>
        <w:tc>
          <w:tcPr>
            <w:tcW w:w="869" w:type="pct"/>
            <w:shd w:val="clear" w:color="000000" w:fill="FFFFFF"/>
            <w:vAlign w:val="center"/>
          </w:tcPr>
          <w:p w14:paraId="6502C99C">
            <w:pPr>
              <w:widowControl/>
              <w:jc w:val="left"/>
              <w:rPr>
                <w:kern w:val="0"/>
                <w:sz w:val="24"/>
              </w:rPr>
            </w:pPr>
            <w:r>
              <w:rPr>
                <w:kern w:val="0"/>
                <w:sz w:val="24"/>
              </w:rPr>
              <w:t>附加条件</w:t>
            </w:r>
          </w:p>
        </w:tc>
        <w:tc>
          <w:tcPr>
            <w:tcW w:w="2722" w:type="pct"/>
            <w:shd w:val="clear" w:color="000000" w:fill="FFFFFF"/>
            <w:vAlign w:val="center"/>
          </w:tcPr>
          <w:p w14:paraId="376FA975">
            <w:pPr>
              <w:widowControl/>
              <w:jc w:val="left"/>
              <w:rPr>
                <w:kern w:val="0"/>
                <w:sz w:val="24"/>
              </w:rPr>
            </w:pPr>
            <w:r>
              <w:rPr>
                <w:rFonts w:hint="eastAsia"/>
                <w:kern w:val="0"/>
                <w:sz w:val="24"/>
              </w:rPr>
              <w:t>响应文件未</w:t>
            </w:r>
            <w:r>
              <w:rPr>
                <w:kern w:val="0"/>
                <w:sz w:val="24"/>
              </w:rPr>
              <w:t>含有采购人不能接受的附加条件的；</w:t>
            </w:r>
          </w:p>
        </w:tc>
        <w:tc>
          <w:tcPr>
            <w:tcW w:w="979" w:type="pct"/>
            <w:shd w:val="clear" w:color="000000" w:fill="FFFFFF"/>
            <w:vAlign w:val="center"/>
          </w:tcPr>
          <w:p w14:paraId="20074295">
            <w:pPr>
              <w:widowControl/>
              <w:jc w:val="center"/>
              <w:rPr>
                <w:kern w:val="0"/>
                <w:sz w:val="24"/>
              </w:rPr>
            </w:pPr>
            <w:r>
              <w:rPr>
                <w:rFonts w:hint="eastAsia"/>
                <w:kern w:val="0"/>
                <w:sz w:val="24"/>
              </w:rPr>
              <w:t>不允许</w:t>
            </w:r>
          </w:p>
        </w:tc>
      </w:tr>
      <w:tr w14:paraId="0395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29" w:type="pct"/>
            <w:shd w:val="clear" w:color="000000" w:fill="FFFFFF"/>
            <w:vAlign w:val="center"/>
          </w:tcPr>
          <w:p w14:paraId="774EFF12">
            <w:pPr>
              <w:widowControl/>
              <w:jc w:val="center"/>
              <w:rPr>
                <w:kern w:val="0"/>
                <w:sz w:val="24"/>
              </w:rPr>
            </w:pPr>
            <w:r>
              <w:rPr>
                <w:rFonts w:hint="eastAsia"/>
                <w:kern w:val="0"/>
                <w:sz w:val="24"/>
              </w:rPr>
              <w:t>12</w:t>
            </w:r>
          </w:p>
        </w:tc>
        <w:tc>
          <w:tcPr>
            <w:tcW w:w="869" w:type="pct"/>
            <w:shd w:val="clear" w:color="000000" w:fill="FFFFFF"/>
            <w:vAlign w:val="center"/>
          </w:tcPr>
          <w:p w14:paraId="18F0EB29">
            <w:pPr>
              <w:widowControl/>
              <w:jc w:val="left"/>
              <w:rPr>
                <w:kern w:val="0"/>
                <w:sz w:val="24"/>
              </w:rPr>
            </w:pPr>
            <w:r>
              <w:rPr>
                <w:kern w:val="0"/>
                <w:sz w:val="24"/>
              </w:rPr>
              <w:t>其他无效情形</w:t>
            </w:r>
          </w:p>
        </w:tc>
        <w:tc>
          <w:tcPr>
            <w:tcW w:w="2722" w:type="pct"/>
            <w:shd w:val="clear" w:color="000000" w:fill="FFFFFF"/>
            <w:vAlign w:val="center"/>
          </w:tcPr>
          <w:p w14:paraId="73AF4DCE">
            <w:pPr>
              <w:widowControl/>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979" w:type="pct"/>
            <w:shd w:val="clear" w:color="000000" w:fill="FFFFFF"/>
            <w:vAlign w:val="center"/>
          </w:tcPr>
          <w:p w14:paraId="23D1DFAD">
            <w:pPr>
              <w:widowControl/>
              <w:jc w:val="center"/>
              <w:rPr>
                <w:kern w:val="0"/>
                <w:sz w:val="24"/>
              </w:rPr>
            </w:pPr>
            <w:r>
              <w:rPr>
                <w:rFonts w:hint="eastAsia"/>
                <w:kern w:val="0"/>
                <w:sz w:val="24"/>
              </w:rPr>
              <w:t>不允许</w:t>
            </w:r>
          </w:p>
        </w:tc>
      </w:tr>
    </w:tbl>
    <w:p w14:paraId="21487645">
      <w:pPr>
        <w:tabs>
          <w:tab w:val="left" w:pos="900"/>
          <w:tab w:val="left" w:pos="1080"/>
          <w:tab w:val="left" w:pos="1589"/>
        </w:tabs>
        <w:snapToGrid w:val="0"/>
        <w:spacing w:line="360" w:lineRule="auto"/>
        <w:rPr>
          <w:rFonts w:eastAsiaTheme="minorEastAsia"/>
          <w:sz w:val="24"/>
        </w:rPr>
      </w:pPr>
    </w:p>
    <w:p w14:paraId="438EE015">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6EE84FD">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5E533DBF">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618605F">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137C4DEA">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326DDF8">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36FA76C9">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BF88EA3">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9F4872E">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05FD974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C805AAC">
      <w:pPr>
        <w:numPr>
          <w:ilvl w:val="1"/>
          <w:numId w:val="10"/>
        </w:numPr>
        <w:tabs>
          <w:tab w:val="left" w:pos="1080"/>
          <w:tab w:val="left" w:pos="1872"/>
        </w:tabs>
        <w:snapToGrid w:val="0"/>
        <w:spacing w:line="360" w:lineRule="auto"/>
        <w:ind w:left="1077" w:hanging="720"/>
        <w:rPr>
          <w:rFonts w:eastAsiaTheme="minorEastAsia"/>
          <w:snapToGrid w:val="0"/>
          <w:sz w:val="24"/>
        </w:rPr>
      </w:pPr>
      <w:bookmarkStart w:id="639" w:name="_Hlk220085436"/>
      <w:r>
        <w:rPr>
          <w:rFonts w:hint="eastAsia" w:eastAsiaTheme="minorEastAsia"/>
          <w:snapToGrid w:val="0"/>
          <w:sz w:val="24"/>
        </w:rPr>
        <w:t>异常低价处理</w:t>
      </w:r>
    </w:p>
    <w:p w14:paraId="05EC9196">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428BE9D5">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u w:val="single"/>
        </w:rPr>
        <w:t xml:space="preserve"> 50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u w:val="single"/>
        </w:rPr>
        <w:t xml:space="preserve"> 50 </w:t>
      </w:r>
      <w:r>
        <w:rPr>
          <w:rFonts w:eastAsiaTheme="minorEastAsia"/>
          <w:sz w:val="24"/>
        </w:rPr>
        <w:t>%</w:t>
      </w:r>
      <w:r>
        <w:rPr>
          <w:rFonts w:hint="eastAsia" w:eastAsiaTheme="minorEastAsia"/>
          <w:sz w:val="24"/>
        </w:rPr>
        <w:t>；</w:t>
      </w:r>
    </w:p>
    <w:p w14:paraId="6812815E">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u w:val="single"/>
        </w:rPr>
        <w:t xml:space="preserve"> 50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u w:val="single"/>
        </w:rPr>
        <w:t xml:space="preserve"> 50 </w:t>
      </w:r>
      <w:r>
        <w:rPr>
          <w:rFonts w:eastAsiaTheme="minorEastAsia"/>
          <w:sz w:val="24"/>
        </w:rPr>
        <w:t>%</w:t>
      </w:r>
      <w:r>
        <w:rPr>
          <w:rFonts w:hint="eastAsia" w:eastAsiaTheme="minorEastAsia"/>
          <w:sz w:val="24"/>
        </w:rPr>
        <w:t>；</w:t>
      </w:r>
    </w:p>
    <w:p w14:paraId="309EA0D9">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u w:val="single"/>
        </w:rPr>
        <w:t xml:space="preserve"> 45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u w:val="single"/>
        </w:rPr>
        <w:t xml:space="preserve"> 45</w:t>
      </w:r>
      <w:r>
        <w:rPr>
          <w:rFonts w:eastAsiaTheme="minorEastAsia"/>
          <w:sz w:val="24"/>
        </w:rPr>
        <w:t>%</w:t>
      </w:r>
      <w:r>
        <w:rPr>
          <w:rFonts w:hint="eastAsia" w:eastAsiaTheme="minorEastAsia"/>
          <w:sz w:val="24"/>
        </w:rPr>
        <w:t>；未设定最高限价的采购项目，以采购项目预算金额作为最高限价；</w:t>
      </w:r>
    </w:p>
    <w:p w14:paraId="3161E1E4">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5B48CF55">
      <w:pPr>
        <w:numPr>
          <w:ilvl w:val="2"/>
          <w:numId w:val="10"/>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791ADDBB">
      <w:pPr>
        <w:numPr>
          <w:ilvl w:val="2"/>
          <w:numId w:val="10"/>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90C7DD">
      <w:pPr>
        <w:numPr>
          <w:ilvl w:val="2"/>
          <w:numId w:val="10"/>
        </w:numPr>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2AFA18E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717AD7">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67A07DA">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18B2D4E">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6577D19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C1935CE">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79EAB28F">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4E013DCA">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6123A0F2">
      <w:pPr>
        <w:tabs>
          <w:tab w:val="left" w:pos="1080"/>
          <w:tab w:val="left" w:pos="1589"/>
          <w:tab w:val="left" w:pos="2035"/>
          <w:tab w:val="left" w:pos="2114"/>
        </w:tabs>
        <w:snapToGrid w:val="0"/>
        <w:spacing w:line="360" w:lineRule="auto"/>
        <w:ind w:left="2035"/>
        <w:rPr>
          <w:rFonts w:eastAsiaTheme="minorEastAsia"/>
          <w:sz w:val="24"/>
        </w:rPr>
      </w:pPr>
      <w:r>
        <w:rPr>
          <w:b/>
          <w:sz w:val="24"/>
        </w:rPr>
        <w:t>■</w:t>
      </w:r>
      <w:r>
        <w:rPr>
          <w:rFonts w:eastAsiaTheme="minorEastAsia"/>
          <w:sz w:val="24"/>
        </w:rPr>
        <w:t>无，按下述3.2.2-3.2.5项规定修正。</w:t>
      </w:r>
    </w:p>
    <w:p w14:paraId="1FA14E4D">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22AEE8BD">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D2BF91C">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7E1380A0">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21D7AFF4">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087157B">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448E92D">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 xml:space="preserve"> 10 </w:t>
      </w:r>
      <w:r>
        <w:rPr>
          <w:rFonts w:eastAsiaTheme="minorEastAsia"/>
          <w:sz w:val="24"/>
        </w:rPr>
        <w:t>%的扣除，用扣除后的价格参加评审。</w:t>
      </w:r>
    </w:p>
    <w:p w14:paraId="0A7122BF">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rFonts w:eastAsiaTheme="minorEastAsia"/>
          <w:sz w:val="24"/>
        </w:rPr>
        <w:t>%的扣除，用扣除后的价格参加评审。</w:t>
      </w:r>
    </w:p>
    <w:p w14:paraId="6EE492B1">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81C7CC8">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64131A6">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DA39AE3">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DC98AD5">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513B87D">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6B9113EA">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63C82779">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33073D3">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E12F76">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0E66F24">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94554B2">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E089B4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11BA68D5">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778175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1EF686ED">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2E17D5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E00EF9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sz w:val="24"/>
          <w:u w:val="single"/>
        </w:rPr>
        <w:t xml:space="preserve">  /  </w:t>
      </w:r>
      <w:r>
        <w:rPr>
          <w:rFonts w:eastAsiaTheme="minorEastAsia"/>
          <w:sz w:val="24"/>
        </w:rPr>
        <w:t>。</w:t>
      </w:r>
    </w:p>
    <w:bookmarkEnd w:id="622"/>
    <w:bookmarkEnd w:id="623"/>
    <w:p w14:paraId="74588F76">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B12174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1210818">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4E89A784">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rFonts w:eastAsiaTheme="minorEastAsia"/>
          <w:sz w:val="24"/>
        </w:rPr>
        <w:t>。</w:t>
      </w:r>
    </w:p>
    <w:p w14:paraId="04329F9C">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41" w:name="_Toc195842911"/>
      <w:bookmarkStart w:id="642" w:name="_Toc150774751"/>
      <w:bookmarkStart w:id="643" w:name="_Ref467307010"/>
      <w:bookmarkStart w:id="644" w:name="_Toc150480784"/>
      <w:bookmarkStart w:id="645" w:name="_Toc150509297"/>
      <w:bookmarkStart w:id="646" w:name="_Toc151193644"/>
      <w:bookmarkStart w:id="647" w:name="_Toc151193788"/>
      <w:bookmarkStart w:id="648" w:name="_Toc226309790"/>
      <w:bookmarkStart w:id="649" w:name="_Toc164229241"/>
      <w:bookmarkStart w:id="650" w:name="_Toc164229387"/>
      <w:bookmarkStart w:id="651" w:name="_Toc127151747"/>
      <w:bookmarkStart w:id="652" w:name="_Toc520356170"/>
      <w:bookmarkStart w:id="653" w:name="_Toc226337242"/>
      <w:bookmarkStart w:id="654" w:name="_Toc305158814"/>
      <w:bookmarkStart w:id="655" w:name="_Toc164351640"/>
      <w:bookmarkStart w:id="656" w:name="_Toc127161460"/>
      <w:bookmarkStart w:id="657" w:name="_Toc142311048"/>
      <w:bookmarkStart w:id="658" w:name="_Toc226965819"/>
      <w:bookmarkStart w:id="659" w:name="_Toc151193716"/>
      <w:bookmarkStart w:id="660" w:name="_Toc149720839"/>
      <w:bookmarkStart w:id="661" w:name="_Toc164608815"/>
      <w:bookmarkStart w:id="662" w:name="_Toc151190173"/>
      <w:bookmarkStart w:id="663" w:name="_Toc151193934"/>
      <w:bookmarkStart w:id="664" w:name="_Toc164608660"/>
      <w:bookmarkStart w:id="665" w:name="_Toc127151546"/>
      <w:bookmarkStart w:id="666" w:name="_Toc305158888"/>
      <w:bookmarkStart w:id="667" w:name="_Toc265228384"/>
      <w:bookmarkStart w:id="668" w:name="_Toc226965736"/>
      <w:bookmarkStart w:id="669" w:name="_Toc151193860"/>
      <w:bookmarkStart w:id="670" w:name="_Toc264969236"/>
      <w:bookmarkStart w:id="671" w:name="_Toc150774646"/>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25046AC">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335F93F">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rPr>
        <w:t xml:space="preserve">  </w:t>
      </w:r>
      <w:r>
        <w:rPr>
          <w:rFonts w:hint="eastAsia" w:eastAsiaTheme="minorEastAsia"/>
          <w:sz w:val="24"/>
          <w:u w:val="single"/>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6D3E016B">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0ED0380B">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25972498">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1C9F963">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23"/>
        <w:gridCol w:w="691"/>
        <w:gridCol w:w="6691"/>
      </w:tblGrid>
      <w:tr w14:paraId="71E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3" w:type="pct"/>
            <w:gridSpan w:val="2"/>
            <w:tcBorders>
              <w:top w:val="single" w:color="auto" w:sz="4" w:space="0"/>
              <w:left w:val="single" w:color="auto" w:sz="4" w:space="0"/>
              <w:bottom w:val="single" w:color="auto" w:sz="4" w:space="0"/>
              <w:right w:val="single" w:color="auto" w:sz="4" w:space="0"/>
            </w:tcBorders>
            <w:vAlign w:val="center"/>
          </w:tcPr>
          <w:p w14:paraId="1E47AA65">
            <w:pPr>
              <w:contextualSpacing/>
              <w:jc w:val="center"/>
              <w:rPr>
                <w:rFonts w:hint="eastAsia" w:ascii="宋体" w:hAnsi="宋体" w:cs="宋体"/>
                <w:b/>
                <w:bCs/>
                <w:szCs w:val="21"/>
              </w:rPr>
            </w:pPr>
            <w:r>
              <w:rPr>
                <w:rFonts w:hint="eastAsia" w:ascii="宋体" w:hAnsi="宋体" w:cs="宋体"/>
                <w:b/>
                <w:bCs/>
                <w:szCs w:val="21"/>
              </w:rPr>
              <w:t>评审内容</w:t>
            </w:r>
          </w:p>
        </w:tc>
        <w:tc>
          <w:tcPr>
            <w:tcW w:w="372" w:type="pct"/>
            <w:tcBorders>
              <w:top w:val="single" w:color="auto" w:sz="4" w:space="0"/>
              <w:left w:val="single" w:color="auto" w:sz="4" w:space="0"/>
              <w:bottom w:val="single" w:color="auto" w:sz="4" w:space="0"/>
              <w:right w:val="single" w:color="auto" w:sz="4" w:space="0"/>
            </w:tcBorders>
            <w:vAlign w:val="center"/>
          </w:tcPr>
          <w:p w14:paraId="036A6557">
            <w:pPr>
              <w:contextualSpacing/>
              <w:jc w:val="center"/>
              <w:rPr>
                <w:rFonts w:hint="eastAsia" w:ascii="宋体" w:hAnsi="宋体" w:cs="宋体"/>
                <w:b/>
                <w:bCs/>
                <w:szCs w:val="21"/>
              </w:rPr>
            </w:pPr>
            <w:r>
              <w:rPr>
                <w:rFonts w:hint="eastAsia" w:ascii="宋体" w:hAnsi="宋体" w:cs="宋体"/>
                <w:b/>
                <w:bCs/>
                <w:szCs w:val="21"/>
              </w:rPr>
              <w:t>分值</w:t>
            </w:r>
          </w:p>
        </w:tc>
        <w:tc>
          <w:tcPr>
            <w:tcW w:w="3604" w:type="pct"/>
            <w:tcBorders>
              <w:top w:val="single" w:color="auto" w:sz="4" w:space="0"/>
              <w:left w:val="single" w:color="auto" w:sz="4" w:space="0"/>
              <w:bottom w:val="single" w:color="auto" w:sz="4" w:space="0"/>
              <w:right w:val="single" w:color="auto" w:sz="4" w:space="0"/>
            </w:tcBorders>
            <w:vAlign w:val="center"/>
          </w:tcPr>
          <w:p w14:paraId="5C939178">
            <w:pPr>
              <w:contextualSpacing/>
              <w:jc w:val="center"/>
              <w:rPr>
                <w:rFonts w:hint="eastAsia" w:ascii="宋体" w:hAnsi="宋体" w:cs="宋体"/>
                <w:b/>
                <w:bCs/>
                <w:szCs w:val="21"/>
              </w:rPr>
            </w:pPr>
            <w:r>
              <w:rPr>
                <w:rFonts w:hint="eastAsia" w:ascii="宋体" w:hAnsi="宋体" w:cs="宋体"/>
                <w:b/>
                <w:bCs/>
                <w:szCs w:val="21"/>
              </w:rPr>
              <w:t>评分标准</w:t>
            </w:r>
          </w:p>
        </w:tc>
      </w:tr>
      <w:tr w14:paraId="6256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23" w:type="pct"/>
            <w:gridSpan w:val="2"/>
            <w:tcBorders>
              <w:top w:val="single" w:color="auto" w:sz="4" w:space="0"/>
              <w:left w:val="single" w:color="auto" w:sz="4" w:space="0"/>
              <w:bottom w:val="single" w:color="auto" w:sz="4" w:space="0"/>
              <w:right w:val="single" w:color="auto" w:sz="4" w:space="0"/>
            </w:tcBorders>
            <w:vAlign w:val="center"/>
          </w:tcPr>
          <w:p w14:paraId="0EFE3290">
            <w:pPr>
              <w:contextualSpacing/>
              <w:jc w:val="center"/>
              <w:rPr>
                <w:rFonts w:hint="eastAsia" w:ascii="宋体" w:hAnsi="宋体" w:cs="宋体"/>
                <w:szCs w:val="21"/>
              </w:rPr>
            </w:pPr>
            <w:r>
              <w:rPr>
                <w:rFonts w:hint="eastAsia" w:ascii="宋体" w:hAnsi="宋体" w:cs="宋体"/>
                <w:b/>
                <w:bCs/>
                <w:szCs w:val="21"/>
              </w:rPr>
              <w:t>报价(15分)</w:t>
            </w:r>
          </w:p>
        </w:tc>
        <w:tc>
          <w:tcPr>
            <w:tcW w:w="372" w:type="pct"/>
            <w:tcBorders>
              <w:top w:val="single" w:color="auto" w:sz="4" w:space="0"/>
              <w:left w:val="single" w:color="auto" w:sz="4" w:space="0"/>
              <w:bottom w:val="single" w:color="auto" w:sz="4" w:space="0"/>
              <w:right w:val="single" w:color="auto" w:sz="4" w:space="0"/>
            </w:tcBorders>
            <w:vAlign w:val="center"/>
          </w:tcPr>
          <w:p w14:paraId="125C463A">
            <w:pPr>
              <w:contextualSpacing/>
              <w:jc w:val="center"/>
              <w:rPr>
                <w:rFonts w:hint="eastAsia" w:ascii="宋体" w:hAnsi="宋体" w:cs="宋体"/>
                <w:szCs w:val="21"/>
              </w:rPr>
            </w:pPr>
            <w:r>
              <w:rPr>
                <w:rFonts w:hint="eastAsia" w:ascii="宋体" w:hAnsi="宋体" w:cs="宋体"/>
                <w:szCs w:val="21"/>
              </w:rPr>
              <w:t>15</w:t>
            </w:r>
          </w:p>
        </w:tc>
        <w:tc>
          <w:tcPr>
            <w:tcW w:w="3604" w:type="pct"/>
            <w:tcBorders>
              <w:top w:val="single" w:color="auto" w:sz="4" w:space="0"/>
              <w:left w:val="single" w:color="auto" w:sz="4" w:space="0"/>
              <w:bottom w:val="single" w:color="auto" w:sz="4" w:space="0"/>
              <w:right w:val="single" w:color="auto" w:sz="4" w:space="0"/>
            </w:tcBorders>
            <w:vAlign w:val="center"/>
          </w:tcPr>
          <w:p w14:paraId="02B6E094">
            <w:pPr>
              <w:pStyle w:val="249"/>
              <w:rPr>
                <w:rFonts w:hint="eastAsia" w:ascii="宋体" w:hAnsi="宋体" w:cs="宋体"/>
                <w:szCs w:val="21"/>
              </w:rPr>
            </w:pPr>
            <w:r>
              <w:rPr>
                <w:rFonts w:hint="eastAsia" w:ascii="宋体" w:hAnsi="宋体" w:cs="宋体"/>
                <w:szCs w:val="21"/>
              </w:rPr>
              <w:t>满足磋商文件要求的最后报价最低的供应商的价格为磋商基准价，其价格分为满分。其他供应商的价格分统一按照下列公式计算：</w:t>
            </w:r>
          </w:p>
          <w:p w14:paraId="17B66F26">
            <w:pPr>
              <w:pStyle w:val="249"/>
              <w:rPr>
                <w:rFonts w:hint="eastAsia" w:ascii="宋体" w:hAnsi="宋体" w:cs="宋体"/>
                <w:szCs w:val="21"/>
              </w:rPr>
            </w:pPr>
            <w:r>
              <w:rPr>
                <w:rFonts w:hint="eastAsia" w:ascii="宋体" w:hAnsi="宋体" w:cs="宋体"/>
                <w:szCs w:val="21"/>
              </w:rPr>
              <w:t>磋商报价得分=（磋商基准价/最后报价）×分值</w:t>
            </w:r>
          </w:p>
          <w:p w14:paraId="177E96E0">
            <w:pPr>
              <w:pStyle w:val="249"/>
              <w:rPr>
                <w:rFonts w:hint="eastAsia" w:ascii="宋体" w:hAnsi="宋体" w:cs="宋体"/>
                <w:szCs w:val="21"/>
              </w:rPr>
            </w:pPr>
            <w:r>
              <w:rPr>
                <w:rFonts w:hint="eastAsia" w:ascii="宋体" w:hAnsi="宋体" w:cs="宋体"/>
                <w:szCs w:val="21"/>
              </w:rPr>
              <w:t>分值保留小数点后两位。</w:t>
            </w:r>
          </w:p>
          <w:p w14:paraId="3C321AAE">
            <w:pPr>
              <w:pStyle w:val="249"/>
              <w:rPr>
                <w:rFonts w:hint="eastAsia" w:ascii="宋体" w:hAnsi="宋体" w:cs="宋体"/>
                <w:szCs w:val="21"/>
              </w:rPr>
            </w:pPr>
          </w:p>
          <w:p w14:paraId="57F3C9EE">
            <w:pPr>
              <w:pStyle w:val="249"/>
              <w:rPr>
                <w:rFonts w:hint="eastAsia" w:ascii="宋体" w:hAnsi="宋体" w:cs="宋体"/>
                <w:szCs w:val="21"/>
              </w:rPr>
            </w:pPr>
            <w:r>
              <w:rPr>
                <w:rFonts w:hint="eastAsia" w:ascii="宋体" w:hAnsi="宋体" w:cs="宋体"/>
                <w:szCs w:val="21"/>
              </w:rPr>
              <w:t>此处最后报价指经过报价修正，及因落实政府采购政策进行价格调整后的报价，详见第三章《评审方法和评审标准》3.2、3.3</w:t>
            </w:r>
          </w:p>
        </w:tc>
      </w:tr>
      <w:tr w14:paraId="3393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18" w:type="pct"/>
            <w:vMerge w:val="restart"/>
            <w:tcBorders>
              <w:top w:val="single" w:color="auto" w:sz="4" w:space="0"/>
              <w:left w:val="single" w:color="auto" w:sz="4" w:space="0"/>
              <w:right w:val="single" w:color="auto" w:sz="4" w:space="0"/>
            </w:tcBorders>
            <w:vAlign w:val="center"/>
          </w:tcPr>
          <w:p w14:paraId="62925A72">
            <w:pPr>
              <w:contextualSpacing/>
              <w:jc w:val="center"/>
              <w:rPr>
                <w:rFonts w:hint="eastAsia" w:ascii="宋体" w:hAnsi="宋体" w:cs="宋体"/>
                <w:b/>
                <w:bCs/>
                <w:szCs w:val="21"/>
              </w:rPr>
            </w:pPr>
            <w:r>
              <w:rPr>
                <w:rFonts w:hint="eastAsia" w:ascii="宋体" w:hAnsi="宋体" w:cs="宋体"/>
                <w:b/>
                <w:bCs/>
                <w:szCs w:val="21"/>
              </w:rPr>
              <w:t>商务</w:t>
            </w:r>
          </w:p>
          <w:p w14:paraId="76CE1C0F">
            <w:pPr>
              <w:contextualSpacing/>
              <w:jc w:val="center"/>
              <w:rPr>
                <w:rFonts w:hint="eastAsia" w:ascii="宋体" w:hAnsi="宋体" w:cs="宋体"/>
                <w:b/>
                <w:bCs/>
                <w:szCs w:val="21"/>
              </w:rPr>
            </w:pPr>
            <w:r>
              <w:rPr>
                <w:rFonts w:hint="eastAsia" w:ascii="宋体" w:hAnsi="宋体" w:cs="宋体"/>
                <w:b/>
                <w:bCs/>
                <w:szCs w:val="21"/>
              </w:rPr>
              <w:t>部分</w:t>
            </w:r>
          </w:p>
          <w:p w14:paraId="778F919E">
            <w:pPr>
              <w:contextualSpacing/>
              <w:jc w:val="center"/>
              <w:rPr>
                <w:rFonts w:hint="eastAsia" w:ascii="宋体" w:hAnsi="宋体" w:cs="宋体"/>
                <w:b/>
                <w:bCs/>
                <w:szCs w:val="21"/>
              </w:rPr>
            </w:pPr>
            <w:r>
              <w:rPr>
                <w:rFonts w:hint="eastAsia" w:ascii="宋体" w:hAnsi="宋体" w:cs="宋体"/>
                <w:b/>
                <w:bCs/>
                <w:szCs w:val="21"/>
              </w:rPr>
              <w:t>31分</w:t>
            </w:r>
          </w:p>
        </w:tc>
        <w:tc>
          <w:tcPr>
            <w:tcW w:w="604" w:type="pct"/>
            <w:tcBorders>
              <w:top w:val="single" w:color="auto" w:sz="4" w:space="0"/>
              <w:left w:val="single" w:color="auto" w:sz="4" w:space="0"/>
              <w:right w:val="single" w:color="auto" w:sz="4" w:space="0"/>
            </w:tcBorders>
            <w:vAlign w:val="center"/>
          </w:tcPr>
          <w:p w14:paraId="7942AA47">
            <w:pPr>
              <w:contextualSpacing/>
              <w:jc w:val="center"/>
              <w:rPr>
                <w:rFonts w:hint="eastAsia" w:ascii="宋体" w:hAnsi="宋体" w:cs="宋体"/>
                <w:szCs w:val="21"/>
              </w:rPr>
            </w:pPr>
            <w:r>
              <w:rPr>
                <w:rFonts w:hint="eastAsia" w:ascii="宋体" w:hAnsi="宋体" w:cs="宋体"/>
                <w:szCs w:val="21"/>
              </w:rPr>
              <w:t>同类项目业绩</w:t>
            </w:r>
          </w:p>
        </w:tc>
        <w:tc>
          <w:tcPr>
            <w:tcW w:w="372" w:type="pct"/>
            <w:tcBorders>
              <w:top w:val="single" w:color="auto" w:sz="4" w:space="0"/>
              <w:left w:val="single" w:color="auto" w:sz="4" w:space="0"/>
              <w:bottom w:val="single" w:color="auto" w:sz="4" w:space="0"/>
              <w:right w:val="single" w:color="auto" w:sz="4" w:space="0"/>
            </w:tcBorders>
            <w:vAlign w:val="center"/>
          </w:tcPr>
          <w:p w14:paraId="4688FDCD">
            <w:pPr>
              <w:contextualSpacing/>
              <w:jc w:val="center"/>
              <w:rPr>
                <w:rFonts w:hint="eastAsia" w:ascii="宋体" w:hAnsi="宋体" w:cs="宋体"/>
                <w:szCs w:val="21"/>
              </w:rPr>
            </w:pPr>
            <w:r>
              <w:rPr>
                <w:rFonts w:hint="eastAsia" w:ascii="宋体" w:hAnsi="宋体" w:cs="宋体"/>
                <w:szCs w:val="21"/>
              </w:rPr>
              <w:t>12</w:t>
            </w:r>
          </w:p>
        </w:tc>
        <w:tc>
          <w:tcPr>
            <w:tcW w:w="3604" w:type="pct"/>
            <w:tcBorders>
              <w:top w:val="single" w:color="auto" w:sz="4" w:space="0"/>
              <w:left w:val="single" w:color="auto" w:sz="4" w:space="0"/>
              <w:bottom w:val="single" w:color="auto" w:sz="4" w:space="0"/>
              <w:right w:val="single" w:color="auto" w:sz="4" w:space="0"/>
            </w:tcBorders>
            <w:vAlign w:val="center"/>
          </w:tcPr>
          <w:p w14:paraId="6E27499C">
            <w:pPr>
              <w:pStyle w:val="249"/>
              <w:rPr>
                <w:rFonts w:hint="eastAsia" w:ascii="宋体" w:hAnsi="宋体" w:cs="宋体"/>
                <w:szCs w:val="21"/>
              </w:rPr>
            </w:pPr>
            <w:r>
              <w:rPr>
                <w:rFonts w:hint="eastAsia" w:ascii="宋体" w:hAnsi="宋体" w:cs="宋体"/>
                <w:szCs w:val="21"/>
              </w:rPr>
              <w:t>供应商近3年（2023年1月1日至今，以合同签订时间为准）具有与本项目同类已完成项目业绩，每提供一个业绩得</w:t>
            </w:r>
            <w:r>
              <w:rPr>
                <w:rFonts w:hint="eastAsia" w:ascii="宋体" w:hAnsi="宋体" w:cs="宋体"/>
                <w:szCs w:val="21"/>
                <w:lang w:val="en-US" w:eastAsia="zh-CN"/>
              </w:rPr>
              <w:t>3</w:t>
            </w:r>
            <w:r>
              <w:rPr>
                <w:rFonts w:hint="eastAsia" w:ascii="宋体" w:hAnsi="宋体" w:cs="宋体"/>
                <w:szCs w:val="21"/>
              </w:rPr>
              <w:t>分，最多得12分。</w:t>
            </w:r>
          </w:p>
          <w:p w14:paraId="624638BF">
            <w:pPr>
              <w:pStyle w:val="249"/>
              <w:rPr>
                <w:rFonts w:hint="eastAsia" w:ascii="宋体" w:hAnsi="宋体" w:cs="宋体"/>
                <w:szCs w:val="21"/>
              </w:rPr>
            </w:pPr>
            <w:r>
              <w:rPr>
                <w:rFonts w:hint="eastAsia" w:ascii="宋体" w:hAnsi="宋体" w:cs="宋体"/>
                <w:b/>
                <w:bCs/>
                <w:szCs w:val="21"/>
              </w:rPr>
              <w:t>提供合同关键页（包括但不限于封面、工作内容、合同金额、签订时间、盖章签字等）及竣工验收单复印件并加盖公章，否则不得分。</w:t>
            </w:r>
          </w:p>
        </w:tc>
      </w:tr>
      <w:tr w14:paraId="7B47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18" w:type="pct"/>
            <w:vMerge w:val="continue"/>
            <w:tcBorders>
              <w:left w:val="single" w:color="auto" w:sz="4" w:space="0"/>
              <w:right w:val="single" w:color="auto" w:sz="4" w:space="0"/>
            </w:tcBorders>
            <w:vAlign w:val="center"/>
          </w:tcPr>
          <w:p w14:paraId="78D48828">
            <w:pPr>
              <w:contextualSpacing/>
              <w:jc w:val="center"/>
              <w:rPr>
                <w:rFonts w:hint="eastAsia" w:ascii="宋体" w:hAnsi="宋体" w:cs="宋体"/>
                <w:b/>
                <w:bCs/>
                <w:szCs w:val="21"/>
              </w:rPr>
            </w:pPr>
          </w:p>
        </w:tc>
        <w:tc>
          <w:tcPr>
            <w:tcW w:w="604" w:type="pct"/>
            <w:tcBorders>
              <w:top w:val="single" w:color="auto" w:sz="4" w:space="0"/>
              <w:left w:val="single" w:color="auto" w:sz="4" w:space="0"/>
              <w:right w:val="single" w:color="auto" w:sz="4" w:space="0"/>
            </w:tcBorders>
            <w:vAlign w:val="center"/>
          </w:tcPr>
          <w:p w14:paraId="5EC54342">
            <w:pPr>
              <w:contextualSpacing/>
              <w:jc w:val="center"/>
              <w:rPr>
                <w:rFonts w:hint="eastAsia" w:ascii="宋体" w:hAnsi="宋体" w:cs="宋体"/>
                <w:szCs w:val="21"/>
              </w:rPr>
            </w:pPr>
            <w:r>
              <w:rPr>
                <w:rFonts w:hint="eastAsia" w:ascii="宋体" w:hAnsi="宋体" w:cs="宋体"/>
                <w:szCs w:val="21"/>
              </w:rPr>
              <w:t>管理体系认证</w:t>
            </w:r>
          </w:p>
        </w:tc>
        <w:tc>
          <w:tcPr>
            <w:tcW w:w="372" w:type="pct"/>
            <w:tcBorders>
              <w:top w:val="single" w:color="auto" w:sz="4" w:space="0"/>
              <w:left w:val="single" w:color="auto" w:sz="4" w:space="0"/>
              <w:bottom w:val="single" w:color="auto" w:sz="4" w:space="0"/>
              <w:right w:val="single" w:color="auto" w:sz="4" w:space="0"/>
            </w:tcBorders>
            <w:vAlign w:val="center"/>
          </w:tcPr>
          <w:p w14:paraId="52C91F94">
            <w:pPr>
              <w:contextualSpacing/>
              <w:jc w:val="center"/>
              <w:rPr>
                <w:rFonts w:hint="eastAsia" w:ascii="宋体" w:hAnsi="宋体" w:cs="宋体"/>
                <w:szCs w:val="21"/>
              </w:rPr>
            </w:pPr>
            <w:r>
              <w:rPr>
                <w:rFonts w:hint="eastAsia" w:ascii="宋体" w:hAnsi="宋体" w:cs="宋体"/>
                <w:szCs w:val="21"/>
              </w:rPr>
              <w:t>3</w:t>
            </w:r>
          </w:p>
        </w:tc>
        <w:tc>
          <w:tcPr>
            <w:tcW w:w="3604" w:type="pct"/>
            <w:tcBorders>
              <w:top w:val="single" w:color="auto" w:sz="4" w:space="0"/>
              <w:left w:val="single" w:color="auto" w:sz="4" w:space="0"/>
              <w:bottom w:val="single" w:color="auto" w:sz="4" w:space="0"/>
              <w:right w:val="single" w:color="auto" w:sz="4" w:space="0"/>
            </w:tcBorders>
            <w:vAlign w:val="center"/>
          </w:tcPr>
          <w:p w14:paraId="349B0B57">
            <w:pPr>
              <w:pStyle w:val="249"/>
              <w:rPr>
                <w:rFonts w:hint="eastAsia" w:ascii="宋体" w:hAnsi="宋体" w:cs="宋体"/>
                <w:szCs w:val="21"/>
              </w:rPr>
            </w:pPr>
            <w:r>
              <w:rPr>
                <w:rFonts w:hint="eastAsia" w:ascii="宋体" w:hAnsi="宋体" w:cs="宋体"/>
                <w:szCs w:val="21"/>
              </w:rPr>
              <w:t>供应商具有有效期内的质量管理体系认证证书得1分；</w:t>
            </w:r>
          </w:p>
          <w:p w14:paraId="56126ED6">
            <w:pPr>
              <w:pStyle w:val="249"/>
              <w:rPr>
                <w:rFonts w:hint="eastAsia" w:ascii="宋体" w:hAnsi="宋体" w:cs="宋体"/>
                <w:szCs w:val="21"/>
              </w:rPr>
            </w:pPr>
            <w:r>
              <w:rPr>
                <w:rFonts w:hint="eastAsia" w:ascii="宋体" w:hAnsi="宋体" w:cs="宋体"/>
                <w:szCs w:val="21"/>
              </w:rPr>
              <w:t>供应商具有有效期内的环境管理体系认证证书得1分；</w:t>
            </w:r>
          </w:p>
          <w:p w14:paraId="0F01B690">
            <w:pPr>
              <w:pStyle w:val="249"/>
              <w:rPr>
                <w:rFonts w:hint="eastAsia" w:ascii="宋体" w:hAnsi="宋体" w:cs="宋体"/>
                <w:szCs w:val="21"/>
              </w:rPr>
            </w:pPr>
            <w:r>
              <w:rPr>
                <w:rFonts w:hint="eastAsia" w:ascii="宋体" w:hAnsi="宋体" w:cs="宋体"/>
                <w:szCs w:val="21"/>
              </w:rPr>
              <w:t>供应商具有有效期内的职业健康安全管理体系认证证书得1分；</w:t>
            </w:r>
          </w:p>
          <w:p w14:paraId="2356906E">
            <w:pPr>
              <w:rPr>
                <w:rFonts w:hint="eastAsia" w:ascii="宋体" w:hAnsi="宋体" w:cs="宋体"/>
                <w:szCs w:val="21"/>
              </w:rPr>
            </w:pPr>
            <w:r>
              <w:rPr>
                <w:rFonts w:hint="eastAsia" w:ascii="宋体" w:hAnsi="宋体" w:cs="宋体"/>
                <w:b/>
                <w:bCs/>
                <w:szCs w:val="21"/>
              </w:rPr>
              <w:t>须提供有效的证书复印件并加盖供应商公章。</w:t>
            </w:r>
          </w:p>
        </w:tc>
      </w:tr>
      <w:tr w14:paraId="5C6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18" w:type="pct"/>
            <w:vMerge w:val="continue"/>
            <w:tcBorders>
              <w:left w:val="single" w:color="auto" w:sz="4" w:space="0"/>
              <w:right w:val="single" w:color="auto" w:sz="4" w:space="0"/>
            </w:tcBorders>
            <w:vAlign w:val="center"/>
          </w:tcPr>
          <w:p w14:paraId="3F54CCBE">
            <w:pPr>
              <w:contextualSpacing/>
              <w:jc w:val="center"/>
              <w:rPr>
                <w:rFonts w:hint="eastAsia" w:ascii="宋体" w:hAnsi="宋体" w:cs="宋体"/>
                <w:b/>
                <w:bCs/>
                <w:szCs w:val="21"/>
              </w:rPr>
            </w:pPr>
          </w:p>
        </w:tc>
        <w:tc>
          <w:tcPr>
            <w:tcW w:w="604" w:type="pct"/>
            <w:tcBorders>
              <w:top w:val="single" w:color="auto" w:sz="4" w:space="0"/>
              <w:left w:val="single" w:color="auto" w:sz="4" w:space="0"/>
              <w:right w:val="single" w:color="auto" w:sz="4" w:space="0"/>
            </w:tcBorders>
            <w:vAlign w:val="center"/>
          </w:tcPr>
          <w:p w14:paraId="1C430FB7">
            <w:pPr>
              <w:contextualSpacing/>
              <w:jc w:val="center"/>
              <w:rPr>
                <w:rFonts w:hint="eastAsia" w:ascii="宋体" w:hAnsi="宋体" w:cs="宋体"/>
                <w:szCs w:val="21"/>
              </w:rPr>
            </w:pPr>
            <w:r>
              <w:rPr>
                <w:rFonts w:hint="eastAsia" w:ascii="宋体" w:hAnsi="宋体" w:cs="宋体"/>
                <w:szCs w:val="21"/>
              </w:rPr>
              <w:t>项目经理</w:t>
            </w:r>
          </w:p>
        </w:tc>
        <w:tc>
          <w:tcPr>
            <w:tcW w:w="372" w:type="pct"/>
            <w:tcBorders>
              <w:top w:val="single" w:color="auto" w:sz="4" w:space="0"/>
              <w:left w:val="single" w:color="auto" w:sz="4" w:space="0"/>
              <w:bottom w:val="single" w:color="auto" w:sz="4" w:space="0"/>
              <w:right w:val="single" w:color="auto" w:sz="4" w:space="0"/>
            </w:tcBorders>
            <w:vAlign w:val="center"/>
          </w:tcPr>
          <w:p w14:paraId="073B47BC">
            <w:pPr>
              <w:contextualSpacing/>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3604" w:type="pct"/>
            <w:tcBorders>
              <w:top w:val="single" w:color="auto" w:sz="4" w:space="0"/>
              <w:left w:val="single" w:color="auto" w:sz="4" w:space="0"/>
              <w:bottom w:val="single" w:color="auto" w:sz="4" w:space="0"/>
              <w:right w:val="single" w:color="auto" w:sz="4" w:space="0"/>
            </w:tcBorders>
            <w:vAlign w:val="center"/>
          </w:tcPr>
          <w:p w14:paraId="69694B53">
            <w:pPr>
              <w:pStyle w:val="249"/>
              <w:rPr>
                <w:rStyle w:val="51"/>
                <w:rFonts w:hint="eastAsia" w:ascii="宋体" w:hAnsi="宋体" w:cs="宋体"/>
              </w:rPr>
            </w:pPr>
            <w:r>
              <w:rPr>
                <w:rFonts w:hint="eastAsia" w:ascii="宋体" w:hAnsi="宋体" w:cs="宋体"/>
                <w:szCs w:val="21"/>
              </w:rPr>
              <w:t>1.具有高级职称（含）以上，得3分；具有中级职称，得1分；否则不得分。须提供证明材料并加盖供应商公章，并提供在本公司近半年内任意3个月的社保证明</w:t>
            </w:r>
            <w:r>
              <w:rPr>
                <w:rStyle w:val="51"/>
                <w:rFonts w:hint="eastAsia" w:ascii="宋体" w:hAnsi="宋体" w:cs="宋体"/>
              </w:rPr>
              <w:t>。</w:t>
            </w:r>
          </w:p>
          <w:p w14:paraId="0373554D">
            <w:r>
              <w:rPr>
                <w:rStyle w:val="51"/>
                <w:rFonts w:hint="eastAsia" w:ascii="宋体" w:hAnsi="宋体" w:cs="宋体"/>
              </w:rPr>
              <w:t>2.项目经理具有同类已完成项目业绩，每提供1个得</w:t>
            </w:r>
            <w:r>
              <w:rPr>
                <w:rStyle w:val="51"/>
                <w:rFonts w:hint="eastAsia" w:ascii="宋体" w:hAnsi="宋体" w:cs="宋体"/>
                <w:lang w:val="en-US" w:eastAsia="zh-CN"/>
              </w:rPr>
              <w:t>2</w:t>
            </w:r>
            <w:r>
              <w:rPr>
                <w:rStyle w:val="51"/>
                <w:rFonts w:hint="eastAsia" w:ascii="宋体" w:hAnsi="宋体" w:cs="宋体"/>
              </w:rPr>
              <w:t>分，最多得</w:t>
            </w:r>
            <w:r>
              <w:rPr>
                <w:rStyle w:val="51"/>
                <w:rFonts w:hint="eastAsia" w:ascii="宋体" w:hAnsi="宋体" w:cs="宋体"/>
                <w:lang w:val="en-US" w:eastAsia="zh-CN"/>
              </w:rPr>
              <w:t>4</w:t>
            </w:r>
            <w:r>
              <w:rPr>
                <w:rStyle w:val="51"/>
                <w:rFonts w:hint="eastAsia" w:ascii="宋体" w:hAnsi="宋体" w:cs="宋体"/>
              </w:rPr>
              <w:t>分。需提供相关证明材料复印件并加盖供应商公章。</w:t>
            </w:r>
          </w:p>
        </w:tc>
      </w:tr>
      <w:tr w14:paraId="431E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18" w:type="pct"/>
            <w:vMerge w:val="continue"/>
            <w:tcBorders>
              <w:left w:val="single" w:color="auto" w:sz="4" w:space="0"/>
              <w:right w:val="single" w:color="auto" w:sz="4" w:space="0"/>
            </w:tcBorders>
            <w:vAlign w:val="center"/>
          </w:tcPr>
          <w:p w14:paraId="6B0CCA00">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2FBEAAFF">
            <w:pPr>
              <w:contextualSpacing/>
              <w:jc w:val="center"/>
              <w:rPr>
                <w:rFonts w:hint="eastAsia" w:ascii="宋体" w:hAnsi="宋体" w:cs="宋体"/>
                <w:szCs w:val="21"/>
              </w:rPr>
            </w:pPr>
            <w:r>
              <w:rPr>
                <w:rFonts w:hint="eastAsia" w:ascii="宋体" w:hAnsi="宋体" w:cs="宋体"/>
                <w:szCs w:val="21"/>
              </w:rPr>
              <w:t>技术负责人</w:t>
            </w:r>
          </w:p>
        </w:tc>
        <w:tc>
          <w:tcPr>
            <w:tcW w:w="372" w:type="pct"/>
            <w:tcBorders>
              <w:top w:val="single" w:color="auto" w:sz="4" w:space="0"/>
              <w:left w:val="single" w:color="auto" w:sz="4" w:space="0"/>
              <w:bottom w:val="single" w:color="auto" w:sz="4" w:space="0"/>
              <w:right w:val="single" w:color="auto" w:sz="4" w:space="0"/>
            </w:tcBorders>
            <w:vAlign w:val="center"/>
          </w:tcPr>
          <w:p w14:paraId="74A83C17">
            <w:pPr>
              <w:contextualSpacing/>
              <w:jc w:val="center"/>
              <w:rPr>
                <w:rFonts w:hint="eastAsia" w:ascii="宋体" w:hAnsi="宋体" w:cs="宋体"/>
                <w:szCs w:val="21"/>
              </w:rPr>
            </w:pPr>
            <w:r>
              <w:rPr>
                <w:rFonts w:hint="eastAsia" w:ascii="宋体" w:hAnsi="宋体" w:cs="宋体"/>
                <w:szCs w:val="21"/>
              </w:rPr>
              <w:t>3</w:t>
            </w:r>
          </w:p>
        </w:tc>
        <w:tc>
          <w:tcPr>
            <w:tcW w:w="3604" w:type="pct"/>
            <w:tcBorders>
              <w:top w:val="single" w:color="auto" w:sz="4" w:space="0"/>
              <w:left w:val="single" w:color="auto" w:sz="4" w:space="0"/>
              <w:bottom w:val="single" w:color="auto" w:sz="4" w:space="0"/>
              <w:right w:val="single" w:color="auto" w:sz="4" w:space="0"/>
            </w:tcBorders>
            <w:vAlign w:val="center"/>
          </w:tcPr>
          <w:p w14:paraId="73814604">
            <w:pPr>
              <w:pStyle w:val="249"/>
              <w:rPr>
                <w:rFonts w:hint="eastAsia" w:ascii="宋体" w:hAnsi="宋体" w:cs="宋体"/>
                <w:szCs w:val="21"/>
              </w:rPr>
            </w:pPr>
            <w:r>
              <w:rPr>
                <w:rFonts w:hint="eastAsia" w:ascii="宋体" w:hAnsi="宋体" w:cs="宋体"/>
                <w:szCs w:val="21"/>
              </w:rPr>
              <w:t>具有高级职称（含）以上，得3分；具有中级职称，得1分；否则不得分。须提供证明材料并加盖供应商公章，并提供在本公司近半年内任意3个月的社保证明。</w:t>
            </w:r>
          </w:p>
        </w:tc>
      </w:tr>
      <w:tr w14:paraId="4CD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18" w:type="pct"/>
            <w:vMerge w:val="continue"/>
            <w:tcBorders>
              <w:left w:val="single" w:color="auto" w:sz="4" w:space="0"/>
              <w:right w:val="single" w:color="auto" w:sz="4" w:space="0"/>
            </w:tcBorders>
            <w:vAlign w:val="center"/>
          </w:tcPr>
          <w:p w14:paraId="4D13CE44">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16DFAA55">
            <w:pPr>
              <w:contextualSpacing/>
              <w:jc w:val="center"/>
              <w:rPr>
                <w:rFonts w:hint="eastAsia" w:ascii="宋体" w:hAnsi="宋体" w:cs="宋体"/>
                <w:szCs w:val="21"/>
              </w:rPr>
            </w:pPr>
            <w:r>
              <w:rPr>
                <w:rFonts w:hint="eastAsia" w:ascii="宋体" w:hAnsi="宋体" w:cs="宋体"/>
                <w:szCs w:val="21"/>
              </w:rPr>
              <w:t>其他项目管理人员构成</w:t>
            </w:r>
          </w:p>
        </w:tc>
        <w:tc>
          <w:tcPr>
            <w:tcW w:w="372" w:type="pct"/>
            <w:tcBorders>
              <w:top w:val="single" w:color="auto" w:sz="4" w:space="0"/>
              <w:left w:val="single" w:color="auto" w:sz="4" w:space="0"/>
              <w:right w:val="single" w:color="auto" w:sz="4" w:space="0"/>
            </w:tcBorders>
            <w:vAlign w:val="center"/>
          </w:tcPr>
          <w:p w14:paraId="29200AAF">
            <w:pPr>
              <w:contextualSpacing/>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3604" w:type="pct"/>
            <w:tcBorders>
              <w:top w:val="single" w:color="auto" w:sz="4" w:space="0"/>
              <w:left w:val="single" w:color="auto" w:sz="4" w:space="0"/>
              <w:bottom w:val="single" w:color="auto" w:sz="4" w:space="0"/>
              <w:right w:val="single" w:color="auto" w:sz="4" w:space="0"/>
            </w:tcBorders>
            <w:vAlign w:val="center"/>
          </w:tcPr>
          <w:p w14:paraId="7E1AD0AE">
            <w:pPr>
              <w:pStyle w:val="249"/>
              <w:rPr>
                <w:rFonts w:hint="eastAsia" w:ascii="宋体" w:hAnsi="宋体" w:cs="宋体"/>
                <w:szCs w:val="21"/>
              </w:rPr>
            </w:pPr>
            <w:r>
              <w:rPr>
                <w:rFonts w:hint="eastAsia" w:ascii="宋体" w:hAnsi="宋体" w:cs="宋体"/>
                <w:szCs w:val="21"/>
              </w:rPr>
              <w:t>供应商应根据采购需求配备服务团队，包括施工员、质量员、安全员、资料员、材料员</w:t>
            </w:r>
            <w:r>
              <w:rPr>
                <w:rFonts w:hint="eastAsia" w:ascii="宋体" w:hAnsi="宋体" w:cs="宋体"/>
                <w:szCs w:val="21"/>
                <w:lang w:eastAsia="zh-CN"/>
              </w:rPr>
              <w:t>、</w:t>
            </w:r>
            <w:r>
              <w:rPr>
                <w:rFonts w:hint="eastAsia" w:ascii="宋体" w:hAnsi="宋体" w:cs="宋体"/>
                <w:szCs w:val="21"/>
                <w:lang w:val="en-US" w:eastAsia="zh-CN"/>
              </w:rPr>
              <w:t>造价员</w:t>
            </w:r>
            <w:r>
              <w:rPr>
                <w:rFonts w:hint="eastAsia" w:ascii="宋体" w:hAnsi="宋体" w:cs="宋体"/>
                <w:szCs w:val="21"/>
              </w:rPr>
              <w:t>等。</w:t>
            </w:r>
          </w:p>
          <w:p w14:paraId="47FA980A">
            <w:pPr>
              <w:pStyle w:val="249"/>
              <w:rPr>
                <w:rFonts w:hint="eastAsia" w:ascii="宋体" w:hAnsi="宋体" w:cs="宋体"/>
                <w:szCs w:val="21"/>
              </w:rPr>
            </w:pPr>
            <w:r>
              <w:rPr>
                <w:rFonts w:hint="eastAsia" w:ascii="宋体" w:hAnsi="宋体" w:cs="宋体"/>
                <w:szCs w:val="21"/>
              </w:rPr>
              <w:t>1）人员配备合理，专业齐全，分工明确，完全满足项目需求，得</w:t>
            </w:r>
            <w:r>
              <w:rPr>
                <w:rFonts w:hint="eastAsia" w:ascii="宋体" w:hAnsi="宋体" w:cs="宋体"/>
                <w:szCs w:val="21"/>
                <w:lang w:val="en-US" w:eastAsia="zh-CN"/>
              </w:rPr>
              <w:t>6</w:t>
            </w:r>
            <w:r>
              <w:rPr>
                <w:rFonts w:hint="eastAsia" w:ascii="宋体" w:hAnsi="宋体" w:cs="宋体"/>
                <w:szCs w:val="21"/>
              </w:rPr>
              <w:t>分；</w:t>
            </w:r>
          </w:p>
          <w:p w14:paraId="3DFD890E">
            <w:pPr>
              <w:pStyle w:val="249"/>
              <w:rPr>
                <w:rFonts w:hint="eastAsia" w:ascii="宋体" w:hAnsi="宋体" w:cs="宋体"/>
                <w:szCs w:val="21"/>
              </w:rPr>
            </w:pPr>
            <w:r>
              <w:rPr>
                <w:rFonts w:hint="eastAsia" w:ascii="宋体" w:hAnsi="宋体" w:cs="宋体"/>
                <w:szCs w:val="21"/>
              </w:rPr>
              <w:t>2）人员配备情况一般，专业基本齐全，分工基本明确，基本满足项目需求，得</w:t>
            </w:r>
            <w:r>
              <w:rPr>
                <w:rFonts w:hint="eastAsia" w:ascii="宋体" w:hAnsi="宋体" w:cs="宋体"/>
                <w:szCs w:val="21"/>
                <w:lang w:val="en-US" w:eastAsia="zh-CN"/>
              </w:rPr>
              <w:t>4</w:t>
            </w:r>
            <w:r>
              <w:rPr>
                <w:rFonts w:hint="eastAsia" w:ascii="宋体" w:hAnsi="宋体" w:cs="宋体"/>
                <w:szCs w:val="21"/>
              </w:rPr>
              <w:t>分；</w:t>
            </w:r>
          </w:p>
          <w:p w14:paraId="0C1BC8FB">
            <w:pPr>
              <w:rPr>
                <w:rFonts w:hint="eastAsia" w:ascii="宋体" w:hAnsi="宋体" w:cs="宋体"/>
                <w:szCs w:val="21"/>
              </w:rPr>
            </w:pPr>
            <w:r>
              <w:rPr>
                <w:rFonts w:hint="eastAsia" w:ascii="宋体" w:hAnsi="宋体" w:cs="宋体"/>
                <w:szCs w:val="21"/>
              </w:rPr>
              <w:t>3）人员配备不够合理，专业不够齐全，分工不够明确，部分满足项目需求，得</w:t>
            </w:r>
            <w:r>
              <w:rPr>
                <w:rFonts w:hint="eastAsia" w:ascii="宋体" w:hAnsi="宋体" w:cs="宋体"/>
                <w:szCs w:val="21"/>
                <w:lang w:val="en-US" w:eastAsia="zh-CN"/>
              </w:rPr>
              <w:t>2</w:t>
            </w:r>
            <w:r>
              <w:rPr>
                <w:rFonts w:hint="eastAsia" w:ascii="宋体" w:hAnsi="宋体" w:cs="宋体"/>
                <w:szCs w:val="21"/>
              </w:rPr>
              <w:t>分。</w:t>
            </w:r>
          </w:p>
          <w:p w14:paraId="345A69FA">
            <w:pPr>
              <w:rPr>
                <w:rFonts w:hint="eastAsia" w:ascii="宋体" w:hAnsi="宋体" w:cs="宋体"/>
                <w:szCs w:val="21"/>
              </w:rPr>
            </w:pPr>
            <w:r>
              <w:rPr>
                <w:rFonts w:hint="eastAsia" w:ascii="宋体" w:hAnsi="宋体" w:cs="宋体"/>
                <w:szCs w:val="21"/>
              </w:rPr>
              <w:t>4）未提供服务团队情况，不得分。</w:t>
            </w:r>
          </w:p>
          <w:p w14:paraId="583E830F">
            <w:pPr>
              <w:rPr>
                <w:rFonts w:hint="eastAsia" w:ascii="宋体" w:hAnsi="宋体" w:cs="宋体"/>
                <w:szCs w:val="21"/>
              </w:rPr>
            </w:pPr>
            <w:r>
              <w:rPr>
                <w:rFonts w:hint="eastAsia" w:ascii="宋体" w:hAnsi="宋体" w:cs="宋体"/>
                <w:szCs w:val="21"/>
              </w:rPr>
              <w:t>须提供服务团队清单，并列明专业及分工等，提供相关资质证书及在本公司近半年内任意3个月的社保证明。</w:t>
            </w:r>
          </w:p>
        </w:tc>
      </w:tr>
      <w:tr w14:paraId="3D5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18" w:type="pct"/>
            <w:vMerge w:val="restart"/>
            <w:tcBorders>
              <w:top w:val="single" w:color="auto" w:sz="4" w:space="0"/>
              <w:left w:val="single" w:color="auto" w:sz="4" w:space="0"/>
              <w:right w:val="single" w:color="auto" w:sz="4" w:space="0"/>
            </w:tcBorders>
            <w:vAlign w:val="center"/>
          </w:tcPr>
          <w:p w14:paraId="5FD27CED">
            <w:pPr>
              <w:contextualSpacing/>
              <w:jc w:val="center"/>
              <w:rPr>
                <w:rFonts w:hint="eastAsia" w:ascii="宋体" w:hAnsi="宋体" w:cs="宋体"/>
                <w:b/>
                <w:bCs/>
                <w:szCs w:val="21"/>
              </w:rPr>
            </w:pPr>
            <w:r>
              <w:rPr>
                <w:rFonts w:hint="eastAsia" w:ascii="宋体" w:hAnsi="宋体" w:cs="宋体"/>
                <w:b/>
                <w:bCs/>
                <w:szCs w:val="21"/>
              </w:rPr>
              <w:t>技术</w:t>
            </w:r>
          </w:p>
          <w:p w14:paraId="3C75726E">
            <w:pPr>
              <w:contextualSpacing/>
              <w:jc w:val="center"/>
              <w:rPr>
                <w:rFonts w:hint="eastAsia" w:ascii="宋体" w:hAnsi="宋体" w:cs="宋体"/>
                <w:b/>
                <w:bCs/>
                <w:szCs w:val="21"/>
              </w:rPr>
            </w:pPr>
            <w:r>
              <w:rPr>
                <w:rFonts w:hint="eastAsia" w:ascii="宋体" w:hAnsi="宋体" w:cs="宋体"/>
                <w:b/>
                <w:bCs/>
                <w:szCs w:val="21"/>
              </w:rPr>
              <w:t>部分</w:t>
            </w:r>
          </w:p>
          <w:p w14:paraId="322D85E8">
            <w:pPr>
              <w:contextualSpacing/>
              <w:jc w:val="center"/>
              <w:rPr>
                <w:rFonts w:hint="eastAsia" w:ascii="宋体" w:hAnsi="宋体" w:cs="宋体"/>
                <w:b/>
                <w:bCs/>
                <w:szCs w:val="21"/>
              </w:rPr>
            </w:pPr>
            <w:r>
              <w:rPr>
                <w:rFonts w:hint="eastAsia" w:ascii="宋体" w:hAnsi="宋体" w:cs="宋体"/>
                <w:b/>
                <w:bCs/>
                <w:szCs w:val="21"/>
              </w:rPr>
              <w:t>54分</w:t>
            </w:r>
          </w:p>
        </w:tc>
        <w:tc>
          <w:tcPr>
            <w:tcW w:w="604" w:type="pct"/>
            <w:tcBorders>
              <w:top w:val="single" w:color="auto" w:sz="4" w:space="0"/>
              <w:left w:val="single" w:color="auto" w:sz="4" w:space="0"/>
              <w:right w:val="single" w:color="auto" w:sz="4" w:space="0"/>
            </w:tcBorders>
            <w:vAlign w:val="center"/>
          </w:tcPr>
          <w:p w14:paraId="42C21FA8">
            <w:pPr>
              <w:contextualSpacing/>
              <w:jc w:val="center"/>
              <w:rPr>
                <w:rFonts w:hint="eastAsia" w:ascii="宋体" w:hAnsi="宋体" w:cs="宋体"/>
                <w:szCs w:val="21"/>
              </w:rPr>
            </w:pPr>
            <w:r>
              <w:rPr>
                <w:rFonts w:hint="eastAsia" w:ascii="宋体" w:hAnsi="宋体" w:cs="宋体"/>
                <w:szCs w:val="21"/>
              </w:rPr>
              <w:t>项目重难点分析</w:t>
            </w:r>
          </w:p>
        </w:tc>
        <w:tc>
          <w:tcPr>
            <w:tcW w:w="372" w:type="pct"/>
            <w:tcBorders>
              <w:top w:val="single" w:color="auto" w:sz="4" w:space="0"/>
              <w:left w:val="single" w:color="auto" w:sz="4" w:space="0"/>
              <w:bottom w:val="single" w:color="auto" w:sz="4" w:space="0"/>
              <w:right w:val="single" w:color="auto" w:sz="4" w:space="0"/>
            </w:tcBorders>
            <w:vAlign w:val="center"/>
          </w:tcPr>
          <w:p w14:paraId="3778134B">
            <w:pPr>
              <w:contextualSpacing/>
              <w:jc w:val="center"/>
              <w:rPr>
                <w:rFonts w:hint="eastAsia" w:ascii="宋体" w:hAnsi="宋体" w:cs="宋体"/>
                <w:szCs w:val="21"/>
              </w:rPr>
            </w:pPr>
            <w:r>
              <w:rPr>
                <w:rFonts w:hint="eastAsia" w:ascii="宋体" w:hAnsi="宋体" w:cs="宋体"/>
                <w:szCs w:val="21"/>
              </w:rPr>
              <w:t>5</w:t>
            </w:r>
          </w:p>
        </w:tc>
        <w:tc>
          <w:tcPr>
            <w:tcW w:w="3604" w:type="pct"/>
            <w:tcBorders>
              <w:top w:val="single" w:color="auto" w:sz="4" w:space="0"/>
              <w:left w:val="single" w:color="auto" w:sz="4" w:space="0"/>
              <w:bottom w:val="single" w:color="auto" w:sz="4" w:space="0"/>
              <w:right w:val="single" w:color="auto" w:sz="4" w:space="0"/>
            </w:tcBorders>
            <w:vAlign w:val="center"/>
          </w:tcPr>
          <w:p w14:paraId="6E5F1DB8">
            <w:pPr>
              <w:pStyle w:val="249"/>
              <w:rPr>
                <w:rFonts w:hint="eastAsia" w:ascii="宋体" w:hAnsi="宋体" w:cs="宋体"/>
                <w:szCs w:val="21"/>
              </w:rPr>
            </w:pPr>
            <w:r>
              <w:rPr>
                <w:rFonts w:hint="eastAsia" w:ascii="宋体" w:hAnsi="宋体" w:cs="宋体"/>
                <w:szCs w:val="21"/>
              </w:rPr>
              <w:t>供应商应根据本项目采购需求，详细描述对项目的工作重点、难点分析：</w:t>
            </w:r>
          </w:p>
          <w:p w14:paraId="0EE3607F">
            <w:pPr>
              <w:pStyle w:val="249"/>
              <w:rPr>
                <w:rFonts w:hint="eastAsia" w:ascii="宋体" w:hAnsi="宋体" w:cs="宋体"/>
                <w:szCs w:val="21"/>
              </w:rPr>
            </w:pPr>
            <w:r>
              <w:rPr>
                <w:rFonts w:hint="eastAsia" w:ascii="宋体" w:hAnsi="宋体" w:cs="宋体"/>
                <w:szCs w:val="21"/>
              </w:rPr>
              <w:t>1）对本项目的重点、难点分析深入，定位准确，得5分；</w:t>
            </w:r>
          </w:p>
          <w:p w14:paraId="62E1EB0C">
            <w:pPr>
              <w:pStyle w:val="249"/>
              <w:rPr>
                <w:rFonts w:hint="eastAsia" w:ascii="宋体" w:hAnsi="宋体" w:cs="宋体"/>
                <w:szCs w:val="21"/>
              </w:rPr>
            </w:pPr>
            <w:r>
              <w:rPr>
                <w:rFonts w:hint="eastAsia" w:ascii="宋体" w:hAnsi="宋体" w:cs="宋体"/>
                <w:szCs w:val="21"/>
              </w:rPr>
              <w:t>2）对本项目的重点、难点分析深入，但定位不够准确，得3分；</w:t>
            </w:r>
          </w:p>
          <w:p w14:paraId="4BC718FE">
            <w:pPr>
              <w:pStyle w:val="249"/>
              <w:rPr>
                <w:rFonts w:hint="eastAsia" w:ascii="宋体" w:hAnsi="宋体" w:cs="宋体"/>
                <w:szCs w:val="21"/>
              </w:rPr>
            </w:pPr>
            <w:r>
              <w:rPr>
                <w:rFonts w:hint="eastAsia" w:ascii="宋体" w:hAnsi="宋体" w:cs="宋体"/>
                <w:szCs w:val="21"/>
              </w:rPr>
              <w:t>3）对本项目的重点、难点分析肤浅，且定位不够准确，得1分；</w:t>
            </w:r>
          </w:p>
          <w:p w14:paraId="2C65BC65">
            <w:pPr>
              <w:pStyle w:val="249"/>
              <w:rPr>
                <w:rFonts w:hint="eastAsia" w:ascii="宋体" w:hAnsi="宋体" w:cs="宋体"/>
                <w:szCs w:val="21"/>
              </w:rPr>
            </w:pPr>
            <w:r>
              <w:rPr>
                <w:rFonts w:hint="eastAsia" w:ascii="宋体" w:hAnsi="宋体" w:cs="宋体"/>
                <w:szCs w:val="21"/>
              </w:rPr>
              <w:t>4）未进行描述，得0分。</w:t>
            </w:r>
          </w:p>
        </w:tc>
      </w:tr>
      <w:tr w14:paraId="772C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18" w:type="pct"/>
            <w:vMerge w:val="continue"/>
            <w:tcBorders>
              <w:left w:val="single" w:color="auto" w:sz="4" w:space="0"/>
              <w:right w:val="single" w:color="auto" w:sz="4" w:space="0"/>
            </w:tcBorders>
            <w:vAlign w:val="center"/>
          </w:tcPr>
          <w:p w14:paraId="615BCEDF">
            <w:pPr>
              <w:contextualSpacing/>
              <w:jc w:val="center"/>
              <w:rPr>
                <w:rFonts w:hint="eastAsia" w:ascii="宋体" w:hAnsi="宋体" w:cs="宋体"/>
                <w:b/>
                <w:bCs/>
                <w:szCs w:val="21"/>
              </w:rPr>
            </w:pPr>
          </w:p>
        </w:tc>
        <w:tc>
          <w:tcPr>
            <w:tcW w:w="604" w:type="pct"/>
            <w:tcBorders>
              <w:top w:val="single" w:color="auto" w:sz="4" w:space="0"/>
              <w:left w:val="single" w:color="auto" w:sz="4" w:space="0"/>
              <w:right w:val="single" w:color="auto" w:sz="4" w:space="0"/>
            </w:tcBorders>
            <w:vAlign w:val="center"/>
          </w:tcPr>
          <w:p w14:paraId="1DE6C252">
            <w:pPr>
              <w:contextualSpacing/>
              <w:jc w:val="center"/>
              <w:rPr>
                <w:rFonts w:hint="eastAsia" w:ascii="宋体" w:hAnsi="宋体" w:cs="宋体"/>
                <w:bCs/>
                <w:szCs w:val="21"/>
              </w:rPr>
            </w:pPr>
            <w:r>
              <w:rPr>
                <w:rFonts w:hint="eastAsia" w:ascii="宋体" w:hAnsi="宋体" w:cs="宋体"/>
                <w:szCs w:val="21"/>
              </w:rPr>
              <w:t>施工方案及技术措施</w:t>
            </w:r>
          </w:p>
        </w:tc>
        <w:tc>
          <w:tcPr>
            <w:tcW w:w="372" w:type="pct"/>
            <w:tcBorders>
              <w:top w:val="single" w:color="auto" w:sz="4" w:space="0"/>
              <w:left w:val="single" w:color="auto" w:sz="4" w:space="0"/>
              <w:bottom w:val="single" w:color="auto" w:sz="4" w:space="0"/>
              <w:right w:val="single" w:color="auto" w:sz="4" w:space="0"/>
            </w:tcBorders>
            <w:vAlign w:val="center"/>
          </w:tcPr>
          <w:p w14:paraId="0611E5D5">
            <w:pPr>
              <w:contextualSpacing/>
              <w:jc w:val="center"/>
              <w:rPr>
                <w:rFonts w:hint="eastAsia" w:ascii="宋体" w:hAnsi="宋体" w:cs="宋体"/>
                <w:szCs w:val="21"/>
              </w:rPr>
            </w:pPr>
            <w:r>
              <w:rPr>
                <w:rFonts w:hint="eastAsia" w:ascii="宋体" w:hAnsi="宋体" w:cs="宋体"/>
                <w:szCs w:val="21"/>
              </w:rPr>
              <w:t>10</w:t>
            </w:r>
          </w:p>
        </w:tc>
        <w:tc>
          <w:tcPr>
            <w:tcW w:w="3604" w:type="pct"/>
            <w:tcBorders>
              <w:top w:val="single" w:color="auto" w:sz="4" w:space="0"/>
              <w:left w:val="single" w:color="auto" w:sz="4" w:space="0"/>
              <w:bottom w:val="single" w:color="auto" w:sz="4" w:space="0"/>
              <w:right w:val="single" w:color="auto" w:sz="4" w:space="0"/>
            </w:tcBorders>
            <w:vAlign w:val="center"/>
          </w:tcPr>
          <w:p w14:paraId="3A7F1709">
            <w:pPr>
              <w:pStyle w:val="249"/>
              <w:rPr>
                <w:rFonts w:hint="eastAsia" w:ascii="宋体" w:hAnsi="宋体" w:cs="宋体"/>
                <w:szCs w:val="21"/>
              </w:rPr>
            </w:pPr>
            <w:r>
              <w:rPr>
                <w:rFonts w:hint="eastAsia" w:ascii="宋体" w:hAnsi="宋体" w:cs="宋体"/>
                <w:szCs w:val="21"/>
              </w:rPr>
              <w:t>1）方案及措施全面，科学性、专业性、完整性强；方案阐述详细、无遗漏，针对性强，可完全满足项目需求，得10分；</w:t>
            </w:r>
          </w:p>
          <w:p w14:paraId="16558E4F">
            <w:pPr>
              <w:pStyle w:val="249"/>
              <w:rPr>
                <w:rFonts w:hint="eastAsia" w:ascii="宋体" w:hAnsi="宋体" w:cs="宋体"/>
                <w:szCs w:val="21"/>
              </w:rPr>
            </w:pPr>
            <w:r>
              <w:rPr>
                <w:rFonts w:hint="eastAsia" w:ascii="宋体" w:hAnsi="宋体" w:cs="宋体"/>
                <w:szCs w:val="21"/>
              </w:rPr>
              <w:t>2）方案及措施较全面，科学性、专业性、完整性较强；方案阐述完整，针对性较强，可较好的满足项目需求，得7分；</w:t>
            </w:r>
          </w:p>
          <w:p w14:paraId="083C2C70">
            <w:pPr>
              <w:pStyle w:val="249"/>
              <w:rPr>
                <w:rFonts w:hint="eastAsia" w:ascii="宋体" w:hAnsi="宋体" w:cs="宋体"/>
                <w:szCs w:val="21"/>
              </w:rPr>
            </w:pPr>
            <w:r>
              <w:rPr>
                <w:rFonts w:hint="eastAsia" w:ascii="宋体" w:hAnsi="宋体" w:cs="宋体"/>
                <w:szCs w:val="21"/>
              </w:rPr>
              <w:t>3）方案及措施较全面，科学性、专业性、完整性一般；方案阐述完整，针对性较弱，基本可满足项目需求，得4分；</w:t>
            </w:r>
          </w:p>
          <w:p w14:paraId="25C2A162">
            <w:pPr>
              <w:pStyle w:val="249"/>
              <w:rPr>
                <w:rFonts w:hint="eastAsia" w:ascii="宋体" w:hAnsi="宋体" w:cs="宋体"/>
                <w:szCs w:val="21"/>
              </w:rPr>
            </w:pPr>
            <w:r>
              <w:rPr>
                <w:rFonts w:hint="eastAsia" w:ascii="宋体" w:hAnsi="宋体" w:cs="宋体"/>
                <w:szCs w:val="21"/>
              </w:rPr>
              <w:t>4）方案及措施仅为模板式方案，方案描述不完整，缺漏项较多，毫无针对性，部分满足项目需求，得1分；</w:t>
            </w:r>
          </w:p>
          <w:p w14:paraId="383F6178">
            <w:pPr>
              <w:pStyle w:val="249"/>
              <w:rPr>
                <w:rFonts w:hint="eastAsia" w:ascii="宋体" w:hAnsi="宋体" w:cs="宋体"/>
                <w:szCs w:val="21"/>
              </w:rPr>
            </w:pPr>
            <w:r>
              <w:rPr>
                <w:rFonts w:hint="eastAsia" w:ascii="宋体" w:hAnsi="宋体" w:cs="宋体"/>
                <w:szCs w:val="21"/>
              </w:rPr>
              <w:t>5）未提供具体方案及措施的，得0分。</w:t>
            </w:r>
          </w:p>
        </w:tc>
      </w:tr>
      <w:tr w14:paraId="7056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18" w:type="pct"/>
            <w:vMerge w:val="continue"/>
            <w:tcBorders>
              <w:left w:val="single" w:color="auto" w:sz="4" w:space="0"/>
              <w:right w:val="single" w:color="auto" w:sz="4" w:space="0"/>
            </w:tcBorders>
            <w:vAlign w:val="center"/>
          </w:tcPr>
          <w:p w14:paraId="054ACF52">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34C782CB">
            <w:pPr>
              <w:contextualSpacing/>
              <w:jc w:val="center"/>
              <w:rPr>
                <w:rFonts w:hint="eastAsia" w:ascii="宋体" w:hAnsi="宋体" w:cs="宋体"/>
                <w:szCs w:val="21"/>
              </w:rPr>
            </w:pPr>
            <w:r>
              <w:rPr>
                <w:rFonts w:hint="eastAsia" w:ascii="宋体" w:hAnsi="宋体" w:cs="宋体"/>
                <w:bCs/>
                <w:szCs w:val="21"/>
              </w:rPr>
              <w:t>进度计划及保障措施</w:t>
            </w:r>
          </w:p>
        </w:tc>
        <w:tc>
          <w:tcPr>
            <w:tcW w:w="372" w:type="pct"/>
            <w:tcBorders>
              <w:top w:val="single" w:color="auto" w:sz="4" w:space="0"/>
              <w:left w:val="single" w:color="auto" w:sz="4" w:space="0"/>
              <w:bottom w:val="single" w:color="auto" w:sz="4" w:space="0"/>
              <w:right w:val="single" w:color="auto" w:sz="4" w:space="0"/>
            </w:tcBorders>
            <w:vAlign w:val="center"/>
          </w:tcPr>
          <w:p w14:paraId="75739097">
            <w:pPr>
              <w:contextualSpacing/>
              <w:jc w:val="center"/>
              <w:rPr>
                <w:rFonts w:hint="eastAsia" w:ascii="宋体" w:hAnsi="宋体" w:cs="宋体"/>
                <w:szCs w:val="21"/>
              </w:rPr>
            </w:pPr>
            <w:r>
              <w:rPr>
                <w:rFonts w:hint="eastAsia" w:ascii="宋体" w:hAnsi="宋体" w:cs="宋体"/>
                <w:szCs w:val="21"/>
              </w:rPr>
              <w:t>5</w:t>
            </w:r>
          </w:p>
        </w:tc>
        <w:tc>
          <w:tcPr>
            <w:tcW w:w="3604" w:type="pct"/>
            <w:tcBorders>
              <w:top w:val="single" w:color="auto" w:sz="4" w:space="0"/>
              <w:left w:val="single" w:color="auto" w:sz="4" w:space="0"/>
              <w:bottom w:val="single" w:color="auto" w:sz="4" w:space="0"/>
              <w:right w:val="single" w:color="auto" w:sz="4" w:space="0"/>
            </w:tcBorders>
            <w:vAlign w:val="center"/>
          </w:tcPr>
          <w:p w14:paraId="3B406FF5">
            <w:pPr>
              <w:pStyle w:val="249"/>
              <w:rPr>
                <w:rFonts w:hint="eastAsia" w:ascii="宋体" w:hAnsi="宋体" w:cs="宋体"/>
                <w:szCs w:val="21"/>
              </w:rPr>
            </w:pPr>
            <w:r>
              <w:rPr>
                <w:rFonts w:hint="eastAsia" w:ascii="宋体" w:hAnsi="宋体" w:cs="宋体"/>
                <w:szCs w:val="21"/>
              </w:rPr>
              <w:t>1）进度安排合理、方案可行，完整性强，保障措施到位，针对性强，完全满足本项目需求，得5分；</w:t>
            </w:r>
          </w:p>
          <w:p w14:paraId="103C4BBB">
            <w:pPr>
              <w:pStyle w:val="249"/>
              <w:rPr>
                <w:rFonts w:hint="eastAsia" w:ascii="宋体" w:hAnsi="宋体" w:cs="宋体"/>
                <w:szCs w:val="21"/>
              </w:rPr>
            </w:pPr>
            <w:r>
              <w:rPr>
                <w:rFonts w:hint="eastAsia" w:ascii="宋体" w:hAnsi="宋体" w:cs="宋体"/>
                <w:szCs w:val="21"/>
              </w:rPr>
              <w:t>2）进度安排较合理、方案可行性一般，完整性一般，保障措施基本到位，具有一定的针对性，可基本满足本项目需求，得3分；</w:t>
            </w:r>
          </w:p>
          <w:p w14:paraId="50A1EF57">
            <w:pPr>
              <w:pStyle w:val="249"/>
              <w:rPr>
                <w:rFonts w:hint="eastAsia" w:ascii="宋体" w:hAnsi="宋体" w:cs="宋体"/>
                <w:szCs w:val="21"/>
              </w:rPr>
            </w:pPr>
            <w:r>
              <w:rPr>
                <w:rFonts w:hint="eastAsia" w:ascii="宋体" w:hAnsi="宋体" w:cs="宋体"/>
                <w:szCs w:val="21"/>
              </w:rPr>
              <w:t>4）进度安排基本合理、方案可行性、完整性较差，保障措施有遗漏，可部分满足本项目需求，得1分；</w:t>
            </w:r>
          </w:p>
          <w:p w14:paraId="0041E0A3">
            <w:pPr>
              <w:pStyle w:val="249"/>
              <w:rPr>
                <w:rFonts w:hint="eastAsia" w:ascii="宋体" w:hAnsi="宋体" w:cs="宋体"/>
                <w:szCs w:val="21"/>
              </w:rPr>
            </w:pPr>
            <w:r>
              <w:rPr>
                <w:rFonts w:hint="eastAsia" w:ascii="宋体" w:hAnsi="宋体" w:cs="宋体"/>
                <w:szCs w:val="21"/>
              </w:rPr>
              <w:t>5）未提供进度计划及保障措施，得0分。</w:t>
            </w:r>
          </w:p>
        </w:tc>
      </w:tr>
      <w:tr w14:paraId="4602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18" w:type="pct"/>
            <w:vMerge w:val="continue"/>
            <w:tcBorders>
              <w:left w:val="single" w:color="auto" w:sz="4" w:space="0"/>
              <w:right w:val="single" w:color="auto" w:sz="4" w:space="0"/>
            </w:tcBorders>
            <w:vAlign w:val="center"/>
          </w:tcPr>
          <w:p w14:paraId="19EB0570">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5BD248E7">
            <w:pPr>
              <w:jc w:val="center"/>
              <w:rPr>
                <w:rFonts w:hint="eastAsia" w:ascii="宋体" w:hAnsi="宋体" w:cs="宋体"/>
                <w:bCs/>
                <w:szCs w:val="21"/>
              </w:rPr>
            </w:pPr>
            <w:r>
              <w:rPr>
                <w:rFonts w:hint="eastAsia" w:ascii="宋体" w:hAnsi="宋体" w:cs="宋体"/>
                <w:bCs/>
                <w:szCs w:val="21"/>
              </w:rPr>
              <w:t>劳动力计</w:t>
            </w:r>
          </w:p>
          <w:p w14:paraId="35B2754C">
            <w:pPr>
              <w:jc w:val="center"/>
              <w:rPr>
                <w:rFonts w:hint="eastAsia" w:ascii="宋体" w:hAnsi="宋体" w:cs="宋体"/>
                <w:bCs/>
                <w:szCs w:val="21"/>
              </w:rPr>
            </w:pPr>
            <w:r>
              <w:rPr>
                <w:rFonts w:hint="eastAsia" w:ascii="宋体" w:hAnsi="宋体" w:cs="宋体"/>
                <w:bCs/>
                <w:szCs w:val="21"/>
              </w:rPr>
              <w:t>划及主要</w:t>
            </w:r>
          </w:p>
          <w:p w14:paraId="23C663BC">
            <w:pPr>
              <w:jc w:val="center"/>
              <w:rPr>
                <w:rFonts w:hint="eastAsia" w:ascii="宋体" w:hAnsi="宋体" w:cs="宋体"/>
                <w:bCs/>
                <w:szCs w:val="21"/>
              </w:rPr>
            </w:pPr>
            <w:r>
              <w:rPr>
                <w:rFonts w:hint="eastAsia" w:ascii="宋体" w:hAnsi="宋体" w:cs="宋体"/>
                <w:bCs/>
                <w:szCs w:val="21"/>
              </w:rPr>
              <w:t>施工机械</w:t>
            </w:r>
          </w:p>
        </w:tc>
        <w:tc>
          <w:tcPr>
            <w:tcW w:w="372" w:type="pct"/>
            <w:tcBorders>
              <w:top w:val="single" w:color="auto" w:sz="4" w:space="0"/>
              <w:left w:val="single" w:color="auto" w:sz="4" w:space="0"/>
              <w:bottom w:val="single" w:color="auto" w:sz="4" w:space="0"/>
              <w:right w:val="single" w:color="auto" w:sz="4" w:space="0"/>
            </w:tcBorders>
            <w:vAlign w:val="center"/>
          </w:tcPr>
          <w:p w14:paraId="5F118DB3">
            <w:pPr>
              <w:contextualSpacing/>
              <w:jc w:val="center"/>
              <w:rPr>
                <w:rFonts w:hint="eastAsia" w:ascii="宋体" w:hAnsi="宋体" w:cs="宋体"/>
                <w:szCs w:val="21"/>
              </w:rPr>
            </w:pPr>
            <w:r>
              <w:rPr>
                <w:rFonts w:hint="eastAsia" w:ascii="宋体" w:hAnsi="宋体" w:cs="宋体"/>
                <w:szCs w:val="21"/>
              </w:rPr>
              <w:t>7</w:t>
            </w:r>
          </w:p>
        </w:tc>
        <w:tc>
          <w:tcPr>
            <w:tcW w:w="3604" w:type="pct"/>
            <w:tcBorders>
              <w:top w:val="single" w:color="auto" w:sz="4" w:space="0"/>
              <w:left w:val="single" w:color="auto" w:sz="4" w:space="0"/>
              <w:bottom w:val="single" w:color="auto" w:sz="4" w:space="0"/>
              <w:right w:val="single" w:color="auto" w:sz="4" w:space="0"/>
            </w:tcBorders>
            <w:vAlign w:val="center"/>
          </w:tcPr>
          <w:p w14:paraId="43E4B2B3">
            <w:pPr>
              <w:contextualSpacing/>
              <w:jc w:val="left"/>
              <w:rPr>
                <w:rFonts w:hint="eastAsia" w:ascii="宋体" w:hAnsi="宋体" w:cs="宋体"/>
                <w:szCs w:val="21"/>
              </w:rPr>
            </w:pPr>
            <w:r>
              <w:rPr>
                <w:rFonts w:hint="eastAsia" w:ascii="宋体" w:hAnsi="宋体" w:cs="宋体"/>
                <w:szCs w:val="21"/>
              </w:rPr>
              <w:t>1）劳动力计划及主要施工机械配备科学、专业齐全、针对性强，满足项目需求，得7分；</w:t>
            </w:r>
          </w:p>
          <w:p w14:paraId="31D1DF23">
            <w:pPr>
              <w:contextualSpacing/>
              <w:jc w:val="left"/>
              <w:rPr>
                <w:rFonts w:hint="eastAsia" w:ascii="宋体" w:hAnsi="宋体" w:cs="宋体"/>
                <w:szCs w:val="21"/>
              </w:rPr>
            </w:pPr>
            <w:r>
              <w:rPr>
                <w:rFonts w:hint="eastAsia" w:ascii="宋体" w:hAnsi="宋体" w:cs="宋体"/>
                <w:szCs w:val="21"/>
              </w:rPr>
              <w:t>2）劳动力计划及主要施工机械配备较科学、专业较齐全、针对性较强，可较好的满足项目需要，得</w:t>
            </w:r>
            <w:r>
              <w:rPr>
                <w:rFonts w:hint="eastAsia" w:ascii="宋体" w:hAnsi="宋体" w:cs="宋体"/>
                <w:szCs w:val="21"/>
                <w:lang w:val="en-US" w:eastAsia="zh-CN"/>
              </w:rPr>
              <w:t>5</w:t>
            </w:r>
            <w:r>
              <w:rPr>
                <w:rFonts w:hint="eastAsia" w:ascii="宋体" w:hAnsi="宋体" w:cs="宋体"/>
                <w:szCs w:val="21"/>
              </w:rPr>
              <w:t>分；</w:t>
            </w:r>
          </w:p>
          <w:p w14:paraId="322CF793">
            <w:pPr>
              <w:contextualSpacing/>
              <w:jc w:val="left"/>
              <w:rPr>
                <w:rFonts w:hint="eastAsia" w:ascii="宋体" w:hAnsi="宋体" w:cs="宋体"/>
                <w:szCs w:val="21"/>
              </w:rPr>
            </w:pPr>
            <w:r>
              <w:rPr>
                <w:rFonts w:hint="eastAsia" w:ascii="宋体" w:hAnsi="宋体" w:cs="宋体"/>
                <w:szCs w:val="21"/>
              </w:rPr>
              <w:t>3）劳动力计划及主要施工机械配备基本科学、专业基本齐全、针对性一般、合理性一般，基本满足项目需要，得</w:t>
            </w:r>
            <w:r>
              <w:rPr>
                <w:rFonts w:hint="eastAsia" w:ascii="宋体" w:hAnsi="宋体" w:cs="宋体"/>
                <w:szCs w:val="21"/>
                <w:lang w:val="en-US" w:eastAsia="zh-CN"/>
              </w:rPr>
              <w:t>3</w:t>
            </w:r>
            <w:r>
              <w:rPr>
                <w:rFonts w:hint="eastAsia" w:ascii="宋体" w:hAnsi="宋体" w:cs="宋体"/>
                <w:szCs w:val="21"/>
              </w:rPr>
              <w:t>分；</w:t>
            </w:r>
          </w:p>
          <w:p w14:paraId="46C305B5">
            <w:pPr>
              <w:contextualSpacing/>
              <w:jc w:val="left"/>
              <w:rPr>
                <w:rFonts w:hint="eastAsia" w:ascii="宋体" w:hAnsi="宋体" w:cs="宋体"/>
                <w:szCs w:val="21"/>
              </w:rPr>
            </w:pPr>
            <w:r>
              <w:rPr>
                <w:rFonts w:hint="eastAsia" w:ascii="宋体" w:hAnsi="宋体" w:cs="宋体"/>
                <w:szCs w:val="21"/>
              </w:rPr>
              <w:t>4）劳动力计划及主要施工机械配备不</w:t>
            </w:r>
            <w:r>
              <w:rPr>
                <w:rFonts w:hint="eastAsia" w:ascii="宋体" w:hAnsi="宋体" w:cs="宋体"/>
                <w:szCs w:val="21"/>
                <w:lang w:val="en-US" w:eastAsia="zh-CN"/>
              </w:rPr>
              <w:t>够</w:t>
            </w:r>
            <w:r>
              <w:rPr>
                <w:rFonts w:hint="eastAsia" w:ascii="宋体" w:hAnsi="宋体" w:cs="宋体"/>
                <w:szCs w:val="21"/>
              </w:rPr>
              <w:t>全面、不</w:t>
            </w:r>
            <w:r>
              <w:rPr>
                <w:rFonts w:hint="eastAsia" w:ascii="宋体" w:hAnsi="宋体" w:cs="宋体"/>
                <w:szCs w:val="21"/>
                <w:lang w:val="en-US" w:eastAsia="zh-CN"/>
              </w:rPr>
              <w:t>够</w:t>
            </w:r>
            <w:r>
              <w:rPr>
                <w:rFonts w:hint="eastAsia" w:ascii="宋体" w:hAnsi="宋体" w:cs="宋体"/>
                <w:szCs w:val="21"/>
              </w:rPr>
              <w:t>合理、</w:t>
            </w:r>
            <w:r>
              <w:rPr>
                <w:rFonts w:hint="eastAsia" w:ascii="宋体" w:hAnsi="宋体" w:cs="宋体"/>
                <w:szCs w:val="21"/>
                <w:lang w:val="en-US" w:eastAsia="zh-CN"/>
              </w:rPr>
              <w:t>缺少</w:t>
            </w:r>
            <w:r>
              <w:rPr>
                <w:rFonts w:hint="eastAsia" w:ascii="宋体" w:hAnsi="宋体" w:cs="宋体"/>
                <w:szCs w:val="21"/>
              </w:rPr>
              <w:t>针对性，部分满足项目需要，得1分；</w:t>
            </w:r>
          </w:p>
          <w:p w14:paraId="3A6DD9EE">
            <w:pPr>
              <w:contextualSpacing/>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未提供劳动力计划及主要施工机械，得0分。</w:t>
            </w:r>
          </w:p>
        </w:tc>
      </w:tr>
      <w:tr w14:paraId="6A4B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Merge w:val="continue"/>
            <w:tcBorders>
              <w:left w:val="single" w:color="auto" w:sz="4" w:space="0"/>
              <w:right w:val="single" w:color="auto" w:sz="4" w:space="0"/>
            </w:tcBorders>
            <w:vAlign w:val="center"/>
          </w:tcPr>
          <w:p w14:paraId="359CA57A">
            <w:pPr>
              <w:contextualSpacing/>
              <w:jc w:val="center"/>
              <w:rPr>
                <w:rFonts w:hint="eastAsia" w:ascii="宋体" w:hAnsi="宋体" w:cs="宋体"/>
                <w:b/>
                <w:bCs/>
                <w:color w:val="FF0000"/>
                <w:szCs w:val="21"/>
              </w:rPr>
            </w:pPr>
          </w:p>
        </w:tc>
        <w:tc>
          <w:tcPr>
            <w:tcW w:w="604" w:type="pct"/>
            <w:vMerge w:val="restart"/>
            <w:tcBorders>
              <w:top w:val="single" w:color="auto" w:sz="4" w:space="0"/>
              <w:left w:val="single" w:color="auto" w:sz="4" w:space="0"/>
              <w:right w:val="single" w:color="auto" w:sz="4" w:space="0"/>
            </w:tcBorders>
            <w:vAlign w:val="center"/>
          </w:tcPr>
          <w:p w14:paraId="7FD5FE78">
            <w:pPr>
              <w:jc w:val="center"/>
              <w:rPr>
                <w:rFonts w:hint="eastAsia" w:ascii="宋体" w:hAnsi="宋体" w:cs="宋体"/>
                <w:bCs/>
                <w:szCs w:val="21"/>
              </w:rPr>
            </w:pPr>
            <w:r>
              <w:rPr>
                <w:rFonts w:hint="eastAsia" w:ascii="宋体" w:hAnsi="宋体" w:cs="宋体"/>
                <w:bCs/>
                <w:szCs w:val="21"/>
              </w:rPr>
              <w:t>质量保证</w:t>
            </w:r>
          </w:p>
          <w:p w14:paraId="10D34605">
            <w:pPr>
              <w:jc w:val="center"/>
              <w:rPr>
                <w:rFonts w:hint="eastAsia" w:ascii="宋体" w:hAnsi="宋体" w:cs="宋体"/>
                <w:bCs/>
                <w:szCs w:val="21"/>
              </w:rPr>
            </w:pPr>
            <w:r>
              <w:rPr>
                <w:rFonts w:hint="eastAsia" w:ascii="宋体" w:hAnsi="宋体" w:cs="宋体"/>
                <w:bCs/>
                <w:szCs w:val="21"/>
              </w:rPr>
              <w:t>体系及措</w:t>
            </w:r>
          </w:p>
          <w:p w14:paraId="1C7C02B2">
            <w:pPr>
              <w:jc w:val="center"/>
              <w:rPr>
                <w:rFonts w:hint="eastAsia" w:ascii="宋体" w:hAnsi="宋体" w:cs="宋体"/>
                <w:bCs/>
                <w:szCs w:val="21"/>
              </w:rPr>
            </w:pPr>
            <w:r>
              <w:rPr>
                <w:rFonts w:hint="eastAsia" w:ascii="宋体" w:hAnsi="宋体" w:cs="宋体"/>
                <w:bCs/>
                <w:szCs w:val="21"/>
              </w:rPr>
              <w:t>施</w:t>
            </w:r>
          </w:p>
        </w:tc>
        <w:tc>
          <w:tcPr>
            <w:tcW w:w="372" w:type="pct"/>
            <w:tcBorders>
              <w:top w:val="single" w:color="auto" w:sz="4" w:space="0"/>
              <w:left w:val="single" w:color="auto" w:sz="4" w:space="0"/>
              <w:bottom w:val="single" w:color="auto" w:sz="4" w:space="0"/>
              <w:right w:val="single" w:color="auto" w:sz="4" w:space="0"/>
            </w:tcBorders>
            <w:vAlign w:val="center"/>
          </w:tcPr>
          <w:p w14:paraId="585CE40E">
            <w:pPr>
              <w:contextualSpacing/>
              <w:jc w:val="center"/>
              <w:rPr>
                <w:rFonts w:hint="eastAsia" w:ascii="宋体" w:hAnsi="宋体" w:cs="宋体"/>
                <w:szCs w:val="21"/>
              </w:rPr>
            </w:pPr>
            <w:r>
              <w:rPr>
                <w:rFonts w:hint="eastAsia" w:ascii="宋体" w:hAnsi="宋体" w:cs="宋体"/>
                <w:szCs w:val="21"/>
              </w:rPr>
              <w:t>7</w:t>
            </w:r>
          </w:p>
        </w:tc>
        <w:tc>
          <w:tcPr>
            <w:tcW w:w="3604" w:type="pct"/>
            <w:tcBorders>
              <w:top w:val="single" w:color="auto" w:sz="4" w:space="0"/>
              <w:left w:val="single" w:color="auto" w:sz="4" w:space="0"/>
              <w:bottom w:val="single" w:color="auto" w:sz="4" w:space="0"/>
              <w:right w:val="single" w:color="auto" w:sz="4" w:space="0"/>
            </w:tcBorders>
            <w:vAlign w:val="center"/>
          </w:tcPr>
          <w:p w14:paraId="78B507D3">
            <w:pPr>
              <w:contextualSpacing/>
              <w:jc w:val="left"/>
              <w:rPr>
                <w:rFonts w:hint="eastAsia" w:ascii="宋体" w:hAnsi="宋体" w:cs="宋体"/>
                <w:szCs w:val="21"/>
              </w:rPr>
            </w:pPr>
            <w:r>
              <w:rPr>
                <w:rFonts w:hint="eastAsia" w:ascii="宋体" w:hAnsi="宋体" w:cs="宋体"/>
                <w:szCs w:val="21"/>
              </w:rPr>
              <w:t>1）质量保证体系及措施内容全面、方案科学、针对性强、合理性强，完全满足项目需要，得7分；</w:t>
            </w:r>
          </w:p>
          <w:p w14:paraId="28ADCFDD">
            <w:pPr>
              <w:contextualSpacing/>
              <w:jc w:val="left"/>
              <w:rPr>
                <w:rFonts w:hint="eastAsia" w:ascii="宋体" w:hAnsi="宋体" w:cs="宋体"/>
                <w:szCs w:val="21"/>
              </w:rPr>
            </w:pPr>
            <w:r>
              <w:rPr>
                <w:rFonts w:hint="eastAsia" w:ascii="宋体" w:hAnsi="宋体" w:cs="宋体"/>
                <w:szCs w:val="21"/>
              </w:rPr>
              <w:t>2）质量保证体系及措施内容较全面、方案较科学、针对性较强、合理性较强，可较好的满足项目需要，得5分；</w:t>
            </w:r>
          </w:p>
          <w:p w14:paraId="31A96D26">
            <w:pPr>
              <w:contextualSpacing/>
              <w:jc w:val="left"/>
              <w:rPr>
                <w:rFonts w:hint="eastAsia" w:ascii="宋体" w:hAnsi="宋体" w:cs="宋体"/>
                <w:szCs w:val="21"/>
              </w:rPr>
            </w:pPr>
            <w:r>
              <w:rPr>
                <w:rFonts w:hint="eastAsia" w:ascii="宋体" w:hAnsi="宋体" w:cs="宋体"/>
                <w:szCs w:val="21"/>
              </w:rPr>
              <w:t>3）质量保证体系及措施内容基本全面、方案基本科学、针对性一般、合理性一般，基本满足项目需要，得3分；</w:t>
            </w:r>
          </w:p>
          <w:p w14:paraId="124D8628">
            <w:pPr>
              <w:contextualSpacing/>
              <w:jc w:val="left"/>
              <w:rPr>
                <w:rFonts w:hint="eastAsia" w:ascii="宋体" w:hAnsi="宋体" w:cs="宋体"/>
                <w:szCs w:val="21"/>
              </w:rPr>
            </w:pPr>
            <w:r>
              <w:rPr>
                <w:rFonts w:hint="eastAsia" w:ascii="宋体" w:hAnsi="宋体" w:cs="宋体"/>
                <w:szCs w:val="21"/>
              </w:rPr>
              <w:t>4）质量保证体系及措施内容不</w:t>
            </w:r>
            <w:r>
              <w:rPr>
                <w:rFonts w:hint="eastAsia" w:ascii="宋体" w:hAnsi="宋体" w:cs="宋体"/>
                <w:szCs w:val="21"/>
                <w:lang w:val="en-US" w:eastAsia="zh-CN"/>
              </w:rPr>
              <w:t>够</w:t>
            </w:r>
            <w:r>
              <w:rPr>
                <w:rFonts w:hint="eastAsia" w:ascii="宋体" w:hAnsi="宋体" w:cs="宋体"/>
                <w:szCs w:val="21"/>
              </w:rPr>
              <w:t>全面、不</w:t>
            </w:r>
            <w:r>
              <w:rPr>
                <w:rFonts w:hint="eastAsia" w:ascii="宋体" w:hAnsi="宋体" w:cs="宋体"/>
                <w:szCs w:val="21"/>
                <w:lang w:val="en-US" w:eastAsia="zh-CN"/>
              </w:rPr>
              <w:t>够</w:t>
            </w:r>
            <w:r>
              <w:rPr>
                <w:rFonts w:hint="eastAsia" w:ascii="宋体" w:hAnsi="宋体" w:cs="宋体"/>
                <w:szCs w:val="21"/>
              </w:rPr>
              <w:t>合理、</w:t>
            </w:r>
            <w:r>
              <w:rPr>
                <w:rFonts w:hint="eastAsia" w:ascii="宋体" w:hAnsi="宋体" w:cs="宋体"/>
                <w:szCs w:val="21"/>
                <w:lang w:val="en-US" w:eastAsia="zh-CN"/>
              </w:rPr>
              <w:t>缺少</w:t>
            </w:r>
            <w:r>
              <w:rPr>
                <w:rFonts w:hint="eastAsia" w:ascii="宋体" w:hAnsi="宋体" w:cs="宋体"/>
                <w:szCs w:val="21"/>
              </w:rPr>
              <w:t>针对性，部分满足项目需要，得1分；</w:t>
            </w:r>
          </w:p>
          <w:p w14:paraId="3C8CFB6F">
            <w:pPr>
              <w:contextualSpacing/>
              <w:jc w:val="left"/>
              <w:rPr>
                <w:rFonts w:hint="eastAsia" w:ascii="宋体" w:hAnsi="宋体" w:cs="宋体"/>
                <w:szCs w:val="21"/>
              </w:rPr>
            </w:pPr>
            <w:r>
              <w:rPr>
                <w:rFonts w:hint="eastAsia" w:ascii="宋体" w:hAnsi="宋体" w:cs="宋体"/>
                <w:szCs w:val="21"/>
              </w:rPr>
              <w:t>5）未提供质量保证体系及措施，得0分。</w:t>
            </w:r>
          </w:p>
        </w:tc>
      </w:tr>
      <w:tr w14:paraId="4228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Merge w:val="continue"/>
            <w:tcBorders>
              <w:left w:val="single" w:color="auto" w:sz="4" w:space="0"/>
              <w:right w:val="single" w:color="auto" w:sz="4" w:space="0"/>
            </w:tcBorders>
            <w:vAlign w:val="center"/>
          </w:tcPr>
          <w:p w14:paraId="1B2590BA">
            <w:pPr>
              <w:contextualSpacing/>
              <w:jc w:val="center"/>
              <w:rPr>
                <w:rFonts w:hint="eastAsia" w:ascii="宋体" w:hAnsi="宋体" w:cs="宋体"/>
                <w:b/>
                <w:bCs/>
                <w:color w:val="FF0000"/>
                <w:szCs w:val="21"/>
              </w:rPr>
            </w:pPr>
          </w:p>
        </w:tc>
        <w:tc>
          <w:tcPr>
            <w:tcW w:w="604" w:type="pct"/>
            <w:vMerge w:val="continue"/>
            <w:tcBorders>
              <w:left w:val="single" w:color="auto" w:sz="4" w:space="0"/>
              <w:right w:val="single" w:color="auto" w:sz="4" w:space="0"/>
            </w:tcBorders>
            <w:vAlign w:val="center"/>
          </w:tcPr>
          <w:p w14:paraId="48B3853A">
            <w:pPr>
              <w:jc w:val="center"/>
              <w:rPr>
                <w:rFonts w:hint="eastAsia" w:ascii="宋体" w:hAnsi="宋体" w:cs="宋体"/>
                <w:bCs/>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2D5EBFB8">
            <w:pPr>
              <w:contextualSpacing/>
              <w:jc w:val="center"/>
              <w:rPr>
                <w:rFonts w:hint="eastAsia" w:ascii="宋体" w:hAnsi="宋体" w:cs="宋体"/>
                <w:szCs w:val="21"/>
              </w:rPr>
            </w:pPr>
            <w:r>
              <w:rPr>
                <w:rFonts w:hint="eastAsia" w:ascii="宋体" w:hAnsi="宋体" w:cs="宋体"/>
                <w:szCs w:val="21"/>
              </w:rPr>
              <w:t>3</w:t>
            </w:r>
          </w:p>
        </w:tc>
        <w:tc>
          <w:tcPr>
            <w:tcW w:w="3604" w:type="pct"/>
            <w:tcBorders>
              <w:top w:val="single" w:color="auto" w:sz="4" w:space="0"/>
              <w:left w:val="single" w:color="auto" w:sz="4" w:space="0"/>
              <w:bottom w:val="single" w:color="auto" w:sz="4" w:space="0"/>
              <w:right w:val="single" w:color="auto" w:sz="4" w:space="0"/>
            </w:tcBorders>
            <w:vAlign w:val="center"/>
          </w:tcPr>
          <w:p w14:paraId="6C034C2C">
            <w:pPr>
              <w:contextualSpacing/>
              <w:jc w:val="left"/>
              <w:rPr>
                <w:rFonts w:hint="eastAsia" w:ascii="宋体" w:hAnsi="宋体" w:cs="宋体"/>
                <w:szCs w:val="21"/>
              </w:rPr>
            </w:pPr>
            <w:r>
              <w:rPr>
                <w:rFonts w:hint="eastAsia" w:ascii="宋体" w:hAnsi="宋体" w:cs="宋体"/>
                <w:szCs w:val="21"/>
              </w:rPr>
              <w:t>供应商承诺在满足《建设工程质量管理条例》规定的建设工程的最低保修期限的基础上，每承诺多提供1年质量保修期加1分，最多加3分。需提供承诺书并加盖供应商公章（格式自拟）。</w:t>
            </w:r>
          </w:p>
        </w:tc>
      </w:tr>
      <w:tr w14:paraId="5DA0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8" w:type="pct"/>
            <w:vMerge w:val="continue"/>
            <w:tcBorders>
              <w:left w:val="single" w:color="auto" w:sz="4" w:space="0"/>
              <w:right w:val="single" w:color="auto" w:sz="4" w:space="0"/>
            </w:tcBorders>
            <w:vAlign w:val="center"/>
          </w:tcPr>
          <w:p w14:paraId="7FD3A9D4">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390F63C0">
            <w:pPr>
              <w:jc w:val="center"/>
              <w:rPr>
                <w:rFonts w:hint="eastAsia" w:ascii="宋体" w:hAnsi="宋体" w:cs="宋体"/>
                <w:bCs/>
                <w:szCs w:val="21"/>
              </w:rPr>
            </w:pPr>
            <w:r>
              <w:rPr>
                <w:rFonts w:hint="eastAsia" w:ascii="宋体" w:hAnsi="宋体" w:cs="宋体"/>
                <w:bCs/>
                <w:szCs w:val="21"/>
              </w:rPr>
              <w:t>安全生产、文明施工措施</w:t>
            </w:r>
          </w:p>
        </w:tc>
        <w:tc>
          <w:tcPr>
            <w:tcW w:w="372" w:type="pct"/>
            <w:tcBorders>
              <w:top w:val="single" w:color="auto" w:sz="4" w:space="0"/>
              <w:left w:val="single" w:color="auto" w:sz="4" w:space="0"/>
              <w:bottom w:val="single" w:color="auto" w:sz="4" w:space="0"/>
              <w:right w:val="single" w:color="auto" w:sz="4" w:space="0"/>
            </w:tcBorders>
            <w:vAlign w:val="center"/>
          </w:tcPr>
          <w:p w14:paraId="054FC948">
            <w:pPr>
              <w:contextualSpacing/>
              <w:jc w:val="center"/>
              <w:rPr>
                <w:rFonts w:hint="eastAsia" w:ascii="宋体" w:hAnsi="宋体" w:cs="宋体"/>
                <w:szCs w:val="21"/>
              </w:rPr>
            </w:pPr>
            <w:r>
              <w:rPr>
                <w:rFonts w:hint="eastAsia" w:ascii="宋体" w:hAnsi="宋体" w:cs="宋体"/>
                <w:szCs w:val="21"/>
              </w:rPr>
              <w:t>7</w:t>
            </w:r>
          </w:p>
        </w:tc>
        <w:tc>
          <w:tcPr>
            <w:tcW w:w="3604" w:type="pct"/>
            <w:tcBorders>
              <w:top w:val="single" w:color="auto" w:sz="4" w:space="0"/>
              <w:left w:val="single" w:color="auto" w:sz="4" w:space="0"/>
              <w:bottom w:val="single" w:color="auto" w:sz="4" w:space="0"/>
              <w:right w:val="single" w:color="auto" w:sz="4" w:space="0"/>
            </w:tcBorders>
            <w:vAlign w:val="center"/>
          </w:tcPr>
          <w:p w14:paraId="76F5504E">
            <w:pPr>
              <w:contextualSpacing/>
              <w:jc w:val="left"/>
              <w:rPr>
                <w:rFonts w:hint="eastAsia" w:ascii="宋体" w:hAnsi="宋体" w:cs="宋体"/>
                <w:szCs w:val="21"/>
              </w:rPr>
            </w:pPr>
            <w:r>
              <w:rPr>
                <w:rFonts w:hint="eastAsia" w:ascii="宋体" w:hAnsi="宋体" w:cs="宋体"/>
                <w:szCs w:val="21"/>
              </w:rPr>
              <w:t>1）安全生产、文明施工措施内容全面、方案科学、针对性强、合理性强，完全满足项目需要，得7分；</w:t>
            </w:r>
          </w:p>
          <w:p w14:paraId="241B03B3">
            <w:pPr>
              <w:contextualSpacing/>
              <w:jc w:val="left"/>
              <w:rPr>
                <w:rFonts w:hint="eastAsia" w:ascii="宋体" w:hAnsi="宋体" w:cs="宋体"/>
                <w:szCs w:val="21"/>
              </w:rPr>
            </w:pPr>
            <w:r>
              <w:rPr>
                <w:rFonts w:hint="eastAsia" w:ascii="宋体" w:hAnsi="宋体" w:cs="宋体"/>
                <w:szCs w:val="21"/>
              </w:rPr>
              <w:t>2）安全生产、文明施工措施内容较全面、方案较科学、针对性较强、合理性较强，可较好的满足项目需要，得5分；</w:t>
            </w:r>
          </w:p>
          <w:p w14:paraId="602FBEAC">
            <w:pPr>
              <w:contextualSpacing/>
              <w:jc w:val="left"/>
              <w:rPr>
                <w:rFonts w:hint="eastAsia" w:ascii="宋体" w:hAnsi="宋体" w:cs="宋体"/>
                <w:szCs w:val="21"/>
              </w:rPr>
            </w:pPr>
            <w:r>
              <w:rPr>
                <w:rFonts w:hint="eastAsia" w:ascii="宋体" w:hAnsi="宋体" w:cs="宋体"/>
                <w:szCs w:val="21"/>
              </w:rPr>
              <w:t>3）安全生产、文明施工措施内容基本全面、方案基本科学、针对性一般、合理性一般，基本满足项目需要，得3分；</w:t>
            </w:r>
          </w:p>
          <w:p w14:paraId="5816069D">
            <w:pPr>
              <w:contextualSpacing/>
              <w:jc w:val="left"/>
              <w:rPr>
                <w:rFonts w:hint="eastAsia" w:ascii="宋体" w:hAnsi="宋体" w:cs="宋体"/>
                <w:szCs w:val="21"/>
              </w:rPr>
            </w:pPr>
            <w:r>
              <w:rPr>
                <w:rFonts w:hint="eastAsia" w:ascii="宋体" w:hAnsi="宋体" w:cs="宋体"/>
                <w:szCs w:val="21"/>
              </w:rPr>
              <w:t>4）安全生产、文明施工措施内容不</w:t>
            </w:r>
            <w:r>
              <w:rPr>
                <w:rFonts w:hint="eastAsia" w:ascii="宋体" w:hAnsi="宋体" w:cs="宋体"/>
                <w:szCs w:val="21"/>
                <w:lang w:val="en-US" w:eastAsia="zh-CN"/>
              </w:rPr>
              <w:t>够</w:t>
            </w:r>
            <w:r>
              <w:rPr>
                <w:rFonts w:hint="eastAsia" w:ascii="宋体" w:hAnsi="宋体" w:cs="宋体"/>
                <w:szCs w:val="21"/>
              </w:rPr>
              <w:t>全面、不</w:t>
            </w:r>
            <w:r>
              <w:rPr>
                <w:rFonts w:hint="eastAsia" w:ascii="宋体" w:hAnsi="宋体" w:cs="宋体"/>
                <w:szCs w:val="21"/>
                <w:lang w:val="en-US" w:eastAsia="zh-CN"/>
              </w:rPr>
              <w:t>够</w:t>
            </w:r>
            <w:r>
              <w:rPr>
                <w:rFonts w:hint="eastAsia" w:ascii="宋体" w:hAnsi="宋体" w:cs="宋体"/>
                <w:szCs w:val="21"/>
              </w:rPr>
              <w:t>合理、</w:t>
            </w:r>
            <w:r>
              <w:rPr>
                <w:rFonts w:hint="eastAsia" w:ascii="宋体" w:hAnsi="宋体" w:cs="宋体"/>
                <w:szCs w:val="21"/>
                <w:lang w:val="en-US" w:eastAsia="zh-CN"/>
              </w:rPr>
              <w:t>缺少</w:t>
            </w:r>
            <w:r>
              <w:rPr>
                <w:rFonts w:hint="eastAsia" w:ascii="宋体" w:hAnsi="宋体" w:cs="宋体"/>
                <w:szCs w:val="21"/>
              </w:rPr>
              <w:t>针对性，部分满足项目需要，得1分；</w:t>
            </w:r>
          </w:p>
          <w:p w14:paraId="72876D23">
            <w:pPr>
              <w:contextualSpacing/>
              <w:jc w:val="left"/>
              <w:rPr>
                <w:rFonts w:hint="eastAsia" w:ascii="宋体" w:hAnsi="宋体" w:cs="宋体"/>
                <w:szCs w:val="21"/>
              </w:rPr>
            </w:pPr>
            <w:r>
              <w:rPr>
                <w:rFonts w:hint="eastAsia" w:ascii="宋体" w:hAnsi="宋体" w:cs="宋体"/>
                <w:szCs w:val="21"/>
              </w:rPr>
              <w:t>5）未提供安全生产、文明施工措施，得0分。</w:t>
            </w:r>
          </w:p>
        </w:tc>
      </w:tr>
      <w:tr w14:paraId="7325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8" w:type="pct"/>
            <w:vMerge w:val="continue"/>
            <w:tcBorders>
              <w:left w:val="single" w:color="auto" w:sz="4" w:space="0"/>
              <w:right w:val="single" w:color="auto" w:sz="4" w:space="0"/>
            </w:tcBorders>
            <w:vAlign w:val="center"/>
          </w:tcPr>
          <w:p w14:paraId="637BD040">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right w:val="single" w:color="auto" w:sz="4" w:space="0"/>
            </w:tcBorders>
            <w:vAlign w:val="center"/>
          </w:tcPr>
          <w:p w14:paraId="03A6D559">
            <w:pPr>
              <w:jc w:val="center"/>
              <w:rPr>
                <w:rFonts w:hint="eastAsia" w:ascii="宋体" w:hAnsi="宋体" w:cs="宋体"/>
                <w:szCs w:val="21"/>
              </w:rPr>
            </w:pPr>
            <w:r>
              <w:rPr>
                <w:rFonts w:hint="eastAsia" w:ascii="宋体" w:hAnsi="宋体" w:cs="宋体"/>
                <w:szCs w:val="21"/>
              </w:rPr>
              <w:t>特殊气候条件下的施工方案</w:t>
            </w:r>
          </w:p>
        </w:tc>
        <w:tc>
          <w:tcPr>
            <w:tcW w:w="372" w:type="pct"/>
            <w:tcBorders>
              <w:top w:val="single" w:color="auto" w:sz="4" w:space="0"/>
              <w:left w:val="single" w:color="auto" w:sz="4" w:space="0"/>
              <w:bottom w:val="single" w:color="auto" w:sz="4" w:space="0"/>
              <w:right w:val="single" w:color="auto" w:sz="4" w:space="0"/>
            </w:tcBorders>
            <w:vAlign w:val="center"/>
          </w:tcPr>
          <w:p w14:paraId="72BFD715">
            <w:pPr>
              <w:contextualSpacing/>
              <w:jc w:val="center"/>
              <w:rPr>
                <w:rFonts w:hint="eastAsia" w:ascii="宋体" w:hAnsi="宋体" w:cs="宋体"/>
                <w:szCs w:val="21"/>
              </w:rPr>
            </w:pPr>
            <w:r>
              <w:rPr>
                <w:rFonts w:hint="eastAsia" w:ascii="宋体" w:hAnsi="宋体" w:cs="宋体"/>
                <w:szCs w:val="21"/>
              </w:rPr>
              <w:t>5</w:t>
            </w:r>
          </w:p>
        </w:tc>
        <w:tc>
          <w:tcPr>
            <w:tcW w:w="3604" w:type="pct"/>
            <w:tcBorders>
              <w:top w:val="single" w:color="auto" w:sz="4" w:space="0"/>
              <w:left w:val="single" w:color="auto" w:sz="4" w:space="0"/>
              <w:bottom w:val="single" w:color="auto" w:sz="4" w:space="0"/>
              <w:right w:val="single" w:color="auto" w:sz="4" w:space="0"/>
            </w:tcBorders>
            <w:vAlign w:val="center"/>
          </w:tcPr>
          <w:p w14:paraId="15C21CFD">
            <w:pPr>
              <w:pStyle w:val="249"/>
              <w:rPr>
                <w:rFonts w:hint="eastAsia" w:ascii="宋体" w:hAnsi="宋体" w:cs="宋体"/>
                <w:szCs w:val="21"/>
              </w:rPr>
            </w:pPr>
            <w:r>
              <w:rPr>
                <w:rFonts w:hint="eastAsia" w:ascii="宋体" w:hAnsi="宋体" w:cs="宋体"/>
                <w:szCs w:val="21"/>
              </w:rPr>
              <w:t>1）方案及措施全面，科学性、专业性、完整性强；方案阐述详细、无遗漏，针对性强，可完全满足项目需求，得5分；</w:t>
            </w:r>
          </w:p>
          <w:p w14:paraId="17B04B87">
            <w:pPr>
              <w:pStyle w:val="249"/>
              <w:rPr>
                <w:rFonts w:hint="eastAsia" w:ascii="宋体" w:hAnsi="宋体" w:cs="宋体"/>
                <w:szCs w:val="21"/>
              </w:rPr>
            </w:pPr>
            <w:r>
              <w:rPr>
                <w:rFonts w:hint="eastAsia" w:ascii="宋体" w:hAnsi="宋体" w:cs="宋体"/>
                <w:szCs w:val="21"/>
              </w:rPr>
              <w:t>2）方案及措施较全面，科学性、专业性、完整性一般；方案阐述完整，针对性较弱，基本可满足项目需求，得3分；</w:t>
            </w:r>
          </w:p>
          <w:p w14:paraId="36803703">
            <w:pPr>
              <w:pStyle w:val="249"/>
              <w:rPr>
                <w:rFonts w:hint="eastAsia" w:ascii="宋体" w:hAnsi="宋体" w:cs="宋体"/>
                <w:szCs w:val="21"/>
              </w:rPr>
            </w:pPr>
            <w:r>
              <w:rPr>
                <w:rFonts w:hint="eastAsia" w:ascii="宋体" w:hAnsi="宋体" w:cs="宋体"/>
                <w:szCs w:val="21"/>
              </w:rPr>
              <w:t>3）方案及措施基本全面，专业性和科学性较差，方案的描述基本完整，但有遗漏的内容，具有一定的专业性，部分满足项目需求，得1分；</w:t>
            </w:r>
          </w:p>
          <w:p w14:paraId="59D2DA24">
            <w:pPr>
              <w:contextualSpacing/>
              <w:jc w:val="left"/>
              <w:rPr>
                <w:rFonts w:hint="eastAsia" w:ascii="宋体" w:hAnsi="宋体" w:cs="宋体"/>
                <w:szCs w:val="21"/>
              </w:rPr>
            </w:pPr>
            <w:r>
              <w:rPr>
                <w:rFonts w:hint="eastAsia" w:ascii="宋体" w:hAnsi="宋体" w:cs="宋体"/>
                <w:szCs w:val="21"/>
              </w:rPr>
              <w:t>4）未提供具体方案及措施的，得0分。</w:t>
            </w:r>
          </w:p>
        </w:tc>
      </w:tr>
      <w:tr w14:paraId="23F8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8" w:type="pct"/>
            <w:vMerge w:val="continue"/>
            <w:tcBorders>
              <w:left w:val="single" w:color="auto" w:sz="4" w:space="0"/>
              <w:right w:val="single" w:color="auto" w:sz="4" w:space="0"/>
            </w:tcBorders>
            <w:vAlign w:val="center"/>
          </w:tcPr>
          <w:p w14:paraId="3D017F87">
            <w:pPr>
              <w:contextualSpacing/>
              <w:jc w:val="center"/>
              <w:rPr>
                <w:rFonts w:hint="eastAsia" w:ascii="宋体" w:hAnsi="宋体" w:cs="宋体"/>
                <w:b/>
                <w:bCs/>
                <w:color w:val="FF0000"/>
                <w:szCs w:val="21"/>
              </w:rPr>
            </w:pPr>
          </w:p>
        </w:tc>
        <w:tc>
          <w:tcPr>
            <w:tcW w:w="604" w:type="pct"/>
            <w:tcBorders>
              <w:top w:val="single" w:color="auto" w:sz="4" w:space="0"/>
              <w:left w:val="single" w:color="auto" w:sz="4" w:space="0"/>
              <w:bottom w:val="single" w:color="auto" w:sz="4" w:space="0"/>
              <w:right w:val="single" w:color="auto" w:sz="4" w:space="0"/>
            </w:tcBorders>
            <w:vAlign w:val="center"/>
          </w:tcPr>
          <w:p w14:paraId="5DD6707D">
            <w:pPr>
              <w:jc w:val="center"/>
              <w:rPr>
                <w:rFonts w:hint="eastAsia" w:ascii="宋体" w:hAnsi="宋体" w:cs="宋体"/>
                <w:szCs w:val="21"/>
              </w:rPr>
            </w:pPr>
            <w:r>
              <w:rPr>
                <w:rFonts w:hint="eastAsia" w:ascii="宋体" w:hAnsi="宋体" w:cs="宋体"/>
                <w:szCs w:val="21"/>
              </w:rPr>
              <w:t>应急预案</w:t>
            </w:r>
          </w:p>
        </w:tc>
        <w:tc>
          <w:tcPr>
            <w:tcW w:w="372" w:type="pct"/>
            <w:tcBorders>
              <w:top w:val="single" w:color="auto" w:sz="4" w:space="0"/>
              <w:left w:val="single" w:color="auto" w:sz="4" w:space="0"/>
              <w:bottom w:val="single" w:color="auto" w:sz="4" w:space="0"/>
              <w:right w:val="single" w:color="auto" w:sz="4" w:space="0"/>
            </w:tcBorders>
            <w:vAlign w:val="center"/>
          </w:tcPr>
          <w:p w14:paraId="1B494BD0">
            <w:pPr>
              <w:contextualSpacing/>
              <w:jc w:val="center"/>
              <w:rPr>
                <w:rFonts w:hint="eastAsia" w:ascii="宋体" w:hAnsi="宋体" w:cs="宋体"/>
                <w:szCs w:val="21"/>
              </w:rPr>
            </w:pPr>
            <w:r>
              <w:rPr>
                <w:rFonts w:hint="eastAsia" w:ascii="宋体" w:hAnsi="宋体" w:cs="宋体"/>
                <w:szCs w:val="21"/>
              </w:rPr>
              <w:t>5</w:t>
            </w:r>
          </w:p>
        </w:tc>
        <w:tc>
          <w:tcPr>
            <w:tcW w:w="3604" w:type="pct"/>
            <w:tcBorders>
              <w:top w:val="single" w:color="auto" w:sz="4" w:space="0"/>
              <w:left w:val="single" w:color="auto" w:sz="4" w:space="0"/>
              <w:bottom w:val="single" w:color="auto" w:sz="4" w:space="0"/>
              <w:right w:val="single" w:color="auto" w:sz="4" w:space="0"/>
            </w:tcBorders>
            <w:vAlign w:val="center"/>
          </w:tcPr>
          <w:p w14:paraId="4E58A39D">
            <w:pPr>
              <w:pStyle w:val="249"/>
              <w:rPr>
                <w:rFonts w:hint="eastAsia" w:ascii="宋体" w:hAnsi="宋体" w:cs="宋体"/>
                <w:szCs w:val="21"/>
              </w:rPr>
            </w:pPr>
            <w:r>
              <w:rPr>
                <w:rFonts w:hint="eastAsia" w:ascii="宋体" w:hAnsi="宋体" w:cs="宋体"/>
                <w:szCs w:val="21"/>
              </w:rPr>
              <w:t>1）方案及措施全面，科学性、专业性、完整性强；方案阐述详细、无遗漏，针对性强，可完全满足项目需求，得5分；</w:t>
            </w:r>
          </w:p>
          <w:p w14:paraId="7C60198F">
            <w:pPr>
              <w:pStyle w:val="249"/>
              <w:rPr>
                <w:rFonts w:hint="eastAsia" w:ascii="宋体" w:hAnsi="宋体" w:cs="宋体"/>
                <w:szCs w:val="21"/>
              </w:rPr>
            </w:pPr>
            <w:r>
              <w:rPr>
                <w:rFonts w:hint="eastAsia" w:ascii="宋体" w:hAnsi="宋体" w:cs="宋体"/>
                <w:szCs w:val="21"/>
              </w:rPr>
              <w:t>2）方案及措施较全面，科学性、专业性、完整性一般；方案阐述完整，针对性较弱，基本可满足项目需求，得3分；</w:t>
            </w:r>
          </w:p>
          <w:p w14:paraId="7E852AC0">
            <w:pPr>
              <w:pStyle w:val="249"/>
              <w:rPr>
                <w:rFonts w:hint="eastAsia" w:ascii="宋体" w:hAnsi="宋体" w:cs="宋体"/>
                <w:szCs w:val="21"/>
              </w:rPr>
            </w:pPr>
            <w:r>
              <w:rPr>
                <w:rFonts w:hint="eastAsia" w:ascii="宋体" w:hAnsi="宋体" w:cs="宋体"/>
                <w:szCs w:val="21"/>
              </w:rPr>
              <w:t>3）方案及措施基本全面，专业性和科学性较差，方案的描述基本完整，但有遗漏的内容，具有一定的专业性，部分满足项目需求，得1分；</w:t>
            </w:r>
          </w:p>
          <w:p w14:paraId="59C4DEF9">
            <w:pPr>
              <w:contextualSpacing/>
              <w:jc w:val="left"/>
              <w:rPr>
                <w:rFonts w:hint="eastAsia" w:ascii="宋体" w:hAnsi="宋体" w:cs="宋体"/>
                <w:szCs w:val="21"/>
              </w:rPr>
            </w:pPr>
            <w:r>
              <w:rPr>
                <w:rFonts w:hint="eastAsia" w:ascii="宋体" w:hAnsi="宋体" w:cs="宋体"/>
                <w:szCs w:val="21"/>
              </w:rPr>
              <w:t>4）未提供具体方案及措施的，得0分。</w:t>
            </w:r>
          </w:p>
        </w:tc>
      </w:tr>
      <w:tr w14:paraId="1C0C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23" w:type="pct"/>
            <w:gridSpan w:val="2"/>
            <w:tcBorders>
              <w:left w:val="single" w:color="auto" w:sz="4" w:space="0"/>
              <w:right w:val="single" w:color="auto" w:sz="4" w:space="0"/>
            </w:tcBorders>
            <w:vAlign w:val="center"/>
          </w:tcPr>
          <w:p w14:paraId="4A451C34">
            <w:pPr>
              <w:jc w:val="center"/>
              <w:rPr>
                <w:rFonts w:hint="eastAsia" w:ascii="宋体" w:hAnsi="宋体" w:cs="宋体"/>
                <w:szCs w:val="21"/>
              </w:rPr>
            </w:pPr>
            <w:r>
              <w:rPr>
                <w:rFonts w:hint="eastAsia" w:ascii="宋体" w:hAnsi="宋体" w:cs="宋体"/>
                <w:szCs w:val="21"/>
              </w:rPr>
              <w:t>合计</w:t>
            </w:r>
          </w:p>
        </w:tc>
        <w:tc>
          <w:tcPr>
            <w:tcW w:w="372" w:type="pct"/>
            <w:tcBorders>
              <w:top w:val="single" w:color="auto" w:sz="4" w:space="0"/>
              <w:left w:val="single" w:color="auto" w:sz="4" w:space="0"/>
              <w:right w:val="single" w:color="auto" w:sz="4" w:space="0"/>
            </w:tcBorders>
            <w:vAlign w:val="center"/>
          </w:tcPr>
          <w:p w14:paraId="5581F680">
            <w:pPr>
              <w:contextualSpacing/>
              <w:jc w:val="center"/>
              <w:rPr>
                <w:rFonts w:hint="eastAsia" w:ascii="宋体" w:hAnsi="宋体" w:cs="宋体"/>
                <w:szCs w:val="21"/>
              </w:rPr>
            </w:pPr>
            <w:r>
              <w:rPr>
                <w:rFonts w:hint="eastAsia" w:ascii="宋体" w:hAnsi="宋体" w:cs="宋体"/>
                <w:szCs w:val="21"/>
              </w:rPr>
              <w:t>100</w:t>
            </w:r>
          </w:p>
        </w:tc>
        <w:tc>
          <w:tcPr>
            <w:tcW w:w="3604" w:type="pct"/>
            <w:tcBorders>
              <w:top w:val="single" w:color="auto" w:sz="4" w:space="0"/>
              <w:left w:val="single" w:color="auto" w:sz="4" w:space="0"/>
              <w:right w:val="single" w:color="auto" w:sz="4" w:space="0"/>
            </w:tcBorders>
            <w:vAlign w:val="center"/>
          </w:tcPr>
          <w:p w14:paraId="460A50B5">
            <w:pPr>
              <w:contextualSpacing/>
              <w:jc w:val="left"/>
              <w:rPr>
                <w:rFonts w:hint="eastAsia" w:ascii="宋体" w:hAnsi="宋体" w:cs="宋体"/>
                <w:szCs w:val="21"/>
              </w:rPr>
            </w:pPr>
          </w:p>
        </w:tc>
      </w:tr>
    </w:tbl>
    <w:p w14:paraId="7884C03E">
      <w:pPr>
        <w:widowControl/>
        <w:jc w:val="left"/>
        <w:rPr>
          <w:rFonts w:eastAsiaTheme="minorEastAsia"/>
          <w:b/>
          <w:sz w:val="24"/>
        </w:rPr>
      </w:pPr>
      <w:r>
        <w:rPr>
          <w:rFonts w:hint="eastAsia" w:eastAsiaTheme="minorEastAsia"/>
          <w:b/>
          <w:sz w:val="24"/>
        </w:rPr>
        <w:t>注：评分分值计算保留小数点后两位，小数点后第三位“四舍五入”。</w:t>
      </w:r>
    </w:p>
    <w:p w14:paraId="7A2D731D">
      <w:pPr>
        <w:tabs>
          <w:tab w:val="left" w:pos="360"/>
          <w:tab w:val="left" w:pos="1080"/>
        </w:tabs>
        <w:snapToGrid w:val="0"/>
        <w:spacing w:line="360" w:lineRule="auto"/>
        <w:rPr>
          <w:rFonts w:eastAsiaTheme="minorEastAsia"/>
          <w:color w:val="000000"/>
          <w:sz w:val="24"/>
        </w:rPr>
      </w:pPr>
    </w:p>
    <w:p w14:paraId="7C492BBE">
      <w:pPr>
        <w:widowControl/>
        <w:jc w:val="left"/>
        <w:rPr>
          <w:rFonts w:eastAsiaTheme="minorEastAsia"/>
          <w:b/>
          <w:sz w:val="36"/>
          <w:szCs w:val="36"/>
        </w:rPr>
      </w:pPr>
    </w:p>
    <w:p w14:paraId="7C262076">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第四章   采购需求</w:t>
      </w:r>
      <w:bookmarkEnd w:id="672"/>
    </w:p>
    <w:p w14:paraId="137CD48B">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14:paraId="5244CCFA">
      <w:pPr>
        <w:spacing w:line="360" w:lineRule="auto"/>
        <w:contextualSpacing/>
        <w:rPr>
          <w:rFonts w:eastAsiaTheme="minorEastAsia"/>
          <w:b/>
          <w:sz w:val="24"/>
        </w:rPr>
      </w:pPr>
      <w:r>
        <w:rPr>
          <w:rFonts w:eastAsiaTheme="minorEastAsia"/>
          <w:b/>
          <w:sz w:val="24"/>
        </w:rPr>
        <w:t>1. 采购标的（货物需求一览表或简要服务内容及数量）</w:t>
      </w:r>
    </w:p>
    <w:p w14:paraId="1275E335">
      <w:pPr>
        <w:spacing w:line="360" w:lineRule="auto"/>
        <w:ind w:firstLine="420"/>
        <w:contextualSpacing/>
        <w:rPr>
          <w:rFonts w:eastAsiaTheme="minorEastAsia"/>
          <w:bCs/>
          <w:sz w:val="24"/>
        </w:rPr>
      </w:pPr>
      <w:r>
        <w:rPr>
          <w:rFonts w:eastAsiaTheme="minorEastAsia"/>
          <w:b/>
          <w:sz w:val="24"/>
        </w:rPr>
        <w:t>采购标的</w:t>
      </w:r>
      <w:r>
        <w:rPr>
          <w:rFonts w:hint="eastAsia" w:eastAsiaTheme="minorEastAsia"/>
          <w:b/>
          <w:sz w:val="24"/>
        </w:rPr>
        <w:t>：</w:t>
      </w:r>
      <w:r>
        <w:rPr>
          <w:rFonts w:hint="eastAsia" w:eastAsiaTheme="minorEastAsia"/>
          <w:bCs/>
          <w:sz w:val="24"/>
        </w:rPr>
        <w:t>改善办学保障条件-基础设施改造-新校区电力线路及配电室改造项目</w:t>
      </w:r>
    </w:p>
    <w:p w14:paraId="34183751">
      <w:pPr>
        <w:spacing w:line="360" w:lineRule="auto"/>
        <w:contextualSpacing/>
        <w:rPr>
          <w:rFonts w:eastAsiaTheme="minorEastAsia"/>
          <w:b/>
          <w:sz w:val="24"/>
        </w:rPr>
      </w:pPr>
      <w:r>
        <w:rPr>
          <w:rFonts w:eastAsiaTheme="minorEastAsia"/>
          <w:b/>
          <w:sz w:val="24"/>
        </w:rPr>
        <w:t>2. 项目背景/项目概述</w:t>
      </w:r>
    </w:p>
    <w:p w14:paraId="12DDC24D">
      <w:pPr>
        <w:spacing w:line="360" w:lineRule="auto"/>
        <w:ind w:firstLine="482"/>
        <w:contextualSpacing/>
        <w:rPr>
          <w:rFonts w:eastAsiaTheme="minorEastAsia"/>
          <w:bCs/>
          <w:sz w:val="24"/>
        </w:rPr>
      </w:pPr>
      <w:r>
        <w:rPr>
          <w:rFonts w:hint="eastAsia" w:eastAsiaTheme="minorEastAsia"/>
          <w:bCs/>
          <w:sz w:val="24"/>
        </w:rPr>
        <w:t>供电设备运行时间长、设备老旧，存在触电、短路、火灾等不安全隐患,易造成人身伤害及财产损失，本次更换配电室内变压器和高低压柜,并敷设低压电缆为各楼供电。</w:t>
      </w:r>
    </w:p>
    <w:p w14:paraId="15FF7E0E">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14:paraId="3B0F59BF">
      <w:pPr>
        <w:spacing w:line="360" w:lineRule="auto"/>
        <w:contextualSpacing/>
        <w:rPr>
          <w:rFonts w:eastAsiaTheme="minorEastAsia"/>
          <w:b/>
          <w:bCs/>
          <w:i/>
          <w:sz w:val="24"/>
        </w:rPr>
      </w:pPr>
      <w:r>
        <w:rPr>
          <w:rFonts w:eastAsiaTheme="minorEastAsia"/>
          <w:b/>
          <w:bCs/>
          <w:sz w:val="24"/>
        </w:rPr>
        <w:t>1. 交付（实施）的时间（期限）和地点（范围）</w:t>
      </w:r>
    </w:p>
    <w:p w14:paraId="527B2632">
      <w:pPr>
        <w:spacing w:line="360" w:lineRule="auto"/>
        <w:ind w:firstLine="420"/>
        <w:contextualSpacing/>
        <w:rPr>
          <w:rFonts w:hint="eastAsia" w:ascii="宋体" w:hAnsi="宋体" w:cs="宋体"/>
          <w:bCs/>
          <w:color w:val="auto"/>
          <w:sz w:val="24"/>
          <w:szCs w:val="20"/>
        </w:rPr>
      </w:pPr>
      <w:r>
        <w:rPr>
          <w:rFonts w:hint="eastAsia" w:ascii="宋体" w:hAnsi="宋体" w:cs="宋体"/>
          <w:bCs/>
          <w:sz w:val="24"/>
          <w:szCs w:val="20"/>
        </w:rPr>
        <w:t>交付（实施）的时间（期限）：</w:t>
      </w:r>
      <w:r>
        <w:rPr>
          <w:rFonts w:hint="eastAsia" w:ascii="宋体" w:hAnsi="宋体" w:cs="宋体"/>
          <w:bCs/>
          <w:color w:val="auto"/>
          <w:sz w:val="24"/>
          <w:szCs w:val="20"/>
        </w:rPr>
        <w:t>计划工期：</w:t>
      </w:r>
      <w:r>
        <w:rPr>
          <w:rFonts w:hint="eastAsia" w:eastAsiaTheme="minorEastAsia"/>
          <w:bCs/>
          <w:color w:val="auto"/>
          <w:sz w:val="24"/>
        </w:rPr>
        <w:t>120</w:t>
      </w:r>
      <w:r>
        <w:rPr>
          <w:rFonts w:hint="eastAsia" w:ascii="宋体" w:hAnsi="宋体" w:cs="宋体"/>
          <w:bCs/>
          <w:color w:val="auto"/>
          <w:sz w:val="24"/>
          <w:szCs w:val="20"/>
        </w:rPr>
        <w:t>天。开工时间以采购人通知为准。</w:t>
      </w:r>
    </w:p>
    <w:p w14:paraId="5467C8E7">
      <w:pPr>
        <w:tabs>
          <w:tab w:val="left" w:pos="1680"/>
        </w:tabs>
        <w:spacing w:line="360" w:lineRule="auto"/>
        <w:ind w:firstLine="420"/>
        <w:contextualSpacing/>
        <w:rPr>
          <w:rFonts w:hint="eastAsia" w:ascii="宋体" w:hAnsi="宋体" w:cs="宋体"/>
          <w:bCs/>
          <w:sz w:val="24"/>
          <w:szCs w:val="20"/>
        </w:rPr>
      </w:pPr>
      <w:r>
        <w:rPr>
          <w:rFonts w:hint="eastAsia" w:ascii="宋体" w:hAnsi="宋体" w:cs="宋体"/>
          <w:bCs/>
          <w:sz w:val="24"/>
          <w:szCs w:val="20"/>
        </w:rPr>
        <w:t>交付（实施）的地点（范围）：中国音乐学院健翔桥校区内。</w:t>
      </w:r>
    </w:p>
    <w:p w14:paraId="60501B64">
      <w:pPr>
        <w:spacing w:line="360" w:lineRule="auto"/>
        <w:contextualSpacing/>
        <w:rPr>
          <w:rFonts w:eastAsiaTheme="minorEastAsia"/>
          <w:b/>
          <w:bCs/>
          <w:sz w:val="24"/>
        </w:rPr>
      </w:pPr>
      <w:r>
        <w:rPr>
          <w:rFonts w:eastAsiaTheme="minorEastAsia"/>
          <w:b/>
          <w:bCs/>
          <w:sz w:val="24"/>
        </w:rPr>
        <w:t>2. 付款条件（进度和方式）</w:t>
      </w:r>
    </w:p>
    <w:p w14:paraId="5FA5438D">
      <w:pPr>
        <w:spacing w:line="360" w:lineRule="auto"/>
        <w:ind w:firstLine="420"/>
        <w:contextualSpacing/>
        <w:rPr>
          <w:rFonts w:eastAsiaTheme="minorEastAsia"/>
          <w:bCs/>
          <w:color w:val="FF0000"/>
          <w:sz w:val="24"/>
        </w:rPr>
      </w:pPr>
      <w:r>
        <w:rPr>
          <w:rFonts w:hint="eastAsia" w:eastAsiaTheme="minorEastAsia"/>
          <w:bCs/>
          <w:sz w:val="24"/>
        </w:rPr>
        <w:t>根据合同约定付款。</w:t>
      </w:r>
    </w:p>
    <w:p w14:paraId="1B062C17">
      <w:pPr>
        <w:spacing w:line="360" w:lineRule="auto"/>
        <w:contextualSpacing/>
        <w:rPr>
          <w:rFonts w:eastAsiaTheme="minorEastAsia"/>
          <w:b/>
          <w:bCs/>
          <w:sz w:val="24"/>
        </w:rPr>
      </w:pPr>
      <w:r>
        <w:rPr>
          <w:rFonts w:hint="eastAsia" w:eastAsiaTheme="minorEastAsia"/>
          <w:b/>
          <w:bCs/>
          <w:sz w:val="24"/>
        </w:rPr>
        <w:t>3</w:t>
      </w:r>
      <w:r>
        <w:rPr>
          <w:rFonts w:eastAsiaTheme="minorEastAsia"/>
          <w:b/>
          <w:bCs/>
          <w:sz w:val="24"/>
        </w:rPr>
        <w:t>. 售后服务（质保期）</w:t>
      </w:r>
    </w:p>
    <w:p w14:paraId="49DC8F13">
      <w:pPr>
        <w:spacing w:line="360" w:lineRule="auto"/>
        <w:ind w:firstLine="420"/>
        <w:contextualSpacing/>
        <w:rPr>
          <w:rFonts w:hint="eastAsia" w:ascii="宋体" w:hAnsi="宋体" w:cs="宋体"/>
          <w:bCs/>
          <w:sz w:val="24"/>
          <w:szCs w:val="20"/>
        </w:rPr>
      </w:pPr>
      <w:r>
        <w:rPr>
          <w:rFonts w:hint="eastAsia" w:ascii="宋体" w:hAnsi="宋体" w:cs="宋体"/>
          <w:bCs/>
          <w:sz w:val="24"/>
          <w:szCs w:val="20"/>
        </w:rPr>
        <w:t>建设工程质量保修依据《建设工程质量管理条例》规定执行，保修期自竣工验收合格之日起计算。</w:t>
      </w:r>
    </w:p>
    <w:p w14:paraId="72C7027B">
      <w:pPr>
        <w:pStyle w:val="72"/>
        <w:numPr>
          <w:ilvl w:val="0"/>
          <w:numId w:val="11"/>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14:paraId="19EDF4F9">
      <w:pPr>
        <w:spacing w:line="360" w:lineRule="auto"/>
        <w:contextualSpacing/>
        <w:rPr>
          <w:rFonts w:eastAsiaTheme="minorEastAsia"/>
          <w:b/>
          <w:bCs/>
          <w:sz w:val="24"/>
        </w:rPr>
      </w:pPr>
      <w:r>
        <w:rPr>
          <w:rFonts w:eastAsiaTheme="minorEastAsia"/>
          <w:b/>
          <w:bCs/>
          <w:sz w:val="24"/>
        </w:rPr>
        <w:t>1. 基本要求</w:t>
      </w:r>
    </w:p>
    <w:p w14:paraId="7F325E17">
      <w:pPr>
        <w:spacing w:line="360" w:lineRule="auto"/>
        <w:ind w:firstLine="482" w:firstLineChars="200"/>
        <w:contextualSpacing/>
        <w:rPr>
          <w:rFonts w:eastAsiaTheme="minorEastAsia"/>
          <w:b/>
          <w:bCs/>
          <w:sz w:val="24"/>
        </w:rPr>
      </w:pPr>
      <w:r>
        <w:rPr>
          <w:rFonts w:eastAsiaTheme="minorEastAsia"/>
          <w:b/>
          <w:bCs/>
          <w:sz w:val="24"/>
        </w:rPr>
        <w:t>1.1 采购标的需实现的功能或者目标</w:t>
      </w:r>
    </w:p>
    <w:p w14:paraId="28264E2E">
      <w:pPr>
        <w:spacing w:line="360" w:lineRule="auto"/>
        <w:ind w:firstLine="480" w:firstLineChars="200"/>
        <w:contextualSpacing/>
        <w:rPr>
          <w:rFonts w:eastAsiaTheme="minorEastAsia"/>
          <w:sz w:val="24"/>
        </w:rPr>
      </w:pPr>
      <w:r>
        <w:rPr>
          <w:rFonts w:hint="eastAsia" w:eastAsiaTheme="minorEastAsia"/>
          <w:sz w:val="24"/>
        </w:rPr>
        <w:t>完成改善办学保障条件-基础设施改造-新校区电力线路及配电室改造项目所需全部内容。</w:t>
      </w:r>
    </w:p>
    <w:p w14:paraId="7ACC04BF">
      <w:pPr>
        <w:spacing w:line="360" w:lineRule="auto"/>
        <w:ind w:firstLine="482" w:firstLineChars="200"/>
        <w:contextualSpacing/>
        <w:rPr>
          <w:rFonts w:eastAsiaTheme="minorEastAsia"/>
          <w:b/>
          <w:bCs/>
          <w:sz w:val="24"/>
        </w:rPr>
      </w:pPr>
      <w:r>
        <w:rPr>
          <w:rFonts w:eastAsiaTheme="minorEastAsia"/>
          <w:b/>
          <w:bCs/>
          <w:sz w:val="24"/>
        </w:rPr>
        <w:t>1.2 需执行的国家相关标准、行业标准、地方标准或者其他标准、规范</w:t>
      </w:r>
    </w:p>
    <w:p w14:paraId="1ABB2D1C">
      <w:pPr>
        <w:spacing w:line="360" w:lineRule="auto"/>
        <w:ind w:firstLine="480" w:firstLineChars="200"/>
        <w:contextualSpacing/>
        <w:rPr>
          <w:sz w:val="24"/>
        </w:rPr>
      </w:pPr>
      <w:r>
        <w:rPr>
          <w:rFonts w:hint="eastAsia"/>
          <w:sz w:val="24"/>
        </w:rPr>
        <w:t>需符合国家相关标准、行业标准、地方标准或者其他标准、规范，包括但不限于《中华人民共和国建筑法》、《建设工程质量管理条例》、《北京市建设工程安全文明施工费管理办法(试行)》、《北京市环境噪声污染防治办法》等。</w:t>
      </w:r>
    </w:p>
    <w:p w14:paraId="26EB3800">
      <w:pPr>
        <w:spacing w:line="360" w:lineRule="auto"/>
        <w:contextualSpacing/>
        <w:rPr>
          <w:rFonts w:eastAsiaTheme="minorEastAsia"/>
          <w:b/>
          <w:bCs/>
          <w:sz w:val="24"/>
        </w:rPr>
      </w:pPr>
      <w:r>
        <w:rPr>
          <w:rFonts w:eastAsiaTheme="minorEastAsia"/>
          <w:b/>
          <w:bCs/>
          <w:sz w:val="24"/>
        </w:rPr>
        <w:t>2. 服务内容及要求</w:t>
      </w:r>
    </w:p>
    <w:p w14:paraId="52039124">
      <w:pPr>
        <w:spacing w:line="360" w:lineRule="auto"/>
        <w:ind w:firstLine="480" w:firstLineChars="200"/>
        <w:contextualSpacing/>
        <w:rPr>
          <w:sz w:val="24"/>
        </w:rPr>
      </w:pPr>
      <w:r>
        <w:rPr>
          <w:rFonts w:hint="eastAsia"/>
          <w:sz w:val="24"/>
        </w:rPr>
        <w:t>2.1建设地点：中国音乐学院健翔桥校区内。</w:t>
      </w:r>
    </w:p>
    <w:p w14:paraId="580383EE">
      <w:pPr>
        <w:spacing w:line="360" w:lineRule="auto"/>
        <w:ind w:firstLine="480" w:firstLineChars="200"/>
        <w:contextualSpacing/>
        <w:rPr>
          <w:sz w:val="24"/>
        </w:rPr>
      </w:pPr>
      <w:r>
        <w:rPr>
          <w:rFonts w:hint="eastAsia"/>
          <w:sz w:val="24"/>
        </w:rPr>
        <w:t>2.2本工程具体改造内容为：</w:t>
      </w:r>
    </w:p>
    <w:p w14:paraId="193A7DC5">
      <w:pPr>
        <w:spacing w:line="360" w:lineRule="auto"/>
        <w:ind w:firstLine="480" w:firstLineChars="200"/>
        <w:contextualSpacing/>
        <w:rPr>
          <w:sz w:val="24"/>
        </w:rPr>
      </w:pPr>
      <w:r>
        <w:rPr>
          <w:rFonts w:hint="eastAsia"/>
          <w:sz w:val="24"/>
        </w:rPr>
        <w:t>1）配电室改造：包含配电室图纸及改造方案内的变压器、电容柜、出线柜、模拟屏、照明灯具、母线、绝缘垫、防雷接地、电缆的拆除及换新,以及相关建筑装饰工程。</w:t>
      </w:r>
    </w:p>
    <w:p w14:paraId="51416675">
      <w:pPr>
        <w:spacing w:line="360" w:lineRule="auto"/>
        <w:ind w:firstLine="480" w:firstLineChars="200"/>
        <w:contextualSpacing/>
        <w:rPr>
          <w:sz w:val="24"/>
        </w:rPr>
      </w:pPr>
      <w:r>
        <w:rPr>
          <w:rFonts w:hint="eastAsia"/>
          <w:sz w:val="24"/>
        </w:rPr>
        <w:t>2）外电源改造：包含配电室图纸及改造方案内的高低压电缆的敷设。</w:t>
      </w:r>
    </w:p>
    <w:p w14:paraId="22945A44">
      <w:pPr>
        <w:spacing w:line="360" w:lineRule="auto"/>
        <w:ind w:firstLine="480" w:firstLineChars="200"/>
        <w:contextualSpacing/>
        <w:rPr>
          <w:sz w:val="24"/>
        </w:rPr>
      </w:pPr>
      <w:r>
        <w:rPr>
          <w:rFonts w:hint="eastAsia"/>
          <w:sz w:val="24"/>
        </w:rPr>
        <w:t>详见图纸及工程量清单（另册提供）。</w:t>
      </w:r>
    </w:p>
    <w:p w14:paraId="482B52CB">
      <w:pPr>
        <w:spacing w:line="360" w:lineRule="auto"/>
        <w:ind w:firstLine="480" w:firstLineChars="200"/>
        <w:contextualSpacing/>
        <w:rPr>
          <w:sz w:val="24"/>
        </w:rPr>
      </w:pPr>
      <w:r>
        <w:rPr>
          <w:rFonts w:hint="eastAsia"/>
          <w:sz w:val="24"/>
        </w:rPr>
        <w:t>2.3本项目招标控制价为</w:t>
      </w:r>
      <w:r>
        <w:rPr>
          <w:rFonts w:hint="eastAsia"/>
          <w:sz w:val="24"/>
          <w:u w:val="single"/>
        </w:rPr>
        <w:t>7,129,252.75</w:t>
      </w:r>
      <w:r>
        <w:rPr>
          <w:rFonts w:hint="eastAsia"/>
          <w:sz w:val="24"/>
        </w:rPr>
        <w:t>元。</w:t>
      </w:r>
    </w:p>
    <w:p w14:paraId="7AD3B70C">
      <w:pPr>
        <w:spacing w:line="360" w:lineRule="auto"/>
        <w:ind w:firstLine="480" w:firstLineChars="200"/>
        <w:contextualSpacing/>
        <w:rPr>
          <w:sz w:val="24"/>
        </w:rPr>
      </w:pPr>
      <w:r>
        <w:rPr>
          <w:rFonts w:hint="eastAsia"/>
          <w:sz w:val="24"/>
        </w:rPr>
        <w:t>其中：</w:t>
      </w:r>
      <w:r>
        <w:rPr>
          <w:rFonts w:hint="eastAsia"/>
          <w:sz w:val="24"/>
          <w:highlight w:val="none"/>
        </w:rPr>
        <w:t>暂列金额（不含计日工）（含税）合计金额：1</w:t>
      </w:r>
      <w:r>
        <w:rPr>
          <w:rFonts w:hint="eastAsia"/>
          <w:sz w:val="24"/>
          <w:highlight w:val="none"/>
          <w:lang w:val="en-US" w:eastAsia="zh-CN"/>
        </w:rPr>
        <w:t>00</w:t>
      </w:r>
      <w:r>
        <w:rPr>
          <w:rFonts w:hint="eastAsia"/>
          <w:sz w:val="24"/>
          <w:highlight w:val="none"/>
        </w:rPr>
        <w:t>,</w:t>
      </w:r>
      <w:r>
        <w:rPr>
          <w:rFonts w:hint="eastAsia"/>
          <w:sz w:val="24"/>
          <w:highlight w:val="none"/>
          <w:lang w:val="en-US" w:eastAsia="zh-CN"/>
        </w:rPr>
        <w:t>000</w:t>
      </w:r>
      <w:r>
        <w:rPr>
          <w:rFonts w:hint="eastAsia"/>
          <w:sz w:val="24"/>
          <w:highlight w:val="none"/>
        </w:rPr>
        <w:t>.</w:t>
      </w:r>
      <w:r>
        <w:rPr>
          <w:rFonts w:hint="eastAsia"/>
          <w:sz w:val="24"/>
          <w:highlight w:val="none"/>
          <w:lang w:val="en-US" w:eastAsia="zh-CN"/>
        </w:rPr>
        <w:t>00</w:t>
      </w:r>
      <w:r>
        <w:rPr>
          <w:rFonts w:hint="eastAsia"/>
          <w:sz w:val="24"/>
          <w:highlight w:val="none"/>
        </w:rPr>
        <w:t>元。</w:t>
      </w:r>
    </w:p>
    <w:p w14:paraId="42A6D51A">
      <w:pPr>
        <w:spacing w:line="360" w:lineRule="auto"/>
        <w:contextualSpacing/>
        <w:rPr>
          <w:rFonts w:eastAsiaTheme="minorEastAsia"/>
          <w:b/>
          <w:bCs/>
          <w:i/>
          <w:iCs/>
          <w:sz w:val="24"/>
        </w:rPr>
      </w:pPr>
      <w:r>
        <w:rPr>
          <w:rFonts w:eastAsiaTheme="minorEastAsia"/>
          <w:b/>
          <w:bCs/>
          <w:sz w:val="24"/>
        </w:rPr>
        <w:t>3. 验收标准</w:t>
      </w:r>
    </w:p>
    <w:p w14:paraId="0650A460">
      <w:pPr>
        <w:widowControl/>
        <w:spacing w:line="360" w:lineRule="auto"/>
        <w:ind w:firstLine="482"/>
        <w:contextualSpacing/>
        <w:rPr>
          <w:rFonts w:eastAsiaTheme="minorEastAsia"/>
          <w:b/>
          <w:sz w:val="24"/>
          <w:highlight w:val="none"/>
        </w:rPr>
      </w:pPr>
      <w:r>
        <w:rPr>
          <w:rFonts w:hint="eastAsia"/>
          <w:sz w:val="24"/>
          <w:highlight w:val="none"/>
        </w:rPr>
        <w:t>供应商所提供服务须符合国家、北京市相关法律法规、行业标准等规定，采购人按照项目建设需求，组织验收。</w:t>
      </w:r>
    </w:p>
    <w:p w14:paraId="18D027CF">
      <w:pPr>
        <w:spacing w:line="440" w:lineRule="exact"/>
        <w:rPr>
          <w:rFonts w:eastAsiaTheme="minorEastAsia"/>
          <w:b/>
          <w:sz w:val="24"/>
        </w:rPr>
      </w:pPr>
      <w:r>
        <w:rPr>
          <w:rFonts w:hint="eastAsia" w:eastAsiaTheme="minorEastAsia"/>
          <w:b/>
          <w:sz w:val="24"/>
        </w:rPr>
        <w:t>4</w:t>
      </w:r>
      <w:r>
        <w:rPr>
          <w:rFonts w:eastAsiaTheme="minorEastAsia"/>
          <w:b/>
          <w:sz w:val="24"/>
        </w:rPr>
        <w:t>. 图纸</w:t>
      </w:r>
      <w:r>
        <w:rPr>
          <w:rFonts w:hint="eastAsia" w:eastAsiaTheme="minorEastAsia"/>
          <w:b/>
          <w:sz w:val="24"/>
        </w:rPr>
        <w:t>及</w:t>
      </w:r>
      <w:r>
        <w:rPr>
          <w:rFonts w:eastAsiaTheme="minorEastAsia"/>
          <w:b/>
          <w:sz w:val="24"/>
        </w:rPr>
        <w:t>工程量清单</w:t>
      </w:r>
    </w:p>
    <w:p w14:paraId="526779F6">
      <w:pPr>
        <w:widowControl/>
        <w:spacing w:line="360" w:lineRule="auto"/>
        <w:ind w:firstLine="482"/>
        <w:contextualSpacing/>
        <w:rPr>
          <w:rFonts w:hint="eastAsia"/>
          <w:sz w:val="24"/>
          <w:highlight w:val="none"/>
        </w:rPr>
      </w:pPr>
      <w:r>
        <w:rPr>
          <w:rFonts w:hint="eastAsia"/>
          <w:sz w:val="24"/>
          <w:highlight w:val="none"/>
        </w:rPr>
        <w:t>另册提供。</w:t>
      </w:r>
    </w:p>
    <w:p w14:paraId="59474B34">
      <w:pPr>
        <w:spacing w:line="360" w:lineRule="auto"/>
        <w:jc w:val="center"/>
        <w:outlineLvl w:val="0"/>
        <w:rPr>
          <w:rFonts w:eastAsiaTheme="minorEastAsia"/>
          <w:b/>
          <w:sz w:val="36"/>
          <w:szCs w:val="36"/>
        </w:rPr>
      </w:pPr>
      <w:r>
        <w:rPr>
          <w:rFonts w:eastAsiaTheme="minorEastAsia"/>
          <w:b/>
          <w:sz w:val="36"/>
          <w:szCs w:val="36"/>
        </w:rPr>
        <w:br w:type="page"/>
      </w:r>
      <w:bookmarkStart w:id="673" w:name="_Toc97371946"/>
      <w:r>
        <w:rPr>
          <w:rFonts w:eastAsiaTheme="minorEastAsia"/>
          <w:b/>
          <w:sz w:val="36"/>
          <w:szCs w:val="36"/>
        </w:rPr>
        <w:t>第五章   合同草案条款</w:t>
      </w:r>
      <w:bookmarkEnd w:id="673"/>
    </w:p>
    <w:p w14:paraId="7A2BD7AA">
      <w:pPr>
        <w:tabs>
          <w:tab w:val="left" w:pos="900"/>
          <w:tab w:val="left" w:pos="1080"/>
        </w:tabs>
        <w:snapToGrid w:val="0"/>
        <w:spacing w:line="360" w:lineRule="auto"/>
        <w:rPr>
          <w:rFonts w:eastAsiaTheme="minorEastAsia"/>
          <w:kern w:val="0"/>
          <w:sz w:val="18"/>
          <w:szCs w:val="18"/>
        </w:rPr>
      </w:pPr>
    </w:p>
    <w:p w14:paraId="1C70F32F">
      <w:pPr>
        <w:spacing w:before="120" w:line="22" w:lineRule="atLeast"/>
        <w:ind w:left="960" w:leftChars="457" w:firstLine="1446" w:firstLineChars="600"/>
        <w:rPr>
          <w:rFonts w:ascii="宋体" w:hAnsi="宋体"/>
          <w:b/>
          <w:sz w:val="24"/>
        </w:rPr>
      </w:pPr>
      <w:bookmarkStart w:id="674" w:name="_Toc97371947"/>
    </w:p>
    <w:p w14:paraId="7CDF8C0D">
      <w:pPr>
        <w:pStyle w:val="5"/>
        <w:ind w:firstLine="480"/>
        <w:rPr>
          <w:rFonts w:hAnsi="宋体"/>
        </w:rPr>
      </w:pPr>
    </w:p>
    <w:p w14:paraId="377B426E">
      <w:pPr>
        <w:pStyle w:val="5"/>
        <w:ind w:firstLine="480"/>
        <w:rPr>
          <w:rFonts w:hAnsi="宋体"/>
        </w:rPr>
      </w:pPr>
    </w:p>
    <w:p w14:paraId="239840DE">
      <w:pPr>
        <w:pStyle w:val="5"/>
        <w:ind w:firstLine="480"/>
        <w:rPr>
          <w:rFonts w:hAnsi="宋体"/>
        </w:rPr>
      </w:pPr>
    </w:p>
    <w:p w14:paraId="1D8E6955">
      <w:pPr>
        <w:pStyle w:val="5"/>
        <w:ind w:firstLine="480"/>
        <w:rPr>
          <w:rFonts w:hAnsi="宋体"/>
        </w:rPr>
      </w:pPr>
    </w:p>
    <w:p w14:paraId="5C0FC0F7">
      <w:pPr>
        <w:ind w:left="2884"/>
        <w:rPr>
          <w:rFonts w:ascii="宋体" w:hAnsi="宋体"/>
          <w:sz w:val="24"/>
        </w:rPr>
      </w:pPr>
    </w:p>
    <w:p w14:paraId="387E3F78">
      <w:pPr>
        <w:pStyle w:val="5"/>
        <w:ind w:firstLine="480"/>
        <w:rPr>
          <w:rFonts w:hAnsi="宋体"/>
        </w:rPr>
      </w:pPr>
    </w:p>
    <w:p w14:paraId="615CD0B2">
      <w:pPr>
        <w:spacing w:before="120" w:line="22" w:lineRule="atLeast"/>
        <w:ind w:left="2618" w:leftChars="195" w:hanging="2209" w:hangingChars="500"/>
        <w:jc w:val="left"/>
        <w:rPr>
          <w:rFonts w:hint="eastAsia" w:ascii="宋体" w:hAnsi="宋体"/>
          <w:b/>
          <w:sz w:val="44"/>
          <w:szCs w:val="36"/>
        </w:rPr>
      </w:pPr>
      <w:r>
        <w:rPr>
          <w:rFonts w:hint="eastAsia" w:ascii="宋体" w:hAnsi="宋体"/>
          <w:b/>
          <w:sz w:val="44"/>
          <w:szCs w:val="36"/>
        </w:rPr>
        <w:t xml:space="preserve">项目名称： </w:t>
      </w:r>
    </w:p>
    <w:p w14:paraId="20B8D54A">
      <w:pPr>
        <w:spacing w:before="120" w:line="22" w:lineRule="atLeast"/>
        <w:ind w:left="960" w:leftChars="457" w:firstLine="723" w:firstLineChars="200"/>
        <w:rPr>
          <w:rFonts w:ascii="宋体" w:hAnsi="宋体"/>
          <w:b/>
          <w:sz w:val="36"/>
          <w:szCs w:val="36"/>
          <w:u w:val="single"/>
        </w:rPr>
      </w:pPr>
    </w:p>
    <w:p w14:paraId="52768B90">
      <w:pPr>
        <w:spacing w:before="120" w:line="22" w:lineRule="atLeast"/>
        <w:rPr>
          <w:rFonts w:ascii="宋体" w:hAnsi="宋体"/>
          <w:b/>
          <w:sz w:val="24"/>
        </w:rPr>
      </w:pPr>
    </w:p>
    <w:p w14:paraId="28C057F4">
      <w:pPr>
        <w:pStyle w:val="38"/>
        <w:spacing w:before="120" w:line="22" w:lineRule="atLeast"/>
        <w:rPr>
          <w:rFonts w:ascii="宋体" w:hAnsi="宋体"/>
          <w:sz w:val="24"/>
          <w:szCs w:val="24"/>
        </w:rPr>
      </w:pPr>
    </w:p>
    <w:p w14:paraId="0C94BE81"/>
    <w:p w14:paraId="7CB195D3"/>
    <w:p w14:paraId="12A85827"/>
    <w:p w14:paraId="3A7757FC"/>
    <w:p w14:paraId="2689071E"/>
    <w:p w14:paraId="1C246B49"/>
    <w:p w14:paraId="3BAD067E"/>
    <w:p w14:paraId="12A9D3D3"/>
    <w:p w14:paraId="08B195CB"/>
    <w:p w14:paraId="4EE0F054"/>
    <w:p w14:paraId="07905A30"/>
    <w:p w14:paraId="0AC3B2AA"/>
    <w:p w14:paraId="16AA29F2"/>
    <w:p w14:paraId="233112F1">
      <w:pPr>
        <w:spacing w:before="120" w:line="22" w:lineRule="atLeast"/>
        <w:ind w:firstLine="361" w:firstLineChars="100"/>
        <w:rPr>
          <w:rFonts w:ascii="宋体" w:hAnsi="宋体"/>
          <w:sz w:val="36"/>
          <w:szCs w:val="36"/>
          <w:u w:val="single"/>
        </w:rPr>
      </w:pPr>
      <w:r>
        <w:rPr>
          <w:rFonts w:hint="eastAsia" w:ascii="宋体" w:hAnsi="宋体"/>
          <w:b/>
          <w:sz w:val="36"/>
          <w:szCs w:val="36"/>
        </w:rPr>
        <w:t xml:space="preserve">甲方（全称）： </w:t>
      </w:r>
      <w:r>
        <w:rPr>
          <w:rFonts w:hint="eastAsia" w:ascii="宋体" w:hAnsi="宋体"/>
          <w:b/>
          <w:sz w:val="36"/>
          <w:szCs w:val="36"/>
          <w:u w:val="single"/>
        </w:rPr>
        <w:t xml:space="preserve">中国音乐学院 </w:t>
      </w:r>
      <w:r>
        <w:rPr>
          <w:rFonts w:ascii="宋体" w:hAnsi="宋体"/>
          <w:b/>
          <w:sz w:val="36"/>
          <w:szCs w:val="36"/>
          <w:u w:val="single"/>
        </w:rPr>
        <w:t xml:space="preserve">              </w:t>
      </w:r>
    </w:p>
    <w:p w14:paraId="4A31AF53">
      <w:pPr>
        <w:spacing w:before="120" w:line="22" w:lineRule="atLeast"/>
        <w:ind w:firstLine="361" w:firstLineChars="100"/>
        <w:rPr>
          <w:rFonts w:ascii="宋体" w:hAnsi="宋体"/>
          <w:sz w:val="36"/>
          <w:szCs w:val="36"/>
        </w:rPr>
      </w:pPr>
      <w:r>
        <w:rPr>
          <w:rFonts w:hint="eastAsia" w:ascii="宋体" w:hAnsi="宋体"/>
          <w:b/>
          <w:sz w:val="36"/>
          <w:szCs w:val="36"/>
        </w:rPr>
        <w:t xml:space="preserve">乙方（全称）： </w:t>
      </w:r>
      <w:r>
        <w:rPr>
          <w:rFonts w:hint="eastAsia" w:ascii="宋体" w:hAnsi="宋体"/>
          <w:b/>
          <w:sz w:val="36"/>
          <w:szCs w:val="36"/>
          <w:u w:val="single"/>
        </w:rPr>
        <w:t xml:space="preserve">                           </w:t>
      </w:r>
    </w:p>
    <w:p w14:paraId="6BA4D207">
      <w:pPr>
        <w:spacing w:before="120" w:line="22" w:lineRule="atLeast"/>
        <w:ind w:left="960"/>
        <w:jc w:val="center"/>
        <w:rPr>
          <w:rFonts w:ascii="宋体" w:hAnsi="宋体"/>
          <w:sz w:val="36"/>
          <w:szCs w:val="36"/>
        </w:rPr>
      </w:pPr>
    </w:p>
    <w:p w14:paraId="2D3C5339">
      <w:pPr>
        <w:spacing w:before="120" w:line="22" w:lineRule="atLeast"/>
        <w:ind w:firstLine="361" w:firstLineChars="100"/>
        <w:rPr>
          <w:rFonts w:ascii="宋体" w:hAnsi="宋体"/>
          <w:b/>
          <w:sz w:val="36"/>
          <w:szCs w:val="36"/>
          <w:u w:val="single"/>
        </w:rPr>
      </w:pPr>
      <w:r>
        <w:rPr>
          <w:rFonts w:hint="eastAsia" w:ascii="宋体" w:hAnsi="宋体"/>
          <w:b/>
          <w:sz w:val="36"/>
          <w:szCs w:val="36"/>
        </w:rPr>
        <w:t xml:space="preserve">签署日期： </w:t>
      </w:r>
    </w:p>
    <w:p w14:paraId="1E3ED1D6">
      <w:pPr>
        <w:spacing w:before="120" w:line="22" w:lineRule="atLeast"/>
        <w:ind w:firstLine="1446" w:firstLineChars="600"/>
        <w:rPr>
          <w:rFonts w:ascii="宋体" w:hAnsi="宋体"/>
          <w:b/>
          <w:sz w:val="24"/>
          <w:u w:val="single"/>
        </w:rPr>
      </w:pPr>
    </w:p>
    <w:p w14:paraId="679A83D1">
      <w:pPr>
        <w:spacing w:before="120" w:line="22" w:lineRule="atLeast"/>
        <w:ind w:firstLine="1446" w:firstLineChars="600"/>
        <w:rPr>
          <w:rFonts w:ascii="宋体" w:hAnsi="宋体"/>
          <w:b/>
          <w:sz w:val="24"/>
          <w:u w:val="single"/>
        </w:rPr>
      </w:pPr>
    </w:p>
    <w:p w14:paraId="19CFFA70">
      <w:pPr>
        <w:spacing w:line="440" w:lineRule="exact"/>
        <w:jc w:val="center"/>
        <w:rPr>
          <w:rFonts w:ascii="黑体" w:eastAsia="黑体"/>
          <w:sz w:val="28"/>
          <w:szCs w:val="28"/>
        </w:rPr>
      </w:pPr>
      <w:r>
        <w:rPr>
          <w:rFonts w:ascii="宋体" w:hAnsi="宋体"/>
          <w:b/>
          <w:sz w:val="24"/>
        </w:rPr>
        <w:br w:type="page"/>
      </w:r>
      <w:r>
        <w:rPr>
          <w:rFonts w:hint="eastAsia" w:ascii="黑体" w:eastAsia="黑体"/>
          <w:sz w:val="28"/>
          <w:szCs w:val="28"/>
        </w:rPr>
        <w:t>合同协议书</w:t>
      </w:r>
    </w:p>
    <w:p w14:paraId="36937E61">
      <w:pPr>
        <w:pStyle w:val="174"/>
        <w:spacing w:line="440" w:lineRule="exact"/>
        <w:rPr>
          <w:szCs w:val="21"/>
        </w:rPr>
      </w:pPr>
      <w:r>
        <w:rPr>
          <w:rFonts w:hint="eastAsia"/>
          <w:szCs w:val="21"/>
        </w:rPr>
        <w:t xml:space="preserve">                                                   </w:t>
      </w:r>
    </w:p>
    <w:p w14:paraId="304271F3">
      <w:pPr>
        <w:spacing w:line="360" w:lineRule="auto"/>
        <w:rPr>
          <w:rFonts w:ascii="宋体" w:hAnsi="宋体" w:cs="Arial"/>
          <w:b/>
          <w:sz w:val="24"/>
        </w:rPr>
      </w:pPr>
      <w:r>
        <w:rPr>
          <w:rFonts w:ascii="宋体" w:hAnsi="宋体" w:cs="Arial"/>
          <w:b/>
          <w:sz w:val="24"/>
        </w:rPr>
        <w:t>甲方</w:t>
      </w:r>
      <w:r>
        <w:rPr>
          <w:rFonts w:hint="eastAsia" w:ascii="宋体" w:hAnsi="宋体" w:cs="Arial"/>
          <w:b/>
          <w:sz w:val="24"/>
        </w:rPr>
        <w:t>（全称）</w:t>
      </w:r>
      <w:r>
        <w:rPr>
          <w:rFonts w:ascii="宋体" w:hAnsi="宋体" w:cs="Arial"/>
          <w:b/>
          <w:sz w:val="24"/>
        </w:rPr>
        <w:t>：</w:t>
      </w:r>
      <w:r>
        <w:rPr>
          <w:rFonts w:hint="eastAsia" w:ascii="宋体" w:hAnsi="宋体" w:cs="Arial"/>
          <w:sz w:val="24"/>
          <w:u w:val="single"/>
        </w:rPr>
        <w:t>中国音乐学院</w:t>
      </w:r>
    </w:p>
    <w:p w14:paraId="44428921">
      <w:pPr>
        <w:spacing w:line="360" w:lineRule="auto"/>
        <w:rPr>
          <w:rFonts w:ascii="宋体" w:hAnsi="宋体"/>
          <w:b/>
          <w:sz w:val="24"/>
        </w:rPr>
      </w:pPr>
      <w:r>
        <w:rPr>
          <w:rFonts w:hint="eastAsia" w:ascii="宋体" w:hAnsi="宋体"/>
          <w:b/>
          <w:sz w:val="24"/>
        </w:rPr>
        <w:t>法 定 代 表 人：</w:t>
      </w:r>
      <w:r>
        <w:rPr>
          <w:rFonts w:hint="eastAsia" w:ascii="宋体" w:hAnsi="宋体" w:cs="Arial"/>
          <w:sz w:val="24"/>
          <w:u w:val="single"/>
        </w:rPr>
        <w:t>李心草</w:t>
      </w:r>
    </w:p>
    <w:p w14:paraId="49AC6A1A">
      <w:pPr>
        <w:spacing w:line="360" w:lineRule="auto"/>
        <w:rPr>
          <w:rFonts w:ascii="宋体" w:hAnsi="宋体"/>
          <w:b/>
          <w:sz w:val="24"/>
          <w:u w:val="single"/>
        </w:rPr>
      </w:pPr>
      <w:r>
        <w:rPr>
          <w:rFonts w:hint="eastAsia" w:ascii="宋体" w:hAnsi="宋体"/>
          <w:b/>
          <w:sz w:val="24"/>
        </w:rPr>
        <w:t>法定注册地址：</w:t>
      </w:r>
      <w:r>
        <w:rPr>
          <w:rFonts w:hint="eastAsia" w:ascii="宋体" w:hAnsi="宋体" w:cs="宋体"/>
          <w:kern w:val="0"/>
          <w:sz w:val="24"/>
          <w:u w:val="single"/>
        </w:rPr>
        <w:t>北京市朝阳区安翔路1号</w:t>
      </w:r>
    </w:p>
    <w:p w14:paraId="56D228C3">
      <w:pPr>
        <w:spacing w:line="360" w:lineRule="auto"/>
        <w:rPr>
          <w:rFonts w:ascii="宋体" w:hAnsi="宋体"/>
          <w:b/>
          <w:sz w:val="24"/>
        </w:rPr>
      </w:pPr>
    </w:p>
    <w:p w14:paraId="69DFC84F">
      <w:pPr>
        <w:spacing w:line="360" w:lineRule="auto"/>
        <w:rPr>
          <w:rFonts w:hint="eastAsia" w:ascii="宋体" w:hAnsi="宋体"/>
          <w:b/>
          <w:sz w:val="24"/>
        </w:rPr>
      </w:pPr>
      <w:r>
        <w:rPr>
          <w:rFonts w:hint="eastAsia" w:ascii="宋体" w:hAnsi="宋体"/>
          <w:b/>
          <w:sz w:val="24"/>
        </w:rPr>
        <w:t>乙方（全称）：</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541E34C6">
      <w:pPr>
        <w:spacing w:line="360" w:lineRule="auto"/>
        <w:rPr>
          <w:rFonts w:hint="eastAsia" w:ascii="宋体" w:hAnsi="宋体" w:cs="宋体"/>
          <w:sz w:val="24"/>
          <w:u w:val="single"/>
        </w:rPr>
      </w:pPr>
      <w:r>
        <w:rPr>
          <w:rFonts w:hint="eastAsia" w:ascii="宋体" w:hAnsi="宋体"/>
          <w:b/>
          <w:sz w:val="24"/>
        </w:rPr>
        <w:t>法 定 代 表 人：</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5B540FA3">
      <w:pPr>
        <w:spacing w:line="360" w:lineRule="auto"/>
        <w:ind w:left="1687" w:hanging="1687" w:hangingChars="700"/>
        <w:rPr>
          <w:rFonts w:ascii="宋体" w:hAnsi="宋体"/>
          <w:b/>
          <w:sz w:val="24"/>
        </w:rPr>
      </w:pPr>
      <w:r>
        <w:rPr>
          <w:rFonts w:hint="eastAsia" w:ascii="宋体" w:hAnsi="宋体"/>
          <w:b/>
          <w:sz w:val="24"/>
        </w:rPr>
        <w:t>法定注册地址：</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676459F1">
      <w:pPr>
        <w:spacing w:line="360" w:lineRule="auto"/>
        <w:ind w:firstLine="490"/>
        <w:rPr>
          <w:rFonts w:ascii="宋体" w:hAnsi="宋体"/>
          <w:sz w:val="24"/>
        </w:rPr>
      </w:pPr>
    </w:p>
    <w:p w14:paraId="6FB47DF3">
      <w:pPr>
        <w:spacing w:line="360" w:lineRule="auto"/>
        <w:ind w:firstLine="490"/>
        <w:rPr>
          <w:rFonts w:ascii="宋体" w:hAnsi="宋体"/>
          <w:sz w:val="24"/>
        </w:rPr>
      </w:pPr>
      <w:r>
        <w:rPr>
          <w:rFonts w:hint="eastAsia" w:ascii="宋体" w:hAnsi="宋体"/>
          <w:sz w:val="24"/>
        </w:rPr>
        <w:t>甲方为建设</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rPr>
        <w:t>（以下简称“本工程”），已接受乙方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7FCB3FCD">
      <w:pPr>
        <w:spacing w:line="360" w:lineRule="auto"/>
        <w:outlineLvl w:val="0"/>
        <w:rPr>
          <w:rFonts w:ascii="宋体" w:hAnsi="宋体"/>
          <w:sz w:val="24"/>
        </w:rPr>
      </w:pPr>
      <w:r>
        <w:rPr>
          <w:rFonts w:hint="eastAsia" w:ascii="宋体" w:hAnsi="宋体"/>
          <w:sz w:val="24"/>
        </w:rPr>
        <w:t>一、工程概况</w:t>
      </w:r>
    </w:p>
    <w:p w14:paraId="04B00E70">
      <w:pPr>
        <w:spacing w:line="360" w:lineRule="auto"/>
        <w:ind w:firstLine="490"/>
        <w:rPr>
          <w:rFonts w:hint="eastAsia" w:ascii="宋体" w:hAnsi="宋体"/>
          <w:sz w:val="24"/>
          <w:u w:val="single"/>
        </w:rPr>
      </w:pPr>
      <w:r>
        <w:rPr>
          <w:rFonts w:hint="eastAsia" w:ascii="宋体" w:hAnsi="宋体"/>
          <w:sz w:val="24"/>
        </w:rPr>
        <w:t>工程名称：</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3A8DB875">
      <w:pPr>
        <w:spacing w:line="360" w:lineRule="auto"/>
        <w:ind w:firstLine="490"/>
        <w:rPr>
          <w:rFonts w:ascii="宋体" w:hAnsi="宋体"/>
          <w:sz w:val="24"/>
          <w:u w:val="single"/>
        </w:rPr>
      </w:pPr>
      <w:r>
        <w:rPr>
          <w:rFonts w:hint="eastAsia" w:ascii="宋体" w:hAnsi="宋体"/>
          <w:sz w:val="24"/>
        </w:rPr>
        <w:t>工程地点：</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2F5A8DB7">
      <w:pPr>
        <w:spacing w:line="360" w:lineRule="auto"/>
        <w:ind w:firstLine="480" w:firstLineChars="200"/>
        <w:rPr>
          <w:rFonts w:ascii="宋体" w:hAnsi="宋体"/>
          <w:sz w:val="24"/>
          <w:u w:val="single"/>
        </w:rPr>
      </w:pPr>
      <w:r>
        <w:rPr>
          <w:rFonts w:hint="eastAsia" w:ascii="宋体" w:hAnsi="宋体"/>
          <w:sz w:val="24"/>
        </w:rPr>
        <w:t>工程内容：</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3CF4DD46">
      <w:pPr>
        <w:spacing w:line="360" w:lineRule="auto"/>
        <w:ind w:firstLine="490"/>
        <w:rPr>
          <w:rFonts w:ascii="宋体" w:hAnsi="宋体"/>
          <w:sz w:val="24"/>
        </w:rPr>
      </w:pPr>
      <w:r>
        <w:rPr>
          <w:rFonts w:hint="eastAsia" w:ascii="宋体" w:hAnsi="宋体"/>
          <w:sz w:val="24"/>
        </w:rPr>
        <w:t>群体工程应附“乙方承揽工程项目一览表”（附件1）</w:t>
      </w:r>
    </w:p>
    <w:p w14:paraId="20C97AEA">
      <w:pPr>
        <w:spacing w:line="360" w:lineRule="auto"/>
        <w:ind w:left="483" w:leftChars="230"/>
        <w:rPr>
          <w:rFonts w:ascii="宋体" w:hAnsi="宋体"/>
          <w:sz w:val="24"/>
        </w:rPr>
      </w:pPr>
      <w:r>
        <w:rPr>
          <w:rFonts w:hint="eastAsia" w:ascii="宋体" w:hAnsi="宋体"/>
          <w:sz w:val="24"/>
        </w:rPr>
        <w:t>工程立项批准文号：</w:t>
      </w:r>
    </w:p>
    <w:p w14:paraId="319D0940">
      <w:pPr>
        <w:spacing w:line="360" w:lineRule="auto"/>
        <w:ind w:left="483" w:leftChars="230"/>
        <w:rPr>
          <w:rFonts w:ascii="宋体" w:hAnsi="宋体"/>
          <w:sz w:val="24"/>
          <w:u w:val="single"/>
        </w:rPr>
      </w:pPr>
      <w:r>
        <w:rPr>
          <w:rFonts w:hint="eastAsia" w:ascii="宋体" w:hAnsi="宋体"/>
          <w:sz w:val="24"/>
        </w:rPr>
        <w:t>资金来源：</w:t>
      </w:r>
      <w:r>
        <w:rPr>
          <w:rFonts w:hint="eastAsia" w:ascii="宋体" w:hAnsi="宋体"/>
          <w:sz w:val="24"/>
          <w:u w:val="single"/>
        </w:rPr>
        <w:t xml:space="preserve"> 校内自筹经费 </w:t>
      </w:r>
    </w:p>
    <w:p w14:paraId="4E516559">
      <w:pPr>
        <w:spacing w:line="360" w:lineRule="auto"/>
        <w:outlineLvl w:val="0"/>
        <w:rPr>
          <w:rFonts w:ascii="宋体" w:hAnsi="宋体"/>
          <w:sz w:val="24"/>
        </w:rPr>
      </w:pPr>
      <w:r>
        <w:rPr>
          <w:rFonts w:hint="eastAsia" w:ascii="宋体" w:hAnsi="宋体"/>
          <w:sz w:val="24"/>
        </w:rPr>
        <w:t>二、工程承包范围</w:t>
      </w:r>
    </w:p>
    <w:p w14:paraId="30A77CC9">
      <w:pPr>
        <w:spacing w:line="360" w:lineRule="auto"/>
        <w:ind w:left="483" w:leftChars="230"/>
        <w:rPr>
          <w:rFonts w:ascii="宋体" w:hAnsi="宋体"/>
          <w:sz w:val="24"/>
        </w:rPr>
      </w:pPr>
      <w:r>
        <w:rPr>
          <w:rFonts w:hint="eastAsia" w:ascii="宋体" w:hAnsi="宋体"/>
          <w:sz w:val="24"/>
        </w:rPr>
        <w:t>承包范围</w:t>
      </w:r>
      <w:r>
        <w:rPr>
          <w:rFonts w:hint="eastAsia" w:ascii="宋体" w:hAnsi="宋体"/>
          <w:sz w:val="24"/>
          <w:u w:val="none"/>
        </w:rPr>
        <w:t>：</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3DCD3554">
      <w:pPr>
        <w:spacing w:line="360" w:lineRule="auto"/>
        <w:ind w:firstLine="490"/>
        <w:rPr>
          <w:rFonts w:ascii="宋体" w:hAnsi="宋体"/>
          <w:b/>
          <w:sz w:val="24"/>
          <w:u w:val="single"/>
        </w:rPr>
      </w:pPr>
      <w:r>
        <w:rPr>
          <w:rFonts w:hint="eastAsia" w:ascii="宋体" w:hAnsi="宋体"/>
          <w:sz w:val="24"/>
        </w:rPr>
        <w:t>详细承包范围见第七章“技术标准和要求”。</w:t>
      </w:r>
    </w:p>
    <w:p w14:paraId="13034373">
      <w:pPr>
        <w:spacing w:line="360" w:lineRule="auto"/>
        <w:outlineLvl w:val="0"/>
        <w:rPr>
          <w:rFonts w:ascii="宋体" w:hAnsi="宋体"/>
          <w:sz w:val="24"/>
        </w:rPr>
      </w:pPr>
      <w:r>
        <w:rPr>
          <w:rFonts w:hint="eastAsia" w:ascii="宋体" w:hAnsi="宋体"/>
          <w:sz w:val="24"/>
        </w:rPr>
        <w:t>三、合同工期</w:t>
      </w:r>
    </w:p>
    <w:p w14:paraId="4FCC30DF">
      <w:pPr>
        <w:spacing w:line="360" w:lineRule="auto"/>
        <w:ind w:firstLine="490"/>
        <w:rPr>
          <w:rFonts w:ascii="宋体" w:hAnsi="宋体"/>
          <w:sz w:val="24"/>
          <w:u w:val="single"/>
        </w:rPr>
      </w:pPr>
      <w:r>
        <w:rPr>
          <w:rFonts w:hint="eastAsia" w:ascii="宋体" w:hAnsi="宋体"/>
          <w:sz w:val="24"/>
        </w:rPr>
        <w:t>计划开工日期：</w:t>
      </w:r>
      <w:r>
        <w:rPr>
          <w:rFonts w:hint="eastAsia" w:ascii="宋体" w:hAnsi="宋体"/>
          <w:sz w:val="24"/>
          <w:u w:val="single"/>
        </w:rPr>
        <w:t xml:space="preserve"> </w:t>
      </w:r>
      <w:r>
        <w:rPr>
          <w:rFonts w:hint="eastAsia" w:ascii="宋体" w:hAnsi="宋体"/>
          <w:sz w:val="24"/>
          <w:u w:val="single"/>
          <w:lang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5911225">
      <w:pPr>
        <w:spacing w:line="360" w:lineRule="auto"/>
        <w:ind w:firstLine="490"/>
        <w:rPr>
          <w:rFonts w:ascii="宋体" w:hAnsi="宋体"/>
          <w:sz w:val="24"/>
          <w:u w:val="single"/>
        </w:rPr>
      </w:pPr>
      <w:r>
        <w:rPr>
          <w:rFonts w:hint="eastAsia" w:ascii="宋体" w:hAnsi="宋体"/>
          <w:sz w:val="24"/>
        </w:rPr>
        <w:t>计划竣工日期：</w:t>
      </w:r>
      <w:r>
        <w:rPr>
          <w:rFonts w:hint="eastAsia" w:ascii="宋体" w:hAnsi="宋体"/>
          <w:sz w:val="24"/>
          <w:u w:val="single"/>
        </w:rPr>
        <w:t xml:space="preserve"> </w:t>
      </w:r>
      <w:r>
        <w:rPr>
          <w:rFonts w:hint="eastAsia" w:ascii="宋体" w:hAnsi="宋体"/>
          <w:sz w:val="24"/>
          <w:u w:val="single"/>
          <w:lang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E8C3F32">
      <w:pPr>
        <w:spacing w:line="360" w:lineRule="auto"/>
        <w:ind w:firstLine="490"/>
        <w:rPr>
          <w:rFonts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14:paraId="5E5893B8">
      <w:pPr>
        <w:spacing w:line="360" w:lineRule="auto"/>
        <w:outlineLvl w:val="0"/>
        <w:rPr>
          <w:rFonts w:ascii="宋体" w:hAnsi="宋体"/>
          <w:sz w:val="24"/>
        </w:rPr>
      </w:pPr>
      <w:r>
        <w:rPr>
          <w:rFonts w:hint="eastAsia" w:ascii="宋体" w:hAnsi="宋体"/>
          <w:sz w:val="24"/>
        </w:rPr>
        <w:t>四、质量标准</w:t>
      </w:r>
    </w:p>
    <w:p w14:paraId="01405405">
      <w:pPr>
        <w:spacing w:line="360" w:lineRule="auto"/>
        <w:ind w:firstLine="490"/>
        <w:rPr>
          <w:rFonts w:ascii="宋体" w:hAnsi="宋体"/>
          <w:sz w:val="24"/>
          <w:u w:val="single"/>
        </w:rPr>
      </w:pPr>
      <w:r>
        <w:rPr>
          <w:rFonts w:hint="eastAsia" w:ascii="宋体" w:hAnsi="宋体"/>
          <w:sz w:val="24"/>
        </w:rPr>
        <w:t>工程质量标准：</w:t>
      </w:r>
      <w:r>
        <w:rPr>
          <w:rFonts w:hint="eastAsia" w:ascii="宋体" w:hAnsi="宋体"/>
          <w:sz w:val="24"/>
          <w:u w:val="single"/>
        </w:rPr>
        <w:t xml:space="preserve">   合格   </w:t>
      </w:r>
    </w:p>
    <w:p w14:paraId="3F0FD668">
      <w:pPr>
        <w:spacing w:line="360" w:lineRule="auto"/>
        <w:outlineLvl w:val="0"/>
        <w:rPr>
          <w:rFonts w:ascii="宋体" w:hAnsi="宋体"/>
          <w:sz w:val="24"/>
        </w:rPr>
      </w:pPr>
      <w:r>
        <w:rPr>
          <w:rFonts w:hint="eastAsia" w:ascii="宋体" w:hAnsi="宋体"/>
          <w:sz w:val="24"/>
        </w:rPr>
        <w:t>五、合同形式</w:t>
      </w:r>
    </w:p>
    <w:p w14:paraId="06846C25">
      <w:pPr>
        <w:spacing w:line="360" w:lineRule="auto"/>
        <w:ind w:firstLine="490"/>
        <w:rPr>
          <w:rFonts w:ascii="宋体" w:hAnsi="宋体"/>
          <w:b/>
          <w:sz w:val="24"/>
          <w:u w:val="single"/>
        </w:rPr>
      </w:pPr>
      <w:r>
        <w:rPr>
          <w:rFonts w:hint="eastAsia" w:ascii="宋体" w:hAnsi="宋体"/>
          <w:sz w:val="24"/>
        </w:rPr>
        <w:t xml:space="preserve">本合同采用 </w:t>
      </w:r>
      <w:r>
        <w:rPr>
          <w:rFonts w:hint="eastAsia" w:ascii="宋体" w:hAnsi="宋体"/>
          <w:sz w:val="24"/>
          <w:u w:val="single"/>
        </w:rPr>
        <w:t>固定总价</w:t>
      </w:r>
      <w:r>
        <w:rPr>
          <w:rFonts w:hint="eastAsia" w:ascii="宋体" w:hAnsi="宋体"/>
          <w:sz w:val="24"/>
        </w:rPr>
        <w:t xml:space="preserve"> 合同形式</w:t>
      </w:r>
      <w:r>
        <w:rPr>
          <w:rFonts w:ascii="宋体" w:hAnsi="宋体"/>
          <w:sz w:val="24"/>
        </w:rPr>
        <w:t>。</w:t>
      </w:r>
    </w:p>
    <w:p w14:paraId="18DA687C">
      <w:pPr>
        <w:spacing w:line="360" w:lineRule="auto"/>
        <w:outlineLvl w:val="0"/>
        <w:rPr>
          <w:rFonts w:ascii="宋体" w:hAnsi="宋体"/>
          <w:bCs/>
          <w:sz w:val="24"/>
        </w:rPr>
      </w:pPr>
      <w:bookmarkStart w:id="675" w:name="_Hlk169014466"/>
      <w:r>
        <w:rPr>
          <w:rFonts w:hint="eastAsia" w:ascii="宋体" w:hAnsi="宋体"/>
          <w:bCs/>
          <w:sz w:val="24"/>
        </w:rPr>
        <w:t>六、签约合同价</w:t>
      </w:r>
    </w:p>
    <w:p w14:paraId="6DBCA732">
      <w:pPr>
        <w:spacing w:line="360" w:lineRule="auto"/>
        <w:ind w:firstLine="490"/>
        <w:rPr>
          <w:rFonts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（人民币）</w:t>
      </w:r>
    </w:p>
    <w:p w14:paraId="16AB5241">
      <w:pPr>
        <w:keepNext/>
        <w:keepLines/>
        <w:ind w:firstLine="490"/>
        <w:rPr>
          <w:rFonts w:ascii="仿宋" w:hAnsi="仿宋" w:eastAsia="仿宋"/>
          <w:b/>
          <w:bCs/>
          <w:sz w:val="28"/>
          <w:szCs w:val="28"/>
        </w:rPr>
      </w:pPr>
      <w:r>
        <w:rPr>
          <w:rFonts w:hint="eastAsia" w:ascii="宋体" w:hAnsi="宋体"/>
          <w:sz w:val="24"/>
        </w:rPr>
        <w:t>（小写）￥：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元，</w:t>
      </w:r>
      <w:r>
        <w:rPr>
          <w:rFonts w:hint="eastAsia" w:ascii="仿宋" w:hAnsi="仿宋" w:eastAsia="仿宋"/>
          <w:b/>
          <w:bCs/>
          <w:sz w:val="28"/>
          <w:szCs w:val="28"/>
        </w:rPr>
        <w:t>该合同固定总价包括但不限于人工费、机械费、材料采购运输及保管费、安全生产标准化措施费、施工现场管理费、其他项目所需施工措施费（如脚手架费、垂直运输费、工程水电费、大型机械进出场费、冬雨季施工增加费、成品保护费、原有建筑物保护费、安装各专业各系统调试费、扰民费、施工垃圾场外运输和消纳费）、质量保修费、利润、税金等完成项目施工所需的各项全部费用。上述价格是乙方完成投标施工项目所需的全部费用，除上述费用外，在未发生施工范围变更时乙方不得要求甲方支付包括“洽商/ 增项”等在内的任何其他费用。</w:t>
      </w:r>
    </w:p>
    <w:p w14:paraId="28E34DDD">
      <w:pPr>
        <w:spacing w:line="360" w:lineRule="auto"/>
        <w:ind w:firstLine="720" w:firstLineChars="300"/>
        <w:rPr>
          <w:rFonts w:ascii="宋体" w:hAnsi="宋体"/>
          <w:sz w:val="24"/>
        </w:rPr>
      </w:pPr>
      <w:r>
        <w:rPr>
          <w:rFonts w:hint="eastAsia" w:ascii="宋体" w:hAnsi="宋体"/>
          <w:sz w:val="24"/>
        </w:rPr>
        <w:t>其中：安全生产标准化措施费：</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元</w:t>
      </w:r>
    </w:p>
    <w:p w14:paraId="748C0B75">
      <w:pPr>
        <w:spacing w:line="360" w:lineRule="auto"/>
        <w:ind w:firstLine="630"/>
        <w:rPr>
          <w:rFonts w:ascii="宋体" w:hAnsi="宋体"/>
          <w:sz w:val="24"/>
        </w:rPr>
      </w:pPr>
      <w:r>
        <w:rPr>
          <w:rFonts w:hint="eastAsia" w:ascii="宋体" w:hAnsi="宋体"/>
          <w:sz w:val="24"/>
        </w:rPr>
        <w:t xml:space="preserve">      暂列金额（含税）：</w:t>
      </w:r>
      <w:r>
        <w:rPr>
          <w:rFonts w:hint="eastAsia" w:ascii="宋体" w:hAnsi="宋体"/>
          <w:sz w:val="24"/>
          <w:u w:val="single"/>
        </w:rPr>
        <w:t>100,000.00</w:t>
      </w:r>
      <w:r>
        <w:rPr>
          <w:rFonts w:hint="eastAsia" w:ascii="宋体" w:hAnsi="宋体"/>
          <w:sz w:val="24"/>
        </w:rPr>
        <w:t>元</w:t>
      </w:r>
    </w:p>
    <w:p w14:paraId="7D5B4A4E">
      <w:pPr>
        <w:spacing w:line="360" w:lineRule="auto"/>
        <w:ind w:firstLine="556" w:firstLineChars="232"/>
        <w:rPr>
          <w:rFonts w:ascii="宋体" w:hAnsi="宋体"/>
          <w:sz w:val="24"/>
        </w:rPr>
      </w:pPr>
      <w:r>
        <w:rPr>
          <w:rFonts w:hint="eastAsia" w:ascii="宋体" w:hAnsi="宋体"/>
          <w:bCs/>
          <w:sz w:val="24"/>
        </w:rPr>
        <w:t>专业工程暂估价</w:t>
      </w:r>
      <w:r>
        <w:rPr>
          <w:rFonts w:hint="eastAsia" w:ascii="宋体" w:hAnsi="宋体"/>
          <w:sz w:val="24"/>
        </w:rPr>
        <w:t>（含税）</w:t>
      </w:r>
      <w:r>
        <w:rPr>
          <w:rFonts w:hint="eastAsia" w:ascii="宋体" w:hAnsi="宋体"/>
          <w:bCs/>
          <w:sz w:val="24"/>
        </w:rPr>
        <w:t>：</w:t>
      </w:r>
      <w:r>
        <w:rPr>
          <w:rFonts w:hint="eastAsia" w:ascii="宋体" w:hAnsi="宋体"/>
          <w:sz w:val="24"/>
          <w:u w:val="single"/>
        </w:rPr>
        <w:t xml:space="preserve"> 0.00  </w:t>
      </w:r>
      <w:r>
        <w:rPr>
          <w:rFonts w:hint="eastAsia" w:ascii="宋体" w:hAnsi="宋体"/>
          <w:sz w:val="24"/>
        </w:rPr>
        <w:t>元</w:t>
      </w:r>
    </w:p>
    <w:p w14:paraId="323F973C">
      <w:pPr>
        <w:spacing w:line="360" w:lineRule="auto"/>
        <w:ind w:firstLine="1992" w:firstLineChars="830"/>
        <w:rPr>
          <w:rFonts w:ascii="宋体" w:hAnsi="宋体"/>
          <w:b/>
          <w:sz w:val="24"/>
        </w:rPr>
      </w:pPr>
      <w:r>
        <w:rPr>
          <w:rFonts w:ascii="宋体" w:hAnsi="宋体"/>
          <w:sz w:val="24"/>
        </w:rPr>
        <w:t>……</w:t>
      </w:r>
    </w:p>
    <w:p w14:paraId="7BFE282E">
      <w:pPr>
        <w:spacing w:line="360" w:lineRule="auto"/>
        <w:ind w:firstLine="480" w:firstLineChars="200"/>
        <w:outlineLvl w:val="0"/>
        <w:rPr>
          <w:rFonts w:ascii="宋体" w:hAnsi="宋体"/>
          <w:bCs/>
          <w:sz w:val="24"/>
        </w:rPr>
      </w:pPr>
      <w:r>
        <w:rPr>
          <w:rFonts w:hint="eastAsia" w:ascii="宋体" w:hAnsi="宋体"/>
          <w:bCs/>
          <w:sz w:val="24"/>
        </w:rPr>
        <w:t>七、乙方项目经理：</w:t>
      </w:r>
    </w:p>
    <w:p w14:paraId="6B8D36EA">
      <w:pPr>
        <w:spacing w:line="360" w:lineRule="auto"/>
        <w:ind w:firstLine="480" w:firstLineChars="200"/>
        <w:jc w:val="left"/>
        <w:rPr>
          <w:rFonts w:ascii="宋体" w:hAnsi="宋体"/>
          <w:sz w:val="24"/>
        </w:rPr>
      </w:pPr>
      <w:r>
        <w:rPr>
          <w:rFonts w:hint="eastAsia" w:ascii="宋体" w:hAnsi="宋体"/>
          <w:sz w:val="24"/>
        </w:rPr>
        <w:t>姓名：</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rPr>
        <w:t xml:space="preserve">；        </w:t>
      </w:r>
    </w:p>
    <w:p w14:paraId="449D5467">
      <w:pPr>
        <w:spacing w:line="360" w:lineRule="auto"/>
        <w:ind w:firstLine="480" w:firstLineChars="200"/>
        <w:jc w:val="left"/>
        <w:rPr>
          <w:rFonts w:ascii="宋体" w:hAnsi="宋体"/>
          <w:sz w:val="24"/>
        </w:rPr>
      </w:pPr>
      <w:r>
        <w:rPr>
          <w:rFonts w:hint="eastAsia" w:ascii="宋体" w:hAnsi="宋体"/>
          <w:sz w:val="24"/>
        </w:rPr>
        <w:t>职称：</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rPr>
        <w:t>；</w:t>
      </w:r>
    </w:p>
    <w:p w14:paraId="2EA015AA">
      <w:pPr>
        <w:spacing w:line="360" w:lineRule="auto"/>
        <w:ind w:firstLine="480" w:firstLineChars="200"/>
        <w:jc w:val="left"/>
        <w:rPr>
          <w:rFonts w:ascii="宋体" w:hAnsi="宋体"/>
          <w:sz w:val="24"/>
        </w:rPr>
      </w:pPr>
      <w:r>
        <w:rPr>
          <w:rFonts w:hint="eastAsia" w:ascii="宋体" w:hAnsi="宋体"/>
          <w:sz w:val="24"/>
        </w:rPr>
        <w:t>身份证号：</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 xml:space="preserve">；        </w:t>
      </w:r>
    </w:p>
    <w:p w14:paraId="5FCB2A51">
      <w:pPr>
        <w:spacing w:line="360" w:lineRule="auto"/>
        <w:ind w:firstLine="480" w:firstLineChars="200"/>
        <w:jc w:val="left"/>
        <w:rPr>
          <w:rFonts w:ascii="宋体" w:hAnsi="宋体"/>
          <w:sz w:val="24"/>
        </w:rPr>
      </w:pPr>
      <w:r>
        <w:rPr>
          <w:rFonts w:hint="eastAsia" w:ascii="宋体" w:hAnsi="宋体"/>
          <w:sz w:val="24"/>
        </w:rPr>
        <w:t>建造师执业资格证书号：</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 xml:space="preserve"> ；</w:t>
      </w:r>
    </w:p>
    <w:p w14:paraId="07442A90">
      <w:pPr>
        <w:spacing w:line="360" w:lineRule="auto"/>
        <w:ind w:firstLine="480" w:firstLineChars="200"/>
        <w:jc w:val="left"/>
        <w:rPr>
          <w:rFonts w:ascii="宋体" w:hAnsi="宋体"/>
          <w:sz w:val="24"/>
        </w:rPr>
      </w:pPr>
      <w:r>
        <w:rPr>
          <w:rFonts w:hint="eastAsia" w:ascii="宋体" w:hAnsi="宋体"/>
          <w:sz w:val="24"/>
        </w:rPr>
        <w:t>建造师注册证书号:</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71B93C72">
      <w:pPr>
        <w:spacing w:line="360" w:lineRule="auto"/>
        <w:ind w:firstLine="480" w:firstLineChars="200"/>
        <w:jc w:val="left"/>
        <w:rPr>
          <w:rFonts w:ascii="宋体" w:hAnsi="宋体" w:cs="宋体"/>
          <w:bCs/>
          <w:sz w:val="24"/>
          <w:u w:val="single"/>
          <w:shd w:val="clear" w:color="auto" w:fill="FFFFFF"/>
        </w:rPr>
      </w:pPr>
      <w:r>
        <w:rPr>
          <w:rFonts w:hint="eastAsia" w:ascii="宋体" w:hAnsi="宋体"/>
          <w:sz w:val="24"/>
        </w:rPr>
        <w:t>建造师执业印章号:</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7F0B2060">
      <w:pPr>
        <w:spacing w:line="360" w:lineRule="auto"/>
        <w:ind w:firstLine="480" w:firstLineChars="200"/>
        <w:jc w:val="left"/>
        <w:rPr>
          <w:rFonts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p>
    <w:p w14:paraId="69A71B6A">
      <w:pPr>
        <w:spacing w:line="360" w:lineRule="auto"/>
        <w:ind w:firstLine="588" w:firstLineChars="245"/>
        <w:outlineLvl w:val="0"/>
        <w:rPr>
          <w:rFonts w:ascii="宋体" w:hAnsi="宋体"/>
          <w:sz w:val="24"/>
        </w:rPr>
      </w:pPr>
      <w:r>
        <w:rPr>
          <w:rFonts w:hint="eastAsia" w:ascii="宋体" w:hAnsi="宋体"/>
          <w:sz w:val="24"/>
        </w:rPr>
        <w:t>八、合同文件的组成</w:t>
      </w:r>
    </w:p>
    <w:p w14:paraId="3829E967">
      <w:pPr>
        <w:spacing w:line="360" w:lineRule="auto"/>
        <w:ind w:firstLine="480" w:firstLineChars="200"/>
        <w:jc w:val="left"/>
        <w:rPr>
          <w:rFonts w:ascii="宋体" w:hAnsi="宋体"/>
          <w:sz w:val="24"/>
        </w:rPr>
      </w:pPr>
      <w:r>
        <w:rPr>
          <w:rFonts w:hint="eastAsia" w:ascii="宋体" w:hAnsi="宋体"/>
          <w:sz w:val="24"/>
        </w:rPr>
        <w:t xml:space="preserve"> 下列文件共同构成合同文件：</w:t>
      </w:r>
    </w:p>
    <w:p w14:paraId="7FB43C5A">
      <w:pPr>
        <w:pStyle w:val="18"/>
        <w:ind w:firstLine="136" w:firstLineChars="57"/>
        <w:rPr>
          <w:rFonts w:ascii="宋体" w:hAnsi="宋体"/>
        </w:rPr>
      </w:pPr>
      <w:r>
        <w:rPr>
          <w:rFonts w:hint="eastAsia" w:ascii="宋体" w:hAnsi="宋体"/>
        </w:rPr>
        <w:t>1、本协议书；</w:t>
      </w:r>
    </w:p>
    <w:p w14:paraId="20FBB00A">
      <w:pPr>
        <w:pStyle w:val="18"/>
        <w:ind w:firstLine="136" w:firstLineChars="57"/>
        <w:rPr>
          <w:rFonts w:ascii="宋体" w:hAnsi="宋体"/>
        </w:rPr>
      </w:pPr>
      <w:r>
        <w:rPr>
          <w:rFonts w:hint="eastAsia" w:ascii="宋体" w:hAnsi="宋体"/>
        </w:rPr>
        <w:t>2、成交通知书；</w:t>
      </w:r>
    </w:p>
    <w:p w14:paraId="54BEC8D4">
      <w:pPr>
        <w:pStyle w:val="18"/>
        <w:ind w:firstLine="136" w:firstLineChars="57"/>
        <w:rPr>
          <w:rFonts w:ascii="宋体" w:hAnsi="宋体"/>
        </w:rPr>
      </w:pPr>
      <w:r>
        <w:rPr>
          <w:rFonts w:hint="eastAsia" w:ascii="宋体" w:hAnsi="宋体"/>
        </w:rPr>
        <w:t>3、投标函及投标函附录；</w:t>
      </w:r>
    </w:p>
    <w:p w14:paraId="69F0EEA1">
      <w:pPr>
        <w:pStyle w:val="18"/>
        <w:ind w:firstLine="136" w:firstLineChars="57"/>
        <w:rPr>
          <w:rFonts w:ascii="宋体" w:hAnsi="宋体"/>
        </w:rPr>
      </w:pPr>
      <w:r>
        <w:rPr>
          <w:rFonts w:hint="eastAsia" w:ascii="宋体" w:hAnsi="宋体"/>
        </w:rPr>
        <w:t>4、专用合同条款；</w:t>
      </w:r>
    </w:p>
    <w:p w14:paraId="448F16D0">
      <w:pPr>
        <w:pStyle w:val="18"/>
        <w:ind w:firstLine="136" w:firstLineChars="57"/>
        <w:rPr>
          <w:rFonts w:ascii="宋体" w:hAnsi="宋体"/>
        </w:rPr>
      </w:pPr>
      <w:r>
        <w:rPr>
          <w:rFonts w:hint="eastAsia" w:ascii="宋体" w:hAnsi="宋体"/>
        </w:rPr>
        <w:t>5、通用合同条款；</w:t>
      </w:r>
    </w:p>
    <w:p w14:paraId="4AC22FFB">
      <w:pPr>
        <w:pStyle w:val="18"/>
        <w:ind w:firstLine="136" w:firstLineChars="57"/>
        <w:rPr>
          <w:rFonts w:ascii="宋体" w:hAnsi="宋体"/>
        </w:rPr>
      </w:pPr>
      <w:r>
        <w:rPr>
          <w:rFonts w:hint="eastAsia" w:ascii="宋体" w:hAnsi="宋体"/>
        </w:rPr>
        <w:t>6、技术标准和要求；</w:t>
      </w:r>
    </w:p>
    <w:p w14:paraId="00F782B0">
      <w:pPr>
        <w:pStyle w:val="18"/>
        <w:ind w:firstLine="136" w:firstLineChars="57"/>
        <w:rPr>
          <w:rFonts w:ascii="宋体" w:hAnsi="宋体"/>
        </w:rPr>
      </w:pPr>
      <w:r>
        <w:rPr>
          <w:rFonts w:hint="eastAsia" w:ascii="宋体" w:hAnsi="宋体"/>
        </w:rPr>
        <w:t>7、图纸；</w:t>
      </w:r>
    </w:p>
    <w:p w14:paraId="27FC1BF7">
      <w:pPr>
        <w:pStyle w:val="18"/>
        <w:ind w:firstLine="136" w:firstLineChars="57"/>
        <w:rPr>
          <w:rFonts w:ascii="宋体" w:hAnsi="宋体"/>
        </w:rPr>
      </w:pPr>
      <w:r>
        <w:rPr>
          <w:rFonts w:hint="eastAsia" w:ascii="宋体" w:hAnsi="宋体"/>
        </w:rPr>
        <w:t>8、已标价工程量清单；</w:t>
      </w:r>
    </w:p>
    <w:p w14:paraId="196D719B">
      <w:pPr>
        <w:pStyle w:val="18"/>
        <w:ind w:firstLine="136" w:firstLineChars="57"/>
        <w:rPr>
          <w:rFonts w:ascii="宋体" w:hAnsi="宋体"/>
        </w:rPr>
      </w:pPr>
      <w:r>
        <w:rPr>
          <w:rFonts w:hint="eastAsia" w:ascii="宋体" w:hAnsi="宋体"/>
        </w:rPr>
        <w:t>9、其他合同文件。</w:t>
      </w:r>
    </w:p>
    <w:p w14:paraId="34979F12">
      <w:pPr>
        <w:pStyle w:val="18"/>
        <w:ind w:firstLine="136" w:firstLineChars="57"/>
        <w:rPr>
          <w:rFonts w:ascii="宋体" w:hAnsi="宋体"/>
        </w:rPr>
      </w:pPr>
      <w:r>
        <w:rPr>
          <w:rFonts w:hint="eastAsia" w:ascii="宋体" w:hAnsi="宋体"/>
        </w:rPr>
        <w:t>10、招标文件、投标文件。</w:t>
      </w:r>
    </w:p>
    <w:p w14:paraId="08D86059">
      <w:pPr>
        <w:pStyle w:val="18"/>
        <w:ind w:firstLine="136" w:firstLineChars="57"/>
        <w:rPr>
          <w:rFonts w:ascii="宋体" w:hAnsi="宋体"/>
        </w:rPr>
      </w:pPr>
    </w:p>
    <w:p w14:paraId="0760B640">
      <w:pPr>
        <w:spacing w:line="360" w:lineRule="auto"/>
        <w:ind w:firstLine="600" w:firstLineChars="250"/>
        <w:rPr>
          <w:rFonts w:ascii="宋体" w:hAnsi="宋体"/>
          <w:sz w:val="24"/>
        </w:rPr>
      </w:pPr>
      <w:r>
        <w:rPr>
          <w:rFonts w:ascii="宋体" w:hAnsi="宋体"/>
          <w:sz w:val="24"/>
        </w:rPr>
        <w:t>上述文件互相补充和解释，如有不明确或不一致之处，以合同约定次序在先者为准。</w:t>
      </w:r>
    </w:p>
    <w:p w14:paraId="33456093">
      <w:pPr>
        <w:spacing w:line="360" w:lineRule="auto"/>
        <w:ind w:firstLine="600" w:firstLineChars="250"/>
        <w:outlineLvl w:val="0"/>
        <w:rPr>
          <w:rFonts w:ascii="宋体" w:hAnsi="宋体"/>
          <w:sz w:val="24"/>
        </w:rPr>
      </w:pPr>
      <w:r>
        <w:rPr>
          <w:rFonts w:hint="eastAsia" w:ascii="宋体" w:hAnsi="宋体"/>
          <w:sz w:val="24"/>
        </w:rPr>
        <w:t>九、本协议书中有关词语定义与合同条款中的定义相同。</w:t>
      </w:r>
    </w:p>
    <w:p w14:paraId="6FFE1B06">
      <w:pPr>
        <w:spacing w:line="360" w:lineRule="auto"/>
        <w:ind w:firstLine="600" w:firstLineChars="250"/>
        <w:outlineLvl w:val="0"/>
        <w:rPr>
          <w:rFonts w:ascii="宋体" w:hAnsi="宋体"/>
          <w:sz w:val="24"/>
        </w:rPr>
      </w:pPr>
      <w:r>
        <w:rPr>
          <w:rFonts w:hint="eastAsia" w:ascii="宋体" w:hAnsi="宋体"/>
          <w:sz w:val="24"/>
        </w:rPr>
        <w:t>十、乙方承诺按照合同约定进行施工、竣工、交付并承担质量缺陷保修责任。</w:t>
      </w:r>
    </w:p>
    <w:p w14:paraId="39E1C440">
      <w:pPr>
        <w:spacing w:line="360" w:lineRule="auto"/>
        <w:ind w:firstLine="600" w:firstLineChars="250"/>
        <w:outlineLvl w:val="0"/>
        <w:rPr>
          <w:rFonts w:ascii="宋体" w:hAnsi="宋体"/>
          <w:sz w:val="24"/>
        </w:rPr>
      </w:pPr>
      <w:r>
        <w:rPr>
          <w:rFonts w:hint="eastAsia" w:ascii="宋体" w:hAnsi="宋体"/>
          <w:sz w:val="24"/>
        </w:rPr>
        <w:t>十一、甲方承诺按照合同约定的条件、期限和方式向乙方支付合同价款。</w:t>
      </w:r>
    </w:p>
    <w:p w14:paraId="78EEB151">
      <w:pPr>
        <w:spacing w:line="360" w:lineRule="auto"/>
        <w:ind w:firstLine="600" w:firstLineChars="250"/>
        <w:outlineLvl w:val="0"/>
        <w:rPr>
          <w:rFonts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六份</w:t>
      </w:r>
      <w:r>
        <w:rPr>
          <w:rFonts w:ascii="宋体" w:hAnsi="宋体"/>
          <w:sz w:val="24"/>
          <w:u w:val="single"/>
        </w:rPr>
        <w:t>。</w:t>
      </w:r>
    </w:p>
    <w:p w14:paraId="540C0D69">
      <w:pPr>
        <w:spacing w:line="360" w:lineRule="auto"/>
        <w:ind w:firstLine="600" w:firstLineChars="250"/>
        <w:outlineLvl w:val="0"/>
        <w:rPr>
          <w:rFonts w:ascii="宋体" w:hAnsi="宋体"/>
          <w:sz w:val="24"/>
        </w:rPr>
      </w:pPr>
      <w:r>
        <w:rPr>
          <w:rFonts w:hint="eastAsia" w:ascii="宋体" w:hAnsi="宋体"/>
          <w:sz w:val="24"/>
        </w:rPr>
        <w:t>十三、如因履行本合同发生争议，双方应友好协商解决，协商不成的，由甲方所在地有管辖权的人民法院管辖。</w:t>
      </w:r>
    </w:p>
    <w:p w14:paraId="15C4F858">
      <w:pPr>
        <w:spacing w:line="360" w:lineRule="auto"/>
        <w:ind w:firstLine="600" w:firstLineChars="250"/>
        <w:outlineLvl w:val="0"/>
        <w:rPr>
          <w:rFonts w:ascii="宋体" w:hAnsi="宋体"/>
          <w:sz w:val="24"/>
        </w:rPr>
      </w:pPr>
      <w:r>
        <w:rPr>
          <w:rFonts w:hint="eastAsia" w:ascii="宋体" w:hAnsi="宋体"/>
          <w:sz w:val="24"/>
        </w:rPr>
        <w:t>十四、送达</w:t>
      </w:r>
    </w:p>
    <w:p w14:paraId="0ADCFCFD">
      <w:pPr>
        <w:numPr>
          <w:ilvl w:val="0"/>
          <w:numId w:val="12"/>
        </w:numPr>
        <w:spacing w:line="360" w:lineRule="auto"/>
        <w:rPr>
          <w:rFonts w:ascii="Arial" w:hAnsi="Arial" w:cs="Arial"/>
        </w:rPr>
      </w:pPr>
      <w:r>
        <w:rPr>
          <w:rFonts w:hint="eastAsia" w:ascii="Arial" w:hAnsi="Arial" w:cs="Arial"/>
        </w:rPr>
        <w:t>双方确定的通讯地址为：</w:t>
      </w:r>
    </w:p>
    <w:p w14:paraId="4C80FF43">
      <w:pPr>
        <w:spacing w:line="360" w:lineRule="auto"/>
        <w:rPr>
          <w:rFonts w:ascii="Arial" w:hAnsi="Arial" w:cs="Arial"/>
          <w:u w:val="single"/>
        </w:rPr>
      </w:pPr>
      <w:r>
        <w:rPr>
          <w:rFonts w:hint="eastAsia" w:ascii="Arial" w:hAnsi="Arial" w:cs="Arial"/>
        </w:rPr>
        <w:t>甲方通讯地址：</w:t>
      </w:r>
      <w:r>
        <w:rPr>
          <w:rFonts w:hint="eastAsia" w:ascii="宋体" w:hAnsi="宋体" w:cs="宋体"/>
          <w:kern w:val="0"/>
          <w:sz w:val="24"/>
          <w:u w:val="single"/>
        </w:rPr>
        <w:t>北京市朝阳区安翔路1号，</w:t>
      </w:r>
      <w:r>
        <w:rPr>
          <w:rFonts w:hint="eastAsia" w:ascii="Arial" w:hAnsi="Arial" w:cs="Arial"/>
        </w:rPr>
        <w:t>收件人：院办，电话：</w:t>
      </w:r>
      <w:r>
        <w:rPr>
          <w:rFonts w:hint="eastAsia" w:ascii="Arial" w:hAnsi="Arial" w:cs="Arial"/>
          <w:u w:val="single"/>
        </w:rPr>
        <w:t xml:space="preserve">       </w:t>
      </w:r>
    </w:p>
    <w:p w14:paraId="5141F217">
      <w:pPr>
        <w:spacing w:line="360" w:lineRule="auto"/>
        <w:rPr>
          <w:rFonts w:ascii="Arial" w:hAnsi="Arial" w:cs="Arial"/>
        </w:rPr>
      </w:pPr>
      <w:r>
        <w:rPr>
          <w:rFonts w:hint="eastAsia" w:ascii="Arial" w:hAnsi="Arial" w:cs="Arial"/>
        </w:rPr>
        <w:t>乙方通讯地址：</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cs="宋体"/>
          <w:sz w:val="24"/>
          <w:u w:val="single"/>
          <w:shd w:val="clear" w:color="auto" w:fill="FFFFFF"/>
        </w:rPr>
        <w:t xml:space="preserve"> </w:t>
      </w:r>
      <w:r>
        <w:rPr>
          <w:rFonts w:hint="eastAsia" w:ascii="Arial" w:hAnsi="Arial" w:cs="Arial"/>
        </w:rPr>
        <w:t>收件人：</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cs="宋体"/>
          <w:sz w:val="24"/>
          <w:u w:val="single"/>
        </w:rPr>
        <w:t xml:space="preserve"> </w:t>
      </w:r>
      <w:r>
        <w:rPr>
          <w:rFonts w:hint="eastAsia" w:ascii="Arial" w:hAnsi="Arial" w:cs="Arial"/>
        </w:rPr>
        <w:t>，电话：</w:t>
      </w:r>
      <w:r>
        <w:rPr>
          <w:rFonts w:hint="eastAsia" w:ascii="Arial" w:hAnsi="Arial" w:cs="Arial"/>
          <w:u w:val="single"/>
        </w:rPr>
        <w:t xml:space="preserve"> </w:t>
      </w:r>
      <w:r>
        <w:rPr>
          <w:rFonts w:hint="eastAsia" w:ascii="宋体" w:hAnsi="宋体"/>
          <w:bCs/>
          <w:sz w:val="36"/>
          <w:szCs w:val="36"/>
          <w:u w:val="single"/>
        </w:rPr>
        <w:t xml:space="preserve">       </w:t>
      </w:r>
      <w:r>
        <w:rPr>
          <w:rFonts w:hint="eastAsia" w:ascii="Arial" w:hAnsi="Arial" w:cs="Arial"/>
          <w:u w:val="single"/>
        </w:rPr>
        <w:t xml:space="preserve">  </w:t>
      </w:r>
    </w:p>
    <w:p w14:paraId="7F681B22">
      <w:pPr>
        <w:spacing w:line="440" w:lineRule="exact"/>
        <w:rPr>
          <w:rFonts w:ascii="宋体" w:hAnsi="宋体"/>
          <w:szCs w:val="21"/>
        </w:rPr>
      </w:pPr>
      <w:r>
        <w:rPr>
          <w:rFonts w:hint="eastAsia" w:ascii="宋体" w:hAnsi="宋体"/>
          <w:szCs w:val="21"/>
        </w:rPr>
        <w:t>2、如果发生诉讼/仲裁，各方当事人均以前述确定的通讯地址（含联系电话）作其送达地址，依照该地址进行邮寄送达时，自乙方送交快递或者邮局之日起三日内视为送达对方。如果他人代为签收则直接算作已送达，如果出现电话不通/无人接听/无法联系接收人/无人接收 / 拒收，或者因地址不详 / 地址错误 /变更地址等各种原因而造成无法送达的情况时，则自该快递被退回之日即视为已送达该方当事人。</w:t>
      </w:r>
    </w:p>
    <w:p w14:paraId="39EDE224">
      <w:pPr>
        <w:spacing w:line="360" w:lineRule="auto"/>
        <w:ind w:firstLine="600" w:firstLineChars="250"/>
        <w:outlineLvl w:val="0"/>
        <w:rPr>
          <w:rFonts w:ascii="宋体" w:hAnsi="宋体"/>
          <w:sz w:val="24"/>
        </w:rPr>
      </w:pPr>
      <w:r>
        <w:rPr>
          <w:rFonts w:hint="eastAsia" w:ascii="宋体" w:hAnsi="宋体"/>
          <w:sz w:val="24"/>
        </w:rPr>
        <w:t>十五、</w:t>
      </w:r>
      <w:r>
        <w:rPr>
          <w:rFonts w:ascii="宋体" w:hAnsi="宋体"/>
          <w:sz w:val="24"/>
        </w:rPr>
        <w:t>合同未尽事宜，双方另行签订补充协议</w:t>
      </w:r>
      <w:r>
        <w:rPr>
          <w:rFonts w:hint="eastAsia" w:ascii="宋体" w:hAnsi="宋体"/>
          <w:sz w:val="24"/>
        </w:rPr>
        <w:t>，但不得背离本协议第八条所约定的合同文件的实质性内容</w:t>
      </w:r>
      <w:r>
        <w:rPr>
          <w:rFonts w:ascii="宋体" w:hAnsi="宋体"/>
          <w:sz w:val="24"/>
        </w:rPr>
        <w:t>。补充协议是合同</w:t>
      </w:r>
      <w:r>
        <w:rPr>
          <w:rFonts w:hint="eastAsia" w:ascii="宋体" w:hAnsi="宋体"/>
          <w:sz w:val="24"/>
        </w:rPr>
        <w:t>文件</w:t>
      </w:r>
      <w:r>
        <w:rPr>
          <w:rFonts w:ascii="宋体" w:hAnsi="宋体"/>
          <w:sz w:val="24"/>
        </w:rPr>
        <w:t>的组成部分。</w:t>
      </w:r>
    </w:p>
    <w:p w14:paraId="614FBD6E">
      <w:pPr>
        <w:spacing w:before="312" w:beforeLines="100" w:after="312" w:afterLines="100" w:line="400" w:lineRule="exact"/>
        <w:rPr>
          <w:b/>
          <w:bCs/>
          <w:szCs w:val="21"/>
        </w:rPr>
      </w:pPr>
    </w:p>
    <w:p w14:paraId="09385E09">
      <w:pPr>
        <w:spacing w:line="360" w:lineRule="auto"/>
        <w:rPr>
          <w:sz w:val="24"/>
        </w:rPr>
      </w:pPr>
      <w:r>
        <w:rPr>
          <w:b/>
          <w:bCs/>
          <w:sz w:val="24"/>
        </w:rPr>
        <w:t>甲方</w:t>
      </w:r>
      <w:r>
        <w:rPr>
          <w:b/>
          <w:bCs/>
          <w:sz w:val="24"/>
          <w:u w:val="single"/>
        </w:rPr>
        <w:t>：</w:t>
      </w:r>
      <w:r>
        <w:rPr>
          <w:rFonts w:hint="eastAsia"/>
          <w:b/>
          <w:bCs/>
          <w:sz w:val="24"/>
          <w:u w:val="single"/>
        </w:rPr>
        <w:t>中国音乐学院</w:t>
      </w:r>
      <w:r>
        <w:rPr>
          <w:sz w:val="24"/>
        </w:rPr>
        <w:t>（盖单位章）</w:t>
      </w:r>
      <w:r>
        <w:rPr>
          <w:b/>
          <w:bCs/>
          <w:sz w:val="24"/>
        </w:rPr>
        <w:t>乙方：</w:t>
      </w:r>
      <w:r>
        <w:rPr>
          <w:rFonts w:hint="eastAsia" w:ascii="宋体" w:hAnsi="宋体"/>
          <w:b/>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
          <w:sz w:val="24"/>
          <w:u w:val="single"/>
        </w:rPr>
        <w:t xml:space="preserve"> </w:t>
      </w:r>
      <w:r>
        <w:rPr>
          <w:sz w:val="24"/>
        </w:rPr>
        <w:t>（盖单位章）</w:t>
      </w:r>
    </w:p>
    <w:p w14:paraId="6F7EF99E">
      <w:pPr>
        <w:spacing w:line="360" w:lineRule="auto"/>
        <w:rPr>
          <w:sz w:val="24"/>
        </w:rPr>
      </w:pPr>
      <w:r>
        <w:rPr>
          <w:b/>
          <w:bCs/>
          <w:sz w:val="24"/>
        </w:rPr>
        <w:t>法定代表人或其</w:t>
      </w:r>
      <w:r>
        <w:rPr>
          <w:rFonts w:hint="eastAsia"/>
          <w:b/>
          <w:bCs/>
          <w:sz w:val="24"/>
        </w:rPr>
        <w:t xml:space="preserve"> </w:t>
      </w:r>
      <w:r>
        <w:rPr>
          <w:b/>
          <w:bCs/>
          <w:sz w:val="24"/>
        </w:rPr>
        <w:t xml:space="preserve">                   法定代表人或其</w:t>
      </w:r>
    </w:p>
    <w:p w14:paraId="7418EC5E">
      <w:pPr>
        <w:spacing w:line="360" w:lineRule="auto"/>
        <w:rPr>
          <w:sz w:val="24"/>
          <w:u w:val="single"/>
        </w:rPr>
      </w:pPr>
      <w:r>
        <w:rPr>
          <w:b/>
          <w:bCs/>
          <w:sz w:val="24"/>
        </w:rPr>
        <w:t>委托代理人：</w:t>
      </w:r>
      <w:r>
        <w:rPr>
          <w:sz w:val="24"/>
        </w:rPr>
        <w:t>（签字）</w:t>
      </w:r>
      <w:r>
        <w:rPr>
          <w:rFonts w:hint="eastAsia"/>
          <w:sz w:val="24"/>
          <w:u w:val="single"/>
        </w:rPr>
        <w:t xml:space="preserve"> </w:t>
      </w:r>
      <w:r>
        <w:rPr>
          <w:sz w:val="24"/>
          <w:u w:val="single"/>
        </w:rPr>
        <w:t xml:space="preserve">             </w:t>
      </w:r>
      <w:r>
        <w:rPr>
          <w:sz w:val="24"/>
        </w:rPr>
        <w:t xml:space="preserve">  </w:t>
      </w:r>
      <w:r>
        <w:rPr>
          <w:b/>
          <w:bCs/>
          <w:sz w:val="24"/>
        </w:rPr>
        <w:t>委托代理人：</w:t>
      </w:r>
      <w:r>
        <w:rPr>
          <w:sz w:val="24"/>
        </w:rPr>
        <w:t>（签字</w:t>
      </w:r>
      <w:r>
        <w:rPr>
          <w:sz w:val="24"/>
          <w:u w:val="single"/>
        </w:rPr>
        <w:t>）</w:t>
      </w:r>
      <w:r>
        <w:rPr>
          <w:rFonts w:hint="eastAsia"/>
          <w:sz w:val="24"/>
          <w:u w:val="single"/>
        </w:rPr>
        <w:t xml:space="preserve"> </w:t>
      </w:r>
      <w:r>
        <w:rPr>
          <w:sz w:val="24"/>
          <w:u w:val="single"/>
        </w:rPr>
        <w:t xml:space="preserve">           </w:t>
      </w:r>
    </w:p>
    <w:p w14:paraId="1430AED6">
      <w:pPr>
        <w:spacing w:before="312" w:beforeLines="100" w:after="312" w:afterLines="100" w:line="360" w:lineRule="auto"/>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r>
        <w:rPr>
          <w:rFonts w:hint="eastAsia"/>
          <w:sz w:val="24"/>
        </w:rPr>
        <w:t xml:space="preserve"> </w:t>
      </w:r>
      <w:r>
        <w:rPr>
          <w:sz w:val="24"/>
        </w:rPr>
        <w:t xml:space="preserve">                        年</w:t>
      </w:r>
      <w:r>
        <w:rPr>
          <w:rFonts w:hint="eastAsia"/>
          <w:sz w:val="24"/>
        </w:rPr>
        <w:t xml:space="preserve"> </w:t>
      </w:r>
      <w:r>
        <w:rPr>
          <w:sz w:val="24"/>
        </w:rPr>
        <w:t xml:space="preserve">   月</w:t>
      </w:r>
      <w:r>
        <w:rPr>
          <w:rFonts w:hint="eastAsia"/>
          <w:sz w:val="24"/>
        </w:rPr>
        <w:t xml:space="preserve"> </w:t>
      </w:r>
      <w:r>
        <w:rPr>
          <w:sz w:val="24"/>
        </w:rPr>
        <w:t xml:space="preserve">  日</w:t>
      </w:r>
    </w:p>
    <w:p w14:paraId="47A5AF82">
      <w:pPr>
        <w:spacing w:before="312" w:beforeLines="100" w:after="312" w:afterLines="100" w:line="360" w:lineRule="auto"/>
        <w:rPr>
          <w:sz w:val="24"/>
        </w:rPr>
      </w:pPr>
    </w:p>
    <w:p w14:paraId="7FB52549">
      <w:pPr>
        <w:spacing w:before="312" w:beforeLines="100" w:after="312" w:afterLines="100" w:line="360" w:lineRule="auto"/>
        <w:rPr>
          <w:b/>
          <w:sz w:val="24"/>
        </w:rPr>
      </w:pPr>
      <w:r>
        <w:rPr>
          <w:rFonts w:hint="eastAsia"/>
          <w:b/>
          <w:sz w:val="24"/>
        </w:rPr>
        <w:t>签约地点：</w:t>
      </w:r>
      <w:r>
        <w:rPr>
          <w:rFonts w:hint="eastAsia"/>
          <w:b/>
          <w:sz w:val="24"/>
          <w:u w:val="single"/>
        </w:rPr>
        <w:t>中国音乐学院</w:t>
      </w:r>
    </w:p>
    <w:p w14:paraId="64B86097">
      <w:pPr>
        <w:pStyle w:val="250"/>
        <w:spacing w:before="0" w:after="156" w:afterLines="50" w:line="300" w:lineRule="auto"/>
        <w:jc w:val="center"/>
        <w:rPr>
          <w:rFonts w:ascii="宋体" w:hAnsi="宋体" w:cs="Arial"/>
          <w:b/>
          <w:sz w:val="24"/>
        </w:rPr>
      </w:pPr>
      <w:r>
        <w:rPr>
          <w:rFonts w:ascii="宋体" w:hAnsi="宋体" w:cs="Arial"/>
          <w:b/>
          <w:sz w:val="24"/>
        </w:rPr>
        <w:br w:type="page"/>
      </w:r>
      <w:bookmarkEnd w:id="675"/>
      <w:r>
        <w:rPr>
          <w:rFonts w:hint="eastAsia" w:ascii="宋体" w:hAnsi="宋体" w:cs="Arial"/>
          <w:b/>
          <w:sz w:val="24"/>
        </w:rPr>
        <w:t>中标通知书</w:t>
      </w:r>
    </w:p>
    <w:p w14:paraId="328BD5D0"/>
    <w:p w14:paraId="2FD4C048"/>
    <w:p w14:paraId="0E39A62F">
      <w:pPr>
        <w:tabs>
          <w:tab w:val="left" w:pos="1800"/>
          <w:tab w:val="left" w:pos="5580"/>
        </w:tabs>
        <w:jc w:val="center"/>
        <w:rPr>
          <w:rFonts w:hint="eastAsia" w:ascii="宋体" w:hAnsi="宋体"/>
          <w:sz w:val="24"/>
        </w:rPr>
      </w:pPr>
      <w:r>
        <w:rPr>
          <w:rFonts w:ascii="宋体" w:hAnsi="宋体" w:cs="宋体"/>
          <w:sz w:val="24"/>
          <w:shd w:val="clear" w:color="auto" w:fill="FFFFFF"/>
        </w:rPr>
        <w:br w:type="page"/>
      </w:r>
      <w:r>
        <w:rPr>
          <w:rFonts w:hint="eastAsia" w:ascii="宋体" w:hAnsi="宋体"/>
          <w:b/>
          <w:sz w:val="36"/>
          <w:szCs w:val="36"/>
        </w:rPr>
        <w:t>分项报价表</w:t>
      </w:r>
    </w:p>
    <w:p w14:paraId="61740AEA">
      <w:pPr>
        <w:tabs>
          <w:tab w:val="left" w:pos="1800"/>
          <w:tab w:val="left" w:pos="5580"/>
        </w:tabs>
        <w:rPr>
          <w:rFonts w:ascii="宋体" w:hAnsi="宋体"/>
          <w:sz w:val="24"/>
        </w:rPr>
      </w:pPr>
      <w:r>
        <w:rPr>
          <w:rFonts w:ascii="宋体" w:hAnsi="宋体"/>
          <w:sz w:val="24"/>
        </w:rPr>
        <w:t>磋商文件编号：</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14:paraId="5300C411">
      <w:pPr>
        <w:tabs>
          <w:tab w:val="left" w:pos="1800"/>
          <w:tab w:val="left" w:pos="5580"/>
        </w:tabs>
        <w:rPr>
          <w:rFonts w:hint="eastAsia" w:ascii="宋体" w:hAnsi="宋体"/>
          <w:sz w:val="24"/>
        </w:rPr>
      </w:pPr>
      <w:r>
        <w:rPr>
          <w:rFonts w:ascii="宋体" w:hAnsi="宋体"/>
          <w:sz w:val="24"/>
        </w:rPr>
        <w:t>项目名称：</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36"/>
          <w:szCs w:val="36"/>
          <w:u w:val="single"/>
        </w:rPr>
        <w:t xml:space="preserve">            </w:t>
      </w:r>
    </w:p>
    <w:p w14:paraId="693D6B2F">
      <w:pPr>
        <w:tabs>
          <w:tab w:val="left" w:pos="1800"/>
          <w:tab w:val="left" w:pos="5580"/>
        </w:tabs>
        <w:ind w:firstLine="6240" w:firstLineChars="2600"/>
        <w:rPr>
          <w:rFonts w:hint="eastAsia" w:ascii="宋体" w:hAnsi="宋体"/>
          <w:sz w:val="24"/>
        </w:rPr>
      </w:pPr>
      <w:r>
        <w:rPr>
          <w:rFonts w:ascii="宋体" w:hAnsi="宋体"/>
          <w:sz w:val="24"/>
        </w:rPr>
        <w:t>报价单位：人民币元</w:t>
      </w:r>
    </w:p>
    <w:tbl>
      <w:tblPr>
        <w:tblStyle w:val="4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73"/>
      </w:tblGrid>
      <w:tr w14:paraId="5B7F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1B0FB8D1">
            <w:pPr>
              <w:rPr>
                <w:rFonts w:hint="eastAsia" w:ascii="宋体" w:hAnsi="宋体"/>
                <w:sz w:val="24"/>
              </w:rPr>
            </w:pPr>
            <w:r>
              <w:rPr>
                <w:rFonts w:hint="eastAsia" w:ascii="宋体" w:hAnsi="宋体"/>
                <w:sz w:val="24"/>
              </w:rPr>
              <w:t>工程名称</w:t>
            </w:r>
          </w:p>
        </w:tc>
        <w:tc>
          <w:tcPr>
            <w:tcW w:w="6473" w:type="dxa"/>
            <w:noWrap w:val="0"/>
            <w:vAlign w:val="center"/>
          </w:tcPr>
          <w:p w14:paraId="4CFE2F1D">
            <w:pPr>
              <w:rPr>
                <w:rFonts w:hint="eastAsia" w:ascii="宋体" w:hAnsi="宋体"/>
                <w:sz w:val="24"/>
              </w:rPr>
            </w:pPr>
            <w:r>
              <w:rPr>
                <w:rFonts w:hint="eastAsia" w:ascii="宋体" w:hAnsi="宋体"/>
                <w:sz w:val="24"/>
              </w:rPr>
              <w:t xml:space="preserve">  </w:t>
            </w:r>
          </w:p>
        </w:tc>
      </w:tr>
      <w:tr w14:paraId="7DB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5A2356E9">
            <w:pPr>
              <w:rPr>
                <w:rFonts w:hint="eastAsia" w:ascii="宋体" w:hAnsi="宋体"/>
                <w:sz w:val="24"/>
              </w:rPr>
            </w:pPr>
            <w:r>
              <w:rPr>
                <w:rFonts w:hint="eastAsia" w:ascii="宋体" w:hAnsi="宋体"/>
                <w:sz w:val="24"/>
              </w:rPr>
              <w:t>合同履行期限</w:t>
            </w:r>
          </w:p>
        </w:tc>
        <w:tc>
          <w:tcPr>
            <w:tcW w:w="6473" w:type="dxa"/>
            <w:noWrap w:val="0"/>
            <w:vAlign w:val="center"/>
          </w:tcPr>
          <w:p w14:paraId="56A7110E">
            <w:pPr>
              <w:rPr>
                <w:rFonts w:hint="eastAsia" w:ascii="宋体" w:hAnsi="宋体"/>
                <w:sz w:val="24"/>
              </w:rPr>
            </w:pPr>
          </w:p>
        </w:tc>
      </w:tr>
      <w:tr w14:paraId="1032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70A3C7E1">
            <w:pPr>
              <w:rPr>
                <w:rFonts w:hint="eastAsia" w:ascii="宋体" w:hAnsi="宋体"/>
                <w:sz w:val="24"/>
              </w:rPr>
            </w:pPr>
            <w:r>
              <w:rPr>
                <w:rFonts w:hint="eastAsia" w:ascii="宋体" w:hAnsi="宋体"/>
                <w:sz w:val="24"/>
              </w:rPr>
              <w:t>计划开工日期</w:t>
            </w:r>
          </w:p>
        </w:tc>
        <w:tc>
          <w:tcPr>
            <w:tcW w:w="6473" w:type="dxa"/>
            <w:noWrap w:val="0"/>
            <w:vAlign w:val="center"/>
          </w:tcPr>
          <w:p w14:paraId="6394CEC6">
            <w:pPr>
              <w:ind w:firstLine="840" w:firstLineChars="350"/>
              <w:rPr>
                <w:rFonts w:hint="eastAsia" w:ascii="宋体" w:hAnsi="宋体"/>
                <w:sz w:val="24"/>
              </w:rPr>
            </w:pPr>
            <w:r>
              <w:rPr>
                <w:rFonts w:hint="eastAsia" w:ascii="宋体" w:hAnsi="宋体"/>
                <w:sz w:val="24"/>
                <w:u w:val="single"/>
                <w:lang w:eastAsia="zh-CN"/>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5AE5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4845667F">
            <w:pPr>
              <w:rPr>
                <w:rFonts w:hint="eastAsia" w:ascii="宋体" w:hAnsi="宋体"/>
                <w:sz w:val="24"/>
              </w:rPr>
            </w:pPr>
            <w:r>
              <w:rPr>
                <w:rFonts w:hint="eastAsia" w:ascii="宋体" w:hAnsi="宋体"/>
                <w:sz w:val="24"/>
              </w:rPr>
              <w:t>计划竣工日期</w:t>
            </w:r>
          </w:p>
        </w:tc>
        <w:tc>
          <w:tcPr>
            <w:tcW w:w="6473" w:type="dxa"/>
            <w:noWrap w:val="0"/>
            <w:vAlign w:val="center"/>
          </w:tcPr>
          <w:p w14:paraId="0946D836">
            <w:pPr>
              <w:ind w:firstLine="840" w:firstLineChars="350"/>
              <w:rPr>
                <w:rFonts w:hint="eastAsia" w:ascii="宋体" w:hAnsi="宋体"/>
                <w:sz w:val="24"/>
              </w:rPr>
            </w:pPr>
            <w:r>
              <w:rPr>
                <w:rFonts w:hint="eastAsia" w:ascii="宋体" w:hAnsi="宋体"/>
                <w:sz w:val="24"/>
                <w:u w:val="single"/>
                <w:lang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6488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43FA29BB">
            <w:pPr>
              <w:rPr>
                <w:rFonts w:hint="eastAsia" w:ascii="宋体" w:hAnsi="宋体"/>
                <w:sz w:val="24"/>
              </w:rPr>
            </w:pPr>
            <w:r>
              <w:rPr>
                <w:rFonts w:hint="eastAsia" w:ascii="宋体" w:hAnsi="宋体"/>
                <w:sz w:val="24"/>
              </w:rPr>
              <w:t>质量标准</w:t>
            </w:r>
          </w:p>
        </w:tc>
        <w:tc>
          <w:tcPr>
            <w:tcW w:w="6473" w:type="dxa"/>
            <w:noWrap w:val="0"/>
            <w:vAlign w:val="center"/>
          </w:tcPr>
          <w:p w14:paraId="68001104">
            <w:pPr>
              <w:rPr>
                <w:rFonts w:hint="eastAsia" w:ascii="宋体" w:hAnsi="宋体"/>
                <w:sz w:val="24"/>
              </w:rPr>
            </w:pPr>
            <w:r>
              <w:rPr>
                <w:rFonts w:hint="eastAsia" w:ascii="宋体" w:hAnsi="宋体"/>
                <w:sz w:val="24"/>
              </w:rPr>
              <w:t>合格</w:t>
            </w:r>
          </w:p>
        </w:tc>
      </w:tr>
      <w:tr w14:paraId="7467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0F035B83">
            <w:pPr>
              <w:adjustRightInd w:val="0"/>
              <w:snapToGrid w:val="0"/>
              <w:jc w:val="left"/>
              <w:rPr>
                <w:rFonts w:hint="eastAsia" w:ascii="宋体" w:hAnsi="宋体"/>
                <w:sz w:val="24"/>
              </w:rPr>
            </w:pPr>
            <w:r>
              <w:rPr>
                <w:rFonts w:hint="eastAsia" w:ascii="宋体" w:hAnsi="宋体"/>
                <w:sz w:val="24"/>
              </w:rPr>
              <w:t>施工现场安全生产标准化管理目标等级</w:t>
            </w:r>
          </w:p>
        </w:tc>
        <w:tc>
          <w:tcPr>
            <w:tcW w:w="6473" w:type="dxa"/>
            <w:noWrap w:val="0"/>
            <w:vAlign w:val="center"/>
          </w:tcPr>
          <w:p w14:paraId="37C8D758">
            <w:pPr>
              <w:rPr>
                <w:rFonts w:hint="eastAsia" w:ascii="宋体" w:hAnsi="宋体"/>
                <w:sz w:val="24"/>
              </w:rPr>
            </w:pPr>
            <w:r>
              <w:rPr>
                <w:rFonts w:hint="eastAsia" w:ascii="宋体" w:hAnsi="宋体"/>
                <w:sz w:val="24"/>
              </w:rPr>
              <w:t>达标</w:t>
            </w:r>
          </w:p>
        </w:tc>
      </w:tr>
      <w:tr w14:paraId="3204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18C9BA4E">
            <w:pPr>
              <w:rPr>
                <w:rFonts w:hint="eastAsia" w:ascii="宋体" w:hAnsi="宋体"/>
                <w:sz w:val="24"/>
              </w:rPr>
            </w:pPr>
            <w:r>
              <w:rPr>
                <w:rFonts w:hint="eastAsia" w:ascii="宋体" w:hAnsi="宋体"/>
                <w:sz w:val="24"/>
              </w:rPr>
              <w:t>响应报价</w:t>
            </w:r>
          </w:p>
        </w:tc>
        <w:tc>
          <w:tcPr>
            <w:tcW w:w="6473" w:type="dxa"/>
            <w:noWrap w:val="0"/>
            <w:vAlign w:val="center"/>
          </w:tcPr>
          <w:p w14:paraId="1597EE24">
            <w:pPr>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u w:val="single"/>
              </w:rPr>
              <w:t xml:space="preserve"> </w:t>
            </w:r>
            <w:r>
              <w:rPr>
                <w:rFonts w:hint="eastAsia" w:ascii="宋体" w:hAnsi="宋体"/>
                <w:sz w:val="24"/>
              </w:rPr>
              <w:t>，</w:t>
            </w:r>
          </w:p>
          <w:p w14:paraId="2BE8B71D">
            <w:pPr>
              <w:rPr>
                <w:rFonts w:hint="eastAsia" w:ascii="宋体" w:hAnsi="宋体"/>
                <w:sz w:val="24"/>
              </w:rPr>
            </w:pPr>
            <w:r>
              <w:rPr>
                <w:rFonts w:hint="eastAsia" w:ascii="宋体" w:hAnsi="宋体"/>
                <w:sz w:val="24"/>
              </w:rPr>
              <w:t>人民币小写：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rPr>
              <w:t>元</w:t>
            </w:r>
          </w:p>
        </w:tc>
      </w:tr>
      <w:tr w14:paraId="0C5C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057F8827">
            <w:pPr>
              <w:rPr>
                <w:rFonts w:hint="eastAsia" w:ascii="宋体" w:hAnsi="宋体"/>
                <w:sz w:val="24"/>
              </w:rPr>
            </w:pPr>
            <w:r>
              <w:rPr>
                <w:rFonts w:hint="eastAsia" w:ascii="宋体" w:hAnsi="宋体"/>
                <w:sz w:val="24"/>
              </w:rPr>
              <w:t>其中：</w:t>
            </w:r>
          </w:p>
        </w:tc>
        <w:tc>
          <w:tcPr>
            <w:tcW w:w="6473" w:type="dxa"/>
            <w:noWrap w:val="0"/>
            <w:vAlign w:val="center"/>
          </w:tcPr>
          <w:p w14:paraId="41D6884F">
            <w:pPr>
              <w:jc w:val="left"/>
              <w:rPr>
                <w:rFonts w:hint="eastAsia" w:ascii="宋体" w:hAnsi="宋体"/>
                <w:bCs/>
                <w:sz w:val="24"/>
              </w:rPr>
            </w:pPr>
            <w:r>
              <w:rPr>
                <w:rFonts w:hint="eastAsia" w:ascii="宋体" w:hAnsi="宋体"/>
                <w:bCs/>
                <w:sz w:val="24"/>
              </w:rPr>
              <w:t>分部分项工程合价为：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335A7322">
            <w:pPr>
              <w:jc w:val="left"/>
              <w:rPr>
                <w:rFonts w:hint="eastAsia" w:ascii="宋体" w:hAnsi="宋体"/>
                <w:bCs/>
                <w:sz w:val="24"/>
              </w:rPr>
            </w:pPr>
            <w:r>
              <w:rPr>
                <w:rFonts w:hint="eastAsia" w:ascii="宋体" w:hAnsi="宋体"/>
                <w:bCs/>
                <w:sz w:val="24"/>
              </w:rPr>
              <w:t>措施项目合价为：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2EE08202">
            <w:pPr>
              <w:jc w:val="left"/>
              <w:rPr>
                <w:rFonts w:hint="eastAsia" w:ascii="宋体" w:hAnsi="宋体"/>
                <w:bCs/>
                <w:sz w:val="24"/>
              </w:rPr>
            </w:pPr>
            <w:r>
              <w:rPr>
                <w:rFonts w:hint="eastAsia" w:ascii="宋体" w:hAnsi="宋体"/>
                <w:bCs/>
                <w:sz w:val="24"/>
              </w:rPr>
              <w:t>其他项目合价为：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7ACDE6BC">
            <w:pPr>
              <w:jc w:val="left"/>
              <w:rPr>
                <w:rFonts w:hint="eastAsia" w:ascii="宋体" w:hAnsi="宋体"/>
                <w:bCs/>
                <w:sz w:val="24"/>
              </w:rPr>
            </w:pPr>
            <w:r>
              <w:rPr>
                <w:rFonts w:hint="eastAsia" w:ascii="宋体" w:hAnsi="宋体"/>
                <w:bCs/>
                <w:sz w:val="24"/>
              </w:rPr>
              <w:t>税金的合价为：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24"/>
              </w:rPr>
              <w:t>元；</w:t>
            </w:r>
          </w:p>
          <w:p w14:paraId="1EFC129C">
            <w:pPr>
              <w:jc w:val="left"/>
              <w:rPr>
                <w:rFonts w:hint="eastAsia" w:ascii="宋体" w:hAnsi="宋体"/>
                <w:bCs/>
                <w:sz w:val="24"/>
              </w:rPr>
            </w:pPr>
            <w:r>
              <w:rPr>
                <w:rFonts w:hint="eastAsia" w:ascii="宋体" w:hAnsi="宋体"/>
                <w:bCs/>
                <w:sz w:val="24"/>
              </w:rPr>
              <w:t>其他说明：</w:t>
            </w:r>
          </w:p>
          <w:p w14:paraId="61D40EBC">
            <w:pPr>
              <w:ind w:firstLine="480" w:firstLineChars="200"/>
              <w:jc w:val="left"/>
              <w:rPr>
                <w:rFonts w:hint="eastAsia" w:ascii="宋体" w:hAnsi="宋体"/>
                <w:bCs/>
                <w:sz w:val="24"/>
              </w:rPr>
            </w:pPr>
            <w:r>
              <w:rPr>
                <w:rFonts w:hint="eastAsia" w:ascii="宋体" w:hAnsi="宋体"/>
                <w:bCs/>
                <w:sz w:val="24"/>
              </w:rPr>
              <w:t>材料和工程设备暂估价（含税）合计金额：</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24"/>
              </w:rPr>
              <w:t>元；</w:t>
            </w:r>
          </w:p>
          <w:p w14:paraId="230778C4">
            <w:pPr>
              <w:ind w:firstLine="480" w:firstLineChars="200"/>
              <w:jc w:val="left"/>
              <w:rPr>
                <w:rFonts w:hint="eastAsia" w:ascii="宋体" w:hAnsi="宋体"/>
                <w:bCs/>
                <w:sz w:val="24"/>
              </w:rPr>
            </w:pPr>
            <w:r>
              <w:rPr>
                <w:rFonts w:hint="eastAsia" w:ascii="宋体" w:hAnsi="宋体"/>
                <w:bCs/>
                <w:sz w:val="24"/>
              </w:rPr>
              <w:t>专业工程暂估价（含税）合计金额：</w:t>
            </w:r>
            <w:r>
              <w:rPr>
                <w:rFonts w:hint="eastAsia" w:ascii="宋体" w:hAnsi="宋体"/>
                <w:bCs/>
                <w:sz w:val="24"/>
                <w:u w:val="single"/>
              </w:rPr>
              <w:t xml:space="preserve">      </w:t>
            </w:r>
            <w:r>
              <w:rPr>
                <w:rFonts w:hint="eastAsia" w:ascii="宋体" w:hAnsi="宋体"/>
                <w:bCs/>
                <w:sz w:val="24"/>
              </w:rPr>
              <w:t>元；</w:t>
            </w:r>
          </w:p>
          <w:p w14:paraId="4C42AE10">
            <w:pPr>
              <w:ind w:firstLine="480" w:firstLineChars="200"/>
              <w:jc w:val="left"/>
              <w:rPr>
                <w:rFonts w:hint="eastAsia" w:ascii="宋体" w:hAnsi="宋体"/>
                <w:bCs/>
                <w:sz w:val="24"/>
              </w:rPr>
            </w:pPr>
            <w:r>
              <w:rPr>
                <w:rFonts w:hint="eastAsia" w:ascii="宋体" w:hAnsi="宋体"/>
                <w:bCs/>
                <w:sz w:val="24"/>
              </w:rPr>
              <w:t>暂列金额（不含计日工）（含税）合计金额：</w:t>
            </w:r>
            <w:r>
              <w:rPr>
                <w:rFonts w:hint="eastAsia" w:ascii="宋体" w:hAnsi="宋体"/>
                <w:bCs/>
                <w:sz w:val="24"/>
                <w:u w:val="single"/>
              </w:rPr>
              <w:t xml:space="preserve">     </w:t>
            </w:r>
            <w:r>
              <w:rPr>
                <w:rFonts w:hint="eastAsia" w:ascii="宋体" w:hAnsi="宋体"/>
                <w:bCs/>
                <w:sz w:val="24"/>
              </w:rPr>
              <w:t>元；</w:t>
            </w:r>
          </w:p>
          <w:p w14:paraId="57AD7E85">
            <w:pPr>
              <w:ind w:firstLine="480" w:firstLineChars="200"/>
              <w:jc w:val="left"/>
              <w:rPr>
                <w:rFonts w:hint="eastAsia" w:ascii="宋体" w:hAnsi="宋体"/>
                <w:bCs/>
                <w:sz w:val="24"/>
              </w:rPr>
            </w:pPr>
            <w:r>
              <w:rPr>
                <w:rFonts w:hint="eastAsia" w:ascii="宋体" w:hAnsi="宋体"/>
                <w:bCs/>
                <w:sz w:val="24"/>
              </w:rPr>
              <w:t>安全生产标准化措施费（含税）合计金额：</w:t>
            </w:r>
            <w:r>
              <w:rPr>
                <w:rFonts w:hint="eastAsia" w:ascii="宋体" w:hAnsi="宋体"/>
                <w:bCs/>
                <w:sz w:val="24"/>
                <w:u w:val="single"/>
              </w:rPr>
              <w:t xml:space="preserve">        </w:t>
            </w:r>
            <w:r>
              <w:rPr>
                <w:rFonts w:hint="eastAsia" w:ascii="宋体" w:hAnsi="宋体"/>
                <w:bCs/>
                <w:sz w:val="24"/>
              </w:rPr>
              <w:t>元</w:t>
            </w:r>
          </w:p>
          <w:p w14:paraId="47C9353A">
            <w:pPr>
              <w:ind w:firstLine="480" w:firstLineChars="200"/>
              <w:jc w:val="left"/>
              <w:rPr>
                <w:rFonts w:hint="eastAsia" w:ascii="宋体" w:hAnsi="宋体"/>
                <w:bCs/>
                <w:sz w:val="24"/>
              </w:rPr>
            </w:pPr>
            <w:r>
              <w:rPr>
                <w:rFonts w:hint="eastAsia" w:ascii="宋体" w:hAnsi="宋体"/>
                <w:bCs/>
                <w:sz w:val="24"/>
              </w:rPr>
              <w:t>赶工增加费（含税）合计金额（如有）：</w:t>
            </w:r>
            <w:r>
              <w:rPr>
                <w:rFonts w:hint="eastAsia" w:ascii="宋体" w:hAnsi="宋体"/>
                <w:bCs/>
                <w:sz w:val="24"/>
                <w:u w:val="single"/>
              </w:rPr>
              <w:t xml:space="preserve">      </w:t>
            </w:r>
            <w:r>
              <w:rPr>
                <w:rFonts w:hint="eastAsia" w:ascii="宋体" w:hAnsi="宋体"/>
                <w:bCs/>
                <w:sz w:val="24"/>
              </w:rPr>
              <w:t>元。</w:t>
            </w:r>
          </w:p>
        </w:tc>
      </w:tr>
      <w:tr w14:paraId="50E6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1387CAC2">
            <w:pPr>
              <w:rPr>
                <w:rFonts w:hint="eastAsia" w:ascii="宋体" w:hAnsi="宋体"/>
                <w:sz w:val="24"/>
              </w:rPr>
            </w:pPr>
            <w:r>
              <w:rPr>
                <w:rFonts w:hint="eastAsia" w:ascii="宋体" w:hAnsi="宋体"/>
                <w:sz w:val="24"/>
              </w:rPr>
              <w:t>对磋商文件的确认意见</w:t>
            </w:r>
          </w:p>
        </w:tc>
        <w:tc>
          <w:tcPr>
            <w:tcW w:w="6473" w:type="dxa"/>
            <w:noWrap w:val="0"/>
            <w:vAlign w:val="center"/>
          </w:tcPr>
          <w:p w14:paraId="31C162A5">
            <w:pPr>
              <w:rPr>
                <w:rFonts w:hint="eastAsia" w:ascii="宋体" w:hAnsi="宋体"/>
                <w:sz w:val="24"/>
              </w:rPr>
            </w:pPr>
            <w:r>
              <w:rPr>
                <w:rFonts w:hint="eastAsia"/>
                <w:szCs w:val="24"/>
              </w:rPr>
              <w:t>全部确认、无意见</w:t>
            </w:r>
          </w:p>
        </w:tc>
      </w:tr>
      <w:tr w14:paraId="0AE1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4EB73A5B">
            <w:pPr>
              <w:rPr>
                <w:rFonts w:hint="eastAsia" w:ascii="宋体" w:hAnsi="宋体"/>
                <w:sz w:val="24"/>
              </w:rPr>
            </w:pPr>
            <w:r>
              <w:rPr>
                <w:rFonts w:hint="eastAsia" w:ascii="宋体" w:hAnsi="宋体"/>
                <w:sz w:val="24"/>
              </w:rPr>
              <w:t>报价中未包含内容及要求采购单位的配合条件</w:t>
            </w:r>
          </w:p>
        </w:tc>
        <w:tc>
          <w:tcPr>
            <w:tcW w:w="6473" w:type="dxa"/>
            <w:noWrap w:val="0"/>
            <w:vAlign w:val="center"/>
          </w:tcPr>
          <w:p w14:paraId="67E2B4AF">
            <w:pPr>
              <w:rPr>
                <w:rFonts w:ascii="宋体" w:hAnsi="宋体"/>
                <w:sz w:val="24"/>
              </w:rPr>
            </w:pPr>
            <w:r>
              <w:rPr>
                <w:rFonts w:hint="eastAsia" w:ascii="宋体" w:hAnsi="宋体"/>
                <w:sz w:val="24"/>
              </w:rPr>
              <w:t>无</w:t>
            </w:r>
          </w:p>
        </w:tc>
      </w:tr>
      <w:tr w14:paraId="7DE8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6E779B76">
            <w:pPr>
              <w:rPr>
                <w:rFonts w:hint="eastAsia" w:ascii="宋体" w:hAnsi="宋体"/>
                <w:sz w:val="24"/>
              </w:rPr>
            </w:pPr>
            <w:r>
              <w:rPr>
                <w:rFonts w:hint="eastAsia" w:ascii="宋体" w:hAnsi="宋体"/>
                <w:sz w:val="24"/>
              </w:rPr>
              <w:t>响应报价需要说明的问题</w:t>
            </w:r>
          </w:p>
        </w:tc>
        <w:tc>
          <w:tcPr>
            <w:tcW w:w="6473" w:type="dxa"/>
            <w:noWrap w:val="0"/>
            <w:vAlign w:val="center"/>
          </w:tcPr>
          <w:p w14:paraId="24D0EF9B">
            <w:pPr>
              <w:rPr>
                <w:rFonts w:hint="eastAsia" w:ascii="宋体" w:hAnsi="宋体"/>
                <w:sz w:val="24"/>
              </w:rPr>
            </w:pPr>
            <w:r>
              <w:rPr>
                <w:rFonts w:hint="eastAsia" w:ascii="宋体" w:hAnsi="宋体"/>
                <w:sz w:val="24"/>
              </w:rPr>
              <w:t>安全生产标准化措施费的报价及费率，以及税率、规费费率等执行现行最新标准。</w:t>
            </w:r>
          </w:p>
        </w:tc>
      </w:tr>
      <w:tr w14:paraId="1AF1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60" w:type="dxa"/>
            <w:noWrap w:val="0"/>
            <w:vAlign w:val="center"/>
          </w:tcPr>
          <w:p w14:paraId="14164567">
            <w:pPr>
              <w:rPr>
                <w:rFonts w:hint="eastAsia" w:ascii="宋体" w:hAnsi="宋体"/>
                <w:sz w:val="24"/>
              </w:rPr>
            </w:pPr>
            <w:r>
              <w:rPr>
                <w:rFonts w:hint="eastAsia" w:ascii="宋体" w:hAnsi="宋体"/>
                <w:sz w:val="24"/>
              </w:rPr>
              <w:t>备注</w:t>
            </w:r>
          </w:p>
        </w:tc>
        <w:tc>
          <w:tcPr>
            <w:tcW w:w="6473" w:type="dxa"/>
            <w:noWrap w:val="0"/>
            <w:vAlign w:val="center"/>
          </w:tcPr>
          <w:p w14:paraId="2AF6F0C9">
            <w:pPr>
              <w:rPr>
                <w:rFonts w:hint="eastAsia" w:ascii="宋体" w:hAnsi="宋体"/>
                <w:sz w:val="24"/>
              </w:rPr>
            </w:pPr>
            <w:r>
              <w:rPr>
                <w:rFonts w:hint="eastAsia" w:ascii="宋体" w:hAnsi="宋体"/>
                <w:sz w:val="24"/>
              </w:rPr>
              <w:t>无</w:t>
            </w:r>
          </w:p>
        </w:tc>
      </w:tr>
    </w:tbl>
    <w:p w14:paraId="6A7DE8F7">
      <w:pPr>
        <w:keepNext w:val="0"/>
        <w:keepLines w:val="0"/>
        <w:pageBreakBefore w:val="0"/>
        <w:widowControl w:val="0"/>
        <w:kinsoku/>
        <w:wordWrap/>
        <w:overflowPunct/>
        <w:topLinePunct w:val="0"/>
        <w:autoSpaceDE/>
        <w:autoSpaceDN/>
        <w:bidi w:val="0"/>
        <w:adjustRightInd/>
        <w:textAlignment w:val="auto"/>
        <w:rPr>
          <w:rFonts w:hint="eastAsia" w:cs="宋体"/>
          <w:szCs w:val="24"/>
          <w:shd w:val="clear" w:color="auto" w:fill="FFFFFF"/>
        </w:rPr>
      </w:pPr>
    </w:p>
    <w:p w14:paraId="08697E69">
      <w:pPr>
        <w:keepNext w:val="0"/>
        <w:keepLines w:val="0"/>
        <w:pageBreakBefore w:val="0"/>
        <w:widowControl w:val="0"/>
        <w:kinsoku/>
        <w:wordWrap/>
        <w:overflowPunct/>
        <w:topLinePunct w:val="0"/>
        <w:autoSpaceDE/>
        <w:autoSpaceDN/>
        <w:bidi w:val="0"/>
        <w:adjustRightInd/>
        <w:textAlignment w:val="auto"/>
        <w:rPr>
          <w:rFonts w:hint="eastAsia" w:cs="宋体"/>
          <w:szCs w:val="24"/>
          <w:u w:val="single"/>
        </w:rPr>
      </w:pPr>
      <w:r>
        <w:rPr>
          <w:rFonts w:hint="eastAsia" w:cs="宋体"/>
          <w:szCs w:val="24"/>
          <w:shd w:val="clear" w:color="auto" w:fill="FFFFFF"/>
        </w:rPr>
        <w:t>供应商开户银行（全称）：</w:t>
      </w:r>
      <w:r>
        <w:rPr>
          <w:rFonts w:hint="eastAsia" w:cs="宋体"/>
          <w:szCs w:val="24"/>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cs="宋体"/>
          <w:szCs w:val="24"/>
          <w:u w:val="single"/>
        </w:rPr>
        <w:t xml:space="preserve"> </w:t>
      </w:r>
    </w:p>
    <w:p w14:paraId="666F8DF5">
      <w:pPr>
        <w:keepNext w:val="0"/>
        <w:keepLines w:val="0"/>
        <w:pageBreakBefore w:val="0"/>
        <w:widowControl w:val="0"/>
        <w:kinsoku/>
        <w:wordWrap/>
        <w:overflowPunct/>
        <w:topLinePunct w:val="0"/>
        <w:autoSpaceDE/>
        <w:autoSpaceDN/>
        <w:bidi w:val="0"/>
        <w:adjustRightInd/>
        <w:textAlignment w:val="auto"/>
        <w:rPr>
          <w:rFonts w:hint="eastAsia" w:cs="宋体"/>
          <w:szCs w:val="24"/>
          <w:u w:val="single"/>
        </w:rPr>
      </w:pPr>
    </w:p>
    <w:p w14:paraId="1D014371">
      <w:pPr>
        <w:keepNext w:val="0"/>
        <w:keepLines w:val="0"/>
        <w:pageBreakBefore w:val="0"/>
        <w:widowControl w:val="0"/>
        <w:kinsoku/>
        <w:wordWrap/>
        <w:overflowPunct/>
        <w:topLinePunct w:val="0"/>
        <w:autoSpaceDE/>
        <w:autoSpaceDN/>
        <w:bidi w:val="0"/>
        <w:adjustRightInd/>
        <w:textAlignment w:val="auto"/>
        <w:rPr>
          <w:rFonts w:hint="eastAsia" w:cs="宋体"/>
          <w:kern w:val="0"/>
          <w:szCs w:val="24"/>
          <w:u w:val="single"/>
          <w:lang w:bidi="ar"/>
        </w:rPr>
      </w:pPr>
      <w:r>
        <w:rPr>
          <w:rFonts w:hint="eastAsia" w:cs="宋体"/>
          <w:szCs w:val="24"/>
          <w:shd w:val="clear" w:color="auto" w:fill="FFFFFF"/>
        </w:rPr>
        <w:t>供应商银行账号：</w:t>
      </w:r>
      <w:r>
        <w:rPr>
          <w:rFonts w:hint="eastAsia" w:cs="宋体"/>
          <w:kern w:val="0"/>
          <w:szCs w:val="24"/>
          <w:u w:val="single"/>
          <w:lang w:bidi="ar"/>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cs="宋体"/>
          <w:kern w:val="0"/>
          <w:szCs w:val="24"/>
          <w:u w:val="single"/>
          <w:lang w:bidi="ar"/>
        </w:rPr>
        <w:t xml:space="preserve"> </w:t>
      </w:r>
    </w:p>
    <w:p w14:paraId="4F98F3F8">
      <w:pPr>
        <w:keepNext w:val="0"/>
        <w:keepLines w:val="0"/>
        <w:pageBreakBefore w:val="0"/>
        <w:widowControl w:val="0"/>
        <w:kinsoku/>
        <w:wordWrap/>
        <w:overflowPunct/>
        <w:topLinePunct w:val="0"/>
        <w:autoSpaceDE/>
        <w:autoSpaceDN/>
        <w:bidi w:val="0"/>
        <w:adjustRightInd/>
        <w:textAlignment w:val="auto"/>
        <w:rPr>
          <w:rFonts w:hint="eastAsia" w:cs="宋体"/>
          <w:kern w:val="0"/>
          <w:szCs w:val="24"/>
          <w:u w:val="single"/>
          <w:lang w:bidi="ar"/>
        </w:rPr>
      </w:pPr>
    </w:p>
    <w:p w14:paraId="758A3524">
      <w:pPr>
        <w:keepNext w:val="0"/>
        <w:keepLines w:val="0"/>
        <w:pageBreakBefore w:val="0"/>
        <w:widowControl w:val="0"/>
        <w:kinsoku/>
        <w:wordWrap/>
        <w:overflowPunct/>
        <w:topLinePunct w:val="0"/>
        <w:autoSpaceDE/>
        <w:autoSpaceDN/>
        <w:bidi w:val="0"/>
        <w:adjustRightInd/>
        <w:textAlignment w:val="auto"/>
        <w:rPr>
          <w:rFonts w:hint="eastAsia" w:cs="宋体"/>
          <w:szCs w:val="24"/>
          <w:u w:val="single"/>
          <w:shd w:val="clear" w:color="auto" w:fill="FFFFFF"/>
        </w:rPr>
      </w:pPr>
      <w:r>
        <w:rPr>
          <w:rFonts w:hint="eastAsia" w:cs="宋体"/>
          <w:szCs w:val="24"/>
          <w:shd w:val="clear" w:color="auto" w:fill="FFFFFF"/>
        </w:rPr>
        <w:t>供应商名称（盖章）：</w:t>
      </w:r>
      <w:r>
        <w:rPr>
          <w:rFonts w:hint="eastAsia" w:cs="宋体"/>
          <w:szCs w:val="24"/>
          <w:u w:val="single"/>
          <w:shd w:val="clear" w:color="auto" w:fill="FFFFFF"/>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cs="宋体"/>
          <w:szCs w:val="24"/>
          <w:u w:val="single"/>
          <w:shd w:val="clear" w:color="auto" w:fill="FFFFFF"/>
        </w:rPr>
        <w:t xml:space="preserve"> </w:t>
      </w:r>
    </w:p>
    <w:p w14:paraId="601F78AD">
      <w:pPr>
        <w:keepNext w:val="0"/>
        <w:keepLines w:val="0"/>
        <w:pageBreakBefore w:val="0"/>
        <w:widowControl w:val="0"/>
        <w:kinsoku/>
        <w:wordWrap/>
        <w:overflowPunct/>
        <w:topLinePunct w:val="0"/>
        <w:autoSpaceDE/>
        <w:autoSpaceDN/>
        <w:bidi w:val="0"/>
        <w:adjustRightInd/>
        <w:textAlignment w:val="auto"/>
        <w:rPr>
          <w:rFonts w:hint="eastAsia" w:cs="宋体"/>
          <w:szCs w:val="24"/>
          <w:u w:val="single"/>
          <w:shd w:val="clear" w:color="auto" w:fill="FFFFFF"/>
        </w:rPr>
      </w:pPr>
    </w:p>
    <w:p w14:paraId="4785C0B0">
      <w:pPr>
        <w:keepNext w:val="0"/>
        <w:keepLines w:val="0"/>
        <w:pageBreakBefore w:val="0"/>
        <w:widowControl w:val="0"/>
        <w:kinsoku/>
        <w:wordWrap/>
        <w:overflowPunct/>
        <w:topLinePunct w:val="0"/>
        <w:autoSpaceDE/>
        <w:autoSpaceDN/>
        <w:bidi w:val="0"/>
        <w:adjustRightInd/>
        <w:textAlignment w:val="auto"/>
        <w:rPr>
          <w:rFonts w:hint="eastAsia" w:cs="宋体"/>
          <w:szCs w:val="24"/>
          <w:u w:val="single"/>
        </w:rPr>
      </w:pPr>
      <w:r>
        <w:rPr>
          <w:rFonts w:hint="eastAsia" w:cs="宋体"/>
          <w:szCs w:val="24"/>
          <w:shd w:val="clear" w:color="auto" w:fill="FFFFFF"/>
        </w:rPr>
        <w:t>供应商地址：</w:t>
      </w:r>
      <w:r>
        <w:rPr>
          <w:rFonts w:hint="eastAsia" w:cs="宋体"/>
          <w:szCs w:val="24"/>
          <w:u w:val="single"/>
          <w:shd w:val="clear" w:color="auto" w:fill="FFFFFF"/>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cs="宋体"/>
          <w:szCs w:val="24"/>
          <w:u w:val="single"/>
          <w:shd w:val="clear" w:color="auto" w:fill="FFFFFF"/>
        </w:rPr>
        <w:t xml:space="preserve"> </w:t>
      </w:r>
    </w:p>
    <w:p w14:paraId="240ABA75">
      <w:pPr>
        <w:keepNext w:val="0"/>
        <w:keepLines w:val="0"/>
        <w:pageBreakBefore w:val="0"/>
        <w:widowControl w:val="0"/>
        <w:kinsoku/>
        <w:wordWrap/>
        <w:overflowPunct/>
        <w:topLinePunct w:val="0"/>
        <w:autoSpaceDE/>
        <w:autoSpaceDN/>
        <w:bidi w:val="0"/>
        <w:adjustRightInd/>
        <w:textAlignment w:val="auto"/>
        <w:rPr>
          <w:rFonts w:hint="eastAsia" w:cs="宋体"/>
          <w:szCs w:val="24"/>
          <w:u w:val="single"/>
        </w:rPr>
      </w:pPr>
    </w:p>
    <w:p w14:paraId="7952EA4A">
      <w:pPr>
        <w:pStyle w:val="23"/>
        <w:keepNext w:val="0"/>
        <w:keepLines w:val="0"/>
        <w:pageBreakBefore w:val="0"/>
        <w:widowControl w:val="0"/>
        <w:tabs>
          <w:tab w:val="left" w:pos="5580"/>
        </w:tabs>
        <w:kinsoku/>
        <w:wordWrap/>
        <w:overflowPunct/>
        <w:topLinePunct w:val="0"/>
        <w:autoSpaceDE/>
        <w:autoSpaceDN/>
        <w:bidi w:val="0"/>
        <w:adjustRightInd/>
        <w:snapToGrid w:val="0"/>
        <w:contextualSpacing/>
        <w:textAlignment w:val="auto"/>
        <w:rPr>
          <w:rFonts w:hint="eastAsia" w:ascii="Times New Roman" w:hAnsi="Times New Roman" w:cs="宋体"/>
          <w:kern w:val="2"/>
          <w:sz w:val="21"/>
          <w:szCs w:val="24"/>
          <w:shd w:val="clear" w:color="auto" w:fill="FFFFFF"/>
        </w:rPr>
      </w:pPr>
      <w:r>
        <w:rPr>
          <w:rFonts w:hint="eastAsia" w:ascii="Times New Roman" w:hAnsi="Times New Roman" w:cs="宋体"/>
          <w:kern w:val="2"/>
          <w:sz w:val="21"/>
          <w:szCs w:val="24"/>
          <w:shd w:val="clear" w:color="auto" w:fill="FFFFFF"/>
        </w:rPr>
        <w:t xml:space="preserve">供应商授权代表(签字) ：             </w:t>
      </w:r>
    </w:p>
    <w:p w14:paraId="23B4EAA1">
      <w:pPr>
        <w:jc w:val="center"/>
        <w:rPr>
          <w:rFonts w:ascii="黑体" w:hAnsi="Arial" w:eastAsia="黑体" w:cs="Arial"/>
          <w:b/>
          <w:sz w:val="28"/>
          <w:szCs w:val="28"/>
        </w:rPr>
      </w:pPr>
      <w:r>
        <w:rPr>
          <w:rFonts w:ascii="黑体" w:hAnsi="Arial" w:eastAsia="黑体" w:cs="Arial"/>
          <w:b/>
          <w:sz w:val="28"/>
          <w:szCs w:val="28"/>
        </w:rPr>
        <w:br w:type="page"/>
      </w:r>
      <w:r>
        <w:rPr>
          <w:rFonts w:hint="eastAsia" w:ascii="黑体" w:hAnsi="Arial" w:eastAsia="黑体" w:cs="Arial"/>
          <w:b/>
          <w:sz w:val="28"/>
          <w:szCs w:val="28"/>
        </w:rPr>
        <w:t>专用合同条款</w:t>
      </w:r>
    </w:p>
    <w:p w14:paraId="4C00506B">
      <w:pPr>
        <w:pStyle w:val="250"/>
        <w:spacing w:before="0"/>
        <w:outlineLvl w:val="0"/>
        <w:rPr>
          <w:rFonts w:ascii="宋体" w:hAnsi="宋体"/>
          <w:sz w:val="21"/>
          <w:szCs w:val="21"/>
        </w:rPr>
      </w:pPr>
      <w:r>
        <w:rPr>
          <w:rFonts w:ascii="宋体" w:hAnsi="宋体"/>
          <w:sz w:val="21"/>
          <w:szCs w:val="21"/>
        </w:rPr>
        <w:t>1. 一般约定</w:t>
      </w:r>
    </w:p>
    <w:p w14:paraId="570213BE">
      <w:pPr>
        <w:pStyle w:val="251"/>
        <w:tabs>
          <w:tab w:val="left" w:pos="720"/>
        </w:tabs>
        <w:outlineLvl w:val="0"/>
        <w:rPr>
          <w:rFonts w:ascii="宋体" w:hAnsi="宋体" w:eastAsia="宋体"/>
          <w:sz w:val="21"/>
          <w:szCs w:val="21"/>
        </w:rPr>
      </w:pPr>
      <w:r>
        <w:rPr>
          <w:rFonts w:ascii="宋体" w:hAnsi="宋体" w:eastAsia="宋体"/>
          <w:sz w:val="21"/>
          <w:szCs w:val="21"/>
        </w:rPr>
        <w:t>1.1 词语定义</w:t>
      </w:r>
    </w:p>
    <w:p w14:paraId="4FFFFB5C">
      <w:pPr>
        <w:spacing w:line="400" w:lineRule="exact"/>
        <w:ind w:firstLine="420" w:firstLineChars="200"/>
        <w:rPr>
          <w:rFonts w:ascii="宋体" w:hAnsi="宋体"/>
          <w:szCs w:val="21"/>
        </w:rPr>
      </w:pPr>
      <w:r>
        <w:rPr>
          <w:rFonts w:hint="eastAsia" w:ascii="宋体" w:hAnsi="宋体"/>
          <w:szCs w:val="21"/>
        </w:rPr>
        <w:t>1.1.2合同当事人和人员</w:t>
      </w:r>
    </w:p>
    <w:p w14:paraId="460CB0D8">
      <w:pPr>
        <w:spacing w:line="400" w:lineRule="exact"/>
        <w:ind w:firstLine="420" w:firstLineChars="200"/>
        <w:jc w:val="left"/>
        <w:rPr>
          <w:rFonts w:ascii="宋体" w:hAnsi="宋体"/>
          <w:szCs w:val="21"/>
        </w:rPr>
      </w:pPr>
      <w:r>
        <w:rPr>
          <w:rFonts w:hint="eastAsia" w:ascii="宋体" w:hAnsi="宋体"/>
          <w:szCs w:val="21"/>
        </w:rPr>
        <w:t>1.1.2.2甲方：</w:t>
      </w:r>
      <w:r>
        <w:rPr>
          <w:rFonts w:hint="eastAsia" w:ascii="宋体" w:hAnsi="宋体"/>
          <w:szCs w:val="21"/>
          <w:u w:val="single"/>
        </w:rPr>
        <w:t>中国音乐学院</w:t>
      </w:r>
      <w:r>
        <w:rPr>
          <w:rFonts w:hint="eastAsia" w:ascii="宋体" w:hAnsi="宋体"/>
          <w:szCs w:val="21"/>
        </w:rPr>
        <w:t>。</w:t>
      </w:r>
    </w:p>
    <w:p w14:paraId="4070D2CF">
      <w:pPr>
        <w:spacing w:line="400" w:lineRule="exact"/>
        <w:ind w:firstLine="420" w:firstLineChars="200"/>
        <w:jc w:val="left"/>
        <w:rPr>
          <w:rFonts w:ascii="宋体" w:hAnsi="宋体"/>
          <w:szCs w:val="21"/>
        </w:rPr>
      </w:pPr>
      <w:r>
        <w:rPr>
          <w:rFonts w:hint="eastAsia" w:ascii="宋体" w:hAnsi="宋体"/>
          <w:szCs w:val="21"/>
        </w:rPr>
        <w:t>1.1.2.6监理人</w:t>
      </w:r>
      <w:r>
        <w:rPr>
          <w:rFonts w:hint="eastAsia" w:ascii="宋体" w:hAnsi="宋体"/>
          <w:szCs w:val="21"/>
          <w:u w:val="single"/>
        </w:rPr>
        <w:t xml:space="preserve">：             </w:t>
      </w:r>
      <w:r>
        <w:rPr>
          <w:rFonts w:hint="eastAsia" w:ascii="宋体" w:hAnsi="宋体"/>
          <w:szCs w:val="21"/>
        </w:rPr>
        <w:t>。</w:t>
      </w:r>
    </w:p>
    <w:p w14:paraId="03D2E28F">
      <w:pPr>
        <w:spacing w:line="400" w:lineRule="exact"/>
        <w:ind w:firstLine="420" w:firstLineChars="200"/>
        <w:jc w:val="left"/>
        <w:rPr>
          <w:rFonts w:ascii="宋体" w:hAnsi="宋体"/>
          <w:szCs w:val="21"/>
        </w:rPr>
      </w:pPr>
      <w:r>
        <w:rPr>
          <w:rFonts w:hint="eastAsia" w:ascii="宋体" w:hAnsi="宋体"/>
          <w:szCs w:val="21"/>
        </w:rPr>
        <w:t>1.1.2.8甲方代表：指甲方指定的派驻施工场地（现场）的全权代表。</w:t>
      </w:r>
    </w:p>
    <w:p w14:paraId="68D05645">
      <w:pPr>
        <w:spacing w:line="400" w:lineRule="exact"/>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           </w:t>
      </w:r>
      <w:r>
        <w:rPr>
          <w:rFonts w:hint="eastAsia" w:ascii="宋体" w:hAnsi="宋体"/>
          <w:szCs w:val="21"/>
        </w:rPr>
        <w:t>。</w:t>
      </w:r>
    </w:p>
    <w:p w14:paraId="7E089D04">
      <w:pPr>
        <w:spacing w:line="400" w:lineRule="exact"/>
        <w:ind w:firstLine="420" w:firstLineChars="200"/>
        <w:jc w:val="left"/>
        <w:rPr>
          <w:rFonts w:ascii="宋体" w:hAnsi="宋体"/>
          <w:szCs w:val="21"/>
        </w:rPr>
      </w:pPr>
      <w:r>
        <w:rPr>
          <w:rFonts w:hint="eastAsia" w:ascii="宋体" w:hAnsi="宋体"/>
          <w:szCs w:val="21"/>
        </w:rPr>
        <w:t>职    称：</w:t>
      </w:r>
      <w:r>
        <w:rPr>
          <w:rFonts w:hint="eastAsia" w:ascii="宋体" w:hAnsi="宋体"/>
          <w:szCs w:val="21"/>
          <w:u w:val="single"/>
        </w:rPr>
        <w:t xml:space="preserve">         /           </w:t>
      </w:r>
      <w:r>
        <w:rPr>
          <w:rFonts w:hint="eastAsia" w:ascii="宋体" w:hAnsi="宋体"/>
          <w:szCs w:val="21"/>
        </w:rPr>
        <w:t>。</w:t>
      </w:r>
    </w:p>
    <w:p w14:paraId="23CDBE5E">
      <w:pPr>
        <w:spacing w:line="400" w:lineRule="exact"/>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           </w:t>
      </w:r>
      <w:r>
        <w:rPr>
          <w:rFonts w:hint="eastAsia" w:ascii="宋体" w:hAnsi="宋体"/>
          <w:szCs w:val="21"/>
        </w:rPr>
        <w:t>。</w:t>
      </w:r>
    </w:p>
    <w:p w14:paraId="1FF35633">
      <w:pPr>
        <w:spacing w:line="400" w:lineRule="exact"/>
        <w:ind w:firstLine="420" w:firstLineChars="200"/>
        <w:jc w:val="left"/>
        <w:rPr>
          <w:rFonts w:ascii="宋体" w:hAnsi="宋体"/>
          <w:szCs w:val="21"/>
        </w:rPr>
      </w:pPr>
      <w:r>
        <w:rPr>
          <w:rFonts w:hint="eastAsia" w:ascii="宋体" w:hAnsi="宋体"/>
          <w:szCs w:val="21"/>
        </w:rPr>
        <w:t>电子信箱：</w:t>
      </w:r>
      <w:r>
        <w:rPr>
          <w:rFonts w:hint="eastAsia" w:ascii="宋体" w:hAnsi="宋体"/>
          <w:szCs w:val="21"/>
          <w:u w:val="single"/>
        </w:rPr>
        <w:t xml:space="preserve">         /           </w:t>
      </w:r>
      <w:r>
        <w:rPr>
          <w:rFonts w:hint="eastAsia" w:ascii="宋体" w:hAnsi="宋体"/>
          <w:szCs w:val="21"/>
        </w:rPr>
        <w:t>。</w:t>
      </w:r>
    </w:p>
    <w:p w14:paraId="0B21CA54">
      <w:pPr>
        <w:spacing w:line="400" w:lineRule="exact"/>
        <w:ind w:firstLine="420" w:firstLineChars="200"/>
        <w:jc w:val="left"/>
        <w:rPr>
          <w:rFonts w:ascii="宋体" w:hAnsi="宋体"/>
          <w:szCs w:val="21"/>
        </w:rPr>
      </w:pPr>
      <w:r>
        <w:rPr>
          <w:rFonts w:hint="eastAsia" w:ascii="宋体" w:hAnsi="宋体"/>
          <w:szCs w:val="21"/>
        </w:rPr>
        <w:t>通信地址：</w:t>
      </w:r>
      <w:r>
        <w:rPr>
          <w:rFonts w:hint="eastAsia" w:ascii="宋体" w:hAnsi="宋体"/>
          <w:szCs w:val="21"/>
          <w:u w:val="single"/>
        </w:rPr>
        <w:t xml:space="preserve">         /           </w:t>
      </w:r>
      <w:r>
        <w:rPr>
          <w:rFonts w:hint="eastAsia" w:ascii="宋体" w:hAnsi="宋体"/>
          <w:szCs w:val="21"/>
        </w:rPr>
        <w:t>。</w:t>
      </w:r>
    </w:p>
    <w:p w14:paraId="237E7837">
      <w:pPr>
        <w:spacing w:line="400" w:lineRule="exact"/>
        <w:ind w:firstLine="420" w:firstLineChars="200"/>
        <w:jc w:val="left"/>
        <w:rPr>
          <w:rFonts w:ascii="宋体" w:hAnsi="宋体"/>
          <w:szCs w:val="21"/>
        </w:rPr>
      </w:pPr>
      <w:r>
        <w:rPr>
          <w:rFonts w:hint="eastAsia" w:ascii="宋体" w:hAnsi="宋体"/>
          <w:szCs w:val="21"/>
        </w:rPr>
        <w:t>1.1.2.9专业分包人：指根据合同条款第15.8.1项的约定，由甲方和乙方以招标方式选择的分包人。</w:t>
      </w:r>
    </w:p>
    <w:p w14:paraId="4B2F61A5">
      <w:pPr>
        <w:spacing w:line="400" w:lineRule="exact"/>
        <w:ind w:firstLine="420" w:firstLineChars="200"/>
        <w:jc w:val="left"/>
        <w:rPr>
          <w:rFonts w:ascii="宋体" w:hAnsi="宋体"/>
          <w:szCs w:val="21"/>
        </w:rPr>
      </w:pPr>
      <w:r>
        <w:rPr>
          <w:rFonts w:hint="eastAsia" w:ascii="宋体" w:hAnsi="宋体"/>
          <w:szCs w:val="21"/>
        </w:rPr>
        <w:t>1.1.2.10专项供应商：指根据合同条款第15.8.1项的约定，由甲方和乙方以招标方式选择的供应商。</w:t>
      </w:r>
    </w:p>
    <w:p w14:paraId="189F64B0">
      <w:pPr>
        <w:spacing w:line="400" w:lineRule="exact"/>
        <w:ind w:firstLine="420" w:firstLineChars="200"/>
        <w:jc w:val="left"/>
        <w:rPr>
          <w:rFonts w:ascii="宋体" w:hAnsi="宋体"/>
          <w:szCs w:val="21"/>
          <w:u w:val="single"/>
        </w:rPr>
      </w:pPr>
      <w:r>
        <w:rPr>
          <w:rFonts w:hint="eastAsia" w:ascii="宋体" w:hAnsi="宋体"/>
          <w:szCs w:val="21"/>
        </w:rPr>
        <w:t>1.1.2.11独立乙方：指与甲方直接订立工程承包合同，负责实施与工程有关的其他工作的当事人。</w:t>
      </w:r>
    </w:p>
    <w:p w14:paraId="139B7CC0">
      <w:pPr>
        <w:spacing w:line="400" w:lineRule="exact"/>
        <w:ind w:firstLine="420" w:firstLineChars="200"/>
        <w:jc w:val="left"/>
        <w:rPr>
          <w:rFonts w:ascii="宋体" w:hAnsi="宋体"/>
          <w:szCs w:val="21"/>
        </w:rPr>
      </w:pPr>
      <w:r>
        <w:rPr>
          <w:rFonts w:hint="eastAsia" w:ascii="宋体" w:hAnsi="宋体"/>
          <w:szCs w:val="21"/>
        </w:rPr>
        <w:t>1.1.3工程和设备</w:t>
      </w:r>
    </w:p>
    <w:p w14:paraId="7C842892">
      <w:pPr>
        <w:spacing w:line="400" w:lineRule="exact"/>
        <w:ind w:firstLine="420" w:firstLineChars="200"/>
        <w:jc w:val="left"/>
        <w:rPr>
          <w:rFonts w:ascii="宋体" w:hAnsi="宋体"/>
          <w:szCs w:val="21"/>
          <w:u w:val="single"/>
        </w:rPr>
      </w:pPr>
      <w:r>
        <w:rPr>
          <w:rFonts w:hint="eastAsia" w:ascii="宋体" w:hAnsi="宋体"/>
          <w:szCs w:val="21"/>
        </w:rPr>
        <w:t>1.1.3.2永久工程：</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合同约定建造并移交给甲方的工程                </w:t>
      </w:r>
      <w:r>
        <w:rPr>
          <w:rFonts w:hint="eastAsia" w:ascii="宋体" w:hAnsi="宋体"/>
          <w:szCs w:val="21"/>
        </w:rPr>
        <w:t>。</w:t>
      </w:r>
    </w:p>
    <w:p w14:paraId="0E04331C">
      <w:pPr>
        <w:spacing w:line="400" w:lineRule="exact"/>
        <w:ind w:firstLine="420" w:firstLineChars="200"/>
        <w:jc w:val="left"/>
        <w:rPr>
          <w:rFonts w:ascii="宋体" w:hAnsi="宋体"/>
          <w:szCs w:val="21"/>
        </w:rPr>
      </w:pPr>
      <w:r>
        <w:rPr>
          <w:rFonts w:hint="eastAsia" w:ascii="宋体" w:hAnsi="宋体"/>
          <w:szCs w:val="21"/>
        </w:rPr>
        <w:t>1.1.3.3临时工程：</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bookmarkStart w:id="676" w:name="_Hlk69993223"/>
      <w:r>
        <w:rPr>
          <w:rFonts w:hint="eastAsia" w:ascii="宋体" w:hAnsi="宋体"/>
          <w:szCs w:val="21"/>
          <w:u w:val="single"/>
        </w:rPr>
        <w:t>/</w:t>
      </w:r>
      <w:bookmarkEnd w:id="676"/>
      <w:r>
        <w:rPr>
          <w:rFonts w:hint="eastAsia" w:ascii="宋体" w:hAnsi="宋体"/>
          <w:szCs w:val="21"/>
          <w:u w:val="single"/>
        </w:rPr>
        <w:t xml:space="preserve">                                   </w:t>
      </w:r>
      <w:r>
        <w:rPr>
          <w:rFonts w:hint="eastAsia" w:ascii="宋体" w:hAnsi="宋体"/>
          <w:szCs w:val="21"/>
        </w:rPr>
        <w:t>。</w:t>
      </w:r>
    </w:p>
    <w:p w14:paraId="755ED1E6">
      <w:pPr>
        <w:spacing w:line="400" w:lineRule="exact"/>
        <w:ind w:firstLine="420" w:firstLineChars="200"/>
        <w:jc w:val="left"/>
        <w:rPr>
          <w:rFonts w:ascii="宋体" w:hAnsi="宋体"/>
          <w:szCs w:val="21"/>
        </w:rPr>
      </w:pPr>
      <w:r>
        <w:rPr>
          <w:rFonts w:hint="eastAsia" w:ascii="宋体" w:hAnsi="宋体"/>
          <w:szCs w:val="21"/>
        </w:rPr>
        <w:t>1.1.3.4</w:t>
      </w:r>
      <w:r>
        <w:rPr>
          <w:rFonts w:ascii="宋体" w:hAnsi="宋体"/>
          <w:szCs w:val="21"/>
        </w:rPr>
        <w:t>单位工程</w:t>
      </w:r>
      <w:r>
        <w:rPr>
          <w:rFonts w:hint="eastAsia" w:ascii="宋体" w:hAnsi="宋体"/>
          <w:szCs w:val="21"/>
        </w:rPr>
        <w:t>：指具有相对独立的设计文件，能够独立组织施工并能形成独立使用功能的永久工程的组成部分。</w:t>
      </w:r>
    </w:p>
    <w:p w14:paraId="61186CA5">
      <w:pPr>
        <w:spacing w:line="400" w:lineRule="exact"/>
        <w:ind w:firstLine="420" w:firstLineChars="200"/>
        <w:jc w:val="left"/>
        <w:rPr>
          <w:rFonts w:ascii="宋体" w:hAnsi="宋体"/>
          <w:szCs w:val="21"/>
          <w:u w:val="single"/>
        </w:rPr>
      </w:pPr>
      <w:r>
        <w:rPr>
          <w:rFonts w:hint="eastAsia" w:ascii="宋体" w:hAnsi="宋体"/>
          <w:szCs w:val="21"/>
        </w:rPr>
        <w:t>1.1.3.10永久占地：</w:t>
      </w:r>
      <w:r>
        <w:rPr>
          <w:rFonts w:hint="eastAsia" w:ascii="宋体" w:hAnsi="宋体"/>
          <w:szCs w:val="21"/>
          <w:u w:val="single"/>
        </w:rPr>
        <w:t xml:space="preserve">                     /                                  </w:t>
      </w:r>
      <w:r>
        <w:rPr>
          <w:rFonts w:hint="eastAsia" w:ascii="宋体" w:hAnsi="宋体"/>
          <w:szCs w:val="21"/>
        </w:rPr>
        <w:t>。</w:t>
      </w:r>
    </w:p>
    <w:p w14:paraId="58C1BD8D">
      <w:pPr>
        <w:spacing w:line="400" w:lineRule="exact"/>
        <w:ind w:firstLine="420" w:firstLineChars="200"/>
        <w:jc w:val="left"/>
        <w:rPr>
          <w:rFonts w:ascii="宋体" w:hAnsi="宋体"/>
          <w:szCs w:val="21"/>
        </w:rPr>
      </w:pPr>
      <w:r>
        <w:rPr>
          <w:rFonts w:hint="eastAsia" w:ascii="宋体" w:hAnsi="宋体"/>
          <w:szCs w:val="21"/>
        </w:rPr>
        <w:t>1.1.3.11临时占地：</w:t>
      </w:r>
      <w:r>
        <w:rPr>
          <w:rFonts w:hint="eastAsia" w:ascii="宋体" w:hAnsi="宋体"/>
          <w:szCs w:val="21"/>
          <w:u w:val="single"/>
        </w:rPr>
        <w:t xml:space="preserve">                     /                                  </w:t>
      </w:r>
      <w:r>
        <w:rPr>
          <w:rFonts w:hint="eastAsia" w:ascii="宋体" w:hAnsi="宋体"/>
          <w:szCs w:val="21"/>
        </w:rPr>
        <w:t>。</w:t>
      </w:r>
    </w:p>
    <w:p w14:paraId="35A73416">
      <w:pPr>
        <w:spacing w:line="400" w:lineRule="exact"/>
        <w:ind w:firstLine="420" w:firstLineChars="200"/>
        <w:jc w:val="left"/>
        <w:rPr>
          <w:rFonts w:ascii="宋体" w:hAnsi="宋体"/>
          <w:szCs w:val="21"/>
        </w:rPr>
      </w:pPr>
      <w:r>
        <w:rPr>
          <w:rFonts w:hint="eastAsia" w:ascii="宋体" w:hAnsi="宋体"/>
          <w:szCs w:val="21"/>
        </w:rPr>
        <w:t>1.1.4日期</w:t>
      </w:r>
    </w:p>
    <w:p w14:paraId="0FEFAE99">
      <w:pPr>
        <w:spacing w:line="400" w:lineRule="exact"/>
        <w:ind w:firstLine="420" w:firstLineChars="200"/>
        <w:jc w:val="left"/>
        <w:rPr>
          <w:rFonts w:ascii="宋体" w:hAnsi="宋体"/>
          <w:szCs w:val="21"/>
          <w:u w:val="single"/>
        </w:rPr>
      </w:pPr>
      <w:r>
        <w:rPr>
          <w:rFonts w:hint="eastAsia" w:ascii="宋体" w:hAnsi="宋体"/>
          <w:szCs w:val="21"/>
        </w:rPr>
        <w:t>1.1.4.5缺陷责任期期限：</w:t>
      </w:r>
      <w:r>
        <w:rPr>
          <w:rFonts w:hint="eastAsia" w:ascii="宋体" w:hAnsi="宋体"/>
          <w:szCs w:val="21"/>
          <w:u w:val="single"/>
        </w:rPr>
        <w:t>24个月</w:t>
      </w:r>
      <w:r>
        <w:rPr>
          <w:rFonts w:hint="eastAsia" w:ascii="宋体" w:hAnsi="宋体"/>
          <w:szCs w:val="21"/>
        </w:rPr>
        <w:t>。</w:t>
      </w:r>
    </w:p>
    <w:p w14:paraId="2C8C509D">
      <w:pPr>
        <w:spacing w:line="400" w:lineRule="exact"/>
        <w:ind w:firstLine="420" w:firstLineChars="200"/>
        <w:jc w:val="left"/>
        <w:rPr>
          <w:rFonts w:ascii="宋体" w:hAnsi="宋体"/>
          <w:szCs w:val="21"/>
        </w:rPr>
      </w:pPr>
      <w:r>
        <w:rPr>
          <w:rFonts w:hint="eastAsia" w:ascii="宋体" w:hAnsi="宋体"/>
          <w:szCs w:val="21"/>
        </w:rPr>
        <w:t>1.1.4.8保修期：是根据现行有关法律规定，在合同条款第19.7款中约定的由乙方负责对合同约定的保修范围内发生的质量问题履行保修义务并对造成的损失承担赔偿责任的期限。</w:t>
      </w:r>
    </w:p>
    <w:p w14:paraId="7201E880">
      <w:pPr>
        <w:spacing w:line="400" w:lineRule="exact"/>
        <w:ind w:firstLine="420" w:firstLineChars="200"/>
        <w:jc w:val="left"/>
        <w:rPr>
          <w:rFonts w:ascii="宋体" w:hAnsi="宋体"/>
          <w:szCs w:val="21"/>
        </w:rPr>
      </w:pPr>
      <w:r>
        <w:rPr>
          <w:rFonts w:hint="eastAsia" w:ascii="宋体" w:hAnsi="宋体"/>
          <w:szCs w:val="21"/>
        </w:rPr>
        <w:t>1.1.6其他</w:t>
      </w:r>
    </w:p>
    <w:p w14:paraId="525D8288">
      <w:pPr>
        <w:spacing w:line="400" w:lineRule="exact"/>
        <w:ind w:firstLine="420" w:firstLineChars="200"/>
        <w:rPr>
          <w:rFonts w:ascii="宋体" w:hAnsi="宋体"/>
          <w:szCs w:val="21"/>
        </w:rPr>
      </w:pPr>
      <w:r>
        <w:rPr>
          <w:rFonts w:hint="eastAsia" w:ascii="宋体" w:hAnsi="宋体"/>
          <w:szCs w:val="21"/>
        </w:rPr>
        <w:t>1.1.6.2材料：指构成或将构成永久工程组成部分的各类物品(工程设备除外)，包括合同中可能约定的乙方仅负责供应的材料。</w:t>
      </w:r>
    </w:p>
    <w:p w14:paraId="5BEA75F3">
      <w:pPr>
        <w:spacing w:line="400" w:lineRule="exact"/>
        <w:ind w:firstLine="420" w:firstLineChars="200"/>
        <w:jc w:val="left"/>
        <w:rPr>
          <w:rFonts w:ascii="宋体" w:hAnsi="宋体"/>
          <w:szCs w:val="21"/>
        </w:rPr>
      </w:pPr>
      <w:r>
        <w:rPr>
          <w:rFonts w:hint="eastAsia" w:ascii="宋体" w:hAnsi="宋体"/>
          <w:szCs w:val="21"/>
        </w:rPr>
        <w:t>1.1.6.3争议评审组：是由甲方和乙方共同聘请的人员组成的独立、公正的第三方临时性组织，一般由一名或者三名合同管理和（或）工程管理专家组成。争议评审组负责对甲方和（或）乙方提请进行评审的本合同项下的争议进行评审并在规定的期限内给出评审意见，合同双方在规定的期限内均未对评审意见提出异议时，评审意见对合同双方有最终约束力。甲方和乙方应当分别与接受聘请的争议评审专家签订聘用协议，就评审的争议范围、评审意见效力等必要事项做出约定。</w:t>
      </w:r>
    </w:p>
    <w:p w14:paraId="4D07F7EA">
      <w:pPr>
        <w:pStyle w:val="5"/>
        <w:spacing w:line="400" w:lineRule="exact"/>
        <w:outlineLvl w:val="0"/>
        <w:rPr>
          <w:rFonts w:hAnsi="宋体"/>
          <w:sz w:val="21"/>
          <w:szCs w:val="21"/>
        </w:rPr>
      </w:pPr>
      <w:r>
        <w:rPr>
          <w:rFonts w:hint="eastAsia" w:hAnsi="宋体"/>
          <w:sz w:val="21"/>
          <w:szCs w:val="21"/>
        </w:rPr>
        <w:t>1.1.6.4 除另有特别指明外，专用合同条款中使用的措辞“合同条款”指通用合同条款和（或）专用合同条款。</w:t>
      </w:r>
    </w:p>
    <w:p w14:paraId="7FB42C2C">
      <w:pPr>
        <w:pStyle w:val="251"/>
        <w:tabs>
          <w:tab w:val="left" w:pos="720"/>
        </w:tabs>
        <w:outlineLvl w:val="0"/>
        <w:rPr>
          <w:rFonts w:ascii="宋体" w:hAnsi="宋体" w:eastAsia="宋体"/>
          <w:sz w:val="21"/>
          <w:szCs w:val="21"/>
        </w:rPr>
      </w:pPr>
      <w:r>
        <w:rPr>
          <w:rFonts w:hint="eastAsia" w:ascii="宋体" w:hAnsi="宋体" w:eastAsia="宋体"/>
          <w:sz w:val="21"/>
          <w:szCs w:val="21"/>
        </w:rPr>
        <w:t>1.4 合同文件的优先顺序</w:t>
      </w:r>
    </w:p>
    <w:p w14:paraId="636D7625">
      <w:pPr>
        <w:spacing w:line="400" w:lineRule="exact"/>
        <w:ind w:firstLine="482"/>
        <w:rPr>
          <w:rFonts w:ascii="宋体" w:hAnsi="宋体" w:cs="Arial"/>
          <w:szCs w:val="21"/>
        </w:rPr>
      </w:pPr>
      <w:r>
        <w:rPr>
          <w:rFonts w:hint="eastAsia" w:ascii="宋体" w:hAnsi="宋体" w:cs="Arial"/>
          <w:szCs w:val="21"/>
        </w:rPr>
        <w:t>合同文件的优先解释顺序如下：</w:t>
      </w:r>
    </w:p>
    <w:p w14:paraId="00FDEE27">
      <w:pPr>
        <w:spacing w:line="400" w:lineRule="exact"/>
        <w:ind w:firstLine="482"/>
        <w:rPr>
          <w:rFonts w:ascii="宋体" w:hAnsi="宋体" w:cs="Arial"/>
          <w:szCs w:val="21"/>
        </w:rPr>
      </w:pPr>
      <w:r>
        <w:rPr>
          <w:rFonts w:hint="eastAsia" w:ascii="宋体" w:hAnsi="宋体" w:cs="Arial"/>
          <w:szCs w:val="21"/>
        </w:rPr>
        <w:t>（1）合同协议书；</w:t>
      </w:r>
    </w:p>
    <w:p w14:paraId="78A86C8D">
      <w:pPr>
        <w:spacing w:line="400" w:lineRule="exact"/>
        <w:ind w:firstLine="482"/>
        <w:rPr>
          <w:rFonts w:ascii="宋体" w:hAnsi="宋体" w:cs="Arial"/>
          <w:szCs w:val="21"/>
        </w:rPr>
      </w:pPr>
      <w:r>
        <w:rPr>
          <w:rFonts w:hint="eastAsia" w:ascii="宋体" w:hAnsi="宋体" w:cs="Arial"/>
          <w:szCs w:val="21"/>
        </w:rPr>
        <w:t>（2）中标通知书；</w:t>
      </w:r>
    </w:p>
    <w:p w14:paraId="56B77B8C">
      <w:pPr>
        <w:spacing w:line="400" w:lineRule="exact"/>
        <w:ind w:firstLine="482"/>
        <w:rPr>
          <w:rFonts w:ascii="宋体" w:hAnsi="宋体" w:cs="Arial"/>
          <w:szCs w:val="21"/>
        </w:rPr>
      </w:pPr>
      <w:r>
        <w:rPr>
          <w:rFonts w:hint="eastAsia" w:ascii="宋体" w:hAnsi="宋体" w:cs="Arial"/>
          <w:szCs w:val="21"/>
        </w:rPr>
        <w:t>（3）投标函及投标函附录；</w:t>
      </w:r>
    </w:p>
    <w:p w14:paraId="62D3FFFF">
      <w:pPr>
        <w:spacing w:line="400" w:lineRule="exact"/>
        <w:ind w:firstLine="482"/>
        <w:rPr>
          <w:rFonts w:ascii="宋体" w:hAnsi="宋体" w:cs="Arial"/>
          <w:szCs w:val="21"/>
        </w:rPr>
      </w:pPr>
      <w:r>
        <w:rPr>
          <w:rFonts w:hint="eastAsia" w:ascii="宋体" w:hAnsi="宋体" w:cs="Arial"/>
          <w:szCs w:val="21"/>
        </w:rPr>
        <w:t>（4）专用合同条款；</w:t>
      </w:r>
    </w:p>
    <w:p w14:paraId="1B2E119F">
      <w:pPr>
        <w:spacing w:line="400" w:lineRule="exact"/>
        <w:ind w:firstLine="482"/>
        <w:rPr>
          <w:rFonts w:ascii="宋体" w:hAnsi="宋体" w:cs="Arial"/>
          <w:szCs w:val="21"/>
        </w:rPr>
      </w:pPr>
      <w:r>
        <w:rPr>
          <w:rFonts w:hint="eastAsia" w:ascii="宋体" w:hAnsi="宋体" w:cs="Arial"/>
          <w:szCs w:val="21"/>
        </w:rPr>
        <w:t>（5）通用合同条款；</w:t>
      </w:r>
    </w:p>
    <w:p w14:paraId="4952501B">
      <w:pPr>
        <w:spacing w:line="400" w:lineRule="exact"/>
        <w:ind w:firstLine="482"/>
        <w:rPr>
          <w:rFonts w:ascii="宋体" w:hAnsi="宋体" w:cs="Arial"/>
          <w:szCs w:val="21"/>
        </w:rPr>
      </w:pPr>
      <w:r>
        <w:rPr>
          <w:rFonts w:hint="eastAsia" w:ascii="宋体" w:hAnsi="宋体" w:cs="Arial"/>
          <w:szCs w:val="21"/>
        </w:rPr>
        <w:t>（6）</w:t>
      </w:r>
      <w:r>
        <w:rPr>
          <w:rFonts w:hint="eastAsia" w:ascii="宋体" w:hAnsi="宋体" w:cs="Arial"/>
          <w:szCs w:val="21"/>
          <w:u w:val="single"/>
        </w:rPr>
        <w:t>技术标准和要求</w:t>
      </w:r>
      <w:r>
        <w:rPr>
          <w:rFonts w:hint="eastAsia" w:ascii="宋体" w:hAnsi="宋体" w:cs="Arial"/>
          <w:szCs w:val="21"/>
        </w:rPr>
        <w:t>；</w:t>
      </w:r>
    </w:p>
    <w:p w14:paraId="725E70D8">
      <w:pPr>
        <w:spacing w:line="400" w:lineRule="exact"/>
        <w:ind w:firstLine="482"/>
        <w:rPr>
          <w:rFonts w:ascii="宋体" w:hAnsi="宋体" w:cs="Arial"/>
          <w:szCs w:val="21"/>
        </w:rPr>
      </w:pPr>
      <w:r>
        <w:rPr>
          <w:rFonts w:hint="eastAsia" w:ascii="宋体" w:hAnsi="宋体" w:cs="Arial"/>
          <w:szCs w:val="21"/>
        </w:rPr>
        <w:t>（7）</w:t>
      </w:r>
      <w:r>
        <w:rPr>
          <w:rFonts w:hint="eastAsia" w:ascii="宋体" w:hAnsi="宋体" w:cs="Arial"/>
          <w:szCs w:val="21"/>
          <w:u w:val="single"/>
        </w:rPr>
        <w:t>图纸</w:t>
      </w:r>
      <w:r>
        <w:rPr>
          <w:rFonts w:hint="eastAsia" w:ascii="宋体" w:hAnsi="宋体" w:cs="Arial"/>
          <w:szCs w:val="21"/>
        </w:rPr>
        <w:t>；</w:t>
      </w:r>
    </w:p>
    <w:p w14:paraId="715E6659">
      <w:pPr>
        <w:spacing w:line="400" w:lineRule="exact"/>
        <w:ind w:firstLine="482"/>
        <w:rPr>
          <w:rFonts w:ascii="宋体" w:hAnsi="宋体" w:cs="Arial"/>
          <w:szCs w:val="21"/>
        </w:rPr>
      </w:pPr>
      <w:r>
        <w:rPr>
          <w:rFonts w:hint="eastAsia" w:ascii="宋体" w:hAnsi="宋体" w:cs="Arial"/>
          <w:szCs w:val="21"/>
        </w:rPr>
        <w:t>（8）</w:t>
      </w:r>
      <w:r>
        <w:rPr>
          <w:rFonts w:hint="eastAsia" w:ascii="宋体" w:hAnsi="宋体" w:cs="Arial"/>
          <w:szCs w:val="21"/>
          <w:u w:val="single"/>
        </w:rPr>
        <w:t>已标价工程量清单</w:t>
      </w:r>
      <w:r>
        <w:rPr>
          <w:rFonts w:hint="eastAsia" w:ascii="宋体" w:hAnsi="宋体" w:cs="Arial"/>
          <w:szCs w:val="21"/>
        </w:rPr>
        <w:t>；</w:t>
      </w:r>
    </w:p>
    <w:p w14:paraId="6F1D7737">
      <w:pPr>
        <w:spacing w:line="400" w:lineRule="exact"/>
        <w:ind w:firstLine="480"/>
        <w:rPr>
          <w:rFonts w:ascii="宋体" w:hAnsi="宋体" w:cs="Arial"/>
          <w:szCs w:val="21"/>
        </w:rPr>
      </w:pPr>
      <w:r>
        <w:rPr>
          <w:rFonts w:hint="eastAsia" w:ascii="宋体" w:hAnsi="宋体" w:cs="Arial"/>
          <w:szCs w:val="21"/>
        </w:rPr>
        <w:t>（9）</w:t>
      </w:r>
      <w:r>
        <w:rPr>
          <w:rFonts w:hint="eastAsia" w:ascii="宋体" w:hAnsi="宋体" w:cs="Arial"/>
          <w:szCs w:val="21"/>
          <w:u w:val="single"/>
        </w:rPr>
        <w:t>其他合同文件</w:t>
      </w:r>
      <w:r>
        <w:rPr>
          <w:rFonts w:hint="eastAsia" w:ascii="宋体" w:hAnsi="宋体" w:cs="Arial"/>
          <w:szCs w:val="21"/>
        </w:rPr>
        <w:t>；</w:t>
      </w:r>
    </w:p>
    <w:p w14:paraId="56FE9E2F">
      <w:pPr>
        <w:spacing w:line="400" w:lineRule="exact"/>
        <w:ind w:firstLine="480"/>
        <w:rPr>
          <w:rFonts w:ascii="宋体" w:hAnsi="宋体" w:cs="Arial"/>
          <w:szCs w:val="21"/>
        </w:rPr>
      </w:pPr>
      <w:r>
        <w:rPr>
          <w:rFonts w:hint="eastAsia" w:ascii="宋体" w:hAnsi="宋体" w:cs="Arial"/>
          <w:szCs w:val="21"/>
        </w:rPr>
        <w:t>（10）</w:t>
      </w:r>
      <w:r>
        <w:rPr>
          <w:rFonts w:hint="eastAsia" w:ascii="宋体" w:hAnsi="宋体" w:cs="Arial"/>
          <w:szCs w:val="21"/>
          <w:u w:val="single"/>
        </w:rPr>
        <w:t>招标文件、投标文件</w:t>
      </w:r>
      <w:r>
        <w:rPr>
          <w:rFonts w:hint="eastAsia" w:ascii="宋体" w:hAnsi="宋体" w:cs="Arial"/>
          <w:szCs w:val="21"/>
        </w:rPr>
        <w:t>。</w:t>
      </w:r>
    </w:p>
    <w:p w14:paraId="1F72755C">
      <w:pPr>
        <w:spacing w:line="400" w:lineRule="exact"/>
        <w:ind w:firstLine="480"/>
        <w:rPr>
          <w:rFonts w:ascii="宋体" w:hAnsi="宋体" w:cs="Arial"/>
          <w:szCs w:val="21"/>
        </w:rPr>
      </w:pPr>
      <w:r>
        <w:rPr>
          <w:rFonts w:hint="eastAsia" w:ascii="宋体" w:hAnsi="宋体" w:cs="Arial"/>
          <w:szCs w:val="21"/>
        </w:rPr>
        <w:t>（说明：（6）、（7）、（8）填空内容分别限于技术标准和要求、图纸、已标价工程量清单三者之一。）</w:t>
      </w:r>
    </w:p>
    <w:p w14:paraId="4CDB0A68">
      <w:pPr>
        <w:spacing w:line="400" w:lineRule="exact"/>
        <w:ind w:firstLine="420" w:firstLineChars="200"/>
        <w:rPr>
          <w:rFonts w:ascii="宋体" w:hAnsi="宋体" w:cs="Arial"/>
          <w:szCs w:val="21"/>
        </w:rPr>
      </w:pPr>
      <w:r>
        <w:rPr>
          <w:rFonts w:hint="eastAsia" w:ascii="宋体" w:hAnsi="宋体" w:cs="Arial"/>
          <w:szCs w:val="21"/>
        </w:rPr>
        <w:t>合同协议书中约定采用总价合同形式的，除非合同另有约定，已标价工程量清单中的各项工程量对合同双方不具合同约束力。</w:t>
      </w:r>
    </w:p>
    <w:p w14:paraId="7DB550FF">
      <w:pPr>
        <w:spacing w:line="400" w:lineRule="exact"/>
        <w:ind w:firstLine="420" w:firstLineChars="200"/>
        <w:rPr>
          <w:rFonts w:ascii="宋体" w:hAnsi="宋体" w:cs="Arial"/>
          <w:szCs w:val="21"/>
        </w:rPr>
      </w:pPr>
      <w:r>
        <w:rPr>
          <w:rFonts w:hint="eastAsia" w:ascii="宋体" w:hAnsi="宋体" w:cs="Arial"/>
          <w:szCs w:val="21"/>
        </w:rPr>
        <w:t>图纸与工程量清单、技术标准和要求之间有矛盾或者不一致的，以其中要求较严格的（对甲方有利解释）为准。</w:t>
      </w:r>
    </w:p>
    <w:p w14:paraId="657017B7">
      <w:pPr>
        <w:spacing w:line="400" w:lineRule="exact"/>
        <w:ind w:firstLine="420" w:firstLineChars="200"/>
        <w:rPr>
          <w:rFonts w:ascii="宋体" w:hAnsi="宋体" w:cs="Arial"/>
          <w:szCs w:val="21"/>
        </w:rPr>
      </w:pPr>
      <w:r>
        <w:rPr>
          <w:rFonts w:hint="eastAsia" w:ascii="宋体" w:hAnsi="宋体" w:cs="Arial"/>
          <w:szCs w:val="21"/>
        </w:rPr>
        <w:t>合同双方在合同履行过程中签订的补充协议亦构成合同文件的组成部分，其解释顺序视其内容与其他合同文件的相互关系而定。</w:t>
      </w:r>
    </w:p>
    <w:p w14:paraId="01400A5D">
      <w:pPr>
        <w:pStyle w:val="251"/>
        <w:tabs>
          <w:tab w:val="left" w:pos="720"/>
        </w:tabs>
        <w:outlineLvl w:val="0"/>
        <w:rPr>
          <w:rFonts w:ascii="宋体" w:hAnsi="宋体" w:eastAsia="宋体"/>
          <w:sz w:val="21"/>
          <w:szCs w:val="21"/>
        </w:rPr>
      </w:pPr>
      <w:r>
        <w:rPr>
          <w:rFonts w:hint="eastAsia" w:ascii="宋体" w:hAnsi="宋体" w:eastAsia="宋体"/>
          <w:sz w:val="21"/>
          <w:szCs w:val="21"/>
        </w:rPr>
        <w:t>1.5 合同协议书</w:t>
      </w:r>
    </w:p>
    <w:p w14:paraId="70D4A992">
      <w:pPr>
        <w:spacing w:line="400" w:lineRule="exact"/>
        <w:ind w:firstLine="420" w:firstLineChars="200"/>
        <w:rPr>
          <w:rFonts w:ascii="宋体" w:hAnsi="宋体"/>
          <w:szCs w:val="21"/>
          <w:u w:val="single"/>
        </w:rPr>
      </w:pPr>
      <w:r>
        <w:rPr>
          <w:rFonts w:hint="eastAsia" w:ascii="宋体" w:hAnsi="宋体"/>
          <w:szCs w:val="21"/>
        </w:rPr>
        <w:t>合同生效的条件：</w:t>
      </w:r>
      <w:r>
        <w:rPr>
          <w:rFonts w:hint="eastAsia" w:ascii="宋体" w:hAnsi="宋体"/>
          <w:szCs w:val="21"/>
          <w:u w:val="single"/>
        </w:rPr>
        <w:t xml:space="preserve">合同双方法定代表人或委托代理人签字并加盖单位公章后生效 </w:t>
      </w:r>
      <w:r>
        <w:rPr>
          <w:rFonts w:hint="eastAsia" w:ascii="宋体" w:hAnsi="宋体"/>
          <w:szCs w:val="21"/>
        </w:rPr>
        <w:t>。</w:t>
      </w:r>
    </w:p>
    <w:p w14:paraId="6963BF42">
      <w:pPr>
        <w:pStyle w:val="251"/>
        <w:tabs>
          <w:tab w:val="left" w:pos="720"/>
        </w:tabs>
        <w:outlineLvl w:val="0"/>
        <w:rPr>
          <w:rFonts w:ascii="宋体" w:hAnsi="宋体" w:eastAsia="宋体"/>
          <w:sz w:val="21"/>
          <w:szCs w:val="21"/>
        </w:rPr>
      </w:pPr>
      <w:r>
        <w:rPr>
          <w:rFonts w:hint="eastAsia" w:ascii="宋体" w:hAnsi="宋体" w:eastAsia="宋体"/>
          <w:sz w:val="21"/>
          <w:szCs w:val="21"/>
        </w:rPr>
        <w:t>1.6 图纸和乙方文件</w:t>
      </w:r>
    </w:p>
    <w:p w14:paraId="1EFBCFAB">
      <w:pPr>
        <w:spacing w:line="400" w:lineRule="exact"/>
        <w:ind w:firstLine="420" w:firstLineChars="200"/>
        <w:jc w:val="left"/>
        <w:rPr>
          <w:rFonts w:ascii="宋体" w:hAnsi="宋体"/>
          <w:szCs w:val="21"/>
        </w:rPr>
      </w:pPr>
      <w:r>
        <w:rPr>
          <w:rFonts w:hint="eastAsia" w:ascii="宋体" w:hAnsi="宋体"/>
          <w:szCs w:val="21"/>
        </w:rPr>
        <w:t>1.6.1图纸的提供</w:t>
      </w:r>
    </w:p>
    <w:p w14:paraId="2203239C">
      <w:pPr>
        <w:spacing w:line="400" w:lineRule="exact"/>
        <w:ind w:firstLine="315" w:firstLineChars="150"/>
        <w:rPr>
          <w:rFonts w:ascii="宋体" w:hAnsi="宋体"/>
          <w:szCs w:val="21"/>
        </w:rPr>
      </w:pPr>
      <w:r>
        <w:rPr>
          <w:rFonts w:hint="eastAsia" w:ascii="宋体" w:hAnsi="宋体"/>
          <w:szCs w:val="21"/>
        </w:rPr>
        <w:t>（1） 甲方按照合同条款本项的约定向乙方提供图纸。乙方需要增加图纸套数的，甲方应代为复制，复制费用由乙方承担。</w:t>
      </w:r>
    </w:p>
    <w:p w14:paraId="430ED95F">
      <w:pPr>
        <w:spacing w:line="400" w:lineRule="exact"/>
        <w:ind w:firstLine="315" w:firstLineChars="150"/>
        <w:rPr>
          <w:rFonts w:ascii="宋体" w:hAnsi="宋体"/>
          <w:szCs w:val="21"/>
        </w:rPr>
      </w:pPr>
      <w:r>
        <w:rPr>
          <w:rFonts w:hint="eastAsia" w:ascii="宋体" w:hAnsi="宋体"/>
          <w:szCs w:val="21"/>
        </w:rPr>
        <w:t>（2） 在监理人批准合同条款第10.1款约定的合同进度计划或者合同条款10.2款约定的合同进度计划修改后7天内,乙方应当根据合同进度计划和本项约定的图纸提供期限和数量，编制或者修改图纸供应计划并报送监理人，其中应当载明乙方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甲方或者监理人向乙方提供图纸的主要依据。甲方或者监理人不按照图纸供应计划提供图纸而导致乙方费用增加和（或）工期延误的，由甲方承担赔偿责任。乙方未按照本目约定的时间向监理人提交图纸供应计划,致使甲方或者监理人未能在合理的时间内提供相应图纸或者乙方未按照图纸供应计划组织施工所造成的费用增加和（或）工期延误由乙方承担。</w:t>
      </w:r>
    </w:p>
    <w:p w14:paraId="6D9936A3">
      <w:pPr>
        <w:spacing w:line="400" w:lineRule="exact"/>
        <w:ind w:firstLine="315" w:firstLineChars="150"/>
        <w:rPr>
          <w:rFonts w:ascii="宋体" w:hAnsi="宋体"/>
          <w:szCs w:val="21"/>
        </w:rPr>
      </w:pPr>
      <w:r>
        <w:rPr>
          <w:rFonts w:hint="eastAsia" w:ascii="宋体" w:hAnsi="宋体"/>
          <w:szCs w:val="21"/>
        </w:rPr>
        <w:t>（3）甲方提供图纸的期限：</w:t>
      </w:r>
      <w:r>
        <w:rPr>
          <w:rFonts w:hint="eastAsia" w:ascii="宋体" w:hAnsi="宋体"/>
          <w:szCs w:val="21"/>
          <w:u w:val="single"/>
        </w:rPr>
        <w:t>开工前10日内。</w:t>
      </w:r>
    </w:p>
    <w:p w14:paraId="2AA623C9">
      <w:pPr>
        <w:spacing w:line="400" w:lineRule="exact"/>
        <w:ind w:firstLine="315" w:firstLineChars="150"/>
        <w:rPr>
          <w:rFonts w:ascii="宋体" w:hAnsi="宋体"/>
          <w:szCs w:val="21"/>
        </w:rPr>
      </w:pPr>
      <w:r>
        <w:rPr>
          <w:rFonts w:hint="eastAsia" w:ascii="宋体" w:hAnsi="宋体"/>
          <w:szCs w:val="21"/>
        </w:rPr>
        <w:t>（4）甲方提供图纸的数量：</w:t>
      </w:r>
      <w:r>
        <w:rPr>
          <w:rFonts w:hint="eastAsia" w:ascii="宋体" w:hAnsi="宋体"/>
          <w:szCs w:val="21"/>
          <w:u w:val="single"/>
          <w:lang w:val="en-US" w:eastAsia="zh-CN"/>
        </w:rPr>
        <w:t>5</w:t>
      </w:r>
      <w:r>
        <w:rPr>
          <w:rFonts w:hint="eastAsia" w:ascii="宋体" w:hAnsi="宋体"/>
          <w:szCs w:val="21"/>
          <w:u w:val="single"/>
        </w:rPr>
        <w:t>套（含3套用于竣工图的施工图）。</w:t>
      </w:r>
    </w:p>
    <w:p w14:paraId="188163C1">
      <w:pPr>
        <w:spacing w:line="400" w:lineRule="exact"/>
        <w:ind w:firstLine="420" w:firstLineChars="200"/>
        <w:jc w:val="left"/>
        <w:rPr>
          <w:rFonts w:ascii="宋体" w:hAnsi="宋体"/>
          <w:szCs w:val="21"/>
        </w:rPr>
      </w:pPr>
      <w:r>
        <w:rPr>
          <w:rFonts w:hint="eastAsia" w:ascii="宋体" w:hAnsi="宋体"/>
          <w:szCs w:val="21"/>
        </w:rPr>
        <w:t>1.6.2 乙方提供的文件</w:t>
      </w:r>
    </w:p>
    <w:p w14:paraId="3D88B49E">
      <w:pPr>
        <w:spacing w:line="400" w:lineRule="exact"/>
        <w:rPr>
          <w:rFonts w:ascii="宋体" w:hAnsi="宋体"/>
          <w:szCs w:val="21"/>
          <w:u w:val="single"/>
        </w:rPr>
      </w:pPr>
      <w:r>
        <w:rPr>
          <w:rFonts w:hint="eastAsia" w:ascii="宋体" w:hAnsi="宋体"/>
          <w:szCs w:val="21"/>
        </w:rPr>
        <w:t>（1）除专用合同条款第4.1.10(1)目约定的由乙方提供的设计文件外，本项约定的其他应由乙方提供的文件，包括必要的加工图和大样图，均不是合同计量与支付的依据文件。由乙方提供的文件范围：</w:t>
      </w:r>
      <w:r>
        <w:rPr>
          <w:rFonts w:hint="eastAsia" w:ascii="宋体" w:hAnsi="宋体"/>
          <w:szCs w:val="21"/>
          <w:u w:val="single"/>
        </w:rPr>
        <w:t>图审交底文件资料和施工组织设计（施工方案）及进度计划的时间。</w:t>
      </w:r>
    </w:p>
    <w:p w14:paraId="0CE48919">
      <w:pPr>
        <w:spacing w:line="400" w:lineRule="exact"/>
        <w:ind w:firstLine="315" w:firstLineChars="150"/>
        <w:rPr>
          <w:rFonts w:ascii="宋体" w:hAnsi="宋体"/>
          <w:szCs w:val="21"/>
        </w:rPr>
      </w:pPr>
      <w:r>
        <w:rPr>
          <w:rFonts w:hint="eastAsia" w:ascii="宋体" w:hAnsi="宋体"/>
          <w:szCs w:val="21"/>
        </w:rPr>
        <w:t>（2）乙方提供文件的期限：</w:t>
      </w:r>
      <w:r>
        <w:rPr>
          <w:rFonts w:hint="eastAsia" w:ascii="宋体" w:hAnsi="宋体"/>
          <w:szCs w:val="21"/>
          <w:u w:val="single"/>
        </w:rPr>
        <w:t>开始施工前5日历天</w:t>
      </w:r>
      <w:r>
        <w:rPr>
          <w:rFonts w:hint="eastAsia" w:ascii="宋体" w:hAnsi="宋体"/>
          <w:szCs w:val="21"/>
        </w:rPr>
        <w:t>。</w:t>
      </w:r>
    </w:p>
    <w:p w14:paraId="3EE71546">
      <w:pPr>
        <w:spacing w:line="400" w:lineRule="exact"/>
        <w:ind w:firstLine="315" w:firstLineChars="150"/>
        <w:rPr>
          <w:rFonts w:ascii="宋体" w:hAnsi="宋体"/>
          <w:szCs w:val="21"/>
        </w:rPr>
      </w:pPr>
      <w:r>
        <w:rPr>
          <w:rFonts w:hint="eastAsia" w:ascii="宋体" w:hAnsi="宋体"/>
          <w:szCs w:val="21"/>
        </w:rPr>
        <w:t>（3）乙方提供文件的数量：</w:t>
      </w:r>
      <w:r>
        <w:rPr>
          <w:rFonts w:hint="eastAsia" w:ascii="宋体" w:hAnsi="宋体"/>
          <w:szCs w:val="21"/>
          <w:u w:val="single"/>
        </w:rPr>
        <w:t>一式二份，分别提交给甲方和监理人</w:t>
      </w:r>
      <w:r>
        <w:rPr>
          <w:rFonts w:hint="eastAsia" w:ascii="宋体" w:hAnsi="宋体"/>
          <w:szCs w:val="21"/>
        </w:rPr>
        <w:t>。</w:t>
      </w:r>
    </w:p>
    <w:p w14:paraId="1B453E80">
      <w:pPr>
        <w:spacing w:line="400" w:lineRule="exact"/>
        <w:ind w:firstLine="315" w:firstLineChars="150"/>
        <w:rPr>
          <w:rFonts w:ascii="宋体" w:hAnsi="宋体"/>
          <w:szCs w:val="21"/>
        </w:rPr>
      </w:pPr>
      <w:r>
        <w:rPr>
          <w:rFonts w:hint="eastAsia" w:ascii="宋体" w:hAnsi="宋体"/>
          <w:szCs w:val="21"/>
        </w:rPr>
        <w:t>（4）监理人批复乙方提供文件的期限：</w:t>
      </w:r>
      <w:r>
        <w:rPr>
          <w:rFonts w:hint="eastAsia" w:ascii="宋体" w:hAnsi="宋体"/>
          <w:szCs w:val="21"/>
          <w:u w:val="single"/>
        </w:rPr>
        <w:t>收到乙方报送的上述文件之后7日内</w:t>
      </w:r>
      <w:r>
        <w:rPr>
          <w:rFonts w:hint="eastAsia" w:ascii="宋体" w:hAnsi="宋体"/>
          <w:szCs w:val="21"/>
        </w:rPr>
        <w:t>。</w:t>
      </w:r>
    </w:p>
    <w:p w14:paraId="70FA8FA4">
      <w:pPr>
        <w:spacing w:line="400" w:lineRule="exact"/>
        <w:ind w:firstLine="315" w:firstLineChars="150"/>
        <w:rPr>
          <w:rFonts w:ascii="宋体" w:hAnsi="宋体"/>
          <w:szCs w:val="21"/>
        </w:rPr>
      </w:pPr>
      <w:r>
        <w:rPr>
          <w:rFonts w:hint="eastAsia" w:ascii="宋体" w:hAnsi="宋体"/>
          <w:szCs w:val="21"/>
        </w:rPr>
        <w:t>（5）其他约定：</w:t>
      </w:r>
      <w:r>
        <w:rPr>
          <w:rFonts w:hint="eastAsia" w:ascii="宋体" w:hAnsi="宋体"/>
          <w:szCs w:val="21"/>
          <w:u w:val="single"/>
        </w:rPr>
        <w:t xml:space="preserve">      /     </w:t>
      </w:r>
      <w:r>
        <w:rPr>
          <w:rFonts w:hint="eastAsia" w:ascii="宋体" w:hAnsi="宋体"/>
          <w:szCs w:val="21"/>
        </w:rPr>
        <w:t>。</w:t>
      </w:r>
    </w:p>
    <w:p w14:paraId="77135BEE">
      <w:pPr>
        <w:spacing w:line="400" w:lineRule="exact"/>
        <w:ind w:firstLine="420" w:firstLineChars="200"/>
        <w:jc w:val="left"/>
        <w:rPr>
          <w:rFonts w:ascii="宋体" w:hAnsi="宋体"/>
          <w:szCs w:val="21"/>
        </w:rPr>
      </w:pPr>
      <w:r>
        <w:rPr>
          <w:rFonts w:hint="eastAsia" w:ascii="宋体" w:hAnsi="宋体"/>
          <w:szCs w:val="21"/>
        </w:rPr>
        <w:t>1.6.3 图纸的修改</w:t>
      </w:r>
    </w:p>
    <w:p w14:paraId="36369C7D">
      <w:pPr>
        <w:spacing w:line="400" w:lineRule="exact"/>
        <w:ind w:firstLine="420" w:firstLineChars="200"/>
        <w:rPr>
          <w:rFonts w:ascii="宋体" w:hAnsi="宋体"/>
          <w:szCs w:val="21"/>
        </w:rPr>
      </w:pPr>
      <w:r>
        <w:rPr>
          <w:rFonts w:hint="eastAsia" w:ascii="宋体" w:hAnsi="宋体"/>
          <w:szCs w:val="21"/>
        </w:rPr>
        <w:t>监理人应当按照合同条款第1.6.1（2）目约定的有合同约束力的图纸供应计划，签发图纸修改图给乙方。</w:t>
      </w:r>
    </w:p>
    <w:p w14:paraId="261D8264">
      <w:pPr>
        <w:pStyle w:val="251"/>
        <w:tabs>
          <w:tab w:val="left" w:pos="720"/>
        </w:tabs>
        <w:outlineLvl w:val="0"/>
        <w:rPr>
          <w:rFonts w:ascii="宋体" w:hAnsi="宋体" w:eastAsia="宋体"/>
          <w:sz w:val="21"/>
          <w:szCs w:val="21"/>
        </w:rPr>
      </w:pPr>
      <w:r>
        <w:rPr>
          <w:rFonts w:hint="eastAsia" w:ascii="宋体" w:hAnsi="宋体" w:eastAsia="宋体"/>
          <w:sz w:val="21"/>
          <w:szCs w:val="21"/>
        </w:rPr>
        <w:t>1.7 联 络</w:t>
      </w:r>
    </w:p>
    <w:p w14:paraId="0BA03C7A">
      <w:pPr>
        <w:spacing w:line="400" w:lineRule="exact"/>
        <w:ind w:firstLine="420" w:firstLineChars="200"/>
        <w:jc w:val="left"/>
        <w:rPr>
          <w:rFonts w:ascii="宋体" w:hAnsi="宋体" w:cs="Arial"/>
          <w:szCs w:val="21"/>
        </w:rPr>
      </w:pPr>
      <w:r>
        <w:rPr>
          <w:rFonts w:hint="eastAsia" w:ascii="宋体" w:hAnsi="宋体"/>
          <w:szCs w:val="21"/>
        </w:rPr>
        <w:t>1.7.2联络来往函件的送达和接收</w:t>
      </w:r>
    </w:p>
    <w:p w14:paraId="357FF869">
      <w:pPr>
        <w:spacing w:line="400" w:lineRule="exact"/>
        <w:ind w:firstLine="315" w:firstLineChars="150"/>
        <w:rPr>
          <w:rFonts w:ascii="宋体" w:hAnsi="宋体"/>
          <w:szCs w:val="21"/>
        </w:rPr>
      </w:pPr>
      <w:r>
        <w:rPr>
          <w:rFonts w:hint="eastAsia" w:ascii="宋体" w:hAnsi="宋体"/>
          <w:szCs w:val="21"/>
        </w:rPr>
        <w:t>（1）联络来往信函的送达期限：合同约定了发出期限的，送达期限为合同约定的发出期限后的24小时内；合同约定了通知、提供或者报送期限的，通知、提供或者报送期限即为送达期限。</w:t>
      </w:r>
    </w:p>
    <w:p w14:paraId="72D4AA8E">
      <w:pPr>
        <w:spacing w:line="400" w:lineRule="exact"/>
        <w:ind w:firstLine="315" w:firstLineChars="150"/>
        <w:rPr>
          <w:rFonts w:ascii="宋体" w:hAnsi="宋体"/>
          <w:szCs w:val="21"/>
        </w:rPr>
      </w:pPr>
      <w:r>
        <w:rPr>
          <w:rFonts w:hint="eastAsia" w:ascii="宋体" w:hAnsi="宋体"/>
          <w:szCs w:val="21"/>
        </w:rPr>
        <w:t>（2）甲方指定的接收地点：</w:t>
      </w:r>
      <w:r>
        <w:rPr>
          <w:rFonts w:hint="eastAsia" w:ascii="宋体" w:hAnsi="宋体"/>
          <w:szCs w:val="21"/>
          <w:u w:val="single"/>
        </w:rPr>
        <w:t>/。</w:t>
      </w:r>
    </w:p>
    <w:p w14:paraId="38CBA17F">
      <w:pPr>
        <w:spacing w:line="400" w:lineRule="exact"/>
        <w:ind w:firstLine="315" w:firstLineChars="150"/>
        <w:rPr>
          <w:rFonts w:ascii="宋体" w:hAnsi="宋体"/>
          <w:szCs w:val="21"/>
        </w:rPr>
      </w:pPr>
      <w:r>
        <w:rPr>
          <w:rFonts w:hint="eastAsia" w:ascii="宋体" w:hAnsi="宋体"/>
          <w:szCs w:val="21"/>
        </w:rPr>
        <w:t>（3）甲方指定的接收人为：</w:t>
      </w:r>
      <w:r>
        <w:rPr>
          <w:rFonts w:hint="eastAsia" w:ascii="宋体" w:hAnsi="宋体"/>
          <w:szCs w:val="21"/>
          <w:u w:val="single"/>
        </w:rPr>
        <w:t>/</w:t>
      </w:r>
      <w:r>
        <w:rPr>
          <w:rFonts w:hint="eastAsia" w:ascii="宋体" w:hAnsi="宋体"/>
          <w:szCs w:val="21"/>
        </w:rPr>
        <w:t>。</w:t>
      </w:r>
    </w:p>
    <w:p w14:paraId="135C1A49">
      <w:pPr>
        <w:spacing w:line="400" w:lineRule="exact"/>
        <w:ind w:firstLine="315" w:firstLineChars="150"/>
        <w:rPr>
          <w:rFonts w:ascii="宋体" w:hAnsi="宋体"/>
          <w:szCs w:val="21"/>
        </w:rPr>
      </w:pPr>
      <w:r>
        <w:rPr>
          <w:rFonts w:hint="eastAsia" w:ascii="宋体" w:hAnsi="宋体"/>
          <w:szCs w:val="21"/>
        </w:rPr>
        <w:t>（4）监理人指定的接收地点：</w:t>
      </w:r>
      <w:r>
        <w:rPr>
          <w:rFonts w:hint="eastAsia" w:ascii="宋体" w:hAnsi="宋体"/>
          <w:szCs w:val="21"/>
          <w:u w:val="single"/>
        </w:rPr>
        <w:t>/</w:t>
      </w:r>
      <w:r>
        <w:rPr>
          <w:rFonts w:hint="eastAsia" w:ascii="宋体" w:hAnsi="宋体"/>
          <w:szCs w:val="21"/>
        </w:rPr>
        <w:t>。</w:t>
      </w:r>
    </w:p>
    <w:p w14:paraId="4EC04245">
      <w:pPr>
        <w:spacing w:line="400" w:lineRule="exact"/>
        <w:ind w:firstLine="315" w:firstLineChars="150"/>
        <w:rPr>
          <w:rFonts w:ascii="宋体" w:hAnsi="宋体"/>
          <w:szCs w:val="21"/>
        </w:rPr>
      </w:pPr>
      <w:r>
        <w:rPr>
          <w:rFonts w:hint="eastAsia" w:ascii="宋体" w:hAnsi="宋体"/>
          <w:szCs w:val="21"/>
        </w:rPr>
        <w:t>（5）监理人指定的接收人为：</w:t>
      </w:r>
      <w:r>
        <w:rPr>
          <w:rFonts w:hint="eastAsia" w:ascii="宋体" w:hAnsi="宋体"/>
          <w:szCs w:val="21"/>
          <w:u w:val="single"/>
        </w:rPr>
        <w:t>/</w:t>
      </w:r>
      <w:r>
        <w:rPr>
          <w:rFonts w:hint="eastAsia" w:ascii="宋体" w:hAnsi="宋体"/>
          <w:szCs w:val="21"/>
        </w:rPr>
        <w:t>。</w:t>
      </w:r>
    </w:p>
    <w:p w14:paraId="74602446">
      <w:pPr>
        <w:spacing w:line="400" w:lineRule="exact"/>
        <w:ind w:firstLine="315" w:firstLineChars="150"/>
        <w:rPr>
          <w:rFonts w:ascii="宋体" w:hAnsi="宋体" w:cs="Arial"/>
          <w:szCs w:val="21"/>
        </w:rPr>
      </w:pPr>
      <w:r>
        <w:rPr>
          <w:rFonts w:hint="eastAsia" w:ascii="宋体" w:hAnsi="宋体"/>
          <w:szCs w:val="21"/>
        </w:rPr>
        <w:t>（6）乙方指定的接收人为合同协议书中载明的乙方项目经理本人或者项目经理的授权代表。乙方应在收到开工通知后7天内，按照合同条款第4.5.4项的约定，将授权代表其接收来往信函的项目经理的授权代表姓名和授权范围通知监理人。除合同另有约定外，乙方施工场地管理机构的办公地点即为乙方指定的接收地点。</w:t>
      </w:r>
    </w:p>
    <w:p w14:paraId="3E2CC9DF">
      <w:pPr>
        <w:spacing w:line="400" w:lineRule="exact"/>
        <w:ind w:firstLine="315" w:firstLineChars="150"/>
        <w:rPr>
          <w:rFonts w:ascii="宋体" w:hAnsi="宋体" w:cs="Arial"/>
          <w:szCs w:val="21"/>
        </w:rPr>
      </w:pPr>
      <w:r>
        <w:rPr>
          <w:rFonts w:hint="eastAsia" w:ascii="宋体" w:hAnsi="宋体"/>
          <w:szCs w:val="21"/>
        </w:rPr>
        <w:t>（7）甲方（包括监理人）和乙方中任何一方指定的接收人或者接收地点发生变动，应当在实际变动前提前至少一个工作日以书面方式通知另一方。甲方（包括监理人）和乙方应当确保其各自指定的接收人在法定的和（或）符合合同约定的工作时间内始终工作在指定的接收地点，指定接收人离开工作岗位而无法及时签收来往信函构成拒不签收。</w:t>
      </w:r>
    </w:p>
    <w:p w14:paraId="79C7EE23">
      <w:pPr>
        <w:spacing w:line="400" w:lineRule="exact"/>
        <w:ind w:firstLine="315" w:firstLineChars="150"/>
        <w:rPr>
          <w:rFonts w:ascii="宋体" w:hAnsi="宋体"/>
          <w:szCs w:val="21"/>
        </w:rPr>
      </w:pPr>
      <w:r>
        <w:rPr>
          <w:rFonts w:hint="eastAsia" w:ascii="宋体" w:hAnsi="宋体"/>
          <w:szCs w:val="21"/>
        </w:rPr>
        <w:t>（8）甲方（包括监理人）和乙方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6400CE7">
      <w:pPr>
        <w:pStyle w:val="250"/>
        <w:spacing w:before="0"/>
        <w:outlineLvl w:val="0"/>
        <w:rPr>
          <w:rFonts w:ascii="宋体" w:hAnsi="宋体"/>
          <w:sz w:val="21"/>
          <w:szCs w:val="21"/>
        </w:rPr>
      </w:pPr>
      <w:r>
        <w:rPr>
          <w:rFonts w:hint="eastAsia" w:ascii="宋体" w:hAnsi="宋体"/>
          <w:sz w:val="21"/>
          <w:szCs w:val="21"/>
        </w:rPr>
        <w:t>2. 甲方义务</w:t>
      </w:r>
    </w:p>
    <w:p w14:paraId="2B0D5DC4">
      <w:pPr>
        <w:pStyle w:val="251"/>
        <w:tabs>
          <w:tab w:val="left" w:pos="720"/>
        </w:tabs>
        <w:outlineLvl w:val="0"/>
        <w:rPr>
          <w:rFonts w:ascii="宋体" w:hAnsi="宋体" w:eastAsia="宋体"/>
          <w:sz w:val="21"/>
          <w:szCs w:val="21"/>
        </w:rPr>
      </w:pPr>
      <w:r>
        <w:rPr>
          <w:rFonts w:hint="eastAsia" w:ascii="宋体" w:hAnsi="宋体" w:eastAsia="宋体"/>
          <w:sz w:val="21"/>
          <w:szCs w:val="21"/>
        </w:rPr>
        <w:t>2.3 提供施工场地</w:t>
      </w:r>
    </w:p>
    <w:p w14:paraId="40633224">
      <w:pPr>
        <w:spacing w:line="400" w:lineRule="exact"/>
        <w:ind w:firstLine="420" w:firstLineChars="200"/>
        <w:rPr>
          <w:rFonts w:ascii="宋体" w:hAnsi="宋体"/>
          <w:szCs w:val="21"/>
        </w:rPr>
      </w:pPr>
      <w:r>
        <w:rPr>
          <w:rFonts w:hint="eastAsia" w:ascii="宋体" w:hAnsi="宋体"/>
          <w:szCs w:val="21"/>
        </w:rPr>
        <w:t>施工场地应当在监理人发出的开工通知中载明的开工日期前</w:t>
      </w:r>
      <w:r>
        <w:rPr>
          <w:rFonts w:hint="eastAsia" w:ascii="宋体" w:hAnsi="宋体"/>
          <w:szCs w:val="21"/>
          <w:u w:val="single"/>
        </w:rPr>
        <w:t xml:space="preserve">  7  </w:t>
      </w:r>
      <w:r>
        <w:rPr>
          <w:rFonts w:hint="eastAsia" w:ascii="宋体" w:hAnsi="宋体"/>
          <w:szCs w:val="21"/>
        </w:rPr>
        <w:t>天具备施工条件并移交给乙方，具体施工条件在 “技术标准和要求”第一节“一般要求”中约定。甲方最迟应当在移交施工场地的同时向乙方提供施工场地内地下管线和地下设施等有关资料，并保证资料的真实、准确和完整。</w:t>
      </w:r>
    </w:p>
    <w:p w14:paraId="06240ECB">
      <w:pPr>
        <w:pStyle w:val="251"/>
        <w:tabs>
          <w:tab w:val="left" w:pos="720"/>
        </w:tabs>
        <w:outlineLvl w:val="0"/>
        <w:rPr>
          <w:rFonts w:ascii="宋体" w:hAnsi="宋体" w:eastAsia="宋体"/>
          <w:sz w:val="21"/>
          <w:szCs w:val="21"/>
        </w:rPr>
      </w:pPr>
      <w:r>
        <w:rPr>
          <w:rFonts w:hint="eastAsia" w:ascii="宋体" w:hAnsi="宋体" w:eastAsia="宋体"/>
          <w:sz w:val="21"/>
          <w:szCs w:val="21"/>
        </w:rPr>
        <w:t>2.5 组织设计交底</w:t>
      </w:r>
    </w:p>
    <w:p w14:paraId="40CF43C7">
      <w:pPr>
        <w:spacing w:line="400" w:lineRule="exact"/>
        <w:ind w:firstLine="420" w:firstLineChars="200"/>
        <w:rPr>
          <w:rFonts w:ascii="宋体" w:hAnsi="宋体"/>
          <w:szCs w:val="21"/>
        </w:rPr>
      </w:pPr>
      <w:r>
        <w:rPr>
          <w:rFonts w:hint="eastAsia" w:ascii="宋体" w:hAnsi="宋体"/>
          <w:szCs w:val="21"/>
        </w:rPr>
        <w:t>甲方应当在合同条款11.1.1项约定的开工日期前组织设计人向乙方进行合同工程总体设计交底（包括图纸会审）。甲方还应按照合同进度计划中载明的阶段性设计交底时间组织和安排阶段工程设计交底（包括图纸会审）。乙方可以书面方式通过监理人向甲方申请增加紧急的设计交底，甲方在认为确有必要且条件许可时，应当尽快组织这类设计交底。</w:t>
      </w:r>
    </w:p>
    <w:p w14:paraId="5F1E8A5F">
      <w:pPr>
        <w:pStyle w:val="251"/>
        <w:tabs>
          <w:tab w:val="left" w:pos="720"/>
        </w:tabs>
        <w:outlineLvl w:val="0"/>
        <w:rPr>
          <w:rFonts w:ascii="宋体" w:hAnsi="宋体" w:eastAsia="宋体"/>
          <w:sz w:val="21"/>
          <w:szCs w:val="21"/>
        </w:rPr>
      </w:pPr>
      <w:r>
        <w:rPr>
          <w:rFonts w:hint="eastAsia" w:ascii="宋体" w:hAnsi="宋体" w:eastAsia="宋体"/>
          <w:sz w:val="21"/>
          <w:szCs w:val="21"/>
        </w:rPr>
        <w:t>2.8 其他义务</w:t>
      </w:r>
    </w:p>
    <w:p w14:paraId="55BEB5D4">
      <w:pPr>
        <w:spacing w:line="400" w:lineRule="exact"/>
        <w:ind w:firstLine="420" w:firstLineChars="200"/>
        <w:rPr>
          <w:rFonts w:ascii="宋体" w:hAnsi="宋体"/>
          <w:szCs w:val="21"/>
        </w:rPr>
      </w:pPr>
      <w:r>
        <w:rPr>
          <w:rFonts w:hint="eastAsia" w:ascii="宋体" w:hAnsi="宋体"/>
          <w:szCs w:val="21"/>
        </w:rPr>
        <w:t>（1）</w:t>
      </w:r>
      <w:r>
        <w:rPr>
          <w:rFonts w:hint="eastAsia" w:ascii="宋体" w:hAnsi="宋体" w:cs="Arial"/>
          <w:szCs w:val="21"/>
        </w:rPr>
        <w:t>向乙方提交对等的支付担保。</w:t>
      </w:r>
      <w:r>
        <w:rPr>
          <w:rFonts w:hint="eastAsia" w:ascii="宋体" w:hAnsi="宋体"/>
          <w:szCs w:val="21"/>
        </w:rPr>
        <w:t>在乙方按合同条款第4.2条向甲方递交符合合同约定的履约担保的同时，甲方应当按照金额和条件对等的原则和招标文件中规定的格式或者其他经过乙方事先认可的格式向乙方递交一份支付担保。支付担保的有效期应当自本合同生效之日起至甲方实际支付竣工付款之日止。如果甲方无法获得一份不带具体截止日期的担保，支付担保中应当有“变更工程竣工付款支付日期的，保证期间按照变更后的竣工付款支付日期做相应调整”或类似约定的条款。支付担保应在甲方付清竣工付款之日后28天内退还给甲方。乙方不承担甲方与支付担保有关的任何利息或其它类似的费用或者收益。支付担保是本合同的附件。</w:t>
      </w:r>
    </w:p>
    <w:p w14:paraId="446E48B6">
      <w:pPr>
        <w:spacing w:line="400" w:lineRule="exact"/>
        <w:ind w:firstLine="315" w:firstLineChars="150"/>
        <w:rPr>
          <w:rFonts w:ascii="宋体" w:hAnsi="宋体"/>
          <w:szCs w:val="21"/>
        </w:rPr>
      </w:pPr>
      <w:r>
        <w:rPr>
          <w:rFonts w:hint="eastAsia" w:ascii="宋体" w:hAnsi="宋体"/>
          <w:szCs w:val="21"/>
        </w:rPr>
        <w:t>（2）按有关规定及时办理工程质量监督手续。</w:t>
      </w:r>
    </w:p>
    <w:p w14:paraId="3CA96B4B">
      <w:pPr>
        <w:spacing w:line="400" w:lineRule="exact"/>
        <w:ind w:firstLine="315" w:firstLineChars="150"/>
        <w:rPr>
          <w:rFonts w:ascii="宋体" w:hAnsi="宋体"/>
          <w:szCs w:val="21"/>
        </w:rPr>
      </w:pPr>
      <w:r>
        <w:rPr>
          <w:rFonts w:hint="eastAsia" w:ascii="宋体" w:hAnsi="宋体"/>
          <w:szCs w:val="21"/>
        </w:rPr>
        <w:t>（3）根据建设行政主管部门和（或）城市建设档案管理机构的规定，收集、整理、立卷、归档工程资料，并按规定时间向建设行政主管部门或者城市建设档案管理机构移交规定的工程档案。</w:t>
      </w:r>
    </w:p>
    <w:p w14:paraId="279E8B6F">
      <w:pPr>
        <w:spacing w:line="400" w:lineRule="exact"/>
        <w:ind w:firstLine="315" w:firstLineChars="150"/>
        <w:rPr>
          <w:rFonts w:ascii="宋体" w:hAnsi="宋体"/>
          <w:szCs w:val="21"/>
        </w:rPr>
      </w:pPr>
      <w:r>
        <w:rPr>
          <w:rFonts w:hint="eastAsia" w:ascii="宋体" w:hAnsi="宋体"/>
          <w:szCs w:val="21"/>
        </w:rPr>
        <w:t>（4）</w:t>
      </w:r>
      <w:r>
        <w:rPr>
          <w:rFonts w:ascii="宋体" w:hAnsi="宋体"/>
          <w:szCs w:val="21"/>
        </w:rPr>
        <w:t>批准和确认</w:t>
      </w:r>
      <w:r>
        <w:rPr>
          <w:rFonts w:hint="eastAsia" w:ascii="宋体" w:hAnsi="宋体"/>
          <w:szCs w:val="21"/>
        </w:rPr>
        <w:t>：</w:t>
      </w:r>
      <w:r>
        <w:rPr>
          <w:rFonts w:ascii="宋体" w:hAnsi="宋体"/>
          <w:szCs w:val="21"/>
        </w:rPr>
        <w:t>按合同约定</w:t>
      </w:r>
      <w:r>
        <w:rPr>
          <w:rFonts w:hint="eastAsia" w:ascii="宋体" w:hAnsi="宋体"/>
          <w:szCs w:val="21"/>
        </w:rPr>
        <w:t>应当由监理人或者甲方</w:t>
      </w:r>
      <w:r>
        <w:rPr>
          <w:rFonts w:ascii="宋体" w:hAnsi="宋体"/>
          <w:szCs w:val="21"/>
        </w:rPr>
        <w:t>回复、</w:t>
      </w:r>
      <w:r>
        <w:rPr>
          <w:rFonts w:hint="eastAsia" w:ascii="宋体" w:hAnsi="宋体"/>
          <w:szCs w:val="21"/>
        </w:rPr>
        <w:t>批复、</w:t>
      </w:r>
      <w:r>
        <w:rPr>
          <w:rFonts w:ascii="宋体" w:hAnsi="宋体"/>
          <w:szCs w:val="21"/>
        </w:rPr>
        <w:t>批</w:t>
      </w:r>
      <w:r>
        <w:rPr>
          <w:rFonts w:hint="eastAsia" w:ascii="宋体" w:hAnsi="宋体"/>
          <w:szCs w:val="21"/>
        </w:rPr>
        <w:t>准、确认或提出修改意见的</w:t>
      </w:r>
      <w:r>
        <w:rPr>
          <w:rFonts w:ascii="宋体" w:hAnsi="宋体"/>
          <w:szCs w:val="21"/>
        </w:rPr>
        <w:t>乙方的</w:t>
      </w:r>
      <w:r>
        <w:rPr>
          <w:rFonts w:hint="eastAsia" w:ascii="宋体" w:hAnsi="宋体"/>
          <w:szCs w:val="21"/>
        </w:rPr>
        <w:t>要求</w:t>
      </w:r>
      <w:r>
        <w:rPr>
          <w:rFonts w:ascii="宋体" w:hAnsi="宋体"/>
          <w:szCs w:val="21"/>
        </w:rPr>
        <w:t>、</w:t>
      </w:r>
      <w:r>
        <w:rPr>
          <w:rFonts w:hint="eastAsia" w:ascii="宋体" w:hAnsi="宋体"/>
          <w:szCs w:val="21"/>
        </w:rPr>
        <w:t>请求、</w:t>
      </w:r>
      <w:r>
        <w:rPr>
          <w:rFonts w:ascii="宋体" w:hAnsi="宋体"/>
          <w:szCs w:val="21"/>
        </w:rPr>
        <w:t>申请</w:t>
      </w:r>
      <w:r>
        <w:rPr>
          <w:rFonts w:hint="eastAsia" w:ascii="宋体" w:hAnsi="宋体"/>
          <w:szCs w:val="21"/>
        </w:rPr>
        <w:t>和报批等，自监理人或者甲方指定的接收人收到乙方发出的相应要求、请求、申请和报批之日起，如果监理人或者甲方在合同约定的期限内未予回复、批复、批准、确认或提出修改意见的，视为监理人和甲方已经同意、确认或者批准。</w:t>
      </w:r>
    </w:p>
    <w:p w14:paraId="58F9542F">
      <w:pPr>
        <w:spacing w:line="400" w:lineRule="exact"/>
        <w:ind w:firstLine="315" w:firstLineChars="150"/>
        <w:rPr>
          <w:rFonts w:ascii="宋体" w:hAnsi="宋体" w:cs="Arial"/>
          <w:szCs w:val="21"/>
        </w:rPr>
      </w:pPr>
      <w:r>
        <w:rPr>
          <w:rFonts w:hint="eastAsia" w:ascii="宋体" w:hAnsi="宋体" w:cs="Arial"/>
          <w:szCs w:val="21"/>
        </w:rPr>
        <w:t>（5）</w:t>
      </w:r>
      <w:r>
        <w:rPr>
          <w:rFonts w:hint="eastAsia" w:ascii="宋体" w:hAnsi="宋体"/>
          <w:szCs w:val="21"/>
        </w:rPr>
        <w:t>甲方应当履行合同约定的其他义务以及</w:t>
      </w:r>
      <w:r>
        <w:rPr>
          <w:rFonts w:hint="eastAsia" w:ascii="宋体" w:hAnsi="宋体" w:cs="Arial"/>
          <w:szCs w:val="21"/>
        </w:rPr>
        <w:t>下述义务：</w:t>
      </w:r>
      <w:r>
        <w:rPr>
          <w:rFonts w:hint="eastAsia" w:ascii="宋体" w:hAnsi="宋体" w:cs="Arial"/>
          <w:szCs w:val="21"/>
          <w:u w:val="single"/>
        </w:rPr>
        <w:t xml:space="preserve">     /    </w:t>
      </w:r>
      <w:r>
        <w:rPr>
          <w:rFonts w:hint="eastAsia" w:ascii="宋体" w:hAnsi="宋体" w:cs="Arial"/>
          <w:szCs w:val="21"/>
        </w:rPr>
        <w:t>。</w:t>
      </w:r>
    </w:p>
    <w:p w14:paraId="2853B132">
      <w:pPr>
        <w:pStyle w:val="250"/>
        <w:spacing w:before="0"/>
        <w:outlineLvl w:val="0"/>
        <w:rPr>
          <w:rFonts w:ascii="宋体" w:hAnsi="宋体"/>
          <w:sz w:val="21"/>
          <w:szCs w:val="21"/>
        </w:rPr>
      </w:pPr>
      <w:r>
        <w:rPr>
          <w:rFonts w:hint="eastAsia" w:ascii="宋体" w:hAnsi="宋体"/>
          <w:sz w:val="21"/>
          <w:szCs w:val="21"/>
        </w:rPr>
        <w:t>3. 监理人</w:t>
      </w:r>
    </w:p>
    <w:p w14:paraId="3919FC7D">
      <w:pPr>
        <w:pStyle w:val="251"/>
        <w:tabs>
          <w:tab w:val="left" w:pos="720"/>
        </w:tabs>
        <w:outlineLvl w:val="0"/>
        <w:rPr>
          <w:rFonts w:ascii="宋体" w:hAnsi="宋体" w:eastAsia="宋体"/>
          <w:sz w:val="21"/>
          <w:szCs w:val="21"/>
        </w:rPr>
      </w:pPr>
      <w:r>
        <w:rPr>
          <w:rFonts w:hint="eastAsia" w:ascii="宋体" w:hAnsi="宋体" w:eastAsia="宋体"/>
          <w:sz w:val="21"/>
          <w:szCs w:val="21"/>
        </w:rPr>
        <w:t>3.1 监理人的职责和权力</w:t>
      </w:r>
    </w:p>
    <w:p w14:paraId="171FE2DF">
      <w:pPr>
        <w:spacing w:line="400" w:lineRule="exact"/>
        <w:ind w:firstLine="420" w:firstLineChars="200"/>
        <w:rPr>
          <w:rFonts w:ascii="宋体" w:hAnsi="宋体"/>
          <w:szCs w:val="21"/>
        </w:rPr>
      </w:pPr>
      <w:r>
        <w:rPr>
          <w:rFonts w:hint="eastAsia" w:ascii="宋体" w:hAnsi="宋体"/>
          <w:szCs w:val="21"/>
        </w:rPr>
        <w:t>3.1.1须经甲方批准行使的权力：</w:t>
      </w:r>
      <w:r>
        <w:rPr>
          <w:rFonts w:hint="eastAsia" w:ascii="宋体" w:hAnsi="宋体"/>
          <w:szCs w:val="21"/>
          <w:u w:val="single"/>
        </w:rPr>
        <w:t>监理人除按规定和本合同内容以及投标文件确认的材料产品项目，进行监理工程质量、施工进度和工程投资的控制管理外，还对乙方通过本施工合同及投标文件确认的技术、管理、主要人员，以及投入的主要设备情况和材料的数量与质量进行监理。乙方无论何种原因以书面形式提出调整主要工程技术人员、调换主要材料、品种、规格、质量、数量、重量或技术参数等，均须取得监理人和甲方代表的书面许可。甲方在工程开工前将监理工程师的职责和权限以书面的形式通知乙方</w:t>
      </w:r>
      <w:r>
        <w:rPr>
          <w:rFonts w:hint="eastAsia" w:ascii="宋体" w:hAnsi="宋体"/>
          <w:szCs w:val="21"/>
        </w:rPr>
        <w:t>。不管通用合同条款第3.1.1项如何约定，监理人履行须经甲方批准行使的权力时，应当向乙方出示其行使该权力已经取得甲方批准的文件或者其他合法有效的证明。</w:t>
      </w:r>
    </w:p>
    <w:p w14:paraId="641FD84D">
      <w:pPr>
        <w:spacing w:line="400" w:lineRule="exact"/>
        <w:ind w:firstLine="420" w:firstLineChars="200"/>
        <w:rPr>
          <w:rFonts w:ascii="宋体" w:hAnsi="宋体"/>
          <w:szCs w:val="21"/>
        </w:rPr>
      </w:pPr>
      <w:r>
        <w:rPr>
          <w:rFonts w:hint="eastAsia" w:ascii="宋体" w:hAnsi="宋体"/>
          <w:szCs w:val="21"/>
        </w:rPr>
        <w:t>凡涉及工程造价的增加,工期的延长及重大技术变更,变更指令,变更工作单价,素赔,暂估价的审批等,均须报发包人批准。监理人履行须经发包人批准行使的权力时，应当向承包人出示其行使该权力已经取得发包人批准的文件或者其他合法有效的证明。</w:t>
      </w:r>
    </w:p>
    <w:p w14:paraId="6AD27633">
      <w:pPr>
        <w:pStyle w:val="251"/>
        <w:tabs>
          <w:tab w:val="left" w:pos="720"/>
        </w:tabs>
        <w:outlineLvl w:val="0"/>
        <w:rPr>
          <w:rFonts w:ascii="宋体" w:hAnsi="宋体" w:eastAsia="宋体"/>
          <w:sz w:val="21"/>
          <w:szCs w:val="21"/>
        </w:rPr>
      </w:pPr>
      <w:r>
        <w:rPr>
          <w:rFonts w:hint="eastAsia" w:ascii="宋体" w:hAnsi="宋体" w:eastAsia="宋体"/>
          <w:sz w:val="21"/>
          <w:szCs w:val="21"/>
        </w:rPr>
        <w:t>3.3 监理人员</w:t>
      </w:r>
    </w:p>
    <w:p w14:paraId="5E27137E">
      <w:pPr>
        <w:spacing w:line="400" w:lineRule="exact"/>
        <w:ind w:firstLine="420" w:firstLineChars="200"/>
        <w:rPr>
          <w:rFonts w:ascii="宋体" w:hAnsi="宋体" w:cs="Arial"/>
          <w:szCs w:val="21"/>
        </w:rPr>
      </w:pPr>
      <w:r>
        <w:rPr>
          <w:rFonts w:hint="eastAsia" w:ascii="宋体" w:hAnsi="宋体"/>
          <w:szCs w:val="21"/>
        </w:rPr>
        <w:t>3.3.4 总监理工程师不应将第3.5款约定应由总监理工程师作出确定的权力授权或者委托给其他监理人员。</w:t>
      </w:r>
    </w:p>
    <w:p w14:paraId="4B4F1FC6">
      <w:pPr>
        <w:pStyle w:val="251"/>
        <w:tabs>
          <w:tab w:val="left" w:pos="720"/>
        </w:tabs>
        <w:outlineLvl w:val="0"/>
        <w:rPr>
          <w:rFonts w:ascii="宋体" w:hAnsi="宋体" w:eastAsia="宋体"/>
          <w:sz w:val="21"/>
          <w:szCs w:val="21"/>
        </w:rPr>
      </w:pPr>
      <w:r>
        <w:rPr>
          <w:rFonts w:hint="eastAsia" w:ascii="宋体" w:hAnsi="宋体" w:eastAsia="宋体"/>
          <w:sz w:val="21"/>
          <w:szCs w:val="21"/>
        </w:rPr>
        <w:t>3.4 监理人的指示</w:t>
      </w:r>
    </w:p>
    <w:p w14:paraId="3631F476">
      <w:pPr>
        <w:spacing w:line="400" w:lineRule="exact"/>
        <w:ind w:firstLine="420" w:firstLineChars="200"/>
        <w:rPr>
          <w:rFonts w:ascii="宋体" w:hAnsi="宋体"/>
          <w:szCs w:val="21"/>
        </w:rPr>
      </w:pPr>
      <w:r>
        <w:rPr>
          <w:rFonts w:hint="eastAsia" w:ascii="宋体" w:hAnsi="宋体"/>
          <w:szCs w:val="21"/>
        </w:rPr>
        <w:t>3.4.4除通用合同条款已有的专门约定外，乙方只能从总监理工程师或按第3.3.1项授权的监理人员处取得指示，甲方应当通过监理人向乙方发出指示。</w:t>
      </w:r>
    </w:p>
    <w:p w14:paraId="01F6D9D5">
      <w:pPr>
        <w:pStyle w:val="251"/>
        <w:tabs>
          <w:tab w:val="left" w:pos="720"/>
        </w:tabs>
        <w:outlineLvl w:val="0"/>
        <w:rPr>
          <w:rFonts w:ascii="宋体" w:hAnsi="宋体" w:eastAsia="宋体"/>
          <w:sz w:val="21"/>
          <w:szCs w:val="21"/>
        </w:rPr>
      </w:pPr>
      <w:r>
        <w:rPr>
          <w:rFonts w:hint="eastAsia" w:ascii="宋体" w:hAnsi="宋体" w:eastAsia="宋体"/>
          <w:sz w:val="21"/>
          <w:szCs w:val="21"/>
        </w:rPr>
        <w:t>3.6 监理人的宽恕</w:t>
      </w:r>
    </w:p>
    <w:p w14:paraId="34F32D5A">
      <w:pPr>
        <w:spacing w:line="400" w:lineRule="exact"/>
        <w:ind w:firstLine="420" w:firstLineChars="200"/>
        <w:rPr>
          <w:rFonts w:ascii="宋体" w:hAnsi="宋体" w:cs="Arial"/>
          <w:szCs w:val="21"/>
        </w:rPr>
      </w:pPr>
      <w:r>
        <w:rPr>
          <w:rFonts w:hint="eastAsia" w:ascii="宋体" w:hAnsi="宋体"/>
          <w:szCs w:val="21"/>
        </w:rPr>
        <w:t>监理人或者甲方就乙方对合同约定的任何责任和义务的某种违约行为的宽恕，不影响监理人和甲方在此后的任何时间严格按合同约定处理乙方的其它违约行为，也不意味甲方放弃合同约定的甲方与上述违约有关的任何权利和赔偿要求。</w:t>
      </w:r>
    </w:p>
    <w:p w14:paraId="578299D3">
      <w:pPr>
        <w:pStyle w:val="250"/>
        <w:spacing w:before="0"/>
        <w:outlineLvl w:val="0"/>
        <w:rPr>
          <w:rFonts w:ascii="宋体" w:hAnsi="宋体"/>
          <w:sz w:val="21"/>
          <w:szCs w:val="21"/>
        </w:rPr>
      </w:pPr>
      <w:r>
        <w:rPr>
          <w:rFonts w:hint="eastAsia" w:ascii="宋体" w:hAnsi="宋体"/>
          <w:sz w:val="21"/>
          <w:szCs w:val="21"/>
        </w:rPr>
        <w:t>4. 乙方</w:t>
      </w:r>
    </w:p>
    <w:p w14:paraId="3C91FBE3">
      <w:pPr>
        <w:pStyle w:val="251"/>
        <w:tabs>
          <w:tab w:val="left" w:pos="720"/>
        </w:tabs>
        <w:outlineLvl w:val="0"/>
        <w:rPr>
          <w:rFonts w:ascii="宋体" w:hAnsi="宋体" w:eastAsia="宋体"/>
          <w:sz w:val="21"/>
          <w:szCs w:val="21"/>
        </w:rPr>
      </w:pPr>
      <w:r>
        <w:rPr>
          <w:rFonts w:hint="eastAsia" w:ascii="宋体" w:hAnsi="宋体" w:eastAsia="宋体"/>
          <w:sz w:val="21"/>
          <w:szCs w:val="21"/>
        </w:rPr>
        <w:t>4.1 乙方的一般义务</w:t>
      </w:r>
    </w:p>
    <w:p w14:paraId="0650F0A1">
      <w:pPr>
        <w:spacing w:line="400" w:lineRule="exact"/>
        <w:ind w:firstLine="420" w:firstLineChars="200"/>
        <w:rPr>
          <w:rFonts w:ascii="宋体" w:hAnsi="宋体"/>
          <w:szCs w:val="21"/>
        </w:rPr>
      </w:pPr>
      <w:r>
        <w:rPr>
          <w:rFonts w:hint="eastAsia" w:ascii="宋体" w:hAnsi="宋体"/>
          <w:szCs w:val="21"/>
        </w:rPr>
        <w:t>4.1.3除专用合同条款第5.2款约定由甲方提供的材料和工程设备和第6.2款约定由甲方提供的施工设备和临时设施外，乙方应负责提供为完成合同工作所需的劳务、材料、施工设备、工程设备和其他物品，并按合同约定负责临时设施的设计、建造、运行、维护、管理和拆除。</w:t>
      </w:r>
    </w:p>
    <w:p w14:paraId="200C3D6B">
      <w:pPr>
        <w:spacing w:line="400" w:lineRule="exact"/>
        <w:ind w:firstLine="420" w:firstLineChars="200"/>
        <w:rPr>
          <w:rFonts w:ascii="宋体" w:hAnsi="宋体"/>
          <w:szCs w:val="21"/>
        </w:rPr>
      </w:pPr>
      <w:r>
        <w:rPr>
          <w:rFonts w:hint="eastAsia" w:ascii="宋体" w:hAnsi="宋体"/>
          <w:szCs w:val="21"/>
        </w:rPr>
        <w:t>4.1.8为他人提供方便</w:t>
      </w:r>
    </w:p>
    <w:p w14:paraId="3C8CBD30">
      <w:pPr>
        <w:spacing w:line="400" w:lineRule="exact"/>
        <w:ind w:firstLine="315" w:firstLineChars="150"/>
        <w:rPr>
          <w:rFonts w:ascii="宋体" w:hAnsi="宋体"/>
          <w:szCs w:val="21"/>
        </w:rPr>
      </w:pPr>
      <w:r>
        <w:rPr>
          <w:rFonts w:hint="eastAsia" w:ascii="宋体" w:hAnsi="宋体"/>
          <w:szCs w:val="21"/>
        </w:rPr>
        <w:t>（1）乙方应当对在施工场地或者附近实施与合同工程有关的其他工作的独立乙方履行管理、协调、配合、照管和服务义务，由此发生的费用被认为已经包括在乙方的签约合同价（投标总报价）中，具体工作内容和要求包括：</w:t>
      </w:r>
    </w:p>
    <w:p w14:paraId="670B3DB0">
      <w:pPr>
        <w:spacing w:line="400" w:lineRule="exact"/>
        <w:ind w:firstLine="525" w:firstLineChars="250"/>
        <w:rPr>
          <w:rFonts w:ascii="宋体" w:hAnsi="宋体"/>
          <w:szCs w:val="21"/>
          <w:u w:val="single"/>
        </w:rPr>
      </w:pPr>
      <w:r>
        <w:rPr>
          <w:rFonts w:hint="eastAsia" w:ascii="宋体" w:hAnsi="宋体"/>
          <w:szCs w:val="21"/>
          <w:u w:val="single"/>
        </w:rPr>
        <w:t>①承包人应按照合同的各项规定，以应有的精心和努力，履行并完成在工程图纸和工程量清单中示出的和合同说明的工作内容，并使用其中已作规定的材料、质量、工艺、标准。如果材料质量、工艺标准须得到发包人、监理的审批，承包人须至少在15个工作日前向发包人提供一切必要资料和报审材料，以便能及时办理相应报批，使相关质量和标准达到验收规范及相关要求。承包人应承担报送审批材料及检测等发生的所有费用，并对由于提供审批材料的材质不符合规范要求而得不到发包人、监理人批准所可能导致的工期延误和费用支出负责。</w:t>
      </w:r>
    </w:p>
    <w:p w14:paraId="4DAC8D11">
      <w:pPr>
        <w:spacing w:line="400" w:lineRule="exact"/>
        <w:ind w:firstLine="525" w:firstLineChars="250"/>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 2 \* GB3</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②</w:t>
      </w:r>
      <w:r>
        <w:rPr>
          <w:rFonts w:ascii="宋体" w:hAnsi="宋体"/>
          <w:szCs w:val="21"/>
          <w:u w:val="single"/>
        </w:rPr>
        <w:fldChar w:fldCharType="end"/>
      </w:r>
      <w:r>
        <w:rPr>
          <w:rFonts w:hint="eastAsia" w:ascii="宋体" w:hAnsi="宋体"/>
          <w:szCs w:val="21"/>
          <w:u w:val="single"/>
        </w:rPr>
        <w:t>承包人派驻本工程的项目经理和主要技术负责人在工程施工过程中不得随意更换。未经过发包人、监理人批准更换承包人项目经理或主要技术负责人，承包人需承担相应的违约责任。承包人项目经理应专职于本工程，不得兼职于其他工程或其他职务。承包人指定作为本项目的项目经理，负责工地整体日常管理，并参加工地日常例会，每周在现场工作时间应不得少于6日历天，如有特殊情况需提前征得发包人、监理人同意，未获得批准不得擅自离场。现场办公实行考勤制度，发包人如发现承包人项目经理不能做到上述要求，发包人将向承包人发出书面警告，累计3次警告仍存在承包人项目经理不能到位情形的，承包人须接受10000元/天的违约金。</w:t>
      </w:r>
    </w:p>
    <w:p w14:paraId="4714DDC2">
      <w:pPr>
        <w:spacing w:line="400" w:lineRule="exact"/>
        <w:ind w:firstLine="525" w:firstLineChars="250"/>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 3 \* GB3</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③</w:t>
      </w:r>
      <w:r>
        <w:rPr>
          <w:rFonts w:ascii="宋体" w:hAnsi="宋体"/>
          <w:szCs w:val="21"/>
          <w:u w:val="single"/>
        </w:rPr>
        <w:fldChar w:fldCharType="end"/>
      </w:r>
      <w:r>
        <w:rPr>
          <w:rFonts w:hint="eastAsia" w:ascii="宋体" w:hAnsi="宋体"/>
          <w:szCs w:val="21"/>
          <w:u w:val="single"/>
        </w:rPr>
        <w:t>发包人有权向承包人以书面形式提出更换不称职项目经理和主要技术负责人要求，承包人应收到该书面文件后7日内做出回复。人员的更换不能免除承包人的履约责任。</w:t>
      </w:r>
    </w:p>
    <w:p w14:paraId="1D8557E3">
      <w:pPr>
        <w:spacing w:line="400" w:lineRule="exact"/>
        <w:ind w:firstLine="525" w:firstLineChars="250"/>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 4 \* GB3</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④</w:t>
      </w:r>
      <w:r>
        <w:rPr>
          <w:rFonts w:ascii="宋体" w:hAnsi="宋体"/>
          <w:szCs w:val="21"/>
          <w:u w:val="single"/>
        </w:rPr>
        <w:fldChar w:fldCharType="end"/>
      </w:r>
      <w:r>
        <w:rPr>
          <w:rFonts w:hint="eastAsia" w:ascii="宋体" w:hAnsi="宋体"/>
          <w:szCs w:val="21"/>
          <w:u w:val="single"/>
        </w:rPr>
        <w:t>施工队伍的管理由承包人负全责，并符合北京市公安局和建委对外来施工企业和人员的管理。若承包人所管辖的人员出现违反规定的现象，或破坏发包人其他现场财产的情况，经发包人造成损失的，发包人有权向承包人进行索赔。</w:t>
      </w:r>
    </w:p>
    <w:p w14:paraId="2E9D3D4C">
      <w:pPr>
        <w:spacing w:line="400" w:lineRule="exact"/>
        <w:ind w:firstLine="525" w:firstLineChars="250"/>
        <w:rPr>
          <w:rFonts w:ascii="宋体" w:hAnsi="宋体"/>
          <w:szCs w:val="21"/>
          <w:u w:val="single"/>
        </w:rPr>
      </w:pPr>
      <w:r>
        <w:rPr>
          <w:rFonts w:ascii="宋体" w:hAnsi="宋体"/>
          <w:szCs w:val="21"/>
          <w:u w:val="single"/>
        </w:rPr>
        <w:fldChar w:fldCharType="begin"/>
      </w:r>
      <w:r>
        <w:rPr>
          <w:rFonts w:ascii="宋体" w:hAnsi="宋体"/>
          <w:szCs w:val="21"/>
          <w:u w:val="single"/>
        </w:rPr>
        <w:instrText xml:space="preserve"> </w:instrText>
      </w:r>
      <w:r>
        <w:rPr>
          <w:rFonts w:hint="eastAsia" w:ascii="宋体" w:hAnsi="宋体"/>
          <w:szCs w:val="21"/>
          <w:u w:val="single"/>
        </w:rPr>
        <w:instrText xml:space="preserve">= 5 \* GB3</w:instrText>
      </w:r>
      <w:r>
        <w:rPr>
          <w:rFonts w:ascii="宋体" w:hAnsi="宋体"/>
          <w:szCs w:val="21"/>
          <w:u w:val="single"/>
        </w:rPr>
        <w:instrText xml:space="preserve"> </w:instrText>
      </w:r>
      <w:r>
        <w:rPr>
          <w:rFonts w:ascii="宋体" w:hAnsi="宋体"/>
          <w:szCs w:val="21"/>
          <w:u w:val="single"/>
        </w:rPr>
        <w:fldChar w:fldCharType="separate"/>
      </w:r>
      <w:r>
        <w:rPr>
          <w:rFonts w:hint="eastAsia" w:ascii="宋体" w:hAnsi="宋体"/>
          <w:szCs w:val="21"/>
          <w:u w:val="single"/>
        </w:rPr>
        <w:t>⑤</w:t>
      </w:r>
      <w:r>
        <w:rPr>
          <w:rFonts w:ascii="宋体" w:hAnsi="宋体"/>
          <w:szCs w:val="21"/>
          <w:u w:val="single"/>
        </w:rPr>
        <w:fldChar w:fldCharType="end"/>
      </w:r>
      <w:r>
        <w:rPr>
          <w:rFonts w:hint="eastAsia" w:ascii="宋体" w:hAnsi="宋体"/>
          <w:szCs w:val="21"/>
          <w:u w:val="single"/>
        </w:rPr>
        <w:t>乙方需要为本工程的专项供应商提供相应的管理、协调、配合、服务工作。若需要，相应的管理、协调、配合、服务工作的具体要求如下：</w:t>
      </w:r>
    </w:p>
    <w:p w14:paraId="7F9D3479">
      <w:pPr>
        <w:spacing w:line="400" w:lineRule="exact"/>
        <w:ind w:firstLine="525" w:firstLineChars="250"/>
        <w:rPr>
          <w:rFonts w:ascii="宋体" w:hAnsi="宋体"/>
          <w:szCs w:val="21"/>
          <w:u w:val="single"/>
        </w:rPr>
      </w:pPr>
      <w:r>
        <w:rPr>
          <w:rFonts w:ascii="宋体" w:hAnsi="宋体"/>
          <w:szCs w:val="21"/>
          <w:u w:val="single"/>
        </w:rPr>
        <w:t>a.</w:t>
      </w:r>
      <w:r>
        <w:rPr>
          <w:rFonts w:hint="eastAsia" w:ascii="宋体" w:hAnsi="宋体"/>
          <w:szCs w:val="21"/>
          <w:u w:val="single"/>
        </w:rPr>
        <w:t xml:space="preserve">专项供应商的任何违约行为或疏忽导致工程损害或给甲方(或者甲方人员、学生及任何在出现在校内的第三人)造成其他损失，乙方承担连带责任。                                                  </w:t>
      </w:r>
    </w:p>
    <w:p w14:paraId="293A00EB">
      <w:pPr>
        <w:spacing w:line="400" w:lineRule="exact"/>
        <w:ind w:firstLine="525" w:firstLineChars="250"/>
        <w:rPr>
          <w:rFonts w:ascii="宋体" w:hAnsi="宋体"/>
          <w:szCs w:val="21"/>
          <w:u w:val="single"/>
        </w:rPr>
      </w:pPr>
      <w:r>
        <w:rPr>
          <w:rFonts w:ascii="宋体" w:hAnsi="宋体"/>
          <w:szCs w:val="21"/>
          <w:u w:val="single"/>
        </w:rPr>
        <w:t>b.</w:t>
      </w:r>
      <w:r>
        <w:rPr>
          <w:rFonts w:hint="eastAsia" w:ascii="宋体" w:hAnsi="宋体"/>
          <w:szCs w:val="21"/>
          <w:u w:val="single"/>
        </w:rPr>
        <w:t>乙方需要为本工程的独立乙方提供相应的管理、协调、配合、服务工作。相应的管理、协调、配合服务，以上费用，依照国家有关文件及规定标准，乙方向独立乙方进行计取。</w:t>
      </w:r>
    </w:p>
    <w:p w14:paraId="6E9E47AE">
      <w:pPr>
        <w:spacing w:line="400" w:lineRule="exact"/>
        <w:ind w:firstLine="525" w:firstLineChars="250"/>
        <w:rPr>
          <w:rFonts w:ascii="宋体" w:hAnsi="宋体"/>
          <w:szCs w:val="21"/>
          <w:u w:val="single"/>
        </w:rPr>
      </w:pPr>
      <w:r>
        <w:rPr>
          <w:rFonts w:ascii="宋体" w:hAnsi="宋体"/>
          <w:szCs w:val="21"/>
          <w:u w:val="single"/>
        </w:rPr>
        <w:t>c.</w:t>
      </w:r>
      <w:r>
        <w:rPr>
          <w:rFonts w:hint="eastAsia" w:ascii="宋体" w:hAnsi="宋体"/>
          <w:szCs w:val="21"/>
          <w:u w:val="single"/>
        </w:rPr>
        <w:t>乙方需要为本工程的独立供应商提供相应的管理、协调、配合、服务工作。若需要，相应的管理、协调、配合、服务工作的具体要求如下：对已提前到达施工现场的设备、材料进行妥善保管。</w:t>
      </w:r>
    </w:p>
    <w:p w14:paraId="2195FD0B">
      <w:pPr>
        <w:spacing w:line="400" w:lineRule="exact"/>
        <w:ind w:firstLine="525" w:firstLineChars="250"/>
        <w:rPr>
          <w:rFonts w:ascii="宋体" w:hAnsi="宋体"/>
          <w:szCs w:val="21"/>
          <w:u w:val="single"/>
        </w:rPr>
      </w:pPr>
      <w:r>
        <w:rPr>
          <w:rFonts w:ascii="宋体" w:hAnsi="宋体"/>
          <w:szCs w:val="21"/>
          <w:u w:val="single"/>
        </w:rPr>
        <w:t>d.</w:t>
      </w:r>
      <w:r>
        <w:rPr>
          <w:rFonts w:hint="eastAsia" w:ascii="宋体" w:hAnsi="宋体"/>
          <w:szCs w:val="21"/>
          <w:u w:val="single"/>
        </w:rPr>
        <w:t>乙方与专业分包人入场前签订安全协议，以管理专业分包的安全工作。</w:t>
      </w:r>
    </w:p>
    <w:p w14:paraId="40BE15BF">
      <w:pPr>
        <w:spacing w:line="400" w:lineRule="exact"/>
        <w:ind w:firstLine="525" w:firstLineChars="250"/>
        <w:rPr>
          <w:rFonts w:ascii="宋体" w:hAnsi="宋体"/>
          <w:szCs w:val="21"/>
          <w:u w:val="single"/>
        </w:rPr>
      </w:pPr>
      <w:r>
        <w:rPr>
          <w:rFonts w:ascii="宋体" w:hAnsi="宋体"/>
          <w:szCs w:val="21"/>
          <w:u w:val="single"/>
        </w:rPr>
        <w:t>e.</w:t>
      </w:r>
      <w:r>
        <w:rPr>
          <w:rFonts w:hint="eastAsia" w:ascii="宋体" w:hAnsi="宋体"/>
          <w:szCs w:val="21"/>
          <w:u w:val="single"/>
        </w:rPr>
        <w:t>乙方负责协调专业分包人专业进度、工序的安排与配合。</w:t>
      </w:r>
    </w:p>
    <w:p w14:paraId="37E98B0E">
      <w:pPr>
        <w:spacing w:line="400" w:lineRule="exact"/>
        <w:ind w:firstLine="525" w:firstLineChars="250"/>
        <w:rPr>
          <w:rFonts w:ascii="宋体" w:hAnsi="宋体"/>
          <w:szCs w:val="21"/>
          <w:u w:val="single"/>
        </w:rPr>
      </w:pPr>
      <w:r>
        <w:rPr>
          <w:rFonts w:hint="eastAsia" w:ascii="宋体" w:hAnsi="宋体"/>
          <w:szCs w:val="21"/>
          <w:u w:val="single"/>
        </w:rPr>
        <w:t>f</w:t>
      </w:r>
      <w:r>
        <w:rPr>
          <w:rFonts w:ascii="宋体" w:hAnsi="宋体"/>
          <w:szCs w:val="21"/>
          <w:u w:val="single"/>
        </w:rPr>
        <w:t>.</w:t>
      </w:r>
      <w:r>
        <w:rPr>
          <w:rFonts w:hint="eastAsia" w:ascii="宋体" w:hAnsi="宋体"/>
          <w:szCs w:val="21"/>
          <w:u w:val="single"/>
        </w:rPr>
        <w:t xml:space="preserve">专业分包人须接受乙方对其在质量、文明施工、进度等方面的检查与处理。 </w:t>
      </w:r>
    </w:p>
    <w:p w14:paraId="41A271AA">
      <w:pPr>
        <w:spacing w:line="400" w:lineRule="exact"/>
        <w:ind w:firstLine="315" w:firstLineChars="150"/>
        <w:rPr>
          <w:rFonts w:ascii="宋体" w:hAnsi="宋体"/>
          <w:szCs w:val="21"/>
          <w:u w:val="single"/>
        </w:rPr>
      </w:pPr>
      <w:r>
        <w:rPr>
          <w:rFonts w:hint="eastAsia" w:ascii="宋体" w:hAnsi="宋体"/>
          <w:szCs w:val="21"/>
          <w:u w:val="single"/>
        </w:rPr>
        <w:t>（2）为保证承包工程的顺利实施，除本合同规定的发包人提供的服务外，承包人应提供所有实施承包工程必须的所有材料、机械设备、施工工具、临时工程和设施等，且承包人采取有效措施保证所有设备及工具处于良好的状态，以利于施工。</w:t>
      </w:r>
    </w:p>
    <w:p w14:paraId="5CFD60E5">
      <w:pPr>
        <w:spacing w:line="400" w:lineRule="exact"/>
        <w:ind w:firstLine="315" w:firstLineChars="150"/>
        <w:rPr>
          <w:rFonts w:ascii="宋体" w:hAnsi="宋体"/>
          <w:szCs w:val="21"/>
          <w:u w:val="single"/>
        </w:rPr>
      </w:pPr>
      <w:r>
        <w:rPr>
          <w:rFonts w:hint="eastAsia" w:ascii="宋体" w:hAnsi="宋体"/>
          <w:szCs w:val="21"/>
          <w:u w:val="single"/>
        </w:rPr>
        <w:t>（3）承包人应遵守规章、制度</w:t>
      </w:r>
    </w:p>
    <w:p w14:paraId="5468A771">
      <w:pPr>
        <w:spacing w:line="400" w:lineRule="exact"/>
        <w:ind w:firstLine="315" w:firstLineChars="150"/>
        <w:rPr>
          <w:rFonts w:ascii="宋体" w:hAnsi="宋体"/>
          <w:szCs w:val="21"/>
          <w:u w:val="single"/>
        </w:rPr>
      </w:pPr>
      <w:r>
        <w:rPr>
          <w:rFonts w:hint="eastAsia" w:ascii="宋体" w:hAnsi="宋体"/>
          <w:szCs w:val="21"/>
          <w:u w:val="single"/>
        </w:rPr>
        <w:t xml:space="preserve">  承包人应遵守国家、北京市政府及发包人有关工程的施工、材料和设备进出场以及材料和设备的现场存放方面及其它有关现场管理的规章制度，并被认为对国家、北京市政府及发包人的各种规章、制度已经充分了解，且承包人不得以不了解国家、北京市政府及发包人的规章、制度为由而拒绝执行发包人的有关指令。若承包人违反国家、北京市政府及发包人的规章、制度（包括但不限于：《北京市建设工程施工现场管理办法》、《北京市实施建筑工程安全生产监督管理工作导则办法》、《北京市建筑施工现场安全标准化手册》等），发包人将视具体情况对承包人处以每项5-10万元的违约赔偿金，并从工程进度款中扣除。</w:t>
      </w:r>
    </w:p>
    <w:p w14:paraId="343C08F8">
      <w:pPr>
        <w:spacing w:line="400" w:lineRule="exact"/>
        <w:ind w:firstLine="315" w:firstLineChars="150"/>
        <w:rPr>
          <w:rFonts w:ascii="宋体" w:hAnsi="宋体"/>
          <w:szCs w:val="21"/>
          <w:u w:val="single"/>
        </w:rPr>
      </w:pPr>
      <w:r>
        <w:rPr>
          <w:rFonts w:hint="eastAsia" w:ascii="宋体" w:hAnsi="宋体"/>
          <w:szCs w:val="21"/>
          <w:u w:val="single"/>
        </w:rPr>
        <w:t>（4）现场内、外通道及运输</w:t>
      </w:r>
    </w:p>
    <w:p w14:paraId="759C3B16">
      <w:pPr>
        <w:spacing w:line="400" w:lineRule="exact"/>
        <w:ind w:firstLine="315" w:firstLineChars="150"/>
        <w:rPr>
          <w:rFonts w:ascii="宋体" w:hAnsi="宋体"/>
          <w:szCs w:val="21"/>
          <w:u w:val="single"/>
        </w:rPr>
      </w:pPr>
      <w:r>
        <w:rPr>
          <w:rFonts w:hint="eastAsia" w:ascii="宋体" w:hAnsi="宋体"/>
          <w:szCs w:val="21"/>
          <w:u w:val="single"/>
        </w:rPr>
        <w:t xml:space="preserve"> 承包人应采取一切必要的措施，选择正确合理的运输路线、运输工具，并限制和分配运载重量，避免承包和发包人的任何运输对现场周围或通往现场的道路或桥梁造成破坏。承包人须保障发包人免于承担由于运输造成任何桥梁道路损坏而引起的一切索赔，否则其相关责任及损失均由承包人承担。</w:t>
      </w:r>
    </w:p>
    <w:p w14:paraId="685B245C">
      <w:pPr>
        <w:spacing w:line="400" w:lineRule="exact"/>
        <w:ind w:firstLine="315" w:firstLineChars="150"/>
        <w:rPr>
          <w:rFonts w:ascii="宋体" w:hAnsi="宋体"/>
          <w:szCs w:val="21"/>
          <w:u w:val="single"/>
        </w:rPr>
      </w:pPr>
      <w:r>
        <w:rPr>
          <w:rFonts w:hint="eastAsia" w:ascii="宋体" w:hAnsi="宋体"/>
          <w:szCs w:val="21"/>
          <w:u w:val="single"/>
        </w:rPr>
        <w:t>（5）承包人在本工程进行期间必须保护公众免受损伤及死亡。保护所有公共财产免受损伤、死亡及损坏，并承担修复损坏或/及赔偿损伤所需的一切费用。</w:t>
      </w:r>
    </w:p>
    <w:p w14:paraId="6EFD4847">
      <w:pPr>
        <w:spacing w:line="400" w:lineRule="exact"/>
        <w:ind w:firstLine="315" w:firstLineChars="150"/>
        <w:rPr>
          <w:rFonts w:ascii="宋体" w:hAnsi="宋体"/>
          <w:szCs w:val="21"/>
          <w:u w:val="single"/>
        </w:rPr>
      </w:pPr>
      <w:r>
        <w:rPr>
          <w:rFonts w:hint="eastAsia" w:ascii="宋体" w:hAnsi="宋体"/>
          <w:szCs w:val="21"/>
          <w:u w:val="single"/>
        </w:rPr>
        <w:t>（6）竣工档案的整理、移交</w:t>
      </w:r>
    </w:p>
    <w:p w14:paraId="44717C85">
      <w:pPr>
        <w:spacing w:line="400" w:lineRule="exact"/>
        <w:ind w:firstLine="315" w:firstLineChars="150"/>
        <w:rPr>
          <w:rFonts w:ascii="宋体" w:hAnsi="宋体"/>
          <w:szCs w:val="21"/>
          <w:u w:val="single"/>
          <w:lang w:val="zh-CN"/>
        </w:rPr>
      </w:pPr>
      <w:r>
        <w:rPr>
          <w:rFonts w:hint="eastAsia" w:ascii="宋体" w:hAnsi="宋体"/>
          <w:szCs w:val="21"/>
          <w:u w:val="single"/>
        </w:rPr>
        <w:t xml:space="preserve"> 负责工程竣工档案的整理和移交，要求按照北京市城建档案馆及发包人档案馆的要求提供竣工档案，包括竣工图纸和资料，费用由承包人承担。</w:t>
      </w:r>
    </w:p>
    <w:p w14:paraId="5B5529B8">
      <w:pPr>
        <w:spacing w:line="400" w:lineRule="exact"/>
        <w:ind w:firstLine="420" w:firstLineChars="200"/>
        <w:rPr>
          <w:rFonts w:ascii="宋体" w:hAnsi="宋体"/>
          <w:szCs w:val="21"/>
          <w:u w:val="single"/>
        </w:rPr>
      </w:pPr>
      <w:r>
        <w:rPr>
          <w:rFonts w:hint="eastAsia" w:ascii="宋体" w:hAnsi="宋体"/>
          <w:szCs w:val="21"/>
          <w:u w:val="single"/>
        </w:rPr>
        <w:t>乙方应在分包场地派驻相应管理人员，保证本合同的履行。承包单位的任何违约行为或疏忽导致工程损害或给甲方造成其他损失，乙方承担连带责任。配合工作包括设备基础、预留洞、预埋件、补洞、堵洞和招标文件中规定的其它相关配合工作、责任和义务，管理工作包括根据《建筑工程施工质量验收统一标准 》（GB50300-2013）、相关施工专业施工验收规范以及北京质量监督验收要求和档案验收要求，对所有分包项目竣工资料收集、整理和归档，直至完成最终竣工验收所有工作。乙方对分包人的服务、配合和协调工作还至少包括对分包人的总体施工进度计划的安排、日常协调和管理；负责为各分包人及时提供足够的和无障碍的工作面，乙方提供各分包单位临时水、电、道路、垂直运输设备、脚手架（除非合同另有特别约定，仅限于已搭设在现场的脚手架）和仓储用地、现有用房等其他临时设施，但水费、电费由中标人与各分包人做好现场计量及管理，中标人如实向各分包人按实收取；在分包人完成工作并将工作面移交给乙方后，乙方负责成品保护。</w:t>
      </w:r>
    </w:p>
    <w:p w14:paraId="0FA377D4">
      <w:pPr>
        <w:spacing w:line="400" w:lineRule="exact"/>
        <w:ind w:firstLine="315" w:firstLineChars="150"/>
        <w:rPr>
          <w:rFonts w:ascii="宋体" w:hAnsi="宋体"/>
          <w:szCs w:val="21"/>
        </w:rPr>
      </w:pPr>
      <w:r>
        <w:rPr>
          <w:rFonts w:hint="eastAsia" w:ascii="宋体" w:hAnsi="宋体"/>
          <w:szCs w:val="21"/>
        </w:rPr>
        <w:t>（7）乙方还应按监理人指示为独立乙方以外的他人在施工场地或者附近实施与合同工程有关的其他工作提供可能的条件，可能发生费用由监理人按第3.5款商定或者确定。</w:t>
      </w:r>
    </w:p>
    <w:p w14:paraId="59B0EFD1">
      <w:pPr>
        <w:spacing w:line="400" w:lineRule="exact"/>
        <w:ind w:firstLine="420" w:firstLineChars="200"/>
        <w:rPr>
          <w:rFonts w:ascii="宋体" w:hAnsi="宋体"/>
          <w:szCs w:val="21"/>
        </w:rPr>
      </w:pPr>
      <w:r>
        <w:rPr>
          <w:rFonts w:hint="eastAsia" w:ascii="宋体" w:hAnsi="宋体"/>
          <w:szCs w:val="21"/>
        </w:rPr>
        <w:t xml:space="preserve">4.1.10其他义务  </w:t>
      </w:r>
    </w:p>
    <w:p w14:paraId="65D171C7">
      <w:pPr>
        <w:spacing w:line="400" w:lineRule="exact"/>
        <w:ind w:firstLine="315" w:firstLineChars="150"/>
        <w:rPr>
          <w:rFonts w:ascii="宋体" w:hAnsi="宋体"/>
          <w:szCs w:val="21"/>
          <w:u w:val="single"/>
        </w:rPr>
      </w:pPr>
      <w:r>
        <w:rPr>
          <w:rFonts w:hint="eastAsia" w:ascii="宋体" w:hAnsi="宋体"/>
          <w:szCs w:val="21"/>
        </w:rPr>
        <w:t>（1）根据甲方委托，在其设计资质等级和业务允许的范围内，完成施工图设计或与工程配套的设计，经监理人确认后使用，甲方承担由此发生的费用和合理利润。由乙方负责完成的设计文件属于合同条款第1.6.2项约定的乙方提供的文件，乙方应按照专用合同条款第1.6.2项约定的期限和数量提交，由此发生的费用被认为已经包括在乙方的签约合同价（投标总报价）中。由乙方承担的施工图设计或与工程配套的设计工作内容：</w:t>
      </w:r>
      <w:r>
        <w:rPr>
          <w:rFonts w:hint="eastAsia" w:ascii="宋体" w:hAnsi="宋体"/>
          <w:szCs w:val="21"/>
          <w:u w:val="single"/>
        </w:rPr>
        <w:t>1）由乙方设计的永久工程的图纸；</w:t>
      </w:r>
    </w:p>
    <w:p w14:paraId="6E63B37F">
      <w:pPr>
        <w:spacing w:line="400" w:lineRule="exact"/>
        <w:ind w:firstLine="315" w:firstLineChars="150"/>
        <w:rPr>
          <w:rFonts w:ascii="宋体" w:hAnsi="宋体"/>
          <w:szCs w:val="21"/>
          <w:u w:val="single"/>
        </w:rPr>
      </w:pPr>
      <w:r>
        <w:rPr>
          <w:rFonts w:hint="eastAsia" w:ascii="宋体" w:hAnsi="宋体"/>
          <w:szCs w:val="21"/>
          <w:u w:val="single"/>
        </w:rPr>
        <w:t>2）按照工程技术规范的相关要求需要制作加工图、大样图、安装图；</w:t>
      </w:r>
    </w:p>
    <w:p w14:paraId="22B23B2E">
      <w:pPr>
        <w:spacing w:line="400" w:lineRule="exact"/>
        <w:ind w:firstLine="315" w:firstLineChars="150"/>
        <w:rPr>
          <w:rFonts w:ascii="宋体" w:hAnsi="宋体"/>
          <w:szCs w:val="21"/>
        </w:rPr>
      </w:pPr>
      <w:r>
        <w:rPr>
          <w:rFonts w:hint="eastAsia" w:ascii="宋体" w:hAnsi="宋体"/>
          <w:szCs w:val="21"/>
          <w:u w:val="single"/>
        </w:rPr>
        <w:t>3）如果甲方将部分设计工作委托乙方完成时，乙方应具有相应的设计资质</w:t>
      </w:r>
      <w:r>
        <w:rPr>
          <w:rFonts w:hint="eastAsia" w:ascii="宋体" w:hAnsi="宋体"/>
          <w:szCs w:val="21"/>
        </w:rPr>
        <w:t>。</w:t>
      </w:r>
    </w:p>
    <w:p w14:paraId="0AD27FBC">
      <w:pPr>
        <w:spacing w:line="400" w:lineRule="exact"/>
        <w:ind w:firstLine="315" w:firstLineChars="150"/>
        <w:rPr>
          <w:rFonts w:ascii="宋体" w:hAnsi="宋体"/>
          <w:szCs w:val="21"/>
          <w:u w:val="single"/>
        </w:rPr>
      </w:pPr>
      <w:r>
        <w:rPr>
          <w:rFonts w:hint="eastAsia" w:ascii="宋体" w:hAnsi="宋体"/>
          <w:szCs w:val="21"/>
        </w:rPr>
        <w:t>（2）乙方应履行合同约定的其他义务以及</w:t>
      </w:r>
      <w:r>
        <w:rPr>
          <w:rFonts w:hint="eastAsia" w:ascii="宋体" w:hAnsi="宋体" w:cs="Arial"/>
          <w:szCs w:val="21"/>
        </w:rPr>
        <w:t>下述义务：</w:t>
      </w:r>
      <w:r>
        <w:rPr>
          <w:rFonts w:hint="eastAsia" w:ascii="宋体" w:hAnsi="宋体"/>
          <w:szCs w:val="21"/>
          <w:u w:val="single"/>
        </w:rPr>
        <w:t>1）成品保护：乙方应提供必要的人员、材料和设备用于整个工程的成品保护，包括对已完成的分包人的工程或工作的保护，防止任何已完工作遭受任何损坏或破坏。本合同认为乙方在编制投标文件时充分考虑相关费用，包含在本合同总价款中。</w:t>
      </w:r>
    </w:p>
    <w:p w14:paraId="6A38BE95">
      <w:pPr>
        <w:spacing w:line="400" w:lineRule="exact"/>
        <w:ind w:firstLine="315" w:firstLineChars="150"/>
        <w:rPr>
          <w:rFonts w:ascii="宋体" w:hAnsi="宋体"/>
          <w:szCs w:val="21"/>
          <w:u w:val="single"/>
        </w:rPr>
      </w:pPr>
      <w:r>
        <w:rPr>
          <w:rFonts w:hint="eastAsia" w:ascii="宋体" w:hAnsi="宋体"/>
          <w:szCs w:val="21"/>
          <w:u w:val="single"/>
        </w:rPr>
        <w:t>2）施工噪音超过当地主管部门的规定时，由乙方提出措施，并予以落实。</w:t>
      </w:r>
    </w:p>
    <w:p w14:paraId="5A8AC581">
      <w:pPr>
        <w:spacing w:line="400" w:lineRule="exact"/>
        <w:ind w:firstLine="315" w:firstLineChars="150"/>
        <w:rPr>
          <w:rFonts w:ascii="宋体" w:hAnsi="宋体"/>
          <w:szCs w:val="21"/>
          <w:u w:val="single"/>
        </w:rPr>
      </w:pPr>
      <w:r>
        <w:rPr>
          <w:rFonts w:hint="eastAsia" w:ascii="宋体" w:hAnsi="宋体"/>
          <w:szCs w:val="21"/>
          <w:u w:val="single"/>
        </w:rPr>
        <w:t>3）乙方有责任按照甲方的需求制定合理的施工方案，将施工期间对甲方的正常医疗、教学和科研的影响降至最低，并且负责处理本工程施工期间扰民、民扰事件，发生的相关费用包含在合同总价款中。</w:t>
      </w:r>
    </w:p>
    <w:p w14:paraId="2D0EF020">
      <w:pPr>
        <w:spacing w:line="400" w:lineRule="exact"/>
        <w:ind w:firstLine="315" w:firstLineChars="150"/>
        <w:rPr>
          <w:rFonts w:ascii="宋体" w:hAnsi="宋体"/>
          <w:szCs w:val="21"/>
          <w:u w:val="single"/>
        </w:rPr>
      </w:pPr>
      <w:r>
        <w:rPr>
          <w:rFonts w:hint="eastAsia" w:ascii="宋体" w:hAnsi="宋体"/>
          <w:szCs w:val="21"/>
          <w:u w:val="single"/>
        </w:rPr>
        <w:t>4）乙方在工程施工中拖延工期，甲方或监理工程师认为工程进度过慢，无法确保工程按规定的时间完成时，乙方应立即采取必要的措施，加快工程进度，确保工程按期完成，乙方无权因采取此种措施而获得任何追加款项。</w:t>
      </w:r>
    </w:p>
    <w:p w14:paraId="4EBAB6A4">
      <w:pPr>
        <w:spacing w:line="400" w:lineRule="exact"/>
        <w:ind w:firstLine="315" w:firstLineChars="150"/>
        <w:rPr>
          <w:rFonts w:ascii="宋体" w:hAnsi="宋体"/>
          <w:szCs w:val="21"/>
          <w:u w:val="single"/>
        </w:rPr>
      </w:pPr>
      <w:r>
        <w:rPr>
          <w:rFonts w:hint="eastAsia" w:ascii="宋体" w:hAnsi="宋体"/>
          <w:szCs w:val="21"/>
          <w:u w:val="single"/>
        </w:rPr>
        <w:t>5） 负责根据甲方提供的水电接驳点完成施工用水、施工用电的引入。施工用水、用电费用已包含在合同价款中，竣工结算时不做调整，本工程竣工后由乙方向甲方一次性缴纳施工过程中实际发生的施工用水、用电费用。</w:t>
      </w:r>
    </w:p>
    <w:p w14:paraId="68640591">
      <w:pPr>
        <w:spacing w:line="400" w:lineRule="exact"/>
        <w:ind w:firstLine="315" w:firstLineChars="150"/>
        <w:rPr>
          <w:rFonts w:ascii="宋体" w:hAnsi="宋体"/>
          <w:szCs w:val="21"/>
          <w:u w:val="single"/>
        </w:rPr>
      </w:pPr>
      <w:r>
        <w:rPr>
          <w:rFonts w:hint="eastAsia" w:ascii="宋体" w:hAnsi="宋体"/>
          <w:szCs w:val="21"/>
          <w:u w:val="single"/>
        </w:rPr>
        <w:t>6）为保证资金监管和农民工工资支付，乙方在接到中标通知后14日内，必须设立针对本工程的专项账户。乙方应当加强工程款管理，做到专款专用，不得拖欠分包人的工程款、材料、设备货款、农民工和工人工资等费用；甲方对工程款使用情况进行监督检查时，乙方应当积极配合（乙方应向甲方提供施工人员考勤汇总表及相应的发放工资记录），不得阻扰和拒绝。如果应乙方不能按时发放施工人员工资而对甲方造成损失的，乙方应双倍赔偿甲方。</w:t>
      </w:r>
    </w:p>
    <w:p w14:paraId="4077B829">
      <w:pPr>
        <w:spacing w:line="400" w:lineRule="exact"/>
        <w:ind w:firstLine="315" w:firstLineChars="150"/>
        <w:rPr>
          <w:rFonts w:ascii="宋体" w:hAnsi="宋体"/>
          <w:szCs w:val="21"/>
          <w:u w:val="single"/>
        </w:rPr>
      </w:pPr>
      <w:r>
        <w:rPr>
          <w:rFonts w:hint="eastAsia" w:ascii="宋体" w:hAnsi="宋体"/>
          <w:szCs w:val="21"/>
          <w:u w:val="single"/>
        </w:rPr>
        <w:t>7）本工程通过竣工验收后30日内，向甲方递交完整的竣工图纸、竣工资料以及符合甲方结算审计所需的相关资料。由于乙方未完成本条款约定的相关工作，需承担相关责任和由此给甲方带来的全部损失。</w:t>
      </w:r>
    </w:p>
    <w:p w14:paraId="25630B1C">
      <w:pPr>
        <w:spacing w:line="400" w:lineRule="exact"/>
        <w:ind w:firstLine="315" w:firstLineChars="150"/>
        <w:rPr>
          <w:rFonts w:ascii="宋体" w:hAnsi="宋体"/>
          <w:szCs w:val="21"/>
          <w:u w:val="single"/>
        </w:rPr>
      </w:pPr>
      <w:r>
        <w:rPr>
          <w:rFonts w:hint="eastAsia" w:ascii="宋体" w:hAnsi="宋体"/>
          <w:szCs w:val="21"/>
          <w:u w:val="single"/>
        </w:rPr>
        <w:t>8）乙方应按照甲方的要求，质量保修期内对本工程进行24小时不间断的维护， 维护期为二年。</w:t>
      </w:r>
    </w:p>
    <w:p w14:paraId="2D3CEDF1">
      <w:pPr>
        <w:spacing w:line="400" w:lineRule="exact"/>
        <w:ind w:firstLine="315" w:firstLineChars="150"/>
        <w:rPr>
          <w:rFonts w:ascii="宋体" w:hAnsi="宋体" w:cs="Arial"/>
          <w:szCs w:val="21"/>
        </w:rPr>
      </w:pPr>
      <w:r>
        <w:rPr>
          <w:rFonts w:hint="eastAsia" w:ascii="宋体" w:hAnsi="宋体" w:cs="Arial"/>
          <w:szCs w:val="21"/>
        </w:rPr>
        <w:t xml:space="preserve">4.2 履约担保 </w:t>
      </w:r>
    </w:p>
    <w:p w14:paraId="7D23019F">
      <w:pPr>
        <w:spacing w:line="400" w:lineRule="exact"/>
        <w:ind w:firstLine="420" w:firstLineChars="200"/>
        <w:rPr>
          <w:rFonts w:ascii="宋体" w:hAnsi="宋体"/>
          <w:szCs w:val="21"/>
        </w:rPr>
      </w:pPr>
      <w:r>
        <w:rPr>
          <w:rFonts w:hint="eastAsia" w:ascii="宋体" w:hAnsi="宋体"/>
          <w:szCs w:val="21"/>
        </w:rPr>
        <w:t>4.2.1 履约担保的格式和金额</w:t>
      </w:r>
    </w:p>
    <w:p w14:paraId="4E6C2C93">
      <w:pPr>
        <w:spacing w:line="400" w:lineRule="exact"/>
        <w:ind w:firstLine="420" w:firstLineChars="200"/>
        <w:rPr>
          <w:rFonts w:ascii="宋体" w:hAnsi="宋体"/>
          <w:szCs w:val="21"/>
        </w:rPr>
      </w:pPr>
      <w:r>
        <w:rPr>
          <w:rFonts w:hint="eastAsia" w:ascii="宋体" w:hAnsi="宋体"/>
          <w:szCs w:val="21"/>
        </w:rPr>
        <w:t>乙方应在签订合同前，按照甲方在招标文件中规定的格式或者其他经过甲方认可的格式向甲方递交一份履约担保。</w:t>
      </w:r>
      <w:r>
        <w:rPr>
          <w:rFonts w:hint="eastAsia" w:ascii="宋体" w:hAnsi="宋体" w:cs="Arial"/>
          <w:szCs w:val="21"/>
        </w:rPr>
        <w:t>经过甲方事先书面认可的其他格式的履约担保，其担保条款的实质性内容应当与甲方在招标文件中规定的格式内容保持一致。</w:t>
      </w:r>
      <w:r>
        <w:rPr>
          <w:rFonts w:hint="eastAsia" w:ascii="宋体" w:hAnsi="宋体"/>
          <w:szCs w:val="21"/>
        </w:rPr>
        <w:t>履约担保的金额为</w:t>
      </w:r>
      <w:r>
        <w:rPr>
          <w:rFonts w:hint="eastAsia" w:ascii="宋体" w:hAnsi="宋体"/>
          <w:szCs w:val="21"/>
          <w:u w:val="single"/>
        </w:rPr>
        <w:t xml:space="preserve">    /      </w:t>
      </w:r>
      <w:r>
        <w:rPr>
          <w:rFonts w:hint="eastAsia" w:ascii="宋体" w:hAnsi="宋体"/>
          <w:szCs w:val="21"/>
        </w:rPr>
        <w:t>。履约担保是本合同的附件。</w:t>
      </w:r>
    </w:p>
    <w:p w14:paraId="333147F1">
      <w:pPr>
        <w:spacing w:line="400" w:lineRule="exact"/>
        <w:ind w:firstLine="420" w:firstLineChars="200"/>
        <w:rPr>
          <w:rFonts w:ascii="宋体" w:hAnsi="宋体"/>
          <w:szCs w:val="21"/>
        </w:rPr>
      </w:pPr>
      <w:r>
        <w:rPr>
          <w:rFonts w:hint="eastAsia" w:ascii="宋体" w:hAnsi="宋体"/>
          <w:szCs w:val="21"/>
        </w:rPr>
        <w:t>4.2.2 履约担保的有效期</w:t>
      </w:r>
    </w:p>
    <w:p w14:paraId="4E83C466">
      <w:pPr>
        <w:spacing w:line="400" w:lineRule="exact"/>
        <w:ind w:firstLine="420" w:firstLineChars="200"/>
        <w:rPr>
          <w:rFonts w:ascii="宋体" w:hAnsi="宋体"/>
          <w:szCs w:val="21"/>
        </w:rPr>
      </w:pPr>
      <w:r>
        <w:rPr>
          <w:rFonts w:hint="eastAsia" w:ascii="宋体" w:hAnsi="宋体" w:cs="Arial"/>
          <w:szCs w:val="21"/>
        </w:rPr>
        <w:t>履约担保的有效期应当自本合同生效之日起至甲方签认并由监理人向乙方出具工程接收证书之日止。</w:t>
      </w:r>
      <w:r>
        <w:rPr>
          <w:rFonts w:hint="eastAsia" w:ascii="宋体" w:hAnsi="宋体"/>
          <w:szCs w:val="21"/>
        </w:rPr>
        <w:t>如果乙方无法获得一份不带具体截止日期的担保，</w:t>
      </w:r>
      <w:r>
        <w:rPr>
          <w:rFonts w:hint="eastAsia" w:ascii="宋体" w:hAnsi="宋体" w:cs="Arial"/>
          <w:szCs w:val="21"/>
        </w:rPr>
        <w:t>履约担保中应当有</w:t>
      </w:r>
      <w:r>
        <w:rPr>
          <w:rFonts w:hint="eastAsia" w:ascii="宋体" w:hAnsi="宋体"/>
          <w:szCs w:val="21"/>
        </w:rPr>
        <w:t>“变更工程竣工日期的，保证期间按照变更后的竣工日期做相应调整”或类似约定的条款。</w:t>
      </w:r>
    </w:p>
    <w:p w14:paraId="1B881D8A">
      <w:pPr>
        <w:spacing w:line="400" w:lineRule="exact"/>
        <w:ind w:firstLine="420" w:firstLineChars="200"/>
        <w:rPr>
          <w:rFonts w:ascii="宋体" w:hAnsi="宋体"/>
          <w:szCs w:val="21"/>
        </w:rPr>
      </w:pPr>
      <w:r>
        <w:rPr>
          <w:rFonts w:hint="eastAsia" w:ascii="宋体" w:hAnsi="宋体"/>
          <w:szCs w:val="21"/>
        </w:rPr>
        <w:t>4.2.3 履约担保的退还</w:t>
      </w:r>
    </w:p>
    <w:p w14:paraId="33D93894">
      <w:pPr>
        <w:spacing w:line="400" w:lineRule="exact"/>
        <w:ind w:firstLine="420" w:firstLineChars="200"/>
        <w:rPr>
          <w:rFonts w:ascii="宋体" w:hAnsi="宋体"/>
          <w:szCs w:val="21"/>
        </w:rPr>
      </w:pPr>
      <w:r>
        <w:rPr>
          <w:rFonts w:hint="eastAsia" w:ascii="宋体" w:hAnsi="宋体"/>
          <w:szCs w:val="21"/>
        </w:rPr>
        <w:t>履约担保应在监理人向乙方颁发（出具）工程接收证书之日后28天内退还给乙方。甲方不承担乙方与履约担保有关的任何利息或其它类似的费用或者收益。</w:t>
      </w:r>
    </w:p>
    <w:p w14:paraId="0831DE45">
      <w:pPr>
        <w:spacing w:line="400" w:lineRule="exact"/>
        <w:ind w:firstLine="420" w:firstLineChars="200"/>
        <w:rPr>
          <w:rFonts w:ascii="宋体" w:hAnsi="宋体"/>
          <w:szCs w:val="21"/>
        </w:rPr>
      </w:pPr>
      <w:r>
        <w:rPr>
          <w:rFonts w:hint="eastAsia" w:ascii="宋体" w:hAnsi="宋体"/>
          <w:szCs w:val="21"/>
        </w:rPr>
        <w:t>4.2.4 通知义务</w:t>
      </w:r>
    </w:p>
    <w:p w14:paraId="078FCFCD">
      <w:pPr>
        <w:spacing w:line="400" w:lineRule="exact"/>
        <w:ind w:firstLine="420" w:firstLineChars="200"/>
        <w:rPr>
          <w:rFonts w:ascii="宋体" w:hAnsi="宋体"/>
          <w:szCs w:val="21"/>
        </w:rPr>
      </w:pPr>
      <w:r>
        <w:rPr>
          <w:rFonts w:hint="eastAsia" w:ascii="宋体" w:hAnsi="宋体"/>
          <w:szCs w:val="21"/>
        </w:rPr>
        <w:t>不管履约担保条款中如何约定，甲方根据担保条款提出索赔或兑现要求28天前，应通知乙方并说明导致此类索赔或兑现的违约性质或原因。相应地，不管专用合同条款2.8(1)目约定的支付担保条款中如何约定，乙方根据担保条款提出索赔或兑现要求28天前，也应通知甲方并说明导致此类索赔或兑现的违约性质或原因。但是，本项约定的通知不应理解为是在任何意义上寻求乙方或者甲方的同意。</w:t>
      </w:r>
    </w:p>
    <w:p w14:paraId="61D7DCFC">
      <w:pPr>
        <w:pStyle w:val="251"/>
        <w:tabs>
          <w:tab w:val="left" w:pos="720"/>
        </w:tabs>
        <w:outlineLvl w:val="0"/>
        <w:rPr>
          <w:rFonts w:ascii="宋体" w:hAnsi="宋体" w:eastAsia="宋体"/>
          <w:sz w:val="21"/>
          <w:szCs w:val="21"/>
        </w:rPr>
      </w:pPr>
      <w:r>
        <w:rPr>
          <w:rFonts w:hint="eastAsia" w:ascii="宋体" w:hAnsi="宋体" w:eastAsia="宋体"/>
          <w:sz w:val="21"/>
          <w:szCs w:val="21"/>
        </w:rPr>
        <w:t xml:space="preserve">4.3 分包 </w:t>
      </w:r>
    </w:p>
    <w:p w14:paraId="165893A8">
      <w:pPr>
        <w:spacing w:line="400" w:lineRule="exact"/>
        <w:ind w:firstLine="420" w:firstLineChars="200"/>
        <w:rPr>
          <w:rFonts w:ascii="宋体" w:hAnsi="宋体"/>
          <w:szCs w:val="21"/>
        </w:rPr>
      </w:pPr>
      <w:r>
        <w:rPr>
          <w:rFonts w:hint="eastAsia" w:ascii="宋体" w:hAnsi="宋体"/>
          <w:szCs w:val="21"/>
        </w:rPr>
        <w:t>4.3.2甲方同意乙方分包的非主体、非关键性工作见投标函附录。除通用合同条款第4.3款的约定外，分包还应遵循以下约定：</w:t>
      </w:r>
    </w:p>
    <w:p w14:paraId="7F710C07">
      <w:pPr>
        <w:spacing w:line="400" w:lineRule="exact"/>
        <w:ind w:firstLine="315" w:firstLineChars="150"/>
        <w:rPr>
          <w:rFonts w:ascii="宋体" w:hAnsi="宋体"/>
          <w:szCs w:val="21"/>
        </w:rPr>
      </w:pPr>
      <w:r>
        <w:rPr>
          <w:rFonts w:hint="eastAsia" w:ascii="宋体" w:hAnsi="宋体"/>
          <w:szCs w:val="21"/>
        </w:rPr>
        <w:t>（1）除投标函附录中约定的分包内容外，经过甲方和监理人同意，乙方可以将其他非主体、非关键性工作分包给第三人，但分包人应当经过甲方和监理人审批。甲方和监理人有权拒绝乙方的分包请求和乙方选择的分包人。</w:t>
      </w:r>
    </w:p>
    <w:p w14:paraId="0A3A6068">
      <w:pPr>
        <w:spacing w:line="400" w:lineRule="exact"/>
        <w:ind w:firstLine="315" w:firstLineChars="150"/>
        <w:rPr>
          <w:rFonts w:ascii="宋体" w:hAnsi="宋体"/>
          <w:szCs w:val="21"/>
        </w:rPr>
      </w:pPr>
      <w:r>
        <w:rPr>
          <w:rFonts w:hint="eastAsia" w:ascii="宋体" w:hAnsi="宋体"/>
          <w:szCs w:val="21"/>
        </w:rPr>
        <w:t>（2）甲方在工程量清单中给定暂估价的专业工程，包括从暂列金额开支的专业工程，</w:t>
      </w:r>
      <w:r>
        <w:rPr>
          <w:rFonts w:hint="eastAsia" w:ascii="宋体" w:hAnsi="宋体" w:cs="Arial"/>
          <w:szCs w:val="21"/>
        </w:rPr>
        <w:t>达到依法应当招标的规模标准的，以及虽未达到规定的规模标准但合同中约定采用分包方式或者招标方式实施的，应当按专用合同条款第15.8.1项的约定，</w:t>
      </w:r>
      <w:r>
        <w:rPr>
          <w:rFonts w:hint="eastAsia" w:ascii="宋体" w:hAnsi="宋体"/>
          <w:szCs w:val="21"/>
        </w:rPr>
        <w:t>由甲方和乙方以招标方式确定专业分包人。</w:t>
      </w:r>
      <w:r>
        <w:rPr>
          <w:rFonts w:hint="eastAsia" w:ascii="宋体" w:hAnsi="宋体" w:cs="Arial"/>
          <w:szCs w:val="21"/>
        </w:rPr>
        <w:t>除项目审批部门有特别核准外，暂估价的专业工程的招标应当采用与施工总承包同样的招标方式。</w:t>
      </w:r>
    </w:p>
    <w:p w14:paraId="32D87778">
      <w:pPr>
        <w:spacing w:line="400" w:lineRule="exact"/>
        <w:ind w:firstLine="315" w:firstLineChars="150"/>
        <w:rPr>
          <w:rFonts w:ascii="宋体" w:hAnsi="宋体"/>
          <w:szCs w:val="21"/>
        </w:rPr>
      </w:pPr>
      <w:r>
        <w:rPr>
          <w:rFonts w:hint="eastAsia" w:ascii="宋体" w:hAnsi="宋体"/>
          <w:szCs w:val="21"/>
        </w:rPr>
        <w:t>（3）在相关分包合同签订并报送有关建设行政主管部门备案后7天内，乙方应当将一份副本提交给监理人，乙方应保障分包工作不得</w:t>
      </w:r>
      <w:r>
        <w:rPr>
          <w:rFonts w:ascii="宋体" w:hAnsi="宋体"/>
          <w:szCs w:val="21"/>
        </w:rPr>
        <w:t>再次分包。</w:t>
      </w:r>
    </w:p>
    <w:p w14:paraId="232A2760">
      <w:pPr>
        <w:spacing w:line="400" w:lineRule="exact"/>
        <w:ind w:firstLine="315" w:firstLineChars="150"/>
        <w:rPr>
          <w:rFonts w:ascii="宋体" w:hAnsi="宋体" w:cs="Arial"/>
          <w:szCs w:val="21"/>
        </w:rPr>
      </w:pPr>
      <w:r>
        <w:rPr>
          <w:rFonts w:hint="eastAsia" w:ascii="宋体" w:hAnsi="宋体"/>
          <w:szCs w:val="21"/>
        </w:rPr>
        <w:t>（4）分包工程价款由乙方与分包人（包括专业分包人）结算。未经乙方同意，甲方不得以任何形式向分包人（包括专业分包人）支付相关分包合同项下的任何工程款项。因甲方未经乙方同意直接向分包人（包括专业分包人）支付相关分包合同项下的任何工程款项而影响乙方工作的，所造成的乙方费用增加和（或）延误的工期由甲方承担。</w:t>
      </w:r>
    </w:p>
    <w:p w14:paraId="30CE199F">
      <w:pPr>
        <w:spacing w:line="400" w:lineRule="exact"/>
        <w:ind w:firstLine="315" w:firstLineChars="150"/>
        <w:rPr>
          <w:rFonts w:ascii="宋体" w:hAnsi="宋体"/>
          <w:szCs w:val="21"/>
        </w:rPr>
      </w:pPr>
      <w:r>
        <w:rPr>
          <w:rFonts w:hint="eastAsia" w:ascii="宋体" w:hAnsi="宋体"/>
          <w:szCs w:val="21"/>
        </w:rPr>
        <w:t>（5）未经甲方和监理人审批同意的分包工程和分包人，甲方有权拒绝验收分包工程和支付相应款项，由此引起的乙方费用增加和（或）延误的工期由乙方承担。</w:t>
      </w:r>
    </w:p>
    <w:p w14:paraId="01919F5E">
      <w:pPr>
        <w:pStyle w:val="251"/>
        <w:tabs>
          <w:tab w:val="left" w:pos="720"/>
        </w:tabs>
        <w:outlineLvl w:val="0"/>
        <w:rPr>
          <w:rFonts w:ascii="宋体" w:hAnsi="宋体" w:eastAsia="宋体"/>
          <w:sz w:val="21"/>
          <w:szCs w:val="21"/>
        </w:rPr>
      </w:pPr>
      <w:r>
        <w:rPr>
          <w:rFonts w:hint="eastAsia" w:ascii="宋体" w:hAnsi="宋体" w:eastAsia="宋体"/>
          <w:sz w:val="21"/>
          <w:szCs w:val="21"/>
        </w:rPr>
        <w:t>4.5 乙方项目经理</w:t>
      </w:r>
    </w:p>
    <w:p w14:paraId="5FB72B66">
      <w:pPr>
        <w:spacing w:line="400" w:lineRule="exact"/>
        <w:ind w:firstLine="420" w:firstLineChars="200"/>
        <w:rPr>
          <w:rFonts w:ascii="宋体" w:hAnsi="宋体" w:cs="Arial"/>
          <w:szCs w:val="21"/>
        </w:rPr>
      </w:pPr>
      <w:r>
        <w:rPr>
          <w:rFonts w:ascii="宋体" w:hAnsi="宋体"/>
          <w:szCs w:val="21"/>
        </w:rPr>
        <w:t>4.5.</w:t>
      </w:r>
      <w:r>
        <w:rPr>
          <w:rFonts w:hint="eastAsia" w:ascii="宋体" w:hAnsi="宋体"/>
          <w:szCs w:val="21"/>
        </w:rPr>
        <w:t>1乙方</w:t>
      </w:r>
      <w:r>
        <w:rPr>
          <w:rFonts w:ascii="宋体" w:hAnsi="宋体"/>
          <w:szCs w:val="21"/>
        </w:rPr>
        <w:t>项目经理必须与乙方投标</w:t>
      </w:r>
      <w:r>
        <w:rPr>
          <w:rFonts w:hint="eastAsia" w:ascii="宋体" w:hAnsi="宋体"/>
          <w:szCs w:val="21"/>
        </w:rPr>
        <w:t>时</w:t>
      </w:r>
      <w:r>
        <w:rPr>
          <w:rFonts w:ascii="宋体" w:hAnsi="宋体"/>
          <w:szCs w:val="21"/>
        </w:rPr>
        <w:t>所</w:t>
      </w:r>
      <w:r>
        <w:rPr>
          <w:rFonts w:hint="eastAsia" w:ascii="宋体" w:hAnsi="宋体"/>
          <w:szCs w:val="21"/>
        </w:rPr>
        <w:t>承诺的</w:t>
      </w:r>
      <w:r>
        <w:rPr>
          <w:rFonts w:ascii="宋体" w:hAnsi="宋体"/>
          <w:szCs w:val="21"/>
        </w:rPr>
        <w:t>人员一致</w:t>
      </w:r>
      <w:r>
        <w:rPr>
          <w:rFonts w:hint="eastAsia" w:ascii="宋体" w:hAnsi="宋体"/>
          <w:szCs w:val="21"/>
        </w:rPr>
        <w:t>，并在根据通用合同条款第11.1.1项确定的开工日期前到任</w:t>
      </w:r>
      <w:r>
        <w:rPr>
          <w:rFonts w:ascii="宋体" w:hAnsi="宋体"/>
          <w:szCs w:val="21"/>
        </w:rPr>
        <w:t>。</w:t>
      </w:r>
      <w:r>
        <w:rPr>
          <w:rFonts w:hint="eastAsia" w:ascii="宋体" w:hAnsi="宋体"/>
          <w:szCs w:val="21"/>
        </w:rPr>
        <w:t>在监理人向乙方颁发（出具）工程接收证书前，</w:t>
      </w:r>
      <w:r>
        <w:rPr>
          <w:rFonts w:ascii="宋体" w:hAnsi="宋体"/>
          <w:szCs w:val="21"/>
        </w:rPr>
        <w:t>项目经理不得同时兼任</w:t>
      </w:r>
      <w:r>
        <w:rPr>
          <w:rFonts w:hint="eastAsia" w:ascii="宋体" w:hAnsi="宋体"/>
          <w:szCs w:val="21"/>
        </w:rPr>
        <w:t>其他任何</w:t>
      </w:r>
      <w:r>
        <w:rPr>
          <w:rFonts w:ascii="宋体" w:hAnsi="宋体"/>
          <w:szCs w:val="21"/>
        </w:rPr>
        <w:t>项目的项目经理。</w:t>
      </w:r>
      <w:r>
        <w:rPr>
          <w:rFonts w:hint="eastAsia" w:ascii="宋体" w:hAnsi="宋体"/>
          <w:szCs w:val="21"/>
        </w:rPr>
        <w:t>未经甲方书面许可，乙方</w:t>
      </w:r>
      <w:r>
        <w:rPr>
          <w:rFonts w:ascii="宋体" w:hAnsi="宋体"/>
          <w:szCs w:val="21"/>
        </w:rPr>
        <w:t>不得更换</w:t>
      </w:r>
      <w:r>
        <w:rPr>
          <w:rFonts w:hint="eastAsia" w:ascii="宋体" w:hAnsi="宋体"/>
          <w:szCs w:val="21"/>
        </w:rPr>
        <w:t>项目经理。乙方项目经理的姓名、职称、身份证号、执业资格证书号、注册证书号、执业印章号、安全生产考核合格证书号等细节资料应当在合同协议书中载明。</w:t>
      </w:r>
    </w:p>
    <w:p w14:paraId="4EB31E68">
      <w:pPr>
        <w:pStyle w:val="251"/>
        <w:tabs>
          <w:tab w:val="left" w:pos="720"/>
        </w:tabs>
        <w:outlineLvl w:val="3"/>
        <w:rPr>
          <w:rFonts w:ascii="宋体" w:hAnsi="宋体" w:eastAsia="宋体"/>
          <w:sz w:val="21"/>
          <w:szCs w:val="21"/>
        </w:rPr>
      </w:pPr>
      <w:r>
        <w:rPr>
          <w:rFonts w:hint="eastAsia" w:ascii="宋体" w:hAnsi="宋体" w:eastAsia="宋体"/>
          <w:sz w:val="21"/>
          <w:szCs w:val="21"/>
        </w:rPr>
        <w:t>4.11 不利物质条件</w:t>
      </w:r>
    </w:p>
    <w:p w14:paraId="25C3A251">
      <w:pPr>
        <w:spacing w:line="400" w:lineRule="exact"/>
        <w:ind w:firstLine="420" w:firstLineChars="200"/>
        <w:rPr>
          <w:rFonts w:ascii="宋体" w:hAnsi="宋体"/>
          <w:szCs w:val="21"/>
        </w:rPr>
      </w:pPr>
      <w:r>
        <w:rPr>
          <w:rFonts w:hint="eastAsia" w:ascii="宋体" w:hAnsi="宋体"/>
          <w:szCs w:val="21"/>
        </w:rPr>
        <w:t>4.11.1不利物质条件的范围：</w:t>
      </w:r>
      <w:r>
        <w:rPr>
          <w:rFonts w:hint="eastAsia" w:ascii="宋体" w:hAnsi="宋体"/>
          <w:szCs w:val="21"/>
          <w:u w:val="single"/>
        </w:rPr>
        <w:t xml:space="preserve">      /     </w:t>
      </w:r>
      <w:r>
        <w:rPr>
          <w:rFonts w:hint="eastAsia" w:ascii="宋体" w:hAnsi="宋体"/>
          <w:szCs w:val="21"/>
        </w:rPr>
        <w:t xml:space="preserve"> 。</w:t>
      </w:r>
    </w:p>
    <w:p w14:paraId="2BF211CB">
      <w:pPr>
        <w:pStyle w:val="251"/>
        <w:tabs>
          <w:tab w:val="left" w:pos="720"/>
        </w:tabs>
        <w:outlineLvl w:val="0"/>
        <w:rPr>
          <w:rFonts w:ascii="宋体" w:hAnsi="宋体" w:eastAsia="宋体"/>
          <w:sz w:val="21"/>
          <w:szCs w:val="21"/>
        </w:rPr>
      </w:pPr>
      <w:r>
        <w:rPr>
          <w:rFonts w:hint="eastAsia" w:ascii="宋体" w:hAnsi="宋体" w:eastAsia="宋体"/>
          <w:sz w:val="21"/>
          <w:szCs w:val="21"/>
        </w:rPr>
        <w:t>5.1 乙方提供的材料和工程设备</w:t>
      </w:r>
    </w:p>
    <w:p w14:paraId="6DB4A2C5">
      <w:pPr>
        <w:spacing w:line="400" w:lineRule="exact"/>
        <w:ind w:firstLine="420" w:firstLineChars="200"/>
        <w:rPr>
          <w:rFonts w:ascii="宋体" w:hAnsi="宋体"/>
          <w:szCs w:val="21"/>
        </w:rPr>
      </w:pPr>
      <w:r>
        <w:rPr>
          <w:rFonts w:hint="eastAsia" w:ascii="宋体" w:hAnsi="宋体"/>
          <w:szCs w:val="21"/>
        </w:rPr>
        <w:t>5.1.1除专用合同条款第5.2款约定由甲方提供的材料和工程设备外，由乙方提供的材料和工程设备均由乙方负责采购、运输和保管。但是，甲方在工程量清单中给定暂估价的材料和工程设备，包括从暂列金额开支的材料和工程设备，其中属于依法必须招标的范围并</w:t>
      </w:r>
      <w:r>
        <w:rPr>
          <w:rFonts w:hint="eastAsia" w:ascii="宋体" w:hAnsi="宋体" w:cs="Arial"/>
          <w:szCs w:val="21"/>
        </w:rPr>
        <w:t>达到规定的规模标准的，以及虽不属于依法必须招标的范围但合同中约定采用招标方式采购的，应当按专用合同条款第15.8.1项的约定，</w:t>
      </w:r>
      <w:r>
        <w:rPr>
          <w:rFonts w:hint="eastAsia" w:ascii="宋体" w:hAnsi="宋体"/>
          <w:szCs w:val="21"/>
        </w:rPr>
        <w:t>由甲方和乙方以招标方式确定专项供应商。乙方负责提供的主要材料和工程设备清单见合同附件二“乙方提供的材料和工程设备一览表”。</w:t>
      </w:r>
    </w:p>
    <w:p w14:paraId="0B16F8DB">
      <w:pPr>
        <w:spacing w:line="400" w:lineRule="exact"/>
        <w:ind w:firstLine="420" w:firstLineChars="200"/>
        <w:rPr>
          <w:rFonts w:ascii="宋体" w:hAnsi="宋体" w:cs="Arial"/>
          <w:szCs w:val="21"/>
        </w:rPr>
      </w:pPr>
      <w:r>
        <w:rPr>
          <w:rFonts w:hint="eastAsia" w:ascii="宋体" w:hAnsi="宋体"/>
          <w:szCs w:val="21"/>
        </w:rPr>
        <w:t>5.1.2 乙方将由其提供的材料和工程设备的供货人及品种、规格、数量和供货时间等报送监理人审批的期限：</w:t>
      </w:r>
      <w:r>
        <w:rPr>
          <w:rFonts w:hint="eastAsia" w:ascii="宋体" w:hAnsi="宋体"/>
          <w:szCs w:val="21"/>
          <w:u w:val="single"/>
        </w:rPr>
        <w:t>施工前15日</w:t>
      </w:r>
      <w:r>
        <w:rPr>
          <w:rFonts w:hint="eastAsia" w:ascii="宋体" w:hAnsi="宋体"/>
          <w:szCs w:val="21"/>
        </w:rPr>
        <w:t xml:space="preserve">。 </w:t>
      </w:r>
    </w:p>
    <w:p w14:paraId="4A0D217C">
      <w:pPr>
        <w:pStyle w:val="251"/>
        <w:tabs>
          <w:tab w:val="left" w:pos="720"/>
        </w:tabs>
        <w:outlineLvl w:val="0"/>
        <w:rPr>
          <w:rFonts w:ascii="宋体" w:hAnsi="宋体" w:eastAsia="宋体"/>
          <w:sz w:val="21"/>
          <w:szCs w:val="21"/>
        </w:rPr>
      </w:pPr>
      <w:r>
        <w:rPr>
          <w:rFonts w:hint="eastAsia" w:ascii="宋体" w:hAnsi="宋体" w:eastAsia="宋体"/>
          <w:sz w:val="21"/>
          <w:szCs w:val="21"/>
        </w:rPr>
        <w:t>5.2 甲方提供的材料和工程设备</w:t>
      </w:r>
    </w:p>
    <w:p w14:paraId="315628AE">
      <w:pPr>
        <w:spacing w:line="400" w:lineRule="exact"/>
        <w:ind w:firstLine="420" w:firstLineChars="200"/>
        <w:rPr>
          <w:rFonts w:ascii="宋体" w:hAnsi="宋体"/>
          <w:szCs w:val="21"/>
        </w:rPr>
      </w:pPr>
      <w:r>
        <w:rPr>
          <w:rFonts w:hint="eastAsia" w:ascii="宋体" w:hAnsi="宋体"/>
          <w:szCs w:val="21"/>
        </w:rPr>
        <w:t>5.2.1甲方负责提供的材料和工程设备的名称、规格、数量、价格、交货方式、交货地点和计划交货日期等见合同附件三“甲方提供的材料和工程设备一览表”。</w:t>
      </w:r>
    </w:p>
    <w:p w14:paraId="6C458509">
      <w:pPr>
        <w:spacing w:line="400" w:lineRule="exact"/>
        <w:ind w:firstLine="420" w:firstLineChars="200"/>
        <w:rPr>
          <w:rFonts w:ascii="宋体" w:hAnsi="宋体"/>
          <w:szCs w:val="21"/>
        </w:rPr>
      </w:pPr>
      <w:r>
        <w:rPr>
          <w:rFonts w:hint="eastAsia" w:ascii="宋体" w:hAnsi="宋体"/>
          <w:szCs w:val="21"/>
        </w:rPr>
        <w:t xml:space="preserve">5.2.3由甲方提供的材料和工程设备验收后，由乙方负责接收、运输和保管。 </w:t>
      </w:r>
    </w:p>
    <w:p w14:paraId="7CB1D389">
      <w:pPr>
        <w:pStyle w:val="250"/>
        <w:spacing w:before="0"/>
        <w:outlineLvl w:val="0"/>
        <w:rPr>
          <w:rFonts w:ascii="宋体" w:hAnsi="宋体"/>
          <w:sz w:val="21"/>
          <w:szCs w:val="21"/>
        </w:rPr>
      </w:pPr>
      <w:r>
        <w:rPr>
          <w:rFonts w:hint="eastAsia" w:ascii="宋体" w:hAnsi="宋体"/>
          <w:sz w:val="21"/>
          <w:szCs w:val="21"/>
        </w:rPr>
        <w:t>6. 施工设备和临时设施</w:t>
      </w:r>
    </w:p>
    <w:p w14:paraId="6FA1C96F">
      <w:pPr>
        <w:pStyle w:val="251"/>
        <w:tabs>
          <w:tab w:val="left" w:pos="720"/>
        </w:tabs>
        <w:outlineLvl w:val="0"/>
        <w:rPr>
          <w:rFonts w:ascii="宋体" w:hAnsi="宋体" w:eastAsia="宋体"/>
          <w:sz w:val="21"/>
          <w:szCs w:val="21"/>
        </w:rPr>
      </w:pPr>
      <w:r>
        <w:rPr>
          <w:rFonts w:hint="eastAsia" w:ascii="宋体" w:hAnsi="宋体" w:eastAsia="宋体"/>
          <w:sz w:val="21"/>
          <w:szCs w:val="21"/>
        </w:rPr>
        <w:t>6.1 乙方提供的施工设备和临时设施</w:t>
      </w:r>
    </w:p>
    <w:p w14:paraId="0514B72F">
      <w:pPr>
        <w:spacing w:line="400" w:lineRule="exact"/>
        <w:ind w:firstLine="420" w:firstLineChars="200"/>
        <w:rPr>
          <w:rFonts w:ascii="宋体" w:hAnsi="宋体"/>
          <w:szCs w:val="21"/>
        </w:rPr>
      </w:pPr>
      <w:r>
        <w:rPr>
          <w:rFonts w:hint="eastAsia" w:ascii="宋体" w:hAnsi="宋体"/>
          <w:szCs w:val="21"/>
        </w:rPr>
        <w:t>6.1.2甲方承担修建临时设施的费用的范围：</w:t>
      </w:r>
      <w:r>
        <w:rPr>
          <w:rFonts w:hint="eastAsia" w:ascii="宋体" w:hAnsi="宋体"/>
          <w:szCs w:val="21"/>
          <w:u w:val="single"/>
        </w:rPr>
        <w:t>满足现场施工的临水、临电以及安全文明施工措施等:住宿、用餐、库房等需承包方自行解决，所需费用由承包人自行承担；其他由双方根据现场实际条件协商解决</w:t>
      </w:r>
      <w:r>
        <w:rPr>
          <w:rFonts w:hint="eastAsia" w:ascii="宋体" w:hAnsi="宋体"/>
          <w:szCs w:val="21"/>
        </w:rPr>
        <w:t xml:space="preserve">。 </w:t>
      </w:r>
    </w:p>
    <w:p w14:paraId="20428117">
      <w:pPr>
        <w:spacing w:line="400" w:lineRule="exact"/>
        <w:ind w:firstLine="420" w:firstLineChars="200"/>
        <w:rPr>
          <w:rFonts w:ascii="宋体" w:hAnsi="宋体" w:cs="Arial"/>
          <w:szCs w:val="21"/>
        </w:rPr>
      </w:pPr>
      <w:r>
        <w:rPr>
          <w:rFonts w:hint="eastAsia" w:ascii="宋体" w:hAnsi="宋体"/>
          <w:szCs w:val="21"/>
        </w:rPr>
        <w:t>需要甲方办理申请手续和承担相关费用的临时占地：</w:t>
      </w:r>
      <w:r>
        <w:rPr>
          <w:rFonts w:hint="eastAsia" w:ascii="宋体" w:hAnsi="宋体"/>
          <w:szCs w:val="21"/>
          <w:u w:val="single"/>
        </w:rPr>
        <w:t xml:space="preserve">      /       </w:t>
      </w:r>
      <w:r>
        <w:rPr>
          <w:rFonts w:hint="eastAsia" w:ascii="宋体" w:hAnsi="宋体"/>
          <w:szCs w:val="21"/>
        </w:rPr>
        <w:t xml:space="preserve">。 </w:t>
      </w:r>
    </w:p>
    <w:p w14:paraId="5F0EA185">
      <w:pPr>
        <w:pStyle w:val="251"/>
        <w:tabs>
          <w:tab w:val="left" w:pos="720"/>
        </w:tabs>
        <w:outlineLvl w:val="0"/>
        <w:rPr>
          <w:rFonts w:ascii="宋体" w:hAnsi="宋体" w:eastAsia="宋体"/>
          <w:sz w:val="21"/>
          <w:szCs w:val="21"/>
        </w:rPr>
      </w:pPr>
      <w:r>
        <w:rPr>
          <w:rFonts w:hint="eastAsia" w:ascii="宋体" w:hAnsi="宋体" w:eastAsia="宋体"/>
          <w:sz w:val="21"/>
          <w:szCs w:val="21"/>
        </w:rPr>
        <w:t>6.2 甲方提供的施工设备和临时设施</w:t>
      </w:r>
    </w:p>
    <w:p w14:paraId="58144232">
      <w:pPr>
        <w:spacing w:line="400" w:lineRule="exact"/>
        <w:ind w:firstLine="420" w:firstLineChars="200"/>
        <w:rPr>
          <w:rFonts w:ascii="宋体" w:hAnsi="宋体"/>
          <w:szCs w:val="21"/>
        </w:rPr>
      </w:pPr>
      <w:r>
        <w:rPr>
          <w:rFonts w:hint="eastAsia" w:ascii="宋体" w:hAnsi="宋体"/>
          <w:szCs w:val="21"/>
        </w:rPr>
        <w:t>甲方提供的施工设备和临时设施：</w:t>
      </w:r>
      <w:r>
        <w:rPr>
          <w:rFonts w:hint="eastAsia" w:ascii="宋体" w:hAnsi="宋体"/>
          <w:szCs w:val="21"/>
          <w:u w:val="single"/>
        </w:rPr>
        <w:t xml:space="preserve">    无   </w:t>
      </w:r>
      <w:r>
        <w:rPr>
          <w:rFonts w:hint="eastAsia" w:ascii="宋体" w:hAnsi="宋体"/>
          <w:szCs w:val="21"/>
        </w:rPr>
        <w:t>。</w:t>
      </w:r>
    </w:p>
    <w:p w14:paraId="169BB785">
      <w:pPr>
        <w:spacing w:line="400" w:lineRule="exact"/>
        <w:ind w:firstLine="420" w:firstLineChars="200"/>
        <w:rPr>
          <w:rFonts w:ascii="宋体" w:hAnsi="宋体"/>
          <w:szCs w:val="21"/>
        </w:rPr>
      </w:pPr>
      <w:r>
        <w:rPr>
          <w:rFonts w:hint="eastAsia" w:ascii="宋体" w:hAnsi="宋体"/>
          <w:szCs w:val="21"/>
        </w:rPr>
        <w:t>甲方提供的施工设备和临时设施的运行、维护、拆除、清运费用的承担人：</w:t>
      </w:r>
      <w:r>
        <w:rPr>
          <w:rFonts w:hint="eastAsia" w:ascii="宋体" w:hAnsi="宋体"/>
          <w:szCs w:val="21"/>
          <w:u w:val="single"/>
        </w:rPr>
        <w:t xml:space="preserve">  无  </w:t>
      </w:r>
      <w:r>
        <w:rPr>
          <w:rFonts w:hint="eastAsia" w:ascii="宋体" w:hAnsi="宋体"/>
          <w:szCs w:val="21"/>
        </w:rPr>
        <w:t xml:space="preserve"> 。</w:t>
      </w:r>
    </w:p>
    <w:p w14:paraId="5F640C90">
      <w:pPr>
        <w:pStyle w:val="251"/>
        <w:tabs>
          <w:tab w:val="left" w:pos="720"/>
        </w:tabs>
        <w:outlineLvl w:val="0"/>
        <w:rPr>
          <w:rFonts w:ascii="宋体" w:hAnsi="宋体" w:eastAsia="宋体"/>
          <w:sz w:val="21"/>
          <w:szCs w:val="21"/>
        </w:rPr>
      </w:pPr>
      <w:r>
        <w:rPr>
          <w:rFonts w:hint="eastAsia" w:ascii="宋体" w:hAnsi="宋体" w:eastAsia="宋体"/>
          <w:sz w:val="21"/>
          <w:szCs w:val="21"/>
        </w:rPr>
        <w:t>6.4 施工设备和临时设施专用于合同工程</w:t>
      </w:r>
    </w:p>
    <w:p w14:paraId="7A0AA2E7">
      <w:pPr>
        <w:spacing w:line="400" w:lineRule="exact"/>
        <w:ind w:firstLine="420" w:firstLineChars="200"/>
        <w:rPr>
          <w:rFonts w:ascii="宋体" w:hAnsi="宋体" w:cs="Arial"/>
          <w:szCs w:val="21"/>
          <w:u w:val="single"/>
          <w:bdr w:val="single" w:color="auto" w:sz="4" w:space="0"/>
        </w:rPr>
      </w:pPr>
      <w:r>
        <w:rPr>
          <w:rFonts w:hint="eastAsia" w:ascii="宋体" w:hAnsi="宋体"/>
          <w:szCs w:val="21"/>
        </w:rPr>
        <w:t>6.4.1除为专用合同条款第4.1.8项约定的其他独立乙方和监理人指示的他人提供条件外,乙方运入施工场地的所有</w:t>
      </w:r>
      <w:r>
        <w:rPr>
          <w:rFonts w:ascii="宋体" w:hAnsi="宋体"/>
          <w:szCs w:val="21"/>
        </w:rPr>
        <w:t>施工设备</w:t>
      </w:r>
      <w:r>
        <w:rPr>
          <w:rFonts w:hint="eastAsia" w:ascii="宋体" w:hAnsi="宋体"/>
          <w:szCs w:val="21"/>
        </w:rPr>
        <w:t>以及在施工场地建设的</w:t>
      </w:r>
      <w:r>
        <w:rPr>
          <w:rFonts w:ascii="宋体" w:hAnsi="宋体"/>
          <w:szCs w:val="21"/>
        </w:rPr>
        <w:t>临时设施</w:t>
      </w:r>
      <w:r>
        <w:rPr>
          <w:rFonts w:hint="eastAsia" w:ascii="宋体" w:hAnsi="宋体"/>
          <w:szCs w:val="21"/>
        </w:rPr>
        <w:t>仅限于用于合同工程。</w:t>
      </w:r>
    </w:p>
    <w:p w14:paraId="36FC0EF4">
      <w:pPr>
        <w:pStyle w:val="250"/>
        <w:spacing w:before="0"/>
        <w:outlineLvl w:val="0"/>
        <w:rPr>
          <w:rFonts w:ascii="宋体" w:hAnsi="宋体"/>
          <w:sz w:val="21"/>
          <w:szCs w:val="21"/>
        </w:rPr>
      </w:pPr>
      <w:r>
        <w:rPr>
          <w:rFonts w:hint="eastAsia" w:ascii="宋体" w:hAnsi="宋体"/>
          <w:sz w:val="21"/>
          <w:szCs w:val="21"/>
        </w:rPr>
        <w:t>7. 交通运输</w:t>
      </w:r>
    </w:p>
    <w:p w14:paraId="44393297">
      <w:pPr>
        <w:pStyle w:val="251"/>
        <w:tabs>
          <w:tab w:val="left" w:pos="720"/>
        </w:tabs>
        <w:outlineLvl w:val="0"/>
        <w:rPr>
          <w:rFonts w:ascii="宋体" w:hAnsi="宋体" w:eastAsia="宋体"/>
          <w:sz w:val="21"/>
          <w:szCs w:val="21"/>
        </w:rPr>
      </w:pPr>
      <w:r>
        <w:rPr>
          <w:rFonts w:hint="eastAsia" w:ascii="宋体" w:hAnsi="宋体" w:eastAsia="宋体"/>
          <w:sz w:val="21"/>
          <w:szCs w:val="21"/>
        </w:rPr>
        <w:t>7.1 道路通行权和场外设施</w:t>
      </w:r>
    </w:p>
    <w:p w14:paraId="7504754F">
      <w:pPr>
        <w:spacing w:line="400" w:lineRule="exact"/>
        <w:ind w:firstLine="420" w:firstLineChars="200"/>
        <w:rPr>
          <w:rFonts w:ascii="宋体" w:hAnsi="宋体"/>
          <w:szCs w:val="21"/>
          <w:u w:val="single"/>
        </w:rPr>
      </w:pPr>
      <w:r>
        <w:rPr>
          <w:rFonts w:hint="eastAsia" w:ascii="宋体" w:hAnsi="宋体"/>
          <w:szCs w:val="21"/>
        </w:rPr>
        <w:t>取得道路通行权、场外设施修建权的办理人:</w:t>
      </w:r>
      <w:r>
        <w:rPr>
          <w:rFonts w:hint="eastAsia" w:ascii="宋体" w:hAnsi="宋体"/>
          <w:szCs w:val="21"/>
          <w:u w:val="single"/>
        </w:rPr>
        <w:t xml:space="preserve">  乙方  </w:t>
      </w:r>
      <w:r>
        <w:rPr>
          <w:rFonts w:hint="eastAsia" w:ascii="宋体" w:hAnsi="宋体"/>
          <w:szCs w:val="21"/>
        </w:rPr>
        <w:t xml:space="preserve"> ，其相关费用由甲方承担。</w:t>
      </w:r>
    </w:p>
    <w:p w14:paraId="7ADF3B9D">
      <w:pPr>
        <w:pStyle w:val="251"/>
        <w:tabs>
          <w:tab w:val="left" w:pos="720"/>
        </w:tabs>
        <w:outlineLvl w:val="0"/>
        <w:rPr>
          <w:rFonts w:ascii="宋体" w:hAnsi="宋体" w:eastAsia="宋体"/>
          <w:sz w:val="21"/>
          <w:szCs w:val="21"/>
        </w:rPr>
      </w:pPr>
      <w:r>
        <w:rPr>
          <w:rFonts w:hint="eastAsia" w:ascii="宋体" w:hAnsi="宋体" w:eastAsia="宋体"/>
          <w:sz w:val="21"/>
          <w:szCs w:val="21"/>
        </w:rPr>
        <w:t>7.2 场内施工道路</w:t>
      </w:r>
    </w:p>
    <w:p w14:paraId="2D6E8704">
      <w:pPr>
        <w:spacing w:line="400" w:lineRule="exact"/>
        <w:ind w:firstLine="420" w:firstLineChars="200"/>
        <w:rPr>
          <w:rFonts w:ascii="宋体" w:hAnsi="宋体"/>
          <w:szCs w:val="21"/>
        </w:rPr>
      </w:pPr>
      <w:r>
        <w:rPr>
          <w:rFonts w:hint="eastAsia" w:ascii="宋体" w:hAnsi="宋体"/>
          <w:szCs w:val="21"/>
        </w:rPr>
        <w:t>7.2.1施工所需的场内临时道路和交通设施的修建、维护、养护和管理人：</w:t>
      </w:r>
      <w:r>
        <w:rPr>
          <w:rFonts w:hint="eastAsia" w:ascii="宋体" w:hAnsi="宋体"/>
          <w:szCs w:val="21"/>
          <w:u w:val="single"/>
        </w:rPr>
        <w:t>乙方</w:t>
      </w:r>
      <w:r>
        <w:rPr>
          <w:rFonts w:hint="eastAsia" w:ascii="宋体" w:hAnsi="宋体"/>
          <w:szCs w:val="21"/>
        </w:rPr>
        <w:t>，相关费用由</w:t>
      </w:r>
      <w:r>
        <w:rPr>
          <w:rFonts w:hint="eastAsia" w:ascii="宋体" w:hAnsi="宋体"/>
          <w:szCs w:val="21"/>
          <w:u w:val="single"/>
        </w:rPr>
        <w:t>乙方</w:t>
      </w:r>
      <w:r>
        <w:rPr>
          <w:rFonts w:hint="eastAsia" w:ascii="宋体" w:hAnsi="宋体"/>
          <w:szCs w:val="21"/>
        </w:rPr>
        <w:t>承担。</w:t>
      </w:r>
    </w:p>
    <w:p w14:paraId="331F1105">
      <w:pPr>
        <w:spacing w:line="400" w:lineRule="exact"/>
        <w:ind w:firstLine="420" w:firstLineChars="200"/>
        <w:rPr>
          <w:rFonts w:ascii="宋体" w:hAnsi="宋体"/>
          <w:szCs w:val="21"/>
          <w:u w:val="single"/>
        </w:rPr>
      </w:pPr>
      <w:r>
        <w:rPr>
          <w:rFonts w:hint="eastAsia" w:ascii="宋体" w:hAnsi="宋体"/>
          <w:szCs w:val="21"/>
        </w:rPr>
        <w:t>7.2.2甲方和监理人有权无偿使用乙方修建的临时道路和交通设施，不需要交纳任何费用。</w:t>
      </w:r>
    </w:p>
    <w:p w14:paraId="321E41B0">
      <w:pPr>
        <w:pStyle w:val="251"/>
        <w:tabs>
          <w:tab w:val="left" w:pos="720"/>
        </w:tabs>
        <w:outlineLvl w:val="0"/>
        <w:rPr>
          <w:rFonts w:ascii="宋体" w:hAnsi="宋体" w:eastAsia="宋体"/>
          <w:sz w:val="21"/>
          <w:szCs w:val="21"/>
        </w:rPr>
      </w:pPr>
      <w:r>
        <w:rPr>
          <w:rFonts w:hint="eastAsia" w:ascii="宋体" w:hAnsi="宋体" w:eastAsia="宋体"/>
          <w:sz w:val="21"/>
          <w:szCs w:val="21"/>
        </w:rPr>
        <w:t>7.4 超大件和超重件的运输</w:t>
      </w:r>
    </w:p>
    <w:p w14:paraId="6FD587EC">
      <w:pPr>
        <w:spacing w:line="400" w:lineRule="exact"/>
        <w:ind w:firstLine="420" w:firstLineChars="200"/>
        <w:rPr>
          <w:rFonts w:ascii="宋体" w:hAnsi="宋体"/>
          <w:szCs w:val="21"/>
        </w:rPr>
      </w:pPr>
      <w:r>
        <w:rPr>
          <w:rFonts w:hint="eastAsia" w:ascii="宋体" w:hAnsi="宋体"/>
          <w:szCs w:val="21"/>
        </w:rPr>
        <w:t>运输超大件或超重件所需的道路和桥梁临时加固改造等费用的承担人：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4C1AB6D7">
      <w:pPr>
        <w:pStyle w:val="250"/>
        <w:spacing w:before="0"/>
        <w:outlineLvl w:val="0"/>
        <w:rPr>
          <w:rFonts w:ascii="宋体" w:hAnsi="宋体"/>
          <w:sz w:val="21"/>
          <w:szCs w:val="21"/>
        </w:rPr>
      </w:pPr>
      <w:r>
        <w:rPr>
          <w:rFonts w:hint="eastAsia" w:ascii="宋体" w:hAnsi="宋体"/>
          <w:sz w:val="21"/>
          <w:szCs w:val="21"/>
        </w:rPr>
        <w:t>8. 测量放线</w:t>
      </w:r>
    </w:p>
    <w:p w14:paraId="1324209F">
      <w:pPr>
        <w:pStyle w:val="251"/>
        <w:tabs>
          <w:tab w:val="left" w:pos="720"/>
        </w:tabs>
        <w:outlineLvl w:val="0"/>
        <w:rPr>
          <w:rFonts w:ascii="宋体" w:hAnsi="宋体" w:eastAsia="宋体"/>
          <w:sz w:val="21"/>
          <w:szCs w:val="21"/>
        </w:rPr>
      </w:pPr>
      <w:r>
        <w:rPr>
          <w:rFonts w:hint="eastAsia" w:ascii="宋体" w:hAnsi="宋体" w:eastAsia="宋体"/>
          <w:sz w:val="21"/>
          <w:szCs w:val="21"/>
        </w:rPr>
        <w:t>8.1 施工控制网</w:t>
      </w:r>
    </w:p>
    <w:p w14:paraId="39E73EE8">
      <w:pPr>
        <w:spacing w:line="400" w:lineRule="exact"/>
        <w:ind w:firstLine="420" w:firstLineChars="200"/>
        <w:rPr>
          <w:rFonts w:ascii="宋体" w:hAnsi="宋体"/>
          <w:szCs w:val="21"/>
          <w:u w:val="single"/>
        </w:rPr>
      </w:pPr>
      <w:r>
        <w:rPr>
          <w:rFonts w:hint="eastAsia" w:ascii="宋体" w:hAnsi="宋体"/>
          <w:szCs w:val="21"/>
        </w:rPr>
        <w:t>8.1.1甲方通过监理人提供测量基准点、基准线和水准点及其书面资料的期限：</w:t>
      </w:r>
      <w:r>
        <w:rPr>
          <w:rFonts w:hint="eastAsia" w:ascii="宋体" w:hAnsi="宋体"/>
          <w:szCs w:val="21"/>
          <w:u w:val="single"/>
        </w:rPr>
        <w:t xml:space="preserve">   / </w:t>
      </w:r>
      <w:r>
        <w:rPr>
          <w:rFonts w:hint="eastAsia" w:ascii="宋体" w:hAnsi="宋体"/>
          <w:szCs w:val="21"/>
        </w:rPr>
        <w:t>。乙方测设施工控制网的要求：</w:t>
      </w:r>
      <w:r>
        <w:rPr>
          <w:rFonts w:hint="eastAsia" w:ascii="宋体" w:hAnsi="宋体"/>
          <w:szCs w:val="21"/>
          <w:u w:val="single"/>
        </w:rPr>
        <w:t xml:space="preserve">   /  </w:t>
      </w:r>
      <w:r>
        <w:rPr>
          <w:rFonts w:hint="eastAsia" w:ascii="宋体" w:hAnsi="宋体"/>
          <w:szCs w:val="21"/>
        </w:rPr>
        <w:t>。乙方将施工控制网资料报送监理人审批的期限：</w:t>
      </w:r>
      <w:r>
        <w:rPr>
          <w:rFonts w:hint="eastAsia" w:ascii="宋体" w:hAnsi="宋体"/>
          <w:szCs w:val="21"/>
          <w:u w:val="single"/>
        </w:rPr>
        <w:t xml:space="preserve">   / </w:t>
      </w:r>
      <w:r>
        <w:rPr>
          <w:rFonts w:hint="eastAsia" w:ascii="宋体" w:hAnsi="宋体"/>
          <w:szCs w:val="21"/>
        </w:rPr>
        <w:t xml:space="preserve">。 </w:t>
      </w:r>
    </w:p>
    <w:p w14:paraId="1B178AC8">
      <w:pPr>
        <w:pStyle w:val="250"/>
        <w:spacing w:before="0"/>
        <w:outlineLvl w:val="0"/>
        <w:rPr>
          <w:rFonts w:ascii="宋体" w:hAnsi="宋体"/>
          <w:sz w:val="21"/>
          <w:szCs w:val="21"/>
        </w:rPr>
      </w:pPr>
      <w:r>
        <w:rPr>
          <w:rFonts w:hint="eastAsia" w:ascii="宋体" w:hAnsi="宋体"/>
          <w:sz w:val="21"/>
          <w:szCs w:val="21"/>
        </w:rPr>
        <w:t>9. 施工安全、治安保卫和环境保护</w:t>
      </w:r>
    </w:p>
    <w:p w14:paraId="36745B4E">
      <w:pPr>
        <w:pStyle w:val="251"/>
        <w:tabs>
          <w:tab w:val="left" w:pos="720"/>
        </w:tabs>
        <w:outlineLvl w:val="0"/>
        <w:rPr>
          <w:rFonts w:ascii="宋体" w:hAnsi="宋体" w:eastAsia="宋体"/>
          <w:sz w:val="21"/>
          <w:szCs w:val="21"/>
        </w:rPr>
      </w:pPr>
      <w:r>
        <w:rPr>
          <w:rFonts w:hint="eastAsia" w:ascii="宋体" w:hAnsi="宋体" w:eastAsia="宋体"/>
          <w:sz w:val="21"/>
          <w:szCs w:val="21"/>
        </w:rPr>
        <w:t>9.2 乙方的施工安全责任</w:t>
      </w:r>
    </w:p>
    <w:p w14:paraId="1C9E551E">
      <w:pPr>
        <w:pStyle w:val="26"/>
        <w:spacing w:line="400" w:lineRule="exact"/>
        <w:ind w:firstLineChars="0"/>
        <w:rPr>
          <w:rFonts w:ascii="宋体" w:hAnsi="宋体" w:eastAsia="宋体"/>
          <w:sz w:val="21"/>
          <w:szCs w:val="21"/>
        </w:rPr>
      </w:pPr>
      <w:r>
        <w:rPr>
          <w:rFonts w:hint="eastAsia" w:ascii="宋体" w:hAnsi="宋体" w:eastAsia="宋体"/>
          <w:sz w:val="21"/>
          <w:szCs w:val="21"/>
        </w:rPr>
        <w:t>9.2.1乙方向监理人报送施工安全措施计划的期限：</w:t>
      </w:r>
      <w:r>
        <w:rPr>
          <w:rFonts w:hint="eastAsia" w:ascii="宋体" w:hAnsi="宋体" w:eastAsia="宋体"/>
          <w:sz w:val="21"/>
          <w:szCs w:val="21"/>
          <w:u w:val="single"/>
        </w:rPr>
        <w:t>本合同生效后7日内。</w:t>
      </w:r>
    </w:p>
    <w:p w14:paraId="7887B82D">
      <w:pPr>
        <w:pStyle w:val="26"/>
        <w:spacing w:line="400" w:lineRule="exact"/>
        <w:ind w:firstLineChars="0"/>
        <w:rPr>
          <w:rFonts w:ascii="宋体" w:hAnsi="宋体" w:eastAsia="宋体"/>
          <w:sz w:val="21"/>
          <w:szCs w:val="21"/>
        </w:rPr>
      </w:pPr>
      <w:r>
        <w:rPr>
          <w:rFonts w:hint="eastAsia" w:ascii="宋体" w:hAnsi="宋体" w:eastAsia="宋体"/>
          <w:sz w:val="21"/>
          <w:szCs w:val="21"/>
        </w:rPr>
        <w:t>监理人收到乙方报送的施工安全措施计划后应当在</w:t>
      </w:r>
      <w:r>
        <w:rPr>
          <w:rFonts w:hint="eastAsia" w:ascii="宋体" w:hAnsi="宋体" w:eastAsia="宋体"/>
          <w:sz w:val="21"/>
          <w:szCs w:val="21"/>
          <w:u w:val="single"/>
        </w:rPr>
        <w:t xml:space="preserve"> 7日</w:t>
      </w:r>
      <w:r>
        <w:rPr>
          <w:rFonts w:hint="eastAsia" w:ascii="宋体" w:hAnsi="宋体" w:eastAsia="宋体"/>
          <w:sz w:val="21"/>
          <w:szCs w:val="21"/>
        </w:rPr>
        <w:t>天内给予批复。</w:t>
      </w:r>
    </w:p>
    <w:p w14:paraId="0A2DE7A5">
      <w:pPr>
        <w:pStyle w:val="251"/>
        <w:tabs>
          <w:tab w:val="left" w:pos="720"/>
        </w:tabs>
        <w:outlineLvl w:val="0"/>
        <w:rPr>
          <w:rFonts w:ascii="宋体" w:hAnsi="宋体" w:eastAsia="宋体"/>
          <w:sz w:val="21"/>
          <w:szCs w:val="21"/>
        </w:rPr>
      </w:pPr>
      <w:r>
        <w:rPr>
          <w:rFonts w:hint="eastAsia" w:ascii="宋体" w:hAnsi="宋体" w:eastAsia="宋体"/>
          <w:sz w:val="21"/>
          <w:szCs w:val="21"/>
        </w:rPr>
        <w:t>9.3 治安保卫</w:t>
      </w:r>
    </w:p>
    <w:p w14:paraId="789B60D0">
      <w:pPr>
        <w:pStyle w:val="26"/>
        <w:spacing w:line="400" w:lineRule="exact"/>
        <w:ind w:firstLineChars="0"/>
        <w:rPr>
          <w:rFonts w:ascii="宋体" w:hAnsi="宋体" w:eastAsia="宋体"/>
          <w:sz w:val="21"/>
          <w:szCs w:val="21"/>
        </w:rPr>
      </w:pPr>
      <w:r>
        <w:rPr>
          <w:rFonts w:hint="eastAsia" w:ascii="宋体" w:hAnsi="宋体" w:eastAsia="宋体"/>
          <w:sz w:val="21"/>
          <w:szCs w:val="21"/>
        </w:rPr>
        <w:t>9.3.1乙方应当负责统一管理施工场地的治安保卫事项，履行合同工程的治安保卫职责。</w:t>
      </w:r>
    </w:p>
    <w:p w14:paraId="38C7776D">
      <w:pPr>
        <w:pStyle w:val="26"/>
        <w:spacing w:line="400" w:lineRule="exact"/>
        <w:ind w:firstLineChars="0"/>
        <w:rPr>
          <w:rFonts w:ascii="宋体" w:hAnsi="宋体" w:eastAsia="宋体"/>
          <w:sz w:val="21"/>
          <w:szCs w:val="21"/>
        </w:rPr>
      </w:pPr>
      <w:r>
        <w:rPr>
          <w:rFonts w:hint="eastAsia" w:ascii="宋体" w:hAnsi="宋体" w:eastAsia="宋体"/>
          <w:sz w:val="21"/>
          <w:szCs w:val="21"/>
        </w:rPr>
        <w:t>9.3.3施工场地治安管理计划和突发治安事件紧急预案的编制责任人：</w:t>
      </w:r>
      <w:r>
        <w:rPr>
          <w:rFonts w:hint="eastAsia" w:ascii="宋体" w:hAnsi="宋体" w:eastAsia="宋体"/>
          <w:sz w:val="21"/>
          <w:szCs w:val="21"/>
          <w:u w:val="single"/>
        </w:rPr>
        <w:t>乙方</w:t>
      </w:r>
      <w:r>
        <w:rPr>
          <w:rFonts w:hint="eastAsia" w:ascii="宋体" w:hAnsi="宋体" w:eastAsia="宋体"/>
          <w:sz w:val="21"/>
          <w:szCs w:val="21"/>
        </w:rPr>
        <w:t>。</w:t>
      </w:r>
    </w:p>
    <w:p w14:paraId="4E4E781C">
      <w:pPr>
        <w:pStyle w:val="251"/>
        <w:tabs>
          <w:tab w:val="left" w:pos="720"/>
        </w:tabs>
        <w:outlineLvl w:val="0"/>
        <w:rPr>
          <w:rFonts w:ascii="宋体" w:hAnsi="宋体" w:eastAsia="宋体"/>
          <w:sz w:val="21"/>
          <w:szCs w:val="21"/>
        </w:rPr>
      </w:pPr>
      <w:r>
        <w:rPr>
          <w:rFonts w:hint="eastAsia" w:ascii="宋体" w:hAnsi="宋体" w:eastAsia="宋体"/>
          <w:sz w:val="21"/>
          <w:szCs w:val="21"/>
        </w:rPr>
        <w:t>9.4 环境保护</w:t>
      </w:r>
    </w:p>
    <w:p w14:paraId="59EFB342">
      <w:pPr>
        <w:pStyle w:val="26"/>
        <w:spacing w:line="400" w:lineRule="exact"/>
        <w:ind w:firstLineChars="0"/>
        <w:rPr>
          <w:rFonts w:ascii="宋体" w:hAnsi="宋体" w:eastAsia="宋体"/>
          <w:sz w:val="21"/>
          <w:szCs w:val="21"/>
        </w:rPr>
      </w:pPr>
      <w:r>
        <w:rPr>
          <w:rFonts w:hint="eastAsia" w:ascii="宋体" w:hAnsi="宋体" w:eastAsia="宋体"/>
          <w:sz w:val="21"/>
          <w:szCs w:val="21"/>
        </w:rPr>
        <w:t>9.4.2施工环保措施计划报送监理人审批的时间：</w:t>
      </w:r>
      <w:r>
        <w:rPr>
          <w:rFonts w:hint="eastAsia" w:ascii="宋体" w:hAnsi="宋体" w:eastAsia="宋体"/>
          <w:sz w:val="21"/>
          <w:szCs w:val="21"/>
          <w:u w:val="single"/>
        </w:rPr>
        <w:t>本合同生效后7日内</w:t>
      </w:r>
      <w:r>
        <w:rPr>
          <w:rFonts w:hint="eastAsia" w:ascii="宋体" w:hAnsi="宋体" w:eastAsia="宋体"/>
          <w:sz w:val="21"/>
          <w:szCs w:val="21"/>
        </w:rPr>
        <w:t>。</w:t>
      </w:r>
    </w:p>
    <w:p w14:paraId="6E23BFBB">
      <w:pPr>
        <w:pStyle w:val="26"/>
        <w:spacing w:line="400" w:lineRule="exact"/>
        <w:ind w:firstLineChars="0"/>
        <w:rPr>
          <w:rFonts w:ascii="宋体" w:hAnsi="宋体" w:eastAsia="宋体"/>
          <w:sz w:val="21"/>
          <w:szCs w:val="21"/>
        </w:rPr>
      </w:pPr>
      <w:r>
        <w:rPr>
          <w:rFonts w:hint="eastAsia" w:ascii="宋体" w:hAnsi="宋体" w:eastAsia="宋体"/>
          <w:sz w:val="21"/>
          <w:szCs w:val="21"/>
        </w:rPr>
        <w:t>监理人收到乙方报送的施工环保措施计划后应当在</w:t>
      </w:r>
      <w:r>
        <w:rPr>
          <w:rFonts w:hint="eastAsia" w:ascii="宋体" w:hAnsi="宋体" w:eastAsia="宋体"/>
          <w:sz w:val="21"/>
          <w:szCs w:val="21"/>
          <w:u w:val="single"/>
        </w:rPr>
        <w:t>7日</w:t>
      </w:r>
      <w:r>
        <w:rPr>
          <w:rFonts w:hint="eastAsia" w:ascii="宋体" w:hAnsi="宋体" w:eastAsia="宋体"/>
          <w:sz w:val="21"/>
          <w:szCs w:val="21"/>
        </w:rPr>
        <w:t>天内给予批复。</w:t>
      </w:r>
    </w:p>
    <w:p w14:paraId="4DAB4FF8">
      <w:pPr>
        <w:pStyle w:val="250"/>
        <w:spacing w:before="0"/>
        <w:outlineLvl w:val="0"/>
        <w:rPr>
          <w:rFonts w:ascii="宋体" w:hAnsi="宋体"/>
          <w:sz w:val="21"/>
          <w:szCs w:val="21"/>
        </w:rPr>
      </w:pPr>
      <w:r>
        <w:rPr>
          <w:rFonts w:hint="eastAsia" w:ascii="宋体" w:hAnsi="宋体"/>
          <w:sz w:val="21"/>
          <w:szCs w:val="21"/>
        </w:rPr>
        <w:t>10. 进度计划</w:t>
      </w:r>
    </w:p>
    <w:p w14:paraId="405EA78E">
      <w:pPr>
        <w:pStyle w:val="251"/>
        <w:tabs>
          <w:tab w:val="left" w:pos="720"/>
        </w:tabs>
        <w:outlineLvl w:val="0"/>
        <w:rPr>
          <w:rFonts w:ascii="宋体" w:hAnsi="宋体" w:eastAsia="宋体"/>
          <w:sz w:val="21"/>
          <w:szCs w:val="21"/>
        </w:rPr>
      </w:pPr>
      <w:r>
        <w:rPr>
          <w:rFonts w:hint="eastAsia" w:ascii="宋体" w:hAnsi="宋体" w:eastAsia="宋体"/>
          <w:sz w:val="21"/>
          <w:szCs w:val="21"/>
        </w:rPr>
        <w:t>10.1 合同进度计划</w:t>
      </w:r>
    </w:p>
    <w:p w14:paraId="23DF1C61">
      <w:pPr>
        <w:pStyle w:val="26"/>
        <w:spacing w:line="400" w:lineRule="exact"/>
        <w:ind w:firstLineChars="0"/>
        <w:rPr>
          <w:rFonts w:ascii="宋体" w:hAnsi="宋体" w:eastAsia="宋体"/>
          <w:sz w:val="21"/>
          <w:szCs w:val="21"/>
        </w:rPr>
      </w:pPr>
      <w:r>
        <w:rPr>
          <w:rFonts w:hint="eastAsia" w:ascii="宋体" w:hAnsi="宋体" w:eastAsia="宋体"/>
          <w:sz w:val="21"/>
          <w:szCs w:val="21"/>
        </w:rPr>
        <w:t>（1）乙方应当在收到监理人按照通用合同条款第11.1.1项发出的开工通知后7天内，编制详细的施工进度计划和施工方案说明并报送监理人。乙方编制施工进度计划和施工方案说明的内容：</w:t>
      </w:r>
      <w:r>
        <w:rPr>
          <w:rFonts w:hint="eastAsia" w:ascii="宋体" w:hAnsi="宋体" w:eastAsia="宋体"/>
          <w:sz w:val="21"/>
          <w:szCs w:val="21"/>
          <w:u w:val="single"/>
        </w:rPr>
        <w:t>乙方应按投标阶段承诺的总进度计划关键线路目标，以及施工顺序和方法要点，向监理人提交更准确更详细的施工进度计划和施工方案。施工总进度计划的内容包括：编制说明，施工总进度计划表，分期分批工程的开工日期、完工日期及工期一览表，资源需要量及供应平衡表等</w:t>
      </w:r>
      <w:r>
        <w:rPr>
          <w:rFonts w:hint="eastAsia" w:ascii="宋体" w:hAnsi="宋体" w:eastAsia="宋体"/>
          <w:sz w:val="21"/>
          <w:szCs w:val="21"/>
        </w:rPr>
        <w:t>，施工进度计划中还应载明要求甲方组织设计人进行阶段性工程设计交底的时间。</w:t>
      </w:r>
    </w:p>
    <w:p w14:paraId="0B65FFFB">
      <w:pPr>
        <w:pStyle w:val="26"/>
        <w:spacing w:line="400" w:lineRule="exact"/>
        <w:ind w:firstLineChars="0"/>
        <w:rPr>
          <w:rFonts w:ascii="宋体" w:hAnsi="宋体" w:eastAsia="宋体"/>
          <w:sz w:val="21"/>
          <w:szCs w:val="21"/>
        </w:rPr>
      </w:pPr>
      <w:r>
        <w:rPr>
          <w:rFonts w:hint="eastAsia" w:ascii="宋体" w:hAnsi="宋体" w:eastAsia="宋体"/>
          <w:sz w:val="21"/>
          <w:szCs w:val="21"/>
        </w:rPr>
        <w:t>（2）监理人批复或对施工进度计划和施工方案说明提出修改意见的期限：自监理人收到乙方报送的相关进度计划和施工方案说明后14天内。</w:t>
      </w:r>
    </w:p>
    <w:p w14:paraId="1C45B1B4">
      <w:pPr>
        <w:pStyle w:val="26"/>
        <w:spacing w:line="400" w:lineRule="exact"/>
        <w:ind w:firstLineChars="0"/>
        <w:rPr>
          <w:rFonts w:ascii="宋体" w:hAnsi="宋体" w:eastAsia="宋体"/>
          <w:sz w:val="21"/>
          <w:szCs w:val="21"/>
        </w:rPr>
      </w:pPr>
      <w:r>
        <w:rPr>
          <w:rFonts w:hint="eastAsia" w:ascii="宋体" w:hAnsi="宋体" w:eastAsia="宋体"/>
          <w:sz w:val="21"/>
          <w:szCs w:val="21"/>
        </w:rPr>
        <w:t>（3）</w:t>
      </w:r>
      <w:r>
        <w:rPr>
          <w:rFonts w:ascii="宋体" w:hAnsi="宋体" w:eastAsia="宋体"/>
          <w:sz w:val="21"/>
          <w:szCs w:val="21"/>
        </w:rPr>
        <w:t>乙方</w:t>
      </w:r>
      <w:r>
        <w:rPr>
          <w:rFonts w:hint="eastAsia" w:ascii="宋体" w:hAnsi="宋体" w:eastAsia="宋体"/>
          <w:sz w:val="21"/>
          <w:szCs w:val="21"/>
        </w:rPr>
        <w:t>编制</w:t>
      </w:r>
      <w:r>
        <w:rPr>
          <w:rFonts w:ascii="宋体" w:hAnsi="宋体" w:eastAsia="宋体"/>
          <w:sz w:val="21"/>
          <w:szCs w:val="21"/>
        </w:rPr>
        <w:t>分阶段或分项</w:t>
      </w:r>
      <w:r>
        <w:rPr>
          <w:rFonts w:hint="eastAsia" w:ascii="宋体" w:hAnsi="宋体" w:eastAsia="宋体"/>
          <w:sz w:val="21"/>
          <w:szCs w:val="21"/>
        </w:rPr>
        <w:t>施工</w:t>
      </w:r>
      <w:r>
        <w:rPr>
          <w:rFonts w:ascii="宋体" w:hAnsi="宋体" w:eastAsia="宋体"/>
          <w:sz w:val="21"/>
          <w:szCs w:val="21"/>
        </w:rPr>
        <w:t>进度计划</w:t>
      </w:r>
      <w:r>
        <w:rPr>
          <w:rFonts w:hint="eastAsia" w:ascii="宋体" w:hAnsi="宋体" w:eastAsia="宋体"/>
          <w:sz w:val="21"/>
          <w:szCs w:val="21"/>
        </w:rPr>
        <w:t>和施工方案说明</w:t>
      </w:r>
      <w:r>
        <w:rPr>
          <w:rFonts w:ascii="宋体" w:hAnsi="宋体" w:eastAsia="宋体"/>
          <w:sz w:val="21"/>
          <w:szCs w:val="21"/>
        </w:rPr>
        <w:t>的内容</w:t>
      </w:r>
      <w:r>
        <w:rPr>
          <w:rFonts w:hint="eastAsia" w:ascii="宋体" w:hAnsi="宋体" w:eastAsia="宋体"/>
          <w:sz w:val="21"/>
          <w:szCs w:val="21"/>
        </w:rPr>
        <w:t>：</w:t>
      </w:r>
      <w:r>
        <w:rPr>
          <w:rFonts w:hint="eastAsia" w:ascii="宋体" w:hAnsi="宋体" w:eastAsia="宋体"/>
          <w:sz w:val="21"/>
          <w:szCs w:val="21"/>
          <w:u w:val="single"/>
        </w:rPr>
        <w:t>分项施工进度计划、分项施工工艺、劳动力安排计划和劳务分包情况、技术要求、安全措施等</w:t>
      </w:r>
      <w:r>
        <w:rPr>
          <w:rFonts w:ascii="宋体" w:hAnsi="宋体" w:eastAsia="宋体"/>
          <w:sz w:val="21"/>
          <w:szCs w:val="21"/>
        </w:rPr>
        <w:t>。乙方</w:t>
      </w:r>
      <w:r>
        <w:rPr>
          <w:rFonts w:hint="eastAsia" w:ascii="宋体" w:hAnsi="宋体" w:eastAsia="宋体"/>
          <w:sz w:val="21"/>
          <w:szCs w:val="21"/>
        </w:rPr>
        <w:t>报送</w:t>
      </w:r>
      <w:r>
        <w:rPr>
          <w:rFonts w:ascii="宋体" w:hAnsi="宋体" w:eastAsia="宋体"/>
          <w:sz w:val="21"/>
          <w:szCs w:val="21"/>
        </w:rPr>
        <w:t>分阶段或分项</w:t>
      </w:r>
      <w:r>
        <w:rPr>
          <w:rFonts w:hint="eastAsia" w:ascii="宋体" w:hAnsi="宋体" w:eastAsia="宋体"/>
          <w:sz w:val="21"/>
          <w:szCs w:val="21"/>
        </w:rPr>
        <w:t>施工</w:t>
      </w:r>
      <w:r>
        <w:rPr>
          <w:rFonts w:ascii="宋体" w:hAnsi="宋体" w:eastAsia="宋体"/>
          <w:sz w:val="21"/>
          <w:szCs w:val="21"/>
        </w:rPr>
        <w:t>进度计划</w:t>
      </w:r>
      <w:r>
        <w:rPr>
          <w:rFonts w:hint="eastAsia" w:ascii="宋体" w:hAnsi="宋体" w:eastAsia="宋体"/>
          <w:sz w:val="21"/>
          <w:szCs w:val="21"/>
        </w:rPr>
        <w:t>和施工方案说明</w:t>
      </w:r>
      <w:r>
        <w:rPr>
          <w:rFonts w:ascii="宋体" w:hAnsi="宋体" w:eastAsia="宋体"/>
          <w:sz w:val="21"/>
          <w:szCs w:val="21"/>
        </w:rPr>
        <w:t>的期限</w:t>
      </w:r>
      <w:r>
        <w:rPr>
          <w:rFonts w:hint="eastAsia" w:ascii="宋体" w:hAnsi="宋体" w:eastAsia="宋体"/>
          <w:sz w:val="21"/>
          <w:szCs w:val="21"/>
        </w:rPr>
        <w:t>：</w:t>
      </w:r>
      <w:r>
        <w:rPr>
          <w:rFonts w:hint="eastAsia" w:ascii="宋体" w:hAnsi="宋体" w:eastAsia="宋体"/>
          <w:sz w:val="21"/>
          <w:szCs w:val="21"/>
          <w:u w:val="single"/>
        </w:rPr>
        <w:t>应于每月25日上报工程施工进度计划</w:t>
      </w:r>
      <w:r>
        <w:rPr>
          <w:rFonts w:hint="eastAsia" w:ascii="宋体" w:hAnsi="宋体" w:eastAsia="宋体"/>
          <w:sz w:val="21"/>
          <w:szCs w:val="21"/>
        </w:rPr>
        <w:t>。</w:t>
      </w:r>
    </w:p>
    <w:p w14:paraId="16C8EA40">
      <w:pPr>
        <w:pStyle w:val="26"/>
        <w:spacing w:line="400" w:lineRule="exact"/>
        <w:ind w:firstLineChars="0"/>
        <w:jc w:val="left"/>
        <w:rPr>
          <w:rFonts w:ascii="宋体" w:hAnsi="宋体" w:eastAsia="宋体"/>
          <w:sz w:val="21"/>
          <w:szCs w:val="21"/>
        </w:rPr>
      </w:pPr>
      <w:r>
        <w:rPr>
          <w:rFonts w:hint="eastAsia" w:ascii="宋体" w:hAnsi="宋体" w:eastAsia="宋体"/>
          <w:sz w:val="21"/>
          <w:szCs w:val="21"/>
        </w:rPr>
        <w:t>（4）群体工程中单位工程分期进行施工的，乙方应按照甲方提供图纸及有关资料的时间，按单位工程编制进度计划和施工方案说明。群体工程中有关进度计划和施工方案说明的要求：</w:t>
      </w:r>
      <w:r>
        <w:rPr>
          <w:rFonts w:hint="eastAsia" w:ascii="宋体" w:hAnsi="宋体" w:eastAsia="宋体"/>
          <w:sz w:val="21"/>
          <w:szCs w:val="21"/>
          <w:u w:val="single"/>
        </w:rPr>
        <w:t xml:space="preserve">   /  </w:t>
      </w:r>
      <w:r>
        <w:rPr>
          <w:rFonts w:hint="eastAsia" w:ascii="宋体" w:hAnsi="宋体" w:eastAsia="宋体"/>
          <w:sz w:val="21"/>
          <w:szCs w:val="21"/>
        </w:rPr>
        <w:t>。</w:t>
      </w:r>
    </w:p>
    <w:p w14:paraId="23D50C7A">
      <w:pPr>
        <w:pStyle w:val="26"/>
        <w:spacing w:line="400" w:lineRule="exact"/>
        <w:ind w:firstLine="0" w:firstLineChars="0"/>
        <w:jc w:val="left"/>
        <w:rPr>
          <w:rFonts w:ascii="宋体" w:hAnsi="宋体" w:eastAsia="宋体" w:cs="Arial"/>
          <w:sz w:val="21"/>
          <w:szCs w:val="21"/>
        </w:rPr>
      </w:pPr>
      <w:r>
        <w:rPr>
          <w:rFonts w:hint="eastAsia" w:ascii="宋体" w:hAnsi="宋体" w:eastAsia="宋体" w:cs="Arial"/>
          <w:sz w:val="21"/>
          <w:szCs w:val="21"/>
        </w:rPr>
        <w:t>10.2 合同进度计划的修订</w:t>
      </w:r>
    </w:p>
    <w:p w14:paraId="5777CED7">
      <w:pPr>
        <w:pStyle w:val="26"/>
        <w:spacing w:line="400" w:lineRule="exact"/>
        <w:ind w:firstLineChars="0"/>
        <w:rPr>
          <w:rFonts w:ascii="宋体" w:hAnsi="宋体" w:eastAsia="宋体"/>
          <w:sz w:val="21"/>
          <w:szCs w:val="21"/>
        </w:rPr>
      </w:pPr>
      <w:r>
        <w:rPr>
          <w:rFonts w:hint="eastAsia" w:ascii="宋体" w:hAnsi="宋体" w:eastAsia="宋体"/>
          <w:sz w:val="21"/>
          <w:szCs w:val="21"/>
        </w:rPr>
        <w:t>（1）乙方报送修订合同进度计划申请报告和相关资料的期限：</w:t>
      </w:r>
      <w:r>
        <w:rPr>
          <w:rFonts w:hint="eastAsia" w:ascii="宋体" w:hAnsi="宋体" w:eastAsia="宋体"/>
          <w:sz w:val="21"/>
          <w:szCs w:val="21"/>
          <w:u w:val="single"/>
        </w:rPr>
        <w:t>签订合同后7日内</w:t>
      </w:r>
      <w:r>
        <w:rPr>
          <w:rFonts w:hint="eastAsia" w:ascii="宋体" w:hAnsi="宋体" w:eastAsia="宋体"/>
          <w:sz w:val="21"/>
          <w:szCs w:val="21"/>
        </w:rPr>
        <w:t>。</w:t>
      </w:r>
    </w:p>
    <w:p w14:paraId="5265FD0B">
      <w:pPr>
        <w:pStyle w:val="26"/>
        <w:spacing w:line="400" w:lineRule="exact"/>
        <w:ind w:firstLineChars="0"/>
        <w:rPr>
          <w:rFonts w:ascii="宋体" w:hAnsi="宋体" w:eastAsia="宋体"/>
          <w:sz w:val="21"/>
          <w:szCs w:val="21"/>
        </w:rPr>
      </w:pPr>
      <w:r>
        <w:rPr>
          <w:rFonts w:hint="eastAsia" w:ascii="宋体" w:hAnsi="宋体" w:eastAsia="宋体"/>
          <w:sz w:val="21"/>
          <w:szCs w:val="21"/>
        </w:rPr>
        <w:t>（2）监理人批复修订合同进度计划申请报告的期限：</w:t>
      </w:r>
      <w:r>
        <w:rPr>
          <w:rFonts w:hint="eastAsia" w:ascii="宋体" w:hAnsi="宋体" w:eastAsia="宋体"/>
          <w:sz w:val="21"/>
          <w:szCs w:val="21"/>
          <w:u w:val="single"/>
        </w:rPr>
        <w:t>收到乙方报送的修订合同进度计划申请报告和相关资料后7天内</w:t>
      </w:r>
      <w:r>
        <w:rPr>
          <w:rFonts w:hint="eastAsia" w:ascii="宋体" w:hAnsi="宋体" w:eastAsia="宋体"/>
          <w:sz w:val="21"/>
          <w:szCs w:val="21"/>
        </w:rPr>
        <w:t>。</w:t>
      </w:r>
    </w:p>
    <w:p w14:paraId="4CA69636">
      <w:pPr>
        <w:pStyle w:val="26"/>
        <w:spacing w:line="400" w:lineRule="exact"/>
        <w:ind w:firstLineChars="0"/>
        <w:rPr>
          <w:rFonts w:ascii="宋体" w:hAnsi="宋体" w:eastAsia="宋体"/>
          <w:sz w:val="21"/>
          <w:szCs w:val="21"/>
          <w:u w:val="single"/>
        </w:rPr>
      </w:pPr>
      <w:r>
        <w:rPr>
          <w:rFonts w:hint="eastAsia" w:ascii="宋体" w:hAnsi="宋体" w:eastAsia="宋体"/>
          <w:sz w:val="21"/>
          <w:szCs w:val="21"/>
        </w:rPr>
        <w:t>（3）监理人批复修订合同进度计划的期限：</w:t>
      </w:r>
      <w:r>
        <w:rPr>
          <w:rFonts w:hint="eastAsia" w:ascii="宋体" w:hAnsi="宋体" w:eastAsia="宋体"/>
          <w:sz w:val="21"/>
          <w:szCs w:val="21"/>
          <w:u w:val="single"/>
        </w:rPr>
        <w:t>收到乙方报送的修订合同进度计划和相关资料后7天内</w:t>
      </w:r>
      <w:r>
        <w:rPr>
          <w:rFonts w:hint="eastAsia" w:ascii="宋体" w:hAnsi="宋体" w:eastAsia="宋体"/>
          <w:sz w:val="21"/>
          <w:szCs w:val="21"/>
        </w:rPr>
        <w:t>。</w:t>
      </w:r>
    </w:p>
    <w:p w14:paraId="5BDDB9F4">
      <w:pPr>
        <w:pStyle w:val="250"/>
        <w:spacing w:before="0"/>
        <w:outlineLvl w:val="0"/>
        <w:rPr>
          <w:rFonts w:ascii="宋体" w:hAnsi="宋体"/>
          <w:sz w:val="21"/>
          <w:szCs w:val="21"/>
        </w:rPr>
      </w:pPr>
      <w:r>
        <w:rPr>
          <w:rFonts w:hint="eastAsia" w:ascii="宋体" w:hAnsi="宋体"/>
          <w:sz w:val="21"/>
          <w:szCs w:val="21"/>
        </w:rPr>
        <w:t>11. 开工和竣工</w:t>
      </w:r>
    </w:p>
    <w:p w14:paraId="75359F89">
      <w:pPr>
        <w:pStyle w:val="251"/>
        <w:tabs>
          <w:tab w:val="left" w:pos="720"/>
        </w:tabs>
        <w:outlineLvl w:val="0"/>
        <w:rPr>
          <w:rFonts w:ascii="宋体" w:hAnsi="宋体" w:eastAsia="宋体"/>
          <w:sz w:val="21"/>
          <w:szCs w:val="21"/>
        </w:rPr>
      </w:pPr>
      <w:r>
        <w:rPr>
          <w:rFonts w:hint="eastAsia" w:ascii="宋体" w:hAnsi="宋体" w:eastAsia="宋体"/>
          <w:sz w:val="21"/>
          <w:szCs w:val="21"/>
        </w:rPr>
        <w:t>11.3 甲方的工期延误</w:t>
      </w:r>
    </w:p>
    <w:p w14:paraId="0381D2D9">
      <w:pPr>
        <w:pStyle w:val="26"/>
        <w:spacing w:line="400" w:lineRule="exact"/>
        <w:ind w:firstLineChars="0"/>
        <w:rPr>
          <w:rFonts w:ascii="宋体" w:hAnsi="宋体" w:eastAsia="宋体"/>
          <w:sz w:val="21"/>
          <w:szCs w:val="21"/>
        </w:rPr>
      </w:pPr>
      <w:r>
        <w:rPr>
          <w:rFonts w:hint="eastAsia" w:ascii="宋体" w:hAnsi="宋体" w:eastAsia="宋体"/>
          <w:sz w:val="21"/>
          <w:szCs w:val="21"/>
        </w:rPr>
        <w:t>(7) 因甲方原因不能按照监理人发出的开工通知中载明的开工日期开工。除甲方原因延期开工外，甲方造成工期延误的其他原因还包括：</w:t>
      </w:r>
      <w:r>
        <w:rPr>
          <w:rFonts w:hint="eastAsia" w:ascii="宋体" w:hAnsi="宋体" w:eastAsia="宋体"/>
          <w:sz w:val="21"/>
          <w:szCs w:val="21"/>
          <w:u w:val="single"/>
        </w:rPr>
        <w:t>(1)因甲方原因造成的设计变更引起的工程量增加或额外增加的工作量（以甲方的书面文件为准）；（2）甲方和乙方双方共通认为必须延长工期的（以书面文件为准）</w:t>
      </w:r>
      <w:r>
        <w:rPr>
          <w:rFonts w:hint="eastAsia" w:ascii="宋体" w:hAnsi="宋体" w:eastAsia="宋体"/>
          <w:sz w:val="21"/>
          <w:szCs w:val="21"/>
        </w:rPr>
        <w:t>等延误乙方关键线路工作的情况。</w:t>
      </w:r>
    </w:p>
    <w:p w14:paraId="1398942C">
      <w:pPr>
        <w:pStyle w:val="251"/>
        <w:tabs>
          <w:tab w:val="left" w:pos="720"/>
        </w:tabs>
        <w:outlineLvl w:val="0"/>
        <w:rPr>
          <w:rFonts w:ascii="宋体" w:hAnsi="宋体" w:eastAsia="宋体"/>
          <w:sz w:val="21"/>
          <w:szCs w:val="21"/>
        </w:rPr>
      </w:pPr>
      <w:r>
        <w:rPr>
          <w:rFonts w:hint="eastAsia" w:ascii="宋体" w:hAnsi="宋体" w:eastAsia="宋体"/>
          <w:sz w:val="21"/>
          <w:szCs w:val="21"/>
        </w:rPr>
        <w:t>11.4 异常恶劣的气候条件</w:t>
      </w:r>
    </w:p>
    <w:p w14:paraId="4481F0E4">
      <w:pPr>
        <w:pStyle w:val="26"/>
        <w:spacing w:line="400" w:lineRule="exact"/>
        <w:ind w:firstLineChars="0"/>
        <w:rPr>
          <w:rFonts w:ascii="宋体" w:hAnsi="宋体" w:eastAsia="宋体"/>
          <w:sz w:val="21"/>
          <w:szCs w:val="21"/>
        </w:rPr>
      </w:pPr>
      <w:r>
        <w:rPr>
          <w:rFonts w:hint="eastAsia" w:ascii="宋体" w:hAnsi="宋体" w:eastAsia="宋体"/>
          <w:sz w:val="21"/>
          <w:szCs w:val="21"/>
        </w:rPr>
        <w:t>异常恶劣的气候条件的范围和标准：</w:t>
      </w:r>
      <w:r>
        <w:rPr>
          <w:rFonts w:hint="eastAsia" w:ascii="宋体" w:hAnsi="宋体" w:eastAsia="宋体"/>
          <w:sz w:val="21"/>
          <w:szCs w:val="21"/>
          <w:u w:val="single"/>
        </w:rPr>
        <w:t>烈度7度（不含7度）以上地震，10级以上（不含10级）台风，日雨量60mm以上暴雨（以国家县（市）级以上气象局（台）、地震局（台）等专门机构公布为准），以及县市级以上政府公告不允许在本场地施工的时段</w:t>
      </w:r>
      <w:r>
        <w:rPr>
          <w:rFonts w:hint="eastAsia" w:ascii="宋体" w:hAnsi="宋体" w:eastAsia="宋体"/>
          <w:sz w:val="21"/>
          <w:szCs w:val="21"/>
        </w:rPr>
        <w:t>。</w:t>
      </w:r>
    </w:p>
    <w:p w14:paraId="1FDAE14D">
      <w:pPr>
        <w:pStyle w:val="26"/>
        <w:spacing w:line="400" w:lineRule="exact"/>
        <w:ind w:firstLineChars="0"/>
        <w:rPr>
          <w:rFonts w:ascii="宋体" w:hAnsi="宋体" w:eastAsia="宋体"/>
          <w:sz w:val="21"/>
          <w:szCs w:val="21"/>
        </w:rPr>
      </w:pPr>
      <w:r>
        <w:rPr>
          <w:rFonts w:hint="eastAsia" w:ascii="宋体" w:hAnsi="宋体" w:eastAsia="宋体"/>
          <w:sz w:val="21"/>
          <w:szCs w:val="21"/>
        </w:rPr>
        <w:t>注：乙方明知本工程处于市区、校内、地下的特点，且在签订本合同时已考虑交通管制、运输限制、各类考试等可能需要停工的各种因素，如有因此而导致停工，不延长工期（特殊情况确需延期的，需要甲方书面同意），乙方也不得进行延误工期索赔。</w:t>
      </w:r>
    </w:p>
    <w:p w14:paraId="4B8E74C4">
      <w:pPr>
        <w:pStyle w:val="251"/>
        <w:tabs>
          <w:tab w:val="left" w:pos="720"/>
        </w:tabs>
        <w:outlineLvl w:val="0"/>
        <w:rPr>
          <w:rFonts w:ascii="宋体" w:hAnsi="宋体" w:eastAsia="宋体"/>
          <w:sz w:val="21"/>
          <w:szCs w:val="21"/>
        </w:rPr>
      </w:pPr>
      <w:r>
        <w:rPr>
          <w:rFonts w:hint="eastAsia" w:ascii="宋体" w:hAnsi="宋体" w:eastAsia="宋体"/>
          <w:sz w:val="21"/>
          <w:szCs w:val="21"/>
        </w:rPr>
        <w:t>11.5 乙方的工期延误</w:t>
      </w:r>
    </w:p>
    <w:p w14:paraId="26C72A02">
      <w:pPr>
        <w:pStyle w:val="26"/>
        <w:spacing w:line="400" w:lineRule="exact"/>
        <w:ind w:firstLineChars="0"/>
        <w:rPr>
          <w:rFonts w:ascii="宋体" w:hAnsi="宋体" w:eastAsia="宋体"/>
          <w:sz w:val="21"/>
          <w:szCs w:val="21"/>
        </w:rPr>
      </w:pPr>
      <w:r>
        <w:rPr>
          <w:rFonts w:hint="eastAsia" w:ascii="宋体" w:hAnsi="宋体" w:eastAsia="宋体"/>
          <w:sz w:val="21"/>
          <w:szCs w:val="21"/>
        </w:rPr>
        <w:t>由于乙方原因造成不能按期竣工的，在按合同约定确定的竣工日期（包括按合同延长的工期）后7天内，监理人应当按通用合同条款第23.4.1项的约定书面通知乙方,说明甲方有权得到按本款约定的下列标准和方法计算的逾期竣工违约金，但最终违约金的金额不应超过本款约定的逾期竣工违约金最高限额。监理人未在规定的期限内发出本款约定的书面通知的，甲方丧失主张逾期竣工违约金的权利。</w:t>
      </w:r>
    </w:p>
    <w:p w14:paraId="71F092E9">
      <w:pPr>
        <w:pStyle w:val="26"/>
        <w:spacing w:line="400" w:lineRule="exact"/>
        <w:ind w:firstLineChars="0"/>
        <w:rPr>
          <w:rFonts w:ascii="宋体" w:hAnsi="宋体" w:eastAsia="宋体"/>
          <w:sz w:val="21"/>
          <w:szCs w:val="21"/>
        </w:rPr>
      </w:pPr>
      <w:r>
        <w:rPr>
          <w:rFonts w:hint="eastAsia" w:ascii="宋体" w:hAnsi="宋体" w:eastAsia="宋体"/>
          <w:sz w:val="21"/>
          <w:szCs w:val="21"/>
        </w:rPr>
        <w:t>逾期竣工违约金的计算标准：</w:t>
      </w:r>
      <w:r>
        <w:rPr>
          <w:rFonts w:hint="eastAsia" w:ascii="宋体" w:hAnsi="宋体" w:eastAsia="宋体"/>
          <w:sz w:val="21"/>
          <w:szCs w:val="21"/>
          <w:u w:val="single"/>
        </w:rPr>
        <w:t>签约合同价的0.</w:t>
      </w:r>
      <w:r>
        <w:rPr>
          <w:rFonts w:ascii="宋体" w:hAnsi="宋体" w:eastAsia="宋体"/>
          <w:sz w:val="21"/>
          <w:szCs w:val="21"/>
          <w:u w:val="single"/>
        </w:rPr>
        <w:t>5</w:t>
      </w:r>
      <w:r>
        <w:rPr>
          <w:rFonts w:hint="eastAsia" w:ascii="宋体" w:hAnsi="宋体" w:eastAsia="宋体"/>
          <w:sz w:val="21"/>
          <w:szCs w:val="21"/>
          <w:u w:val="single"/>
        </w:rPr>
        <w:t>‰</w:t>
      </w:r>
      <w:r>
        <w:rPr>
          <w:rFonts w:hint="eastAsia" w:ascii="宋体" w:hAnsi="宋体" w:eastAsia="宋体"/>
          <w:sz w:val="21"/>
          <w:szCs w:val="21"/>
        </w:rPr>
        <w:t>。</w:t>
      </w:r>
    </w:p>
    <w:p w14:paraId="23A9F31B">
      <w:pPr>
        <w:pStyle w:val="26"/>
        <w:spacing w:line="400" w:lineRule="exact"/>
        <w:ind w:firstLineChars="0"/>
        <w:rPr>
          <w:rFonts w:ascii="宋体" w:hAnsi="宋体" w:eastAsia="宋体"/>
          <w:sz w:val="21"/>
          <w:szCs w:val="21"/>
        </w:rPr>
      </w:pPr>
      <w:r>
        <w:rPr>
          <w:rFonts w:hint="eastAsia" w:ascii="宋体" w:hAnsi="宋体" w:eastAsia="宋体"/>
          <w:sz w:val="21"/>
          <w:szCs w:val="21"/>
        </w:rPr>
        <w:t>逾期竣工违约金的计算方法：</w:t>
      </w:r>
      <w:r>
        <w:rPr>
          <w:rFonts w:hint="eastAsia" w:ascii="宋体" w:hAnsi="宋体" w:eastAsia="宋体"/>
          <w:sz w:val="21"/>
          <w:szCs w:val="21"/>
          <w:u w:val="single"/>
        </w:rPr>
        <w:t>每延误一天，乙方应当向甲方赔偿签约合同价的0.</w:t>
      </w:r>
      <w:r>
        <w:rPr>
          <w:rFonts w:ascii="宋体" w:hAnsi="宋体" w:eastAsia="宋体"/>
          <w:sz w:val="21"/>
          <w:szCs w:val="21"/>
          <w:u w:val="single"/>
        </w:rPr>
        <w:t>5</w:t>
      </w:r>
      <w:r>
        <w:rPr>
          <w:rFonts w:hint="eastAsia" w:ascii="宋体" w:hAnsi="宋体" w:eastAsia="宋体"/>
          <w:sz w:val="21"/>
          <w:szCs w:val="21"/>
          <w:u w:val="single"/>
        </w:rPr>
        <w:t>‰/天整，不足一天按一天计</w:t>
      </w:r>
      <w:r>
        <w:rPr>
          <w:rFonts w:hint="eastAsia" w:ascii="宋体" w:hAnsi="宋体" w:eastAsia="宋体"/>
          <w:sz w:val="21"/>
          <w:szCs w:val="21"/>
        </w:rPr>
        <w:t xml:space="preserve">。 </w:t>
      </w:r>
    </w:p>
    <w:p w14:paraId="37A9AFF4">
      <w:pPr>
        <w:pStyle w:val="26"/>
        <w:spacing w:line="400" w:lineRule="exact"/>
        <w:ind w:firstLineChars="0"/>
        <w:rPr>
          <w:rFonts w:ascii="宋体" w:hAnsi="宋体" w:eastAsia="宋体"/>
          <w:sz w:val="21"/>
          <w:szCs w:val="21"/>
        </w:rPr>
      </w:pPr>
      <w:r>
        <w:rPr>
          <w:rFonts w:hint="eastAsia" w:ascii="宋体" w:hAnsi="宋体" w:eastAsia="宋体"/>
          <w:sz w:val="21"/>
          <w:szCs w:val="21"/>
        </w:rPr>
        <w:t>逾期竣工</w:t>
      </w:r>
      <w:r>
        <w:rPr>
          <w:rFonts w:ascii="宋体" w:hAnsi="宋体" w:eastAsia="宋体"/>
          <w:sz w:val="21"/>
          <w:szCs w:val="21"/>
        </w:rPr>
        <w:t>违约</w:t>
      </w:r>
      <w:r>
        <w:rPr>
          <w:rFonts w:hint="eastAsia" w:ascii="宋体" w:hAnsi="宋体" w:eastAsia="宋体"/>
          <w:sz w:val="21"/>
          <w:szCs w:val="21"/>
        </w:rPr>
        <w:t>金</w:t>
      </w:r>
      <w:r>
        <w:rPr>
          <w:rFonts w:ascii="宋体" w:hAnsi="宋体" w:eastAsia="宋体"/>
          <w:sz w:val="21"/>
          <w:szCs w:val="21"/>
        </w:rPr>
        <w:t>最高限额</w:t>
      </w:r>
      <w:r>
        <w:rPr>
          <w:rFonts w:hint="eastAsia" w:ascii="宋体" w:hAnsi="宋体" w:eastAsia="宋体"/>
          <w:sz w:val="21"/>
          <w:szCs w:val="21"/>
        </w:rPr>
        <w:t>：</w:t>
      </w:r>
      <w:r>
        <w:rPr>
          <w:rFonts w:hint="eastAsia" w:ascii="宋体" w:hAnsi="宋体" w:eastAsia="宋体"/>
          <w:sz w:val="21"/>
          <w:szCs w:val="21"/>
          <w:u w:val="single"/>
        </w:rPr>
        <w:t>合同额的</w:t>
      </w:r>
      <w:r>
        <w:rPr>
          <w:rFonts w:ascii="宋体" w:hAnsi="宋体" w:eastAsia="宋体"/>
          <w:sz w:val="21"/>
          <w:szCs w:val="21"/>
          <w:u w:val="single"/>
        </w:rPr>
        <w:t>30%</w:t>
      </w:r>
      <w:r>
        <w:rPr>
          <w:rFonts w:hint="eastAsia" w:ascii="宋体" w:hAnsi="宋体" w:eastAsia="宋体"/>
          <w:sz w:val="21"/>
          <w:szCs w:val="21"/>
        </w:rPr>
        <w:t>。若因施工方原因延误工期导致发包方政府财政资金被收回，则施工方需承担发包方被政府收回的财政资金及孳息。</w:t>
      </w:r>
    </w:p>
    <w:p w14:paraId="64721CAE">
      <w:pPr>
        <w:pStyle w:val="251"/>
        <w:tabs>
          <w:tab w:val="left" w:pos="720"/>
        </w:tabs>
        <w:outlineLvl w:val="0"/>
        <w:rPr>
          <w:rFonts w:ascii="宋体" w:hAnsi="宋体" w:eastAsia="宋体"/>
          <w:sz w:val="21"/>
          <w:szCs w:val="21"/>
        </w:rPr>
      </w:pPr>
      <w:r>
        <w:rPr>
          <w:rFonts w:hint="eastAsia" w:ascii="宋体" w:hAnsi="宋体" w:eastAsia="宋体"/>
          <w:sz w:val="21"/>
          <w:szCs w:val="21"/>
        </w:rPr>
        <w:t>11.6 工期提前</w:t>
      </w:r>
    </w:p>
    <w:p w14:paraId="66E992BF">
      <w:pPr>
        <w:pStyle w:val="26"/>
        <w:spacing w:line="400" w:lineRule="exact"/>
        <w:ind w:firstLine="478" w:firstLineChars="228"/>
        <w:rPr>
          <w:rFonts w:ascii="宋体" w:hAnsi="宋体" w:eastAsia="宋体"/>
          <w:sz w:val="21"/>
          <w:szCs w:val="21"/>
        </w:rPr>
      </w:pPr>
      <w:r>
        <w:rPr>
          <w:rFonts w:hint="eastAsia" w:ascii="宋体" w:hAnsi="宋体" w:eastAsia="宋体"/>
          <w:sz w:val="21"/>
          <w:szCs w:val="21"/>
        </w:rPr>
        <w:t>提前竣工的奖励办法：</w:t>
      </w:r>
      <w:r>
        <w:rPr>
          <w:rFonts w:hint="eastAsia" w:ascii="宋体" w:hAnsi="宋体" w:eastAsia="宋体"/>
          <w:sz w:val="21"/>
          <w:szCs w:val="21"/>
          <w:u w:val="single"/>
        </w:rPr>
        <w:t xml:space="preserve">  /  </w:t>
      </w:r>
      <w:r>
        <w:rPr>
          <w:rFonts w:hint="eastAsia" w:ascii="宋体" w:hAnsi="宋体" w:eastAsia="宋体"/>
          <w:sz w:val="21"/>
          <w:szCs w:val="21"/>
        </w:rPr>
        <w:t>。</w:t>
      </w:r>
    </w:p>
    <w:p w14:paraId="0055EC3D">
      <w:pPr>
        <w:pStyle w:val="250"/>
        <w:spacing w:before="0"/>
        <w:outlineLvl w:val="0"/>
        <w:rPr>
          <w:rFonts w:ascii="宋体" w:hAnsi="宋体"/>
          <w:sz w:val="21"/>
          <w:szCs w:val="21"/>
        </w:rPr>
      </w:pPr>
      <w:r>
        <w:rPr>
          <w:rFonts w:hint="eastAsia" w:ascii="宋体" w:hAnsi="宋体"/>
          <w:sz w:val="21"/>
          <w:szCs w:val="21"/>
        </w:rPr>
        <w:t>12. 暂停施工</w:t>
      </w:r>
    </w:p>
    <w:p w14:paraId="33D79683">
      <w:pPr>
        <w:pStyle w:val="251"/>
        <w:tabs>
          <w:tab w:val="left" w:pos="720"/>
        </w:tabs>
        <w:outlineLvl w:val="0"/>
        <w:rPr>
          <w:rFonts w:ascii="宋体" w:hAnsi="宋体" w:eastAsia="宋体"/>
          <w:sz w:val="21"/>
          <w:szCs w:val="21"/>
        </w:rPr>
      </w:pPr>
      <w:r>
        <w:rPr>
          <w:rFonts w:hint="eastAsia" w:ascii="宋体" w:hAnsi="宋体" w:eastAsia="宋体"/>
          <w:sz w:val="21"/>
          <w:szCs w:val="21"/>
        </w:rPr>
        <w:t>12.1 乙方暂停施工的责任</w:t>
      </w:r>
    </w:p>
    <w:p w14:paraId="47D28042">
      <w:pPr>
        <w:pStyle w:val="26"/>
        <w:spacing w:line="400" w:lineRule="exact"/>
        <w:ind w:firstLineChars="0"/>
        <w:rPr>
          <w:rFonts w:ascii="宋体" w:hAnsi="宋体" w:eastAsia="宋体"/>
          <w:sz w:val="21"/>
          <w:szCs w:val="21"/>
          <w:u w:val="single"/>
        </w:rPr>
      </w:pPr>
      <w:r>
        <w:rPr>
          <w:rFonts w:hint="eastAsia" w:ascii="宋体" w:hAnsi="宋体" w:eastAsia="宋体"/>
          <w:sz w:val="21"/>
          <w:szCs w:val="21"/>
        </w:rPr>
        <w:t>（5）乙方承担暂停施工责任的其他情形：</w:t>
      </w:r>
      <w:r>
        <w:rPr>
          <w:rFonts w:hint="eastAsia" w:ascii="宋体" w:hAnsi="宋体" w:eastAsia="宋体"/>
          <w:sz w:val="21"/>
          <w:szCs w:val="21"/>
          <w:u w:val="single"/>
        </w:rPr>
        <w:t>1）因乙方违反规范或任何工程质量不合格而进行返工、重建、修建的工期；2）未按设计要求进行施工或因施工组织方案不可行导致甲方未能按时审批而影响工期的；3）工程验收不合格发现存在质量问题或技术问题需要整改的；4）乙方自身原因的待工待料的；5）工程质量未达到等级标准要求，甲方要求乙方返工的。发生以上情形工期不予顺延，因此导致的额外费用甲方不予补偿。</w:t>
      </w:r>
    </w:p>
    <w:p w14:paraId="02B989B9">
      <w:pPr>
        <w:pStyle w:val="251"/>
        <w:tabs>
          <w:tab w:val="left" w:pos="720"/>
        </w:tabs>
        <w:outlineLvl w:val="0"/>
        <w:rPr>
          <w:rFonts w:ascii="宋体" w:hAnsi="宋体" w:eastAsia="宋体"/>
          <w:sz w:val="21"/>
          <w:szCs w:val="21"/>
        </w:rPr>
      </w:pPr>
      <w:r>
        <w:rPr>
          <w:rFonts w:hint="eastAsia" w:ascii="宋体" w:hAnsi="宋体" w:eastAsia="宋体"/>
          <w:sz w:val="21"/>
          <w:szCs w:val="21"/>
        </w:rPr>
        <w:t>12.4 暂停施工后的复工</w:t>
      </w:r>
    </w:p>
    <w:p w14:paraId="3E2A0A3C">
      <w:pPr>
        <w:spacing w:line="400" w:lineRule="exact"/>
        <w:ind w:firstLine="420" w:firstLineChars="200"/>
        <w:rPr>
          <w:rFonts w:ascii="宋体" w:hAnsi="宋体"/>
          <w:szCs w:val="21"/>
        </w:rPr>
      </w:pPr>
      <w:r>
        <w:rPr>
          <w:rFonts w:ascii="宋体" w:hAnsi="宋体" w:cs="Arial"/>
          <w:szCs w:val="21"/>
        </w:rPr>
        <w:t>12.</w:t>
      </w:r>
      <w:r>
        <w:rPr>
          <w:rFonts w:hint="eastAsia" w:ascii="宋体" w:hAnsi="宋体" w:cs="Arial"/>
          <w:szCs w:val="21"/>
        </w:rPr>
        <w:t xml:space="preserve">4.3 </w:t>
      </w:r>
      <w:r>
        <w:rPr>
          <w:rFonts w:hint="eastAsia" w:ascii="宋体" w:hAnsi="宋体"/>
          <w:szCs w:val="21"/>
        </w:rPr>
        <w:t>根据通用合同条款第12.4.1款的约定，监理人发出复工通知后，监理人应和乙方一起对受到暂停施工影响的工程、材料和工程设备进行检查。乙方负责修复在暂停施工期间发生在工程、材料和工程设备上的任何损蚀、缺陷或损失，修复费用由承担暂停施工责任的责任人承担。</w:t>
      </w:r>
    </w:p>
    <w:p w14:paraId="73E55D3E">
      <w:pPr>
        <w:spacing w:line="400" w:lineRule="exact"/>
        <w:ind w:firstLine="420" w:firstLineChars="200"/>
        <w:rPr>
          <w:rFonts w:ascii="宋体" w:hAnsi="宋体"/>
          <w:szCs w:val="21"/>
        </w:rPr>
      </w:pPr>
      <w:r>
        <w:rPr>
          <w:rFonts w:ascii="宋体" w:hAnsi="宋体" w:cs="Arial"/>
          <w:szCs w:val="21"/>
        </w:rPr>
        <w:t>12.</w:t>
      </w:r>
      <w:r>
        <w:rPr>
          <w:rFonts w:hint="eastAsia" w:ascii="宋体" w:hAnsi="宋体" w:cs="Arial"/>
          <w:szCs w:val="21"/>
        </w:rPr>
        <w:t xml:space="preserve">4.4 </w:t>
      </w:r>
      <w:r>
        <w:rPr>
          <w:rFonts w:hint="eastAsia" w:ascii="宋体" w:hAnsi="宋体"/>
          <w:szCs w:val="21"/>
        </w:rPr>
        <w:t>因发包人的原因造成暂停施工持续56天以上，按合同约定由承包人提供的材料和工程设备，由于暂停施工原因导致承包人在暂停施工前已经订购但被暂停运至施工现场的，发包人应按照承包人订购合同的约定支付相应的订货损失。</w:t>
      </w:r>
    </w:p>
    <w:p w14:paraId="7ACDFD59">
      <w:pPr>
        <w:pStyle w:val="250"/>
        <w:spacing w:before="0"/>
        <w:outlineLvl w:val="0"/>
        <w:rPr>
          <w:rFonts w:ascii="宋体" w:hAnsi="宋体"/>
          <w:sz w:val="21"/>
          <w:szCs w:val="21"/>
        </w:rPr>
      </w:pPr>
      <w:r>
        <w:rPr>
          <w:rFonts w:hint="eastAsia" w:ascii="宋体" w:hAnsi="宋体"/>
          <w:sz w:val="21"/>
          <w:szCs w:val="21"/>
        </w:rPr>
        <w:t>13. 工程质量</w:t>
      </w:r>
    </w:p>
    <w:p w14:paraId="45E25123">
      <w:pPr>
        <w:pStyle w:val="251"/>
        <w:tabs>
          <w:tab w:val="left" w:pos="720"/>
        </w:tabs>
        <w:outlineLvl w:val="0"/>
        <w:rPr>
          <w:rFonts w:ascii="宋体" w:hAnsi="宋体" w:eastAsia="宋体"/>
          <w:sz w:val="21"/>
          <w:szCs w:val="21"/>
        </w:rPr>
      </w:pPr>
      <w:r>
        <w:rPr>
          <w:rFonts w:hint="eastAsia" w:ascii="宋体" w:hAnsi="宋体" w:eastAsia="宋体"/>
          <w:sz w:val="21"/>
          <w:szCs w:val="21"/>
        </w:rPr>
        <w:t>13.2 乙方的质量管理</w:t>
      </w:r>
    </w:p>
    <w:p w14:paraId="1EA77547">
      <w:pPr>
        <w:spacing w:line="400" w:lineRule="exact"/>
        <w:ind w:firstLine="420" w:firstLineChars="200"/>
        <w:rPr>
          <w:rFonts w:ascii="宋体" w:hAnsi="宋体" w:cs="Arial"/>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1乙方向监理人提交工程质量保证措施文件的期限：</w:t>
      </w:r>
      <w:r>
        <w:rPr>
          <w:rFonts w:hint="eastAsia" w:ascii="宋体" w:hAnsi="宋体"/>
          <w:szCs w:val="21"/>
          <w:u w:val="single"/>
        </w:rPr>
        <w:t>合同生效后7日内</w:t>
      </w:r>
      <w:r>
        <w:rPr>
          <w:rFonts w:ascii="宋体" w:hAnsi="宋体"/>
          <w:szCs w:val="21"/>
          <w:u w:val="single"/>
        </w:rPr>
        <w:t>。</w:t>
      </w:r>
    </w:p>
    <w:p w14:paraId="3C8B34CD">
      <w:pPr>
        <w:spacing w:line="400" w:lineRule="exact"/>
        <w:ind w:firstLine="420" w:firstLineChars="200"/>
        <w:rPr>
          <w:rFonts w:ascii="宋体" w:hAnsi="宋体"/>
          <w:szCs w:val="21"/>
        </w:rPr>
      </w:pPr>
      <w:r>
        <w:rPr>
          <w:rFonts w:hint="eastAsia" w:ascii="宋体" w:hAnsi="宋体"/>
          <w:szCs w:val="21"/>
        </w:rPr>
        <w:t>监理人审批工程质量保证措施文件的期限：</w:t>
      </w:r>
      <w:r>
        <w:rPr>
          <w:rFonts w:hint="eastAsia" w:ascii="宋体" w:hAnsi="宋体"/>
          <w:szCs w:val="21"/>
          <w:u w:val="single"/>
        </w:rPr>
        <w:t>收到质量保证措施文件后7日内。</w:t>
      </w:r>
    </w:p>
    <w:p w14:paraId="3BF85E4B">
      <w:pPr>
        <w:pStyle w:val="251"/>
        <w:tabs>
          <w:tab w:val="left" w:pos="720"/>
        </w:tabs>
        <w:outlineLvl w:val="0"/>
        <w:rPr>
          <w:rFonts w:ascii="宋体" w:hAnsi="宋体" w:eastAsia="宋体"/>
          <w:sz w:val="21"/>
          <w:szCs w:val="21"/>
        </w:rPr>
      </w:pPr>
      <w:r>
        <w:rPr>
          <w:rFonts w:hint="eastAsia" w:ascii="宋体" w:hAnsi="宋体" w:eastAsia="宋体"/>
          <w:sz w:val="21"/>
          <w:szCs w:val="21"/>
        </w:rPr>
        <w:t>13.3 乙方的质量检查</w:t>
      </w:r>
    </w:p>
    <w:p w14:paraId="014686CD">
      <w:pPr>
        <w:spacing w:line="400" w:lineRule="exact"/>
        <w:ind w:firstLine="420" w:firstLineChars="200"/>
        <w:rPr>
          <w:rFonts w:ascii="宋体" w:hAnsi="宋体"/>
          <w:szCs w:val="21"/>
          <w:u w:val="single"/>
        </w:rPr>
      </w:pPr>
      <w:r>
        <w:rPr>
          <w:rFonts w:hint="eastAsia" w:ascii="宋体" w:hAnsi="宋体"/>
          <w:szCs w:val="21"/>
        </w:rPr>
        <w:t>乙方向监理人报送工程质量报表的期限：</w:t>
      </w:r>
      <w:r>
        <w:rPr>
          <w:rFonts w:hint="eastAsia" w:ascii="宋体" w:hAnsi="宋体"/>
          <w:szCs w:val="21"/>
          <w:u w:val="single"/>
        </w:rPr>
        <w:t>每月25日提交</w:t>
      </w:r>
      <w:r>
        <w:rPr>
          <w:rFonts w:ascii="宋体" w:hAnsi="宋体"/>
          <w:szCs w:val="21"/>
          <w:u w:val="single"/>
        </w:rPr>
        <w:t>。</w:t>
      </w:r>
    </w:p>
    <w:p w14:paraId="22B9801C">
      <w:pPr>
        <w:spacing w:line="400" w:lineRule="exact"/>
        <w:ind w:firstLine="420" w:firstLineChars="200"/>
        <w:rPr>
          <w:rFonts w:ascii="宋体" w:hAnsi="宋体"/>
          <w:szCs w:val="21"/>
        </w:rPr>
      </w:pPr>
      <w:r>
        <w:rPr>
          <w:rFonts w:hint="eastAsia" w:ascii="宋体" w:hAnsi="宋体"/>
          <w:szCs w:val="21"/>
        </w:rPr>
        <w:t>乙方向监理人报送工程质量报表的要求：</w:t>
      </w:r>
      <w:r>
        <w:rPr>
          <w:rFonts w:hint="eastAsia" w:ascii="宋体" w:hAnsi="宋体"/>
          <w:szCs w:val="21"/>
          <w:u w:val="single"/>
        </w:rPr>
        <w:t xml:space="preserve">                /                    </w:t>
      </w:r>
      <w:r>
        <w:rPr>
          <w:rFonts w:ascii="宋体" w:hAnsi="宋体"/>
          <w:szCs w:val="21"/>
        </w:rPr>
        <w:t>。</w:t>
      </w:r>
    </w:p>
    <w:p w14:paraId="2F041E00">
      <w:pPr>
        <w:spacing w:line="400" w:lineRule="exact"/>
        <w:ind w:firstLine="420" w:firstLineChars="200"/>
        <w:rPr>
          <w:rFonts w:ascii="宋体" w:hAnsi="宋体"/>
          <w:szCs w:val="21"/>
          <w:u w:val="single"/>
        </w:rPr>
      </w:pPr>
      <w:r>
        <w:rPr>
          <w:rFonts w:hint="eastAsia" w:ascii="宋体" w:hAnsi="宋体"/>
          <w:szCs w:val="21"/>
        </w:rPr>
        <w:t>监理人审查工程质量报表的期限：</w:t>
      </w:r>
      <w:r>
        <w:rPr>
          <w:rFonts w:hint="eastAsia" w:ascii="宋体" w:hAnsi="宋体"/>
          <w:szCs w:val="21"/>
          <w:u w:val="single"/>
        </w:rPr>
        <w:t>收到乙方提交的工程质量报表后7天内进行审查</w:t>
      </w:r>
      <w:r>
        <w:rPr>
          <w:rFonts w:ascii="宋体" w:hAnsi="宋体"/>
          <w:szCs w:val="21"/>
          <w:u w:val="single"/>
        </w:rPr>
        <w:t>。</w:t>
      </w:r>
    </w:p>
    <w:p w14:paraId="0BAF3892">
      <w:pPr>
        <w:spacing w:line="400" w:lineRule="exact"/>
        <w:rPr>
          <w:rFonts w:ascii="宋体" w:hAnsi="宋体" w:cs="Arial"/>
          <w:szCs w:val="21"/>
        </w:rPr>
      </w:pPr>
      <w:r>
        <w:rPr>
          <w:rFonts w:hint="eastAsia" w:ascii="宋体" w:hAnsi="宋体" w:cs="Arial"/>
          <w:szCs w:val="21"/>
        </w:rPr>
        <w:t>13.4 监理人的质量检查</w:t>
      </w:r>
    </w:p>
    <w:p w14:paraId="15503565">
      <w:pPr>
        <w:spacing w:line="400" w:lineRule="exact"/>
        <w:ind w:firstLine="420" w:firstLineChars="200"/>
        <w:rPr>
          <w:rFonts w:ascii="宋体" w:hAnsi="宋体"/>
          <w:szCs w:val="21"/>
        </w:rPr>
      </w:pPr>
      <w:r>
        <w:rPr>
          <w:rFonts w:hint="eastAsia" w:ascii="宋体" w:hAnsi="宋体"/>
          <w:szCs w:val="21"/>
        </w:rPr>
        <w:t>乙方应当为监理人的检查和检验提供方便，监理人可以进行察看和查阅施工原始记录的其他地方包括：</w:t>
      </w:r>
      <w:r>
        <w:rPr>
          <w:rFonts w:hint="eastAsia" w:ascii="宋体" w:hAnsi="宋体"/>
          <w:szCs w:val="21"/>
          <w:u w:val="single"/>
        </w:rPr>
        <w:t>乙方的材料加工现场</w:t>
      </w:r>
      <w:r>
        <w:rPr>
          <w:rFonts w:hint="eastAsia" w:ascii="宋体" w:hAnsi="宋体"/>
          <w:szCs w:val="21"/>
        </w:rPr>
        <w:t>。</w:t>
      </w:r>
    </w:p>
    <w:p w14:paraId="67508166">
      <w:pPr>
        <w:pStyle w:val="251"/>
        <w:tabs>
          <w:tab w:val="left" w:pos="720"/>
        </w:tabs>
        <w:outlineLvl w:val="0"/>
        <w:rPr>
          <w:rFonts w:ascii="宋体" w:hAnsi="宋体" w:eastAsia="宋体"/>
          <w:sz w:val="21"/>
          <w:szCs w:val="21"/>
        </w:rPr>
      </w:pPr>
      <w:r>
        <w:rPr>
          <w:rFonts w:hint="eastAsia" w:ascii="宋体" w:hAnsi="宋体" w:eastAsia="宋体"/>
          <w:sz w:val="21"/>
          <w:szCs w:val="21"/>
        </w:rPr>
        <w:t>13.5 工程隐蔽部位覆盖前的检查</w:t>
      </w:r>
    </w:p>
    <w:p w14:paraId="160052D6">
      <w:pPr>
        <w:spacing w:line="400" w:lineRule="exact"/>
        <w:ind w:firstLine="420" w:firstLineChars="200"/>
        <w:rPr>
          <w:rFonts w:ascii="宋体" w:hAnsi="宋体" w:cs="Arial"/>
          <w:szCs w:val="21"/>
          <w:u w:val="single"/>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5</w:t>
      </w:r>
      <w:r>
        <w:rPr>
          <w:rFonts w:ascii="宋体" w:hAnsi="宋体"/>
          <w:szCs w:val="21"/>
        </w:rPr>
        <w:t>.</w:t>
      </w:r>
      <w:r>
        <w:rPr>
          <w:rFonts w:hint="eastAsia" w:ascii="宋体" w:hAnsi="宋体"/>
          <w:szCs w:val="21"/>
        </w:rPr>
        <w:t>1监理人对工程隐蔽部位进行检查的期限：</w:t>
      </w:r>
      <w:r>
        <w:rPr>
          <w:rFonts w:hint="eastAsia" w:ascii="宋体" w:hAnsi="宋体"/>
          <w:szCs w:val="21"/>
          <w:u w:val="single"/>
        </w:rPr>
        <w:t>收到乙方的检查通知后12小时内。</w:t>
      </w:r>
    </w:p>
    <w:p w14:paraId="52BC005C">
      <w:pPr>
        <w:pStyle w:val="251"/>
        <w:tabs>
          <w:tab w:val="left" w:pos="720"/>
        </w:tabs>
        <w:outlineLvl w:val="0"/>
        <w:rPr>
          <w:rFonts w:ascii="宋体" w:hAnsi="宋体" w:eastAsia="宋体"/>
          <w:sz w:val="21"/>
          <w:szCs w:val="21"/>
        </w:rPr>
      </w:pPr>
      <w:r>
        <w:rPr>
          <w:rFonts w:hint="eastAsia" w:ascii="宋体" w:hAnsi="宋体" w:eastAsia="宋体"/>
          <w:sz w:val="21"/>
          <w:szCs w:val="21"/>
        </w:rPr>
        <w:t>13.7 质量争议</w:t>
      </w:r>
    </w:p>
    <w:p w14:paraId="306EE414">
      <w:pPr>
        <w:spacing w:line="400" w:lineRule="exact"/>
        <w:ind w:firstLine="420" w:firstLineChars="200"/>
        <w:rPr>
          <w:rFonts w:ascii="宋体" w:hAnsi="宋体"/>
          <w:szCs w:val="21"/>
        </w:rPr>
      </w:pPr>
      <w:r>
        <w:rPr>
          <w:rFonts w:hint="eastAsia" w:ascii="宋体" w:hAnsi="宋体"/>
          <w:szCs w:val="21"/>
        </w:rPr>
        <w:t>甲方和乙方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1693C507">
      <w:pPr>
        <w:pStyle w:val="250"/>
        <w:spacing w:before="0"/>
        <w:outlineLvl w:val="0"/>
        <w:rPr>
          <w:rFonts w:ascii="宋体" w:hAnsi="宋体"/>
          <w:sz w:val="21"/>
          <w:szCs w:val="21"/>
        </w:rPr>
      </w:pPr>
      <w:r>
        <w:rPr>
          <w:rFonts w:hint="eastAsia" w:ascii="宋体" w:hAnsi="宋体"/>
          <w:sz w:val="21"/>
          <w:szCs w:val="21"/>
        </w:rPr>
        <w:t>15. 变更</w:t>
      </w:r>
    </w:p>
    <w:p w14:paraId="24D9F922">
      <w:pPr>
        <w:pStyle w:val="251"/>
        <w:tabs>
          <w:tab w:val="left" w:pos="720"/>
        </w:tabs>
        <w:outlineLvl w:val="0"/>
        <w:rPr>
          <w:rFonts w:ascii="宋体" w:hAnsi="宋体" w:eastAsia="宋体"/>
          <w:sz w:val="21"/>
          <w:szCs w:val="21"/>
        </w:rPr>
      </w:pPr>
      <w:r>
        <w:rPr>
          <w:rFonts w:hint="eastAsia" w:ascii="宋体" w:hAnsi="宋体" w:eastAsia="宋体"/>
          <w:sz w:val="21"/>
          <w:szCs w:val="21"/>
        </w:rPr>
        <w:t>15.1 变更的范围和内容</w:t>
      </w:r>
    </w:p>
    <w:p w14:paraId="55C377BC">
      <w:pPr>
        <w:spacing w:line="400" w:lineRule="exact"/>
        <w:ind w:firstLine="420" w:firstLineChars="200"/>
        <w:rPr>
          <w:rFonts w:ascii="宋体" w:hAnsi="宋体"/>
          <w:szCs w:val="21"/>
        </w:rPr>
      </w:pPr>
      <w:r>
        <w:rPr>
          <w:rFonts w:hint="eastAsia" w:ascii="宋体" w:hAnsi="宋体"/>
          <w:szCs w:val="21"/>
        </w:rPr>
        <w:t>应当进行变更的其他情形：</w:t>
      </w:r>
      <w:r>
        <w:rPr>
          <w:rFonts w:hint="eastAsia" w:ascii="宋体" w:hAnsi="宋体"/>
          <w:szCs w:val="21"/>
          <w:u w:val="single"/>
        </w:rPr>
        <w:t xml:space="preserve">合同风险范围以外的内容为：（1）设计变更及洽商变更；（2）主要材料、人工及机械的价格超出约定承担风险的范围；（3）双方约定的其他内容：国家政策明确必须调整的内容等 </w:t>
      </w:r>
      <w:r>
        <w:rPr>
          <w:rFonts w:hint="eastAsia" w:ascii="宋体" w:hAnsi="宋体"/>
          <w:szCs w:val="21"/>
        </w:rPr>
        <w:t>。</w:t>
      </w:r>
    </w:p>
    <w:p w14:paraId="7042F46B">
      <w:pPr>
        <w:spacing w:line="400" w:lineRule="exact"/>
        <w:ind w:firstLine="420" w:firstLineChars="200"/>
        <w:rPr>
          <w:rFonts w:ascii="宋体" w:hAnsi="宋体"/>
          <w:szCs w:val="21"/>
        </w:rPr>
      </w:pPr>
      <w:r>
        <w:rPr>
          <w:rFonts w:hint="eastAsia" w:ascii="宋体" w:hAnsi="宋体"/>
          <w:szCs w:val="21"/>
        </w:rPr>
        <w:t>甲方违背通用合同条款15.1（1）目的约定，将被取消的合同中的工作转由甲方或其他人实施的，乙方可向监理人发出通知，要求甲方采取有效措施纠正违约行为，甲方在监理人收到乙方通知后28天内仍不纠正违约行为的，应当赔偿乙方损失（包括合理的利润）并承担由此引起的其他责任。乙方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甲方支付给乙方的损失赔偿金额应当包括被取消工作的合同价值中所包含的乙方管理费、利润以及相应的税金和规费。</w:t>
      </w:r>
    </w:p>
    <w:p w14:paraId="0B57D44F">
      <w:pPr>
        <w:pStyle w:val="251"/>
        <w:tabs>
          <w:tab w:val="left" w:pos="720"/>
        </w:tabs>
        <w:outlineLvl w:val="0"/>
        <w:rPr>
          <w:rFonts w:ascii="宋体" w:hAnsi="宋体" w:eastAsia="宋体"/>
          <w:sz w:val="21"/>
          <w:szCs w:val="21"/>
        </w:rPr>
      </w:pPr>
      <w:r>
        <w:rPr>
          <w:rFonts w:hint="eastAsia" w:ascii="宋体" w:hAnsi="宋体" w:eastAsia="宋体"/>
          <w:sz w:val="21"/>
          <w:szCs w:val="21"/>
        </w:rPr>
        <w:t>15.3 变更程序</w:t>
      </w:r>
    </w:p>
    <w:p w14:paraId="2ED584B6">
      <w:pPr>
        <w:spacing w:line="400" w:lineRule="exact"/>
        <w:ind w:firstLine="420" w:firstLineChars="200"/>
        <w:rPr>
          <w:rFonts w:ascii="宋体" w:hAnsi="宋体" w:cs="Arial"/>
          <w:szCs w:val="21"/>
        </w:rPr>
      </w:pPr>
      <w:r>
        <w:rPr>
          <w:rFonts w:hint="eastAsia" w:ascii="宋体" w:hAnsi="宋体" w:cs="Arial"/>
          <w:szCs w:val="21"/>
        </w:rPr>
        <w:t>15.3.2 变更估价</w:t>
      </w:r>
    </w:p>
    <w:p w14:paraId="029FB112">
      <w:pPr>
        <w:spacing w:line="400" w:lineRule="exact"/>
        <w:ind w:firstLine="420" w:firstLineChars="200"/>
        <w:rPr>
          <w:rFonts w:ascii="宋体" w:hAnsi="宋体"/>
          <w:szCs w:val="21"/>
        </w:rPr>
      </w:pPr>
      <w:r>
        <w:rPr>
          <w:rFonts w:hint="eastAsia" w:ascii="宋体" w:hAnsi="宋体"/>
          <w:szCs w:val="21"/>
        </w:rPr>
        <w:t>（1）乙方提交变更报价书的期限：</w:t>
      </w:r>
      <w:r>
        <w:rPr>
          <w:rFonts w:hint="eastAsia" w:ascii="宋体" w:hAnsi="宋体"/>
          <w:szCs w:val="21"/>
          <w:u w:val="single"/>
        </w:rPr>
        <w:t>乙方收到变更指示或变更意向书后14天内。</w:t>
      </w:r>
    </w:p>
    <w:p w14:paraId="39834CE6">
      <w:pPr>
        <w:spacing w:line="400" w:lineRule="exact"/>
        <w:ind w:firstLine="420" w:firstLineChars="200"/>
        <w:rPr>
          <w:rFonts w:ascii="宋体" w:hAnsi="宋体"/>
          <w:szCs w:val="21"/>
          <w:u w:val="single"/>
        </w:rPr>
      </w:pPr>
      <w:r>
        <w:rPr>
          <w:rFonts w:hint="eastAsia" w:ascii="宋体" w:hAnsi="宋体"/>
          <w:szCs w:val="21"/>
        </w:rPr>
        <w:t>（3）监理人商定或确定变更价格的期限：</w:t>
      </w:r>
      <w:r>
        <w:rPr>
          <w:rFonts w:hint="eastAsia" w:ascii="宋体" w:hAnsi="宋体"/>
          <w:szCs w:val="21"/>
          <w:u w:val="single"/>
        </w:rPr>
        <w:t>甲方收到乙方变更报价书后14天内给予初步答复。</w:t>
      </w:r>
    </w:p>
    <w:p w14:paraId="6E7DC564">
      <w:pPr>
        <w:spacing w:line="400" w:lineRule="exact"/>
        <w:ind w:firstLine="420" w:firstLineChars="200"/>
        <w:rPr>
          <w:rFonts w:ascii="宋体" w:hAnsi="宋体"/>
          <w:szCs w:val="21"/>
        </w:rPr>
      </w:pPr>
      <w:r>
        <w:rPr>
          <w:rFonts w:hint="eastAsia" w:ascii="宋体" w:hAnsi="宋体"/>
          <w:szCs w:val="21"/>
        </w:rPr>
        <w:t>（4）收到变更指示后，如乙方未在规定的期限内提交变更报价书的，监理人可自行决定是否调整合同价款以及如果监理人决定调整合同价款时，相应调整的具体金额。</w:t>
      </w:r>
    </w:p>
    <w:p w14:paraId="0A7D720B">
      <w:pPr>
        <w:pStyle w:val="251"/>
        <w:tabs>
          <w:tab w:val="left" w:pos="720"/>
        </w:tabs>
        <w:outlineLvl w:val="0"/>
        <w:rPr>
          <w:rFonts w:ascii="宋体" w:hAnsi="宋体" w:eastAsia="宋体"/>
          <w:sz w:val="21"/>
          <w:szCs w:val="21"/>
        </w:rPr>
      </w:pPr>
      <w:r>
        <w:rPr>
          <w:rFonts w:hint="eastAsia" w:ascii="宋体" w:hAnsi="宋体" w:eastAsia="宋体"/>
          <w:sz w:val="21"/>
          <w:szCs w:val="21"/>
        </w:rPr>
        <w:t>15.4 变更的估价原则</w:t>
      </w:r>
    </w:p>
    <w:p w14:paraId="6D2B494C">
      <w:pPr>
        <w:spacing w:line="400" w:lineRule="exact"/>
        <w:ind w:firstLine="420" w:firstLineChars="200"/>
        <w:rPr>
          <w:rFonts w:ascii="宋体" w:hAnsi="宋体"/>
          <w:szCs w:val="21"/>
        </w:rPr>
      </w:pPr>
      <w:r>
        <w:rPr>
          <w:rFonts w:hint="eastAsia" w:ascii="宋体" w:hAnsi="宋体"/>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乙方根据措施项目变更情况，提出适当的措施项目费变更，由监理人按第3.5款商定或确定变更措施项目的费用。</w:t>
      </w:r>
    </w:p>
    <w:p w14:paraId="20AE3926">
      <w:pPr>
        <w:spacing w:line="400" w:lineRule="exact"/>
        <w:ind w:firstLine="420" w:firstLineChars="200"/>
        <w:rPr>
          <w:rFonts w:ascii="宋体" w:hAnsi="宋体"/>
          <w:szCs w:val="21"/>
        </w:rPr>
      </w:pPr>
      <w:r>
        <w:rPr>
          <w:rFonts w:hint="eastAsia" w:ascii="宋体" w:hAnsi="宋体"/>
          <w:szCs w:val="21"/>
        </w:rPr>
        <w:t>15.4.5 合同协议书约定采用单价合同形式时，因非乙方原因引起已标价工程量清单中列明的工程量发生增减，且单个子目工程量变化幅度在</w:t>
      </w:r>
      <w:r>
        <w:rPr>
          <w:rFonts w:hint="eastAsia" w:ascii="宋体" w:hAnsi="宋体"/>
          <w:szCs w:val="21"/>
          <w:u w:val="single"/>
        </w:rPr>
        <w:t xml:space="preserve">  15  </w:t>
      </w:r>
      <w:r>
        <w:rPr>
          <w:rFonts w:hint="eastAsia" w:ascii="宋体" w:hAnsi="宋体"/>
          <w:szCs w:val="21"/>
        </w:rPr>
        <w:t>%以内（含）时，应执行已标价工程量清单中列明的该子目的单价；单个子目工程量变化幅度在</w:t>
      </w:r>
      <w:r>
        <w:rPr>
          <w:rFonts w:hint="eastAsia" w:ascii="宋体" w:hAnsi="宋体"/>
          <w:szCs w:val="21"/>
          <w:u w:val="single"/>
        </w:rPr>
        <w:t xml:space="preserve">   15   </w:t>
      </w:r>
      <w:r>
        <w:rPr>
          <w:rFonts w:hint="eastAsia" w:ascii="宋体" w:hAnsi="宋体"/>
          <w:szCs w:val="21"/>
        </w:rPr>
        <w:t>%以外（不含），且导致分部分项工程费总额变化幅度超过</w:t>
      </w:r>
      <w:r>
        <w:rPr>
          <w:rFonts w:hint="eastAsia" w:ascii="宋体" w:hAnsi="宋体"/>
          <w:szCs w:val="21"/>
          <w:u w:val="single"/>
        </w:rPr>
        <w:t xml:space="preserve">   0.1  </w:t>
      </w:r>
      <w:r>
        <w:rPr>
          <w:rFonts w:hint="eastAsia" w:ascii="宋体" w:hAnsi="宋体"/>
          <w:szCs w:val="21"/>
        </w:rPr>
        <w:t>%时，由乙方提出并由监理人按第3.5款商定或确定新的单价，该子目按修正后的新的单价计价。</w:t>
      </w:r>
    </w:p>
    <w:p w14:paraId="65C679FC">
      <w:pPr>
        <w:spacing w:line="400" w:lineRule="exact"/>
        <w:ind w:firstLine="420" w:firstLineChars="200"/>
        <w:rPr>
          <w:rFonts w:ascii="宋体" w:hAnsi="宋体"/>
          <w:szCs w:val="21"/>
          <w:u w:val="single"/>
        </w:rPr>
      </w:pPr>
      <w:r>
        <w:rPr>
          <w:rFonts w:hint="eastAsia" w:ascii="宋体" w:hAnsi="宋体"/>
          <w:szCs w:val="21"/>
        </w:rPr>
        <w:t>5.4.6 因变更引起价格调整的其他处理方式：</w:t>
      </w:r>
      <w:r>
        <w:rPr>
          <w:rFonts w:hint="eastAsia" w:ascii="宋体" w:hAnsi="宋体"/>
          <w:szCs w:val="21"/>
          <w:u w:val="single"/>
        </w:rPr>
        <w:t>因工程变更而引起价格变化时，需调整工程量综合单价或确定新的综合单价时符合15.4款的按15.4款的方法调整，如果15.4款没有适用的条款时，需调整的工程量单价以招标时的工程招标控制价中的人、材、机和中标单位的投标费率组成新的综合单价，以此进行相应调整。</w:t>
      </w:r>
      <w:r>
        <w:rPr>
          <w:rFonts w:ascii="宋体" w:hAnsi="宋体"/>
          <w:szCs w:val="21"/>
          <w:u w:val="single"/>
        </w:rPr>
        <w:t>工程量单价按投标期的人、材、机及投标费率组成</w:t>
      </w:r>
      <w:r>
        <w:rPr>
          <w:rFonts w:hint="eastAsia" w:ascii="宋体" w:hAnsi="宋体"/>
          <w:szCs w:val="21"/>
          <w:u w:val="single"/>
        </w:rPr>
        <w:t>，</w:t>
      </w:r>
      <w:r>
        <w:rPr>
          <w:rFonts w:ascii="宋体" w:hAnsi="宋体"/>
          <w:szCs w:val="21"/>
          <w:u w:val="single"/>
        </w:rPr>
        <w:t>人材机单价采用投标书中单价，投标书中没有的，按投标期北京工程造价信息价</w:t>
      </w:r>
      <w:r>
        <w:rPr>
          <w:rFonts w:hint="eastAsia" w:ascii="宋体" w:hAnsi="宋体"/>
          <w:szCs w:val="21"/>
          <w:u w:val="single"/>
        </w:rPr>
        <w:t>，造价信息中有上、下限的，以下限为准，工程造价</w:t>
      </w:r>
      <w:r>
        <w:rPr>
          <w:rFonts w:ascii="宋体" w:hAnsi="宋体"/>
          <w:szCs w:val="21"/>
          <w:u w:val="single"/>
        </w:rPr>
        <w:t>信息价没有的，按投标书中对类似定额工料机基价的调整系数进行调整</w:t>
      </w:r>
      <w:r>
        <w:rPr>
          <w:rFonts w:hint="eastAsia" w:ascii="宋体" w:hAnsi="宋体"/>
          <w:szCs w:val="21"/>
          <w:u w:val="single"/>
        </w:rPr>
        <w:t>，或按甲方与乙方共同确认的市场价格为准。</w:t>
      </w:r>
    </w:p>
    <w:p w14:paraId="540211FF">
      <w:pPr>
        <w:spacing w:line="400" w:lineRule="exact"/>
        <w:ind w:firstLine="525" w:firstLineChars="250"/>
        <w:rPr>
          <w:rFonts w:ascii="宋体" w:hAnsi="宋体" w:cs="Arial"/>
          <w:szCs w:val="21"/>
        </w:rPr>
      </w:pPr>
      <w:r>
        <w:rPr>
          <w:rFonts w:hint="eastAsia" w:ascii="宋体" w:hAnsi="宋体" w:cs="Arial"/>
          <w:szCs w:val="21"/>
        </w:rPr>
        <w:t>15.5 乙方的合理化建议</w:t>
      </w:r>
    </w:p>
    <w:p w14:paraId="0CF4F006">
      <w:pPr>
        <w:spacing w:line="400" w:lineRule="exact"/>
        <w:ind w:firstLine="420" w:firstLineChars="200"/>
        <w:rPr>
          <w:rFonts w:ascii="宋体" w:hAnsi="宋体"/>
          <w:szCs w:val="21"/>
        </w:rPr>
      </w:pPr>
      <w:r>
        <w:rPr>
          <w:rFonts w:hint="eastAsia" w:ascii="宋体" w:hAnsi="宋体"/>
          <w:szCs w:val="21"/>
        </w:rPr>
        <w:t>15.5.2对乙方提出合理化建议的奖励方法：</w:t>
      </w:r>
      <w:r>
        <w:rPr>
          <w:rFonts w:hint="eastAsia" w:ascii="宋体" w:hAnsi="宋体"/>
          <w:szCs w:val="21"/>
          <w:u w:val="single"/>
        </w:rPr>
        <w:t xml:space="preserve">    /  </w:t>
      </w:r>
      <w:r>
        <w:rPr>
          <w:rFonts w:hint="eastAsia" w:ascii="宋体" w:hAnsi="宋体"/>
          <w:szCs w:val="21"/>
        </w:rPr>
        <w:t>。</w:t>
      </w:r>
    </w:p>
    <w:p w14:paraId="5290873E">
      <w:pPr>
        <w:pStyle w:val="251"/>
        <w:tabs>
          <w:tab w:val="left" w:pos="720"/>
        </w:tabs>
        <w:outlineLvl w:val="0"/>
        <w:rPr>
          <w:rFonts w:ascii="宋体" w:hAnsi="宋体" w:eastAsia="宋体"/>
          <w:sz w:val="21"/>
          <w:szCs w:val="21"/>
        </w:rPr>
      </w:pPr>
      <w:r>
        <w:rPr>
          <w:rFonts w:hint="eastAsia" w:ascii="宋体" w:hAnsi="宋体" w:eastAsia="宋体"/>
          <w:sz w:val="21"/>
          <w:szCs w:val="21"/>
        </w:rPr>
        <w:t>15.8 暂估价</w:t>
      </w:r>
    </w:p>
    <w:p w14:paraId="34D8C004">
      <w:pPr>
        <w:spacing w:line="400" w:lineRule="exact"/>
        <w:ind w:firstLine="420" w:firstLineChars="200"/>
        <w:rPr>
          <w:rFonts w:ascii="宋体" w:hAnsi="宋体"/>
          <w:szCs w:val="21"/>
        </w:rPr>
      </w:pPr>
      <w:r>
        <w:rPr>
          <w:rFonts w:hint="eastAsia" w:ascii="宋体" w:hAnsi="宋体"/>
          <w:szCs w:val="21"/>
        </w:rPr>
        <w:t>15.8.1按合同约定应当由甲方和乙方采用招标方式选择专项供应商或专业分包人的，应当由乙方作为招标人，依法组织招标工作并接受有管辖权的建设工程招标投标行政监督部门的监督。与组织招标工作有关的费用应当被认为已经包括在乙方的签约合同价（投标总报价）中：</w:t>
      </w:r>
    </w:p>
    <w:p w14:paraId="150BE9A0">
      <w:pPr>
        <w:spacing w:line="400" w:lineRule="exact"/>
        <w:ind w:firstLine="420" w:firstLineChars="200"/>
        <w:rPr>
          <w:rFonts w:ascii="宋体" w:hAnsi="宋体"/>
          <w:szCs w:val="21"/>
        </w:rPr>
      </w:pPr>
      <w:r>
        <w:rPr>
          <w:rFonts w:hint="eastAsia" w:ascii="宋体" w:hAnsi="宋体"/>
          <w:szCs w:val="21"/>
        </w:rPr>
        <w:t>（1）在任何招标工作启动前，乙方应当提前至少</w:t>
      </w:r>
      <w:r>
        <w:rPr>
          <w:rFonts w:hint="eastAsia" w:ascii="宋体" w:hAnsi="宋体"/>
          <w:szCs w:val="21"/>
          <w:u w:val="single"/>
        </w:rPr>
        <w:t xml:space="preserve">  /  </w:t>
      </w:r>
      <w:r>
        <w:rPr>
          <w:rFonts w:hint="eastAsia" w:ascii="宋体" w:hAnsi="宋体"/>
          <w:szCs w:val="21"/>
        </w:rPr>
        <w:t>天编制招标工作计划并通过监理人报请甲方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甲方应当在监理人收到乙方报送的招标工作计划后</w:t>
      </w:r>
      <w:r>
        <w:rPr>
          <w:rFonts w:hint="eastAsia" w:ascii="宋体" w:hAnsi="宋体"/>
          <w:szCs w:val="21"/>
          <w:u w:val="single"/>
        </w:rPr>
        <w:t xml:space="preserve">  /  </w:t>
      </w:r>
      <w:r>
        <w:rPr>
          <w:rFonts w:hint="eastAsia" w:ascii="宋体" w:hAnsi="宋体"/>
          <w:szCs w:val="21"/>
        </w:rPr>
        <w:t>天内给予批准或者提出修改意见。乙方应当严格按照经过甲方批准的招标工作计划开展招标工作。</w:t>
      </w:r>
    </w:p>
    <w:p w14:paraId="2B20990C">
      <w:pPr>
        <w:spacing w:line="400" w:lineRule="exact"/>
        <w:ind w:firstLine="420" w:firstLineChars="200"/>
        <w:rPr>
          <w:rFonts w:ascii="宋体" w:hAnsi="宋体"/>
          <w:szCs w:val="21"/>
        </w:rPr>
      </w:pPr>
      <w:r>
        <w:rPr>
          <w:rFonts w:hint="eastAsia" w:ascii="宋体" w:hAnsi="宋体"/>
          <w:szCs w:val="21"/>
        </w:rPr>
        <w:t>（2）乙方应当在发出招标公告（或者资格预审公告或者投标邀请书）、资格预审文件和招标文件前至少</w:t>
      </w:r>
      <w:r>
        <w:rPr>
          <w:rFonts w:hint="eastAsia" w:ascii="宋体" w:hAnsi="宋体"/>
          <w:szCs w:val="21"/>
          <w:u w:val="single"/>
        </w:rPr>
        <w:t xml:space="preserve">  /  </w:t>
      </w:r>
      <w:r>
        <w:rPr>
          <w:rFonts w:hint="eastAsia" w:ascii="宋体" w:hAnsi="宋体"/>
          <w:szCs w:val="21"/>
        </w:rPr>
        <w:t>天，分别将相关文件通过监理人报请甲方审批，甲方应当在监理人收到乙方报送的相关文件后</w:t>
      </w:r>
      <w:r>
        <w:rPr>
          <w:rFonts w:hint="eastAsia" w:ascii="宋体" w:hAnsi="宋体"/>
          <w:szCs w:val="21"/>
          <w:u w:val="single"/>
        </w:rPr>
        <w:t xml:space="preserve">  /  </w:t>
      </w:r>
      <w:r>
        <w:rPr>
          <w:rFonts w:hint="eastAsia" w:ascii="宋体" w:hAnsi="宋体"/>
          <w:szCs w:val="21"/>
        </w:rPr>
        <w:t>天内给予批准或者提出修改意见，经甲方批准的相关文件，由乙方负责誊清整理并准备出开展实际招标工作所需要的份数，通过监理人报甲方核查并加盖甲方印章，甲方在相关文件上加盖印章只表明相关文件经过甲方审核批准。最终发出的文件应当分别报送一份给甲方和监理人备查。</w:t>
      </w:r>
    </w:p>
    <w:p w14:paraId="47888A9F">
      <w:pPr>
        <w:spacing w:line="400" w:lineRule="exact"/>
        <w:ind w:firstLine="420" w:firstLineChars="200"/>
        <w:rPr>
          <w:rFonts w:ascii="宋体" w:hAnsi="宋体"/>
          <w:szCs w:val="21"/>
        </w:rPr>
      </w:pPr>
      <w:r>
        <w:rPr>
          <w:rFonts w:hint="eastAsia" w:ascii="宋体" w:hAnsi="宋体"/>
          <w:szCs w:val="21"/>
        </w:rPr>
        <w:t>（3）如果发、承包任何一方委派评标代表，评标委员会应当由七人以上单数构成。除甲方或者乙方自愿放弃委派评标代表的权利外，招标人评标代表应当分别由甲方和乙方等额委派。</w:t>
      </w:r>
    </w:p>
    <w:p w14:paraId="7D0FCCDD">
      <w:pPr>
        <w:spacing w:line="400" w:lineRule="exact"/>
        <w:ind w:firstLine="420" w:firstLineChars="200"/>
        <w:rPr>
          <w:rFonts w:ascii="宋体" w:hAnsi="宋体"/>
          <w:szCs w:val="21"/>
        </w:rPr>
      </w:pPr>
      <w:r>
        <w:rPr>
          <w:rFonts w:hint="eastAsia" w:ascii="宋体" w:hAnsi="宋体"/>
          <w:szCs w:val="21"/>
        </w:rPr>
        <w:t>（4）设有标底的，乙方应当在开标前提前48小时将标底报甲方审核认可，甲方应当在收到乙方报送的标底后24小时内给予批准或者提出修改意见。乙方和甲方应当共同制定标底保密措施，不得提前泄露标底。标底的最终审核和决定权属于甲方。</w:t>
      </w:r>
    </w:p>
    <w:p w14:paraId="28E7FF43">
      <w:pPr>
        <w:spacing w:line="400" w:lineRule="exact"/>
        <w:ind w:firstLine="420" w:firstLineChars="200"/>
        <w:rPr>
          <w:rFonts w:ascii="宋体" w:hAnsi="宋体"/>
          <w:szCs w:val="21"/>
        </w:rPr>
      </w:pPr>
      <w:r>
        <w:rPr>
          <w:rFonts w:hint="eastAsia" w:ascii="宋体" w:hAnsi="宋体"/>
          <w:szCs w:val="21"/>
        </w:rPr>
        <w:t>（5）设有招标控制价的，乙方应当在招标文件发出前提前7天将招标控制价报甲方审核认可，甲方应当在收到乙方报送的招标控制价后72小时内给予认可或者提出修改意见。招标控制价的最终审核和决定权属于甲方，未经甲方认可，乙方不得发出招标文件。</w:t>
      </w:r>
    </w:p>
    <w:p w14:paraId="6C517F9F">
      <w:pPr>
        <w:spacing w:line="400" w:lineRule="exact"/>
        <w:ind w:firstLine="420" w:firstLineChars="200"/>
        <w:rPr>
          <w:rFonts w:ascii="宋体" w:hAnsi="宋体"/>
          <w:szCs w:val="21"/>
        </w:rPr>
      </w:pPr>
      <w:r>
        <w:rPr>
          <w:rFonts w:hint="eastAsia" w:ascii="宋体" w:hAnsi="宋体"/>
          <w:szCs w:val="21"/>
        </w:rPr>
        <w:t>（6）乙方在收到相关招标项目评标委员会提交的评标报告后，应当在24小时内通过监理人转报甲方核查，甲方应当在监理人收到乙方报送的评标报告后48小时内核查完毕，评标报告经过甲方核查认可后，乙方才可以开始后续程序，依法确定中标人并发出中标通知书。</w:t>
      </w:r>
    </w:p>
    <w:p w14:paraId="3EC93C8C">
      <w:pPr>
        <w:spacing w:line="400" w:lineRule="exact"/>
        <w:ind w:firstLine="420" w:firstLineChars="200"/>
        <w:rPr>
          <w:rFonts w:ascii="宋体" w:hAnsi="宋体"/>
          <w:szCs w:val="21"/>
        </w:rPr>
      </w:pPr>
      <w:r>
        <w:rPr>
          <w:rFonts w:hint="eastAsia" w:ascii="宋体" w:hAnsi="宋体"/>
          <w:szCs w:val="21"/>
        </w:rPr>
        <w:t>（7）乙方与专业分包人或者专项供应商订立合同前</w:t>
      </w:r>
      <w:r>
        <w:rPr>
          <w:rFonts w:hint="eastAsia" w:ascii="宋体" w:hAnsi="宋体"/>
          <w:szCs w:val="21"/>
          <w:u w:val="single"/>
        </w:rPr>
        <w:t xml:space="preserve">  /   </w:t>
      </w:r>
      <w:r>
        <w:rPr>
          <w:rFonts w:hint="eastAsia" w:ascii="宋体" w:hAnsi="宋体"/>
          <w:szCs w:val="21"/>
        </w:rPr>
        <w:t>天，应当将准备用于正式签订的合同文件通过监理人报甲方审核，甲方应当在监理人收到相关文件后</w:t>
      </w:r>
      <w:r>
        <w:rPr>
          <w:rFonts w:hint="eastAsia" w:ascii="宋体" w:hAnsi="宋体"/>
          <w:szCs w:val="21"/>
          <w:u w:val="single"/>
        </w:rPr>
        <w:t xml:space="preserve">  /   </w:t>
      </w:r>
      <w:r>
        <w:rPr>
          <w:rFonts w:hint="eastAsia" w:ascii="宋体" w:hAnsi="宋体"/>
          <w:szCs w:val="21"/>
        </w:rPr>
        <w:t>天内给予批准或者提出修改意见，乙方应当按照甲方批准的合同文件签订相关合同，合同订立后</w:t>
      </w:r>
      <w:r>
        <w:rPr>
          <w:rFonts w:hint="eastAsia" w:ascii="宋体" w:hAnsi="宋体"/>
          <w:szCs w:val="21"/>
          <w:u w:val="single"/>
        </w:rPr>
        <w:t xml:space="preserve">   /  </w:t>
      </w:r>
      <w:r>
        <w:rPr>
          <w:rFonts w:hint="eastAsia" w:ascii="宋体" w:hAnsi="宋体"/>
          <w:szCs w:val="21"/>
        </w:rPr>
        <w:t>天内，乙方应当将其中的两份副本报送监理人，其中一份由监理人报甲方留存。</w:t>
      </w:r>
    </w:p>
    <w:p w14:paraId="2A9DFFB8">
      <w:pPr>
        <w:spacing w:line="400" w:lineRule="exact"/>
        <w:ind w:firstLine="420" w:firstLineChars="200"/>
        <w:rPr>
          <w:rFonts w:ascii="宋体" w:hAnsi="宋体"/>
          <w:szCs w:val="21"/>
        </w:rPr>
      </w:pPr>
      <w:r>
        <w:rPr>
          <w:rFonts w:hint="eastAsia" w:ascii="宋体" w:hAnsi="宋体"/>
          <w:szCs w:val="21"/>
        </w:rPr>
        <w:t>（8）甲方对乙方报送文件进行审批或提出的修改意见应当合理，并符合现行有关法律法规的规定。</w:t>
      </w:r>
    </w:p>
    <w:p w14:paraId="120141A2">
      <w:pPr>
        <w:spacing w:line="400" w:lineRule="exact"/>
        <w:ind w:firstLine="420" w:firstLineChars="200"/>
        <w:rPr>
          <w:rFonts w:ascii="宋体" w:hAnsi="宋体"/>
          <w:szCs w:val="21"/>
        </w:rPr>
      </w:pPr>
      <w:r>
        <w:rPr>
          <w:rFonts w:hint="eastAsia" w:ascii="宋体" w:hAnsi="宋体"/>
          <w:szCs w:val="21"/>
        </w:rPr>
        <w:t>（9）乙方违背本项上述约定的程序或者未履行本项上述约定的报批手续的，甲方有权拒绝对相关专业工程或者涉及相关专项供应的材料和工程设备的工程进行验收和拨付相应工程款项，所造成的费用增加和（或）工期延误由乙方承担。甲方未按本项上述约定履行审批手续的，所造成的费用增加和（或）工期延误由甲方承担。</w:t>
      </w:r>
    </w:p>
    <w:p w14:paraId="2565AD7B">
      <w:pPr>
        <w:spacing w:line="400" w:lineRule="exact"/>
        <w:ind w:firstLine="420" w:firstLineChars="200"/>
        <w:rPr>
          <w:rFonts w:ascii="宋体" w:hAnsi="宋体"/>
          <w:szCs w:val="21"/>
        </w:rPr>
      </w:pPr>
      <w:r>
        <w:rPr>
          <w:rFonts w:hint="eastAsia" w:ascii="宋体" w:hAnsi="宋体"/>
          <w:szCs w:val="21"/>
        </w:rPr>
        <w:t>15.8.3甲方在工程量清单中给定暂估价的专业工程不属于依法必须招标的范围或者未达到依法必须招标的规模标准的，其最终价格的估价人为：</w:t>
      </w:r>
      <w:r>
        <w:rPr>
          <w:rFonts w:hint="eastAsia" w:ascii="宋体" w:hAnsi="宋体"/>
          <w:szCs w:val="21"/>
          <w:u w:val="single"/>
        </w:rPr>
        <w:t xml:space="preserve">   甲方     </w:t>
      </w:r>
      <w:r>
        <w:rPr>
          <w:rFonts w:hint="eastAsia" w:ascii="宋体" w:hAnsi="宋体"/>
          <w:szCs w:val="21"/>
        </w:rPr>
        <w:t>或者按照下列约定：</w:t>
      </w:r>
      <w:r>
        <w:rPr>
          <w:rFonts w:hint="eastAsia" w:ascii="宋体" w:hAnsi="宋体"/>
          <w:szCs w:val="21"/>
          <w:u w:val="single"/>
        </w:rPr>
        <w:t xml:space="preserve">     /     </w:t>
      </w:r>
      <w:r>
        <w:rPr>
          <w:rFonts w:hint="eastAsia" w:ascii="宋体" w:hAnsi="宋体"/>
          <w:szCs w:val="21"/>
        </w:rPr>
        <w:t>。</w:t>
      </w:r>
    </w:p>
    <w:p w14:paraId="21015E24">
      <w:pPr>
        <w:pStyle w:val="250"/>
        <w:spacing w:before="0"/>
        <w:outlineLvl w:val="0"/>
        <w:rPr>
          <w:rFonts w:ascii="宋体" w:hAnsi="宋体"/>
          <w:sz w:val="21"/>
          <w:szCs w:val="21"/>
        </w:rPr>
      </w:pPr>
      <w:r>
        <w:rPr>
          <w:rFonts w:hint="eastAsia" w:ascii="宋体" w:hAnsi="宋体"/>
          <w:sz w:val="21"/>
          <w:szCs w:val="21"/>
        </w:rPr>
        <w:t>16. 价格调整</w:t>
      </w:r>
    </w:p>
    <w:p w14:paraId="0BBD240C">
      <w:pPr>
        <w:pStyle w:val="251"/>
        <w:tabs>
          <w:tab w:val="left" w:pos="720"/>
        </w:tabs>
        <w:outlineLvl w:val="0"/>
        <w:rPr>
          <w:rFonts w:ascii="宋体" w:hAnsi="宋体" w:eastAsia="宋体"/>
          <w:sz w:val="21"/>
          <w:szCs w:val="21"/>
        </w:rPr>
      </w:pPr>
      <w:r>
        <w:rPr>
          <w:rFonts w:hint="eastAsia" w:ascii="宋体" w:hAnsi="宋体" w:eastAsia="宋体"/>
          <w:sz w:val="21"/>
          <w:szCs w:val="21"/>
        </w:rPr>
        <w:t>16.1 物价波动引起的价格调整</w:t>
      </w:r>
    </w:p>
    <w:p w14:paraId="2148A42E">
      <w:pPr>
        <w:spacing w:line="400" w:lineRule="exact"/>
        <w:ind w:firstLine="420" w:firstLineChars="200"/>
        <w:rPr>
          <w:rFonts w:ascii="宋体" w:hAnsi="宋体"/>
          <w:szCs w:val="21"/>
          <w:u w:val="single"/>
        </w:rPr>
      </w:pPr>
      <w:r>
        <w:rPr>
          <w:rFonts w:hint="eastAsia" w:ascii="宋体" w:hAnsi="宋体"/>
          <w:szCs w:val="21"/>
        </w:rPr>
        <w:t>物价波动引起的价格调整方法：</w:t>
      </w:r>
      <w:r>
        <w:rPr>
          <w:rFonts w:hint="eastAsia" w:ascii="宋体" w:hAnsi="宋体"/>
          <w:szCs w:val="21"/>
          <w:u w:val="single"/>
        </w:rPr>
        <w:t>因工期短，人工、材料、机械等不做调整。调整价差时同时调整相应税金，企业管理 费和利润的风险由承包人全部承担。</w:t>
      </w:r>
    </w:p>
    <w:p w14:paraId="0508FC4A">
      <w:pPr>
        <w:pStyle w:val="250"/>
        <w:spacing w:before="0"/>
        <w:outlineLvl w:val="0"/>
        <w:rPr>
          <w:rFonts w:ascii="宋体" w:hAnsi="宋体"/>
          <w:sz w:val="21"/>
          <w:szCs w:val="21"/>
        </w:rPr>
      </w:pPr>
      <w:r>
        <w:rPr>
          <w:rFonts w:hint="eastAsia" w:ascii="宋体" w:hAnsi="宋体"/>
          <w:sz w:val="21"/>
          <w:szCs w:val="21"/>
        </w:rPr>
        <w:t>17. 计量与支付</w:t>
      </w:r>
    </w:p>
    <w:p w14:paraId="32ECC2AA">
      <w:pPr>
        <w:pStyle w:val="251"/>
        <w:tabs>
          <w:tab w:val="left" w:pos="720"/>
        </w:tabs>
        <w:outlineLvl w:val="0"/>
        <w:rPr>
          <w:rFonts w:ascii="宋体" w:hAnsi="宋体" w:eastAsia="宋体"/>
          <w:sz w:val="21"/>
          <w:szCs w:val="21"/>
        </w:rPr>
      </w:pPr>
      <w:r>
        <w:rPr>
          <w:rFonts w:hint="eastAsia" w:ascii="宋体" w:hAnsi="宋体" w:eastAsia="宋体"/>
          <w:sz w:val="21"/>
          <w:szCs w:val="21"/>
        </w:rPr>
        <w:t>17.1 计量</w:t>
      </w:r>
    </w:p>
    <w:p w14:paraId="3A79F4B8">
      <w:pPr>
        <w:spacing w:line="400" w:lineRule="exact"/>
        <w:ind w:firstLine="420" w:firstLineChars="200"/>
        <w:rPr>
          <w:rFonts w:ascii="宋体" w:hAnsi="宋体" w:cs="Arial"/>
          <w:szCs w:val="21"/>
        </w:rPr>
      </w:pPr>
      <w:r>
        <w:rPr>
          <w:rFonts w:hint="eastAsia" w:ascii="宋体" w:hAnsi="宋体" w:cs="Arial"/>
          <w:szCs w:val="21"/>
        </w:rPr>
        <w:t>17.1.2 计量方法</w:t>
      </w:r>
    </w:p>
    <w:p w14:paraId="1A4AD2ED">
      <w:pPr>
        <w:spacing w:line="400" w:lineRule="exact"/>
        <w:ind w:firstLine="420" w:firstLineChars="200"/>
        <w:rPr>
          <w:rFonts w:ascii="宋体" w:hAnsi="宋体"/>
          <w:szCs w:val="21"/>
        </w:rPr>
      </w:pPr>
      <w:r>
        <w:rPr>
          <w:rFonts w:ascii="宋体" w:hAnsi="宋体"/>
          <w:szCs w:val="21"/>
        </w:rPr>
        <w:t>工程量计算规则</w:t>
      </w:r>
      <w:r>
        <w:rPr>
          <w:rFonts w:hint="eastAsia" w:ascii="宋体" w:hAnsi="宋体"/>
          <w:szCs w:val="21"/>
        </w:rPr>
        <w:t>执行国家标准</w:t>
      </w:r>
      <w:r>
        <w:rPr>
          <w:rFonts w:ascii="宋体" w:hAnsi="宋体"/>
          <w:szCs w:val="21"/>
        </w:rPr>
        <w:t>《建设工程工程量清单计价规范》</w:t>
      </w:r>
      <w:r>
        <w:rPr>
          <w:rFonts w:hint="eastAsia" w:ascii="宋体" w:hAnsi="宋体"/>
          <w:szCs w:val="21"/>
        </w:rPr>
        <w:t>（GB50500）或其适用的修订版本</w:t>
      </w:r>
      <w:r>
        <w:rPr>
          <w:rFonts w:ascii="宋体" w:hAnsi="宋体"/>
          <w:szCs w:val="21"/>
        </w:rPr>
        <w:t>。</w:t>
      </w:r>
      <w:r>
        <w:rPr>
          <w:rFonts w:hint="eastAsia" w:ascii="宋体" w:hAnsi="宋体"/>
          <w:szCs w:val="21"/>
        </w:rPr>
        <w:t>除合同另有约定外，乙方实际完成的工程量按约定的工程量计算规则和有合同约束力的图纸进行计量。</w:t>
      </w:r>
    </w:p>
    <w:p w14:paraId="1036F089">
      <w:pPr>
        <w:spacing w:line="400" w:lineRule="exact"/>
        <w:ind w:firstLine="420" w:firstLineChars="200"/>
        <w:rPr>
          <w:rFonts w:ascii="宋体" w:hAnsi="宋体" w:cs="Arial"/>
          <w:szCs w:val="21"/>
        </w:rPr>
      </w:pPr>
      <w:r>
        <w:rPr>
          <w:rFonts w:hint="eastAsia" w:ascii="宋体" w:hAnsi="宋体" w:cs="Arial"/>
          <w:szCs w:val="21"/>
        </w:rPr>
        <w:t>17.1.3 计量周期</w:t>
      </w:r>
    </w:p>
    <w:p w14:paraId="6B153B20">
      <w:pPr>
        <w:spacing w:line="400" w:lineRule="exact"/>
        <w:ind w:firstLine="420" w:firstLineChars="200"/>
        <w:rPr>
          <w:rFonts w:ascii="宋体" w:hAnsi="宋体"/>
          <w:szCs w:val="21"/>
        </w:rPr>
      </w:pPr>
      <w:r>
        <w:rPr>
          <w:rFonts w:hint="eastAsia" w:ascii="宋体" w:hAnsi="宋体" w:cs="Arial"/>
          <w:szCs w:val="21"/>
        </w:rPr>
        <w:t>（1）</w:t>
      </w:r>
      <w:r>
        <w:rPr>
          <w:rFonts w:hint="eastAsia" w:ascii="宋体" w:hAnsi="宋体"/>
          <w:szCs w:val="21"/>
        </w:rPr>
        <w:t>本合同的计量周期为月，每月</w:t>
      </w:r>
      <w:r>
        <w:rPr>
          <w:rFonts w:hint="eastAsia" w:ascii="宋体" w:hAnsi="宋体"/>
          <w:szCs w:val="21"/>
          <w:u w:val="single"/>
        </w:rPr>
        <w:t xml:space="preserve">  25  </w:t>
      </w:r>
      <w:r>
        <w:rPr>
          <w:rFonts w:hint="eastAsia" w:ascii="宋体" w:hAnsi="宋体"/>
          <w:szCs w:val="21"/>
        </w:rPr>
        <w:t>日为当月计量截止日期（不含当日）和下月计量起始日期（含当日）。</w:t>
      </w:r>
    </w:p>
    <w:p w14:paraId="0D9777B7">
      <w:pPr>
        <w:spacing w:line="400" w:lineRule="exact"/>
        <w:ind w:firstLine="420" w:firstLineChars="200"/>
        <w:rPr>
          <w:rFonts w:ascii="宋体" w:hAnsi="宋体" w:cs="Arial"/>
          <w:szCs w:val="21"/>
        </w:rPr>
      </w:pPr>
      <w:r>
        <w:rPr>
          <w:rFonts w:hint="eastAsia" w:ascii="宋体" w:hAnsi="宋体" w:cs="Arial"/>
          <w:szCs w:val="21"/>
        </w:rPr>
        <w:t>（2）本合同</w:t>
      </w:r>
      <w:r>
        <w:rPr>
          <w:rFonts w:hint="eastAsia" w:ascii="宋体" w:hAnsi="宋体" w:cs="Arial"/>
          <w:szCs w:val="21"/>
          <w:u w:val="single"/>
        </w:rPr>
        <w:t>不执</w:t>
      </w:r>
      <w:r>
        <w:rPr>
          <w:rFonts w:ascii="宋体" w:hAnsi="宋体" w:cs="Arial"/>
          <w:szCs w:val="21"/>
          <w:u w:val="single"/>
        </w:rPr>
        <w:t>行</w:t>
      </w:r>
      <w:r>
        <w:rPr>
          <w:rFonts w:hint="eastAsia" w:ascii="宋体" w:hAnsi="宋体" w:cs="Arial"/>
          <w:szCs w:val="21"/>
        </w:rPr>
        <w:t>（执行（采用单价合同形式时）/不执行（采用总价合同形式时））通用合同条款本项约定的单价子目计量。</w:t>
      </w:r>
      <w:r>
        <w:rPr>
          <w:rFonts w:hint="eastAsia" w:ascii="宋体" w:hAnsi="宋体"/>
          <w:szCs w:val="21"/>
        </w:rPr>
        <w:t>总价子目计量方法按专用合同条款第</w:t>
      </w:r>
      <w:r>
        <w:rPr>
          <w:rFonts w:ascii="宋体" w:hAnsi="宋体" w:cs="Arial"/>
          <w:szCs w:val="21"/>
        </w:rPr>
        <w:t>17.1.5</w:t>
      </w:r>
      <w:r>
        <w:rPr>
          <w:rFonts w:hint="eastAsia" w:ascii="宋体" w:hAnsi="宋体"/>
          <w:szCs w:val="21"/>
        </w:rPr>
        <w:t>项总价子目的计量--</w:t>
      </w:r>
      <w:r>
        <w:rPr>
          <w:rFonts w:hint="eastAsia" w:ascii="宋体" w:hAnsi="宋体" w:cs="Arial"/>
          <w:szCs w:val="21"/>
          <w:u w:val="single"/>
        </w:rPr>
        <w:t>按实际完成工程量计量</w:t>
      </w:r>
      <w:r>
        <w:rPr>
          <w:rFonts w:hint="eastAsia" w:ascii="宋体" w:hAnsi="宋体" w:cs="Arial"/>
          <w:szCs w:val="21"/>
        </w:rPr>
        <w:t>（支付分解报告/按实际完成工程量计量）。</w:t>
      </w:r>
    </w:p>
    <w:p w14:paraId="048E30D5">
      <w:pPr>
        <w:spacing w:line="400" w:lineRule="exact"/>
        <w:ind w:firstLine="420" w:firstLineChars="200"/>
        <w:rPr>
          <w:rFonts w:ascii="宋体" w:hAnsi="宋体" w:cs="Arial"/>
          <w:szCs w:val="21"/>
        </w:rPr>
      </w:pPr>
      <w:r>
        <w:rPr>
          <w:rFonts w:hint="eastAsia" w:ascii="宋体" w:hAnsi="宋体" w:cs="Arial"/>
          <w:szCs w:val="21"/>
        </w:rPr>
        <w:t>17.1.5 总价</w:t>
      </w:r>
      <w:r>
        <w:rPr>
          <w:rFonts w:hint="eastAsia" w:ascii="宋体" w:hAnsi="宋体"/>
          <w:szCs w:val="21"/>
        </w:rPr>
        <w:t>子目</w:t>
      </w:r>
      <w:r>
        <w:rPr>
          <w:rFonts w:hint="eastAsia" w:ascii="宋体" w:hAnsi="宋体" w:cs="Arial"/>
          <w:szCs w:val="21"/>
        </w:rPr>
        <w:t>的计量--按实际完成工程量计量</w:t>
      </w:r>
    </w:p>
    <w:p w14:paraId="3DE9B7E3">
      <w:pPr>
        <w:spacing w:line="400" w:lineRule="exact"/>
        <w:ind w:firstLine="420" w:firstLineChars="200"/>
        <w:rPr>
          <w:rFonts w:ascii="宋体" w:hAnsi="宋体" w:cs="Arial"/>
          <w:szCs w:val="21"/>
        </w:rPr>
      </w:pPr>
      <w:r>
        <w:rPr>
          <w:rFonts w:hint="eastAsia" w:ascii="宋体" w:hAnsi="宋体" w:cs="Arial"/>
          <w:szCs w:val="21"/>
        </w:rPr>
        <w:t>（1）总价</w:t>
      </w:r>
      <w:r>
        <w:rPr>
          <w:rFonts w:hint="eastAsia" w:ascii="宋体" w:hAnsi="宋体"/>
          <w:szCs w:val="21"/>
        </w:rPr>
        <w:t>子目</w:t>
      </w:r>
      <w:r>
        <w:rPr>
          <w:rFonts w:hint="eastAsia" w:ascii="宋体" w:hAnsi="宋体" w:cs="Arial"/>
          <w:szCs w:val="21"/>
        </w:rPr>
        <w:t>的价格调整方法：</w:t>
      </w:r>
      <w:r>
        <w:rPr>
          <w:rFonts w:hint="eastAsia" w:ascii="宋体" w:hAnsi="宋体" w:cs="Arial"/>
          <w:szCs w:val="21"/>
          <w:u w:val="single"/>
        </w:rPr>
        <w:t>非乙方原因引起已标价工程量清单中某单个子目工程量变化幅度超出15%（不含），且乙方或监理人认为该变化引起相关措施项目发生变化的，甲方或监理人要求乙方针对措施项目的变化提交施工调整方案及价格调整报告，监理人同意且甲方均批准后才能确定需调整的措施项目价款</w:t>
      </w:r>
      <w:r>
        <w:rPr>
          <w:rFonts w:hint="eastAsia" w:ascii="宋体" w:hAnsi="宋体" w:cs="Arial"/>
          <w:szCs w:val="21"/>
        </w:rPr>
        <w:t>。总价</w:t>
      </w:r>
      <w:r>
        <w:rPr>
          <w:rFonts w:hint="eastAsia" w:ascii="宋体" w:hAnsi="宋体"/>
          <w:szCs w:val="21"/>
        </w:rPr>
        <w:t>子目</w:t>
      </w:r>
      <w:r>
        <w:rPr>
          <w:rFonts w:hint="eastAsia" w:ascii="宋体" w:hAnsi="宋体" w:cs="Arial"/>
          <w:szCs w:val="21"/>
        </w:rPr>
        <w:t>的计量和支付应以总价为基础，对乙方实际完成的工程量进行计量，是进行工程目标管理和控制进度款支付的依据。</w:t>
      </w:r>
    </w:p>
    <w:p w14:paraId="738B16C0">
      <w:pPr>
        <w:spacing w:line="400" w:lineRule="exact"/>
        <w:ind w:firstLine="420" w:firstLineChars="200"/>
        <w:rPr>
          <w:rFonts w:ascii="宋体" w:hAnsi="宋体" w:cs="Arial"/>
          <w:szCs w:val="21"/>
        </w:rPr>
      </w:pPr>
      <w:r>
        <w:rPr>
          <w:rFonts w:hint="eastAsia" w:ascii="宋体" w:hAnsi="宋体" w:cs="Arial"/>
          <w:szCs w:val="21"/>
        </w:rPr>
        <w:t>（2）乙方在专用合同条款第17.1.3（1）目约定的每月计量截止日期后，对已完成的分部分项工程和单价措施项目的</w:t>
      </w:r>
      <w:r>
        <w:rPr>
          <w:rFonts w:hint="eastAsia" w:ascii="宋体" w:hAnsi="宋体"/>
          <w:szCs w:val="21"/>
        </w:rPr>
        <w:t>子目</w:t>
      </w:r>
      <w:r>
        <w:rPr>
          <w:rFonts w:hint="eastAsia" w:ascii="宋体" w:hAnsi="宋体" w:cs="Arial"/>
          <w:szCs w:val="21"/>
        </w:rPr>
        <w:t>，按照专用合同条款第17.1.2项约定的计量方法进行计量，对已完成的总价措施项目的相关</w:t>
      </w:r>
      <w:r>
        <w:rPr>
          <w:rFonts w:hint="eastAsia" w:ascii="宋体" w:hAnsi="宋体"/>
          <w:szCs w:val="21"/>
        </w:rPr>
        <w:t>子目，按其总价构成、费用性质和实际发生比例进行计量，向监理人提交进度付款申请单、已完成工程量报表和有关计量资料</w:t>
      </w:r>
      <w:r>
        <w:rPr>
          <w:rFonts w:hint="eastAsia" w:ascii="宋体" w:hAnsi="宋体" w:cs="Arial"/>
          <w:szCs w:val="21"/>
        </w:rPr>
        <w:t>。</w:t>
      </w:r>
    </w:p>
    <w:p w14:paraId="4394D99A">
      <w:pPr>
        <w:spacing w:line="400" w:lineRule="exact"/>
        <w:ind w:firstLine="420" w:firstLineChars="200"/>
        <w:rPr>
          <w:rFonts w:ascii="宋体" w:hAnsi="宋体"/>
          <w:szCs w:val="21"/>
        </w:rPr>
      </w:pPr>
      <w:r>
        <w:rPr>
          <w:rFonts w:hint="eastAsia" w:ascii="宋体" w:hAnsi="宋体" w:cs="Arial"/>
          <w:szCs w:val="21"/>
        </w:rPr>
        <w:t>（3）</w:t>
      </w:r>
      <w:r>
        <w:rPr>
          <w:rFonts w:hint="eastAsia" w:ascii="宋体" w:hAnsi="宋体"/>
          <w:szCs w:val="21"/>
        </w:rPr>
        <w:t>监理人对乙方提交的工程量报表进行复核，以确定实际完成的工程量。对数量有异议的，可要求乙方进行共同复核。乙方应协助监理人进行复核并按监理人要求提供补充计量资料。乙方未按监理人要求参加复核，监理人复核或修正的工程量视为乙方实际完成的工程量。</w:t>
      </w:r>
    </w:p>
    <w:p w14:paraId="14625BF5">
      <w:pPr>
        <w:spacing w:line="400" w:lineRule="exact"/>
        <w:ind w:firstLine="420" w:firstLineChars="200"/>
        <w:rPr>
          <w:rFonts w:ascii="宋体" w:hAnsi="宋体"/>
          <w:szCs w:val="21"/>
        </w:rPr>
      </w:pPr>
      <w:r>
        <w:rPr>
          <w:rFonts w:hint="eastAsia" w:ascii="宋体" w:hAnsi="宋体"/>
          <w:szCs w:val="21"/>
        </w:rPr>
        <w:t>（4）监理人应在收到乙方提交的工程量报表后的7天内进行复核，监理人未在约定时间内复核的，乙方提交的工程量报表中的工程量视为乙方实际完成的工程量，据此计算工程价款。</w:t>
      </w:r>
    </w:p>
    <w:p w14:paraId="3DEC2B18">
      <w:pPr>
        <w:spacing w:line="400" w:lineRule="exact"/>
        <w:ind w:firstLine="420" w:firstLineChars="200"/>
        <w:rPr>
          <w:rFonts w:ascii="宋体" w:hAnsi="宋体" w:cs="Arial"/>
          <w:szCs w:val="21"/>
        </w:rPr>
      </w:pPr>
      <w:r>
        <w:rPr>
          <w:rFonts w:hint="eastAsia" w:ascii="宋体" w:hAnsi="宋体" w:cs="Arial"/>
          <w:szCs w:val="21"/>
        </w:rPr>
        <w:t>（5）除按照第15条约定的变更外，在竣工结算时总价</w:t>
      </w:r>
      <w:r>
        <w:rPr>
          <w:rFonts w:hint="eastAsia" w:ascii="宋体" w:hAnsi="宋体"/>
          <w:szCs w:val="21"/>
        </w:rPr>
        <w:t>子目</w:t>
      </w:r>
      <w:r>
        <w:rPr>
          <w:rFonts w:hint="eastAsia" w:ascii="宋体" w:hAnsi="宋体" w:cs="Arial"/>
          <w:szCs w:val="21"/>
        </w:rPr>
        <w:t>的工程量不应当重新计量，签约合同价所基于的工程量即是用于竣工结算的最终工程量。</w:t>
      </w:r>
    </w:p>
    <w:p w14:paraId="73997514">
      <w:pPr>
        <w:pStyle w:val="251"/>
        <w:tabs>
          <w:tab w:val="left" w:pos="720"/>
        </w:tabs>
        <w:outlineLvl w:val="0"/>
        <w:rPr>
          <w:rFonts w:ascii="宋体" w:hAnsi="宋体" w:eastAsia="宋体"/>
          <w:sz w:val="21"/>
          <w:szCs w:val="21"/>
        </w:rPr>
      </w:pPr>
      <w:r>
        <w:rPr>
          <w:rFonts w:hint="eastAsia" w:ascii="宋体" w:hAnsi="宋体" w:eastAsia="宋体"/>
          <w:sz w:val="21"/>
          <w:szCs w:val="21"/>
        </w:rPr>
        <w:t>17.2 预付款</w:t>
      </w:r>
    </w:p>
    <w:p w14:paraId="4579206E">
      <w:pPr>
        <w:spacing w:line="400" w:lineRule="exact"/>
        <w:ind w:firstLine="420" w:firstLineChars="200"/>
        <w:rPr>
          <w:rFonts w:ascii="宋体" w:hAnsi="宋体" w:cs="Arial"/>
          <w:szCs w:val="21"/>
        </w:rPr>
      </w:pPr>
      <w:r>
        <w:rPr>
          <w:rFonts w:hint="eastAsia" w:ascii="宋体" w:hAnsi="宋体" w:cs="Arial"/>
          <w:szCs w:val="21"/>
        </w:rPr>
        <w:t>17.2.1付款方式</w:t>
      </w:r>
    </w:p>
    <w:p w14:paraId="671063E3">
      <w:pPr>
        <w:spacing w:line="400" w:lineRule="exact"/>
        <w:ind w:firstLine="420" w:firstLineChars="200"/>
        <w:rPr>
          <w:rFonts w:ascii="宋体" w:hAnsi="宋体"/>
          <w:szCs w:val="21"/>
        </w:rPr>
      </w:pPr>
      <w:r>
        <w:rPr>
          <w:rFonts w:hint="eastAsia" w:ascii="宋体" w:hAnsi="宋体"/>
          <w:szCs w:val="21"/>
        </w:rPr>
        <w:t>（1）付款额度</w:t>
      </w:r>
    </w:p>
    <w:p w14:paraId="3C2AE70A">
      <w:pPr>
        <w:keepNext/>
        <w:keepLines/>
        <w:spacing w:line="400" w:lineRule="exact"/>
        <w:ind w:firstLine="420" w:firstLineChars="200"/>
        <w:rPr>
          <w:rFonts w:ascii="宋体" w:hAnsi="宋体"/>
          <w:szCs w:val="21"/>
        </w:rPr>
      </w:pPr>
      <w:r>
        <w:rPr>
          <w:rFonts w:hint="eastAsia"/>
        </w:rPr>
        <w:t>合同总价的</w:t>
      </w:r>
      <w:r>
        <w:rPr>
          <w:rFonts w:hint="eastAsia"/>
          <w:lang w:val="en-US" w:eastAsia="zh-CN"/>
        </w:rPr>
        <w:t>50</w:t>
      </w:r>
      <w:r>
        <w:rPr>
          <w:rFonts w:hint="eastAsia"/>
        </w:rPr>
        <w:t>%（不包含其他项目费用），包含措施费和安全生产标准化措施费</w:t>
      </w:r>
      <w:r>
        <w:rPr>
          <w:rFonts w:hint="eastAsia" w:ascii="宋体" w:hAnsi="宋体"/>
          <w:szCs w:val="21"/>
        </w:rPr>
        <w:t>。</w:t>
      </w:r>
    </w:p>
    <w:p w14:paraId="4CD20F32">
      <w:pPr>
        <w:spacing w:line="400" w:lineRule="exact"/>
        <w:ind w:firstLine="420" w:firstLineChars="200"/>
        <w:rPr>
          <w:rFonts w:ascii="宋体" w:hAnsi="宋体"/>
          <w:szCs w:val="21"/>
        </w:rPr>
      </w:pPr>
      <w:r>
        <w:rPr>
          <w:rFonts w:hint="eastAsia" w:ascii="宋体" w:hAnsi="宋体"/>
          <w:szCs w:val="21"/>
        </w:rPr>
        <w:t xml:space="preserve">（2）预付办法  </w:t>
      </w:r>
    </w:p>
    <w:p w14:paraId="1C4313D1">
      <w:pPr>
        <w:spacing w:line="400" w:lineRule="exact"/>
        <w:ind w:firstLine="420" w:firstLineChars="200"/>
        <w:rPr>
          <w:rFonts w:ascii="宋体" w:hAnsi="宋体"/>
          <w:szCs w:val="21"/>
        </w:rPr>
      </w:pPr>
      <w:r>
        <w:rPr>
          <w:rFonts w:hint="eastAsia" w:ascii="宋体" w:hAnsi="宋体"/>
          <w:szCs w:val="21"/>
        </w:rPr>
        <w:t>预付款预付办法：</w:t>
      </w:r>
      <w:r>
        <w:rPr>
          <w:rFonts w:hint="eastAsia" w:ascii="宋体" w:hAnsi="宋体"/>
          <w:szCs w:val="21"/>
          <w:u w:val="single"/>
        </w:rPr>
        <w:t>甲方一次性向乙方支付预付款</w:t>
      </w:r>
      <w:r>
        <w:rPr>
          <w:rFonts w:hint="eastAsia" w:ascii="宋体" w:hAnsi="宋体"/>
          <w:szCs w:val="21"/>
        </w:rPr>
        <w:t>。</w:t>
      </w:r>
    </w:p>
    <w:p w14:paraId="4B6FB224">
      <w:pPr>
        <w:spacing w:line="400" w:lineRule="exact"/>
        <w:ind w:firstLine="420" w:firstLineChars="200"/>
        <w:rPr>
          <w:rFonts w:ascii="宋体" w:hAnsi="宋体" w:cs="Arial"/>
          <w:szCs w:val="21"/>
        </w:rPr>
      </w:pPr>
      <w:r>
        <w:rPr>
          <w:rFonts w:hint="eastAsia" w:ascii="宋体" w:hAnsi="宋体"/>
          <w:szCs w:val="21"/>
        </w:rPr>
        <w:t>预付款的支付时间：</w:t>
      </w:r>
      <w:r>
        <w:rPr>
          <w:rFonts w:hint="eastAsia" w:ascii="宋体" w:hAnsi="宋体"/>
          <w:szCs w:val="21"/>
          <w:u w:val="single"/>
        </w:rPr>
        <w:t>本合同签订后</w:t>
      </w:r>
      <w:r>
        <w:rPr>
          <w:rFonts w:ascii="宋体" w:hAnsi="宋体"/>
          <w:szCs w:val="21"/>
          <w:u w:val="single"/>
        </w:rPr>
        <w:t>10</w:t>
      </w:r>
      <w:r>
        <w:rPr>
          <w:rFonts w:hint="eastAsia" w:ascii="宋体" w:hAnsi="宋体"/>
          <w:szCs w:val="21"/>
          <w:u w:val="single"/>
        </w:rPr>
        <w:t>个工作日内，不迟于约定的开工日期前7日内</w:t>
      </w:r>
      <w:r>
        <w:rPr>
          <w:rFonts w:hint="eastAsia" w:ascii="宋体" w:hAnsi="宋体"/>
          <w:szCs w:val="21"/>
        </w:rPr>
        <w:t>。</w:t>
      </w:r>
    </w:p>
    <w:p w14:paraId="0FB9D989">
      <w:pPr>
        <w:spacing w:line="400" w:lineRule="exact"/>
        <w:ind w:firstLine="420" w:firstLineChars="200"/>
        <w:rPr>
          <w:rFonts w:ascii="宋体" w:hAnsi="宋体"/>
          <w:szCs w:val="21"/>
        </w:rPr>
      </w:pPr>
      <w:r>
        <w:rPr>
          <w:rFonts w:hint="eastAsia" w:ascii="宋体" w:hAnsi="宋体"/>
          <w:szCs w:val="21"/>
        </w:rPr>
        <w:t>17.</w:t>
      </w:r>
      <w:r>
        <w:rPr>
          <w:rFonts w:ascii="宋体" w:hAnsi="宋体"/>
          <w:szCs w:val="21"/>
        </w:rPr>
        <w:t>2</w:t>
      </w:r>
      <w:r>
        <w:rPr>
          <w:rFonts w:hint="eastAsia" w:ascii="宋体" w:hAnsi="宋体"/>
          <w:szCs w:val="21"/>
        </w:rPr>
        <w:t>.2进度付款申请单</w:t>
      </w:r>
    </w:p>
    <w:p w14:paraId="63AD470F">
      <w:pPr>
        <w:spacing w:line="400" w:lineRule="exact"/>
        <w:ind w:firstLine="420" w:firstLineChars="200"/>
        <w:rPr>
          <w:rFonts w:ascii="宋体" w:hAnsi="宋体"/>
          <w:szCs w:val="21"/>
        </w:rPr>
      </w:pPr>
      <w:r>
        <w:rPr>
          <w:rFonts w:hint="eastAsia" w:ascii="宋体" w:hAnsi="宋体"/>
          <w:szCs w:val="21"/>
        </w:rPr>
        <w:t>进度付款申请单的份数：</w:t>
      </w:r>
      <w:r>
        <w:rPr>
          <w:rFonts w:hint="eastAsia" w:ascii="宋体" w:hAnsi="宋体"/>
          <w:szCs w:val="21"/>
          <w:u w:val="single"/>
        </w:rPr>
        <w:t xml:space="preserve">  一式五份</w:t>
      </w:r>
      <w:r>
        <w:rPr>
          <w:rFonts w:hint="eastAsia" w:ascii="宋体" w:hAnsi="宋体"/>
          <w:szCs w:val="21"/>
        </w:rPr>
        <w:t>。</w:t>
      </w:r>
    </w:p>
    <w:p w14:paraId="4489CC89">
      <w:pPr>
        <w:spacing w:line="400" w:lineRule="exact"/>
        <w:ind w:firstLine="420" w:firstLineChars="200"/>
        <w:rPr>
          <w:rFonts w:ascii="宋体" w:hAnsi="宋体"/>
          <w:szCs w:val="21"/>
          <w:u w:val="single"/>
        </w:rPr>
      </w:pPr>
      <w:r>
        <w:rPr>
          <w:rFonts w:hint="eastAsia" w:ascii="宋体" w:hAnsi="宋体"/>
          <w:szCs w:val="21"/>
        </w:rPr>
        <w:t>进度付款申请单的内容：</w:t>
      </w:r>
      <w:r>
        <w:rPr>
          <w:rFonts w:hint="eastAsia" w:ascii="宋体" w:hAnsi="宋体"/>
          <w:szCs w:val="21"/>
          <w:u w:val="single"/>
        </w:rPr>
        <w:t>（1）付款次数或编号；（2）截至本次付款周期末已实施工程的价款；（3）变更洽商金额；（4）索赔金额；（5）本次应支付的预付款和应扣减的返还预付款；（6）根据合同应增加和扣减的其他金额.</w:t>
      </w:r>
    </w:p>
    <w:p w14:paraId="54E5A15E">
      <w:pPr>
        <w:spacing w:line="400" w:lineRule="exact"/>
        <w:ind w:firstLine="420" w:firstLineChars="200"/>
        <w:rPr>
          <w:rFonts w:ascii="宋体" w:hAnsi="宋体"/>
          <w:szCs w:val="21"/>
          <w:u w:val="single"/>
        </w:rPr>
      </w:pPr>
      <w:r>
        <w:rPr>
          <w:rFonts w:hint="eastAsia" w:ascii="宋体" w:hAnsi="宋体"/>
          <w:szCs w:val="21"/>
        </w:rPr>
        <w:t>17.</w:t>
      </w:r>
      <w:r>
        <w:rPr>
          <w:rFonts w:ascii="宋体" w:hAnsi="宋体"/>
          <w:szCs w:val="21"/>
        </w:rPr>
        <w:t>2</w:t>
      </w:r>
      <w:r>
        <w:rPr>
          <w:rFonts w:hint="eastAsia" w:ascii="宋体" w:hAnsi="宋体"/>
          <w:szCs w:val="21"/>
        </w:rPr>
        <w:t>.3进度付款证书和支付时间</w:t>
      </w:r>
    </w:p>
    <w:p w14:paraId="7BEA3513">
      <w:pPr>
        <w:spacing w:line="400" w:lineRule="exact"/>
        <w:ind w:firstLine="482" w:firstLineChars="200"/>
        <w:rPr>
          <w:rFonts w:ascii="宋体" w:hAnsi="宋体"/>
          <w:b/>
          <w:sz w:val="24"/>
        </w:rPr>
      </w:pPr>
      <w:r>
        <w:rPr>
          <w:rFonts w:hint="eastAsia" w:ascii="宋体" w:hAnsi="宋体"/>
          <w:b/>
          <w:sz w:val="24"/>
        </w:rPr>
        <w:t>进度付款涉及政府性资金的支付方法：乙方向甲方递交有效发票后，甲方向乙方付总工程款的</w:t>
      </w:r>
      <w:r>
        <w:rPr>
          <w:rFonts w:hint="eastAsia" w:ascii="宋体" w:hAnsi="宋体"/>
          <w:b/>
          <w:sz w:val="24"/>
          <w:lang w:val="en-US" w:eastAsia="zh-CN"/>
        </w:rPr>
        <w:t>50</w:t>
      </w:r>
      <w:r>
        <w:rPr>
          <w:rFonts w:hint="eastAsia" w:ascii="宋体" w:hAnsi="宋体"/>
          <w:b/>
          <w:sz w:val="24"/>
        </w:rPr>
        <w:t>%，计人民币：</w:t>
      </w:r>
      <w:r>
        <w:rPr>
          <w:rFonts w:hint="eastAsia" w:ascii="宋体" w:hAnsi="宋体"/>
          <w:b/>
          <w:sz w:val="24"/>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
          <w:sz w:val="24"/>
          <w:u w:val="single"/>
        </w:rPr>
        <w:t xml:space="preserve"> </w:t>
      </w:r>
      <w:r>
        <w:rPr>
          <w:rFonts w:hint="eastAsia" w:ascii="宋体" w:hAnsi="宋体"/>
          <w:b/>
          <w:sz w:val="24"/>
        </w:rPr>
        <w:t>元，工程进度和工程量完成至70%时，累计支付至合同价款的70%，计人民币：</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
          <w:sz w:val="24"/>
        </w:rPr>
        <w:t>元。进度款支付不作为结算依据。工程竣工验收合格并提交完整的结算资料后，待工程竣工结算审计并经发承包双方确认后90日历天内支付至结算价款的100%，乙方向甲方交纳审定金额的</w:t>
      </w:r>
      <w:r>
        <w:rPr>
          <w:rFonts w:ascii="宋体" w:hAnsi="宋体"/>
          <w:b/>
          <w:sz w:val="24"/>
        </w:rPr>
        <w:t>3</w:t>
      </w:r>
      <w:r>
        <w:rPr>
          <w:rFonts w:hint="eastAsia" w:ascii="宋体" w:hAnsi="宋体"/>
          <w:b/>
          <w:sz w:val="24"/>
        </w:rPr>
        <w:t>%作为质保金，无质量问题24个月后无息返还。</w:t>
      </w:r>
    </w:p>
    <w:p w14:paraId="5FE4136D">
      <w:pPr>
        <w:spacing w:line="400" w:lineRule="exact"/>
        <w:rPr>
          <w:rFonts w:ascii="宋体" w:hAnsi="宋体" w:cs="Arial"/>
          <w:b/>
          <w:bCs/>
          <w:szCs w:val="21"/>
        </w:rPr>
      </w:pPr>
      <w:r>
        <w:rPr>
          <w:rFonts w:hint="eastAsia" w:ascii="宋体" w:hAnsi="宋体"/>
          <w:b/>
          <w:sz w:val="24"/>
        </w:rPr>
        <w:t>1</w:t>
      </w:r>
      <w:r>
        <w:rPr>
          <w:rFonts w:ascii="宋体" w:hAnsi="宋体"/>
          <w:b/>
          <w:sz w:val="24"/>
        </w:rPr>
        <w:t>7.4</w:t>
      </w:r>
      <w:r>
        <w:rPr>
          <w:rFonts w:hint="eastAsia" w:ascii="宋体" w:hAnsi="宋体" w:cs="Arial"/>
          <w:b/>
          <w:bCs/>
          <w:szCs w:val="21"/>
        </w:rPr>
        <w:t>工程结算</w:t>
      </w:r>
    </w:p>
    <w:p w14:paraId="6A65F6D0">
      <w:pPr>
        <w:spacing w:line="400" w:lineRule="exact"/>
        <w:rPr>
          <w:rFonts w:ascii="宋体" w:hAnsi="宋体" w:cs="Arial"/>
          <w:b/>
          <w:bCs/>
          <w:sz w:val="22"/>
        </w:rPr>
      </w:pPr>
      <w:r>
        <w:rPr>
          <w:rFonts w:hint="eastAsia" w:ascii="宋体" w:hAnsi="宋体" w:cs="Arial"/>
          <w:b/>
          <w:bCs/>
          <w:sz w:val="22"/>
        </w:rPr>
        <w:t>1</w:t>
      </w:r>
      <w:r>
        <w:rPr>
          <w:rFonts w:ascii="宋体" w:hAnsi="宋体" w:cs="Arial"/>
          <w:b/>
          <w:bCs/>
          <w:sz w:val="22"/>
        </w:rPr>
        <w:t>7.4.1</w:t>
      </w:r>
      <w:r>
        <w:rPr>
          <w:rFonts w:hint="eastAsia" w:ascii="宋体" w:hAnsi="宋体" w:cs="Arial"/>
          <w:b/>
          <w:bCs/>
          <w:sz w:val="22"/>
        </w:rPr>
        <w:t>本合同为固定总价合同，其合同总价已包含甲方确认的设计图、施工图、效果图、乙方投标报价所列内容及所涉及的各项风险，上述依据中出现冲突以有利于甲方的条件为准。竣工结算时在完成本合同范围内不作调整。在合同范围外增加的，另行结算。对于合同总价内项目，工程结算审计的审减率若超过工程款的5%，超出5%的审计费由施工单位承担，审减率小于5%，审计费用由发包方承担。对于合同总价外经发包人书面同意的增项，工程结算审计的审减率若超过工程款的10%，超出10%的审计费由施工单位承担，审减小于10%，审计费用由发包方承担。</w:t>
      </w:r>
    </w:p>
    <w:p w14:paraId="123101DD">
      <w:pPr>
        <w:spacing w:line="400" w:lineRule="exact"/>
        <w:rPr>
          <w:rFonts w:ascii="宋体" w:hAnsi="宋体" w:cs="Arial"/>
          <w:b/>
          <w:bCs/>
          <w:sz w:val="22"/>
        </w:rPr>
      </w:pPr>
      <w:r>
        <w:rPr>
          <w:rFonts w:hint="eastAsia" w:ascii="宋体" w:hAnsi="宋体" w:cs="Arial"/>
          <w:b/>
          <w:bCs/>
          <w:sz w:val="22"/>
        </w:rPr>
        <w:t>1</w:t>
      </w:r>
      <w:r>
        <w:rPr>
          <w:rFonts w:ascii="宋体" w:hAnsi="宋体" w:cs="Arial"/>
          <w:b/>
          <w:bCs/>
          <w:sz w:val="22"/>
        </w:rPr>
        <w:t>7.4.2</w:t>
      </w:r>
      <w:r>
        <w:rPr>
          <w:rFonts w:hint="eastAsia" w:ascii="宋体" w:hAnsi="宋体" w:cs="Arial"/>
          <w:b/>
          <w:bCs/>
          <w:sz w:val="22"/>
        </w:rPr>
        <w:t>若在施工过程中，因甲方原因产生新的设计变更，足以导制工程施工费用明显增加的，在工程结算后支付，计价依据如下：</w:t>
      </w:r>
    </w:p>
    <w:p w14:paraId="6ED94132">
      <w:pPr>
        <w:spacing w:line="400" w:lineRule="exact"/>
        <w:rPr>
          <w:rFonts w:ascii="宋体" w:hAnsi="宋体" w:cs="Arial"/>
          <w:b/>
          <w:bCs/>
          <w:sz w:val="22"/>
        </w:rPr>
      </w:pPr>
      <w:r>
        <w:rPr>
          <w:rFonts w:hint="eastAsia" w:ascii="宋体" w:hAnsi="宋体" w:cs="Arial"/>
          <w:b/>
          <w:bCs/>
          <w:sz w:val="22"/>
        </w:rPr>
        <w:t>（1）预算中有综合单价的，按原预算单价执行。</w:t>
      </w:r>
    </w:p>
    <w:p w14:paraId="56C1C084">
      <w:pPr>
        <w:spacing w:line="400" w:lineRule="exact"/>
        <w:rPr>
          <w:rFonts w:ascii="宋体" w:hAnsi="宋体" w:cs="Arial"/>
          <w:b/>
          <w:bCs/>
          <w:szCs w:val="21"/>
        </w:rPr>
      </w:pPr>
      <w:r>
        <w:rPr>
          <w:rFonts w:hint="eastAsia" w:ascii="宋体" w:hAnsi="宋体" w:cs="Arial"/>
          <w:b/>
          <w:bCs/>
          <w:sz w:val="22"/>
        </w:rPr>
        <w:t>（2）原预算中没有综合单价的，按合同约定计价规范文件，人工、材料、机械费用有信息价的参照施工期信息价执行，没有信息价的参照施工期市场价执行。</w:t>
      </w:r>
    </w:p>
    <w:p w14:paraId="1B2A60A0">
      <w:pPr>
        <w:pStyle w:val="251"/>
        <w:tabs>
          <w:tab w:val="left" w:pos="720"/>
        </w:tabs>
        <w:outlineLvl w:val="0"/>
        <w:rPr>
          <w:rFonts w:ascii="宋体" w:hAnsi="宋体" w:eastAsia="宋体"/>
          <w:sz w:val="21"/>
          <w:szCs w:val="21"/>
        </w:rPr>
      </w:pPr>
      <w:r>
        <w:rPr>
          <w:rFonts w:hint="eastAsia" w:ascii="宋体" w:hAnsi="宋体" w:eastAsia="宋体"/>
          <w:sz w:val="21"/>
          <w:szCs w:val="21"/>
        </w:rPr>
        <w:t>17.5 竣工结算</w:t>
      </w:r>
    </w:p>
    <w:p w14:paraId="3ACF8DD2">
      <w:pPr>
        <w:spacing w:line="400" w:lineRule="exact"/>
        <w:ind w:firstLine="420" w:firstLineChars="200"/>
        <w:rPr>
          <w:rFonts w:ascii="宋体" w:hAnsi="宋体"/>
          <w:szCs w:val="21"/>
        </w:rPr>
      </w:pPr>
      <w:r>
        <w:rPr>
          <w:rFonts w:hint="eastAsia" w:ascii="宋体" w:hAnsi="宋体"/>
          <w:szCs w:val="21"/>
        </w:rPr>
        <w:t>17.5.1竣工付款申请单</w:t>
      </w:r>
    </w:p>
    <w:p w14:paraId="25BCA745">
      <w:pPr>
        <w:spacing w:line="400" w:lineRule="exact"/>
        <w:ind w:firstLine="420" w:firstLineChars="200"/>
        <w:rPr>
          <w:rFonts w:ascii="宋体" w:hAnsi="宋体"/>
          <w:szCs w:val="21"/>
          <w:u w:val="single"/>
        </w:rPr>
      </w:pPr>
      <w:r>
        <w:rPr>
          <w:rFonts w:hint="eastAsia" w:ascii="宋体" w:hAnsi="宋体"/>
          <w:szCs w:val="21"/>
        </w:rPr>
        <w:t>乙方提交竣工付款申请单的份数：</w:t>
      </w:r>
      <w:r>
        <w:rPr>
          <w:rFonts w:hint="eastAsia" w:ascii="宋体" w:hAnsi="宋体"/>
          <w:szCs w:val="21"/>
          <w:u w:val="single"/>
        </w:rPr>
        <w:t>一式五份</w:t>
      </w:r>
      <w:r>
        <w:rPr>
          <w:rFonts w:hint="eastAsia" w:ascii="宋体" w:hAnsi="宋体"/>
          <w:szCs w:val="21"/>
        </w:rPr>
        <w:t>。</w:t>
      </w:r>
    </w:p>
    <w:p w14:paraId="257F5E27">
      <w:pPr>
        <w:spacing w:line="400" w:lineRule="exact"/>
        <w:ind w:firstLine="420" w:firstLineChars="200"/>
        <w:rPr>
          <w:rFonts w:ascii="宋体" w:hAnsi="宋体"/>
          <w:szCs w:val="21"/>
          <w:u w:val="single"/>
        </w:rPr>
      </w:pPr>
      <w:r>
        <w:rPr>
          <w:rFonts w:hint="eastAsia" w:ascii="宋体" w:hAnsi="宋体"/>
          <w:szCs w:val="21"/>
        </w:rPr>
        <w:t>乙方提交竣工付款申请单的期限：</w:t>
      </w:r>
      <w:r>
        <w:rPr>
          <w:rFonts w:hint="eastAsia" w:ascii="宋体" w:hAnsi="宋体"/>
          <w:szCs w:val="21"/>
          <w:u w:val="single"/>
        </w:rPr>
        <w:t>在工程接收证书颁发后14天内</w:t>
      </w:r>
      <w:r>
        <w:rPr>
          <w:rFonts w:hint="eastAsia" w:ascii="宋体" w:hAnsi="宋体"/>
          <w:szCs w:val="21"/>
        </w:rPr>
        <w:t>。</w:t>
      </w:r>
    </w:p>
    <w:p w14:paraId="4E3DFC35">
      <w:pPr>
        <w:spacing w:line="400" w:lineRule="exact"/>
        <w:ind w:firstLine="420" w:firstLineChars="200"/>
        <w:rPr>
          <w:rFonts w:ascii="宋体" w:hAnsi="宋体"/>
          <w:szCs w:val="21"/>
        </w:rPr>
      </w:pPr>
      <w:r>
        <w:rPr>
          <w:rFonts w:hint="eastAsia" w:ascii="宋体" w:hAnsi="宋体"/>
          <w:szCs w:val="21"/>
        </w:rPr>
        <w:t>竣工付款申请单的内容：</w:t>
      </w:r>
      <w:r>
        <w:rPr>
          <w:rFonts w:hint="eastAsia" w:ascii="宋体" w:hAnsi="宋体"/>
          <w:szCs w:val="21"/>
          <w:u w:val="single"/>
        </w:rPr>
        <w:t>按照甲方规定的格式和内容填写，应包括但不限于竣工结算合同总价、已支付的工程价款、应扣留的质量保证金、应支付的竣工付款金额等</w:t>
      </w:r>
      <w:r>
        <w:rPr>
          <w:rFonts w:hint="eastAsia" w:ascii="宋体" w:hAnsi="宋体"/>
          <w:szCs w:val="21"/>
        </w:rPr>
        <w:t>。</w:t>
      </w:r>
    </w:p>
    <w:p w14:paraId="4FA2E6E5">
      <w:pPr>
        <w:spacing w:line="400" w:lineRule="exact"/>
        <w:ind w:firstLine="420" w:firstLineChars="200"/>
        <w:rPr>
          <w:rFonts w:ascii="宋体" w:hAnsi="宋体"/>
          <w:szCs w:val="21"/>
        </w:rPr>
      </w:pPr>
      <w:r>
        <w:rPr>
          <w:rFonts w:hint="eastAsia" w:ascii="宋体" w:hAnsi="宋体" w:cs="Arial"/>
          <w:szCs w:val="21"/>
        </w:rPr>
        <w:t>乙方未按本项约定的期限和内容提交竣工付款申请单或者未按通用合同条款第17.5.1（2)目约定提交修正后的竣工付款申请单，经监理人催促后14天内仍未提交或者没有明确答复的，监理人和甲方有权根据已有资料进行审查，审查确定的竣工结算</w:t>
      </w:r>
      <w:r>
        <w:rPr>
          <w:rFonts w:hint="eastAsia" w:ascii="宋体" w:hAnsi="宋体"/>
          <w:szCs w:val="21"/>
        </w:rPr>
        <w:t xml:space="preserve">合同总价和竣工付款金额视同是经乙方认可的工程竣工结算合同总价和竣工付款金额。   </w:t>
      </w:r>
    </w:p>
    <w:p w14:paraId="6A48E2E6">
      <w:pPr>
        <w:spacing w:line="400" w:lineRule="exact"/>
        <w:ind w:firstLine="420" w:firstLineChars="200"/>
        <w:rPr>
          <w:rFonts w:ascii="宋体" w:hAnsi="宋体"/>
          <w:szCs w:val="21"/>
        </w:rPr>
      </w:pPr>
      <w:r>
        <w:rPr>
          <w:rFonts w:hint="eastAsia" w:ascii="宋体" w:hAnsi="宋体"/>
          <w:szCs w:val="21"/>
        </w:rPr>
        <w:t>不管通用合同条款17.5.2项如何约定，甲方和乙方应当在监理人颁发（出具）工程接收证书后56天内办清竣工结算和竣工付款。但是，政府投资或者以政府投资为主的建设项目纳入审计项目计划的，甲方和乙方均负有配合、接受审计机关审计的义务，竣工结算应当依据审计结论，办清竣工结算和竣工付款的时间按照相关规定执行。</w:t>
      </w:r>
    </w:p>
    <w:p w14:paraId="11327440">
      <w:pPr>
        <w:pStyle w:val="251"/>
        <w:tabs>
          <w:tab w:val="left" w:pos="720"/>
        </w:tabs>
        <w:outlineLvl w:val="0"/>
        <w:rPr>
          <w:rFonts w:ascii="宋体" w:hAnsi="宋体" w:eastAsia="宋体"/>
          <w:sz w:val="21"/>
          <w:szCs w:val="21"/>
        </w:rPr>
      </w:pPr>
      <w:r>
        <w:rPr>
          <w:rFonts w:hint="eastAsia" w:ascii="宋体" w:hAnsi="宋体" w:eastAsia="宋体"/>
          <w:sz w:val="21"/>
          <w:szCs w:val="21"/>
        </w:rPr>
        <w:t>17.6 最终结清</w:t>
      </w:r>
    </w:p>
    <w:p w14:paraId="3E9EA0F2">
      <w:pPr>
        <w:spacing w:line="400" w:lineRule="exact"/>
        <w:ind w:firstLine="420" w:firstLineChars="200"/>
        <w:rPr>
          <w:rFonts w:ascii="宋体" w:hAnsi="宋体"/>
          <w:szCs w:val="21"/>
        </w:rPr>
      </w:pPr>
      <w:r>
        <w:rPr>
          <w:rFonts w:hint="eastAsia" w:ascii="宋体" w:hAnsi="宋体"/>
          <w:szCs w:val="21"/>
        </w:rPr>
        <w:t>17.6.1最终结清申请单</w:t>
      </w:r>
    </w:p>
    <w:p w14:paraId="1412756C">
      <w:pPr>
        <w:spacing w:line="400" w:lineRule="exact"/>
        <w:ind w:firstLine="420" w:firstLineChars="200"/>
        <w:rPr>
          <w:rFonts w:ascii="宋体" w:hAnsi="宋体"/>
          <w:szCs w:val="21"/>
          <w:u w:val="single"/>
        </w:rPr>
      </w:pPr>
      <w:r>
        <w:rPr>
          <w:rFonts w:hint="eastAsia" w:ascii="宋体" w:hAnsi="宋体"/>
          <w:szCs w:val="21"/>
        </w:rPr>
        <w:t>乙方提交最终结清申请单的份数：</w:t>
      </w:r>
      <w:r>
        <w:rPr>
          <w:rFonts w:hint="eastAsia" w:ascii="宋体" w:hAnsi="宋体"/>
          <w:szCs w:val="21"/>
          <w:u w:val="single"/>
        </w:rPr>
        <w:t>一式五份</w:t>
      </w:r>
      <w:r>
        <w:rPr>
          <w:rFonts w:hint="eastAsia" w:ascii="宋体" w:hAnsi="宋体"/>
          <w:szCs w:val="21"/>
        </w:rPr>
        <w:t>。</w:t>
      </w:r>
    </w:p>
    <w:p w14:paraId="516BACF8">
      <w:pPr>
        <w:spacing w:line="400" w:lineRule="exact"/>
        <w:ind w:firstLine="420" w:firstLineChars="200"/>
        <w:rPr>
          <w:rFonts w:ascii="宋体" w:hAnsi="宋体"/>
          <w:szCs w:val="21"/>
        </w:rPr>
      </w:pPr>
      <w:r>
        <w:rPr>
          <w:rFonts w:hint="eastAsia" w:ascii="宋体" w:hAnsi="宋体"/>
          <w:szCs w:val="21"/>
        </w:rPr>
        <w:t>乙方提交最终结清申请单的期限：</w:t>
      </w:r>
      <w:r>
        <w:rPr>
          <w:rFonts w:hint="eastAsia" w:ascii="宋体" w:hAnsi="宋体"/>
          <w:szCs w:val="21"/>
          <w:u w:val="single"/>
        </w:rPr>
        <w:t>在缺陷责任期终止证书颁发后28天内</w:t>
      </w:r>
      <w:r>
        <w:rPr>
          <w:rFonts w:hint="eastAsia" w:ascii="宋体" w:hAnsi="宋体"/>
          <w:szCs w:val="21"/>
        </w:rPr>
        <w:t>。</w:t>
      </w:r>
    </w:p>
    <w:p w14:paraId="289E9889">
      <w:pPr>
        <w:pStyle w:val="250"/>
        <w:spacing w:before="0"/>
        <w:outlineLvl w:val="0"/>
        <w:rPr>
          <w:rFonts w:ascii="宋体" w:hAnsi="宋体"/>
          <w:sz w:val="21"/>
          <w:szCs w:val="21"/>
        </w:rPr>
      </w:pPr>
      <w:r>
        <w:rPr>
          <w:rFonts w:hint="eastAsia" w:ascii="宋体" w:hAnsi="宋体"/>
          <w:sz w:val="21"/>
          <w:szCs w:val="21"/>
        </w:rPr>
        <w:t>18. 竣工验收</w:t>
      </w:r>
    </w:p>
    <w:p w14:paraId="7419E474">
      <w:pPr>
        <w:pStyle w:val="251"/>
        <w:tabs>
          <w:tab w:val="left" w:pos="720"/>
        </w:tabs>
        <w:outlineLvl w:val="0"/>
        <w:rPr>
          <w:rFonts w:ascii="宋体" w:hAnsi="宋体" w:eastAsia="宋体"/>
          <w:sz w:val="21"/>
          <w:szCs w:val="21"/>
        </w:rPr>
      </w:pPr>
      <w:r>
        <w:rPr>
          <w:rFonts w:hint="eastAsia" w:ascii="宋体" w:hAnsi="宋体" w:eastAsia="宋体"/>
          <w:sz w:val="21"/>
          <w:szCs w:val="21"/>
        </w:rPr>
        <w:t>18.2 竣工验收申请报告</w:t>
      </w:r>
    </w:p>
    <w:p w14:paraId="46E177C0">
      <w:pPr>
        <w:spacing w:line="400" w:lineRule="exact"/>
        <w:ind w:firstLine="420" w:firstLineChars="200"/>
        <w:rPr>
          <w:rFonts w:ascii="宋体" w:hAnsi="宋体"/>
          <w:szCs w:val="21"/>
          <w:u w:val="single"/>
        </w:rPr>
      </w:pPr>
      <w:r>
        <w:rPr>
          <w:rFonts w:hint="eastAsia" w:ascii="宋体" w:hAnsi="宋体"/>
          <w:szCs w:val="21"/>
        </w:rPr>
        <w:t>（2）乙方负责整理和提交的竣工验收资料应当符合工程所在地建设行政主管部门和（或）城市建设档案管理机构有关施工资料的要求，具体内容包括：</w:t>
      </w:r>
      <w:r>
        <w:rPr>
          <w:rFonts w:hint="eastAsia" w:ascii="宋体" w:hAnsi="宋体"/>
          <w:szCs w:val="21"/>
          <w:u w:val="single"/>
        </w:rPr>
        <w:t>（一）文件封面应具有工程名称、开竣工日期、编制单位、卷册编号、单位技术负责人和法人代表或法人委托人签字并加盖单位公章</w:t>
      </w:r>
    </w:p>
    <w:p w14:paraId="776380C2">
      <w:pPr>
        <w:spacing w:line="400" w:lineRule="exact"/>
        <w:ind w:firstLine="420" w:firstLineChars="200"/>
        <w:rPr>
          <w:rFonts w:ascii="宋体" w:hAnsi="宋体"/>
          <w:szCs w:val="21"/>
          <w:u w:val="single"/>
        </w:rPr>
      </w:pPr>
      <w:r>
        <w:rPr>
          <w:rFonts w:hint="eastAsia" w:ascii="宋体" w:hAnsi="宋体"/>
          <w:szCs w:val="21"/>
          <w:u w:val="single"/>
        </w:rPr>
        <w:t>（二）文件材料部分排列宜按以下顺序</w:t>
      </w:r>
    </w:p>
    <w:p w14:paraId="628F481A">
      <w:pPr>
        <w:spacing w:line="400" w:lineRule="exact"/>
        <w:ind w:firstLine="420" w:firstLineChars="200"/>
        <w:rPr>
          <w:rFonts w:ascii="宋体" w:hAnsi="宋体"/>
          <w:szCs w:val="21"/>
          <w:u w:val="single"/>
        </w:rPr>
      </w:pPr>
      <w:r>
        <w:rPr>
          <w:rFonts w:hint="eastAsia" w:ascii="宋体" w:hAnsi="宋体"/>
          <w:szCs w:val="21"/>
          <w:u w:val="single"/>
        </w:rPr>
        <w:t>1、施工组织设计</w:t>
      </w:r>
    </w:p>
    <w:p w14:paraId="5D48D715">
      <w:pPr>
        <w:spacing w:line="400" w:lineRule="exact"/>
        <w:ind w:firstLine="420" w:firstLineChars="200"/>
        <w:rPr>
          <w:rFonts w:ascii="宋体" w:hAnsi="宋体"/>
          <w:szCs w:val="21"/>
          <w:u w:val="single"/>
        </w:rPr>
      </w:pPr>
      <w:r>
        <w:rPr>
          <w:rFonts w:hint="eastAsia" w:ascii="宋体" w:hAnsi="宋体"/>
          <w:szCs w:val="21"/>
          <w:u w:val="single"/>
        </w:rPr>
        <w:t>2、施工图设计文件会审、技术交底记录</w:t>
      </w:r>
    </w:p>
    <w:p w14:paraId="6D9800A7">
      <w:pPr>
        <w:spacing w:line="400" w:lineRule="exact"/>
        <w:ind w:firstLine="420" w:firstLineChars="200"/>
        <w:rPr>
          <w:rFonts w:ascii="宋体" w:hAnsi="宋体"/>
          <w:szCs w:val="21"/>
          <w:u w:val="single"/>
        </w:rPr>
      </w:pPr>
      <w:r>
        <w:rPr>
          <w:rFonts w:hint="eastAsia" w:ascii="宋体" w:hAnsi="宋体"/>
          <w:szCs w:val="21"/>
          <w:u w:val="single"/>
        </w:rPr>
        <w:t>3、设计变更通知单、洽商记录</w:t>
      </w:r>
    </w:p>
    <w:p w14:paraId="6B3F6075">
      <w:pPr>
        <w:spacing w:line="400" w:lineRule="exact"/>
        <w:ind w:firstLine="420" w:firstLineChars="200"/>
        <w:rPr>
          <w:rFonts w:ascii="宋体" w:hAnsi="宋体"/>
          <w:szCs w:val="21"/>
          <w:u w:val="single"/>
        </w:rPr>
      </w:pPr>
      <w:r>
        <w:rPr>
          <w:rFonts w:hint="eastAsia" w:ascii="宋体" w:hAnsi="宋体"/>
          <w:szCs w:val="21"/>
          <w:u w:val="single"/>
        </w:rPr>
        <w:t>4、原材料、成品、半成品、构配件、设备出厂质量合格证书，出厂检（试）验报告和复试报告（须一一对应）。</w:t>
      </w:r>
    </w:p>
    <w:p w14:paraId="6CD1B8E4">
      <w:pPr>
        <w:spacing w:line="400" w:lineRule="exact"/>
        <w:ind w:firstLine="420" w:firstLineChars="200"/>
        <w:rPr>
          <w:rFonts w:ascii="宋体" w:hAnsi="宋体"/>
          <w:szCs w:val="21"/>
          <w:u w:val="single"/>
        </w:rPr>
      </w:pPr>
      <w:r>
        <w:rPr>
          <w:rFonts w:hint="eastAsia" w:ascii="宋体" w:hAnsi="宋体"/>
          <w:szCs w:val="21"/>
          <w:u w:val="single"/>
        </w:rPr>
        <w:t>5、施工试验资料</w:t>
      </w:r>
    </w:p>
    <w:p w14:paraId="72EE0045">
      <w:pPr>
        <w:spacing w:line="400" w:lineRule="exact"/>
        <w:ind w:firstLine="420" w:firstLineChars="200"/>
        <w:rPr>
          <w:rFonts w:ascii="宋体" w:hAnsi="宋体"/>
          <w:szCs w:val="21"/>
          <w:u w:val="single"/>
        </w:rPr>
      </w:pPr>
      <w:r>
        <w:rPr>
          <w:rFonts w:hint="eastAsia" w:ascii="宋体" w:hAnsi="宋体"/>
          <w:szCs w:val="21"/>
          <w:u w:val="single"/>
        </w:rPr>
        <w:t>6、施工记录</w:t>
      </w:r>
    </w:p>
    <w:p w14:paraId="18564E12">
      <w:pPr>
        <w:spacing w:line="400" w:lineRule="exact"/>
        <w:ind w:firstLine="420" w:firstLineChars="200"/>
        <w:rPr>
          <w:rFonts w:ascii="宋体" w:hAnsi="宋体"/>
          <w:szCs w:val="21"/>
          <w:u w:val="single"/>
        </w:rPr>
      </w:pPr>
      <w:r>
        <w:rPr>
          <w:rFonts w:hint="eastAsia" w:ascii="宋体" w:hAnsi="宋体"/>
          <w:szCs w:val="21"/>
          <w:u w:val="single"/>
        </w:rPr>
        <w:t>7、测量复核及预检记录</w:t>
      </w:r>
    </w:p>
    <w:p w14:paraId="67FC508E">
      <w:pPr>
        <w:spacing w:line="400" w:lineRule="exact"/>
        <w:ind w:firstLine="420" w:firstLineChars="200"/>
        <w:rPr>
          <w:rFonts w:ascii="宋体" w:hAnsi="宋体"/>
          <w:szCs w:val="21"/>
          <w:u w:val="single"/>
        </w:rPr>
      </w:pPr>
      <w:r>
        <w:rPr>
          <w:rFonts w:hint="eastAsia" w:ascii="宋体" w:hAnsi="宋体"/>
          <w:szCs w:val="21"/>
          <w:u w:val="single"/>
        </w:rPr>
        <w:t>8、隐蔽工程检查验收记录</w:t>
      </w:r>
    </w:p>
    <w:p w14:paraId="424BB243">
      <w:pPr>
        <w:spacing w:line="400" w:lineRule="exact"/>
        <w:ind w:firstLine="420" w:firstLineChars="200"/>
        <w:rPr>
          <w:rFonts w:ascii="宋体" w:hAnsi="宋体"/>
          <w:szCs w:val="21"/>
          <w:u w:val="single"/>
        </w:rPr>
      </w:pPr>
      <w:r>
        <w:rPr>
          <w:rFonts w:hint="eastAsia" w:ascii="宋体" w:hAnsi="宋体"/>
          <w:szCs w:val="21"/>
          <w:u w:val="single"/>
        </w:rPr>
        <w:t>9、工程质量检验评定资料</w:t>
      </w:r>
    </w:p>
    <w:p w14:paraId="271B9643">
      <w:pPr>
        <w:spacing w:line="400" w:lineRule="exact"/>
        <w:ind w:firstLine="420" w:firstLineChars="200"/>
        <w:rPr>
          <w:rFonts w:ascii="宋体" w:hAnsi="宋体"/>
          <w:szCs w:val="21"/>
          <w:u w:val="single"/>
        </w:rPr>
      </w:pPr>
      <w:r>
        <w:rPr>
          <w:rFonts w:hint="eastAsia" w:ascii="宋体" w:hAnsi="宋体"/>
          <w:szCs w:val="21"/>
          <w:u w:val="single"/>
        </w:rPr>
        <w:t>10、使用功能试验记录</w:t>
      </w:r>
    </w:p>
    <w:p w14:paraId="54420356">
      <w:pPr>
        <w:spacing w:line="400" w:lineRule="exact"/>
        <w:ind w:firstLine="420" w:firstLineChars="200"/>
        <w:rPr>
          <w:rFonts w:ascii="宋体" w:hAnsi="宋体"/>
          <w:szCs w:val="21"/>
          <w:u w:val="single"/>
        </w:rPr>
      </w:pPr>
      <w:r>
        <w:rPr>
          <w:rFonts w:hint="eastAsia" w:ascii="宋体" w:hAnsi="宋体"/>
          <w:szCs w:val="21"/>
          <w:u w:val="single"/>
        </w:rPr>
        <w:t>11、事故报告</w:t>
      </w:r>
    </w:p>
    <w:p w14:paraId="0665E9D1">
      <w:pPr>
        <w:spacing w:line="400" w:lineRule="exact"/>
        <w:ind w:firstLine="420" w:firstLineChars="200"/>
        <w:rPr>
          <w:rFonts w:ascii="宋体" w:hAnsi="宋体"/>
          <w:szCs w:val="21"/>
          <w:u w:val="single"/>
        </w:rPr>
      </w:pPr>
      <w:r>
        <w:rPr>
          <w:rFonts w:hint="eastAsia" w:ascii="宋体" w:hAnsi="宋体"/>
          <w:szCs w:val="21"/>
          <w:u w:val="single"/>
        </w:rPr>
        <w:t>12、竣工测量资料</w:t>
      </w:r>
    </w:p>
    <w:p w14:paraId="36EF20E4">
      <w:pPr>
        <w:spacing w:line="400" w:lineRule="exact"/>
        <w:ind w:firstLine="420" w:firstLineChars="200"/>
        <w:rPr>
          <w:rFonts w:ascii="宋体" w:hAnsi="宋体"/>
          <w:szCs w:val="21"/>
          <w:u w:val="single"/>
        </w:rPr>
      </w:pPr>
      <w:r>
        <w:rPr>
          <w:rFonts w:hint="eastAsia" w:ascii="宋体" w:hAnsi="宋体"/>
          <w:szCs w:val="21"/>
          <w:u w:val="single"/>
        </w:rPr>
        <w:t>13、竣工图</w:t>
      </w:r>
    </w:p>
    <w:p w14:paraId="4F63D58F">
      <w:pPr>
        <w:spacing w:line="400" w:lineRule="exact"/>
        <w:ind w:firstLine="420" w:firstLineChars="200"/>
        <w:rPr>
          <w:rFonts w:ascii="宋体" w:hAnsi="宋体"/>
          <w:szCs w:val="21"/>
        </w:rPr>
      </w:pPr>
      <w:r>
        <w:rPr>
          <w:rFonts w:hint="eastAsia" w:ascii="宋体" w:hAnsi="宋体"/>
          <w:szCs w:val="21"/>
          <w:u w:val="single"/>
        </w:rPr>
        <w:t>14、工程竣工验收文件</w:t>
      </w:r>
      <w:r>
        <w:rPr>
          <w:rFonts w:hint="eastAsia" w:ascii="宋体" w:hAnsi="宋体"/>
          <w:szCs w:val="21"/>
        </w:rPr>
        <w:t>。</w:t>
      </w:r>
    </w:p>
    <w:p w14:paraId="40AF2962">
      <w:pPr>
        <w:spacing w:line="400" w:lineRule="exact"/>
        <w:ind w:firstLine="420" w:firstLineChars="200"/>
        <w:rPr>
          <w:rFonts w:ascii="宋体" w:hAnsi="宋体"/>
          <w:szCs w:val="21"/>
        </w:rPr>
      </w:pPr>
      <w:r>
        <w:rPr>
          <w:rFonts w:hint="eastAsia" w:ascii="宋体" w:hAnsi="宋体"/>
          <w:szCs w:val="21"/>
        </w:rPr>
        <w:t>竣工验收资料的份数：</w:t>
      </w:r>
      <w:r>
        <w:rPr>
          <w:rFonts w:hint="eastAsia" w:ascii="宋体" w:hAnsi="宋体"/>
          <w:szCs w:val="21"/>
          <w:u w:val="single"/>
        </w:rPr>
        <w:t>4套纸质竣工图及工程档案资料（含4套缩微版文档，执行档案馆要求）</w:t>
      </w:r>
      <w:r>
        <w:rPr>
          <w:rFonts w:hint="eastAsia" w:ascii="宋体" w:hAnsi="宋体"/>
          <w:szCs w:val="21"/>
        </w:rPr>
        <w:t>。</w:t>
      </w:r>
    </w:p>
    <w:p w14:paraId="590079F6">
      <w:pPr>
        <w:spacing w:line="400" w:lineRule="exact"/>
        <w:ind w:firstLine="420" w:firstLineChars="200"/>
        <w:rPr>
          <w:rFonts w:ascii="宋体" w:hAnsi="宋体"/>
          <w:szCs w:val="21"/>
        </w:rPr>
      </w:pPr>
      <w:r>
        <w:rPr>
          <w:rFonts w:hint="eastAsia" w:ascii="宋体" w:hAnsi="宋体"/>
          <w:szCs w:val="21"/>
        </w:rPr>
        <w:t>竣工验收资料的费用支付方式：</w:t>
      </w:r>
      <w:r>
        <w:rPr>
          <w:rFonts w:hint="eastAsia" w:ascii="宋体" w:hAnsi="宋体"/>
          <w:szCs w:val="21"/>
          <w:u w:val="single"/>
        </w:rPr>
        <w:t>已包含在合同价款中，由乙方承担</w:t>
      </w:r>
      <w:r>
        <w:rPr>
          <w:rFonts w:hint="eastAsia" w:ascii="宋体" w:hAnsi="宋体"/>
          <w:szCs w:val="21"/>
        </w:rPr>
        <w:t>。</w:t>
      </w:r>
    </w:p>
    <w:p w14:paraId="6EFB3D7D">
      <w:pPr>
        <w:pStyle w:val="251"/>
        <w:tabs>
          <w:tab w:val="left" w:pos="720"/>
        </w:tabs>
        <w:outlineLvl w:val="0"/>
        <w:rPr>
          <w:rFonts w:ascii="宋体" w:hAnsi="宋体" w:eastAsia="宋体"/>
          <w:sz w:val="21"/>
          <w:szCs w:val="21"/>
        </w:rPr>
      </w:pPr>
      <w:r>
        <w:rPr>
          <w:rFonts w:hint="eastAsia" w:ascii="宋体" w:hAnsi="宋体" w:eastAsia="宋体"/>
          <w:sz w:val="21"/>
          <w:szCs w:val="21"/>
        </w:rPr>
        <w:t>18.3 验 收</w:t>
      </w:r>
    </w:p>
    <w:p w14:paraId="7E5D81BB">
      <w:pPr>
        <w:spacing w:line="400" w:lineRule="exact"/>
        <w:ind w:firstLine="420" w:firstLineChars="200"/>
        <w:rPr>
          <w:rFonts w:ascii="宋体" w:hAnsi="宋体" w:cs="Arial"/>
          <w:szCs w:val="21"/>
        </w:rPr>
      </w:pPr>
      <w:r>
        <w:rPr>
          <w:rFonts w:hint="eastAsia" w:ascii="宋体" w:hAnsi="宋体"/>
          <w:szCs w:val="21"/>
        </w:rPr>
        <w:t>18.3.5经验收合格的工程, 实际竣工日期为乙方按照第18.2款提交竣工验收申请报告或按照本款重新提交竣工验收申请报告的日期（以两者中时间在后者为准）。</w:t>
      </w:r>
    </w:p>
    <w:p w14:paraId="7EAF89EF">
      <w:pPr>
        <w:pStyle w:val="251"/>
        <w:tabs>
          <w:tab w:val="left" w:pos="720"/>
        </w:tabs>
        <w:outlineLvl w:val="0"/>
        <w:rPr>
          <w:rFonts w:ascii="宋体" w:hAnsi="宋体" w:eastAsia="宋体"/>
          <w:sz w:val="21"/>
          <w:szCs w:val="21"/>
        </w:rPr>
      </w:pPr>
      <w:r>
        <w:rPr>
          <w:rFonts w:hint="eastAsia" w:ascii="宋体" w:hAnsi="宋体" w:eastAsia="宋体"/>
          <w:sz w:val="21"/>
          <w:szCs w:val="21"/>
        </w:rPr>
        <w:t>18.5 施工期运行</w:t>
      </w:r>
    </w:p>
    <w:p w14:paraId="45E2575C">
      <w:pPr>
        <w:spacing w:line="400" w:lineRule="exact"/>
        <w:ind w:firstLine="420" w:firstLineChars="200"/>
        <w:rPr>
          <w:rFonts w:ascii="宋体" w:hAnsi="宋体"/>
          <w:szCs w:val="21"/>
          <w:u w:val="single"/>
        </w:rPr>
      </w:pPr>
      <w:r>
        <w:rPr>
          <w:rFonts w:hint="eastAsia" w:ascii="宋体" w:hAnsi="宋体"/>
          <w:szCs w:val="21"/>
        </w:rPr>
        <w:t>18.5.1需要施工期运行的单位工程或设备安装工程：</w:t>
      </w:r>
      <w:r>
        <w:rPr>
          <w:rFonts w:hint="eastAsia" w:ascii="宋体" w:hAnsi="宋体"/>
          <w:szCs w:val="21"/>
          <w:u w:val="single"/>
        </w:rPr>
        <w:t>甲方根据工程实际情况另行安排</w:t>
      </w:r>
      <w:r>
        <w:rPr>
          <w:rFonts w:hint="eastAsia" w:ascii="宋体" w:hAnsi="宋体"/>
          <w:szCs w:val="21"/>
        </w:rPr>
        <w:t>。</w:t>
      </w:r>
    </w:p>
    <w:p w14:paraId="7528493F">
      <w:pPr>
        <w:pStyle w:val="251"/>
        <w:tabs>
          <w:tab w:val="left" w:pos="720"/>
        </w:tabs>
        <w:outlineLvl w:val="0"/>
        <w:rPr>
          <w:rFonts w:ascii="宋体" w:hAnsi="宋体" w:eastAsia="宋体"/>
          <w:sz w:val="21"/>
          <w:szCs w:val="21"/>
        </w:rPr>
      </w:pPr>
      <w:r>
        <w:rPr>
          <w:rFonts w:hint="eastAsia" w:ascii="宋体" w:hAnsi="宋体" w:eastAsia="宋体"/>
          <w:sz w:val="21"/>
          <w:szCs w:val="21"/>
        </w:rPr>
        <w:t>18.6 试运行</w:t>
      </w:r>
    </w:p>
    <w:p w14:paraId="1723BD2F">
      <w:pPr>
        <w:spacing w:line="400" w:lineRule="exact"/>
        <w:ind w:firstLine="420" w:firstLineChars="200"/>
        <w:rPr>
          <w:rFonts w:ascii="宋体" w:hAnsi="宋体"/>
          <w:szCs w:val="21"/>
        </w:rPr>
      </w:pPr>
      <w:r>
        <w:rPr>
          <w:rFonts w:hint="eastAsia" w:ascii="宋体" w:hAnsi="宋体"/>
          <w:szCs w:val="21"/>
        </w:rPr>
        <w:t>18.6.1工程及工程设备试运行的组织与费用承担</w:t>
      </w:r>
    </w:p>
    <w:p w14:paraId="30FE457C">
      <w:pPr>
        <w:spacing w:line="400" w:lineRule="exact"/>
        <w:ind w:firstLine="420" w:firstLineChars="200"/>
        <w:rPr>
          <w:rFonts w:ascii="宋体" w:hAnsi="宋体"/>
          <w:szCs w:val="21"/>
        </w:rPr>
      </w:pPr>
      <w:r>
        <w:rPr>
          <w:rFonts w:hint="eastAsia" w:ascii="宋体" w:hAnsi="宋体"/>
          <w:szCs w:val="21"/>
        </w:rPr>
        <w:t>（1）工程设备安装具备单机无负荷试运行条件，由乙方组织试运行，费用由乙方承担。</w:t>
      </w:r>
    </w:p>
    <w:p w14:paraId="4D34EDDB">
      <w:pPr>
        <w:spacing w:line="400" w:lineRule="exact"/>
        <w:ind w:firstLine="420" w:firstLineChars="200"/>
        <w:rPr>
          <w:rFonts w:ascii="宋体" w:hAnsi="宋体"/>
          <w:szCs w:val="21"/>
        </w:rPr>
      </w:pPr>
      <w:r>
        <w:rPr>
          <w:rFonts w:hint="eastAsia" w:ascii="宋体" w:hAnsi="宋体"/>
          <w:szCs w:val="21"/>
        </w:rPr>
        <w:t>（2）工程设备安装具备无负荷联动试运行条件，由甲方组织试运行，费用由甲方承担</w:t>
      </w:r>
      <w:r>
        <w:rPr>
          <w:rFonts w:ascii="宋体" w:hAnsi="宋体"/>
          <w:szCs w:val="21"/>
        </w:rPr>
        <w:t>。</w:t>
      </w:r>
    </w:p>
    <w:p w14:paraId="77CCF3D4">
      <w:pPr>
        <w:spacing w:line="400" w:lineRule="exact"/>
        <w:ind w:firstLine="420" w:firstLineChars="200"/>
        <w:rPr>
          <w:rFonts w:ascii="宋体" w:hAnsi="宋体" w:cs="Arial"/>
          <w:szCs w:val="21"/>
        </w:rPr>
      </w:pPr>
      <w:r>
        <w:rPr>
          <w:rFonts w:hint="eastAsia" w:ascii="宋体" w:hAnsi="宋体" w:cs="Arial"/>
          <w:szCs w:val="21"/>
        </w:rPr>
        <w:t>（3）</w:t>
      </w:r>
      <w:r>
        <w:rPr>
          <w:rFonts w:hint="eastAsia" w:ascii="宋体" w:hAnsi="宋体"/>
          <w:szCs w:val="21"/>
        </w:rPr>
        <w:t>投料试运行应在工程竣工验收后由甲方负责，如甲方要求在工程竣工验收前进行或需要乙方配合时，应征得乙方同意，另行签订补充协议。</w:t>
      </w:r>
    </w:p>
    <w:p w14:paraId="56F21E72">
      <w:pPr>
        <w:pStyle w:val="251"/>
        <w:tabs>
          <w:tab w:val="left" w:pos="720"/>
        </w:tabs>
        <w:outlineLvl w:val="0"/>
        <w:rPr>
          <w:rFonts w:ascii="宋体" w:hAnsi="宋体" w:eastAsia="宋体"/>
          <w:sz w:val="21"/>
          <w:szCs w:val="21"/>
        </w:rPr>
      </w:pPr>
      <w:r>
        <w:rPr>
          <w:rFonts w:hint="eastAsia" w:ascii="宋体" w:hAnsi="宋体" w:eastAsia="宋体"/>
          <w:sz w:val="21"/>
          <w:szCs w:val="21"/>
        </w:rPr>
        <w:t>18.7 竣工清场</w:t>
      </w:r>
    </w:p>
    <w:p w14:paraId="5EEDC994">
      <w:pPr>
        <w:spacing w:line="400" w:lineRule="exact"/>
        <w:ind w:firstLine="420" w:firstLineChars="200"/>
        <w:rPr>
          <w:rFonts w:ascii="宋体" w:hAnsi="宋体"/>
          <w:szCs w:val="21"/>
        </w:rPr>
      </w:pPr>
      <w:r>
        <w:rPr>
          <w:rFonts w:hint="eastAsia" w:ascii="宋体" w:hAnsi="宋体"/>
          <w:szCs w:val="21"/>
        </w:rPr>
        <w:t>18.7.1监理人颁发（出具）工程接收证书后，乙方负责按照通用合同条款本项约定的要求对施工场地进行清理并承担相关费用，直至监理人检验合格为止。</w:t>
      </w:r>
    </w:p>
    <w:p w14:paraId="09211868">
      <w:pPr>
        <w:pStyle w:val="251"/>
        <w:tabs>
          <w:tab w:val="left" w:pos="720"/>
        </w:tabs>
        <w:outlineLvl w:val="0"/>
        <w:rPr>
          <w:rFonts w:ascii="宋体" w:hAnsi="宋体" w:eastAsia="宋体"/>
          <w:sz w:val="21"/>
          <w:szCs w:val="21"/>
        </w:rPr>
      </w:pPr>
      <w:r>
        <w:rPr>
          <w:rFonts w:hint="eastAsia" w:ascii="宋体" w:hAnsi="宋体" w:eastAsia="宋体"/>
          <w:sz w:val="21"/>
          <w:szCs w:val="21"/>
        </w:rPr>
        <w:t>18.8 施工队伍的撤离</w:t>
      </w:r>
    </w:p>
    <w:p w14:paraId="00ED2B26">
      <w:pPr>
        <w:spacing w:line="400" w:lineRule="exact"/>
        <w:ind w:firstLine="420" w:firstLineChars="200"/>
        <w:rPr>
          <w:rFonts w:ascii="宋体" w:hAnsi="宋体"/>
          <w:szCs w:val="21"/>
        </w:rPr>
      </w:pPr>
      <w:r>
        <w:rPr>
          <w:rFonts w:hint="eastAsia" w:ascii="宋体" w:hAnsi="宋体" w:cs="Arial"/>
          <w:szCs w:val="21"/>
        </w:rPr>
        <w:t>乙方按照通用合同条款第18.8款约定撤离施工场地（现场）时，监理人和乙方应当办理永久工程和施工场地移交手续，移交手续以书面方式出具，并分别经过甲方、监理人和乙方的签认。但是，监理人和甲方未按专用合同条款17.5.1项约定的期限办清竣工结算和竣工付款的，本工程不得交付使用，甲方和监理人也无权要求乙方按合同约定的期限撤离施工场地（现场）和办理工程移交手续。</w:t>
      </w:r>
    </w:p>
    <w:p w14:paraId="646D0FD3">
      <w:pPr>
        <w:spacing w:line="400" w:lineRule="exact"/>
        <w:ind w:firstLine="420" w:firstLineChars="200"/>
        <w:rPr>
          <w:rFonts w:ascii="宋体" w:hAnsi="宋体"/>
          <w:szCs w:val="21"/>
        </w:rPr>
      </w:pPr>
      <w:r>
        <w:rPr>
          <w:rFonts w:hint="eastAsia" w:ascii="宋体" w:hAnsi="宋体"/>
          <w:szCs w:val="21"/>
        </w:rPr>
        <w:t>缺陷责任期满时，乙方可以继续在施工场地保留的人员和施工设备以及最终撤离的期限：</w:t>
      </w:r>
      <w:r>
        <w:rPr>
          <w:rFonts w:hint="eastAsia" w:ascii="宋体" w:hAnsi="宋体"/>
          <w:szCs w:val="21"/>
          <w:u w:val="single"/>
        </w:rPr>
        <w:t>工程接收证书颁发后的56天内，除了经承包人同意需在缺陷责任期内继续工作和使用的人员、施工设备和临时工程外，其余的人员、施工设备和临时工程均应撤离施工场地或拆除。承包人应提交其留场人员和设备的明细表及最后撤离时间。延后撤离造成发包人增加的费用，应由承包人承担。</w:t>
      </w:r>
      <w:r>
        <w:rPr>
          <w:rFonts w:hint="eastAsia" w:ascii="宋体" w:hAnsi="宋体"/>
          <w:szCs w:val="21"/>
        </w:rPr>
        <w:t xml:space="preserve">  </w:t>
      </w:r>
    </w:p>
    <w:p w14:paraId="7EA0967D">
      <w:pPr>
        <w:pStyle w:val="251"/>
        <w:tabs>
          <w:tab w:val="left" w:pos="720"/>
        </w:tabs>
        <w:outlineLvl w:val="0"/>
        <w:rPr>
          <w:rFonts w:ascii="宋体" w:hAnsi="宋体" w:eastAsia="宋体"/>
          <w:sz w:val="21"/>
          <w:szCs w:val="21"/>
        </w:rPr>
      </w:pPr>
      <w:r>
        <w:rPr>
          <w:rFonts w:hint="eastAsia" w:ascii="宋体" w:hAnsi="宋体" w:eastAsia="宋体"/>
          <w:sz w:val="21"/>
          <w:szCs w:val="21"/>
        </w:rPr>
        <w:t>18.9 中间验收</w:t>
      </w:r>
    </w:p>
    <w:p w14:paraId="67BE1A63">
      <w:pPr>
        <w:spacing w:line="400" w:lineRule="exact"/>
        <w:ind w:firstLine="525" w:firstLineChars="250"/>
        <w:rPr>
          <w:rFonts w:ascii="宋体" w:hAnsi="宋体"/>
          <w:szCs w:val="21"/>
        </w:rPr>
      </w:pPr>
      <w:r>
        <w:rPr>
          <w:rFonts w:hint="eastAsia" w:ascii="宋体" w:hAnsi="宋体"/>
          <w:szCs w:val="21"/>
        </w:rPr>
        <w:t>本工程需要进行中间验收的部位如下：</w:t>
      </w:r>
    </w:p>
    <w:p w14:paraId="3769A7A1">
      <w:pPr>
        <w:spacing w:line="400" w:lineRule="exact"/>
        <w:rPr>
          <w:rFonts w:ascii="宋体" w:hAnsi="宋体"/>
          <w:szCs w:val="21"/>
        </w:rPr>
      </w:pPr>
      <w:r>
        <w:rPr>
          <w:rFonts w:hint="eastAsia" w:ascii="宋体" w:hAnsi="宋体"/>
          <w:szCs w:val="21"/>
          <w:u w:val="single"/>
        </w:rPr>
        <w:t xml:space="preserve">   按相关验收规范执行  </w:t>
      </w:r>
      <w:r>
        <w:rPr>
          <w:rFonts w:hint="eastAsia" w:ascii="宋体" w:hAnsi="宋体"/>
          <w:szCs w:val="21"/>
        </w:rPr>
        <w:t>。</w:t>
      </w:r>
    </w:p>
    <w:p w14:paraId="0C9CE37F">
      <w:pPr>
        <w:spacing w:line="400" w:lineRule="exact"/>
        <w:ind w:firstLine="420" w:firstLineChars="200"/>
        <w:rPr>
          <w:rFonts w:ascii="宋体" w:hAnsi="宋体"/>
          <w:szCs w:val="21"/>
        </w:rPr>
      </w:pPr>
      <w:r>
        <w:rPr>
          <w:rFonts w:hint="eastAsia" w:ascii="宋体" w:hAnsi="宋体"/>
          <w:szCs w:val="21"/>
        </w:rPr>
        <w:t>当工程进度达到本款约定的中间验收部位时，乙方应当进行自检，并在中间验收前48小时以书面形式通知监理人验收。书面通知应包括中间验收的内容、验收时间和地点。乙方应当准备验收记录。只有监理人验收合格并在验收记录上签字后，乙方方可继续施工。验收不合格的，乙方在</w:t>
      </w:r>
      <w:r>
        <w:rPr>
          <w:rFonts w:hint="eastAsia" w:ascii="宋体" w:hAnsi="宋体"/>
          <w:szCs w:val="21"/>
          <w:u w:val="single"/>
        </w:rPr>
        <w:t xml:space="preserve">  甲方要求    </w:t>
      </w:r>
      <w:r>
        <w:rPr>
          <w:rFonts w:hint="eastAsia" w:ascii="宋体" w:hAnsi="宋体"/>
          <w:szCs w:val="21"/>
        </w:rPr>
        <w:t>期限内进行修改后重新验收。</w:t>
      </w:r>
    </w:p>
    <w:p w14:paraId="58BD2A0C">
      <w:pPr>
        <w:spacing w:line="400" w:lineRule="exact"/>
        <w:ind w:firstLine="420" w:firstLineChars="200"/>
        <w:rPr>
          <w:rFonts w:ascii="宋体" w:hAnsi="宋体"/>
          <w:szCs w:val="21"/>
        </w:rPr>
      </w:pPr>
      <w:r>
        <w:rPr>
          <w:rFonts w:hint="eastAsia" w:ascii="宋体" w:hAnsi="宋体"/>
          <w:szCs w:val="21"/>
        </w:rPr>
        <w:t>监理人不能按时进行验收的，应在验收前24小时以书面形式向乙方提出延期要求，延期不能超过48小时。监理人未能按本款约定的时限提出延期要求，又未按期进行验收的，乙方可自行组织验收，监理人必须认同验收记录。</w:t>
      </w:r>
    </w:p>
    <w:p w14:paraId="5E3A0C59">
      <w:pPr>
        <w:spacing w:line="400" w:lineRule="exact"/>
        <w:ind w:firstLine="420" w:firstLineChars="200"/>
        <w:rPr>
          <w:rFonts w:ascii="宋体" w:hAnsi="宋体"/>
          <w:szCs w:val="21"/>
        </w:rPr>
      </w:pPr>
      <w:r>
        <w:rPr>
          <w:rFonts w:hint="eastAsia" w:ascii="宋体" w:hAnsi="宋体"/>
          <w:szCs w:val="21"/>
        </w:rPr>
        <w:t>经监理人验收后工程质量符合约定的验收标准，但验收24小时后监理人仍不在验收记录上签字的，视为监理人已经认可验收记录，乙方可继续施工。</w:t>
      </w:r>
    </w:p>
    <w:p w14:paraId="6F417A8C">
      <w:pPr>
        <w:pStyle w:val="250"/>
        <w:spacing w:before="0"/>
        <w:outlineLvl w:val="0"/>
        <w:rPr>
          <w:rFonts w:ascii="宋体" w:hAnsi="宋体"/>
          <w:sz w:val="21"/>
          <w:szCs w:val="21"/>
        </w:rPr>
      </w:pPr>
      <w:r>
        <w:rPr>
          <w:rFonts w:hint="eastAsia" w:ascii="宋体" w:hAnsi="宋体"/>
          <w:sz w:val="21"/>
          <w:szCs w:val="21"/>
        </w:rPr>
        <w:t>19. 缺陷责任与保修责任</w:t>
      </w:r>
    </w:p>
    <w:p w14:paraId="2F0F6704">
      <w:pPr>
        <w:pStyle w:val="251"/>
        <w:tabs>
          <w:tab w:val="left" w:pos="720"/>
        </w:tabs>
        <w:outlineLvl w:val="0"/>
        <w:rPr>
          <w:rFonts w:ascii="宋体" w:hAnsi="宋体" w:eastAsia="宋体"/>
          <w:sz w:val="21"/>
          <w:szCs w:val="21"/>
        </w:rPr>
      </w:pPr>
      <w:r>
        <w:rPr>
          <w:rFonts w:hint="eastAsia" w:ascii="宋体" w:hAnsi="宋体" w:eastAsia="宋体"/>
          <w:sz w:val="21"/>
          <w:szCs w:val="21"/>
        </w:rPr>
        <w:t>19.7 保修责任</w:t>
      </w:r>
    </w:p>
    <w:p w14:paraId="06CE5E6B">
      <w:pPr>
        <w:spacing w:line="400" w:lineRule="exact"/>
        <w:ind w:firstLine="420" w:firstLineChars="200"/>
        <w:rPr>
          <w:rFonts w:ascii="宋体" w:hAnsi="宋体"/>
          <w:szCs w:val="21"/>
        </w:rPr>
      </w:pPr>
      <w:r>
        <w:rPr>
          <w:rFonts w:hint="eastAsia" w:ascii="宋体" w:hAnsi="宋体"/>
          <w:szCs w:val="21"/>
        </w:rPr>
        <w:t>（1）工程质量保修范围：</w:t>
      </w:r>
      <w:r>
        <w:rPr>
          <w:rFonts w:hint="eastAsia" w:ascii="宋体" w:hAnsi="宋体"/>
          <w:szCs w:val="21"/>
          <w:u w:val="single"/>
        </w:rPr>
        <w:t>本合同的全部内容。</w:t>
      </w:r>
    </w:p>
    <w:p w14:paraId="3D261AF5">
      <w:pPr>
        <w:spacing w:line="400" w:lineRule="exact"/>
        <w:ind w:firstLine="420" w:firstLineChars="200"/>
        <w:rPr>
          <w:rFonts w:ascii="宋体" w:hAnsi="宋体"/>
          <w:szCs w:val="21"/>
        </w:rPr>
      </w:pPr>
      <w:r>
        <w:rPr>
          <w:rFonts w:hint="eastAsia" w:ascii="宋体" w:hAnsi="宋体"/>
          <w:szCs w:val="21"/>
        </w:rPr>
        <w:t>（2）工程质量保修期限：</w:t>
      </w:r>
      <w:r>
        <w:rPr>
          <w:rFonts w:hint="eastAsia" w:ascii="宋体" w:hAnsi="宋体"/>
          <w:szCs w:val="21"/>
          <w:u w:val="single"/>
        </w:rPr>
        <w:t>通过竣工验收之日起24个月。</w:t>
      </w:r>
    </w:p>
    <w:p w14:paraId="5414D0F4">
      <w:pPr>
        <w:spacing w:line="400" w:lineRule="exact"/>
        <w:ind w:firstLine="420" w:firstLineChars="200"/>
        <w:rPr>
          <w:rFonts w:ascii="宋体" w:hAnsi="宋体"/>
          <w:szCs w:val="21"/>
          <w:u w:val="single"/>
        </w:rPr>
      </w:pPr>
      <w:r>
        <w:rPr>
          <w:rFonts w:hint="eastAsia" w:ascii="宋体" w:hAnsi="宋体"/>
          <w:szCs w:val="21"/>
        </w:rPr>
        <w:t>（3）工程质量保修责任：</w:t>
      </w:r>
      <w:r>
        <w:rPr>
          <w:rFonts w:hint="eastAsia" w:ascii="宋体" w:hAnsi="宋体"/>
          <w:szCs w:val="21"/>
          <w:u w:val="single"/>
        </w:rPr>
        <w:t>1．属于保修范围和内容的项目，乙方应在接到修理通知之日后7天内派人修理，乙方不在约定期限内派人修理，甲方可委托其他人员修理，保修费用从质量保修金内扣除。</w:t>
      </w:r>
    </w:p>
    <w:p w14:paraId="60B7D73E">
      <w:pPr>
        <w:spacing w:line="400" w:lineRule="exact"/>
        <w:ind w:firstLine="420" w:firstLineChars="200"/>
        <w:rPr>
          <w:rFonts w:ascii="宋体" w:hAnsi="宋体"/>
          <w:szCs w:val="21"/>
        </w:rPr>
      </w:pPr>
      <w:r>
        <w:rPr>
          <w:rFonts w:hint="eastAsia" w:ascii="宋体" w:hAnsi="宋体"/>
          <w:szCs w:val="21"/>
          <w:u w:val="single"/>
        </w:rPr>
        <w:t>2．发生须紧急抢修事故，乙方接到事故通知后，应立即到达事故现场抢修。非乙方施工质量引起的事故，抢修费用由甲方承担。</w:t>
      </w:r>
    </w:p>
    <w:p w14:paraId="1FE733A2">
      <w:pPr>
        <w:spacing w:line="400" w:lineRule="exact"/>
        <w:ind w:firstLine="420" w:firstLineChars="200"/>
        <w:rPr>
          <w:rFonts w:ascii="宋体" w:hAnsi="宋体"/>
          <w:szCs w:val="21"/>
        </w:rPr>
      </w:pPr>
      <w:r>
        <w:rPr>
          <w:rFonts w:hint="eastAsia" w:ascii="宋体" w:hAnsi="宋体" w:cs="Arial"/>
          <w:szCs w:val="21"/>
        </w:rPr>
        <w:t>质量保修书是竣工验收申请报告的组成内容。</w:t>
      </w:r>
      <w:r>
        <w:rPr>
          <w:rFonts w:hint="eastAsia" w:ascii="宋体" w:hAnsi="宋体"/>
          <w:szCs w:val="21"/>
        </w:rPr>
        <w:t>乙方</w:t>
      </w:r>
      <w:r>
        <w:rPr>
          <w:rFonts w:hint="eastAsia" w:ascii="宋体" w:hAnsi="宋体" w:cs="Arial"/>
          <w:szCs w:val="21"/>
        </w:rPr>
        <w:t>应当</w:t>
      </w:r>
      <w:r>
        <w:rPr>
          <w:rFonts w:hint="eastAsia" w:ascii="宋体" w:hAnsi="宋体"/>
          <w:szCs w:val="21"/>
        </w:rPr>
        <w:t>按照有关法律法规规定和</w:t>
      </w:r>
      <w:r>
        <w:rPr>
          <w:rFonts w:hint="eastAsia" w:ascii="宋体" w:hAnsi="宋体" w:cs="Arial"/>
          <w:szCs w:val="21"/>
        </w:rPr>
        <w:t>合同所附的格式</w:t>
      </w:r>
      <w:r>
        <w:rPr>
          <w:rFonts w:hint="eastAsia" w:ascii="宋体" w:hAnsi="宋体"/>
          <w:szCs w:val="21"/>
        </w:rPr>
        <w:t>出具质量保修书，质量保修书的主要内容应当与本款上述约定内容一致。乙方</w:t>
      </w:r>
      <w:r>
        <w:rPr>
          <w:rFonts w:hint="eastAsia" w:ascii="宋体" w:hAnsi="宋体" w:cs="Arial"/>
          <w:szCs w:val="21"/>
        </w:rPr>
        <w:t>在递交</w:t>
      </w:r>
      <w:r>
        <w:rPr>
          <w:rFonts w:hint="eastAsia" w:ascii="宋体" w:hAnsi="宋体"/>
          <w:szCs w:val="21"/>
        </w:rPr>
        <w:t>合同条款第18.2款约定的</w:t>
      </w:r>
      <w:r>
        <w:rPr>
          <w:rFonts w:hint="eastAsia" w:ascii="宋体" w:hAnsi="宋体" w:cs="Arial"/>
          <w:szCs w:val="21"/>
        </w:rPr>
        <w:t>竣工验收报告的同时，将质量保修书</w:t>
      </w:r>
      <w:r>
        <w:rPr>
          <w:rFonts w:hint="eastAsia" w:ascii="宋体" w:hAnsi="宋体"/>
          <w:szCs w:val="21"/>
        </w:rPr>
        <w:t>一并报送监理人。</w:t>
      </w:r>
    </w:p>
    <w:p w14:paraId="677808CE">
      <w:pPr>
        <w:pStyle w:val="250"/>
        <w:spacing w:before="0"/>
        <w:outlineLvl w:val="0"/>
        <w:rPr>
          <w:rFonts w:ascii="宋体" w:hAnsi="宋体"/>
          <w:sz w:val="21"/>
          <w:szCs w:val="21"/>
        </w:rPr>
      </w:pPr>
      <w:r>
        <w:rPr>
          <w:rFonts w:hint="eastAsia" w:ascii="宋体" w:hAnsi="宋体"/>
          <w:sz w:val="21"/>
          <w:szCs w:val="21"/>
        </w:rPr>
        <w:t>20. 保险</w:t>
      </w:r>
    </w:p>
    <w:p w14:paraId="6CAB23F4">
      <w:pPr>
        <w:pStyle w:val="251"/>
        <w:tabs>
          <w:tab w:val="left" w:pos="720"/>
        </w:tabs>
        <w:outlineLvl w:val="0"/>
        <w:rPr>
          <w:rFonts w:ascii="宋体" w:hAnsi="宋体" w:eastAsia="宋体"/>
          <w:sz w:val="21"/>
          <w:szCs w:val="21"/>
        </w:rPr>
      </w:pPr>
      <w:r>
        <w:rPr>
          <w:rFonts w:hint="eastAsia" w:ascii="宋体" w:hAnsi="宋体" w:eastAsia="宋体"/>
          <w:sz w:val="21"/>
          <w:szCs w:val="21"/>
        </w:rPr>
        <w:t>20.1 工程保险</w:t>
      </w:r>
    </w:p>
    <w:p w14:paraId="1C37FF01">
      <w:pPr>
        <w:spacing w:line="400" w:lineRule="exact"/>
        <w:ind w:firstLine="420" w:firstLineChars="200"/>
        <w:rPr>
          <w:rFonts w:ascii="宋体" w:hAnsi="宋体"/>
          <w:szCs w:val="21"/>
        </w:rPr>
      </w:pPr>
      <w:r>
        <w:rPr>
          <w:rFonts w:hint="eastAsia" w:ascii="宋体" w:hAnsi="宋体"/>
          <w:szCs w:val="21"/>
        </w:rPr>
        <w:t>本工程</w:t>
      </w:r>
      <w:r>
        <w:rPr>
          <w:rFonts w:hint="eastAsia" w:ascii="宋体" w:hAnsi="宋体"/>
          <w:szCs w:val="21"/>
          <w:u w:val="single"/>
        </w:rPr>
        <w:t xml:space="preserve">  不投保</w:t>
      </w:r>
      <w:r>
        <w:rPr>
          <w:rFonts w:hint="eastAsia" w:ascii="宋体" w:hAnsi="宋体"/>
          <w:szCs w:val="21"/>
        </w:rPr>
        <w:t>(投保/不投保)工程保险。投保工程保险时，险种为：</w:t>
      </w:r>
      <w:r>
        <w:rPr>
          <w:rFonts w:hint="eastAsia" w:ascii="宋体" w:hAnsi="宋体"/>
          <w:szCs w:val="21"/>
          <w:u w:val="single"/>
        </w:rPr>
        <w:t xml:space="preserve">   /     </w:t>
      </w:r>
      <w:r>
        <w:rPr>
          <w:rFonts w:hint="eastAsia" w:ascii="宋体" w:hAnsi="宋体"/>
          <w:szCs w:val="21"/>
        </w:rPr>
        <w:t>，并符合以下约定。</w:t>
      </w:r>
    </w:p>
    <w:p w14:paraId="5F2A78AD">
      <w:pPr>
        <w:spacing w:line="400" w:lineRule="exact"/>
        <w:ind w:firstLine="420" w:firstLineChars="200"/>
        <w:rPr>
          <w:rFonts w:ascii="宋体" w:hAnsi="宋体"/>
          <w:szCs w:val="21"/>
        </w:rPr>
      </w:pPr>
      <w:r>
        <w:rPr>
          <w:rFonts w:hint="eastAsia" w:ascii="宋体" w:hAnsi="宋体"/>
          <w:szCs w:val="21"/>
        </w:rPr>
        <w:t>（1）投保人：</w:t>
      </w:r>
      <w:r>
        <w:rPr>
          <w:rFonts w:hint="eastAsia" w:ascii="宋体" w:hAnsi="宋体"/>
          <w:szCs w:val="21"/>
          <w:u w:val="single"/>
        </w:rPr>
        <w:t xml:space="preserve">        /      </w:t>
      </w:r>
      <w:r>
        <w:rPr>
          <w:rFonts w:hint="eastAsia" w:ascii="宋体" w:hAnsi="宋体"/>
          <w:szCs w:val="21"/>
        </w:rPr>
        <w:t>。</w:t>
      </w:r>
    </w:p>
    <w:p w14:paraId="434C9908">
      <w:pPr>
        <w:spacing w:line="400" w:lineRule="exact"/>
        <w:ind w:firstLine="420" w:firstLineChars="200"/>
        <w:rPr>
          <w:rFonts w:ascii="宋体" w:hAnsi="宋体"/>
          <w:szCs w:val="21"/>
        </w:rPr>
      </w:pPr>
      <w:r>
        <w:rPr>
          <w:rFonts w:hint="eastAsia" w:ascii="宋体" w:hAnsi="宋体"/>
          <w:szCs w:val="21"/>
        </w:rPr>
        <w:t>（2）投保内容：</w:t>
      </w:r>
      <w:r>
        <w:rPr>
          <w:rFonts w:hint="eastAsia" w:ascii="宋体" w:hAnsi="宋体"/>
          <w:szCs w:val="21"/>
          <w:u w:val="single"/>
        </w:rPr>
        <w:t xml:space="preserve">      /      </w:t>
      </w:r>
      <w:r>
        <w:rPr>
          <w:rFonts w:hint="eastAsia" w:ascii="宋体" w:hAnsi="宋体"/>
          <w:szCs w:val="21"/>
        </w:rPr>
        <w:t>。</w:t>
      </w:r>
    </w:p>
    <w:p w14:paraId="12CF6018">
      <w:pPr>
        <w:spacing w:line="400" w:lineRule="exact"/>
        <w:ind w:firstLine="420" w:firstLineChars="200"/>
        <w:rPr>
          <w:rFonts w:ascii="宋体" w:hAnsi="宋体" w:cs="Arial"/>
          <w:szCs w:val="21"/>
        </w:rPr>
      </w:pPr>
      <w:r>
        <w:rPr>
          <w:rFonts w:hint="eastAsia" w:ascii="宋体" w:hAnsi="宋体"/>
          <w:szCs w:val="21"/>
        </w:rPr>
        <w:t>（3）保险费率：由投保人与合同双方同意的保险人商定</w:t>
      </w:r>
      <w:r>
        <w:rPr>
          <w:rFonts w:hint="eastAsia" w:ascii="宋体" w:hAnsi="宋体" w:cs="Arial"/>
          <w:szCs w:val="21"/>
        </w:rPr>
        <w:t>。</w:t>
      </w:r>
    </w:p>
    <w:p w14:paraId="224377A6">
      <w:pPr>
        <w:spacing w:line="400" w:lineRule="exact"/>
        <w:ind w:firstLine="420" w:firstLineChars="200"/>
        <w:rPr>
          <w:rFonts w:ascii="宋体" w:hAnsi="宋体"/>
          <w:szCs w:val="21"/>
        </w:rPr>
      </w:pPr>
      <w:r>
        <w:rPr>
          <w:rFonts w:hint="eastAsia" w:ascii="宋体" w:hAnsi="宋体"/>
          <w:szCs w:val="21"/>
        </w:rPr>
        <w:t>（4）保险金额：</w:t>
      </w:r>
      <w:r>
        <w:rPr>
          <w:rFonts w:hint="eastAsia" w:ascii="宋体" w:hAnsi="宋体" w:cs="Arial"/>
          <w:szCs w:val="21"/>
          <w:u w:val="single"/>
        </w:rPr>
        <w:t xml:space="preserve"> /      </w:t>
      </w:r>
      <w:r>
        <w:rPr>
          <w:rFonts w:hint="eastAsia" w:ascii="宋体" w:hAnsi="宋体" w:cs="Arial"/>
          <w:szCs w:val="21"/>
        </w:rPr>
        <w:t>。</w:t>
      </w:r>
    </w:p>
    <w:p w14:paraId="3B5EC954">
      <w:pPr>
        <w:spacing w:line="400" w:lineRule="exact"/>
        <w:ind w:firstLine="420" w:firstLineChars="200"/>
        <w:rPr>
          <w:rFonts w:ascii="宋体" w:hAnsi="宋体"/>
          <w:szCs w:val="21"/>
          <w:u w:val="single"/>
        </w:rPr>
      </w:pPr>
      <w:r>
        <w:rPr>
          <w:rFonts w:hint="eastAsia" w:ascii="宋体" w:hAnsi="宋体"/>
          <w:szCs w:val="21"/>
        </w:rPr>
        <w:t>（5）保险期限：</w:t>
      </w:r>
      <w:r>
        <w:rPr>
          <w:rFonts w:hint="eastAsia" w:ascii="宋体" w:hAnsi="宋体" w:cs="Arial"/>
          <w:szCs w:val="21"/>
          <w:u w:val="single"/>
        </w:rPr>
        <w:t xml:space="preserve"> /     </w:t>
      </w:r>
      <w:r>
        <w:rPr>
          <w:rFonts w:hint="eastAsia" w:ascii="宋体" w:hAnsi="宋体" w:cs="Arial"/>
          <w:szCs w:val="21"/>
        </w:rPr>
        <w:t>。</w:t>
      </w:r>
    </w:p>
    <w:p w14:paraId="0EFD29BF">
      <w:pPr>
        <w:pStyle w:val="251"/>
        <w:tabs>
          <w:tab w:val="left" w:pos="720"/>
        </w:tabs>
        <w:outlineLvl w:val="0"/>
        <w:rPr>
          <w:rFonts w:ascii="宋体" w:hAnsi="宋体" w:eastAsia="宋体"/>
          <w:sz w:val="21"/>
          <w:szCs w:val="21"/>
        </w:rPr>
      </w:pPr>
      <w:r>
        <w:rPr>
          <w:rFonts w:hint="eastAsia" w:ascii="宋体" w:hAnsi="宋体" w:eastAsia="宋体"/>
          <w:sz w:val="21"/>
          <w:szCs w:val="21"/>
        </w:rPr>
        <w:t>20.4 第三者责任险</w:t>
      </w:r>
    </w:p>
    <w:p w14:paraId="5B1676FB">
      <w:pPr>
        <w:spacing w:line="400" w:lineRule="exact"/>
        <w:ind w:firstLine="420" w:firstLineChars="200"/>
        <w:rPr>
          <w:rFonts w:ascii="宋体" w:hAnsi="宋体" w:cs="Arial"/>
          <w:szCs w:val="21"/>
        </w:rPr>
      </w:pPr>
      <w:r>
        <w:rPr>
          <w:rFonts w:hint="eastAsia" w:ascii="宋体" w:hAnsi="宋体"/>
          <w:szCs w:val="21"/>
        </w:rPr>
        <w:t>20.4.2保险金额：</w:t>
      </w:r>
      <w:r>
        <w:rPr>
          <w:rFonts w:hint="eastAsia" w:ascii="宋体" w:hAnsi="宋体" w:cs="Arial"/>
          <w:szCs w:val="21"/>
          <w:u w:val="single"/>
        </w:rPr>
        <w:t xml:space="preserve">   /     </w:t>
      </w:r>
      <w:r>
        <w:rPr>
          <w:rFonts w:hint="eastAsia" w:ascii="宋体" w:hAnsi="宋体" w:cs="Arial"/>
          <w:szCs w:val="21"/>
        </w:rPr>
        <w:t xml:space="preserve"> ，</w:t>
      </w:r>
      <w:r>
        <w:rPr>
          <w:rFonts w:hint="eastAsia" w:ascii="宋体" w:hAnsi="宋体"/>
          <w:szCs w:val="21"/>
        </w:rPr>
        <w:t>保险费率由乙方与甲方同意的保险人商定，相关保险费由</w:t>
      </w:r>
      <w:r>
        <w:rPr>
          <w:rFonts w:hint="eastAsia" w:ascii="宋体" w:hAnsi="宋体"/>
          <w:szCs w:val="21"/>
          <w:u w:val="single"/>
        </w:rPr>
        <w:t xml:space="preserve">     /    </w:t>
      </w:r>
      <w:r>
        <w:rPr>
          <w:rFonts w:hint="eastAsia" w:ascii="宋体" w:hAnsi="宋体"/>
          <w:szCs w:val="21"/>
        </w:rPr>
        <w:t>承担</w:t>
      </w:r>
      <w:r>
        <w:rPr>
          <w:rFonts w:hint="eastAsia" w:ascii="宋体" w:hAnsi="宋体" w:cs="Arial"/>
          <w:szCs w:val="21"/>
        </w:rPr>
        <w:t xml:space="preserve">。                               </w:t>
      </w:r>
    </w:p>
    <w:p w14:paraId="0D6DA6E6">
      <w:pPr>
        <w:pStyle w:val="251"/>
        <w:tabs>
          <w:tab w:val="left" w:pos="720"/>
        </w:tabs>
        <w:outlineLvl w:val="0"/>
        <w:rPr>
          <w:rFonts w:ascii="宋体" w:hAnsi="宋体" w:eastAsia="宋体"/>
          <w:sz w:val="21"/>
          <w:szCs w:val="21"/>
        </w:rPr>
      </w:pPr>
      <w:r>
        <w:rPr>
          <w:rFonts w:hint="eastAsia" w:ascii="宋体" w:hAnsi="宋体" w:eastAsia="宋体"/>
          <w:sz w:val="21"/>
          <w:szCs w:val="21"/>
        </w:rPr>
        <w:t>20.5 其他保险</w:t>
      </w:r>
    </w:p>
    <w:p w14:paraId="38A66D31">
      <w:pPr>
        <w:spacing w:line="400" w:lineRule="exact"/>
        <w:ind w:firstLine="420" w:firstLineChars="200"/>
        <w:rPr>
          <w:rFonts w:ascii="宋体" w:hAnsi="宋体" w:cs="Arial"/>
          <w:szCs w:val="21"/>
        </w:rPr>
      </w:pPr>
      <w:r>
        <w:rPr>
          <w:rFonts w:hint="eastAsia" w:ascii="宋体" w:hAnsi="宋体"/>
          <w:szCs w:val="21"/>
        </w:rPr>
        <w:t>乙方应为其施工设备、进场材料和工程设备等办理的保险：</w:t>
      </w:r>
      <w:r>
        <w:rPr>
          <w:rFonts w:hint="eastAsia" w:ascii="宋体" w:hAnsi="宋体"/>
          <w:szCs w:val="21"/>
          <w:u w:val="single"/>
        </w:rPr>
        <w:t xml:space="preserve">    /  </w:t>
      </w:r>
      <w:r>
        <w:rPr>
          <w:rFonts w:hint="eastAsia" w:ascii="宋体" w:hAnsi="宋体" w:cs="Arial"/>
          <w:szCs w:val="21"/>
        </w:rPr>
        <w:t>。</w:t>
      </w:r>
    </w:p>
    <w:p w14:paraId="2BE6FC69">
      <w:pPr>
        <w:pStyle w:val="251"/>
        <w:tabs>
          <w:tab w:val="left" w:pos="720"/>
        </w:tabs>
        <w:outlineLvl w:val="0"/>
        <w:rPr>
          <w:rFonts w:ascii="宋体" w:hAnsi="宋体" w:eastAsia="宋体"/>
          <w:sz w:val="21"/>
          <w:szCs w:val="21"/>
        </w:rPr>
      </w:pPr>
      <w:r>
        <w:rPr>
          <w:rFonts w:hint="eastAsia" w:ascii="宋体" w:hAnsi="宋体" w:eastAsia="宋体"/>
          <w:sz w:val="21"/>
          <w:szCs w:val="21"/>
        </w:rPr>
        <w:t>20.6 对各项保险的一般要求</w:t>
      </w:r>
    </w:p>
    <w:p w14:paraId="4652970E">
      <w:pPr>
        <w:spacing w:line="400" w:lineRule="exact"/>
        <w:rPr>
          <w:rFonts w:ascii="宋体" w:hAnsi="宋体"/>
          <w:szCs w:val="21"/>
        </w:rPr>
      </w:pPr>
      <w:r>
        <w:rPr>
          <w:rFonts w:hint="eastAsia" w:ascii="宋体" w:hAnsi="宋体"/>
          <w:szCs w:val="21"/>
        </w:rPr>
        <w:t>20.6.1保险凭证</w:t>
      </w:r>
    </w:p>
    <w:p w14:paraId="3EF97B74">
      <w:pPr>
        <w:spacing w:line="400" w:lineRule="exact"/>
        <w:ind w:firstLine="525"/>
        <w:rPr>
          <w:rFonts w:ascii="宋体" w:hAnsi="宋体"/>
          <w:szCs w:val="21"/>
          <w:u w:val="single"/>
        </w:rPr>
      </w:pPr>
      <w:r>
        <w:rPr>
          <w:rFonts w:hint="eastAsia" w:ascii="宋体" w:hAnsi="宋体"/>
          <w:szCs w:val="21"/>
        </w:rPr>
        <w:t>乙方向甲方提交各项保险生效的证据和保险单副本的期限：</w:t>
      </w:r>
      <w:r>
        <w:rPr>
          <w:rFonts w:hint="eastAsia" w:ascii="宋体" w:hAnsi="宋体"/>
          <w:szCs w:val="21"/>
          <w:u w:val="single"/>
        </w:rPr>
        <w:t xml:space="preserve">   /  </w:t>
      </w:r>
      <w:r>
        <w:rPr>
          <w:rFonts w:hint="eastAsia" w:ascii="宋体" w:hAnsi="宋体" w:cs="Arial"/>
          <w:szCs w:val="21"/>
        </w:rPr>
        <w:t>。</w:t>
      </w:r>
    </w:p>
    <w:p w14:paraId="230561E1">
      <w:pPr>
        <w:spacing w:line="400" w:lineRule="exact"/>
        <w:rPr>
          <w:rFonts w:ascii="宋体" w:hAnsi="宋体"/>
          <w:szCs w:val="21"/>
        </w:rPr>
      </w:pPr>
      <w:r>
        <w:rPr>
          <w:rFonts w:hint="eastAsia" w:ascii="宋体" w:hAnsi="宋体"/>
          <w:szCs w:val="21"/>
        </w:rPr>
        <w:t>20.6.4保险金不足的补偿</w:t>
      </w:r>
    </w:p>
    <w:p w14:paraId="4FE88449">
      <w:pPr>
        <w:spacing w:line="400" w:lineRule="exact"/>
        <w:ind w:firstLine="525"/>
        <w:rPr>
          <w:rFonts w:ascii="宋体" w:hAnsi="宋体" w:cs="Arial"/>
          <w:szCs w:val="21"/>
        </w:rPr>
      </w:pPr>
      <w:r>
        <w:rPr>
          <w:rFonts w:hint="eastAsia" w:ascii="宋体" w:hAnsi="宋体"/>
          <w:szCs w:val="21"/>
        </w:rPr>
        <w:t>保险金不足以补偿损失时，乙方和甲方负责补偿的责任分摊：</w:t>
      </w:r>
      <w:r>
        <w:rPr>
          <w:rFonts w:hint="eastAsia" w:ascii="宋体" w:hAnsi="宋体"/>
          <w:szCs w:val="21"/>
          <w:u w:val="single"/>
        </w:rPr>
        <w:t xml:space="preserve">   /</w:t>
      </w:r>
      <w:r>
        <w:rPr>
          <w:rFonts w:hint="eastAsia" w:ascii="宋体" w:hAnsi="宋体" w:cs="Arial"/>
          <w:szCs w:val="21"/>
        </w:rPr>
        <w:t>。</w:t>
      </w:r>
    </w:p>
    <w:p w14:paraId="43C8A2C4">
      <w:pPr>
        <w:pStyle w:val="250"/>
        <w:spacing w:before="0"/>
        <w:outlineLvl w:val="0"/>
        <w:rPr>
          <w:rFonts w:ascii="宋体" w:hAnsi="宋体"/>
          <w:sz w:val="21"/>
          <w:szCs w:val="21"/>
        </w:rPr>
      </w:pPr>
      <w:r>
        <w:rPr>
          <w:rFonts w:hint="eastAsia" w:ascii="宋体" w:hAnsi="宋体"/>
          <w:sz w:val="21"/>
          <w:szCs w:val="21"/>
        </w:rPr>
        <w:t>21. 不可抗力</w:t>
      </w:r>
    </w:p>
    <w:p w14:paraId="33F0012D">
      <w:pPr>
        <w:pStyle w:val="251"/>
        <w:tabs>
          <w:tab w:val="left" w:pos="720"/>
        </w:tabs>
        <w:outlineLvl w:val="0"/>
        <w:rPr>
          <w:rFonts w:ascii="宋体" w:hAnsi="宋体" w:eastAsia="宋体"/>
          <w:sz w:val="21"/>
          <w:szCs w:val="21"/>
        </w:rPr>
      </w:pPr>
      <w:r>
        <w:rPr>
          <w:rFonts w:hint="eastAsia" w:ascii="宋体" w:hAnsi="宋体" w:eastAsia="宋体"/>
          <w:sz w:val="21"/>
          <w:szCs w:val="21"/>
        </w:rPr>
        <w:t>21.1 不可抗力的确认</w:t>
      </w:r>
    </w:p>
    <w:p w14:paraId="49938483">
      <w:pPr>
        <w:spacing w:line="400" w:lineRule="exact"/>
        <w:ind w:firstLine="525"/>
        <w:rPr>
          <w:rFonts w:ascii="宋体" w:hAnsi="宋体"/>
          <w:szCs w:val="21"/>
        </w:rPr>
      </w:pPr>
      <w:r>
        <w:rPr>
          <w:rFonts w:hint="eastAsia" w:ascii="宋体" w:hAnsi="宋体"/>
          <w:szCs w:val="21"/>
        </w:rPr>
        <w:t>21.1.1通用合同条款第21.1.1项约定的不可抗力以外的其他情形：</w:t>
      </w:r>
      <w:r>
        <w:rPr>
          <w:rFonts w:hint="eastAsia" w:ascii="宋体" w:hAnsi="宋体"/>
          <w:szCs w:val="21"/>
          <w:u w:val="single"/>
        </w:rPr>
        <w:t xml:space="preserve">   /  </w:t>
      </w:r>
      <w:r>
        <w:rPr>
          <w:rFonts w:hint="eastAsia" w:ascii="宋体" w:hAnsi="宋体" w:cs="Arial"/>
          <w:szCs w:val="21"/>
        </w:rPr>
        <w:t>。</w:t>
      </w:r>
    </w:p>
    <w:p w14:paraId="5DA0945D">
      <w:pPr>
        <w:spacing w:line="400" w:lineRule="exact"/>
        <w:ind w:firstLine="420" w:firstLineChars="200"/>
        <w:rPr>
          <w:rFonts w:ascii="宋体" w:hAnsi="宋体" w:cs="Arial"/>
          <w:szCs w:val="21"/>
        </w:rPr>
      </w:pPr>
      <w:r>
        <w:rPr>
          <w:rFonts w:hint="eastAsia" w:ascii="宋体" w:hAnsi="宋体"/>
          <w:szCs w:val="21"/>
        </w:rPr>
        <w:t>不可抗力的等级范围约定：</w:t>
      </w:r>
      <w:r>
        <w:rPr>
          <w:rFonts w:hint="eastAsia" w:ascii="宋体" w:hAnsi="宋体"/>
          <w:szCs w:val="21"/>
          <w:u w:val="single"/>
        </w:rPr>
        <w:t>7级及以上地震；12级及以上的大风；6小时内降雪量大于15MM及以上降雪；3小时内降水量为100mm以上的暴雨。以国家县（市）级以上气象局（台）、地震局（台）等专门机构公布为准），以及县市级以上政府公告不允许在本场地施工的时段</w:t>
      </w:r>
      <w:r>
        <w:rPr>
          <w:rFonts w:hint="eastAsia" w:ascii="宋体" w:hAnsi="宋体" w:cs="Arial"/>
          <w:szCs w:val="21"/>
        </w:rPr>
        <w:t>。</w:t>
      </w:r>
    </w:p>
    <w:p w14:paraId="2F366A74">
      <w:pPr>
        <w:spacing w:line="400" w:lineRule="exact"/>
        <w:ind w:firstLine="420" w:firstLineChars="200"/>
        <w:rPr>
          <w:rFonts w:ascii="宋体" w:hAnsi="宋体" w:cs="Arial"/>
          <w:szCs w:val="21"/>
        </w:rPr>
      </w:pPr>
      <w:r>
        <w:rPr>
          <w:rFonts w:hint="eastAsia" w:ascii="宋体" w:hAnsi="宋体" w:cs="Arial"/>
          <w:szCs w:val="21"/>
        </w:rPr>
        <w:t>21.3 不可抗力后果及其处理</w:t>
      </w:r>
    </w:p>
    <w:p w14:paraId="64667F5B">
      <w:pPr>
        <w:spacing w:line="400" w:lineRule="exact"/>
        <w:ind w:firstLine="420" w:firstLineChars="200"/>
        <w:rPr>
          <w:rFonts w:ascii="宋体" w:hAnsi="宋体"/>
          <w:szCs w:val="21"/>
        </w:rPr>
      </w:pPr>
      <w:r>
        <w:rPr>
          <w:rFonts w:hint="eastAsia" w:ascii="宋体" w:hAnsi="宋体"/>
          <w:szCs w:val="21"/>
        </w:rPr>
        <w:t>21.3.1不可抗力造成损害的责任</w:t>
      </w:r>
    </w:p>
    <w:p w14:paraId="5CF8134F">
      <w:pPr>
        <w:spacing w:line="400" w:lineRule="exact"/>
        <w:ind w:firstLine="420" w:firstLineChars="200"/>
        <w:rPr>
          <w:rFonts w:ascii="宋体" w:hAnsi="宋体" w:cs="Arial"/>
          <w:szCs w:val="21"/>
        </w:rPr>
      </w:pPr>
      <w:r>
        <w:rPr>
          <w:rFonts w:hint="eastAsia" w:ascii="宋体" w:hAnsi="宋体"/>
          <w:szCs w:val="21"/>
        </w:rPr>
        <w:t>不可抗力导致的人员伤亡、财产损失、费用增加和（或）工期延误等后果，由合同双方按通用合同条款第21.3.1项约定的原则承担。</w:t>
      </w:r>
    </w:p>
    <w:p w14:paraId="1B0DC116">
      <w:pPr>
        <w:pStyle w:val="250"/>
        <w:spacing w:before="0"/>
        <w:outlineLvl w:val="0"/>
        <w:rPr>
          <w:rFonts w:ascii="宋体" w:hAnsi="宋体"/>
          <w:sz w:val="21"/>
          <w:szCs w:val="21"/>
        </w:rPr>
      </w:pPr>
      <w:r>
        <w:rPr>
          <w:rFonts w:hint="eastAsia" w:ascii="宋体" w:hAnsi="宋体"/>
          <w:sz w:val="21"/>
          <w:szCs w:val="21"/>
        </w:rPr>
        <w:t>24. 争议的解决</w:t>
      </w:r>
    </w:p>
    <w:p w14:paraId="73AEBAA9">
      <w:pPr>
        <w:pStyle w:val="251"/>
        <w:tabs>
          <w:tab w:val="left" w:pos="720"/>
        </w:tabs>
        <w:outlineLvl w:val="0"/>
        <w:rPr>
          <w:rFonts w:ascii="宋体" w:hAnsi="宋体" w:eastAsia="宋体"/>
          <w:sz w:val="21"/>
          <w:szCs w:val="21"/>
        </w:rPr>
      </w:pPr>
      <w:r>
        <w:rPr>
          <w:rFonts w:hint="eastAsia" w:ascii="宋体" w:hAnsi="宋体" w:eastAsia="宋体"/>
          <w:sz w:val="21"/>
          <w:szCs w:val="21"/>
        </w:rPr>
        <w:t>24.1 争议的解决方式</w:t>
      </w:r>
    </w:p>
    <w:p w14:paraId="576DC770">
      <w:pPr>
        <w:spacing w:line="400" w:lineRule="exact"/>
        <w:ind w:firstLine="525"/>
        <w:rPr>
          <w:rFonts w:ascii="宋体" w:hAnsi="宋体"/>
          <w:szCs w:val="21"/>
        </w:rPr>
      </w:pPr>
      <w:r>
        <w:rPr>
          <w:rFonts w:hint="eastAsia" w:ascii="宋体" w:hAnsi="宋体"/>
          <w:szCs w:val="21"/>
        </w:rPr>
        <w:t>因本合同引起的或与本合同有关的任何争议，合同双方友好协商不成、不愿提请争议组评审或者不愿接受争议评审组意见的，选择下列第</w:t>
      </w:r>
      <w:r>
        <w:rPr>
          <w:rFonts w:hint="eastAsia" w:ascii="宋体" w:hAnsi="宋体"/>
          <w:szCs w:val="21"/>
          <w:u w:val="single"/>
        </w:rPr>
        <w:t xml:space="preserve">  贰  </w:t>
      </w:r>
      <w:r>
        <w:rPr>
          <w:rFonts w:hint="eastAsia" w:ascii="宋体" w:hAnsi="宋体"/>
          <w:szCs w:val="21"/>
        </w:rPr>
        <w:t>种方式解决：</w:t>
      </w:r>
    </w:p>
    <w:p w14:paraId="39E68087">
      <w:pPr>
        <w:spacing w:line="400" w:lineRule="exact"/>
        <w:ind w:firstLine="525"/>
        <w:rPr>
          <w:rFonts w:ascii="宋体" w:hAnsi="宋体"/>
          <w:szCs w:val="21"/>
        </w:rPr>
      </w:pPr>
      <w:r>
        <w:rPr>
          <w:rFonts w:hint="eastAsia" w:ascii="宋体" w:hAnsi="宋体"/>
          <w:szCs w:val="21"/>
          <w:u w:val="single"/>
        </w:rPr>
        <w:t>（壹）</w:t>
      </w:r>
      <w:r>
        <w:rPr>
          <w:rFonts w:hint="eastAsia" w:ascii="宋体" w:hAnsi="宋体"/>
          <w:szCs w:val="21"/>
        </w:rPr>
        <w:t>提请</w:t>
      </w:r>
      <w:r>
        <w:rPr>
          <w:rFonts w:hint="eastAsia" w:ascii="宋体" w:hAnsi="宋体"/>
          <w:szCs w:val="21"/>
          <w:u w:val="single"/>
        </w:rPr>
        <w:t xml:space="preserve">   北京   </w:t>
      </w:r>
      <w:r>
        <w:rPr>
          <w:rFonts w:hint="eastAsia" w:ascii="宋体" w:hAnsi="宋体"/>
          <w:szCs w:val="21"/>
        </w:rPr>
        <w:t>仲裁委员会按照该会仲裁规则进行仲裁，仲裁裁决是终局的，对合同双方均有约束力。</w:t>
      </w:r>
    </w:p>
    <w:p w14:paraId="49D606C8">
      <w:pPr>
        <w:spacing w:line="400" w:lineRule="exact"/>
        <w:ind w:firstLine="525"/>
        <w:rPr>
          <w:rFonts w:ascii="宋体" w:hAnsi="宋体"/>
          <w:szCs w:val="21"/>
        </w:rPr>
      </w:pPr>
      <w:r>
        <w:rPr>
          <w:rFonts w:hint="eastAsia" w:ascii="宋体" w:hAnsi="宋体"/>
          <w:szCs w:val="21"/>
          <w:u w:val="single"/>
        </w:rPr>
        <w:t>（贰）</w:t>
      </w:r>
      <w:r>
        <w:rPr>
          <w:rFonts w:hint="eastAsia" w:ascii="宋体" w:hAnsi="宋体"/>
          <w:szCs w:val="21"/>
        </w:rPr>
        <w:t>向甲方所在地有管辖权的人民法院提起诉讼。</w:t>
      </w:r>
    </w:p>
    <w:p w14:paraId="3E6D9909">
      <w:pPr>
        <w:pStyle w:val="251"/>
        <w:tabs>
          <w:tab w:val="left" w:pos="720"/>
        </w:tabs>
        <w:outlineLvl w:val="0"/>
        <w:rPr>
          <w:rFonts w:ascii="宋体" w:hAnsi="宋体" w:eastAsia="宋体"/>
          <w:sz w:val="21"/>
          <w:szCs w:val="21"/>
        </w:rPr>
      </w:pPr>
      <w:r>
        <w:rPr>
          <w:rFonts w:hint="eastAsia" w:ascii="宋体" w:hAnsi="宋体" w:eastAsia="宋体"/>
          <w:sz w:val="21"/>
          <w:szCs w:val="21"/>
        </w:rPr>
        <w:t>24.3 争议评审</w:t>
      </w:r>
    </w:p>
    <w:p w14:paraId="53AA29CE">
      <w:pPr>
        <w:spacing w:line="400" w:lineRule="exact"/>
        <w:ind w:firstLine="525"/>
        <w:rPr>
          <w:rFonts w:ascii="宋体" w:hAnsi="宋体"/>
          <w:szCs w:val="21"/>
        </w:rPr>
      </w:pPr>
      <w:r>
        <w:rPr>
          <w:rFonts w:hint="eastAsia" w:ascii="宋体" w:hAnsi="宋体"/>
          <w:szCs w:val="21"/>
        </w:rPr>
        <w:t>24.3.4争议评审组邀请合同双方代表人和有关人员举行调查会的期限：</w:t>
      </w:r>
      <w:r>
        <w:rPr>
          <w:rFonts w:hint="eastAsia" w:ascii="宋体" w:hAnsi="宋体"/>
          <w:szCs w:val="21"/>
          <w:u w:val="single"/>
        </w:rPr>
        <w:t xml:space="preserve">   /    </w:t>
      </w:r>
      <w:r>
        <w:rPr>
          <w:rFonts w:hint="eastAsia" w:ascii="宋体" w:hAnsi="宋体"/>
          <w:szCs w:val="21"/>
        </w:rPr>
        <w:t>。</w:t>
      </w:r>
    </w:p>
    <w:p w14:paraId="30D7F6AD">
      <w:pPr>
        <w:spacing w:line="400" w:lineRule="exact"/>
        <w:ind w:firstLine="525"/>
        <w:rPr>
          <w:rFonts w:ascii="宋体" w:hAnsi="宋体"/>
          <w:szCs w:val="21"/>
        </w:rPr>
      </w:pPr>
      <w:r>
        <w:rPr>
          <w:rFonts w:hint="eastAsia" w:ascii="宋体" w:hAnsi="宋体"/>
          <w:szCs w:val="21"/>
        </w:rPr>
        <w:t>24.3.5争议评审组在调查会后作出争议评审意见的期限：</w:t>
      </w:r>
      <w:r>
        <w:rPr>
          <w:rFonts w:hint="eastAsia" w:ascii="宋体" w:hAnsi="宋体"/>
          <w:szCs w:val="21"/>
          <w:u w:val="single"/>
        </w:rPr>
        <w:t xml:space="preserve">       /     </w:t>
      </w:r>
      <w:r>
        <w:rPr>
          <w:rFonts w:hint="eastAsia" w:ascii="宋体" w:hAnsi="宋体"/>
          <w:szCs w:val="21"/>
        </w:rPr>
        <w:t>。</w:t>
      </w:r>
    </w:p>
    <w:p w14:paraId="29BE0665">
      <w:r>
        <w:br w:type="page"/>
      </w:r>
    </w:p>
    <w:p w14:paraId="3701D2ED">
      <w:pPr>
        <w:pStyle w:val="251"/>
        <w:tabs>
          <w:tab w:val="left" w:pos="720"/>
        </w:tabs>
        <w:ind w:firstLine="240" w:firstLineChars="100"/>
      </w:pPr>
      <w:r>
        <w:rPr>
          <w:rFonts w:hint="eastAsia"/>
        </w:rPr>
        <w:t>附件一：乙方提供的材料和工程设备一览表</w:t>
      </w:r>
    </w:p>
    <w:p w14:paraId="676EB0F6"/>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351"/>
        <w:gridCol w:w="1228"/>
        <w:gridCol w:w="736"/>
        <w:gridCol w:w="613"/>
        <w:gridCol w:w="860"/>
        <w:gridCol w:w="983"/>
        <w:gridCol w:w="983"/>
        <w:gridCol w:w="860"/>
        <w:gridCol w:w="1107"/>
      </w:tblGrid>
      <w:tr w14:paraId="12B1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02" w:type="pct"/>
            <w:noWrap w:val="0"/>
            <w:vAlign w:val="center"/>
          </w:tcPr>
          <w:p w14:paraId="6EA9EB1B">
            <w:pPr>
              <w:jc w:val="center"/>
              <w:rPr>
                <w:rFonts w:ascii="宋体" w:hAnsi="宋体"/>
              </w:rPr>
            </w:pPr>
            <w:r>
              <w:rPr>
                <w:rFonts w:hint="eastAsia" w:ascii="宋体" w:hAnsi="宋体"/>
              </w:rPr>
              <w:t>序</w:t>
            </w:r>
          </w:p>
          <w:p w14:paraId="2889C34C">
            <w:pPr>
              <w:jc w:val="center"/>
              <w:rPr>
                <w:rFonts w:ascii="宋体" w:hAnsi="宋体"/>
              </w:rPr>
            </w:pPr>
            <w:r>
              <w:rPr>
                <w:rFonts w:hint="eastAsia" w:ascii="宋体" w:hAnsi="宋体"/>
              </w:rPr>
              <w:t>号</w:t>
            </w:r>
          </w:p>
        </w:tc>
        <w:tc>
          <w:tcPr>
            <w:tcW w:w="727" w:type="pct"/>
            <w:noWrap w:val="0"/>
            <w:vAlign w:val="center"/>
          </w:tcPr>
          <w:p w14:paraId="7F0DB1A4">
            <w:pPr>
              <w:jc w:val="center"/>
              <w:rPr>
                <w:rFonts w:ascii="宋体" w:hAnsi="宋体"/>
              </w:rPr>
            </w:pPr>
            <w:r>
              <w:rPr>
                <w:rFonts w:hint="eastAsia" w:ascii="宋体" w:hAnsi="宋体"/>
              </w:rPr>
              <w:t>材料设备</w:t>
            </w:r>
          </w:p>
          <w:p w14:paraId="10B78D3A">
            <w:pPr>
              <w:jc w:val="center"/>
              <w:rPr>
                <w:rFonts w:ascii="宋体" w:hAnsi="宋体"/>
              </w:rPr>
            </w:pPr>
            <w:r>
              <w:rPr>
                <w:rFonts w:hint="eastAsia" w:ascii="宋体" w:hAnsi="宋体"/>
              </w:rPr>
              <w:t>名    称</w:t>
            </w:r>
          </w:p>
        </w:tc>
        <w:tc>
          <w:tcPr>
            <w:tcW w:w="661" w:type="pct"/>
            <w:noWrap w:val="0"/>
            <w:vAlign w:val="center"/>
          </w:tcPr>
          <w:p w14:paraId="708B114F">
            <w:pPr>
              <w:jc w:val="center"/>
              <w:rPr>
                <w:rFonts w:ascii="宋体" w:hAnsi="宋体"/>
              </w:rPr>
            </w:pPr>
            <w:r>
              <w:rPr>
                <w:rFonts w:hint="eastAsia" w:ascii="宋体" w:hAnsi="宋体"/>
              </w:rPr>
              <w:t>规格</w:t>
            </w:r>
          </w:p>
          <w:p w14:paraId="0B57AD37">
            <w:pPr>
              <w:jc w:val="center"/>
              <w:rPr>
                <w:rFonts w:ascii="宋体" w:hAnsi="宋体"/>
              </w:rPr>
            </w:pPr>
            <w:r>
              <w:rPr>
                <w:rFonts w:hint="eastAsia" w:ascii="宋体" w:hAnsi="宋体"/>
              </w:rPr>
              <w:t>型号</w:t>
            </w:r>
          </w:p>
        </w:tc>
        <w:tc>
          <w:tcPr>
            <w:tcW w:w="396" w:type="pct"/>
            <w:noWrap w:val="0"/>
            <w:vAlign w:val="center"/>
          </w:tcPr>
          <w:p w14:paraId="1BB51728">
            <w:pPr>
              <w:jc w:val="center"/>
              <w:rPr>
                <w:rFonts w:ascii="宋体" w:hAnsi="宋体"/>
              </w:rPr>
            </w:pPr>
            <w:r>
              <w:rPr>
                <w:rFonts w:hint="eastAsia" w:ascii="宋体" w:hAnsi="宋体"/>
              </w:rPr>
              <w:t>单</w:t>
            </w:r>
          </w:p>
          <w:p w14:paraId="0190CF12">
            <w:pPr>
              <w:jc w:val="center"/>
              <w:rPr>
                <w:rFonts w:ascii="宋体" w:hAnsi="宋体"/>
              </w:rPr>
            </w:pPr>
            <w:r>
              <w:rPr>
                <w:rFonts w:hint="eastAsia" w:ascii="宋体" w:hAnsi="宋体"/>
              </w:rPr>
              <w:t>位</w:t>
            </w:r>
          </w:p>
        </w:tc>
        <w:tc>
          <w:tcPr>
            <w:tcW w:w="330" w:type="pct"/>
            <w:noWrap w:val="0"/>
            <w:vAlign w:val="center"/>
          </w:tcPr>
          <w:p w14:paraId="28A45E1A">
            <w:pPr>
              <w:jc w:val="center"/>
              <w:rPr>
                <w:rFonts w:ascii="宋体" w:hAnsi="宋体"/>
              </w:rPr>
            </w:pPr>
            <w:r>
              <w:rPr>
                <w:rFonts w:hint="eastAsia" w:ascii="宋体" w:hAnsi="宋体"/>
              </w:rPr>
              <w:t>数</w:t>
            </w:r>
          </w:p>
          <w:p w14:paraId="1FB4B08F">
            <w:pPr>
              <w:jc w:val="center"/>
              <w:rPr>
                <w:rFonts w:ascii="宋体" w:hAnsi="宋体"/>
              </w:rPr>
            </w:pPr>
            <w:r>
              <w:rPr>
                <w:rFonts w:hint="eastAsia" w:ascii="宋体" w:hAnsi="宋体"/>
              </w:rPr>
              <w:t>量</w:t>
            </w:r>
          </w:p>
        </w:tc>
        <w:tc>
          <w:tcPr>
            <w:tcW w:w="463" w:type="pct"/>
            <w:noWrap w:val="0"/>
            <w:vAlign w:val="center"/>
          </w:tcPr>
          <w:p w14:paraId="790D19AC">
            <w:pPr>
              <w:jc w:val="center"/>
              <w:rPr>
                <w:rFonts w:ascii="宋体" w:hAnsi="宋体"/>
              </w:rPr>
            </w:pPr>
            <w:r>
              <w:rPr>
                <w:rFonts w:hint="eastAsia" w:ascii="宋体" w:hAnsi="宋体"/>
              </w:rPr>
              <w:t>单</w:t>
            </w:r>
          </w:p>
          <w:p w14:paraId="7C62E90B">
            <w:pPr>
              <w:jc w:val="center"/>
              <w:rPr>
                <w:rFonts w:ascii="宋体" w:hAnsi="宋体"/>
              </w:rPr>
            </w:pPr>
            <w:r>
              <w:rPr>
                <w:rFonts w:hint="eastAsia" w:ascii="宋体" w:hAnsi="宋体"/>
              </w:rPr>
              <w:t>价</w:t>
            </w:r>
          </w:p>
        </w:tc>
        <w:tc>
          <w:tcPr>
            <w:tcW w:w="529" w:type="pct"/>
            <w:noWrap w:val="0"/>
            <w:vAlign w:val="center"/>
          </w:tcPr>
          <w:p w14:paraId="64D9F73A">
            <w:pPr>
              <w:jc w:val="center"/>
              <w:rPr>
                <w:rFonts w:ascii="宋体" w:hAnsi="宋体"/>
              </w:rPr>
            </w:pPr>
            <w:r>
              <w:rPr>
                <w:rFonts w:hint="eastAsia" w:ascii="宋体" w:hAnsi="宋体"/>
              </w:rPr>
              <w:t>交货</w:t>
            </w:r>
          </w:p>
          <w:p w14:paraId="4CAAE6B0">
            <w:pPr>
              <w:jc w:val="center"/>
              <w:rPr>
                <w:rFonts w:ascii="宋体" w:hAnsi="宋体"/>
              </w:rPr>
            </w:pPr>
            <w:r>
              <w:rPr>
                <w:rFonts w:hint="eastAsia" w:ascii="宋体" w:hAnsi="宋体"/>
              </w:rPr>
              <w:t>方式</w:t>
            </w:r>
          </w:p>
        </w:tc>
        <w:tc>
          <w:tcPr>
            <w:tcW w:w="529" w:type="pct"/>
            <w:noWrap w:val="0"/>
            <w:vAlign w:val="center"/>
          </w:tcPr>
          <w:p w14:paraId="7069E6DC">
            <w:pPr>
              <w:jc w:val="center"/>
              <w:rPr>
                <w:rFonts w:ascii="宋体" w:hAnsi="宋体"/>
              </w:rPr>
            </w:pPr>
            <w:r>
              <w:rPr>
                <w:rFonts w:hint="eastAsia" w:ascii="宋体" w:hAnsi="宋体"/>
              </w:rPr>
              <w:t>交货</w:t>
            </w:r>
          </w:p>
          <w:p w14:paraId="51003494">
            <w:pPr>
              <w:jc w:val="center"/>
              <w:rPr>
                <w:rFonts w:ascii="宋体" w:hAnsi="宋体"/>
              </w:rPr>
            </w:pPr>
            <w:r>
              <w:rPr>
                <w:rFonts w:hint="eastAsia" w:ascii="宋体" w:hAnsi="宋体"/>
              </w:rPr>
              <w:t>地点</w:t>
            </w:r>
          </w:p>
        </w:tc>
        <w:tc>
          <w:tcPr>
            <w:tcW w:w="463" w:type="pct"/>
            <w:noWrap w:val="0"/>
            <w:vAlign w:val="center"/>
          </w:tcPr>
          <w:p w14:paraId="0D657B58">
            <w:pPr>
              <w:jc w:val="center"/>
              <w:rPr>
                <w:rFonts w:ascii="宋体" w:hAnsi="宋体"/>
              </w:rPr>
            </w:pPr>
            <w:r>
              <w:rPr>
                <w:rFonts w:hint="eastAsia" w:ascii="宋体" w:hAnsi="宋体"/>
              </w:rPr>
              <w:t>计划交货</w:t>
            </w:r>
          </w:p>
          <w:p w14:paraId="56B5F3FC">
            <w:pPr>
              <w:jc w:val="center"/>
              <w:rPr>
                <w:rFonts w:ascii="宋体" w:hAnsi="宋体"/>
              </w:rPr>
            </w:pPr>
            <w:r>
              <w:rPr>
                <w:rFonts w:hint="eastAsia" w:ascii="宋体" w:hAnsi="宋体"/>
              </w:rPr>
              <w:t>时间</w:t>
            </w:r>
          </w:p>
        </w:tc>
        <w:tc>
          <w:tcPr>
            <w:tcW w:w="595" w:type="pct"/>
            <w:noWrap w:val="0"/>
            <w:vAlign w:val="center"/>
          </w:tcPr>
          <w:p w14:paraId="14287D70">
            <w:pPr>
              <w:jc w:val="center"/>
              <w:rPr>
                <w:rFonts w:ascii="宋体" w:hAnsi="宋体"/>
              </w:rPr>
            </w:pPr>
            <w:r>
              <w:rPr>
                <w:rFonts w:hint="eastAsia" w:ascii="宋体" w:hAnsi="宋体"/>
              </w:rPr>
              <w:t>备注</w:t>
            </w:r>
          </w:p>
        </w:tc>
      </w:tr>
      <w:tr w14:paraId="2A4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57F65339">
            <w:pPr>
              <w:jc w:val="center"/>
              <w:rPr>
                <w:rFonts w:ascii="宋体" w:hAnsi="宋体"/>
                <w:sz w:val="28"/>
                <w:szCs w:val="28"/>
              </w:rPr>
            </w:pPr>
          </w:p>
        </w:tc>
        <w:tc>
          <w:tcPr>
            <w:tcW w:w="727" w:type="pct"/>
            <w:noWrap w:val="0"/>
            <w:vAlign w:val="top"/>
          </w:tcPr>
          <w:p w14:paraId="5FCC58FC">
            <w:pPr>
              <w:jc w:val="center"/>
              <w:rPr>
                <w:rFonts w:ascii="宋体" w:hAnsi="宋体"/>
                <w:sz w:val="28"/>
                <w:szCs w:val="28"/>
              </w:rPr>
            </w:pPr>
          </w:p>
        </w:tc>
        <w:tc>
          <w:tcPr>
            <w:tcW w:w="661" w:type="pct"/>
            <w:noWrap w:val="0"/>
            <w:vAlign w:val="top"/>
          </w:tcPr>
          <w:p w14:paraId="23AA8955">
            <w:pPr>
              <w:jc w:val="center"/>
              <w:rPr>
                <w:rFonts w:ascii="宋体" w:hAnsi="宋体"/>
                <w:sz w:val="28"/>
                <w:szCs w:val="28"/>
              </w:rPr>
            </w:pPr>
          </w:p>
        </w:tc>
        <w:tc>
          <w:tcPr>
            <w:tcW w:w="396" w:type="pct"/>
            <w:noWrap w:val="0"/>
            <w:vAlign w:val="top"/>
          </w:tcPr>
          <w:p w14:paraId="5DE27CFE">
            <w:pPr>
              <w:jc w:val="center"/>
              <w:rPr>
                <w:rFonts w:ascii="宋体" w:hAnsi="宋体"/>
                <w:sz w:val="28"/>
                <w:szCs w:val="28"/>
              </w:rPr>
            </w:pPr>
          </w:p>
        </w:tc>
        <w:tc>
          <w:tcPr>
            <w:tcW w:w="330" w:type="pct"/>
            <w:noWrap w:val="0"/>
            <w:vAlign w:val="top"/>
          </w:tcPr>
          <w:p w14:paraId="1788A8FF">
            <w:pPr>
              <w:jc w:val="center"/>
              <w:rPr>
                <w:rFonts w:ascii="宋体" w:hAnsi="宋体"/>
                <w:sz w:val="28"/>
                <w:szCs w:val="28"/>
              </w:rPr>
            </w:pPr>
          </w:p>
        </w:tc>
        <w:tc>
          <w:tcPr>
            <w:tcW w:w="463" w:type="pct"/>
            <w:noWrap w:val="0"/>
            <w:vAlign w:val="top"/>
          </w:tcPr>
          <w:p w14:paraId="096CBDD0">
            <w:pPr>
              <w:jc w:val="center"/>
              <w:rPr>
                <w:rFonts w:ascii="宋体" w:hAnsi="宋体"/>
                <w:sz w:val="28"/>
                <w:szCs w:val="28"/>
              </w:rPr>
            </w:pPr>
          </w:p>
        </w:tc>
        <w:tc>
          <w:tcPr>
            <w:tcW w:w="529" w:type="pct"/>
            <w:noWrap w:val="0"/>
            <w:vAlign w:val="top"/>
          </w:tcPr>
          <w:p w14:paraId="21336889">
            <w:pPr>
              <w:jc w:val="center"/>
              <w:rPr>
                <w:rFonts w:ascii="宋体" w:hAnsi="宋体"/>
                <w:sz w:val="28"/>
                <w:szCs w:val="28"/>
              </w:rPr>
            </w:pPr>
          </w:p>
        </w:tc>
        <w:tc>
          <w:tcPr>
            <w:tcW w:w="529" w:type="pct"/>
            <w:noWrap w:val="0"/>
            <w:vAlign w:val="top"/>
          </w:tcPr>
          <w:p w14:paraId="6821D3F2">
            <w:pPr>
              <w:jc w:val="center"/>
              <w:rPr>
                <w:rFonts w:ascii="宋体" w:hAnsi="宋体"/>
                <w:sz w:val="28"/>
                <w:szCs w:val="28"/>
              </w:rPr>
            </w:pPr>
          </w:p>
        </w:tc>
        <w:tc>
          <w:tcPr>
            <w:tcW w:w="463" w:type="pct"/>
            <w:noWrap w:val="0"/>
            <w:vAlign w:val="top"/>
          </w:tcPr>
          <w:p w14:paraId="479FE9B3">
            <w:pPr>
              <w:jc w:val="center"/>
              <w:rPr>
                <w:rFonts w:ascii="宋体" w:hAnsi="宋体"/>
                <w:sz w:val="28"/>
                <w:szCs w:val="28"/>
              </w:rPr>
            </w:pPr>
          </w:p>
        </w:tc>
        <w:tc>
          <w:tcPr>
            <w:tcW w:w="595" w:type="pct"/>
            <w:noWrap w:val="0"/>
            <w:vAlign w:val="top"/>
          </w:tcPr>
          <w:p w14:paraId="1BDC675D">
            <w:pPr>
              <w:jc w:val="center"/>
              <w:rPr>
                <w:rFonts w:ascii="宋体" w:hAnsi="宋体"/>
                <w:sz w:val="28"/>
                <w:szCs w:val="28"/>
              </w:rPr>
            </w:pPr>
          </w:p>
        </w:tc>
      </w:tr>
      <w:tr w14:paraId="29C5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047CA783">
            <w:pPr>
              <w:jc w:val="center"/>
              <w:rPr>
                <w:rFonts w:ascii="宋体" w:hAnsi="宋体"/>
                <w:sz w:val="28"/>
                <w:szCs w:val="28"/>
              </w:rPr>
            </w:pPr>
          </w:p>
        </w:tc>
        <w:tc>
          <w:tcPr>
            <w:tcW w:w="727" w:type="pct"/>
            <w:noWrap w:val="0"/>
            <w:vAlign w:val="top"/>
          </w:tcPr>
          <w:p w14:paraId="438B48C2">
            <w:pPr>
              <w:jc w:val="center"/>
              <w:rPr>
                <w:rFonts w:ascii="宋体" w:hAnsi="宋体"/>
                <w:sz w:val="28"/>
                <w:szCs w:val="28"/>
              </w:rPr>
            </w:pPr>
          </w:p>
        </w:tc>
        <w:tc>
          <w:tcPr>
            <w:tcW w:w="661" w:type="pct"/>
            <w:noWrap w:val="0"/>
            <w:vAlign w:val="top"/>
          </w:tcPr>
          <w:p w14:paraId="35343E2E">
            <w:pPr>
              <w:jc w:val="center"/>
              <w:rPr>
                <w:rFonts w:ascii="宋体" w:hAnsi="宋体"/>
                <w:sz w:val="28"/>
                <w:szCs w:val="28"/>
              </w:rPr>
            </w:pPr>
          </w:p>
        </w:tc>
        <w:tc>
          <w:tcPr>
            <w:tcW w:w="396" w:type="pct"/>
            <w:noWrap w:val="0"/>
            <w:vAlign w:val="top"/>
          </w:tcPr>
          <w:p w14:paraId="29970C11">
            <w:pPr>
              <w:jc w:val="center"/>
              <w:rPr>
                <w:rFonts w:ascii="宋体" w:hAnsi="宋体"/>
                <w:sz w:val="28"/>
                <w:szCs w:val="28"/>
              </w:rPr>
            </w:pPr>
          </w:p>
        </w:tc>
        <w:tc>
          <w:tcPr>
            <w:tcW w:w="330" w:type="pct"/>
            <w:noWrap w:val="0"/>
            <w:vAlign w:val="top"/>
          </w:tcPr>
          <w:p w14:paraId="485A1A21">
            <w:pPr>
              <w:jc w:val="center"/>
              <w:rPr>
                <w:rFonts w:ascii="宋体" w:hAnsi="宋体"/>
                <w:sz w:val="28"/>
                <w:szCs w:val="28"/>
              </w:rPr>
            </w:pPr>
          </w:p>
        </w:tc>
        <w:tc>
          <w:tcPr>
            <w:tcW w:w="463" w:type="pct"/>
            <w:noWrap w:val="0"/>
            <w:vAlign w:val="top"/>
          </w:tcPr>
          <w:p w14:paraId="7B4410A9">
            <w:pPr>
              <w:jc w:val="center"/>
              <w:rPr>
                <w:rFonts w:ascii="宋体" w:hAnsi="宋体"/>
                <w:sz w:val="28"/>
                <w:szCs w:val="28"/>
              </w:rPr>
            </w:pPr>
          </w:p>
        </w:tc>
        <w:tc>
          <w:tcPr>
            <w:tcW w:w="529" w:type="pct"/>
            <w:noWrap w:val="0"/>
            <w:vAlign w:val="top"/>
          </w:tcPr>
          <w:p w14:paraId="1358DF9E">
            <w:pPr>
              <w:jc w:val="center"/>
              <w:rPr>
                <w:rFonts w:ascii="宋体" w:hAnsi="宋体"/>
                <w:sz w:val="28"/>
                <w:szCs w:val="28"/>
              </w:rPr>
            </w:pPr>
          </w:p>
        </w:tc>
        <w:tc>
          <w:tcPr>
            <w:tcW w:w="529" w:type="pct"/>
            <w:noWrap w:val="0"/>
            <w:vAlign w:val="top"/>
          </w:tcPr>
          <w:p w14:paraId="493CC0AE">
            <w:pPr>
              <w:jc w:val="center"/>
              <w:rPr>
                <w:rFonts w:ascii="宋体" w:hAnsi="宋体"/>
                <w:sz w:val="28"/>
                <w:szCs w:val="28"/>
              </w:rPr>
            </w:pPr>
          </w:p>
        </w:tc>
        <w:tc>
          <w:tcPr>
            <w:tcW w:w="463" w:type="pct"/>
            <w:noWrap w:val="0"/>
            <w:vAlign w:val="top"/>
          </w:tcPr>
          <w:p w14:paraId="3303DB6B">
            <w:pPr>
              <w:jc w:val="center"/>
              <w:rPr>
                <w:rFonts w:ascii="宋体" w:hAnsi="宋体"/>
                <w:sz w:val="28"/>
                <w:szCs w:val="28"/>
              </w:rPr>
            </w:pPr>
          </w:p>
        </w:tc>
        <w:tc>
          <w:tcPr>
            <w:tcW w:w="595" w:type="pct"/>
            <w:noWrap w:val="0"/>
            <w:vAlign w:val="top"/>
          </w:tcPr>
          <w:p w14:paraId="5DAB52AC">
            <w:pPr>
              <w:jc w:val="center"/>
              <w:rPr>
                <w:rFonts w:ascii="宋体" w:hAnsi="宋体"/>
                <w:sz w:val="28"/>
                <w:szCs w:val="28"/>
              </w:rPr>
            </w:pPr>
          </w:p>
        </w:tc>
      </w:tr>
      <w:tr w14:paraId="71CE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2509F54C">
            <w:pPr>
              <w:jc w:val="center"/>
              <w:rPr>
                <w:rFonts w:ascii="宋体" w:hAnsi="宋体"/>
                <w:sz w:val="28"/>
                <w:szCs w:val="28"/>
              </w:rPr>
            </w:pPr>
          </w:p>
        </w:tc>
        <w:tc>
          <w:tcPr>
            <w:tcW w:w="727" w:type="pct"/>
            <w:noWrap w:val="0"/>
            <w:vAlign w:val="top"/>
          </w:tcPr>
          <w:p w14:paraId="18D7AA1D">
            <w:pPr>
              <w:jc w:val="center"/>
              <w:rPr>
                <w:rFonts w:ascii="宋体" w:hAnsi="宋体"/>
                <w:sz w:val="28"/>
                <w:szCs w:val="28"/>
              </w:rPr>
            </w:pPr>
          </w:p>
        </w:tc>
        <w:tc>
          <w:tcPr>
            <w:tcW w:w="661" w:type="pct"/>
            <w:noWrap w:val="0"/>
            <w:vAlign w:val="top"/>
          </w:tcPr>
          <w:p w14:paraId="42D01CEC">
            <w:pPr>
              <w:jc w:val="center"/>
              <w:rPr>
                <w:rFonts w:ascii="宋体" w:hAnsi="宋体"/>
                <w:sz w:val="28"/>
                <w:szCs w:val="28"/>
              </w:rPr>
            </w:pPr>
          </w:p>
        </w:tc>
        <w:tc>
          <w:tcPr>
            <w:tcW w:w="396" w:type="pct"/>
            <w:noWrap w:val="0"/>
            <w:vAlign w:val="top"/>
          </w:tcPr>
          <w:p w14:paraId="7A05F99C">
            <w:pPr>
              <w:jc w:val="center"/>
              <w:rPr>
                <w:rFonts w:ascii="宋体" w:hAnsi="宋体"/>
                <w:sz w:val="28"/>
                <w:szCs w:val="28"/>
              </w:rPr>
            </w:pPr>
          </w:p>
        </w:tc>
        <w:tc>
          <w:tcPr>
            <w:tcW w:w="330" w:type="pct"/>
            <w:noWrap w:val="0"/>
            <w:vAlign w:val="top"/>
          </w:tcPr>
          <w:p w14:paraId="7CFDA0DC">
            <w:pPr>
              <w:jc w:val="center"/>
              <w:rPr>
                <w:rFonts w:ascii="宋体" w:hAnsi="宋体"/>
                <w:sz w:val="28"/>
                <w:szCs w:val="28"/>
              </w:rPr>
            </w:pPr>
          </w:p>
        </w:tc>
        <w:tc>
          <w:tcPr>
            <w:tcW w:w="463" w:type="pct"/>
            <w:noWrap w:val="0"/>
            <w:vAlign w:val="top"/>
          </w:tcPr>
          <w:p w14:paraId="7D8F67FB">
            <w:pPr>
              <w:jc w:val="center"/>
              <w:rPr>
                <w:rFonts w:ascii="宋体" w:hAnsi="宋体"/>
                <w:sz w:val="28"/>
                <w:szCs w:val="28"/>
              </w:rPr>
            </w:pPr>
          </w:p>
        </w:tc>
        <w:tc>
          <w:tcPr>
            <w:tcW w:w="529" w:type="pct"/>
            <w:noWrap w:val="0"/>
            <w:vAlign w:val="top"/>
          </w:tcPr>
          <w:p w14:paraId="3CF37A8F">
            <w:pPr>
              <w:jc w:val="center"/>
              <w:rPr>
                <w:rFonts w:ascii="宋体" w:hAnsi="宋体"/>
                <w:sz w:val="28"/>
                <w:szCs w:val="28"/>
              </w:rPr>
            </w:pPr>
          </w:p>
        </w:tc>
        <w:tc>
          <w:tcPr>
            <w:tcW w:w="529" w:type="pct"/>
            <w:noWrap w:val="0"/>
            <w:vAlign w:val="top"/>
          </w:tcPr>
          <w:p w14:paraId="677B0C1D">
            <w:pPr>
              <w:jc w:val="center"/>
              <w:rPr>
                <w:rFonts w:ascii="宋体" w:hAnsi="宋体"/>
                <w:sz w:val="28"/>
                <w:szCs w:val="28"/>
              </w:rPr>
            </w:pPr>
          </w:p>
        </w:tc>
        <w:tc>
          <w:tcPr>
            <w:tcW w:w="463" w:type="pct"/>
            <w:noWrap w:val="0"/>
            <w:vAlign w:val="top"/>
          </w:tcPr>
          <w:p w14:paraId="37E3B696">
            <w:pPr>
              <w:jc w:val="center"/>
              <w:rPr>
                <w:rFonts w:ascii="宋体" w:hAnsi="宋体"/>
                <w:sz w:val="28"/>
                <w:szCs w:val="28"/>
              </w:rPr>
            </w:pPr>
          </w:p>
        </w:tc>
        <w:tc>
          <w:tcPr>
            <w:tcW w:w="595" w:type="pct"/>
            <w:noWrap w:val="0"/>
            <w:vAlign w:val="top"/>
          </w:tcPr>
          <w:p w14:paraId="36BC00AA">
            <w:pPr>
              <w:jc w:val="center"/>
              <w:rPr>
                <w:rFonts w:ascii="宋体" w:hAnsi="宋体"/>
                <w:sz w:val="28"/>
                <w:szCs w:val="28"/>
              </w:rPr>
            </w:pPr>
          </w:p>
        </w:tc>
      </w:tr>
      <w:tr w14:paraId="5978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1AA913ED">
            <w:pPr>
              <w:jc w:val="center"/>
              <w:rPr>
                <w:rFonts w:ascii="宋体" w:hAnsi="宋体"/>
                <w:sz w:val="28"/>
                <w:szCs w:val="28"/>
              </w:rPr>
            </w:pPr>
          </w:p>
        </w:tc>
        <w:tc>
          <w:tcPr>
            <w:tcW w:w="727" w:type="pct"/>
            <w:noWrap w:val="0"/>
            <w:vAlign w:val="top"/>
          </w:tcPr>
          <w:p w14:paraId="6B3D9D3C">
            <w:pPr>
              <w:jc w:val="center"/>
              <w:rPr>
                <w:rFonts w:ascii="宋体" w:hAnsi="宋体"/>
                <w:sz w:val="28"/>
                <w:szCs w:val="28"/>
              </w:rPr>
            </w:pPr>
          </w:p>
        </w:tc>
        <w:tc>
          <w:tcPr>
            <w:tcW w:w="661" w:type="pct"/>
            <w:noWrap w:val="0"/>
            <w:vAlign w:val="top"/>
          </w:tcPr>
          <w:p w14:paraId="4886C4F8">
            <w:pPr>
              <w:jc w:val="center"/>
              <w:rPr>
                <w:rFonts w:ascii="宋体" w:hAnsi="宋体"/>
                <w:sz w:val="28"/>
                <w:szCs w:val="28"/>
              </w:rPr>
            </w:pPr>
          </w:p>
        </w:tc>
        <w:tc>
          <w:tcPr>
            <w:tcW w:w="396" w:type="pct"/>
            <w:noWrap w:val="0"/>
            <w:vAlign w:val="top"/>
          </w:tcPr>
          <w:p w14:paraId="305FBCEB">
            <w:pPr>
              <w:jc w:val="center"/>
              <w:rPr>
                <w:rFonts w:ascii="宋体" w:hAnsi="宋体"/>
                <w:sz w:val="28"/>
                <w:szCs w:val="28"/>
              </w:rPr>
            </w:pPr>
          </w:p>
        </w:tc>
        <w:tc>
          <w:tcPr>
            <w:tcW w:w="330" w:type="pct"/>
            <w:noWrap w:val="0"/>
            <w:vAlign w:val="top"/>
          </w:tcPr>
          <w:p w14:paraId="4E5A1D68">
            <w:pPr>
              <w:jc w:val="center"/>
              <w:rPr>
                <w:rFonts w:ascii="宋体" w:hAnsi="宋体"/>
                <w:sz w:val="28"/>
                <w:szCs w:val="28"/>
              </w:rPr>
            </w:pPr>
          </w:p>
        </w:tc>
        <w:tc>
          <w:tcPr>
            <w:tcW w:w="463" w:type="pct"/>
            <w:noWrap w:val="0"/>
            <w:vAlign w:val="top"/>
          </w:tcPr>
          <w:p w14:paraId="568098C5">
            <w:pPr>
              <w:jc w:val="center"/>
              <w:rPr>
                <w:rFonts w:ascii="宋体" w:hAnsi="宋体"/>
                <w:sz w:val="28"/>
                <w:szCs w:val="28"/>
              </w:rPr>
            </w:pPr>
          </w:p>
        </w:tc>
        <w:tc>
          <w:tcPr>
            <w:tcW w:w="529" w:type="pct"/>
            <w:noWrap w:val="0"/>
            <w:vAlign w:val="top"/>
          </w:tcPr>
          <w:p w14:paraId="21B0D23C">
            <w:pPr>
              <w:jc w:val="center"/>
              <w:rPr>
                <w:rFonts w:ascii="宋体" w:hAnsi="宋体"/>
                <w:sz w:val="28"/>
                <w:szCs w:val="28"/>
              </w:rPr>
            </w:pPr>
          </w:p>
        </w:tc>
        <w:tc>
          <w:tcPr>
            <w:tcW w:w="529" w:type="pct"/>
            <w:noWrap w:val="0"/>
            <w:vAlign w:val="top"/>
          </w:tcPr>
          <w:p w14:paraId="07687C60">
            <w:pPr>
              <w:jc w:val="center"/>
              <w:rPr>
                <w:rFonts w:ascii="宋体" w:hAnsi="宋体"/>
                <w:sz w:val="28"/>
                <w:szCs w:val="28"/>
              </w:rPr>
            </w:pPr>
          </w:p>
        </w:tc>
        <w:tc>
          <w:tcPr>
            <w:tcW w:w="463" w:type="pct"/>
            <w:noWrap w:val="0"/>
            <w:vAlign w:val="top"/>
          </w:tcPr>
          <w:p w14:paraId="1A9AD326">
            <w:pPr>
              <w:jc w:val="center"/>
              <w:rPr>
                <w:rFonts w:ascii="宋体" w:hAnsi="宋体"/>
                <w:sz w:val="28"/>
                <w:szCs w:val="28"/>
              </w:rPr>
            </w:pPr>
          </w:p>
        </w:tc>
        <w:tc>
          <w:tcPr>
            <w:tcW w:w="595" w:type="pct"/>
            <w:noWrap w:val="0"/>
            <w:vAlign w:val="top"/>
          </w:tcPr>
          <w:p w14:paraId="368CEBC1">
            <w:pPr>
              <w:jc w:val="center"/>
              <w:rPr>
                <w:rFonts w:ascii="宋体" w:hAnsi="宋体"/>
                <w:sz w:val="28"/>
                <w:szCs w:val="28"/>
              </w:rPr>
            </w:pPr>
          </w:p>
        </w:tc>
      </w:tr>
      <w:tr w14:paraId="390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317AD26A">
            <w:pPr>
              <w:jc w:val="center"/>
              <w:rPr>
                <w:rFonts w:ascii="宋体" w:hAnsi="宋体"/>
                <w:sz w:val="28"/>
                <w:szCs w:val="28"/>
              </w:rPr>
            </w:pPr>
          </w:p>
        </w:tc>
        <w:tc>
          <w:tcPr>
            <w:tcW w:w="727" w:type="pct"/>
            <w:noWrap w:val="0"/>
            <w:vAlign w:val="top"/>
          </w:tcPr>
          <w:p w14:paraId="38E8A27B">
            <w:pPr>
              <w:jc w:val="center"/>
              <w:rPr>
                <w:rFonts w:ascii="宋体" w:hAnsi="宋体"/>
                <w:sz w:val="28"/>
                <w:szCs w:val="28"/>
              </w:rPr>
            </w:pPr>
          </w:p>
        </w:tc>
        <w:tc>
          <w:tcPr>
            <w:tcW w:w="661" w:type="pct"/>
            <w:noWrap w:val="0"/>
            <w:vAlign w:val="top"/>
          </w:tcPr>
          <w:p w14:paraId="5884E8CF">
            <w:pPr>
              <w:jc w:val="center"/>
              <w:rPr>
                <w:rFonts w:ascii="宋体" w:hAnsi="宋体"/>
                <w:sz w:val="28"/>
                <w:szCs w:val="28"/>
              </w:rPr>
            </w:pPr>
          </w:p>
        </w:tc>
        <w:tc>
          <w:tcPr>
            <w:tcW w:w="396" w:type="pct"/>
            <w:noWrap w:val="0"/>
            <w:vAlign w:val="top"/>
          </w:tcPr>
          <w:p w14:paraId="2A32AFA0">
            <w:pPr>
              <w:jc w:val="center"/>
              <w:rPr>
                <w:rFonts w:ascii="宋体" w:hAnsi="宋体"/>
                <w:sz w:val="28"/>
                <w:szCs w:val="28"/>
              </w:rPr>
            </w:pPr>
          </w:p>
        </w:tc>
        <w:tc>
          <w:tcPr>
            <w:tcW w:w="330" w:type="pct"/>
            <w:noWrap w:val="0"/>
            <w:vAlign w:val="top"/>
          </w:tcPr>
          <w:p w14:paraId="69B43694">
            <w:pPr>
              <w:jc w:val="center"/>
              <w:rPr>
                <w:rFonts w:ascii="宋体" w:hAnsi="宋体"/>
                <w:sz w:val="28"/>
                <w:szCs w:val="28"/>
              </w:rPr>
            </w:pPr>
          </w:p>
        </w:tc>
        <w:tc>
          <w:tcPr>
            <w:tcW w:w="463" w:type="pct"/>
            <w:noWrap w:val="0"/>
            <w:vAlign w:val="top"/>
          </w:tcPr>
          <w:p w14:paraId="59CD020B">
            <w:pPr>
              <w:jc w:val="center"/>
              <w:rPr>
                <w:rFonts w:ascii="宋体" w:hAnsi="宋体"/>
                <w:sz w:val="28"/>
                <w:szCs w:val="28"/>
              </w:rPr>
            </w:pPr>
          </w:p>
        </w:tc>
        <w:tc>
          <w:tcPr>
            <w:tcW w:w="529" w:type="pct"/>
            <w:noWrap w:val="0"/>
            <w:vAlign w:val="top"/>
          </w:tcPr>
          <w:p w14:paraId="11C65489">
            <w:pPr>
              <w:jc w:val="center"/>
              <w:rPr>
                <w:rFonts w:ascii="宋体" w:hAnsi="宋体"/>
                <w:sz w:val="28"/>
                <w:szCs w:val="28"/>
              </w:rPr>
            </w:pPr>
          </w:p>
        </w:tc>
        <w:tc>
          <w:tcPr>
            <w:tcW w:w="529" w:type="pct"/>
            <w:noWrap w:val="0"/>
            <w:vAlign w:val="top"/>
          </w:tcPr>
          <w:p w14:paraId="079EE41F">
            <w:pPr>
              <w:jc w:val="center"/>
              <w:rPr>
                <w:rFonts w:ascii="宋体" w:hAnsi="宋体"/>
                <w:sz w:val="28"/>
                <w:szCs w:val="28"/>
              </w:rPr>
            </w:pPr>
          </w:p>
        </w:tc>
        <w:tc>
          <w:tcPr>
            <w:tcW w:w="463" w:type="pct"/>
            <w:noWrap w:val="0"/>
            <w:vAlign w:val="top"/>
          </w:tcPr>
          <w:p w14:paraId="56D6B0EF">
            <w:pPr>
              <w:jc w:val="center"/>
              <w:rPr>
                <w:rFonts w:ascii="宋体" w:hAnsi="宋体"/>
                <w:sz w:val="28"/>
                <w:szCs w:val="28"/>
              </w:rPr>
            </w:pPr>
          </w:p>
        </w:tc>
        <w:tc>
          <w:tcPr>
            <w:tcW w:w="595" w:type="pct"/>
            <w:noWrap w:val="0"/>
            <w:vAlign w:val="top"/>
          </w:tcPr>
          <w:p w14:paraId="6C2ABE76">
            <w:pPr>
              <w:jc w:val="center"/>
              <w:rPr>
                <w:rFonts w:ascii="宋体" w:hAnsi="宋体"/>
                <w:sz w:val="28"/>
                <w:szCs w:val="28"/>
              </w:rPr>
            </w:pPr>
          </w:p>
        </w:tc>
      </w:tr>
      <w:tr w14:paraId="26DF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44BA0D02">
            <w:pPr>
              <w:jc w:val="center"/>
              <w:rPr>
                <w:rFonts w:ascii="宋体" w:hAnsi="宋体"/>
                <w:sz w:val="28"/>
                <w:szCs w:val="28"/>
              </w:rPr>
            </w:pPr>
          </w:p>
        </w:tc>
        <w:tc>
          <w:tcPr>
            <w:tcW w:w="727" w:type="pct"/>
            <w:noWrap w:val="0"/>
            <w:vAlign w:val="top"/>
          </w:tcPr>
          <w:p w14:paraId="477525BF">
            <w:pPr>
              <w:jc w:val="center"/>
              <w:rPr>
                <w:rFonts w:ascii="宋体" w:hAnsi="宋体"/>
                <w:sz w:val="28"/>
                <w:szCs w:val="28"/>
              </w:rPr>
            </w:pPr>
          </w:p>
        </w:tc>
        <w:tc>
          <w:tcPr>
            <w:tcW w:w="661" w:type="pct"/>
            <w:noWrap w:val="0"/>
            <w:vAlign w:val="top"/>
          </w:tcPr>
          <w:p w14:paraId="01AB14EA">
            <w:pPr>
              <w:jc w:val="center"/>
              <w:rPr>
                <w:rFonts w:ascii="宋体" w:hAnsi="宋体"/>
                <w:sz w:val="28"/>
                <w:szCs w:val="28"/>
              </w:rPr>
            </w:pPr>
          </w:p>
        </w:tc>
        <w:tc>
          <w:tcPr>
            <w:tcW w:w="396" w:type="pct"/>
            <w:noWrap w:val="0"/>
            <w:vAlign w:val="top"/>
          </w:tcPr>
          <w:p w14:paraId="4513CE78">
            <w:pPr>
              <w:jc w:val="center"/>
              <w:rPr>
                <w:rFonts w:ascii="宋体" w:hAnsi="宋体"/>
                <w:sz w:val="28"/>
                <w:szCs w:val="28"/>
              </w:rPr>
            </w:pPr>
          </w:p>
        </w:tc>
        <w:tc>
          <w:tcPr>
            <w:tcW w:w="330" w:type="pct"/>
            <w:noWrap w:val="0"/>
            <w:vAlign w:val="top"/>
          </w:tcPr>
          <w:p w14:paraId="649C41C4">
            <w:pPr>
              <w:jc w:val="center"/>
              <w:rPr>
                <w:rFonts w:ascii="宋体" w:hAnsi="宋体"/>
                <w:sz w:val="28"/>
                <w:szCs w:val="28"/>
              </w:rPr>
            </w:pPr>
          </w:p>
        </w:tc>
        <w:tc>
          <w:tcPr>
            <w:tcW w:w="463" w:type="pct"/>
            <w:noWrap w:val="0"/>
            <w:vAlign w:val="top"/>
          </w:tcPr>
          <w:p w14:paraId="513BB35C">
            <w:pPr>
              <w:jc w:val="center"/>
              <w:rPr>
                <w:rFonts w:ascii="宋体" w:hAnsi="宋体"/>
                <w:sz w:val="28"/>
                <w:szCs w:val="28"/>
              </w:rPr>
            </w:pPr>
          </w:p>
        </w:tc>
        <w:tc>
          <w:tcPr>
            <w:tcW w:w="529" w:type="pct"/>
            <w:noWrap w:val="0"/>
            <w:vAlign w:val="top"/>
          </w:tcPr>
          <w:p w14:paraId="56263A27">
            <w:pPr>
              <w:jc w:val="center"/>
              <w:rPr>
                <w:rFonts w:ascii="宋体" w:hAnsi="宋体"/>
                <w:sz w:val="28"/>
                <w:szCs w:val="28"/>
              </w:rPr>
            </w:pPr>
          </w:p>
        </w:tc>
        <w:tc>
          <w:tcPr>
            <w:tcW w:w="529" w:type="pct"/>
            <w:noWrap w:val="0"/>
            <w:vAlign w:val="top"/>
          </w:tcPr>
          <w:p w14:paraId="5F0FE1C8">
            <w:pPr>
              <w:jc w:val="center"/>
              <w:rPr>
                <w:rFonts w:ascii="宋体" w:hAnsi="宋体"/>
                <w:sz w:val="28"/>
                <w:szCs w:val="28"/>
              </w:rPr>
            </w:pPr>
          </w:p>
        </w:tc>
        <w:tc>
          <w:tcPr>
            <w:tcW w:w="463" w:type="pct"/>
            <w:noWrap w:val="0"/>
            <w:vAlign w:val="top"/>
          </w:tcPr>
          <w:p w14:paraId="04784939">
            <w:pPr>
              <w:jc w:val="center"/>
              <w:rPr>
                <w:rFonts w:ascii="宋体" w:hAnsi="宋体"/>
                <w:sz w:val="28"/>
                <w:szCs w:val="28"/>
              </w:rPr>
            </w:pPr>
          </w:p>
        </w:tc>
        <w:tc>
          <w:tcPr>
            <w:tcW w:w="595" w:type="pct"/>
            <w:noWrap w:val="0"/>
            <w:vAlign w:val="top"/>
          </w:tcPr>
          <w:p w14:paraId="71F563F1">
            <w:pPr>
              <w:jc w:val="center"/>
              <w:rPr>
                <w:rFonts w:ascii="宋体" w:hAnsi="宋体"/>
                <w:sz w:val="28"/>
                <w:szCs w:val="28"/>
              </w:rPr>
            </w:pPr>
          </w:p>
        </w:tc>
      </w:tr>
      <w:tr w14:paraId="332C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4189613A">
            <w:pPr>
              <w:jc w:val="center"/>
              <w:rPr>
                <w:rFonts w:ascii="宋体" w:hAnsi="宋体"/>
                <w:sz w:val="28"/>
                <w:szCs w:val="28"/>
              </w:rPr>
            </w:pPr>
          </w:p>
        </w:tc>
        <w:tc>
          <w:tcPr>
            <w:tcW w:w="727" w:type="pct"/>
            <w:noWrap w:val="0"/>
            <w:vAlign w:val="top"/>
          </w:tcPr>
          <w:p w14:paraId="6F75A3AF">
            <w:pPr>
              <w:jc w:val="center"/>
              <w:rPr>
                <w:rFonts w:ascii="宋体" w:hAnsi="宋体"/>
                <w:sz w:val="28"/>
                <w:szCs w:val="28"/>
              </w:rPr>
            </w:pPr>
          </w:p>
        </w:tc>
        <w:tc>
          <w:tcPr>
            <w:tcW w:w="661" w:type="pct"/>
            <w:noWrap w:val="0"/>
            <w:vAlign w:val="top"/>
          </w:tcPr>
          <w:p w14:paraId="000C5B8B">
            <w:pPr>
              <w:jc w:val="center"/>
              <w:rPr>
                <w:rFonts w:ascii="宋体" w:hAnsi="宋体"/>
                <w:sz w:val="28"/>
                <w:szCs w:val="28"/>
              </w:rPr>
            </w:pPr>
          </w:p>
        </w:tc>
        <w:tc>
          <w:tcPr>
            <w:tcW w:w="396" w:type="pct"/>
            <w:noWrap w:val="0"/>
            <w:vAlign w:val="top"/>
          </w:tcPr>
          <w:p w14:paraId="4384F299">
            <w:pPr>
              <w:jc w:val="center"/>
              <w:rPr>
                <w:rFonts w:ascii="宋体" w:hAnsi="宋体"/>
                <w:sz w:val="28"/>
                <w:szCs w:val="28"/>
              </w:rPr>
            </w:pPr>
          </w:p>
        </w:tc>
        <w:tc>
          <w:tcPr>
            <w:tcW w:w="330" w:type="pct"/>
            <w:noWrap w:val="0"/>
            <w:vAlign w:val="top"/>
          </w:tcPr>
          <w:p w14:paraId="7EE4A953">
            <w:pPr>
              <w:jc w:val="center"/>
              <w:rPr>
                <w:rFonts w:ascii="宋体" w:hAnsi="宋体"/>
                <w:sz w:val="28"/>
                <w:szCs w:val="28"/>
              </w:rPr>
            </w:pPr>
          </w:p>
        </w:tc>
        <w:tc>
          <w:tcPr>
            <w:tcW w:w="463" w:type="pct"/>
            <w:noWrap w:val="0"/>
            <w:vAlign w:val="top"/>
          </w:tcPr>
          <w:p w14:paraId="3F75F045">
            <w:pPr>
              <w:jc w:val="center"/>
              <w:rPr>
                <w:rFonts w:ascii="宋体" w:hAnsi="宋体"/>
                <w:sz w:val="28"/>
                <w:szCs w:val="28"/>
              </w:rPr>
            </w:pPr>
          </w:p>
        </w:tc>
        <w:tc>
          <w:tcPr>
            <w:tcW w:w="529" w:type="pct"/>
            <w:noWrap w:val="0"/>
            <w:vAlign w:val="top"/>
          </w:tcPr>
          <w:p w14:paraId="36FADC42">
            <w:pPr>
              <w:jc w:val="center"/>
              <w:rPr>
                <w:rFonts w:ascii="宋体" w:hAnsi="宋体"/>
                <w:sz w:val="28"/>
                <w:szCs w:val="28"/>
              </w:rPr>
            </w:pPr>
          </w:p>
        </w:tc>
        <w:tc>
          <w:tcPr>
            <w:tcW w:w="529" w:type="pct"/>
            <w:noWrap w:val="0"/>
            <w:vAlign w:val="top"/>
          </w:tcPr>
          <w:p w14:paraId="5E3A8425">
            <w:pPr>
              <w:jc w:val="center"/>
              <w:rPr>
                <w:rFonts w:ascii="宋体" w:hAnsi="宋体"/>
                <w:sz w:val="28"/>
                <w:szCs w:val="28"/>
              </w:rPr>
            </w:pPr>
          </w:p>
        </w:tc>
        <w:tc>
          <w:tcPr>
            <w:tcW w:w="463" w:type="pct"/>
            <w:noWrap w:val="0"/>
            <w:vAlign w:val="top"/>
          </w:tcPr>
          <w:p w14:paraId="730BDC71">
            <w:pPr>
              <w:jc w:val="center"/>
              <w:rPr>
                <w:rFonts w:ascii="宋体" w:hAnsi="宋体"/>
                <w:sz w:val="28"/>
                <w:szCs w:val="28"/>
              </w:rPr>
            </w:pPr>
          </w:p>
        </w:tc>
        <w:tc>
          <w:tcPr>
            <w:tcW w:w="595" w:type="pct"/>
            <w:noWrap w:val="0"/>
            <w:vAlign w:val="top"/>
          </w:tcPr>
          <w:p w14:paraId="7D5021C3">
            <w:pPr>
              <w:jc w:val="center"/>
              <w:rPr>
                <w:rFonts w:ascii="宋体" w:hAnsi="宋体"/>
                <w:sz w:val="28"/>
                <w:szCs w:val="28"/>
              </w:rPr>
            </w:pPr>
          </w:p>
        </w:tc>
      </w:tr>
      <w:tr w14:paraId="699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532B637C">
            <w:pPr>
              <w:jc w:val="center"/>
              <w:rPr>
                <w:rFonts w:ascii="宋体" w:hAnsi="宋体"/>
                <w:sz w:val="28"/>
                <w:szCs w:val="28"/>
              </w:rPr>
            </w:pPr>
          </w:p>
        </w:tc>
        <w:tc>
          <w:tcPr>
            <w:tcW w:w="727" w:type="pct"/>
            <w:noWrap w:val="0"/>
            <w:vAlign w:val="top"/>
          </w:tcPr>
          <w:p w14:paraId="2B442D5E">
            <w:pPr>
              <w:jc w:val="center"/>
              <w:rPr>
                <w:rFonts w:ascii="宋体" w:hAnsi="宋体"/>
                <w:sz w:val="28"/>
                <w:szCs w:val="28"/>
              </w:rPr>
            </w:pPr>
          </w:p>
        </w:tc>
        <w:tc>
          <w:tcPr>
            <w:tcW w:w="661" w:type="pct"/>
            <w:noWrap w:val="0"/>
            <w:vAlign w:val="top"/>
          </w:tcPr>
          <w:p w14:paraId="25855A53">
            <w:pPr>
              <w:jc w:val="center"/>
              <w:rPr>
                <w:rFonts w:ascii="宋体" w:hAnsi="宋体"/>
                <w:sz w:val="28"/>
                <w:szCs w:val="28"/>
              </w:rPr>
            </w:pPr>
          </w:p>
        </w:tc>
        <w:tc>
          <w:tcPr>
            <w:tcW w:w="396" w:type="pct"/>
            <w:noWrap w:val="0"/>
            <w:vAlign w:val="top"/>
          </w:tcPr>
          <w:p w14:paraId="5B776AEB">
            <w:pPr>
              <w:jc w:val="center"/>
              <w:rPr>
                <w:rFonts w:ascii="宋体" w:hAnsi="宋体"/>
                <w:sz w:val="28"/>
                <w:szCs w:val="28"/>
              </w:rPr>
            </w:pPr>
          </w:p>
        </w:tc>
        <w:tc>
          <w:tcPr>
            <w:tcW w:w="330" w:type="pct"/>
            <w:noWrap w:val="0"/>
            <w:vAlign w:val="top"/>
          </w:tcPr>
          <w:p w14:paraId="1043F2F5">
            <w:pPr>
              <w:jc w:val="center"/>
              <w:rPr>
                <w:rFonts w:ascii="宋体" w:hAnsi="宋体"/>
                <w:sz w:val="28"/>
                <w:szCs w:val="28"/>
              </w:rPr>
            </w:pPr>
          </w:p>
        </w:tc>
        <w:tc>
          <w:tcPr>
            <w:tcW w:w="463" w:type="pct"/>
            <w:noWrap w:val="0"/>
            <w:vAlign w:val="top"/>
          </w:tcPr>
          <w:p w14:paraId="2EC0C7D1">
            <w:pPr>
              <w:jc w:val="center"/>
              <w:rPr>
                <w:rFonts w:ascii="宋体" w:hAnsi="宋体"/>
                <w:sz w:val="28"/>
                <w:szCs w:val="28"/>
              </w:rPr>
            </w:pPr>
          </w:p>
        </w:tc>
        <w:tc>
          <w:tcPr>
            <w:tcW w:w="529" w:type="pct"/>
            <w:noWrap w:val="0"/>
            <w:vAlign w:val="top"/>
          </w:tcPr>
          <w:p w14:paraId="1B44D397">
            <w:pPr>
              <w:jc w:val="center"/>
              <w:rPr>
                <w:rFonts w:ascii="宋体" w:hAnsi="宋体"/>
                <w:sz w:val="28"/>
                <w:szCs w:val="28"/>
              </w:rPr>
            </w:pPr>
          </w:p>
        </w:tc>
        <w:tc>
          <w:tcPr>
            <w:tcW w:w="529" w:type="pct"/>
            <w:noWrap w:val="0"/>
            <w:vAlign w:val="top"/>
          </w:tcPr>
          <w:p w14:paraId="57AF47A7">
            <w:pPr>
              <w:jc w:val="center"/>
              <w:rPr>
                <w:rFonts w:ascii="宋体" w:hAnsi="宋体"/>
                <w:sz w:val="28"/>
                <w:szCs w:val="28"/>
              </w:rPr>
            </w:pPr>
          </w:p>
        </w:tc>
        <w:tc>
          <w:tcPr>
            <w:tcW w:w="463" w:type="pct"/>
            <w:noWrap w:val="0"/>
            <w:vAlign w:val="top"/>
          </w:tcPr>
          <w:p w14:paraId="6B9CFAD9">
            <w:pPr>
              <w:jc w:val="center"/>
              <w:rPr>
                <w:rFonts w:ascii="宋体" w:hAnsi="宋体"/>
                <w:sz w:val="28"/>
                <w:szCs w:val="28"/>
              </w:rPr>
            </w:pPr>
          </w:p>
        </w:tc>
        <w:tc>
          <w:tcPr>
            <w:tcW w:w="595" w:type="pct"/>
            <w:noWrap w:val="0"/>
            <w:vAlign w:val="top"/>
          </w:tcPr>
          <w:p w14:paraId="24D75D3A">
            <w:pPr>
              <w:jc w:val="center"/>
              <w:rPr>
                <w:rFonts w:ascii="宋体" w:hAnsi="宋体"/>
                <w:sz w:val="28"/>
                <w:szCs w:val="28"/>
              </w:rPr>
            </w:pPr>
          </w:p>
        </w:tc>
      </w:tr>
      <w:tr w14:paraId="7B45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51523458">
            <w:pPr>
              <w:jc w:val="center"/>
              <w:rPr>
                <w:rFonts w:ascii="宋体" w:hAnsi="宋体"/>
                <w:sz w:val="28"/>
                <w:szCs w:val="28"/>
              </w:rPr>
            </w:pPr>
          </w:p>
        </w:tc>
        <w:tc>
          <w:tcPr>
            <w:tcW w:w="727" w:type="pct"/>
            <w:noWrap w:val="0"/>
            <w:vAlign w:val="top"/>
          </w:tcPr>
          <w:p w14:paraId="54638C58">
            <w:pPr>
              <w:jc w:val="center"/>
              <w:rPr>
                <w:rFonts w:ascii="宋体" w:hAnsi="宋体"/>
                <w:sz w:val="28"/>
                <w:szCs w:val="28"/>
              </w:rPr>
            </w:pPr>
          </w:p>
        </w:tc>
        <w:tc>
          <w:tcPr>
            <w:tcW w:w="661" w:type="pct"/>
            <w:noWrap w:val="0"/>
            <w:vAlign w:val="top"/>
          </w:tcPr>
          <w:p w14:paraId="307C8E76">
            <w:pPr>
              <w:jc w:val="center"/>
              <w:rPr>
                <w:rFonts w:ascii="宋体" w:hAnsi="宋体"/>
                <w:sz w:val="28"/>
                <w:szCs w:val="28"/>
              </w:rPr>
            </w:pPr>
          </w:p>
        </w:tc>
        <w:tc>
          <w:tcPr>
            <w:tcW w:w="396" w:type="pct"/>
            <w:noWrap w:val="0"/>
            <w:vAlign w:val="top"/>
          </w:tcPr>
          <w:p w14:paraId="0C1337F5">
            <w:pPr>
              <w:jc w:val="center"/>
              <w:rPr>
                <w:rFonts w:ascii="宋体" w:hAnsi="宋体"/>
                <w:sz w:val="28"/>
                <w:szCs w:val="28"/>
              </w:rPr>
            </w:pPr>
          </w:p>
        </w:tc>
        <w:tc>
          <w:tcPr>
            <w:tcW w:w="330" w:type="pct"/>
            <w:noWrap w:val="0"/>
            <w:vAlign w:val="top"/>
          </w:tcPr>
          <w:p w14:paraId="69E69DA5">
            <w:pPr>
              <w:jc w:val="center"/>
              <w:rPr>
                <w:rFonts w:ascii="宋体" w:hAnsi="宋体"/>
                <w:sz w:val="28"/>
                <w:szCs w:val="28"/>
              </w:rPr>
            </w:pPr>
          </w:p>
        </w:tc>
        <w:tc>
          <w:tcPr>
            <w:tcW w:w="463" w:type="pct"/>
            <w:noWrap w:val="0"/>
            <w:vAlign w:val="top"/>
          </w:tcPr>
          <w:p w14:paraId="51E6AB03">
            <w:pPr>
              <w:jc w:val="center"/>
              <w:rPr>
                <w:rFonts w:ascii="宋体" w:hAnsi="宋体"/>
                <w:sz w:val="28"/>
                <w:szCs w:val="28"/>
              </w:rPr>
            </w:pPr>
          </w:p>
        </w:tc>
        <w:tc>
          <w:tcPr>
            <w:tcW w:w="529" w:type="pct"/>
            <w:noWrap w:val="0"/>
            <w:vAlign w:val="top"/>
          </w:tcPr>
          <w:p w14:paraId="7E7F5968">
            <w:pPr>
              <w:jc w:val="center"/>
              <w:rPr>
                <w:rFonts w:ascii="宋体" w:hAnsi="宋体"/>
                <w:sz w:val="28"/>
                <w:szCs w:val="28"/>
              </w:rPr>
            </w:pPr>
          </w:p>
        </w:tc>
        <w:tc>
          <w:tcPr>
            <w:tcW w:w="529" w:type="pct"/>
            <w:noWrap w:val="0"/>
            <w:vAlign w:val="top"/>
          </w:tcPr>
          <w:p w14:paraId="27F6B73B">
            <w:pPr>
              <w:jc w:val="center"/>
              <w:rPr>
                <w:rFonts w:ascii="宋体" w:hAnsi="宋体"/>
                <w:sz w:val="28"/>
                <w:szCs w:val="28"/>
              </w:rPr>
            </w:pPr>
          </w:p>
        </w:tc>
        <w:tc>
          <w:tcPr>
            <w:tcW w:w="463" w:type="pct"/>
            <w:noWrap w:val="0"/>
            <w:vAlign w:val="top"/>
          </w:tcPr>
          <w:p w14:paraId="083987BB">
            <w:pPr>
              <w:jc w:val="center"/>
              <w:rPr>
                <w:rFonts w:ascii="宋体" w:hAnsi="宋体"/>
                <w:sz w:val="28"/>
                <w:szCs w:val="28"/>
              </w:rPr>
            </w:pPr>
          </w:p>
        </w:tc>
        <w:tc>
          <w:tcPr>
            <w:tcW w:w="595" w:type="pct"/>
            <w:noWrap w:val="0"/>
            <w:vAlign w:val="top"/>
          </w:tcPr>
          <w:p w14:paraId="5E4440AE">
            <w:pPr>
              <w:jc w:val="center"/>
              <w:rPr>
                <w:rFonts w:ascii="宋体" w:hAnsi="宋体"/>
                <w:sz w:val="28"/>
                <w:szCs w:val="28"/>
              </w:rPr>
            </w:pPr>
          </w:p>
        </w:tc>
      </w:tr>
      <w:tr w14:paraId="03EF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4E19A269">
            <w:pPr>
              <w:jc w:val="center"/>
              <w:rPr>
                <w:rFonts w:ascii="宋体" w:hAnsi="宋体"/>
                <w:sz w:val="28"/>
                <w:szCs w:val="28"/>
              </w:rPr>
            </w:pPr>
          </w:p>
        </w:tc>
        <w:tc>
          <w:tcPr>
            <w:tcW w:w="727" w:type="pct"/>
            <w:noWrap w:val="0"/>
            <w:vAlign w:val="top"/>
          </w:tcPr>
          <w:p w14:paraId="0E76522B">
            <w:pPr>
              <w:jc w:val="center"/>
              <w:rPr>
                <w:rFonts w:ascii="宋体" w:hAnsi="宋体"/>
                <w:sz w:val="28"/>
                <w:szCs w:val="28"/>
              </w:rPr>
            </w:pPr>
          </w:p>
        </w:tc>
        <w:tc>
          <w:tcPr>
            <w:tcW w:w="661" w:type="pct"/>
            <w:noWrap w:val="0"/>
            <w:vAlign w:val="top"/>
          </w:tcPr>
          <w:p w14:paraId="07757EA1">
            <w:pPr>
              <w:jc w:val="center"/>
              <w:rPr>
                <w:rFonts w:ascii="宋体" w:hAnsi="宋体"/>
                <w:sz w:val="28"/>
                <w:szCs w:val="28"/>
              </w:rPr>
            </w:pPr>
          </w:p>
        </w:tc>
        <w:tc>
          <w:tcPr>
            <w:tcW w:w="396" w:type="pct"/>
            <w:noWrap w:val="0"/>
            <w:vAlign w:val="top"/>
          </w:tcPr>
          <w:p w14:paraId="489D6139">
            <w:pPr>
              <w:jc w:val="center"/>
              <w:rPr>
                <w:rFonts w:ascii="宋体" w:hAnsi="宋体"/>
                <w:sz w:val="28"/>
                <w:szCs w:val="28"/>
              </w:rPr>
            </w:pPr>
          </w:p>
        </w:tc>
        <w:tc>
          <w:tcPr>
            <w:tcW w:w="330" w:type="pct"/>
            <w:noWrap w:val="0"/>
            <w:vAlign w:val="top"/>
          </w:tcPr>
          <w:p w14:paraId="35F2FF49">
            <w:pPr>
              <w:jc w:val="center"/>
              <w:rPr>
                <w:rFonts w:ascii="宋体" w:hAnsi="宋体"/>
                <w:sz w:val="28"/>
                <w:szCs w:val="28"/>
              </w:rPr>
            </w:pPr>
          </w:p>
        </w:tc>
        <w:tc>
          <w:tcPr>
            <w:tcW w:w="463" w:type="pct"/>
            <w:noWrap w:val="0"/>
            <w:vAlign w:val="top"/>
          </w:tcPr>
          <w:p w14:paraId="01A08535">
            <w:pPr>
              <w:jc w:val="center"/>
              <w:rPr>
                <w:rFonts w:ascii="宋体" w:hAnsi="宋体"/>
                <w:sz w:val="28"/>
                <w:szCs w:val="28"/>
              </w:rPr>
            </w:pPr>
          </w:p>
        </w:tc>
        <w:tc>
          <w:tcPr>
            <w:tcW w:w="529" w:type="pct"/>
            <w:noWrap w:val="0"/>
            <w:vAlign w:val="top"/>
          </w:tcPr>
          <w:p w14:paraId="5AF06CEB">
            <w:pPr>
              <w:jc w:val="center"/>
              <w:rPr>
                <w:rFonts w:ascii="宋体" w:hAnsi="宋体"/>
                <w:sz w:val="28"/>
                <w:szCs w:val="28"/>
              </w:rPr>
            </w:pPr>
          </w:p>
        </w:tc>
        <w:tc>
          <w:tcPr>
            <w:tcW w:w="529" w:type="pct"/>
            <w:noWrap w:val="0"/>
            <w:vAlign w:val="top"/>
          </w:tcPr>
          <w:p w14:paraId="5AFD7C6C">
            <w:pPr>
              <w:jc w:val="center"/>
              <w:rPr>
                <w:rFonts w:ascii="宋体" w:hAnsi="宋体"/>
                <w:sz w:val="28"/>
                <w:szCs w:val="28"/>
              </w:rPr>
            </w:pPr>
          </w:p>
        </w:tc>
        <w:tc>
          <w:tcPr>
            <w:tcW w:w="463" w:type="pct"/>
            <w:noWrap w:val="0"/>
            <w:vAlign w:val="top"/>
          </w:tcPr>
          <w:p w14:paraId="5FB4801B">
            <w:pPr>
              <w:jc w:val="center"/>
              <w:rPr>
                <w:rFonts w:ascii="宋体" w:hAnsi="宋体"/>
                <w:sz w:val="28"/>
                <w:szCs w:val="28"/>
              </w:rPr>
            </w:pPr>
          </w:p>
        </w:tc>
        <w:tc>
          <w:tcPr>
            <w:tcW w:w="595" w:type="pct"/>
            <w:noWrap w:val="0"/>
            <w:vAlign w:val="top"/>
          </w:tcPr>
          <w:p w14:paraId="11B03C42">
            <w:pPr>
              <w:jc w:val="center"/>
              <w:rPr>
                <w:rFonts w:ascii="宋体" w:hAnsi="宋体"/>
                <w:sz w:val="28"/>
                <w:szCs w:val="28"/>
              </w:rPr>
            </w:pPr>
          </w:p>
        </w:tc>
      </w:tr>
      <w:tr w14:paraId="7D3C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3EE0D55D">
            <w:pPr>
              <w:jc w:val="center"/>
              <w:rPr>
                <w:rFonts w:ascii="宋体" w:hAnsi="宋体"/>
                <w:sz w:val="28"/>
                <w:szCs w:val="28"/>
              </w:rPr>
            </w:pPr>
          </w:p>
        </w:tc>
        <w:tc>
          <w:tcPr>
            <w:tcW w:w="727" w:type="pct"/>
            <w:noWrap w:val="0"/>
            <w:vAlign w:val="top"/>
          </w:tcPr>
          <w:p w14:paraId="0AF34714">
            <w:pPr>
              <w:jc w:val="center"/>
              <w:rPr>
                <w:rFonts w:ascii="宋体" w:hAnsi="宋体"/>
                <w:sz w:val="28"/>
                <w:szCs w:val="28"/>
              </w:rPr>
            </w:pPr>
          </w:p>
        </w:tc>
        <w:tc>
          <w:tcPr>
            <w:tcW w:w="661" w:type="pct"/>
            <w:noWrap w:val="0"/>
            <w:vAlign w:val="top"/>
          </w:tcPr>
          <w:p w14:paraId="04743FFA">
            <w:pPr>
              <w:jc w:val="center"/>
              <w:rPr>
                <w:rFonts w:ascii="宋体" w:hAnsi="宋体"/>
                <w:sz w:val="28"/>
                <w:szCs w:val="28"/>
              </w:rPr>
            </w:pPr>
          </w:p>
        </w:tc>
        <w:tc>
          <w:tcPr>
            <w:tcW w:w="396" w:type="pct"/>
            <w:noWrap w:val="0"/>
            <w:vAlign w:val="top"/>
          </w:tcPr>
          <w:p w14:paraId="35459772">
            <w:pPr>
              <w:jc w:val="center"/>
              <w:rPr>
                <w:rFonts w:ascii="宋体" w:hAnsi="宋体"/>
                <w:sz w:val="28"/>
                <w:szCs w:val="28"/>
              </w:rPr>
            </w:pPr>
          </w:p>
        </w:tc>
        <w:tc>
          <w:tcPr>
            <w:tcW w:w="330" w:type="pct"/>
            <w:noWrap w:val="0"/>
            <w:vAlign w:val="top"/>
          </w:tcPr>
          <w:p w14:paraId="23FD0DA8">
            <w:pPr>
              <w:jc w:val="center"/>
              <w:rPr>
                <w:rFonts w:ascii="宋体" w:hAnsi="宋体"/>
                <w:sz w:val="28"/>
                <w:szCs w:val="28"/>
              </w:rPr>
            </w:pPr>
          </w:p>
        </w:tc>
        <w:tc>
          <w:tcPr>
            <w:tcW w:w="463" w:type="pct"/>
            <w:noWrap w:val="0"/>
            <w:vAlign w:val="top"/>
          </w:tcPr>
          <w:p w14:paraId="2DA28AD5">
            <w:pPr>
              <w:jc w:val="center"/>
              <w:rPr>
                <w:rFonts w:ascii="宋体" w:hAnsi="宋体"/>
                <w:sz w:val="28"/>
                <w:szCs w:val="28"/>
              </w:rPr>
            </w:pPr>
          </w:p>
        </w:tc>
        <w:tc>
          <w:tcPr>
            <w:tcW w:w="529" w:type="pct"/>
            <w:noWrap w:val="0"/>
            <w:vAlign w:val="top"/>
          </w:tcPr>
          <w:p w14:paraId="1C7EE979">
            <w:pPr>
              <w:jc w:val="center"/>
              <w:rPr>
                <w:rFonts w:ascii="宋体" w:hAnsi="宋体"/>
                <w:sz w:val="28"/>
                <w:szCs w:val="28"/>
              </w:rPr>
            </w:pPr>
          </w:p>
        </w:tc>
        <w:tc>
          <w:tcPr>
            <w:tcW w:w="529" w:type="pct"/>
            <w:noWrap w:val="0"/>
            <w:vAlign w:val="top"/>
          </w:tcPr>
          <w:p w14:paraId="2825C305">
            <w:pPr>
              <w:jc w:val="center"/>
              <w:rPr>
                <w:rFonts w:ascii="宋体" w:hAnsi="宋体"/>
                <w:sz w:val="28"/>
                <w:szCs w:val="28"/>
              </w:rPr>
            </w:pPr>
          </w:p>
        </w:tc>
        <w:tc>
          <w:tcPr>
            <w:tcW w:w="463" w:type="pct"/>
            <w:noWrap w:val="0"/>
            <w:vAlign w:val="top"/>
          </w:tcPr>
          <w:p w14:paraId="199B889C">
            <w:pPr>
              <w:jc w:val="center"/>
              <w:rPr>
                <w:rFonts w:ascii="宋体" w:hAnsi="宋体"/>
                <w:sz w:val="28"/>
                <w:szCs w:val="28"/>
              </w:rPr>
            </w:pPr>
          </w:p>
        </w:tc>
        <w:tc>
          <w:tcPr>
            <w:tcW w:w="595" w:type="pct"/>
            <w:noWrap w:val="0"/>
            <w:vAlign w:val="top"/>
          </w:tcPr>
          <w:p w14:paraId="72190CB8">
            <w:pPr>
              <w:jc w:val="center"/>
              <w:rPr>
                <w:rFonts w:ascii="宋体" w:hAnsi="宋体"/>
                <w:sz w:val="28"/>
                <w:szCs w:val="28"/>
              </w:rPr>
            </w:pPr>
          </w:p>
        </w:tc>
      </w:tr>
      <w:tr w14:paraId="7444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280C1E2C">
            <w:pPr>
              <w:jc w:val="center"/>
              <w:rPr>
                <w:rFonts w:ascii="宋体" w:hAnsi="宋体"/>
                <w:sz w:val="28"/>
                <w:szCs w:val="28"/>
              </w:rPr>
            </w:pPr>
          </w:p>
        </w:tc>
        <w:tc>
          <w:tcPr>
            <w:tcW w:w="727" w:type="pct"/>
            <w:noWrap w:val="0"/>
            <w:vAlign w:val="top"/>
          </w:tcPr>
          <w:p w14:paraId="266C85F4">
            <w:pPr>
              <w:jc w:val="center"/>
              <w:rPr>
                <w:rFonts w:ascii="宋体" w:hAnsi="宋体"/>
                <w:sz w:val="28"/>
                <w:szCs w:val="28"/>
              </w:rPr>
            </w:pPr>
          </w:p>
        </w:tc>
        <w:tc>
          <w:tcPr>
            <w:tcW w:w="661" w:type="pct"/>
            <w:noWrap w:val="0"/>
            <w:vAlign w:val="top"/>
          </w:tcPr>
          <w:p w14:paraId="0263CC4F">
            <w:pPr>
              <w:jc w:val="center"/>
              <w:rPr>
                <w:rFonts w:ascii="宋体" w:hAnsi="宋体"/>
                <w:sz w:val="28"/>
                <w:szCs w:val="28"/>
              </w:rPr>
            </w:pPr>
          </w:p>
        </w:tc>
        <w:tc>
          <w:tcPr>
            <w:tcW w:w="396" w:type="pct"/>
            <w:noWrap w:val="0"/>
            <w:vAlign w:val="top"/>
          </w:tcPr>
          <w:p w14:paraId="54761AAB">
            <w:pPr>
              <w:jc w:val="center"/>
              <w:rPr>
                <w:rFonts w:ascii="宋体" w:hAnsi="宋体"/>
                <w:sz w:val="28"/>
                <w:szCs w:val="28"/>
              </w:rPr>
            </w:pPr>
          </w:p>
        </w:tc>
        <w:tc>
          <w:tcPr>
            <w:tcW w:w="330" w:type="pct"/>
            <w:noWrap w:val="0"/>
            <w:vAlign w:val="top"/>
          </w:tcPr>
          <w:p w14:paraId="0C91A154">
            <w:pPr>
              <w:jc w:val="center"/>
              <w:rPr>
                <w:rFonts w:ascii="宋体" w:hAnsi="宋体"/>
                <w:sz w:val="28"/>
                <w:szCs w:val="28"/>
              </w:rPr>
            </w:pPr>
          </w:p>
        </w:tc>
        <w:tc>
          <w:tcPr>
            <w:tcW w:w="463" w:type="pct"/>
            <w:noWrap w:val="0"/>
            <w:vAlign w:val="top"/>
          </w:tcPr>
          <w:p w14:paraId="00028AAC">
            <w:pPr>
              <w:jc w:val="center"/>
              <w:rPr>
                <w:rFonts w:ascii="宋体" w:hAnsi="宋体"/>
                <w:sz w:val="28"/>
                <w:szCs w:val="28"/>
              </w:rPr>
            </w:pPr>
          </w:p>
        </w:tc>
        <w:tc>
          <w:tcPr>
            <w:tcW w:w="529" w:type="pct"/>
            <w:noWrap w:val="0"/>
            <w:vAlign w:val="top"/>
          </w:tcPr>
          <w:p w14:paraId="29DB0F31">
            <w:pPr>
              <w:jc w:val="center"/>
              <w:rPr>
                <w:rFonts w:ascii="宋体" w:hAnsi="宋体"/>
                <w:sz w:val="28"/>
                <w:szCs w:val="28"/>
              </w:rPr>
            </w:pPr>
          </w:p>
        </w:tc>
        <w:tc>
          <w:tcPr>
            <w:tcW w:w="529" w:type="pct"/>
            <w:noWrap w:val="0"/>
            <w:vAlign w:val="top"/>
          </w:tcPr>
          <w:p w14:paraId="5D680872">
            <w:pPr>
              <w:jc w:val="center"/>
              <w:rPr>
                <w:rFonts w:ascii="宋体" w:hAnsi="宋体"/>
                <w:sz w:val="28"/>
                <w:szCs w:val="28"/>
              </w:rPr>
            </w:pPr>
          </w:p>
        </w:tc>
        <w:tc>
          <w:tcPr>
            <w:tcW w:w="463" w:type="pct"/>
            <w:noWrap w:val="0"/>
            <w:vAlign w:val="top"/>
          </w:tcPr>
          <w:p w14:paraId="1D66415A">
            <w:pPr>
              <w:jc w:val="center"/>
              <w:rPr>
                <w:rFonts w:ascii="宋体" w:hAnsi="宋体"/>
                <w:sz w:val="28"/>
                <w:szCs w:val="28"/>
              </w:rPr>
            </w:pPr>
          </w:p>
        </w:tc>
        <w:tc>
          <w:tcPr>
            <w:tcW w:w="595" w:type="pct"/>
            <w:noWrap w:val="0"/>
            <w:vAlign w:val="top"/>
          </w:tcPr>
          <w:p w14:paraId="1981AF81">
            <w:pPr>
              <w:jc w:val="center"/>
              <w:rPr>
                <w:rFonts w:ascii="宋体" w:hAnsi="宋体"/>
                <w:sz w:val="28"/>
                <w:szCs w:val="28"/>
              </w:rPr>
            </w:pPr>
          </w:p>
        </w:tc>
      </w:tr>
      <w:tr w14:paraId="59A2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181F1392">
            <w:pPr>
              <w:jc w:val="center"/>
              <w:rPr>
                <w:rFonts w:ascii="宋体" w:hAnsi="宋体"/>
                <w:sz w:val="28"/>
                <w:szCs w:val="28"/>
              </w:rPr>
            </w:pPr>
          </w:p>
        </w:tc>
        <w:tc>
          <w:tcPr>
            <w:tcW w:w="727" w:type="pct"/>
            <w:noWrap w:val="0"/>
            <w:vAlign w:val="top"/>
          </w:tcPr>
          <w:p w14:paraId="526BAF6C">
            <w:pPr>
              <w:jc w:val="center"/>
              <w:rPr>
                <w:rFonts w:ascii="宋体" w:hAnsi="宋体"/>
                <w:sz w:val="28"/>
                <w:szCs w:val="28"/>
              </w:rPr>
            </w:pPr>
          </w:p>
        </w:tc>
        <w:tc>
          <w:tcPr>
            <w:tcW w:w="661" w:type="pct"/>
            <w:noWrap w:val="0"/>
            <w:vAlign w:val="top"/>
          </w:tcPr>
          <w:p w14:paraId="0E8D1331">
            <w:pPr>
              <w:jc w:val="center"/>
              <w:rPr>
                <w:rFonts w:ascii="宋体" w:hAnsi="宋体"/>
                <w:sz w:val="28"/>
                <w:szCs w:val="28"/>
              </w:rPr>
            </w:pPr>
          </w:p>
        </w:tc>
        <w:tc>
          <w:tcPr>
            <w:tcW w:w="396" w:type="pct"/>
            <w:noWrap w:val="0"/>
            <w:vAlign w:val="top"/>
          </w:tcPr>
          <w:p w14:paraId="21513E43">
            <w:pPr>
              <w:jc w:val="center"/>
              <w:rPr>
                <w:rFonts w:ascii="宋体" w:hAnsi="宋体"/>
                <w:sz w:val="28"/>
                <w:szCs w:val="28"/>
              </w:rPr>
            </w:pPr>
          </w:p>
        </w:tc>
        <w:tc>
          <w:tcPr>
            <w:tcW w:w="330" w:type="pct"/>
            <w:noWrap w:val="0"/>
            <w:vAlign w:val="top"/>
          </w:tcPr>
          <w:p w14:paraId="0F57BBD6">
            <w:pPr>
              <w:jc w:val="center"/>
              <w:rPr>
                <w:rFonts w:ascii="宋体" w:hAnsi="宋体"/>
                <w:sz w:val="28"/>
                <w:szCs w:val="28"/>
              </w:rPr>
            </w:pPr>
          </w:p>
        </w:tc>
        <w:tc>
          <w:tcPr>
            <w:tcW w:w="463" w:type="pct"/>
            <w:noWrap w:val="0"/>
            <w:vAlign w:val="top"/>
          </w:tcPr>
          <w:p w14:paraId="68BE9AD2">
            <w:pPr>
              <w:jc w:val="center"/>
              <w:rPr>
                <w:rFonts w:ascii="宋体" w:hAnsi="宋体"/>
                <w:sz w:val="28"/>
                <w:szCs w:val="28"/>
              </w:rPr>
            </w:pPr>
          </w:p>
        </w:tc>
        <w:tc>
          <w:tcPr>
            <w:tcW w:w="529" w:type="pct"/>
            <w:noWrap w:val="0"/>
            <w:vAlign w:val="top"/>
          </w:tcPr>
          <w:p w14:paraId="09D05881">
            <w:pPr>
              <w:jc w:val="center"/>
              <w:rPr>
                <w:rFonts w:ascii="宋体" w:hAnsi="宋体"/>
                <w:sz w:val="28"/>
                <w:szCs w:val="28"/>
              </w:rPr>
            </w:pPr>
          </w:p>
        </w:tc>
        <w:tc>
          <w:tcPr>
            <w:tcW w:w="529" w:type="pct"/>
            <w:noWrap w:val="0"/>
            <w:vAlign w:val="top"/>
          </w:tcPr>
          <w:p w14:paraId="17469F9A">
            <w:pPr>
              <w:jc w:val="center"/>
              <w:rPr>
                <w:rFonts w:ascii="宋体" w:hAnsi="宋体"/>
                <w:sz w:val="28"/>
                <w:szCs w:val="28"/>
              </w:rPr>
            </w:pPr>
          </w:p>
        </w:tc>
        <w:tc>
          <w:tcPr>
            <w:tcW w:w="463" w:type="pct"/>
            <w:noWrap w:val="0"/>
            <w:vAlign w:val="top"/>
          </w:tcPr>
          <w:p w14:paraId="2A6B7190">
            <w:pPr>
              <w:jc w:val="center"/>
              <w:rPr>
                <w:rFonts w:ascii="宋体" w:hAnsi="宋体"/>
                <w:sz w:val="28"/>
                <w:szCs w:val="28"/>
              </w:rPr>
            </w:pPr>
          </w:p>
        </w:tc>
        <w:tc>
          <w:tcPr>
            <w:tcW w:w="595" w:type="pct"/>
            <w:noWrap w:val="0"/>
            <w:vAlign w:val="top"/>
          </w:tcPr>
          <w:p w14:paraId="7C024273">
            <w:pPr>
              <w:jc w:val="center"/>
              <w:rPr>
                <w:rFonts w:ascii="宋体" w:hAnsi="宋体"/>
                <w:sz w:val="28"/>
                <w:szCs w:val="28"/>
              </w:rPr>
            </w:pPr>
          </w:p>
        </w:tc>
      </w:tr>
      <w:tr w14:paraId="5E68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2A632C1C">
            <w:pPr>
              <w:jc w:val="center"/>
              <w:rPr>
                <w:rFonts w:ascii="宋体" w:hAnsi="宋体"/>
                <w:sz w:val="28"/>
                <w:szCs w:val="28"/>
              </w:rPr>
            </w:pPr>
          </w:p>
        </w:tc>
        <w:tc>
          <w:tcPr>
            <w:tcW w:w="727" w:type="pct"/>
            <w:noWrap w:val="0"/>
            <w:vAlign w:val="top"/>
          </w:tcPr>
          <w:p w14:paraId="104521AA">
            <w:pPr>
              <w:jc w:val="center"/>
              <w:rPr>
                <w:rFonts w:ascii="宋体" w:hAnsi="宋体"/>
                <w:sz w:val="28"/>
                <w:szCs w:val="28"/>
              </w:rPr>
            </w:pPr>
          </w:p>
        </w:tc>
        <w:tc>
          <w:tcPr>
            <w:tcW w:w="661" w:type="pct"/>
            <w:noWrap w:val="0"/>
            <w:vAlign w:val="top"/>
          </w:tcPr>
          <w:p w14:paraId="6110D973">
            <w:pPr>
              <w:jc w:val="center"/>
              <w:rPr>
                <w:rFonts w:ascii="宋体" w:hAnsi="宋体"/>
                <w:sz w:val="28"/>
                <w:szCs w:val="28"/>
              </w:rPr>
            </w:pPr>
          </w:p>
        </w:tc>
        <w:tc>
          <w:tcPr>
            <w:tcW w:w="396" w:type="pct"/>
            <w:noWrap w:val="0"/>
            <w:vAlign w:val="top"/>
          </w:tcPr>
          <w:p w14:paraId="756947A7">
            <w:pPr>
              <w:jc w:val="center"/>
              <w:rPr>
                <w:rFonts w:ascii="宋体" w:hAnsi="宋体"/>
                <w:sz w:val="28"/>
                <w:szCs w:val="28"/>
              </w:rPr>
            </w:pPr>
          </w:p>
        </w:tc>
        <w:tc>
          <w:tcPr>
            <w:tcW w:w="330" w:type="pct"/>
            <w:noWrap w:val="0"/>
            <w:vAlign w:val="top"/>
          </w:tcPr>
          <w:p w14:paraId="639BB01E">
            <w:pPr>
              <w:jc w:val="center"/>
              <w:rPr>
                <w:rFonts w:ascii="宋体" w:hAnsi="宋体"/>
                <w:sz w:val="28"/>
                <w:szCs w:val="28"/>
              </w:rPr>
            </w:pPr>
          </w:p>
        </w:tc>
        <w:tc>
          <w:tcPr>
            <w:tcW w:w="463" w:type="pct"/>
            <w:noWrap w:val="0"/>
            <w:vAlign w:val="top"/>
          </w:tcPr>
          <w:p w14:paraId="4DFAE161">
            <w:pPr>
              <w:jc w:val="center"/>
              <w:rPr>
                <w:rFonts w:ascii="宋体" w:hAnsi="宋体"/>
                <w:sz w:val="28"/>
                <w:szCs w:val="28"/>
              </w:rPr>
            </w:pPr>
          </w:p>
        </w:tc>
        <w:tc>
          <w:tcPr>
            <w:tcW w:w="529" w:type="pct"/>
            <w:noWrap w:val="0"/>
            <w:vAlign w:val="top"/>
          </w:tcPr>
          <w:p w14:paraId="1D1418D1">
            <w:pPr>
              <w:jc w:val="center"/>
              <w:rPr>
                <w:rFonts w:ascii="宋体" w:hAnsi="宋体"/>
                <w:sz w:val="28"/>
                <w:szCs w:val="28"/>
              </w:rPr>
            </w:pPr>
          </w:p>
        </w:tc>
        <w:tc>
          <w:tcPr>
            <w:tcW w:w="529" w:type="pct"/>
            <w:noWrap w:val="0"/>
            <w:vAlign w:val="top"/>
          </w:tcPr>
          <w:p w14:paraId="47A8461D">
            <w:pPr>
              <w:jc w:val="center"/>
              <w:rPr>
                <w:rFonts w:ascii="宋体" w:hAnsi="宋体"/>
                <w:sz w:val="28"/>
                <w:szCs w:val="28"/>
              </w:rPr>
            </w:pPr>
          </w:p>
        </w:tc>
        <w:tc>
          <w:tcPr>
            <w:tcW w:w="463" w:type="pct"/>
            <w:noWrap w:val="0"/>
            <w:vAlign w:val="top"/>
          </w:tcPr>
          <w:p w14:paraId="1994C4AD">
            <w:pPr>
              <w:jc w:val="center"/>
              <w:rPr>
                <w:rFonts w:ascii="宋体" w:hAnsi="宋体"/>
                <w:sz w:val="28"/>
                <w:szCs w:val="28"/>
              </w:rPr>
            </w:pPr>
          </w:p>
        </w:tc>
        <w:tc>
          <w:tcPr>
            <w:tcW w:w="595" w:type="pct"/>
            <w:noWrap w:val="0"/>
            <w:vAlign w:val="top"/>
          </w:tcPr>
          <w:p w14:paraId="2A764DF0">
            <w:pPr>
              <w:jc w:val="center"/>
              <w:rPr>
                <w:rFonts w:ascii="宋体" w:hAnsi="宋体"/>
                <w:sz w:val="28"/>
                <w:szCs w:val="28"/>
              </w:rPr>
            </w:pPr>
          </w:p>
        </w:tc>
      </w:tr>
    </w:tbl>
    <w:p w14:paraId="7EF5C55C">
      <w:pPr>
        <w:pStyle w:val="251"/>
        <w:tabs>
          <w:tab w:val="left" w:pos="720"/>
        </w:tabs>
        <w:rPr>
          <w:rFonts w:ascii="宋体" w:hAnsi="宋体"/>
          <w:bCs/>
          <w:sz w:val="28"/>
        </w:rPr>
      </w:pPr>
      <w:r>
        <w:br w:type="page"/>
      </w:r>
      <w:r>
        <w:rPr>
          <w:rFonts w:hint="eastAsia"/>
        </w:rPr>
        <w:t>附件二：甲方提供的材料和工程设备一览表</w:t>
      </w:r>
    </w:p>
    <w:p w14:paraId="1DC1D2F5"/>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351"/>
        <w:gridCol w:w="1228"/>
        <w:gridCol w:w="736"/>
        <w:gridCol w:w="613"/>
        <w:gridCol w:w="860"/>
        <w:gridCol w:w="983"/>
        <w:gridCol w:w="983"/>
        <w:gridCol w:w="860"/>
        <w:gridCol w:w="1107"/>
      </w:tblGrid>
      <w:tr w14:paraId="1828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302" w:type="pct"/>
            <w:noWrap w:val="0"/>
            <w:vAlign w:val="center"/>
          </w:tcPr>
          <w:p w14:paraId="79827E7D">
            <w:pPr>
              <w:jc w:val="center"/>
              <w:rPr>
                <w:rFonts w:ascii="宋体" w:hAnsi="宋体"/>
              </w:rPr>
            </w:pPr>
            <w:r>
              <w:rPr>
                <w:rFonts w:hint="eastAsia" w:ascii="宋体" w:hAnsi="宋体"/>
              </w:rPr>
              <w:t>序</w:t>
            </w:r>
          </w:p>
          <w:p w14:paraId="3925D7BD">
            <w:pPr>
              <w:jc w:val="center"/>
              <w:rPr>
                <w:rFonts w:ascii="宋体" w:hAnsi="宋体"/>
              </w:rPr>
            </w:pPr>
            <w:r>
              <w:rPr>
                <w:rFonts w:hint="eastAsia" w:ascii="宋体" w:hAnsi="宋体"/>
              </w:rPr>
              <w:t>号</w:t>
            </w:r>
          </w:p>
        </w:tc>
        <w:tc>
          <w:tcPr>
            <w:tcW w:w="727" w:type="pct"/>
            <w:noWrap w:val="0"/>
            <w:vAlign w:val="center"/>
          </w:tcPr>
          <w:p w14:paraId="3F230D31">
            <w:pPr>
              <w:jc w:val="center"/>
              <w:rPr>
                <w:rFonts w:ascii="宋体" w:hAnsi="宋体"/>
              </w:rPr>
            </w:pPr>
            <w:r>
              <w:rPr>
                <w:rFonts w:hint="eastAsia" w:ascii="宋体" w:hAnsi="宋体"/>
              </w:rPr>
              <w:t>材料设备</w:t>
            </w:r>
          </w:p>
          <w:p w14:paraId="2994C924">
            <w:pPr>
              <w:jc w:val="center"/>
              <w:rPr>
                <w:rFonts w:ascii="宋体" w:hAnsi="宋体"/>
              </w:rPr>
            </w:pPr>
            <w:r>
              <w:rPr>
                <w:rFonts w:hint="eastAsia" w:ascii="宋体" w:hAnsi="宋体"/>
              </w:rPr>
              <w:t>名    称</w:t>
            </w:r>
          </w:p>
        </w:tc>
        <w:tc>
          <w:tcPr>
            <w:tcW w:w="661" w:type="pct"/>
            <w:noWrap w:val="0"/>
            <w:vAlign w:val="center"/>
          </w:tcPr>
          <w:p w14:paraId="5EE46ADA">
            <w:pPr>
              <w:jc w:val="center"/>
              <w:rPr>
                <w:rFonts w:ascii="宋体" w:hAnsi="宋体"/>
              </w:rPr>
            </w:pPr>
            <w:r>
              <w:rPr>
                <w:rFonts w:hint="eastAsia" w:ascii="宋体" w:hAnsi="宋体"/>
              </w:rPr>
              <w:t>规格</w:t>
            </w:r>
          </w:p>
          <w:p w14:paraId="0F2A1D77">
            <w:pPr>
              <w:jc w:val="center"/>
              <w:rPr>
                <w:rFonts w:ascii="宋体" w:hAnsi="宋体"/>
              </w:rPr>
            </w:pPr>
            <w:r>
              <w:rPr>
                <w:rFonts w:hint="eastAsia" w:ascii="宋体" w:hAnsi="宋体"/>
              </w:rPr>
              <w:t>型号</w:t>
            </w:r>
          </w:p>
        </w:tc>
        <w:tc>
          <w:tcPr>
            <w:tcW w:w="396" w:type="pct"/>
            <w:noWrap w:val="0"/>
            <w:vAlign w:val="center"/>
          </w:tcPr>
          <w:p w14:paraId="4F61FB4D">
            <w:pPr>
              <w:jc w:val="center"/>
              <w:rPr>
                <w:rFonts w:ascii="宋体" w:hAnsi="宋体"/>
              </w:rPr>
            </w:pPr>
            <w:r>
              <w:rPr>
                <w:rFonts w:hint="eastAsia" w:ascii="宋体" w:hAnsi="宋体"/>
              </w:rPr>
              <w:t>单</w:t>
            </w:r>
          </w:p>
          <w:p w14:paraId="38DA27B8">
            <w:pPr>
              <w:jc w:val="center"/>
              <w:rPr>
                <w:rFonts w:ascii="宋体" w:hAnsi="宋体"/>
              </w:rPr>
            </w:pPr>
            <w:r>
              <w:rPr>
                <w:rFonts w:hint="eastAsia" w:ascii="宋体" w:hAnsi="宋体"/>
              </w:rPr>
              <w:t>位</w:t>
            </w:r>
          </w:p>
        </w:tc>
        <w:tc>
          <w:tcPr>
            <w:tcW w:w="330" w:type="pct"/>
            <w:noWrap w:val="0"/>
            <w:vAlign w:val="center"/>
          </w:tcPr>
          <w:p w14:paraId="21594AF5">
            <w:pPr>
              <w:jc w:val="center"/>
              <w:rPr>
                <w:rFonts w:ascii="宋体" w:hAnsi="宋体"/>
              </w:rPr>
            </w:pPr>
            <w:r>
              <w:rPr>
                <w:rFonts w:hint="eastAsia" w:ascii="宋体" w:hAnsi="宋体"/>
              </w:rPr>
              <w:t>数</w:t>
            </w:r>
          </w:p>
          <w:p w14:paraId="1FAD10F1">
            <w:pPr>
              <w:jc w:val="center"/>
              <w:rPr>
                <w:rFonts w:ascii="宋体" w:hAnsi="宋体"/>
              </w:rPr>
            </w:pPr>
            <w:r>
              <w:rPr>
                <w:rFonts w:hint="eastAsia" w:ascii="宋体" w:hAnsi="宋体"/>
              </w:rPr>
              <w:t>量</w:t>
            </w:r>
          </w:p>
        </w:tc>
        <w:tc>
          <w:tcPr>
            <w:tcW w:w="463" w:type="pct"/>
            <w:noWrap w:val="0"/>
            <w:vAlign w:val="center"/>
          </w:tcPr>
          <w:p w14:paraId="5F4836EC">
            <w:pPr>
              <w:jc w:val="center"/>
              <w:rPr>
                <w:rFonts w:ascii="宋体" w:hAnsi="宋体"/>
              </w:rPr>
            </w:pPr>
            <w:r>
              <w:rPr>
                <w:rFonts w:hint="eastAsia" w:ascii="宋体" w:hAnsi="宋体"/>
              </w:rPr>
              <w:t>单</w:t>
            </w:r>
          </w:p>
          <w:p w14:paraId="4FADF40B">
            <w:pPr>
              <w:jc w:val="center"/>
              <w:rPr>
                <w:rFonts w:ascii="宋体" w:hAnsi="宋体"/>
              </w:rPr>
            </w:pPr>
            <w:r>
              <w:rPr>
                <w:rFonts w:hint="eastAsia" w:ascii="宋体" w:hAnsi="宋体"/>
              </w:rPr>
              <w:t>价</w:t>
            </w:r>
          </w:p>
        </w:tc>
        <w:tc>
          <w:tcPr>
            <w:tcW w:w="529" w:type="pct"/>
            <w:noWrap w:val="0"/>
            <w:vAlign w:val="center"/>
          </w:tcPr>
          <w:p w14:paraId="3FEACDC5">
            <w:pPr>
              <w:jc w:val="center"/>
              <w:rPr>
                <w:rFonts w:ascii="宋体" w:hAnsi="宋体"/>
              </w:rPr>
            </w:pPr>
            <w:r>
              <w:rPr>
                <w:rFonts w:hint="eastAsia" w:ascii="宋体" w:hAnsi="宋体"/>
              </w:rPr>
              <w:t>交货</w:t>
            </w:r>
          </w:p>
          <w:p w14:paraId="1D940DA3">
            <w:pPr>
              <w:jc w:val="center"/>
              <w:rPr>
                <w:rFonts w:ascii="宋体" w:hAnsi="宋体"/>
              </w:rPr>
            </w:pPr>
            <w:r>
              <w:rPr>
                <w:rFonts w:hint="eastAsia" w:ascii="宋体" w:hAnsi="宋体"/>
              </w:rPr>
              <w:t>方式</w:t>
            </w:r>
          </w:p>
        </w:tc>
        <w:tc>
          <w:tcPr>
            <w:tcW w:w="529" w:type="pct"/>
            <w:noWrap w:val="0"/>
            <w:vAlign w:val="center"/>
          </w:tcPr>
          <w:p w14:paraId="150F70E5">
            <w:pPr>
              <w:jc w:val="center"/>
              <w:rPr>
                <w:rFonts w:ascii="宋体" w:hAnsi="宋体"/>
              </w:rPr>
            </w:pPr>
            <w:r>
              <w:rPr>
                <w:rFonts w:hint="eastAsia" w:ascii="宋体" w:hAnsi="宋体"/>
              </w:rPr>
              <w:t>交货</w:t>
            </w:r>
          </w:p>
          <w:p w14:paraId="3E86ACE6">
            <w:pPr>
              <w:jc w:val="center"/>
              <w:rPr>
                <w:rFonts w:ascii="宋体" w:hAnsi="宋体"/>
              </w:rPr>
            </w:pPr>
            <w:r>
              <w:rPr>
                <w:rFonts w:hint="eastAsia" w:ascii="宋体" w:hAnsi="宋体"/>
              </w:rPr>
              <w:t>地点</w:t>
            </w:r>
          </w:p>
        </w:tc>
        <w:tc>
          <w:tcPr>
            <w:tcW w:w="463" w:type="pct"/>
            <w:noWrap w:val="0"/>
            <w:vAlign w:val="center"/>
          </w:tcPr>
          <w:p w14:paraId="246956EA">
            <w:pPr>
              <w:jc w:val="center"/>
              <w:rPr>
                <w:rFonts w:ascii="宋体" w:hAnsi="宋体"/>
              </w:rPr>
            </w:pPr>
            <w:r>
              <w:rPr>
                <w:rFonts w:hint="eastAsia" w:ascii="宋体" w:hAnsi="宋体"/>
              </w:rPr>
              <w:t>计划交货</w:t>
            </w:r>
          </w:p>
          <w:p w14:paraId="3B340D6F">
            <w:pPr>
              <w:jc w:val="center"/>
              <w:rPr>
                <w:rFonts w:ascii="宋体" w:hAnsi="宋体"/>
              </w:rPr>
            </w:pPr>
            <w:r>
              <w:rPr>
                <w:rFonts w:hint="eastAsia" w:ascii="宋体" w:hAnsi="宋体"/>
              </w:rPr>
              <w:t>时间</w:t>
            </w:r>
          </w:p>
        </w:tc>
        <w:tc>
          <w:tcPr>
            <w:tcW w:w="595" w:type="pct"/>
            <w:noWrap w:val="0"/>
            <w:vAlign w:val="center"/>
          </w:tcPr>
          <w:p w14:paraId="59CE07A9">
            <w:pPr>
              <w:jc w:val="center"/>
              <w:rPr>
                <w:rFonts w:ascii="宋体" w:hAnsi="宋体"/>
              </w:rPr>
            </w:pPr>
            <w:r>
              <w:rPr>
                <w:rFonts w:hint="eastAsia" w:ascii="宋体" w:hAnsi="宋体"/>
              </w:rPr>
              <w:t>备注</w:t>
            </w:r>
          </w:p>
        </w:tc>
      </w:tr>
      <w:tr w14:paraId="009D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2BEFD7F1">
            <w:pPr>
              <w:jc w:val="center"/>
              <w:rPr>
                <w:rFonts w:ascii="宋体" w:hAnsi="宋体"/>
                <w:sz w:val="28"/>
                <w:szCs w:val="28"/>
              </w:rPr>
            </w:pPr>
          </w:p>
        </w:tc>
        <w:tc>
          <w:tcPr>
            <w:tcW w:w="727" w:type="pct"/>
            <w:noWrap w:val="0"/>
            <w:vAlign w:val="top"/>
          </w:tcPr>
          <w:p w14:paraId="4DC33B18">
            <w:pPr>
              <w:jc w:val="center"/>
              <w:rPr>
                <w:rFonts w:ascii="宋体" w:hAnsi="宋体"/>
                <w:sz w:val="28"/>
                <w:szCs w:val="28"/>
              </w:rPr>
            </w:pPr>
          </w:p>
        </w:tc>
        <w:tc>
          <w:tcPr>
            <w:tcW w:w="661" w:type="pct"/>
            <w:noWrap w:val="0"/>
            <w:vAlign w:val="top"/>
          </w:tcPr>
          <w:p w14:paraId="2B2B7B6D">
            <w:pPr>
              <w:jc w:val="center"/>
              <w:rPr>
                <w:rFonts w:ascii="宋体" w:hAnsi="宋体"/>
                <w:sz w:val="28"/>
                <w:szCs w:val="28"/>
              </w:rPr>
            </w:pPr>
          </w:p>
        </w:tc>
        <w:tc>
          <w:tcPr>
            <w:tcW w:w="396" w:type="pct"/>
            <w:noWrap w:val="0"/>
            <w:vAlign w:val="top"/>
          </w:tcPr>
          <w:p w14:paraId="34CB21F8">
            <w:pPr>
              <w:jc w:val="center"/>
              <w:rPr>
                <w:rFonts w:ascii="宋体" w:hAnsi="宋体"/>
                <w:sz w:val="28"/>
                <w:szCs w:val="28"/>
              </w:rPr>
            </w:pPr>
          </w:p>
        </w:tc>
        <w:tc>
          <w:tcPr>
            <w:tcW w:w="330" w:type="pct"/>
            <w:noWrap w:val="0"/>
            <w:vAlign w:val="top"/>
          </w:tcPr>
          <w:p w14:paraId="70BF3569">
            <w:pPr>
              <w:jc w:val="center"/>
              <w:rPr>
                <w:rFonts w:ascii="宋体" w:hAnsi="宋体"/>
                <w:sz w:val="28"/>
                <w:szCs w:val="28"/>
              </w:rPr>
            </w:pPr>
          </w:p>
        </w:tc>
        <w:tc>
          <w:tcPr>
            <w:tcW w:w="463" w:type="pct"/>
            <w:noWrap w:val="0"/>
            <w:vAlign w:val="top"/>
          </w:tcPr>
          <w:p w14:paraId="6B77F389">
            <w:pPr>
              <w:jc w:val="center"/>
              <w:rPr>
                <w:rFonts w:ascii="宋体" w:hAnsi="宋体"/>
                <w:sz w:val="28"/>
                <w:szCs w:val="28"/>
              </w:rPr>
            </w:pPr>
          </w:p>
        </w:tc>
        <w:tc>
          <w:tcPr>
            <w:tcW w:w="529" w:type="pct"/>
            <w:noWrap w:val="0"/>
            <w:vAlign w:val="top"/>
          </w:tcPr>
          <w:p w14:paraId="5AAD502D">
            <w:pPr>
              <w:jc w:val="center"/>
              <w:rPr>
                <w:rFonts w:ascii="宋体" w:hAnsi="宋体"/>
                <w:sz w:val="28"/>
                <w:szCs w:val="28"/>
              </w:rPr>
            </w:pPr>
          </w:p>
        </w:tc>
        <w:tc>
          <w:tcPr>
            <w:tcW w:w="529" w:type="pct"/>
            <w:noWrap w:val="0"/>
            <w:vAlign w:val="top"/>
          </w:tcPr>
          <w:p w14:paraId="20F5FE9F">
            <w:pPr>
              <w:jc w:val="center"/>
              <w:rPr>
                <w:rFonts w:ascii="宋体" w:hAnsi="宋体"/>
                <w:sz w:val="28"/>
                <w:szCs w:val="28"/>
              </w:rPr>
            </w:pPr>
          </w:p>
        </w:tc>
        <w:tc>
          <w:tcPr>
            <w:tcW w:w="463" w:type="pct"/>
            <w:noWrap w:val="0"/>
            <w:vAlign w:val="top"/>
          </w:tcPr>
          <w:p w14:paraId="2CF10BE5">
            <w:pPr>
              <w:jc w:val="center"/>
              <w:rPr>
                <w:rFonts w:ascii="宋体" w:hAnsi="宋体"/>
                <w:sz w:val="28"/>
                <w:szCs w:val="28"/>
              </w:rPr>
            </w:pPr>
          </w:p>
        </w:tc>
        <w:tc>
          <w:tcPr>
            <w:tcW w:w="595" w:type="pct"/>
            <w:noWrap w:val="0"/>
            <w:vAlign w:val="top"/>
          </w:tcPr>
          <w:p w14:paraId="53ADE7EC">
            <w:pPr>
              <w:jc w:val="center"/>
              <w:rPr>
                <w:rFonts w:ascii="宋体" w:hAnsi="宋体"/>
                <w:sz w:val="28"/>
                <w:szCs w:val="28"/>
              </w:rPr>
            </w:pPr>
          </w:p>
        </w:tc>
      </w:tr>
      <w:tr w14:paraId="6CC4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6E488D64">
            <w:pPr>
              <w:jc w:val="center"/>
              <w:rPr>
                <w:rFonts w:ascii="宋体" w:hAnsi="宋体"/>
                <w:sz w:val="28"/>
                <w:szCs w:val="28"/>
              </w:rPr>
            </w:pPr>
          </w:p>
        </w:tc>
        <w:tc>
          <w:tcPr>
            <w:tcW w:w="727" w:type="pct"/>
            <w:noWrap w:val="0"/>
            <w:vAlign w:val="top"/>
          </w:tcPr>
          <w:p w14:paraId="0DBF8420">
            <w:pPr>
              <w:jc w:val="center"/>
              <w:rPr>
                <w:rFonts w:ascii="宋体" w:hAnsi="宋体"/>
                <w:sz w:val="28"/>
                <w:szCs w:val="28"/>
              </w:rPr>
            </w:pPr>
          </w:p>
        </w:tc>
        <w:tc>
          <w:tcPr>
            <w:tcW w:w="661" w:type="pct"/>
            <w:noWrap w:val="0"/>
            <w:vAlign w:val="top"/>
          </w:tcPr>
          <w:p w14:paraId="7A5099B6">
            <w:pPr>
              <w:jc w:val="center"/>
              <w:rPr>
                <w:rFonts w:ascii="宋体" w:hAnsi="宋体"/>
                <w:sz w:val="28"/>
                <w:szCs w:val="28"/>
              </w:rPr>
            </w:pPr>
          </w:p>
        </w:tc>
        <w:tc>
          <w:tcPr>
            <w:tcW w:w="396" w:type="pct"/>
            <w:noWrap w:val="0"/>
            <w:vAlign w:val="top"/>
          </w:tcPr>
          <w:p w14:paraId="680AD7D5">
            <w:pPr>
              <w:jc w:val="center"/>
              <w:rPr>
                <w:rFonts w:ascii="宋体" w:hAnsi="宋体"/>
                <w:sz w:val="28"/>
                <w:szCs w:val="28"/>
              </w:rPr>
            </w:pPr>
          </w:p>
        </w:tc>
        <w:tc>
          <w:tcPr>
            <w:tcW w:w="330" w:type="pct"/>
            <w:noWrap w:val="0"/>
            <w:vAlign w:val="top"/>
          </w:tcPr>
          <w:p w14:paraId="57407C43">
            <w:pPr>
              <w:jc w:val="center"/>
              <w:rPr>
                <w:rFonts w:ascii="宋体" w:hAnsi="宋体"/>
                <w:sz w:val="28"/>
                <w:szCs w:val="28"/>
              </w:rPr>
            </w:pPr>
          </w:p>
        </w:tc>
        <w:tc>
          <w:tcPr>
            <w:tcW w:w="463" w:type="pct"/>
            <w:noWrap w:val="0"/>
            <w:vAlign w:val="top"/>
          </w:tcPr>
          <w:p w14:paraId="49FC227A">
            <w:pPr>
              <w:jc w:val="center"/>
              <w:rPr>
                <w:rFonts w:ascii="宋体" w:hAnsi="宋体"/>
                <w:sz w:val="28"/>
                <w:szCs w:val="28"/>
              </w:rPr>
            </w:pPr>
          </w:p>
        </w:tc>
        <w:tc>
          <w:tcPr>
            <w:tcW w:w="529" w:type="pct"/>
            <w:noWrap w:val="0"/>
            <w:vAlign w:val="top"/>
          </w:tcPr>
          <w:p w14:paraId="2AA8E58A">
            <w:pPr>
              <w:jc w:val="center"/>
              <w:rPr>
                <w:rFonts w:ascii="宋体" w:hAnsi="宋体"/>
                <w:sz w:val="28"/>
                <w:szCs w:val="28"/>
              </w:rPr>
            </w:pPr>
          </w:p>
        </w:tc>
        <w:tc>
          <w:tcPr>
            <w:tcW w:w="529" w:type="pct"/>
            <w:noWrap w:val="0"/>
            <w:vAlign w:val="top"/>
          </w:tcPr>
          <w:p w14:paraId="2652E417">
            <w:pPr>
              <w:jc w:val="center"/>
              <w:rPr>
                <w:rFonts w:ascii="宋体" w:hAnsi="宋体"/>
                <w:sz w:val="28"/>
                <w:szCs w:val="28"/>
              </w:rPr>
            </w:pPr>
          </w:p>
        </w:tc>
        <w:tc>
          <w:tcPr>
            <w:tcW w:w="463" w:type="pct"/>
            <w:noWrap w:val="0"/>
            <w:vAlign w:val="top"/>
          </w:tcPr>
          <w:p w14:paraId="5C9CBCC7">
            <w:pPr>
              <w:jc w:val="center"/>
              <w:rPr>
                <w:rFonts w:ascii="宋体" w:hAnsi="宋体"/>
                <w:sz w:val="28"/>
                <w:szCs w:val="28"/>
              </w:rPr>
            </w:pPr>
          </w:p>
        </w:tc>
        <w:tc>
          <w:tcPr>
            <w:tcW w:w="595" w:type="pct"/>
            <w:noWrap w:val="0"/>
            <w:vAlign w:val="top"/>
          </w:tcPr>
          <w:p w14:paraId="1F57F160">
            <w:pPr>
              <w:jc w:val="center"/>
              <w:rPr>
                <w:rFonts w:ascii="宋体" w:hAnsi="宋体"/>
                <w:sz w:val="28"/>
                <w:szCs w:val="28"/>
              </w:rPr>
            </w:pPr>
          </w:p>
        </w:tc>
      </w:tr>
      <w:tr w14:paraId="6492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5157EDA9">
            <w:pPr>
              <w:jc w:val="center"/>
              <w:rPr>
                <w:rFonts w:ascii="宋体" w:hAnsi="宋体"/>
                <w:sz w:val="28"/>
                <w:szCs w:val="28"/>
              </w:rPr>
            </w:pPr>
          </w:p>
        </w:tc>
        <w:tc>
          <w:tcPr>
            <w:tcW w:w="727" w:type="pct"/>
            <w:noWrap w:val="0"/>
            <w:vAlign w:val="top"/>
          </w:tcPr>
          <w:p w14:paraId="324F0532">
            <w:pPr>
              <w:jc w:val="center"/>
              <w:rPr>
                <w:rFonts w:ascii="宋体" w:hAnsi="宋体"/>
                <w:sz w:val="28"/>
                <w:szCs w:val="28"/>
              </w:rPr>
            </w:pPr>
          </w:p>
        </w:tc>
        <w:tc>
          <w:tcPr>
            <w:tcW w:w="661" w:type="pct"/>
            <w:noWrap w:val="0"/>
            <w:vAlign w:val="top"/>
          </w:tcPr>
          <w:p w14:paraId="34EB0972">
            <w:pPr>
              <w:jc w:val="center"/>
              <w:rPr>
                <w:rFonts w:ascii="宋体" w:hAnsi="宋体"/>
                <w:sz w:val="28"/>
                <w:szCs w:val="28"/>
              </w:rPr>
            </w:pPr>
          </w:p>
        </w:tc>
        <w:tc>
          <w:tcPr>
            <w:tcW w:w="396" w:type="pct"/>
            <w:noWrap w:val="0"/>
            <w:vAlign w:val="top"/>
          </w:tcPr>
          <w:p w14:paraId="6F6D1B50">
            <w:pPr>
              <w:jc w:val="center"/>
              <w:rPr>
                <w:rFonts w:ascii="宋体" w:hAnsi="宋体"/>
                <w:sz w:val="28"/>
                <w:szCs w:val="28"/>
              </w:rPr>
            </w:pPr>
          </w:p>
        </w:tc>
        <w:tc>
          <w:tcPr>
            <w:tcW w:w="330" w:type="pct"/>
            <w:noWrap w:val="0"/>
            <w:vAlign w:val="top"/>
          </w:tcPr>
          <w:p w14:paraId="26EA24AD">
            <w:pPr>
              <w:jc w:val="center"/>
              <w:rPr>
                <w:rFonts w:ascii="宋体" w:hAnsi="宋体"/>
                <w:sz w:val="28"/>
                <w:szCs w:val="28"/>
              </w:rPr>
            </w:pPr>
          </w:p>
        </w:tc>
        <w:tc>
          <w:tcPr>
            <w:tcW w:w="463" w:type="pct"/>
            <w:noWrap w:val="0"/>
            <w:vAlign w:val="top"/>
          </w:tcPr>
          <w:p w14:paraId="496008B0">
            <w:pPr>
              <w:jc w:val="center"/>
              <w:rPr>
                <w:rFonts w:ascii="宋体" w:hAnsi="宋体"/>
                <w:sz w:val="28"/>
                <w:szCs w:val="28"/>
              </w:rPr>
            </w:pPr>
          </w:p>
        </w:tc>
        <w:tc>
          <w:tcPr>
            <w:tcW w:w="529" w:type="pct"/>
            <w:noWrap w:val="0"/>
            <w:vAlign w:val="top"/>
          </w:tcPr>
          <w:p w14:paraId="36C5A3D2">
            <w:pPr>
              <w:jc w:val="center"/>
              <w:rPr>
                <w:rFonts w:ascii="宋体" w:hAnsi="宋体"/>
                <w:sz w:val="28"/>
                <w:szCs w:val="28"/>
              </w:rPr>
            </w:pPr>
          </w:p>
        </w:tc>
        <w:tc>
          <w:tcPr>
            <w:tcW w:w="529" w:type="pct"/>
            <w:noWrap w:val="0"/>
            <w:vAlign w:val="top"/>
          </w:tcPr>
          <w:p w14:paraId="27287AB4">
            <w:pPr>
              <w:jc w:val="center"/>
              <w:rPr>
                <w:rFonts w:ascii="宋体" w:hAnsi="宋体"/>
                <w:sz w:val="28"/>
                <w:szCs w:val="28"/>
              </w:rPr>
            </w:pPr>
          </w:p>
        </w:tc>
        <w:tc>
          <w:tcPr>
            <w:tcW w:w="463" w:type="pct"/>
            <w:noWrap w:val="0"/>
            <w:vAlign w:val="top"/>
          </w:tcPr>
          <w:p w14:paraId="5CE07CBC">
            <w:pPr>
              <w:jc w:val="center"/>
              <w:rPr>
                <w:rFonts w:ascii="宋体" w:hAnsi="宋体"/>
                <w:sz w:val="28"/>
                <w:szCs w:val="28"/>
              </w:rPr>
            </w:pPr>
          </w:p>
        </w:tc>
        <w:tc>
          <w:tcPr>
            <w:tcW w:w="595" w:type="pct"/>
            <w:noWrap w:val="0"/>
            <w:vAlign w:val="top"/>
          </w:tcPr>
          <w:p w14:paraId="34E4B6C9">
            <w:pPr>
              <w:jc w:val="center"/>
              <w:rPr>
                <w:rFonts w:ascii="宋体" w:hAnsi="宋体"/>
                <w:sz w:val="28"/>
                <w:szCs w:val="28"/>
              </w:rPr>
            </w:pPr>
          </w:p>
        </w:tc>
      </w:tr>
      <w:tr w14:paraId="4BA6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40ABCACF">
            <w:pPr>
              <w:jc w:val="center"/>
              <w:rPr>
                <w:rFonts w:ascii="宋体" w:hAnsi="宋体"/>
                <w:sz w:val="28"/>
                <w:szCs w:val="28"/>
              </w:rPr>
            </w:pPr>
          </w:p>
        </w:tc>
        <w:tc>
          <w:tcPr>
            <w:tcW w:w="727" w:type="pct"/>
            <w:noWrap w:val="0"/>
            <w:vAlign w:val="top"/>
          </w:tcPr>
          <w:p w14:paraId="3786B214">
            <w:pPr>
              <w:jc w:val="center"/>
              <w:rPr>
                <w:rFonts w:ascii="宋体" w:hAnsi="宋体"/>
                <w:sz w:val="28"/>
                <w:szCs w:val="28"/>
              </w:rPr>
            </w:pPr>
          </w:p>
        </w:tc>
        <w:tc>
          <w:tcPr>
            <w:tcW w:w="661" w:type="pct"/>
            <w:noWrap w:val="0"/>
            <w:vAlign w:val="top"/>
          </w:tcPr>
          <w:p w14:paraId="05B4F489">
            <w:pPr>
              <w:jc w:val="center"/>
              <w:rPr>
                <w:rFonts w:ascii="宋体" w:hAnsi="宋体"/>
                <w:sz w:val="28"/>
                <w:szCs w:val="28"/>
              </w:rPr>
            </w:pPr>
          </w:p>
        </w:tc>
        <w:tc>
          <w:tcPr>
            <w:tcW w:w="396" w:type="pct"/>
            <w:noWrap w:val="0"/>
            <w:vAlign w:val="top"/>
          </w:tcPr>
          <w:p w14:paraId="591744A4">
            <w:pPr>
              <w:jc w:val="center"/>
              <w:rPr>
                <w:rFonts w:ascii="宋体" w:hAnsi="宋体"/>
                <w:sz w:val="28"/>
                <w:szCs w:val="28"/>
              </w:rPr>
            </w:pPr>
          </w:p>
        </w:tc>
        <w:tc>
          <w:tcPr>
            <w:tcW w:w="330" w:type="pct"/>
            <w:noWrap w:val="0"/>
            <w:vAlign w:val="top"/>
          </w:tcPr>
          <w:p w14:paraId="79D120C0">
            <w:pPr>
              <w:jc w:val="center"/>
              <w:rPr>
                <w:rFonts w:ascii="宋体" w:hAnsi="宋体"/>
                <w:sz w:val="28"/>
                <w:szCs w:val="28"/>
              </w:rPr>
            </w:pPr>
          </w:p>
        </w:tc>
        <w:tc>
          <w:tcPr>
            <w:tcW w:w="463" w:type="pct"/>
            <w:noWrap w:val="0"/>
            <w:vAlign w:val="top"/>
          </w:tcPr>
          <w:p w14:paraId="717FD9A1">
            <w:pPr>
              <w:jc w:val="center"/>
              <w:rPr>
                <w:rFonts w:ascii="宋体" w:hAnsi="宋体"/>
                <w:sz w:val="28"/>
                <w:szCs w:val="28"/>
              </w:rPr>
            </w:pPr>
          </w:p>
        </w:tc>
        <w:tc>
          <w:tcPr>
            <w:tcW w:w="529" w:type="pct"/>
            <w:noWrap w:val="0"/>
            <w:vAlign w:val="top"/>
          </w:tcPr>
          <w:p w14:paraId="318B91EB">
            <w:pPr>
              <w:jc w:val="center"/>
              <w:rPr>
                <w:rFonts w:ascii="宋体" w:hAnsi="宋体"/>
                <w:sz w:val="28"/>
                <w:szCs w:val="28"/>
              </w:rPr>
            </w:pPr>
          </w:p>
        </w:tc>
        <w:tc>
          <w:tcPr>
            <w:tcW w:w="529" w:type="pct"/>
            <w:noWrap w:val="0"/>
            <w:vAlign w:val="top"/>
          </w:tcPr>
          <w:p w14:paraId="4E4ECBF6">
            <w:pPr>
              <w:jc w:val="center"/>
              <w:rPr>
                <w:rFonts w:ascii="宋体" w:hAnsi="宋体"/>
                <w:sz w:val="28"/>
                <w:szCs w:val="28"/>
              </w:rPr>
            </w:pPr>
          </w:p>
        </w:tc>
        <w:tc>
          <w:tcPr>
            <w:tcW w:w="463" w:type="pct"/>
            <w:noWrap w:val="0"/>
            <w:vAlign w:val="top"/>
          </w:tcPr>
          <w:p w14:paraId="007B242C">
            <w:pPr>
              <w:jc w:val="center"/>
              <w:rPr>
                <w:rFonts w:ascii="宋体" w:hAnsi="宋体"/>
                <w:sz w:val="28"/>
                <w:szCs w:val="28"/>
              </w:rPr>
            </w:pPr>
          </w:p>
        </w:tc>
        <w:tc>
          <w:tcPr>
            <w:tcW w:w="595" w:type="pct"/>
            <w:noWrap w:val="0"/>
            <w:vAlign w:val="top"/>
          </w:tcPr>
          <w:p w14:paraId="573CCD6B">
            <w:pPr>
              <w:jc w:val="center"/>
              <w:rPr>
                <w:rFonts w:ascii="宋体" w:hAnsi="宋体"/>
                <w:sz w:val="28"/>
                <w:szCs w:val="28"/>
              </w:rPr>
            </w:pPr>
          </w:p>
        </w:tc>
      </w:tr>
      <w:tr w14:paraId="4046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2" w:type="pct"/>
            <w:noWrap w:val="0"/>
            <w:vAlign w:val="top"/>
          </w:tcPr>
          <w:p w14:paraId="1C4CCDCE">
            <w:pPr>
              <w:jc w:val="center"/>
              <w:rPr>
                <w:rFonts w:ascii="宋体" w:hAnsi="宋体"/>
                <w:sz w:val="28"/>
                <w:szCs w:val="28"/>
              </w:rPr>
            </w:pPr>
          </w:p>
        </w:tc>
        <w:tc>
          <w:tcPr>
            <w:tcW w:w="727" w:type="pct"/>
            <w:noWrap w:val="0"/>
            <w:vAlign w:val="top"/>
          </w:tcPr>
          <w:p w14:paraId="3E71FC33">
            <w:pPr>
              <w:jc w:val="center"/>
              <w:rPr>
                <w:rFonts w:ascii="宋体" w:hAnsi="宋体"/>
                <w:sz w:val="28"/>
                <w:szCs w:val="28"/>
              </w:rPr>
            </w:pPr>
          </w:p>
        </w:tc>
        <w:tc>
          <w:tcPr>
            <w:tcW w:w="661" w:type="pct"/>
            <w:noWrap w:val="0"/>
            <w:vAlign w:val="top"/>
          </w:tcPr>
          <w:p w14:paraId="10CA94CB">
            <w:pPr>
              <w:jc w:val="center"/>
              <w:rPr>
                <w:rFonts w:ascii="宋体" w:hAnsi="宋体"/>
                <w:sz w:val="28"/>
                <w:szCs w:val="28"/>
              </w:rPr>
            </w:pPr>
          </w:p>
        </w:tc>
        <w:tc>
          <w:tcPr>
            <w:tcW w:w="396" w:type="pct"/>
            <w:noWrap w:val="0"/>
            <w:vAlign w:val="top"/>
          </w:tcPr>
          <w:p w14:paraId="7F4C3347">
            <w:pPr>
              <w:jc w:val="center"/>
              <w:rPr>
                <w:rFonts w:ascii="宋体" w:hAnsi="宋体"/>
                <w:sz w:val="28"/>
                <w:szCs w:val="28"/>
              </w:rPr>
            </w:pPr>
          </w:p>
        </w:tc>
        <w:tc>
          <w:tcPr>
            <w:tcW w:w="330" w:type="pct"/>
            <w:noWrap w:val="0"/>
            <w:vAlign w:val="top"/>
          </w:tcPr>
          <w:p w14:paraId="2E98CC0A">
            <w:pPr>
              <w:jc w:val="center"/>
              <w:rPr>
                <w:rFonts w:ascii="宋体" w:hAnsi="宋体"/>
                <w:sz w:val="28"/>
                <w:szCs w:val="28"/>
              </w:rPr>
            </w:pPr>
          </w:p>
        </w:tc>
        <w:tc>
          <w:tcPr>
            <w:tcW w:w="463" w:type="pct"/>
            <w:noWrap w:val="0"/>
            <w:vAlign w:val="top"/>
          </w:tcPr>
          <w:p w14:paraId="605434B1">
            <w:pPr>
              <w:jc w:val="center"/>
              <w:rPr>
                <w:rFonts w:ascii="宋体" w:hAnsi="宋体"/>
                <w:sz w:val="28"/>
                <w:szCs w:val="28"/>
              </w:rPr>
            </w:pPr>
          </w:p>
        </w:tc>
        <w:tc>
          <w:tcPr>
            <w:tcW w:w="529" w:type="pct"/>
            <w:noWrap w:val="0"/>
            <w:vAlign w:val="top"/>
          </w:tcPr>
          <w:p w14:paraId="0A2DCD6F">
            <w:pPr>
              <w:jc w:val="center"/>
              <w:rPr>
                <w:rFonts w:ascii="宋体" w:hAnsi="宋体"/>
                <w:sz w:val="28"/>
                <w:szCs w:val="28"/>
              </w:rPr>
            </w:pPr>
          </w:p>
        </w:tc>
        <w:tc>
          <w:tcPr>
            <w:tcW w:w="529" w:type="pct"/>
            <w:noWrap w:val="0"/>
            <w:vAlign w:val="top"/>
          </w:tcPr>
          <w:p w14:paraId="37934F53">
            <w:pPr>
              <w:jc w:val="center"/>
              <w:rPr>
                <w:rFonts w:ascii="宋体" w:hAnsi="宋体"/>
                <w:sz w:val="28"/>
                <w:szCs w:val="28"/>
              </w:rPr>
            </w:pPr>
          </w:p>
        </w:tc>
        <w:tc>
          <w:tcPr>
            <w:tcW w:w="463" w:type="pct"/>
            <w:noWrap w:val="0"/>
            <w:vAlign w:val="top"/>
          </w:tcPr>
          <w:p w14:paraId="0CD0656C">
            <w:pPr>
              <w:jc w:val="center"/>
              <w:rPr>
                <w:rFonts w:ascii="宋体" w:hAnsi="宋体"/>
                <w:sz w:val="28"/>
                <w:szCs w:val="28"/>
              </w:rPr>
            </w:pPr>
          </w:p>
        </w:tc>
        <w:tc>
          <w:tcPr>
            <w:tcW w:w="595" w:type="pct"/>
            <w:noWrap w:val="0"/>
            <w:vAlign w:val="top"/>
          </w:tcPr>
          <w:p w14:paraId="20568BB7">
            <w:pPr>
              <w:jc w:val="center"/>
              <w:rPr>
                <w:rFonts w:ascii="宋体" w:hAnsi="宋体"/>
                <w:sz w:val="28"/>
                <w:szCs w:val="28"/>
              </w:rPr>
            </w:pPr>
          </w:p>
        </w:tc>
      </w:tr>
      <w:tr w14:paraId="377E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6FC25674">
            <w:pPr>
              <w:jc w:val="center"/>
              <w:rPr>
                <w:rFonts w:ascii="宋体" w:hAnsi="宋体"/>
                <w:sz w:val="28"/>
                <w:szCs w:val="28"/>
              </w:rPr>
            </w:pPr>
          </w:p>
        </w:tc>
        <w:tc>
          <w:tcPr>
            <w:tcW w:w="727" w:type="pct"/>
            <w:noWrap w:val="0"/>
            <w:vAlign w:val="top"/>
          </w:tcPr>
          <w:p w14:paraId="6C09C841">
            <w:pPr>
              <w:jc w:val="center"/>
              <w:rPr>
                <w:rFonts w:ascii="宋体" w:hAnsi="宋体"/>
                <w:sz w:val="28"/>
                <w:szCs w:val="28"/>
              </w:rPr>
            </w:pPr>
          </w:p>
        </w:tc>
        <w:tc>
          <w:tcPr>
            <w:tcW w:w="661" w:type="pct"/>
            <w:noWrap w:val="0"/>
            <w:vAlign w:val="top"/>
          </w:tcPr>
          <w:p w14:paraId="08032B84">
            <w:pPr>
              <w:jc w:val="center"/>
              <w:rPr>
                <w:rFonts w:ascii="宋体" w:hAnsi="宋体"/>
                <w:sz w:val="28"/>
                <w:szCs w:val="28"/>
              </w:rPr>
            </w:pPr>
          </w:p>
        </w:tc>
        <w:tc>
          <w:tcPr>
            <w:tcW w:w="396" w:type="pct"/>
            <w:noWrap w:val="0"/>
            <w:vAlign w:val="top"/>
          </w:tcPr>
          <w:p w14:paraId="6566FA52">
            <w:pPr>
              <w:jc w:val="center"/>
              <w:rPr>
                <w:rFonts w:ascii="宋体" w:hAnsi="宋体"/>
                <w:sz w:val="28"/>
                <w:szCs w:val="28"/>
              </w:rPr>
            </w:pPr>
          </w:p>
        </w:tc>
        <w:tc>
          <w:tcPr>
            <w:tcW w:w="330" w:type="pct"/>
            <w:noWrap w:val="0"/>
            <w:vAlign w:val="top"/>
          </w:tcPr>
          <w:p w14:paraId="3D4C4E90">
            <w:pPr>
              <w:jc w:val="center"/>
              <w:rPr>
                <w:rFonts w:ascii="宋体" w:hAnsi="宋体"/>
                <w:sz w:val="28"/>
                <w:szCs w:val="28"/>
              </w:rPr>
            </w:pPr>
          </w:p>
        </w:tc>
        <w:tc>
          <w:tcPr>
            <w:tcW w:w="463" w:type="pct"/>
            <w:noWrap w:val="0"/>
            <w:vAlign w:val="top"/>
          </w:tcPr>
          <w:p w14:paraId="137FE9DD">
            <w:pPr>
              <w:jc w:val="center"/>
              <w:rPr>
                <w:rFonts w:ascii="宋体" w:hAnsi="宋体"/>
                <w:sz w:val="28"/>
                <w:szCs w:val="28"/>
              </w:rPr>
            </w:pPr>
          </w:p>
        </w:tc>
        <w:tc>
          <w:tcPr>
            <w:tcW w:w="529" w:type="pct"/>
            <w:noWrap w:val="0"/>
            <w:vAlign w:val="top"/>
          </w:tcPr>
          <w:p w14:paraId="467047EA">
            <w:pPr>
              <w:jc w:val="center"/>
              <w:rPr>
                <w:rFonts w:ascii="宋体" w:hAnsi="宋体"/>
                <w:sz w:val="28"/>
                <w:szCs w:val="28"/>
              </w:rPr>
            </w:pPr>
          </w:p>
        </w:tc>
        <w:tc>
          <w:tcPr>
            <w:tcW w:w="529" w:type="pct"/>
            <w:noWrap w:val="0"/>
            <w:vAlign w:val="top"/>
          </w:tcPr>
          <w:p w14:paraId="775C7797">
            <w:pPr>
              <w:jc w:val="center"/>
              <w:rPr>
                <w:rFonts w:ascii="宋体" w:hAnsi="宋体"/>
                <w:sz w:val="28"/>
                <w:szCs w:val="28"/>
              </w:rPr>
            </w:pPr>
          </w:p>
        </w:tc>
        <w:tc>
          <w:tcPr>
            <w:tcW w:w="463" w:type="pct"/>
            <w:noWrap w:val="0"/>
            <w:vAlign w:val="top"/>
          </w:tcPr>
          <w:p w14:paraId="34C34CD0">
            <w:pPr>
              <w:jc w:val="center"/>
              <w:rPr>
                <w:rFonts w:ascii="宋体" w:hAnsi="宋体"/>
                <w:sz w:val="28"/>
                <w:szCs w:val="28"/>
              </w:rPr>
            </w:pPr>
          </w:p>
        </w:tc>
        <w:tc>
          <w:tcPr>
            <w:tcW w:w="595" w:type="pct"/>
            <w:noWrap w:val="0"/>
            <w:vAlign w:val="top"/>
          </w:tcPr>
          <w:p w14:paraId="1015990C">
            <w:pPr>
              <w:jc w:val="center"/>
              <w:rPr>
                <w:rFonts w:ascii="宋体" w:hAnsi="宋体"/>
                <w:sz w:val="28"/>
                <w:szCs w:val="28"/>
              </w:rPr>
            </w:pPr>
          </w:p>
        </w:tc>
      </w:tr>
      <w:tr w14:paraId="61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7737727F">
            <w:pPr>
              <w:jc w:val="center"/>
              <w:rPr>
                <w:rFonts w:ascii="宋体" w:hAnsi="宋体"/>
                <w:sz w:val="28"/>
                <w:szCs w:val="28"/>
              </w:rPr>
            </w:pPr>
          </w:p>
        </w:tc>
        <w:tc>
          <w:tcPr>
            <w:tcW w:w="727" w:type="pct"/>
            <w:noWrap w:val="0"/>
            <w:vAlign w:val="top"/>
          </w:tcPr>
          <w:p w14:paraId="1E481882">
            <w:pPr>
              <w:jc w:val="center"/>
              <w:rPr>
                <w:rFonts w:ascii="宋体" w:hAnsi="宋体"/>
                <w:sz w:val="28"/>
                <w:szCs w:val="28"/>
              </w:rPr>
            </w:pPr>
          </w:p>
        </w:tc>
        <w:tc>
          <w:tcPr>
            <w:tcW w:w="661" w:type="pct"/>
            <w:noWrap w:val="0"/>
            <w:vAlign w:val="top"/>
          </w:tcPr>
          <w:p w14:paraId="2079CB5F">
            <w:pPr>
              <w:jc w:val="center"/>
              <w:rPr>
                <w:rFonts w:ascii="宋体" w:hAnsi="宋体"/>
                <w:sz w:val="28"/>
                <w:szCs w:val="28"/>
              </w:rPr>
            </w:pPr>
          </w:p>
        </w:tc>
        <w:tc>
          <w:tcPr>
            <w:tcW w:w="396" w:type="pct"/>
            <w:noWrap w:val="0"/>
            <w:vAlign w:val="top"/>
          </w:tcPr>
          <w:p w14:paraId="187B77AF">
            <w:pPr>
              <w:jc w:val="center"/>
              <w:rPr>
                <w:rFonts w:ascii="宋体" w:hAnsi="宋体"/>
                <w:sz w:val="28"/>
                <w:szCs w:val="28"/>
              </w:rPr>
            </w:pPr>
          </w:p>
        </w:tc>
        <w:tc>
          <w:tcPr>
            <w:tcW w:w="330" w:type="pct"/>
            <w:noWrap w:val="0"/>
            <w:vAlign w:val="top"/>
          </w:tcPr>
          <w:p w14:paraId="59C59B09">
            <w:pPr>
              <w:jc w:val="center"/>
              <w:rPr>
                <w:rFonts w:ascii="宋体" w:hAnsi="宋体"/>
                <w:sz w:val="28"/>
                <w:szCs w:val="28"/>
              </w:rPr>
            </w:pPr>
          </w:p>
        </w:tc>
        <w:tc>
          <w:tcPr>
            <w:tcW w:w="463" w:type="pct"/>
            <w:noWrap w:val="0"/>
            <w:vAlign w:val="top"/>
          </w:tcPr>
          <w:p w14:paraId="15A50C49">
            <w:pPr>
              <w:jc w:val="center"/>
              <w:rPr>
                <w:rFonts w:ascii="宋体" w:hAnsi="宋体"/>
                <w:sz w:val="28"/>
                <w:szCs w:val="28"/>
              </w:rPr>
            </w:pPr>
          </w:p>
        </w:tc>
        <w:tc>
          <w:tcPr>
            <w:tcW w:w="529" w:type="pct"/>
            <w:noWrap w:val="0"/>
            <w:vAlign w:val="top"/>
          </w:tcPr>
          <w:p w14:paraId="4BCC653C">
            <w:pPr>
              <w:jc w:val="center"/>
              <w:rPr>
                <w:rFonts w:ascii="宋体" w:hAnsi="宋体"/>
                <w:sz w:val="28"/>
                <w:szCs w:val="28"/>
              </w:rPr>
            </w:pPr>
          </w:p>
        </w:tc>
        <w:tc>
          <w:tcPr>
            <w:tcW w:w="529" w:type="pct"/>
            <w:noWrap w:val="0"/>
            <w:vAlign w:val="top"/>
          </w:tcPr>
          <w:p w14:paraId="1033A60C">
            <w:pPr>
              <w:jc w:val="center"/>
              <w:rPr>
                <w:rFonts w:ascii="宋体" w:hAnsi="宋体"/>
                <w:sz w:val="28"/>
                <w:szCs w:val="28"/>
              </w:rPr>
            </w:pPr>
          </w:p>
        </w:tc>
        <w:tc>
          <w:tcPr>
            <w:tcW w:w="463" w:type="pct"/>
            <w:noWrap w:val="0"/>
            <w:vAlign w:val="top"/>
          </w:tcPr>
          <w:p w14:paraId="373D9023">
            <w:pPr>
              <w:jc w:val="center"/>
              <w:rPr>
                <w:rFonts w:ascii="宋体" w:hAnsi="宋体"/>
                <w:sz w:val="28"/>
                <w:szCs w:val="28"/>
              </w:rPr>
            </w:pPr>
          </w:p>
        </w:tc>
        <w:tc>
          <w:tcPr>
            <w:tcW w:w="595" w:type="pct"/>
            <w:noWrap w:val="0"/>
            <w:vAlign w:val="top"/>
          </w:tcPr>
          <w:p w14:paraId="72B9DEE8">
            <w:pPr>
              <w:jc w:val="center"/>
              <w:rPr>
                <w:rFonts w:ascii="宋体" w:hAnsi="宋体"/>
                <w:sz w:val="28"/>
                <w:szCs w:val="28"/>
              </w:rPr>
            </w:pPr>
          </w:p>
        </w:tc>
      </w:tr>
      <w:tr w14:paraId="45B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5C2867E9">
            <w:pPr>
              <w:jc w:val="center"/>
              <w:rPr>
                <w:rFonts w:ascii="宋体" w:hAnsi="宋体"/>
                <w:sz w:val="28"/>
                <w:szCs w:val="28"/>
              </w:rPr>
            </w:pPr>
          </w:p>
        </w:tc>
        <w:tc>
          <w:tcPr>
            <w:tcW w:w="727" w:type="pct"/>
            <w:noWrap w:val="0"/>
            <w:vAlign w:val="top"/>
          </w:tcPr>
          <w:p w14:paraId="6CC00A37">
            <w:pPr>
              <w:jc w:val="center"/>
              <w:rPr>
                <w:rFonts w:ascii="宋体" w:hAnsi="宋体"/>
                <w:sz w:val="28"/>
                <w:szCs w:val="28"/>
              </w:rPr>
            </w:pPr>
          </w:p>
        </w:tc>
        <w:tc>
          <w:tcPr>
            <w:tcW w:w="661" w:type="pct"/>
            <w:noWrap w:val="0"/>
            <w:vAlign w:val="top"/>
          </w:tcPr>
          <w:p w14:paraId="05EDB6B7">
            <w:pPr>
              <w:jc w:val="center"/>
              <w:rPr>
                <w:rFonts w:ascii="宋体" w:hAnsi="宋体"/>
                <w:sz w:val="28"/>
                <w:szCs w:val="28"/>
              </w:rPr>
            </w:pPr>
          </w:p>
        </w:tc>
        <w:tc>
          <w:tcPr>
            <w:tcW w:w="396" w:type="pct"/>
            <w:noWrap w:val="0"/>
            <w:vAlign w:val="top"/>
          </w:tcPr>
          <w:p w14:paraId="131E8DCE">
            <w:pPr>
              <w:jc w:val="center"/>
              <w:rPr>
                <w:rFonts w:ascii="宋体" w:hAnsi="宋体"/>
                <w:sz w:val="28"/>
                <w:szCs w:val="28"/>
              </w:rPr>
            </w:pPr>
          </w:p>
        </w:tc>
        <w:tc>
          <w:tcPr>
            <w:tcW w:w="330" w:type="pct"/>
            <w:noWrap w:val="0"/>
            <w:vAlign w:val="top"/>
          </w:tcPr>
          <w:p w14:paraId="479575B1">
            <w:pPr>
              <w:jc w:val="center"/>
              <w:rPr>
                <w:rFonts w:ascii="宋体" w:hAnsi="宋体"/>
                <w:sz w:val="28"/>
                <w:szCs w:val="28"/>
              </w:rPr>
            </w:pPr>
          </w:p>
        </w:tc>
        <w:tc>
          <w:tcPr>
            <w:tcW w:w="463" w:type="pct"/>
            <w:noWrap w:val="0"/>
            <w:vAlign w:val="top"/>
          </w:tcPr>
          <w:p w14:paraId="61F19227">
            <w:pPr>
              <w:jc w:val="center"/>
              <w:rPr>
                <w:rFonts w:ascii="宋体" w:hAnsi="宋体"/>
                <w:sz w:val="28"/>
                <w:szCs w:val="28"/>
              </w:rPr>
            </w:pPr>
          </w:p>
        </w:tc>
        <w:tc>
          <w:tcPr>
            <w:tcW w:w="529" w:type="pct"/>
            <w:noWrap w:val="0"/>
            <w:vAlign w:val="top"/>
          </w:tcPr>
          <w:p w14:paraId="5CAC3667">
            <w:pPr>
              <w:jc w:val="center"/>
              <w:rPr>
                <w:rFonts w:ascii="宋体" w:hAnsi="宋体"/>
                <w:sz w:val="28"/>
                <w:szCs w:val="28"/>
              </w:rPr>
            </w:pPr>
          </w:p>
        </w:tc>
        <w:tc>
          <w:tcPr>
            <w:tcW w:w="529" w:type="pct"/>
            <w:noWrap w:val="0"/>
            <w:vAlign w:val="top"/>
          </w:tcPr>
          <w:p w14:paraId="2F7D6AA9">
            <w:pPr>
              <w:jc w:val="center"/>
              <w:rPr>
                <w:rFonts w:ascii="宋体" w:hAnsi="宋体"/>
                <w:sz w:val="28"/>
                <w:szCs w:val="28"/>
              </w:rPr>
            </w:pPr>
          </w:p>
        </w:tc>
        <w:tc>
          <w:tcPr>
            <w:tcW w:w="463" w:type="pct"/>
            <w:noWrap w:val="0"/>
            <w:vAlign w:val="top"/>
          </w:tcPr>
          <w:p w14:paraId="329CC07A">
            <w:pPr>
              <w:jc w:val="center"/>
              <w:rPr>
                <w:rFonts w:ascii="宋体" w:hAnsi="宋体"/>
                <w:sz w:val="28"/>
                <w:szCs w:val="28"/>
              </w:rPr>
            </w:pPr>
          </w:p>
        </w:tc>
        <w:tc>
          <w:tcPr>
            <w:tcW w:w="595" w:type="pct"/>
            <w:noWrap w:val="0"/>
            <w:vAlign w:val="top"/>
          </w:tcPr>
          <w:p w14:paraId="291B3A42">
            <w:pPr>
              <w:jc w:val="center"/>
              <w:rPr>
                <w:rFonts w:ascii="宋体" w:hAnsi="宋体"/>
                <w:sz w:val="28"/>
                <w:szCs w:val="28"/>
              </w:rPr>
            </w:pPr>
          </w:p>
        </w:tc>
      </w:tr>
      <w:tr w14:paraId="568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2" w:type="pct"/>
            <w:noWrap w:val="0"/>
            <w:vAlign w:val="top"/>
          </w:tcPr>
          <w:p w14:paraId="3CCBD998">
            <w:pPr>
              <w:jc w:val="center"/>
              <w:rPr>
                <w:rFonts w:ascii="宋体" w:hAnsi="宋体"/>
                <w:sz w:val="28"/>
                <w:szCs w:val="28"/>
              </w:rPr>
            </w:pPr>
          </w:p>
        </w:tc>
        <w:tc>
          <w:tcPr>
            <w:tcW w:w="727" w:type="pct"/>
            <w:noWrap w:val="0"/>
            <w:vAlign w:val="top"/>
          </w:tcPr>
          <w:p w14:paraId="72EC906F">
            <w:pPr>
              <w:jc w:val="center"/>
              <w:rPr>
                <w:rFonts w:ascii="宋体" w:hAnsi="宋体"/>
                <w:sz w:val="28"/>
                <w:szCs w:val="28"/>
              </w:rPr>
            </w:pPr>
          </w:p>
        </w:tc>
        <w:tc>
          <w:tcPr>
            <w:tcW w:w="661" w:type="pct"/>
            <w:noWrap w:val="0"/>
            <w:vAlign w:val="top"/>
          </w:tcPr>
          <w:p w14:paraId="0A8F22BE">
            <w:pPr>
              <w:jc w:val="center"/>
              <w:rPr>
                <w:rFonts w:ascii="宋体" w:hAnsi="宋体"/>
                <w:sz w:val="28"/>
                <w:szCs w:val="28"/>
              </w:rPr>
            </w:pPr>
          </w:p>
        </w:tc>
        <w:tc>
          <w:tcPr>
            <w:tcW w:w="396" w:type="pct"/>
            <w:noWrap w:val="0"/>
            <w:vAlign w:val="top"/>
          </w:tcPr>
          <w:p w14:paraId="716712F3">
            <w:pPr>
              <w:jc w:val="center"/>
              <w:rPr>
                <w:rFonts w:ascii="宋体" w:hAnsi="宋体"/>
                <w:sz w:val="28"/>
                <w:szCs w:val="28"/>
              </w:rPr>
            </w:pPr>
          </w:p>
        </w:tc>
        <w:tc>
          <w:tcPr>
            <w:tcW w:w="330" w:type="pct"/>
            <w:noWrap w:val="0"/>
            <w:vAlign w:val="top"/>
          </w:tcPr>
          <w:p w14:paraId="6F060AB7">
            <w:pPr>
              <w:jc w:val="center"/>
              <w:rPr>
                <w:rFonts w:ascii="宋体" w:hAnsi="宋体"/>
                <w:sz w:val="28"/>
                <w:szCs w:val="28"/>
              </w:rPr>
            </w:pPr>
          </w:p>
        </w:tc>
        <w:tc>
          <w:tcPr>
            <w:tcW w:w="463" w:type="pct"/>
            <w:noWrap w:val="0"/>
            <w:vAlign w:val="top"/>
          </w:tcPr>
          <w:p w14:paraId="1F2FA6D6">
            <w:pPr>
              <w:jc w:val="center"/>
              <w:rPr>
                <w:rFonts w:ascii="宋体" w:hAnsi="宋体"/>
                <w:sz w:val="28"/>
                <w:szCs w:val="28"/>
              </w:rPr>
            </w:pPr>
          </w:p>
        </w:tc>
        <w:tc>
          <w:tcPr>
            <w:tcW w:w="529" w:type="pct"/>
            <w:noWrap w:val="0"/>
            <w:vAlign w:val="top"/>
          </w:tcPr>
          <w:p w14:paraId="0B8F9008">
            <w:pPr>
              <w:jc w:val="center"/>
              <w:rPr>
                <w:rFonts w:ascii="宋体" w:hAnsi="宋体"/>
                <w:sz w:val="28"/>
                <w:szCs w:val="28"/>
              </w:rPr>
            </w:pPr>
          </w:p>
        </w:tc>
        <w:tc>
          <w:tcPr>
            <w:tcW w:w="529" w:type="pct"/>
            <w:noWrap w:val="0"/>
            <w:vAlign w:val="top"/>
          </w:tcPr>
          <w:p w14:paraId="152090B4">
            <w:pPr>
              <w:jc w:val="center"/>
              <w:rPr>
                <w:rFonts w:ascii="宋体" w:hAnsi="宋体"/>
                <w:sz w:val="28"/>
                <w:szCs w:val="28"/>
              </w:rPr>
            </w:pPr>
          </w:p>
        </w:tc>
        <w:tc>
          <w:tcPr>
            <w:tcW w:w="463" w:type="pct"/>
            <w:noWrap w:val="0"/>
            <w:vAlign w:val="top"/>
          </w:tcPr>
          <w:p w14:paraId="2103A736">
            <w:pPr>
              <w:jc w:val="center"/>
              <w:rPr>
                <w:rFonts w:ascii="宋体" w:hAnsi="宋体"/>
                <w:sz w:val="28"/>
                <w:szCs w:val="28"/>
              </w:rPr>
            </w:pPr>
          </w:p>
        </w:tc>
        <w:tc>
          <w:tcPr>
            <w:tcW w:w="595" w:type="pct"/>
            <w:noWrap w:val="0"/>
            <w:vAlign w:val="top"/>
          </w:tcPr>
          <w:p w14:paraId="7ACCC394">
            <w:pPr>
              <w:jc w:val="center"/>
              <w:rPr>
                <w:rFonts w:ascii="宋体" w:hAnsi="宋体"/>
                <w:sz w:val="28"/>
                <w:szCs w:val="28"/>
              </w:rPr>
            </w:pPr>
          </w:p>
        </w:tc>
      </w:tr>
      <w:tr w14:paraId="133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28D8F893">
            <w:pPr>
              <w:jc w:val="center"/>
              <w:rPr>
                <w:rFonts w:ascii="宋体" w:hAnsi="宋体"/>
                <w:sz w:val="28"/>
                <w:szCs w:val="28"/>
              </w:rPr>
            </w:pPr>
          </w:p>
        </w:tc>
        <w:tc>
          <w:tcPr>
            <w:tcW w:w="727" w:type="pct"/>
            <w:noWrap w:val="0"/>
            <w:vAlign w:val="top"/>
          </w:tcPr>
          <w:p w14:paraId="6774A7CA">
            <w:pPr>
              <w:jc w:val="center"/>
              <w:rPr>
                <w:rFonts w:ascii="宋体" w:hAnsi="宋体"/>
                <w:sz w:val="28"/>
                <w:szCs w:val="28"/>
              </w:rPr>
            </w:pPr>
          </w:p>
        </w:tc>
        <w:tc>
          <w:tcPr>
            <w:tcW w:w="661" w:type="pct"/>
            <w:noWrap w:val="0"/>
            <w:vAlign w:val="top"/>
          </w:tcPr>
          <w:p w14:paraId="7D7AB35A">
            <w:pPr>
              <w:jc w:val="center"/>
              <w:rPr>
                <w:rFonts w:ascii="宋体" w:hAnsi="宋体"/>
                <w:sz w:val="28"/>
                <w:szCs w:val="28"/>
              </w:rPr>
            </w:pPr>
          </w:p>
        </w:tc>
        <w:tc>
          <w:tcPr>
            <w:tcW w:w="396" w:type="pct"/>
            <w:noWrap w:val="0"/>
            <w:vAlign w:val="top"/>
          </w:tcPr>
          <w:p w14:paraId="440F305B">
            <w:pPr>
              <w:jc w:val="center"/>
              <w:rPr>
                <w:rFonts w:ascii="宋体" w:hAnsi="宋体"/>
                <w:sz w:val="28"/>
                <w:szCs w:val="28"/>
              </w:rPr>
            </w:pPr>
          </w:p>
        </w:tc>
        <w:tc>
          <w:tcPr>
            <w:tcW w:w="330" w:type="pct"/>
            <w:noWrap w:val="0"/>
            <w:vAlign w:val="top"/>
          </w:tcPr>
          <w:p w14:paraId="74DC5183">
            <w:pPr>
              <w:jc w:val="center"/>
              <w:rPr>
                <w:rFonts w:ascii="宋体" w:hAnsi="宋体"/>
                <w:sz w:val="28"/>
                <w:szCs w:val="28"/>
              </w:rPr>
            </w:pPr>
          </w:p>
        </w:tc>
        <w:tc>
          <w:tcPr>
            <w:tcW w:w="463" w:type="pct"/>
            <w:noWrap w:val="0"/>
            <w:vAlign w:val="top"/>
          </w:tcPr>
          <w:p w14:paraId="798889A6">
            <w:pPr>
              <w:jc w:val="center"/>
              <w:rPr>
                <w:rFonts w:ascii="宋体" w:hAnsi="宋体"/>
                <w:sz w:val="28"/>
                <w:szCs w:val="28"/>
              </w:rPr>
            </w:pPr>
          </w:p>
        </w:tc>
        <w:tc>
          <w:tcPr>
            <w:tcW w:w="529" w:type="pct"/>
            <w:noWrap w:val="0"/>
            <w:vAlign w:val="top"/>
          </w:tcPr>
          <w:p w14:paraId="0A10F7B7">
            <w:pPr>
              <w:jc w:val="center"/>
              <w:rPr>
                <w:rFonts w:ascii="宋体" w:hAnsi="宋体"/>
                <w:sz w:val="28"/>
                <w:szCs w:val="28"/>
              </w:rPr>
            </w:pPr>
          </w:p>
        </w:tc>
        <w:tc>
          <w:tcPr>
            <w:tcW w:w="529" w:type="pct"/>
            <w:noWrap w:val="0"/>
            <w:vAlign w:val="top"/>
          </w:tcPr>
          <w:p w14:paraId="1135ABB6">
            <w:pPr>
              <w:jc w:val="center"/>
              <w:rPr>
                <w:rFonts w:ascii="宋体" w:hAnsi="宋体"/>
                <w:sz w:val="28"/>
                <w:szCs w:val="28"/>
              </w:rPr>
            </w:pPr>
          </w:p>
        </w:tc>
        <w:tc>
          <w:tcPr>
            <w:tcW w:w="463" w:type="pct"/>
            <w:noWrap w:val="0"/>
            <w:vAlign w:val="top"/>
          </w:tcPr>
          <w:p w14:paraId="23F660F3">
            <w:pPr>
              <w:jc w:val="center"/>
              <w:rPr>
                <w:rFonts w:ascii="宋体" w:hAnsi="宋体"/>
                <w:sz w:val="28"/>
                <w:szCs w:val="28"/>
              </w:rPr>
            </w:pPr>
          </w:p>
        </w:tc>
        <w:tc>
          <w:tcPr>
            <w:tcW w:w="595" w:type="pct"/>
            <w:noWrap w:val="0"/>
            <w:vAlign w:val="top"/>
          </w:tcPr>
          <w:p w14:paraId="660B0AA8">
            <w:pPr>
              <w:jc w:val="center"/>
              <w:rPr>
                <w:rFonts w:ascii="宋体" w:hAnsi="宋体"/>
                <w:sz w:val="28"/>
                <w:szCs w:val="28"/>
              </w:rPr>
            </w:pPr>
          </w:p>
        </w:tc>
      </w:tr>
      <w:tr w14:paraId="7290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1755B580">
            <w:pPr>
              <w:jc w:val="center"/>
              <w:rPr>
                <w:rFonts w:ascii="宋体" w:hAnsi="宋体"/>
                <w:sz w:val="28"/>
                <w:szCs w:val="28"/>
              </w:rPr>
            </w:pPr>
          </w:p>
        </w:tc>
        <w:tc>
          <w:tcPr>
            <w:tcW w:w="727" w:type="pct"/>
            <w:noWrap w:val="0"/>
            <w:vAlign w:val="top"/>
          </w:tcPr>
          <w:p w14:paraId="0840DE1E">
            <w:pPr>
              <w:jc w:val="center"/>
              <w:rPr>
                <w:rFonts w:ascii="宋体" w:hAnsi="宋体"/>
                <w:sz w:val="28"/>
                <w:szCs w:val="28"/>
              </w:rPr>
            </w:pPr>
          </w:p>
        </w:tc>
        <w:tc>
          <w:tcPr>
            <w:tcW w:w="661" w:type="pct"/>
            <w:noWrap w:val="0"/>
            <w:vAlign w:val="top"/>
          </w:tcPr>
          <w:p w14:paraId="750FCDF1">
            <w:pPr>
              <w:jc w:val="center"/>
              <w:rPr>
                <w:rFonts w:ascii="宋体" w:hAnsi="宋体"/>
                <w:sz w:val="28"/>
                <w:szCs w:val="28"/>
              </w:rPr>
            </w:pPr>
          </w:p>
        </w:tc>
        <w:tc>
          <w:tcPr>
            <w:tcW w:w="396" w:type="pct"/>
            <w:noWrap w:val="0"/>
            <w:vAlign w:val="top"/>
          </w:tcPr>
          <w:p w14:paraId="1CDDB0A9">
            <w:pPr>
              <w:jc w:val="center"/>
              <w:rPr>
                <w:rFonts w:ascii="宋体" w:hAnsi="宋体"/>
                <w:sz w:val="28"/>
                <w:szCs w:val="28"/>
              </w:rPr>
            </w:pPr>
          </w:p>
        </w:tc>
        <w:tc>
          <w:tcPr>
            <w:tcW w:w="330" w:type="pct"/>
            <w:noWrap w:val="0"/>
            <w:vAlign w:val="top"/>
          </w:tcPr>
          <w:p w14:paraId="15F9F172">
            <w:pPr>
              <w:jc w:val="center"/>
              <w:rPr>
                <w:rFonts w:ascii="宋体" w:hAnsi="宋体"/>
                <w:sz w:val="28"/>
                <w:szCs w:val="28"/>
              </w:rPr>
            </w:pPr>
          </w:p>
        </w:tc>
        <w:tc>
          <w:tcPr>
            <w:tcW w:w="463" w:type="pct"/>
            <w:noWrap w:val="0"/>
            <w:vAlign w:val="top"/>
          </w:tcPr>
          <w:p w14:paraId="7D077299">
            <w:pPr>
              <w:jc w:val="center"/>
              <w:rPr>
                <w:rFonts w:ascii="宋体" w:hAnsi="宋体"/>
                <w:sz w:val="28"/>
                <w:szCs w:val="28"/>
              </w:rPr>
            </w:pPr>
          </w:p>
        </w:tc>
        <w:tc>
          <w:tcPr>
            <w:tcW w:w="529" w:type="pct"/>
            <w:noWrap w:val="0"/>
            <w:vAlign w:val="top"/>
          </w:tcPr>
          <w:p w14:paraId="6EFB64BD">
            <w:pPr>
              <w:jc w:val="center"/>
              <w:rPr>
                <w:rFonts w:ascii="宋体" w:hAnsi="宋体"/>
                <w:sz w:val="28"/>
                <w:szCs w:val="28"/>
              </w:rPr>
            </w:pPr>
          </w:p>
        </w:tc>
        <w:tc>
          <w:tcPr>
            <w:tcW w:w="529" w:type="pct"/>
            <w:noWrap w:val="0"/>
            <w:vAlign w:val="top"/>
          </w:tcPr>
          <w:p w14:paraId="23854641">
            <w:pPr>
              <w:jc w:val="center"/>
              <w:rPr>
                <w:rFonts w:ascii="宋体" w:hAnsi="宋体"/>
                <w:sz w:val="28"/>
                <w:szCs w:val="28"/>
              </w:rPr>
            </w:pPr>
          </w:p>
        </w:tc>
        <w:tc>
          <w:tcPr>
            <w:tcW w:w="463" w:type="pct"/>
            <w:noWrap w:val="0"/>
            <w:vAlign w:val="top"/>
          </w:tcPr>
          <w:p w14:paraId="2E868FAB">
            <w:pPr>
              <w:jc w:val="center"/>
              <w:rPr>
                <w:rFonts w:ascii="宋体" w:hAnsi="宋体"/>
                <w:sz w:val="28"/>
                <w:szCs w:val="28"/>
              </w:rPr>
            </w:pPr>
          </w:p>
        </w:tc>
        <w:tc>
          <w:tcPr>
            <w:tcW w:w="595" w:type="pct"/>
            <w:noWrap w:val="0"/>
            <w:vAlign w:val="top"/>
          </w:tcPr>
          <w:p w14:paraId="37F5DF29">
            <w:pPr>
              <w:jc w:val="center"/>
              <w:rPr>
                <w:rFonts w:ascii="宋体" w:hAnsi="宋体"/>
                <w:sz w:val="28"/>
                <w:szCs w:val="28"/>
              </w:rPr>
            </w:pPr>
          </w:p>
        </w:tc>
      </w:tr>
      <w:tr w14:paraId="63A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7951C212">
            <w:pPr>
              <w:jc w:val="center"/>
              <w:rPr>
                <w:rFonts w:ascii="宋体" w:hAnsi="宋体"/>
                <w:sz w:val="28"/>
                <w:szCs w:val="28"/>
              </w:rPr>
            </w:pPr>
          </w:p>
        </w:tc>
        <w:tc>
          <w:tcPr>
            <w:tcW w:w="727" w:type="pct"/>
            <w:noWrap w:val="0"/>
            <w:vAlign w:val="top"/>
          </w:tcPr>
          <w:p w14:paraId="2E2DAF48">
            <w:pPr>
              <w:jc w:val="center"/>
              <w:rPr>
                <w:rFonts w:ascii="宋体" w:hAnsi="宋体"/>
                <w:sz w:val="28"/>
                <w:szCs w:val="28"/>
              </w:rPr>
            </w:pPr>
          </w:p>
        </w:tc>
        <w:tc>
          <w:tcPr>
            <w:tcW w:w="661" w:type="pct"/>
            <w:noWrap w:val="0"/>
            <w:vAlign w:val="top"/>
          </w:tcPr>
          <w:p w14:paraId="475E913A">
            <w:pPr>
              <w:jc w:val="center"/>
              <w:rPr>
                <w:rFonts w:ascii="宋体" w:hAnsi="宋体"/>
                <w:sz w:val="28"/>
                <w:szCs w:val="28"/>
              </w:rPr>
            </w:pPr>
          </w:p>
        </w:tc>
        <w:tc>
          <w:tcPr>
            <w:tcW w:w="396" w:type="pct"/>
            <w:noWrap w:val="0"/>
            <w:vAlign w:val="top"/>
          </w:tcPr>
          <w:p w14:paraId="05E671BD">
            <w:pPr>
              <w:jc w:val="center"/>
              <w:rPr>
                <w:rFonts w:ascii="宋体" w:hAnsi="宋体"/>
                <w:sz w:val="28"/>
                <w:szCs w:val="28"/>
              </w:rPr>
            </w:pPr>
          </w:p>
        </w:tc>
        <w:tc>
          <w:tcPr>
            <w:tcW w:w="330" w:type="pct"/>
            <w:noWrap w:val="0"/>
            <w:vAlign w:val="top"/>
          </w:tcPr>
          <w:p w14:paraId="7B614D01">
            <w:pPr>
              <w:jc w:val="center"/>
              <w:rPr>
                <w:rFonts w:ascii="宋体" w:hAnsi="宋体"/>
                <w:sz w:val="28"/>
                <w:szCs w:val="28"/>
              </w:rPr>
            </w:pPr>
          </w:p>
        </w:tc>
        <w:tc>
          <w:tcPr>
            <w:tcW w:w="463" w:type="pct"/>
            <w:noWrap w:val="0"/>
            <w:vAlign w:val="top"/>
          </w:tcPr>
          <w:p w14:paraId="0F560AE6">
            <w:pPr>
              <w:jc w:val="center"/>
              <w:rPr>
                <w:rFonts w:ascii="宋体" w:hAnsi="宋体"/>
                <w:sz w:val="28"/>
                <w:szCs w:val="28"/>
              </w:rPr>
            </w:pPr>
          </w:p>
        </w:tc>
        <w:tc>
          <w:tcPr>
            <w:tcW w:w="529" w:type="pct"/>
            <w:noWrap w:val="0"/>
            <w:vAlign w:val="top"/>
          </w:tcPr>
          <w:p w14:paraId="4FAD9E5B">
            <w:pPr>
              <w:jc w:val="center"/>
              <w:rPr>
                <w:rFonts w:ascii="宋体" w:hAnsi="宋体"/>
                <w:sz w:val="28"/>
                <w:szCs w:val="28"/>
              </w:rPr>
            </w:pPr>
          </w:p>
        </w:tc>
        <w:tc>
          <w:tcPr>
            <w:tcW w:w="529" w:type="pct"/>
            <w:noWrap w:val="0"/>
            <w:vAlign w:val="top"/>
          </w:tcPr>
          <w:p w14:paraId="54A46A0C">
            <w:pPr>
              <w:jc w:val="center"/>
              <w:rPr>
                <w:rFonts w:ascii="宋体" w:hAnsi="宋体"/>
                <w:sz w:val="28"/>
                <w:szCs w:val="28"/>
              </w:rPr>
            </w:pPr>
          </w:p>
        </w:tc>
        <w:tc>
          <w:tcPr>
            <w:tcW w:w="463" w:type="pct"/>
            <w:noWrap w:val="0"/>
            <w:vAlign w:val="top"/>
          </w:tcPr>
          <w:p w14:paraId="224B03A1">
            <w:pPr>
              <w:jc w:val="center"/>
              <w:rPr>
                <w:rFonts w:ascii="宋体" w:hAnsi="宋体"/>
                <w:sz w:val="28"/>
                <w:szCs w:val="28"/>
              </w:rPr>
            </w:pPr>
          </w:p>
        </w:tc>
        <w:tc>
          <w:tcPr>
            <w:tcW w:w="595" w:type="pct"/>
            <w:noWrap w:val="0"/>
            <w:vAlign w:val="top"/>
          </w:tcPr>
          <w:p w14:paraId="33731C02">
            <w:pPr>
              <w:jc w:val="center"/>
              <w:rPr>
                <w:rFonts w:ascii="宋体" w:hAnsi="宋体"/>
                <w:sz w:val="28"/>
                <w:szCs w:val="28"/>
              </w:rPr>
            </w:pPr>
          </w:p>
        </w:tc>
      </w:tr>
      <w:tr w14:paraId="78F9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640CCE07">
            <w:pPr>
              <w:jc w:val="center"/>
              <w:rPr>
                <w:rFonts w:ascii="宋体" w:hAnsi="宋体"/>
                <w:sz w:val="28"/>
                <w:szCs w:val="28"/>
              </w:rPr>
            </w:pPr>
          </w:p>
        </w:tc>
        <w:tc>
          <w:tcPr>
            <w:tcW w:w="727" w:type="pct"/>
            <w:noWrap w:val="0"/>
            <w:vAlign w:val="top"/>
          </w:tcPr>
          <w:p w14:paraId="67E6D6A5">
            <w:pPr>
              <w:jc w:val="center"/>
              <w:rPr>
                <w:rFonts w:ascii="宋体" w:hAnsi="宋体"/>
                <w:sz w:val="28"/>
                <w:szCs w:val="28"/>
              </w:rPr>
            </w:pPr>
          </w:p>
        </w:tc>
        <w:tc>
          <w:tcPr>
            <w:tcW w:w="661" w:type="pct"/>
            <w:noWrap w:val="0"/>
            <w:vAlign w:val="top"/>
          </w:tcPr>
          <w:p w14:paraId="43B6640E">
            <w:pPr>
              <w:jc w:val="center"/>
              <w:rPr>
                <w:rFonts w:ascii="宋体" w:hAnsi="宋体"/>
                <w:sz w:val="28"/>
                <w:szCs w:val="28"/>
              </w:rPr>
            </w:pPr>
          </w:p>
        </w:tc>
        <w:tc>
          <w:tcPr>
            <w:tcW w:w="396" w:type="pct"/>
            <w:noWrap w:val="0"/>
            <w:vAlign w:val="top"/>
          </w:tcPr>
          <w:p w14:paraId="13F48373">
            <w:pPr>
              <w:jc w:val="center"/>
              <w:rPr>
                <w:rFonts w:ascii="宋体" w:hAnsi="宋体"/>
                <w:sz w:val="28"/>
                <w:szCs w:val="28"/>
              </w:rPr>
            </w:pPr>
          </w:p>
        </w:tc>
        <w:tc>
          <w:tcPr>
            <w:tcW w:w="330" w:type="pct"/>
            <w:noWrap w:val="0"/>
            <w:vAlign w:val="top"/>
          </w:tcPr>
          <w:p w14:paraId="79EDF2F9">
            <w:pPr>
              <w:jc w:val="center"/>
              <w:rPr>
                <w:rFonts w:ascii="宋体" w:hAnsi="宋体"/>
                <w:sz w:val="28"/>
                <w:szCs w:val="28"/>
              </w:rPr>
            </w:pPr>
          </w:p>
        </w:tc>
        <w:tc>
          <w:tcPr>
            <w:tcW w:w="463" w:type="pct"/>
            <w:noWrap w:val="0"/>
            <w:vAlign w:val="top"/>
          </w:tcPr>
          <w:p w14:paraId="15B6A7DB">
            <w:pPr>
              <w:jc w:val="center"/>
              <w:rPr>
                <w:rFonts w:ascii="宋体" w:hAnsi="宋体"/>
                <w:sz w:val="28"/>
                <w:szCs w:val="28"/>
              </w:rPr>
            </w:pPr>
          </w:p>
        </w:tc>
        <w:tc>
          <w:tcPr>
            <w:tcW w:w="529" w:type="pct"/>
            <w:noWrap w:val="0"/>
            <w:vAlign w:val="top"/>
          </w:tcPr>
          <w:p w14:paraId="325995D6">
            <w:pPr>
              <w:jc w:val="center"/>
              <w:rPr>
                <w:rFonts w:ascii="宋体" w:hAnsi="宋体"/>
                <w:sz w:val="28"/>
                <w:szCs w:val="28"/>
              </w:rPr>
            </w:pPr>
          </w:p>
        </w:tc>
        <w:tc>
          <w:tcPr>
            <w:tcW w:w="529" w:type="pct"/>
            <w:noWrap w:val="0"/>
            <w:vAlign w:val="top"/>
          </w:tcPr>
          <w:p w14:paraId="7AA7EAA5">
            <w:pPr>
              <w:jc w:val="center"/>
              <w:rPr>
                <w:rFonts w:ascii="宋体" w:hAnsi="宋体"/>
                <w:sz w:val="28"/>
                <w:szCs w:val="28"/>
              </w:rPr>
            </w:pPr>
          </w:p>
        </w:tc>
        <w:tc>
          <w:tcPr>
            <w:tcW w:w="463" w:type="pct"/>
            <w:noWrap w:val="0"/>
            <w:vAlign w:val="top"/>
          </w:tcPr>
          <w:p w14:paraId="519DD4B9">
            <w:pPr>
              <w:jc w:val="center"/>
              <w:rPr>
                <w:rFonts w:ascii="宋体" w:hAnsi="宋体"/>
                <w:sz w:val="28"/>
                <w:szCs w:val="28"/>
              </w:rPr>
            </w:pPr>
          </w:p>
        </w:tc>
        <w:tc>
          <w:tcPr>
            <w:tcW w:w="595" w:type="pct"/>
            <w:noWrap w:val="0"/>
            <w:vAlign w:val="top"/>
          </w:tcPr>
          <w:p w14:paraId="7D4CD243">
            <w:pPr>
              <w:jc w:val="center"/>
              <w:rPr>
                <w:rFonts w:ascii="宋体" w:hAnsi="宋体"/>
                <w:sz w:val="28"/>
                <w:szCs w:val="28"/>
              </w:rPr>
            </w:pPr>
          </w:p>
        </w:tc>
      </w:tr>
      <w:tr w14:paraId="213C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1F8F4579">
            <w:pPr>
              <w:jc w:val="center"/>
              <w:rPr>
                <w:rFonts w:ascii="宋体" w:hAnsi="宋体"/>
                <w:sz w:val="28"/>
                <w:szCs w:val="28"/>
              </w:rPr>
            </w:pPr>
          </w:p>
        </w:tc>
        <w:tc>
          <w:tcPr>
            <w:tcW w:w="727" w:type="pct"/>
            <w:noWrap w:val="0"/>
            <w:vAlign w:val="top"/>
          </w:tcPr>
          <w:p w14:paraId="6C7744DE">
            <w:pPr>
              <w:jc w:val="center"/>
              <w:rPr>
                <w:rFonts w:ascii="宋体" w:hAnsi="宋体"/>
                <w:sz w:val="28"/>
                <w:szCs w:val="28"/>
              </w:rPr>
            </w:pPr>
          </w:p>
        </w:tc>
        <w:tc>
          <w:tcPr>
            <w:tcW w:w="661" w:type="pct"/>
            <w:noWrap w:val="0"/>
            <w:vAlign w:val="top"/>
          </w:tcPr>
          <w:p w14:paraId="48B7B423">
            <w:pPr>
              <w:jc w:val="center"/>
              <w:rPr>
                <w:rFonts w:ascii="宋体" w:hAnsi="宋体"/>
                <w:sz w:val="28"/>
                <w:szCs w:val="28"/>
              </w:rPr>
            </w:pPr>
          </w:p>
        </w:tc>
        <w:tc>
          <w:tcPr>
            <w:tcW w:w="396" w:type="pct"/>
            <w:noWrap w:val="0"/>
            <w:vAlign w:val="top"/>
          </w:tcPr>
          <w:p w14:paraId="2F29ACC8">
            <w:pPr>
              <w:jc w:val="center"/>
              <w:rPr>
                <w:rFonts w:ascii="宋体" w:hAnsi="宋体"/>
                <w:sz w:val="28"/>
                <w:szCs w:val="28"/>
              </w:rPr>
            </w:pPr>
          </w:p>
        </w:tc>
        <w:tc>
          <w:tcPr>
            <w:tcW w:w="330" w:type="pct"/>
            <w:noWrap w:val="0"/>
            <w:vAlign w:val="top"/>
          </w:tcPr>
          <w:p w14:paraId="125FA805">
            <w:pPr>
              <w:jc w:val="center"/>
              <w:rPr>
                <w:rFonts w:ascii="宋体" w:hAnsi="宋体"/>
                <w:sz w:val="28"/>
                <w:szCs w:val="28"/>
              </w:rPr>
            </w:pPr>
          </w:p>
        </w:tc>
        <w:tc>
          <w:tcPr>
            <w:tcW w:w="463" w:type="pct"/>
            <w:noWrap w:val="0"/>
            <w:vAlign w:val="top"/>
          </w:tcPr>
          <w:p w14:paraId="7C13F308">
            <w:pPr>
              <w:jc w:val="center"/>
              <w:rPr>
                <w:rFonts w:ascii="宋体" w:hAnsi="宋体"/>
                <w:sz w:val="28"/>
                <w:szCs w:val="28"/>
              </w:rPr>
            </w:pPr>
          </w:p>
        </w:tc>
        <w:tc>
          <w:tcPr>
            <w:tcW w:w="529" w:type="pct"/>
            <w:noWrap w:val="0"/>
            <w:vAlign w:val="top"/>
          </w:tcPr>
          <w:p w14:paraId="09385716">
            <w:pPr>
              <w:jc w:val="center"/>
              <w:rPr>
                <w:rFonts w:ascii="宋体" w:hAnsi="宋体"/>
                <w:sz w:val="28"/>
                <w:szCs w:val="28"/>
              </w:rPr>
            </w:pPr>
          </w:p>
        </w:tc>
        <w:tc>
          <w:tcPr>
            <w:tcW w:w="529" w:type="pct"/>
            <w:noWrap w:val="0"/>
            <w:vAlign w:val="top"/>
          </w:tcPr>
          <w:p w14:paraId="0B08FD43">
            <w:pPr>
              <w:jc w:val="center"/>
              <w:rPr>
                <w:rFonts w:ascii="宋体" w:hAnsi="宋体"/>
                <w:sz w:val="28"/>
                <w:szCs w:val="28"/>
              </w:rPr>
            </w:pPr>
          </w:p>
        </w:tc>
        <w:tc>
          <w:tcPr>
            <w:tcW w:w="463" w:type="pct"/>
            <w:noWrap w:val="0"/>
            <w:vAlign w:val="top"/>
          </w:tcPr>
          <w:p w14:paraId="089AF601">
            <w:pPr>
              <w:jc w:val="center"/>
              <w:rPr>
                <w:rFonts w:ascii="宋体" w:hAnsi="宋体"/>
                <w:sz w:val="28"/>
                <w:szCs w:val="28"/>
              </w:rPr>
            </w:pPr>
          </w:p>
        </w:tc>
        <w:tc>
          <w:tcPr>
            <w:tcW w:w="595" w:type="pct"/>
            <w:noWrap w:val="0"/>
            <w:vAlign w:val="top"/>
          </w:tcPr>
          <w:p w14:paraId="24E376CC">
            <w:pPr>
              <w:jc w:val="center"/>
              <w:rPr>
                <w:rFonts w:ascii="宋体" w:hAnsi="宋体"/>
                <w:sz w:val="28"/>
                <w:szCs w:val="28"/>
              </w:rPr>
            </w:pPr>
          </w:p>
        </w:tc>
      </w:tr>
      <w:tr w14:paraId="09A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1B989E28">
            <w:pPr>
              <w:jc w:val="center"/>
              <w:rPr>
                <w:rFonts w:ascii="宋体" w:hAnsi="宋体"/>
                <w:sz w:val="28"/>
                <w:szCs w:val="28"/>
              </w:rPr>
            </w:pPr>
          </w:p>
        </w:tc>
        <w:tc>
          <w:tcPr>
            <w:tcW w:w="727" w:type="pct"/>
            <w:noWrap w:val="0"/>
            <w:vAlign w:val="top"/>
          </w:tcPr>
          <w:p w14:paraId="00443CF5">
            <w:pPr>
              <w:jc w:val="center"/>
              <w:rPr>
                <w:rFonts w:ascii="宋体" w:hAnsi="宋体"/>
                <w:sz w:val="28"/>
                <w:szCs w:val="28"/>
              </w:rPr>
            </w:pPr>
          </w:p>
        </w:tc>
        <w:tc>
          <w:tcPr>
            <w:tcW w:w="661" w:type="pct"/>
            <w:noWrap w:val="0"/>
            <w:vAlign w:val="top"/>
          </w:tcPr>
          <w:p w14:paraId="0B716BEE">
            <w:pPr>
              <w:jc w:val="center"/>
              <w:rPr>
                <w:rFonts w:ascii="宋体" w:hAnsi="宋体"/>
                <w:sz w:val="28"/>
                <w:szCs w:val="28"/>
              </w:rPr>
            </w:pPr>
          </w:p>
        </w:tc>
        <w:tc>
          <w:tcPr>
            <w:tcW w:w="396" w:type="pct"/>
            <w:noWrap w:val="0"/>
            <w:vAlign w:val="top"/>
          </w:tcPr>
          <w:p w14:paraId="174EB7F1">
            <w:pPr>
              <w:jc w:val="center"/>
              <w:rPr>
                <w:rFonts w:ascii="宋体" w:hAnsi="宋体"/>
                <w:sz w:val="28"/>
                <w:szCs w:val="28"/>
              </w:rPr>
            </w:pPr>
          </w:p>
        </w:tc>
        <w:tc>
          <w:tcPr>
            <w:tcW w:w="330" w:type="pct"/>
            <w:noWrap w:val="0"/>
            <w:vAlign w:val="top"/>
          </w:tcPr>
          <w:p w14:paraId="68B2AA46">
            <w:pPr>
              <w:jc w:val="center"/>
              <w:rPr>
                <w:rFonts w:ascii="宋体" w:hAnsi="宋体"/>
                <w:sz w:val="28"/>
                <w:szCs w:val="28"/>
              </w:rPr>
            </w:pPr>
          </w:p>
        </w:tc>
        <w:tc>
          <w:tcPr>
            <w:tcW w:w="463" w:type="pct"/>
            <w:noWrap w:val="0"/>
            <w:vAlign w:val="top"/>
          </w:tcPr>
          <w:p w14:paraId="2E4A4A7B">
            <w:pPr>
              <w:jc w:val="center"/>
              <w:rPr>
                <w:rFonts w:ascii="宋体" w:hAnsi="宋体"/>
                <w:sz w:val="28"/>
                <w:szCs w:val="28"/>
              </w:rPr>
            </w:pPr>
          </w:p>
        </w:tc>
        <w:tc>
          <w:tcPr>
            <w:tcW w:w="529" w:type="pct"/>
            <w:noWrap w:val="0"/>
            <w:vAlign w:val="top"/>
          </w:tcPr>
          <w:p w14:paraId="2C817185">
            <w:pPr>
              <w:jc w:val="center"/>
              <w:rPr>
                <w:rFonts w:ascii="宋体" w:hAnsi="宋体"/>
                <w:sz w:val="28"/>
                <w:szCs w:val="28"/>
              </w:rPr>
            </w:pPr>
          </w:p>
        </w:tc>
        <w:tc>
          <w:tcPr>
            <w:tcW w:w="529" w:type="pct"/>
            <w:noWrap w:val="0"/>
            <w:vAlign w:val="top"/>
          </w:tcPr>
          <w:p w14:paraId="426B6861">
            <w:pPr>
              <w:jc w:val="center"/>
              <w:rPr>
                <w:rFonts w:ascii="宋体" w:hAnsi="宋体"/>
                <w:sz w:val="28"/>
                <w:szCs w:val="28"/>
              </w:rPr>
            </w:pPr>
          </w:p>
        </w:tc>
        <w:tc>
          <w:tcPr>
            <w:tcW w:w="463" w:type="pct"/>
            <w:noWrap w:val="0"/>
            <w:vAlign w:val="top"/>
          </w:tcPr>
          <w:p w14:paraId="75987BB0">
            <w:pPr>
              <w:jc w:val="center"/>
              <w:rPr>
                <w:rFonts w:ascii="宋体" w:hAnsi="宋体"/>
                <w:sz w:val="28"/>
                <w:szCs w:val="28"/>
              </w:rPr>
            </w:pPr>
          </w:p>
        </w:tc>
        <w:tc>
          <w:tcPr>
            <w:tcW w:w="595" w:type="pct"/>
            <w:noWrap w:val="0"/>
            <w:vAlign w:val="top"/>
          </w:tcPr>
          <w:p w14:paraId="08CB7A92">
            <w:pPr>
              <w:jc w:val="center"/>
              <w:rPr>
                <w:rFonts w:ascii="宋体" w:hAnsi="宋体"/>
                <w:sz w:val="28"/>
                <w:szCs w:val="28"/>
              </w:rPr>
            </w:pPr>
          </w:p>
        </w:tc>
      </w:tr>
      <w:tr w14:paraId="60EE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noWrap w:val="0"/>
            <w:vAlign w:val="top"/>
          </w:tcPr>
          <w:p w14:paraId="34383F92">
            <w:pPr>
              <w:jc w:val="center"/>
              <w:rPr>
                <w:rFonts w:ascii="宋体" w:hAnsi="宋体"/>
                <w:sz w:val="28"/>
                <w:szCs w:val="28"/>
              </w:rPr>
            </w:pPr>
          </w:p>
        </w:tc>
        <w:tc>
          <w:tcPr>
            <w:tcW w:w="727" w:type="pct"/>
            <w:noWrap w:val="0"/>
            <w:vAlign w:val="top"/>
          </w:tcPr>
          <w:p w14:paraId="66C8B3C0">
            <w:pPr>
              <w:jc w:val="center"/>
              <w:rPr>
                <w:rFonts w:ascii="宋体" w:hAnsi="宋体"/>
                <w:sz w:val="28"/>
                <w:szCs w:val="28"/>
              </w:rPr>
            </w:pPr>
          </w:p>
        </w:tc>
        <w:tc>
          <w:tcPr>
            <w:tcW w:w="661" w:type="pct"/>
            <w:noWrap w:val="0"/>
            <w:vAlign w:val="top"/>
          </w:tcPr>
          <w:p w14:paraId="1953BE38">
            <w:pPr>
              <w:jc w:val="center"/>
              <w:rPr>
                <w:rFonts w:ascii="宋体" w:hAnsi="宋体"/>
                <w:sz w:val="28"/>
                <w:szCs w:val="28"/>
              </w:rPr>
            </w:pPr>
          </w:p>
        </w:tc>
        <w:tc>
          <w:tcPr>
            <w:tcW w:w="396" w:type="pct"/>
            <w:noWrap w:val="0"/>
            <w:vAlign w:val="top"/>
          </w:tcPr>
          <w:p w14:paraId="46E95EDB">
            <w:pPr>
              <w:jc w:val="center"/>
              <w:rPr>
                <w:rFonts w:ascii="宋体" w:hAnsi="宋体"/>
                <w:sz w:val="28"/>
                <w:szCs w:val="28"/>
              </w:rPr>
            </w:pPr>
          </w:p>
        </w:tc>
        <w:tc>
          <w:tcPr>
            <w:tcW w:w="330" w:type="pct"/>
            <w:noWrap w:val="0"/>
            <w:vAlign w:val="top"/>
          </w:tcPr>
          <w:p w14:paraId="6C5FE1AB">
            <w:pPr>
              <w:jc w:val="center"/>
              <w:rPr>
                <w:rFonts w:ascii="宋体" w:hAnsi="宋体"/>
                <w:sz w:val="28"/>
                <w:szCs w:val="28"/>
              </w:rPr>
            </w:pPr>
          </w:p>
        </w:tc>
        <w:tc>
          <w:tcPr>
            <w:tcW w:w="463" w:type="pct"/>
            <w:noWrap w:val="0"/>
            <w:vAlign w:val="top"/>
          </w:tcPr>
          <w:p w14:paraId="7A89FB42">
            <w:pPr>
              <w:jc w:val="center"/>
              <w:rPr>
                <w:rFonts w:ascii="宋体" w:hAnsi="宋体"/>
                <w:sz w:val="28"/>
                <w:szCs w:val="28"/>
              </w:rPr>
            </w:pPr>
          </w:p>
        </w:tc>
        <w:tc>
          <w:tcPr>
            <w:tcW w:w="529" w:type="pct"/>
            <w:noWrap w:val="0"/>
            <w:vAlign w:val="top"/>
          </w:tcPr>
          <w:p w14:paraId="60FE1B72">
            <w:pPr>
              <w:jc w:val="center"/>
              <w:rPr>
                <w:rFonts w:ascii="宋体" w:hAnsi="宋体"/>
                <w:sz w:val="28"/>
                <w:szCs w:val="28"/>
              </w:rPr>
            </w:pPr>
          </w:p>
        </w:tc>
        <w:tc>
          <w:tcPr>
            <w:tcW w:w="529" w:type="pct"/>
            <w:noWrap w:val="0"/>
            <w:vAlign w:val="top"/>
          </w:tcPr>
          <w:p w14:paraId="29890D92">
            <w:pPr>
              <w:jc w:val="center"/>
              <w:rPr>
                <w:rFonts w:ascii="宋体" w:hAnsi="宋体"/>
                <w:sz w:val="28"/>
                <w:szCs w:val="28"/>
              </w:rPr>
            </w:pPr>
          </w:p>
        </w:tc>
        <w:tc>
          <w:tcPr>
            <w:tcW w:w="463" w:type="pct"/>
            <w:noWrap w:val="0"/>
            <w:vAlign w:val="top"/>
          </w:tcPr>
          <w:p w14:paraId="32637032">
            <w:pPr>
              <w:jc w:val="center"/>
              <w:rPr>
                <w:rFonts w:ascii="宋体" w:hAnsi="宋体"/>
                <w:sz w:val="28"/>
                <w:szCs w:val="28"/>
              </w:rPr>
            </w:pPr>
          </w:p>
        </w:tc>
        <w:tc>
          <w:tcPr>
            <w:tcW w:w="595" w:type="pct"/>
            <w:noWrap w:val="0"/>
            <w:vAlign w:val="top"/>
          </w:tcPr>
          <w:p w14:paraId="1A532BEC">
            <w:pPr>
              <w:jc w:val="center"/>
              <w:rPr>
                <w:rFonts w:ascii="宋体" w:hAnsi="宋体"/>
                <w:sz w:val="28"/>
                <w:szCs w:val="28"/>
              </w:rPr>
            </w:pPr>
          </w:p>
        </w:tc>
      </w:tr>
    </w:tbl>
    <w:p w14:paraId="4ED5319E">
      <w:pPr>
        <w:tabs>
          <w:tab w:val="left" w:pos="1440"/>
        </w:tabs>
        <w:rPr>
          <w:rFonts w:ascii="宋体" w:hAnsi="宋体"/>
          <w:szCs w:val="21"/>
        </w:rPr>
      </w:pPr>
      <w:r>
        <w:rPr>
          <w:rFonts w:hint="eastAsia" w:ascii="宋体" w:hAnsi="宋体"/>
          <w:szCs w:val="21"/>
        </w:rPr>
        <w:t>备注：除合同另有约定外，本表所列甲方供应材料和工程设备的数量不考虑施工损耗，施工损耗被认为已经包括在乙方的投标价格中。</w:t>
      </w:r>
    </w:p>
    <w:p w14:paraId="4AB9A616">
      <w:pPr>
        <w:jc w:val="center"/>
        <w:rPr>
          <w:rFonts w:ascii="Arial" w:hAnsi="Arial" w:cs="Arial"/>
        </w:rPr>
      </w:pPr>
      <w:r>
        <w:br w:type="page"/>
      </w:r>
      <w:r>
        <w:rPr>
          <w:rFonts w:hint="eastAsia" w:ascii="黑体" w:eastAsia="黑体"/>
          <w:sz w:val="28"/>
          <w:szCs w:val="28"/>
        </w:rPr>
        <w:t>通用合同条款</w:t>
      </w:r>
    </w:p>
    <w:p w14:paraId="23D45C5C">
      <w:pPr>
        <w:spacing w:line="400" w:lineRule="exact"/>
      </w:pPr>
    </w:p>
    <w:p w14:paraId="220C1D2F">
      <w:pPr>
        <w:pStyle w:val="250"/>
        <w:spacing w:before="0"/>
      </w:pPr>
      <w:r>
        <w:rPr>
          <w:rFonts w:hint="eastAsia"/>
        </w:rPr>
        <w:t>1. 一般约定</w:t>
      </w:r>
    </w:p>
    <w:p w14:paraId="77DF06DB">
      <w:pPr>
        <w:pStyle w:val="251"/>
        <w:tabs>
          <w:tab w:val="left" w:pos="720"/>
        </w:tabs>
        <w:outlineLvl w:val="0"/>
      </w:pPr>
      <w:r>
        <w:rPr>
          <w:rFonts w:hint="eastAsia"/>
        </w:rPr>
        <w:t>1.1 词语定义</w:t>
      </w:r>
    </w:p>
    <w:p w14:paraId="606C7B4B">
      <w:pPr>
        <w:spacing w:line="400" w:lineRule="exact"/>
        <w:ind w:firstLine="420" w:firstLineChars="200"/>
      </w:pPr>
      <w:r>
        <w:rPr>
          <w:rFonts w:hint="eastAsia"/>
        </w:rPr>
        <w:t>通用合同条款、专用合同条款中的下列词语应具有本款所赋予的含义。</w:t>
      </w:r>
    </w:p>
    <w:p w14:paraId="68862190">
      <w:pPr>
        <w:spacing w:line="400" w:lineRule="exact"/>
        <w:ind w:firstLine="420" w:firstLineChars="200"/>
      </w:pPr>
      <w:r>
        <w:rPr>
          <w:rFonts w:hint="eastAsia"/>
        </w:rPr>
        <w:t xml:space="preserve">1.1.1 </w:t>
      </w:r>
      <w:r>
        <w:rPr>
          <w:rFonts w:hint="eastAsia" w:ascii="黑体" w:eastAsia="黑体"/>
        </w:rPr>
        <w:t>合同</w:t>
      </w:r>
    </w:p>
    <w:p w14:paraId="00440487">
      <w:pPr>
        <w:spacing w:line="400" w:lineRule="exact"/>
        <w:ind w:firstLine="718" w:firstLineChars="342"/>
      </w:pPr>
      <w:r>
        <w:rPr>
          <w:rFonts w:hint="eastAsia"/>
        </w:rPr>
        <w:t>1.1.1.1 合同文件（或称合同）：指合同协议书、中标通知书、投标函及投标函附录、专用合同条款、通用合同条款、技术标准和要求、图纸、已标价工程量清单，以及其他合同文件。</w:t>
      </w:r>
    </w:p>
    <w:p w14:paraId="3A344C6F">
      <w:pPr>
        <w:spacing w:line="400" w:lineRule="exact"/>
        <w:ind w:firstLine="718" w:firstLineChars="342"/>
      </w:pPr>
      <w:r>
        <w:rPr>
          <w:rFonts w:hint="eastAsia"/>
        </w:rPr>
        <w:t>1.1.1.2 合同协议书：指第1.5款所指的合同协议书。</w:t>
      </w:r>
    </w:p>
    <w:p w14:paraId="14842045">
      <w:pPr>
        <w:spacing w:line="400" w:lineRule="exact"/>
        <w:ind w:firstLine="718" w:firstLineChars="342"/>
      </w:pPr>
      <w:r>
        <w:rPr>
          <w:rFonts w:hint="eastAsia"/>
        </w:rPr>
        <w:t>1.1.1.3 中标通知书：指甲方通知乙方中标的函件。</w:t>
      </w:r>
    </w:p>
    <w:p w14:paraId="705D5B8A">
      <w:pPr>
        <w:spacing w:line="400" w:lineRule="exact"/>
        <w:ind w:firstLine="718" w:firstLineChars="342"/>
        <w:rPr>
          <w:dstrike/>
          <w:szCs w:val="21"/>
        </w:rPr>
      </w:pPr>
      <w:r>
        <w:rPr>
          <w:rFonts w:hint="eastAsia"/>
        </w:rPr>
        <w:t>1.1.1.4 投标函：指构成合同文件组成部分的由乙方填写并签署的投标函。</w:t>
      </w:r>
    </w:p>
    <w:p w14:paraId="429E03FA">
      <w:pPr>
        <w:spacing w:line="400" w:lineRule="exact"/>
        <w:ind w:firstLine="718" w:firstLineChars="342"/>
      </w:pPr>
      <w:r>
        <w:rPr>
          <w:rFonts w:hint="eastAsia"/>
        </w:rPr>
        <w:t>1.1.1.5 投标函附录：指附在投标函后构成合同文件的投标函附录。</w:t>
      </w:r>
    </w:p>
    <w:p w14:paraId="476F1D86">
      <w:pPr>
        <w:spacing w:line="400" w:lineRule="exact"/>
        <w:ind w:firstLine="718" w:firstLineChars="342"/>
      </w:pPr>
      <w:r>
        <w:rPr>
          <w:rFonts w:hint="eastAsia"/>
        </w:rPr>
        <w:t>1.1.1.6 技术标准和要求：指构成合同文件组成部分的名为技术标准和要求的文件，包括合同双方当事人约定对其所作的修改或补充。</w:t>
      </w:r>
    </w:p>
    <w:p w14:paraId="4B060FB6">
      <w:pPr>
        <w:spacing w:line="400" w:lineRule="exact"/>
        <w:ind w:firstLine="718" w:firstLineChars="342"/>
      </w:pPr>
      <w:r>
        <w:rPr>
          <w:rFonts w:hint="eastAsia"/>
        </w:rPr>
        <w:t>1.1.1.7图纸：指包含在合同中的工程图纸，以及由甲方按合同约定提供的任何补充和修改的图纸，包括配套的说明。</w:t>
      </w:r>
    </w:p>
    <w:p w14:paraId="2B9D5A2D">
      <w:pPr>
        <w:spacing w:line="400" w:lineRule="exact"/>
        <w:ind w:firstLine="718" w:firstLineChars="342"/>
      </w:pPr>
      <w:r>
        <w:rPr>
          <w:rFonts w:hint="eastAsia"/>
        </w:rPr>
        <w:t>1.1.1.8 已标价工程量清单：指构成合同文件组成部分的由乙方按照规定的格式和要求填写并标明价格的工程量清单。</w:t>
      </w:r>
    </w:p>
    <w:p w14:paraId="57AD2A60">
      <w:pPr>
        <w:spacing w:line="400" w:lineRule="exact"/>
        <w:ind w:firstLine="718" w:firstLineChars="342"/>
      </w:pPr>
      <w:r>
        <w:rPr>
          <w:rFonts w:hint="eastAsia"/>
        </w:rPr>
        <w:t>1.1.1.9 其他合同文件：指经合同双方当事人确认构成合同文件的其他文件。</w:t>
      </w:r>
    </w:p>
    <w:p w14:paraId="0DC83014">
      <w:pPr>
        <w:spacing w:line="400" w:lineRule="exact"/>
        <w:ind w:firstLine="420" w:firstLineChars="200"/>
      </w:pPr>
      <w:r>
        <w:rPr>
          <w:rFonts w:hint="eastAsia"/>
        </w:rPr>
        <w:t xml:space="preserve">1.1.2 </w:t>
      </w:r>
      <w:r>
        <w:rPr>
          <w:rFonts w:hint="eastAsia" w:ascii="黑体" w:eastAsia="黑体"/>
        </w:rPr>
        <w:t>合同当事人和人员</w:t>
      </w:r>
    </w:p>
    <w:p w14:paraId="1ABBF274">
      <w:pPr>
        <w:spacing w:line="400" w:lineRule="exact"/>
        <w:ind w:firstLine="718" w:firstLineChars="342"/>
      </w:pPr>
      <w:r>
        <w:rPr>
          <w:rFonts w:hint="eastAsia"/>
        </w:rPr>
        <w:t>1.1.2.1 合同当事人:指甲方和（或）乙方。</w:t>
      </w:r>
    </w:p>
    <w:p w14:paraId="52508284">
      <w:pPr>
        <w:spacing w:line="400" w:lineRule="exact"/>
        <w:ind w:firstLine="718" w:firstLineChars="342"/>
      </w:pPr>
      <w:r>
        <w:rPr>
          <w:rFonts w:hint="eastAsia"/>
        </w:rPr>
        <w:t>1.1.2.2 甲方：指专用合同条款中指明并与乙方在合同协议书中签字的当事人。</w:t>
      </w:r>
    </w:p>
    <w:p w14:paraId="4299F424">
      <w:pPr>
        <w:spacing w:line="400" w:lineRule="exact"/>
        <w:ind w:firstLine="718" w:firstLineChars="342"/>
      </w:pPr>
      <w:r>
        <w:rPr>
          <w:rFonts w:hint="eastAsia"/>
        </w:rPr>
        <w:t>1.1.2.3 乙方：指与甲方签订合同协议书的当事人。</w:t>
      </w:r>
    </w:p>
    <w:p w14:paraId="581D0DAB">
      <w:pPr>
        <w:spacing w:line="400" w:lineRule="exact"/>
        <w:ind w:firstLine="718" w:firstLineChars="342"/>
      </w:pPr>
      <w:r>
        <w:rPr>
          <w:rFonts w:hint="eastAsia"/>
        </w:rPr>
        <w:t>1.1.2.4 乙方项目经理：指乙方派驻施工场地的全权负责人。</w:t>
      </w:r>
    </w:p>
    <w:p w14:paraId="60BD504E">
      <w:pPr>
        <w:spacing w:line="400" w:lineRule="exact"/>
        <w:ind w:firstLine="718" w:firstLineChars="342"/>
      </w:pPr>
      <w:r>
        <w:rPr>
          <w:rFonts w:hint="eastAsia"/>
        </w:rPr>
        <w:t>1.1.2.5 分包人：指从乙方处分包合同中某一部分工程，并与其签订分包合同的分包人。</w:t>
      </w:r>
    </w:p>
    <w:p w14:paraId="2E674135">
      <w:pPr>
        <w:spacing w:line="400" w:lineRule="exact"/>
        <w:ind w:firstLine="718" w:firstLineChars="342"/>
      </w:pPr>
      <w:r>
        <w:rPr>
          <w:rFonts w:hint="eastAsia"/>
        </w:rPr>
        <w:t>1.1.2.6 监理人：指在专用合同条款中指明的，受甲方委托对合同履行实施管理的法人或其他组织。</w:t>
      </w:r>
    </w:p>
    <w:p w14:paraId="72CD5996">
      <w:pPr>
        <w:spacing w:line="400" w:lineRule="exact"/>
        <w:ind w:firstLine="718" w:firstLineChars="342"/>
      </w:pPr>
      <w:r>
        <w:rPr>
          <w:rFonts w:hint="eastAsia"/>
        </w:rPr>
        <w:t>1.1.2.7 总监理工程师（总监）：指由监理人委派常驻施工场地对合同履行实施管理的全权负责人。</w:t>
      </w:r>
    </w:p>
    <w:p w14:paraId="2875407D">
      <w:pPr>
        <w:spacing w:line="400" w:lineRule="exact"/>
        <w:ind w:firstLine="420" w:firstLineChars="200"/>
      </w:pPr>
      <w:r>
        <w:rPr>
          <w:rFonts w:hint="eastAsia"/>
        </w:rPr>
        <w:t xml:space="preserve">1.1.3 </w:t>
      </w:r>
      <w:r>
        <w:rPr>
          <w:rFonts w:hint="eastAsia" w:ascii="黑体" w:eastAsia="黑体"/>
        </w:rPr>
        <w:t>工程和设备</w:t>
      </w:r>
    </w:p>
    <w:p w14:paraId="15C7146D">
      <w:pPr>
        <w:spacing w:line="400" w:lineRule="exact"/>
        <w:ind w:firstLine="718" w:firstLineChars="342"/>
      </w:pPr>
      <w:r>
        <w:rPr>
          <w:rFonts w:hint="eastAsia"/>
        </w:rPr>
        <w:t>1.1.3.1 工程：指永久工程和（或）临时工程。</w:t>
      </w:r>
    </w:p>
    <w:p w14:paraId="222957DA">
      <w:pPr>
        <w:spacing w:line="400" w:lineRule="exact"/>
        <w:ind w:firstLine="718" w:firstLineChars="342"/>
      </w:pPr>
      <w:r>
        <w:rPr>
          <w:rFonts w:hint="eastAsia"/>
        </w:rPr>
        <w:t>1.1.3.2 永久工程：指按合同约定建造并移交给甲方的工程，包括工程设备。</w:t>
      </w:r>
    </w:p>
    <w:p w14:paraId="57141572">
      <w:pPr>
        <w:spacing w:line="400" w:lineRule="exact"/>
        <w:ind w:firstLine="718" w:firstLineChars="342"/>
      </w:pPr>
      <w:r>
        <w:rPr>
          <w:rFonts w:hint="eastAsia"/>
        </w:rPr>
        <w:t>1.1.3.3 临时工程：指为完成合同约定的永久工程所修建的各类临时性工程，不包括施工设备。</w:t>
      </w:r>
    </w:p>
    <w:p w14:paraId="79FF63BE">
      <w:pPr>
        <w:spacing w:line="400" w:lineRule="exact"/>
        <w:ind w:firstLine="718" w:firstLineChars="342"/>
      </w:pPr>
      <w:r>
        <w:rPr>
          <w:rFonts w:hint="eastAsia"/>
        </w:rPr>
        <w:t>1.1.3.4 单位工程：指专用合同条款中指明特定范围的永久工程。</w:t>
      </w:r>
    </w:p>
    <w:p w14:paraId="08692BB6">
      <w:pPr>
        <w:spacing w:line="400" w:lineRule="exact"/>
        <w:ind w:firstLine="718" w:firstLineChars="342"/>
      </w:pPr>
      <w:r>
        <w:rPr>
          <w:rFonts w:hint="eastAsia"/>
        </w:rPr>
        <w:t>1.1.3.5 工程设备：指构成或计划构成永久工程一部分的机电设备、金属结构设备、仪器装置及其他类似的设备和装置。</w:t>
      </w:r>
    </w:p>
    <w:p w14:paraId="47F35098">
      <w:pPr>
        <w:spacing w:line="400" w:lineRule="exact"/>
        <w:ind w:firstLine="718" w:firstLineChars="342"/>
      </w:pPr>
      <w:r>
        <w:rPr>
          <w:rFonts w:hint="eastAsia"/>
        </w:rPr>
        <w:t>1.1.3.6 施工设备：指为完成合同约定的各项工作所需的设备、器具和其他物品，不包括临时工程和材料。</w:t>
      </w:r>
    </w:p>
    <w:p w14:paraId="3E75A706">
      <w:pPr>
        <w:spacing w:line="400" w:lineRule="exact"/>
        <w:ind w:firstLine="718" w:firstLineChars="342"/>
      </w:pPr>
      <w:r>
        <w:rPr>
          <w:rFonts w:hint="eastAsia"/>
        </w:rPr>
        <w:t>1.1.3.7 临时设施：指为完成合同约定的各项工作所服务的临时性生产和生活设施。</w:t>
      </w:r>
    </w:p>
    <w:p w14:paraId="26382D24">
      <w:pPr>
        <w:spacing w:line="400" w:lineRule="exact"/>
        <w:ind w:firstLine="718" w:firstLineChars="342"/>
      </w:pPr>
      <w:r>
        <w:rPr>
          <w:rFonts w:hint="eastAsia"/>
        </w:rPr>
        <w:t>1.1.3.8 乙方设备：指乙方自带的施工设备。</w:t>
      </w:r>
    </w:p>
    <w:p w14:paraId="3CEA0C28">
      <w:pPr>
        <w:spacing w:line="400" w:lineRule="exact"/>
        <w:ind w:firstLine="718" w:firstLineChars="342"/>
      </w:pPr>
      <w:r>
        <w:rPr>
          <w:rFonts w:hint="eastAsia"/>
        </w:rPr>
        <w:t>1.1.3.9 施工场地（或称工地、现场）：指用于合同工程施工的场所，以及在合同中指定作为施工场地组成部分的其他场所，包括永久占地和临时占地。</w:t>
      </w:r>
    </w:p>
    <w:p w14:paraId="3126F62D">
      <w:pPr>
        <w:spacing w:line="400" w:lineRule="exact"/>
        <w:ind w:firstLine="718" w:firstLineChars="342"/>
      </w:pPr>
      <w:r>
        <w:rPr>
          <w:rFonts w:hint="eastAsia"/>
        </w:rPr>
        <w:t>1.1.3.10 永久占地：指专用合同条款中指明为实施合同工程需永久占用的土地。</w:t>
      </w:r>
    </w:p>
    <w:p w14:paraId="0771AFF4">
      <w:pPr>
        <w:spacing w:line="400" w:lineRule="exact"/>
        <w:ind w:firstLine="718" w:firstLineChars="342"/>
      </w:pPr>
      <w:r>
        <w:rPr>
          <w:rFonts w:hint="eastAsia"/>
        </w:rPr>
        <w:t>1.1.3.11 临时占地：指专用合同条款中指明为实施合同工程需临时占用的土地。</w:t>
      </w:r>
    </w:p>
    <w:p w14:paraId="5F944270">
      <w:pPr>
        <w:spacing w:line="400" w:lineRule="exact"/>
        <w:ind w:firstLine="420" w:firstLineChars="200"/>
      </w:pPr>
      <w:r>
        <w:rPr>
          <w:rFonts w:hint="eastAsia"/>
        </w:rPr>
        <w:t xml:space="preserve">1.1.4 </w:t>
      </w:r>
      <w:r>
        <w:rPr>
          <w:rFonts w:hint="eastAsia" w:ascii="黑体" w:eastAsia="黑体"/>
        </w:rPr>
        <w:t>日期</w:t>
      </w:r>
    </w:p>
    <w:p w14:paraId="3BCA46FF">
      <w:pPr>
        <w:spacing w:line="400" w:lineRule="exact"/>
        <w:ind w:firstLine="718" w:firstLineChars="342"/>
      </w:pPr>
      <w:r>
        <w:rPr>
          <w:rFonts w:hint="eastAsia"/>
        </w:rPr>
        <w:t>1.1.4.1 开工通知：指监理人按第11.1款通知乙方开工的函件。</w:t>
      </w:r>
    </w:p>
    <w:p w14:paraId="67BCC581">
      <w:pPr>
        <w:spacing w:line="400" w:lineRule="exact"/>
        <w:ind w:firstLine="718" w:firstLineChars="342"/>
      </w:pPr>
      <w:r>
        <w:rPr>
          <w:rFonts w:hint="eastAsia"/>
        </w:rPr>
        <w:t>1.1.4.2 开工日期：指监理人按第11.1款发出的开工通知中写明的开工日期。</w:t>
      </w:r>
    </w:p>
    <w:p w14:paraId="2605ED56">
      <w:pPr>
        <w:spacing w:line="400" w:lineRule="exact"/>
        <w:ind w:firstLine="718" w:firstLineChars="342"/>
      </w:pPr>
      <w:r>
        <w:rPr>
          <w:rFonts w:hint="eastAsia"/>
        </w:rPr>
        <w:t>1.1.4.3工期：指乙方在投标函中承诺的完成合同工程所需的期限，包括按第11.3款、第11.4款和第11.6款约定所作的变更。</w:t>
      </w:r>
    </w:p>
    <w:p w14:paraId="14CDB5EC">
      <w:pPr>
        <w:spacing w:line="400" w:lineRule="exact"/>
        <w:ind w:firstLine="718" w:firstLineChars="342"/>
      </w:pPr>
      <w:r>
        <w:rPr>
          <w:rFonts w:hint="eastAsia"/>
        </w:rPr>
        <w:t>1.1.4.4 竣工日期：指第1.1.4.3目约定工期届满时的日期。实际竣工日期以工程接收证书中写明的日期为准。</w:t>
      </w:r>
    </w:p>
    <w:p w14:paraId="563DF789">
      <w:pPr>
        <w:spacing w:line="400" w:lineRule="exact"/>
        <w:ind w:firstLine="718" w:firstLineChars="342"/>
      </w:pPr>
      <w:r>
        <w:rPr>
          <w:rFonts w:hint="eastAsia"/>
        </w:rPr>
        <w:t>1.1.4.5 缺陷责任期：指履行第19.2款约定的缺陷责任的期限，具体期限由专用合同条款约定，包括根据第19.3款约定所作的延长。</w:t>
      </w:r>
    </w:p>
    <w:p w14:paraId="698FC739">
      <w:pPr>
        <w:spacing w:line="400" w:lineRule="exact"/>
        <w:ind w:firstLine="718" w:firstLineChars="342"/>
      </w:pPr>
      <w:r>
        <w:rPr>
          <w:rFonts w:hint="eastAsia"/>
        </w:rPr>
        <w:t>1.1.4.6 基准日期：指投标截止时间前28天的日期。</w:t>
      </w:r>
    </w:p>
    <w:p w14:paraId="03D3F33A">
      <w:pPr>
        <w:spacing w:line="400" w:lineRule="exact"/>
        <w:ind w:firstLine="718" w:firstLineChars="342"/>
      </w:pPr>
      <w:r>
        <w:rPr>
          <w:rFonts w:hint="eastAsia"/>
        </w:rPr>
        <w:t>1.1.4.7 天：除特别指明外，指日历天。合同中按天计算时间的，开始当天不计入，从次日开始计算。期限最后一天的截止时间为当天24:00。</w:t>
      </w:r>
    </w:p>
    <w:p w14:paraId="717C77B9">
      <w:pPr>
        <w:spacing w:line="400" w:lineRule="exact"/>
        <w:ind w:firstLine="420" w:firstLineChars="200"/>
      </w:pPr>
      <w:r>
        <w:rPr>
          <w:rFonts w:hint="eastAsia"/>
        </w:rPr>
        <w:t xml:space="preserve">1.1.5 </w:t>
      </w:r>
      <w:r>
        <w:rPr>
          <w:rFonts w:hint="eastAsia" w:ascii="黑体" w:eastAsia="黑体"/>
        </w:rPr>
        <w:t>合同价格和费用</w:t>
      </w:r>
    </w:p>
    <w:p w14:paraId="5C6C4702">
      <w:pPr>
        <w:spacing w:line="400" w:lineRule="exact"/>
        <w:ind w:firstLine="718" w:firstLineChars="342"/>
      </w:pPr>
      <w:r>
        <w:rPr>
          <w:rFonts w:hint="eastAsia"/>
        </w:rPr>
        <w:t>1.1.5.1 签约合同价：指签定合同时合同协议书中写明的，包括了暂列金额、暂估价的合同总金额。</w:t>
      </w:r>
    </w:p>
    <w:p w14:paraId="24E664A5">
      <w:pPr>
        <w:spacing w:line="400" w:lineRule="exact"/>
        <w:ind w:firstLine="718" w:firstLineChars="342"/>
      </w:pPr>
      <w:r>
        <w:rPr>
          <w:rFonts w:hint="eastAsia"/>
        </w:rPr>
        <w:t>1.1.5.2 合同价格：指乙方按合同约定完成了包括缺陷责任期内的全部承包工作后，甲方应付给乙方的金额，包括在履行合同过程中按合同约定进行的变更和调整。</w:t>
      </w:r>
    </w:p>
    <w:p w14:paraId="0DDB48C4">
      <w:pPr>
        <w:spacing w:line="400" w:lineRule="exact"/>
        <w:ind w:firstLine="718" w:firstLineChars="342"/>
      </w:pPr>
      <w:r>
        <w:rPr>
          <w:rFonts w:hint="eastAsia"/>
        </w:rPr>
        <w:t>1.1.5.3 费用：指为履行合同所发生的或将要发生的所有合理开支，包括管理费和应分摊的其他费用，但不包括利润。</w:t>
      </w:r>
    </w:p>
    <w:p w14:paraId="737BE575">
      <w:pPr>
        <w:spacing w:line="400" w:lineRule="exact"/>
        <w:ind w:firstLine="718" w:firstLineChars="342"/>
      </w:pPr>
      <w:r>
        <w:rPr>
          <w:rFonts w:hint="eastAsia"/>
        </w:rPr>
        <w:t>1.1.5.4 暂列金额：指已标价工程量清单中所列的暂列金额，用于在签订协议书时尚未确定或不可预见变更的施工及其所需材料、工程设备、服务等的金额，包括以计日工方式支付的金额。</w:t>
      </w:r>
    </w:p>
    <w:p w14:paraId="197535AA">
      <w:pPr>
        <w:spacing w:line="400" w:lineRule="exact"/>
        <w:ind w:firstLine="718" w:firstLineChars="342"/>
      </w:pPr>
      <w:r>
        <w:rPr>
          <w:rFonts w:hint="eastAsia"/>
        </w:rPr>
        <w:t>1.1.5.5暂估价：指甲方在工程量清单中给定的用于支付必然发生但暂时不能确定价格的材料、设备以及专业工程的金额。</w:t>
      </w:r>
    </w:p>
    <w:p w14:paraId="79A8F90E">
      <w:pPr>
        <w:spacing w:line="400" w:lineRule="exact"/>
        <w:ind w:firstLine="718" w:firstLineChars="342"/>
      </w:pPr>
      <w:r>
        <w:rPr>
          <w:rFonts w:hint="eastAsia"/>
        </w:rPr>
        <w:t>1.1.5.6 计日工：指对零星工作采取的一种计价方式，按合同中的计日工子目及其单价计价付款。</w:t>
      </w:r>
    </w:p>
    <w:p w14:paraId="1B67DB34">
      <w:pPr>
        <w:spacing w:line="400" w:lineRule="exact"/>
        <w:ind w:firstLine="718" w:firstLineChars="342"/>
      </w:pPr>
      <w:r>
        <w:rPr>
          <w:rFonts w:hint="eastAsia"/>
        </w:rPr>
        <w:t>1.1.5.7 质量保证金（或称保留金）：指按第17.4.1项约定用于保证在缺陷责任期内履行缺陷修复义务的金额。</w:t>
      </w:r>
    </w:p>
    <w:p w14:paraId="3C14022C">
      <w:pPr>
        <w:spacing w:line="400" w:lineRule="exact"/>
        <w:ind w:firstLine="420" w:firstLineChars="200"/>
      </w:pPr>
      <w:r>
        <w:rPr>
          <w:rFonts w:hint="eastAsia"/>
        </w:rPr>
        <w:t xml:space="preserve">1.1.6 </w:t>
      </w:r>
      <w:r>
        <w:rPr>
          <w:rFonts w:hint="eastAsia" w:ascii="黑体" w:eastAsia="黑体"/>
        </w:rPr>
        <w:t>其他</w:t>
      </w:r>
    </w:p>
    <w:p w14:paraId="599679B7">
      <w:pPr>
        <w:spacing w:line="400" w:lineRule="exact"/>
        <w:ind w:firstLine="718" w:firstLineChars="342"/>
      </w:pPr>
      <w:r>
        <w:rPr>
          <w:rFonts w:hint="eastAsia"/>
        </w:rPr>
        <w:t>1.1.6.1 书面形式：指合同文件、信函、电报、传真等可以有形地表现所载内容的形式。</w:t>
      </w:r>
    </w:p>
    <w:p w14:paraId="13A44547">
      <w:pPr>
        <w:pStyle w:val="251"/>
        <w:tabs>
          <w:tab w:val="left" w:pos="720"/>
        </w:tabs>
        <w:outlineLvl w:val="0"/>
      </w:pPr>
      <w:r>
        <w:rPr>
          <w:rFonts w:hint="eastAsia"/>
        </w:rPr>
        <w:t>1.2 语言文字</w:t>
      </w:r>
    </w:p>
    <w:p w14:paraId="3FC50091">
      <w:pPr>
        <w:spacing w:line="400" w:lineRule="exact"/>
        <w:ind w:firstLine="420" w:firstLineChars="200"/>
      </w:pPr>
      <w:r>
        <w:rPr>
          <w:rFonts w:hint="eastAsia"/>
        </w:rPr>
        <w:t>除专用术语外，合同使用的语言文字为中文。必要时专用术语应附有中文注释。</w:t>
      </w:r>
    </w:p>
    <w:p w14:paraId="386FCA08">
      <w:pPr>
        <w:pStyle w:val="251"/>
        <w:tabs>
          <w:tab w:val="left" w:pos="720"/>
        </w:tabs>
        <w:outlineLvl w:val="0"/>
      </w:pPr>
      <w:r>
        <w:rPr>
          <w:rFonts w:hint="eastAsia"/>
        </w:rPr>
        <w:t>1.3 法律</w:t>
      </w:r>
    </w:p>
    <w:p w14:paraId="793D7F01">
      <w:pPr>
        <w:spacing w:line="400" w:lineRule="exact"/>
        <w:ind w:firstLine="420" w:firstLineChars="200"/>
      </w:pPr>
      <w:r>
        <w:rPr>
          <w:rFonts w:hint="eastAsia"/>
        </w:rPr>
        <w:t>适用于合同的法律包括中华人民共和国法律、行政法规、部门规章，以及工程所在地的地方法规、自治条例、单行条例和地方政府规章。</w:t>
      </w:r>
    </w:p>
    <w:p w14:paraId="7DFC3B96">
      <w:pPr>
        <w:pStyle w:val="251"/>
        <w:tabs>
          <w:tab w:val="left" w:pos="720"/>
        </w:tabs>
        <w:outlineLvl w:val="0"/>
      </w:pPr>
      <w:r>
        <w:rPr>
          <w:rFonts w:hint="eastAsia"/>
        </w:rPr>
        <w:t>1.4 合同文件的优先顺序</w:t>
      </w:r>
    </w:p>
    <w:p w14:paraId="6BEA7B73">
      <w:pPr>
        <w:spacing w:line="400" w:lineRule="exact"/>
        <w:ind w:firstLine="420" w:firstLineChars="200"/>
      </w:pPr>
      <w:r>
        <w:rPr>
          <w:rFonts w:hint="eastAsia"/>
        </w:rPr>
        <w:t>组成合同的各项文件应互相解释，互为说明。除专用合同条款另有约定外，解释合同文件的优先顺序如下：</w:t>
      </w:r>
    </w:p>
    <w:p w14:paraId="640C64CE">
      <w:pPr>
        <w:spacing w:line="400" w:lineRule="exact"/>
        <w:ind w:firstLine="359" w:firstLineChars="171"/>
      </w:pPr>
      <w:r>
        <w:rPr>
          <w:rFonts w:hint="eastAsia"/>
        </w:rPr>
        <w:t>（1）合同协议书；</w:t>
      </w:r>
    </w:p>
    <w:p w14:paraId="7E972A23">
      <w:pPr>
        <w:spacing w:line="400" w:lineRule="exact"/>
        <w:ind w:firstLine="359" w:firstLineChars="171"/>
      </w:pPr>
      <w:r>
        <w:rPr>
          <w:rFonts w:hint="eastAsia"/>
        </w:rPr>
        <w:t>（2）中标通知书；</w:t>
      </w:r>
    </w:p>
    <w:p w14:paraId="601F50AC">
      <w:pPr>
        <w:spacing w:line="400" w:lineRule="exact"/>
        <w:ind w:firstLine="359" w:firstLineChars="171"/>
      </w:pPr>
      <w:r>
        <w:rPr>
          <w:rFonts w:hint="eastAsia"/>
        </w:rPr>
        <w:t>（3）投标函及投标函附录；</w:t>
      </w:r>
    </w:p>
    <w:p w14:paraId="008AF5F4">
      <w:pPr>
        <w:spacing w:line="400" w:lineRule="exact"/>
        <w:ind w:firstLine="359" w:firstLineChars="171"/>
      </w:pPr>
      <w:r>
        <w:rPr>
          <w:rFonts w:hint="eastAsia"/>
        </w:rPr>
        <w:t>（4）专用合同条款；</w:t>
      </w:r>
    </w:p>
    <w:p w14:paraId="2E0828CA">
      <w:pPr>
        <w:spacing w:line="400" w:lineRule="exact"/>
        <w:ind w:firstLine="359" w:firstLineChars="171"/>
      </w:pPr>
      <w:r>
        <w:rPr>
          <w:rFonts w:hint="eastAsia"/>
        </w:rPr>
        <w:t>（5）通用合同条款；</w:t>
      </w:r>
    </w:p>
    <w:p w14:paraId="538FBFF6">
      <w:pPr>
        <w:spacing w:line="400" w:lineRule="exact"/>
        <w:ind w:firstLine="359" w:firstLineChars="171"/>
      </w:pPr>
      <w:r>
        <w:rPr>
          <w:rFonts w:hint="eastAsia"/>
        </w:rPr>
        <w:t>（6）技术标准和要求；</w:t>
      </w:r>
    </w:p>
    <w:p w14:paraId="2C615554">
      <w:pPr>
        <w:spacing w:line="400" w:lineRule="exact"/>
        <w:ind w:firstLine="359" w:firstLineChars="171"/>
      </w:pPr>
      <w:r>
        <w:rPr>
          <w:rFonts w:hint="eastAsia"/>
        </w:rPr>
        <w:t>（7）图纸；</w:t>
      </w:r>
    </w:p>
    <w:p w14:paraId="148DFD21">
      <w:pPr>
        <w:spacing w:line="400" w:lineRule="exact"/>
        <w:ind w:firstLine="359" w:firstLineChars="171"/>
      </w:pPr>
      <w:r>
        <w:rPr>
          <w:rFonts w:hint="eastAsia"/>
        </w:rPr>
        <w:t>（8）已标价工程量清单；</w:t>
      </w:r>
    </w:p>
    <w:p w14:paraId="74AC2329">
      <w:pPr>
        <w:spacing w:line="400" w:lineRule="exact"/>
        <w:ind w:firstLine="359" w:firstLineChars="171"/>
      </w:pPr>
      <w:r>
        <w:rPr>
          <w:rFonts w:hint="eastAsia"/>
        </w:rPr>
        <w:t>（9）其他合同文件。</w:t>
      </w:r>
    </w:p>
    <w:p w14:paraId="441FC406">
      <w:pPr>
        <w:pStyle w:val="251"/>
        <w:tabs>
          <w:tab w:val="left" w:pos="720"/>
        </w:tabs>
        <w:outlineLvl w:val="0"/>
      </w:pPr>
      <w:r>
        <w:rPr>
          <w:rFonts w:hint="eastAsia"/>
        </w:rPr>
        <w:t>1.5 合同协议书</w:t>
      </w:r>
    </w:p>
    <w:p w14:paraId="7B2909DC">
      <w:pPr>
        <w:spacing w:line="400" w:lineRule="exact"/>
        <w:ind w:firstLine="420" w:firstLineChars="200"/>
      </w:pPr>
      <w:r>
        <w:rPr>
          <w:rFonts w:hint="eastAsia"/>
        </w:rPr>
        <w:t>乙方按中标通知书规定的时间与甲方签订合同协议书。除法律另有规定或合同另有约定外，甲方和乙方的法定代表人或其委托代理人在合同协议书上签字并盖单位章后，合同生效。</w:t>
      </w:r>
    </w:p>
    <w:p w14:paraId="46B54AC2">
      <w:pPr>
        <w:pStyle w:val="251"/>
        <w:tabs>
          <w:tab w:val="left" w:pos="720"/>
        </w:tabs>
        <w:outlineLvl w:val="0"/>
      </w:pPr>
      <w:r>
        <w:rPr>
          <w:rFonts w:hint="eastAsia"/>
        </w:rPr>
        <w:t>1.6 图纸和乙方文件</w:t>
      </w:r>
    </w:p>
    <w:p w14:paraId="174BD3B7">
      <w:pPr>
        <w:spacing w:line="400" w:lineRule="exact"/>
        <w:ind w:firstLine="420" w:firstLineChars="200"/>
      </w:pPr>
      <w:r>
        <w:rPr>
          <w:rFonts w:hint="eastAsia"/>
        </w:rPr>
        <w:t>1.6.1</w:t>
      </w:r>
      <w:r>
        <w:rPr>
          <w:rFonts w:hint="eastAsia" w:ascii="黑体" w:eastAsia="黑体"/>
        </w:rPr>
        <w:t>图纸的提供</w:t>
      </w:r>
    </w:p>
    <w:p w14:paraId="7D2B72A0">
      <w:pPr>
        <w:spacing w:line="400" w:lineRule="exact"/>
        <w:ind w:firstLine="420" w:firstLineChars="200"/>
      </w:pPr>
      <w:r>
        <w:rPr>
          <w:rFonts w:hint="eastAsia"/>
        </w:rPr>
        <w:t>除专用合同条款另有约定外，图纸应在合理的期限内按照合同约定的数量提供给乙方。由于甲方未按时提供图纸造成工期延误的，按第11.3款的约定办理。</w:t>
      </w:r>
    </w:p>
    <w:p w14:paraId="645F1BF0">
      <w:pPr>
        <w:spacing w:line="400" w:lineRule="exact"/>
        <w:ind w:firstLine="420" w:firstLineChars="200"/>
      </w:pPr>
      <w:r>
        <w:rPr>
          <w:rFonts w:hint="eastAsia"/>
        </w:rPr>
        <w:t xml:space="preserve">1.6.2 </w:t>
      </w:r>
      <w:r>
        <w:rPr>
          <w:rFonts w:hint="eastAsia" w:ascii="黑体" w:eastAsia="黑体"/>
        </w:rPr>
        <w:t>乙方提供的文件</w:t>
      </w:r>
    </w:p>
    <w:p w14:paraId="52E5471F">
      <w:pPr>
        <w:spacing w:line="400" w:lineRule="exact"/>
      </w:pPr>
      <w:r>
        <w:rPr>
          <w:rFonts w:hint="eastAsia"/>
        </w:rPr>
        <w:t>　　按专用合同条款约定由乙方提供的文件，包括部分工程的大样图、加工图等，乙方应按约定的数量和期限报送监理人。监理人应在专用合同条款约定的期限内批复。</w:t>
      </w:r>
    </w:p>
    <w:p w14:paraId="40DD4886">
      <w:pPr>
        <w:spacing w:line="400" w:lineRule="exact"/>
        <w:ind w:firstLine="420" w:firstLineChars="200"/>
      </w:pPr>
      <w:r>
        <w:rPr>
          <w:rFonts w:hint="eastAsia"/>
        </w:rPr>
        <w:t xml:space="preserve">1.6.3 </w:t>
      </w:r>
      <w:r>
        <w:rPr>
          <w:rFonts w:hint="eastAsia" w:ascii="黑体" w:eastAsia="黑体"/>
        </w:rPr>
        <w:t>图纸的修改</w:t>
      </w:r>
    </w:p>
    <w:p w14:paraId="3369E92D">
      <w:pPr>
        <w:spacing w:line="400" w:lineRule="exact"/>
        <w:ind w:firstLine="420" w:firstLineChars="200"/>
      </w:pPr>
      <w:r>
        <w:rPr>
          <w:rFonts w:hint="eastAsia"/>
        </w:rPr>
        <w:t>图纸需要修改和补充的，应由监理人取得甲方同意后，在该工程或工程相应部位施工前的合理期限内签发图纸修改图给乙方，具体签发期限在专用合同条款中约定。乙方应按修改后的图纸施工。</w:t>
      </w:r>
    </w:p>
    <w:p w14:paraId="1108D57A">
      <w:pPr>
        <w:spacing w:line="400" w:lineRule="exact"/>
        <w:ind w:firstLine="420" w:firstLineChars="200"/>
      </w:pPr>
      <w:r>
        <w:rPr>
          <w:rFonts w:hint="eastAsia"/>
        </w:rPr>
        <w:t xml:space="preserve">1.6.4 </w:t>
      </w:r>
      <w:r>
        <w:rPr>
          <w:rFonts w:hint="eastAsia" w:ascii="黑体" w:eastAsia="黑体"/>
        </w:rPr>
        <w:t>图纸的错误</w:t>
      </w:r>
    </w:p>
    <w:p w14:paraId="7CBE3FED">
      <w:pPr>
        <w:spacing w:line="400" w:lineRule="exact"/>
        <w:ind w:firstLine="420" w:firstLineChars="200"/>
      </w:pPr>
      <w:r>
        <w:rPr>
          <w:rFonts w:hint="eastAsia"/>
        </w:rPr>
        <w:t>乙方发现甲方提供的图纸存在明显错误或疏忽，应及时通知监理人。</w:t>
      </w:r>
    </w:p>
    <w:p w14:paraId="622D626F">
      <w:pPr>
        <w:spacing w:line="400" w:lineRule="exact"/>
        <w:ind w:firstLine="420" w:firstLineChars="200"/>
      </w:pPr>
      <w:r>
        <w:rPr>
          <w:rFonts w:hint="eastAsia"/>
        </w:rPr>
        <w:t xml:space="preserve">1.6.5 </w:t>
      </w:r>
      <w:r>
        <w:rPr>
          <w:rFonts w:hint="eastAsia" w:ascii="黑体" w:eastAsia="黑体"/>
        </w:rPr>
        <w:t>图纸和乙方文件的保管</w:t>
      </w:r>
    </w:p>
    <w:p w14:paraId="43F083D4">
      <w:pPr>
        <w:spacing w:line="400" w:lineRule="exact"/>
        <w:ind w:firstLine="420" w:firstLineChars="200"/>
      </w:pPr>
      <w:r>
        <w:rPr>
          <w:rFonts w:hint="eastAsia"/>
        </w:rPr>
        <w:t>监理人和乙方均应在施工场地各保存一套完整的包含第1.6.1项、第1.6.2项、第1.6.3项约定内容的图纸和乙方文件。</w:t>
      </w:r>
    </w:p>
    <w:p w14:paraId="12C66022">
      <w:pPr>
        <w:pStyle w:val="251"/>
        <w:tabs>
          <w:tab w:val="left" w:pos="720"/>
        </w:tabs>
        <w:outlineLvl w:val="0"/>
      </w:pPr>
      <w:r>
        <w:rPr>
          <w:rFonts w:hint="eastAsia"/>
        </w:rPr>
        <w:t>1.7 联络</w:t>
      </w:r>
    </w:p>
    <w:p w14:paraId="6F8EC154">
      <w:pPr>
        <w:spacing w:line="400" w:lineRule="exact"/>
        <w:ind w:firstLine="420" w:firstLineChars="200"/>
      </w:pPr>
      <w:r>
        <w:rPr>
          <w:rFonts w:hint="eastAsia"/>
        </w:rPr>
        <w:t>1.7.1 与合同有关的通知、批准、证明、证书、指示、要求、请求、同意、意见、确定和决定等，均应采用书面形式。</w:t>
      </w:r>
    </w:p>
    <w:p w14:paraId="2DA4EB5C">
      <w:pPr>
        <w:spacing w:line="400" w:lineRule="exact"/>
        <w:ind w:firstLine="420" w:firstLineChars="200"/>
      </w:pPr>
      <w:r>
        <w:rPr>
          <w:rFonts w:hint="eastAsia"/>
        </w:rPr>
        <w:t>1.7.2 第1.7.1项中的通知、批准、证明、证书、指示、要求、请求、同意、意见、确定和决定等来往函件，均应在合同约定的期限内送达指定地点和接收人，并办理签收手续。</w:t>
      </w:r>
    </w:p>
    <w:p w14:paraId="65BD2D9A">
      <w:pPr>
        <w:pStyle w:val="251"/>
        <w:tabs>
          <w:tab w:val="left" w:pos="720"/>
        </w:tabs>
        <w:outlineLvl w:val="0"/>
      </w:pPr>
      <w:r>
        <w:rPr>
          <w:rFonts w:hint="eastAsia"/>
        </w:rPr>
        <w:t>1.8 转让</w:t>
      </w:r>
    </w:p>
    <w:p w14:paraId="3CA8BCB4">
      <w:pPr>
        <w:spacing w:line="400" w:lineRule="exact"/>
        <w:ind w:firstLine="420" w:firstLineChars="200"/>
      </w:pPr>
      <w:r>
        <w:rPr>
          <w:rFonts w:hint="eastAsia"/>
        </w:rPr>
        <w:t>除合同另有约定外，未经对方当事人同意，一方当事人不得将合同权利全部或部分转让给第三人，也不得全部或部分转移合同义务。</w:t>
      </w:r>
    </w:p>
    <w:p w14:paraId="5E8E8E22">
      <w:pPr>
        <w:pStyle w:val="251"/>
        <w:tabs>
          <w:tab w:val="left" w:pos="720"/>
        </w:tabs>
        <w:outlineLvl w:val="0"/>
      </w:pPr>
      <w:r>
        <w:rPr>
          <w:rFonts w:hint="eastAsia"/>
        </w:rPr>
        <w:t>1.9 严禁贿赂</w:t>
      </w:r>
    </w:p>
    <w:p w14:paraId="4B79ACFD">
      <w:pPr>
        <w:spacing w:line="400" w:lineRule="exact"/>
        <w:ind w:firstLine="420" w:firstLineChars="200"/>
      </w:pPr>
      <w:r>
        <w:rPr>
          <w:rFonts w:hint="eastAsia"/>
        </w:rPr>
        <w:t>合同双方当事人不得以贿赂或变相贿赂的方式，谋取不当利益或损害对方权益。因贿赂造成对方损失的，行为人应赔偿损失，并承担相应的法律责任。</w:t>
      </w:r>
    </w:p>
    <w:p w14:paraId="65469BD3">
      <w:pPr>
        <w:pStyle w:val="251"/>
        <w:tabs>
          <w:tab w:val="left" w:pos="720"/>
        </w:tabs>
        <w:outlineLvl w:val="0"/>
      </w:pPr>
      <w:r>
        <w:rPr>
          <w:rFonts w:hint="eastAsia"/>
        </w:rPr>
        <w:t>1.10 化石、文物</w:t>
      </w:r>
    </w:p>
    <w:p w14:paraId="2A43D3B4">
      <w:pPr>
        <w:spacing w:line="400" w:lineRule="exact"/>
        <w:ind w:firstLine="420" w:firstLineChars="200"/>
      </w:pPr>
      <w:r>
        <w:rPr>
          <w:rFonts w:hint="eastAsia"/>
        </w:rPr>
        <w:t>1.10.1 在施工场地发掘的所有文物、古迹以及具有地质研究或考古价值的其他遗迹、化石、钱币或物品属于国家所有。一旦发现上述文物，乙方应采取有效合理的保护措施，防止任何人员移动或损坏上述物品，并立即报告当地文物行政部门，同时通知监理人。甲方、监理人和乙方应按文物行政部门要求采取妥善保护措施，由此导致费用增加和（或）工期延误由甲方承担。</w:t>
      </w:r>
    </w:p>
    <w:p w14:paraId="4DB312BF">
      <w:pPr>
        <w:spacing w:line="400" w:lineRule="exact"/>
        <w:ind w:firstLine="420" w:firstLineChars="200"/>
      </w:pPr>
      <w:r>
        <w:rPr>
          <w:rFonts w:hint="eastAsia"/>
        </w:rPr>
        <w:t>1.10.2 乙方发现文物后不及时报告或隐瞒不报，致使文物丢失或损坏的，应赔偿损失，并承担相应的法律责任。</w:t>
      </w:r>
    </w:p>
    <w:p w14:paraId="42D86779">
      <w:pPr>
        <w:pStyle w:val="251"/>
        <w:tabs>
          <w:tab w:val="left" w:pos="720"/>
        </w:tabs>
        <w:outlineLvl w:val="0"/>
      </w:pPr>
      <w:r>
        <w:rPr>
          <w:rFonts w:hint="eastAsia"/>
        </w:rPr>
        <w:t>1.11 专利技术</w:t>
      </w:r>
    </w:p>
    <w:p w14:paraId="4B0EB818">
      <w:pPr>
        <w:spacing w:line="400" w:lineRule="exact"/>
        <w:ind w:firstLine="420" w:firstLineChars="200"/>
      </w:pPr>
      <w:r>
        <w:rPr>
          <w:rFonts w:hint="eastAsia"/>
        </w:rPr>
        <w:t>1.11.1 乙方在使用任何材料、乙方设备、工程设备或采用施工工艺时，因侵犯专利权或其他知识产权所引起的责任，由乙方承担，但由于遵照甲方提供的设计或技术标准和要求引起的除外。</w:t>
      </w:r>
    </w:p>
    <w:p w14:paraId="119C862F">
      <w:pPr>
        <w:spacing w:line="400" w:lineRule="exact"/>
        <w:ind w:firstLine="420" w:firstLineChars="200"/>
      </w:pPr>
      <w:r>
        <w:rPr>
          <w:rFonts w:hint="eastAsia"/>
        </w:rPr>
        <w:t>1.11.2 乙方在投标文件中采用专利技术的，专利技术的使用费包含在投标报价内。</w:t>
      </w:r>
    </w:p>
    <w:p w14:paraId="5AACEB74">
      <w:pPr>
        <w:spacing w:line="400" w:lineRule="exact"/>
        <w:ind w:firstLine="420" w:firstLineChars="200"/>
      </w:pPr>
      <w:r>
        <w:rPr>
          <w:rFonts w:hint="eastAsia"/>
        </w:rPr>
        <w:t>1.11.3 乙方的技术秘密和声明需要保密的资料和信息，甲方和监理人不得为合同以外的目的泄露给他人。</w:t>
      </w:r>
    </w:p>
    <w:p w14:paraId="0BA2C7E6">
      <w:pPr>
        <w:pStyle w:val="251"/>
        <w:tabs>
          <w:tab w:val="left" w:pos="720"/>
        </w:tabs>
        <w:outlineLvl w:val="0"/>
      </w:pPr>
      <w:r>
        <w:rPr>
          <w:rFonts w:hint="eastAsia"/>
        </w:rPr>
        <w:t>1.12 图纸和文件的保密</w:t>
      </w:r>
    </w:p>
    <w:p w14:paraId="22DB4B71">
      <w:pPr>
        <w:spacing w:line="400" w:lineRule="exact"/>
        <w:ind w:firstLine="420" w:firstLineChars="200"/>
      </w:pPr>
      <w:r>
        <w:rPr>
          <w:rFonts w:hint="eastAsia"/>
        </w:rPr>
        <w:t>1.12.1 甲方提供的图纸和文件，未经甲方同意，乙方不得为合同以外的目的泄露给他人或公开发表与引用。</w:t>
      </w:r>
    </w:p>
    <w:p w14:paraId="22CF29D5">
      <w:pPr>
        <w:spacing w:line="400" w:lineRule="exact"/>
        <w:ind w:firstLine="420" w:firstLineChars="200"/>
      </w:pPr>
      <w:r>
        <w:rPr>
          <w:rFonts w:hint="eastAsia"/>
        </w:rPr>
        <w:t>1.12.2 乙方提供的文件，未经乙方同意，甲方和监理人不得为合同以外的目的泄露给他人或公开发表与引用。</w:t>
      </w:r>
    </w:p>
    <w:p w14:paraId="7E53C93C">
      <w:pPr>
        <w:pStyle w:val="250"/>
        <w:spacing w:before="0"/>
      </w:pPr>
      <w:r>
        <w:rPr>
          <w:rFonts w:hint="eastAsia"/>
        </w:rPr>
        <w:t>2. 甲方义务</w:t>
      </w:r>
    </w:p>
    <w:p w14:paraId="23BE61C0">
      <w:pPr>
        <w:pStyle w:val="251"/>
        <w:tabs>
          <w:tab w:val="left" w:pos="720"/>
        </w:tabs>
        <w:outlineLvl w:val="0"/>
      </w:pPr>
      <w:r>
        <w:rPr>
          <w:rFonts w:hint="eastAsia"/>
        </w:rPr>
        <w:t>2.1 遵守法律</w:t>
      </w:r>
    </w:p>
    <w:p w14:paraId="36B36A65">
      <w:pPr>
        <w:spacing w:line="400" w:lineRule="exact"/>
        <w:ind w:firstLine="420" w:firstLineChars="200"/>
      </w:pPr>
      <w:r>
        <w:rPr>
          <w:rFonts w:hint="eastAsia"/>
        </w:rPr>
        <w:t>甲方在履行合同过程中应遵守法律，并保证乙方免于承担因甲方违反法律而引起的任何责任。</w:t>
      </w:r>
    </w:p>
    <w:p w14:paraId="70F92731">
      <w:pPr>
        <w:pStyle w:val="251"/>
        <w:tabs>
          <w:tab w:val="left" w:pos="720"/>
        </w:tabs>
        <w:outlineLvl w:val="0"/>
      </w:pPr>
      <w:r>
        <w:rPr>
          <w:rFonts w:hint="eastAsia"/>
        </w:rPr>
        <w:t>2.2 发出开工通知</w:t>
      </w:r>
    </w:p>
    <w:p w14:paraId="0C9A9AFE">
      <w:pPr>
        <w:spacing w:line="400" w:lineRule="exact"/>
        <w:ind w:firstLine="420" w:firstLineChars="200"/>
      </w:pPr>
      <w:r>
        <w:rPr>
          <w:rFonts w:hint="eastAsia"/>
        </w:rPr>
        <w:t>甲方应委托监理人按第11.1款的约定向乙方发出开工通知。</w:t>
      </w:r>
    </w:p>
    <w:p w14:paraId="42313610">
      <w:pPr>
        <w:pStyle w:val="251"/>
        <w:tabs>
          <w:tab w:val="left" w:pos="720"/>
        </w:tabs>
        <w:outlineLvl w:val="0"/>
      </w:pPr>
      <w:r>
        <w:rPr>
          <w:rFonts w:hint="eastAsia"/>
        </w:rPr>
        <w:t>2.3 提供施工场地</w:t>
      </w:r>
    </w:p>
    <w:p w14:paraId="78C8391A">
      <w:pPr>
        <w:spacing w:line="400" w:lineRule="exact"/>
        <w:ind w:firstLine="420" w:firstLineChars="200"/>
      </w:pPr>
      <w:r>
        <w:rPr>
          <w:rFonts w:hint="eastAsia"/>
        </w:rPr>
        <w:t>甲方应按专用合同条款约定向乙方提供施工场地，以及施工场地内地下管线和地下设施等有关资料，并保证资料的真实、准确、完整。</w:t>
      </w:r>
    </w:p>
    <w:p w14:paraId="4767C800">
      <w:pPr>
        <w:pStyle w:val="251"/>
        <w:tabs>
          <w:tab w:val="left" w:pos="720"/>
        </w:tabs>
        <w:outlineLvl w:val="0"/>
      </w:pPr>
      <w:r>
        <w:rPr>
          <w:rFonts w:hint="eastAsia"/>
        </w:rPr>
        <w:t>2.4 协助乙方办理证件和批件</w:t>
      </w:r>
    </w:p>
    <w:p w14:paraId="2987116E">
      <w:pPr>
        <w:spacing w:line="400" w:lineRule="exact"/>
        <w:ind w:firstLine="420" w:firstLineChars="200"/>
      </w:pPr>
      <w:r>
        <w:rPr>
          <w:rFonts w:hint="eastAsia"/>
        </w:rPr>
        <w:t>甲方应协助乙方办理法律规定的有关施工证件和批件。</w:t>
      </w:r>
    </w:p>
    <w:p w14:paraId="45617056">
      <w:pPr>
        <w:pStyle w:val="251"/>
        <w:tabs>
          <w:tab w:val="left" w:pos="720"/>
        </w:tabs>
        <w:outlineLvl w:val="0"/>
      </w:pPr>
      <w:r>
        <w:rPr>
          <w:rFonts w:hint="eastAsia"/>
        </w:rPr>
        <w:t>2.5 组织设计交底</w:t>
      </w:r>
    </w:p>
    <w:p w14:paraId="453B927C">
      <w:pPr>
        <w:spacing w:line="400" w:lineRule="exact"/>
        <w:ind w:firstLine="420" w:firstLineChars="200"/>
      </w:pPr>
      <w:r>
        <w:rPr>
          <w:rFonts w:hint="eastAsia"/>
        </w:rPr>
        <w:t>甲方应根据合同进度计划，组织设计单位向乙方进行设计交底。</w:t>
      </w:r>
    </w:p>
    <w:p w14:paraId="52668FD3">
      <w:pPr>
        <w:pStyle w:val="251"/>
        <w:tabs>
          <w:tab w:val="left" w:pos="720"/>
        </w:tabs>
        <w:outlineLvl w:val="0"/>
      </w:pPr>
      <w:r>
        <w:rPr>
          <w:rFonts w:hint="eastAsia"/>
        </w:rPr>
        <w:t>2.6 支付合同价款</w:t>
      </w:r>
    </w:p>
    <w:p w14:paraId="6F73A832">
      <w:pPr>
        <w:spacing w:line="400" w:lineRule="exact"/>
        <w:ind w:firstLine="420" w:firstLineChars="200"/>
      </w:pPr>
      <w:r>
        <w:rPr>
          <w:rFonts w:hint="eastAsia"/>
        </w:rPr>
        <w:t>甲方应按合同约定向乙方及时支付合同价款。</w:t>
      </w:r>
    </w:p>
    <w:p w14:paraId="28A41380">
      <w:pPr>
        <w:pStyle w:val="251"/>
        <w:tabs>
          <w:tab w:val="left" w:pos="720"/>
        </w:tabs>
        <w:outlineLvl w:val="0"/>
      </w:pPr>
      <w:r>
        <w:rPr>
          <w:rFonts w:hint="eastAsia"/>
        </w:rPr>
        <w:t>2.7 组织竣工验收</w:t>
      </w:r>
    </w:p>
    <w:p w14:paraId="3D994B69">
      <w:pPr>
        <w:spacing w:line="400" w:lineRule="exact"/>
        <w:ind w:firstLine="420" w:firstLineChars="200"/>
      </w:pPr>
      <w:r>
        <w:rPr>
          <w:rFonts w:hint="eastAsia"/>
        </w:rPr>
        <w:t>甲方应按合同约定及时组织竣工验收。</w:t>
      </w:r>
    </w:p>
    <w:p w14:paraId="54FDF46C">
      <w:pPr>
        <w:pStyle w:val="251"/>
        <w:tabs>
          <w:tab w:val="left" w:pos="720"/>
        </w:tabs>
        <w:outlineLvl w:val="0"/>
      </w:pPr>
      <w:r>
        <w:rPr>
          <w:rFonts w:hint="eastAsia"/>
        </w:rPr>
        <w:t>2.8 其他义务</w:t>
      </w:r>
    </w:p>
    <w:p w14:paraId="127FE6CE">
      <w:pPr>
        <w:spacing w:line="400" w:lineRule="exact"/>
        <w:ind w:firstLine="420" w:firstLineChars="200"/>
      </w:pPr>
      <w:r>
        <w:rPr>
          <w:rFonts w:hint="eastAsia"/>
        </w:rPr>
        <w:t>甲方应履行合同约定的其他义务。</w:t>
      </w:r>
    </w:p>
    <w:p w14:paraId="2F315AFA">
      <w:pPr>
        <w:pStyle w:val="250"/>
        <w:spacing w:before="0"/>
      </w:pPr>
      <w:r>
        <w:rPr>
          <w:rFonts w:hint="eastAsia"/>
        </w:rPr>
        <w:t>3. 监理人</w:t>
      </w:r>
    </w:p>
    <w:p w14:paraId="0636657C">
      <w:pPr>
        <w:pStyle w:val="251"/>
        <w:tabs>
          <w:tab w:val="left" w:pos="720"/>
        </w:tabs>
        <w:outlineLvl w:val="0"/>
      </w:pPr>
      <w:r>
        <w:rPr>
          <w:rFonts w:hint="eastAsia"/>
        </w:rPr>
        <w:t>3.1 监理人的职责和权力</w:t>
      </w:r>
    </w:p>
    <w:p w14:paraId="7950957D">
      <w:pPr>
        <w:spacing w:line="400" w:lineRule="exact"/>
        <w:ind w:firstLine="420" w:firstLineChars="200"/>
      </w:pPr>
      <w:r>
        <w:rPr>
          <w:rFonts w:hint="eastAsia"/>
        </w:rPr>
        <w:t>3.1.1 监理人受甲方委托，享有合同约定的权力。监理人在行使某项权力前需要经甲方事先批准而通用合同条款没有指明的，应在专用合同条款中指明。</w:t>
      </w:r>
    </w:p>
    <w:p w14:paraId="36FA2929">
      <w:pPr>
        <w:spacing w:line="400" w:lineRule="exact"/>
        <w:ind w:firstLine="420" w:firstLineChars="200"/>
      </w:pPr>
      <w:r>
        <w:rPr>
          <w:rFonts w:hint="eastAsia"/>
        </w:rPr>
        <w:t>3.1.2 监理人发出的任何指示应视为已得到甲方的批准，但监理人无权免除或变更合同约定的甲方和乙方的权利、义务和责任。</w:t>
      </w:r>
    </w:p>
    <w:p w14:paraId="5DE4B13F">
      <w:pPr>
        <w:spacing w:line="400" w:lineRule="exact"/>
        <w:ind w:firstLine="420" w:firstLineChars="200"/>
      </w:pPr>
      <w:r>
        <w:rPr>
          <w:rFonts w:hint="eastAsia"/>
        </w:rPr>
        <w:t>3.1.3 合同约定应由乙方承担的义务和责任，不因监理人对乙方提交文件的审查或批准，对工程、材料和设备的检查和检验，以及为实施监理作出的指示等职务行为而减轻或解除。</w:t>
      </w:r>
    </w:p>
    <w:p w14:paraId="236462F9">
      <w:pPr>
        <w:pStyle w:val="251"/>
        <w:tabs>
          <w:tab w:val="left" w:pos="720"/>
        </w:tabs>
        <w:outlineLvl w:val="0"/>
      </w:pPr>
      <w:r>
        <w:rPr>
          <w:rFonts w:hint="eastAsia"/>
        </w:rPr>
        <w:t>3.2 总监理工程师</w:t>
      </w:r>
    </w:p>
    <w:p w14:paraId="5D462AF9">
      <w:pPr>
        <w:spacing w:line="400" w:lineRule="exact"/>
        <w:ind w:firstLine="420" w:firstLineChars="200"/>
      </w:pPr>
      <w:r>
        <w:rPr>
          <w:rFonts w:hint="eastAsia"/>
        </w:rPr>
        <w:t>甲方应在发出开工通知前将总监理工程师的任命通知乙方。总监理工程师更换时，应在调离14天前通知乙方。总监理工程师短期离开施工场地的，应委派代表代行其职责，并通知乙方。</w:t>
      </w:r>
    </w:p>
    <w:p w14:paraId="3FE5BE37">
      <w:pPr>
        <w:pStyle w:val="251"/>
        <w:tabs>
          <w:tab w:val="left" w:pos="720"/>
        </w:tabs>
        <w:outlineLvl w:val="0"/>
      </w:pPr>
      <w:r>
        <w:rPr>
          <w:rFonts w:hint="eastAsia"/>
        </w:rPr>
        <w:t>3.3 监理人员</w:t>
      </w:r>
    </w:p>
    <w:p w14:paraId="026835F8">
      <w:pPr>
        <w:spacing w:line="400" w:lineRule="exact"/>
        <w:ind w:firstLine="420" w:firstLineChars="200"/>
      </w:pPr>
      <w:r>
        <w:rPr>
          <w:rFonts w:hint="eastAsia"/>
        </w:rPr>
        <w:t>3.3.1 总监理工程师可以授权其他监理人员负责执行其指派的一项或多项监理工作。总监理工程师应将被授权监理人员的姓名及其授权范围通知乙方。被授权的监理人员在授权范围内发出的指示视为已得到总监理工程师的同意，与总监理工程师发出的指示具有同等效力。总监理工程师撤销某项授权时，应将撤销授权的决定及时通知乙方。</w:t>
      </w:r>
    </w:p>
    <w:p w14:paraId="75022711">
      <w:pPr>
        <w:spacing w:line="400" w:lineRule="exact"/>
        <w:ind w:firstLine="420" w:firstLineChars="200"/>
      </w:pPr>
      <w:r>
        <w:rPr>
          <w:rFonts w:hint="eastAsia"/>
        </w:rPr>
        <w:t>3.3.2 监理人员对乙方的任何工作、工程或其采用的材料和工程设备未在约定的或合理的期限内提出否定意见的，视为已获批准，但不影响监理人在以后拒绝该项工作、工程、材料或工程设备的权利。</w:t>
      </w:r>
    </w:p>
    <w:p w14:paraId="3E3C85B0">
      <w:pPr>
        <w:spacing w:line="400" w:lineRule="exact"/>
        <w:ind w:firstLine="420" w:firstLineChars="200"/>
      </w:pPr>
      <w:r>
        <w:rPr>
          <w:rFonts w:hint="eastAsia"/>
        </w:rPr>
        <w:t>3.3.3 乙方对总监理工程师授权的监理人员发出的指示有疑问的，可向总监理工程师提出书面异议，总监理工程师应在48小时内对该指示予以确认、更改或撤销。</w:t>
      </w:r>
    </w:p>
    <w:p w14:paraId="33D4C13A">
      <w:pPr>
        <w:spacing w:line="400" w:lineRule="exact"/>
        <w:ind w:firstLine="420" w:firstLineChars="200"/>
      </w:pPr>
      <w:r>
        <w:rPr>
          <w:rFonts w:hint="eastAsia"/>
        </w:rPr>
        <w:t>3.3.4 除专用合同条款另有约定外，总监理工程师不应将第3.5款约定应由总监理工程师作出确定的权力授权或委托给其他监理人员。</w:t>
      </w:r>
    </w:p>
    <w:p w14:paraId="50A9F148">
      <w:pPr>
        <w:pStyle w:val="251"/>
        <w:tabs>
          <w:tab w:val="left" w:pos="720"/>
        </w:tabs>
        <w:outlineLvl w:val="0"/>
      </w:pPr>
      <w:r>
        <w:rPr>
          <w:rFonts w:hint="eastAsia"/>
        </w:rPr>
        <w:t>3.4 监理人的指示</w:t>
      </w:r>
    </w:p>
    <w:p w14:paraId="5444797F">
      <w:pPr>
        <w:spacing w:line="400" w:lineRule="exact"/>
        <w:ind w:firstLine="420" w:firstLineChars="200"/>
      </w:pPr>
      <w:r>
        <w:rPr>
          <w:rFonts w:hint="eastAsia"/>
        </w:rPr>
        <w:t>3.4.1 监理人应按第3.1款的约定向乙方发出指示，监理人的指示应盖有监理人授权的施工场地机构章，并由总监理工程师或总监理工程师按第3.3.1项约定授权的监理人员签字。</w:t>
      </w:r>
    </w:p>
    <w:p w14:paraId="494ACFF5">
      <w:pPr>
        <w:spacing w:line="400" w:lineRule="exact"/>
        <w:ind w:firstLine="420" w:firstLineChars="200"/>
      </w:pPr>
      <w:r>
        <w:rPr>
          <w:rFonts w:hint="eastAsia"/>
        </w:rPr>
        <w:t>3.4.2 乙方收到监理人按第3.4.1项作出的指示后应遵照执行。指示构成变更的，应按第15条处理。</w:t>
      </w:r>
    </w:p>
    <w:p w14:paraId="414FC5B7">
      <w:pPr>
        <w:spacing w:line="400" w:lineRule="exact"/>
        <w:ind w:firstLine="420" w:firstLineChars="200"/>
      </w:pPr>
      <w:r>
        <w:rPr>
          <w:rFonts w:hint="eastAsia"/>
        </w:rPr>
        <w:t>3.4.3 在紧急情况下，总监理工程师或被授权的监理人员可以当场签发临时书面指示，乙方应遵照执行。乙方应在收到上述临时书面指示后24小时内，向监理人发出书面确认函。监理人在收到书面确认函后24小时内未予答复的，该书面确认函应被视为监理人的正式指示。</w:t>
      </w:r>
    </w:p>
    <w:p w14:paraId="5DE3F084">
      <w:pPr>
        <w:spacing w:line="400" w:lineRule="exact"/>
        <w:ind w:firstLine="420" w:firstLineChars="200"/>
      </w:pPr>
      <w:r>
        <w:rPr>
          <w:rFonts w:hint="eastAsia"/>
        </w:rPr>
        <w:t>3.4.4 除合同另有约定外，乙方只从总监理工程师或按第3.3.1项被授权的监理人员处取得指示。</w:t>
      </w:r>
    </w:p>
    <w:p w14:paraId="27B21060">
      <w:pPr>
        <w:spacing w:line="400" w:lineRule="exact"/>
        <w:ind w:firstLine="420" w:firstLineChars="200"/>
      </w:pPr>
      <w:r>
        <w:rPr>
          <w:rFonts w:hint="eastAsia"/>
        </w:rPr>
        <w:t>3.4.5 由于监理人未能按合同约定发出指示、指示延误或指示错误而导致乙方费用增加和（或）工期延误的，由甲方承担赔偿责任。</w:t>
      </w:r>
    </w:p>
    <w:p w14:paraId="25907FB9">
      <w:pPr>
        <w:pStyle w:val="251"/>
        <w:tabs>
          <w:tab w:val="left" w:pos="720"/>
        </w:tabs>
        <w:outlineLvl w:val="0"/>
      </w:pPr>
      <w:r>
        <w:rPr>
          <w:rFonts w:hint="eastAsia"/>
        </w:rPr>
        <w:t>3.5 商定或确定</w:t>
      </w:r>
    </w:p>
    <w:p w14:paraId="609CCD79">
      <w:pPr>
        <w:spacing w:line="400" w:lineRule="exact"/>
        <w:ind w:firstLine="420" w:firstLineChars="200"/>
      </w:pPr>
      <w:r>
        <w:rPr>
          <w:rFonts w:hint="eastAsia"/>
        </w:rPr>
        <w:t>3.5.1合同约定总监理工程师应按照本款对任何事项进行商定或确定时，总监理工程师应与合同当事人协商，尽量达成一致。不能达成一致的，总监理工程师应认真研究后审慎确定。</w:t>
      </w:r>
    </w:p>
    <w:p w14:paraId="2E08360A">
      <w:pPr>
        <w:spacing w:line="400" w:lineRule="exact"/>
        <w:ind w:firstLine="420" w:firstLineChars="200"/>
      </w:pPr>
      <w:r>
        <w:rPr>
          <w:rFonts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4A8F1D0">
      <w:pPr>
        <w:pStyle w:val="250"/>
        <w:spacing w:before="0"/>
      </w:pPr>
      <w:r>
        <w:rPr>
          <w:rFonts w:hint="eastAsia"/>
        </w:rPr>
        <w:t>4. 乙方</w:t>
      </w:r>
    </w:p>
    <w:p w14:paraId="2DBA6087">
      <w:pPr>
        <w:pStyle w:val="251"/>
        <w:tabs>
          <w:tab w:val="left" w:pos="720"/>
        </w:tabs>
        <w:outlineLvl w:val="0"/>
      </w:pPr>
      <w:r>
        <w:rPr>
          <w:rFonts w:hint="eastAsia"/>
        </w:rPr>
        <w:t>4.1 乙方的一般义务</w:t>
      </w:r>
    </w:p>
    <w:p w14:paraId="2116CCCD">
      <w:pPr>
        <w:spacing w:line="400" w:lineRule="exact"/>
        <w:ind w:firstLine="420" w:firstLineChars="200"/>
      </w:pPr>
      <w:r>
        <w:rPr>
          <w:rFonts w:hint="eastAsia"/>
        </w:rPr>
        <w:t xml:space="preserve">4.1.1 </w:t>
      </w:r>
      <w:r>
        <w:rPr>
          <w:rFonts w:hint="eastAsia" w:ascii="黑体" w:eastAsia="黑体"/>
        </w:rPr>
        <w:t>遵守法律</w:t>
      </w:r>
    </w:p>
    <w:p w14:paraId="135FC7FD">
      <w:pPr>
        <w:spacing w:line="400" w:lineRule="exact"/>
        <w:ind w:firstLine="420" w:firstLineChars="200"/>
      </w:pPr>
      <w:r>
        <w:rPr>
          <w:rFonts w:hint="eastAsia"/>
        </w:rPr>
        <w:t>乙方在履行合同过程中应遵守法律，并保证甲方免于承担因乙方违反法律而引起的任何责任。</w:t>
      </w:r>
    </w:p>
    <w:p w14:paraId="0DFA3665">
      <w:pPr>
        <w:spacing w:line="400" w:lineRule="exact"/>
        <w:ind w:firstLine="420" w:firstLineChars="200"/>
      </w:pPr>
      <w:r>
        <w:rPr>
          <w:rFonts w:hint="eastAsia"/>
        </w:rPr>
        <w:t xml:space="preserve">4.1.2 </w:t>
      </w:r>
      <w:r>
        <w:rPr>
          <w:rFonts w:hint="eastAsia" w:ascii="黑体" w:eastAsia="黑体"/>
        </w:rPr>
        <w:t>依法纳税</w:t>
      </w:r>
    </w:p>
    <w:p w14:paraId="70AED15D">
      <w:pPr>
        <w:spacing w:line="400" w:lineRule="exact"/>
        <w:ind w:firstLine="420" w:firstLineChars="200"/>
      </w:pPr>
      <w:r>
        <w:rPr>
          <w:rFonts w:hint="eastAsia"/>
        </w:rPr>
        <w:t>乙方应按有关法律规定纳税，应缴纳的税金包括在合同价格内。</w:t>
      </w:r>
    </w:p>
    <w:p w14:paraId="7E9722E0">
      <w:pPr>
        <w:spacing w:line="400" w:lineRule="exact"/>
        <w:ind w:firstLine="420" w:firstLineChars="200"/>
      </w:pPr>
      <w:r>
        <w:rPr>
          <w:rFonts w:hint="eastAsia"/>
        </w:rPr>
        <w:t xml:space="preserve">4.1.3 </w:t>
      </w:r>
      <w:r>
        <w:rPr>
          <w:rFonts w:hint="eastAsia" w:ascii="黑体" w:eastAsia="黑体"/>
        </w:rPr>
        <w:t>完成各项承包工作</w:t>
      </w:r>
    </w:p>
    <w:p w14:paraId="61067797">
      <w:pPr>
        <w:spacing w:line="400" w:lineRule="exact"/>
        <w:ind w:firstLine="420" w:firstLineChars="200"/>
      </w:pPr>
      <w:r>
        <w:rPr>
          <w:rFonts w:hint="eastAsia"/>
        </w:rPr>
        <w:t>乙方应按合同约定以及监理人根据第3.4款作出的指示，实施、完成全部工程，并修补工程中的任何缺陷。除专用合同条款另有约定外，乙方应提供为完成合同工作所需的劳务、材料、施工设备、工程设备和其他物品，并按合同约定负责临时设施的设计、建造、运行、维护、管理和拆除。</w:t>
      </w:r>
    </w:p>
    <w:p w14:paraId="461570EE">
      <w:pPr>
        <w:spacing w:line="400" w:lineRule="exact"/>
        <w:ind w:firstLine="420" w:firstLineChars="200"/>
      </w:pPr>
      <w:r>
        <w:rPr>
          <w:rFonts w:hint="eastAsia"/>
        </w:rPr>
        <w:t xml:space="preserve">4.1.4 </w:t>
      </w:r>
      <w:r>
        <w:rPr>
          <w:rFonts w:hint="eastAsia" w:ascii="黑体" w:eastAsia="黑体"/>
        </w:rPr>
        <w:t>对施工作业和施工方法的完备性负责</w:t>
      </w:r>
    </w:p>
    <w:p w14:paraId="44AF308A">
      <w:pPr>
        <w:spacing w:line="400" w:lineRule="exact"/>
        <w:ind w:firstLine="420" w:firstLineChars="200"/>
      </w:pPr>
      <w:r>
        <w:rPr>
          <w:rFonts w:hint="eastAsia"/>
        </w:rPr>
        <w:t>乙方应按合同约定的工作内容和施工进度要求，编制施工组织设计和施工措施计划，并对所有施工作业和施工方法的完备性和安全可靠性负责。</w:t>
      </w:r>
    </w:p>
    <w:p w14:paraId="46308995">
      <w:pPr>
        <w:spacing w:line="400" w:lineRule="exact"/>
        <w:ind w:firstLine="420" w:firstLineChars="200"/>
      </w:pPr>
      <w:r>
        <w:rPr>
          <w:rFonts w:hint="eastAsia"/>
        </w:rPr>
        <w:t xml:space="preserve">4.1.5 </w:t>
      </w:r>
      <w:r>
        <w:rPr>
          <w:rFonts w:hint="eastAsia" w:ascii="黑体" w:eastAsia="黑体"/>
        </w:rPr>
        <w:t>保证工程施工和人员的安全</w:t>
      </w:r>
    </w:p>
    <w:p w14:paraId="0840A05A">
      <w:pPr>
        <w:spacing w:line="400" w:lineRule="exact"/>
        <w:ind w:firstLine="420" w:firstLineChars="200"/>
      </w:pPr>
      <w:r>
        <w:rPr>
          <w:rFonts w:hint="eastAsia"/>
        </w:rPr>
        <w:t>乙方应按第9.2款约定采取施工安全措施，确保工程及其人员、材料、设备和设施的安全，防止因工程施工造成的人身伤害和财产损失。</w:t>
      </w:r>
    </w:p>
    <w:p w14:paraId="41781411">
      <w:pPr>
        <w:spacing w:line="400" w:lineRule="exact"/>
        <w:ind w:firstLine="420" w:firstLineChars="200"/>
      </w:pPr>
      <w:r>
        <w:rPr>
          <w:rFonts w:hint="eastAsia"/>
        </w:rPr>
        <w:t xml:space="preserve">4.1.6 </w:t>
      </w:r>
      <w:r>
        <w:rPr>
          <w:rFonts w:hint="eastAsia" w:ascii="黑体" w:eastAsia="黑体"/>
        </w:rPr>
        <w:t>负责施工场地及其周边环境与生态的保护工作</w:t>
      </w:r>
    </w:p>
    <w:p w14:paraId="5933A83F">
      <w:pPr>
        <w:spacing w:line="400" w:lineRule="exact"/>
        <w:ind w:firstLine="420" w:firstLineChars="200"/>
      </w:pPr>
      <w:r>
        <w:rPr>
          <w:rFonts w:hint="eastAsia"/>
        </w:rPr>
        <w:t>乙方应按照第9.4款约定负责施工场地及其周边环境与生态的保护工作。</w:t>
      </w:r>
    </w:p>
    <w:p w14:paraId="79156DDC">
      <w:pPr>
        <w:spacing w:line="400" w:lineRule="exact"/>
        <w:ind w:firstLine="420" w:firstLineChars="200"/>
      </w:pPr>
      <w:r>
        <w:rPr>
          <w:rFonts w:hint="eastAsia"/>
        </w:rPr>
        <w:t xml:space="preserve">4.1.7 </w:t>
      </w:r>
      <w:r>
        <w:rPr>
          <w:rFonts w:hint="eastAsia" w:ascii="黑体" w:eastAsia="黑体"/>
        </w:rPr>
        <w:t>避免施工对公众与他人的利益造成损害</w:t>
      </w:r>
    </w:p>
    <w:p w14:paraId="5B7E6E79">
      <w:pPr>
        <w:spacing w:line="400" w:lineRule="exact"/>
        <w:ind w:firstLine="420" w:firstLineChars="200"/>
      </w:pPr>
      <w:r>
        <w:rPr>
          <w:rFonts w:hint="eastAsia"/>
        </w:rPr>
        <w:t>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145871DF">
      <w:pPr>
        <w:spacing w:line="400" w:lineRule="exact"/>
        <w:ind w:firstLine="420" w:firstLineChars="200"/>
      </w:pPr>
      <w:r>
        <w:rPr>
          <w:rFonts w:hint="eastAsia"/>
        </w:rPr>
        <w:t xml:space="preserve">4.1.8 </w:t>
      </w:r>
      <w:r>
        <w:rPr>
          <w:rFonts w:hint="eastAsia" w:ascii="黑体" w:eastAsia="黑体"/>
        </w:rPr>
        <w:t>为他人提供方便</w:t>
      </w:r>
    </w:p>
    <w:p w14:paraId="248D58EF">
      <w:pPr>
        <w:spacing w:line="400" w:lineRule="exact"/>
        <w:ind w:firstLine="420" w:firstLineChars="200"/>
      </w:pPr>
      <w:r>
        <w:rPr>
          <w:rFonts w:hint="eastAsia"/>
        </w:rPr>
        <w:t>乙方应按监理人的指示为他人在施工场地或附近实施与工程有关的其他各项工作提供可能的条件。除合同另有约定外，提供有关条件的内容和可能发生的费用，由监理人按第3.5款商定或确定。</w:t>
      </w:r>
    </w:p>
    <w:p w14:paraId="3E9F2983">
      <w:pPr>
        <w:spacing w:line="400" w:lineRule="exact"/>
        <w:ind w:firstLine="420" w:firstLineChars="200"/>
      </w:pPr>
      <w:r>
        <w:rPr>
          <w:rFonts w:hint="eastAsia"/>
        </w:rPr>
        <w:t xml:space="preserve">4.1.9 </w:t>
      </w:r>
      <w:r>
        <w:rPr>
          <w:rFonts w:hint="eastAsia" w:ascii="黑体" w:eastAsia="黑体"/>
        </w:rPr>
        <w:t>工程的维护和照管</w:t>
      </w:r>
    </w:p>
    <w:p w14:paraId="7CB6345F">
      <w:pPr>
        <w:spacing w:line="400" w:lineRule="exact"/>
        <w:ind w:firstLine="420" w:firstLineChars="200"/>
      </w:pPr>
      <w:r>
        <w:rPr>
          <w:rFonts w:hint="eastAsia"/>
        </w:rPr>
        <w:t>工程接收证书颁发前，乙方应负责照管和维护工程。工程接收证书颁发时尚有部分未竣工工程的，乙方还应负责该未竣工工程的照管和维护工作，直至竣工后移交给甲方为止。</w:t>
      </w:r>
    </w:p>
    <w:p w14:paraId="6D184232">
      <w:pPr>
        <w:spacing w:line="400" w:lineRule="exact"/>
        <w:ind w:firstLine="420" w:firstLineChars="200"/>
      </w:pPr>
      <w:r>
        <w:rPr>
          <w:rFonts w:hint="eastAsia"/>
        </w:rPr>
        <w:t xml:space="preserve">4.1.10 </w:t>
      </w:r>
      <w:r>
        <w:rPr>
          <w:rFonts w:hint="eastAsia" w:ascii="黑体" w:eastAsia="黑体"/>
        </w:rPr>
        <w:t>其他义务</w:t>
      </w:r>
    </w:p>
    <w:p w14:paraId="1603E785">
      <w:pPr>
        <w:spacing w:line="400" w:lineRule="exact"/>
        <w:ind w:firstLine="420" w:firstLineChars="200"/>
      </w:pPr>
      <w:r>
        <w:rPr>
          <w:rFonts w:hint="eastAsia"/>
        </w:rPr>
        <w:t>乙方应履行合同约定的其他义务。</w:t>
      </w:r>
    </w:p>
    <w:p w14:paraId="183E1A7C">
      <w:pPr>
        <w:pStyle w:val="251"/>
        <w:tabs>
          <w:tab w:val="left" w:pos="720"/>
        </w:tabs>
        <w:outlineLvl w:val="0"/>
      </w:pPr>
      <w:r>
        <w:rPr>
          <w:rFonts w:hint="eastAsia"/>
        </w:rPr>
        <w:t>4.2 履约担保</w:t>
      </w:r>
    </w:p>
    <w:p w14:paraId="5F7256F3">
      <w:pPr>
        <w:spacing w:line="400" w:lineRule="exact"/>
        <w:ind w:firstLine="420" w:firstLineChars="200"/>
      </w:pPr>
      <w:r>
        <w:rPr>
          <w:rFonts w:hint="eastAsia"/>
        </w:rPr>
        <w:t>乙方应保证其履约担保在甲方颁发工程接收证书前一直有效。甲方应在工程接收证书颁发后28天内把履约担保退还给乙方。</w:t>
      </w:r>
    </w:p>
    <w:p w14:paraId="6E140638">
      <w:pPr>
        <w:pStyle w:val="251"/>
        <w:tabs>
          <w:tab w:val="left" w:pos="720"/>
        </w:tabs>
        <w:outlineLvl w:val="0"/>
      </w:pPr>
      <w:r>
        <w:rPr>
          <w:rFonts w:hint="eastAsia"/>
        </w:rPr>
        <w:t>4.3 分包</w:t>
      </w:r>
    </w:p>
    <w:p w14:paraId="67D9941F">
      <w:pPr>
        <w:spacing w:line="400" w:lineRule="exact"/>
        <w:ind w:firstLine="420" w:firstLineChars="200"/>
      </w:pPr>
      <w:r>
        <w:rPr>
          <w:rFonts w:hint="eastAsia"/>
        </w:rPr>
        <w:t>4.3.1 乙方不得将其承包的全部工程转包给第三人，或将其承包的全部工程肢解后以分包的名义转包给第三人。</w:t>
      </w:r>
    </w:p>
    <w:p w14:paraId="0951F4CC">
      <w:pPr>
        <w:spacing w:line="400" w:lineRule="exact"/>
        <w:ind w:firstLine="420" w:firstLineChars="200"/>
      </w:pPr>
      <w:r>
        <w:rPr>
          <w:rFonts w:hint="eastAsia"/>
        </w:rPr>
        <w:t>4.3.2 乙方不得将工程主体、关键性工作分包给第三人。除专用合同条款另有约定外，未经甲方同意，乙方不得将工程的其他部分或工作分包给第三人。</w:t>
      </w:r>
    </w:p>
    <w:p w14:paraId="6FCD0C01">
      <w:pPr>
        <w:spacing w:line="400" w:lineRule="exact"/>
        <w:ind w:firstLine="420" w:firstLineChars="200"/>
      </w:pPr>
      <w:r>
        <w:rPr>
          <w:rFonts w:hint="eastAsia"/>
        </w:rPr>
        <w:t>4.3.3 分包人的资格能力应与其分包工程的标准和规模相适应。</w:t>
      </w:r>
    </w:p>
    <w:p w14:paraId="72483EB4">
      <w:pPr>
        <w:spacing w:line="400" w:lineRule="exact"/>
        <w:ind w:firstLine="420" w:firstLineChars="200"/>
      </w:pPr>
      <w:r>
        <w:rPr>
          <w:rFonts w:hint="eastAsia"/>
        </w:rPr>
        <w:t>4.3.4 按投标函附录约定分包工程的，乙方应向甲方和监理人提交分包合同副本。</w:t>
      </w:r>
    </w:p>
    <w:p w14:paraId="1A8B31CE">
      <w:pPr>
        <w:spacing w:line="400" w:lineRule="exact"/>
        <w:ind w:firstLine="420" w:firstLineChars="200"/>
      </w:pPr>
      <w:r>
        <w:rPr>
          <w:rFonts w:hint="eastAsia"/>
        </w:rPr>
        <w:t>4.3.5 乙方应与分包人就分包工程向甲方承担连带责任。</w:t>
      </w:r>
    </w:p>
    <w:p w14:paraId="3DB81F8B">
      <w:pPr>
        <w:pStyle w:val="251"/>
        <w:tabs>
          <w:tab w:val="left" w:pos="720"/>
        </w:tabs>
        <w:outlineLvl w:val="0"/>
      </w:pPr>
      <w:r>
        <w:rPr>
          <w:rFonts w:hint="eastAsia"/>
        </w:rPr>
        <w:t>4.4 联合体</w:t>
      </w:r>
    </w:p>
    <w:p w14:paraId="6D8B0944">
      <w:pPr>
        <w:spacing w:line="400" w:lineRule="exact"/>
        <w:ind w:firstLine="420" w:firstLineChars="200"/>
      </w:pPr>
      <w:r>
        <w:rPr>
          <w:rFonts w:hint="eastAsia"/>
        </w:rPr>
        <w:t>4.4.1 联合体各方应共同与甲方签订合同协议书。联合体各方应为履行合同承担连带责任。</w:t>
      </w:r>
    </w:p>
    <w:p w14:paraId="067E21E0">
      <w:pPr>
        <w:spacing w:line="400" w:lineRule="exact"/>
        <w:ind w:firstLine="420" w:firstLineChars="200"/>
      </w:pPr>
      <w:r>
        <w:rPr>
          <w:rFonts w:hint="eastAsia"/>
        </w:rPr>
        <w:t>4.4.2 联合体协议经甲方确认后作为合同附件。在履行合同过程中，未经甲方同意，不得修改联合体协议。</w:t>
      </w:r>
    </w:p>
    <w:p w14:paraId="281151C8">
      <w:pPr>
        <w:spacing w:line="400" w:lineRule="exact"/>
        <w:ind w:firstLine="420" w:firstLineChars="200"/>
      </w:pPr>
      <w:r>
        <w:rPr>
          <w:rFonts w:hint="eastAsia"/>
        </w:rPr>
        <w:t>4.4.3 联合体牵头人负责与甲方和监理人联系，并接受指示，负责组织联合体各成员全面履行合同。</w:t>
      </w:r>
    </w:p>
    <w:p w14:paraId="5ED6D413">
      <w:pPr>
        <w:pStyle w:val="251"/>
        <w:tabs>
          <w:tab w:val="left" w:pos="720"/>
        </w:tabs>
        <w:outlineLvl w:val="0"/>
      </w:pPr>
      <w:r>
        <w:rPr>
          <w:rFonts w:hint="eastAsia"/>
        </w:rPr>
        <w:t>4.5 乙方项目经理</w:t>
      </w:r>
    </w:p>
    <w:p w14:paraId="1DA2ED0D">
      <w:pPr>
        <w:spacing w:line="400" w:lineRule="exact"/>
        <w:ind w:firstLine="420" w:firstLineChars="200"/>
      </w:pPr>
      <w:r>
        <w:rPr>
          <w:rFonts w:hint="eastAsia"/>
        </w:rPr>
        <w:t>4.5.1乙方应按合同约定指派项目经理，并在约定的期限内到职。乙方更换项目经理应事先征得甲方同意，并应在更换14天前通知甲方和监理人。乙方项目经理短期离开施工场地，应事先征得监理人同意，并委派代表代行其职责。</w:t>
      </w:r>
    </w:p>
    <w:p w14:paraId="2526FF35">
      <w:pPr>
        <w:spacing w:line="400" w:lineRule="exact"/>
        <w:ind w:firstLine="420" w:firstLineChars="200"/>
      </w:pPr>
      <w:r>
        <w:rPr>
          <w:rFonts w:hint="eastAsia"/>
        </w:rPr>
        <w:t>4.5.2 乙方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69333BA6">
      <w:pPr>
        <w:spacing w:line="400" w:lineRule="exact"/>
        <w:ind w:firstLine="420" w:firstLineChars="200"/>
      </w:pPr>
      <w:r>
        <w:rPr>
          <w:rFonts w:hint="eastAsia"/>
        </w:rPr>
        <w:t>4.5.3乙方为履行合同发出的一切函件均应盖有乙方授权的施工场地管理机构章，并由乙方项目经理或其授权代表签字。</w:t>
      </w:r>
    </w:p>
    <w:p w14:paraId="6F2690E1">
      <w:pPr>
        <w:spacing w:line="400" w:lineRule="exact"/>
        <w:ind w:firstLine="420" w:firstLineChars="200"/>
      </w:pPr>
      <w:r>
        <w:rPr>
          <w:rFonts w:hint="eastAsia"/>
        </w:rPr>
        <w:t>4.5.4 乙方项目经理可以授权其下属人员履行其某项职责，但事先应将这些人员的姓名和授权范围通知监理人。</w:t>
      </w:r>
    </w:p>
    <w:p w14:paraId="57695DE7">
      <w:pPr>
        <w:pStyle w:val="251"/>
        <w:tabs>
          <w:tab w:val="left" w:pos="720"/>
        </w:tabs>
        <w:outlineLvl w:val="0"/>
      </w:pPr>
      <w:r>
        <w:rPr>
          <w:rFonts w:hint="eastAsia"/>
        </w:rPr>
        <w:t>4.6 乙方人员的管理</w:t>
      </w:r>
    </w:p>
    <w:p w14:paraId="50C2B5C3">
      <w:pPr>
        <w:spacing w:line="400" w:lineRule="exact"/>
        <w:ind w:firstLine="420" w:firstLineChars="200"/>
      </w:pPr>
      <w:r>
        <w:rPr>
          <w:rFonts w:hint="eastAsia"/>
        </w:rPr>
        <w:t>4.6.1 乙方应在接到开工通知后28天内，向监理人提交乙方在施工场地的管理机构以及人员安排的报告，其内容应包括管理机构的设置、各主要岗位的技术和管理人员名单及其资格，以及各工种技术工人的安排状况。乙方应向监理人提交施工场地人员变动情况的报告。</w:t>
      </w:r>
    </w:p>
    <w:p w14:paraId="33A01308">
      <w:pPr>
        <w:spacing w:line="400" w:lineRule="exact"/>
        <w:ind w:firstLine="420" w:firstLineChars="200"/>
      </w:pPr>
      <w:r>
        <w:rPr>
          <w:rFonts w:hint="eastAsia"/>
        </w:rPr>
        <w:t>4.6.2 为完成合同约定的各项工作，乙方应向施工场地派遣或雇佣足够数量的下列人员：</w:t>
      </w:r>
    </w:p>
    <w:p w14:paraId="2B5FCAFB">
      <w:pPr>
        <w:spacing w:line="400" w:lineRule="exact"/>
        <w:ind w:firstLine="718" w:firstLineChars="342"/>
      </w:pPr>
      <w:r>
        <w:rPr>
          <w:rFonts w:hint="eastAsia"/>
        </w:rPr>
        <w:t>（1）具有相应资格的专业技工和合格的普工；</w:t>
      </w:r>
    </w:p>
    <w:p w14:paraId="2CCF04F0">
      <w:pPr>
        <w:spacing w:line="400" w:lineRule="exact"/>
        <w:ind w:firstLine="718" w:firstLineChars="342"/>
      </w:pPr>
      <w:r>
        <w:rPr>
          <w:rFonts w:hint="eastAsia"/>
        </w:rPr>
        <w:t>（2）具有相应施工经验的技术人员；</w:t>
      </w:r>
    </w:p>
    <w:p w14:paraId="61BB9633">
      <w:pPr>
        <w:spacing w:line="400" w:lineRule="exact"/>
        <w:ind w:firstLine="718" w:firstLineChars="342"/>
      </w:pPr>
      <w:r>
        <w:rPr>
          <w:rFonts w:hint="eastAsia"/>
        </w:rPr>
        <w:t>（3）具有相应岗位资格的各级管理人员。</w:t>
      </w:r>
    </w:p>
    <w:p w14:paraId="32F1FA31">
      <w:pPr>
        <w:spacing w:line="400" w:lineRule="exact"/>
        <w:ind w:firstLine="420" w:firstLineChars="200"/>
      </w:pPr>
      <w:r>
        <w:rPr>
          <w:rFonts w:hint="eastAsia"/>
        </w:rPr>
        <w:t>4.6.3 乙方安排在施工场地的主要管理人员和技术骨干应相对稳定。乙方更换主要管理人员和技术骨干时，应取得监理人的同意。</w:t>
      </w:r>
    </w:p>
    <w:p w14:paraId="260585D6">
      <w:pPr>
        <w:spacing w:line="400" w:lineRule="exact"/>
        <w:ind w:firstLine="420" w:firstLineChars="200"/>
      </w:pPr>
      <w:r>
        <w:rPr>
          <w:rFonts w:hint="eastAsia"/>
        </w:rPr>
        <w:t>4.6.4 特殊岗位的工作人员均应持有相应的资格证明，监理人有权随时检查。监理人认为有必要时，可进行现场考核。</w:t>
      </w:r>
    </w:p>
    <w:p w14:paraId="68C28B53">
      <w:pPr>
        <w:pStyle w:val="251"/>
        <w:tabs>
          <w:tab w:val="left" w:pos="720"/>
        </w:tabs>
        <w:outlineLvl w:val="0"/>
      </w:pPr>
      <w:r>
        <w:rPr>
          <w:rFonts w:hint="eastAsia"/>
        </w:rPr>
        <w:t>4.7 撤换乙方项目经理和其他人员</w:t>
      </w:r>
    </w:p>
    <w:p w14:paraId="03EAC566">
      <w:pPr>
        <w:spacing w:line="400" w:lineRule="exact"/>
        <w:ind w:firstLine="420" w:firstLineChars="200"/>
      </w:pPr>
      <w:r>
        <w:rPr>
          <w:rFonts w:hint="eastAsia"/>
        </w:rPr>
        <w:t>乙方应对其项目经理和其他人员进行有效管理。监理人要求撤换不能胜任本职工作、行为不端或玩忽职守的乙方项目经理和其他人员的，乙方应予以撤换。</w:t>
      </w:r>
    </w:p>
    <w:p w14:paraId="78435CF5">
      <w:pPr>
        <w:pStyle w:val="251"/>
        <w:tabs>
          <w:tab w:val="left" w:pos="720"/>
        </w:tabs>
        <w:outlineLvl w:val="0"/>
      </w:pPr>
      <w:r>
        <w:rPr>
          <w:rFonts w:hint="eastAsia"/>
        </w:rPr>
        <w:t>4.8 保障乙方人员的合法权益</w:t>
      </w:r>
    </w:p>
    <w:p w14:paraId="708FA980">
      <w:pPr>
        <w:spacing w:line="400" w:lineRule="exact"/>
        <w:ind w:firstLine="420" w:firstLineChars="200"/>
      </w:pPr>
      <w:r>
        <w:rPr>
          <w:rFonts w:hint="eastAsia"/>
        </w:rPr>
        <w:t>4.8.1 乙方应与其雇佣的人员签订劳动合同，并按时发放工资。</w:t>
      </w:r>
    </w:p>
    <w:p w14:paraId="44B2E893">
      <w:pPr>
        <w:spacing w:line="400" w:lineRule="exact"/>
        <w:ind w:firstLine="420" w:firstLineChars="200"/>
      </w:pPr>
      <w:r>
        <w:rPr>
          <w:rFonts w:hint="eastAsia"/>
        </w:rPr>
        <w:t>4.8.2 乙方应按劳动法的规定安排工作时间，保证其雇佣人员享有休息和休假的权利。因工程施工的特殊需要占用休假日或延长工作时间的，应不超过法律规定的限度，并按法律规定给予补休或付酬。</w:t>
      </w:r>
    </w:p>
    <w:p w14:paraId="0A3D9F8D">
      <w:pPr>
        <w:spacing w:line="400" w:lineRule="exact"/>
        <w:ind w:firstLine="420" w:firstLineChars="200"/>
      </w:pPr>
      <w:r>
        <w:rPr>
          <w:rFonts w:hint="eastAsia"/>
        </w:rPr>
        <w:t>4.8.3 乙方应为其雇佣人员提供必要的食宿条件，以及符合环境保护和卫生要求的生活环境，在远离城镇的施工场地，还应配备必要的伤病防治和急救的医务人员与医疗设施。</w:t>
      </w:r>
    </w:p>
    <w:p w14:paraId="4A52FBF8">
      <w:pPr>
        <w:spacing w:line="400" w:lineRule="exact"/>
        <w:ind w:firstLine="420" w:firstLineChars="200"/>
      </w:pPr>
      <w:r>
        <w:rPr>
          <w:rFonts w:hint="eastAsia"/>
        </w:rPr>
        <w:t>4.8.4 乙方应按国家有关劳动保护的规定，采取有效的防止粉尘、降低噪声、控制有害气体和保障高温、高寒、高空作业安全等劳动保护措施。其雇佣人员在施工中受到伤害的，乙方应立即采取有效措施进行抢救和治疗。</w:t>
      </w:r>
    </w:p>
    <w:p w14:paraId="1D0BC3C3">
      <w:pPr>
        <w:spacing w:line="400" w:lineRule="exact"/>
        <w:ind w:firstLine="420" w:firstLineChars="200"/>
      </w:pPr>
      <w:r>
        <w:rPr>
          <w:rFonts w:hint="eastAsia"/>
        </w:rPr>
        <w:t>4.8.5 乙方应按有关法律规定和合同约定，为其雇佣人员办理保险。</w:t>
      </w:r>
    </w:p>
    <w:p w14:paraId="5682F8B2">
      <w:pPr>
        <w:spacing w:line="400" w:lineRule="exact"/>
        <w:ind w:firstLine="420" w:firstLineChars="200"/>
      </w:pPr>
      <w:r>
        <w:rPr>
          <w:rFonts w:hint="eastAsia"/>
        </w:rPr>
        <w:t>4.8.6 乙方应负责处理其雇佣人员因工伤亡事故的善后事宜。</w:t>
      </w:r>
    </w:p>
    <w:p w14:paraId="741C7E6A">
      <w:pPr>
        <w:pStyle w:val="251"/>
        <w:tabs>
          <w:tab w:val="left" w:pos="720"/>
        </w:tabs>
        <w:outlineLvl w:val="0"/>
      </w:pPr>
      <w:r>
        <w:rPr>
          <w:rFonts w:hint="eastAsia"/>
        </w:rPr>
        <w:t>4.9 工程价款应专款专用</w:t>
      </w:r>
    </w:p>
    <w:p w14:paraId="247BC0A1">
      <w:pPr>
        <w:spacing w:line="400" w:lineRule="exact"/>
        <w:ind w:firstLine="420" w:firstLineChars="200"/>
      </w:pPr>
      <w:r>
        <w:rPr>
          <w:rFonts w:hint="eastAsia"/>
        </w:rPr>
        <w:t>甲方按合同约定支付给乙方的各项价款应专用于合同工程。</w:t>
      </w:r>
    </w:p>
    <w:p w14:paraId="0BB334BB">
      <w:pPr>
        <w:pStyle w:val="251"/>
        <w:tabs>
          <w:tab w:val="left" w:pos="720"/>
        </w:tabs>
        <w:outlineLvl w:val="0"/>
      </w:pPr>
      <w:r>
        <w:rPr>
          <w:rFonts w:hint="eastAsia"/>
        </w:rPr>
        <w:t>4.10 乙方现场查勘</w:t>
      </w:r>
    </w:p>
    <w:p w14:paraId="4E7DD2A4">
      <w:pPr>
        <w:spacing w:line="400" w:lineRule="exact"/>
        <w:ind w:firstLine="420" w:firstLineChars="200"/>
      </w:pPr>
      <w:r>
        <w:rPr>
          <w:rFonts w:hint="eastAsia"/>
        </w:rPr>
        <w:t>4.10.1 甲方应将其持有的现场地质勘探资料、水文气象资料提供给乙方，并对其准确性负责。但乙方应对其阅读上述有关资料后所作出的解释和推断负责。</w:t>
      </w:r>
    </w:p>
    <w:p w14:paraId="1A1A84D3">
      <w:pPr>
        <w:spacing w:line="400" w:lineRule="exact"/>
        <w:ind w:firstLine="420" w:firstLineChars="200"/>
      </w:pPr>
      <w:r>
        <w:rPr>
          <w:rFonts w:hint="eastAsia"/>
        </w:rPr>
        <w:t>4.10.2 乙方应对施工场地和周围环境进行查勘，并收集有关地质、水文、气象条件、交通条件、风俗习惯以及其他为完成合同工作有关的当地资料。在全部合同工作中，应视为乙方已充分估计了应承担的责任和风险。</w:t>
      </w:r>
    </w:p>
    <w:p w14:paraId="4EA6D47C">
      <w:pPr>
        <w:pStyle w:val="251"/>
        <w:tabs>
          <w:tab w:val="left" w:pos="720"/>
        </w:tabs>
        <w:outlineLvl w:val="0"/>
      </w:pPr>
      <w:r>
        <w:rPr>
          <w:rFonts w:hint="eastAsia"/>
        </w:rPr>
        <w:t>4.11 不利物质条件</w:t>
      </w:r>
    </w:p>
    <w:p w14:paraId="1E00CBE3">
      <w:pPr>
        <w:spacing w:line="400" w:lineRule="exact"/>
        <w:ind w:firstLine="420" w:firstLineChars="200"/>
      </w:pPr>
      <w:r>
        <w:rPr>
          <w:rFonts w:hint="eastAsia"/>
        </w:rPr>
        <w:t>4.11.1 不利物质条件，除专用合同条款另有约定外，是指乙方在施工场地遇到的不可预见的自然物质条件、非自然的物质障碍和污染物，包括地下和水文条件，但不包括气候条件。</w:t>
      </w:r>
    </w:p>
    <w:p w14:paraId="4A4AA63D">
      <w:pPr>
        <w:spacing w:line="400" w:lineRule="exact"/>
        <w:ind w:firstLine="420" w:firstLineChars="200"/>
      </w:pPr>
      <w:r>
        <w:rPr>
          <w:rFonts w:hint="eastAsia"/>
        </w:rPr>
        <w:t>4.11.2 乙方遇到不利物质条件时，应采取适应不利物质条件的合理措施继续施工，并及时通知监理人。监理人应当及时发出指示，指示构成变更的，按第15条约定办理。监理人没有发出指示的，乙方因采取合理措施而增加的费用和（或）工期延误，由甲方承担。</w:t>
      </w:r>
    </w:p>
    <w:p w14:paraId="52F2D7CC">
      <w:pPr>
        <w:pStyle w:val="250"/>
        <w:spacing w:before="0"/>
      </w:pPr>
      <w:r>
        <w:rPr>
          <w:rFonts w:hint="eastAsia"/>
        </w:rPr>
        <w:t>5. 材料和工程设备</w:t>
      </w:r>
    </w:p>
    <w:p w14:paraId="50C8B383">
      <w:pPr>
        <w:pStyle w:val="251"/>
        <w:tabs>
          <w:tab w:val="left" w:pos="720"/>
        </w:tabs>
        <w:outlineLvl w:val="0"/>
      </w:pPr>
      <w:r>
        <w:rPr>
          <w:rFonts w:hint="eastAsia"/>
        </w:rPr>
        <w:t>5.1 乙方提供的材料和工程设备</w:t>
      </w:r>
    </w:p>
    <w:p w14:paraId="57029715">
      <w:pPr>
        <w:spacing w:line="400" w:lineRule="exact"/>
        <w:ind w:firstLine="420" w:firstLineChars="200"/>
      </w:pPr>
      <w:r>
        <w:rPr>
          <w:rFonts w:hint="eastAsia"/>
        </w:rPr>
        <w:t>5.1.1 除专用合同条款另有约定外，乙方提供的材料和工程设备均由乙方负责采购、运输和保管。乙方应对其采购的材料和工程设备负责。</w:t>
      </w:r>
    </w:p>
    <w:p w14:paraId="4E3CB99D">
      <w:pPr>
        <w:spacing w:line="400" w:lineRule="exact"/>
        <w:ind w:firstLine="420" w:firstLineChars="200"/>
      </w:pPr>
      <w:r>
        <w:rPr>
          <w:rFonts w:hint="eastAsia"/>
        </w:rPr>
        <w:t>5.1.2 乙方应按专用合同条款的约定，将各项材料和工程设备的供货人及品种、规格、数量和供货时间等报送监理人审批。乙方应向监理人提交其负责提供的材料和工程设备的质量证明文件，并满足合同约定的质量标准。</w:t>
      </w:r>
    </w:p>
    <w:p w14:paraId="5AA568CF">
      <w:pPr>
        <w:spacing w:line="400" w:lineRule="exact"/>
        <w:ind w:firstLine="420" w:firstLineChars="200"/>
      </w:pPr>
      <w:r>
        <w:rPr>
          <w:rFonts w:hint="eastAsia"/>
        </w:rPr>
        <w:t>5.1.3对乙方提供的材料和工程设备，乙方应会同监理人进行检验和交货验收，查验材料合格证明和产品合格证书，并按合同约定和监理人指示，进行材料的抽样检验和工程设备的检验测试，检验和测试结果应提交监理人，所需费用由乙方承担。</w:t>
      </w:r>
    </w:p>
    <w:p w14:paraId="107A21B8">
      <w:pPr>
        <w:pStyle w:val="251"/>
        <w:tabs>
          <w:tab w:val="left" w:pos="720"/>
        </w:tabs>
        <w:outlineLvl w:val="0"/>
      </w:pPr>
      <w:r>
        <w:rPr>
          <w:rFonts w:hint="eastAsia"/>
        </w:rPr>
        <w:t>5.2 甲方提供的材料和工程设备</w:t>
      </w:r>
    </w:p>
    <w:p w14:paraId="7D83B1B4">
      <w:pPr>
        <w:spacing w:line="400" w:lineRule="exact"/>
        <w:ind w:firstLine="420" w:firstLineChars="200"/>
      </w:pPr>
      <w:r>
        <w:rPr>
          <w:rFonts w:hint="eastAsia"/>
        </w:rPr>
        <w:t>5.2.1 甲方提供的材料和工程设备，应在专用合同条款中写明材料和工程设备的名称、规格、数量、价格、交货方式、交货地点和计划交货日期等。</w:t>
      </w:r>
    </w:p>
    <w:p w14:paraId="733FA693">
      <w:pPr>
        <w:spacing w:line="400" w:lineRule="exact"/>
        <w:ind w:firstLine="420" w:firstLineChars="200"/>
      </w:pPr>
      <w:r>
        <w:rPr>
          <w:rFonts w:hint="eastAsia"/>
        </w:rPr>
        <w:t>5.2.2 乙方应根据合同进度计划的安排，向监理人报送要求甲方交货的日期计划。甲方应按照监理人与合同双方当事人商定的交货日期，向乙方提交材料和工程设备。</w:t>
      </w:r>
    </w:p>
    <w:p w14:paraId="7C647601">
      <w:pPr>
        <w:spacing w:line="400" w:lineRule="exact"/>
        <w:ind w:firstLine="420" w:firstLineChars="200"/>
      </w:pPr>
      <w:r>
        <w:rPr>
          <w:rFonts w:hint="eastAsia"/>
        </w:rPr>
        <w:t>5.2.3 甲方应在材料和工程设备到货7天前通知乙方，乙方应会同监理人在约定的时间内，赴交货地点共同进行验收。除专用合同条款另有约定外，甲方提供的材料和工程设备验收后，由乙方负责接收、运输和保管。</w:t>
      </w:r>
    </w:p>
    <w:p w14:paraId="3C3C56A9">
      <w:pPr>
        <w:spacing w:line="400" w:lineRule="exact"/>
        <w:ind w:firstLine="420" w:firstLineChars="200"/>
      </w:pPr>
      <w:r>
        <w:rPr>
          <w:rFonts w:hint="eastAsia"/>
        </w:rPr>
        <w:t>5.2.4 甲方要求向乙方提前交货的，乙方不得拒绝，但甲方应承担乙方由此增加的费用。</w:t>
      </w:r>
    </w:p>
    <w:p w14:paraId="11253C58">
      <w:pPr>
        <w:spacing w:line="400" w:lineRule="exact"/>
        <w:ind w:firstLine="420" w:firstLineChars="200"/>
      </w:pPr>
      <w:r>
        <w:rPr>
          <w:rFonts w:hint="eastAsia"/>
        </w:rPr>
        <w:t>5.2.5 乙方要求更改交货日期或地点的，应事先报请监理人批准。由于乙方要求更改交货时间或地点所增加的费用和（或）工期延误由乙方承担。</w:t>
      </w:r>
    </w:p>
    <w:p w14:paraId="19E076BE">
      <w:pPr>
        <w:spacing w:line="400" w:lineRule="exact"/>
        <w:ind w:firstLine="420" w:firstLineChars="200"/>
      </w:pPr>
      <w:r>
        <w:rPr>
          <w:rFonts w:hint="eastAsia"/>
        </w:rPr>
        <w:t>5.2.6 甲方提供的材料和工程设备的规格、数量或质量不符合合同要求，或由于甲方原因发生交货日期延误及交货地点变更等情况的，甲方应承担由此增加的费用和（或）工期延误，并向乙方支付合理利润。</w:t>
      </w:r>
    </w:p>
    <w:p w14:paraId="5E40D278">
      <w:pPr>
        <w:pStyle w:val="251"/>
        <w:tabs>
          <w:tab w:val="left" w:pos="720"/>
        </w:tabs>
        <w:outlineLvl w:val="0"/>
      </w:pPr>
      <w:r>
        <w:rPr>
          <w:rFonts w:hint="eastAsia"/>
        </w:rPr>
        <w:t>5.3 材料和工程设备专用于合同工程</w:t>
      </w:r>
    </w:p>
    <w:p w14:paraId="7017CA04">
      <w:pPr>
        <w:spacing w:line="400" w:lineRule="exact"/>
        <w:ind w:firstLine="420" w:firstLineChars="200"/>
      </w:pPr>
      <w:r>
        <w:rPr>
          <w:rFonts w:hint="eastAsia"/>
        </w:rPr>
        <w:t>5.3.1运入施工场地的材料、工程设备，包括备品备件、安装专用工器具与随机资料，必须专用于合同工程，未经监理人同意，乙方不得运出施工场地或挪作他用。</w:t>
      </w:r>
    </w:p>
    <w:p w14:paraId="4E912D67">
      <w:pPr>
        <w:spacing w:line="400" w:lineRule="exact"/>
        <w:ind w:firstLine="420" w:firstLineChars="200"/>
      </w:pPr>
      <w:r>
        <w:rPr>
          <w:rFonts w:hint="eastAsia"/>
        </w:rPr>
        <w:t>5.3.2 随同工程设备运入施工场地的备品备件、专用工器具与随机资料，应由乙方会同监理人按供货人的装箱单清点后共同封存，未经监理人同意不得启用。乙方因合同工作需要使用上述物品时，应向监理人提出申请。</w:t>
      </w:r>
    </w:p>
    <w:p w14:paraId="5B207DF7">
      <w:pPr>
        <w:pStyle w:val="251"/>
        <w:tabs>
          <w:tab w:val="left" w:pos="720"/>
        </w:tabs>
        <w:outlineLvl w:val="0"/>
      </w:pPr>
      <w:r>
        <w:rPr>
          <w:rFonts w:hint="eastAsia"/>
        </w:rPr>
        <w:t>5.4 禁止使用不合格的材料和工程设备</w:t>
      </w:r>
    </w:p>
    <w:p w14:paraId="6A9C60E5">
      <w:pPr>
        <w:spacing w:line="400" w:lineRule="exact"/>
        <w:ind w:firstLine="420" w:firstLineChars="200"/>
      </w:pPr>
      <w:r>
        <w:rPr>
          <w:rFonts w:hint="eastAsia"/>
        </w:rPr>
        <w:t>5.4.1 监理人有权拒绝乙方提供的不合格材料或工程设备，并要求乙方立即进行更换。监理人应在更换后再次进行检查和检验，由此增加的费用和（或）工期延误由乙方承担。</w:t>
      </w:r>
    </w:p>
    <w:p w14:paraId="119F37B5">
      <w:pPr>
        <w:spacing w:line="400" w:lineRule="exact"/>
        <w:ind w:firstLine="420" w:firstLineChars="200"/>
      </w:pPr>
      <w:r>
        <w:rPr>
          <w:rFonts w:hint="eastAsia"/>
        </w:rPr>
        <w:t>5.4.2 监理人发现乙方使用了不合格的材料和工程设备，应即时发出指示要求乙方立即改正，并禁止在工程中继续使用不合格的材料和工程设备。</w:t>
      </w:r>
    </w:p>
    <w:p w14:paraId="4E1C9501">
      <w:pPr>
        <w:spacing w:line="400" w:lineRule="exact"/>
        <w:ind w:firstLine="420" w:firstLineChars="200"/>
      </w:pPr>
      <w:r>
        <w:rPr>
          <w:rFonts w:hint="eastAsia"/>
        </w:rPr>
        <w:t>5.4.3 甲方提供的材料或工程设备不符合合同要求的，乙方有权拒绝，并可要求甲方更换，由此增加的费用和（或）工期延误由甲方承担。</w:t>
      </w:r>
    </w:p>
    <w:p w14:paraId="7DCEE140">
      <w:pPr>
        <w:pStyle w:val="250"/>
        <w:spacing w:before="0"/>
      </w:pPr>
      <w:r>
        <w:rPr>
          <w:rFonts w:hint="eastAsia"/>
        </w:rPr>
        <w:t>6. 施工设备和临时设施</w:t>
      </w:r>
    </w:p>
    <w:p w14:paraId="776F565A">
      <w:pPr>
        <w:pStyle w:val="251"/>
        <w:tabs>
          <w:tab w:val="left" w:pos="720"/>
        </w:tabs>
        <w:outlineLvl w:val="0"/>
      </w:pPr>
      <w:r>
        <w:rPr>
          <w:rFonts w:hint="eastAsia"/>
        </w:rPr>
        <w:t>6.1 乙方提供的施工设备和临时设施</w:t>
      </w:r>
    </w:p>
    <w:p w14:paraId="1B73AABD">
      <w:pPr>
        <w:spacing w:line="400" w:lineRule="exact"/>
        <w:ind w:firstLine="420" w:firstLineChars="200"/>
      </w:pPr>
      <w:r>
        <w:rPr>
          <w:rFonts w:hint="eastAsia"/>
        </w:rPr>
        <w:t>6.1.1 乙方应按合同进度计划的要求，及时配置施工设备和修建临时设施。进入施工场地的乙方设备需经监理人核查后才能投入使用。乙方更换合同约定的乙方设备的，应报监理人批准。</w:t>
      </w:r>
    </w:p>
    <w:p w14:paraId="4C28E86F">
      <w:pPr>
        <w:spacing w:line="400" w:lineRule="exact"/>
        <w:ind w:firstLine="420" w:firstLineChars="200"/>
      </w:pPr>
      <w:r>
        <w:rPr>
          <w:rFonts w:hint="eastAsia"/>
        </w:rPr>
        <w:t>6.1.2除专用合同条款另有约定外，乙方应自行承担修建临时设施的费用，需要临时占地的，应由甲方办理申请手续并承担相应费用。</w:t>
      </w:r>
    </w:p>
    <w:p w14:paraId="3D38C16F">
      <w:pPr>
        <w:pStyle w:val="251"/>
        <w:tabs>
          <w:tab w:val="left" w:pos="720"/>
        </w:tabs>
        <w:outlineLvl w:val="0"/>
      </w:pPr>
      <w:r>
        <w:rPr>
          <w:rFonts w:hint="eastAsia"/>
        </w:rPr>
        <w:t>6.2 甲方提供的施工设备和临时设施</w:t>
      </w:r>
    </w:p>
    <w:p w14:paraId="7B69CFA3">
      <w:pPr>
        <w:spacing w:line="400" w:lineRule="exact"/>
        <w:ind w:firstLine="420" w:firstLineChars="200"/>
      </w:pPr>
      <w:r>
        <w:rPr>
          <w:rFonts w:hint="eastAsia"/>
        </w:rPr>
        <w:t>甲方提供的施工设备或临时设施在专用合同条款中约定。</w:t>
      </w:r>
    </w:p>
    <w:p w14:paraId="7633AA6B">
      <w:pPr>
        <w:pStyle w:val="251"/>
        <w:tabs>
          <w:tab w:val="left" w:pos="720"/>
        </w:tabs>
        <w:outlineLvl w:val="0"/>
      </w:pPr>
      <w:r>
        <w:rPr>
          <w:rFonts w:hint="eastAsia"/>
        </w:rPr>
        <w:t>6.3 要求乙方增加或更换施工设备</w:t>
      </w:r>
    </w:p>
    <w:p w14:paraId="22E91E57">
      <w:pPr>
        <w:spacing w:line="400" w:lineRule="exact"/>
        <w:ind w:firstLine="420" w:firstLineChars="200"/>
      </w:pPr>
      <w:r>
        <w:rPr>
          <w:rFonts w:hint="eastAsia"/>
        </w:rPr>
        <w:t>乙方使用的施工设备不能满足合同进度计划和（或）质量要求时，监理人有权要求乙方增加或更换施工设备，乙方应及时增加或更换，由此增加的费用和（或）工期延误由乙方承担。</w:t>
      </w:r>
    </w:p>
    <w:p w14:paraId="5E7F0491">
      <w:pPr>
        <w:pStyle w:val="251"/>
        <w:tabs>
          <w:tab w:val="left" w:pos="720"/>
        </w:tabs>
        <w:outlineLvl w:val="0"/>
      </w:pPr>
      <w:r>
        <w:rPr>
          <w:rFonts w:hint="eastAsia"/>
        </w:rPr>
        <w:t>6.4 施工设备和临时设施专用于合同工程</w:t>
      </w:r>
    </w:p>
    <w:p w14:paraId="54F71DC0">
      <w:pPr>
        <w:spacing w:line="400" w:lineRule="exact"/>
        <w:ind w:firstLine="420" w:firstLineChars="200"/>
      </w:pPr>
      <w:r>
        <w:rPr>
          <w:rFonts w:hint="eastAsia"/>
        </w:rPr>
        <w:t>6.4.1除合同另有约定外，运入施工场地的所有施工设备以及在施工场地建设的临时设施应专用于合同工程。未经监理人同意，不得将上述施工设备和临时设施中的任何部分运出施工场地或挪作他用。</w:t>
      </w:r>
    </w:p>
    <w:p w14:paraId="68945C4A">
      <w:pPr>
        <w:spacing w:line="400" w:lineRule="exact"/>
        <w:ind w:firstLine="420" w:firstLineChars="200"/>
      </w:pPr>
      <w:r>
        <w:rPr>
          <w:rFonts w:hint="eastAsia"/>
        </w:rPr>
        <w:t>6.4.2 经监理人同意，乙方可根据合同进度计划撤走闲置的施工设备。</w:t>
      </w:r>
    </w:p>
    <w:p w14:paraId="57EA1D4F">
      <w:pPr>
        <w:pStyle w:val="250"/>
        <w:spacing w:before="0"/>
      </w:pPr>
      <w:r>
        <w:rPr>
          <w:rFonts w:hint="eastAsia"/>
        </w:rPr>
        <w:t>7. 交通运输</w:t>
      </w:r>
    </w:p>
    <w:p w14:paraId="4FE569AF">
      <w:pPr>
        <w:pStyle w:val="251"/>
        <w:tabs>
          <w:tab w:val="left" w:pos="720"/>
        </w:tabs>
        <w:outlineLvl w:val="0"/>
      </w:pPr>
      <w:r>
        <w:rPr>
          <w:rFonts w:hint="eastAsia"/>
        </w:rPr>
        <w:t>7.1 道路通行权和场外设施</w:t>
      </w:r>
    </w:p>
    <w:p w14:paraId="459A8241">
      <w:pPr>
        <w:spacing w:line="400" w:lineRule="exact"/>
        <w:ind w:firstLine="420" w:firstLineChars="200"/>
      </w:pPr>
      <w:r>
        <w:rPr>
          <w:rFonts w:hint="eastAsia"/>
        </w:rPr>
        <w:t>除专用合同条款另有约定外，甲方应根据合同工程的施工需要，负责办理取得出入施工场地的专用和临时道路的通行权，以及取得为工程建设所需修建场外设施的权利，并承担有关费用。乙方应协助甲方办理上述手续。</w:t>
      </w:r>
    </w:p>
    <w:p w14:paraId="5BD32D54">
      <w:pPr>
        <w:pStyle w:val="251"/>
        <w:tabs>
          <w:tab w:val="left" w:pos="720"/>
        </w:tabs>
        <w:outlineLvl w:val="0"/>
      </w:pPr>
      <w:r>
        <w:rPr>
          <w:rFonts w:hint="eastAsia"/>
        </w:rPr>
        <w:t>7.2 场内施工道路</w:t>
      </w:r>
    </w:p>
    <w:p w14:paraId="0DDCA328">
      <w:pPr>
        <w:spacing w:line="400" w:lineRule="exact"/>
        <w:ind w:firstLine="420" w:firstLineChars="200"/>
      </w:pPr>
      <w:r>
        <w:rPr>
          <w:rFonts w:hint="eastAsia"/>
        </w:rPr>
        <w:t>7.2.1 除专用合同条款另有约定外，乙方应负责修建、维修、养护和管理施工所需的临时道路和交通设施，包括维修、养护和管理甲方提供的道路和交通设施，并承担相应费用。</w:t>
      </w:r>
    </w:p>
    <w:p w14:paraId="430E260B">
      <w:pPr>
        <w:spacing w:line="400" w:lineRule="exact"/>
        <w:ind w:firstLine="420" w:firstLineChars="200"/>
      </w:pPr>
      <w:r>
        <w:rPr>
          <w:rFonts w:hint="eastAsia"/>
        </w:rPr>
        <w:t>7.2.2 除专用合同条款另有约定外，乙方修建的临时道路和交通设施应免费提供甲方和监理人使用。</w:t>
      </w:r>
    </w:p>
    <w:p w14:paraId="52F71AF5">
      <w:pPr>
        <w:pStyle w:val="251"/>
        <w:tabs>
          <w:tab w:val="left" w:pos="720"/>
        </w:tabs>
        <w:outlineLvl w:val="0"/>
      </w:pPr>
      <w:r>
        <w:rPr>
          <w:rFonts w:hint="eastAsia"/>
        </w:rPr>
        <w:t>7.3 场外交通</w:t>
      </w:r>
    </w:p>
    <w:p w14:paraId="63423F86">
      <w:pPr>
        <w:spacing w:line="400" w:lineRule="exact"/>
        <w:ind w:firstLine="420" w:firstLineChars="200"/>
      </w:pPr>
      <w:r>
        <w:rPr>
          <w:rFonts w:hint="eastAsia"/>
        </w:rPr>
        <w:t>7.3.1 乙方车辆外出行驶所需的场外公共道路的通行费、养路费和税款等由乙方承担。</w:t>
      </w:r>
    </w:p>
    <w:p w14:paraId="31D24AFD">
      <w:pPr>
        <w:spacing w:line="400" w:lineRule="exact"/>
        <w:ind w:firstLine="420" w:firstLineChars="200"/>
      </w:pPr>
      <w:r>
        <w:rPr>
          <w:rFonts w:hint="eastAsia"/>
        </w:rPr>
        <w:t>7.3.2 乙方应遵守有关交通法规，严格按照道路和桥梁的限制荷重安全行驶，并服从交通管理部门的检查和监督。</w:t>
      </w:r>
    </w:p>
    <w:p w14:paraId="446277EC">
      <w:pPr>
        <w:pStyle w:val="251"/>
        <w:tabs>
          <w:tab w:val="left" w:pos="720"/>
        </w:tabs>
        <w:outlineLvl w:val="0"/>
      </w:pPr>
      <w:r>
        <w:rPr>
          <w:rFonts w:hint="eastAsia"/>
        </w:rPr>
        <w:t>7.4 超大件和超重件的运输</w:t>
      </w:r>
    </w:p>
    <w:p w14:paraId="22B4E4FE">
      <w:pPr>
        <w:spacing w:line="400" w:lineRule="exact"/>
        <w:ind w:firstLine="420" w:firstLineChars="200"/>
      </w:pPr>
      <w:r>
        <w:rPr>
          <w:rFonts w:hint="eastAsia"/>
        </w:rPr>
        <w:t>由乙方负责运输的超大件或超重件，应由乙方负责向交通管理部门办理申请手续，甲方给予协助。运输超大件或超重件所需的道路和桥梁临时加固改造费用和其他有关费用，由乙方承担，但专用合同条款另有约定除外。</w:t>
      </w:r>
    </w:p>
    <w:p w14:paraId="47BDC78E">
      <w:pPr>
        <w:pStyle w:val="251"/>
        <w:tabs>
          <w:tab w:val="left" w:pos="720"/>
        </w:tabs>
        <w:outlineLvl w:val="0"/>
      </w:pPr>
      <w:r>
        <w:rPr>
          <w:rFonts w:hint="eastAsia"/>
        </w:rPr>
        <w:t>7.5 道路和桥梁的损坏责任</w:t>
      </w:r>
    </w:p>
    <w:p w14:paraId="565506F3">
      <w:pPr>
        <w:spacing w:line="400" w:lineRule="exact"/>
        <w:ind w:firstLine="420" w:firstLineChars="200"/>
      </w:pPr>
      <w:r>
        <w:rPr>
          <w:rFonts w:hint="eastAsia"/>
        </w:rPr>
        <w:t>因乙方运输造成施工场地内外公共道路和桥梁损坏的，由乙方承担修复损坏的全部费用和可能引起的赔偿。</w:t>
      </w:r>
    </w:p>
    <w:p w14:paraId="2EA7280C">
      <w:pPr>
        <w:pStyle w:val="251"/>
        <w:tabs>
          <w:tab w:val="left" w:pos="720"/>
        </w:tabs>
        <w:outlineLvl w:val="0"/>
      </w:pPr>
      <w:r>
        <w:rPr>
          <w:rFonts w:hint="eastAsia"/>
        </w:rPr>
        <w:t>7.6 水路和航空运输</w:t>
      </w:r>
    </w:p>
    <w:p w14:paraId="7310194F">
      <w:pPr>
        <w:spacing w:line="400" w:lineRule="exact"/>
        <w:ind w:firstLine="420" w:firstLineChars="200"/>
      </w:pPr>
      <w:r>
        <w:rPr>
          <w:rFonts w:hint="eastAsia"/>
        </w:rPr>
        <w:t>本条上述各款的内容适用于水路运输和航空运输，其中“道路”一词的涵义包括河道、航线、船闸、机场、码头、堤防以及水路或航空运输中其他相似结构物；“车辆”一词的涵义包括船舶和飞机等。</w:t>
      </w:r>
    </w:p>
    <w:p w14:paraId="50F6DDEA">
      <w:pPr>
        <w:pStyle w:val="250"/>
        <w:spacing w:before="0"/>
      </w:pPr>
      <w:r>
        <w:rPr>
          <w:rFonts w:hint="eastAsia"/>
        </w:rPr>
        <w:t>8. 测量放线</w:t>
      </w:r>
    </w:p>
    <w:p w14:paraId="3667195D">
      <w:pPr>
        <w:pStyle w:val="251"/>
        <w:tabs>
          <w:tab w:val="left" w:pos="720"/>
        </w:tabs>
        <w:outlineLvl w:val="0"/>
      </w:pPr>
      <w:r>
        <w:rPr>
          <w:rFonts w:hint="eastAsia"/>
        </w:rPr>
        <w:t>8.1 施工控制网</w:t>
      </w:r>
    </w:p>
    <w:p w14:paraId="4712B6F9">
      <w:pPr>
        <w:spacing w:line="400" w:lineRule="exact"/>
        <w:ind w:firstLine="420" w:firstLineChars="200"/>
      </w:pPr>
      <w:r>
        <w:rPr>
          <w:rFonts w:hint="eastAsia"/>
        </w:rPr>
        <w:t>8.1.1甲方应在专用合同条款约定的期限内，通过监理人向乙方提供测量基准点、基准线和水准点及其书面资料。除专用合同条款另有约定外，乙方应根据国家测绘基准、测绘系统和工程测量技术规范，按上述基准点（线）以及合同工程精度要求，测设施工控制网，并在专用合同条款约定的期限内，将施工控制网资料报送监理人审批。</w:t>
      </w:r>
    </w:p>
    <w:p w14:paraId="20752979">
      <w:pPr>
        <w:spacing w:line="400" w:lineRule="exact"/>
        <w:ind w:firstLine="420" w:firstLineChars="200"/>
      </w:pPr>
      <w:r>
        <w:rPr>
          <w:rFonts w:hint="eastAsia"/>
        </w:rPr>
        <w:t>8.1.2乙方应负责管理施工控制网点。施工控制网点丢失或损坏的，乙方应及时修复。乙方应承担施工控制网点的管理与修复费用，并在工程竣工后将施工控制网点移交甲方。</w:t>
      </w:r>
    </w:p>
    <w:p w14:paraId="57850DC8">
      <w:pPr>
        <w:pStyle w:val="251"/>
        <w:tabs>
          <w:tab w:val="left" w:pos="720"/>
        </w:tabs>
        <w:outlineLvl w:val="0"/>
      </w:pPr>
      <w:r>
        <w:rPr>
          <w:rFonts w:hint="eastAsia"/>
        </w:rPr>
        <w:t>8.2 施工测量</w:t>
      </w:r>
    </w:p>
    <w:p w14:paraId="053B0B15">
      <w:pPr>
        <w:spacing w:line="400" w:lineRule="exact"/>
        <w:ind w:firstLine="420" w:firstLineChars="200"/>
      </w:pPr>
      <w:r>
        <w:rPr>
          <w:rFonts w:hint="eastAsia"/>
        </w:rPr>
        <w:t>8.2.1乙方应负责施工过程中的全部施工测量放线工作，并配置合格的人员、仪器、设备和其他物品。</w:t>
      </w:r>
    </w:p>
    <w:p w14:paraId="36C47D9F">
      <w:pPr>
        <w:spacing w:line="400" w:lineRule="exact"/>
        <w:ind w:firstLine="420" w:firstLineChars="200"/>
      </w:pPr>
      <w:r>
        <w:rPr>
          <w:rFonts w:hint="eastAsia"/>
        </w:rPr>
        <w:t>8.2.2监理人可以指示乙方进行抽样复测，当复测中发现错误或出现超过合同约定的误差时，乙方应按监理人指示进行修正或补测，并承担相应的复测费用。</w:t>
      </w:r>
    </w:p>
    <w:p w14:paraId="6A5CF227">
      <w:pPr>
        <w:pStyle w:val="251"/>
        <w:tabs>
          <w:tab w:val="left" w:pos="720"/>
        </w:tabs>
        <w:outlineLvl w:val="0"/>
      </w:pPr>
      <w:r>
        <w:rPr>
          <w:rFonts w:hint="eastAsia"/>
        </w:rPr>
        <w:t>8.3 基准资料错误的责任</w:t>
      </w:r>
    </w:p>
    <w:p w14:paraId="57ACFFB6">
      <w:pPr>
        <w:spacing w:line="400" w:lineRule="exact"/>
        <w:ind w:firstLine="420" w:firstLineChars="200"/>
      </w:pPr>
      <w:r>
        <w:rPr>
          <w:rFonts w:hint="eastAsia"/>
        </w:rPr>
        <w:t>甲方应对其提供的测量基准点、基准线和水准点及其书面资料的真实性、准确性和完整性负责。甲方提供上述基准资料错误导致乙方测量放线工作的返工或造成工程损失的，甲方应当承担由此增加的费用和（或）工期延误，并向乙方支付合理利润。乙方发现甲方提供的上述基准资料存在明显错误或疏忽的，应及时通知监理人。</w:t>
      </w:r>
    </w:p>
    <w:p w14:paraId="6966E184">
      <w:pPr>
        <w:pStyle w:val="251"/>
        <w:tabs>
          <w:tab w:val="left" w:pos="720"/>
        </w:tabs>
        <w:outlineLvl w:val="0"/>
      </w:pPr>
      <w:r>
        <w:rPr>
          <w:rFonts w:hint="eastAsia"/>
        </w:rPr>
        <w:t>8.4 监理人使用施工控制网</w:t>
      </w:r>
    </w:p>
    <w:p w14:paraId="544417BC">
      <w:pPr>
        <w:spacing w:line="400" w:lineRule="exact"/>
        <w:ind w:firstLine="420" w:firstLineChars="200"/>
        <w:rPr>
          <w:dstrike/>
          <w:szCs w:val="21"/>
        </w:rPr>
      </w:pPr>
      <w:r>
        <w:rPr>
          <w:rFonts w:hint="eastAsia"/>
        </w:rPr>
        <w:t>监理人需要使用施工控制网的，乙方应提供必要的协助，甲方不再为此支付费用。</w:t>
      </w:r>
    </w:p>
    <w:p w14:paraId="28F586B9">
      <w:pPr>
        <w:pStyle w:val="250"/>
        <w:spacing w:before="0"/>
      </w:pPr>
      <w:r>
        <w:rPr>
          <w:rFonts w:hint="eastAsia"/>
        </w:rPr>
        <w:t>9. 施工安全、治安保卫和环境保护</w:t>
      </w:r>
    </w:p>
    <w:p w14:paraId="1B08034A">
      <w:pPr>
        <w:pStyle w:val="251"/>
        <w:tabs>
          <w:tab w:val="left" w:pos="720"/>
        </w:tabs>
        <w:outlineLvl w:val="0"/>
      </w:pPr>
      <w:r>
        <w:rPr>
          <w:rFonts w:hint="eastAsia"/>
        </w:rPr>
        <w:t>9.1 甲方的施工安全责任</w:t>
      </w:r>
    </w:p>
    <w:p w14:paraId="7F27AF1A">
      <w:pPr>
        <w:spacing w:line="400" w:lineRule="exact"/>
        <w:ind w:firstLine="420" w:firstLineChars="200"/>
      </w:pPr>
      <w:r>
        <w:rPr>
          <w:rFonts w:hint="eastAsia"/>
        </w:rPr>
        <w:t>9.1.1 甲方应按合同约定履行安全职责，授权监理人按合同约定的安全工作内容监督、检查乙方安全工作的实施，组织乙方和有关单位进行安全检查。</w:t>
      </w:r>
    </w:p>
    <w:p w14:paraId="2D911FBF">
      <w:pPr>
        <w:spacing w:line="400" w:lineRule="exact"/>
        <w:ind w:firstLine="420" w:firstLineChars="200"/>
      </w:pPr>
      <w:r>
        <w:rPr>
          <w:rFonts w:hint="eastAsia"/>
        </w:rPr>
        <w:t>9.1.2 甲方应对其现场机构雇佣的全部人员的工伤事故承担责任，但由于乙方原因造成甲方人员工伤的，应由乙方承担责任。</w:t>
      </w:r>
    </w:p>
    <w:p w14:paraId="6AEE957B">
      <w:pPr>
        <w:spacing w:line="400" w:lineRule="exact"/>
        <w:ind w:firstLine="420" w:firstLineChars="200"/>
      </w:pPr>
      <w:r>
        <w:rPr>
          <w:rFonts w:hint="eastAsia"/>
        </w:rPr>
        <w:t>9.1.3 甲方应负责赔偿以下各种情况造成的第三者人身伤亡和财产损失：</w:t>
      </w:r>
    </w:p>
    <w:p w14:paraId="04FF46C7">
      <w:pPr>
        <w:spacing w:line="400" w:lineRule="exact"/>
        <w:ind w:firstLine="420" w:firstLineChars="200"/>
      </w:pPr>
      <w:r>
        <w:rPr>
          <w:rFonts w:hint="eastAsia"/>
        </w:rPr>
        <w:t>（1）工程或工程的任何部分对土地的占用所造成的第三者财产损失；</w:t>
      </w:r>
    </w:p>
    <w:p w14:paraId="0EEB40AC">
      <w:pPr>
        <w:spacing w:line="400" w:lineRule="exact"/>
        <w:ind w:firstLine="420" w:firstLineChars="200"/>
      </w:pPr>
      <w:r>
        <w:rPr>
          <w:rFonts w:hint="eastAsia"/>
        </w:rPr>
        <w:t>（2）由于甲方原因在施工场地及其毗邻地带造成的第三者人身伤亡和财产损失。</w:t>
      </w:r>
    </w:p>
    <w:p w14:paraId="346886BB">
      <w:pPr>
        <w:pStyle w:val="251"/>
        <w:tabs>
          <w:tab w:val="left" w:pos="720"/>
        </w:tabs>
        <w:outlineLvl w:val="0"/>
      </w:pPr>
      <w:r>
        <w:rPr>
          <w:rFonts w:hint="eastAsia"/>
        </w:rPr>
        <w:t>9.2 乙方的施工安全责任</w:t>
      </w:r>
    </w:p>
    <w:p w14:paraId="29ED9871">
      <w:pPr>
        <w:spacing w:line="400" w:lineRule="exact"/>
        <w:ind w:firstLine="420" w:firstLineChars="200"/>
      </w:pPr>
      <w:r>
        <w:rPr>
          <w:rFonts w:hint="eastAsia"/>
        </w:rPr>
        <w:t>9.2.1 乙方应按合同约定履行安全职责,执行监理人有关安全工作的指示,并在专用合同条款约定的期限内，按合同约定的安全工作内容，编制施工安全措施计划报送监理人审批。</w:t>
      </w:r>
    </w:p>
    <w:p w14:paraId="376D73C0">
      <w:pPr>
        <w:spacing w:line="400" w:lineRule="exact"/>
        <w:ind w:firstLine="420" w:firstLineChars="200"/>
      </w:pPr>
      <w:r>
        <w:rPr>
          <w:rFonts w:hint="eastAsia"/>
        </w:rPr>
        <w:t>9.2.2 乙方应加强施工作业安全管理，特别应加强易燃、易爆材料、火工器材、有毒与腐蚀性材料和其他危险品的管理，以及对爆破作业和地下工程施工等危险作业的管理。</w:t>
      </w:r>
    </w:p>
    <w:p w14:paraId="79C6594E">
      <w:pPr>
        <w:spacing w:line="400" w:lineRule="exact"/>
        <w:ind w:firstLine="420" w:firstLineChars="200"/>
      </w:pPr>
      <w:r>
        <w:rPr>
          <w:rFonts w:hint="eastAsia"/>
        </w:rPr>
        <w:t>9.2.3 乙方应严格按照国家安全标准制定施工安全操作规程，配备必要的安全生产和劳动保护设施，加强对乙方人员的安全教育，并发放安全工作手册和劳动保护用具。</w:t>
      </w:r>
    </w:p>
    <w:p w14:paraId="6FC6DF6A">
      <w:pPr>
        <w:spacing w:line="400" w:lineRule="exact"/>
        <w:ind w:firstLine="420" w:firstLineChars="200"/>
      </w:pPr>
      <w:r>
        <w:rPr>
          <w:rFonts w:hint="eastAsia"/>
        </w:rPr>
        <w:t>9.2.4 乙方应按监理人的指示制定应对灾害的紧急预案，报送监理人审批。乙方还应按预案做好安全检查，配置必要的救助物资和器材，切实保护好有关人员的人身和财产安全。</w:t>
      </w:r>
    </w:p>
    <w:p w14:paraId="4CA4CFDF">
      <w:pPr>
        <w:spacing w:line="400" w:lineRule="exact"/>
        <w:ind w:firstLine="420" w:firstLineChars="200"/>
      </w:pPr>
      <w:r>
        <w:rPr>
          <w:rFonts w:hint="eastAsia"/>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C7E87F6">
      <w:pPr>
        <w:spacing w:line="400" w:lineRule="exact"/>
        <w:ind w:firstLine="420" w:firstLineChars="200"/>
      </w:pPr>
      <w:r>
        <w:rPr>
          <w:rFonts w:hint="eastAsia"/>
        </w:rPr>
        <w:t>9.2.6 乙方应对其履行合同所雇佣的全部人员，包括分包人人员的工伤事故承担责任，但由于甲方原因造成乙方人员工伤事故的，应由甲方承担责任。</w:t>
      </w:r>
    </w:p>
    <w:p w14:paraId="33FA57E9">
      <w:pPr>
        <w:spacing w:line="400" w:lineRule="exact"/>
        <w:ind w:firstLine="420" w:firstLineChars="200"/>
      </w:pPr>
      <w:r>
        <w:rPr>
          <w:rFonts w:hint="eastAsia"/>
        </w:rPr>
        <w:t>9.2.7 由于乙方原因在施工场地内及其毗邻地带造成的第三者人员伤亡和财产损失，由乙方负责赔偿。</w:t>
      </w:r>
    </w:p>
    <w:p w14:paraId="42B4007F">
      <w:pPr>
        <w:pStyle w:val="251"/>
        <w:tabs>
          <w:tab w:val="left" w:pos="720"/>
        </w:tabs>
        <w:outlineLvl w:val="0"/>
      </w:pPr>
      <w:r>
        <w:rPr>
          <w:rFonts w:hint="eastAsia"/>
        </w:rPr>
        <w:t>9.3 治安保卫</w:t>
      </w:r>
    </w:p>
    <w:p w14:paraId="7FF87E75">
      <w:pPr>
        <w:spacing w:line="400" w:lineRule="exact"/>
        <w:ind w:firstLine="420" w:firstLineChars="200"/>
      </w:pPr>
      <w:r>
        <w:rPr>
          <w:rFonts w:hint="eastAsia"/>
        </w:rPr>
        <w:t>9.3.1 除合同另有约定外，甲方应与当地公安部门协商，在现场建立治安管理机构或联防组织，统一管理施工场地的治安保卫事项，履行合同工程的治安保卫职责。</w:t>
      </w:r>
    </w:p>
    <w:p w14:paraId="6CE4F311">
      <w:pPr>
        <w:spacing w:line="400" w:lineRule="exact"/>
        <w:ind w:firstLine="420" w:firstLineChars="200"/>
      </w:pPr>
      <w:r>
        <w:rPr>
          <w:rFonts w:hint="eastAsia"/>
        </w:rPr>
        <w:t>9.3.2 甲方和乙方除应协助现场治安管理机构或联防组织维护施工场地的社会治安外，还应做好包括生活区在内的各自管辖区的治安保卫工作。</w:t>
      </w:r>
    </w:p>
    <w:p w14:paraId="22B3D9B5">
      <w:pPr>
        <w:spacing w:line="400" w:lineRule="exact"/>
        <w:ind w:firstLine="420" w:firstLineChars="200"/>
      </w:pPr>
      <w:r>
        <w:rPr>
          <w:rFonts w:hint="eastAsia"/>
        </w:rPr>
        <w:t>9.3.3 除合同另有约定外，甲方和乙方应在工程开工后，共同编制施工场地治安管理计划，并制定应对突发治安事件的紧急预案。在工程施工过程中，发生暴乱、爆炸等恐怖事件，以及群殴、械斗等群体性突发治安事件的，甲方和乙方应立即向当地政府报告。甲方和乙方应积极协助当地有关部门采取措施平息事态，防止事态扩大，尽量减少财产损失和避免人员伤亡。</w:t>
      </w:r>
    </w:p>
    <w:p w14:paraId="6D665C21">
      <w:pPr>
        <w:pStyle w:val="251"/>
        <w:tabs>
          <w:tab w:val="left" w:pos="720"/>
        </w:tabs>
        <w:outlineLvl w:val="0"/>
      </w:pPr>
      <w:r>
        <w:rPr>
          <w:rFonts w:hint="eastAsia"/>
        </w:rPr>
        <w:t>9.4 环境保护</w:t>
      </w:r>
    </w:p>
    <w:p w14:paraId="68E25F8C">
      <w:pPr>
        <w:spacing w:line="400" w:lineRule="exact"/>
        <w:ind w:firstLine="420" w:firstLineChars="200"/>
      </w:pPr>
      <w:r>
        <w:rPr>
          <w:rFonts w:hint="eastAsia"/>
        </w:rPr>
        <w:t>9.4.1 乙方在施工过程中，应遵守有关环境保护的法律，履行合同约定的环境保护义务，并对违反法律和合同约定义务所造成的环境破坏、人身伤害和财产损失负责。</w:t>
      </w:r>
    </w:p>
    <w:p w14:paraId="6D7A8F20">
      <w:pPr>
        <w:spacing w:line="400" w:lineRule="exact"/>
        <w:ind w:firstLine="420" w:firstLineChars="200"/>
      </w:pPr>
      <w:r>
        <w:rPr>
          <w:rFonts w:hint="eastAsia"/>
        </w:rPr>
        <w:t>9.4.2 乙方应按合同约定的环保工作内容，编制施工环保措施计划，报送监理人审批。</w:t>
      </w:r>
    </w:p>
    <w:p w14:paraId="1211A7D6">
      <w:pPr>
        <w:spacing w:line="400" w:lineRule="exact"/>
        <w:ind w:firstLine="420" w:firstLineChars="200"/>
      </w:pPr>
      <w:r>
        <w:rPr>
          <w:rFonts w:hint="eastAsia"/>
        </w:rPr>
        <w:t>9.4.3 乙方应按照批准的施工环保措施计划有序地堆放和处理施工废弃物，避免对环境造成破坏。因乙方任意堆放或弃置施工废弃物造成妨碍公共交通、影响城镇居民生活、降低河流行洪能力、危及居民安全、破坏周边环境，或者影响其他乙方施工等后果的，乙方应承担责任。</w:t>
      </w:r>
    </w:p>
    <w:p w14:paraId="69230622">
      <w:pPr>
        <w:spacing w:line="400" w:lineRule="exact"/>
        <w:ind w:firstLine="420" w:firstLineChars="200"/>
      </w:pPr>
      <w:r>
        <w:rPr>
          <w:rFonts w:hint="eastAsia"/>
        </w:rPr>
        <w:t>9.4.4 乙方应按合同约定采取有效措施，对施工开挖的边坡及时进行支护,维护排水设施，并进行水土保护，避免因施工造成的地质灾害。</w:t>
      </w:r>
    </w:p>
    <w:p w14:paraId="436D87E1">
      <w:pPr>
        <w:spacing w:line="400" w:lineRule="exact"/>
        <w:ind w:firstLine="420" w:firstLineChars="200"/>
      </w:pPr>
      <w:r>
        <w:rPr>
          <w:rFonts w:hint="eastAsia"/>
        </w:rPr>
        <w:t>9.4.5 乙方应按国家饮用水管理标准定期对饮用水源进行监测，防止施工活动污染饮用水源。</w:t>
      </w:r>
    </w:p>
    <w:p w14:paraId="00CF606C">
      <w:pPr>
        <w:spacing w:line="400" w:lineRule="exact"/>
        <w:ind w:firstLine="420" w:firstLineChars="200"/>
      </w:pPr>
      <w:r>
        <w:rPr>
          <w:rFonts w:hint="eastAsia"/>
        </w:rPr>
        <w:t>9.4.6 乙方应按合同约定，加强对噪声、粉尘、废气、废水和废油的控制，努力降低噪声，控制粉尘和废气浓度，做好废水和废油的治理和排放。</w:t>
      </w:r>
    </w:p>
    <w:p w14:paraId="3AE40B1B">
      <w:pPr>
        <w:pStyle w:val="251"/>
        <w:tabs>
          <w:tab w:val="left" w:pos="720"/>
        </w:tabs>
        <w:outlineLvl w:val="0"/>
      </w:pPr>
      <w:r>
        <w:rPr>
          <w:rFonts w:hint="eastAsia"/>
        </w:rPr>
        <w:t>9.5 事故处理</w:t>
      </w:r>
    </w:p>
    <w:p w14:paraId="558C90AC">
      <w:pPr>
        <w:spacing w:line="400" w:lineRule="exact"/>
        <w:ind w:firstLine="420" w:firstLineChars="200"/>
      </w:pPr>
      <w:r>
        <w:rPr>
          <w:rFonts w:hint="eastAsia"/>
        </w:rPr>
        <w:t>工程施工过程中发生事故的，乙方应立即通知监理人，监理人应立即通知甲方。甲方和乙方应立即组织人员和设备进行紧急抢救和抢修，减少人员伤亡和财产损失，防止事故扩大，并保护事故现场。需要移动现场物品时，应作出标记和书面记录，妥善保管有关证据。甲方和乙方应按国家有关规定，及时如实地向有关部门报告事故发生的情况，以及正在采取的紧急措施等。</w:t>
      </w:r>
    </w:p>
    <w:p w14:paraId="24FCE9E8">
      <w:pPr>
        <w:pStyle w:val="250"/>
        <w:spacing w:before="0"/>
      </w:pPr>
      <w:r>
        <w:rPr>
          <w:rFonts w:hint="eastAsia"/>
        </w:rPr>
        <w:t>10. 进度计划</w:t>
      </w:r>
    </w:p>
    <w:p w14:paraId="3F14D563">
      <w:pPr>
        <w:pStyle w:val="251"/>
        <w:tabs>
          <w:tab w:val="left" w:pos="720"/>
        </w:tabs>
        <w:outlineLvl w:val="0"/>
      </w:pPr>
      <w:r>
        <w:rPr>
          <w:rFonts w:hint="eastAsia"/>
        </w:rPr>
        <w:t>10.1 合同进度计划</w:t>
      </w:r>
    </w:p>
    <w:p w14:paraId="26B0FA46">
      <w:pPr>
        <w:spacing w:line="400" w:lineRule="exact"/>
        <w:ind w:firstLine="420" w:firstLineChars="200"/>
      </w:pPr>
      <w:r>
        <w:rPr>
          <w:rFonts w:hint="eastAsia"/>
        </w:rPr>
        <w:t>乙方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乙方还应根据合同进度计划，编制更为详细的分阶段或分项进度计划，报监理人审批。</w:t>
      </w:r>
    </w:p>
    <w:p w14:paraId="3574E5F8">
      <w:pPr>
        <w:pStyle w:val="251"/>
        <w:tabs>
          <w:tab w:val="left" w:pos="720"/>
        </w:tabs>
        <w:outlineLvl w:val="0"/>
      </w:pPr>
      <w:r>
        <w:rPr>
          <w:rFonts w:hint="eastAsia"/>
        </w:rPr>
        <w:t>10.2 合同进度计划的修订</w:t>
      </w:r>
    </w:p>
    <w:p w14:paraId="2885259D">
      <w:pPr>
        <w:spacing w:line="400" w:lineRule="exact"/>
        <w:ind w:firstLine="420" w:firstLineChars="200"/>
      </w:pPr>
      <w:r>
        <w:rPr>
          <w:rFonts w:hint="eastAsia"/>
        </w:rPr>
        <w:t>不论何种原因造成工程的实际进度与第10.1款的合同进度计划不符时，乙方可以在专用合同条款约定的期限内向监理人提交修订合同进度计划的申请报告，并附有关措施和相关资料，报监理人审批；监理人也可以直接向乙方作出修订合同进度计划的指示，乙方应按该指示修订合同进度计划，报监理人审批。监理人应在专用合同条款约定的期限内批复。监理人在批复前应获得甲方同意。</w:t>
      </w:r>
    </w:p>
    <w:p w14:paraId="32F718A5">
      <w:pPr>
        <w:pStyle w:val="250"/>
        <w:spacing w:before="0"/>
      </w:pPr>
      <w:r>
        <w:rPr>
          <w:rFonts w:hint="eastAsia"/>
        </w:rPr>
        <w:t>11. 开工和竣工</w:t>
      </w:r>
    </w:p>
    <w:p w14:paraId="0DF1772B">
      <w:pPr>
        <w:pStyle w:val="251"/>
        <w:tabs>
          <w:tab w:val="left" w:pos="720"/>
        </w:tabs>
        <w:outlineLvl w:val="0"/>
      </w:pPr>
      <w:r>
        <w:rPr>
          <w:rFonts w:hint="eastAsia"/>
        </w:rPr>
        <w:t>11.1 开工</w:t>
      </w:r>
    </w:p>
    <w:p w14:paraId="66B2BF88">
      <w:pPr>
        <w:spacing w:line="400" w:lineRule="exact"/>
        <w:ind w:firstLine="420" w:firstLineChars="200"/>
      </w:pPr>
      <w:r>
        <w:rPr>
          <w:rFonts w:hint="eastAsia"/>
        </w:rPr>
        <w:t>11.1.1 监理人应在开工日期7天前向乙方发出开工通知。监理人在发出开工通知前应获得甲方同意。工期自监理人发出的开工通知中载明的开工日期起计算。乙方应在开工日期后尽快施工。</w:t>
      </w:r>
    </w:p>
    <w:p w14:paraId="5A70C766">
      <w:pPr>
        <w:spacing w:line="400" w:lineRule="exact"/>
        <w:ind w:firstLine="420" w:firstLineChars="200"/>
        <w:rPr>
          <w:shd w:val="pct10" w:color="auto" w:fill="FFFFFF"/>
        </w:rPr>
      </w:pPr>
      <w:r>
        <w:rPr>
          <w:rFonts w:hint="eastAsia"/>
        </w:rPr>
        <w:t>11.1.2 乙方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3466EE1">
      <w:pPr>
        <w:pStyle w:val="251"/>
        <w:tabs>
          <w:tab w:val="left" w:pos="720"/>
        </w:tabs>
        <w:outlineLvl w:val="0"/>
      </w:pPr>
      <w:r>
        <w:rPr>
          <w:rFonts w:hint="eastAsia"/>
        </w:rPr>
        <w:t>11.2 竣工</w:t>
      </w:r>
    </w:p>
    <w:p w14:paraId="56A31EE2">
      <w:pPr>
        <w:spacing w:line="400" w:lineRule="exact"/>
        <w:ind w:firstLine="420" w:firstLineChars="200"/>
      </w:pPr>
      <w:r>
        <w:rPr>
          <w:rFonts w:hint="eastAsia"/>
        </w:rPr>
        <w:t>乙方应在第1.1.4.3目约定的期限内完成合同工程。实际竣工日期在接收证书中写明。</w:t>
      </w:r>
    </w:p>
    <w:p w14:paraId="618E6E4C">
      <w:pPr>
        <w:pStyle w:val="251"/>
        <w:tabs>
          <w:tab w:val="left" w:pos="720"/>
        </w:tabs>
        <w:outlineLvl w:val="0"/>
      </w:pPr>
      <w:r>
        <w:rPr>
          <w:rFonts w:hint="eastAsia"/>
        </w:rPr>
        <w:t>11.3 甲方的工期延误</w:t>
      </w:r>
    </w:p>
    <w:p w14:paraId="39E0B857">
      <w:pPr>
        <w:spacing w:line="400" w:lineRule="exact"/>
        <w:ind w:firstLine="420" w:firstLineChars="200"/>
      </w:pPr>
      <w:r>
        <w:rPr>
          <w:rFonts w:hint="eastAsia"/>
        </w:rPr>
        <w:t>在履行合同过程中，由于甲方的下列原因造成工期延误的，乙方有权要求甲方延长工期和（或）增加费用，并支付合理利润。需要修订合同进度计划的，按照第10.2款的约定办理。</w:t>
      </w:r>
    </w:p>
    <w:p w14:paraId="0F869E4E">
      <w:pPr>
        <w:spacing w:line="400" w:lineRule="exact"/>
        <w:ind w:firstLine="359" w:firstLineChars="171"/>
      </w:pPr>
      <w:r>
        <w:rPr>
          <w:rFonts w:hint="eastAsia"/>
        </w:rPr>
        <w:t>（1）增加合同工作内容；</w:t>
      </w:r>
    </w:p>
    <w:p w14:paraId="7F0CA34F">
      <w:pPr>
        <w:spacing w:line="400" w:lineRule="exact"/>
        <w:ind w:firstLine="359" w:firstLineChars="171"/>
      </w:pPr>
      <w:r>
        <w:rPr>
          <w:rFonts w:hint="eastAsia"/>
        </w:rPr>
        <w:t>（2）改变合同中任何一项工作的质量要求或其他特性；</w:t>
      </w:r>
    </w:p>
    <w:p w14:paraId="51722558">
      <w:pPr>
        <w:spacing w:line="400" w:lineRule="exact"/>
        <w:ind w:firstLine="359" w:firstLineChars="171"/>
      </w:pPr>
      <w:r>
        <w:rPr>
          <w:rFonts w:hint="eastAsia"/>
        </w:rPr>
        <w:t>（3）甲方迟延提供材料、工程设备或变更交货地点的；</w:t>
      </w:r>
    </w:p>
    <w:p w14:paraId="4D1B24E0">
      <w:pPr>
        <w:spacing w:line="400" w:lineRule="exact"/>
        <w:ind w:firstLine="359" w:firstLineChars="171"/>
      </w:pPr>
      <w:r>
        <w:rPr>
          <w:rFonts w:hint="eastAsia"/>
        </w:rPr>
        <w:t>（4）因甲方原因导致的暂停施工；</w:t>
      </w:r>
    </w:p>
    <w:p w14:paraId="49C38F95">
      <w:pPr>
        <w:spacing w:line="400" w:lineRule="exact"/>
        <w:ind w:firstLine="359" w:firstLineChars="171"/>
      </w:pPr>
      <w:r>
        <w:rPr>
          <w:rFonts w:hint="eastAsia"/>
        </w:rPr>
        <w:t>（5）提供图纸延误；</w:t>
      </w:r>
    </w:p>
    <w:p w14:paraId="39090129">
      <w:pPr>
        <w:spacing w:line="400" w:lineRule="exact"/>
        <w:ind w:firstLine="359" w:firstLineChars="171"/>
      </w:pPr>
      <w:r>
        <w:rPr>
          <w:rFonts w:hint="eastAsia"/>
        </w:rPr>
        <w:t>（6）未按合同约定及时支付预付款、进度款；</w:t>
      </w:r>
    </w:p>
    <w:p w14:paraId="3A122A2E">
      <w:pPr>
        <w:spacing w:line="400" w:lineRule="exact"/>
        <w:ind w:firstLine="359" w:firstLineChars="171"/>
      </w:pPr>
      <w:r>
        <w:rPr>
          <w:rFonts w:hint="eastAsia"/>
        </w:rPr>
        <w:t>（7）甲方造成工期延误的其他原因。</w:t>
      </w:r>
    </w:p>
    <w:p w14:paraId="49283912">
      <w:pPr>
        <w:pStyle w:val="251"/>
        <w:tabs>
          <w:tab w:val="left" w:pos="720"/>
        </w:tabs>
        <w:outlineLvl w:val="0"/>
      </w:pPr>
      <w:r>
        <w:rPr>
          <w:rFonts w:hint="eastAsia"/>
        </w:rPr>
        <w:t>11.4 异常恶劣的气候条件</w:t>
      </w:r>
    </w:p>
    <w:p w14:paraId="6613BC7A">
      <w:pPr>
        <w:spacing w:line="400" w:lineRule="exact"/>
        <w:ind w:firstLine="359" w:firstLineChars="171"/>
      </w:pPr>
      <w:r>
        <w:rPr>
          <w:rFonts w:hint="eastAsia"/>
        </w:rPr>
        <w:t>由于出现专用合同条款规定的异常恶劣气候的条件导致工期延误的，乙方有权要求甲方延长工期。</w:t>
      </w:r>
    </w:p>
    <w:p w14:paraId="51305BE7">
      <w:pPr>
        <w:pStyle w:val="251"/>
        <w:tabs>
          <w:tab w:val="left" w:pos="720"/>
        </w:tabs>
        <w:outlineLvl w:val="0"/>
      </w:pPr>
      <w:r>
        <w:rPr>
          <w:rFonts w:hint="eastAsia"/>
        </w:rPr>
        <w:t>11.5 乙方的工期延误</w:t>
      </w:r>
    </w:p>
    <w:p w14:paraId="022843DF">
      <w:pPr>
        <w:spacing w:line="400" w:lineRule="exact"/>
        <w:ind w:firstLine="420" w:firstLineChars="200"/>
      </w:pPr>
      <w:r>
        <w:rPr>
          <w:rFonts w:hint="eastAsia"/>
        </w:rPr>
        <w:t>由于乙方原因，未能按合同进度计划完成工作，或监理人认为乙方施工进度不能满足合同工期要求的，乙方应采取措施加快进度，并承担加快进度所增加的费用。由于乙方原因造成工期延误，乙方应支付逾期竣工违约金。逾期竣工违约金的计算方法在专用合同条款中约定。乙方支付逾期竣工违约金，不免除乙方完成工程及修补缺陷的义务。</w:t>
      </w:r>
    </w:p>
    <w:p w14:paraId="3A70819B">
      <w:pPr>
        <w:spacing w:line="400" w:lineRule="exact"/>
        <w:ind w:firstLine="420" w:firstLineChars="200"/>
      </w:pPr>
      <w:r>
        <w:rPr>
          <w:rFonts w:hint="eastAsia"/>
        </w:rPr>
        <w:t>11.5.2逾期峻工违约金的计算标准和计算方法</w:t>
      </w:r>
    </w:p>
    <w:p w14:paraId="7BE2ACF1">
      <w:pPr>
        <w:spacing w:line="400" w:lineRule="exact"/>
        <w:ind w:firstLine="420" w:firstLineChars="200"/>
      </w:pPr>
      <w:r>
        <w:rPr>
          <w:rFonts w:hint="eastAsia"/>
        </w:rPr>
        <w:t>乙方如果逾期完工应按照签约合同价的0.5‰/天向甲方支付违约金，即:逾期天数逾期天数X 0.5‰/天，其中：逾期天数=实际工期-合同工期-承包人同意延长的工期,按天计算,不足一天按一天计。</w:t>
      </w:r>
    </w:p>
    <w:p w14:paraId="19B4DC3A">
      <w:pPr>
        <w:pStyle w:val="26"/>
        <w:spacing w:line="400" w:lineRule="exact"/>
        <w:ind w:firstLineChars="0"/>
        <w:jc w:val="left"/>
        <w:rPr>
          <w:rFonts w:ascii="宋体" w:hAnsi="宋体" w:eastAsia="宋体"/>
          <w:sz w:val="21"/>
          <w:szCs w:val="21"/>
        </w:rPr>
      </w:pPr>
      <w:r>
        <w:rPr>
          <w:rFonts w:hint="eastAsia" w:ascii="宋体" w:hAnsi="宋体" w:eastAsia="宋体"/>
          <w:sz w:val="21"/>
          <w:szCs w:val="21"/>
        </w:rPr>
        <w:t>逾期竣工</w:t>
      </w:r>
      <w:r>
        <w:rPr>
          <w:rFonts w:ascii="宋体" w:hAnsi="宋体" w:eastAsia="宋体"/>
          <w:sz w:val="21"/>
          <w:szCs w:val="21"/>
        </w:rPr>
        <w:t>违约</w:t>
      </w:r>
      <w:r>
        <w:rPr>
          <w:rFonts w:hint="eastAsia" w:ascii="宋体" w:hAnsi="宋体" w:eastAsia="宋体"/>
          <w:sz w:val="21"/>
          <w:szCs w:val="21"/>
        </w:rPr>
        <w:t>金</w:t>
      </w:r>
      <w:r>
        <w:rPr>
          <w:rFonts w:ascii="宋体" w:hAnsi="宋体" w:eastAsia="宋体"/>
          <w:sz w:val="21"/>
          <w:szCs w:val="21"/>
        </w:rPr>
        <w:t>最高限额</w:t>
      </w:r>
      <w:r>
        <w:rPr>
          <w:rFonts w:hint="eastAsia" w:ascii="宋体" w:hAnsi="宋体" w:eastAsia="宋体"/>
          <w:sz w:val="21"/>
          <w:szCs w:val="21"/>
        </w:rPr>
        <w:t>：</w:t>
      </w:r>
      <w:r>
        <w:rPr>
          <w:rFonts w:hint="eastAsia" w:ascii="宋体" w:hAnsi="宋体" w:eastAsia="宋体"/>
          <w:sz w:val="21"/>
          <w:szCs w:val="21"/>
          <w:u w:val="single"/>
        </w:rPr>
        <w:t>合同额的</w:t>
      </w:r>
      <w:r>
        <w:rPr>
          <w:rFonts w:ascii="宋体" w:hAnsi="宋体" w:eastAsia="宋体"/>
          <w:sz w:val="21"/>
          <w:szCs w:val="21"/>
          <w:u w:val="single"/>
        </w:rPr>
        <w:t>30%</w:t>
      </w:r>
      <w:r>
        <w:rPr>
          <w:rFonts w:hint="eastAsia" w:ascii="宋体" w:hAnsi="宋体" w:eastAsia="宋体"/>
          <w:sz w:val="21"/>
          <w:szCs w:val="21"/>
        </w:rPr>
        <w:t>。若因施工方原因延误工期导致发包方政府财政资金被收回，则施工方需承担发包方被政府收回的财政资金及孳息。</w:t>
      </w:r>
    </w:p>
    <w:p w14:paraId="2F2C2CFC">
      <w:pPr>
        <w:pStyle w:val="251"/>
        <w:tabs>
          <w:tab w:val="left" w:pos="720"/>
        </w:tabs>
        <w:outlineLvl w:val="0"/>
      </w:pPr>
      <w:r>
        <w:rPr>
          <w:rFonts w:hint="eastAsia"/>
        </w:rPr>
        <w:t>11.6 工期提前</w:t>
      </w:r>
    </w:p>
    <w:p w14:paraId="384C4400">
      <w:pPr>
        <w:spacing w:line="400" w:lineRule="exact"/>
        <w:ind w:firstLine="420" w:firstLineChars="200"/>
      </w:pPr>
      <w:r>
        <w:rPr>
          <w:rFonts w:hint="eastAsia"/>
        </w:rPr>
        <w:t>甲方要求乙方提前竣工，或乙方提出提前竣工的建议能够给甲方带来效益的，应由监理人与乙方共同协商采取加快工程进度的措施和修订合同进度计划。甲方应承担乙方由此增加的费用，并向乙方支付专用合同条款约定的相应奖金。</w:t>
      </w:r>
    </w:p>
    <w:p w14:paraId="6684DED0">
      <w:pPr>
        <w:pStyle w:val="250"/>
        <w:spacing w:before="0"/>
      </w:pPr>
      <w:r>
        <w:rPr>
          <w:rFonts w:hint="eastAsia"/>
        </w:rPr>
        <w:t>12. 暂停施工</w:t>
      </w:r>
    </w:p>
    <w:p w14:paraId="46EE7AE4">
      <w:pPr>
        <w:pStyle w:val="251"/>
        <w:tabs>
          <w:tab w:val="left" w:pos="720"/>
        </w:tabs>
        <w:outlineLvl w:val="0"/>
      </w:pPr>
      <w:r>
        <w:rPr>
          <w:rFonts w:hint="eastAsia"/>
        </w:rPr>
        <w:t>12.1 乙方暂停施工的责任</w:t>
      </w:r>
    </w:p>
    <w:p w14:paraId="4E382EDF">
      <w:pPr>
        <w:spacing w:line="400" w:lineRule="exact"/>
        <w:ind w:firstLine="420" w:firstLineChars="200"/>
      </w:pPr>
      <w:r>
        <w:rPr>
          <w:rFonts w:hint="eastAsia"/>
        </w:rPr>
        <w:t>因下列暂停施工增加的费用和（或）工期延误由乙方承担：</w:t>
      </w:r>
    </w:p>
    <w:p w14:paraId="5F4847C3">
      <w:pPr>
        <w:spacing w:line="400" w:lineRule="exact"/>
        <w:ind w:firstLine="359" w:firstLineChars="171"/>
      </w:pPr>
      <w:r>
        <w:rPr>
          <w:rFonts w:hint="eastAsia"/>
        </w:rPr>
        <w:t>（1）乙方违约引起的暂停施工；</w:t>
      </w:r>
    </w:p>
    <w:p w14:paraId="217C2F4F">
      <w:pPr>
        <w:spacing w:line="400" w:lineRule="exact"/>
        <w:ind w:firstLine="359" w:firstLineChars="171"/>
      </w:pPr>
      <w:r>
        <w:rPr>
          <w:rFonts w:hint="eastAsia"/>
        </w:rPr>
        <w:t>（2）由于乙方原因为工程合理施工和安全保障所必需的暂停施工；</w:t>
      </w:r>
    </w:p>
    <w:p w14:paraId="05314A62">
      <w:pPr>
        <w:spacing w:line="400" w:lineRule="exact"/>
        <w:ind w:firstLine="359" w:firstLineChars="171"/>
      </w:pPr>
      <w:r>
        <w:rPr>
          <w:rFonts w:hint="eastAsia"/>
        </w:rPr>
        <w:t>（3）乙方擅自暂停施工；</w:t>
      </w:r>
    </w:p>
    <w:p w14:paraId="3031CDAE">
      <w:pPr>
        <w:spacing w:line="400" w:lineRule="exact"/>
        <w:ind w:firstLine="359" w:firstLineChars="171"/>
      </w:pPr>
      <w:r>
        <w:rPr>
          <w:rFonts w:hint="eastAsia"/>
        </w:rPr>
        <w:t>（4）乙方其他原因引起的暂停施工；</w:t>
      </w:r>
    </w:p>
    <w:p w14:paraId="37102BB4">
      <w:pPr>
        <w:spacing w:line="400" w:lineRule="exact"/>
        <w:ind w:firstLine="359" w:firstLineChars="171"/>
      </w:pPr>
      <w:r>
        <w:rPr>
          <w:rFonts w:hint="eastAsia"/>
        </w:rPr>
        <w:t>（5）专用合同条款约定由乙方承担的其他暂停施工。</w:t>
      </w:r>
    </w:p>
    <w:p w14:paraId="6CD7118B">
      <w:pPr>
        <w:pStyle w:val="251"/>
        <w:tabs>
          <w:tab w:val="left" w:pos="720"/>
        </w:tabs>
        <w:outlineLvl w:val="0"/>
      </w:pPr>
      <w:r>
        <w:rPr>
          <w:rFonts w:hint="eastAsia"/>
        </w:rPr>
        <w:t>12.2 甲方暂停施工的责任</w:t>
      </w:r>
    </w:p>
    <w:p w14:paraId="1B67E61D">
      <w:pPr>
        <w:spacing w:line="400" w:lineRule="exact"/>
        <w:ind w:firstLine="420" w:firstLineChars="200"/>
      </w:pPr>
      <w:r>
        <w:rPr>
          <w:rFonts w:hint="eastAsia"/>
        </w:rPr>
        <w:t>由于甲方原因引起的暂停施工造成工期延误的，乙方有权要求甲方延长工期和（或）增加费用，并支付合理利润。</w:t>
      </w:r>
    </w:p>
    <w:p w14:paraId="0AA669F5">
      <w:pPr>
        <w:pStyle w:val="251"/>
        <w:tabs>
          <w:tab w:val="left" w:pos="720"/>
        </w:tabs>
        <w:outlineLvl w:val="0"/>
      </w:pPr>
      <w:r>
        <w:rPr>
          <w:rFonts w:hint="eastAsia"/>
        </w:rPr>
        <w:t>12.3 监理人暂停施工指示</w:t>
      </w:r>
    </w:p>
    <w:p w14:paraId="3973881F">
      <w:pPr>
        <w:spacing w:line="400" w:lineRule="exact"/>
        <w:ind w:firstLine="420" w:firstLineChars="200"/>
      </w:pPr>
      <w:r>
        <w:rPr>
          <w:rFonts w:hint="eastAsia"/>
        </w:rPr>
        <w:t>12.3.1 监理人认为有必要时，可向乙方作出暂停施工的指示，乙方应按监理人指示暂停施工。不论由于何种原因引起的暂停施工，暂停施工期间乙方应负责妥善保护工程并提供安全保障。</w:t>
      </w:r>
    </w:p>
    <w:p w14:paraId="52D41B5B">
      <w:pPr>
        <w:spacing w:line="400" w:lineRule="exact"/>
        <w:ind w:firstLine="420" w:firstLineChars="200"/>
      </w:pPr>
      <w:r>
        <w:rPr>
          <w:rFonts w:hint="eastAsia"/>
        </w:rPr>
        <w:t>12.3.2 由于甲方的原因发生暂停施工的紧急情况，且监理人未及时下达暂停施工指示的，乙方可先暂停施工，并及时向监理人提出暂停施工的书面请求。监理人应在接到书面请求后的24小时内予以答复，逾期未答复的，视为同意乙方的暂停施工请求。</w:t>
      </w:r>
    </w:p>
    <w:p w14:paraId="416DADE8">
      <w:pPr>
        <w:pStyle w:val="251"/>
        <w:tabs>
          <w:tab w:val="left" w:pos="720"/>
        </w:tabs>
        <w:outlineLvl w:val="0"/>
      </w:pPr>
      <w:r>
        <w:rPr>
          <w:rFonts w:hint="eastAsia"/>
        </w:rPr>
        <w:t>12.4 暂停施工后的复工</w:t>
      </w:r>
    </w:p>
    <w:p w14:paraId="02DAE74E">
      <w:pPr>
        <w:spacing w:line="400" w:lineRule="exact"/>
        <w:ind w:firstLine="420" w:firstLineChars="200"/>
      </w:pPr>
      <w:r>
        <w:rPr>
          <w:rFonts w:hint="eastAsia"/>
        </w:rPr>
        <w:t>12.4.1 暂停施工后，监理人应与甲方和乙方协商，采取有效措施积极消除暂停施工的影响。当工程具备复工条件时，监理人应立即向乙方发出复工通知。乙方收到复工通知后，应在监理人指定的期限内复工。</w:t>
      </w:r>
    </w:p>
    <w:p w14:paraId="748471FC">
      <w:pPr>
        <w:spacing w:line="400" w:lineRule="exact"/>
        <w:ind w:firstLine="420" w:firstLineChars="200"/>
      </w:pPr>
      <w:r>
        <w:rPr>
          <w:rFonts w:hint="eastAsia"/>
        </w:rPr>
        <w:t>12.4.2 乙方无故拖延和拒绝复工的，由此增加的费用和工期延误由乙方承担；因甲方原因无法按时复工的，乙方有权要求甲方延长工期和（或）增加费用，并支付合理利润。</w:t>
      </w:r>
    </w:p>
    <w:p w14:paraId="601CB931">
      <w:pPr>
        <w:pStyle w:val="251"/>
        <w:tabs>
          <w:tab w:val="left" w:pos="720"/>
        </w:tabs>
        <w:outlineLvl w:val="0"/>
      </w:pPr>
      <w:r>
        <w:rPr>
          <w:rFonts w:hint="eastAsia"/>
        </w:rPr>
        <w:t xml:space="preserve">12.5 </w:t>
      </w:r>
      <w:r>
        <w:t>暂停施工</w:t>
      </w:r>
      <w:r>
        <w:rPr>
          <w:rFonts w:hint="eastAsia"/>
        </w:rPr>
        <w:t>持续56天以上</w:t>
      </w:r>
    </w:p>
    <w:p w14:paraId="319A0C7A">
      <w:pPr>
        <w:spacing w:line="400" w:lineRule="exact"/>
        <w:ind w:firstLine="411" w:firstLineChars="196"/>
      </w:pPr>
      <w:r>
        <w:rPr>
          <w:rFonts w:hint="eastAsia"/>
        </w:rPr>
        <w:t xml:space="preserve">12.5.1 </w:t>
      </w:r>
      <w:r>
        <w:t>监理人</w:t>
      </w:r>
      <w:r>
        <w:rPr>
          <w:rFonts w:hint="eastAsia"/>
        </w:rPr>
        <w:t>发出</w:t>
      </w:r>
      <w:r>
        <w:t>暂停施工指示</w:t>
      </w:r>
      <w:r>
        <w:rPr>
          <w:rFonts w:hint="eastAsia"/>
        </w:rPr>
        <w:t>后56天内未向</w:t>
      </w:r>
      <w:r>
        <w:t>乙方</w:t>
      </w:r>
      <w:r>
        <w:rPr>
          <w:rFonts w:hint="eastAsia"/>
        </w:rPr>
        <w:t>发出复工通知，除了该项停工属于第12.1款的情况外，</w:t>
      </w:r>
      <w:r>
        <w:t>乙方</w:t>
      </w:r>
      <w:r>
        <w:rPr>
          <w:rFonts w:hint="eastAsia"/>
        </w:rPr>
        <w:t>可向</w:t>
      </w:r>
      <w:r>
        <w:t>监理人</w:t>
      </w:r>
      <w:r>
        <w:rPr>
          <w:rFonts w:hint="eastAsia"/>
        </w:rPr>
        <w:t>提交书面通知，要求</w:t>
      </w:r>
      <w:r>
        <w:t>监理人</w:t>
      </w:r>
      <w:r>
        <w:rPr>
          <w:rFonts w:hint="eastAsia"/>
        </w:rPr>
        <w:t>在收到书面通知后28天内准许已</w:t>
      </w:r>
      <w:r>
        <w:t>暂停施工</w:t>
      </w:r>
      <w:r>
        <w:rPr>
          <w:rFonts w:hint="eastAsia"/>
        </w:rPr>
        <w:t>的工程或其中一部分工程继续施工。如</w:t>
      </w:r>
      <w:r>
        <w:t>监理人</w:t>
      </w:r>
      <w:r>
        <w:rPr>
          <w:rFonts w:hint="eastAsia"/>
        </w:rPr>
        <w:t>逾期不予批准，则乙方可以通知</w:t>
      </w:r>
      <w:r>
        <w:t>监理人</w:t>
      </w:r>
      <w:r>
        <w:rPr>
          <w:rFonts w:hint="eastAsia"/>
        </w:rPr>
        <w:t>，将工程受影响的部分视为按第15.1（1）项的可取消工作。如</w:t>
      </w:r>
      <w:r>
        <w:t>暂停施工</w:t>
      </w:r>
      <w:r>
        <w:rPr>
          <w:rFonts w:hint="eastAsia"/>
        </w:rPr>
        <w:t>影响到整个工程，可视为甲方违约，应按第22.2款的规定办理。</w:t>
      </w:r>
    </w:p>
    <w:p w14:paraId="08CA724E">
      <w:pPr>
        <w:spacing w:line="400" w:lineRule="exact"/>
        <w:ind w:firstLine="420" w:firstLineChars="200"/>
      </w:pPr>
      <w:r>
        <w:rPr>
          <w:rFonts w:hint="eastAsia"/>
        </w:rPr>
        <w:t>12.5.2 由于</w:t>
      </w:r>
      <w:r>
        <w:t>乙方</w:t>
      </w:r>
      <w:r>
        <w:rPr>
          <w:rFonts w:hint="eastAsia"/>
        </w:rPr>
        <w:t>责任引起的</w:t>
      </w:r>
      <w:r>
        <w:t>暂停施工</w:t>
      </w:r>
      <w:r>
        <w:rPr>
          <w:rFonts w:hint="eastAsia"/>
        </w:rPr>
        <w:t>，如</w:t>
      </w:r>
      <w:r>
        <w:t>乙方</w:t>
      </w:r>
      <w:r>
        <w:rPr>
          <w:rFonts w:hint="eastAsia"/>
        </w:rPr>
        <w:t>在收到</w:t>
      </w:r>
      <w:r>
        <w:t>监理人暂停施工指示</w:t>
      </w:r>
      <w:r>
        <w:rPr>
          <w:rFonts w:hint="eastAsia"/>
        </w:rPr>
        <w:t>后56天内不认真采取有效的复工措施，造成工期延误，可视为</w:t>
      </w:r>
      <w:r>
        <w:t>乙方</w:t>
      </w:r>
      <w:r>
        <w:rPr>
          <w:rFonts w:hint="eastAsia"/>
        </w:rPr>
        <w:t>违约，应按第22.1款的规定办理。</w:t>
      </w:r>
    </w:p>
    <w:p w14:paraId="6CEDC39E">
      <w:pPr>
        <w:pStyle w:val="250"/>
        <w:spacing w:before="0"/>
      </w:pPr>
      <w:r>
        <w:rPr>
          <w:rFonts w:hint="eastAsia"/>
        </w:rPr>
        <w:t>13. 工程质量</w:t>
      </w:r>
    </w:p>
    <w:p w14:paraId="1BACEE5F">
      <w:pPr>
        <w:pStyle w:val="251"/>
        <w:tabs>
          <w:tab w:val="left" w:pos="720"/>
        </w:tabs>
        <w:outlineLvl w:val="0"/>
      </w:pPr>
      <w:r>
        <w:rPr>
          <w:rFonts w:hint="eastAsia"/>
        </w:rPr>
        <w:t>13.1 工程质量要求</w:t>
      </w:r>
    </w:p>
    <w:p w14:paraId="3F0ACBB4">
      <w:pPr>
        <w:spacing w:line="400" w:lineRule="exact"/>
        <w:ind w:firstLine="420" w:firstLineChars="200"/>
      </w:pPr>
      <w:r>
        <w:rPr>
          <w:rFonts w:hint="eastAsia"/>
        </w:rPr>
        <w:t>13.1.1 工程质量验收按合同约定验收标准执行。</w:t>
      </w:r>
    </w:p>
    <w:p w14:paraId="7F89C81F">
      <w:pPr>
        <w:spacing w:line="400" w:lineRule="exact"/>
        <w:ind w:firstLine="420" w:firstLineChars="200"/>
      </w:pPr>
      <w:r>
        <w:rPr>
          <w:rFonts w:hint="eastAsia"/>
        </w:rPr>
        <w:t>13.1.2 因乙方原因造成工程质量达不到合同约定验收标准的，监理人有权要求乙方返工直至符合合同要求为止，由此造成的费用增加和（或）工期延误由乙方承担。</w:t>
      </w:r>
    </w:p>
    <w:p w14:paraId="445C2F10">
      <w:pPr>
        <w:spacing w:line="400" w:lineRule="exact"/>
        <w:ind w:firstLine="420" w:firstLineChars="200"/>
      </w:pPr>
      <w:r>
        <w:rPr>
          <w:rFonts w:hint="eastAsia"/>
        </w:rPr>
        <w:t>13.1.3 因甲方原因造成工程质量达不到合同约定验收标准的，甲方应承担由于乙方返工造成的费用增加和（或）工期延误，并支付乙方合理利润。</w:t>
      </w:r>
    </w:p>
    <w:p w14:paraId="4E117896">
      <w:pPr>
        <w:pStyle w:val="251"/>
        <w:tabs>
          <w:tab w:val="left" w:pos="720"/>
        </w:tabs>
        <w:outlineLvl w:val="0"/>
      </w:pPr>
      <w:r>
        <w:rPr>
          <w:rFonts w:hint="eastAsia"/>
        </w:rPr>
        <w:t>13.2 乙方的质量管理</w:t>
      </w:r>
    </w:p>
    <w:p w14:paraId="5C91BC0A">
      <w:pPr>
        <w:spacing w:line="400" w:lineRule="exact"/>
        <w:ind w:firstLine="420" w:firstLineChars="200"/>
      </w:pPr>
      <w:r>
        <w:rPr>
          <w:rFonts w:hint="eastAsia"/>
        </w:rPr>
        <w:t>13.2.1 乙方应在施工场地设置专门的质量检查机构，配备专职质量检查人员，建立完善的质量检查制度。乙方应在合同约定的期限内，提交工程质量保证措施文件，包括质量检查机构的组织和岗位责任、质检人员的组成、质量检查程序和实施细则等，报送监理人审批。</w:t>
      </w:r>
    </w:p>
    <w:p w14:paraId="760F1B75">
      <w:pPr>
        <w:spacing w:line="400" w:lineRule="exact"/>
        <w:ind w:firstLine="420" w:firstLineChars="200"/>
      </w:pPr>
      <w:r>
        <w:rPr>
          <w:rFonts w:hint="eastAsia"/>
        </w:rPr>
        <w:t>13.2.2 乙方应加强对施工人员的质量教育和技术培训，定期考核施工人员的劳动技能，严格执行规范和操作规程。</w:t>
      </w:r>
    </w:p>
    <w:p w14:paraId="0AB56002">
      <w:pPr>
        <w:pStyle w:val="251"/>
        <w:tabs>
          <w:tab w:val="left" w:pos="720"/>
        </w:tabs>
        <w:outlineLvl w:val="0"/>
      </w:pPr>
      <w:r>
        <w:rPr>
          <w:rFonts w:hint="eastAsia"/>
        </w:rPr>
        <w:t>13.3 乙方的质量检查</w:t>
      </w:r>
    </w:p>
    <w:p w14:paraId="3002E084">
      <w:pPr>
        <w:spacing w:line="400" w:lineRule="exact"/>
        <w:ind w:firstLine="420" w:firstLineChars="200"/>
      </w:pPr>
      <w:r>
        <w:rPr>
          <w:rFonts w:hint="eastAsia"/>
        </w:rPr>
        <w:t>乙方应按合同约定对材料、工程设备以及工程的所有部位及其施工工艺进行全过程的质量检查和检验，并作详细记录，编制工程质量报表，报送监理人审查。</w:t>
      </w:r>
    </w:p>
    <w:p w14:paraId="40B39493">
      <w:pPr>
        <w:pStyle w:val="251"/>
        <w:tabs>
          <w:tab w:val="left" w:pos="720"/>
        </w:tabs>
        <w:outlineLvl w:val="0"/>
      </w:pPr>
      <w:r>
        <w:rPr>
          <w:rFonts w:hint="eastAsia"/>
        </w:rPr>
        <w:t>13.4 监理人的质量检查</w:t>
      </w:r>
    </w:p>
    <w:p w14:paraId="2A2A19CD">
      <w:pPr>
        <w:spacing w:line="400" w:lineRule="exact"/>
        <w:ind w:firstLine="420" w:firstLineChars="200"/>
      </w:pPr>
      <w:r>
        <w:rPr>
          <w:rFonts w:hint="eastAsia"/>
        </w:rPr>
        <w:t>监理人有权对工程的所有部位及其施工工艺、材料和工程设备进行检查和检验。乙方应为监理人的检查和检验提供方便，包括监理人到施工场地，或制造、加工地点，或合同约定的其他地方进行察看和查阅施工原始记录。乙方还应按监理人指示，进行施工场地取样试验、工程复核测量和设备性能检测，提供试验样品、提交试验报告和测量成果以及监理人要求进行的其他工作。监理人的检查和检验，不免除乙方按合同约定应负的责任。</w:t>
      </w:r>
    </w:p>
    <w:p w14:paraId="2629CF4F">
      <w:pPr>
        <w:pStyle w:val="251"/>
        <w:tabs>
          <w:tab w:val="left" w:pos="720"/>
        </w:tabs>
        <w:outlineLvl w:val="0"/>
      </w:pPr>
      <w:r>
        <w:rPr>
          <w:rFonts w:hint="eastAsia"/>
        </w:rPr>
        <w:t>13.5 工程隐蔽部位覆盖前的检查</w:t>
      </w:r>
    </w:p>
    <w:p w14:paraId="1F0E1D5B">
      <w:pPr>
        <w:spacing w:line="400" w:lineRule="exact"/>
        <w:ind w:firstLine="420" w:firstLineChars="200"/>
      </w:pPr>
      <w:r>
        <w:rPr>
          <w:rFonts w:hint="eastAsia"/>
        </w:rPr>
        <w:t xml:space="preserve">13.5.1 </w:t>
      </w:r>
      <w:r>
        <w:rPr>
          <w:rFonts w:hint="eastAsia" w:ascii="黑体" w:eastAsia="黑体"/>
        </w:rPr>
        <w:t>通知监理人检查</w:t>
      </w:r>
    </w:p>
    <w:p w14:paraId="064A2D95">
      <w:pPr>
        <w:spacing w:line="400" w:lineRule="exact"/>
        <w:ind w:firstLine="420" w:firstLineChars="200"/>
      </w:pPr>
      <w:r>
        <w:rPr>
          <w:rFonts w:hint="eastAsia"/>
        </w:rPr>
        <w:t>经乙方自检确认的工程隐蔽部位具备覆盖条件后，乙方应通知监理人在约定的期限内检查。乙方的通知应附有自检记录和必要的检查资料。监理人应按时到场检查。经监理人检查确认质量符合隐蔽要求，并在检查记录上签字后，乙方才能进行覆盖。监理人检查确认质量不合格的，乙方应在监理人指示的时间内修整返工后，由监理人重新检查。</w:t>
      </w:r>
    </w:p>
    <w:p w14:paraId="63F08E76">
      <w:pPr>
        <w:spacing w:line="400" w:lineRule="exact"/>
        <w:ind w:firstLine="420" w:firstLineChars="200"/>
      </w:pPr>
      <w:r>
        <w:rPr>
          <w:rFonts w:hint="eastAsia"/>
        </w:rPr>
        <w:t xml:space="preserve">13.5.2 </w:t>
      </w:r>
      <w:r>
        <w:rPr>
          <w:rFonts w:hint="eastAsia" w:ascii="黑体" w:eastAsia="黑体"/>
        </w:rPr>
        <w:t>监理人未到场检查</w:t>
      </w:r>
    </w:p>
    <w:p w14:paraId="63D02841">
      <w:pPr>
        <w:spacing w:line="400" w:lineRule="exact"/>
        <w:ind w:firstLine="420" w:firstLineChars="200"/>
      </w:pPr>
      <w:r>
        <w:rPr>
          <w:rFonts w:hint="eastAsia"/>
        </w:rPr>
        <w:t>监理人未按第13.5.1项约定的时间进行检查的，除监理人另有指示外，乙方可自行完成覆盖工作，并作相应记录报送监理人，监理人应签字确认。监理人事后对检查记录有疑问的，可按第13.5.3项的约定重新检查。</w:t>
      </w:r>
    </w:p>
    <w:p w14:paraId="6F0C9D5C">
      <w:pPr>
        <w:spacing w:line="400" w:lineRule="exact"/>
        <w:ind w:firstLine="420" w:firstLineChars="200"/>
      </w:pPr>
      <w:r>
        <w:rPr>
          <w:rFonts w:hint="eastAsia"/>
        </w:rPr>
        <w:t xml:space="preserve">13.5.3 </w:t>
      </w:r>
      <w:r>
        <w:rPr>
          <w:rFonts w:hint="eastAsia" w:ascii="黑体" w:eastAsia="黑体"/>
        </w:rPr>
        <w:t>监理人重新检查</w:t>
      </w:r>
    </w:p>
    <w:p w14:paraId="2684DBF0">
      <w:pPr>
        <w:spacing w:line="400" w:lineRule="exact"/>
        <w:ind w:firstLine="420" w:firstLineChars="200"/>
      </w:pPr>
      <w:r>
        <w:rPr>
          <w:rFonts w:hint="eastAsia"/>
        </w:rPr>
        <w:t>乙方按第13.5.1项或第13.5.2项覆盖工程隐蔽部位后，监理人对质量有疑问的，可要求乙方对已覆盖的部位进行钻孔探测或揭开重新检验，乙方应遵照执行，并在检验后重新覆盖恢复原状。经检验证明工程质量符合合同要求的，由甲方承担由此增加的费用和（或）工期延误，并支付乙方合理利润；经检验证明工程质量不符合合同要求的，由此增加的费用和（或）工期延误由乙方承担。</w:t>
      </w:r>
    </w:p>
    <w:p w14:paraId="2F3673F2">
      <w:pPr>
        <w:spacing w:line="400" w:lineRule="exact"/>
        <w:ind w:firstLine="420" w:firstLineChars="200"/>
      </w:pPr>
      <w:r>
        <w:rPr>
          <w:rFonts w:hint="eastAsia"/>
        </w:rPr>
        <w:t xml:space="preserve">13.5.4 </w:t>
      </w:r>
      <w:r>
        <w:rPr>
          <w:rFonts w:hint="eastAsia" w:ascii="黑体" w:eastAsia="黑体"/>
        </w:rPr>
        <w:t>乙方私自覆盖</w:t>
      </w:r>
    </w:p>
    <w:p w14:paraId="05FCBEB8">
      <w:pPr>
        <w:spacing w:line="400" w:lineRule="exact"/>
        <w:ind w:firstLine="420" w:firstLineChars="200"/>
      </w:pPr>
      <w:r>
        <w:rPr>
          <w:rFonts w:hint="eastAsia"/>
        </w:rPr>
        <w:t>乙方未通知监理人到场检查，私自将工程隐蔽部位覆盖的，监理人有权指示乙方钻孔探测或揭开检查，由此增加的费用和（或）工期延误由乙方承担。</w:t>
      </w:r>
    </w:p>
    <w:p w14:paraId="03818A26">
      <w:pPr>
        <w:pStyle w:val="251"/>
        <w:tabs>
          <w:tab w:val="left" w:pos="720"/>
        </w:tabs>
        <w:outlineLvl w:val="0"/>
      </w:pPr>
      <w:r>
        <w:rPr>
          <w:rFonts w:hint="eastAsia"/>
        </w:rPr>
        <w:t>13.6 清除不合格工程</w:t>
      </w:r>
    </w:p>
    <w:p w14:paraId="6844AC27">
      <w:pPr>
        <w:spacing w:line="400" w:lineRule="exact"/>
        <w:ind w:firstLine="420" w:firstLineChars="200"/>
      </w:pPr>
      <w:r>
        <w:rPr>
          <w:rFonts w:hint="eastAsia"/>
        </w:rPr>
        <w:t>13.6.1 乙方使用不合格材料、工程设备，或采用不适当的施工工艺，或施工不当，造成工程不合格的，监理人可以随时发出指示，要求乙方立即采取措施进行补救，直至达到合同要求的质量标准，由此增加的费用和（或）工期延误由乙方承担。</w:t>
      </w:r>
    </w:p>
    <w:p w14:paraId="73C062B4">
      <w:pPr>
        <w:spacing w:line="400" w:lineRule="exact"/>
        <w:ind w:firstLine="420" w:firstLineChars="200"/>
      </w:pPr>
      <w:r>
        <w:rPr>
          <w:rFonts w:hint="eastAsia"/>
        </w:rPr>
        <w:t>13.6.2 由于甲方提供的材料或工程设备不合格造成的工程不合格，需要乙方采取措施补救的，甲方应承担由此增加的费用和（或）工期延误，并支付乙方合理利润。</w:t>
      </w:r>
    </w:p>
    <w:p w14:paraId="14F12C32">
      <w:pPr>
        <w:pStyle w:val="250"/>
        <w:spacing w:before="0"/>
        <w:outlineLvl w:val="0"/>
      </w:pPr>
      <w:r>
        <w:rPr>
          <w:rFonts w:hint="eastAsia"/>
        </w:rPr>
        <w:t>14. 试验和检验</w:t>
      </w:r>
    </w:p>
    <w:p w14:paraId="5790BDB2">
      <w:pPr>
        <w:pStyle w:val="251"/>
        <w:tabs>
          <w:tab w:val="left" w:pos="720"/>
        </w:tabs>
        <w:outlineLvl w:val="0"/>
      </w:pPr>
      <w:r>
        <w:rPr>
          <w:rFonts w:hint="eastAsia"/>
        </w:rPr>
        <w:t>14.1 材料、工程设备和工程的试验和检验</w:t>
      </w:r>
    </w:p>
    <w:p w14:paraId="5BC53A53">
      <w:pPr>
        <w:spacing w:line="400" w:lineRule="exact"/>
        <w:ind w:firstLine="420" w:firstLineChars="200"/>
      </w:pPr>
      <w:r>
        <w:rPr>
          <w:rFonts w:hint="eastAsia"/>
        </w:rPr>
        <w:t>14.1.1 乙方应按合同约定进行材料、工程设备和工程的试验和检验，并为监理人对上述材料、工程设备和工程的质量检查提供必要的试验资料和原始记录。按合同约定应由监理人与乙方共同进行试验和检验的，由乙方负责提供必要的试验资料和原始记录。</w:t>
      </w:r>
    </w:p>
    <w:p w14:paraId="14408DEB">
      <w:pPr>
        <w:spacing w:line="400" w:lineRule="exact"/>
        <w:ind w:firstLine="420" w:firstLineChars="200"/>
      </w:pPr>
      <w:r>
        <w:rPr>
          <w:rFonts w:hint="eastAsia"/>
        </w:rPr>
        <w:t>14.1.2 监理人未按合同约定派员参加试验和检验的，除监理人另有指示外，乙方可自行试验和检验，并应立即将试验和检验结果报送监理人，监理人应签字确认。</w:t>
      </w:r>
    </w:p>
    <w:p w14:paraId="7F8E45F7">
      <w:pPr>
        <w:spacing w:line="400" w:lineRule="exact"/>
        <w:ind w:firstLine="420" w:firstLineChars="200"/>
      </w:pPr>
      <w:r>
        <w:rPr>
          <w:rFonts w:hint="eastAsia"/>
        </w:rPr>
        <w:t>14.1.3 监理人对乙方的试验和检验结果有疑问的，或为查清乙方试验和检验成果的可靠性要求乙方重新试验和检验的，可按合同约定由监理人与乙方共同进行。重新试验和检验的结果证明该项材料、工程设备或工程的质量不符合合同要求的，由此增加的费用和（或）工期延误由乙方承担；重新试验和检验结果证明该项材料、工程设备和工程符合合同要求，由甲方承担由此增加的费用和（或）工期延误，并支付乙方合理利润。</w:t>
      </w:r>
    </w:p>
    <w:p w14:paraId="0EC215B5">
      <w:pPr>
        <w:pStyle w:val="251"/>
        <w:tabs>
          <w:tab w:val="left" w:pos="720"/>
        </w:tabs>
        <w:outlineLvl w:val="0"/>
      </w:pPr>
      <w:r>
        <w:rPr>
          <w:rFonts w:hint="eastAsia"/>
        </w:rPr>
        <w:t>14.2 现场材料试验</w:t>
      </w:r>
    </w:p>
    <w:p w14:paraId="3E9E559B">
      <w:pPr>
        <w:spacing w:line="400" w:lineRule="exact"/>
        <w:ind w:firstLine="420" w:firstLineChars="200"/>
      </w:pPr>
      <w:r>
        <w:rPr>
          <w:rFonts w:hint="eastAsia"/>
        </w:rPr>
        <w:t>14.2.1 乙方根据合同约定或监理人指示进行的现场材料试验，应由乙方提供试验场所、试验人员、试验设备器材以及其他必要的试验条件。</w:t>
      </w:r>
    </w:p>
    <w:p w14:paraId="67C5986A">
      <w:pPr>
        <w:spacing w:line="400" w:lineRule="exact"/>
        <w:ind w:firstLine="420" w:firstLineChars="200"/>
      </w:pPr>
      <w:r>
        <w:rPr>
          <w:rFonts w:hint="eastAsia"/>
        </w:rPr>
        <w:t>14.2.2 监理人在必要时可以使用乙方的试验场所、试验设备器材以及其他试验条件，进行以工程质量检查为目的的复核性材料试验，乙方应予以协助。</w:t>
      </w:r>
    </w:p>
    <w:p w14:paraId="314775B7">
      <w:pPr>
        <w:pStyle w:val="251"/>
        <w:tabs>
          <w:tab w:val="left" w:pos="720"/>
        </w:tabs>
        <w:outlineLvl w:val="0"/>
      </w:pPr>
      <w:r>
        <w:rPr>
          <w:rFonts w:hint="eastAsia"/>
        </w:rPr>
        <w:t>14.3 现场工艺试验</w:t>
      </w:r>
    </w:p>
    <w:p w14:paraId="07B54E16">
      <w:pPr>
        <w:spacing w:line="400" w:lineRule="exact"/>
        <w:ind w:firstLine="420" w:firstLineChars="200"/>
      </w:pPr>
      <w:r>
        <w:rPr>
          <w:rFonts w:hint="eastAsia"/>
        </w:rPr>
        <w:t>乙方应按合同约定或监理人指示进行现场工艺试验。对大型的现场工艺试验，监理人认为必要时，应由乙方根据监理人提出的工艺试验要求，编制工艺试验措施计划，报送监理人审批。</w:t>
      </w:r>
    </w:p>
    <w:p w14:paraId="237176EF">
      <w:pPr>
        <w:pStyle w:val="250"/>
        <w:spacing w:before="0"/>
      </w:pPr>
      <w:r>
        <w:rPr>
          <w:rFonts w:hint="eastAsia"/>
        </w:rPr>
        <w:t>15. 变更</w:t>
      </w:r>
    </w:p>
    <w:p w14:paraId="683C3C45">
      <w:pPr>
        <w:pStyle w:val="251"/>
        <w:tabs>
          <w:tab w:val="left" w:pos="720"/>
        </w:tabs>
        <w:outlineLvl w:val="0"/>
      </w:pPr>
      <w:r>
        <w:rPr>
          <w:rFonts w:hint="eastAsia"/>
        </w:rPr>
        <w:t>15.1 变更的范围和内容</w:t>
      </w:r>
    </w:p>
    <w:p w14:paraId="08295AB8">
      <w:pPr>
        <w:spacing w:line="400" w:lineRule="exact"/>
        <w:ind w:firstLine="420" w:firstLineChars="200"/>
      </w:pPr>
      <w:r>
        <w:rPr>
          <w:rFonts w:hint="eastAsia"/>
        </w:rPr>
        <w:t>除专用合同条款另有约定外，在履行合同中发生以下情形之一，应按照本条规定进行变更。</w:t>
      </w:r>
    </w:p>
    <w:p w14:paraId="3F2C2805">
      <w:pPr>
        <w:spacing w:line="400" w:lineRule="exact"/>
        <w:ind w:firstLine="359" w:firstLineChars="171"/>
      </w:pPr>
      <w:r>
        <w:rPr>
          <w:rFonts w:hint="eastAsia"/>
        </w:rPr>
        <w:t>（1）取消合同中任何一项工作，但被取消的工作不能转由甲方或其他人实施；</w:t>
      </w:r>
    </w:p>
    <w:p w14:paraId="031DB514">
      <w:pPr>
        <w:spacing w:line="400" w:lineRule="exact"/>
        <w:ind w:firstLine="359" w:firstLineChars="171"/>
      </w:pPr>
      <w:r>
        <w:rPr>
          <w:rFonts w:hint="eastAsia"/>
        </w:rPr>
        <w:t>（2）改变合同中任何一项工作的质量或其他特性；</w:t>
      </w:r>
    </w:p>
    <w:p w14:paraId="716437E4">
      <w:pPr>
        <w:spacing w:line="400" w:lineRule="exact"/>
        <w:ind w:firstLine="359" w:firstLineChars="171"/>
      </w:pPr>
      <w:r>
        <w:rPr>
          <w:rFonts w:hint="eastAsia"/>
        </w:rPr>
        <w:t>（3）改变合同工程的基线、标高、位置或尺寸；</w:t>
      </w:r>
    </w:p>
    <w:p w14:paraId="202941A1">
      <w:pPr>
        <w:spacing w:line="400" w:lineRule="exact"/>
        <w:ind w:firstLine="359" w:firstLineChars="171"/>
      </w:pPr>
      <w:r>
        <w:rPr>
          <w:rFonts w:hint="eastAsia"/>
        </w:rPr>
        <w:t>（4）改变合同中任何一项工作的施工时间或改变已批准的施工工艺或顺序；</w:t>
      </w:r>
    </w:p>
    <w:p w14:paraId="3AC1788B">
      <w:pPr>
        <w:spacing w:line="400" w:lineRule="exact"/>
        <w:ind w:firstLine="359" w:firstLineChars="171"/>
      </w:pPr>
      <w:r>
        <w:rPr>
          <w:rFonts w:hint="eastAsia"/>
        </w:rPr>
        <w:t>（5）为完成工程需要追加的额外工作。</w:t>
      </w:r>
    </w:p>
    <w:p w14:paraId="4682DA03">
      <w:pPr>
        <w:pStyle w:val="251"/>
        <w:tabs>
          <w:tab w:val="left" w:pos="720"/>
        </w:tabs>
        <w:outlineLvl w:val="0"/>
      </w:pPr>
      <w:r>
        <w:rPr>
          <w:rFonts w:hint="eastAsia"/>
        </w:rPr>
        <w:t>15.2 变更权</w:t>
      </w:r>
    </w:p>
    <w:p w14:paraId="52591673">
      <w:pPr>
        <w:spacing w:line="400" w:lineRule="exact"/>
        <w:ind w:firstLine="420" w:firstLineChars="200"/>
      </w:pPr>
      <w:r>
        <w:rPr>
          <w:rFonts w:hint="eastAsia"/>
        </w:rPr>
        <w:t>在履行合同过程中，经甲方同意，监理人可按第15.3款约定的变更程序向乙方作出变更指示，乙方应遵照执行。没有监理人的变更指示，乙方不得擅自变更。</w:t>
      </w:r>
    </w:p>
    <w:p w14:paraId="459518F1">
      <w:pPr>
        <w:pStyle w:val="251"/>
        <w:tabs>
          <w:tab w:val="left" w:pos="720"/>
        </w:tabs>
        <w:outlineLvl w:val="0"/>
      </w:pPr>
      <w:r>
        <w:rPr>
          <w:rFonts w:hint="eastAsia"/>
        </w:rPr>
        <w:t>15.3 变更程序</w:t>
      </w:r>
    </w:p>
    <w:p w14:paraId="145F7662">
      <w:pPr>
        <w:spacing w:line="400" w:lineRule="exact"/>
        <w:ind w:firstLine="420" w:firstLineChars="200"/>
      </w:pPr>
      <w:r>
        <w:rPr>
          <w:rFonts w:hint="eastAsia"/>
        </w:rPr>
        <w:t xml:space="preserve">15.3.1 </w:t>
      </w:r>
      <w:r>
        <w:rPr>
          <w:rFonts w:hint="eastAsia" w:ascii="黑体" w:eastAsia="黑体"/>
        </w:rPr>
        <w:t>变更的提出</w:t>
      </w:r>
    </w:p>
    <w:p w14:paraId="7C48DBCD">
      <w:pPr>
        <w:spacing w:line="400" w:lineRule="exact"/>
        <w:ind w:firstLine="420" w:firstLineChars="200"/>
      </w:pPr>
      <w:r>
        <w:rPr>
          <w:rFonts w:hint="eastAsia"/>
        </w:rPr>
        <w:t>（1）在合同履行过程中，可能发生第15.1款约定情形的，监理人可向乙方发出变更意向书。变更意向书应说明变更的具体内容和甲方对变更的时间要求，并附必要的图纸和相关资料。变更意向书应要求乙方提交包括拟实施变更工作的计划、措施和竣工时间等内容的实施方案。甲方同意乙方根据变更意向书要求提交的变更实施方案的，由监理人按第15.3.3项约定发出变更指示。</w:t>
      </w:r>
    </w:p>
    <w:p w14:paraId="6D40D6CC">
      <w:pPr>
        <w:spacing w:line="400" w:lineRule="exact"/>
        <w:ind w:firstLine="420" w:firstLineChars="200"/>
      </w:pPr>
      <w:r>
        <w:rPr>
          <w:rFonts w:hint="eastAsia"/>
        </w:rPr>
        <w:t>（2）在合同履行过程中，发生第15.1款约定情形的，监理人应按照第15.3.3项约定向乙方发出变更指示。</w:t>
      </w:r>
    </w:p>
    <w:p w14:paraId="24F8C9E2">
      <w:pPr>
        <w:spacing w:line="400" w:lineRule="exact"/>
        <w:ind w:firstLine="420" w:firstLineChars="200"/>
      </w:pPr>
      <w:r>
        <w:rPr>
          <w:rFonts w:hint="eastAsia"/>
        </w:rPr>
        <w:t>（3）乙方收到监理人按合同约定发出的图纸和文件，经检查认为其中存在第15.1款约定情形的，可向监理人提出书面变更建议。变更建议应阐明要求变更的依据，并附必要的图纸和说明。监理人收到乙方书面建议后，应与甲方共同研究，确认存在变更的，应在收到乙方书面建议后的14天内作出变更指示。经研究后不同意作为变更的，应由监理人书面答复乙方。</w:t>
      </w:r>
    </w:p>
    <w:p w14:paraId="71197D57">
      <w:pPr>
        <w:spacing w:line="400" w:lineRule="exact"/>
        <w:ind w:firstLine="420" w:firstLineChars="200"/>
      </w:pPr>
      <w:r>
        <w:rPr>
          <w:rFonts w:hint="eastAsia"/>
        </w:rPr>
        <w:t>（4）若乙方收到监理人的变更意向书后认为难以实施此项变更，应立即通知监理人，说明原因并附详细依据。监理人与乙方和甲方协商后确定撤销</w:t>
      </w:r>
      <w:r>
        <w:rPr>
          <w:rFonts w:hint="eastAsia" w:ascii="宋体" w:hAnsi="宋体"/>
        </w:rPr>
        <w:t>、</w:t>
      </w:r>
      <w:r>
        <w:rPr>
          <w:rFonts w:hint="eastAsia"/>
        </w:rPr>
        <w:t>改变或不改变原变更意向书。</w:t>
      </w:r>
    </w:p>
    <w:p w14:paraId="45C4FC71">
      <w:pPr>
        <w:spacing w:line="400" w:lineRule="exact"/>
        <w:ind w:firstLine="420" w:firstLineChars="200"/>
      </w:pPr>
      <w:r>
        <w:rPr>
          <w:rFonts w:hint="eastAsia"/>
        </w:rPr>
        <w:t xml:space="preserve">15.3.2 </w:t>
      </w:r>
      <w:r>
        <w:rPr>
          <w:rFonts w:hint="eastAsia" w:ascii="黑体" w:eastAsia="黑体"/>
        </w:rPr>
        <w:t>变更估价</w:t>
      </w:r>
    </w:p>
    <w:p w14:paraId="294F1171">
      <w:pPr>
        <w:spacing w:line="400" w:lineRule="exact"/>
        <w:ind w:firstLine="420" w:firstLineChars="200"/>
      </w:pPr>
      <w:r>
        <w:rPr>
          <w:rFonts w:hint="eastAsia"/>
        </w:rPr>
        <w:t>（1）除专用合同条款对期限另有约定外，乙方应在收到变更指示或变更意向书后的14天内，向监理人提交变更报价书，报价内容应根据第15.4款约定的估价原则，详细开列变更工作的价格组成及其依据，并附必要的施工方法说明和有关图纸。</w:t>
      </w:r>
    </w:p>
    <w:p w14:paraId="78228EE9">
      <w:pPr>
        <w:spacing w:line="400" w:lineRule="exact"/>
        <w:ind w:firstLine="420" w:firstLineChars="200"/>
      </w:pPr>
      <w:r>
        <w:rPr>
          <w:rFonts w:hint="eastAsia"/>
        </w:rPr>
        <w:t>（2）变更工作影响工期的，乙方应提出调整工期的具体细节。监理人认为有必要时，可要求乙方提交要求提前或延长工期的施工进度计划及相应施工措施等详细资料。</w:t>
      </w:r>
    </w:p>
    <w:p w14:paraId="372422F0">
      <w:pPr>
        <w:spacing w:line="400" w:lineRule="exact"/>
        <w:ind w:firstLine="420" w:firstLineChars="200"/>
      </w:pPr>
      <w:r>
        <w:rPr>
          <w:rFonts w:hint="eastAsia"/>
        </w:rPr>
        <w:t>（3）除专用合同条款对期限另有约定外，监理人收到乙方变更报价书后的14天内，根据第15.4款约定的估价原则，按照第3.5款商定或确定变更价格。</w:t>
      </w:r>
    </w:p>
    <w:p w14:paraId="33418C50">
      <w:pPr>
        <w:spacing w:line="400" w:lineRule="exact"/>
        <w:ind w:firstLine="420" w:firstLineChars="200"/>
      </w:pPr>
      <w:r>
        <w:rPr>
          <w:rFonts w:hint="eastAsia"/>
        </w:rPr>
        <w:t xml:space="preserve">15.3.3 </w:t>
      </w:r>
      <w:r>
        <w:rPr>
          <w:rFonts w:hint="eastAsia" w:ascii="黑体" w:eastAsia="黑体"/>
        </w:rPr>
        <w:t>变更指示</w:t>
      </w:r>
    </w:p>
    <w:p w14:paraId="110B4448">
      <w:pPr>
        <w:spacing w:line="400" w:lineRule="exact"/>
        <w:ind w:firstLine="420" w:firstLineChars="200"/>
      </w:pPr>
      <w:r>
        <w:rPr>
          <w:rFonts w:hint="eastAsia"/>
        </w:rPr>
        <w:t>（1）变更指示只能由监理人发出。</w:t>
      </w:r>
    </w:p>
    <w:p w14:paraId="252954AF">
      <w:pPr>
        <w:spacing w:line="400" w:lineRule="exact"/>
        <w:ind w:firstLine="420" w:firstLineChars="200"/>
      </w:pPr>
      <w:r>
        <w:rPr>
          <w:rFonts w:hint="eastAsia"/>
        </w:rPr>
        <w:t>（2）变更指示应说明变更的目的、范围、变更内容以及变更的工程量及其进度和技术要求，并附有关图纸和文件。乙方收到变更指示后，应按变更指示进行变更工作。</w:t>
      </w:r>
    </w:p>
    <w:p w14:paraId="33B41406">
      <w:pPr>
        <w:pStyle w:val="251"/>
        <w:tabs>
          <w:tab w:val="left" w:pos="720"/>
        </w:tabs>
        <w:outlineLvl w:val="0"/>
      </w:pPr>
      <w:r>
        <w:rPr>
          <w:rFonts w:hint="eastAsia"/>
        </w:rPr>
        <w:t>15.4 变更的估价原则</w:t>
      </w:r>
    </w:p>
    <w:p w14:paraId="60A2F488">
      <w:pPr>
        <w:spacing w:line="400" w:lineRule="exact"/>
        <w:ind w:firstLine="420" w:firstLineChars="200"/>
      </w:pPr>
      <w:r>
        <w:rPr>
          <w:rFonts w:hint="eastAsia"/>
        </w:rPr>
        <w:t>除专用合同条款另有约定外，因变更引起的价格调整按照本款约定处理。</w:t>
      </w:r>
    </w:p>
    <w:p w14:paraId="42F2675B">
      <w:pPr>
        <w:spacing w:line="400" w:lineRule="exact"/>
        <w:ind w:firstLine="420" w:firstLineChars="200"/>
      </w:pPr>
      <w:r>
        <w:rPr>
          <w:rFonts w:hint="eastAsia"/>
        </w:rPr>
        <w:t>15.4.1 已标价工程量清单中有适用于变更工作的子目的，采用该子目的单价。</w:t>
      </w:r>
    </w:p>
    <w:p w14:paraId="68109099">
      <w:pPr>
        <w:spacing w:line="400" w:lineRule="exact"/>
        <w:ind w:firstLine="420" w:firstLineChars="200"/>
      </w:pPr>
      <w:r>
        <w:rPr>
          <w:rFonts w:hint="eastAsia"/>
        </w:rPr>
        <w:t>15.4.2 已标价工程量清单中无适用于变更工作的子目，但有类似子目的，可在合理范围内参照类似子目的单价，由监理人按第3.5款商定或确定变更工作的单价。</w:t>
      </w:r>
    </w:p>
    <w:p w14:paraId="0DDE121F">
      <w:pPr>
        <w:spacing w:line="400" w:lineRule="exact"/>
        <w:ind w:firstLine="420" w:firstLineChars="200"/>
      </w:pPr>
      <w:r>
        <w:rPr>
          <w:rFonts w:hint="eastAsia"/>
        </w:rPr>
        <w:t>15.4.3 已标价工程量清单中无适用或类似子目的单价，可按照成本加利润的原则，由监理人按第3.5款商定或确定变更工作的单价。</w:t>
      </w:r>
    </w:p>
    <w:p w14:paraId="25E55204">
      <w:pPr>
        <w:pStyle w:val="251"/>
        <w:tabs>
          <w:tab w:val="left" w:pos="720"/>
        </w:tabs>
        <w:outlineLvl w:val="0"/>
      </w:pPr>
      <w:r>
        <w:rPr>
          <w:rFonts w:hint="eastAsia"/>
        </w:rPr>
        <w:t>15.5 乙方的合理化建议</w:t>
      </w:r>
    </w:p>
    <w:p w14:paraId="19CBD8B3">
      <w:pPr>
        <w:spacing w:line="400" w:lineRule="exact"/>
        <w:ind w:firstLine="420" w:firstLineChars="200"/>
      </w:pPr>
      <w:r>
        <w:rPr>
          <w:rFonts w:hint="eastAsia"/>
        </w:rPr>
        <w:t>15.5.1 在履行合同过程中，乙方对甲方提供的图纸、技术要求以及其他方面提出的合理化建议，均应以书面形式提交监理人。合理化建议书的内容应包括建议工作的详细说明、进度计划和效益以及与其他工作的协调等，并附必要的设计文件。监理人应与甲方协商是否采纳建议。建议被采纳并构成变更的，应按第15.3.3项约定向乙方发出变更指示。</w:t>
      </w:r>
    </w:p>
    <w:p w14:paraId="5BC7421A">
      <w:pPr>
        <w:spacing w:line="400" w:lineRule="exact"/>
        <w:ind w:firstLine="420" w:firstLineChars="200"/>
      </w:pPr>
      <w:r>
        <w:rPr>
          <w:rFonts w:hint="eastAsia"/>
        </w:rPr>
        <w:t>15.5.2 乙方提出的合理化建议降低了合同价格、缩短了工期或者提高了工程经济效益的，甲方可按国家有关规定在专用合同条款中约定给予奖励。</w:t>
      </w:r>
    </w:p>
    <w:p w14:paraId="3746D141">
      <w:pPr>
        <w:pStyle w:val="251"/>
        <w:tabs>
          <w:tab w:val="left" w:pos="720"/>
        </w:tabs>
        <w:outlineLvl w:val="0"/>
      </w:pPr>
      <w:r>
        <w:rPr>
          <w:rFonts w:hint="eastAsia"/>
        </w:rPr>
        <w:t>15.6 暂列金额</w:t>
      </w:r>
    </w:p>
    <w:p w14:paraId="52680970">
      <w:pPr>
        <w:spacing w:line="400" w:lineRule="exact"/>
        <w:ind w:firstLine="420" w:firstLineChars="200"/>
      </w:pPr>
      <w:r>
        <w:rPr>
          <w:rFonts w:hint="eastAsia"/>
        </w:rPr>
        <w:t>暂列金额只能按照监理人的指示使用，并对合同价格进行相应调整。</w:t>
      </w:r>
    </w:p>
    <w:p w14:paraId="7F9C9A61">
      <w:pPr>
        <w:pStyle w:val="251"/>
        <w:tabs>
          <w:tab w:val="left" w:pos="720"/>
        </w:tabs>
        <w:outlineLvl w:val="0"/>
      </w:pPr>
      <w:r>
        <w:rPr>
          <w:rFonts w:hint="eastAsia"/>
        </w:rPr>
        <w:t>15.7 计日工</w:t>
      </w:r>
    </w:p>
    <w:p w14:paraId="5F7C80EC">
      <w:pPr>
        <w:spacing w:line="400" w:lineRule="exact"/>
        <w:ind w:firstLine="420" w:firstLineChars="200"/>
        <w:rPr>
          <w:shd w:val="pct10" w:color="auto" w:fill="FFFFFF"/>
        </w:rPr>
      </w:pPr>
      <w:r>
        <w:rPr>
          <w:rFonts w:hint="eastAsia"/>
        </w:rPr>
        <w:t>15.7.1 甲方认为有必要时，</w:t>
      </w:r>
      <w:r>
        <w:rPr>
          <w:rFonts w:hint="eastAsia"/>
          <w:szCs w:val="21"/>
        </w:rPr>
        <w:t>由</w:t>
      </w:r>
      <w:r>
        <w:rPr>
          <w:rFonts w:hint="eastAsia"/>
        </w:rPr>
        <w:t>监理人通知乙方以计日工方式实施变更的零星工作。其价款按列入已标价工程量清单中的计日工计价子目及其单价进行计算。</w:t>
      </w:r>
    </w:p>
    <w:p w14:paraId="5ACA3B19">
      <w:pPr>
        <w:spacing w:line="400" w:lineRule="exact"/>
        <w:ind w:firstLine="420" w:firstLineChars="200"/>
      </w:pPr>
      <w:r>
        <w:rPr>
          <w:rFonts w:hint="eastAsia"/>
        </w:rPr>
        <w:t>15.7.2 采用计日工计价的任何一项变更工作，应从暂列金额中支付，乙方应在该项变更的实施过程中，每天提交以下报表和有关凭证报送监理人审批：</w:t>
      </w:r>
    </w:p>
    <w:p w14:paraId="1E33D580">
      <w:pPr>
        <w:spacing w:line="400" w:lineRule="exact"/>
        <w:ind w:firstLine="718" w:firstLineChars="342"/>
      </w:pPr>
      <w:r>
        <w:rPr>
          <w:rFonts w:hint="eastAsia"/>
        </w:rPr>
        <w:t>（1）工作名称、内容和数量；</w:t>
      </w:r>
    </w:p>
    <w:p w14:paraId="200AEA06">
      <w:pPr>
        <w:spacing w:line="400" w:lineRule="exact"/>
        <w:ind w:firstLine="718" w:firstLineChars="342"/>
      </w:pPr>
      <w:r>
        <w:rPr>
          <w:rFonts w:hint="eastAsia"/>
        </w:rPr>
        <w:t>（2）投入该工作所有人员的姓名、工种、级别和耗用工时；</w:t>
      </w:r>
    </w:p>
    <w:p w14:paraId="59AA871B">
      <w:pPr>
        <w:spacing w:line="400" w:lineRule="exact"/>
        <w:ind w:firstLine="718" w:firstLineChars="342"/>
      </w:pPr>
      <w:r>
        <w:rPr>
          <w:rFonts w:hint="eastAsia"/>
        </w:rPr>
        <w:t>（3）投入该工作的材料类别和数量；</w:t>
      </w:r>
    </w:p>
    <w:p w14:paraId="58A27815">
      <w:pPr>
        <w:spacing w:line="400" w:lineRule="exact"/>
        <w:ind w:firstLine="718" w:firstLineChars="342"/>
      </w:pPr>
      <w:r>
        <w:rPr>
          <w:rFonts w:hint="eastAsia"/>
        </w:rPr>
        <w:t>（4）投入该工作的施工设备型号、台数和耗用台时；</w:t>
      </w:r>
    </w:p>
    <w:p w14:paraId="0CF5C48B">
      <w:pPr>
        <w:spacing w:line="400" w:lineRule="exact"/>
        <w:ind w:firstLine="718" w:firstLineChars="342"/>
      </w:pPr>
      <w:r>
        <w:rPr>
          <w:rFonts w:hint="eastAsia"/>
        </w:rPr>
        <w:t>（5）监理人要求提交的其他资料和凭证。</w:t>
      </w:r>
    </w:p>
    <w:p w14:paraId="387C7A22">
      <w:pPr>
        <w:spacing w:line="400" w:lineRule="exact"/>
        <w:ind w:firstLine="420" w:firstLineChars="200"/>
      </w:pPr>
      <w:r>
        <w:rPr>
          <w:rFonts w:hint="eastAsia"/>
        </w:rPr>
        <w:t>15.7.3 计日工由乙方汇总后，按第17.3.2项的约定列入进度付款申请单，由监理人复核并经甲方同意后列入进度付款。</w:t>
      </w:r>
    </w:p>
    <w:p w14:paraId="2B3D55D3">
      <w:pPr>
        <w:pStyle w:val="251"/>
        <w:tabs>
          <w:tab w:val="left" w:pos="720"/>
        </w:tabs>
        <w:outlineLvl w:val="0"/>
      </w:pPr>
      <w:r>
        <w:rPr>
          <w:rFonts w:hint="eastAsia"/>
        </w:rPr>
        <w:t>15.8 暂估价</w:t>
      </w:r>
    </w:p>
    <w:p w14:paraId="708E21F4">
      <w:pPr>
        <w:spacing w:line="400" w:lineRule="exact"/>
      </w:pPr>
      <w:r>
        <w:rPr>
          <w:rFonts w:hint="eastAsia"/>
        </w:rPr>
        <w:t xml:space="preserve">    15.8.1 甲方在工程量清单中给定暂估价的材料、工程设备和专业工程属于依法必须招标的范围并达到规定的规模标准的，由甲方和乙方以招标的方式选择供应商或分包人。甲方和乙方的权利义务关系在专用合同条款中约定。中标金额与工程量清单中所列的暂估价的金额差以及相应的税金等其他费用列入合同价格。</w:t>
      </w:r>
    </w:p>
    <w:p w14:paraId="7FEFA0D4">
      <w:pPr>
        <w:spacing w:line="400" w:lineRule="exact"/>
        <w:ind w:firstLine="420" w:firstLineChars="200"/>
      </w:pPr>
      <w:r>
        <w:rPr>
          <w:rFonts w:hint="eastAsia"/>
        </w:rPr>
        <w:t>15.8.2 甲方在工程量清单中给定暂估价的材料和工程设备不属于依法必须招标的范围或未达到规定的规模标准的，应由乙方按第5.1款的约定提供。经监理人确认的材料、工程设备的价格与工程量清单中所列的暂估价的金额差以及相应的税金等其他费用列入合同价格。</w:t>
      </w:r>
    </w:p>
    <w:p w14:paraId="0A761F91">
      <w:pPr>
        <w:spacing w:line="400" w:lineRule="exact"/>
        <w:ind w:firstLine="420" w:firstLineChars="200"/>
      </w:pPr>
      <w:r>
        <w:rPr>
          <w:rFonts w:hint="eastAsia"/>
        </w:rPr>
        <w:t>15.8.3 甲方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05B8BCE">
      <w:pPr>
        <w:pStyle w:val="250"/>
        <w:spacing w:before="0"/>
      </w:pPr>
      <w:r>
        <w:rPr>
          <w:rFonts w:hint="eastAsia"/>
        </w:rPr>
        <w:t>16. 价格调整</w:t>
      </w:r>
    </w:p>
    <w:p w14:paraId="67F0EFFD">
      <w:pPr>
        <w:pStyle w:val="251"/>
        <w:tabs>
          <w:tab w:val="left" w:pos="720"/>
        </w:tabs>
        <w:outlineLvl w:val="0"/>
      </w:pPr>
      <w:r>
        <w:rPr>
          <w:rFonts w:hint="eastAsia"/>
        </w:rPr>
        <w:t>16.1 物价波动引起的价格调整</w:t>
      </w:r>
    </w:p>
    <w:p w14:paraId="44EBC44E">
      <w:pPr>
        <w:spacing w:line="400" w:lineRule="exact"/>
        <w:ind w:firstLine="420" w:firstLineChars="200"/>
      </w:pPr>
      <w:r>
        <w:rPr>
          <w:rFonts w:hint="eastAsia"/>
        </w:rPr>
        <w:t>除专用合同条款另有约定外，因物价波动引起的价格调整按照本款约定处理。</w:t>
      </w:r>
    </w:p>
    <w:p w14:paraId="1671D498">
      <w:pPr>
        <w:spacing w:line="400" w:lineRule="exact"/>
        <w:ind w:firstLine="420" w:firstLineChars="200"/>
      </w:pPr>
      <w:r>
        <w:rPr>
          <w:rFonts w:hint="eastAsia"/>
        </w:rPr>
        <w:t xml:space="preserve">16.1.1 </w:t>
      </w:r>
      <w:r>
        <w:rPr>
          <w:rFonts w:hint="eastAsia" w:ascii="黑体" w:eastAsia="黑体"/>
        </w:rPr>
        <w:t>采用价格指数调整价格差额</w:t>
      </w:r>
    </w:p>
    <w:p w14:paraId="1D4095A7">
      <w:pPr>
        <w:spacing w:line="400" w:lineRule="exact"/>
        <w:ind w:firstLine="420" w:firstLineChars="200"/>
        <w:outlineLvl w:val="0"/>
      </w:pPr>
      <w:r>
        <w:rPr>
          <w:rFonts w:hint="eastAsia"/>
        </w:rPr>
        <w:t>16.1.1.1 价格调整公式</w:t>
      </w:r>
    </w:p>
    <w:p w14:paraId="53A2D474">
      <w:pPr>
        <w:spacing w:line="400" w:lineRule="exact"/>
        <w:ind w:firstLine="420" w:firstLineChars="200"/>
      </w:pPr>
      <w:r>
        <w:rPr>
          <w:rFonts w:hint="eastAsia"/>
        </w:rPr>
        <w:t>因人工、材料和设备等价格波动影响合同价格时，根据投标函附录中的价格指数和权重表约定的数据，按以下公式计算差额并调整合同价格。</w:t>
      </w:r>
    </w:p>
    <w:p w14:paraId="750632D9">
      <w:pPr>
        <w:autoSpaceDE w:val="0"/>
        <w:autoSpaceDN w:val="0"/>
        <w:adjustRightInd w:val="0"/>
        <w:spacing w:line="1200" w:lineRule="exact"/>
        <w:ind w:right="248" w:firstLine="835" w:firstLineChars="398"/>
      </w:pPr>
      <w:r>
        <w:rPr>
          <w:position w:val="-34"/>
        </w:rPr>
        <w:object>
          <v:shape id="_x0000_i1025" o:spt="75" type="#_x0000_t75" style="height:39.75pt;width:306.75pt;" o:ole="t" filled="f" o:preferrelative="t" stroked="f" coordsize="21600,21600">
            <v:path/>
            <v:fill on="f" focussize="0,0"/>
            <v:stroke on="f"/>
            <v:imagedata r:id="rId25" o:title=""/>
            <o:lock v:ext="edit" aspectratio="t"/>
            <w10:wrap type="none"/>
            <w10:anchorlock/>
          </v:shape>
          <o:OLEObject Type="Embed" ProgID="Equation.3" ShapeID="_x0000_i1025" DrawAspect="Content" ObjectID="_1468075725" r:id="rId24">
            <o:LockedField>false</o:LockedField>
          </o:OLEObject>
        </w:object>
      </w:r>
    </w:p>
    <w:p w14:paraId="38D53F17">
      <w:pPr>
        <w:tabs>
          <w:tab w:val="left" w:pos="1260"/>
        </w:tabs>
        <w:spacing w:line="400" w:lineRule="exact"/>
        <w:ind w:firstLine="420" w:firstLineChars="200"/>
      </w:pPr>
    </w:p>
    <w:p w14:paraId="0A9A2EE3">
      <w:pPr>
        <w:tabs>
          <w:tab w:val="left" w:pos="1260"/>
        </w:tabs>
        <w:spacing w:line="400" w:lineRule="exact"/>
        <w:ind w:firstLine="420" w:firstLineChars="200"/>
      </w:pPr>
      <w:r>
        <w:rPr>
          <w:rFonts w:hint="eastAsia"/>
        </w:rPr>
        <w:t>式中：△P -- 需调整的价格差额；</w:t>
      </w:r>
    </w:p>
    <w:p w14:paraId="264D6F75">
      <w:pPr>
        <w:tabs>
          <w:tab w:val="left" w:pos="1260"/>
        </w:tabs>
        <w:spacing w:line="400" w:lineRule="exact"/>
      </w:pPr>
      <w:r>
        <w:rPr>
          <w:rFonts w:hint="eastAsia"/>
        </w:rPr>
        <w:tab/>
      </w:r>
      <w:r>
        <w:rPr>
          <w:rFonts w:hint="eastAsia"/>
        </w:rPr>
        <w:t>P</w:t>
      </w:r>
      <w:r>
        <w:rPr>
          <w:rFonts w:hint="eastAsia"/>
          <w:szCs w:val="21"/>
          <w:vertAlign w:val="subscript"/>
        </w:rPr>
        <w:t>0</w:t>
      </w:r>
      <w:r>
        <w:rPr>
          <w:rFonts w:hint="eastAsia"/>
        </w:rPr>
        <w:t xml:space="preserve"> -- 第17.3.3项、第17.5.2项和第17.6.2项约定的付款证书中乙方应得到的已完成工程量的金额。此项金额应不包括价格调整、不计质量保证金的扣留和支付、预付款的支付和扣回。第15条约定的变更及其他金额已按现行价格计价的，也不计在内；</w:t>
      </w:r>
    </w:p>
    <w:p w14:paraId="1D46EE2B">
      <w:pPr>
        <w:tabs>
          <w:tab w:val="left" w:pos="1260"/>
        </w:tabs>
        <w:spacing w:line="400" w:lineRule="exact"/>
      </w:pPr>
      <w:r>
        <w:rPr>
          <w:rFonts w:hint="eastAsia"/>
        </w:rPr>
        <w:tab/>
      </w:r>
      <w:r>
        <w:rPr>
          <w:rFonts w:hint="eastAsia"/>
        </w:rPr>
        <w:t>A -- 定值权重(即不调部分的权重)；</w:t>
      </w:r>
    </w:p>
    <w:p w14:paraId="5772D962">
      <w:pPr>
        <w:tabs>
          <w:tab w:val="left" w:pos="1260"/>
        </w:tabs>
        <w:spacing w:line="400" w:lineRule="exact"/>
      </w:pPr>
      <w:r>
        <w:rPr>
          <w:rFonts w:hint="eastAsia"/>
        </w:rPr>
        <w:tab/>
      </w:r>
      <w:r>
        <w:rPr>
          <w:rFonts w:hint="eastAsia"/>
        </w:rPr>
        <w:t>B</w:t>
      </w:r>
      <w:r>
        <w:rPr>
          <w:rFonts w:hint="eastAsia"/>
          <w:szCs w:val="21"/>
          <w:vertAlign w:val="subscript"/>
        </w:rPr>
        <w:t>1</w:t>
      </w:r>
      <w:r>
        <w:rPr>
          <w:rFonts w:hint="eastAsia"/>
          <w:sz w:val="15"/>
          <w:szCs w:val="15"/>
        </w:rPr>
        <w:t>;</w:t>
      </w:r>
      <w:r>
        <w:rPr>
          <w:rFonts w:hint="eastAsia"/>
        </w:rPr>
        <w:t xml:space="preserve"> B</w:t>
      </w:r>
      <w:r>
        <w:rPr>
          <w:rFonts w:hint="eastAsia"/>
          <w:szCs w:val="21"/>
          <w:vertAlign w:val="subscript"/>
        </w:rPr>
        <w:t>2</w:t>
      </w:r>
      <w:r>
        <w:rPr>
          <w:rFonts w:hint="eastAsia"/>
        </w:rPr>
        <w:t xml:space="preserve"> ;B</w:t>
      </w:r>
      <w:r>
        <w:rPr>
          <w:rFonts w:hint="eastAsia"/>
          <w:szCs w:val="21"/>
          <w:vertAlign w:val="subscript"/>
        </w:rPr>
        <w:t>3</w:t>
      </w:r>
      <w:r>
        <w:rPr>
          <w:rFonts w:hint="eastAsia" w:ascii="宋体" w:hAnsi="宋体"/>
          <w:sz w:val="15"/>
          <w:szCs w:val="15"/>
        </w:rPr>
        <w:t>·····</w:t>
      </w:r>
      <w:r>
        <w:rPr>
          <w:rFonts w:hint="eastAsia"/>
        </w:rPr>
        <w:t>B</w:t>
      </w:r>
      <w:r>
        <w:rPr>
          <w:rFonts w:hint="eastAsia"/>
          <w:szCs w:val="21"/>
          <w:vertAlign w:val="subscript"/>
        </w:rPr>
        <w:t>n</w:t>
      </w:r>
      <w:r>
        <w:rPr>
          <w:rFonts w:hint="eastAsia"/>
        </w:rPr>
        <w:t xml:space="preserve"> -- 各可调因子的变值权重(即可调部分的权重)为各可调因子在投标函投标总报价中所占的比例；</w:t>
      </w:r>
    </w:p>
    <w:p w14:paraId="22E19D0D">
      <w:pPr>
        <w:tabs>
          <w:tab w:val="left" w:pos="1260"/>
        </w:tabs>
        <w:spacing w:line="400" w:lineRule="exact"/>
      </w:pPr>
      <w:r>
        <w:rPr>
          <w:rFonts w:hint="eastAsia"/>
        </w:rPr>
        <w:tab/>
      </w:r>
      <w:r>
        <w:rPr>
          <w:rFonts w:hint="eastAsia"/>
        </w:rPr>
        <w:t>F</w:t>
      </w:r>
      <w:r>
        <w:rPr>
          <w:rFonts w:hint="eastAsia"/>
          <w:szCs w:val="21"/>
          <w:vertAlign w:val="subscript"/>
        </w:rPr>
        <w:t>t1</w:t>
      </w:r>
      <w:r>
        <w:rPr>
          <w:rFonts w:hint="eastAsia"/>
        </w:rPr>
        <w:t xml:space="preserve"> ;F</w:t>
      </w:r>
      <w:r>
        <w:rPr>
          <w:rFonts w:hint="eastAsia"/>
          <w:szCs w:val="21"/>
          <w:vertAlign w:val="subscript"/>
        </w:rPr>
        <w:t>t2</w:t>
      </w:r>
      <w:r>
        <w:rPr>
          <w:rFonts w:hint="eastAsia"/>
        </w:rPr>
        <w:t xml:space="preserve"> ;F</w:t>
      </w:r>
      <w:r>
        <w:rPr>
          <w:rFonts w:hint="eastAsia"/>
          <w:szCs w:val="21"/>
          <w:vertAlign w:val="subscript"/>
        </w:rPr>
        <w:t>t3</w:t>
      </w:r>
      <w:r>
        <w:rPr>
          <w:rFonts w:hint="eastAsia" w:ascii="宋体" w:hAnsi="宋体"/>
          <w:sz w:val="15"/>
          <w:szCs w:val="15"/>
        </w:rPr>
        <w:t>·····</w:t>
      </w:r>
      <w:r>
        <w:rPr>
          <w:rFonts w:hint="eastAsia"/>
        </w:rPr>
        <w:t>F</w:t>
      </w:r>
      <w:r>
        <w:rPr>
          <w:rFonts w:hint="eastAsia"/>
          <w:szCs w:val="21"/>
          <w:vertAlign w:val="subscript"/>
        </w:rPr>
        <w:t>tn</w:t>
      </w:r>
      <w:r>
        <w:rPr>
          <w:rFonts w:hint="eastAsia"/>
        </w:rPr>
        <w:t xml:space="preserve"> -- 各可调因子的现行价格指数，指第17.3.3项、第17.5.2项和第17.6.2项约定的付款证书相关周期最后一天的前42天的各可调因子的价格指数；</w:t>
      </w:r>
    </w:p>
    <w:p w14:paraId="11305FDE">
      <w:pPr>
        <w:tabs>
          <w:tab w:val="left" w:pos="1260"/>
        </w:tabs>
        <w:spacing w:line="400" w:lineRule="exact"/>
      </w:pPr>
      <w:r>
        <w:rPr>
          <w:rFonts w:hint="eastAsia"/>
        </w:rPr>
        <w:tab/>
      </w:r>
      <w:r>
        <w:rPr>
          <w:rFonts w:hint="eastAsia"/>
        </w:rPr>
        <w:t>F</w:t>
      </w:r>
      <w:r>
        <w:rPr>
          <w:rFonts w:hint="eastAsia"/>
          <w:szCs w:val="21"/>
          <w:vertAlign w:val="subscript"/>
        </w:rPr>
        <w:t>o1</w:t>
      </w:r>
      <w:r>
        <w:rPr>
          <w:rFonts w:hint="eastAsia"/>
        </w:rPr>
        <w:t>; F</w:t>
      </w:r>
      <w:r>
        <w:rPr>
          <w:rFonts w:hint="eastAsia"/>
          <w:szCs w:val="21"/>
          <w:vertAlign w:val="subscript"/>
        </w:rPr>
        <w:t>o2</w:t>
      </w:r>
      <w:r>
        <w:rPr>
          <w:rFonts w:hint="eastAsia"/>
          <w:sz w:val="15"/>
          <w:szCs w:val="15"/>
        </w:rPr>
        <w:t>;</w:t>
      </w:r>
      <w:r>
        <w:rPr>
          <w:rFonts w:hint="eastAsia"/>
        </w:rPr>
        <w:t xml:space="preserve"> F</w:t>
      </w:r>
      <w:r>
        <w:rPr>
          <w:rFonts w:hint="eastAsia"/>
          <w:szCs w:val="21"/>
          <w:vertAlign w:val="subscript"/>
        </w:rPr>
        <w:t>o3</w:t>
      </w:r>
      <w:r>
        <w:rPr>
          <w:rFonts w:hint="eastAsia" w:ascii="宋体" w:hAnsi="宋体"/>
          <w:sz w:val="15"/>
          <w:szCs w:val="15"/>
        </w:rPr>
        <w:t>·····</w:t>
      </w:r>
      <w:r>
        <w:rPr>
          <w:rFonts w:hint="eastAsia"/>
        </w:rPr>
        <w:t>F</w:t>
      </w:r>
      <w:r>
        <w:rPr>
          <w:rFonts w:hint="eastAsia"/>
          <w:szCs w:val="21"/>
          <w:vertAlign w:val="subscript"/>
        </w:rPr>
        <w:t>on</w:t>
      </w:r>
      <w:r>
        <w:rPr>
          <w:rFonts w:hint="eastAsia"/>
        </w:rPr>
        <w:t xml:space="preserve"> -- 各可调因子的基本价格指数，指基准日期的各可调因子的价格指数。</w:t>
      </w:r>
    </w:p>
    <w:p w14:paraId="23706CF5">
      <w:pPr>
        <w:spacing w:line="400" w:lineRule="exact"/>
        <w:ind w:firstLine="420" w:firstLineChars="200"/>
      </w:pPr>
      <w:r>
        <w:rPr>
          <w:rFonts w:hint="eastAsia"/>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72FB77F6">
      <w:pPr>
        <w:spacing w:line="400" w:lineRule="exact"/>
        <w:ind w:firstLine="420" w:firstLineChars="200"/>
      </w:pPr>
      <w:r>
        <w:rPr>
          <w:rFonts w:hint="eastAsia"/>
        </w:rPr>
        <w:t>16.1.1.2 暂时确定调整差额</w:t>
      </w:r>
    </w:p>
    <w:p w14:paraId="217AE278">
      <w:pPr>
        <w:spacing w:line="400" w:lineRule="exact"/>
        <w:ind w:firstLine="420" w:firstLineChars="200"/>
      </w:pPr>
      <w:r>
        <w:rPr>
          <w:rFonts w:hint="eastAsia"/>
        </w:rPr>
        <w:t>在计算调整差额时得不到现行价格指数的，可暂用上一次价格指数计算，并在以后的付款中再按实际价格指数进行调整。</w:t>
      </w:r>
    </w:p>
    <w:p w14:paraId="3874980B">
      <w:pPr>
        <w:spacing w:line="400" w:lineRule="exact"/>
        <w:ind w:firstLine="420" w:firstLineChars="200"/>
        <w:outlineLvl w:val="0"/>
      </w:pPr>
      <w:r>
        <w:rPr>
          <w:rFonts w:hint="eastAsia"/>
        </w:rPr>
        <w:t>16.1.1.3 权重的调整</w:t>
      </w:r>
    </w:p>
    <w:p w14:paraId="1C9F7F62">
      <w:pPr>
        <w:spacing w:line="400" w:lineRule="exact"/>
        <w:ind w:firstLine="420" w:firstLineChars="200"/>
      </w:pPr>
      <w:r>
        <w:rPr>
          <w:rFonts w:hint="eastAsia"/>
        </w:rPr>
        <w:t>按第15.1款约定的变更导致原定合同中的权重不合理时，由监理人与乙方和甲方协商后进行调整。</w:t>
      </w:r>
    </w:p>
    <w:p w14:paraId="59EC8CAF">
      <w:pPr>
        <w:spacing w:line="400" w:lineRule="exact"/>
        <w:ind w:firstLine="420" w:firstLineChars="200"/>
      </w:pPr>
      <w:r>
        <w:rPr>
          <w:rFonts w:hint="eastAsia"/>
        </w:rPr>
        <w:t>16.1.1.4 乙方工期延误后的价格调整</w:t>
      </w:r>
    </w:p>
    <w:p w14:paraId="169CDB8F">
      <w:pPr>
        <w:spacing w:line="400" w:lineRule="exact"/>
        <w:ind w:firstLine="420" w:firstLineChars="200"/>
      </w:pPr>
      <w:r>
        <w:rPr>
          <w:rFonts w:hint="eastAsia"/>
        </w:rPr>
        <w:t>由于乙方原因未在约定的工期内竣工的，则对原约定竣工日期后继续施工的工程，在使用第16.1.1.1目价格调整公式时，应采用原约定竣工日期与实际竣工日期的两个价格指数中较低的一个作为现行价格指数。</w:t>
      </w:r>
    </w:p>
    <w:p w14:paraId="54F61B84">
      <w:pPr>
        <w:spacing w:line="400" w:lineRule="exact"/>
        <w:ind w:firstLine="420" w:firstLineChars="200"/>
        <w:rPr>
          <w:rFonts w:ascii="黑体" w:eastAsia="黑体"/>
        </w:rPr>
      </w:pPr>
      <w:r>
        <w:rPr>
          <w:rFonts w:hint="eastAsia" w:ascii="黑体" w:eastAsia="黑体"/>
        </w:rPr>
        <w:t>16.1.2 采用造价信息调整价格差额</w:t>
      </w:r>
    </w:p>
    <w:p w14:paraId="7FDA752A">
      <w:pPr>
        <w:spacing w:line="400" w:lineRule="exact"/>
        <w:ind w:firstLine="420" w:firstLineChars="200"/>
      </w:pPr>
      <w:r>
        <w:rPr>
          <w:rFonts w:hint="eastAsia"/>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19AE4A0">
      <w:pPr>
        <w:pStyle w:val="251"/>
        <w:tabs>
          <w:tab w:val="left" w:pos="720"/>
        </w:tabs>
        <w:outlineLvl w:val="0"/>
      </w:pPr>
      <w:r>
        <w:rPr>
          <w:rFonts w:hint="eastAsia"/>
        </w:rPr>
        <w:t>16.2 法律变化引起的价格调整</w:t>
      </w:r>
    </w:p>
    <w:p w14:paraId="3F6F8783">
      <w:pPr>
        <w:spacing w:line="400" w:lineRule="exact"/>
        <w:ind w:firstLine="420" w:firstLineChars="200"/>
      </w:pPr>
      <w:r>
        <w:rPr>
          <w:rFonts w:hint="eastAsia"/>
        </w:rPr>
        <w:t>在基准日后，因法律变化导致乙方在合同履行中所需要的工程费用发生除第16.1款约定以外的增减时，监理人应根据法律、国家或省、自治区、直辖市有关部门的规定，按第3.5款商定或确定需调整的合同价款。</w:t>
      </w:r>
    </w:p>
    <w:p w14:paraId="2AC6C2E7">
      <w:pPr>
        <w:pStyle w:val="250"/>
        <w:spacing w:before="0"/>
      </w:pPr>
      <w:r>
        <w:rPr>
          <w:rFonts w:hint="eastAsia"/>
        </w:rPr>
        <w:t>17. 计量与支付</w:t>
      </w:r>
    </w:p>
    <w:p w14:paraId="2D5DE0A6">
      <w:pPr>
        <w:pStyle w:val="251"/>
        <w:tabs>
          <w:tab w:val="left" w:pos="720"/>
        </w:tabs>
        <w:outlineLvl w:val="0"/>
      </w:pPr>
      <w:r>
        <w:rPr>
          <w:rFonts w:hint="eastAsia"/>
        </w:rPr>
        <w:t>17.1 计量</w:t>
      </w:r>
    </w:p>
    <w:p w14:paraId="0FA1350F">
      <w:pPr>
        <w:spacing w:line="400" w:lineRule="exact"/>
        <w:ind w:firstLine="420" w:firstLineChars="200"/>
      </w:pPr>
      <w:r>
        <w:rPr>
          <w:rFonts w:hint="eastAsia"/>
        </w:rPr>
        <w:t xml:space="preserve">17.1.1 </w:t>
      </w:r>
      <w:r>
        <w:rPr>
          <w:rFonts w:hint="eastAsia" w:ascii="黑体" w:eastAsia="黑体"/>
        </w:rPr>
        <w:t>计量单位</w:t>
      </w:r>
    </w:p>
    <w:p w14:paraId="20CF7FF9">
      <w:pPr>
        <w:spacing w:line="400" w:lineRule="exact"/>
        <w:ind w:firstLine="420" w:firstLineChars="200"/>
      </w:pPr>
      <w:r>
        <w:rPr>
          <w:rFonts w:hint="eastAsia"/>
        </w:rPr>
        <w:t>计量采用国家法定的计量单位。</w:t>
      </w:r>
    </w:p>
    <w:p w14:paraId="67EA107C">
      <w:pPr>
        <w:spacing w:line="400" w:lineRule="exact"/>
        <w:ind w:firstLine="420" w:firstLineChars="200"/>
      </w:pPr>
      <w:r>
        <w:rPr>
          <w:rFonts w:hint="eastAsia"/>
        </w:rPr>
        <w:t xml:space="preserve">17.1.2 </w:t>
      </w:r>
      <w:r>
        <w:rPr>
          <w:rFonts w:hint="eastAsia" w:ascii="黑体" w:eastAsia="黑体"/>
        </w:rPr>
        <w:t>计量方法</w:t>
      </w:r>
    </w:p>
    <w:p w14:paraId="4D1C3EF7">
      <w:pPr>
        <w:spacing w:line="400" w:lineRule="exact"/>
        <w:ind w:firstLine="420" w:firstLineChars="200"/>
      </w:pPr>
      <w:r>
        <w:rPr>
          <w:rFonts w:hint="eastAsia"/>
        </w:rPr>
        <w:t>工程量清单中的工程量计算规则应按有关国家标准、行业标准的规定，并在合同中约定执行。</w:t>
      </w:r>
    </w:p>
    <w:p w14:paraId="37527807">
      <w:pPr>
        <w:spacing w:line="400" w:lineRule="exact"/>
        <w:ind w:firstLine="420" w:firstLineChars="200"/>
      </w:pPr>
      <w:r>
        <w:rPr>
          <w:rFonts w:hint="eastAsia"/>
        </w:rPr>
        <w:t xml:space="preserve">17.1.3 </w:t>
      </w:r>
      <w:r>
        <w:rPr>
          <w:rFonts w:hint="eastAsia" w:ascii="黑体" w:eastAsia="黑体"/>
        </w:rPr>
        <w:t>计量周期</w:t>
      </w:r>
    </w:p>
    <w:p w14:paraId="23BFFFCA">
      <w:pPr>
        <w:spacing w:line="400" w:lineRule="exact"/>
        <w:ind w:firstLine="420" w:firstLineChars="200"/>
      </w:pPr>
      <w:r>
        <w:rPr>
          <w:rFonts w:hint="eastAsia"/>
        </w:rPr>
        <w:t>除专用合同条款另有约定外，单价子目已完成工程量按月计量，总价子目的计量周期按批准的支付分解报告确定。</w:t>
      </w:r>
    </w:p>
    <w:p w14:paraId="3CF1DFC5">
      <w:pPr>
        <w:spacing w:line="400" w:lineRule="exact"/>
        <w:ind w:firstLine="420" w:firstLineChars="200"/>
      </w:pPr>
      <w:r>
        <w:rPr>
          <w:rFonts w:hint="eastAsia"/>
        </w:rPr>
        <w:t>17.1.4</w:t>
      </w:r>
      <w:r>
        <w:rPr>
          <w:rFonts w:hint="eastAsia" w:ascii="黑体" w:eastAsia="黑体"/>
        </w:rPr>
        <w:t xml:space="preserve"> 单价子目的计量</w:t>
      </w:r>
    </w:p>
    <w:p w14:paraId="3DB16CBE">
      <w:pPr>
        <w:spacing w:line="400" w:lineRule="exact"/>
        <w:ind w:firstLine="718" w:firstLineChars="342"/>
      </w:pPr>
      <w:r>
        <w:rPr>
          <w:rFonts w:hint="eastAsia"/>
        </w:rPr>
        <w:t>（1）已标价工程量清单中的单价子目工程量为估算工程量。结算工程量是乙方实际完成的，并按合同约定的计量方法进行计量的工程量。</w:t>
      </w:r>
    </w:p>
    <w:p w14:paraId="36A2F5DE">
      <w:pPr>
        <w:spacing w:line="400" w:lineRule="exact"/>
        <w:ind w:firstLine="718" w:firstLineChars="342"/>
      </w:pPr>
      <w:r>
        <w:rPr>
          <w:rFonts w:hint="eastAsia"/>
        </w:rPr>
        <w:t>（2）乙方对已完成的工程进行计量，向监理人提交进度付款申请单、已完成工程量报表和有关计量资料。</w:t>
      </w:r>
    </w:p>
    <w:p w14:paraId="6CE487A4">
      <w:pPr>
        <w:spacing w:line="400" w:lineRule="exact"/>
        <w:ind w:firstLine="718" w:firstLineChars="342"/>
      </w:pPr>
      <w:r>
        <w:rPr>
          <w:rFonts w:hint="eastAsia"/>
        </w:rPr>
        <w:t>（3）监理人对乙方提交的工程量报表进行复核，以确定实际完成的工程量。对数量有异议的，可要求乙方按第8.2款约定进行共同复核和抽样复测。乙方应协助监理人进行复核并按监理人要求提供补充计量资料。乙方未按监理人要求参加复核，监理人复核或修正的工程量视为乙方实际完成的工程量。</w:t>
      </w:r>
    </w:p>
    <w:p w14:paraId="77F6E99E">
      <w:pPr>
        <w:spacing w:line="400" w:lineRule="exact"/>
        <w:ind w:firstLine="718" w:firstLineChars="342"/>
      </w:pPr>
      <w:r>
        <w:rPr>
          <w:rFonts w:hint="eastAsia"/>
        </w:rPr>
        <w:t>（4）监理人认为有必要时，可通知乙方共同进行联合测量、计量，乙方应遵照执行。</w:t>
      </w:r>
    </w:p>
    <w:p w14:paraId="405ED5E0">
      <w:pPr>
        <w:spacing w:line="400" w:lineRule="exact"/>
        <w:ind w:firstLine="718" w:firstLineChars="342"/>
      </w:pPr>
      <w:r>
        <w:rPr>
          <w:rFonts w:hint="eastAsia"/>
        </w:rPr>
        <w:t>（5）乙方完成工程量清单中每个子目的工程量后，监理人应要求乙方派员共同对每个子目的历次计量报表进行汇总，以核实最终结算工程量。监理人可要求乙方提供补充计量资料，以确定最后一次进度付款的准确工程量。乙方未按监理人要求派员参加的，监理人最终核实的工程量视为乙方完成该子目的准确工程量。</w:t>
      </w:r>
    </w:p>
    <w:p w14:paraId="2A3423C8">
      <w:pPr>
        <w:spacing w:line="400" w:lineRule="exact"/>
        <w:ind w:firstLine="718" w:firstLineChars="342"/>
      </w:pPr>
      <w:r>
        <w:rPr>
          <w:rFonts w:hint="eastAsia"/>
        </w:rPr>
        <w:t>（6）监理人应在收到乙方提交的工程量报表后的7天内进行复核，监理人未在约定时间内复核的，乙方提交的工程量报表中的工程量视为乙方实际完成的工程量，据此计算工程价款。</w:t>
      </w:r>
    </w:p>
    <w:p w14:paraId="0A3F3B66">
      <w:pPr>
        <w:spacing w:line="400" w:lineRule="exact"/>
        <w:ind w:firstLine="420" w:firstLineChars="200"/>
        <w:rPr>
          <w:rFonts w:ascii="黑体" w:eastAsia="黑体"/>
        </w:rPr>
      </w:pPr>
      <w:r>
        <w:rPr>
          <w:rFonts w:hint="eastAsia"/>
        </w:rPr>
        <w:t xml:space="preserve">17.1.5 </w:t>
      </w:r>
      <w:r>
        <w:rPr>
          <w:rFonts w:hint="eastAsia" w:ascii="黑体" w:eastAsia="黑体"/>
        </w:rPr>
        <w:t>总价子目的计量</w:t>
      </w:r>
    </w:p>
    <w:p w14:paraId="4560DD7B">
      <w:pPr>
        <w:spacing w:line="400" w:lineRule="exact"/>
        <w:ind w:firstLine="630" w:firstLineChars="300"/>
        <w:rPr>
          <w:rFonts w:ascii="宋体" w:hAnsi="宋体"/>
        </w:rPr>
      </w:pPr>
      <w:r>
        <w:rPr>
          <w:rFonts w:hint="eastAsia" w:ascii="宋体" w:hAnsi="宋体"/>
        </w:rPr>
        <w:t>除专用合同条款另有约定外，总价子目的分解和计量按照下述约定进行。</w:t>
      </w:r>
    </w:p>
    <w:p w14:paraId="395A3030">
      <w:pPr>
        <w:spacing w:line="400" w:lineRule="exact"/>
        <w:ind w:firstLine="630" w:firstLineChars="300"/>
        <w:rPr>
          <w:rFonts w:ascii="宋体" w:hAnsi="宋体"/>
        </w:rPr>
      </w:pPr>
      <w:r>
        <w:rPr>
          <w:rFonts w:hint="eastAsia" w:ascii="宋体" w:hAnsi="宋体"/>
        </w:rPr>
        <w:t>（1）总价子目的计量和支付应以总价为基础，不因第16.1款中的因素而进行调整。乙方实际完成的工程量，是进行工程目标管理和控制进度支付的依据。</w:t>
      </w:r>
    </w:p>
    <w:p w14:paraId="3DD9D62A">
      <w:pPr>
        <w:spacing w:line="400" w:lineRule="exact"/>
        <w:ind w:firstLine="630" w:firstLineChars="300"/>
        <w:rPr>
          <w:rFonts w:ascii="宋体" w:hAnsi="宋体"/>
        </w:rPr>
      </w:pPr>
      <w:r>
        <w:rPr>
          <w:rFonts w:hint="eastAsia" w:ascii="宋体" w:hAnsi="宋体"/>
        </w:rPr>
        <w:t>（2）乙方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F9DDFEE">
      <w:pPr>
        <w:spacing w:line="400" w:lineRule="exact"/>
        <w:ind w:firstLine="630" w:firstLineChars="300"/>
        <w:rPr>
          <w:rFonts w:ascii="宋体" w:hAnsi="宋体"/>
        </w:rPr>
      </w:pPr>
      <w:r>
        <w:rPr>
          <w:rFonts w:hint="eastAsia" w:ascii="宋体" w:hAnsi="宋体"/>
        </w:rPr>
        <w:t>（3）监理人对乙方提交的上述资料进行复核，以确定分阶段实际完成的工程量和工程形象目标。对其有异议的，可要求乙方按第8.2款约定进行共同复核和抽样复测。</w:t>
      </w:r>
    </w:p>
    <w:p w14:paraId="74DC4771">
      <w:pPr>
        <w:spacing w:line="400" w:lineRule="exact"/>
        <w:ind w:firstLine="630" w:firstLineChars="300"/>
        <w:rPr>
          <w:rFonts w:ascii="宋体" w:hAnsi="宋体"/>
        </w:rPr>
      </w:pPr>
      <w:r>
        <w:rPr>
          <w:rFonts w:hint="eastAsia" w:ascii="宋体" w:hAnsi="宋体"/>
        </w:rPr>
        <w:t xml:space="preserve">（4）除按照第15条约定的变更外，总价子目的工程量是乙方用于结算的最终工程量。 </w:t>
      </w:r>
    </w:p>
    <w:p w14:paraId="4524A610">
      <w:pPr>
        <w:pStyle w:val="251"/>
        <w:tabs>
          <w:tab w:val="left" w:pos="720"/>
        </w:tabs>
      </w:pPr>
      <w:r>
        <w:rPr>
          <w:rFonts w:hint="eastAsia"/>
        </w:rPr>
        <w:t>17.2 预付款</w:t>
      </w:r>
    </w:p>
    <w:p w14:paraId="59AA4A35">
      <w:pPr>
        <w:spacing w:line="400" w:lineRule="exact"/>
        <w:ind w:firstLine="420" w:firstLineChars="200"/>
      </w:pPr>
      <w:r>
        <w:rPr>
          <w:rFonts w:hint="eastAsia"/>
        </w:rPr>
        <w:t xml:space="preserve">17.2.1 </w:t>
      </w:r>
      <w:r>
        <w:rPr>
          <w:rFonts w:hint="eastAsia" w:ascii="黑体" w:eastAsia="黑体"/>
        </w:rPr>
        <w:t>预付款</w:t>
      </w:r>
    </w:p>
    <w:p w14:paraId="2F758720">
      <w:pPr>
        <w:spacing w:line="400" w:lineRule="exact"/>
        <w:ind w:firstLine="420" w:firstLineChars="200"/>
      </w:pPr>
      <w:r>
        <w:rPr>
          <w:rFonts w:hint="eastAsia"/>
        </w:rPr>
        <w:t>预付款用于乙方为合同工程施工购置材料、工程设备、施工设备、修建临时设施以及组织施工队伍进场等。预付款的额度和预付办法在专用合同条款中约定。预付款必须专用于合同工程。</w:t>
      </w:r>
    </w:p>
    <w:p w14:paraId="0BBF31A2">
      <w:pPr>
        <w:spacing w:line="400" w:lineRule="exact"/>
        <w:ind w:firstLine="420" w:firstLineChars="200"/>
      </w:pPr>
      <w:r>
        <w:rPr>
          <w:rFonts w:hint="eastAsia"/>
        </w:rPr>
        <w:t xml:space="preserve">17.2.2 </w:t>
      </w:r>
      <w:r>
        <w:rPr>
          <w:rFonts w:hint="eastAsia" w:ascii="黑体" w:eastAsia="黑体"/>
        </w:rPr>
        <w:t>预付款保函</w:t>
      </w:r>
    </w:p>
    <w:p w14:paraId="27AF0A17">
      <w:pPr>
        <w:spacing w:line="400" w:lineRule="exact"/>
        <w:ind w:firstLine="420" w:firstLineChars="200"/>
      </w:pPr>
      <w:r>
        <w:rPr>
          <w:rFonts w:hint="eastAsia"/>
        </w:rPr>
        <w:t>除专用合同条款另有约定外，乙方应在收到预付款的同时向甲方提交预付款保函，预付款保函的担保金额应与预付款金额相同。保函的担保金额可根据预付款扣回的金额相应递减。</w:t>
      </w:r>
    </w:p>
    <w:p w14:paraId="3FD083AC">
      <w:pPr>
        <w:spacing w:line="400" w:lineRule="exact"/>
        <w:ind w:firstLine="420" w:firstLineChars="200"/>
      </w:pPr>
      <w:r>
        <w:rPr>
          <w:rFonts w:hint="eastAsia"/>
        </w:rPr>
        <w:t xml:space="preserve">17.2.3 </w:t>
      </w:r>
      <w:r>
        <w:rPr>
          <w:rFonts w:hint="eastAsia" w:ascii="黑体" w:eastAsia="黑体"/>
        </w:rPr>
        <w:t>预付款的扣回与还清</w:t>
      </w:r>
    </w:p>
    <w:p w14:paraId="56CED00D">
      <w:pPr>
        <w:spacing w:line="400" w:lineRule="exact"/>
        <w:ind w:firstLine="420" w:firstLineChars="200"/>
      </w:pPr>
      <w:r>
        <w:rPr>
          <w:rFonts w:hint="eastAsia"/>
        </w:rPr>
        <w:t>预付款在进度付款中扣回，扣回办法在专用合同条款中约定。在颁发工程接收证书前，由于不可抗力或其他原因解除合同时，预付款尚未扣清的，尚未扣清的预付款余额应作为乙方的到期应付款。</w:t>
      </w:r>
    </w:p>
    <w:p w14:paraId="7D4F64BA">
      <w:pPr>
        <w:pStyle w:val="251"/>
        <w:tabs>
          <w:tab w:val="left" w:pos="720"/>
        </w:tabs>
        <w:outlineLvl w:val="0"/>
      </w:pPr>
      <w:r>
        <w:rPr>
          <w:rFonts w:hint="eastAsia"/>
        </w:rPr>
        <w:t>17.3 工程进度付款</w:t>
      </w:r>
    </w:p>
    <w:p w14:paraId="7EFA0811">
      <w:pPr>
        <w:spacing w:line="400" w:lineRule="exact"/>
        <w:ind w:firstLine="420" w:firstLineChars="200"/>
      </w:pPr>
      <w:r>
        <w:rPr>
          <w:rFonts w:hint="eastAsia"/>
        </w:rPr>
        <w:t xml:space="preserve">17.3.1 </w:t>
      </w:r>
      <w:r>
        <w:rPr>
          <w:rFonts w:hint="eastAsia" w:ascii="黑体" w:eastAsia="黑体"/>
        </w:rPr>
        <w:t>付款周期</w:t>
      </w:r>
    </w:p>
    <w:p w14:paraId="0C5821D0">
      <w:pPr>
        <w:spacing w:line="400" w:lineRule="exact"/>
        <w:ind w:firstLine="420" w:firstLineChars="200"/>
      </w:pPr>
      <w:r>
        <w:rPr>
          <w:rFonts w:hint="eastAsia"/>
        </w:rPr>
        <w:t>付款周期同计量周期。</w:t>
      </w:r>
    </w:p>
    <w:p w14:paraId="25AB14A9">
      <w:pPr>
        <w:spacing w:line="400" w:lineRule="exact"/>
        <w:ind w:firstLine="420" w:firstLineChars="200"/>
      </w:pPr>
      <w:r>
        <w:rPr>
          <w:rFonts w:hint="eastAsia"/>
        </w:rPr>
        <w:t xml:space="preserve">17.3.2 </w:t>
      </w:r>
      <w:r>
        <w:rPr>
          <w:rFonts w:hint="eastAsia" w:ascii="黑体" w:eastAsia="黑体"/>
        </w:rPr>
        <w:t>进度付款申请单</w:t>
      </w:r>
    </w:p>
    <w:p w14:paraId="3AFB6DB6">
      <w:pPr>
        <w:spacing w:line="400" w:lineRule="exact"/>
        <w:ind w:firstLine="420" w:firstLineChars="200"/>
        <w:rPr>
          <w:dstrike/>
          <w:szCs w:val="21"/>
        </w:rPr>
      </w:pPr>
      <w:r>
        <w:rPr>
          <w:rFonts w:hint="eastAsia"/>
        </w:rPr>
        <w:t>乙方应在每个付款周期末，按监理人批准的格式和专用合同条款约定的份数，向监理人提交进度付款申请单，并附相应的支持性证明文件。除专用合同条款另有约定外，进度付款申请单应包括下列内容：</w:t>
      </w:r>
    </w:p>
    <w:p w14:paraId="41956641">
      <w:pPr>
        <w:spacing w:line="400" w:lineRule="exact"/>
        <w:ind w:firstLine="420" w:firstLineChars="200"/>
      </w:pPr>
      <w:r>
        <w:rPr>
          <w:rFonts w:hint="eastAsia"/>
        </w:rPr>
        <w:t>（1）截至本次付款周期末已实施工程的价款；</w:t>
      </w:r>
    </w:p>
    <w:p w14:paraId="5448D55B">
      <w:pPr>
        <w:spacing w:line="400" w:lineRule="exact"/>
        <w:ind w:firstLine="420" w:firstLineChars="200"/>
      </w:pPr>
      <w:r>
        <w:rPr>
          <w:rFonts w:hint="eastAsia"/>
        </w:rPr>
        <w:t>（2）根据第15条应增加和扣减的变更金额；</w:t>
      </w:r>
    </w:p>
    <w:p w14:paraId="4E2C36AB">
      <w:pPr>
        <w:spacing w:line="400" w:lineRule="exact"/>
        <w:ind w:firstLine="420" w:firstLineChars="200"/>
      </w:pPr>
      <w:r>
        <w:rPr>
          <w:rFonts w:hint="eastAsia"/>
        </w:rPr>
        <w:t>（3）根据第23条应增加和扣减的索赔金额；</w:t>
      </w:r>
    </w:p>
    <w:p w14:paraId="3E1D813D">
      <w:pPr>
        <w:spacing w:line="400" w:lineRule="exact"/>
        <w:ind w:firstLine="420" w:firstLineChars="200"/>
      </w:pPr>
      <w:r>
        <w:rPr>
          <w:rFonts w:hint="eastAsia"/>
        </w:rPr>
        <w:t>（4）根据第17.2款约定应支付的预付款和扣减的返还预付款；</w:t>
      </w:r>
    </w:p>
    <w:p w14:paraId="0E9456C6">
      <w:pPr>
        <w:spacing w:line="400" w:lineRule="exact"/>
        <w:ind w:firstLine="420" w:firstLineChars="200"/>
      </w:pPr>
      <w:r>
        <w:rPr>
          <w:rFonts w:hint="eastAsia"/>
        </w:rPr>
        <w:t>（5）根据第17.4.1项约定应扣减的质量保证金；</w:t>
      </w:r>
    </w:p>
    <w:p w14:paraId="5FA2D054">
      <w:pPr>
        <w:spacing w:line="400" w:lineRule="exact"/>
        <w:ind w:firstLine="420" w:firstLineChars="200"/>
      </w:pPr>
      <w:r>
        <w:rPr>
          <w:rFonts w:hint="eastAsia"/>
        </w:rPr>
        <w:t>（6）根据合同应增加和扣减的其他金额。</w:t>
      </w:r>
    </w:p>
    <w:p w14:paraId="3F9E1298">
      <w:pPr>
        <w:spacing w:line="400" w:lineRule="exact"/>
        <w:ind w:firstLine="420" w:firstLineChars="200"/>
      </w:pPr>
      <w:r>
        <w:rPr>
          <w:rFonts w:hint="eastAsia"/>
        </w:rPr>
        <w:t xml:space="preserve">17.3.3 </w:t>
      </w:r>
      <w:r>
        <w:rPr>
          <w:rFonts w:hint="eastAsia" w:ascii="黑体" w:eastAsia="黑体"/>
        </w:rPr>
        <w:t>进度付款证书和支付时间</w:t>
      </w:r>
    </w:p>
    <w:p w14:paraId="3A92AECE">
      <w:pPr>
        <w:spacing w:line="400" w:lineRule="exact"/>
        <w:ind w:firstLine="630" w:firstLineChars="300"/>
      </w:pPr>
      <w:r>
        <w:rPr>
          <w:rFonts w:hint="eastAsia"/>
        </w:rPr>
        <w:t>（1）监理人在收到乙方进度付款申请单以及相应的支持性证明文件后的14天内完成核查，提出甲方到期应支付给乙方的金额以及相应的支持性材料，经甲方审查同意后，由监理人向乙方出具经甲方签认的进度付款证书。监理人有权扣发乙方未能按照合同要求履行任何工作或义务的相应金额。</w:t>
      </w:r>
    </w:p>
    <w:p w14:paraId="4C176DC0">
      <w:pPr>
        <w:spacing w:line="400" w:lineRule="exact"/>
        <w:ind w:firstLine="718" w:firstLineChars="342"/>
      </w:pPr>
      <w:r>
        <w:rPr>
          <w:rFonts w:hint="eastAsia"/>
        </w:rPr>
        <w:t>（2）甲方应在监理人收到进度付款申请单后的28天内，将进度应付款支付给乙方。甲方不按期支付的，按专用合同条款的约定支付逾期付款违约金。</w:t>
      </w:r>
    </w:p>
    <w:p w14:paraId="01992970">
      <w:pPr>
        <w:spacing w:line="400" w:lineRule="exact"/>
        <w:ind w:firstLine="718" w:firstLineChars="342"/>
      </w:pPr>
      <w:r>
        <w:rPr>
          <w:rFonts w:hint="eastAsia"/>
        </w:rPr>
        <w:t>（3）监理人出具进度付款证书，不应视为监理人已同意、批准或接受了乙方完成的该部分工作。</w:t>
      </w:r>
    </w:p>
    <w:p w14:paraId="482B4180">
      <w:pPr>
        <w:spacing w:line="400" w:lineRule="exact"/>
        <w:ind w:firstLine="718" w:firstLineChars="342"/>
      </w:pPr>
      <w:r>
        <w:rPr>
          <w:rFonts w:hint="eastAsia"/>
        </w:rPr>
        <w:t>（4）进度付款涉及政府投资资金的，按照国库集中支付等国家相关规定和专用合同条款的约定办理。</w:t>
      </w:r>
    </w:p>
    <w:p w14:paraId="11321BDF">
      <w:pPr>
        <w:spacing w:line="400" w:lineRule="exact"/>
        <w:ind w:firstLine="420" w:firstLineChars="200"/>
      </w:pPr>
      <w:r>
        <w:rPr>
          <w:rFonts w:hint="eastAsia"/>
        </w:rPr>
        <w:t xml:space="preserve">17.3.4 </w:t>
      </w:r>
      <w:r>
        <w:rPr>
          <w:rFonts w:hint="eastAsia" w:ascii="黑体" w:eastAsia="黑体"/>
        </w:rPr>
        <w:t>工程进度付款的修正</w:t>
      </w:r>
    </w:p>
    <w:p w14:paraId="1361E3B4">
      <w:pPr>
        <w:spacing w:line="400" w:lineRule="exact"/>
        <w:ind w:firstLine="420" w:firstLineChars="200"/>
      </w:pPr>
      <w:r>
        <w:rPr>
          <w:rFonts w:hint="eastAsia"/>
        </w:rPr>
        <w:t>在对以往历次已签发的进度付款证书进行汇总和复核中发现错、漏或重复的，监理人有权予以修正，乙方也有权提出修正申请。经双方复核同意的修正，应在本次进度付款中支付或扣除。</w:t>
      </w:r>
    </w:p>
    <w:p w14:paraId="3F1D4BF7">
      <w:pPr>
        <w:pStyle w:val="251"/>
        <w:tabs>
          <w:tab w:val="left" w:pos="720"/>
        </w:tabs>
      </w:pPr>
      <w:r>
        <w:rPr>
          <w:rFonts w:hint="eastAsia"/>
        </w:rPr>
        <w:t>17.4 质量保证金</w:t>
      </w:r>
    </w:p>
    <w:p w14:paraId="2C3BB1C6">
      <w:pPr>
        <w:spacing w:line="400" w:lineRule="exact"/>
        <w:ind w:firstLine="420" w:firstLineChars="200"/>
      </w:pPr>
      <w:r>
        <w:rPr>
          <w:rFonts w:hint="eastAsia"/>
        </w:rPr>
        <w:t>17.4.1 监理人应从第一个付款周期开始，在甲方的进度付款中，按专用合同条款的约定扣留质量保证金，直至扣留的质量保证金总额达到专用合同条款约定的金额或比例为止。质量保证金的计算额度不包括预付款的支付、扣回以及价格调整的金额。</w:t>
      </w:r>
    </w:p>
    <w:p w14:paraId="00F202BE">
      <w:pPr>
        <w:spacing w:line="400" w:lineRule="exact"/>
        <w:ind w:firstLine="420" w:firstLineChars="200"/>
      </w:pPr>
      <w:r>
        <w:rPr>
          <w:rFonts w:hint="eastAsia"/>
        </w:rPr>
        <w:t>17.4.2 在第1.1.4.5目约定的缺陷责任期满时，乙方向甲方申请到期应返还乙方剩余的质量保证金金额，甲方应在14天内会同乙方按照合同约定的内容核实乙方是否完成缺陷责任。如无异议，甲方应当在核实后将剩余保证金返还乙方。</w:t>
      </w:r>
    </w:p>
    <w:p w14:paraId="65CFF862">
      <w:pPr>
        <w:spacing w:line="400" w:lineRule="exact"/>
        <w:ind w:firstLine="420" w:firstLineChars="200"/>
      </w:pPr>
      <w:r>
        <w:rPr>
          <w:rFonts w:hint="eastAsia"/>
        </w:rPr>
        <w:t>17.4.3 在第1.1.4.5目约定的缺陷责任期满时，乙方没有完成缺陷责任的，甲方有权扣留与未履行责任剩余工作所需金额相应的质量保证金余额，并有权根据第19.3款约定要求延长缺陷责任期，直至完成剩余工作为止。</w:t>
      </w:r>
    </w:p>
    <w:p w14:paraId="52B68AF0">
      <w:pPr>
        <w:pStyle w:val="251"/>
        <w:tabs>
          <w:tab w:val="left" w:pos="720"/>
        </w:tabs>
        <w:outlineLvl w:val="0"/>
      </w:pPr>
      <w:r>
        <w:rPr>
          <w:rFonts w:hint="eastAsia"/>
        </w:rPr>
        <w:t>17.5 竣工结算</w:t>
      </w:r>
    </w:p>
    <w:p w14:paraId="33C7147B">
      <w:pPr>
        <w:spacing w:line="400" w:lineRule="exact"/>
        <w:ind w:firstLine="420" w:firstLineChars="200"/>
      </w:pPr>
      <w:r>
        <w:rPr>
          <w:rFonts w:hint="eastAsia"/>
        </w:rPr>
        <w:t xml:space="preserve">17.5.1 </w:t>
      </w:r>
      <w:r>
        <w:rPr>
          <w:rFonts w:hint="eastAsia" w:ascii="黑体" w:eastAsia="黑体"/>
        </w:rPr>
        <w:t>竣工付款申请单</w:t>
      </w:r>
    </w:p>
    <w:p w14:paraId="3B80CB65">
      <w:pPr>
        <w:spacing w:line="400" w:lineRule="exact"/>
        <w:ind w:firstLine="718" w:firstLineChars="342"/>
      </w:pPr>
      <w:r>
        <w:rPr>
          <w:rFonts w:hint="eastAsia"/>
        </w:rPr>
        <w:t>（1）工程接收证书颁发后，乙方应按专用合同条款约定的份数和期限向监理人提交竣工付款申请单，并提供相关证明材料。除专用合同条款另有约定外，竣工付款申请单应包括下列内容：竣工结算合同总价、甲方已支付乙方的工程价款、应扣留的质量保证金、应支付的竣工付款金额。</w:t>
      </w:r>
    </w:p>
    <w:p w14:paraId="4391419B">
      <w:pPr>
        <w:spacing w:line="400" w:lineRule="exact"/>
        <w:ind w:firstLine="718" w:firstLineChars="342"/>
      </w:pPr>
      <w:r>
        <w:rPr>
          <w:rFonts w:hint="eastAsia"/>
        </w:rPr>
        <w:t>（2）监理人对竣工付款申请单有异议的，有权要求乙方进行修正和提供补充资料。经监理人和乙方协商后，由乙方向监理人提交修正后的竣工付款申请单。</w:t>
      </w:r>
    </w:p>
    <w:p w14:paraId="545B5EE3">
      <w:pPr>
        <w:spacing w:line="400" w:lineRule="exact"/>
        <w:ind w:firstLine="420" w:firstLineChars="200"/>
      </w:pPr>
      <w:r>
        <w:rPr>
          <w:rFonts w:hint="eastAsia"/>
        </w:rPr>
        <w:t xml:space="preserve">17.5.2 </w:t>
      </w:r>
      <w:r>
        <w:rPr>
          <w:rFonts w:hint="eastAsia" w:ascii="黑体" w:eastAsia="黑体"/>
        </w:rPr>
        <w:t>竣工付款证书及支付时间</w:t>
      </w:r>
    </w:p>
    <w:p w14:paraId="1F2318E3">
      <w:pPr>
        <w:spacing w:line="400" w:lineRule="exact"/>
        <w:ind w:firstLine="718" w:firstLineChars="342"/>
      </w:pPr>
      <w:r>
        <w:rPr>
          <w:rFonts w:hint="eastAsia"/>
        </w:rPr>
        <w:t>（1）监理人在收到乙方提交的竣工付款申请单后的14天内完成核查，提出甲方到期应支付给乙方的价款送甲方审核并抄送乙方。甲方应在收到后14天内审核完毕，由监理人向乙方出具经甲方签认的竣工付款证书。监理人未在约定时间内核查，又未提出具体意见的，视为乙方提交的竣工付款申请单已经监理人核查同意；甲方未在约定时间内审核又未提出具体意见的，监理人提出甲方到期应支付给乙方的价款视为已经甲方同意。</w:t>
      </w:r>
    </w:p>
    <w:p w14:paraId="4CB4794C">
      <w:pPr>
        <w:spacing w:line="400" w:lineRule="exact"/>
        <w:ind w:firstLine="718" w:firstLineChars="342"/>
      </w:pPr>
      <w:r>
        <w:rPr>
          <w:rFonts w:hint="eastAsia"/>
        </w:rPr>
        <w:t>（2）甲方应在监理人出具竣工付款证书后的14天内，将应支付款支付给乙方。甲方不按期支付的，按第17.3.3（2）目的约定，将逾期付款违约金支付给乙方。</w:t>
      </w:r>
    </w:p>
    <w:p w14:paraId="1553D0BF">
      <w:pPr>
        <w:spacing w:line="400" w:lineRule="exact"/>
        <w:ind w:firstLine="718" w:firstLineChars="342"/>
      </w:pPr>
      <w:r>
        <w:rPr>
          <w:rFonts w:hint="eastAsia"/>
        </w:rPr>
        <w:t>（3）乙方对甲方签认的竣工付款证书有异议的，甲方可出具竣工付款申请单中乙方已同意部分的临时付款证书。存在争议的部分，按第24条的约定办理。</w:t>
      </w:r>
    </w:p>
    <w:p w14:paraId="0F31E72C">
      <w:pPr>
        <w:spacing w:line="400" w:lineRule="exact"/>
        <w:ind w:firstLine="630" w:firstLineChars="300"/>
      </w:pPr>
      <w:r>
        <w:rPr>
          <w:rFonts w:hint="eastAsia"/>
        </w:rPr>
        <w:t>（4）竣工付款涉及政府投资资金的，按第17.3.3（４）目的约定办理。</w:t>
      </w:r>
    </w:p>
    <w:p w14:paraId="62FE8166">
      <w:pPr>
        <w:pStyle w:val="251"/>
        <w:tabs>
          <w:tab w:val="left" w:pos="720"/>
        </w:tabs>
        <w:outlineLvl w:val="0"/>
      </w:pPr>
      <w:r>
        <w:rPr>
          <w:rFonts w:hint="eastAsia"/>
        </w:rPr>
        <w:t>17.6 最终结清</w:t>
      </w:r>
    </w:p>
    <w:p w14:paraId="21F0D6E2">
      <w:pPr>
        <w:spacing w:line="400" w:lineRule="exact"/>
        <w:ind w:firstLine="420" w:firstLineChars="200"/>
      </w:pPr>
      <w:r>
        <w:rPr>
          <w:rFonts w:hint="eastAsia"/>
        </w:rPr>
        <w:t xml:space="preserve">17.6.1 </w:t>
      </w:r>
      <w:r>
        <w:rPr>
          <w:rFonts w:hint="eastAsia" w:ascii="黑体" w:eastAsia="黑体"/>
        </w:rPr>
        <w:t>最终结清申请单</w:t>
      </w:r>
    </w:p>
    <w:p w14:paraId="5762BC51">
      <w:pPr>
        <w:spacing w:line="400" w:lineRule="exact"/>
        <w:ind w:firstLine="718" w:firstLineChars="342"/>
      </w:pPr>
      <w:r>
        <w:rPr>
          <w:rFonts w:hint="eastAsia"/>
        </w:rPr>
        <w:t>（1）缺陷责任期终止证书签发后，乙方可按专用合同条款约定的份数和期限向监理人提交最终结清申请单，并提供相关证明材料。</w:t>
      </w:r>
    </w:p>
    <w:p w14:paraId="2079A558">
      <w:pPr>
        <w:spacing w:line="400" w:lineRule="exact"/>
        <w:ind w:firstLine="718" w:firstLineChars="342"/>
      </w:pPr>
      <w:r>
        <w:rPr>
          <w:rFonts w:hint="eastAsia"/>
        </w:rPr>
        <w:t>（2）甲方对最终结清申请单内容有异议的，有权要求乙方进行修正和提供补充资料，由乙方向监理人提交修正后的最终结清申请单。</w:t>
      </w:r>
    </w:p>
    <w:p w14:paraId="219158C2">
      <w:pPr>
        <w:spacing w:line="400" w:lineRule="exact"/>
        <w:ind w:firstLine="420" w:firstLineChars="200"/>
      </w:pPr>
      <w:r>
        <w:rPr>
          <w:rFonts w:hint="eastAsia"/>
        </w:rPr>
        <w:t xml:space="preserve">17.6.2 </w:t>
      </w:r>
      <w:r>
        <w:rPr>
          <w:rFonts w:hint="eastAsia" w:ascii="黑体" w:eastAsia="黑体"/>
        </w:rPr>
        <w:t>最终结清证书和支付时间</w:t>
      </w:r>
    </w:p>
    <w:p w14:paraId="358E96CE">
      <w:pPr>
        <w:spacing w:line="400" w:lineRule="exact"/>
        <w:ind w:firstLine="718" w:firstLineChars="342"/>
      </w:pPr>
      <w:r>
        <w:rPr>
          <w:rFonts w:hint="eastAsia"/>
        </w:rPr>
        <w:t>（1）监理人收到乙方提交的最终结清申请单后的14天内，提出甲方应支付给乙方的价款送甲方审核并抄送乙方。甲方应在收到后14天内审核完毕，由监理人向乙方出具经甲方签认的最终结清证书。监理人未在约定时间内核查，又未提出具体意见的，视为乙方提交的最终结清申请已经监理人核查同意；甲方未在约定时间内审核又未提出具体意见的，监理人提出应支付给乙方的价款视为已经甲方同意。</w:t>
      </w:r>
    </w:p>
    <w:p w14:paraId="658ACD29">
      <w:pPr>
        <w:spacing w:line="400" w:lineRule="exact"/>
        <w:ind w:firstLine="718" w:firstLineChars="342"/>
      </w:pPr>
      <w:r>
        <w:rPr>
          <w:rFonts w:hint="eastAsia"/>
        </w:rPr>
        <w:t>（2）甲方应在监理人出具最终结清证书后的14天内，将应支付款支付给乙方。甲方不按期支付的，按第17.3.3（2）目的约定，将逾期付款违约金支付给乙方。</w:t>
      </w:r>
    </w:p>
    <w:p w14:paraId="7DCA088C">
      <w:pPr>
        <w:spacing w:line="400" w:lineRule="exact"/>
        <w:ind w:firstLine="718" w:firstLineChars="342"/>
      </w:pPr>
      <w:r>
        <w:rPr>
          <w:rFonts w:hint="eastAsia"/>
        </w:rPr>
        <w:t>（3）乙方对甲方签认的最终结清证书有异议的，按第24条的约定办理。</w:t>
      </w:r>
    </w:p>
    <w:p w14:paraId="7141BF5C">
      <w:pPr>
        <w:spacing w:line="400" w:lineRule="exact"/>
        <w:ind w:firstLine="718" w:firstLineChars="342"/>
      </w:pPr>
      <w:r>
        <w:rPr>
          <w:rFonts w:hint="eastAsia"/>
        </w:rPr>
        <w:t>（4）最终结清付款涉及政府投资资金的，按第17.3.3（４）目的约定办理。</w:t>
      </w:r>
    </w:p>
    <w:p w14:paraId="191B5140">
      <w:pPr>
        <w:pStyle w:val="250"/>
        <w:spacing w:before="0"/>
        <w:outlineLvl w:val="0"/>
      </w:pPr>
      <w:r>
        <w:rPr>
          <w:rFonts w:hint="eastAsia"/>
        </w:rPr>
        <w:t>18. 竣工验收</w:t>
      </w:r>
    </w:p>
    <w:p w14:paraId="1FFAD907">
      <w:pPr>
        <w:pStyle w:val="251"/>
        <w:tabs>
          <w:tab w:val="left" w:pos="720"/>
        </w:tabs>
        <w:outlineLvl w:val="0"/>
      </w:pPr>
      <w:r>
        <w:rPr>
          <w:rFonts w:hint="eastAsia"/>
        </w:rPr>
        <w:t>18.1 竣工验收的含义</w:t>
      </w:r>
    </w:p>
    <w:p w14:paraId="43FD728F">
      <w:pPr>
        <w:spacing w:line="400" w:lineRule="exact"/>
        <w:ind w:firstLine="420" w:firstLineChars="200"/>
      </w:pPr>
      <w:r>
        <w:rPr>
          <w:rFonts w:hint="eastAsia"/>
        </w:rPr>
        <w:t>18.1.1 竣工验收指乙方完成了全部合同工作后，甲方按合同要求进行的验收。</w:t>
      </w:r>
    </w:p>
    <w:p w14:paraId="3A612472">
      <w:pPr>
        <w:spacing w:line="400" w:lineRule="exact"/>
        <w:ind w:firstLine="420" w:firstLineChars="200"/>
      </w:pPr>
      <w:r>
        <w:rPr>
          <w:rFonts w:hint="eastAsia"/>
        </w:rPr>
        <w:t>18.1.2 国家验收是政府有关部门根据法律、规范、规程和政策要求，针对甲方全面组织实施的整个工程正式交付投运前的验收。</w:t>
      </w:r>
    </w:p>
    <w:p w14:paraId="0E72DE64">
      <w:pPr>
        <w:spacing w:line="400" w:lineRule="exact"/>
        <w:ind w:firstLine="420" w:firstLineChars="200"/>
      </w:pPr>
      <w:r>
        <w:rPr>
          <w:rFonts w:hint="eastAsia"/>
        </w:rPr>
        <w:t>18.1.3 需要进行国家验收的，竣工验收是国家验收的一部分。竣工验收所采用的各项验收和评定标准应符合国家验收标准。甲方和乙方为竣工验收提供的各项竣工验收资料应符合国家验收的要求。</w:t>
      </w:r>
    </w:p>
    <w:p w14:paraId="20513F0B">
      <w:pPr>
        <w:pStyle w:val="251"/>
        <w:tabs>
          <w:tab w:val="left" w:pos="720"/>
        </w:tabs>
        <w:outlineLvl w:val="0"/>
      </w:pPr>
      <w:r>
        <w:rPr>
          <w:rFonts w:hint="eastAsia"/>
        </w:rPr>
        <w:t>18.2 竣工验收申请报告</w:t>
      </w:r>
    </w:p>
    <w:p w14:paraId="3D357611">
      <w:pPr>
        <w:spacing w:line="400" w:lineRule="exact"/>
        <w:ind w:firstLine="420" w:firstLineChars="200"/>
      </w:pPr>
      <w:r>
        <w:rPr>
          <w:rFonts w:hint="eastAsia"/>
        </w:rPr>
        <w:t>当工程具备以下条件时，乙方即可向监理人报送竣工验收申请报告：</w:t>
      </w:r>
    </w:p>
    <w:p w14:paraId="2DC11671">
      <w:pPr>
        <w:spacing w:line="400" w:lineRule="exact"/>
        <w:ind w:firstLine="359" w:firstLineChars="171"/>
      </w:pPr>
      <w:r>
        <w:rPr>
          <w:rFonts w:hint="eastAsia"/>
        </w:rPr>
        <w:t>（1）除监理人同意列入缺陷责任期内完成的尾工（甩项）工程和缺陷修补工作外，合同范围内的全部单位工程以及有关工作，包括合同要求的试验、试运行以及检验和验收均已完成，并符合合同要求；</w:t>
      </w:r>
    </w:p>
    <w:p w14:paraId="550E5BA9">
      <w:pPr>
        <w:spacing w:line="400" w:lineRule="exact"/>
        <w:ind w:firstLine="359" w:firstLineChars="171"/>
      </w:pPr>
      <w:r>
        <w:rPr>
          <w:rFonts w:hint="eastAsia"/>
        </w:rPr>
        <w:t>（2）已按合同约定的内容和份数备齐了符合要求的竣工资料；</w:t>
      </w:r>
    </w:p>
    <w:p w14:paraId="101E3F36">
      <w:pPr>
        <w:spacing w:line="400" w:lineRule="exact"/>
        <w:ind w:firstLine="359" w:firstLineChars="171"/>
      </w:pPr>
      <w:r>
        <w:rPr>
          <w:rFonts w:hint="eastAsia"/>
        </w:rPr>
        <w:t>（3）已按监理人的要求编制了在缺陷责任期内完成的尾工（甩项）工程和缺陷修补工作清单以及相应施工计划；</w:t>
      </w:r>
    </w:p>
    <w:p w14:paraId="5CD30F55">
      <w:pPr>
        <w:spacing w:line="400" w:lineRule="exact"/>
        <w:ind w:firstLine="359" w:firstLineChars="171"/>
      </w:pPr>
      <w:r>
        <w:rPr>
          <w:rFonts w:hint="eastAsia"/>
        </w:rPr>
        <w:t>（4）监理人要求在竣工验收前应完成的其他工作；</w:t>
      </w:r>
    </w:p>
    <w:p w14:paraId="393BA247">
      <w:pPr>
        <w:spacing w:line="400" w:lineRule="exact"/>
        <w:ind w:firstLine="359" w:firstLineChars="171"/>
      </w:pPr>
      <w:r>
        <w:rPr>
          <w:rFonts w:hint="eastAsia"/>
        </w:rPr>
        <w:t>（5）监理人要求提交的竣工验收资料清单。</w:t>
      </w:r>
    </w:p>
    <w:p w14:paraId="165A42FB">
      <w:pPr>
        <w:pStyle w:val="251"/>
        <w:tabs>
          <w:tab w:val="left" w:pos="720"/>
        </w:tabs>
        <w:outlineLvl w:val="0"/>
      </w:pPr>
      <w:r>
        <w:rPr>
          <w:rFonts w:hint="eastAsia"/>
        </w:rPr>
        <w:t>18.3 验收</w:t>
      </w:r>
    </w:p>
    <w:p w14:paraId="272A62FB">
      <w:pPr>
        <w:spacing w:line="400" w:lineRule="exact"/>
        <w:ind w:firstLine="420" w:firstLineChars="200"/>
      </w:pPr>
      <w:r>
        <w:rPr>
          <w:rFonts w:hint="eastAsia"/>
        </w:rPr>
        <w:t>监理人收到乙方按第18.2款约定提交的竣工验收申请报告后，应审查申请报告的各项内容，并按以下不同情况进行处理。</w:t>
      </w:r>
    </w:p>
    <w:p w14:paraId="3A2DE959">
      <w:pPr>
        <w:spacing w:line="400" w:lineRule="exact"/>
        <w:ind w:firstLine="420" w:firstLineChars="200"/>
      </w:pPr>
      <w:r>
        <w:rPr>
          <w:rFonts w:hint="eastAsia"/>
        </w:rPr>
        <w:t>18.3.1 监理人审查后认为尚不具备竣工验收条件的，应在收到竣工验收申请报告后的28天内通知乙方，指出在颁发接收证书前乙方还需进行的工作内容。乙方完成监理人通知的全部工作内容后，应再次提交竣工验收申请报告，直至监理人同意为止。</w:t>
      </w:r>
    </w:p>
    <w:p w14:paraId="0476C5F5">
      <w:pPr>
        <w:spacing w:line="400" w:lineRule="exact"/>
        <w:ind w:firstLine="420" w:firstLineChars="200"/>
      </w:pPr>
      <w:r>
        <w:rPr>
          <w:rFonts w:hint="eastAsia"/>
        </w:rPr>
        <w:t>18.3.2 监理人审查后认为已具备竣工验收条件的，应在收到竣工验收申请报告后的28天内提请甲方进行工程验收。</w:t>
      </w:r>
    </w:p>
    <w:p w14:paraId="5310DB0C">
      <w:pPr>
        <w:spacing w:line="400" w:lineRule="exact"/>
        <w:ind w:firstLine="420" w:firstLineChars="200"/>
      </w:pPr>
      <w:r>
        <w:rPr>
          <w:rFonts w:hint="eastAsia"/>
        </w:rPr>
        <w:t>18.3.3甲方经过验收后同意接受工程的，应在监理人收到竣工验收申请报告后的56天内，由监理人向乙方出具经甲方签认的工程接收证书。甲方验收后同意接收工程但提出整修和完善要求的，限期修好，并缓发工程接收证书。整修和完善工作完成后，监理人复查达到要求的，经甲方同意后，再向乙方出具工程接收证书。</w:t>
      </w:r>
    </w:p>
    <w:p w14:paraId="5C1C16B2">
      <w:pPr>
        <w:spacing w:line="400" w:lineRule="exact"/>
        <w:ind w:firstLine="420" w:firstLineChars="200"/>
      </w:pPr>
      <w:r>
        <w:rPr>
          <w:rFonts w:hint="eastAsia"/>
        </w:rPr>
        <w:t>18.3.4 甲方验收后不同意接收工程的，监理人应按照甲方的验收意见发出指示，要求乙方对不合格工程认真返工重作或进行补救处理，并承担由此产生的费用。乙方在完成不合格工程的返工重作或补救工作后，应重新提交竣工验收申请报告，按第18.3.1项、第18.3.2项和第18.3.3项的约定进行。</w:t>
      </w:r>
    </w:p>
    <w:p w14:paraId="26F5ED79">
      <w:pPr>
        <w:spacing w:line="400" w:lineRule="exact"/>
        <w:ind w:firstLine="420" w:firstLineChars="200"/>
      </w:pPr>
      <w:r>
        <w:rPr>
          <w:rFonts w:hint="eastAsia"/>
        </w:rPr>
        <w:t>18.3.5 除专用合同条款另有约定外，经验收合格工程的实际竣工日期，以提交竣工验收申请报告的日期为准，并在工程接收证书中写明。</w:t>
      </w:r>
    </w:p>
    <w:p w14:paraId="0F9FA64F">
      <w:pPr>
        <w:spacing w:line="400" w:lineRule="exact"/>
        <w:ind w:firstLine="420" w:firstLineChars="200"/>
      </w:pPr>
      <w:r>
        <w:rPr>
          <w:rFonts w:hint="eastAsia"/>
        </w:rPr>
        <w:t>18.3.6 甲方在收到乙方竣工验收申请报告56天后未进行验收的，视为验收合格，实际竣工日期以提交竣工验收申请报告的日期为准，但甲方由于不可抗力不能进行验收的除外。</w:t>
      </w:r>
    </w:p>
    <w:p w14:paraId="0B9ABE0D">
      <w:pPr>
        <w:pStyle w:val="251"/>
        <w:tabs>
          <w:tab w:val="left" w:pos="720"/>
        </w:tabs>
        <w:outlineLvl w:val="0"/>
      </w:pPr>
      <w:r>
        <w:rPr>
          <w:rFonts w:hint="eastAsia"/>
        </w:rPr>
        <w:t>18.4 单位工程验收</w:t>
      </w:r>
    </w:p>
    <w:p w14:paraId="36A9A8AF">
      <w:pPr>
        <w:spacing w:line="400" w:lineRule="exact"/>
        <w:ind w:firstLine="420" w:firstLineChars="200"/>
      </w:pPr>
      <w:r>
        <w:rPr>
          <w:rFonts w:hint="eastAsia"/>
        </w:rPr>
        <w:t>18.4.1 甲方根据合同进度计划安排，在全部工程竣工前需要使用已经竣工的单位工程时，或乙方提出经甲方同意时，可进行单位工程验收。验收的程序可参照第18.2款与第18.3款的约定进行。验收合格后，由监理人向乙方出具经甲方签认的单位工程验收证书。已签发单位工程接收证书的单位工程由甲方负责照管。单位工程的验收成果和结论作为全部工程竣工验收申请报告的附件。</w:t>
      </w:r>
    </w:p>
    <w:p w14:paraId="13D3A3E7">
      <w:pPr>
        <w:spacing w:line="400" w:lineRule="exact"/>
        <w:ind w:firstLine="420" w:firstLineChars="200"/>
      </w:pPr>
      <w:r>
        <w:rPr>
          <w:rFonts w:hint="eastAsia"/>
        </w:rPr>
        <w:t>18.4.2 甲方在全部工程竣工前，使用已接收的单位工程导致乙方费用增加的，甲方应承担由此增加的费用和（或）工期延误，并支付乙方合理利润。</w:t>
      </w:r>
    </w:p>
    <w:p w14:paraId="1032292B">
      <w:pPr>
        <w:pStyle w:val="251"/>
        <w:tabs>
          <w:tab w:val="left" w:pos="720"/>
        </w:tabs>
        <w:outlineLvl w:val="0"/>
      </w:pPr>
      <w:r>
        <w:rPr>
          <w:rFonts w:hint="eastAsia"/>
        </w:rPr>
        <w:t>18.5 施工期运行</w:t>
      </w:r>
    </w:p>
    <w:p w14:paraId="3931F337">
      <w:pPr>
        <w:spacing w:line="400" w:lineRule="exact"/>
        <w:ind w:firstLine="420" w:firstLineChars="200"/>
      </w:pPr>
      <w:r>
        <w:rPr>
          <w:rFonts w:hint="eastAsia"/>
        </w:rPr>
        <w:t>18.5.1 施工期运行是指合同工程尚未全部竣工，其中某项或某几项单位工程或工程设备安装已竣工，根据专用合同条款约定，需要投入施工期运行的，经甲方按第18.4款的约定验收合格，证明能确保安全后，才能在施工期投入运行。</w:t>
      </w:r>
    </w:p>
    <w:p w14:paraId="0F82A79F">
      <w:pPr>
        <w:spacing w:line="400" w:lineRule="exact"/>
        <w:ind w:firstLine="420" w:firstLineChars="200"/>
      </w:pPr>
      <w:r>
        <w:rPr>
          <w:rFonts w:hint="eastAsia"/>
        </w:rPr>
        <w:t>18.5.2 在施工期运行中发现工程或工程设备损坏或存在缺陷的，由乙方按第19.2款约定进行修复。</w:t>
      </w:r>
    </w:p>
    <w:p w14:paraId="4745FB0C">
      <w:pPr>
        <w:pStyle w:val="251"/>
        <w:tabs>
          <w:tab w:val="left" w:pos="720"/>
        </w:tabs>
        <w:outlineLvl w:val="0"/>
      </w:pPr>
      <w:r>
        <w:rPr>
          <w:rFonts w:hint="eastAsia"/>
        </w:rPr>
        <w:t>18.6 试运行</w:t>
      </w:r>
    </w:p>
    <w:p w14:paraId="3BCC5DF9">
      <w:pPr>
        <w:spacing w:line="400" w:lineRule="exact"/>
        <w:ind w:firstLine="420" w:firstLineChars="200"/>
      </w:pPr>
      <w:r>
        <w:rPr>
          <w:rFonts w:hint="eastAsia"/>
        </w:rPr>
        <w:t>18.6.1 除专用合同条款另有约定外，乙方应按专用合同条款约定进行工程及工程设备试运行，负责提供试运行所需的人员、器材和必要的条件，并承担全部试运行费用。</w:t>
      </w:r>
    </w:p>
    <w:p w14:paraId="33306941">
      <w:pPr>
        <w:spacing w:line="400" w:lineRule="exact"/>
        <w:ind w:firstLine="420" w:firstLineChars="200"/>
      </w:pPr>
      <w:r>
        <w:rPr>
          <w:rFonts w:hint="eastAsia"/>
        </w:rPr>
        <w:t>18.6.2 由于乙方的原因导致试运行失败的，乙方应采取措施保证试运行合格，并承担相应费用。由于甲方的原因导致试运行失败的，乙方应当采取措施保证试运行合格，甲方应承担由此产生的费用，并支付乙方合理利润。</w:t>
      </w:r>
    </w:p>
    <w:p w14:paraId="6E55928E">
      <w:pPr>
        <w:pStyle w:val="251"/>
        <w:tabs>
          <w:tab w:val="left" w:pos="720"/>
        </w:tabs>
        <w:outlineLvl w:val="0"/>
      </w:pPr>
      <w:r>
        <w:rPr>
          <w:rFonts w:hint="eastAsia"/>
        </w:rPr>
        <w:t>18.7 竣工清场</w:t>
      </w:r>
    </w:p>
    <w:p w14:paraId="7A41CD2F">
      <w:pPr>
        <w:spacing w:line="400" w:lineRule="exact"/>
        <w:ind w:firstLine="420" w:firstLineChars="200"/>
      </w:pPr>
      <w:r>
        <w:rPr>
          <w:rFonts w:hint="eastAsia"/>
        </w:rPr>
        <w:t>18.7.1 除合同另有约定外，工程接收证书颁发后，乙方应按以下要求对施工场地进行清理，直至监理人检验合格为止。竣工清场费用由乙方承担。</w:t>
      </w:r>
    </w:p>
    <w:p w14:paraId="2CB9466D">
      <w:pPr>
        <w:spacing w:line="400" w:lineRule="exact"/>
        <w:ind w:firstLine="718" w:firstLineChars="342"/>
      </w:pPr>
      <w:r>
        <w:rPr>
          <w:rFonts w:hint="eastAsia"/>
        </w:rPr>
        <w:t>（1）施工场地内残留的垃圾已全部清除出场；</w:t>
      </w:r>
    </w:p>
    <w:p w14:paraId="2589D9BE">
      <w:pPr>
        <w:spacing w:line="400" w:lineRule="exact"/>
        <w:ind w:firstLine="718" w:firstLineChars="342"/>
      </w:pPr>
      <w:r>
        <w:rPr>
          <w:rFonts w:hint="eastAsia"/>
        </w:rPr>
        <w:t>（2）临时工程已拆除，场地已按合同要求进行清理、平整或复原；</w:t>
      </w:r>
    </w:p>
    <w:p w14:paraId="718A25C5">
      <w:pPr>
        <w:spacing w:line="400" w:lineRule="exact"/>
        <w:ind w:firstLine="718" w:firstLineChars="342"/>
      </w:pPr>
      <w:r>
        <w:rPr>
          <w:rFonts w:hint="eastAsia"/>
        </w:rPr>
        <w:t>（3）按合同约定应撤离的乙方设备和剩余的材料，包括废弃的施工设备和材料，已按计划撤离施工场地；</w:t>
      </w:r>
    </w:p>
    <w:p w14:paraId="053351E9">
      <w:pPr>
        <w:spacing w:line="400" w:lineRule="exact"/>
        <w:ind w:firstLine="718" w:firstLineChars="342"/>
      </w:pPr>
      <w:r>
        <w:rPr>
          <w:rFonts w:hint="eastAsia"/>
        </w:rPr>
        <w:t>（4）工程建筑物周边及其附近道路、河道的施工堆积物，已按监理人指示全部清理；</w:t>
      </w:r>
    </w:p>
    <w:p w14:paraId="32358C74">
      <w:pPr>
        <w:spacing w:line="400" w:lineRule="exact"/>
        <w:ind w:firstLine="718" w:firstLineChars="342"/>
      </w:pPr>
      <w:r>
        <w:rPr>
          <w:rFonts w:hint="eastAsia"/>
        </w:rPr>
        <w:t>（5）监理人指示的其他场地清理工作已全部完成。</w:t>
      </w:r>
    </w:p>
    <w:p w14:paraId="01A01685">
      <w:pPr>
        <w:spacing w:line="400" w:lineRule="exact"/>
        <w:ind w:firstLine="420" w:firstLineChars="200"/>
      </w:pPr>
      <w:r>
        <w:rPr>
          <w:rFonts w:hint="eastAsia"/>
        </w:rPr>
        <w:t>18.7.2 乙方未按监理人的要求恢复临时占地，或者场地清理未达到合同约定的，甲方有权委托其他人恢复或清理，所发生的金额从拟支付给乙方的款项中扣除。</w:t>
      </w:r>
    </w:p>
    <w:p w14:paraId="6F6C088C">
      <w:pPr>
        <w:pStyle w:val="251"/>
        <w:tabs>
          <w:tab w:val="left" w:pos="720"/>
        </w:tabs>
        <w:outlineLvl w:val="0"/>
      </w:pPr>
      <w:r>
        <w:rPr>
          <w:rFonts w:hint="eastAsia"/>
        </w:rPr>
        <w:t>18.8 施工队伍的撤离</w:t>
      </w:r>
    </w:p>
    <w:p w14:paraId="484C1E1E">
      <w:pPr>
        <w:spacing w:line="400" w:lineRule="exact"/>
        <w:ind w:firstLine="420" w:firstLineChars="200"/>
      </w:pPr>
      <w:r>
        <w:rPr>
          <w:rFonts w:hint="eastAsia"/>
        </w:rPr>
        <w:t>工程接收证书颁发后的56天内，除了经监理人同意需在缺陷责任期内继续工作和使用的人员、施工设备和临时工程外，其余的人员、施工设备和临时工程均应撤离施工场地或拆除。除合同另有约定外，缺陷责任期满时，乙方的人员和施工设备应全部撤离施工场地。</w:t>
      </w:r>
    </w:p>
    <w:p w14:paraId="68930CBA">
      <w:pPr>
        <w:pStyle w:val="250"/>
        <w:spacing w:before="0"/>
        <w:outlineLvl w:val="0"/>
      </w:pPr>
      <w:r>
        <w:rPr>
          <w:rFonts w:hint="eastAsia"/>
        </w:rPr>
        <w:t>19. 缺陷责任与保修责任</w:t>
      </w:r>
    </w:p>
    <w:p w14:paraId="1AD68567">
      <w:pPr>
        <w:pStyle w:val="251"/>
        <w:tabs>
          <w:tab w:val="left" w:pos="720"/>
        </w:tabs>
        <w:outlineLvl w:val="0"/>
      </w:pPr>
      <w:r>
        <w:rPr>
          <w:rFonts w:hint="eastAsia"/>
        </w:rPr>
        <w:t>19.1 缺陷责任期的起算时间</w:t>
      </w:r>
    </w:p>
    <w:p w14:paraId="3DDA7841">
      <w:pPr>
        <w:spacing w:line="400" w:lineRule="exact"/>
        <w:ind w:firstLine="420" w:firstLineChars="200"/>
      </w:pPr>
      <w:r>
        <w:rPr>
          <w:rFonts w:hint="eastAsia"/>
        </w:rPr>
        <w:t>缺陷责任期自实际竣工日期起计算。在全部工程竣工验收前，已经甲方提前验收的单位工程，其缺陷责任期的起算日期相应提前。</w:t>
      </w:r>
    </w:p>
    <w:p w14:paraId="17D8EABE">
      <w:pPr>
        <w:pStyle w:val="251"/>
        <w:tabs>
          <w:tab w:val="left" w:pos="720"/>
        </w:tabs>
        <w:outlineLvl w:val="0"/>
      </w:pPr>
      <w:r>
        <w:rPr>
          <w:rFonts w:hint="eastAsia"/>
        </w:rPr>
        <w:t>19.2 缺陷责任</w:t>
      </w:r>
    </w:p>
    <w:p w14:paraId="7C400E2B">
      <w:pPr>
        <w:spacing w:line="400" w:lineRule="exact"/>
        <w:ind w:firstLine="420" w:firstLineChars="200"/>
      </w:pPr>
      <w:r>
        <w:rPr>
          <w:rFonts w:hint="eastAsia"/>
        </w:rPr>
        <w:t>19.2.1 乙方应在缺陷责任期内对已交付使用的工程承担缺陷责任。</w:t>
      </w:r>
    </w:p>
    <w:p w14:paraId="211133DF">
      <w:pPr>
        <w:spacing w:line="400" w:lineRule="exact"/>
        <w:ind w:firstLine="420" w:firstLineChars="200"/>
      </w:pPr>
      <w:r>
        <w:rPr>
          <w:rFonts w:hint="eastAsia"/>
        </w:rPr>
        <w:t>19.2.2 缺陷责任期内，甲方对已接收使用的工程负责日常维护工作。甲方在使用过程中，发现已接收的工程存在新的缺陷或已修复的缺陷部位或部件又遭损坏的，乙方应负责修复，直至检验合格为止。</w:t>
      </w:r>
    </w:p>
    <w:p w14:paraId="0FB45146">
      <w:pPr>
        <w:spacing w:line="400" w:lineRule="exact"/>
        <w:ind w:firstLine="420" w:firstLineChars="200"/>
      </w:pPr>
      <w:r>
        <w:rPr>
          <w:rFonts w:hint="eastAsia"/>
        </w:rPr>
        <w:t>19.2.3 监理人和乙方应共同查清缺陷和（或）损坏的原因。经查明属乙方原因造成的，应由乙方承担修复和查验的费用。经查验属甲方原因造成的，甲方应承担修复和查验的费用，并支付乙方合理利润。</w:t>
      </w:r>
    </w:p>
    <w:p w14:paraId="29631327">
      <w:pPr>
        <w:spacing w:line="400" w:lineRule="exact"/>
        <w:ind w:firstLine="420" w:firstLineChars="200"/>
      </w:pPr>
      <w:r>
        <w:rPr>
          <w:rFonts w:hint="eastAsia"/>
        </w:rPr>
        <w:t>19.2.4 乙方不能在合理时间内修复缺陷的，甲方可自行修复或委托其他人修复，所需费用和利润的承担，按第19.2.3项约定办理。</w:t>
      </w:r>
    </w:p>
    <w:p w14:paraId="3E242F04">
      <w:pPr>
        <w:pStyle w:val="251"/>
        <w:tabs>
          <w:tab w:val="left" w:pos="720"/>
        </w:tabs>
        <w:outlineLvl w:val="0"/>
      </w:pPr>
      <w:r>
        <w:rPr>
          <w:rFonts w:hint="eastAsia"/>
        </w:rPr>
        <w:t>19.3 缺陷责任期的延长</w:t>
      </w:r>
    </w:p>
    <w:p w14:paraId="6A27AF91">
      <w:pPr>
        <w:spacing w:line="400" w:lineRule="exact"/>
        <w:ind w:firstLine="420" w:firstLineChars="200"/>
      </w:pPr>
      <w:r>
        <w:rPr>
          <w:rFonts w:hint="eastAsia"/>
        </w:rPr>
        <w:t>由于乙方原因造成某项缺陷或损坏使某项工程或工程设备不能按原定目标使用而需要再次检查、检验和修复的，甲方有权要求乙方相应延长缺陷责任期，但缺陷责任期最长不超过2年。</w:t>
      </w:r>
    </w:p>
    <w:p w14:paraId="0D5D5BF3">
      <w:pPr>
        <w:pStyle w:val="251"/>
        <w:tabs>
          <w:tab w:val="left" w:pos="720"/>
        </w:tabs>
        <w:outlineLvl w:val="0"/>
      </w:pPr>
      <w:r>
        <w:rPr>
          <w:rFonts w:hint="eastAsia"/>
        </w:rPr>
        <w:t>19.4 进一步试验和试运行</w:t>
      </w:r>
    </w:p>
    <w:p w14:paraId="136DD663">
      <w:pPr>
        <w:spacing w:line="400" w:lineRule="exact"/>
        <w:ind w:firstLine="420" w:firstLineChars="200"/>
      </w:pPr>
      <w:r>
        <w:rPr>
          <w:rFonts w:hint="eastAsia"/>
        </w:rPr>
        <w:t>任何一项缺陷或损坏修复后，经检查证明其影响了工程或工程设备的使用性能，乙方应重新进行合同约定的试验和试运行，试验和试运行的全部费用应由责任方承担。</w:t>
      </w:r>
    </w:p>
    <w:p w14:paraId="3129BC1C">
      <w:pPr>
        <w:pStyle w:val="251"/>
        <w:tabs>
          <w:tab w:val="left" w:pos="720"/>
        </w:tabs>
        <w:outlineLvl w:val="0"/>
      </w:pPr>
      <w:r>
        <w:rPr>
          <w:rFonts w:hint="eastAsia"/>
        </w:rPr>
        <w:t>19.5 乙方的进入权</w:t>
      </w:r>
    </w:p>
    <w:p w14:paraId="2341AC75">
      <w:pPr>
        <w:spacing w:line="400" w:lineRule="exact"/>
        <w:ind w:firstLine="420" w:firstLineChars="200"/>
      </w:pPr>
      <w:r>
        <w:rPr>
          <w:rFonts w:hint="eastAsia"/>
        </w:rPr>
        <w:t>缺陷责任期内乙方为缺陷修复工作需要，有权进入工程现场，但应遵守甲方的保安和保密规定。</w:t>
      </w:r>
    </w:p>
    <w:p w14:paraId="2BDAB36F">
      <w:pPr>
        <w:pStyle w:val="251"/>
        <w:tabs>
          <w:tab w:val="left" w:pos="720"/>
        </w:tabs>
        <w:outlineLvl w:val="0"/>
      </w:pPr>
      <w:r>
        <w:rPr>
          <w:rFonts w:hint="eastAsia"/>
        </w:rPr>
        <w:t>19.6 缺陷责任期终止证书</w:t>
      </w:r>
    </w:p>
    <w:p w14:paraId="6874667B">
      <w:pPr>
        <w:spacing w:line="400" w:lineRule="exact"/>
        <w:ind w:firstLine="420" w:firstLineChars="200"/>
      </w:pPr>
      <w:r>
        <w:rPr>
          <w:rFonts w:hint="eastAsia"/>
        </w:rPr>
        <w:t>在第1.1.4.5目约定的缺陷责任期，包括根据第19.3款延长的期限终止后14天内，由监理人向乙方出具经甲方签认的缺陷责任期终止证书，并退还剩余的质量保证金。</w:t>
      </w:r>
    </w:p>
    <w:p w14:paraId="7DEAE1D7">
      <w:pPr>
        <w:pStyle w:val="251"/>
        <w:tabs>
          <w:tab w:val="left" w:pos="720"/>
        </w:tabs>
        <w:outlineLvl w:val="0"/>
      </w:pPr>
      <w:r>
        <w:rPr>
          <w:rFonts w:hint="eastAsia"/>
        </w:rPr>
        <w:t>19.7 保修责任</w:t>
      </w:r>
    </w:p>
    <w:p w14:paraId="7F462A33">
      <w:pPr>
        <w:spacing w:line="400" w:lineRule="exact"/>
        <w:ind w:firstLine="420" w:firstLineChars="200"/>
      </w:pPr>
      <w:r>
        <w:rPr>
          <w:rFonts w:hint="eastAsia"/>
        </w:rPr>
        <w:t>合同当事人根据有关法律规定，在专用合同条款中约定工程质量保修范围、期限和责任。保修期自实际竣工日期起计算。在全部工程竣工验收前，已经甲方提前验收的单位工程，其保修期的起算日期相应提前。</w:t>
      </w:r>
    </w:p>
    <w:p w14:paraId="261011F1">
      <w:pPr>
        <w:pStyle w:val="250"/>
        <w:spacing w:before="0"/>
        <w:outlineLvl w:val="0"/>
      </w:pPr>
      <w:r>
        <w:rPr>
          <w:rFonts w:hint="eastAsia"/>
        </w:rPr>
        <w:t>20. 保险</w:t>
      </w:r>
    </w:p>
    <w:p w14:paraId="5E7D752D">
      <w:pPr>
        <w:pStyle w:val="251"/>
        <w:tabs>
          <w:tab w:val="left" w:pos="720"/>
        </w:tabs>
        <w:outlineLvl w:val="0"/>
      </w:pPr>
      <w:r>
        <w:rPr>
          <w:rFonts w:hint="eastAsia"/>
        </w:rPr>
        <w:t>20.1 工程保险</w:t>
      </w:r>
    </w:p>
    <w:p w14:paraId="22BFAA29">
      <w:pPr>
        <w:spacing w:line="400" w:lineRule="exact"/>
        <w:ind w:firstLine="420" w:firstLineChars="200"/>
      </w:pPr>
      <w:r>
        <w:rPr>
          <w:rFonts w:hint="eastAsia"/>
        </w:rPr>
        <w:t>除专用合同条款另有约定外，乙方应以甲方和乙方的共同名义向双方同意的保险人投保建筑工程一切险、安装工程一切险。其具体的投保内容、保险金额、保险费率、保险期限等有关内容在专用合同条款中约定。</w:t>
      </w:r>
    </w:p>
    <w:p w14:paraId="772BD61E">
      <w:pPr>
        <w:pStyle w:val="251"/>
        <w:tabs>
          <w:tab w:val="left" w:pos="720"/>
        </w:tabs>
        <w:outlineLvl w:val="0"/>
      </w:pPr>
      <w:r>
        <w:rPr>
          <w:rFonts w:hint="eastAsia"/>
        </w:rPr>
        <w:t>20.2 人员工伤事故的保险</w:t>
      </w:r>
    </w:p>
    <w:p w14:paraId="4FEEE1B9">
      <w:pPr>
        <w:spacing w:line="400" w:lineRule="exact"/>
        <w:ind w:firstLine="420" w:firstLineChars="200"/>
        <w:rPr>
          <w:rFonts w:ascii="黑体" w:eastAsia="黑体"/>
        </w:rPr>
      </w:pPr>
      <w:r>
        <w:rPr>
          <w:rFonts w:hint="eastAsia"/>
        </w:rPr>
        <w:t xml:space="preserve">20.2.1 </w:t>
      </w:r>
      <w:r>
        <w:rPr>
          <w:rFonts w:hint="eastAsia" w:ascii="黑体" w:eastAsia="黑体"/>
        </w:rPr>
        <w:t>乙方员工伤事故的保险</w:t>
      </w:r>
    </w:p>
    <w:p w14:paraId="0740C283">
      <w:pPr>
        <w:spacing w:line="400" w:lineRule="exact"/>
        <w:ind w:firstLine="420" w:firstLineChars="200"/>
      </w:pPr>
      <w:r>
        <w:rPr>
          <w:rFonts w:hint="eastAsia"/>
        </w:rPr>
        <w:t>乙方应</w:t>
      </w:r>
      <w:r>
        <w:t>依照</w:t>
      </w:r>
      <w:r>
        <w:rPr>
          <w:rFonts w:hint="eastAsia"/>
        </w:rPr>
        <w:t>有关法律</w:t>
      </w:r>
      <w:r>
        <w:t>规定参加工伤保险，</w:t>
      </w:r>
      <w:r>
        <w:rPr>
          <w:rFonts w:hint="eastAsia"/>
        </w:rPr>
        <w:t>为其履行合同所雇佣的全部人员，</w:t>
      </w:r>
      <w:r>
        <w:t>缴纳工伤保险费</w:t>
      </w:r>
      <w:r>
        <w:rPr>
          <w:rFonts w:hint="eastAsia"/>
        </w:rPr>
        <w:t>，并要求其分包人也进行此项保险。</w:t>
      </w:r>
    </w:p>
    <w:p w14:paraId="479A4834">
      <w:pPr>
        <w:spacing w:line="400" w:lineRule="exact"/>
        <w:ind w:firstLine="420" w:firstLineChars="200"/>
        <w:rPr>
          <w:rFonts w:ascii="黑体" w:eastAsia="黑体"/>
        </w:rPr>
      </w:pPr>
      <w:r>
        <w:rPr>
          <w:rFonts w:hint="eastAsia"/>
        </w:rPr>
        <w:t>20.2.2</w:t>
      </w:r>
      <w:r>
        <w:rPr>
          <w:rFonts w:hint="eastAsia" w:ascii="黑体" w:eastAsia="黑体"/>
        </w:rPr>
        <w:t xml:space="preserve"> 甲方员工伤事故的保险</w:t>
      </w:r>
    </w:p>
    <w:p w14:paraId="77B8EA3C">
      <w:pPr>
        <w:spacing w:line="400" w:lineRule="exact"/>
        <w:ind w:firstLine="420" w:firstLineChars="200"/>
      </w:pPr>
      <w:r>
        <w:rPr>
          <w:rFonts w:hint="eastAsia"/>
        </w:rPr>
        <w:t>甲方应</w:t>
      </w:r>
      <w:r>
        <w:t>依照</w:t>
      </w:r>
      <w:r>
        <w:rPr>
          <w:rFonts w:hint="eastAsia"/>
        </w:rPr>
        <w:t>有关法律</w:t>
      </w:r>
      <w:r>
        <w:t>规定参加工伤保险，</w:t>
      </w:r>
      <w:r>
        <w:rPr>
          <w:rFonts w:hint="eastAsia"/>
        </w:rPr>
        <w:t>为其现场机构雇佣的全部人员，</w:t>
      </w:r>
      <w:r>
        <w:t>缴纳工伤保险费</w:t>
      </w:r>
      <w:r>
        <w:rPr>
          <w:rFonts w:hint="eastAsia"/>
        </w:rPr>
        <w:t>，并要求其监理人也进行此项保险。</w:t>
      </w:r>
    </w:p>
    <w:p w14:paraId="4FCD69A2">
      <w:pPr>
        <w:pStyle w:val="251"/>
        <w:tabs>
          <w:tab w:val="left" w:pos="720"/>
        </w:tabs>
        <w:outlineLvl w:val="0"/>
      </w:pPr>
      <w:r>
        <w:rPr>
          <w:rFonts w:hint="eastAsia"/>
        </w:rPr>
        <w:t>20.3 人身意外伤害险</w:t>
      </w:r>
    </w:p>
    <w:p w14:paraId="44A5F2BE">
      <w:pPr>
        <w:spacing w:line="400" w:lineRule="exact"/>
        <w:ind w:firstLine="420" w:firstLineChars="200"/>
      </w:pPr>
      <w:r>
        <w:rPr>
          <w:rFonts w:hint="eastAsia"/>
        </w:rPr>
        <w:t>20.3.1 甲方应在整个施工期间为其现场机构雇用的全部人员，投保人身意外伤害险，缴纳保险费，并要求其监理人也进行此项保险。</w:t>
      </w:r>
    </w:p>
    <w:p w14:paraId="21092FB4">
      <w:pPr>
        <w:spacing w:line="400" w:lineRule="exact"/>
        <w:ind w:firstLine="420" w:firstLineChars="200"/>
      </w:pPr>
      <w:r>
        <w:rPr>
          <w:rFonts w:hint="eastAsia"/>
        </w:rPr>
        <w:t>20.3.2 乙方应在整个施工期间为其现场机构雇用的全部人员，投保人身意外伤害险，缴纳保险费，并要求其分包人也进行此项保险。</w:t>
      </w:r>
    </w:p>
    <w:p w14:paraId="001C1F10">
      <w:pPr>
        <w:pStyle w:val="251"/>
        <w:tabs>
          <w:tab w:val="left" w:pos="720"/>
        </w:tabs>
        <w:outlineLvl w:val="0"/>
      </w:pPr>
      <w:r>
        <w:rPr>
          <w:rFonts w:hint="eastAsia"/>
        </w:rPr>
        <w:t>20.4 第三者责任险</w:t>
      </w:r>
    </w:p>
    <w:p w14:paraId="4387FC16">
      <w:pPr>
        <w:spacing w:line="400" w:lineRule="exact"/>
        <w:ind w:firstLine="420" w:firstLineChars="200"/>
      </w:pPr>
      <w:r>
        <w:rPr>
          <w:rFonts w:hint="eastAsia"/>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452A51B">
      <w:pPr>
        <w:spacing w:line="400" w:lineRule="exact"/>
        <w:ind w:firstLine="420" w:firstLineChars="200"/>
      </w:pPr>
      <w:r>
        <w:rPr>
          <w:rFonts w:hint="eastAsia"/>
        </w:rPr>
        <w:t>20.4.2 在缺陷责任期终止证书颁发前，乙方应以乙方和甲方的共同名义，投保第20.4.1项约定的第三者责任险，其保险费率、保险金额等有关内容在专用合同条款中约定。</w:t>
      </w:r>
    </w:p>
    <w:p w14:paraId="2093B506">
      <w:pPr>
        <w:pStyle w:val="251"/>
        <w:tabs>
          <w:tab w:val="left" w:pos="720"/>
        </w:tabs>
        <w:outlineLvl w:val="0"/>
      </w:pPr>
      <w:r>
        <w:rPr>
          <w:rFonts w:hint="eastAsia"/>
        </w:rPr>
        <w:t>20.5 其他保险</w:t>
      </w:r>
    </w:p>
    <w:p w14:paraId="0E3210D3">
      <w:pPr>
        <w:spacing w:line="400" w:lineRule="exact"/>
        <w:ind w:firstLine="420" w:firstLineChars="200"/>
      </w:pPr>
      <w:r>
        <w:rPr>
          <w:rFonts w:hint="eastAsia"/>
        </w:rPr>
        <w:t>除专用合同条款另有约定外，乙方应为其施工设备、进场的材料和工程设备等办理保险。</w:t>
      </w:r>
    </w:p>
    <w:p w14:paraId="0C75F70E">
      <w:pPr>
        <w:pStyle w:val="251"/>
        <w:tabs>
          <w:tab w:val="left" w:pos="720"/>
        </w:tabs>
        <w:outlineLvl w:val="0"/>
      </w:pPr>
      <w:r>
        <w:rPr>
          <w:rFonts w:hint="eastAsia"/>
        </w:rPr>
        <w:t>20.6 对各项保险的一般要求</w:t>
      </w:r>
    </w:p>
    <w:p w14:paraId="51A1454B">
      <w:pPr>
        <w:spacing w:line="400" w:lineRule="exact"/>
        <w:ind w:firstLine="420" w:firstLineChars="200"/>
      </w:pPr>
      <w:r>
        <w:rPr>
          <w:rFonts w:hint="eastAsia"/>
        </w:rPr>
        <w:t xml:space="preserve">20.6.1 </w:t>
      </w:r>
      <w:r>
        <w:rPr>
          <w:rFonts w:hint="eastAsia" w:ascii="黑体" w:eastAsia="黑体"/>
        </w:rPr>
        <w:t>保险凭证</w:t>
      </w:r>
    </w:p>
    <w:p w14:paraId="32E85134">
      <w:pPr>
        <w:spacing w:line="400" w:lineRule="exact"/>
        <w:ind w:firstLine="420" w:firstLineChars="200"/>
      </w:pPr>
      <w:r>
        <w:rPr>
          <w:rFonts w:hint="eastAsia"/>
        </w:rPr>
        <w:t>乙方应在专用合同条款约定的期限内向甲方提交各项保险生效的证据和保险单副本，保险单必须与专用合同条款约定的条件保持一致。</w:t>
      </w:r>
    </w:p>
    <w:p w14:paraId="180058A4">
      <w:pPr>
        <w:spacing w:line="400" w:lineRule="exact"/>
        <w:ind w:firstLine="420" w:firstLineChars="200"/>
      </w:pPr>
      <w:r>
        <w:rPr>
          <w:rFonts w:hint="eastAsia"/>
        </w:rPr>
        <w:t xml:space="preserve">20.6.2 </w:t>
      </w:r>
      <w:r>
        <w:rPr>
          <w:rFonts w:hint="eastAsia" w:ascii="黑体" w:eastAsia="黑体"/>
        </w:rPr>
        <w:t>保险合同条款的变动</w:t>
      </w:r>
    </w:p>
    <w:p w14:paraId="5C21C6DF">
      <w:pPr>
        <w:spacing w:line="400" w:lineRule="exact"/>
        <w:ind w:firstLine="420" w:firstLineChars="200"/>
      </w:pPr>
      <w:r>
        <w:rPr>
          <w:rFonts w:hint="eastAsia"/>
        </w:rPr>
        <w:t>乙方需要变动保险合同条款时，应事先征得甲方同意，并通知监理人。保险人作出变动的，乙方应在收到保险人通知后立即通知甲方和监理人。</w:t>
      </w:r>
    </w:p>
    <w:p w14:paraId="7D3F87DF">
      <w:pPr>
        <w:spacing w:line="400" w:lineRule="exact"/>
        <w:ind w:firstLine="420" w:firstLineChars="200"/>
      </w:pPr>
      <w:r>
        <w:rPr>
          <w:rFonts w:hint="eastAsia"/>
        </w:rPr>
        <w:t xml:space="preserve">20.6.3 </w:t>
      </w:r>
      <w:r>
        <w:rPr>
          <w:rFonts w:hint="eastAsia" w:ascii="黑体" w:eastAsia="黑体"/>
        </w:rPr>
        <w:t>持续保险</w:t>
      </w:r>
    </w:p>
    <w:p w14:paraId="3847DD88">
      <w:pPr>
        <w:spacing w:line="400" w:lineRule="exact"/>
        <w:ind w:firstLine="420" w:firstLineChars="200"/>
      </w:pPr>
      <w:r>
        <w:rPr>
          <w:rFonts w:hint="eastAsia"/>
        </w:rPr>
        <w:t>乙方应与保险人保持联系，使保险人能够随时了解工程实施中的变动，并确保按保险合同条款要求持续保险。</w:t>
      </w:r>
    </w:p>
    <w:p w14:paraId="6B5D6A81">
      <w:pPr>
        <w:spacing w:line="400" w:lineRule="exact"/>
        <w:ind w:firstLine="420" w:firstLineChars="200"/>
        <w:rPr>
          <w:rFonts w:ascii="黑体" w:eastAsia="黑体"/>
        </w:rPr>
      </w:pPr>
      <w:r>
        <w:rPr>
          <w:rFonts w:hint="eastAsia"/>
        </w:rPr>
        <w:t xml:space="preserve">20.6.4 </w:t>
      </w:r>
      <w:r>
        <w:rPr>
          <w:rFonts w:hint="eastAsia" w:ascii="黑体" w:eastAsia="黑体"/>
        </w:rPr>
        <w:t>保险金不足的补偿</w:t>
      </w:r>
    </w:p>
    <w:p w14:paraId="7C7CE940">
      <w:pPr>
        <w:spacing w:line="400" w:lineRule="exact"/>
        <w:ind w:firstLine="420" w:firstLineChars="200"/>
      </w:pPr>
      <w:r>
        <w:rPr>
          <w:rFonts w:hint="eastAsia"/>
        </w:rPr>
        <w:t>保险金不足以补偿损失的，应由乙方和（或）甲方按合同约定负责补偿。</w:t>
      </w:r>
    </w:p>
    <w:p w14:paraId="2D26780A">
      <w:pPr>
        <w:spacing w:line="400" w:lineRule="exact"/>
        <w:ind w:firstLine="420" w:firstLineChars="200"/>
        <w:rPr>
          <w:rFonts w:ascii="黑体" w:eastAsia="黑体"/>
        </w:rPr>
      </w:pPr>
      <w:r>
        <w:rPr>
          <w:rFonts w:hint="eastAsia"/>
        </w:rPr>
        <w:t xml:space="preserve">20.6.5 </w:t>
      </w:r>
      <w:r>
        <w:rPr>
          <w:rFonts w:hint="eastAsia" w:ascii="黑体" w:eastAsia="黑体"/>
        </w:rPr>
        <w:t>未按约定投保的补救</w:t>
      </w:r>
    </w:p>
    <w:p w14:paraId="12EFDA3A">
      <w:pPr>
        <w:spacing w:line="400" w:lineRule="exact"/>
        <w:ind w:firstLine="420" w:firstLineChars="200"/>
        <w:rPr>
          <w:rFonts w:ascii="黑体" w:eastAsia="黑体"/>
        </w:rPr>
      </w:pPr>
      <w:r>
        <w:rPr>
          <w:rFonts w:hint="eastAsia"/>
        </w:rPr>
        <w:t>（1）由于负有投保义务的一方当事人未按合同约定办理保险，或未能使保险持续有效的，另一方当事人可代为办理，所需费用由对方当事人承担。</w:t>
      </w:r>
    </w:p>
    <w:p w14:paraId="0B2ACA37">
      <w:pPr>
        <w:spacing w:line="400" w:lineRule="exact"/>
        <w:ind w:firstLine="420" w:firstLineChars="200"/>
      </w:pPr>
      <w:r>
        <w:rPr>
          <w:rFonts w:hint="eastAsia"/>
        </w:rPr>
        <w:t>（2）由于负有投保义务的一方当事人未按合同约定办理某项保险，导致受益人未能得到保险人的赔偿，原应从该项保险得到的保险金应由负有投保义务的一方当事人支付。</w:t>
      </w:r>
    </w:p>
    <w:p w14:paraId="1FACAFA5">
      <w:pPr>
        <w:spacing w:line="400" w:lineRule="exact"/>
        <w:ind w:firstLine="420" w:firstLineChars="200"/>
        <w:rPr>
          <w:rFonts w:ascii="黑体" w:eastAsia="黑体"/>
        </w:rPr>
      </w:pPr>
      <w:r>
        <w:rPr>
          <w:rFonts w:hint="eastAsia"/>
        </w:rPr>
        <w:t xml:space="preserve">20.6.6 </w:t>
      </w:r>
      <w:r>
        <w:rPr>
          <w:rFonts w:hint="eastAsia" w:ascii="黑体" w:eastAsia="黑体"/>
        </w:rPr>
        <w:t>报告义务</w:t>
      </w:r>
    </w:p>
    <w:p w14:paraId="5FFB0BAA">
      <w:pPr>
        <w:spacing w:line="400" w:lineRule="exact"/>
        <w:ind w:firstLine="420" w:firstLineChars="200"/>
      </w:pPr>
      <w:r>
        <w:rPr>
          <w:rFonts w:hint="eastAsia"/>
        </w:rPr>
        <w:t>当保险事故发生时，投保人应按照保险单规定的条件和期限及时向保险人报告。</w:t>
      </w:r>
    </w:p>
    <w:p w14:paraId="34FAF161">
      <w:pPr>
        <w:pStyle w:val="250"/>
        <w:spacing w:before="0"/>
        <w:outlineLvl w:val="0"/>
      </w:pPr>
      <w:r>
        <w:rPr>
          <w:rFonts w:hint="eastAsia"/>
        </w:rPr>
        <w:t>21. 不可抗力</w:t>
      </w:r>
    </w:p>
    <w:p w14:paraId="6B5DB546">
      <w:pPr>
        <w:pStyle w:val="251"/>
        <w:tabs>
          <w:tab w:val="left" w:pos="720"/>
        </w:tabs>
        <w:outlineLvl w:val="0"/>
      </w:pPr>
      <w:r>
        <w:rPr>
          <w:rFonts w:hint="eastAsia"/>
        </w:rPr>
        <w:t>21.1 不可抗力的确认</w:t>
      </w:r>
    </w:p>
    <w:p w14:paraId="1AC19952">
      <w:pPr>
        <w:spacing w:line="400" w:lineRule="exact"/>
        <w:ind w:firstLine="420" w:firstLineChars="200"/>
      </w:pPr>
      <w:r>
        <w:rPr>
          <w:rFonts w:hint="eastAsia"/>
        </w:rPr>
        <w:t>21.1.1 不可抗力是指乙方和甲方在订立合同时不可预见，在工程施工过程中不可避免发生并不能克服的自然灾害和社会性突发事件，如地震、海啸、瘟疫、水灾、骚乱、暴动、战争和专用合同条款约定的其他情形。</w:t>
      </w:r>
    </w:p>
    <w:p w14:paraId="76F7FDF5">
      <w:pPr>
        <w:spacing w:line="400" w:lineRule="exact"/>
        <w:ind w:firstLine="420" w:firstLineChars="200"/>
      </w:pPr>
      <w:r>
        <w:rPr>
          <w:rFonts w:hint="eastAsia"/>
        </w:rPr>
        <w:t>21.1.2 不可抗力发生后，甲方和乙方应及时认真统计所造成的损失，收集不可抗力造成损失的证据。合同双方对是否属于不可抗力或其损失的意见不一致的，由监理人按第3.5款商定或确定。发生争议时，按第24条的约定办理。</w:t>
      </w:r>
    </w:p>
    <w:p w14:paraId="2AAE39ED">
      <w:pPr>
        <w:pStyle w:val="251"/>
        <w:tabs>
          <w:tab w:val="left" w:pos="720"/>
        </w:tabs>
        <w:outlineLvl w:val="0"/>
      </w:pPr>
      <w:r>
        <w:rPr>
          <w:rFonts w:hint="eastAsia"/>
        </w:rPr>
        <w:t>21.2 不可抗力的通知</w:t>
      </w:r>
    </w:p>
    <w:p w14:paraId="0F1B7A07">
      <w:pPr>
        <w:spacing w:line="400" w:lineRule="exact"/>
        <w:ind w:firstLine="420" w:firstLineChars="200"/>
      </w:pPr>
      <w:r>
        <w:rPr>
          <w:rFonts w:hint="eastAsia"/>
        </w:rPr>
        <w:t>21.2.1 合同一方当事人遇到不可抗力事件，使其履行合同义务受到阻碍时，应立即通知合同另一方当事人和监理人，书面说明不可抗力和受阻碍的详细情况，并提供必要的证明。</w:t>
      </w:r>
    </w:p>
    <w:p w14:paraId="7247D3BD">
      <w:pPr>
        <w:spacing w:line="400" w:lineRule="exact"/>
        <w:ind w:firstLine="420" w:firstLineChars="200"/>
      </w:pPr>
      <w:r>
        <w:rPr>
          <w:rFonts w:hint="eastAsia"/>
        </w:rPr>
        <w:t>21.2.2 如不可抗力持续发生，合同一方当事人应及时向合同另一方当事人和监理人提交中间报告，说明不可抗力和履行合同受阻的情况，并于不可抗力事件结束后28天内提交最终报告及有关资料。</w:t>
      </w:r>
    </w:p>
    <w:p w14:paraId="6BAA236B">
      <w:pPr>
        <w:pStyle w:val="251"/>
        <w:tabs>
          <w:tab w:val="left" w:pos="720"/>
        </w:tabs>
        <w:outlineLvl w:val="0"/>
      </w:pPr>
      <w:r>
        <w:rPr>
          <w:rFonts w:hint="eastAsia"/>
        </w:rPr>
        <w:t>21.3 不可抗力后果及其处理</w:t>
      </w:r>
    </w:p>
    <w:p w14:paraId="5EE7D6ED">
      <w:pPr>
        <w:spacing w:line="400" w:lineRule="exact"/>
        <w:ind w:firstLine="420" w:firstLineChars="200"/>
      </w:pPr>
      <w:r>
        <w:rPr>
          <w:rFonts w:hint="eastAsia"/>
        </w:rPr>
        <w:t xml:space="preserve">21.3.1 </w:t>
      </w:r>
      <w:r>
        <w:rPr>
          <w:rFonts w:hint="eastAsia" w:ascii="黑体" w:eastAsia="黑体"/>
        </w:rPr>
        <w:t>不可抗力造成损害的责任</w:t>
      </w:r>
    </w:p>
    <w:p w14:paraId="0342E649">
      <w:pPr>
        <w:spacing w:line="400" w:lineRule="exact"/>
        <w:ind w:firstLine="420" w:firstLineChars="200"/>
      </w:pPr>
      <w:r>
        <w:rPr>
          <w:rFonts w:hint="eastAsia"/>
        </w:rPr>
        <w:t>除专用合同条款另有约定外，不可抗力导致的人员伤亡、财产损失、费用增加和（或）工期延误等后果，由合同双方按以下原则承担：</w:t>
      </w:r>
    </w:p>
    <w:p w14:paraId="6CE3DB17">
      <w:pPr>
        <w:spacing w:line="400" w:lineRule="exact"/>
        <w:ind w:firstLine="718" w:firstLineChars="342"/>
      </w:pPr>
      <w:r>
        <w:rPr>
          <w:rFonts w:hint="eastAsia"/>
        </w:rPr>
        <w:t>（1）永久工程，包括已运至施工场地的材料和工程设备的损害，以及因工程损害造成的第三者人员伤亡和财产损失由甲方承担；</w:t>
      </w:r>
    </w:p>
    <w:p w14:paraId="222D1960">
      <w:pPr>
        <w:spacing w:line="400" w:lineRule="exact"/>
        <w:ind w:firstLine="718" w:firstLineChars="342"/>
      </w:pPr>
      <w:r>
        <w:rPr>
          <w:rFonts w:hint="eastAsia"/>
        </w:rPr>
        <w:t>（2）乙方设备的损坏由乙方承担；</w:t>
      </w:r>
    </w:p>
    <w:p w14:paraId="641FB455">
      <w:pPr>
        <w:spacing w:line="400" w:lineRule="exact"/>
        <w:ind w:firstLine="718" w:firstLineChars="342"/>
      </w:pPr>
      <w:r>
        <w:rPr>
          <w:rFonts w:hint="eastAsia"/>
        </w:rPr>
        <w:t>（3）甲方和乙方各自承担其人员伤亡和其他财产损失及其相关费用；</w:t>
      </w:r>
    </w:p>
    <w:p w14:paraId="06A58158">
      <w:pPr>
        <w:spacing w:line="400" w:lineRule="exact"/>
        <w:ind w:firstLine="718" w:firstLineChars="342"/>
      </w:pPr>
      <w:r>
        <w:rPr>
          <w:rFonts w:hint="eastAsia"/>
        </w:rPr>
        <w:t>（4）乙方的停工损失由乙方承担，但停工期间应监理人要求照管工程和清理、修复工程的金额由甲方承担；</w:t>
      </w:r>
    </w:p>
    <w:p w14:paraId="5D5D0638">
      <w:pPr>
        <w:spacing w:line="400" w:lineRule="exact"/>
        <w:ind w:firstLine="718" w:firstLineChars="342"/>
      </w:pPr>
      <w:r>
        <w:rPr>
          <w:rFonts w:hint="eastAsia"/>
        </w:rPr>
        <w:t>（5）不能按期竣工的，应合理延长工期，乙方不需支付逾期竣工违约金。甲方要求赶工的，乙方应采取赶工措施，赶工费用由甲方承担。</w:t>
      </w:r>
    </w:p>
    <w:p w14:paraId="2471B357">
      <w:pPr>
        <w:spacing w:line="400" w:lineRule="exact"/>
        <w:ind w:firstLine="420" w:firstLineChars="200"/>
      </w:pPr>
      <w:r>
        <w:rPr>
          <w:rFonts w:hint="eastAsia"/>
        </w:rPr>
        <w:t xml:space="preserve">21.3.2 </w:t>
      </w:r>
      <w:r>
        <w:rPr>
          <w:rFonts w:hint="eastAsia" w:ascii="黑体" w:eastAsia="黑体"/>
        </w:rPr>
        <w:t>延迟履行期间发生的不可抗力</w:t>
      </w:r>
    </w:p>
    <w:p w14:paraId="1FCADB94">
      <w:pPr>
        <w:spacing w:line="400" w:lineRule="exact"/>
        <w:ind w:firstLine="420" w:firstLineChars="200"/>
      </w:pPr>
      <w:r>
        <w:rPr>
          <w:rFonts w:hint="eastAsia"/>
        </w:rPr>
        <w:t>合同一方当事人延迟履行，在延迟履行期间发生不可抗力的，不免除其责任。</w:t>
      </w:r>
    </w:p>
    <w:p w14:paraId="58DA2417">
      <w:pPr>
        <w:spacing w:line="400" w:lineRule="exact"/>
        <w:ind w:firstLine="420" w:firstLineChars="200"/>
      </w:pPr>
      <w:r>
        <w:rPr>
          <w:rFonts w:hint="eastAsia"/>
        </w:rPr>
        <w:t xml:space="preserve">21.3.3 </w:t>
      </w:r>
      <w:r>
        <w:rPr>
          <w:rFonts w:hint="eastAsia" w:ascii="黑体" w:eastAsia="黑体"/>
        </w:rPr>
        <w:t>避免和减少不可抗力损失</w:t>
      </w:r>
    </w:p>
    <w:p w14:paraId="190B442F">
      <w:pPr>
        <w:spacing w:line="400" w:lineRule="exact"/>
        <w:ind w:firstLine="420" w:firstLineChars="200"/>
      </w:pPr>
      <w:r>
        <w:rPr>
          <w:rFonts w:hint="eastAsia"/>
        </w:rPr>
        <w:t>不可抗力发生后，甲方和乙方均应采取措施尽量避免和减少损失的扩大，任何一方没有采取有效措施导致损失扩大的，应对扩大的损失承担责任。</w:t>
      </w:r>
    </w:p>
    <w:p w14:paraId="556F1788">
      <w:pPr>
        <w:spacing w:line="400" w:lineRule="exact"/>
        <w:ind w:firstLine="420" w:firstLineChars="200"/>
      </w:pPr>
      <w:r>
        <w:rPr>
          <w:rFonts w:hint="eastAsia"/>
        </w:rPr>
        <w:t xml:space="preserve">21.3.4 </w:t>
      </w:r>
      <w:r>
        <w:rPr>
          <w:rFonts w:hint="eastAsia" w:ascii="黑体" w:eastAsia="黑体"/>
        </w:rPr>
        <w:t>因不可抗力解除合同</w:t>
      </w:r>
    </w:p>
    <w:p w14:paraId="5498FA46">
      <w:pPr>
        <w:spacing w:line="400" w:lineRule="exact"/>
        <w:ind w:firstLine="420" w:firstLineChars="200"/>
      </w:pPr>
      <w:r>
        <w:rPr>
          <w:rFonts w:hint="eastAsia"/>
        </w:rPr>
        <w:t>合同一方当事人因不可抗力不能履行合同的，应当及时通知对方解除合同。合同解除后，乙方应按照第22.2.5项约定撤离施工场地。已经订货的材料、设备由订货方负责退货或解除订货合同，不能退还的货款和因退货、解除订货合同发生的费用，由甲方承担，因未及时退货造成的损失由责任方承担。合同解除后的付款，参照第22.2.4项约定，由监理人按第3.5款商定或确定。</w:t>
      </w:r>
    </w:p>
    <w:p w14:paraId="4AA3774B">
      <w:pPr>
        <w:pStyle w:val="250"/>
        <w:spacing w:before="0"/>
        <w:outlineLvl w:val="0"/>
      </w:pPr>
      <w:r>
        <w:rPr>
          <w:rFonts w:hint="eastAsia"/>
        </w:rPr>
        <w:t>22. 违约</w:t>
      </w:r>
    </w:p>
    <w:p w14:paraId="3D6DC1A1">
      <w:pPr>
        <w:pStyle w:val="251"/>
        <w:tabs>
          <w:tab w:val="left" w:pos="720"/>
        </w:tabs>
        <w:outlineLvl w:val="0"/>
      </w:pPr>
      <w:r>
        <w:rPr>
          <w:rFonts w:hint="eastAsia"/>
        </w:rPr>
        <w:t>22.1 乙方违约</w:t>
      </w:r>
    </w:p>
    <w:p w14:paraId="59F51ADA">
      <w:pPr>
        <w:spacing w:line="400" w:lineRule="exact"/>
        <w:ind w:firstLine="420" w:firstLineChars="200"/>
      </w:pPr>
      <w:r>
        <w:rPr>
          <w:rFonts w:hint="eastAsia"/>
        </w:rPr>
        <w:t>22.1.1</w:t>
      </w:r>
      <w:r>
        <w:rPr>
          <w:rFonts w:hint="eastAsia" w:ascii="黑体" w:eastAsia="黑体"/>
        </w:rPr>
        <w:t xml:space="preserve"> 乙方违约的情形</w:t>
      </w:r>
    </w:p>
    <w:p w14:paraId="7EB1F47A">
      <w:pPr>
        <w:spacing w:line="400" w:lineRule="exact"/>
        <w:ind w:firstLine="420" w:firstLineChars="200"/>
      </w:pPr>
      <w:r>
        <w:rPr>
          <w:rFonts w:hint="eastAsia"/>
        </w:rPr>
        <w:t>在履行合同过程中发生的下列情况属乙方违约：</w:t>
      </w:r>
    </w:p>
    <w:p w14:paraId="73BC5556">
      <w:pPr>
        <w:spacing w:line="400" w:lineRule="exact"/>
        <w:ind w:firstLine="718" w:firstLineChars="342"/>
      </w:pPr>
      <w:r>
        <w:rPr>
          <w:rFonts w:hint="eastAsia"/>
        </w:rPr>
        <w:t>（1）乙方违反第1.8款或第4.3款的约定，私自将合同的全部或部分权利转让给其他人，或私自将合同的全部或部分义务转移给其他人；</w:t>
      </w:r>
    </w:p>
    <w:p w14:paraId="7B781027">
      <w:pPr>
        <w:spacing w:line="400" w:lineRule="exact"/>
        <w:ind w:firstLine="718" w:firstLineChars="342"/>
      </w:pPr>
      <w:r>
        <w:rPr>
          <w:rFonts w:hint="eastAsia"/>
        </w:rPr>
        <w:t>（2）乙方违反第5.3款或第6.4款的约定，未经监理人批准，私自将已按合同约定进入施工场地的施工设备、临时设施或材料撤离施工场地；</w:t>
      </w:r>
    </w:p>
    <w:p w14:paraId="7B68B48E">
      <w:pPr>
        <w:spacing w:line="400" w:lineRule="exact"/>
        <w:ind w:firstLine="718" w:firstLineChars="342"/>
      </w:pPr>
      <w:r>
        <w:rPr>
          <w:rFonts w:hint="eastAsia"/>
        </w:rPr>
        <w:t>（3）乙方违反第5.4款的约定使用了不合格材料或工程设备，工程质量达不到标准要求，又拒绝清除不合格工程；</w:t>
      </w:r>
    </w:p>
    <w:p w14:paraId="668ED08E">
      <w:pPr>
        <w:spacing w:line="400" w:lineRule="exact"/>
        <w:ind w:firstLine="718" w:firstLineChars="342"/>
      </w:pPr>
      <w:r>
        <w:rPr>
          <w:rFonts w:hint="eastAsia"/>
        </w:rPr>
        <w:t>（4）乙方未能按合同进度计划及时完成合同约定的工作，已造成或预期造成工期延误；</w:t>
      </w:r>
    </w:p>
    <w:p w14:paraId="7A5E640B">
      <w:pPr>
        <w:spacing w:line="400" w:lineRule="exact"/>
        <w:ind w:firstLine="718" w:firstLineChars="342"/>
      </w:pPr>
      <w:r>
        <w:rPr>
          <w:rFonts w:hint="eastAsia"/>
        </w:rPr>
        <w:t>（5）乙方在缺陷责任期内，未能对工程接收证书所列的缺陷清单的内容或缺陷责任期内发生的缺陷进行修复，而又拒绝按监理人指示再进行修补；</w:t>
      </w:r>
    </w:p>
    <w:p w14:paraId="3F80A3CF">
      <w:pPr>
        <w:spacing w:line="400" w:lineRule="exact"/>
        <w:ind w:firstLine="718" w:firstLineChars="342"/>
      </w:pPr>
      <w:r>
        <w:rPr>
          <w:rFonts w:hint="eastAsia"/>
        </w:rPr>
        <w:t>（6）乙方无法继续履行或明确表示不履行或实质上已停止履行合同；</w:t>
      </w:r>
    </w:p>
    <w:p w14:paraId="77B746F8">
      <w:pPr>
        <w:spacing w:line="400" w:lineRule="exact"/>
        <w:ind w:firstLine="718" w:firstLineChars="342"/>
      </w:pPr>
      <w:r>
        <w:rPr>
          <w:rFonts w:hint="eastAsia"/>
        </w:rPr>
        <w:t>（7）乙方不按合同约定履行义务的其他情况。</w:t>
      </w:r>
    </w:p>
    <w:p w14:paraId="21DC114E">
      <w:pPr>
        <w:spacing w:line="400" w:lineRule="exact"/>
        <w:ind w:firstLine="420" w:firstLineChars="200"/>
        <w:rPr>
          <w:rFonts w:ascii="黑体" w:eastAsia="黑体"/>
        </w:rPr>
      </w:pPr>
      <w:r>
        <w:rPr>
          <w:rFonts w:hint="eastAsia"/>
        </w:rPr>
        <w:t>22.1.2</w:t>
      </w:r>
      <w:r>
        <w:rPr>
          <w:rFonts w:hint="eastAsia" w:ascii="黑体" w:eastAsia="黑体"/>
        </w:rPr>
        <w:t xml:space="preserve"> 对乙方违约的处理</w:t>
      </w:r>
    </w:p>
    <w:p w14:paraId="6A962FAF">
      <w:pPr>
        <w:spacing w:line="400" w:lineRule="exact"/>
        <w:ind w:firstLine="718" w:firstLineChars="342"/>
      </w:pPr>
      <w:r>
        <w:rPr>
          <w:rFonts w:hint="eastAsia"/>
        </w:rPr>
        <w:t>（1）乙方发生第22.1.1（6）目约定的违约情况时，甲方可通知乙方立即解除合同，并按有关法律处理。</w:t>
      </w:r>
    </w:p>
    <w:p w14:paraId="0AAADCDC">
      <w:pPr>
        <w:spacing w:line="400" w:lineRule="exact"/>
        <w:ind w:firstLine="718" w:firstLineChars="342"/>
      </w:pPr>
      <w:r>
        <w:rPr>
          <w:rFonts w:hint="eastAsia"/>
        </w:rPr>
        <w:t>（2）乙方发生除第22.1.1（6）目约定以外的其他违约情况时，监理人可向乙方发出整改通知，要求其在指定的期限内改正。乙方应承担其违约所引起的费用增加和（或）工期延误。</w:t>
      </w:r>
    </w:p>
    <w:p w14:paraId="18DE0024">
      <w:pPr>
        <w:spacing w:line="400" w:lineRule="exact"/>
        <w:ind w:firstLine="718" w:firstLineChars="342"/>
      </w:pPr>
      <w:r>
        <w:rPr>
          <w:rFonts w:hint="eastAsia"/>
        </w:rPr>
        <w:t>（3）经检查证明乙方已采取了有效措施纠正违约行为，具备复工条件的，可由监理人签发复工通知复工。</w:t>
      </w:r>
    </w:p>
    <w:p w14:paraId="76BA2D3C">
      <w:pPr>
        <w:spacing w:line="400" w:lineRule="exact"/>
        <w:ind w:firstLine="420" w:firstLineChars="200"/>
        <w:rPr>
          <w:rFonts w:ascii="黑体" w:eastAsia="黑体"/>
        </w:rPr>
      </w:pPr>
      <w:r>
        <w:rPr>
          <w:rFonts w:hint="eastAsia"/>
        </w:rPr>
        <w:t>22.1.3</w:t>
      </w:r>
      <w:r>
        <w:rPr>
          <w:rFonts w:hint="eastAsia" w:ascii="黑体" w:eastAsia="黑体"/>
        </w:rPr>
        <w:t xml:space="preserve"> 乙方违约解除合同</w:t>
      </w:r>
    </w:p>
    <w:p w14:paraId="18B3A1BE">
      <w:pPr>
        <w:spacing w:line="400" w:lineRule="exact"/>
        <w:ind w:firstLine="420" w:firstLineChars="200"/>
      </w:pPr>
      <w:r>
        <w:rPr>
          <w:rFonts w:hint="eastAsia"/>
        </w:rPr>
        <w:t>监理人发出整改通知28天后，乙方仍不纠正违约行为的，甲方可向乙方发出解除合同通知。合同解除后，甲方可派员进驻施工场地，另行组织人员或委托其他乙方施工。甲方因继续完成该工程的需要，有权扣留使用乙方在现场的材料、设备和临时设施。但甲方的这一行动不免除乙方应承担的违约责任，也不影响甲方根据合同约定享有的索赔权利。</w:t>
      </w:r>
    </w:p>
    <w:p w14:paraId="34D6467C">
      <w:pPr>
        <w:spacing w:line="400" w:lineRule="exact"/>
        <w:ind w:firstLine="420" w:firstLineChars="200"/>
        <w:rPr>
          <w:rFonts w:ascii="黑体" w:eastAsia="黑体"/>
        </w:rPr>
      </w:pPr>
      <w:r>
        <w:rPr>
          <w:rFonts w:hint="eastAsia"/>
        </w:rPr>
        <w:t>22.1.4</w:t>
      </w:r>
      <w:r>
        <w:rPr>
          <w:rFonts w:hint="eastAsia" w:ascii="黑体" w:eastAsia="黑体"/>
        </w:rPr>
        <w:t xml:space="preserve"> 合同解除后的估价、付款和结清</w:t>
      </w:r>
    </w:p>
    <w:p w14:paraId="69A55F57">
      <w:pPr>
        <w:spacing w:line="400" w:lineRule="exact"/>
        <w:ind w:firstLine="718" w:firstLineChars="342"/>
      </w:pPr>
      <w:r>
        <w:rPr>
          <w:rFonts w:hint="eastAsia"/>
        </w:rPr>
        <w:t>（1）合同解除后，监理人按第3.5款商定或确定乙方实际完成工作的价值，以及乙方已提供的材料、施工设备、工程设备和临时工程等的价值。</w:t>
      </w:r>
    </w:p>
    <w:p w14:paraId="672DC560">
      <w:pPr>
        <w:spacing w:line="400" w:lineRule="exact"/>
        <w:ind w:firstLine="718" w:firstLineChars="342"/>
      </w:pPr>
      <w:r>
        <w:rPr>
          <w:rFonts w:hint="eastAsia"/>
        </w:rPr>
        <w:t>（2）合同解除后，甲方应暂停对乙方的一切付款，查清各项付款和已扣款金额，包括乙方应支付的违约金。</w:t>
      </w:r>
    </w:p>
    <w:p w14:paraId="621DE7A4">
      <w:pPr>
        <w:spacing w:line="400" w:lineRule="exact"/>
        <w:ind w:firstLine="718" w:firstLineChars="342"/>
      </w:pPr>
      <w:r>
        <w:rPr>
          <w:rFonts w:hint="eastAsia"/>
        </w:rPr>
        <w:t>（3）合同解除后，甲方应按第23.4款的约定向乙方索赔由于解除合同给甲方造成的损失。</w:t>
      </w:r>
    </w:p>
    <w:p w14:paraId="3D6200E4">
      <w:pPr>
        <w:spacing w:line="400" w:lineRule="exact"/>
        <w:ind w:firstLine="718" w:firstLineChars="342"/>
      </w:pPr>
      <w:r>
        <w:rPr>
          <w:rFonts w:hint="eastAsia"/>
        </w:rPr>
        <w:t>（4）合同双方确认上述往来款项后，出具最终结清付款证书，结清全部合同款项。</w:t>
      </w:r>
    </w:p>
    <w:p w14:paraId="1941DA97">
      <w:pPr>
        <w:spacing w:line="400" w:lineRule="exact"/>
        <w:ind w:firstLine="718" w:firstLineChars="342"/>
      </w:pPr>
      <w:r>
        <w:rPr>
          <w:rFonts w:hint="eastAsia"/>
        </w:rPr>
        <w:t>（5）甲方和乙方未能就解除合同后的结清达成一致而形成争议的，按第24条的约定办理。</w:t>
      </w:r>
    </w:p>
    <w:p w14:paraId="052959F3">
      <w:pPr>
        <w:spacing w:line="400" w:lineRule="exact"/>
        <w:ind w:firstLine="420" w:firstLineChars="200"/>
        <w:rPr>
          <w:rFonts w:ascii="黑体" w:eastAsia="黑体"/>
        </w:rPr>
      </w:pPr>
      <w:r>
        <w:rPr>
          <w:rFonts w:hint="eastAsia"/>
        </w:rPr>
        <w:t>22.1.5</w:t>
      </w:r>
      <w:r>
        <w:rPr>
          <w:rFonts w:hint="eastAsia" w:ascii="黑体" w:eastAsia="黑体"/>
        </w:rPr>
        <w:t xml:space="preserve"> 协议利益的转让</w:t>
      </w:r>
    </w:p>
    <w:p w14:paraId="02930DD1">
      <w:pPr>
        <w:spacing w:line="400" w:lineRule="exact"/>
        <w:ind w:firstLine="420" w:firstLineChars="200"/>
      </w:pPr>
      <w:r>
        <w:rPr>
          <w:rFonts w:hint="eastAsia"/>
        </w:rPr>
        <w:t>因乙方违约解除合同的，甲方有权要求乙方将其为实施合同而签订的材料和设备的订货协议或任何服务协议利益转让给甲方，并在解除合同后的14天内，依法办理转让手续。</w:t>
      </w:r>
    </w:p>
    <w:p w14:paraId="6B456920">
      <w:pPr>
        <w:spacing w:line="400" w:lineRule="exact"/>
        <w:ind w:firstLine="420" w:firstLineChars="200"/>
        <w:rPr>
          <w:rFonts w:ascii="黑体" w:eastAsia="黑体"/>
        </w:rPr>
      </w:pPr>
      <w:r>
        <w:rPr>
          <w:rFonts w:hint="eastAsia"/>
        </w:rPr>
        <w:t>22.1.6</w:t>
      </w:r>
      <w:r>
        <w:rPr>
          <w:rFonts w:hint="eastAsia" w:ascii="黑体" w:eastAsia="黑体"/>
        </w:rPr>
        <w:t xml:space="preserve"> 紧急情况下无能力或不愿进行抢救</w:t>
      </w:r>
    </w:p>
    <w:p w14:paraId="0DB1687C">
      <w:pPr>
        <w:spacing w:line="400" w:lineRule="exact"/>
        <w:ind w:firstLine="420" w:firstLineChars="200"/>
      </w:pPr>
      <w:r>
        <w:rPr>
          <w:rFonts w:hint="eastAsia"/>
        </w:rPr>
        <w:t>在工程实施期间或缺陷责任期内发生危及工程安全的事件，监理人通知乙方进行抢救，乙方声明无能力或不愿立即执行的，甲方有权雇佣其他人员进行抢救。此类抢救按合同约定属于乙方义务的，由此发生的金额和（或）工期延误由乙方承担。</w:t>
      </w:r>
    </w:p>
    <w:p w14:paraId="60193E0E">
      <w:pPr>
        <w:pStyle w:val="251"/>
        <w:tabs>
          <w:tab w:val="left" w:pos="720"/>
        </w:tabs>
        <w:outlineLvl w:val="0"/>
      </w:pPr>
      <w:r>
        <w:rPr>
          <w:rFonts w:hint="eastAsia"/>
        </w:rPr>
        <w:t>22.2 甲方违约</w:t>
      </w:r>
    </w:p>
    <w:p w14:paraId="547BC27F">
      <w:pPr>
        <w:spacing w:line="400" w:lineRule="exact"/>
        <w:ind w:firstLine="420" w:firstLineChars="200"/>
        <w:rPr>
          <w:rFonts w:ascii="黑体" w:eastAsia="黑体"/>
        </w:rPr>
      </w:pPr>
      <w:r>
        <w:rPr>
          <w:rFonts w:hint="eastAsia"/>
        </w:rPr>
        <w:t xml:space="preserve">22.2.1 </w:t>
      </w:r>
      <w:r>
        <w:rPr>
          <w:rFonts w:hint="eastAsia" w:ascii="黑体" w:eastAsia="黑体"/>
        </w:rPr>
        <w:t>甲方违约的情形</w:t>
      </w:r>
    </w:p>
    <w:p w14:paraId="639DF3DE">
      <w:pPr>
        <w:spacing w:line="400" w:lineRule="exact"/>
        <w:ind w:firstLine="420" w:firstLineChars="200"/>
      </w:pPr>
      <w:r>
        <w:rPr>
          <w:rFonts w:hint="eastAsia"/>
        </w:rPr>
        <w:t>在履行合同过程中发生的下列情形，属甲方违约：</w:t>
      </w:r>
    </w:p>
    <w:p w14:paraId="451B36D3">
      <w:pPr>
        <w:spacing w:line="400" w:lineRule="exact"/>
        <w:ind w:firstLine="718" w:firstLineChars="342"/>
      </w:pPr>
      <w:r>
        <w:rPr>
          <w:rFonts w:hint="eastAsia"/>
        </w:rPr>
        <w:t>（1）甲方未能按合同约定支付预付款或合同价款，或拖延、拒绝批准付款申请和支付凭证，导致付款延误的；</w:t>
      </w:r>
    </w:p>
    <w:p w14:paraId="15F0D5C9">
      <w:pPr>
        <w:spacing w:line="400" w:lineRule="exact"/>
        <w:ind w:firstLine="718" w:firstLineChars="342"/>
      </w:pPr>
      <w:r>
        <w:rPr>
          <w:rFonts w:hint="eastAsia"/>
        </w:rPr>
        <w:t>（2）甲方原因造成停工的；</w:t>
      </w:r>
    </w:p>
    <w:p w14:paraId="474BB374">
      <w:pPr>
        <w:spacing w:line="400" w:lineRule="exact"/>
        <w:ind w:firstLine="718" w:firstLineChars="342"/>
      </w:pPr>
      <w:r>
        <w:rPr>
          <w:rFonts w:hint="eastAsia"/>
        </w:rPr>
        <w:t>（3）监理人无正当理由没有在约定期限内发出复工指示，导致乙方无法复工的；</w:t>
      </w:r>
    </w:p>
    <w:p w14:paraId="60BF970A">
      <w:pPr>
        <w:spacing w:line="400" w:lineRule="exact"/>
        <w:ind w:firstLine="718" w:firstLineChars="342"/>
      </w:pPr>
      <w:r>
        <w:rPr>
          <w:rFonts w:hint="eastAsia"/>
        </w:rPr>
        <w:t>（4）甲方无法继续履行或明确表示不履行或实质上已停止履行合同的；</w:t>
      </w:r>
    </w:p>
    <w:p w14:paraId="74424CD1">
      <w:pPr>
        <w:spacing w:line="400" w:lineRule="exact"/>
        <w:ind w:firstLine="718" w:firstLineChars="342"/>
      </w:pPr>
      <w:r>
        <w:rPr>
          <w:rFonts w:hint="eastAsia"/>
        </w:rPr>
        <w:t>（5）甲方不履行合同约定其他义务的。</w:t>
      </w:r>
    </w:p>
    <w:p w14:paraId="01FE8D4A">
      <w:pPr>
        <w:spacing w:line="400" w:lineRule="exact"/>
        <w:ind w:firstLine="420" w:firstLineChars="200"/>
      </w:pPr>
      <w:r>
        <w:rPr>
          <w:rFonts w:hint="eastAsia"/>
        </w:rPr>
        <w:t>22.2.2</w:t>
      </w:r>
      <w:r>
        <w:rPr>
          <w:rFonts w:hint="eastAsia" w:ascii="黑体" w:eastAsia="黑体"/>
        </w:rPr>
        <w:t xml:space="preserve"> 乙方有权暂停施工</w:t>
      </w:r>
    </w:p>
    <w:p w14:paraId="1A77C296">
      <w:pPr>
        <w:spacing w:line="400" w:lineRule="exact"/>
        <w:ind w:firstLine="420" w:firstLineChars="200"/>
      </w:pPr>
      <w:r>
        <w:rPr>
          <w:rFonts w:hint="eastAsia"/>
        </w:rPr>
        <w:t>甲方发生除第22.2.1（4）目以外的违约情况时，乙方可向甲方发出通知，要求甲方采取有效措施纠正违约行为。甲方收到乙方通知后的28天内仍不履行合同义务，乙方有权暂停施工，并通知监理人，甲方应承担由此增加的费用和（或）工期延误，并支付乙方合理利润。</w:t>
      </w:r>
    </w:p>
    <w:p w14:paraId="0764D156">
      <w:pPr>
        <w:spacing w:line="400" w:lineRule="exact"/>
        <w:ind w:firstLine="420" w:firstLineChars="200"/>
      </w:pPr>
      <w:r>
        <w:rPr>
          <w:rFonts w:hint="eastAsia"/>
        </w:rPr>
        <w:t>22.2.3</w:t>
      </w:r>
      <w:r>
        <w:rPr>
          <w:rFonts w:hint="eastAsia" w:ascii="黑体" w:eastAsia="黑体"/>
        </w:rPr>
        <w:t xml:space="preserve"> 甲方违约解除合同</w:t>
      </w:r>
    </w:p>
    <w:p w14:paraId="42A2CB0D">
      <w:pPr>
        <w:spacing w:line="400" w:lineRule="exact"/>
        <w:ind w:firstLine="718" w:firstLineChars="342"/>
      </w:pPr>
      <w:r>
        <w:rPr>
          <w:rFonts w:hint="eastAsia"/>
        </w:rPr>
        <w:t>（1）发生第22.2.1（4）目的违约情况时，乙方可书面通知甲方解除合同。</w:t>
      </w:r>
    </w:p>
    <w:p w14:paraId="454731AC">
      <w:pPr>
        <w:spacing w:line="400" w:lineRule="exact"/>
        <w:ind w:firstLine="718" w:firstLineChars="342"/>
      </w:pPr>
      <w:r>
        <w:rPr>
          <w:rFonts w:hint="eastAsia"/>
        </w:rPr>
        <w:t>（2）乙方按22.2.2项暂停施工28天后，甲方仍不纠正违约行为的，乙方可向甲方发出解除合同通知。但乙方的这一行动不免除甲方承担的违约责任，也不影响乙方根据合同约定享有的索赔权利。</w:t>
      </w:r>
    </w:p>
    <w:p w14:paraId="749B0426">
      <w:pPr>
        <w:spacing w:line="400" w:lineRule="exact"/>
        <w:ind w:firstLine="420" w:firstLineChars="200"/>
        <w:rPr>
          <w:rFonts w:ascii="黑体" w:eastAsia="黑体"/>
        </w:rPr>
      </w:pPr>
      <w:r>
        <w:rPr>
          <w:rFonts w:hint="eastAsia"/>
        </w:rPr>
        <w:t>22.2.4</w:t>
      </w:r>
      <w:r>
        <w:rPr>
          <w:rFonts w:hint="eastAsia" w:ascii="黑体" w:eastAsia="黑体"/>
        </w:rPr>
        <w:t xml:space="preserve"> 解除合同后的付款</w:t>
      </w:r>
    </w:p>
    <w:p w14:paraId="4FF861C6">
      <w:pPr>
        <w:spacing w:line="400" w:lineRule="exact"/>
        <w:ind w:firstLine="420" w:firstLineChars="200"/>
      </w:pPr>
      <w:r>
        <w:rPr>
          <w:rFonts w:hint="eastAsia"/>
        </w:rPr>
        <w:t>因甲方违约解除合同的，甲方应在解除合同后28天内向乙方支付下列金额，乙方应在此期限内及时向甲方提交要求支付下列金额的有关资料和凭证：</w:t>
      </w:r>
    </w:p>
    <w:p w14:paraId="66C4D3AC">
      <w:pPr>
        <w:spacing w:line="400" w:lineRule="exact"/>
        <w:ind w:firstLine="718" w:firstLineChars="342"/>
      </w:pPr>
      <w:r>
        <w:rPr>
          <w:rFonts w:hint="eastAsia"/>
        </w:rPr>
        <w:t>（1）合同解除日以前所完成工作的价款；</w:t>
      </w:r>
    </w:p>
    <w:p w14:paraId="0140FD2B">
      <w:pPr>
        <w:spacing w:line="400" w:lineRule="exact"/>
        <w:ind w:firstLine="718" w:firstLineChars="342"/>
      </w:pPr>
      <w:r>
        <w:rPr>
          <w:rFonts w:hint="eastAsia"/>
        </w:rPr>
        <w:t>（2）乙方为该工程施工订购并已付款的材料、工程设备和其他物品的金额。甲方付还后，该材料、工程设备和其他物品归甲方所有；</w:t>
      </w:r>
    </w:p>
    <w:p w14:paraId="44390F1B">
      <w:pPr>
        <w:spacing w:line="400" w:lineRule="exact"/>
        <w:ind w:firstLine="718" w:firstLineChars="342"/>
      </w:pPr>
      <w:r>
        <w:rPr>
          <w:rFonts w:hint="eastAsia"/>
        </w:rPr>
        <w:t>（3）乙方为完成工程所发生的，而甲方未支付的金额；</w:t>
      </w:r>
    </w:p>
    <w:p w14:paraId="1DA5763E">
      <w:pPr>
        <w:spacing w:line="400" w:lineRule="exact"/>
        <w:ind w:firstLine="718" w:firstLineChars="342"/>
      </w:pPr>
      <w:r>
        <w:rPr>
          <w:rFonts w:hint="eastAsia"/>
        </w:rPr>
        <w:t>（4）乙方撤离施工场地以及遣散乙方人员的金额；</w:t>
      </w:r>
    </w:p>
    <w:p w14:paraId="3298F699">
      <w:pPr>
        <w:spacing w:line="400" w:lineRule="exact"/>
        <w:ind w:firstLine="718" w:firstLineChars="342"/>
      </w:pPr>
      <w:r>
        <w:rPr>
          <w:rFonts w:hint="eastAsia"/>
        </w:rPr>
        <w:t>（5）由于解除合同应赔偿的乙方损失；</w:t>
      </w:r>
    </w:p>
    <w:p w14:paraId="75DAFFBD">
      <w:pPr>
        <w:spacing w:line="400" w:lineRule="exact"/>
        <w:ind w:firstLine="718" w:firstLineChars="342"/>
      </w:pPr>
      <w:r>
        <w:rPr>
          <w:rFonts w:hint="eastAsia"/>
        </w:rPr>
        <w:t>（6）按合同约定在合同解除日前应支付给乙方的其他金额。</w:t>
      </w:r>
    </w:p>
    <w:p w14:paraId="6760B488">
      <w:pPr>
        <w:spacing w:line="400" w:lineRule="exact"/>
        <w:ind w:firstLine="420" w:firstLineChars="200"/>
      </w:pPr>
      <w:r>
        <w:rPr>
          <w:rFonts w:hint="eastAsia"/>
        </w:rPr>
        <w:t>甲方应按本项约定支付上述金额并退还质量保证金和履约担保，但有权要求乙方支付应偿还给甲方的各项金额。</w:t>
      </w:r>
    </w:p>
    <w:p w14:paraId="4B3BAA5D">
      <w:pPr>
        <w:spacing w:line="400" w:lineRule="exact"/>
        <w:ind w:firstLine="420" w:firstLineChars="200"/>
        <w:rPr>
          <w:rFonts w:ascii="黑体" w:eastAsia="黑体"/>
        </w:rPr>
      </w:pPr>
      <w:r>
        <w:rPr>
          <w:rFonts w:hint="eastAsia"/>
        </w:rPr>
        <w:t>22.2.5</w:t>
      </w:r>
      <w:r>
        <w:rPr>
          <w:rFonts w:hint="eastAsia" w:ascii="黑体" w:eastAsia="黑体"/>
        </w:rPr>
        <w:t xml:space="preserve"> 解除合同后的乙方撤离</w:t>
      </w:r>
    </w:p>
    <w:p w14:paraId="1CAD9635">
      <w:pPr>
        <w:spacing w:line="400" w:lineRule="exact"/>
        <w:ind w:firstLine="420" w:firstLineChars="200"/>
      </w:pPr>
      <w:r>
        <w:rPr>
          <w:rFonts w:hint="eastAsia"/>
        </w:rPr>
        <w:t>因甲方违约而解除合同后，乙方应妥善做好已竣工工程和已购材料、设备的保护和移交工作，按甲方要求将乙方设备和人员撤出施工场地。乙方撤出施工场地应遵守第18.7.1项的约定，甲方应为乙方撤出提供必要条件。</w:t>
      </w:r>
    </w:p>
    <w:p w14:paraId="558905F4">
      <w:pPr>
        <w:pStyle w:val="251"/>
        <w:tabs>
          <w:tab w:val="left" w:pos="720"/>
        </w:tabs>
        <w:outlineLvl w:val="0"/>
      </w:pPr>
      <w:r>
        <w:rPr>
          <w:rFonts w:hint="eastAsia"/>
        </w:rPr>
        <w:t>22.3 第三人造成的违约</w:t>
      </w:r>
    </w:p>
    <w:p w14:paraId="4CE282C0">
      <w:pPr>
        <w:spacing w:line="400" w:lineRule="exact"/>
        <w:ind w:firstLine="420" w:firstLineChars="200"/>
      </w:pPr>
      <w:r>
        <w:rPr>
          <w:rFonts w:hint="eastAsia"/>
        </w:rPr>
        <w:t>在履行合同过程中，一方当事人因第三人的原因造成违约的，应当向对方当事人承担违约责任。一方当事人和第三人之间的纠纷，依照法律规定或者按照约定解决。</w:t>
      </w:r>
    </w:p>
    <w:p w14:paraId="22C96503">
      <w:pPr>
        <w:pStyle w:val="250"/>
        <w:spacing w:before="0"/>
        <w:outlineLvl w:val="0"/>
      </w:pPr>
      <w:r>
        <w:rPr>
          <w:rFonts w:hint="eastAsia"/>
        </w:rPr>
        <w:t>23. 索赔</w:t>
      </w:r>
    </w:p>
    <w:p w14:paraId="2B68DB9F">
      <w:pPr>
        <w:pStyle w:val="251"/>
        <w:tabs>
          <w:tab w:val="left" w:pos="720"/>
        </w:tabs>
        <w:outlineLvl w:val="0"/>
      </w:pPr>
      <w:r>
        <w:rPr>
          <w:rFonts w:hint="eastAsia"/>
        </w:rPr>
        <w:t>23.1 乙方索赔的提出</w:t>
      </w:r>
    </w:p>
    <w:p w14:paraId="125D7CA8">
      <w:pPr>
        <w:spacing w:line="400" w:lineRule="exact"/>
        <w:ind w:firstLine="420" w:firstLineChars="200"/>
      </w:pPr>
      <w:r>
        <w:rPr>
          <w:rFonts w:hint="eastAsia"/>
        </w:rPr>
        <w:t>根据合同约定，乙方认为有权得到追加付款和（或）延长工期的，应按以下程序向甲方提出索赔：</w:t>
      </w:r>
    </w:p>
    <w:p w14:paraId="66D3EEEA">
      <w:pPr>
        <w:spacing w:line="400" w:lineRule="exact"/>
        <w:ind w:firstLine="359" w:firstLineChars="171"/>
      </w:pPr>
      <w:r>
        <w:rPr>
          <w:rFonts w:hint="eastAsia"/>
        </w:rPr>
        <w:t>（1）乙方应在知道或应当知道索赔事件发生后28天内，向监理人递交索赔意向通知书，并说明发生索赔事件的事由。乙方未在前述28天内发出索赔意向通知书的，丧失要求追加付款和（或）延长工期的权利；</w:t>
      </w:r>
    </w:p>
    <w:p w14:paraId="64876F53">
      <w:pPr>
        <w:spacing w:line="400" w:lineRule="exact"/>
        <w:ind w:firstLine="359" w:firstLineChars="171"/>
      </w:pPr>
      <w:r>
        <w:rPr>
          <w:rFonts w:hint="eastAsia"/>
        </w:rPr>
        <w:t>（2）乙方应在发出索赔意向通知书后28天内，向监理人正式递交索赔通知书。索赔通知书应详细说明索赔理由以及要求追加的付款金额和（或）延长的工期，并附必要的记录和证明材料；</w:t>
      </w:r>
    </w:p>
    <w:p w14:paraId="301CE954">
      <w:pPr>
        <w:spacing w:line="400" w:lineRule="exact"/>
        <w:ind w:firstLine="359" w:firstLineChars="171"/>
      </w:pPr>
      <w:r>
        <w:rPr>
          <w:rFonts w:hint="eastAsia"/>
        </w:rPr>
        <w:t>（3）索赔事件具有连续影响的，乙方应按合理时间间隔继续递交延续索赔通知，说明连续影响的实际情况和记录，列出累计的追加付款金额和（或）工期延长天数；</w:t>
      </w:r>
    </w:p>
    <w:p w14:paraId="2C510AA2">
      <w:pPr>
        <w:spacing w:line="400" w:lineRule="exact"/>
        <w:ind w:firstLine="359" w:firstLineChars="171"/>
      </w:pPr>
      <w:r>
        <w:rPr>
          <w:rFonts w:hint="eastAsia"/>
        </w:rPr>
        <w:t>（4）在索赔事件影响结束后的28天内，乙方应向监理人递交最终索赔通知书，说明最终要求索赔的追加付款金额和延长的工期，并附必要的记录和证明材料。</w:t>
      </w:r>
    </w:p>
    <w:p w14:paraId="52C4885C">
      <w:pPr>
        <w:pStyle w:val="251"/>
        <w:tabs>
          <w:tab w:val="left" w:pos="720"/>
        </w:tabs>
        <w:outlineLvl w:val="0"/>
      </w:pPr>
      <w:r>
        <w:rPr>
          <w:rFonts w:hint="eastAsia"/>
        </w:rPr>
        <w:t>23.2 乙方索赔处理程序</w:t>
      </w:r>
    </w:p>
    <w:p w14:paraId="5237797B">
      <w:pPr>
        <w:spacing w:line="400" w:lineRule="exact"/>
        <w:ind w:firstLine="359" w:firstLineChars="171"/>
      </w:pPr>
      <w:r>
        <w:rPr>
          <w:rFonts w:hint="eastAsia"/>
        </w:rPr>
        <w:t>（1）监理人收到乙方提交的索赔通知书后，应及时审查索赔通知书的内容、查验乙方的记录和证明材料，必要时监理人可要求乙方提交全部原始记录副本。</w:t>
      </w:r>
    </w:p>
    <w:p w14:paraId="5EB5A738">
      <w:pPr>
        <w:spacing w:line="400" w:lineRule="exact"/>
        <w:ind w:firstLine="359" w:firstLineChars="171"/>
      </w:pPr>
      <w:r>
        <w:rPr>
          <w:rFonts w:hint="eastAsia"/>
        </w:rPr>
        <w:t>（2）监理人应按第3.5款商定或确定追加的付款和（或）延长的工期，并在收到上述索赔通知书或有关索赔的进一步证明材料后的42天内，将索赔处理结果答复乙方。</w:t>
      </w:r>
    </w:p>
    <w:p w14:paraId="324C0031">
      <w:pPr>
        <w:spacing w:line="400" w:lineRule="exact"/>
        <w:ind w:firstLine="359" w:firstLineChars="171"/>
      </w:pPr>
      <w:r>
        <w:rPr>
          <w:rFonts w:hint="eastAsia"/>
        </w:rPr>
        <w:t>（3）乙方接受索赔处理结果的，甲方应在作出索赔处理结果答复后28天内完成赔付。乙方不接受索赔处理结果的，按第24条的约定办理。</w:t>
      </w:r>
    </w:p>
    <w:p w14:paraId="69E79504">
      <w:pPr>
        <w:pStyle w:val="251"/>
        <w:tabs>
          <w:tab w:val="left" w:pos="720"/>
        </w:tabs>
        <w:outlineLvl w:val="0"/>
      </w:pPr>
      <w:r>
        <w:rPr>
          <w:rFonts w:hint="eastAsia"/>
        </w:rPr>
        <w:t>23.3 乙方提出索赔的期限</w:t>
      </w:r>
    </w:p>
    <w:p w14:paraId="48B07463">
      <w:pPr>
        <w:spacing w:line="400" w:lineRule="exact"/>
        <w:ind w:firstLine="420" w:firstLineChars="200"/>
      </w:pPr>
      <w:r>
        <w:rPr>
          <w:rFonts w:hint="eastAsia"/>
        </w:rPr>
        <w:t>23.3.1 乙方按第17.5款的约定接受了竣工付款证书后，应被认为已无权再提出在合同工程接收证书颁发前所发生的任何索赔。</w:t>
      </w:r>
    </w:p>
    <w:p w14:paraId="3C719156">
      <w:pPr>
        <w:spacing w:line="400" w:lineRule="exact"/>
        <w:ind w:firstLine="420" w:firstLineChars="200"/>
        <w:rPr>
          <w:shd w:val="pct10" w:color="auto" w:fill="FFFFFF"/>
        </w:rPr>
      </w:pPr>
      <w:r>
        <w:rPr>
          <w:rFonts w:hint="eastAsia"/>
        </w:rPr>
        <w:t>23.3.2 乙方按第17.6款的约定提交的最终结清申请单中，只限于提出工程接收证书颁发后发生的索赔。提出索赔的期限自接受最终结清证书时终止。</w:t>
      </w:r>
    </w:p>
    <w:p w14:paraId="71C0C2FE">
      <w:pPr>
        <w:pStyle w:val="251"/>
        <w:tabs>
          <w:tab w:val="left" w:pos="720"/>
        </w:tabs>
        <w:outlineLvl w:val="0"/>
      </w:pPr>
      <w:r>
        <w:rPr>
          <w:rFonts w:hint="eastAsia"/>
        </w:rPr>
        <w:t>23.4 甲方的索赔</w:t>
      </w:r>
    </w:p>
    <w:p w14:paraId="4E3E2F48">
      <w:pPr>
        <w:spacing w:line="400" w:lineRule="exact"/>
        <w:ind w:firstLine="420" w:firstLineChars="200"/>
      </w:pPr>
      <w:r>
        <w:rPr>
          <w:rFonts w:hint="eastAsia"/>
        </w:rPr>
        <w:t>23.4.1 发生索赔事件后，监理人应及时书面通知乙方，详细说明甲方有权得到的索赔金额和（或）延长缺陷责任期的细节和依据。甲方提出索赔的期限和要求与第23.3款的约定相同，延长缺陷责任期的通知应在缺陷责任期届满前发出。</w:t>
      </w:r>
    </w:p>
    <w:p w14:paraId="33D163B2">
      <w:pPr>
        <w:spacing w:line="400" w:lineRule="exact"/>
        <w:ind w:firstLine="420" w:firstLineChars="200"/>
      </w:pPr>
      <w:r>
        <w:rPr>
          <w:rFonts w:hint="eastAsia"/>
        </w:rPr>
        <w:t>23.4.2 监理人按第3.5款商定或确定甲方从乙方处得到赔付的金额和（或）缺陷责任期的延长期。乙方应付给甲方的金额可从拟支付给乙方的合同价款中扣除，或由乙方以其他方式支付给甲方。</w:t>
      </w:r>
    </w:p>
    <w:p w14:paraId="0B2FA0D1">
      <w:pPr>
        <w:pStyle w:val="250"/>
        <w:spacing w:before="0"/>
        <w:outlineLvl w:val="0"/>
      </w:pPr>
      <w:r>
        <w:rPr>
          <w:rFonts w:hint="eastAsia"/>
        </w:rPr>
        <w:t>24. 争议的解决</w:t>
      </w:r>
    </w:p>
    <w:p w14:paraId="63D6C106">
      <w:pPr>
        <w:pStyle w:val="251"/>
        <w:tabs>
          <w:tab w:val="left" w:pos="720"/>
        </w:tabs>
        <w:outlineLvl w:val="0"/>
      </w:pPr>
      <w:r>
        <w:rPr>
          <w:rFonts w:hint="eastAsia"/>
        </w:rPr>
        <w:t>24.1 争议的解决方式</w:t>
      </w:r>
    </w:p>
    <w:p w14:paraId="3DAF442D">
      <w:pPr>
        <w:spacing w:line="400" w:lineRule="exact"/>
        <w:ind w:firstLine="420" w:firstLineChars="200"/>
      </w:pPr>
      <w:r>
        <w:rPr>
          <w:rFonts w:hint="eastAsia"/>
        </w:rPr>
        <w:t>甲方和乙方在履行合同中发生争议的，可以友好协商解决或者提请争议评审组评审。合同当事人友好协商解决不成、不愿提请争议评审或者不接受争议评审组意见的，可在专用合同条款中约定下列一种方式解决。</w:t>
      </w:r>
    </w:p>
    <w:p w14:paraId="6542EF17">
      <w:pPr>
        <w:spacing w:line="400" w:lineRule="exact"/>
        <w:ind w:firstLine="420" w:firstLineChars="200"/>
      </w:pPr>
      <w:r>
        <w:rPr>
          <w:rFonts w:hint="eastAsia"/>
        </w:rPr>
        <w:t>（1）向约定的仲裁委员会申请仲裁；</w:t>
      </w:r>
    </w:p>
    <w:p w14:paraId="145ECEBA">
      <w:pPr>
        <w:spacing w:line="400" w:lineRule="exact"/>
        <w:ind w:firstLine="420" w:firstLineChars="200"/>
      </w:pPr>
      <w:r>
        <w:rPr>
          <w:rFonts w:hint="eastAsia"/>
        </w:rPr>
        <w:t>（2）向有管辖权的人民法院提起诉讼。</w:t>
      </w:r>
    </w:p>
    <w:p w14:paraId="3D07D7D2">
      <w:pPr>
        <w:pStyle w:val="251"/>
        <w:tabs>
          <w:tab w:val="left" w:pos="720"/>
        </w:tabs>
        <w:outlineLvl w:val="0"/>
      </w:pPr>
      <w:r>
        <w:rPr>
          <w:rFonts w:hint="eastAsia"/>
        </w:rPr>
        <w:t>24.2 友好解决</w:t>
      </w:r>
    </w:p>
    <w:p w14:paraId="2CC74FC2">
      <w:pPr>
        <w:spacing w:line="400" w:lineRule="exact"/>
        <w:ind w:firstLine="420" w:firstLineChars="200"/>
      </w:pPr>
      <w:r>
        <w:rPr>
          <w:rFonts w:hint="eastAsia"/>
        </w:rPr>
        <w:t>在提请争议评审、仲裁或者诉讼前，以及在争议评审、仲裁或诉讼过程中，甲方和乙方均可共同努力友好协商解决争议。</w:t>
      </w:r>
    </w:p>
    <w:p w14:paraId="341B0DB2">
      <w:pPr>
        <w:pStyle w:val="251"/>
        <w:tabs>
          <w:tab w:val="left" w:pos="720"/>
        </w:tabs>
        <w:outlineLvl w:val="0"/>
      </w:pPr>
      <w:r>
        <w:rPr>
          <w:rFonts w:hint="eastAsia"/>
        </w:rPr>
        <w:t>24.3 争议评审</w:t>
      </w:r>
    </w:p>
    <w:p w14:paraId="7F7FF886">
      <w:pPr>
        <w:spacing w:line="400" w:lineRule="exact"/>
        <w:ind w:firstLine="420" w:firstLineChars="200"/>
      </w:pPr>
      <w:r>
        <w:rPr>
          <w:rFonts w:hint="eastAsia"/>
        </w:rPr>
        <w:t>24.3.1 采用争议评审的，甲方和乙方应在开工日后的28天内或在争议发生后，协商成立争议评审组。争议评审组由有合同管理和工程实践经验的专家组成。</w:t>
      </w:r>
    </w:p>
    <w:p w14:paraId="321197B7">
      <w:pPr>
        <w:spacing w:line="400" w:lineRule="exact"/>
        <w:ind w:firstLine="420" w:firstLineChars="200"/>
      </w:pPr>
      <w:r>
        <w:rPr>
          <w:rFonts w:hint="eastAsia"/>
        </w:rPr>
        <w:t>24.3.2 合同双方的争议，应首先由申请人向争议评审组提交一份详细的评审申请报告，并附必要的文件、图纸和证明材料，申请人还应将上述报告的副本同时提交给被申请人和监理人。</w:t>
      </w:r>
    </w:p>
    <w:p w14:paraId="59B83B5F">
      <w:pPr>
        <w:spacing w:line="400" w:lineRule="exact"/>
        <w:ind w:firstLine="420" w:firstLineChars="200"/>
      </w:pPr>
      <w:r>
        <w:rPr>
          <w:rFonts w:hint="eastAsia"/>
        </w:rPr>
        <w:t>24.3.3 被申请人在收到申请人评审申请报告副本后的28天内，向争议评审组提交一份答辩报告，并附证明材料。被申请人应将答辩报告的副本同时提交给申请人和监理人。</w:t>
      </w:r>
    </w:p>
    <w:p w14:paraId="65614864">
      <w:pPr>
        <w:spacing w:line="400" w:lineRule="exact"/>
        <w:ind w:firstLine="420" w:firstLineChars="200"/>
      </w:pPr>
      <w:r>
        <w:rPr>
          <w:rFonts w:hint="eastAsia"/>
        </w:rPr>
        <w:t>24.3.4 除专用合同条款另有约定外，争议评审组在收到合同双方报告后的14天内，邀请双方代表和有关人员举行调查会，向双方调查争议细节；必要时争议评审组可要求双方进一步提供补充材料。</w:t>
      </w:r>
    </w:p>
    <w:p w14:paraId="73C25F65">
      <w:pPr>
        <w:spacing w:line="400" w:lineRule="exact"/>
        <w:ind w:firstLine="420" w:firstLineChars="200"/>
      </w:pPr>
      <w:r>
        <w:rPr>
          <w:rFonts w:hint="eastAsia"/>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452A59C">
      <w:pPr>
        <w:spacing w:line="400" w:lineRule="exact"/>
        <w:ind w:firstLine="420" w:firstLineChars="200"/>
      </w:pPr>
      <w:r>
        <w:rPr>
          <w:rFonts w:hint="eastAsia"/>
        </w:rPr>
        <w:t>24.3.6 甲方和乙方接受评审意见的，由监理人根据评审意见拟定执行协议，经争议双方签字后作为合同的补充文件，并遵照执行。</w:t>
      </w:r>
    </w:p>
    <w:p w14:paraId="0188FB22">
      <w:pPr>
        <w:spacing w:line="400" w:lineRule="exact"/>
        <w:ind w:firstLine="420" w:firstLineChars="200"/>
      </w:pPr>
      <w:r>
        <w:rPr>
          <w:rFonts w:hint="eastAsia"/>
        </w:rPr>
        <w:t>24.3.7 甲方或乙方不接受评审意见，并要求提交仲裁或提起诉讼的，应在收到评审意见后的14天内将仲裁或起诉意向书面通知另一方，并抄送监理人，但在仲裁或诉讼结束前应暂按总监理工程师的确定执行。</w:t>
      </w:r>
    </w:p>
    <w:p w14:paraId="797FC1E6">
      <w:pPr>
        <w:spacing w:line="400" w:lineRule="exact"/>
        <w:rPr>
          <w:rFonts w:eastAsia="黑体"/>
          <w:sz w:val="28"/>
        </w:rPr>
      </w:pPr>
      <w:r>
        <w:rPr>
          <w:rFonts w:eastAsia="黑体"/>
          <w:sz w:val="28"/>
        </w:rPr>
        <w:br w:type="page"/>
      </w:r>
    </w:p>
    <w:p w14:paraId="23E15545">
      <w:pPr>
        <w:pStyle w:val="251"/>
        <w:tabs>
          <w:tab w:val="left" w:pos="720"/>
        </w:tabs>
      </w:pPr>
      <w:r>
        <w:rPr>
          <w:rFonts w:hint="eastAsia"/>
        </w:rPr>
        <w:t>附件三：预付款担保格式</w:t>
      </w:r>
    </w:p>
    <w:p w14:paraId="22301CD1">
      <w:pPr>
        <w:spacing w:line="400" w:lineRule="exact"/>
        <w:jc w:val="center"/>
        <w:rPr>
          <w:rFonts w:eastAsia="黑体"/>
          <w:sz w:val="28"/>
        </w:rPr>
      </w:pPr>
    </w:p>
    <w:p w14:paraId="2C9F6E6E">
      <w:pPr>
        <w:spacing w:line="400" w:lineRule="exact"/>
        <w:jc w:val="center"/>
        <w:rPr>
          <w:rFonts w:eastAsia="黑体"/>
          <w:sz w:val="28"/>
        </w:rPr>
      </w:pPr>
      <w:r>
        <w:rPr>
          <w:rFonts w:eastAsia="黑体"/>
          <w:sz w:val="28"/>
        </w:rPr>
        <w:t>预付款</w:t>
      </w:r>
      <w:r>
        <w:rPr>
          <w:rFonts w:hint="eastAsia" w:eastAsia="黑体"/>
          <w:sz w:val="28"/>
        </w:rPr>
        <w:t>担保</w:t>
      </w:r>
    </w:p>
    <w:p w14:paraId="6678CB38">
      <w:pPr>
        <w:spacing w:line="320" w:lineRule="exact"/>
        <w:ind w:right="420"/>
        <w:jc w:val="center"/>
        <w:rPr>
          <w:rFonts w:ascii="Arial" w:hAnsi="Arial" w:cs="Arial"/>
        </w:rPr>
      </w:pPr>
    </w:p>
    <w:p w14:paraId="4874EC8A">
      <w:pPr>
        <w:spacing w:line="360" w:lineRule="exact"/>
        <w:ind w:right="420"/>
        <w:jc w:val="center"/>
        <w:rPr>
          <w:rFonts w:eastAsia="黑体"/>
          <w:sz w:val="20"/>
          <w:szCs w:val="20"/>
        </w:rPr>
      </w:pPr>
    </w:p>
    <w:p w14:paraId="6CF3F1E7">
      <w:pPr>
        <w:spacing w:line="400" w:lineRule="exact"/>
        <w:rPr>
          <w:rFonts w:ascii="宋体" w:hAnsi="宋体"/>
          <w:szCs w:val="21"/>
        </w:rPr>
      </w:pPr>
      <w:r>
        <w:rPr>
          <w:rFonts w:ascii="宋体" w:hAnsi="宋体"/>
          <w:szCs w:val="21"/>
          <w:u w:val="single"/>
        </w:rPr>
        <w:t>/</w:t>
      </w:r>
      <w:r>
        <w:rPr>
          <w:rFonts w:ascii="宋体" w:hAnsi="宋体"/>
          <w:szCs w:val="21"/>
          <w:u w:val="single"/>
        </w:rPr>
        <w:tab/>
      </w:r>
      <w:r>
        <w:rPr>
          <w:rFonts w:ascii="宋体" w:hAnsi="宋体"/>
          <w:szCs w:val="21"/>
          <w:u w:val="single"/>
        </w:rPr>
        <w:tab/>
      </w:r>
      <w:r>
        <w:rPr>
          <w:rFonts w:ascii="宋体" w:hAnsi="宋体"/>
          <w:szCs w:val="21"/>
        </w:rPr>
        <w:t xml:space="preserve"> （甲方名称）：</w:t>
      </w:r>
    </w:p>
    <w:p w14:paraId="3E0968F1">
      <w:pPr>
        <w:spacing w:line="400" w:lineRule="exact"/>
        <w:ind w:firstLine="420"/>
        <w:rPr>
          <w:rFonts w:ascii="宋体" w:hAnsi="宋体" w:cs="Arial"/>
          <w:szCs w:val="21"/>
        </w:rPr>
      </w:pPr>
    </w:p>
    <w:p w14:paraId="4F7DFB08">
      <w:pPr>
        <w:spacing w:line="400" w:lineRule="exact"/>
        <w:ind w:firstLine="420"/>
        <w:rPr>
          <w:rFonts w:ascii="宋体" w:hAnsi="宋体" w:cs="Arial"/>
          <w:szCs w:val="21"/>
        </w:rPr>
      </w:pPr>
      <w:r>
        <w:rPr>
          <w:rFonts w:hint="eastAsia" w:ascii="宋体" w:hAnsi="宋体" w:cs="Arial"/>
          <w:szCs w:val="21"/>
        </w:rPr>
        <w:t>根据</w:t>
      </w:r>
      <w:r>
        <w:rPr>
          <w:rFonts w:ascii="宋体" w:hAnsi="宋体" w:cs="Arial"/>
          <w:szCs w:val="21"/>
          <w:u w:val="single"/>
        </w:rPr>
        <w:t>/</w:t>
      </w:r>
      <w:r>
        <w:rPr>
          <w:rFonts w:hint="eastAsia" w:ascii="宋体" w:hAnsi="宋体" w:cs="Arial"/>
          <w:szCs w:val="21"/>
        </w:rPr>
        <w:t>（乙方名称）（以下简称“乙方”）与</w:t>
      </w:r>
      <w:r>
        <w:rPr>
          <w:rFonts w:ascii="宋体" w:hAnsi="宋体" w:cs="Arial"/>
          <w:szCs w:val="21"/>
          <w:u w:val="single"/>
        </w:rPr>
        <w:t>/</w:t>
      </w:r>
      <w:r>
        <w:rPr>
          <w:rFonts w:hint="eastAsia" w:ascii="宋体" w:hAnsi="宋体" w:cs="Arial"/>
          <w:szCs w:val="21"/>
        </w:rPr>
        <w:t>（甲方名称）（以下简称“甲方”）于年月日签订的</w:t>
      </w:r>
      <w:r>
        <w:rPr>
          <w:rFonts w:ascii="宋体" w:hAnsi="宋体" w:cs="Arial"/>
          <w:szCs w:val="21"/>
          <w:u w:val="single"/>
        </w:rPr>
        <w:t>/</w:t>
      </w:r>
      <w:r>
        <w:rPr>
          <w:rFonts w:hint="eastAsia" w:ascii="宋体" w:hAnsi="宋体" w:cs="Arial"/>
          <w:szCs w:val="21"/>
        </w:rPr>
        <w:t xml:space="preserve"> （项目名称）施工总承包合同，乙方按约定的金额向甲方提交一份预付款担保，即有权得到甲方支付相等金额的预付款。我方愿意就你方提供给乙方的预付款提供担保。</w:t>
      </w:r>
    </w:p>
    <w:p w14:paraId="73E453C8">
      <w:pPr>
        <w:spacing w:line="400" w:lineRule="exact"/>
        <w:ind w:firstLine="420"/>
        <w:rPr>
          <w:rFonts w:ascii="宋体" w:hAnsi="宋体" w:cs="Arial"/>
          <w:szCs w:val="21"/>
        </w:rPr>
      </w:pPr>
      <w:r>
        <w:rPr>
          <w:rFonts w:hint="eastAsia" w:ascii="宋体" w:hAnsi="宋体" w:cs="Arial"/>
          <w:szCs w:val="21"/>
        </w:rPr>
        <w:t>1．担保金额人民币（大写）</w:t>
      </w:r>
      <w:r>
        <w:rPr>
          <w:rFonts w:ascii="宋体" w:hAnsi="宋体" w:cs="Arial"/>
          <w:szCs w:val="21"/>
          <w:u w:val="single"/>
        </w:rPr>
        <w:t>/</w:t>
      </w:r>
      <w:r>
        <w:rPr>
          <w:rFonts w:hint="eastAsia" w:ascii="宋体" w:hAnsi="宋体" w:cs="Arial"/>
          <w:szCs w:val="21"/>
        </w:rPr>
        <w:t>（￥</w:t>
      </w:r>
      <w:r>
        <w:rPr>
          <w:rFonts w:ascii="宋体" w:hAnsi="宋体" w:cs="Arial"/>
          <w:szCs w:val="21"/>
          <w:u w:val="single"/>
        </w:rPr>
        <w:t>/</w:t>
      </w:r>
      <w:r>
        <w:rPr>
          <w:rFonts w:hint="eastAsia" w:ascii="宋体" w:hAnsi="宋体" w:cs="Arial"/>
          <w:szCs w:val="21"/>
        </w:rPr>
        <w:t>）。</w:t>
      </w:r>
    </w:p>
    <w:p w14:paraId="296961DD">
      <w:pPr>
        <w:spacing w:line="400" w:lineRule="exact"/>
        <w:ind w:firstLine="420"/>
        <w:rPr>
          <w:rFonts w:ascii="宋体" w:hAnsi="宋体" w:cs="Arial"/>
          <w:szCs w:val="21"/>
        </w:rPr>
      </w:pPr>
      <w:r>
        <w:rPr>
          <w:rFonts w:hint="eastAsia" w:ascii="宋体" w:hAnsi="宋体" w:cs="Arial"/>
          <w:szCs w:val="21"/>
        </w:rPr>
        <w:t>2．担保有效期自预付款支付给乙方起生效，至甲方签发的进度付款证书说明预付款已完全扣清止。</w:t>
      </w:r>
    </w:p>
    <w:p w14:paraId="4926FE8C">
      <w:pPr>
        <w:spacing w:line="400" w:lineRule="exact"/>
        <w:ind w:firstLine="420"/>
        <w:rPr>
          <w:rFonts w:ascii="宋体" w:hAnsi="宋体" w:cs="Arial"/>
          <w:szCs w:val="21"/>
        </w:rPr>
      </w:pPr>
      <w:r>
        <w:rPr>
          <w:rFonts w:hint="eastAsia" w:ascii="宋体" w:hAnsi="宋体" w:cs="Arial"/>
          <w:szCs w:val="21"/>
        </w:rPr>
        <w:t>3．在本保函有效期内，因乙方违反合同约定的义务而要求收回预付款时，我方在收以你方的书面通知后，在7天内支付。但本保函的担保金额，在任何时候不应超过预付款金额减去甲方按合同约定在向乙方签发的进度付款证书中扣除的金额。</w:t>
      </w:r>
    </w:p>
    <w:p w14:paraId="750C1DD9">
      <w:pPr>
        <w:spacing w:line="400" w:lineRule="exact"/>
        <w:ind w:firstLine="420"/>
        <w:rPr>
          <w:rFonts w:ascii="宋体" w:hAnsi="宋体" w:cs="Arial"/>
          <w:szCs w:val="21"/>
        </w:rPr>
      </w:pPr>
      <w:r>
        <w:rPr>
          <w:rFonts w:hint="eastAsia" w:ascii="宋体" w:hAnsi="宋体" w:cs="Arial"/>
          <w:szCs w:val="21"/>
        </w:rPr>
        <w:t>4．甲方和乙方按《通用合同条款》第15条变更合同时，我方承担本保函规定的义务不变。</w:t>
      </w:r>
    </w:p>
    <w:p w14:paraId="13308A30">
      <w:pPr>
        <w:spacing w:line="400" w:lineRule="exact"/>
        <w:rPr>
          <w:rFonts w:ascii="宋体" w:hAnsi="宋体"/>
          <w:szCs w:val="21"/>
        </w:rPr>
      </w:pPr>
    </w:p>
    <w:p w14:paraId="3AC6E668">
      <w:pPr>
        <w:spacing w:line="400" w:lineRule="exact"/>
        <w:ind w:firstLine="2940" w:firstLineChars="1400"/>
        <w:jc w:val="left"/>
        <w:rPr>
          <w:rFonts w:ascii="宋体" w:hAnsi="宋体"/>
          <w:szCs w:val="21"/>
        </w:rPr>
      </w:pPr>
      <w:r>
        <w:rPr>
          <w:rFonts w:hint="eastAsia" w:ascii="宋体" w:hAnsi="宋体"/>
          <w:szCs w:val="21"/>
        </w:rPr>
        <w:t>担保人</w:t>
      </w:r>
      <w:r>
        <w:rPr>
          <w:rFonts w:ascii="宋体" w:hAnsi="宋体"/>
          <w:szCs w:val="21"/>
        </w:rPr>
        <w:t>：</w:t>
      </w:r>
      <w:r>
        <w:rPr>
          <w:rFonts w:ascii="宋体" w:hAnsi="宋体"/>
          <w:szCs w:val="21"/>
          <w:u w:val="single"/>
        </w:rPr>
        <w:t>/</w:t>
      </w:r>
      <w:r>
        <w:rPr>
          <w:rFonts w:ascii="宋体" w:hAnsi="宋体"/>
          <w:szCs w:val="21"/>
        </w:rPr>
        <w:t>（盖单位章）</w:t>
      </w:r>
    </w:p>
    <w:p w14:paraId="1C1381D3">
      <w:pPr>
        <w:spacing w:line="400" w:lineRule="exact"/>
        <w:ind w:firstLine="2940" w:firstLineChars="1400"/>
        <w:jc w:val="left"/>
        <w:rPr>
          <w:rFonts w:ascii="宋体" w:hAnsi="宋体"/>
          <w:szCs w:val="21"/>
        </w:rPr>
      </w:pPr>
      <w:r>
        <w:rPr>
          <w:rFonts w:hint="eastAsia" w:ascii="宋体" w:hAnsi="宋体"/>
          <w:szCs w:val="21"/>
        </w:rPr>
        <w:t>法定代表人或授权人</w:t>
      </w:r>
      <w:r>
        <w:rPr>
          <w:rFonts w:ascii="宋体" w:hAnsi="宋体"/>
          <w:szCs w:val="21"/>
        </w:rPr>
        <w:t>：</w:t>
      </w:r>
      <w:r>
        <w:rPr>
          <w:rFonts w:ascii="宋体" w:hAnsi="宋体"/>
          <w:szCs w:val="21"/>
          <w:u w:val="single"/>
        </w:rPr>
        <w:t>/</w:t>
      </w:r>
      <w:r>
        <w:rPr>
          <w:rFonts w:ascii="宋体" w:hAnsi="宋体"/>
          <w:szCs w:val="21"/>
        </w:rPr>
        <w:t>（签字）</w:t>
      </w:r>
    </w:p>
    <w:p w14:paraId="38E24BEA">
      <w:pPr>
        <w:spacing w:line="400" w:lineRule="exact"/>
        <w:ind w:firstLine="2940" w:firstLineChars="1400"/>
        <w:jc w:val="left"/>
        <w:rPr>
          <w:rFonts w:ascii="宋体" w:hAnsi="宋体"/>
          <w:szCs w:val="21"/>
        </w:rPr>
      </w:pPr>
      <w:r>
        <w:rPr>
          <w:rFonts w:hint="eastAsia" w:ascii="宋体" w:hAnsi="宋体"/>
          <w:szCs w:val="21"/>
        </w:rPr>
        <w:t>地    址</w:t>
      </w:r>
      <w:r>
        <w:rPr>
          <w:rFonts w:ascii="宋体" w:hAnsi="宋体"/>
          <w:szCs w:val="21"/>
        </w:rPr>
        <w:t>：</w:t>
      </w:r>
      <w:r>
        <w:rPr>
          <w:rFonts w:ascii="宋体" w:hAnsi="宋体"/>
          <w:szCs w:val="21"/>
          <w:u w:val="single"/>
        </w:rPr>
        <w:tab/>
      </w:r>
      <w:r>
        <w:rPr>
          <w:rFonts w:ascii="宋体" w:hAnsi="宋体"/>
          <w:szCs w:val="21"/>
          <w:u w:val="single"/>
        </w:rPr>
        <w:tab/>
      </w:r>
      <w:r>
        <w:rPr>
          <w:rFonts w:ascii="宋体" w:hAnsi="宋体"/>
          <w:szCs w:val="21"/>
          <w:u w:val="single"/>
        </w:rPr>
        <w:t>/</w:t>
      </w:r>
      <w:r>
        <w:rPr>
          <w:rFonts w:ascii="宋体" w:hAnsi="宋体"/>
          <w:szCs w:val="21"/>
          <w:u w:val="single"/>
        </w:rPr>
        <w:tab/>
      </w:r>
      <w:r>
        <w:rPr>
          <w:rFonts w:ascii="宋体" w:hAnsi="宋体"/>
          <w:szCs w:val="21"/>
          <w:u w:val="single"/>
        </w:rPr>
        <w:tab/>
      </w:r>
    </w:p>
    <w:p w14:paraId="6739CD7E">
      <w:pPr>
        <w:spacing w:line="400" w:lineRule="exact"/>
        <w:ind w:firstLine="2940" w:firstLineChars="1400"/>
        <w:jc w:val="left"/>
        <w:rPr>
          <w:rFonts w:ascii="宋体" w:hAnsi="宋体"/>
          <w:szCs w:val="21"/>
          <w:u w:val="single"/>
        </w:rPr>
      </w:pPr>
      <w:r>
        <w:rPr>
          <w:rFonts w:hint="eastAsia" w:ascii="宋体" w:hAnsi="宋体"/>
          <w:szCs w:val="21"/>
        </w:rPr>
        <w:t>邮政编码</w:t>
      </w:r>
      <w:r>
        <w:rPr>
          <w:rFonts w:ascii="宋体" w:hAnsi="宋体"/>
          <w:szCs w:val="21"/>
        </w:rPr>
        <w:t>：</w:t>
      </w:r>
      <w:r>
        <w:rPr>
          <w:rFonts w:ascii="宋体" w:hAnsi="宋体"/>
          <w:szCs w:val="21"/>
          <w:u w:val="single"/>
        </w:rPr>
        <w:tab/>
      </w:r>
      <w:r>
        <w:rPr>
          <w:rFonts w:ascii="宋体" w:hAnsi="宋体"/>
          <w:szCs w:val="21"/>
          <w:u w:val="single"/>
        </w:rPr>
        <w:tab/>
      </w:r>
      <w:r>
        <w:rPr>
          <w:rFonts w:ascii="宋体" w:hAnsi="宋体"/>
          <w:szCs w:val="21"/>
          <w:u w:val="single"/>
        </w:rPr>
        <w:tab/>
      </w:r>
      <w:r>
        <w:rPr>
          <w:rFonts w:ascii="宋体" w:hAnsi="宋体"/>
          <w:szCs w:val="21"/>
          <w:u w:val="single"/>
        </w:rPr>
        <w:t>/</w:t>
      </w:r>
      <w:r>
        <w:rPr>
          <w:rFonts w:ascii="宋体" w:hAnsi="宋体"/>
          <w:szCs w:val="21"/>
          <w:u w:val="single"/>
        </w:rPr>
        <w:tab/>
      </w:r>
      <w:r>
        <w:rPr>
          <w:rFonts w:ascii="宋体" w:hAnsi="宋体"/>
          <w:szCs w:val="21"/>
          <w:u w:val="single"/>
        </w:rPr>
        <w:tab/>
      </w:r>
      <w:r>
        <w:rPr>
          <w:rFonts w:ascii="宋体" w:hAnsi="宋体"/>
          <w:szCs w:val="21"/>
          <w:u w:val="single"/>
        </w:rPr>
        <w:tab/>
      </w:r>
    </w:p>
    <w:p w14:paraId="299EDB7D">
      <w:pPr>
        <w:spacing w:line="400" w:lineRule="exact"/>
        <w:ind w:firstLine="2940" w:firstLineChars="1400"/>
        <w:jc w:val="left"/>
        <w:rPr>
          <w:rFonts w:ascii="宋体" w:hAnsi="宋体"/>
          <w:szCs w:val="21"/>
          <w:u w:val="single"/>
        </w:rPr>
      </w:pPr>
      <w:r>
        <w:rPr>
          <w:rFonts w:hint="eastAsia" w:ascii="宋体" w:hAnsi="宋体"/>
          <w:szCs w:val="21"/>
        </w:rPr>
        <w:t>电    话</w:t>
      </w:r>
      <w:r>
        <w:rPr>
          <w:rFonts w:ascii="宋体" w:hAnsi="宋体"/>
          <w:szCs w:val="21"/>
        </w:rPr>
        <w:t>：</w:t>
      </w:r>
      <w:r>
        <w:rPr>
          <w:rFonts w:ascii="宋体" w:hAnsi="宋体"/>
          <w:szCs w:val="21"/>
          <w:u w:val="single"/>
        </w:rPr>
        <w:t>/</w:t>
      </w:r>
    </w:p>
    <w:p w14:paraId="4DFE2EDC">
      <w:pPr>
        <w:spacing w:line="400" w:lineRule="exact"/>
        <w:ind w:firstLine="4620" w:firstLineChars="2200"/>
        <w:jc w:val="left"/>
        <w:rPr>
          <w:rFonts w:ascii="宋体" w:hAnsi="宋体"/>
          <w:szCs w:val="21"/>
        </w:rPr>
      </w:pP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14:paraId="5606A21B">
      <w:pPr>
        <w:spacing w:line="400" w:lineRule="exact"/>
        <w:rPr>
          <w:rFonts w:ascii="宋体" w:hAnsi="宋体"/>
          <w:szCs w:val="21"/>
        </w:rPr>
      </w:pPr>
    </w:p>
    <w:p w14:paraId="1784F436">
      <w:pPr>
        <w:spacing w:line="400" w:lineRule="exact"/>
        <w:rPr>
          <w:rFonts w:ascii="宋体" w:hAnsi="宋体"/>
          <w:bCs/>
          <w:szCs w:val="21"/>
        </w:rPr>
      </w:pPr>
      <w:r>
        <w:rPr>
          <w:rFonts w:hint="eastAsia" w:ascii="宋体" w:hAnsi="宋体"/>
          <w:szCs w:val="21"/>
        </w:rPr>
        <w:t>备注：</w:t>
      </w:r>
      <w:r>
        <w:rPr>
          <w:rFonts w:hint="eastAsia" w:ascii="宋体" w:hAnsi="宋体"/>
          <w:bCs/>
          <w:szCs w:val="21"/>
        </w:rPr>
        <w:t>本预付款担保格式可采用经甲方认可的其他格式，但相关内容不得违背合同文件约定的实质性内容。</w:t>
      </w:r>
      <w:r>
        <w:rPr>
          <w:rFonts w:ascii="宋体" w:hAnsi="宋体"/>
          <w:bCs/>
          <w:szCs w:val="21"/>
        </w:rPr>
        <w:br w:type="textWrapping"/>
      </w:r>
      <w:r>
        <w:rPr>
          <w:rFonts w:ascii="宋体" w:hAnsi="宋体"/>
          <w:bCs/>
          <w:szCs w:val="21"/>
        </w:rPr>
        <w:br w:type="page"/>
      </w:r>
      <w:r>
        <w:rPr>
          <w:rFonts w:hint="eastAsia" w:eastAsia="黑体"/>
          <w:sz w:val="24"/>
          <w:szCs w:val="20"/>
        </w:rPr>
        <w:t>附件四：履约担保格式</w:t>
      </w:r>
    </w:p>
    <w:p w14:paraId="1D22FE87">
      <w:pPr>
        <w:jc w:val="center"/>
        <w:rPr>
          <w:rFonts w:eastAsia="黑体"/>
          <w:sz w:val="28"/>
        </w:rPr>
      </w:pPr>
      <w:r>
        <w:rPr>
          <w:rFonts w:hint="eastAsia" w:eastAsia="黑体"/>
          <w:sz w:val="28"/>
        </w:rPr>
        <w:t>乙方履约保函</w:t>
      </w:r>
    </w:p>
    <w:p w14:paraId="0A5CB76B">
      <w:pPr>
        <w:spacing w:line="400" w:lineRule="exact"/>
        <w:jc w:val="center"/>
        <w:rPr>
          <w:u w:val="single"/>
        </w:rPr>
      </w:pPr>
    </w:p>
    <w:p w14:paraId="1C0AE1DF">
      <w:pPr>
        <w:spacing w:line="400" w:lineRule="exact"/>
      </w:pPr>
      <w:r>
        <w:rPr>
          <w:rFonts w:hint="eastAsia"/>
        </w:rPr>
        <w:t>（甲方名称）：</w:t>
      </w:r>
      <w:r>
        <w:rPr>
          <w:u w:val="single"/>
        </w:rPr>
        <w:t>/</w:t>
      </w:r>
    </w:p>
    <w:p w14:paraId="1BF0C330">
      <w:pPr>
        <w:spacing w:line="400" w:lineRule="exact"/>
      </w:pPr>
    </w:p>
    <w:p w14:paraId="3B18DFCE">
      <w:pPr>
        <w:spacing w:line="400" w:lineRule="exact"/>
        <w:rPr>
          <w:szCs w:val="21"/>
        </w:rPr>
      </w:pPr>
      <w:r>
        <w:rPr>
          <w:rFonts w:ascii="Arial" w:hAnsi="Arial" w:cs="Arial"/>
          <w:szCs w:val="21"/>
        </w:rPr>
        <w:t>鉴于你方作为甲方已经与</w:t>
      </w:r>
      <w:r>
        <w:rPr>
          <w:rFonts w:ascii="Arial" w:hAnsi="Arial" w:cs="Arial"/>
          <w:szCs w:val="21"/>
          <w:u w:val="single"/>
        </w:rPr>
        <w:t>/</w:t>
      </w:r>
      <w:r>
        <w:rPr>
          <w:rFonts w:hint="eastAsia" w:ascii="Arial" w:hAnsi="Arial" w:eastAsia="楷体_GB2312" w:cs="Arial"/>
          <w:szCs w:val="21"/>
        </w:rPr>
        <w:t>（</w:t>
      </w:r>
      <w:r>
        <w:rPr>
          <w:rFonts w:ascii="宋体" w:hAnsi="宋体" w:cs="Arial"/>
          <w:szCs w:val="21"/>
        </w:rPr>
        <w:t>乙方名称</w:t>
      </w:r>
      <w:r>
        <w:rPr>
          <w:rFonts w:ascii="Arial" w:hAnsi="Arial" w:eastAsia="楷体_GB2312" w:cs="Arial"/>
          <w:szCs w:val="21"/>
        </w:rPr>
        <w:t>）</w:t>
      </w:r>
      <w:r>
        <w:rPr>
          <w:rFonts w:hint="eastAsia" w:ascii="Arial" w:hAnsi="Arial" w:eastAsia="楷体_GB2312" w:cs="Arial"/>
          <w:szCs w:val="21"/>
        </w:rPr>
        <w:t>（</w:t>
      </w:r>
      <w:r>
        <w:rPr>
          <w:rFonts w:ascii="Arial" w:hAnsi="Arial" w:cs="Arial"/>
          <w:szCs w:val="21"/>
        </w:rPr>
        <w:t>以下称</w:t>
      </w:r>
      <w:r>
        <w:rPr>
          <w:rFonts w:hint="eastAsia" w:ascii="Arial" w:hAnsi="Arial" w:cs="Arial"/>
          <w:szCs w:val="21"/>
        </w:rPr>
        <w:t>“</w:t>
      </w:r>
      <w:r>
        <w:rPr>
          <w:rFonts w:ascii="Arial" w:hAnsi="Arial" w:cs="Arial"/>
          <w:szCs w:val="21"/>
        </w:rPr>
        <w:t>乙方</w:t>
      </w:r>
      <w:r>
        <w:rPr>
          <w:rFonts w:hint="eastAsia" w:ascii="Arial" w:hAnsi="Arial" w:cs="Arial"/>
          <w:szCs w:val="21"/>
        </w:rPr>
        <w:t>”</w:t>
      </w:r>
      <w:r>
        <w:rPr>
          <w:rFonts w:hint="eastAsia"/>
          <w:szCs w:val="21"/>
        </w:rPr>
        <w:t>）</w:t>
      </w:r>
      <w:r>
        <w:rPr>
          <w:szCs w:val="21"/>
        </w:rPr>
        <w:t>于</w:t>
      </w:r>
    </w:p>
    <w:p w14:paraId="57F650F1">
      <w:pPr>
        <w:spacing w:line="400" w:lineRule="exact"/>
      </w:pPr>
      <w:r>
        <w:rPr>
          <w:szCs w:val="21"/>
        </w:rPr>
        <w:t>年月日签订</w:t>
      </w:r>
      <w:r>
        <w:rPr>
          <w:rFonts w:hint="eastAsia"/>
          <w:szCs w:val="21"/>
        </w:rPr>
        <w:t>了</w:t>
      </w:r>
      <w:r>
        <w:rPr>
          <w:szCs w:val="21"/>
          <w:u w:val="single"/>
        </w:rPr>
        <w:t>/</w:t>
      </w:r>
      <w:r>
        <w:rPr>
          <w:szCs w:val="21"/>
        </w:rPr>
        <w:t>（</w:t>
      </w:r>
      <w:r>
        <w:rPr>
          <w:rFonts w:hint="eastAsia"/>
          <w:szCs w:val="21"/>
        </w:rPr>
        <w:t>工程</w:t>
      </w:r>
      <w:r>
        <w:rPr>
          <w:szCs w:val="21"/>
        </w:rPr>
        <w:t>名称）</w:t>
      </w:r>
      <w:r>
        <w:rPr>
          <w:rFonts w:hint="eastAsia"/>
          <w:szCs w:val="21"/>
        </w:rPr>
        <w:t>施工承包</w:t>
      </w:r>
      <w:r>
        <w:rPr>
          <w:szCs w:val="21"/>
        </w:rPr>
        <w:t>合同</w:t>
      </w:r>
      <w:r>
        <w:rPr>
          <w:rFonts w:hint="eastAsia"/>
          <w:szCs w:val="21"/>
        </w:rPr>
        <w:t>（以下称“主合同”），</w:t>
      </w:r>
      <w:r>
        <w:rPr>
          <w:rFonts w:hint="eastAsia"/>
        </w:rPr>
        <w:t>应乙方申请，我方愿就乙方履行主合同约定的义务以保证的方式向你方提供如下担保：</w:t>
      </w:r>
    </w:p>
    <w:p w14:paraId="09155FE9">
      <w:pPr>
        <w:spacing w:line="400" w:lineRule="exact"/>
        <w:ind w:firstLine="420" w:firstLineChars="200"/>
        <w:outlineLvl w:val="0"/>
        <w:rPr>
          <w:rFonts w:ascii="黑体" w:eastAsia="黑体"/>
        </w:rPr>
      </w:pPr>
      <w:r>
        <w:rPr>
          <w:rFonts w:hint="eastAsia" w:ascii="黑体" w:eastAsia="黑体"/>
        </w:rPr>
        <w:t>一、保证的范围及保证金额</w:t>
      </w:r>
    </w:p>
    <w:p w14:paraId="024F4CC6">
      <w:pPr>
        <w:spacing w:line="400" w:lineRule="exact"/>
        <w:ind w:firstLine="420" w:firstLineChars="200"/>
      </w:pPr>
      <w:r>
        <w:rPr>
          <w:rFonts w:hint="eastAsia"/>
        </w:rPr>
        <w:t>我方的保证范围是乙方未按照主合同的约定履行义务，给你方造成的实际损失。</w:t>
      </w:r>
    </w:p>
    <w:p w14:paraId="44F1B307">
      <w:pPr>
        <w:spacing w:line="400" w:lineRule="exact"/>
        <w:ind w:firstLine="420" w:firstLineChars="200"/>
      </w:pPr>
      <w:r>
        <w:rPr>
          <w:rFonts w:hint="eastAsia"/>
        </w:rPr>
        <w:t>我方保证的金额是主合同约定的合同总价款</w:t>
      </w:r>
      <w:r>
        <w:rPr>
          <w:u w:val="single"/>
        </w:rPr>
        <w:t>/</w:t>
      </w:r>
      <w:r>
        <w:rPr>
          <w:rFonts w:hint="eastAsia"/>
        </w:rPr>
        <w:t>%，数额最高不超过人民币</w:t>
      </w:r>
      <w:r>
        <w:rPr>
          <w:u w:val="single"/>
        </w:rPr>
        <w:t>/</w:t>
      </w:r>
      <w:r>
        <w:rPr>
          <w:rFonts w:hint="eastAsia"/>
        </w:rPr>
        <w:t>元（大写）。</w:t>
      </w:r>
    </w:p>
    <w:p w14:paraId="36E2C6A7">
      <w:pPr>
        <w:spacing w:line="400" w:lineRule="exact"/>
        <w:ind w:firstLine="420" w:firstLineChars="200"/>
        <w:outlineLvl w:val="0"/>
        <w:rPr>
          <w:rFonts w:ascii="黑体" w:eastAsia="黑体"/>
        </w:rPr>
      </w:pPr>
      <w:r>
        <w:rPr>
          <w:rFonts w:hint="eastAsia" w:ascii="黑体" w:eastAsia="黑体"/>
        </w:rPr>
        <w:t>二、保证的方式及保证期间</w:t>
      </w:r>
    </w:p>
    <w:p w14:paraId="387CB255">
      <w:pPr>
        <w:spacing w:line="400" w:lineRule="exact"/>
        <w:ind w:firstLine="420" w:firstLineChars="200"/>
      </w:pPr>
      <w:r>
        <w:rPr>
          <w:rFonts w:hint="eastAsia"/>
        </w:rPr>
        <w:t>我方保证的方式为：连带责任保证。</w:t>
      </w:r>
    </w:p>
    <w:p w14:paraId="5B80C153">
      <w:pPr>
        <w:spacing w:line="400" w:lineRule="exact"/>
        <w:ind w:firstLine="420" w:firstLineChars="200"/>
      </w:pPr>
      <w:r>
        <w:rPr>
          <w:rFonts w:hint="eastAsia"/>
        </w:rPr>
        <w:t>我方保证的期间为：自本合同生效之日起至主合同约定的工程竣工日期后</w:t>
      </w:r>
      <w:r>
        <w:rPr>
          <w:u w:val="single"/>
        </w:rPr>
        <w:t>/</w:t>
      </w:r>
      <w:r>
        <w:rPr>
          <w:rFonts w:hint="eastAsia"/>
        </w:rPr>
        <w:t>日内。</w:t>
      </w:r>
    </w:p>
    <w:p w14:paraId="56ACA04C">
      <w:pPr>
        <w:spacing w:line="400" w:lineRule="exact"/>
        <w:ind w:firstLine="420" w:firstLineChars="200"/>
      </w:pPr>
      <w:r>
        <w:rPr>
          <w:rFonts w:hint="eastAsia"/>
        </w:rPr>
        <w:t>你方与乙方协议变更工程竣工日期的，经我方书面同意后，保证期间按照变更后的竣工日期做相应调整。</w:t>
      </w:r>
    </w:p>
    <w:p w14:paraId="3F8C8947">
      <w:pPr>
        <w:spacing w:line="400" w:lineRule="exact"/>
        <w:ind w:firstLine="420" w:firstLineChars="200"/>
        <w:outlineLvl w:val="0"/>
        <w:rPr>
          <w:rFonts w:ascii="黑体" w:eastAsia="黑体"/>
        </w:rPr>
      </w:pPr>
      <w:r>
        <w:rPr>
          <w:rFonts w:hint="eastAsia" w:ascii="黑体" w:eastAsia="黑体"/>
        </w:rPr>
        <w:t>三、承担保证责任的形式</w:t>
      </w:r>
    </w:p>
    <w:p w14:paraId="17EA3247">
      <w:pPr>
        <w:spacing w:line="400" w:lineRule="exact"/>
        <w:ind w:firstLine="420" w:firstLineChars="200"/>
        <w:rPr>
          <w:shd w:val="pct10" w:color="auto" w:fill="FFFFFF"/>
        </w:rPr>
      </w:pPr>
      <w:r>
        <w:rPr>
          <w:rFonts w:hint="eastAsia" w:ascii="宋体" w:hAnsi="宋体"/>
        </w:rPr>
        <w:t>我方按照你方的要求以下列方式之一承担保证责任：</w:t>
      </w:r>
    </w:p>
    <w:p w14:paraId="32B5451C">
      <w:pPr>
        <w:spacing w:line="400" w:lineRule="exact"/>
        <w:ind w:firstLine="315" w:firstLineChars="150"/>
      </w:pPr>
      <w:r>
        <w:rPr>
          <w:rFonts w:hint="eastAsia"/>
        </w:rPr>
        <w:t>（1）由我方提供资金及技术援助，使乙方继续履行主合同义务，支付金额不超过本保函第一条规定的保证金额。</w:t>
      </w:r>
    </w:p>
    <w:p w14:paraId="257A7DD1">
      <w:pPr>
        <w:spacing w:line="400" w:lineRule="exact"/>
        <w:ind w:firstLine="315" w:firstLineChars="150"/>
      </w:pPr>
      <w:r>
        <w:rPr>
          <w:rFonts w:hint="eastAsia"/>
        </w:rPr>
        <w:t>（2）由我方在本保函第一条规定的保证金额内赔偿你方的损失。</w:t>
      </w:r>
    </w:p>
    <w:p w14:paraId="3DAA29E6">
      <w:pPr>
        <w:spacing w:line="400" w:lineRule="exact"/>
        <w:ind w:firstLine="420" w:firstLineChars="200"/>
        <w:outlineLvl w:val="0"/>
        <w:rPr>
          <w:rFonts w:ascii="黑体" w:eastAsia="黑体"/>
        </w:rPr>
      </w:pPr>
      <w:r>
        <w:rPr>
          <w:rFonts w:hint="eastAsia" w:ascii="黑体" w:eastAsia="黑体"/>
        </w:rPr>
        <w:t>四、代偿的安排</w:t>
      </w:r>
    </w:p>
    <w:p w14:paraId="7A8F4727">
      <w:pPr>
        <w:spacing w:line="400" w:lineRule="exact"/>
        <w:ind w:firstLine="420" w:firstLineChars="200"/>
      </w:pPr>
      <w:r>
        <w:rPr>
          <w:rFonts w:hint="eastAsia"/>
        </w:rPr>
        <w:t>你方要求我方承担保证责任的，应向我方发出书面索赔通知及乙方未履行主合同约定义务的证明材料。索赔通知应写明要求索赔的金额，支付款项应到达的帐号，并附有说明乙方违反主合同造成你方损失情况的证明材料。</w:t>
      </w:r>
    </w:p>
    <w:p w14:paraId="6D4DD75B">
      <w:pPr>
        <w:spacing w:line="400" w:lineRule="exact"/>
        <w:ind w:firstLine="420" w:firstLineChars="200"/>
      </w:pPr>
      <w:r>
        <w:rPr>
          <w:rFonts w:hint="eastAsia"/>
        </w:rPr>
        <w:t>你方以工程质量不符合主合同约定标准为由，向我方提出违约索赔的，还需同时提供符合相应条件要求的工程质量检测部门出具的质量说明材料。</w:t>
      </w:r>
    </w:p>
    <w:p w14:paraId="538D4938">
      <w:pPr>
        <w:spacing w:line="400" w:lineRule="exact"/>
        <w:ind w:firstLine="420" w:firstLineChars="200"/>
      </w:pPr>
      <w:r>
        <w:rPr>
          <w:rFonts w:hint="eastAsia"/>
        </w:rPr>
        <w:t>我方收到你方的书面索赔通知及相应证明材料后，在工作日内进行核定后按照本保函的承诺承担保证责任。</w:t>
      </w:r>
    </w:p>
    <w:p w14:paraId="664319CC">
      <w:pPr>
        <w:spacing w:line="400" w:lineRule="exact"/>
        <w:ind w:firstLine="420" w:firstLineChars="200"/>
        <w:outlineLvl w:val="0"/>
        <w:rPr>
          <w:rFonts w:ascii="黑体" w:eastAsia="黑体"/>
        </w:rPr>
      </w:pPr>
      <w:r>
        <w:rPr>
          <w:rFonts w:hint="eastAsia" w:ascii="黑体" w:eastAsia="黑体"/>
        </w:rPr>
        <w:t>五、保证责任的解除</w:t>
      </w:r>
    </w:p>
    <w:p w14:paraId="44D4B7A4">
      <w:pPr>
        <w:spacing w:line="400" w:lineRule="exact"/>
        <w:ind w:firstLine="420" w:firstLineChars="200"/>
      </w:pPr>
      <w:r>
        <w:rPr>
          <w:rFonts w:hint="eastAsia"/>
        </w:rPr>
        <w:t>1、在本保函承诺的保证期间内，你方未书面向我方主张保证责任的，自保证期间届满次日起，我方保证责任解除。</w:t>
      </w:r>
    </w:p>
    <w:p w14:paraId="1720240D">
      <w:pPr>
        <w:spacing w:line="400" w:lineRule="exact"/>
        <w:ind w:firstLine="420" w:firstLineChars="200"/>
      </w:pPr>
      <w:r>
        <w:rPr>
          <w:rFonts w:hint="eastAsia"/>
        </w:rPr>
        <w:t>2、乙方按主合同约定履行了义务的，自本保函承诺的保证期间届满次日起，我方保证责任解除。</w:t>
      </w:r>
    </w:p>
    <w:p w14:paraId="6090B842">
      <w:pPr>
        <w:spacing w:line="400" w:lineRule="exact"/>
        <w:ind w:firstLine="420" w:firstLineChars="200"/>
      </w:pPr>
      <w:r>
        <w:rPr>
          <w:rFonts w:hint="eastAsia"/>
        </w:rPr>
        <w:t>3、我方按照本保函向你方履行保证责任所支付的金额达到本保函保证金额时，自我方向你方支付（支付款项从我方帐户划出）之日起，保证责任即解除。</w:t>
      </w:r>
    </w:p>
    <w:p w14:paraId="32C3766B">
      <w:pPr>
        <w:spacing w:line="400" w:lineRule="exact"/>
        <w:ind w:firstLine="420" w:firstLineChars="200"/>
      </w:pPr>
      <w:r>
        <w:rPr>
          <w:rFonts w:hint="eastAsia"/>
        </w:rPr>
        <w:t>4、按照法律法规的规定或出现应解除我方保证责任的其它情形的，我方在本保函项下的保证责任亦解除。</w:t>
      </w:r>
    </w:p>
    <w:p w14:paraId="16D48F36">
      <w:pPr>
        <w:spacing w:line="400" w:lineRule="exact"/>
        <w:ind w:firstLine="420" w:firstLineChars="200"/>
      </w:pPr>
      <w:r>
        <w:rPr>
          <w:rFonts w:hint="eastAsia"/>
        </w:rPr>
        <w:t>我方解除保证责任后，你方应自我方保证责任解除之日起个工作日内，将本保函原件返还我方。</w:t>
      </w:r>
    </w:p>
    <w:p w14:paraId="27258957">
      <w:pPr>
        <w:spacing w:line="400" w:lineRule="exact"/>
        <w:ind w:firstLine="420" w:firstLineChars="200"/>
        <w:outlineLvl w:val="0"/>
        <w:rPr>
          <w:rFonts w:ascii="黑体" w:eastAsia="黑体"/>
        </w:rPr>
      </w:pPr>
      <w:r>
        <w:rPr>
          <w:rFonts w:hint="eastAsia" w:ascii="黑体" w:eastAsia="黑体"/>
        </w:rPr>
        <w:t>六、免责条款</w:t>
      </w:r>
    </w:p>
    <w:p w14:paraId="441C45C8">
      <w:pPr>
        <w:spacing w:line="400" w:lineRule="exact"/>
        <w:ind w:firstLine="420" w:firstLineChars="200"/>
      </w:pPr>
      <w:r>
        <w:rPr>
          <w:rFonts w:hint="eastAsia"/>
        </w:rPr>
        <w:t>1、因你方违约致使乙方不能履行义务的，我方不承担保证责任。</w:t>
      </w:r>
    </w:p>
    <w:p w14:paraId="3291CEED">
      <w:pPr>
        <w:spacing w:line="400" w:lineRule="exact"/>
        <w:ind w:firstLine="420" w:firstLineChars="200"/>
        <w:rPr>
          <w:rFonts w:ascii="宋体" w:hAnsi="宋体"/>
        </w:rPr>
      </w:pPr>
      <w:r>
        <w:rPr>
          <w:rFonts w:hint="eastAsia" w:ascii="宋体" w:hAnsi="宋体"/>
        </w:rPr>
        <w:t>2、依照法律法规的规定或你方与乙方的另行约定，免除乙方部分或全部义务的，我方亦免除其相应的保证责任。</w:t>
      </w:r>
    </w:p>
    <w:p w14:paraId="1E5B276B">
      <w:pPr>
        <w:spacing w:line="400" w:lineRule="exact"/>
        <w:ind w:firstLine="420" w:firstLineChars="200"/>
        <w:rPr>
          <w:rFonts w:ascii="宋体" w:hAnsi="宋体"/>
        </w:rPr>
      </w:pPr>
      <w:r>
        <w:rPr>
          <w:rFonts w:hint="eastAsia"/>
        </w:rPr>
        <w:t>3、你方与乙方协议变更主合同（符合主合同合同条款第15条约定的变更除外），如加重乙方责任致使我方保证责任加重的，需征得我方书面同意，否则我方不再承担因此而加重部分的保证责任。</w:t>
      </w:r>
    </w:p>
    <w:p w14:paraId="7E44A553">
      <w:pPr>
        <w:spacing w:line="400" w:lineRule="exact"/>
        <w:ind w:firstLine="420" w:firstLineChars="200"/>
      </w:pPr>
      <w:r>
        <w:rPr>
          <w:rFonts w:hint="eastAsia" w:ascii="宋体" w:hAnsi="宋体"/>
        </w:rPr>
        <w:t>4、</w:t>
      </w:r>
      <w:r>
        <w:rPr>
          <w:rFonts w:hint="eastAsia"/>
        </w:rPr>
        <w:t>因不可抗力造成</w:t>
      </w:r>
      <w:r>
        <w:rPr>
          <w:rFonts w:hint="eastAsia" w:ascii="宋体" w:hAnsi="宋体"/>
        </w:rPr>
        <w:t>乙方</w:t>
      </w:r>
      <w:r>
        <w:rPr>
          <w:rFonts w:hint="eastAsia"/>
        </w:rPr>
        <w:t>不能履行义务的，我方不承担保证责任</w:t>
      </w:r>
      <w:r>
        <w:rPr>
          <w:rFonts w:hint="eastAsia" w:ascii="宋体" w:hAnsi="宋体"/>
        </w:rPr>
        <w:t>。</w:t>
      </w:r>
    </w:p>
    <w:p w14:paraId="2366E8F9">
      <w:pPr>
        <w:spacing w:line="400" w:lineRule="exact"/>
        <w:ind w:firstLine="420" w:firstLineChars="200"/>
        <w:outlineLvl w:val="0"/>
        <w:rPr>
          <w:rFonts w:ascii="黑体" w:eastAsia="黑体"/>
        </w:rPr>
      </w:pPr>
      <w:r>
        <w:rPr>
          <w:rFonts w:hint="eastAsia" w:ascii="黑体" w:eastAsia="黑体"/>
        </w:rPr>
        <w:t>七、争议的解决</w:t>
      </w:r>
    </w:p>
    <w:p w14:paraId="37A9CEC2">
      <w:pPr>
        <w:spacing w:line="400" w:lineRule="exact"/>
        <w:ind w:firstLine="420" w:firstLineChars="200"/>
        <w:rPr>
          <w:rFonts w:ascii="宋体"/>
        </w:rPr>
      </w:pPr>
      <w:r>
        <w:rPr>
          <w:rFonts w:hint="eastAsia"/>
        </w:rPr>
        <w:t>因本保函发生的纠纷，由贵我双方协商解决，协商不成的，任何一方均可提请</w:t>
      </w:r>
      <w:r>
        <w:rPr>
          <w:rFonts w:hint="eastAsia" w:ascii="宋体"/>
        </w:rPr>
        <w:t>仲裁委员会仲裁。</w:t>
      </w:r>
    </w:p>
    <w:p w14:paraId="3AB9FC56">
      <w:pPr>
        <w:spacing w:line="400" w:lineRule="exact"/>
        <w:ind w:firstLine="420" w:firstLineChars="200"/>
        <w:outlineLvl w:val="0"/>
        <w:rPr>
          <w:rFonts w:ascii="黑体" w:eastAsia="黑体"/>
        </w:rPr>
      </w:pPr>
      <w:r>
        <w:rPr>
          <w:rFonts w:hint="eastAsia" w:ascii="黑体" w:eastAsia="黑体"/>
        </w:rPr>
        <w:t>八、保函的生效</w:t>
      </w:r>
    </w:p>
    <w:p w14:paraId="3D605FB6">
      <w:pPr>
        <w:spacing w:line="400" w:lineRule="exact"/>
        <w:ind w:firstLine="420" w:firstLineChars="200"/>
      </w:pPr>
      <w:r>
        <w:rPr>
          <w:rFonts w:hint="eastAsia"/>
        </w:rPr>
        <w:t>本保函自我方法定代表人（或其授权代理人）签字或加盖公章并交付你方之日起生效。</w:t>
      </w:r>
    </w:p>
    <w:p w14:paraId="1B2C04C2">
      <w:pPr>
        <w:spacing w:line="400" w:lineRule="exact"/>
        <w:ind w:firstLine="420" w:firstLineChars="200"/>
      </w:pPr>
      <w:r>
        <w:rPr>
          <w:rFonts w:hint="eastAsia"/>
        </w:rPr>
        <w:t>本条所称交付是指：</w:t>
      </w:r>
      <w:r>
        <w:rPr>
          <w:u w:val="single"/>
        </w:rPr>
        <w:t>/</w:t>
      </w:r>
      <w:r>
        <w:rPr>
          <w:rFonts w:hint="eastAsia"/>
        </w:rPr>
        <w:t>。</w:t>
      </w:r>
    </w:p>
    <w:p w14:paraId="7DB4A3D3">
      <w:pPr>
        <w:spacing w:line="400" w:lineRule="exact"/>
      </w:pPr>
    </w:p>
    <w:p w14:paraId="22A305FB">
      <w:pPr>
        <w:spacing w:line="400" w:lineRule="exact"/>
        <w:ind w:firstLine="2940" w:firstLineChars="1400"/>
        <w:jc w:val="left"/>
        <w:rPr>
          <w:szCs w:val="21"/>
        </w:rPr>
      </w:pPr>
      <w:r>
        <w:rPr>
          <w:rFonts w:hint="eastAsia" w:ascii="黑体" w:eastAsia="黑体"/>
          <w:szCs w:val="21"/>
        </w:rPr>
        <w:t>担保人</w:t>
      </w:r>
      <w:r>
        <w:rPr>
          <w:szCs w:val="21"/>
        </w:rPr>
        <w:t>：</w:t>
      </w:r>
      <w:r>
        <w:rPr>
          <w:szCs w:val="21"/>
          <w:u w:val="single"/>
        </w:rPr>
        <w:t>/</w:t>
      </w:r>
      <w:r>
        <w:rPr>
          <w:szCs w:val="21"/>
        </w:rPr>
        <w:t>（盖单位章）</w:t>
      </w:r>
    </w:p>
    <w:p w14:paraId="216BB31F">
      <w:pPr>
        <w:spacing w:line="400" w:lineRule="exact"/>
        <w:ind w:firstLine="2940" w:firstLineChars="1400"/>
        <w:jc w:val="left"/>
        <w:rPr>
          <w:szCs w:val="21"/>
        </w:rPr>
      </w:pPr>
      <w:r>
        <w:rPr>
          <w:rFonts w:hint="eastAsia" w:ascii="黑体" w:eastAsia="黑体"/>
          <w:szCs w:val="21"/>
        </w:rPr>
        <w:t>法定代表人或其委托代理人</w:t>
      </w:r>
      <w:r>
        <w:rPr>
          <w:szCs w:val="21"/>
        </w:rPr>
        <w:t>：</w:t>
      </w:r>
      <w:r>
        <w:rPr>
          <w:szCs w:val="21"/>
          <w:u w:val="single"/>
        </w:rPr>
        <w:t>/</w:t>
      </w:r>
      <w:r>
        <w:rPr>
          <w:szCs w:val="21"/>
        </w:rPr>
        <w:t>（签字）</w:t>
      </w:r>
    </w:p>
    <w:p w14:paraId="5B99F87A">
      <w:pPr>
        <w:spacing w:line="400" w:lineRule="exact"/>
        <w:ind w:firstLine="2940" w:firstLineChars="1400"/>
        <w:jc w:val="left"/>
        <w:rPr>
          <w:szCs w:val="21"/>
        </w:rPr>
      </w:pPr>
      <w:r>
        <w:rPr>
          <w:rFonts w:hint="eastAsia" w:ascii="黑体" w:eastAsia="黑体"/>
          <w:szCs w:val="21"/>
        </w:rPr>
        <w:t>地    址</w:t>
      </w:r>
      <w:r>
        <w:rPr>
          <w:szCs w:val="21"/>
        </w:rPr>
        <w:t>：</w:t>
      </w:r>
      <w:r>
        <w:rPr>
          <w:szCs w:val="21"/>
          <w:u w:val="single"/>
        </w:rPr>
        <w:tab/>
      </w:r>
      <w:r>
        <w:rPr>
          <w:szCs w:val="21"/>
          <w:u w:val="single"/>
        </w:rPr>
        <w:tab/>
      </w:r>
      <w:r>
        <w:rPr>
          <w:szCs w:val="21"/>
          <w:u w:val="single"/>
        </w:rPr>
        <w:t>/</w:t>
      </w:r>
      <w:r>
        <w:rPr>
          <w:szCs w:val="21"/>
          <w:u w:val="single"/>
        </w:rPr>
        <w:tab/>
      </w:r>
      <w:r>
        <w:rPr>
          <w:szCs w:val="21"/>
          <w:u w:val="single"/>
        </w:rPr>
        <w:tab/>
      </w:r>
    </w:p>
    <w:p w14:paraId="79734A53">
      <w:pPr>
        <w:spacing w:line="400" w:lineRule="exact"/>
        <w:ind w:firstLine="2940" w:firstLineChars="1400"/>
        <w:jc w:val="left"/>
        <w:rPr>
          <w:szCs w:val="21"/>
          <w:u w:val="single"/>
        </w:rPr>
      </w:pPr>
      <w:r>
        <w:rPr>
          <w:rFonts w:hint="eastAsia" w:ascii="黑体" w:eastAsia="黑体"/>
          <w:szCs w:val="21"/>
        </w:rPr>
        <w:t>邮政编码</w:t>
      </w:r>
      <w:r>
        <w:rPr>
          <w:szCs w:val="21"/>
        </w:rPr>
        <w:t>：</w:t>
      </w:r>
      <w:r>
        <w:rPr>
          <w:szCs w:val="21"/>
          <w:u w:val="single"/>
        </w:rPr>
        <w:tab/>
      </w:r>
      <w:r>
        <w:rPr>
          <w:szCs w:val="21"/>
          <w:u w:val="single"/>
        </w:rPr>
        <w:tab/>
      </w:r>
      <w:r>
        <w:rPr>
          <w:szCs w:val="21"/>
          <w:u w:val="single"/>
        </w:rPr>
        <w:tab/>
      </w:r>
      <w:r>
        <w:rPr>
          <w:szCs w:val="21"/>
          <w:u w:val="single"/>
        </w:rPr>
        <w:t>/</w:t>
      </w:r>
      <w:r>
        <w:rPr>
          <w:szCs w:val="21"/>
          <w:u w:val="single"/>
        </w:rPr>
        <w:tab/>
      </w:r>
      <w:r>
        <w:rPr>
          <w:szCs w:val="21"/>
          <w:u w:val="single"/>
        </w:rPr>
        <w:tab/>
      </w:r>
      <w:r>
        <w:rPr>
          <w:szCs w:val="21"/>
          <w:u w:val="single"/>
        </w:rPr>
        <w:tab/>
      </w:r>
    </w:p>
    <w:p w14:paraId="60D1567D">
      <w:pPr>
        <w:spacing w:line="400" w:lineRule="exact"/>
        <w:ind w:firstLine="2940" w:firstLineChars="1400"/>
        <w:jc w:val="left"/>
        <w:rPr>
          <w:szCs w:val="21"/>
          <w:u w:val="single"/>
        </w:rPr>
      </w:pPr>
      <w:r>
        <w:rPr>
          <w:rFonts w:hint="eastAsia" w:ascii="黑体" w:eastAsia="黑体"/>
          <w:szCs w:val="21"/>
        </w:rPr>
        <w:t>电    话</w:t>
      </w:r>
      <w:r>
        <w:rPr>
          <w:szCs w:val="21"/>
        </w:rPr>
        <w:t>：</w:t>
      </w:r>
      <w:r>
        <w:rPr>
          <w:szCs w:val="21"/>
          <w:u w:val="single"/>
        </w:rPr>
        <w:t>/</w:t>
      </w:r>
    </w:p>
    <w:p w14:paraId="27BA7125">
      <w:pPr>
        <w:spacing w:line="400" w:lineRule="exact"/>
        <w:ind w:firstLine="2940" w:firstLineChars="1400"/>
        <w:jc w:val="left"/>
        <w:rPr>
          <w:szCs w:val="21"/>
          <w:u w:val="single"/>
        </w:rPr>
      </w:pPr>
      <w:r>
        <w:rPr>
          <w:rFonts w:hint="eastAsia" w:ascii="黑体" w:eastAsia="黑体"/>
          <w:szCs w:val="21"/>
        </w:rPr>
        <w:t>传    真</w:t>
      </w:r>
      <w:r>
        <w:rPr>
          <w:szCs w:val="21"/>
        </w:rPr>
        <w:t>：</w:t>
      </w:r>
      <w:r>
        <w:rPr>
          <w:szCs w:val="21"/>
          <w:u w:val="single"/>
        </w:rPr>
        <w:t>/</w:t>
      </w:r>
    </w:p>
    <w:p w14:paraId="27ADE561">
      <w:pPr>
        <w:spacing w:line="400" w:lineRule="exact"/>
        <w:ind w:firstLine="4515" w:firstLineChars="2150"/>
        <w:jc w:val="left"/>
        <w:rPr>
          <w:szCs w:val="21"/>
          <w:u w:val="single"/>
        </w:rPr>
      </w:pPr>
      <w:r>
        <w:rPr>
          <w:szCs w:val="21"/>
          <w:u w:val="single"/>
        </w:rPr>
        <w:t>/</w:t>
      </w:r>
      <w:r>
        <w:rPr>
          <w:szCs w:val="21"/>
        </w:rPr>
        <w:t>年</w:t>
      </w:r>
      <w:r>
        <w:rPr>
          <w:szCs w:val="21"/>
          <w:u w:val="single"/>
        </w:rPr>
        <w:t>/</w:t>
      </w:r>
      <w:r>
        <w:rPr>
          <w:szCs w:val="21"/>
        </w:rPr>
        <w:t>月</w:t>
      </w:r>
      <w:r>
        <w:rPr>
          <w:szCs w:val="21"/>
          <w:u w:val="single"/>
        </w:rPr>
        <w:t>/</w:t>
      </w:r>
      <w:r>
        <w:rPr>
          <w:szCs w:val="21"/>
        </w:rPr>
        <w:t>日</w:t>
      </w:r>
    </w:p>
    <w:p w14:paraId="65B8F256">
      <w:pPr>
        <w:spacing w:line="400" w:lineRule="exact"/>
        <w:rPr>
          <w:szCs w:val="21"/>
        </w:rPr>
      </w:pPr>
    </w:p>
    <w:p w14:paraId="1B2D666F">
      <w:pPr>
        <w:spacing w:line="400" w:lineRule="exact"/>
        <w:rPr>
          <w:szCs w:val="21"/>
        </w:rPr>
      </w:pPr>
      <w:r>
        <w:rPr>
          <w:rFonts w:hint="eastAsia" w:ascii="黑体" w:eastAsia="黑体"/>
          <w:szCs w:val="21"/>
        </w:rPr>
        <w:t>备注：</w:t>
      </w:r>
      <w:r>
        <w:rPr>
          <w:rFonts w:hint="eastAsia"/>
          <w:szCs w:val="21"/>
        </w:rPr>
        <w:t>本履约担保格式可以采用经甲方同意的其他格式，但相关内容不得违背合同约定的实质性内容。</w:t>
      </w:r>
    </w:p>
    <w:p w14:paraId="21926B02">
      <w:pPr>
        <w:pStyle w:val="251"/>
        <w:tabs>
          <w:tab w:val="left" w:pos="720"/>
        </w:tabs>
        <w:rPr>
          <w:rFonts w:ascii="黑体"/>
          <w:b/>
        </w:rPr>
      </w:pPr>
      <w:r>
        <w:rPr>
          <w:sz w:val="21"/>
        </w:rPr>
        <w:br w:type="page"/>
      </w:r>
      <w:r>
        <w:rPr>
          <w:rFonts w:hint="eastAsia"/>
        </w:rPr>
        <w:t>附件五：支付担保格式</w:t>
      </w:r>
    </w:p>
    <w:p w14:paraId="583DF888">
      <w:pPr>
        <w:jc w:val="center"/>
        <w:rPr>
          <w:rFonts w:eastAsia="黑体"/>
          <w:sz w:val="28"/>
        </w:rPr>
      </w:pPr>
    </w:p>
    <w:p w14:paraId="5C39D2DF">
      <w:pPr>
        <w:spacing w:line="400" w:lineRule="exact"/>
        <w:jc w:val="center"/>
        <w:rPr>
          <w:rFonts w:eastAsia="黑体"/>
          <w:sz w:val="28"/>
        </w:rPr>
      </w:pPr>
      <w:r>
        <w:rPr>
          <w:rFonts w:hint="eastAsia" w:eastAsia="黑体"/>
          <w:sz w:val="28"/>
        </w:rPr>
        <w:t>甲方支付保函</w:t>
      </w:r>
    </w:p>
    <w:p w14:paraId="3371700B">
      <w:pPr>
        <w:ind w:firstLine="5583" w:firstLineChars="2659"/>
        <w:rPr>
          <w:rFonts w:ascii="黑体" w:eastAsia="黑体"/>
        </w:rPr>
      </w:pPr>
    </w:p>
    <w:p w14:paraId="06F79105">
      <w:pPr>
        <w:spacing w:line="400" w:lineRule="exact"/>
      </w:pPr>
      <w:r>
        <w:rPr>
          <w:u w:val="single"/>
        </w:rPr>
        <w:t>/</w:t>
      </w:r>
      <w:r>
        <w:rPr>
          <w:rFonts w:hint="eastAsia"/>
        </w:rPr>
        <w:t>（乙方）：</w:t>
      </w:r>
    </w:p>
    <w:p w14:paraId="0AC3C786">
      <w:pPr>
        <w:spacing w:line="400" w:lineRule="exact"/>
      </w:pPr>
    </w:p>
    <w:p w14:paraId="6D406C4A">
      <w:pPr>
        <w:spacing w:line="400" w:lineRule="exact"/>
        <w:ind w:firstLine="420" w:firstLineChars="200"/>
        <w:rPr>
          <w:szCs w:val="21"/>
        </w:rPr>
      </w:pPr>
      <w:r>
        <w:rPr>
          <w:rFonts w:ascii="Arial" w:hAnsi="Arial" w:cs="Arial"/>
          <w:szCs w:val="21"/>
        </w:rPr>
        <w:t>鉴于你方</w:t>
      </w:r>
      <w:r>
        <w:rPr>
          <w:rFonts w:hint="eastAsia" w:ascii="Arial" w:hAnsi="Arial" w:cs="Arial"/>
          <w:szCs w:val="21"/>
        </w:rPr>
        <w:t>作为乙方</w:t>
      </w:r>
      <w:r>
        <w:rPr>
          <w:rFonts w:ascii="Arial" w:hAnsi="Arial" w:cs="Arial"/>
          <w:szCs w:val="21"/>
        </w:rPr>
        <w:t>已经与</w:t>
      </w:r>
      <w:r>
        <w:rPr>
          <w:rFonts w:ascii="Arial" w:hAnsi="Arial" w:cs="Arial"/>
          <w:szCs w:val="21"/>
          <w:u w:val="single"/>
        </w:rPr>
        <w:t>/</w:t>
      </w:r>
      <w:r>
        <w:rPr>
          <w:rFonts w:hint="eastAsia" w:ascii="Arial" w:hAnsi="Arial" w:eastAsia="楷体_GB2312" w:cs="Arial"/>
          <w:szCs w:val="21"/>
        </w:rPr>
        <w:t>（</w:t>
      </w:r>
      <w:r>
        <w:rPr>
          <w:rFonts w:hint="eastAsia" w:ascii="宋体" w:hAnsi="宋体" w:cs="Arial"/>
          <w:szCs w:val="21"/>
        </w:rPr>
        <w:t>甲方</w:t>
      </w:r>
      <w:r>
        <w:rPr>
          <w:rFonts w:ascii="宋体" w:hAnsi="宋体" w:cs="Arial"/>
          <w:szCs w:val="21"/>
        </w:rPr>
        <w:t>名称</w:t>
      </w:r>
      <w:r>
        <w:rPr>
          <w:rFonts w:ascii="Arial" w:hAnsi="Arial" w:eastAsia="楷体_GB2312" w:cs="Arial"/>
          <w:szCs w:val="21"/>
        </w:rPr>
        <w:t>）</w:t>
      </w:r>
      <w:r>
        <w:rPr>
          <w:rFonts w:hint="eastAsia" w:ascii="Arial" w:hAnsi="Arial" w:eastAsia="楷体_GB2312" w:cs="Arial"/>
          <w:szCs w:val="21"/>
        </w:rPr>
        <w:t>（</w:t>
      </w:r>
      <w:r>
        <w:rPr>
          <w:rFonts w:ascii="Arial" w:hAnsi="Arial" w:cs="Arial"/>
          <w:szCs w:val="21"/>
        </w:rPr>
        <w:t>以下称</w:t>
      </w:r>
      <w:r>
        <w:rPr>
          <w:rFonts w:hint="eastAsia" w:ascii="Arial" w:hAnsi="Arial" w:cs="Arial"/>
          <w:szCs w:val="21"/>
        </w:rPr>
        <w:t>“甲方”</w:t>
      </w:r>
      <w:r>
        <w:rPr>
          <w:rFonts w:hint="eastAsia"/>
          <w:szCs w:val="21"/>
        </w:rPr>
        <w:t>）</w:t>
      </w:r>
      <w:r>
        <w:rPr>
          <w:szCs w:val="21"/>
        </w:rPr>
        <w:t>于</w:t>
      </w:r>
    </w:p>
    <w:p w14:paraId="2A46494D">
      <w:pPr>
        <w:spacing w:line="400" w:lineRule="exact"/>
      </w:pPr>
      <w:r>
        <w:rPr>
          <w:szCs w:val="21"/>
        </w:rPr>
        <w:t>年月日签订</w:t>
      </w:r>
      <w:r>
        <w:rPr>
          <w:rFonts w:hint="eastAsia"/>
          <w:szCs w:val="21"/>
        </w:rPr>
        <w:t>了</w:t>
      </w:r>
      <w:r>
        <w:rPr>
          <w:szCs w:val="21"/>
          <w:u w:val="single"/>
        </w:rPr>
        <w:t>/</w:t>
      </w:r>
      <w:r>
        <w:rPr>
          <w:szCs w:val="21"/>
        </w:rPr>
        <w:t>（</w:t>
      </w:r>
      <w:r>
        <w:rPr>
          <w:rFonts w:hint="eastAsia"/>
          <w:szCs w:val="21"/>
        </w:rPr>
        <w:t>工程</w:t>
      </w:r>
      <w:r>
        <w:rPr>
          <w:szCs w:val="21"/>
        </w:rPr>
        <w:t>名称）</w:t>
      </w:r>
      <w:r>
        <w:rPr>
          <w:rFonts w:hint="eastAsia"/>
          <w:szCs w:val="21"/>
        </w:rPr>
        <w:t>施工承包</w:t>
      </w:r>
      <w:r>
        <w:rPr>
          <w:szCs w:val="21"/>
        </w:rPr>
        <w:t>合同</w:t>
      </w:r>
      <w:r>
        <w:rPr>
          <w:rFonts w:hint="eastAsia"/>
          <w:szCs w:val="21"/>
        </w:rPr>
        <w:t>（以下称“主合同”），</w:t>
      </w:r>
      <w:r>
        <w:rPr>
          <w:rFonts w:hint="eastAsia"/>
        </w:rPr>
        <w:t>应甲方的申请，我方愿就甲方履行主合同约定的工程款支付义务以保证的方式向你方提供如下担保：</w:t>
      </w:r>
    </w:p>
    <w:p w14:paraId="61141EF3">
      <w:pPr>
        <w:spacing w:line="400" w:lineRule="exact"/>
        <w:ind w:firstLine="420" w:firstLineChars="200"/>
        <w:outlineLvl w:val="0"/>
        <w:rPr>
          <w:rFonts w:ascii="黑体" w:eastAsia="黑体"/>
        </w:rPr>
      </w:pPr>
      <w:r>
        <w:rPr>
          <w:rFonts w:hint="eastAsia" w:ascii="黑体" w:eastAsia="黑体"/>
        </w:rPr>
        <w:t>一、保证的范围及保证金额</w:t>
      </w:r>
    </w:p>
    <w:p w14:paraId="3F91523B">
      <w:pPr>
        <w:spacing w:line="400" w:lineRule="exact"/>
        <w:ind w:firstLine="420" w:firstLineChars="200"/>
      </w:pPr>
      <w:r>
        <w:rPr>
          <w:rFonts w:hint="eastAsia"/>
        </w:rPr>
        <w:t>我方的保证范围是主合同约定的工程款。</w:t>
      </w:r>
    </w:p>
    <w:p w14:paraId="2C82E142">
      <w:pPr>
        <w:spacing w:line="400" w:lineRule="exact"/>
        <w:ind w:firstLine="420" w:firstLineChars="200"/>
      </w:pPr>
      <w:r>
        <w:rPr>
          <w:rFonts w:hint="eastAsia"/>
        </w:rPr>
        <w:t>本保函所称主合同约定的工程款是指主合同约定的除工程质量保证金以外的合同价款。</w:t>
      </w:r>
    </w:p>
    <w:p w14:paraId="62552E07">
      <w:pPr>
        <w:spacing w:line="400" w:lineRule="exact"/>
        <w:ind w:firstLine="420" w:firstLineChars="200"/>
      </w:pPr>
      <w:r>
        <w:rPr>
          <w:rFonts w:hint="eastAsia"/>
        </w:rPr>
        <w:t>我方保证的金额是主合同约定的工程款的</w:t>
      </w:r>
      <w:r>
        <w:rPr>
          <w:u w:val="single"/>
        </w:rPr>
        <w:t>/</w:t>
      </w:r>
      <w:r>
        <w:rPr>
          <w:rFonts w:hint="eastAsia"/>
        </w:rPr>
        <w:t>%，数额最高不超过人民币</w:t>
      </w:r>
      <w:r>
        <w:softHyphen/>
      </w:r>
      <w:r>
        <w:rPr>
          <w:u w:val="single"/>
        </w:rPr>
        <w:t>/</w:t>
      </w:r>
      <w:r>
        <w:rPr>
          <w:rFonts w:hint="eastAsia"/>
        </w:rPr>
        <w:t>元（大写：</w:t>
      </w:r>
      <w:r>
        <w:rPr>
          <w:u w:val="single"/>
        </w:rPr>
        <w:t>/</w:t>
      </w:r>
      <w:r>
        <w:rPr>
          <w:rFonts w:hint="eastAsia"/>
        </w:rPr>
        <w:t>）。</w:t>
      </w:r>
    </w:p>
    <w:p w14:paraId="52C9D100">
      <w:pPr>
        <w:spacing w:line="400" w:lineRule="exact"/>
        <w:ind w:firstLine="420" w:firstLineChars="200"/>
        <w:outlineLvl w:val="0"/>
        <w:rPr>
          <w:rFonts w:ascii="黑体" w:eastAsia="黑体"/>
        </w:rPr>
      </w:pPr>
      <w:r>
        <w:rPr>
          <w:rFonts w:hint="eastAsia" w:ascii="黑体" w:eastAsia="黑体"/>
        </w:rPr>
        <w:t>二、保证的方式及保证期间</w:t>
      </w:r>
    </w:p>
    <w:p w14:paraId="79A57170">
      <w:pPr>
        <w:spacing w:line="400" w:lineRule="exact"/>
        <w:ind w:firstLine="420" w:firstLineChars="200"/>
      </w:pPr>
      <w:r>
        <w:rPr>
          <w:rFonts w:hint="eastAsia"/>
        </w:rPr>
        <w:t>我方保证的方式为：连带责任保证。</w:t>
      </w:r>
    </w:p>
    <w:p w14:paraId="0BA0D78D">
      <w:pPr>
        <w:spacing w:line="400" w:lineRule="exact"/>
        <w:ind w:firstLine="420" w:firstLineChars="200"/>
      </w:pPr>
      <w:r>
        <w:rPr>
          <w:rFonts w:hint="eastAsia"/>
        </w:rPr>
        <w:t>我方保证的期间为：自本合同生效之日起至主合同约定的工程款支付之日后</w:t>
      </w:r>
      <w:r>
        <w:rPr>
          <w:u w:val="single"/>
        </w:rPr>
        <w:t>/</w:t>
      </w:r>
      <w:r>
        <w:rPr>
          <w:rFonts w:hint="eastAsia"/>
        </w:rPr>
        <w:t>日内。</w:t>
      </w:r>
    </w:p>
    <w:p w14:paraId="5C6AFE8B">
      <w:pPr>
        <w:spacing w:line="400" w:lineRule="exact"/>
        <w:ind w:firstLine="420" w:firstLineChars="200"/>
        <w:rPr>
          <w:b/>
        </w:rPr>
      </w:pPr>
      <w:r>
        <w:rPr>
          <w:rFonts w:hint="eastAsia"/>
        </w:rPr>
        <w:t>你方与甲方协议变更工程款支付日期的，经我方书面同意后，保证期间按照变更后的支付日期做相应调整。</w:t>
      </w:r>
    </w:p>
    <w:p w14:paraId="1A30D4D3">
      <w:pPr>
        <w:spacing w:line="400" w:lineRule="exact"/>
        <w:ind w:firstLine="420" w:firstLineChars="200"/>
        <w:outlineLvl w:val="0"/>
        <w:rPr>
          <w:rFonts w:ascii="黑体" w:eastAsia="黑体"/>
        </w:rPr>
      </w:pPr>
      <w:r>
        <w:rPr>
          <w:rFonts w:hint="eastAsia" w:ascii="黑体" w:eastAsia="黑体"/>
        </w:rPr>
        <w:t>三、承担保证责任的形式</w:t>
      </w:r>
    </w:p>
    <w:p w14:paraId="5232E8C2">
      <w:pPr>
        <w:spacing w:line="400" w:lineRule="exact"/>
        <w:ind w:firstLine="411" w:firstLineChars="196"/>
      </w:pPr>
      <w:r>
        <w:rPr>
          <w:rFonts w:hint="eastAsia"/>
        </w:rPr>
        <w:t>我方承担保证责任的形式是代为支付。甲方未按主合同约定向你方支付工程款的，由我方在保证金额内代为支付。</w:t>
      </w:r>
    </w:p>
    <w:p w14:paraId="1FB1D3DE">
      <w:pPr>
        <w:spacing w:line="400" w:lineRule="exact"/>
        <w:ind w:firstLine="420" w:firstLineChars="200"/>
        <w:outlineLvl w:val="0"/>
        <w:rPr>
          <w:rFonts w:ascii="黑体" w:eastAsia="黑体"/>
        </w:rPr>
      </w:pPr>
      <w:r>
        <w:rPr>
          <w:rFonts w:hint="eastAsia" w:ascii="黑体" w:eastAsia="黑体"/>
        </w:rPr>
        <w:t>四、代偿的安排</w:t>
      </w:r>
    </w:p>
    <w:p w14:paraId="3317D637">
      <w:pPr>
        <w:spacing w:line="400" w:lineRule="exact"/>
        <w:ind w:firstLine="420" w:firstLineChars="200"/>
      </w:pPr>
      <w:r>
        <w:rPr>
          <w:rFonts w:hint="eastAsia"/>
        </w:rPr>
        <w:t>你方要求我方承担保证责任的，应向我方发出书面索赔通知及甲方未支付主合同约定工程款的证明材料。索赔通知应写明要求索赔的金额，支付款项应到达的帐号。</w:t>
      </w:r>
    </w:p>
    <w:p w14:paraId="5839EB9F">
      <w:pPr>
        <w:spacing w:line="400" w:lineRule="exact"/>
        <w:ind w:firstLine="420" w:firstLineChars="200"/>
      </w:pPr>
    </w:p>
    <w:p w14:paraId="27F7C576">
      <w:pPr>
        <w:spacing w:line="400" w:lineRule="exact"/>
        <w:ind w:firstLine="420" w:firstLineChars="200"/>
      </w:pPr>
      <w:r>
        <w:rPr>
          <w:rFonts w:hint="eastAsia"/>
        </w:rPr>
        <w:t>在出现你方与甲方因工程质量发生争议，甲方拒绝向你方支付工程款的情形时，你方要求我方履行保证责任代为支付的，还需提供项目总监理工程师、监理人或符合相应条件要求的工程质量检测机构出具的质量说明材料。</w:t>
      </w:r>
    </w:p>
    <w:p w14:paraId="734E53BE">
      <w:pPr>
        <w:spacing w:line="400" w:lineRule="exact"/>
        <w:ind w:firstLine="420" w:firstLineChars="200"/>
      </w:pPr>
      <w:r>
        <w:rPr>
          <w:rFonts w:hint="eastAsia"/>
        </w:rPr>
        <w:t>我方收到你方的书面索赔通知及相应证明材料后，在个工作日内进行核定后按照本保函的承诺承担保证责任。</w:t>
      </w:r>
    </w:p>
    <w:p w14:paraId="2445238A">
      <w:pPr>
        <w:spacing w:line="400" w:lineRule="exact"/>
        <w:ind w:firstLine="420" w:firstLineChars="200"/>
        <w:outlineLvl w:val="0"/>
        <w:rPr>
          <w:rFonts w:ascii="黑体" w:eastAsia="黑体"/>
        </w:rPr>
      </w:pPr>
      <w:r>
        <w:rPr>
          <w:rFonts w:hint="eastAsia" w:ascii="黑体" w:eastAsia="黑体"/>
        </w:rPr>
        <w:t>五、保证责任的解除</w:t>
      </w:r>
    </w:p>
    <w:p w14:paraId="53FFD484">
      <w:pPr>
        <w:spacing w:line="400" w:lineRule="exact"/>
        <w:ind w:firstLine="420" w:firstLineChars="200"/>
      </w:pPr>
      <w:r>
        <w:rPr>
          <w:rFonts w:hint="eastAsia"/>
        </w:rPr>
        <w:t>1、在本保函承诺的保证期间内，你方未书面向我方主张保证责任的，自保证期间届满次日起，我方保证责任解除。</w:t>
      </w:r>
    </w:p>
    <w:p w14:paraId="6B665E24">
      <w:pPr>
        <w:spacing w:line="400" w:lineRule="exact"/>
        <w:ind w:firstLine="420" w:firstLineChars="200"/>
      </w:pPr>
      <w:r>
        <w:rPr>
          <w:rFonts w:hint="eastAsia"/>
        </w:rPr>
        <w:t>2、甲方按主合同约定履行了工程款的全部支付义务的，自本保函承诺的保证期间届满次日起，我方保证责任解除。</w:t>
      </w:r>
    </w:p>
    <w:p w14:paraId="07E7C7B4">
      <w:pPr>
        <w:spacing w:line="400" w:lineRule="exact"/>
        <w:ind w:firstLine="420" w:firstLineChars="200"/>
      </w:pPr>
      <w:r>
        <w:rPr>
          <w:rFonts w:hint="eastAsia"/>
        </w:rPr>
        <w:t>3、我方按照本保函向你方履行保证责任所支付金额达到本保函保证金额时，自我方向你方支付（支付款项从我方帐户划出）之日起，保证责任即解除。</w:t>
      </w:r>
    </w:p>
    <w:p w14:paraId="56AAE58C">
      <w:pPr>
        <w:spacing w:line="400" w:lineRule="exact"/>
        <w:ind w:firstLine="420" w:firstLineChars="200"/>
      </w:pPr>
      <w:r>
        <w:rPr>
          <w:rFonts w:hint="eastAsia"/>
        </w:rPr>
        <w:t>4、按照法律法规的规定或出现应解除我方保证责任的其它情形的，我方在本保函项下的保证责任亦解除。</w:t>
      </w:r>
    </w:p>
    <w:p w14:paraId="3E8CAE2D">
      <w:pPr>
        <w:spacing w:line="400" w:lineRule="exact"/>
        <w:ind w:firstLine="420" w:firstLineChars="200"/>
      </w:pPr>
      <w:r>
        <w:rPr>
          <w:rFonts w:hint="eastAsia"/>
        </w:rPr>
        <w:t>我方解除保证责任后，你方应自我方保证责任解除之日起个工作日内，将本保函原件返还我方。</w:t>
      </w:r>
    </w:p>
    <w:p w14:paraId="2EE42E3A">
      <w:pPr>
        <w:spacing w:line="400" w:lineRule="exact"/>
        <w:ind w:firstLine="420" w:firstLineChars="200"/>
        <w:outlineLvl w:val="0"/>
        <w:rPr>
          <w:rFonts w:ascii="黑体" w:eastAsia="黑体"/>
        </w:rPr>
      </w:pPr>
      <w:r>
        <w:rPr>
          <w:rFonts w:hint="eastAsia" w:ascii="黑体" w:eastAsia="黑体"/>
        </w:rPr>
        <w:t>六、免责条款</w:t>
      </w:r>
    </w:p>
    <w:p w14:paraId="30AA90CF">
      <w:pPr>
        <w:spacing w:line="400" w:lineRule="exact"/>
        <w:ind w:firstLine="420" w:firstLineChars="200"/>
      </w:pPr>
      <w:r>
        <w:rPr>
          <w:rFonts w:hint="eastAsia"/>
        </w:rPr>
        <w:t>1、因你方违约致使甲方不能履行义务的，我方不承担保证责任。</w:t>
      </w:r>
    </w:p>
    <w:p w14:paraId="4C87A5F5">
      <w:pPr>
        <w:spacing w:line="400" w:lineRule="exact"/>
        <w:ind w:firstLine="420" w:firstLineChars="200"/>
        <w:rPr>
          <w:rFonts w:ascii="宋体" w:hAnsi="宋体"/>
        </w:rPr>
      </w:pPr>
      <w:r>
        <w:rPr>
          <w:rFonts w:hint="eastAsia" w:ascii="宋体" w:hAnsi="宋体"/>
        </w:rPr>
        <w:t>2、依照法律法规</w:t>
      </w:r>
      <w:r>
        <w:rPr>
          <w:rFonts w:hint="eastAsia"/>
        </w:rPr>
        <w:t>的</w:t>
      </w:r>
      <w:r>
        <w:rPr>
          <w:rFonts w:hint="eastAsia" w:ascii="宋体" w:hAnsi="宋体"/>
        </w:rPr>
        <w:t>规定或你方与甲方的另行约定，免除甲方部分或全部义务的，我方亦免除其相应的保证责任。</w:t>
      </w:r>
    </w:p>
    <w:p w14:paraId="61600DEF">
      <w:pPr>
        <w:spacing w:line="400" w:lineRule="exact"/>
        <w:ind w:firstLine="420" w:firstLineChars="200"/>
        <w:rPr>
          <w:rFonts w:ascii="宋体" w:hAnsi="宋体"/>
        </w:rPr>
      </w:pPr>
      <w:r>
        <w:rPr>
          <w:rFonts w:hint="eastAsia"/>
        </w:rPr>
        <w:t>3、你方与甲方协议变更主合同的（符合主合同合同条款第15条约定的变更除外），如加重甲方责任致使我方保证责任加重的，需征得我方书面同意，否则我方不再承担因此而加重部分的保证责任。</w:t>
      </w:r>
    </w:p>
    <w:p w14:paraId="47D114E2">
      <w:pPr>
        <w:spacing w:line="400" w:lineRule="exact"/>
        <w:ind w:firstLine="420" w:firstLineChars="200"/>
      </w:pPr>
      <w:r>
        <w:rPr>
          <w:rFonts w:hint="eastAsia" w:ascii="宋体" w:hAnsi="宋体"/>
        </w:rPr>
        <w:t>4、</w:t>
      </w:r>
      <w:r>
        <w:rPr>
          <w:rFonts w:hint="eastAsia"/>
        </w:rPr>
        <w:t>因不可抗力造成</w:t>
      </w:r>
      <w:r>
        <w:rPr>
          <w:rFonts w:hint="eastAsia" w:ascii="宋体" w:hAnsi="宋体"/>
        </w:rPr>
        <w:t>甲方</w:t>
      </w:r>
      <w:r>
        <w:rPr>
          <w:rFonts w:hint="eastAsia"/>
        </w:rPr>
        <w:t>不能履行义务的，我方不承担保证责任</w:t>
      </w:r>
      <w:r>
        <w:rPr>
          <w:rFonts w:hint="eastAsia" w:ascii="宋体" w:hAnsi="宋体"/>
        </w:rPr>
        <w:t>。</w:t>
      </w:r>
    </w:p>
    <w:p w14:paraId="56361173">
      <w:pPr>
        <w:spacing w:line="400" w:lineRule="exact"/>
        <w:ind w:firstLine="420" w:firstLineChars="200"/>
        <w:outlineLvl w:val="0"/>
        <w:rPr>
          <w:rFonts w:ascii="黑体" w:eastAsia="黑体"/>
        </w:rPr>
      </w:pPr>
      <w:r>
        <w:rPr>
          <w:rFonts w:hint="eastAsia" w:ascii="黑体" w:eastAsia="黑体"/>
        </w:rPr>
        <w:t>七、争议的解决</w:t>
      </w:r>
    </w:p>
    <w:p w14:paraId="74B58526">
      <w:pPr>
        <w:spacing w:line="400" w:lineRule="exact"/>
        <w:ind w:firstLine="420" w:firstLineChars="200"/>
        <w:rPr>
          <w:rFonts w:ascii="宋体"/>
        </w:rPr>
      </w:pPr>
      <w:r>
        <w:rPr>
          <w:rFonts w:hint="eastAsia"/>
        </w:rPr>
        <w:t>因本保函发生的纠纷，由贵我双方协商解决，协商不成的，任何一方均可提请</w:t>
      </w:r>
      <w:r>
        <w:rPr>
          <w:rFonts w:ascii="宋体"/>
          <w:u w:val="single"/>
        </w:rPr>
        <w:t>/</w:t>
      </w:r>
      <w:r>
        <w:rPr>
          <w:rFonts w:hint="eastAsia" w:ascii="宋体"/>
        </w:rPr>
        <w:t>仲裁委员会仲裁。</w:t>
      </w:r>
    </w:p>
    <w:p w14:paraId="4BFC510A">
      <w:pPr>
        <w:spacing w:line="400" w:lineRule="exact"/>
        <w:ind w:firstLine="420" w:firstLineChars="200"/>
        <w:outlineLvl w:val="0"/>
        <w:rPr>
          <w:rFonts w:ascii="黑体" w:eastAsia="黑体"/>
        </w:rPr>
      </w:pPr>
      <w:r>
        <w:rPr>
          <w:rFonts w:hint="eastAsia" w:ascii="黑体" w:eastAsia="黑体"/>
        </w:rPr>
        <w:t>八、保函的生效</w:t>
      </w:r>
    </w:p>
    <w:p w14:paraId="39B6257C">
      <w:pPr>
        <w:spacing w:line="400" w:lineRule="exact"/>
        <w:ind w:firstLine="420" w:firstLineChars="200"/>
      </w:pPr>
      <w:r>
        <w:rPr>
          <w:rFonts w:hint="eastAsia"/>
        </w:rPr>
        <w:t>本保函自我方法定代表人（或其授权代理人）签字或加盖公章并交付你方之日起生效。</w:t>
      </w:r>
    </w:p>
    <w:p w14:paraId="35038DF1">
      <w:pPr>
        <w:spacing w:line="400" w:lineRule="exact"/>
        <w:ind w:firstLine="420" w:firstLineChars="200"/>
      </w:pPr>
      <w:r>
        <w:rPr>
          <w:rFonts w:hint="eastAsia"/>
        </w:rPr>
        <w:t>本条所称交付是指：</w:t>
      </w:r>
      <w:r>
        <w:rPr>
          <w:u w:val="single"/>
        </w:rPr>
        <w:t>/</w:t>
      </w:r>
      <w:r>
        <w:rPr>
          <w:rFonts w:hint="eastAsia"/>
        </w:rPr>
        <w:t>。</w:t>
      </w:r>
    </w:p>
    <w:p w14:paraId="0A48E079">
      <w:pPr>
        <w:spacing w:line="400" w:lineRule="exact"/>
        <w:ind w:firstLine="720"/>
      </w:pPr>
    </w:p>
    <w:p w14:paraId="2AD671EE">
      <w:pPr>
        <w:spacing w:line="400" w:lineRule="exact"/>
        <w:ind w:firstLine="2940" w:firstLineChars="1400"/>
        <w:jc w:val="left"/>
        <w:rPr>
          <w:szCs w:val="21"/>
        </w:rPr>
      </w:pPr>
      <w:r>
        <w:rPr>
          <w:rFonts w:hint="eastAsia" w:ascii="黑体" w:eastAsia="黑体"/>
          <w:szCs w:val="21"/>
        </w:rPr>
        <w:t>担保人</w:t>
      </w:r>
      <w:r>
        <w:rPr>
          <w:szCs w:val="21"/>
        </w:rPr>
        <w:t>：</w:t>
      </w:r>
      <w:r>
        <w:rPr>
          <w:szCs w:val="21"/>
          <w:u w:val="single"/>
        </w:rPr>
        <w:t>/</w:t>
      </w:r>
      <w:r>
        <w:rPr>
          <w:szCs w:val="21"/>
        </w:rPr>
        <w:t>（盖单位章）</w:t>
      </w:r>
    </w:p>
    <w:p w14:paraId="0A858819">
      <w:pPr>
        <w:spacing w:line="400" w:lineRule="exact"/>
        <w:ind w:firstLine="2940" w:firstLineChars="1400"/>
        <w:jc w:val="left"/>
        <w:rPr>
          <w:szCs w:val="21"/>
        </w:rPr>
      </w:pPr>
      <w:r>
        <w:rPr>
          <w:rFonts w:hint="eastAsia" w:ascii="黑体" w:eastAsia="黑体"/>
          <w:szCs w:val="21"/>
        </w:rPr>
        <w:t>法定代表人或其委托代理人</w:t>
      </w:r>
      <w:r>
        <w:rPr>
          <w:szCs w:val="21"/>
        </w:rPr>
        <w:t>：</w:t>
      </w:r>
      <w:r>
        <w:rPr>
          <w:szCs w:val="21"/>
          <w:u w:val="single"/>
        </w:rPr>
        <w:t>/</w:t>
      </w:r>
      <w:r>
        <w:rPr>
          <w:szCs w:val="21"/>
        </w:rPr>
        <w:t>（签字）</w:t>
      </w:r>
    </w:p>
    <w:p w14:paraId="1C82A2BF">
      <w:pPr>
        <w:spacing w:line="400" w:lineRule="exact"/>
        <w:ind w:firstLine="2940" w:firstLineChars="1400"/>
        <w:jc w:val="left"/>
        <w:rPr>
          <w:szCs w:val="21"/>
        </w:rPr>
      </w:pPr>
      <w:r>
        <w:rPr>
          <w:rFonts w:hint="eastAsia" w:ascii="黑体" w:eastAsia="黑体"/>
          <w:szCs w:val="21"/>
        </w:rPr>
        <w:t>地    址</w:t>
      </w:r>
      <w:r>
        <w:rPr>
          <w:szCs w:val="21"/>
        </w:rPr>
        <w:t>：</w:t>
      </w:r>
      <w:r>
        <w:rPr>
          <w:szCs w:val="21"/>
          <w:u w:val="single"/>
        </w:rPr>
        <w:tab/>
      </w:r>
      <w:r>
        <w:rPr>
          <w:szCs w:val="21"/>
          <w:u w:val="single"/>
        </w:rPr>
        <w:tab/>
      </w:r>
      <w:r>
        <w:rPr>
          <w:szCs w:val="21"/>
          <w:u w:val="single"/>
        </w:rPr>
        <w:tab/>
      </w:r>
      <w:r>
        <w:rPr>
          <w:szCs w:val="21"/>
          <w:u w:val="single"/>
        </w:rPr>
        <w:t>/</w:t>
      </w:r>
      <w:r>
        <w:rPr>
          <w:szCs w:val="21"/>
          <w:u w:val="single"/>
        </w:rPr>
        <w:tab/>
      </w:r>
    </w:p>
    <w:p w14:paraId="694E08A6">
      <w:pPr>
        <w:spacing w:line="400" w:lineRule="exact"/>
        <w:ind w:firstLine="2940" w:firstLineChars="1400"/>
        <w:jc w:val="left"/>
        <w:rPr>
          <w:szCs w:val="21"/>
          <w:u w:val="single"/>
        </w:rPr>
      </w:pPr>
      <w:r>
        <w:rPr>
          <w:rFonts w:hint="eastAsia" w:ascii="黑体" w:eastAsia="黑体"/>
          <w:szCs w:val="21"/>
        </w:rPr>
        <w:t>邮政编码</w:t>
      </w:r>
      <w:r>
        <w:rPr>
          <w:szCs w:val="21"/>
        </w:rPr>
        <w:t>：</w:t>
      </w:r>
      <w:r>
        <w:rPr>
          <w:szCs w:val="21"/>
          <w:u w:val="single"/>
        </w:rPr>
        <w:tab/>
      </w:r>
      <w:r>
        <w:rPr>
          <w:szCs w:val="21"/>
          <w:u w:val="single"/>
        </w:rPr>
        <w:tab/>
      </w:r>
      <w:r>
        <w:rPr>
          <w:szCs w:val="21"/>
          <w:u w:val="single"/>
        </w:rPr>
        <w:tab/>
      </w:r>
      <w:r>
        <w:rPr>
          <w:szCs w:val="21"/>
          <w:u w:val="single"/>
        </w:rPr>
        <w:tab/>
      </w:r>
      <w:r>
        <w:rPr>
          <w:szCs w:val="21"/>
          <w:u w:val="single"/>
        </w:rPr>
        <w:t>/</w:t>
      </w:r>
      <w:r>
        <w:rPr>
          <w:szCs w:val="21"/>
          <w:u w:val="single"/>
        </w:rPr>
        <w:tab/>
      </w:r>
      <w:r>
        <w:rPr>
          <w:szCs w:val="21"/>
          <w:u w:val="single"/>
        </w:rPr>
        <w:tab/>
      </w:r>
    </w:p>
    <w:p w14:paraId="61502687">
      <w:pPr>
        <w:spacing w:line="400" w:lineRule="exact"/>
        <w:ind w:firstLine="2940" w:firstLineChars="1400"/>
        <w:jc w:val="left"/>
        <w:rPr>
          <w:szCs w:val="21"/>
          <w:u w:val="single"/>
        </w:rPr>
      </w:pPr>
      <w:r>
        <w:rPr>
          <w:rFonts w:hint="eastAsia" w:ascii="黑体" w:eastAsia="黑体"/>
          <w:szCs w:val="21"/>
        </w:rPr>
        <w:t>电    话</w:t>
      </w:r>
      <w:r>
        <w:rPr>
          <w:szCs w:val="21"/>
        </w:rPr>
        <w:t>：</w:t>
      </w:r>
      <w:r>
        <w:rPr>
          <w:szCs w:val="21"/>
          <w:u w:val="single"/>
        </w:rPr>
        <w:t>/</w:t>
      </w:r>
    </w:p>
    <w:p w14:paraId="76634B18">
      <w:pPr>
        <w:spacing w:line="400" w:lineRule="exact"/>
        <w:ind w:firstLine="2940" w:firstLineChars="1400"/>
        <w:jc w:val="left"/>
        <w:rPr>
          <w:szCs w:val="21"/>
          <w:u w:val="single"/>
        </w:rPr>
      </w:pPr>
      <w:r>
        <w:rPr>
          <w:rFonts w:hint="eastAsia" w:ascii="黑体" w:eastAsia="黑体"/>
          <w:szCs w:val="21"/>
        </w:rPr>
        <w:t>传    真</w:t>
      </w:r>
      <w:r>
        <w:rPr>
          <w:szCs w:val="21"/>
        </w:rPr>
        <w:t>：</w:t>
      </w:r>
      <w:r>
        <w:rPr>
          <w:szCs w:val="21"/>
          <w:u w:val="single"/>
        </w:rPr>
        <w:t>/</w:t>
      </w:r>
    </w:p>
    <w:p w14:paraId="71EC5B6B">
      <w:pPr>
        <w:spacing w:line="400" w:lineRule="exact"/>
        <w:ind w:firstLine="4620" w:firstLineChars="2200"/>
        <w:jc w:val="left"/>
        <w:rPr>
          <w:szCs w:val="21"/>
          <w:u w:val="single"/>
        </w:rPr>
      </w:pPr>
      <w:r>
        <w:rPr>
          <w:szCs w:val="21"/>
          <w:u w:val="single"/>
        </w:rPr>
        <w:t>/</w:t>
      </w:r>
      <w:r>
        <w:rPr>
          <w:szCs w:val="21"/>
        </w:rPr>
        <w:t>年</w:t>
      </w:r>
      <w:r>
        <w:rPr>
          <w:szCs w:val="21"/>
          <w:u w:val="single"/>
        </w:rPr>
        <w:t>/</w:t>
      </w:r>
      <w:r>
        <w:rPr>
          <w:szCs w:val="21"/>
        </w:rPr>
        <w:t>月</w:t>
      </w:r>
      <w:r>
        <w:rPr>
          <w:szCs w:val="21"/>
          <w:u w:val="single"/>
        </w:rPr>
        <w:t>/</w:t>
      </w:r>
      <w:r>
        <w:rPr>
          <w:szCs w:val="21"/>
        </w:rPr>
        <w:t>日</w:t>
      </w:r>
    </w:p>
    <w:p w14:paraId="21232A47">
      <w:pPr>
        <w:spacing w:line="400" w:lineRule="exact"/>
        <w:rPr>
          <w:rFonts w:ascii="黑体" w:eastAsia="黑体"/>
          <w:szCs w:val="21"/>
        </w:rPr>
      </w:pPr>
    </w:p>
    <w:p w14:paraId="2C584B7C">
      <w:pPr>
        <w:spacing w:line="400" w:lineRule="exact"/>
        <w:rPr>
          <w:szCs w:val="21"/>
        </w:rPr>
      </w:pPr>
      <w:r>
        <w:rPr>
          <w:rFonts w:hint="eastAsia" w:ascii="黑体" w:eastAsia="黑体"/>
          <w:szCs w:val="21"/>
        </w:rPr>
        <w:t>备注：</w:t>
      </w:r>
      <w:r>
        <w:rPr>
          <w:rFonts w:hint="eastAsia"/>
          <w:szCs w:val="21"/>
        </w:rPr>
        <w:t>本支付担保格式可采用经乙方同意的其他格式，但相关约定应当与履约担保对等。</w:t>
      </w:r>
    </w:p>
    <w:p w14:paraId="4D17B47B">
      <w:pPr>
        <w:pStyle w:val="251"/>
        <w:tabs>
          <w:tab w:val="left" w:pos="720"/>
        </w:tabs>
        <w:rPr>
          <w:rFonts w:ascii="黑体"/>
          <w:b/>
        </w:rPr>
      </w:pPr>
    </w:p>
    <w:p w14:paraId="7972107A">
      <w:pPr>
        <w:tabs>
          <w:tab w:val="left" w:pos="3855"/>
        </w:tabs>
        <w:spacing w:line="400" w:lineRule="exact"/>
        <w:ind w:firstLine="560" w:firstLineChars="200"/>
        <w:jc w:val="center"/>
        <w:rPr>
          <w:rFonts w:eastAsia="黑体"/>
          <w:sz w:val="28"/>
        </w:rPr>
      </w:pPr>
    </w:p>
    <w:p w14:paraId="59076D92">
      <w:pPr>
        <w:tabs>
          <w:tab w:val="left" w:pos="3855"/>
        </w:tabs>
        <w:spacing w:line="400" w:lineRule="exact"/>
        <w:ind w:firstLine="560" w:firstLineChars="200"/>
        <w:jc w:val="center"/>
        <w:rPr>
          <w:rFonts w:eastAsia="黑体"/>
          <w:sz w:val="28"/>
        </w:rPr>
      </w:pPr>
    </w:p>
    <w:p w14:paraId="48990D5E">
      <w:pPr>
        <w:rPr>
          <w:rFonts w:hint="eastAsia" w:eastAsia="黑体"/>
          <w:sz w:val="28"/>
        </w:rPr>
      </w:pPr>
      <w:r>
        <w:rPr>
          <w:rFonts w:hint="eastAsia" w:eastAsia="黑体"/>
          <w:sz w:val="28"/>
        </w:rPr>
        <w:br w:type="page"/>
      </w:r>
    </w:p>
    <w:p w14:paraId="2BC43D31">
      <w:pPr>
        <w:tabs>
          <w:tab w:val="left" w:pos="3855"/>
        </w:tabs>
        <w:spacing w:line="400" w:lineRule="exact"/>
        <w:ind w:firstLine="560" w:firstLineChars="200"/>
        <w:jc w:val="center"/>
        <w:rPr>
          <w:rFonts w:eastAsia="黑体"/>
          <w:sz w:val="28"/>
        </w:rPr>
      </w:pPr>
      <w:r>
        <w:rPr>
          <w:rFonts w:hint="eastAsia" w:eastAsia="黑体"/>
          <w:sz w:val="28"/>
        </w:rPr>
        <w:t>房屋建筑工程质量保修书</w:t>
      </w:r>
    </w:p>
    <w:p w14:paraId="7836AE30">
      <w:pPr>
        <w:spacing w:line="400" w:lineRule="exact"/>
      </w:pPr>
    </w:p>
    <w:p w14:paraId="4CED3AE4">
      <w:pPr>
        <w:spacing w:line="400" w:lineRule="exact"/>
        <w:ind w:firstLine="488"/>
        <w:rPr>
          <w:rFonts w:ascii="宋体" w:hAnsi="宋体"/>
          <w:u w:val="single"/>
        </w:rPr>
      </w:pPr>
      <w:r>
        <w:rPr>
          <w:rFonts w:hint="eastAsia" w:ascii="宋体" w:hAnsi="宋体"/>
        </w:rPr>
        <w:t>甲方：</w:t>
      </w:r>
      <w:r>
        <w:rPr>
          <w:rFonts w:hint="eastAsia" w:ascii="宋体" w:hAnsi="宋体"/>
          <w:u w:val="single"/>
        </w:rPr>
        <w:t>中国音乐学院</w:t>
      </w:r>
    </w:p>
    <w:p w14:paraId="38409104">
      <w:pPr>
        <w:spacing w:line="400" w:lineRule="exact"/>
        <w:ind w:firstLine="488"/>
        <w:rPr>
          <w:rFonts w:hint="eastAsia" w:ascii="宋体" w:hAnsi="宋体"/>
          <w:u w:val="single"/>
        </w:rPr>
      </w:pPr>
      <w:r>
        <w:rPr>
          <w:rFonts w:hint="eastAsia" w:ascii="宋体" w:hAnsi="宋体"/>
        </w:rPr>
        <w:t>乙方：</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p>
    <w:p w14:paraId="6592991B">
      <w:pPr>
        <w:spacing w:line="360" w:lineRule="auto"/>
        <w:ind w:firstLine="490"/>
        <w:rPr>
          <w:rFonts w:ascii="宋体" w:hAnsi="宋体"/>
        </w:rPr>
      </w:pPr>
      <w:r>
        <w:rPr>
          <w:rFonts w:hint="eastAsia" w:ascii="宋体" w:hAnsi="宋体"/>
        </w:rPr>
        <w:t>甲方、乙方根据《中华人民共和国建筑法》、《建设工程质量管理条例》和《房屋建筑工程质量保修办法》，经协商一致，对学院</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rPr>
        <w:t>（工程名称）签订保修书。</w:t>
      </w:r>
    </w:p>
    <w:p w14:paraId="45E65A1D">
      <w:pPr>
        <w:spacing w:line="400" w:lineRule="exact"/>
        <w:ind w:firstLine="525" w:firstLineChars="250"/>
        <w:outlineLvl w:val="0"/>
        <w:rPr>
          <w:rFonts w:ascii="黑体" w:eastAsia="黑体"/>
        </w:rPr>
      </w:pPr>
      <w:r>
        <w:rPr>
          <w:rFonts w:hint="eastAsia" w:ascii="黑体" w:eastAsia="黑体"/>
        </w:rPr>
        <w:t>一、工程保修范围和内容</w:t>
      </w:r>
    </w:p>
    <w:p w14:paraId="78D8AD8F">
      <w:pPr>
        <w:spacing w:line="400" w:lineRule="exact"/>
        <w:ind w:firstLine="490"/>
        <w:rPr>
          <w:rFonts w:ascii="宋体" w:hAnsi="宋体"/>
        </w:rPr>
      </w:pPr>
      <w:r>
        <w:rPr>
          <w:rFonts w:hint="eastAsia" w:ascii="宋体" w:hAnsi="宋体"/>
        </w:rPr>
        <w:t>乙方在保修期内，按照有关法律、法规、规章的管理规定和双方约定，承担本工程保修责任。</w:t>
      </w:r>
    </w:p>
    <w:p w14:paraId="75EA080F">
      <w:pPr>
        <w:spacing w:line="400" w:lineRule="exact"/>
        <w:ind w:firstLine="490"/>
        <w:rPr>
          <w:rFonts w:ascii="宋体" w:hAnsi="宋体"/>
        </w:rPr>
      </w:pPr>
      <w:r>
        <w:rPr>
          <w:rFonts w:hint="eastAsia" w:ascii="宋体" w:hAnsi="宋体"/>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C8D3FE3">
      <w:pPr>
        <w:spacing w:line="400" w:lineRule="exact"/>
        <w:rPr>
          <w:rFonts w:ascii="宋体" w:hAnsi="宋体"/>
          <w:u w:val="single"/>
        </w:rPr>
      </w:pPr>
      <w:r>
        <w:rPr>
          <w:rFonts w:ascii="宋体" w:hAnsi="宋体"/>
          <w:u w:val="single"/>
        </w:rPr>
        <w:t>/</w:t>
      </w:r>
    </w:p>
    <w:p w14:paraId="2810E3C2">
      <w:pPr>
        <w:spacing w:line="400" w:lineRule="exact"/>
        <w:rPr>
          <w:rFonts w:ascii="宋体" w:hAnsi="宋体"/>
          <w:u w:val="single"/>
        </w:rPr>
      </w:pPr>
      <w:r>
        <w:rPr>
          <w:rFonts w:ascii="宋体" w:hAnsi="宋体"/>
          <w:u w:val="single"/>
        </w:rPr>
        <w:t>/</w:t>
      </w:r>
    </w:p>
    <w:p w14:paraId="20F96272">
      <w:pPr>
        <w:spacing w:line="400" w:lineRule="exact"/>
        <w:rPr>
          <w:rFonts w:ascii="宋体" w:hAnsi="宋体"/>
        </w:rPr>
      </w:pPr>
      <w:r>
        <w:rPr>
          <w:rFonts w:ascii="宋体" w:hAnsi="宋体"/>
          <w:u w:val="single"/>
        </w:rPr>
        <w:t>//</w:t>
      </w:r>
      <w:r>
        <w:rPr>
          <w:rFonts w:hint="eastAsia" w:ascii="宋体" w:hAnsi="宋体"/>
        </w:rPr>
        <w:t>。</w:t>
      </w:r>
    </w:p>
    <w:p w14:paraId="58090037">
      <w:pPr>
        <w:spacing w:line="400" w:lineRule="exact"/>
        <w:ind w:firstLine="420" w:firstLineChars="200"/>
        <w:outlineLvl w:val="0"/>
        <w:rPr>
          <w:rFonts w:ascii="黑体" w:eastAsia="黑体"/>
        </w:rPr>
      </w:pPr>
      <w:r>
        <w:rPr>
          <w:rFonts w:hint="eastAsia" w:ascii="黑体" w:eastAsia="黑体"/>
        </w:rPr>
        <w:t>二、保修期</w:t>
      </w:r>
    </w:p>
    <w:p w14:paraId="0E2550D5">
      <w:pPr>
        <w:spacing w:line="400" w:lineRule="exact"/>
        <w:ind w:left="420"/>
        <w:rPr>
          <w:rFonts w:ascii="宋体" w:hAnsi="宋体"/>
        </w:rPr>
      </w:pPr>
      <w:r>
        <w:rPr>
          <w:rFonts w:hint="eastAsia" w:ascii="宋体" w:hAnsi="宋体"/>
        </w:rPr>
        <w:t>双方根据《建设工程质量管理条例》及有关规定，约定本工程的保修期如下：</w:t>
      </w:r>
    </w:p>
    <w:p w14:paraId="5EE71A73">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地基基础工程和主体结构工程为设计文件规定的该工程合理使用年限；</w:t>
      </w:r>
    </w:p>
    <w:p w14:paraId="0003375E">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屋面防水工程、有防水要求的卫生间、房间和外墙面的防渗漏为</w:t>
      </w:r>
      <w:r>
        <w:rPr>
          <w:rFonts w:ascii="宋体" w:hAnsi="宋体"/>
          <w:u w:val="single"/>
        </w:rPr>
        <w:t>/</w:t>
      </w:r>
      <w:r>
        <w:rPr>
          <w:rFonts w:hint="eastAsia" w:ascii="宋体" w:hAnsi="宋体"/>
        </w:rPr>
        <w:t>年；</w:t>
      </w:r>
    </w:p>
    <w:p w14:paraId="2265FE8A">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外窗工程为</w:t>
      </w:r>
      <w:r>
        <w:rPr>
          <w:rFonts w:ascii="宋体" w:hAnsi="宋体"/>
          <w:u w:val="single"/>
        </w:rPr>
        <w:t>/</w:t>
      </w:r>
      <w:r>
        <w:rPr>
          <w:rFonts w:hint="eastAsia" w:ascii="宋体" w:hAnsi="宋体"/>
        </w:rPr>
        <w:t>年，外窗防渗漏为</w:t>
      </w:r>
      <w:r>
        <w:rPr>
          <w:rFonts w:ascii="宋体" w:hAnsi="宋体"/>
          <w:u w:val="single"/>
        </w:rPr>
        <w:t>/</w:t>
      </w:r>
      <w:r>
        <w:rPr>
          <w:rFonts w:hint="eastAsia" w:ascii="宋体" w:hAnsi="宋体"/>
        </w:rPr>
        <w:t>年；</w:t>
      </w:r>
    </w:p>
    <w:p w14:paraId="75B1BA08">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装修工程为</w:t>
      </w:r>
      <w:r>
        <w:rPr>
          <w:rFonts w:hint="eastAsia" w:ascii="宋体" w:hAnsi="宋体"/>
          <w:u w:val="single"/>
        </w:rPr>
        <w:t xml:space="preserve"> </w:t>
      </w:r>
      <w:r>
        <w:rPr>
          <w:rFonts w:hint="eastAsia" w:ascii="宋体" w:hAnsi="宋体"/>
        </w:rPr>
        <w:t>年；</w:t>
      </w:r>
    </w:p>
    <w:p w14:paraId="76F3E394">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电气管线、给排水管道、设备安装工程为</w:t>
      </w:r>
      <w:r>
        <w:rPr>
          <w:rFonts w:ascii="宋体" w:hAnsi="宋体"/>
          <w:u w:val="single"/>
        </w:rPr>
        <w:t>2</w:t>
      </w:r>
      <w:r>
        <w:rPr>
          <w:rFonts w:hint="eastAsia" w:ascii="宋体" w:hAnsi="宋体"/>
        </w:rPr>
        <w:t>年；</w:t>
      </w:r>
    </w:p>
    <w:p w14:paraId="0A2E6EEE">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供热与供冷系统为</w:t>
      </w:r>
      <w:r>
        <w:rPr>
          <w:rFonts w:hint="eastAsia" w:ascii="宋体" w:hAnsi="宋体"/>
          <w:u w:val="single"/>
        </w:rPr>
        <w:t xml:space="preserve">  </w:t>
      </w:r>
      <w:r>
        <w:rPr>
          <w:rFonts w:hint="eastAsia" w:ascii="宋体" w:hAnsi="宋体"/>
        </w:rPr>
        <w:t>个采暖期、供冷期；</w:t>
      </w:r>
    </w:p>
    <w:p w14:paraId="4C298B07">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住宅小区内的给排水设施、道路等配套工程为</w:t>
      </w:r>
      <w:r>
        <w:rPr>
          <w:rFonts w:hint="eastAsia" w:ascii="宋体" w:hAnsi="宋体"/>
          <w:u w:val="single"/>
        </w:rPr>
        <w:t xml:space="preserve">  </w:t>
      </w:r>
      <w:r>
        <w:rPr>
          <w:rFonts w:hint="eastAsia" w:ascii="宋体" w:hAnsi="宋体"/>
        </w:rPr>
        <w:t>年；</w:t>
      </w:r>
    </w:p>
    <w:p w14:paraId="3E442C72">
      <w:pPr>
        <w:numPr>
          <w:ilvl w:val="1"/>
          <w:numId w:val="13"/>
        </w:numPr>
        <w:tabs>
          <w:tab w:val="left" w:pos="800"/>
          <w:tab w:val="left" w:pos="1200"/>
          <w:tab w:val="left" w:pos="1740"/>
          <w:tab w:val="clear" w:pos="1620"/>
        </w:tabs>
        <w:spacing w:line="400" w:lineRule="exact"/>
        <w:ind w:left="1200"/>
        <w:rPr>
          <w:rFonts w:ascii="宋体" w:hAnsi="宋体"/>
        </w:rPr>
      </w:pPr>
      <w:r>
        <w:rPr>
          <w:rFonts w:hint="eastAsia" w:ascii="宋体" w:hAnsi="宋体"/>
        </w:rPr>
        <w:t>其他项目保修期限约定如下：</w:t>
      </w:r>
    </w:p>
    <w:p w14:paraId="49AF87CF">
      <w:pPr>
        <w:spacing w:line="400" w:lineRule="exact"/>
        <w:rPr>
          <w:rFonts w:ascii="宋体" w:hAnsi="宋体"/>
          <w:u w:val="single"/>
        </w:rPr>
      </w:pPr>
      <w:r>
        <w:rPr>
          <w:rFonts w:ascii="宋体" w:hAnsi="宋体"/>
          <w:u w:val="single"/>
        </w:rPr>
        <w:t>/</w:t>
      </w:r>
    </w:p>
    <w:p w14:paraId="68747C4D">
      <w:pPr>
        <w:spacing w:line="400" w:lineRule="exact"/>
        <w:rPr>
          <w:rFonts w:ascii="宋体" w:hAnsi="宋体"/>
          <w:u w:val="single"/>
        </w:rPr>
      </w:pPr>
      <w:r>
        <w:rPr>
          <w:rFonts w:ascii="宋体" w:hAnsi="宋体"/>
          <w:u w:val="single"/>
        </w:rPr>
        <w:t>/</w:t>
      </w:r>
    </w:p>
    <w:p w14:paraId="53E7042F">
      <w:pPr>
        <w:spacing w:line="400" w:lineRule="exact"/>
        <w:rPr>
          <w:rFonts w:ascii="宋体" w:hAnsi="宋体"/>
        </w:rPr>
      </w:pPr>
      <w:r>
        <w:rPr>
          <w:rFonts w:ascii="宋体" w:hAnsi="宋体"/>
          <w:u w:val="single"/>
        </w:rPr>
        <w:t>/</w:t>
      </w:r>
      <w:r>
        <w:rPr>
          <w:rFonts w:hint="eastAsia" w:ascii="宋体" w:hAnsi="宋体"/>
        </w:rPr>
        <w:t>。</w:t>
      </w:r>
    </w:p>
    <w:p w14:paraId="2DD161E8">
      <w:pPr>
        <w:spacing w:line="400" w:lineRule="exact"/>
        <w:ind w:firstLine="420" w:firstLineChars="200"/>
        <w:outlineLvl w:val="0"/>
        <w:rPr>
          <w:rFonts w:ascii="黑体" w:eastAsia="黑体"/>
        </w:rPr>
      </w:pPr>
      <w:r>
        <w:rPr>
          <w:rFonts w:hint="eastAsia" w:ascii="黑体" w:eastAsia="黑体"/>
        </w:rPr>
        <w:t>三、保修责任</w:t>
      </w:r>
    </w:p>
    <w:p w14:paraId="4E793C5A">
      <w:pPr>
        <w:tabs>
          <w:tab w:val="left" w:pos="1740"/>
        </w:tabs>
        <w:spacing w:line="400" w:lineRule="exact"/>
        <w:ind w:firstLine="420" w:firstLineChars="200"/>
        <w:rPr>
          <w:rFonts w:ascii="宋体" w:hAnsi="宋体"/>
        </w:rPr>
      </w:pPr>
      <w:r>
        <w:rPr>
          <w:rFonts w:hint="eastAsia" w:ascii="宋体" w:hAnsi="宋体"/>
        </w:rPr>
        <w:t>1、属于责任范围、内容的项目，乙方应当在接到保修通知之日起7天内派人保修。乙方不在约定期限内派人保修的，甲方可以委托他人修理。</w:t>
      </w:r>
    </w:p>
    <w:p w14:paraId="50C7F2B6">
      <w:pPr>
        <w:tabs>
          <w:tab w:val="left" w:pos="1740"/>
        </w:tabs>
        <w:spacing w:line="400" w:lineRule="exact"/>
        <w:ind w:firstLine="420" w:firstLineChars="200"/>
        <w:rPr>
          <w:rFonts w:ascii="宋体" w:hAnsi="宋体"/>
        </w:rPr>
      </w:pPr>
      <w:r>
        <w:rPr>
          <w:rFonts w:hint="eastAsia" w:ascii="宋体" w:hAnsi="宋体"/>
        </w:rPr>
        <w:t>2、发生紧急抢修事故的，乙方在接到事故通知后，应当立即到达事故现场抢修。</w:t>
      </w:r>
    </w:p>
    <w:p w14:paraId="22821DFA">
      <w:pPr>
        <w:tabs>
          <w:tab w:val="left" w:pos="1740"/>
        </w:tabs>
        <w:spacing w:line="400" w:lineRule="exact"/>
        <w:ind w:firstLine="420" w:firstLineChars="200"/>
        <w:rPr>
          <w:rFonts w:ascii="宋体" w:hAnsi="宋体"/>
        </w:rPr>
      </w:pPr>
      <w:r>
        <w:rPr>
          <w:rFonts w:hint="eastAsia" w:ascii="宋体" w:hAnsi="宋体"/>
        </w:rPr>
        <w:t>3、对于涉及结构安全的质量问题，应当按照《房屋建筑工程质量保修办法》的规定，立即向当地建设行政主管部门报告，采取安全防范措施；由原设计人或者具有相应资质等级的设计人提出保修方案，乙方实施保修。</w:t>
      </w:r>
    </w:p>
    <w:p w14:paraId="1745510C">
      <w:pPr>
        <w:tabs>
          <w:tab w:val="left" w:pos="1740"/>
        </w:tabs>
        <w:spacing w:line="400" w:lineRule="exact"/>
        <w:ind w:firstLine="420" w:firstLineChars="200"/>
        <w:rPr>
          <w:rFonts w:ascii="宋体" w:hAnsi="宋体"/>
        </w:rPr>
      </w:pPr>
      <w:r>
        <w:rPr>
          <w:rFonts w:hint="eastAsia" w:ascii="宋体" w:hAnsi="宋体"/>
        </w:rPr>
        <w:t>4、质量保修完成后，由甲方组织验收。</w:t>
      </w:r>
    </w:p>
    <w:p w14:paraId="497EEA7D">
      <w:pPr>
        <w:spacing w:line="400" w:lineRule="exact"/>
        <w:ind w:firstLine="420" w:firstLineChars="200"/>
        <w:outlineLvl w:val="0"/>
        <w:rPr>
          <w:rFonts w:ascii="黑体" w:eastAsia="黑体"/>
        </w:rPr>
      </w:pPr>
      <w:r>
        <w:rPr>
          <w:rFonts w:hint="eastAsia" w:ascii="黑体" w:eastAsia="黑体"/>
        </w:rPr>
        <w:t>四、保修费用</w:t>
      </w:r>
    </w:p>
    <w:p w14:paraId="70F11615">
      <w:pPr>
        <w:spacing w:line="400" w:lineRule="exact"/>
        <w:ind w:left="420"/>
        <w:rPr>
          <w:rFonts w:ascii="宋体" w:hAnsi="宋体"/>
          <w:u w:val="single"/>
        </w:rPr>
      </w:pPr>
      <w:r>
        <w:rPr>
          <w:rFonts w:hint="eastAsia" w:ascii="宋体" w:hAnsi="宋体"/>
        </w:rPr>
        <w:t>保修费用由造成质量缺陷的责任方承担。</w:t>
      </w:r>
    </w:p>
    <w:p w14:paraId="59079D75">
      <w:pPr>
        <w:spacing w:line="400" w:lineRule="exact"/>
        <w:ind w:firstLine="420" w:firstLineChars="200"/>
        <w:outlineLvl w:val="0"/>
        <w:rPr>
          <w:rFonts w:ascii="黑体" w:eastAsia="黑体"/>
        </w:rPr>
      </w:pPr>
      <w:r>
        <w:rPr>
          <w:rFonts w:hint="eastAsia" w:ascii="黑体" w:eastAsia="黑体"/>
        </w:rPr>
        <w:t>五、其 他</w:t>
      </w:r>
    </w:p>
    <w:p w14:paraId="5DB1E3CF">
      <w:pPr>
        <w:spacing w:line="400" w:lineRule="exact"/>
        <w:ind w:left="420"/>
        <w:rPr>
          <w:rFonts w:ascii="宋体" w:hAnsi="宋体"/>
        </w:rPr>
      </w:pPr>
      <w:r>
        <w:rPr>
          <w:rFonts w:hint="eastAsia" w:ascii="宋体" w:hAnsi="宋体"/>
        </w:rPr>
        <w:t>双方约定的其他工程保修责任事项：</w:t>
      </w:r>
    </w:p>
    <w:p w14:paraId="481AE0A5">
      <w:pPr>
        <w:spacing w:line="400" w:lineRule="exact"/>
        <w:rPr>
          <w:rFonts w:ascii="宋体" w:hAnsi="宋体"/>
          <w:u w:val="single"/>
        </w:rPr>
      </w:pPr>
      <w:r>
        <w:rPr>
          <w:rFonts w:ascii="宋体" w:hAnsi="宋体"/>
          <w:u w:val="single"/>
        </w:rPr>
        <w:t>/</w:t>
      </w:r>
    </w:p>
    <w:p w14:paraId="3C819AF0">
      <w:pPr>
        <w:spacing w:line="400" w:lineRule="exact"/>
        <w:ind w:firstLine="420"/>
        <w:rPr>
          <w:rFonts w:ascii="宋体" w:hAnsi="宋体"/>
        </w:rPr>
      </w:pPr>
      <w:r>
        <w:rPr>
          <w:rFonts w:hint="eastAsia" w:ascii="宋体" w:hAnsi="宋体"/>
        </w:rPr>
        <w:t>本工程保修书，由施工合同甲方、乙方双方在竣工验收前共同签署，作为施工合同附件，其有效期限至保修期满。</w:t>
      </w:r>
    </w:p>
    <w:p w14:paraId="02AAD4DF">
      <w:pPr>
        <w:spacing w:line="400" w:lineRule="exact"/>
        <w:ind w:left="420"/>
        <w:rPr>
          <w:rFonts w:ascii="宋体" w:hAnsi="宋体"/>
        </w:rPr>
      </w:pPr>
    </w:p>
    <w:p w14:paraId="742937BB">
      <w:pPr>
        <w:spacing w:line="480" w:lineRule="auto"/>
        <w:ind w:firstLine="420" w:firstLineChars="200"/>
        <w:rPr>
          <w:rFonts w:ascii="宋体" w:hAnsi="宋体"/>
        </w:rPr>
      </w:pPr>
      <w:r>
        <w:rPr>
          <w:rFonts w:hint="eastAsia" w:ascii="宋体" w:hAnsi="宋体"/>
        </w:rPr>
        <w:t>甲方：</w:t>
      </w:r>
      <w:r>
        <w:rPr>
          <w:rFonts w:hint="eastAsia" w:ascii="宋体" w:hAnsi="宋体" w:cs="宋体"/>
          <w:sz w:val="24"/>
          <w:u w:val="single"/>
          <w:shd w:val="clear" w:color="auto" w:fill="FFFFFF"/>
        </w:rPr>
        <w:t>中国音乐学院</w:t>
      </w:r>
      <w:r>
        <w:rPr>
          <w:rFonts w:hint="eastAsia" w:ascii="宋体" w:hAnsi="宋体"/>
        </w:rPr>
        <w:t>（公章）</w:t>
      </w:r>
      <w:r>
        <w:rPr>
          <w:rFonts w:hint="eastAsia" w:ascii="宋体" w:hAnsi="宋体"/>
        </w:rPr>
        <w:tab/>
      </w:r>
      <w:r>
        <w:rPr>
          <w:rFonts w:ascii="宋体" w:hAnsi="宋体"/>
        </w:rPr>
        <w:t xml:space="preserve"> </w:t>
      </w:r>
      <w:r>
        <w:rPr>
          <w:rFonts w:hint="eastAsia" w:ascii="宋体" w:hAnsi="宋体"/>
        </w:rPr>
        <w:t xml:space="preserve">      乙方：</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shd w:val="clear" w:color="auto" w:fill="FFFFFF"/>
        </w:rPr>
        <w:t xml:space="preserve"> </w:t>
      </w:r>
      <w:r>
        <w:rPr>
          <w:rFonts w:hint="eastAsia" w:ascii="宋体" w:hAnsi="宋体"/>
        </w:rPr>
        <w:t xml:space="preserve">（公章） </w:t>
      </w:r>
    </w:p>
    <w:p w14:paraId="256F70FB">
      <w:pPr>
        <w:tabs>
          <w:tab w:val="left" w:pos="3855"/>
        </w:tabs>
        <w:ind w:left="5250" w:leftChars="200" w:hanging="4830" w:hangingChars="2300"/>
        <w:rPr>
          <w:rFonts w:ascii="宋体" w:hAnsi="宋体"/>
        </w:rPr>
      </w:pPr>
      <w:r>
        <w:rPr>
          <w:rFonts w:hint="eastAsia" w:ascii="宋体" w:hAnsi="宋体"/>
        </w:rPr>
        <w:t>法定地址：</w:t>
      </w:r>
      <w:r>
        <w:rPr>
          <w:rFonts w:hint="eastAsia" w:ascii="宋体" w:hAnsi="宋体" w:cs="宋体"/>
          <w:sz w:val="24"/>
          <w:u w:val="single"/>
          <w:shd w:val="clear" w:color="auto" w:fill="FFFFFF"/>
        </w:rPr>
        <w:t>北京市朝阳区安翔路</w:t>
      </w:r>
      <w:r>
        <w:rPr>
          <w:rFonts w:ascii="宋体" w:hAnsi="宋体" w:cs="宋体"/>
          <w:sz w:val="24"/>
          <w:u w:val="single"/>
          <w:shd w:val="clear" w:color="auto" w:fill="FFFFFF"/>
        </w:rPr>
        <w:t>1号</w:t>
      </w:r>
      <w:r>
        <w:rPr>
          <w:rFonts w:ascii="宋体" w:hAnsi="宋体"/>
        </w:rPr>
        <w:t xml:space="preserve"> </w:t>
      </w:r>
      <w:r>
        <w:rPr>
          <w:rFonts w:hint="eastAsia" w:ascii="宋体" w:hAnsi="宋体"/>
        </w:rPr>
        <w:t>法定地址：</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p>
    <w:p w14:paraId="07208ECE">
      <w:pPr>
        <w:tabs>
          <w:tab w:val="left" w:pos="4275"/>
        </w:tabs>
        <w:spacing w:line="400" w:lineRule="exact"/>
        <w:ind w:firstLine="420" w:firstLineChars="200"/>
        <w:rPr>
          <w:rFonts w:ascii="宋体" w:hAnsi="宋体"/>
        </w:rPr>
      </w:pPr>
      <w:r>
        <w:rPr>
          <w:rFonts w:hint="eastAsia" w:ascii="宋体" w:hAnsi="宋体"/>
        </w:rPr>
        <w:t>法定代表人或其                       法定代表人或其</w:t>
      </w:r>
    </w:p>
    <w:p w14:paraId="59034E8D">
      <w:pPr>
        <w:spacing w:after="468" w:afterLines="150" w:line="400" w:lineRule="exact"/>
        <w:ind w:firstLine="420" w:firstLineChars="200"/>
        <w:rPr>
          <w:rFonts w:ascii="宋体" w:hAnsi="宋体"/>
          <w:u w:val="single"/>
        </w:rPr>
      </w:pPr>
      <w:r>
        <w:rPr>
          <w:rFonts w:hint="eastAsia" w:ascii="宋体" w:hAnsi="宋体"/>
        </w:rPr>
        <w:t>委托代理人：（签字）</w:t>
      </w:r>
      <w:r>
        <w:rPr>
          <w:rFonts w:hint="eastAsia" w:ascii="宋体" w:hAnsi="宋体"/>
          <w:u w:val="single"/>
        </w:rPr>
        <w:tab/>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rPr>
        <w:t xml:space="preserve"> </w:t>
      </w:r>
      <w:r>
        <w:rPr>
          <w:rFonts w:hint="eastAsia" w:ascii="宋体" w:hAnsi="宋体"/>
        </w:rPr>
        <w:t xml:space="preserve">  委托代理人：（签字）</w:t>
      </w:r>
      <w:r>
        <w:rPr>
          <w:rFonts w:hint="eastAsia" w:ascii="宋体" w:hAnsi="宋体"/>
          <w:u w:val="single"/>
        </w:rPr>
        <w:t xml:space="preserve"> </w:t>
      </w:r>
      <w:r>
        <w:rPr>
          <w:rFonts w:ascii="宋体" w:hAnsi="宋体"/>
          <w:u w:val="single"/>
        </w:rPr>
        <w:t xml:space="preserve">              </w:t>
      </w:r>
    </w:p>
    <w:p w14:paraId="304F8D26">
      <w:pPr>
        <w:tabs>
          <w:tab w:val="left" w:pos="4275"/>
        </w:tabs>
        <w:spacing w:line="480" w:lineRule="auto"/>
        <w:ind w:firstLine="420" w:firstLineChars="200"/>
        <w:rPr>
          <w:rFonts w:ascii="宋体" w:hAnsi="宋体"/>
        </w:rPr>
      </w:pPr>
      <w:r>
        <w:rPr>
          <w:rFonts w:hint="eastAsia" w:ascii="宋体" w:hAnsi="宋体"/>
        </w:rPr>
        <w:t>电话：</w:t>
      </w:r>
      <w:r>
        <w:rPr>
          <w:rFonts w:ascii="宋体" w:hAnsi="宋体" w:cs="宋体"/>
          <w:sz w:val="24"/>
          <w:u w:val="single"/>
          <w:shd w:val="clear" w:color="auto" w:fill="FFFFFF"/>
        </w:rPr>
        <w:t>64879881-21</w:t>
      </w:r>
      <w:r>
        <w:rPr>
          <w:rFonts w:hint="eastAsia" w:ascii="宋体" w:hAnsi="宋体"/>
        </w:rPr>
        <w:tab/>
      </w:r>
      <w:r>
        <w:rPr>
          <w:rFonts w:hint="eastAsia" w:ascii="宋体" w:hAnsi="宋体"/>
        </w:rPr>
        <w:t>电话：</w:t>
      </w:r>
      <w:r>
        <w:rPr>
          <w:rFonts w:hint="eastAsia" w:ascii="宋体" w:hAnsi="宋体" w:cs="宋体"/>
          <w:sz w:val="24"/>
          <w:u w:val="single"/>
        </w:rPr>
        <w:t xml:space="preserve"> </w:t>
      </w:r>
      <w:r>
        <w:rPr>
          <w:rFonts w:hint="eastAsia"/>
          <w:bCs/>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rPr>
        <w:t xml:space="preserve"> </w:t>
      </w:r>
    </w:p>
    <w:p w14:paraId="3E2C36C7">
      <w:pPr>
        <w:tabs>
          <w:tab w:val="left" w:pos="4275"/>
        </w:tabs>
        <w:spacing w:line="480" w:lineRule="auto"/>
        <w:ind w:firstLine="420" w:firstLineChars="200"/>
        <w:rPr>
          <w:rFonts w:ascii="宋体" w:hAnsi="宋体"/>
        </w:rPr>
      </w:pPr>
      <w:r>
        <w:rPr>
          <w:rFonts w:hint="eastAsia" w:ascii="宋体" w:hAnsi="宋体"/>
        </w:rPr>
        <w:t>传真：</w:t>
      </w:r>
      <w:r>
        <w:rPr>
          <w:rFonts w:hint="eastAsia" w:ascii="宋体" w:hAnsi="宋体"/>
          <w:u w:val="single"/>
        </w:rPr>
        <w:t xml:space="preserve">   /         </w:t>
      </w:r>
      <w:r>
        <w:rPr>
          <w:rFonts w:hint="eastAsia" w:ascii="宋体" w:hAnsi="宋体"/>
        </w:rPr>
        <w:tab/>
      </w:r>
      <w:r>
        <w:rPr>
          <w:rFonts w:hint="eastAsia" w:ascii="宋体" w:hAnsi="宋体"/>
        </w:rPr>
        <w:t>传真：</w:t>
      </w:r>
      <w:r>
        <w:rPr>
          <w:rFonts w:hint="eastAsia" w:ascii="宋体" w:hAnsi="宋体" w:cs="宋体"/>
          <w:sz w:val="24"/>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rPr>
        <w:t xml:space="preserve"> </w:t>
      </w:r>
    </w:p>
    <w:p w14:paraId="151A7819">
      <w:pPr>
        <w:tabs>
          <w:tab w:val="left" w:pos="4700"/>
        </w:tabs>
        <w:spacing w:line="480" w:lineRule="auto"/>
        <w:ind w:firstLine="420" w:firstLineChars="200"/>
        <w:rPr>
          <w:rFonts w:ascii="宋体" w:hAnsi="宋体"/>
        </w:rPr>
      </w:pPr>
      <w:r>
        <w:rPr>
          <w:rFonts w:hint="eastAsia" w:ascii="宋体" w:hAnsi="宋体"/>
        </w:rPr>
        <w:t>电子邮箱：</w:t>
      </w:r>
      <w:r>
        <w:rPr>
          <w:rFonts w:hint="eastAsia" w:ascii="宋体" w:hAnsi="宋体"/>
          <w:u w:val="single"/>
        </w:rPr>
        <w:t xml:space="preserve">    /      </w:t>
      </w:r>
      <w:r>
        <w:rPr>
          <w:rFonts w:hint="eastAsia" w:ascii="宋体" w:hAnsi="宋体"/>
        </w:rPr>
        <w:t xml:space="preserve">    </w:t>
      </w:r>
      <w:r>
        <w:rPr>
          <w:rFonts w:ascii="宋体" w:hAnsi="宋体"/>
        </w:rPr>
        <w:t xml:space="preserve">            </w:t>
      </w:r>
      <w:r>
        <w:rPr>
          <w:rFonts w:hint="eastAsia" w:ascii="宋体" w:hAnsi="宋体"/>
        </w:rPr>
        <w:t>电子邮箱：</w:t>
      </w:r>
      <w:r>
        <w:rPr>
          <w:rFonts w:hint="eastAsia" w:ascii="宋体" w:hAnsi="宋体"/>
          <w:u w:val="single"/>
        </w:rPr>
        <w:t xml:space="preserve">    </w:t>
      </w:r>
      <w:r>
        <w:rPr>
          <w:rFonts w:ascii="宋体" w:hAnsi="宋体"/>
          <w:u w:val="single"/>
        </w:rPr>
        <w:t>/</w:t>
      </w:r>
      <w:r>
        <w:rPr>
          <w:rFonts w:hint="eastAsia" w:ascii="宋体" w:hAnsi="宋体"/>
          <w:u w:val="single"/>
        </w:rPr>
        <w:t xml:space="preserve">    </w:t>
      </w:r>
    </w:p>
    <w:p w14:paraId="02190F77">
      <w:pPr>
        <w:tabs>
          <w:tab w:val="left" w:pos="4275"/>
        </w:tabs>
        <w:spacing w:line="480" w:lineRule="auto"/>
        <w:ind w:left="4200" w:leftChars="200" w:hanging="3780" w:hangingChars="1800"/>
        <w:rPr>
          <w:rFonts w:ascii="宋体" w:hAnsi="宋体" w:cs="宋体"/>
          <w:sz w:val="24"/>
          <w:u w:val="single"/>
          <w:shd w:val="clear" w:color="auto" w:fill="FFFFFF"/>
        </w:rPr>
      </w:pPr>
      <w:r>
        <w:rPr>
          <w:rFonts w:hint="eastAsia" w:ascii="宋体" w:hAnsi="宋体"/>
        </w:rPr>
        <w:t>开户银行：</w:t>
      </w:r>
      <w:r>
        <w:rPr>
          <w:rFonts w:hint="eastAsia" w:ascii="宋体" w:hAnsi="宋体" w:cs="宋体"/>
          <w:sz w:val="24"/>
          <w:u w:val="single"/>
          <w:shd w:val="clear" w:color="auto" w:fill="FFFFFF"/>
        </w:rPr>
        <w:t>交通银行北京安翔里支行</w:t>
      </w:r>
      <w:r>
        <w:rPr>
          <w:rFonts w:hint="eastAsia" w:ascii="宋体" w:hAnsi="宋体"/>
        </w:rPr>
        <w:tab/>
      </w:r>
      <w:r>
        <w:rPr>
          <w:rFonts w:hint="eastAsia" w:ascii="宋体" w:hAnsi="宋体"/>
        </w:rPr>
        <w:t>开户银行：</w:t>
      </w:r>
      <w:r>
        <w:rPr>
          <w:rFonts w:hint="eastAsia" w:ascii="宋体" w:hAnsi="宋体" w:cs="宋体"/>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p>
    <w:p w14:paraId="0834F319">
      <w:pPr>
        <w:tabs>
          <w:tab w:val="left" w:pos="4275"/>
        </w:tabs>
        <w:spacing w:line="480" w:lineRule="auto"/>
        <w:ind w:firstLine="420" w:firstLineChars="200"/>
        <w:rPr>
          <w:rFonts w:ascii="宋体" w:hAnsi="宋体"/>
        </w:rPr>
      </w:pPr>
      <w:r>
        <w:rPr>
          <w:rFonts w:hint="eastAsia" w:ascii="宋体" w:hAnsi="宋体"/>
        </w:rPr>
        <w:t>帐号：</w:t>
      </w:r>
      <w:r>
        <w:rPr>
          <w:rFonts w:ascii="宋体" w:hAnsi="宋体" w:cs="宋体"/>
          <w:sz w:val="24"/>
          <w:u w:val="single"/>
          <w:shd w:val="clear" w:color="auto" w:fill="FFFFFF"/>
        </w:rPr>
        <w:t>110060868012015002317 </w:t>
      </w:r>
      <w:r>
        <w:rPr>
          <w:rFonts w:hint="eastAsia" w:ascii="宋体" w:hAnsi="宋体"/>
        </w:rPr>
        <w:tab/>
      </w:r>
      <w:r>
        <w:rPr>
          <w:rFonts w:hint="eastAsia" w:ascii="宋体" w:hAnsi="宋体"/>
        </w:rPr>
        <w:t>帐号：</w:t>
      </w:r>
      <w:r>
        <w:rPr>
          <w:rFonts w:hint="eastAsia" w:ascii="宋体" w:hAnsi="宋体" w:cs="宋体"/>
          <w:kern w:val="0"/>
          <w:sz w:val="24"/>
          <w:u w:val="single"/>
          <w:lang w:bidi="ar"/>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kern w:val="0"/>
          <w:sz w:val="24"/>
          <w:u w:val="single"/>
          <w:lang w:bidi="ar"/>
        </w:rPr>
        <w:t xml:space="preserve">  </w:t>
      </w:r>
    </w:p>
    <w:p w14:paraId="7E1D25C1">
      <w:pPr>
        <w:pStyle w:val="18"/>
        <w:spacing w:line="480" w:lineRule="auto"/>
      </w:pPr>
      <w:r>
        <w:rPr>
          <w:rFonts w:hint="eastAsia" w:hAnsi="宋体"/>
        </w:rPr>
        <w:t xml:space="preserve">邮政编码：/ </w:t>
      </w:r>
      <w:r>
        <w:rPr>
          <w:rFonts w:hAnsi="宋体"/>
        </w:rPr>
        <w:t xml:space="preserve">                    </w:t>
      </w:r>
      <w:r>
        <w:rPr>
          <w:rFonts w:hint="eastAsia" w:hAnsi="宋体"/>
        </w:rPr>
        <w:t>邮政编码</w:t>
      </w:r>
      <w:r>
        <w:rPr>
          <w:rFonts w:hint="eastAsia"/>
        </w:rPr>
        <w:t>：</w:t>
      </w:r>
      <w:r>
        <w:rPr>
          <w:rFonts w:ascii="宋体" w:hAnsi="宋体"/>
          <w:u w:val="single"/>
        </w:rPr>
        <w:t>/</w:t>
      </w:r>
    </w:p>
    <w:p w14:paraId="13C1F35B">
      <w:pPr>
        <w:jc w:val="center"/>
        <w:rPr>
          <w:rFonts w:ascii="黑体" w:hAnsi="宋体" w:eastAsia="黑体"/>
          <w:sz w:val="28"/>
        </w:rPr>
      </w:pPr>
    </w:p>
    <w:p w14:paraId="606D9210">
      <w:pPr>
        <w:jc w:val="center"/>
        <w:rPr>
          <w:rFonts w:ascii="黑体" w:hAnsi="宋体" w:eastAsia="黑体"/>
          <w:sz w:val="28"/>
        </w:rPr>
      </w:pPr>
    </w:p>
    <w:p w14:paraId="68739592">
      <w:pPr>
        <w:jc w:val="center"/>
        <w:rPr>
          <w:rFonts w:ascii="黑体" w:hAnsi="宋体" w:eastAsia="黑体"/>
          <w:sz w:val="28"/>
        </w:rPr>
      </w:pPr>
    </w:p>
    <w:p w14:paraId="06B5AEBF">
      <w:pPr>
        <w:jc w:val="center"/>
        <w:rPr>
          <w:rFonts w:ascii="黑体" w:hAnsi="宋体" w:eastAsia="黑体"/>
          <w:sz w:val="28"/>
        </w:rPr>
      </w:pPr>
      <w:r>
        <w:rPr>
          <w:rFonts w:hint="eastAsia" w:ascii="黑体" w:hAnsi="宋体" w:eastAsia="黑体"/>
          <w:sz w:val="28"/>
        </w:rPr>
        <w:br w:type="page"/>
      </w:r>
      <w:r>
        <w:rPr>
          <w:rFonts w:hint="eastAsia" w:ascii="黑体" w:hAnsi="宋体" w:eastAsia="黑体"/>
          <w:sz w:val="28"/>
        </w:rPr>
        <w:t>建设工程廉政责任书</w:t>
      </w:r>
    </w:p>
    <w:p w14:paraId="735ECA5C">
      <w:pPr>
        <w:spacing w:line="400" w:lineRule="exact"/>
        <w:ind w:firstLine="488"/>
        <w:rPr>
          <w:rFonts w:ascii="宋体" w:hAnsi="宋体"/>
          <w:u w:val="single"/>
        </w:rPr>
      </w:pPr>
      <w:r>
        <w:rPr>
          <w:rFonts w:hint="eastAsia" w:ascii="宋体" w:hAnsi="宋体"/>
        </w:rPr>
        <w:t>甲方：</w:t>
      </w:r>
      <w:r>
        <w:rPr>
          <w:rFonts w:hint="eastAsia" w:ascii="宋体" w:hAnsi="宋体"/>
          <w:u w:val="single"/>
        </w:rPr>
        <w:t>中国音乐学院</w:t>
      </w:r>
    </w:p>
    <w:p w14:paraId="29C0F099">
      <w:pPr>
        <w:spacing w:line="400" w:lineRule="exact"/>
        <w:ind w:firstLine="488"/>
        <w:rPr>
          <w:rFonts w:ascii="宋体" w:hAnsi="宋体"/>
        </w:rPr>
      </w:pPr>
      <w:r>
        <w:rPr>
          <w:rFonts w:hint="eastAsia" w:ascii="宋体" w:hAnsi="宋体"/>
        </w:rPr>
        <w:t>乙方：</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u w:val="single"/>
        </w:rPr>
        <w:t xml:space="preserve"> </w:t>
      </w:r>
    </w:p>
    <w:p w14:paraId="2CD711EA">
      <w:pPr>
        <w:spacing w:line="400" w:lineRule="exact"/>
        <w:ind w:firstLine="420" w:firstLineChars="200"/>
        <w:rPr>
          <w:rFonts w:ascii="宋体"/>
          <w:szCs w:val="28"/>
        </w:rPr>
      </w:pPr>
      <w:r>
        <w:rPr>
          <w:rFonts w:ascii="宋体"/>
          <w:szCs w:val="28"/>
        </w:rPr>
        <w:t>为加强建设工程廉政建设，规范</w:t>
      </w:r>
      <w:r>
        <w:rPr>
          <w:rFonts w:hint="eastAsia" w:ascii="宋体"/>
          <w:szCs w:val="28"/>
        </w:rPr>
        <w:t>建设工程</w:t>
      </w:r>
      <w:r>
        <w:rPr>
          <w:rFonts w:ascii="宋体"/>
          <w:szCs w:val="28"/>
        </w:rPr>
        <w:t>各项活动</w:t>
      </w:r>
      <w:r>
        <w:rPr>
          <w:rFonts w:hint="eastAsia" w:ascii="宋体"/>
          <w:szCs w:val="28"/>
        </w:rPr>
        <w:t>中甲方乙方双方的行为</w:t>
      </w:r>
      <w:r>
        <w:rPr>
          <w:rFonts w:ascii="宋体"/>
          <w:szCs w:val="28"/>
        </w:rPr>
        <w:t>，防止谋取不正当利益的违法违纪</w:t>
      </w:r>
      <w:r>
        <w:rPr>
          <w:rFonts w:hint="eastAsia" w:ascii="宋体"/>
          <w:szCs w:val="28"/>
        </w:rPr>
        <w:t>现象的</w:t>
      </w:r>
      <w:r>
        <w:rPr>
          <w:rFonts w:ascii="宋体"/>
          <w:szCs w:val="28"/>
        </w:rPr>
        <w:t>发生，保护国家、集体和当事人的合法权益，根据国家有关工程建设的法律法规和廉政建设</w:t>
      </w:r>
      <w:r>
        <w:rPr>
          <w:rFonts w:hint="eastAsia" w:ascii="宋体"/>
          <w:szCs w:val="28"/>
        </w:rPr>
        <w:t>的有关规定</w:t>
      </w:r>
      <w:r>
        <w:rPr>
          <w:rFonts w:ascii="宋体"/>
          <w:szCs w:val="28"/>
        </w:rPr>
        <w:t>，订立本廉政责任书。</w:t>
      </w:r>
    </w:p>
    <w:p w14:paraId="7650534F">
      <w:pPr>
        <w:spacing w:line="400" w:lineRule="exact"/>
        <w:ind w:firstLine="420" w:firstLineChars="200"/>
        <w:outlineLvl w:val="0"/>
        <w:rPr>
          <w:rFonts w:ascii="黑体" w:hAnsi="宋体" w:eastAsia="黑体"/>
        </w:rPr>
      </w:pPr>
      <w:r>
        <w:rPr>
          <w:rFonts w:hint="eastAsia" w:ascii="黑体" w:hAnsi="宋体" w:eastAsia="黑体"/>
        </w:rPr>
        <w:t>一、双方的责任</w:t>
      </w:r>
    </w:p>
    <w:p w14:paraId="37C227F3">
      <w:pPr>
        <w:spacing w:line="400" w:lineRule="exact"/>
        <w:ind w:firstLine="420" w:firstLineChars="200"/>
        <w:rPr>
          <w:rFonts w:ascii="宋体"/>
          <w:szCs w:val="28"/>
        </w:rPr>
      </w:pPr>
      <w:r>
        <w:rPr>
          <w:rFonts w:hint="eastAsia" w:ascii="宋体"/>
          <w:szCs w:val="28"/>
        </w:rPr>
        <w:t>1</w:t>
      </w:r>
      <w:r>
        <w:rPr>
          <w:rFonts w:ascii="宋体"/>
          <w:szCs w:val="28"/>
        </w:rPr>
        <w:t>.1应严格遵守国家关于</w:t>
      </w:r>
      <w:r>
        <w:rPr>
          <w:rFonts w:hint="eastAsia" w:ascii="宋体"/>
          <w:szCs w:val="28"/>
        </w:rPr>
        <w:t>建设工程</w:t>
      </w:r>
      <w:r>
        <w:rPr>
          <w:rFonts w:ascii="宋体"/>
          <w:szCs w:val="28"/>
        </w:rPr>
        <w:t>的有关法律、法规，相关政策，以及廉政建设的各项规定。</w:t>
      </w:r>
    </w:p>
    <w:p w14:paraId="0FE7EF59">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 xml:space="preserve">2 </w:t>
      </w:r>
      <w:r>
        <w:rPr>
          <w:rFonts w:ascii="宋体"/>
          <w:szCs w:val="28"/>
        </w:rPr>
        <w:t>严格执行建设工程合同文件，自觉按合同办事。</w:t>
      </w:r>
    </w:p>
    <w:p w14:paraId="6C937890">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3 各项</w:t>
      </w:r>
      <w:r>
        <w:rPr>
          <w:rFonts w:ascii="宋体"/>
          <w:szCs w:val="28"/>
        </w:rPr>
        <w:t>活动必须坚持公开、公平、公正、诚信、透明的原则（除法律法规另有规定者外），不得为获取不正当的利益，损害国家、集体和对方利益，不得违反建设工程管理的规章制度。</w:t>
      </w:r>
    </w:p>
    <w:p w14:paraId="662AEE38">
      <w:pPr>
        <w:spacing w:line="400" w:lineRule="exact"/>
        <w:ind w:firstLine="420" w:firstLineChars="200"/>
        <w:rPr>
          <w:rFonts w:ascii="宋体"/>
          <w:szCs w:val="28"/>
        </w:rPr>
      </w:pPr>
      <w:r>
        <w:rPr>
          <w:rFonts w:hint="eastAsia" w:ascii="宋体"/>
          <w:szCs w:val="28"/>
        </w:rPr>
        <w:t>1</w:t>
      </w:r>
      <w:r>
        <w:rPr>
          <w:rFonts w:ascii="宋体"/>
          <w:szCs w:val="28"/>
        </w:rPr>
        <w:t>.</w:t>
      </w:r>
      <w:r>
        <w:rPr>
          <w:rFonts w:hint="eastAsia" w:ascii="宋体"/>
          <w:szCs w:val="28"/>
        </w:rPr>
        <w:t xml:space="preserve">4 </w:t>
      </w:r>
      <w:r>
        <w:rPr>
          <w:rFonts w:ascii="宋体"/>
          <w:szCs w:val="28"/>
        </w:rPr>
        <w:t>发现对方在业务活动中有违规、违纪、违法行为的，应及时提醒对方，情节严重的，应向其上级主管部门或纪检监察、司法等有关机关举报。</w:t>
      </w:r>
    </w:p>
    <w:p w14:paraId="0D972069">
      <w:pPr>
        <w:spacing w:line="400" w:lineRule="exact"/>
        <w:ind w:firstLine="420" w:firstLineChars="200"/>
        <w:outlineLvl w:val="0"/>
        <w:rPr>
          <w:rFonts w:ascii="黑体" w:hAnsi="宋体" w:eastAsia="黑体"/>
        </w:rPr>
      </w:pPr>
      <w:r>
        <w:rPr>
          <w:rFonts w:hint="eastAsia" w:ascii="黑体" w:hAnsi="宋体" w:eastAsia="黑体"/>
        </w:rPr>
        <w:t>二、甲方责任</w:t>
      </w:r>
    </w:p>
    <w:p w14:paraId="30BFDECD">
      <w:pPr>
        <w:spacing w:line="400" w:lineRule="exact"/>
        <w:ind w:firstLine="420" w:firstLineChars="200"/>
        <w:rPr>
          <w:rFonts w:ascii="宋体"/>
          <w:szCs w:val="28"/>
        </w:rPr>
      </w:pPr>
      <w:r>
        <w:rPr>
          <w:rFonts w:ascii="宋体"/>
          <w:szCs w:val="28"/>
        </w:rPr>
        <w:t>甲方的领导和从事该建设工程项目的工作人员，在工程建设的事前、事中、事后应遵守以下规定：</w:t>
      </w:r>
    </w:p>
    <w:p w14:paraId="5A05B286">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1</w:t>
      </w:r>
      <w:r>
        <w:rPr>
          <w:rFonts w:ascii="宋体"/>
          <w:szCs w:val="28"/>
        </w:rPr>
        <w:t>不得向乙方和相关单位索要或接受回扣、礼金、有价证券、贵重物品和好处费、感谢费等。</w:t>
      </w:r>
    </w:p>
    <w:p w14:paraId="6165755A">
      <w:pPr>
        <w:spacing w:line="400" w:lineRule="exact"/>
        <w:outlineLvl w:val="0"/>
        <w:rPr>
          <w:rFonts w:ascii="宋体"/>
          <w:szCs w:val="28"/>
        </w:rPr>
      </w:pPr>
      <w:r>
        <w:rPr>
          <w:rFonts w:hint="eastAsia" w:ascii="宋体"/>
          <w:szCs w:val="28"/>
        </w:rPr>
        <w:t>2</w:t>
      </w:r>
      <w:r>
        <w:rPr>
          <w:rFonts w:ascii="宋体"/>
          <w:szCs w:val="28"/>
        </w:rPr>
        <w:t>.</w:t>
      </w:r>
      <w:r>
        <w:rPr>
          <w:rFonts w:hint="eastAsia" w:ascii="宋体"/>
          <w:szCs w:val="28"/>
        </w:rPr>
        <w:t xml:space="preserve">2 </w:t>
      </w:r>
      <w:r>
        <w:rPr>
          <w:rFonts w:ascii="宋体"/>
          <w:szCs w:val="28"/>
        </w:rPr>
        <w:t>不得在乙方和相关单位报销任何应由甲方或个人支付的费用。</w:t>
      </w:r>
    </w:p>
    <w:p w14:paraId="56223004">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3 </w:t>
      </w:r>
      <w:r>
        <w:rPr>
          <w:rFonts w:ascii="宋体"/>
          <w:szCs w:val="28"/>
        </w:rPr>
        <w:t>不得要求、暗示或接受乙方和相关单位为个人装修住房、婚丧嫁娶、配偶子女的工作安排以及出国（境）、旅游等提供方便。</w:t>
      </w:r>
    </w:p>
    <w:p w14:paraId="03F7E003">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4 </w:t>
      </w:r>
      <w:r>
        <w:rPr>
          <w:rFonts w:ascii="宋体"/>
          <w:szCs w:val="28"/>
        </w:rPr>
        <w:t>不得参加有可能影响公正执行公务的乙方和相关单位的宴请、健身、娱乐等活动。</w:t>
      </w:r>
    </w:p>
    <w:p w14:paraId="74E31D45">
      <w:pPr>
        <w:spacing w:line="400" w:lineRule="exact"/>
        <w:ind w:firstLine="420" w:firstLineChars="200"/>
        <w:rPr>
          <w:rFonts w:ascii="宋体"/>
          <w:szCs w:val="28"/>
        </w:rPr>
      </w:pPr>
      <w:r>
        <w:rPr>
          <w:rFonts w:hint="eastAsia" w:ascii="宋体"/>
          <w:szCs w:val="28"/>
        </w:rPr>
        <w:t>2</w:t>
      </w:r>
      <w:r>
        <w:rPr>
          <w:rFonts w:ascii="宋体"/>
          <w:szCs w:val="28"/>
        </w:rPr>
        <w:t>.</w:t>
      </w:r>
      <w:r>
        <w:rPr>
          <w:rFonts w:hint="eastAsia" w:ascii="宋体"/>
          <w:szCs w:val="28"/>
        </w:rPr>
        <w:t xml:space="preserve">5 </w:t>
      </w:r>
      <w:r>
        <w:rPr>
          <w:rFonts w:ascii="宋体"/>
          <w:szCs w:val="28"/>
        </w:rPr>
        <w:t>不得向乙方和相关单位介绍或为配偶、子女、亲属参与同甲方</w:t>
      </w:r>
      <w:r>
        <w:rPr>
          <w:rFonts w:hint="eastAsia" w:ascii="宋体"/>
          <w:szCs w:val="28"/>
        </w:rPr>
        <w:t>工程建设管理</w:t>
      </w:r>
      <w:r>
        <w:rPr>
          <w:rFonts w:ascii="宋体"/>
          <w:szCs w:val="28"/>
        </w:rPr>
        <w:t>合同有关的业务活动</w:t>
      </w:r>
      <w:r>
        <w:rPr>
          <w:rFonts w:hint="eastAsia" w:ascii="宋体"/>
          <w:szCs w:val="28"/>
        </w:rPr>
        <w:t>；</w:t>
      </w:r>
      <w:r>
        <w:rPr>
          <w:rFonts w:ascii="宋体"/>
          <w:szCs w:val="28"/>
        </w:rPr>
        <w:t>不得以任何理由要求乙方和相关单位使用某种产品、材料和设备。</w:t>
      </w:r>
    </w:p>
    <w:p w14:paraId="39156236">
      <w:pPr>
        <w:spacing w:line="400" w:lineRule="exact"/>
        <w:ind w:firstLine="420" w:firstLineChars="200"/>
        <w:outlineLvl w:val="0"/>
        <w:rPr>
          <w:rFonts w:ascii="黑体" w:eastAsia="黑体"/>
        </w:rPr>
      </w:pPr>
      <w:r>
        <w:rPr>
          <w:rFonts w:hint="eastAsia" w:ascii="黑体" w:hAnsi="宋体" w:eastAsia="黑体"/>
        </w:rPr>
        <w:t>三、乙方责任</w:t>
      </w:r>
    </w:p>
    <w:p w14:paraId="5050B1FE">
      <w:pPr>
        <w:spacing w:line="400" w:lineRule="exact"/>
        <w:ind w:firstLine="420" w:firstLineChars="200"/>
        <w:rPr>
          <w:rFonts w:ascii="宋体"/>
          <w:szCs w:val="28"/>
        </w:rPr>
      </w:pPr>
      <w:r>
        <w:rPr>
          <w:rFonts w:ascii="宋体"/>
          <w:szCs w:val="28"/>
        </w:rPr>
        <w:t>应与甲方保持正常的业务交往，按照有关法律法规和程序开展业务工作，严格执行工程建设的有关方针、政策，</w:t>
      </w:r>
      <w:r>
        <w:rPr>
          <w:rFonts w:hint="eastAsia" w:ascii="宋体"/>
          <w:szCs w:val="28"/>
        </w:rPr>
        <w:t>执行工程建设</w:t>
      </w:r>
      <w:r>
        <w:rPr>
          <w:rFonts w:ascii="宋体"/>
          <w:szCs w:val="28"/>
        </w:rPr>
        <w:t>强制性标准，并遵守以下规定：</w:t>
      </w:r>
    </w:p>
    <w:p w14:paraId="61372FA9">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 xml:space="preserve">1 </w:t>
      </w:r>
      <w:r>
        <w:rPr>
          <w:rFonts w:ascii="宋体"/>
          <w:szCs w:val="28"/>
        </w:rPr>
        <w:t>不得以任何理由向甲方及其工作人员索要、接受或赠送礼金、有价证券、贵重物品及回扣、好处费、感谢费等。</w:t>
      </w:r>
    </w:p>
    <w:p w14:paraId="50A3F66C">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2</w:t>
      </w:r>
      <w:r>
        <w:rPr>
          <w:rFonts w:ascii="宋体"/>
          <w:szCs w:val="28"/>
        </w:rPr>
        <w:t>不得以任何理由为甲方和相关单位报销应由对方或个人支付的费用。</w:t>
      </w:r>
    </w:p>
    <w:p w14:paraId="7AF69EDE">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3</w:t>
      </w:r>
      <w:r>
        <w:rPr>
          <w:rFonts w:ascii="宋体"/>
          <w:szCs w:val="28"/>
        </w:rPr>
        <w:t>不得接受或暗示为甲方、相关单位或个人装修住房、婚丧嫁娶、配偶子女的工作安排以及出国（境）、旅游等提供方便。</w:t>
      </w:r>
    </w:p>
    <w:p w14:paraId="02ABF001">
      <w:pPr>
        <w:spacing w:line="400" w:lineRule="exact"/>
        <w:ind w:firstLine="420" w:firstLineChars="200"/>
        <w:rPr>
          <w:rFonts w:ascii="宋体"/>
          <w:szCs w:val="28"/>
        </w:rPr>
      </w:pPr>
      <w:r>
        <w:rPr>
          <w:rFonts w:hint="eastAsia" w:ascii="宋体"/>
          <w:szCs w:val="28"/>
        </w:rPr>
        <w:t>3</w:t>
      </w:r>
      <w:r>
        <w:rPr>
          <w:rFonts w:ascii="宋体"/>
          <w:szCs w:val="28"/>
        </w:rPr>
        <w:t>.</w:t>
      </w:r>
      <w:r>
        <w:rPr>
          <w:rFonts w:hint="eastAsia" w:ascii="宋体"/>
          <w:szCs w:val="28"/>
        </w:rPr>
        <w:t>4</w:t>
      </w:r>
      <w:r>
        <w:rPr>
          <w:rFonts w:ascii="宋体"/>
          <w:szCs w:val="28"/>
        </w:rPr>
        <w:t>不得以任何理由为甲方、相关单位或个人组织有可能影响公正执行公务的宴请、健身、娱乐等活动。</w:t>
      </w:r>
    </w:p>
    <w:p w14:paraId="26272617">
      <w:pPr>
        <w:spacing w:line="400" w:lineRule="exact"/>
        <w:ind w:firstLine="420" w:firstLineChars="200"/>
        <w:outlineLvl w:val="0"/>
        <w:rPr>
          <w:rFonts w:ascii="黑体" w:eastAsia="黑体"/>
        </w:rPr>
      </w:pPr>
      <w:r>
        <w:rPr>
          <w:rFonts w:hint="eastAsia" w:ascii="黑体" w:eastAsia="黑体"/>
        </w:rPr>
        <w:t>四、违约责任</w:t>
      </w:r>
    </w:p>
    <w:p w14:paraId="2D3645E0">
      <w:pPr>
        <w:spacing w:line="400" w:lineRule="exact"/>
        <w:ind w:firstLine="420" w:firstLineChars="200"/>
        <w:rPr>
          <w:rFonts w:ascii="宋体"/>
          <w:szCs w:val="28"/>
        </w:rPr>
      </w:pPr>
      <w:r>
        <w:rPr>
          <w:rFonts w:hint="eastAsia" w:ascii="宋体"/>
          <w:szCs w:val="28"/>
        </w:rPr>
        <w:t>4</w:t>
      </w:r>
      <w:r>
        <w:rPr>
          <w:rFonts w:ascii="宋体"/>
          <w:szCs w:val="28"/>
        </w:rPr>
        <w:t>.</w:t>
      </w:r>
      <w:r>
        <w:rPr>
          <w:rFonts w:hint="eastAsia" w:ascii="宋体"/>
          <w:szCs w:val="28"/>
        </w:rPr>
        <w:t>1</w:t>
      </w:r>
      <w:r>
        <w:rPr>
          <w:rFonts w:ascii="宋体"/>
          <w:szCs w:val="28"/>
        </w:rPr>
        <w:t>甲方工作人员有违反本责任书第一、二条责任行为的，依据有关法律</w:t>
      </w:r>
      <w:r>
        <w:rPr>
          <w:rFonts w:hint="eastAsia" w:ascii="宋体"/>
          <w:szCs w:val="28"/>
        </w:rPr>
        <w:t>、</w:t>
      </w:r>
      <w:r>
        <w:rPr>
          <w:rFonts w:ascii="宋体"/>
          <w:szCs w:val="28"/>
        </w:rPr>
        <w:t>法规给予处理；涉嫌犯罪的，移交司法机关追究刑事责任；给乙方单位造成经济损失的，应予以赔偿。</w:t>
      </w:r>
    </w:p>
    <w:p w14:paraId="12F95463">
      <w:pPr>
        <w:spacing w:line="400" w:lineRule="exact"/>
        <w:ind w:firstLine="420" w:firstLineChars="200"/>
        <w:rPr>
          <w:rFonts w:ascii="宋体"/>
          <w:szCs w:val="28"/>
        </w:rPr>
      </w:pPr>
      <w:r>
        <w:rPr>
          <w:rFonts w:hint="eastAsia" w:ascii="宋体"/>
          <w:szCs w:val="28"/>
        </w:rPr>
        <w:t>4</w:t>
      </w:r>
      <w:r>
        <w:rPr>
          <w:rFonts w:ascii="宋体"/>
          <w:szCs w:val="28"/>
        </w:rPr>
        <w:t>.</w:t>
      </w:r>
      <w:r>
        <w:rPr>
          <w:rFonts w:hint="eastAsia" w:ascii="宋体"/>
          <w:szCs w:val="28"/>
        </w:rPr>
        <w:t xml:space="preserve">2 </w:t>
      </w:r>
      <w:r>
        <w:rPr>
          <w:rFonts w:ascii="宋体"/>
          <w:szCs w:val="28"/>
        </w:rPr>
        <w:t>乙方工作人员有违反本责任书第一、三条责任行为的，依据有关法律法规处理；涉嫌犯罪的，移交司法机关追究刑事责任；给甲方单位造成经济损失的，应予以赔偿。</w:t>
      </w:r>
    </w:p>
    <w:p w14:paraId="1E5E574B">
      <w:pPr>
        <w:spacing w:line="400" w:lineRule="exact"/>
        <w:ind w:firstLine="420" w:firstLineChars="200"/>
        <w:rPr>
          <w:rFonts w:ascii="仿宋_GB2312" w:eastAsia="仿宋_GB2312"/>
          <w:szCs w:val="28"/>
        </w:rPr>
      </w:pPr>
      <w:r>
        <w:rPr>
          <w:rFonts w:hint="eastAsia" w:ascii="宋体"/>
          <w:szCs w:val="28"/>
        </w:rPr>
        <w:t>4</w:t>
      </w:r>
      <w:r>
        <w:rPr>
          <w:rFonts w:ascii="宋体"/>
          <w:szCs w:val="28"/>
        </w:rPr>
        <w:t>.</w:t>
      </w:r>
      <w:r>
        <w:rPr>
          <w:rFonts w:hint="eastAsia" w:ascii="宋体"/>
          <w:szCs w:val="28"/>
        </w:rPr>
        <w:t xml:space="preserve">3 </w:t>
      </w:r>
      <w:r>
        <w:rPr>
          <w:rFonts w:ascii="宋体"/>
          <w:szCs w:val="28"/>
        </w:rPr>
        <w:t>本责任书作为</w:t>
      </w:r>
      <w:r>
        <w:rPr>
          <w:rFonts w:hint="eastAsia" w:ascii="宋体"/>
          <w:szCs w:val="28"/>
        </w:rPr>
        <w:t>建设</w:t>
      </w:r>
      <w:r>
        <w:rPr>
          <w:rFonts w:ascii="宋体"/>
          <w:szCs w:val="28"/>
        </w:rPr>
        <w:t>工程合同的</w:t>
      </w:r>
      <w:r>
        <w:rPr>
          <w:rFonts w:hint="eastAsia" w:ascii="宋体"/>
          <w:szCs w:val="28"/>
        </w:rPr>
        <w:t>组成部分</w:t>
      </w:r>
      <w:r>
        <w:rPr>
          <w:rFonts w:ascii="宋体"/>
          <w:szCs w:val="28"/>
        </w:rPr>
        <w:t>，与</w:t>
      </w:r>
      <w:r>
        <w:rPr>
          <w:rFonts w:hint="eastAsia" w:ascii="宋体"/>
          <w:szCs w:val="28"/>
        </w:rPr>
        <w:t>建设</w:t>
      </w:r>
      <w:r>
        <w:rPr>
          <w:rFonts w:ascii="宋体"/>
          <w:szCs w:val="28"/>
        </w:rPr>
        <w:t>工程合同具有同等法律效力。经双方签署后立即生效。</w:t>
      </w:r>
    </w:p>
    <w:p w14:paraId="3BF71464">
      <w:pPr>
        <w:spacing w:line="400" w:lineRule="exact"/>
        <w:ind w:firstLine="420" w:firstLineChars="200"/>
        <w:outlineLvl w:val="0"/>
        <w:rPr>
          <w:rFonts w:ascii="黑体" w:eastAsia="黑体"/>
        </w:rPr>
      </w:pPr>
      <w:r>
        <w:rPr>
          <w:rFonts w:hint="eastAsia" w:ascii="黑体" w:eastAsia="黑体"/>
        </w:rPr>
        <w:t>五、责任书有效期</w:t>
      </w:r>
    </w:p>
    <w:p w14:paraId="6FEA3834">
      <w:pPr>
        <w:spacing w:line="400" w:lineRule="exact"/>
        <w:ind w:firstLine="420" w:firstLineChars="200"/>
        <w:rPr>
          <w:rFonts w:ascii="仿宋_GB2312" w:eastAsia="仿宋_GB2312"/>
          <w:szCs w:val="28"/>
        </w:rPr>
      </w:pPr>
      <w:r>
        <w:rPr>
          <w:rFonts w:ascii="宋体"/>
          <w:szCs w:val="28"/>
        </w:rPr>
        <w:t>本责任书的有效期为双方签署之日起至该工程项目竣工验收合格时止。</w:t>
      </w:r>
    </w:p>
    <w:p w14:paraId="1CB96F99">
      <w:pPr>
        <w:spacing w:line="400" w:lineRule="exact"/>
        <w:ind w:firstLine="420" w:firstLineChars="200"/>
        <w:outlineLvl w:val="0"/>
        <w:rPr>
          <w:rFonts w:ascii="黑体" w:eastAsia="黑体"/>
        </w:rPr>
      </w:pPr>
      <w:r>
        <w:rPr>
          <w:rFonts w:hint="eastAsia" w:ascii="黑体" w:eastAsia="黑体"/>
        </w:rPr>
        <w:t>六、责任书份数</w:t>
      </w:r>
    </w:p>
    <w:p w14:paraId="3B6650E5">
      <w:pPr>
        <w:spacing w:line="400" w:lineRule="exact"/>
        <w:ind w:firstLine="420" w:firstLineChars="200"/>
        <w:rPr>
          <w:rFonts w:ascii="仿宋_GB2312" w:eastAsia="仿宋_GB2312"/>
          <w:szCs w:val="28"/>
        </w:rPr>
      </w:pPr>
      <w:r>
        <w:rPr>
          <w:rFonts w:ascii="宋体"/>
          <w:szCs w:val="28"/>
        </w:rPr>
        <w:t>本责任书一式</w:t>
      </w:r>
      <w:r>
        <w:rPr>
          <w:rFonts w:hint="eastAsia" w:ascii="宋体"/>
          <w:szCs w:val="28"/>
        </w:rPr>
        <w:t>二</w:t>
      </w:r>
      <w:r>
        <w:rPr>
          <w:rFonts w:ascii="宋体"/>
          <w:szCs w:val="28"/>
        </w:rPr>
        <w:t>份，</w:t>
      </w:r>
      <w:r>
        <w:rPr>
          <w:rFonts w:hint="eastAsia" w:ascii="宋体"/>
          <w:szCs w:val="28"/>
        </w:rPr>
        <w:t>甲方乙方</w:t>
      </w:r>
      <w:r>
        <w:rPr>
          <w:rFonts w:ascii="宋体"/>
          <w:szCs w:val="28"/>
        </w:rPr>
        <w:t>各执一份，</w:t>
      </w:r>
      <w:r>
        <w:rPr>
          <w:rFonts w:hint="eastAsia" w:ascii="宋体"/>
          <w:szCs w:val="28"/>
        </w:rPr>
        <w:t>具有同等效力</w:t>
      </w:r>
      <w:r>
        <w:rPr>
          <w:rFonts w:ascii="宋体"/>
          <w:szCs w:val="28"/>
        </w:rPr>
        <w:t>。</w:t>
      </w:r>
    </w:p>
    <w:p w14:paraId="6B2210F3">
      <w:pPr>
        <w:spacing w:line="480" w:lineRule="auto"/>
        <w:ind w:firstLine="420" w:firstLineChars="200"/>
        <w:rPr>
          <w:rFonts w:ascii="宋体" w:hAnsi="宋体"/>
        </w:rPr>
      </w:pPr>
      <w:r>
        <w:rPr>
          <w:rFonts w:hint="eastAsia" w:ascii="宋体" w:hAnsi="宋体"/>
        </w:rPr>
        <w:t>甲方：</w:t>
      </w:r>
      <w:r>
        <w:rPr>
          <w:rFonts w:hint="eastAsia" w:ascii="宋体" w:hAnsi="宋体" w:cs="宋体"/>
          <w:sz w:val="24"/>
          <w:u w:val="single"/>
          <w:shd w:val="clear" w:color="auto" w:fill="FFFFFF"/>
        </w:rPr>
        <w:t>中国音乐学院</w:t>
      </w:r>
      <w:r>
        <w:rPr>
          <w:rFonts w:hint="eastAsia" w:ascii="宋体" w:hAnsi="宋体"/>
        </w:rPr>
        <w:t>（公章）</w:t>
      </w:r>
      <w:r>
        <w:rPr>
          <w:rFonts w:hint="eastAsia" w:ascii="宋体" w:hAnsi="宋体"/>
        </w:rPr>
        <w:tab/>
      </w:r>
      <w:r>
        <w:rPr>
          <w:rFonts w:ascii="宋体" w:hAnsi="宋体"/>
        </w:rPr>
        <w:t xml:space="preserve">      </w:t>
      </w:r>
      <w:r>
        <w:rPr>
          <w:rFonts w:hint="eastAsia" w:ascii="宋体" w:hAnsi="宋体"/>
        </w:rPr>
        <w:t>乙方：</w:t>
      </w:r>
      <w:r>
        <w:rPr>
          <w:rFonts w:hint="eastAsia" w:ascii="宋体" w:hAnsi="宋体" w:cs="宋体"/>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shd w:val="clear" w:color="auto" w:fill="FFFFFF"/>
        </w:rPr>
        <w:t xml:space="preserve"> </w:t>
      </w:r>
      <w:r>
        <w:rPr>
          <w:rFonts w:hint="eastAsia" w:ascii="宋体" w:hAnsi="宋体"/>
        </w:rPr>
        <w:t xml:space="preserve">（公章） </w:t>
      </w:r>
    </w:p>
    <w:p w14:paraId="77B799E3">
      <w:pPr>
        <w:tabs>
          <w:tab w:val="left" w:pos="3855"/>
        </w:tabs>
        <w:ind w:left="5250" w:leftChars="200" w:hanging="4830" w:hangingChars="2300"/>
        <w:rPr>
          <w:rFonts w:ascii="宋体" w:hAnsi="宋体"/>
        </w:rPr>
      </w:pPr>
      <w:r>
        <w:rPr>
          <w:rFonts w:hint="eastAsia" w:ascii="宋体" w:hAnsi="宋体"/>
        </w:rPr>
        <w:t>法定地址：</w:t>
      </w:r>
      <w:r>
        <w:rPr>
          <w:rFonts w:hint="eastAsia" w:ascii="宋体" w:hAnsi="宋体" w:cs="宋体"/>
          <w:sz w:val="24"/>
          <w:u w:val="single"/>
          <w:shd w:val="clear" w:color="auto" w:fill="FFFFFF"/>
        </w:rPr>
        <w:t>北京市朝阳区安翔路</w:t>
      </w:r>
      <w:r>
        <w:rPr>
          <w:rFonts w:ascii="宋体" w:hAnsi="宋体" w:cs="宋体"/>
          <w:sz w:val="24"/>
          <w:u w:val="single"/>
          <w:shd w:val="clear" w:color="auto" w:fill="FFFFFF"/>
        </w:rPr>
        <w:t>1号</w:t>
      </w:r>
      <w:r>
        <w:rPr>
          <w:rFonts w:ascii="宋体" w:hAnsi="宋体"/>
        </w:rPr>
        <w:t xml:space="preserve"> </w:t>
      </w:r>
      <w:r>
        <w:rPr>
          <w:rFonts w:hint="eastAsia" w:ascii="宋体" w:hAnsi="宋体"/>
        </w:rPr>
        <w:t>法定地址：</w:t>
      </w:r>
      <w:r>
        <w:rPr>
          <w:rFonts w:hint="eastAsia" w:ascii="宋体" w:hAnsi="宋体" w:cs="宋体"/>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shd w:val="clear" w:color="auto" w:fill="FFFFFF"/>
        </w:rPr>
        <w:t xml:space="preserve">    </w:t>
      </w:r>
    </w:p>
    <w:p w14:paraId="008C49F5">
      <w:pPr>
        <w:tabs>
          <w:tab w:val="left" w:pos="4275"/>
        </w:tabs>
        <w:spacing w:line="400" w:lineRule="exact"/>
        <w:ind w:firstLine="420" w:firstLineChars="200"/>
        <w:rPr>
          <w:rFonts w:ascii="宋体" w:hAnsi="宋体"/>
        </w:rPr>
      </w:pPr>
      <w:r>
        <w:rPr>
          <w:rFonts w:hint="eastAsia" w:ascii="宋体" w:hAnsi="宋体"/>
        </w:rPr>
        <w:t>法定代表人或其                        法定代表人或其</w:t>
      </w:r>
    </w:p>
    <w:p w14:paraId="17E53FA0">
      <w:pPr>
        <w:spacing w:after="468" w:afterLines="150" w:line="400" w:lineRule="exact"/>
        <w:ind w:firstLine="420" w:firstLineChars="200"/>
        <w:rPr>
          <w:rFonts w:ascii="宋体" w:hAnsi="宋体"/>
        </w:rPr>
      </w:pPr>
      <w:r>
        <w:rPr>
          <w:rFonts w:hint="eastAsia" w:ascii="宋体" w:hAnsi="宋体"/>
        </w:rPr>
        <w:t>委托代理人：（签字）</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 xml:space="preserve">    委托代理人：（签字）</w:t>
      </w:r>
    </w:p>
    <w:p w14:paraId="7266E37E">
      <w:pPr>
        <w:tabs>
          <w:tab w:val="left" w:pos="4275"/>
        </w:tabs>
        <w:spacing w:line="480" w:lineRule="auto"/>
        <w:ind w:firstLine="420" w:firstLineChars="200"/>
        <w:rPr>
          <w:rFonts w:ascii="宋体" w:hAnsi="宋体"/>
        </w:rPr>
      </w:pPr>
      <w:r>
        <w:rPr>
          <w:rFonts w:hint="eastAsia" w:ascii="宋体" w:hAnsi="宋体"/>
        </w:rPr>
        <w:t>电话：</w:t>
      </w:r>
      <w:r>
        <w:rPr>
          <w:rFonts w:ascii="宋体" w:hAnsi="宋体" w:cs="宋体"/>
          <w:sz w:val="24"/>
          <w:u w:val="single"/>
          <w:shd w:val="clear" w:color="auto" w:fill="FFFFFF"/>
        </w:rPr>
        <w:t>64879881-21</w:t>
      </w:r>
      <w:r>
        <w:rPr>
          <w:rFonts w:hint="eastAsia" w:ascii="宋体" w:hAnsi="宋体"/>
        </w:rPr>
        <w:tab/>
      </w:r>
      <w:r>
        <w:rPr>
          <w:rFonts w:hint="eastAsia" w:ascii="宋体" w:hAnsi="宋体"/>
        </w:rPr>
        <w:t>电话：</w:t>
      </w:r>
      <w:r>
        <w:rPr>
          <w:rFonts w:hint="eastAsia"/>
          <w:bCs/>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 w:val="24"/>
          <w:u w:val="single"/>
        </w:rPr>
        <w:t xml:space="preserve"> </w:t>
      </w:r>
    </w:p>
    <w:p w14:paraId="7CF833D9">
      <w:pPr>
        <w:tabs>
          <w:tab w:val="left" w:pos="4275"/>
        </w:tabs>
        <w:spacing w:line="480" w:lineRule="auto"/>
        <w:ind w:firstLine="420" w:firstLineChars="200"/>
        <w:rPr>
          <w:rFonts w:hint="eastAsia" w:ascii="宋体" w:hAnsi="宋体"/>
        </w:rPr>
      </w:pPr>
      <w:r>
        <w:rPr>
          <w:rFonts w:hint="eastAsia" w:ascii="宋体" w:hAnsi="宋体"/>
        </w:rPr>
        <w:t>传真：</w:t>
      </w:r>
      <w:r>
        <w:rPr>
          <w:rFonts w:hint="eastAsia" w:ascii="宋体" w:hAnsi="宋体"/>
          <w:u w:val="single"/>
        </w:rPr>
        <w:t xml:space="preserve">   /         </w:t>
      </w:r>
      <w:r>
        <w:rPr>
          <w:rFonts w:hint="eastAsia" w:ascii="宋体" w:hAnsi="宋体"/>
        </w:rPr>
        <w:tab/>
      </w:r>
      <w:r>
        <w:rPr>
          <w:rFonts w:hint="eastAsia" w:ascii="宋体" w:hAnsi="宋体"/>
        </w:rPr>
        <w:t>传真：</w:t>
      </w:r>
      <w:r>
        <w:rPr>
          <w:rFonts w:hint="eastAsia" w:ascii="宋体" w:hAnsi="宋体" w:cs="宋体"/>
          <w:sz w:val="24"/>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p>
    <w:p w14:paraId="79C56710">
      <w:pPr>
        <w:tabs>
          <w:tab w:val="left" w:pos="4700"/>
        </w:tabs>
        <w:spacing w:line="480" w:lineRule="auto"/>
        <w:ind w:firstLine="420" w:firstLineChars="200"/>
        <w:rPr>
          <w:rFonts w:ascii="宋体" w:hAnsi="宋体"/>
        </w:rPr>
      </w:pPr>
      <w:r>
        <w:rPr>
          <w:rFonts w:hint="eastAsia" w:ascii="宋体" w:hAnsi="宋体"/>
        </w:rPr>
        <w:t>电子邮箱：</w:t>
      </w:r>
      <w:r>
        <w:rPr>
          <w:rFonts w:hint="eastAsia" w:ascii="宋体" w:hAnsi="宋体"/>
          <w:u w:val="single"/>
        </w:rPr>
        <w:t xml:space="preserve">    /    </w:t>
      </w:r>
      <w:r>
        <w:rPr>
          <w:rFonts w:hint="eastAsia" w:ascii="宋体" w:hAnsi="宋体"/>
        </w:rPr>
        <w:t xml:space="preserve">  </w:t>
      </w:r>
      <w:r>
        <w:rPr>
          <w:rFonts w:ascii="宋体" w:hAnsi="宋体"/>
        </w:rPr>
        <w:t xml:space="preserve">                 </w:t>
      </w:r>
      <w:r>
        <w:rPr>
          <w:rFonts w:hint="eastAsia" w:ascii="宋体" w:hAnsi="宋体"/>
        </w:rPr>
        <w:t>电子邮箱：</w:t>
      </w:r>
      <w:r>
        <w:rPr>
          <w:rFonts w:hint="eastAsia" w:ascii="宋体" w:hAnsi="宋体"/>
          <w:i/>
          <w:iCs/>
          <w:u w:val="single"/>
        </w:rPr>
        <w:t xml:space="preserve">    </w:t>
      </w:r>
      <w:r>
        <w:rPr>
          <w:rFonts w:ascii="宋体" w:hAnsi="宋体"/>
          <w:u w:val="single"/>
        </w:rPr>
        <w:t>/</w:t>
      </w:r>
      <w:r>
        <w:rPr>
          <w:rFonts w:hint="eastAsia" w:ascii="宋体" w:hAnsi="宋体"/>
          <w:u w:val="single"/>
        </w:rPr>
        <w:t xml:space="preserve">     </w:t>
      </w:r>
      <w:r>
        <w:rPr>
          <w:rFonts w:hint="eastAsia" w:ascii="宋体" w:hAnsi="宋体"/>
        </w:rPr>
        <w:t xml:space="preserve"> </w:t>
      </w:r>
    </w:p>
    <w:p w14:paraId="3C0309AE">
      <w:pPr>
        <w:tabs>
          <w:tab w:val="left" w:pos="4275"/>
        </w:tabs>
        <w:spacing w:line="480" w:lineRule="auto"/>
        <w:ind w:left="4200" w:leftChars="200" w:hanging="3780" w:hangingChars="1800"/>
        <w:rPr>
          <w:rFonts w:ascii="宋体" w:hAnsi="宋体" w:cs="宋体"/>
          <w:sz w:val="24"/>
          <w:u w:val="single"/>
          <w:shd w:val="clear" w:color="auto" w:fill="FFFFFF"/>
        </w:rPr>
      </w:pPr>
      <w:r>
        <w:rPr>
          <w:rFonts w:hint="eastAsia" w:ascii="宋体" w:hAnsi="宋体"/>
        </w:rPr>
        <w:t>开户银行：</w:t>
      </w:r>
      <w:r>
        <w:rPr>
          <w:rFonts w:hint="eastAsia" w:ascii="宋体" w:hAnsi="宋体" w:cs="宋体"/>
          <w:sz w:val="24"/>
          <w:u w:val="single"/>
          <w:shd w:val="clear" w:color="auto" w:fill="FFFFFF"/>
        </w:rPr>
        <w:t>交通银行北京安翔里支行</w:t>
      </w:r>
      <w:r>
        <w:rPr>
          <w:rFonts w:hint="eastAsia" w:ascii="宋体" w:hAnsi="宋体" w:cs="宋体"/>
          <w:sz w:val="24"/>
          <w:shd w:val="clear" w:color="auto" w:fill="FFFFFF"/>
        </w:rPr>
        <w:t xml:space="preserve">  </w:t>
      </w:r>
      <w:r>
        <w:rPr>
          <w:rFonts w:hint="eastAsia" w:ascii="宋体" w:hAnsi="宋体"/>
        </w:rPr>
        <w:t>开户银行：</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p>
    <w:p w14:paraId="33E02B55">
      <w:pPr>
        <w:tabs>
          <w:tab w:val="left" w:pos="4275"/>
        </w:tabs>
        <w:spacing w:line="480" w:lineRule="auto"/>
        <w:ind w:firstLine="420" w:firstLineChars="200"/>
        <w:rPr>
          <w:rFonts w:ascii="宋体" w:hAnsi="宋体"/>
        </w:rPr>
      </w:pPr>
      <w:r>
        <w:rPr>
          <w:rFonts w:hint="eastAsia" w:ascii="宋体" w:hAnsi="宋体"/>
        </w:rPr>
        <w:t>帐号：</w:t>
      </w:r>
      <w:r>
        <w:rPr>
          <w:rFonts w:ascii="宋体" w:hAnsi="宋体" w:cs="宋体"/>
          <w:sz w:val="24"/>
          <w:u w:val="single"/>
          <w:shd w:val="clear" w:color="auto" w:fill="FFFFFF"/>
        </w:rPr>
        <w:t>110060868012015002317 </w:t>
      </w:r>
      <w:r>
        <w:rPr>
          <w:rFonts w:hint="eastAsia" w:ascii="宋体" w:hAnsi="宋体"/>
        </w:rPr>
        <w:tab/>
      </w:r>
      <w:r>
        <w:rPr>
          <w:rFonts w:hint="eastAsia" w:ascii="宋体" w:hAnsi="宋体"/>
        </w:rPr>
        <w:t>帐号：</w:t>
      </w:r>
      <w:r>
        <w:rPr>
          <w:rFonts w:hint="eastAsia" w:ascii="宋体" w:hAnsi="宋体" w:cs="宋体"/>
          <w:kern w:val="0"/>
          <w:sz w:val="24"/>
          <w:u w:val="single"/>
          <w:lang w:bidi="ar"/>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kern w:val="0"/>
          <w:sz w:val="24"/>
          <w:u w:val="single"/>
          <w:lang w:bidi="ar"/>
        </w:rPr>
        <w:t xml:space="preserve"> </w:t>
      </w:r>
    </w:p>
    <w:p w14:paraId="06735D3B">
      <w:pPr>
        <w:pStyle w:val="18"/>
        <w:spacing w:line="480" w:lineRule="auto"/>
        <w:rPr>
          <w:u w:val="single"/>
        </w:rPr>
      </w:pPr>
      <w:r>
        <w:rPr>
          <w:rFonts w:hint="eastAsia" w:hAnsi="宋体"/>
        </w:rPr>
        <w:t>邮政编码</w:t>
      </w:r>
      <w:r>
        <w:rPr>
          <w:rFonts w:hint="eastAsia" w:hAnsi="宋体"/>
          <w:u w:val="single"/>
        </w:rPr>
        <w:t xml:space="preserve">：/ </w:t>
      </w:r>
      <w:r>
        <w:rPr>
          <w:rFonts w:hAnsi="宋体"/>
          <w:u w:val="single"/>
        </w:rPr>
        <w:t xml:space="preserve">       </w:t>
      </w:r>
      <w:r>
        <w:rPr>
          <w:rFonts w:hAnsi="宋体"/>
        </w:rPr>
        <w:t xml:space="preserve">             </w:t>
      </w:r>
      <w:r>
        <w:rPr>
          <w:rFonts w:hint="eastAsia" w:hAnsi="宋体"/>
        </w:rPr>
        <w:t xml:space="preserve"> 邮政编码</w:t>
      </w:r>
      <w:r>
        <w:rPr>
          <w:rFonts w:hint="eastAsia"/>
        </w:rPr>
        <w:t>：</w:t>
      </w:r>
      <w:r>
        <w:rPr>
          <w:rFonts w:hint="eastAsia"/>
          <w:u w:val="single"/>
        </w:rPr>
        <w:t xml:space="preserve">    </w:t>
      </w:r>
      <w:r>
        <w:rPr>
          <w:rFonts w:ascii="宋体" w:hAnsi="宋体"/>
          <w:u w:val="single"/>
        </w:rPr>
        <w:t>/</w:t>
      </w:r>
      <w:r>
        <w:rPr>
          <w:rFonts w:hint="eastAsia" w:ascii="宋体" w:hAnsi="宋体"/>
          <w:u w:val="single"/>
        </w:rPr>
        <w:t xml:space="preserve">           </w:t>
      </w:r>
    </w:p>
    <w:p w14:paraId="675DB823">
      <w:pPr>
        <w:pStyle w:val="18"/>
        <w:spacing w:line="480" w:lineRule="auto"/>
      </w:pPr>
      <w:r>
        <w:rPr>
          <w:rFonts w:hint="eastAsia" w:ascii="宋体" w:hAnsi="宋体"/>
        </w:rPr>
        <w:t xml:space="preserve">监督单位：（盖章） </w:t>
      </w:r>
      <w:r>
        <w:rPr>
          <w:rFonts w:ascii="宋体" w:hAnsi="宋体"/>
        </w:rPr>
        <w:t xml:space="preserve">         </w:t>
      </w:r>
      <w:r>
        <w:rPr>
          <w:rFonts w:hint="eastAsia" w:ascii="宋体" w:hAnsi="宋体"/>
        </w:rPr>
        <w:t xml:space="preserve">监督单位盖章：（盖章） </w:t>
      </w:r>
      <w:r>
        <w:rPr>
          <w:rFonts w:ascii="宋体" w:hAnsi="宋体"/>
        </w:rPr>
        <w:t xml:space="preserve">                                             </w:t>
      </w:r>
      <w:r>
        <w:t xml:space="preserve"> </w:t>
      </w:r>
    </w:p>
    <w:p w14:paraId="17E1E81F">
      <w:pPr>
        <w:spacing w:line="360" w:lineRule="auto"/>
        <w:ind w:firstLine="482" w:firstLineChars="200"/>
        <w:jc w:val="center"/>
        <w:rPr>
          <w:b/>
          <w:sz w:val="24"/>
        </w:rPr>
      </w:pPr>
      <w:r>
        <w:rPr>
          <w:rFonts w:hint="eastAsia"/>
          <w:b/>
          <w:sz w:val="24"/>
        </w:rPr>
        <w:t xml:space="preserve"> </w:t>
      </w:r>
    </w:p>
    <w:p w14:paraId="4C218BD6">
      <w:pPr>
        <w:spacing w:line="360" w:lineRule="auto"/>
        <w:ind w:firstLine="482" w:firstLineChars="200"/>
        <w:jc w:val="center"/>
        <w:rPr>
          <w:b/>
          <w:sz w:val="24"/>
        </w:rPr>
      </w:pPr>
      <w:r>
        <w:rPr>
          <w:b/>
          <w:sz w:val="24"/>
        </w:rPr>
        <w:br w:type="textWrapping"/>
      </w:r>
    </w:p>
    <w:p w14:paraId="1B325124">
      <w:pPr>
        <w:spacing w:line="360" w:lineRule="auto"/>
        <w:ind w:firstLine="482" w:firstLineChars="200"/>
        <w:jc w:val="center"/>
        <w:rPr>
          <w:b/>
          <w:sz w:val="24"/>
        </w:rPr>
      </w:pPr>
      <w:r>
        <w:rPr>
          <w:b/>
          <w:sz w:val="24"/>
        </w:rPr>
        <w:br w:type="page"/>
      </w:r>
      <w:r>
        <w:rPr>
          <w:rFonts w:hint="eastAsia"/>
          <w:b/>
          <w:sz w:val="24"/>
        </w:rPr>
        <w:t>北京市建设工程施工总承包单位法定代表人授权</w:t>
      </w:r>
    </w:p>
    <w:p w14:paraId="05A8501E">
      <w:pPr>
        <w:spacing w:line="360" w:lineRule="auto"/>
        <w:ind w:firstLine="482" w:firstLineChars="200"/>
        <w:jc w:val="center"/>
        <w:rPr>
          <w:rFonts w:ascii="宋体"/>
          <w:b/>
          <w:sz w:val="24"/>
          <w:szCs w:val="28"/>
        </w:rPr>
      </w:pPr>
    </w:p>
    <w:p w14:paraId="491A1350">
      <w:pPr>
        <w:spacing w:line="360" w:lineRule="auto"/>
        <w:ind w:firstLine="490"/>
        <w:rPr>
          <w:rFonts w:ascii="宋体"/>
          <w:szCs w:val="28"/>
        </w:rPr>
      </w:pPr>
      <w:r>
        <w:rPr>
          <w:rFonts w:ascii="宋体"/>
          <w:szCs w:val="28"/>
        </w:rPr>
        <w:t>兹授权</w:t>
      </w:r>
      <w:r>
        <w:rPr>
          <w:rFonts w:hint="eastAsia" w:ascii="宋体"/>
          <w:szCs w:val="28"/>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szCs w:val="28"/>
          <w:u w:val="single"/>
        </w:rPr>
        <w:t xml:space="preserve">  </w:t>
      </w:r>
      <w:r>
        <w:rPr>
          <w:rFonts w:ascii="宋体"/>
          <w:szCs w:val="28"/>
        </w:rPr>
        <w:t>（姓名）担任</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szCs w:val="28"/>
        </w:rPr>
        <w:t>（工程名称）施工总承包单位的项目</w:t>
      </w:r>
      <w:r>
        <w:rPr>
          <w:rFonts w:ascii="宋体"/>
          <w:szCs w:val="28"/>
        </w:rPr>
        <w:t>负责人，对该工程项目的施工工作实施组织管理，依据国家和北京市有关法律法规及标准规范履行职责，并依法对该工程项目在设计使用年限内的工程质量承担相应终身责任。</w:t>
      </w:r>
    </w:p>
    <w:p w14:paraId="53A11739">
      <w:pPr>
        <w:spacing w:line="360" w:lineRule="auto"/>
        <w:ind w:firstLine="420" w:firstLineChars="200"/>
        <w:rPr>
          <w:rFonts w:ascii="宋体"/>
          <w:szCs w:val="28"/>
        </w:rPr>
      </w:pPr>
      <w:r>
        <w:rPr>
          <w:rFonts w:ascii="宋体"/>
          <w:szCs w:val="28"/>
        </w:rPr>
        <w:t>法定代表人承担被授权人在授权范围内履行职责产生的法律责任。本授权书自授权之日起生效。</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159"/>
        <w:gridCol w:w="1889"/>
        <w:gridCol w:w="1076"/>
        <w:gridCol w:w="2844"/>
      </w:tblGrid>
      <w:tr w14:paraId="54F2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21B71895">
            <w:pPr>
              <w:pStyle w:val="252"/>
              <w:widowControl w:val="0"/>
              <w:autoSpaceDE w:val="0"/>
              <w:autoSpaceDN w:val="0"/>
              <w:adjustRightInd w:val="0"/>
              <w:spacing w:before="0" w:after="0" w:line="281" w:lineRule="exact"/>
              <w:ind w:firstLine="206"/>
              <w:jc w:val="center"/>
              <w:rPr>
                <w:rFonts w:ascii="宋体"/>
                <w:kern w:val="2"/>
                <w:sz w:val="21"/>
                <w:szCs w:val="28"/>
                <w:lang w:val="en-US" w:eastAsia="zh-CN"/>
              </w:rPr>
            </w:pPr>
            <w:r>
              <w:rPr>
                <w:rFonts w:hint="eastAsia" w:ascii="宋体"/>
                <w:kern w:val="2"/>
                <w:sz w:val="21"/>
                <w:szCs w:val="28"/>
                <w:lang w:val="en-US" w:eastAsia="zh-CN"/>
              </w:rPr>
              <w:t>被授权人基本情况</w:t>
            </w:r>
          </w:p>
        </w:tc>
      </w:tr>
      <w:tr w14:paraId="00EB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AB5AA8A">
            <w:pPr>
              <w:spacing w:line="360" w:lineRule="auto"/>
              <w:rPr>
                <w:rFonts w:ascii="宋体"/>
                <w:szCs w:val="28"/>
              </w:rPr>
            </w:pPr>
            <w:r>
              <w:rPr>
                <w:rFonts w:hint="eastAsia" w:ascii="宋体"/>
                <w:szCs w:val="28"/>
              </w:rPr>
              <w:t>姓名</w:t>
            </w:r>
          </w:p>
        </w:tc>
        <w:tc>
          <w:tcPr>
            <w:tcW w:w="1641" w:type="pct"/>
            <w:gridSpan w:val="2"/>
            <w:noWrap w:val="0"/>
            <w:vAlign w:val="top"/>
          </w:tcPr>
          <w:p w14:paraId="5F428E11">
            <w:pPr>
              <w:spacing w:line="360" w:lineRule="auto"/>
              <w:rPr>
                <w:rFonts w:ascii="宋体"/>
                <w:szCs w:val="28"/>
              </w:rPr>
            </w:pPr>
            <w:r>
              <w:rPr>
                <w:rFonts w:hint="eastAsia" w:ascii="宋体" w:hAnsi="宋体"/>
                <w:bCs/>
                <w:sz w:val="24"/>
                <w:u w:val="single"/>
              </w:rPr>
              <w:t xml:space="preserve"> </w:t>
            </w:r>
            <w:r>
              <w:rPr>
                <w:rFonts w:hint="eastAsia" w:ascii="宋体" w:hAnsi="宋体"/>
                <w:bCs/>
                <w:sz w:val="36"/>
                <w:szCs w:val="36"/>
                <w:u w:val="single"/>
              </w:rPr>
              <w:t xml:space="preserve">      </w:t>
            </w:r>
          </w:p>
        </w:tc>
        <w:tc>
          <w:tcPr>
            <w:tcW w:w="2109" w:type="pct"/>
            <w:gridSpan w:val="2"/>
            <w:noWrap w:val="0"/>
            <w:vAlign w:val="top"/>
          </w:tcPr>
          <w:p w14:paraId="7687D60B">
            <w:pPr>
              <w:spacing w:line="360" w:lineRule="auto"/>
              <w:rPr>
                <w:rFonts w:ascii="宋体"/>
                <w:szCs w:val="28"/>
              </w:rPr>
            </w:pPr>
            <w:r>
              <w:rPr>
                <w:rFonts w:hint="eastAsia" w:ascii="宋体"/>
                <w:szCs w:val="28"/>
              </w:rPr>
              <w:t>身份证编号：</w:t>
            </w:r>
          </w:p>
        </w:tc>
      </w:tr>
      <w:tr w14:paraId="4F1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704E67F">
            <w:pPr>
              <w:spacing w:line="360" w:lineRule="auto"/>
              <w:rPr>
                <w:rFonts w:ascii="宋体"/>
                <w:szCs w:val="28"/>
              </w:rPr>
            </w:pPr>
            <w:r>
              <w:rPr>
                <w:rFonts w:hint="eastAsia" w:ascii="宋体"/>
                <w:szCs w:val="28"/>
              </w:rPr>
              <w:t>电话</w:t>
            </w:r>
          </w:p>
        </w:tc>
        <w:tc>
          <w:tcPr>
            <w:tcW w:w="1641" w:type="pct"/>
            <w:gridSpan w:val="2"/>
            <w:noWrap w:val="0"/>
            <w:vAlign w:val="top"/>
          </w:tcPr>
          <w:p w14:paraId="03709647">
            <w:pPr>
              <w:spacing w:line="360" w:lineRule="auto"/>
              <w:rPr>
                <w:rFonts w:ascii="宋体"/>
                <w:szCs w:val="28"/>
              </w:rPr>
            </w:pPr>
            <w:r>
              <w:rPr>
                <w:rFonts w:hint="eastAsia" w:ascii="宋体"/>
                <w:szCs w:val="28"/>
              </w:rPr>
              <w:t>/</w:t>
            </w:r>
          </w:p>
        </w:tc>
        <w:tc>
          <w:tcPr>
            <w:tcW w:w="2109" w:type="pct"/>
            <w:gridSpan w:val="2"/>
            <w:noWrap w:val="0"/>
            <w:vAlign w:val="top"/>
          </w:tcPr>
          <w:p w14:paraId="70081C87">
            <w:pPr>
              <w:spacing w:line="360" w:lineRule="auto"/>
              <w:rPr>
                <w:rFonts w:ascii="宋体"/>
                <w:szCs w:val="28"/>
              </w:rPr>
            </w:pPr>
            <w:r>
              <w:rPr>
                <w:rFonts w:hint="eastAsia" w:ascii="宋体"/>
                <w:szCs w:val="28"/>
              </w:rPr>
              <w:t>户籍所在地：</w:t>
            </w:r>
            <w:r>
              <w:rPr>
                <w:rFonts w:hint="eastAsia" w:ascii="宋体" w:hAnsi="宋体"/>
                <w:bCs/>
                <w:sz w:val="24"/>
                <w:u w:val="single"/>
              </w:rPr>
              <w:t xml:space="preserve"> </w:t>
            </w:r>
            <w:r>
              <w:rPr>
                <w:rFonts w:hint="eastAsia" w:ascii="宋体" w:hAnsi="宋体"/>
                <w:bCs/>
                <w:sz w:val="36"/>
                <w:szCs w:val="36"/>
                <w:u w:val="single"/>
              </w:rPr>
              <w:t xml:space="preserve">      </w:t>
            </w:r>
          </w:p>
        </w:tc>
      </w:tr>
      <w:tr w14:paraId="73E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top"/>
          </w:tcPr>
          <w:p w14:paraId="5F7F923D">
            <w:pPr>
              <w:spacing w:line="360" w:lineRule="auto"/>
              <w:rPr>
                <w:rFonts w:ascii="宋体"/>
                <w:szCs w:val="28"/>
              </w:rPr>
            </w:pPr>
            <w:r>
              <w:rPr>
                <w:rFonts w:hint="eastAsia" w:ascii="宋体"/>
                <w:szCs w:val="28"/>
              </w:rPr>
              <w:t>注册证书</w:t>
            </w:r>
          </w:p>
        </w:tc>
        <w:tc>
          <w:tcPr>
            <w:tcW w:w="624" w:type="pct"/>
            <w:noWrap w:val="0"/>
            <w:vAlign w:val="top"/>
          </w:tcPr>
          <w:p w14:paraId="775D6A7F">
            <w:pPr>
              <w:spacing w:line="360" w:lineRule="auto"/>
              <w:rPr>
                <w:rFonts w:ascii="宋体"/>
                <w:szCs w:val="28"/>
              </w:rPr>
            </w:pPr>
            <w:r>
              <w:rPr>
                <w:rFonts w:hint="eastAsia" w:ascii="宋体"/>
                <w:szCs w:val="28"/>
              </w:rPr>
              <w:t>编号</w:t>
            </w:r>
          </w:p>
        </w:tc>
        <w:tc>
          <w:tcPr>
            <w:tcW w:w="1016" w:type="pct"/>
            <w:noWrap w:val="0"/>
            <w:vAlign w:val="top"/>
          </w:tcPr>
          <w:p w14:paraId="346C0AF9">
            <w:pPr>
              <w:spacing w:line="360" w:lineRule="auto"/>
              <w:jc w:val="center"/>
              <w:rPr>
                <w:rFonts w:ascii="宋体"/>
                <w:szCs w:val="28"/>
              </w:rPr>
            </w:pPr>
          </w:p>
        </w:tc>
        <w:tc>
          <w:tcPr>
            <w:tcW w:w="579" w:type="pct"/>
            <w:noWrap w:val="0"/>
            <w:vAlign w:val="top"/>
          </w:tcPr>
          <w:p w14:paraId="45CB5E7D">
            <w:pPr>
              <w:spacing w:line="360" w:lineRule="auto"/>
              <w:rPr>
                <w:rFonts w:ascii="宋体"/>
                <w:szCs w:val="28"/>
              </w:rPr>
            </w:pPr>
            <w:r>
              <w:rPr>
                <w:rFonts w:hint="eastAsia" w:ascii="宋体"/>
                <w:szCs w:val="28"/>
              </w:rPr>
              <w:t>类别</w:t>
            </w:r>
          </w:p>
        </w:tc>
        <w:tc>
          <w:tcPr>
            <w:tcW w:w="1529" w:type="pct"/>
            <w:noWrap w:val="0"/>
            <w:vAlign w:val="top"/>
          </w:tcPr>
          <w:p w14:paraId="0A594FA2">
            <w:pPr>
              <w:spacing w:line="360" w:lineRule="auto"/>
              <w:rPr>
                <w:rFonts w:ascii="宋体"/>
                <w:szCs w:val="28"/>
              </w:rPr>
            </w:pPr>
          </w:p>
        </w:tc>
      </w:tr>
      <w:tr w14:paraId="16A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top"/>
          </w:tcPr>
          <w:p w14:paraId="7587F89A">
            <w:pPr>
              <w:spacing w:line="360" w:lineRule="auto"/>
              <w:rPr>
                <w:rFonts w:ascii="宋体"/>
                <w:szCs w:val="28"/>
              </w:rPr>
            </w:pPr>
          </w:p>
        </w:tc>
        <w:tc>
          <w:tcPr>
            <w:tcW w:w="624" w:type="pct"/>
            <w:noWrap w:val="0"/>
            <w:vAlign w:val="top"/>
          </w:tcPr>
          <w:p w14:paraId="5BCCC914">
            <w:pPr>
              <w:spacing w:line="360" w:lineRule="auto"/>
              <w:rPr>
                <w:rFonts w:ascii="宋体"/>
                <w:szCs w:val="28"/>
              </w:rPr>
            </w:pPr>
            <w:r>
              <w:rPr>
                <w:rFonts w:hint="eastAsia" w:ascii="宋体"/>
                <w:szCs w:val="28"/>
              </w:rPr>
              <w:t>专业</w:t>
            </w:r>
          </w:p>
        </w:tc>
        <w:tc>
          <w:tcPr>
            <w:tcW w:w="1016" w:type="pct"/>
            <w:noWrap w:val="0"/>
            <w:vAlign w:val="top"/>
          </w:tcPr>
          <w:p w14:paraId="0EFBEAF1">
            <w:pPr>
              <w:spacing w:line="360" w:lineRule="auto"/>
              <w:rPr>
                <w:rFonts w:ascii="宋体"/>
                <w:szCs w:val="28"/>
              </w:rPr>
            </w:pPr>
          </w:p>
        </w:tc>
        <w:tc>
          <w:tcPr>
            <w:tcW w:w="579" w:type="pct"/>
            <w:noWrap w:val="0"/>
            <w:vAlign w:val="top"/>
          </w:tcPr>
          <w:p w14:paraId="025DF156">
            <w:pPr>
              <w:spacing w:line="360" w:lineRule="auto"/>
              <w:rPr>
                <w:rFonts w:ascii="宋体"/>
                <w:szCs w:val="28"/>
              </w:rPr>
            </w:pPr>
            <w:r>
              <w:rPr>
                <w:rFonts w:hint="eastAsia" w:ascii="宋体"/>
                <w:szCs w:val="28"/>
              </w:rPr>
              <w:t>期限</w:t>
            </w:r>
          </w:p>
        </w:tc>
        <w:tc>
          <w:tcPr>
            <w:tcW w:w="1529" w:type="pct"/>
            <w:noWrap w:val="0"/>
            <w:vAlign w:val="top"/>
          </w:tcPr>
          <w:p w14:paraId="04491F88">
            <w:pPr>
              <w:spacing w:line="360" w:lineRule="auto"/>
              <w:rPr>
                <w:rFonts w:ascii="宋体"/>
                <w:szCs w:val="28"/>
              </w:rPr>
            </w:pPr>
          </w:p>
        </w:tc>
      </w:tr>
      <w:tr w14:paraId="166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noWrap w:val="0"/>
            <w:vAlign w:val="top"/>
          </w:tcPr>
          <w:p w14:paraId="727BB34B">
            <w:pPr>
              <w:spacing w:line="360" w:lineRule="auto"/>
              <w:rPr>
                <w:rFonts w:ascii="宋体"/>
                <w:szCs w:val="28"/>
              </w:rPr>
            </w:pPr>
            <w:r>
              <w:rPr>
                <w:rFonts w:hint="eastAsia" w:ascii="宋体"/>
                <w:szCs w:val="28"/>
              </w:rPr>
              <w:t>备注</w:t>
            </w:r>
          </w:p>
        </w:tc>
        <w:tc>
          <w:tcPr>
            <w:tcW w:w="3750" w:type="pct"/>
            <w:gridSpan w:val="4"/>
            <w:noWrap w:val="0"/>
            <w:vAlign w:val="top"/>
          </w:tcPr>
          <w:p w14:paraId="319D900C">
            <w:pPr>
              <w:spacing w:line="360" w:lineRule="auto"/>
              <w:rPr>
                <w:rFonts w:ascii="宋体"/>
                <w:szCs w:val="28"/>
              </w:rPr>
            </w:pPr>
          </w:p>
        </w:tc>
      </w:tr>
      <w:tr w14:paraId="5AD0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14:paraId="1FDD28C3">
            <w:pPr>
              <w:spacing w:line="360" w:lineRule="auto"/>
              <w:rPr>
                <w:rFonts w:ascii="宋体"/>
                <w:szCs w:val="28"/>
              </w:rPr>
            </w:pPr>
          </w:p>
        </w:tc>
      </w:tr>
    </w:tbl>
    <w:p w14:paraId="669E3131">
      <w:pPr>
        <w:spacing w:line="360" w:lineRule="auto"/>
        <w:ind w:right="640" w:firstLine="420" w:firstLineChars="200"/>
        <w:jc w:val="right"/>
        <w:rPr>
          <w:rFonts w:ascii="DDJLFQ+·ÂËÎ" w:hAnsi="DDJLFQ+·ÂËÎ" w:eastAsia="Calibri" w:cs="DDJLFQ+·ÂËÎ"/>
          <w:szCs w:val="21"/>
        </w:rPr>
      </w:pPr>
    </w:p>
    <w:p w14:paraId="365938CD">
      <w:pPr>
        <w:spacing w:line="360" w:lineRule="auto"/>
        <w:ind w:right="640" w:firstLine="420" w:firstLineChars="200"/>
        <w:jc w:val="right"/>
        <w:rPr>
          <w:rFonts w:ascii="DDJLFQ+·ÂËÎ" w:hAnsi="DDJLFQ+·ÂËÎ" w:eastAsia="Calibri" w:cs="DDJLFQ+·ÂËÎ"/>
          <w:szCs w:val="21"/>
        </w:rPr>
      </w:pPr>
    </w:p>
    <w:p w14:paraId="22E3837F">
      <w:pPr>
        <w:spacing w:line="360" w:lineRule="auto"/>
        <w:ind w:right="640" w:firstLine="420" w:firstLineChars="200"/>
        <w:jc w:val="right"/>
        <w:rPr>
          <w:rFonts w:ascii="RQODRS+·ÂËÎ" w:hAnsi="Calibri"/>
          <w:szCs w:val="21"/>
          <w:u w:val="single"/>
        </w:rPr>
      </w:pPr>
      <w:r>
        <w:rPr>
          <w:rFonts w:ascii="DDJLFQ+·ÂËÎ" w:hAnsi="DDJLFQ+·ÂËÎ" w:eastAsia="Calibri" w:cs="DDJLFQ+·ÂËÎ"/>
          <w:szCs w:val="21"/>
        </w:rPr>
        <w:t>授权单位名称（公章）：</w:t>
      </w:r>
    </w:p>
    <w:p w14:paraId="06F221D0">
      <w:pPr>
        <w:spacing w:line="360" w:lineRule="auto"/>
        <w:ind w:right="640" w:firstLine="420" w:firstLineChars="200"/>
        <w:jc w:val="right"/>
        <w:rPr>
          <w:rFonts w:ascii="DDJLFQ+·ÂËÎ" w:hAnsi="DDJLFQ+·ÂËÎ" w:eastAsia="Calibri" w:cs="DDJLFQ+·ÂËÎ"/>
          <w:szCs w:val="21"/>
        </w:rPr>
      </w:pPr>
      <w:r>
        <w:rPr>
          <w:rFonts w:ascii="DDJLFQ+·ÂËÎ" w:hAnsi="DDJLFQ+·ÂËÎ" w:eastAsia="Calibri" w:cs="DDJLFQ+·ÂËÎ"/>
          <w:szCs w:val="21"/>
        </w:rPr>
        <w:t>法定代表人（签字）：</w:t>
      </w:r>
    </w:p>
    <w:p w14:paraId="6E82871B">
      <w:pPr>
        <w:spacing w:line="360" w:lineRule="auto"/>
        <w:ind w:right="30" w:firstLine="420" w:firstLineChars="200"/>
        <w:jc w:val="right"/>
        <w:rPr>
          <w:rFonts w:ascii="RQODRS+·ÂËÎ" w:hAnsi="Calibri" w:eastAsia="Calibri"/>
          <w:szCs w:val="21"/>
        </w:rPr>
      </w:pPr>
      <w:r>
        <w:rPr>
          <w:rFonts w:ascii="DDJLFQ+·ÂËÎ" w:hAnsi="DDJLFQ+·ÂËÎ" w:eastAsia="Calibri" w:cs="DDJLFQ+·ÂËÎ"/>
          <w:szCs w:val="21"/>
        </w:rPr>
        <w:t>授权日期：</w:t>
      </w:r>
      <w:r>
        <w:rPr>
          <w:rFonts w:hint="eastAsia" w:ascii="DDJLFQ+·ÂËÎ" w:hAnsi="DDJLFQ+·ÂËÎ" w:cs="DDJLFQ+·ÂËÎ"/>
          <w:szCs w:val="21"/>
        </w:rPr>
        <w:t xml:space="preserve"> </w:t>
      </w:r>
      <w:r>
        <w:rPr>
          <w:rFonts w:ascii="DDJLFQ+·ÂËÎ" w:hAnsi="DDJLFQ+·ÂËÎ" w:cs="DDJLFQ+·ÂËÎ"/>
          <w:szCs w:val="21"/>
        </w:rPr>
        <w:t xml:space="preserve">  </w:t>
      </w:r>
      <w:r>
        <w:rPr>
          <w:rFonts w:ascii="DDJLFQ+·ÂËÎ" w:hAnsi="DDJLFQ+·ÂËÎ" w:eastAsia="Calibri" w:cs="DDJLFQ+·ÂËÎ"/>
          <w:szCs w:val="21"/>
        </w:rPr>
        <w:t>年</w:t>
      </w:r>
      <w:r>
        <w:rPr>
          <w:rFonts w:hint="eastAsia" w:ascii="DDJLFQ+·ÂËÎ" w:hAnsi="DDJLFQ+·ÂËÎ" w:cs="DDJLFQ+·ÂËÎ"/>
          <w:szCs w:val="21"/>
        </w:rPr>
        <w:t xml:space="preserve"> </w:t>
      </w:r>
      <w:r>
        <w:rPr>
          <w:rFonts w:ascii="DDJLFQ+·ÂËÎ" w:hAnsi="DDJLFQ+·ÂËÎ" w:cs="DDJLFQ+·ÂËÎ"/>
          <w:szCs w:val="21"/>
        </w:rPr>
        <w:t xml:space="preserve">  </w:t>
      </w:r>
      <w:r>
        <w:rPr>
          <w:rFonts w:ascii="DDJLFQ+·ÂËÎ" w:hAnsi="DDJLFQ+·ÂËÎ" w:eastAsia="Calibri" w:cs="DDJLFQ+·ÂËÎ"/>
          <w:szCs w:val="21"/>
        </w:rPr>
        <w:t>月</w:t>
      </w:r>
      <w:r>
        <w:rPr>
          <w:rFonts w:hint="eastAsia" w:ascii="DDJLFQ+·ÂËÎ" w:hAnsi="DDJLFQ+·ÂËÎ" w:cs="DDJLFQ+·ÂËÎ"/>
          <w:szCs w:val="21"/>
        </w:rPr>
        <w:t xml:space="preserve"> </w:t>
      </w:r>
      <w:r>
        <w:rPr>
          <w:rFonts w:ascii="DDJLFQ+·ÂËÎ" w:hAnsi="DDJLFQ+·ÂËÎ" w:cs="DDJLFQ+·ÂËÎ"/>
          <w:szCs w:val="21"/>
        </w:rPr>
        <w:t xml:space="preserve">  </w:t>
      </w:r>
      <w:r>
        <w:rPr>
          <w:rFonts w:ascii="RQODRS+·ÂËÎ" w:hAnsi="Calibri" w:eastAsia="Calibri"/>
          <w:szCs w:val="21"/>
        </w:rPr>
        <w:t>日</w:t>
      </w:r>
    </w:p>
    <w:p w14:paraId="3D2D3628">
      <w:pPr>
        <w:jc w:val="center"/>
        <w:rPr>
          <w:rFonts w:hint="eastAsia" w:ascii="华文中宋" w:hAnsi="华文中宋" w:eastAsia="华文中宋" w:cs="华文中宋"/>
          <w:b/>
          <w:bCs/>
          <w:sz w:val="48"/>
          <w:szCs w:val="48"/>
        </w:rPr>
      </w:pPr>
    </w:p>
    <w:p w14:paraId="6B6D93DF">
      <w:pPr>
        <w:jc w:val="center"/>
        <w:rPr>
          <w:rFonts w:hint="eastAsia" w:ascii="华文中宋" w:hAnsi="华文中宋" w:eastAsia="华文中宋" w:cs="华文中宋"/>
          <w:b/>
          <w:bCs/>
          <w:sz w:val="48"/>
          <w:szCs w:val="48"/>
        </w:rPr>
      </w:pPr>
    </w:p>
    <w:p w14:paraId="27F15C27">
      <w:pPr>
        <w:rPr>
          <w:rFonts w:hint="eastAsia" w:ascii="华文中宋" w:hAnsi="华文中宋" w:eastAsia="华文中宋" w:cs="华文中宋"/>
          <w:b/>
          <w:bCs/>
          <w:sz w:val="48"/>
          <w:szCs w:val="48"/>
        </w:rPr>
      </w:pPr>
    </w:p>
    <w:p w14:paraId="5295E49F">
      <w:pPr>
        <w:jc w:val="center"/>
        <w:rPr>
          <w:rFonts w:ascii="华文中宋" w:hAnsi="华文中宋" w:eastAsia="华文中宋" w:cs="华文中宋"/>
          <w:b/>
          <w:bCs/>
          <w:sz w:val="15"/>
          <w:szCs w:val="15"/>
        </w:rPr>
      </w:pPr>
      <w:r>
        <w:rPr>
          <w:rFonts w:hint="eastAsia" w:ascii="华文中宋" w:hAnsi="华文中宋" w:eastAsia="华文中宋" w:cs="华文中宋"/>
          <w:b/>
          <w:bCs/>
          <w:sz w:val="48"/>
          <w:szCs w:val="48"/>
        </w:rPr>
        <w:br w:type="page"/>
      </w:r>
      <w:r>
        <w:rPr>
          <w:rFonts w:hint="eastAsia" w:ascii="华文中宋" w:hAnsi="华文中宋" w:eastAsia="华文中宋" w:cs="华文中宋"/>
          <w:b/>
          <w:bCs/>
          <w:sz w:val="48"/>
          <w:szCs w:val="48"/>
        </w:rPr>
        <w:t>北京市建设工程施工总承包单位</w:t>
      </w:r>
    </w:p>
    <w:p w14:paraId="48826C6F">
      <w:pPr>
        <w:jc w:val="center"/>
        <w:rPr>
          <w:rFonts w:ascii="华文中宋" w:hAnsi="华文中宋" w:eastAsia="华文中宋" w:cs="华文中宋"/>
          <w:b/>
          <w:bCs/>
          <w:sz w:val="15"/>
          <w:szCs w:val="15"/>
        </w:rPr>
      </w:pPr>
    </w:p>
    <w:p w14:paraId="2D2D005D">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项目负责人工程质量终身责任</w:t>
      </w:r>
    </w:p>
    <w:p w14:paraId="05909B62">
      <w:pPr>
        <w:jc w:val="center"/>
        <w:rPr>
          <w:rFonts w:ascii="华文中宋" w:hAnsi="华文中宋" w:eastAsia="华文中宋" w:cs="华文中宋"/>
          <w:b/>
          <w:bCs/>
          <w:sz w:val="72"/>
          <w:szCs w:val="72"/>
        </w:rPr>
      </w:pPr>
    </w:p>
    <w:p w14:paraId="4D52CC9A">
      <w:pPr>
        <w:jc w:val="center"/>
        <w:rPr>
          <w:rFonts w:ascii="华文中宋" w:hAnsi="华文中宋" w:eastAsia="华文中宋" w:cs="华文中宋"/>
          <w:b/>
          <w:bCs/>
          <w:sz w:val="72"/>
          <w:szCs w:val="72"/>
        </w:rPr>
      </w:pPr>
      <w:r>
        <w:rPr>
          <w:rFonts w:hint="eastAsia" w:ascii="华文中宋" w:hAnsi="华文中宋" w:eastAsia="华文中宋" w:cs="华文中宋"/>
          <w:b/>
          <w:bCs/>
          <w:sz w:val="72"/>
          <w:szCs w:val="72"/>
        </w:rPr>
        <w:t>承</w:t>
      </w:r>
    </w:p>
    <w:p w14:paraId="38DA21AA">
      <w:pPr>
        <w:jc w:val="center"/>
        <w:rPr>
          <w:rFonts w:ascii="华文中宋" w:hAnsi="华文中宋" w:eastAsia="华文中宋" w:cs="华文中宋"/>
          <w:b/>
          <w:bCs/>
          <w:sz w:val="72"/>
          <w:szCs w:val="72"/>
        </w:rPr>
      </w:pPr>
    </w:p>
    <w:p w14:paraId="28312AAF">
      <w:pPr>
        <w:jc w:val="center"/>
        <w:rPr>
          <w:rFonts w:ascii="华文中宋" w:hAnsi="华文中宋" w:eastAsia="华文中宋" w:cs="华文中宋"/>
          <w:b/>
          <w:bCs/>
          <w:sz w:val="72"/>
          <w:szCs w:val="72"/>
        </w:rPr>
      </w:pPr>
      <w:r>
        <w:rPr>
          <w:rFonts w:hint="eastAsia" w:ascii="华文中宋" w:hAnsi="华文中宋" w:eastAsia="华文中宋" w:cs="华文中宋"/>
          <w:b/>
          <w:bCs/>
          <w:sz w:val="72"/>
          <w:szCs w:val="72"/>
        </w:rPr>
        <w:t>诺</w:t>
      </w:r>
    </w:p>
    <w:p w14:paraId="6418D4DA">
      <w:pPr>
        <w:jc w:val="center"/>
        <w:rPr>
          <w:rFonts w:ascii="华文中宋" w:hAnsi="华文中宋" w:eastAsia="华文中宋" w:cs="华文中宋"/>
          <w:b/>
          <w:bCs/>
          <w:sz w:val="72"/>
          <w:szCs w:val="72"/>
        </w:rPr>
      </w:pPr>
    </w:p>
    <w:p w14:paraId="68A92AC7">
      <w:pPr>
        <w:jc w:val="center"/>
        <w:rPr>
          <w:rFonts w:ascii="华文中宋" w:hAnsi="华文中宋" w:eastAsia="华文中宋" w:cs="华文中宋"/>
          <w:b/>
          <w:bCs/>
          <w:sz w:val="72"/>
          <w:szCs w:val="72"/>
        </w:rPr>
      </w:pPr>
      <w:r>
        <w:rPr>
          <w:rFonts w:hint="eastAsia" w:ascii="华文中宋" w:hAnsi="华文中宋" w:eastAsia="华文中宋" w:cs="华文中宋"/>
          <w:b/>
          <w:bCs/>
          <w:sz w:val="72"/>
          <w:szCs w:val="72"/>
        </w:rPr>
        <w:t>书</w:t>
      </w:r>
    </w:p>
    <w:p w14:paraId="0D00A248">
      <w:pPr>
        <w:spacing w:line="360" w:lineRule="auto"/>
        <w:rPr>
          <w:rFonts w:ascii="华文中宋" w:hAnsi="华文中宋" w:eastAsia="华文中宋" w:cs="华文中宋"/>
          <w:b/>
          <w:bCs/>
          <w:sz w:val="36"/>
          <w:szCs w:val="36"/>
        </w:rPr>
      </w:pPr>
    </w:p>
    <w:p w14:paraId="2DE68533">
      <w:pPr>
        <w:spacing w:line="360" w:lineRule="auto"/>
        <w:rPr>
          <w:rFonts w:hint="eastAsia" w:ascii="华文中宋" w:hAnsi="华文中宋" w:eastAsia="华文中宋" w:cs="华文中宋"/>
          <w:b/>
          <w:bCs/>
          <w:sz w:val="18"/>
          <w:szCs w:val="18"/>
        </w:rPr>
      </w:pPr>
      <w:r>
        <w:rPr>
          <w:rFonts w:hint="eastAsia" w:ascii="华文中宋" w:hAnsi="华文中宋" w:eastAsia="华文中宋" w:cs="华文中宋"/>
          <w:b/>
          <w:bCs/>
          <w:sz w:val="36"/>
          <w:szCs w:val="36"/>
        </w:rPr>
        <w:t>工程名称：</w:t>
      </w:r>
      <w:r>
        <w:rPr>
          <w:rFonts w:hint="eastAsia" w:ascii="华文中宋" w:hAnsi="华文中宋" w:eastAsia="华文中宋" w:cs="华文中宋"/>
          <w:b/>
          <w:bCs/>
          <w:sz w:val="18"/>
          <w:szCs w:val="18"/>
        </w:rPr>
        <w:t xml:space="preserve"> </w:t>
      </w:r>
    </w:p>
    <w:p w14:paraId="075AE338">
      <w:pPr>
        <w:jc w:val="left"/>
        <w:rPr>
          <w:rFonts w:ascii="华文中宋" w:hAnsi="华文中宋" w:eastAsia="华文中宋" w:cs="华文中宋"/>
          <w:b/>
          <w:bCs/>
          <w:sz w:val="18"/>
          <w:szCs w:val="18"/>
        </w:rPr>
      </w:pPr>
      <w:r>
        <w:rPr>
          <w:rFonts w:hint="eastAsia" w:ascii="华文中宋" w:hAnsi="华文中宋" w:eastAsia="华文中宋" w:cs="华文中宋"/>
          <w:b/>
          <w:bCs/>
          <w:sz w:val="36"/>
          <w:szCs w:val="36"/>
        </w:rPr>
        <w:t xml:space="preserve">施工总承包单位： </w:t>
      </w:r>
    </w:p>
    <w:p w14:paraId="28E4B4F8">
      <w:pPr>
        <w:jc w:val="left"/>
        <w:rPr>
          <w:rFonts w:hint="eastAsia" w:ascii="华文中宋" w:hAnsi="华文中宋" w:eastAsia="华文中宋" w:cs="华文中宋"/>
          <w:b/>
          <w:bCs/>
          <w:sz w:val="18"/>
          <w:szCs w:val="18"/>
        </w:rPr>
      </w:pPr>
      <w:r>
        <w:rPr>
          <w:rFonts w:hint="eastAsia" w:ascii="华文中宋" w:hAnsi="华文中宋" w:eastAsia="华文中宋" w:cs="华文中宋"/>
          <w:b/>
          <w:bCs/>
          <w:sz w:val="36"/>
          <w:szCs w:val="36"/>
        </w:rPr>
        <w:t xml:space="preserve">法定代表人： </w:t>
      </w:r>
    </w:p>
    <w:p w14:paraId="08741434">
      <w:pP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 xml:space="preserve">项目负责人： </w:t>
      </w:r>
    </w:p>
    <w:p w14:paraId="03A6278A">
      <w:pPr>
        <w:spacing w:line="360" w:lineRule="auto"/>
        <w:jc w:val="center"/>
        <w:rPr>
          <w:sz w:val="28"/>
          <w:szCs w:val="28"/>
        </w:rPr>
      </w:pPr>
      <w:r>
        <w:rPr>
          <w:rFonts w:cs="宋体"/>
          <w:b/>
          <w:bCs/>
          <w:sz w:val="28"/>
          <w:szCs w:val="28"/>
        </w:rPr>
        <w:br w:type="page"/>
      </w:r>
      <w:r>
        <w:rPr>
          <w:rFonts w:hint="eastAsia" w:cs="宋体"/>
          <w:b/>
          <w:bCs/>
          <w:sz w:val="28"/>
          <w:szCs w:val="28"/>
        </w:rPr>
        <w:t>承诺书</w:t>
      </w:r>
    </w:p>
    <w:p w14:paraId="4540FBC4">
      <w:pPr>
        <w:spacing w:line="360" w:lineRule="auto"/>
        <w:ind w:firstLine="630" w:firstLineChars="300"/>
        <w:rPr>
          <w:rFonts w:ascii="MS Mincho" w:hAnsi="MS Mincho" w:cs="MS Mincho"/>
          <w:szCs w:val="21"/>
        </w:rPr>
      </w:pPr>
      <w:r>
        <w:rPr>
          <w:rFonts w:hint="eastAsia" w:ascii="宋体" w:hAnsi="宋体" w:cs="宋体"/>
          <w:szCs w:val="21"/>
        </w:rPr>
        <w:t>本人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Cs w:val="21"/>
          <w:u w:val="single"/>
        </w:rPr>
        <w:t xml:space="preserve"> </w:t>
      </w:r>
      <w:r>
        <w:rPr>
          <w:rFonts w:hint="eastAsia" w:ascii="宋体" w:hAnsi="宋体" w:cs="MS Mincho"/>
          <w:szCs w:val="21"/>
        </w:rPr>
        <w:t>（</w:t>
      </w:r>
      <w:r>
        <w:rPr>
          <w:rFonts w:hint="eastAsia" w:ascii="宋体" w:hAnsi="宋体" w:cs="宋体"/>
          <w:szCs w:val="21"/>
        </w:rPr>
        <w:t>身份证编号</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szCs w:val="28"/>
        </w:rPr>
        <w:t xml:space="preserve"> </w:t>
      </w:r>
      <w:r>
        <w:rPr>
          <w:rFonts w:hint="eastAsia" w:ascii="宋体" w:hAnsi="宋体" w:cs="宋体"/>
          <w:szCs w:val="21"/>
        </w:rPr>
        <w:t>）受单位（法定代表人：</w:t>
      </w:r>
      <w:r>
        <w:rPr>
          <w:rFonts w:hint="eastAsia" w:ascii="宋体" w:hAnsi="宋体" w:cs="宋体"/>
          <w:szCs w:val="21"/>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Cs w:val="21"/>
          <w:u w:val="single"/>
        </w:rPr>
        <w:t xml:space="preserve"> </w:t>
      </w:r>
      <w:r>
        <w:rPr>
          <w:rFonts w:hint="eastAsia" w:ascii="宋体" w:hAnsi="宋体" w:cs="宋体"/>
          <w:szCs w:val="21"/>
        </w:rPr>
        <w:t>授权），担任</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szCs w:val="21"/>
          <w:u w:val="single"/>
        </w:rPr>
        <w:t xml:space="preserve"> </w:t>
      </w:r>
      <w:r>
        <w:rPr>
          <w:rFonts w:hint="eastAsia" w:ascii="宋体" w:hAnsi="宋体" w:cs="宋体"/>
          <w:szCs w:val="21"/>
        </w:rPr>
        <w:t>（工程名称）的施工总承包单位项目负责人</w:t>
      </w:r>
      <w:r>
        <w:rPr>
          <w:rFonts w:hint="eastAsia" w:ascii="MS Mincho" w:hAnsi="MS Mincho" w:eastAsia="MS Mincho" w:cs="MS Mincho"/>
          <w:szCs w:val="21"/>
        </w:rPr>
        <w:t>（</w:t>
      </w:r>
      <w:r>
        <w:rPr>
          <w:rFonts w:hint="eastAsia" w:ascii="宋体" w:hAnsi="宋体" w:cs="宋体"/>
          <w:szCs w:val="21"/>
        </w:rPr>
        <w:t>项目经理</w:t>
      </w:r>
      <w:r>
        <w:rPr>
          <w:rFonts w:hint="eastAsia" w:ascii="MS Mincho" w:hAnsi="MS Mincho" w:eastAsia="MS Mincho" w:cs="MS Mincho"/>
          <w:szCs w:val="21"/>
        </w:rPr>
        <w:t>），</w:t>
      </w:r>
      <w:r>
        <w:rPr>
          <w:rFonts w:hint="eastAsia" w:ascii="宋体" w:hAnsi="宋体" w:cs="宋体"/>
          <w:szCs w:val="21"/>
        </w:rPr>
        <w:t>对该工程项目的施工工作实施组织管理</w:t>
      </w:r>
      <w:r>
        <w:rPr>
          <w:rFonts w:hint="eastAsia" w:ascii="MS Mincho" w:hAnsi="MS Mincho" w:eastAsia="MS Mincho" w:cs="MS Mincho"/>
          <w:szCs w:val="21"/>
        </w:rPr>
        <w:t>，</w:t>
      </w:r>
      <w:r>
        <w:rPr>
          <w:rFonts w:hint="eastAsia" w:ascii="宋体" w:hAnsi="宋体" w:cs="宋体"/>
          <w:szCs w:val="21"/>
        </w:rPr>
        <w:t>并依法对该工程项目在设计使用年限内的工程质量承担相应终身责任。本人将严格遵守职业道德</w:t>
      </w:r>
      <w:r>
        <w:rPr>
          <w:rFonts w:hint="eastAsia" w:ascii="MS Mincho" w:hAnsi="MS Mincho" w:eastAsia="MS Mincho" w:cs="MS Mincho"/>
          <w:szCs w:val="21"/>
        </w:rPr>
        <w:t>，</w:t>
      </w:r>
      <w:r>
        <w:rPr>
          <w:rFonts w:hint="eastAsia" w:ascii="宋体" w:hAnsi="宋体" w:cs="宋体"/>
          <w:szCs w:val="21"/>
        </w:rPr>
        <w:t>并代表施工总承包单位和我本人作出如下郑重承诺</w:t>
      </w:r>
      <w:r>
        <w:rPr>
          <w:rFonts w:hint="eastAsia" w:ascii="MS Mincho" w:hAnsi="MS Mincho" w:eastAsia="MS Mincho" w:cs="MS Mincho"/>
          <w:szCs w:val="21"/>
        </w:rPr>
        <w:t>：</w:t>
      </w:r>
    </w:p>
    <w:p w14:paraId="466DF8FF">
      <w:pPr>
        <w:spacing w:line="360" w:lineRule="auto"/>
        <w:ind w:firstLine="630" w:firstLineChars="300"/>
        <w:rPr>
          <w:rFonts w:ascii="宋体" w:hAnsi="宋体" w:cs="宋体"/>
          <w:szCs w:val="21"/>
        </w:rPr>
      </w:pPr>
      <w:r>
        <w:rPr>
          <w:rFonts w:hint="eastAsia" w:ascii="宋体" w:hAnsi="宋体" w:cs="宋体"/>
          <w:szCs w:val="21"/>
        </w:rPr>
        <w:t>一、严格按照《建筑法》、《中华人民共和国城乡规划法》、《建设工程质量管理条例》等国家和北京市有关建设工程的法律法规、标准规范、文件规定和工程设计文件、合同约定</w:t>
      </w:r>
      <w:r>
        <w:rPr>
          <w:rFonts w:hint="eastAsia" w:ascii="MS Mincho" w:hAnsi="MS Mincho" w:eastAsia="MS Mincho" w:cs="MS Mincho"/>
          <w:szCs w:val="21"/>
        </w:rPr>
        <w:t>，</w:t>
      </w:r>
      <w:r>
        <w:rPr>
          <w:rFonts w:hint="eastAsia" w:ascii="宋体" w:hAnsi="宋体" w:cs="宋体"/>
          <w:szCs w:val="21"/>
        </w:rPr>
        <w:t>认真履行施工总承包单位项目负责人的职责和义务。保证不违反法律法规和标准规范，不降低建设工程施工质量。</w:t>
      </w:r>
    </w:p>
    <w:p w14:paraId="092FF736">
      <w:pPr>
        <w:spacing w:line="360" w:lineRule="auto"/>
        <w:ind w:firstLine="630" w:firstLineChars="300"/>
        <w:rPr>
          <w:rFonts w:ascii="宋体" w:hAnsi="宋体" w:cs="宋体"/>
          <w:szCs w:val="21"/>
        </w:rPr>
      </w:pPr>
      <w:r>
        <w:rPr>
          <w:rFonts w:hint="eastAsia" w:ascii="宋体" w:hAnsi="宋体" w:cs="宋体"/>
          <w:szCs w:val="21"/>
        </w:rPr>
        <w:t>二、本人持有符合规定且有效的执业资格注册证书，在符合注册许可范围和聘用单位资质等级许可范围内进行执业。保证不以他人名义执业，不让其他人员借名替代，不超越许可范围执业。保证不违法分包，不与分包单位串通、弄虚作假、降低工程质量。</w:t>
      </w:r>
    </w:p>
    <w:p w14:paraId="7D0096C8">
      <w:pPr>
        <w:spacing w:line="360" w:lineRule="auto"/>
        <w:ind w:firstLine="630" w:firstLineChars="300"/>
        <w:rPr>
          <w:rFonts w:ascii="宋体" w:hAnsi="宋体" w:cs="宋体"/>
          <w:szCs w:val="21"/>
        </w:rPr>
      </w:pPr>
      <w:r>
        <w:rPr>
          <w:rFonts w:hint="eastAsia" w:ascii="宋体" w:hAnsi="宋体" w:cs="宋体"/>
          <w:szCs w:val="21"/>
        </w:rPr>
        <w:t>三、建立健全质量管理体系，按有关规定配备施工现场管理人员，保证相关人员持证上岗，落实质量责任制，保证不让分包单位以包代管；建立健全教育培训制度，保证不让未经教育培训或者考核不合格的人员上岗作业。</w:t>
      </w:r>
    </w:p>
    <w:p w14:paraId="77ADE3ED">
      <w:pPr>
        <w:spacing w:line="360" w:lineRule="auto"/>
        <w:ind w:firstLine="630" w:firstLineChars="300"/>
        <w:rPr>
          <w:rFonts w:ascii="宋体" w:hAnsi="宋体" w:cs="宋体"/>
          <w:szCs w:val="21"/>
        </w:rPr>
      </w:pPr>
      <w:r>
        <w:rPr>
          <w:rFonts w:hint="eastAsia" w:ascii="宋体" w:hAnsi="宋体" w:cs="宋体"/>
          <w:szCs w:val="21"/>
        </w:rPr>
        <w:t>四、对应当实行抽样检测的建筑材料、商品混凝土、混凝土预制构件、建筑构配件和设备等，在建设单位或者监理单位见证下取样送检，经检测合格后使用；保证取样、封样、送检工作不弄虚作假；未经检验、检验不合格或者未经签字确认的，保证不在工程上使用或者安装。</w:t>
      </w:r>
    </w:p>
    <w:p w14:paraId="6076A809">
      <w:pPr>
        <w:spacing w:line="360" w:lineRule="auto"/>
        <w:ind w:firstLine="630" w:firstLineChars="300"/>
        <w:rPr>
          <w:rFonts w:ascii="宋体" w:hAnsi="宋体" w:cs="宋体"/>
          <w:szCs w:val="21"/>
        </w:rPr>
      </w:pPr>
      <w:r>
        <w:rPr>
          <w:rFonts w:hint="eastAsia" w:ascii="宋体" w:hAnsi="宋体" w:cs="宋体"/>
          <w:szCs w:val="21"/>
        </w:rPr>
        <w:t>五、严格按照工程设计和施工技术标准施工，保证关键部位、关键工序施工过程中施工管理人员到岗履职。隐蔽工程、上道工序未经验收或者验收不合格，保证不擅自隐蔽、不进行下一道工序；保证不擅自修改工程设计，不偷工减料；发现设计文件和图纸有差错的，保证及时提出意见和建议。</w:t>
      </w:r>
    </w:p>
    <w:p w14:paraId="6BA8C409">
      <w:pPr>
        <w:spacing w:line="360" w:lineRule="auto"/>
        <w:ind w:firstLine="630" w:firstLineChars="300"/>
        <w:rPr>
          <w:rFonts w:ascii="宋体" w:hAnsi="宋体" w:cs="宋体"/>
          <w:szCs w:val="21"/>
        </w:rPr>
      </w:pPr>
      <w:r>
        <w:rPr>
          <w:rFonts w:hint="eastAsia" w:ascii="宋体" w:hAnsi="宋体" w:cs="宋体"/>
          <w:szCs w:val="21"/>
        </w:rPr>
        <w:t>六、保证使用北京市工商局和市住房和城乡建设委联合监制的《北京市预拌混凝土买卖合同》，签订后，严格执行。保证不签订阴阳合同，不在混凝土拌合物中加水或其它组分。</w:t>
      </w:r>
    </w:p>
    <w:p w14:paraId="0FB2A07C">
      <w:pPr>
        <w:spacing w:line="360" w:lineRule="auto"/>
        <w:ind w:firstLine="630" w:firstLineChars="300"/>
        <w:rPr>
          <w:rFonts w:ascii="宋体" w:hAnsi="宋体" w:cs="宋体"/>
          <w:szCs w:val="21"/>
        </w:rPr>
      </w:pPr>
      <w:r>
        <w:rPr>
          <w:rFonts w:hint="eastAsia" w:ascii="宋体" w:hAnsi="宋体" w:cs="宋体"/>
          <w:szCs w:val="21"/>
        </w:rPr>
        <w:t>七、愿意接受政府建设主管部门和有关单位的检查、考核、指导。保证对存在的问题和隐患按要求整改，并按规定接受处理。</w:t>
      </w:r>
    </w:p>
    <w:p w14:paraId="08D9161D">
      <w:pPr>
        <w:topLinePunct/>
        <w:jc w:val="center"/>
        <w:rPr>
          <w:rFonts w:ascii="华文中宋" w:hAnsi="华文中宋" w:eastAsia="华文中宋" w:cs="华文中宋"/>
          <w:b/>
          <w:bCs/>
          <w:sz w:val="44"/>
          <w:szCs w:val="44"/>
        </w:rPr>
      </w:pPr>
      <w:r>
        <w:rPr>
          <w:rFonts w:ascii="华文中宋" w:hAnsi="华文中宋" w:eastAsia="华文中宋" w:cs="华文中宋"/>
          <w:b/>
          <w:bCs/>
          <w:sz w:val="44"/>
          <w:szCs w:val="44"/>
        </w:rPr>
        <w:br w:type="page"/>
      </w:r>
      <w:r>
        <w:rPr>
          <w:rFonts w:hint="eastAsia" w:ascii="华文中宋" w:hAnsi="华文中宋" w:eastAsia="华文中宋" w:cs="华文中宋"/>
          <w:b/>
          <w:bCs/>
          <w:sz w:val="44"/>
          <w:szCs w:val="44"/>
        </w:rPr>
        <w:t>承诺人信息</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065"/>
        <w:gridCol w:w="1733"/>
        <w:gridCol w:w="988"/>
        <w:gridCol w:w="2606"/>
      </w:tblGrid>
      <w:tr w14:paraId="0A0A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4" w:space="0"/>
              <w:left w:val="single" w:color="auto" w:sz="4" w:space="0"/>
              <w:bottom w:val="single" w:color="auto" w:sz="4" w:space="0"/>
              <w:right w:val="single" w:color="auto" w:sz="4" w:space="0"/>
            </w:tcBorders>
            <w:noWrap w:val="0"/>
            <w:vAlign w:val="top"/>
          </w:tcPr>
          <w:p w14:paraId="23DE91A4">
            <w:pPr>
              <w:pStyle w:val="252"/>
              <w:widowControl w:val="0"/>
              <w:autoSpaceDE w:val="0"/>
              <w:autoSpaceDN w:val="0"/>
              <w:adjustRightInd w:val="0"/>
              <w:spacing w:before="0" w:after="0" w:line="281" w:lineRule="exact"/>
              <w:ind w:firstLine="206"/>
              <w:jc w:val="center"/>
              <w:rPr>
                <w:rFonts w:hint="eastAsia" w:ascii="宋体" w:eastAsia="宋体"/>
                <w:kern w:val="2"/>
                <w:sz w:val="21"/>
                <w:szCs w:val="24"/>
                <w:lang w:val="en-US" w:eastAsia="zh-CN"/>
              </w:rPr>
            </w:pPr>
            <w:r>
              <w:rPr>
                <w:kern w:val="2"/>
                <w:sz w:val="21"/>
                <w:szCs w:val="24"/>
                <w:lang w:val="en-US" w:eastAsia="zh-CN"/>
              </w:rPr>
              <w:t>被授权人基本情况</w:t>
            </w:r>
          </w:p>
        </w:tc>
      </w:tr>
      <w:tr w14:paraId="0C39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0B137BDF">
            <w:pPr>
              <w:spacing w:line="360" w:lineRule="auto"/>
              <w:rPr>
                <w:rFonts w:hint="eastAsia" w:ascii="宋体"/>
                <w:szCs w:val="24"/>
              </w:rPr>
            </w:pPr>
            <w:r>
              <w:rPr>
                <w:rFonts w:hint="eastAsia" w:ascii="宋体"/>
                <w:szCs w:val="24"/>
              </w:rPr>
              <w:t>姓名</w:t>
            </w:r>
          </w:p>
        </w:tc>
        <w:tc>
          <w:tcPr>
            <w:tcW w:w="2798" w:type="dxa"/>
            <w:gridSpan w:val="2"/>
            <w:tcBorders>
              <w:top w:val="single" w:color="auto" w:sz="4" w:space="0"/>
              <w:left w:val="single" w:color="auto" w:sz="4" w:space="0"/>
              <w:bottom w:val="single" w:color="auto" w:sz="4" w:space="0"/>
              <w:right w:val="single" w:color="auto" w:sz="4" w:space="0"/>
            </w:tcBorders>
            <w:noWrap w:val="0"/>
            <w:vAlign w:val="top"/>
          </w:tcPr>
          <w:p w14:paraId="4FEA9944">
            <w:pPr>
              <w:spacing w:line="360" w:lineRule="auto"/>
              <w:rPr>
                <w:rFonts w:hint="eastAsia" w:ascii="宋体"/>
                <w:szCs w:val="24"/>
              </w:rPr>
            </w:pPr>
          </w:p>
        </w:tc>
        <w:tc>
          <w:tcPr>
            <w:tcW w:w="3594" w:type="dxa"/>
            <w:gridSpan w:val="2"/>
            <w:tcBorders>
              <w:top w:val="single" w:color="auto" w:sz="4" w:space="0"/>
              <w:left w:val="single" w:color="auto" w:sz="4" w:space="0"/>
              <w:bottom w:val="single" w:color="auto" w:sz="4" w:space="0"/>
              <w:right w:val="single" w:color="auto" w:sz="4" w:space="0"/>
            </w:tcBorders>
            <w:noWrap w:val="0"/>
            <w:vAlign w:val="top"/>
          </w:tcPr>
          <w:p w14:paraId="559030F6">
            <w:pPr>
              <w:spacing w:line="360" w:lineRule="auto"/>
              <w:rPr>
                <w:rFonts w:hint="eastAsia" w:ascii="宋体"/>
                <w:szCs w:val="24"/>
              </w:rPr>
            </w:pPr>
            <w:r>
              <w:rPr>
                <w:rFonts w:hint="eastAsia" w:ascii="宋体"/>
                <w:szCs w:val="24"/>
              </w:rPr>
              <w:t>身份证编号：</w:t>
            </w:r>
          </w:p>
        </w:tc>
      </w:tr>
      <w:tr w14:paraId="45F4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543F1D05">
            <w:pPr>
              <w:spacing w:line="360" w:lineRule="auto"/>
              <w:rPr>
                <w:rFonts w:hint="eastAsia" w:ascii="宋体"/>
                <w:szCs w:val="24"/>
              </w:rPr>
            </w:pPr>
            <w:r>
              <w:rPr>
                <w:rFonts w:hint="eastAsia" w:ascii="宋体"/>
                <w:szCs w:val="24"/>
              </w:rPr>
              <w:t>电话</w:t>
            </w:r>
          </w:p>
        </w:tc>
        <w:tc>
          <w:tcPr>
            <w:tcW w:w="2798" w:type="dxa"/>
            <w:gridSpan w:val="2"/>
            <w:tcBorders>
              <w:top w:val="single" w:color="auto" w:sz="4" w:space="0"/>
              <w:left w:val="single" w:color="auto" w:sz="4" w:space="0"/>
              <w:bottom w:val="single" w:color="auto" w:sz="4" w:space="0"/>
              <w:right w:val="single" w:color="auto" w:sz="4" w:space="0"/>
            </w:tcBorders>
            <w:noWrap w:val="0"/>
            <w:vAlign w:val="top"/>
          </w:tcPr>
          <w:p w14:paraId="27B336F1">
            <w:pPr>
              <w:spacing w:line="360" w:lineRule="auto"/>
              <w:rPr>
                <w:rFonts w:hint="eastAsia" w:ascii="宋体"/>
                <w:szCs w:val="24"/>
              </w:rPr>
            </w:pPr>
          </w:p>
        </w:tc>
        <w:tc>
          <w:tcPr>
            <w:tcW w:w="3594" w:type="dxa"/>
            <w:gridSpan w:val="2"/>
            <w:tcBorders>
              <w:top w:val="single" w:color="auto" w:sz="4" w:space="0"/>
              <w:left w:val="single" w:color="auto" w:sz="4" w:space="0"/>
              <w:bottom w:val="single" w:color="auto" w:sz="4" w:space="0"/>
              <w:right w:val="single" w:color="auto" w:sz="4" w:space="0"/>
            </w:tcBorders>
            <w:noWrap w:val="0"/>
            <w:vAlign w:val="top"/>
          </w:tcPr>
          <w:p w14:paraId="4C4189CE">
            <w:pPr>
              <w:spacing w:line="360" w:lineRule="auto"/>
              <w:rPr>
                <w:rFonts w:hint="eastAsia" w:ascii="宋体"/>
                <w:szCs w:val="24"/>
              </w:rPr>
            </w:pPr>
            <w:r>
              <w:rPr>
                <w:rFonts w:hint="eastAsia" w:ascii="宋体"/>
                <w:szCs w:val="24"/>
              </w:rPr>
              <w:t xml:space="preserve">户籍所在地： </w:t>
            </w:r>
          </w:p>
        </w:tc>
      </w:tr>
      <w:tr w14:paraId="2E4A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6B619DB3">
            <w:pPr>
              <w:spacing w:line="360" w:lineRule="auto"/>
              <w:rPr>
                <w:rFonts w:hint="eastAsia" w:ascii="宋体"/>
                <w:szCs w:val="24"/>
              </w:rPr>
            </w:pPr>
            <w:r>
              <w:rPr>
                <w:rFonts w:hint="eastAsia" w:ascii="宋体"/>
                <w:szCs w:val="24"/>
              </w:rPr>
              <w:t>注册证书</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531C21A6">
            <w:pPr>
              <w:spacing w:line="360" w:lineRule="auto"/>
              <w:rPr>
                <w:rFonts w:hint="eastAsia" w:ascii="宋体"/>
                <w:szCs w:val="24"/>
              </w:rPr>
            </w:pPr>
            <w:r>
              <w:rPr>
                <w:rFonts w:hint="eastAsia" w:ascii="宋体"/>
                <w:szCs w:val="24"/>
              </w:rPr>
              <w:t>编号</w:t>
            </w:r>
          </w:p>
        </w:tc>
        <w:tc>
          <w:tcPr>
            <w:tcW w:w="1733" w:type="dxa"/>
            <w:tcBorders>
              <w:top w:val="single" w:color="auto" w:sz="4" w:space="0"/>
              <w:left w:val="single" w:color="auto" w:sz="4" w:space="0"/>
              <w:bottom w:val="single" w:color="auto" w:sz="4" w:space="0"/>
              <w:right w:val="single" w:color="auto" w:sz="4" w:space="0"/>
            </w:tcBorders>
            <w:noWrap w:val="0"/>
            <w:vAlign w:val="top"/>
          </w:tcPr>
          <w:p w14:paraId="6C01DB89">
            <w:pPr>
              <w:spacing w:line="360" w:lineRule="auto"/>
              <w:jc w:val="center"/>
              <w:rPr>
                <w:rFonts w:hint="eastAsia" w:ascii="宋体"/>
                <w:szCs w:val="24"/>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59923DD8">
            <w:pPr>
              <w:spacing w:line="360" w:lineRule="auto"/>
              <w:rPr>
                <w:rFonts w:hint="eastAsia" w:ascii="宋体"/>
                <w:szCs w:val="24"/>
              </w:rPr>
            </w:pPr>
            <w:r>
              <w:rPr>
                <w:rFonts w:hint="eastAsia" w:ascii="宋体"/>
                <w:szCs w:val="24"/>
              </w:rPr>
              <w:t>类别</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56950B4F">
            <w:pPr>
              <w:spacing w:line="360" w:lineRule="auto"/>
              <w:rPr>
                <w:rFonts w:hint="eastAsia" w:ascii="宋体"/>
                <w:szCs w:val="24"/>
              </w:rPr>
            </w:pPr>
          </w:p>
        </w:tc>
      </w:tr>
      <w:tr w14:paraId="488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16B1E1AB">
            <w:pPr>
              <w:spacing w:line="360" w:lineRule="auto"/>
              <w:rPr>
                <w:rFonts w:hint="eastAsia" w:ascii="宋体"/>
                <w:szCs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5FECB8">
            <w:pPr>
              <w:spacing w:line="360" w:lineRule="auto"/>
              <w:rPr>
                <w:rFonts w:hint="eastAsia" w:ascii="宋体"/>
                <w:szCs w:val="24"/>
              </w:rPr>
            </w:pPr>
            <w:r>
              <w:rPr>
                <w:rFonts w:hint="eastAsia" w:ascii="宋体"/>
                <w:szCs w:val="24"/>
              </w:rPr>
              <w:t>专业</w:t>
            </w:r>
          </w:p>
        </w:tc>
        <w:tc>
          <w:tcPr>
            <w:tcW w:w="1733" w:type="dxa"/>
            <w:tcBorders>
              <w:top w:val="single" w:color="auto" w:sz="4" w:space="0"/>
              <w:left w:val="single" w:color="auto" w:sz="4" w:space="0"/>
              <w:bottom w:val="single" w:color="auto" w:sz="4" w:space="0"/>
              <w:right w:val="single" w:color="auto" w:sz="4" w:space="0"/>
            </w:tcBorders>
            <w:noWrap w:val="0"/>
            <w:vAlign w:val="top"/>
          </w:tcPr>
          <w:p w14:paraId="16EA602C">
            <w:pPr>
              <w:spacing w:line="360" w:lineRule="auto"/>
              <w:rPr>
                <w:rFonts w:hint="eastAsia" w:ascii="宋体"/>
                <w:szCs w:val="24"/>
              </w:rPr>
            </w:pPr>
          </w:p>
        </w:tc>
        <w:tc>
          <w:tcPr>
            <w:tcW w:w="988" w:type="dxa"/>
            <w:tcBorders>
              <w:top w:val="single" w:color="auto" w:sz="4" w:space="0"/>
              <w:left w:val="single" w:color="auto" w:sz="4" w:space="0"/>
              <w:bottom w:val="single" w:color="auto" w:sz="4" w:space="0"/>
              <w:right w:val="single" w:color="auto" w:sz="4" w:space="0"/>
            </w:tcBorders>
            <w:noWrap w:val="0"/>
            <w:vAlign w:val="top"/>
          </w:tcPr>
          <w:p w14:paraId="693D9CD4">
            <w:pPr>
              <w:spacing w:line="360" w:lineRule="auto"/>
              <w:rPr>
                <w:rFonts w:hint="eastAsia" w:ascii="宋体"/>
                <w:szCs w:val="24"/>
              </w:rPr>
            </w:pPr>
            <w:r>
              <w:rPr>
                <w:rFonts w:hint="eastAsia" w:ascii="宋体"/>
                <w:szCs w:val="24"/>
              </w:rPr>
              <w:t>期限</w:t>
            </w:r>
          </w:p>
        </w:tc>
        <w:tc>
          <w:tcPr>
            <w:tcW w:w="2606" w:type="dxa"/>
            <w:tcBorders>
              <w:top w:val="single" w:color="auto" w:sz="4" w:space="0"/>
              <w:left w:val="single" w:color="auto" w:sz="4" w:space="0"/>
              <w:bottom w:val="single" w:color="auto" w:sz="4" w:space="0"/>
              <w:right w:val="single" w:color="auto" w:sz="4" w:space="0"/>
            </w:tcBorders>
            <w:noWrap w:val="0"/>
            <w:vAlign w:val="top"/>
          </w:tcPr>
          <w:p w14:paraId="5AC64C95">
            <w:pPr>
              <w:spacing w:line="360" w:lineRule="auto"/>
              <w:rPr>
                <w:rFonts w:hint="eastAsia" w:ascii="宋体"/>
                <w:szCs w:val="24"/>
              </w:rPr>
            </w:pPr>
          </w:p>
        </w:tc>
      </w:tr>
      <w:tr w14:paraId="005A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0"/>
            <w:vAlign w:val="top"/>
          </w:tcPr>
          <w:p w14:paraId="7B793930">
            <w:pPr>
              <w:spacing w:line="360" w:lineRule="auto"/>
              <w:rPr>
                <w:rFonts w:hint="eastAsia" w:ascii="宋体"/>
                <w:szCs w:val="24"/>
              </w:rPr>
            </w:pPr>
            <w:r>
              <w:rPr>
                <w:rFonts w:hint="eastAsia" w:ascii="宋体"/>
                <w:szCs w:val="24"/>
              </w:rPr>
              <w:t>备注</w:t>
            </w:r>
          </w:p>
        </w:tc>
        <w:tc>
          <w:tcPr>
            <w:tcW w:w="6392" w:type="dxa"/>
            <w:gridSpan w:val="4"/>
            <w:tcBorders>
              <w:top w:val="single" w:color="auto" w:sz="4" w:space="0"/>
              <w:left w:val="single" w:color="auto" w:sz="4" w:space="0"/>
              <w:bottom w:val="single" w:color="auto" w:sz="4" w:space="0"/>
              <w:right w:val="single" w:color="auto" w:sz="4" w:space="0"/>
            </w:tcBorders>
            <w:noWrap w:val="0"/>
            <w:vAlign w:val="top"/>
          </w:tcPr>
          <w:p w14:paraId="609DA5F1">
            <w:pPr>
              <w:spacing w:line="360" w:lineRule="auto"/>
              <w:rPr>
                <w:rFonts w:hint="eastAsia" w:ascii="宋体"/>
                <w:szCs w:val="24"/>
              </w:rPr>
            </w:pPr>
          </w:p>
        </w:tc>
      </w:tr>
      <w:tr w14:paraId="5F2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4" w:space="0"/>
              <w:left w:val="single" w:color="auto" w:sz="4" w:space="0"/>
              <w:bottom w:val="single" w:color="auto" w:sz="4" w:space="0"/>
              <w:right w:val="single" w:color="auto" w:sz="4" w:space="0"/>
            </w:tcBorders>
            <w:noWrap w:val="0"/>
            <w:vAlign w:val="top"/>
          </w:tcPr>
          <w:p w14:paraId="0D031230">
            <w:pPr>
              <w:spacing w:line="360" w:lineRule="auto"/>
              <w:rPr>
                <w:rFonts w:hint="eastAsia" w:ascii="宋体"/>
                <w:szCs w:val="24"/>
              </w:rPr>
            </w:pPr>
          </w:p>
        </w:tc>
      </w:tr>
    </w:tbl>
    <w:p w14:paraId="5BB7E9A9">
      <w:pPr>
        <w:topLinePunct/>
        <w:jc w:val="center"/>
        <w:rPr>
          <w:rFonts w:ascii="华文中宋" w:hAnsi="华文中宋" w:eastAsia="华文中宋" w:cs="华文中宋"/>
          <w:b/>
          <w:bCs/>
          <w:sz w:val="36"/>
          <w:szCs w:val="36"/>
        </w:rPr>
      </w:pPr>
    </w:p>
    <w:p w14:paraId="131FE759">
      <w:pPr>
        <w:spacing w:line="360" w:lineRule="auto"/>
        <w:ind w:firstLine="420" w:firstLineChars="200"/>
        <w:rPr>
          <w:rFonts w:ascii="宋体"/>
          <w:szCs w:val="28"/>
        </w:rPr>
      </w:pPr>
    </w:p>
    <w:p w14:paraId="3147075F">
      <w:pPr>
        <w:spacing w:line="360" w:lineRule="auto"/>
        <w:ind w:right="640" w:firstLine="480" w:firstLineChars="200"/>
        <w:jc w:val="right"/>
        <w:rPr>
          <w:rFonts w:ascii="DDJLFQ+·ÂËÎ" w:hAnsi="DDJLFQ+·ÂËÎ" w:cs="DDJLFQ+·ÂËÎ"/>
          <w:sz w:val="24"/>
        </w:rPr>
      </w:pPr>
    </w:p>
    <w:p w14:paraId="57B492D3">
      <w:pPr>
        <w:ind w:firstLine="630" w:firstLineChars="300"/>
        <w:rPr>
          <w:rFonts w:ascii="宋体" w:hAnsi="宋体"/>
          <w:szCs w:val="21"/>
        </w:rPr>
      </w:pPr>
      <w:r>
        <w:drawing>
          <wp:anchor distT="0" distB="0" distL="114300" distR="114300" simplePos="0" relativeHeight="251659264" behindDoc="0" locked="0" layoutInCell="1" allowOverlap="1">
            <wp:simplePos x="0" y="0"/>
            <wp:positionH relativeFrom="column">
              <wp:posOffset>-383540</wp:posOffset>
            </wp:positionH>
            <wp:positionV relativeFrom="paragraph">
              <wp:posOffset>-186690</wp:posOffset>
            </wp:positionV>
            <wp:extent cx="5724525" cy="3317240"/>
            <wp:effectExtent l="0" t="0" r="3175"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5724525" cy="3317240"/>
                    </a:xfrm>
                    <a:prstGeom prst="rect">
                      <a:avLst/>
                    </a:prstGeom>
                    <a:noFill/>
                    <a:ln>
                      <a:noFill/>
                    </a:ln>
                  </pic:spPr>
                </pic:pic>
              </a:graphicData>
            </a:graphic>
          </wp:anchor>
        </w:drawing>
      </w:r>
    </w:p>
    <w:p w14:paraId="1205C3F1">
      <w:pPr>
        <w:ind w:firstLine="630" w:firstLineChars="300"/>
        <w:rPr>
          <w:rFonts w:ascii="宋体" w:hAnsi="宋体"/>
          <w:szCs w:val="21"/>
        </w:rPr>
      </w:pPr>
    </w:p>
    <w:p w14:paraId="3AC06006">
      <w:pPr>
        <w:ind w:firstLine="630" w:firstLineChars="300"/>
        <w:rPr>
          <w:rFonts w:ascii="宋体" w:hAnsi="宋体"/>
          <w:szCs w:val="21"/>
        </w:rPr>
      </w:pPr>
    </w:p>
    <w:p w14:paraId="3538E70B">
      <w:pPr>
        <w:ind w:firstLine="630" w:firstLineChars="300"/>
        <w:rPr>
          <w:rFonts w:ascii="宋体" w:hAnsi="宋体"/>
          <w:szCs w:val="21"/>
        </w:rPr>
      </w:pPr>
    </w:p>
    <w:p w14:paraId="15EC7627">
      <w:pPr>
        <w:ind w:firstLine="630" w:firstLineChars="300"/>
        <w:rPr>
          <w:rFonts w:ascii="宋体" w:hAnsi="宋体"/>
          <w:szCs w:val="21"/>
        </w:rPr>
      </w:pPr>
    </w:p>
    <w:p w14:paraId="0697FBF0">
      <w:pPr>
        <w:ind w:firstLine="630" w:firstLineChars="300"/>
        <w:rPr>
          <w:rFonts w:ascii="宋体" w:hAnsi="宋体"/>
          <w:szCs w:val="21"/>
        </w:rPr>
      </w:pPr>
    </w:p>
    <w:p w14:paraId="63A57B0A">
      <w:pPr>
        <w:ind w:firstLine="630" w:firstLineChars="300"/>
        <w:rPr>
          <w:rFonts w:ascii="宋体" w:hAnsi="宋体"/>
          <w:szCs w:val="21"/>
        </w:rPr>
      </w:pPr>
    </w:p>
    <w:p w14:paraId="37EB5F04">
      <w:pPr>
        <w:ind w:firstLine="630" w:firstLineChars="300"/>
        <w:rPr>
          <w:rFonts w:ascii="宋体" w:hAnsi="宋体"/>
          <w:szCs w:val="21"/>
        </w:rPr>
      </w:pPr>
    </w:p>
    <w:p w14:paraId="37FB7B52">
      <w:pPr>
        <w:ind w:firstLine="630" w:firstLineChars="300"/>
        <w:rPr>
          <w:rFonts w:ascii="宋体" w:hAnsi="宋体"/>
          <w:szCs w:val="21"/>
        </w:rPr>
      </w:pPr>
    </w:p>
    <w:p w14:paraId="028E2C6F">
      <w:pPr>
        <w:ind w:firstLine="630" w:firstLineChars="300"/>
        <w:rPr>
          <w:rFonts w:ascii="宋体" w:hAnsi="宋体"/>
          <w:szCs w:val="21"/>
        </w:rPr>
      </w:pPr>
    </w:p>
    <w:p w14:paraId="39A79285">
      <w:pPr>
        <w:ind w:firstLine="630" w:firstLineChars="300"/>
        <w:rPr>
          <w:rFonts w:ascii="宋体" w:hAnsi="宋体"/>
          <w:szCs w:val="21"/>
        </w:rPr>
      </w:pPr>
    </w:p>
    <w:p w14:paraId="0E72B900">
      <w:pPr>
        <w:ind w:firstLine="630" w:firstLineChars="300"/>
        <w:rPr>
          <w:rFonts w:ascii="宋体" w:hAnsi="宋体"/>
          <w:szCs w:val="21"/>
        </w:rPr>
      </w:pPr>
    </w:p>
    <w:p w14:paraId="5FCD01CF">
      <w:pPr>
        <w:ind w:firstLine="630" w:firstLineChars="300"/>
        <w:rPr>
          <w:rFonts w:ascii="宋体" w:hAnsi="宋体"/>
          <w:szCs w:val="21"/>
        </w:rPr>
      </w:pPr>
    </w:p>
    <w:p w14:paraId="07D9AA2B">
      <w:pPr>
        <w:ind w:firstLine="630" w:firstLineChars="300"/>
        <w:rPr>
          <w:rFonts w:ascii="宋体" w:hAnsi="宋体"/>
          <w:szCs w:val="21"/>
        </w:rPr>
      </w:pPr>
    </w:p>
    <w:p w14:paraId="2DED25BD">
      <w:pPr>
        <w:ind w:firstLine="630" w:firstLineChars="300"/>
        <w:rPr>
          <w:rFonts w:ascii="宋体" w:hAnsi="宋体"/>
          <w:szCs w:val="21"/>
        </w:rPr>
      </w:pPr>
    </w:p>
    <w:p w14:paraId="562A90A7">
      <w:pPr>
        <w:ind w:firstLine="630" w:firstLineChars="300"/>
        <w:rPr>
          <w:rFonts w:ascii="宋体" w:hAnsi="宋体"/>
          <w:szCs w:val="21"/>
        </w:rPr>
      </w:pPr>
    </w:p>
    <w:p w14:paraId="7D806FFA">
      <w:pPr>
        <w:ind w:firstLine="630" w:firstLineChars="300"/>
        <w:rPr>
          <w:rFonts w:ascii="宋体" w:hAnsi="宋体"/>
          <w:szCs w:val="21"/>
        </w:rPr>
      </w:pPr>
    </w:p>
    <w:p w14:paraId="353AB210">
      <w:pPr>
        <w:ind w:firstLine="630" w:firstLineChars="300"/>
        <w:rPr>
          <w:rFonts w:ascii="宋体" w:hAnsi="宋体"/>
          <w:szCs w:val="21"/>
        </w:rPr>
      </w:pPr>
    </w:p>
    <w:p w14:paraId="761C941A">
      <w:pPr>
        <w:rPr>
          <w:rFonts w:ascii="宋体" w:hAnsi="宋体"/>
          <w:szCs w:val="21"/>
        </w:rPr>
      </w:pPr>
    </w:p>
    <w:p w14:paraId="50927249">
      <w:pPr>
        <w:rPr>
          <w:rFonts w:ascii="宋体" w:hAnsi="宋体" w:cs="宋体"/>
          <w:szCs w:val="21"/>
        </w:rPr>
      </w:pPr>
    </w:p>
    <w:p w14:paraId="3E29AA5D">
      <w:pPr>
        <w:rPr>
          <w:rFonts w:ascii="宋体" w:hAnsi="宋体" w:cs="宋体"/>
          <w:szCs w:val="21"/>
        </w:rPr>
      </w:pPr>
      <w:r>
        <w:rPr>
          <w:rFonts w:hint="eastAsia" w:ascii="宋体" w:hAnsi="宋体" w:cs="宋体"/>
          <w:szCs w:val="21"/>
        </w:rPr>
        <w:t>承诺人（签字）            法定代表人（签字）          单位盖章（公章）</w:t>
      </w:r>
    </w:p>
    <w:p w14:paraId="21C6D9D7">
      <w:pPr>
        <w:pStyle w:val="17"/>
        <w:adjustRightInd w:val="0"/>
        <w:snapToGrid w:val="0"/>
        <w:spacing w:before="0" w:line="360" w:lineRule="auto"/>
        <w:rPr>
          <w:snapToGrid w:val="0"/>
        </w:rPr>
      </w:pPr>
    </w:p>
    <w:p w14:paraId="492C565F">
      <w:pPr>
        <w:rPr>
          <w:sz w:val="32"/>
          <w:szCs w:val="36"/>
        </w:rPr>
      </w:pPr>
      <w:r>
        <w:br w:type="page"/>
      </w:r>
      <w:r>
        <w:rPr>
          <w:rFonts w:hint="eastAsia"/>
          <w:sz w:val="32"/>
          <w:szCs w:val="36"/>
        </w:rPr>
        <w:t>已标价工程量清单及图纸</w:t>
      </w:r>
    </w:p>
    <w:p w14:paraId="4B5F74A6">
      <w:pPr>
        <w:rPr>
          <w:rFonts w:hint="eastAsia" w:ascii="宋体" w:hAnsi="宋体" w:cs="宋体"/>
          <w:color w:val="000000"/>
          <w:sz w:val="18"/>
          <w:szCs w:val="18"/>
        </w:rPr>
      </w:pPr>
      <w:r>
        <w:rPr>
          <w:sz w:val="32"/>
          <w:szCs w:val="36"/>
        </w:rPr>
        <w:br w:type="page"/>
      </w:r>
      <w:r>
        <w:rPr>
          <w:rFonts w:hint="eastAsia"/>
          <w:sz w:val="32"/>
          <w:szCs w:val="36"/>
        </w:rPr>
        <w:t>其他合同文件</w:t>
      </w:r>
    </w:p>
    <w:p w14:paraId="1329C922">
      <w:pPr>
        <w:tabs>
          <w:tab w:val="left" w:pos="900"/>
          <w:tab w:val="left" w:pos="1080"/>
        </w:tabs>
        <w:snapToGrid w:val="0"/>
        <w:spacing w:line="360" w:lineRule="auto"/>
        <w:rPr>
          <w:rFonts w:eastAsiaTheme="minorEastAsia"/>
          <w:b/>
          <w:sz w:val="36"/>
          <w:szCs w:val="36"/>
        </w:rPr>
      </w:pPr>
      <w:r>
        <w:rPr>
          <w:rFonts w:eastAsiaTheme="minorEastAsia"/>
          <w:b/>
          <w:sz w:val="36"/>
          <w:szCs w:val="36"/>
        </w:rPr>
        <w:br w:type="page"/>
      </w:r>
    </w:p>
    <w:p w14:paraId="699F72E2">
      <w:pPr>
        <w:spacing w:line="360" w:lineRule="auto"/>
        <w:jc w:val="center"/>
        <w:outlineLvl w:val="0"/>
        <w:rPr>
          <w:rFonts w:eastAsiaTheme="minorEastAsia"/>
          <w:b/>
          <w:sz w:val="36"/>
          <w:szCs w:val="36"/>
        </w:rPr>
      </w:pPr>
      <w:r>
        <w:rPr>
          <w:rFonts w:eastAsiaTheme="minorEastAsia"/>
          <w:b/>
          <w:sz w:val="36"/>
          <w:szCs w:val="36"/>
        </w:rPr>
        <w:t>第六章   响应文件格式</w:t>
      </w:r>
      <w:bookmarkEnd w:id="674"/>
    </w:p>
    <w:p w14:paraId="1C83D578">
      <w:pPr>
        <w:widowControl/>
        <w:spacing w:line="360" w:lineRule="auto"/>
        <w:jc w:val="left"/>
        <w:rPr>
          <w:rFonts w:eastAsiaTheme="minorEastAsia"/>
          <w:b/>
          <w:sz w:val="24"/>
        </w:rPr>
      </w:pPr>
    </w:p>
    <w:p w14:paraId="73443D91">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0F46BF0C">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332E82A">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151CB57">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C3B2F3F">
      <w:pPr>
        <w:tabs>
          <w:tab w:val="left" w:pos="900"/>
          <w:tab w:val="left" w:pos="1980"/>
        </w:tabs>
        <w:snapToGrid w:val="0"/>
        <w:spacing w:line="360" w:lineRule="auto"/>
        <w:ind w:left="142"/>
        <w:rPr>
          <w:rFonts w:eastAsiaTheme="minorEastAsia"/>
          <w:sz w:val="24"/>
        </w:rPr>
      </w:pPr>
    </w:p>
    <w:p w14:paraId="5A34838A">
      <w:pPr>
        <w:widowControl/>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1C978F34">
      <w:pPr>
        <w:rPr>
          <w:rFonts w:eastAsiaTheme="minorEastAsia"/>
          <w:b/>
          <w:spacing w:val="20"/>
          <w:szCs w:val="21"/>
        </w:rPr>
      </w:pPr>
    </w:p>
    <w:p w14:paraId="703F7909">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33DC5E3A">
      <w:pPr>
        <w:jc w:val="center"/>
        <w:rPr>
          <w:rFonts w:eastAsiaTheme="minorEastAsia"/>
          <w:szCs w:val="21"/>
        </w:rPr>
      </w:pPr>
    </w:p>
    <w:p w14:paraId="2A5C6A8C">
      <w:pPr>
        <w:jc w:val="center"/>
        <w:rPr>
          <w:rFonts w:eastAsiaTheme="minorEastAsia"/>
          <w:b/>
          <w:spacing w:val="60"/>
          <w:sz w:val="84"/>
          <w:szCs w:val="84"/>
        </w:rPr>
      </w:pPr>
      <w:r>
        <w:rPr>
          <w:rFonts w:eastAsiaTheme="minorEastAsia"/>
          <w:b/>
          <w:spacing w:val="60"/>
          <w:sz w:val="84"/>
          <w:szCs w:val="84"/>
        </w:rPr>
        <w:t>响 应 文 件</w:t>
      </w:r>
    </w:p>
    <w:p w14:paraId="1138303B">
      <w:pPr>
        <w:jc w:val="center"/>
        <w:rPr>
          <w:rFonts w:eastAsiaTheme="minorEastAsia"/>
          <w:b/>
          <w:spacing w:val="60"/>
          <w:sz w:val="52"/>
          <w:szCs w:val="52"/>
        </w:rPr>
      </w:pPr>
    </w:p>
    <w:p w14:paraId="22AC4343">
      <w:pPr>
        <w:ind w:firstLine="542" w:firstLineChars="150"/>
        <w:rPr>
          <w:rFonts w:eastAsiaTheme="minorEastAsia"/>
          <w:b/>
          <w:spacing w:val="20"/>
          <w:sz w:val="32"/>
          <w:szCs w:val="32"/>
        </w:rPr>
      </w:pPr>
    </w:p>
    <w:p w14:paraId="259CCAAF">
      <w:pPr>
        <w:ind w:firstLine="542" w:firstLineChars="150"/>
        <w:rPr>
          <w:rFonts w:eastAsiaTheme="minorEastAsia"/>
          <w:b/>
          <w:spacing w:val="20"/>
          <w:sz w:val="32"/>
          <w:szCs w:val="32"/>
        </w:rPr>
      </w:pPr>
    </w:p>
    <w:p w14:paraId="2D112336">
      <w:pPr>
        <w:ind w:firstLine="542" w:firstLineChars="150"/>
        <w:rPr>
          <w:rFonts w:eastAsiaTheme="minorEastAsia"/>
          <w:b/>
          <w:spacing w:val="20"/>
          <w:sz w:val="32"/>
          <w:szCs w:val="32"/>
        </w:rPr>
      </w:pPr>
      <w:r>
        <w:rPr>
          <w:rFonts w:eastAsiaTheme="minorEastAsia"/>
          <w:b/>
          <w:spacing w:val="20"/>
          <w:sz w:val="32"/>
          <w:szCs w:val="32"/>
        </w:rPr>
        <w:t>项目名称:</w:t>
      </w:r>
    </w:p>
    <w:p w14:paraId="32D3F163">
      <w:pPr>
        <w:ind w:firstLine="542" w:firstLineChars="150"/>
        <w:rPr>
          <w:rFonts w:eastAsiaTheme="minorEastAsia"/>
          <w:b/>
          <w:spacing w:val="20"/>
          <w:sz w:val="32"/>
          <w:szCs w:val="32"/>
        </w:rPr>
      </w:pPr>
      <w:r>
        <w:rPr>
          <w:rFonts w:eastAsiaTheme="minorEastAsia"/>
          <w:b/>
          <w:spacing w:val="20"/>
          <w:sz w:val="32"/>
          <w:szCs w:val="32"/>
        </w:rPr>
        <w:t>项目编号/包号：</w:t>
      </w:r>
    </w:p>
    <w:p w14:paraId="20C181F0">
      <w:pPr>
        <w:ind w:firstLine="542" w:firstLineChars="150"/>
        <w:rPr>
          <w:rFonts w:eastAsiaTheme="minorEastAsia"/>
          <w:b/>
          <w:spacing w:val="20"/>
          <w:sz w:val="32"/>
          <w:szCs w:val="32"/>
        </w:rPr>
      </w:pPr>
    </w:p>
    <w:p w14:paraId="701A72E1">
      <w:pPr>
        <w:ind w:firstLine="542" w:firstLineChars="150"/>
        <w:rPr>
          <w:rFonts w:eastAsiaTheme="minorEastAsia"/>
          <w:b/>
          <w:spacing w:val="20"/>
          <w:sz w:val="32"/>
          <w:szCs w:val="32"/>
        </w:rPr>
      </w:pPr>
    </w:p>
    <w:p w14:paraId="46260C05">
      <w:pPr>
        <w:jc w:val="center"/>
        <w:rPr>
          <w:rFonts w:eastAsiaTheme="minorEastAsia"/>
          <w:b/>
          <w:sz w:val="32"/>
          <w:szCs w:val="32"/>
        </w:rPr>
      </w:pPr>
    </w:p>
    <w:p w14:paraId="59974DDF">
      <w:pPr>
        <w:jc w:val="center"/>
        <w:rPr>
          <w:rFonts w:eastAsiaTheme="minorEastAsia"/>
          <w:b/>
          <w:sz w:val="32"/>
          <w:szCs w:val="32"/>
        </w:rPr>
      </w:pPr>
    </w:p>
    <w:p w14:paraId="4395D1A0">
      <w:pPr>
        <w:jc w:val="center"/>
        <w:rPr>
          <w:rFonts w:eastAsiaTheme="minorEastAsia"/>
          <w:b/>
          <w:sz w:val="32"/>
          <w:szCs w:val="32"/>
        </w:rPr>
      </w:pPr>
    </w:p>
    <w:p w14:paraId="19B73CF9">
      <w:pPr>
        <w:jc w:val="center"/>
        <w:rPr>
          <w:rFonts w:eastAsiaTheme="minorEastAsia"/>
          <w:b/>
          <w:spacing w:val="20"/>
          <w:sz w:val="32"/>
          <w:szCs w:val="32"/>
        </w:rPr>
      </w:pPr>
    </w:p>
    <w:p w14:paraId="3F312F40">
      <w:pPr>
        <w:jc w:val="center"/>
        <w:rPr>
          <w:rFonts w:eastAsiaTheme="minorEastAsia"/>
          <w:b/>
          <w:spacing w:val="20"/>
          <w:sz w:val="32"/>
          <w:szCs w:val="32"/>
        </w:rPr>
      </w:pPr>
    </w:p>
    <w:p w14:paraId="696612A2">
      <w:pPr>
        <w:jc w:val="center"/>
        <w:rPr>
          <w:rFonts w:eastAsiaTheme="minorEastAsia"/>
          <w:b/>
          <w:spacing w:val="20"/>
          <w:sz w:val="32"/>
          <w:szCs w:val="32"/>
        </w:rPr>
      </w:pPr>
    </w:p>
    <w:p w14:paraId="483AF89A">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2495F414">
      <w:pPr>
        <w:jc w:val="center"/>
        <w:rPr>
          <w:rFonts w:eastAsiaTheme="minorEastAsia"/>
          <w:b/>
          <w:sz w:val="32"/>
          <w:szCs w:val="32"/>
        </w:rPr>
      </w:pPr>
    </w:p>
    <w:p w14:paraId="260012E1">
      <w:pPr>
        <w:rPr>
          <w:rFonts w:eastAsiaTheme="minorEastAsia"/>
          <w:b/>
        </w:rPr>
      </w:pPr>
      <w:r>
        <w:rPr>
          <w:rFonts w:eastAsiaTheme="minorEastAsia"/>
          <w:b/>
          <w:spacing w:val="20"/>
          <w:sz w:val="32"/>
          <w:szCs w:val="32"/>
        </w:rPr>
        <w:br w:type="page"/>
      </w:r>
    </w:p>
    <w:p w14:paraId="49F92C3A">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7DF42E48">
      <w:pPr>
        <w:spacing w:line="360" w:lineRule="auto"/>
        <w:outlineLvl w:val="2"/>
        <w:rPr>
          <w:rFonts w:eastAsiaTheme="minorEastAsia"/>
          <w:color w:val="000000"/>
          <w:sz w:val="24"/>
        </w:rPr>
      </w:pPr>
      <w:r>
        <w:rPr>
          <w:rFonts w:eastAsiaTheme="minorEastAsia"/>
          <w:color w:val="000000"/>
          <w:sz w:val="24"/>
        </w:rPr>
        <w:t>1-1 营业执照等证明文件</w:t>
      </w:r>
      <w:r>
        <w:rPr>
          <w:rFonts w:hint="eastAsia"/>
          <w:sz w:val="24"/>
        </w:rPr>
        <w:t>（复印件或扫描件须加盖本单位公章）</w:t>
      </w:r>
    </w:p>
    <w:p w14:paraId="70FF1F72">
      <w:pPr>
        <w:tabs>
          <w:tab w:val="left" w:pos="1080"/>
        </w:tabs>
        <w:snapToGrid w:val="0"/>
        <w:rPr>
          <w:rFonts w:eastAsiaTheme="minorEastAsia"/>
          <w:sz w:val="24"/>
        </w:rPr>
      </w:pPr>
    </w:p>
    <w:p w14:paraId="27012EC1">
      <w:pPr>
        <w:widowControl/>
        <w:jc w:val="left"/>
        <w:rPr>
          <w:rFonts w:eastAsiaTheme="minorEastAsia"/>
          <w:color w:val="000000"/>
          <w:sz w:val="24"/>
          <w:szCs w:val="20"/>
        </w:rPr>
      </w:pPr>
      <w:r>
        <w:rPr>
          <w:rFonts w:eastAsiaTheme="minorEastAsia"/>
          <w:color w:val="000000"/>
          <w:sz w:val="24"/>
        </w:rPr>
        <w:br w:type="page"/>
      </w:r>
    </w:p>
    <w:p w14:paraId="10CE3298">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197F935">
      <w:pPr>
        <w:jc w:val="center"/>
        <w:rPr>
          <w:b/>
          <w:color w:val="000000"/>
          <w:sz w:val="36"/>
          <w:szCs w:val="36"/>
        </w:rPr>
      </w:pPr>
      <w:r>
        <w:rPr>
          <w:b/>
          <w:color w:val="000000"/>
          <w:sz w:val="36"/>
          <w:szCs w:val="36"/>
        </w:rPr>
        <w:t>供应商资格声明书</w:t>
      </w:r>
    </w:p>
    <w:p w14:paraId="628AE06A">
      <w:pPr>
        <w:tabs>
          <w:tab w:val="left" w:pos="5580"/>
        </w:tabs>
        <w:spacing w:line="360" w:lineRule="auto"/>
        <w:rPr>
          <w:rFonts w:eastAsiaTheme="minorEastAsia"/>
          <w:sz w:val="24"/>
        </w:rPr>
      </w:pPr>
    </w:p>
    <w:p w14:paraId="4742FE8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A9077E7">
      <w:pPr>
        <w:spacing w:line="360" w:lineRule="auto"/>
        <w:ind w:firstLine="480" w:firstLineChars="200"/>
        <w:rPr>
          <w:rFonts w:eastAsiaTheme="minorEastAsia"/>
          <w:sz w:val="24"/>
        </w:rPr>
      </w:pPr>
      <w:r>
        <w:rPr>
          <w:rFonts w:eastAsiaTheme="minorEastAsia"/>
          <w:sz w:val="24"/>
        </w:rPr>
        <w:t>在参与本次项目磋商中，我单位承诺：</w:t>
      </w:r>
    </w:p>
    <w:p w14:paraId="79E8F0AC">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44D56B1">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4B05BD37">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637CC207">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D22707">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CE75E1B">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4903DA3">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182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3235E5">
            <w:pPr>
              <w:jc w:val="center"/>
              <w:rPr>
                <w:rFonts w:eastAsiaTheme="minorEastAsia"/>
                <w:sz w:val="24"/>
              </w:rPr>
            </w:pPr>
            <w:r>
              <w:rPr>
                <w:rFonts w:eastAsiaTheme="minorEastAsia"/>
                <w:sz w:val="24"/>
              </w:rPr>
              <w:t>序号</w:t>
            </w:r>
          </w:p>
        </w:tc>
        <w:tc>
          <w:tcPr>
            <w:tcW w:w="4574" w:type="dxa"/>
            <w:vAlign w:val="center"/>
          </w:tcPr>
          <w:p w14:paraId="1312DBB0">
            <w:pPr>
              <w:jc w:val="center"/>
              <w:rPr>
                <w:rFonts w:eastAsiaTheme="minorEastAsia"/>
                <w:sz w:val="24"/>
              </w:rPr>
            </w:pPr>
            <w:r>
              <w:rPr>
                <w:rFonts w:eastAsiaTheme="minorEastAsia"/>
                <w:sz w:val="24"/>
              </w:rPr>
              <w:t>单位名称</w:t>
            </w:r>
          </w:p>
        </w:tc>
        <w:tc>
          <w:tcPr>
            <w:tcW w:w="2976" w:type="dxa"/>
            <w:vAlign w:val="center"/>
          </w:tcPr>
          <w:p w14:paraId="47CACB54">
            <w:pPr>
              <w:jc w:val="center"/>
              <w:rPr>
                <w:rFonts w:eastAsiaTheme="minorEastAsia"/>
                <w:sz w:val="24"/>
              </w:rPr>
            </w:pPr>
            <w:r>
              <w:rPr>
                <w:rFonts w:eastAsiaTheme="minorEastAsia"/>
                <w:sz w:val="24"/>
              </w:rPr>
              <w:t>相互关系</w:t>
            </w:r>
          </w:p>
        </w:tc>
      </w:tr>
      <w:tr w14:paraId="5069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0725561">
            <w:pPr>
              <w:jc w:val="center"/>
              <w:rPr>
                <w:rFonts w:eastAsiaTheme="minorEastAsia"/>
                <w:sz w:val="24"/>
              </w:rPr>
            </w:pPr>
            <w:r>
              <w:rPr>
                <w:rFonts w:eastAsiaTheme="minorEastAsia"/>
                <w:sz w:val="24"/>
              </w:rPr>
              <w:t>1</w:t>
            </w:r>
          </w:p>
        </w:tc>
        <w:tc>
          <w:tcPr>
            <w:tcW w:w="4574" w:type="dxa"/>
            <w:vAlign w:val="center"/>
          </w:tcPr>
          <w:p w14:paraId="22BDB45F">
            <w:pPr>
              <w:jc w:val="center"/>
              <w:rPr>
                <w:rFonts w:eastAsiaTheme="minorEastAsia"/>
                <w:sz w:val="24"/>
              </w:rPr>
            </w:pPr>
          </w:p>
        </w:tc>
        <w:tc>
          <w:tcPr>
            <w:tcW w:w="2976" w:type="dxa"/>
            <w:vAlign w:val="center"/>
          </w:tcPr>
          <w:p w14:paraId="1F0892C6">
            <w:pPr>
              <w:jc w:val="center"/>
              <w:rPr>
                <w:rFonts w:eastAsiaTheme="minorEastAsia"/>
                <w:sz w:val="24"/>
              </w:rPr>
            </w:pPr>
          </w:p>
        </w:tc>
      </w:tr>
      <w:tr w14:paraId="1E187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5BAFDC">
            <w:pPr>
              <w:jc w:val="center"/>
              <w:rPr>
                <w:rFonts w:eastAsiaTheme="minorEastAsia"/>
                <w:sz w:val="24"/>
              </w:rPr>
            </w:pPr>
            <w:r>
              <w:rPr>
                <w:rFonts w:eastAsiaTheme="minorEastAsia"/>
                <w:sz w:val="24"/>
              </w:rPr>
              <w:t>2</w:t>
            </w:r>
          </w:p>
        </w:tc>
        <w:tc>
          <w:tcPr>
            <w:tcW w:w="4574" w:type="dxa"/>
            <w:vAlign w:val="center"/>
          </w:tcPr>
          <w:p w14:paraId="3312F122">
            <w:pPr>
              <w:jc w:val="center"/>
              <w:rPr>
                <w:rFonts w:eastAsiaTheme="minorEastAsia"/>
                <w:sz w:val="24"/>
              </w:rPr>
            </w:pPr>
          </w:p>
        </w:tc>
        <w:tc>
          <w:tcPr>
            <w:tcW w:w="2976" w:type="dxa"/>
            <w:vAlign w:val="center"/>
          </w:tcPr>
          <w:p w14:paraId="1192472E">
            <w:pPr>
              <w:jc w:val="center"/>
              <w:rPr>
                <w:rFonts w:eastAsiaTheme="minorEastAsia"/>
                <w:sz w:val="24"/>
              </w:rPr>
            </w:pPr>
          </w:p>
        </w:tc>
      </w:tr>
      <w:tr w14:paraId="78CE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B98A30">
            <w:pPr>
              <w:jc w:val="center"/>
              <w:rPr>
                <w:rFonts w:eastAsiaTheme="minorEastAsia"/>
                <w:sz w:val="24"/>
              </w:rPr>
            </w:pPr>
            <w:r>
              <w:rPr>
                <w:rFonts w:eastAsiaTheme="minorEastAsia"/>
                <w:sz w:val="24"/>
              </w:rPr>
              <w:t>…</w:t>
            </w:r>
          </w:p>
        </w:tc>
        <w:tc>
          <w:tcPr>
            <w:tcW w:w="4574" w:type="dxa"/>
            <w:vAlign w:val="center"/>
          </w:tcPr>
          <w:p w14:paraId="65578853">
            <w:pPr>
              <w:jc w:val="center"/>
              <w:rPr>
                <w:rFonts w:eastAsiaTheme="minorEastAsia"/>
                <w:sz w:val="24"/>
              </w:rPr>
            </w:pPr>
          </w:p>
        </w:tc>
        <w:tc>
          <w:tcPr>
            <w:tcW w:w="2976" w:type="dxa"/>
            <w:vAlign w:val="center"/>
          </w:tcPr>
          <w:p w14:paraId="36D88ECE">
            <w:pPr>
              <w:jc w:val="center"/>
              <w:rPr>
                <w:rFonts w:eastAsiaTheme="minorEastAsia"/>
                <w:sz w:val="24"/>
              </w:rPr>
            </w:pPr>
          </w:p>
        </w:tc>
      </w:tr>
    </w:tbl>
    <w:p w14:paraId="54FEC66B">
      <w:pPr>
        <w:rPr>
          <w:rFonts w:eastAsiaTheme="minorEastAsia"/>
        </w:rPr>
      </w:pPr>
    </w:p>
    <w:p w14:paraId="10B69C35">
      <w:pPr>
        <w:ind w:firstLine="480" w:firstLineChars="200"/>
        <w:rPr>
          <w:rFonts w:eastAsiaTheme="minorEastAsia"/>
          <w:sz w:val="24"/>
          <w:szCs w:val="22"/>
        </w:rPr>
      </w:pPr>
      <w:r>
        <w:rPr>
          <w:rFonts w:eastAsiaTheme="minorEastAsia"/>
          <w:sz w:val="24"/>
        </w:rPr>
        <w:t>上述声明真实有效，否则我方负全部责任。</w:t>
      </w:r>
    </w:p>
    <w:p w14:paraId="2A522AE8">
      <w:pPr>
        <w:spacing w:line="360" w:lineRule="auto"/>
        <w:rPr>
          <w:rFonts w:eastAsiaTheme="minorEastAsia"/>
          <w:sz w:val="24"/>
        </w:rPr>
      </w:pPr>
    </w:p>
    <w:p w14:paraId="12C7CADF">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B3CFAFC">
      <w:pPr>
        <w:spacing w:line="360" w:lineRule="auto"/>
        <w:ind w:right="360" w:firstLine="480"/>
        <w:jc w:val="right"/>
        <w:rPr>
          <w:rFonts w:eastAsiaTheme="minorEastAsia"/>
          <w:sz w:val="24"/>
        </w:rPr>
      </w:pPr>
      <w:r>
        <w:rPr>
          <w:rFonts w:eastAsiaTheme="minorEastAsia"/>
          <w:color w:val="000000"/>
          <w:sz w:val="24"/>
          <w:szCs w:val="20"/>
        </w:rPr>
        <w:t>日期：____年____月____日</w:t>
      </w:r>
    </w:p>
    <w:p w14:paraId="37580949">
      <w:pPr>
        <w:spacing w:line="360" w:lineRule="auto"/>
        <w:rPr>
          <w:rFonts w:eastAsiaTheme="minorEastAsia"/>
          <w:sz w:val="24"/>
        </w:rPr>
      </w:pPr>
      <w:r>
        <w:rPr>
          <w:sz w:val="24"/>
        </w:rPr>
        <w:t>说明：供应商承诺不实的，依据《政府采购法》第七十七条“提供虚假材料谋取中标、成交的”有关规定予以处理。</w:t>
      </w:r>
    </w:p>
    <w:p w14:paraId="5619BA89">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3971C70">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0A697BAB">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015F0787">
      <w:pPr>
        <w:tabs>
          <w:tab w:val="left" w:pos="5580"/>
        </w:tabs>
        <w:spacing w:line="360" w:lineRule="auto"/>
        <w:rPr>
          <w:rFonts w:eastAsiaTheme="minorEastAsia"/>
          <w:sz w:val="24"/>
        </w:rPr>
      </w:pPr>
      <w:r>
        <w:rPr>
          <w:rFonts w:eastAsiaTheme="minorEastAsia"/>
          <w:sz w:val="24"/>
        </w:rPr>
        <w:t>说明：</w:t>
      </w:r>
    </w:p>
    <w:p w14:paraId="1B2D67B9">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23829DF">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58A68B4F">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EBD3464">
      <w:pPr>
        <w:tabs>
          <w:tab w:val="left" w:pos="5580"/>
        </w:tabs>
        <w:spacing w:line="360" w:lineRule="auto"/>
        <w:rPr>
          <w:sz w:val="24"/>
        </w:rPr>
      </w:pPr>
      <w:r>
        <w:rPr>
          <w:rFonts w:eastAsiaTheme="minorEastAsia"/>
          <w:sz w:val="24"/>
        </w:rPr>
        <w:t>（4）</w:t>
      </w:r>
      <w:r>
        <w:rPr>
          <w:sz w:val="24"/>
        </w:rPr>
        <w:t>中小企业声明函填写注意事项</w:t>
      </w:r>
    </w:p>
    <w:p w14:paraId="4FDE7E5C">
      <w:pPr>
        <w:tabs>
          <w:tab w:val="left" w:pos="5580"/>
        </w:tabs>
        <w:spacing w:line="360" w:lineRule="auto"/>
        <w:rPr>
          <w:sz w:val="24"/>
        </w:rPr>
      </w:pPr>
      <w:r>
        <w:rPr>
          <w:sz w:val="24"/>
        </w:rPr>
        <w:t>1）《中小企业声明函》由参加政府采购活动的供应商出具。联合体参与的，《中小企业声明函》可由牵头人出具。</w:t>
      </w:r>
    </w:p>
    <w:p w14:paraId="0DBD16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00F9F4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32134106">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2B0CFB0">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4994FDE3">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55A654E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356CA59">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28D6560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6E8BA773">
      <w:pPr>
        <w:spacing w:line="360" w:lineRule="auto"/>
        <w:ind w:firstLine="504"/>
        <w:rPr>
          <w:rFonts w:eastAsiaTheme="minorEastAsia"/>
          <w:spacing w:val="6"/>
          <w:sz w:val="24"/>
        </w:rPr>
      </w:pPr>
      <w:r>
        <w:rPr>
          <w:rFonts w:eastAsiaTheme="minorEastAsia"/>
          <w:spacing w:val="6"/>
          <w:sz w:val="24"/>
        </w:rPr>
        <w:t>……</w:t>
      </w:r>
    </w:p>
    <w:p w14:paraId="42A280E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47EB3C7">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866BC03">
      <w:pPr>
        <w:spacing w:line="360" w:lineRule="auto"/>
        <w:ind w:firstLine="504"/>
        <w:rPr>
          <w:rFonts w:eastAsiaTheme="minorEastAsia"/>
          <w:spacing w:val="6"/>
          <w:sz w:val="24"/>
        </w:rPr>
      </w:pPr>
    </w:p>
    <w:p w14:paraId="5AC4BEB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D653208">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DC552C1">
      <w:pPr>
        <w:spacing w:line="360" w:lineRule="auto"/>
        <w:ind w:right="360" w:firstLine="480"/>
        <w:jc w:val="right"/>
        <w:rPr>
          <w:rFonts w:eastAsiaTheme="minorEastAsia"/>
          <w:color w:val="000000"/>
          <w:sz w:val="24"/>
        </w:rPr>
      </w:pPr>
    </w:p>
    <w:p w14:paraId="1993796B">
      <w:pPr>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A4DD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FED9FFD">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F3C1719">
      <w:pPr>
        <w:autoSpaceDE w:val="0"/>
        <w:autoSpaceDN w:val="0"/>
        <w:adjustRightInd w:val="0"/>
        <w:ind w:firstLine="420"/>
        <w:jc w:val="left"/>
        <w:rPr>
          <w:rFonts w:eastAsiaTheme="minorEastAsia"/>
          <w:sz w:val="24"/>
        </w:rPr>
      </w:pPr>
    </w:p>
    <w:p w14:paraId="27845139">
      <w:pPr>
        <w:spacing w:line="360" w:lineRule="auto"/>
        <w:rPr>
          <w:rFonts w:eastAsiaTheme="minorEastAsia"/>
          <w:color w:val="000000"/>
          <w:sz w:val="24"/>
        </w:rPr>
      </w:pPr>
    </w:p>
    <w:p w14:paraId="6D6A0B61">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1B35807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52BD38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76D3DF7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36483826">
      <w:pPr>
        <w:spacing w:line="360" w:lineRule="auto"/>
        <w:ind w:firstLine="504"/>
        <w:rPr>
          <w:rFonts w:eastAsiaTheme="minorEastAsia"/>
          <w:spacing w:val="6"/>
          <w:sz w:val="24"/>
        </w:rPr>
      </w:pPr>
    </w:p>
    <w:p w14:paraId="26A62F74">
      <w:pPr>
        <w:spacing w:line="360" w:lineRule="auto"/>
        <w:ind w:firstLine="504"/>
        <w:rPr>
          <w:rFonts w:eastAsiaTheme="minorEastAsia"/>
          <w:spacing w:val="6"/>
          <w:sz w:val="24"/>
        </w:rPr>
      </w:pPr>
      <w:r>
        <w:rPr>
          <w:rFonts w:eastAsiaTheme="minorEastAsia"/>
          <w:spacing w:val="6"/>
          <w:sz w:val="24"/>
        </w:rPr>
        <w:t>……</w:t>
      </w:r>
    </w:p>
    <w:p w14:paraId="78B2355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E249B4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2962CEF">
      <w:pPr>
        <w:spacing w:line="360" w:lineRule="auto"/>
        <w:ind w:right="360" w:firstLine="480"/>
        <w:jc w:val="right"/>
        <w:rPr>
          <w:rFonts w:eastAsiaTheme="minorEastAsia"/>
          <w:color w:val="000000"/>
          <w:sz w:val="24"/>
        </w:rPr>
      </w:pPr>
    </w:p>
    <w:p w14:paraId="3C850609">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584F33D">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1EB9DA4">
      <w:pPr>
        <w:adjustRightInd w:val="0"/>
        <w:snapToGrid w:val="0"/>
        <w:jc w:val="left"/>
        <w:rPr>
          <w:rFonts w:eastAsiaTheme="minorEastAsia"/>
          <w:color w:val="000000"/>
          <w:sz w:val="24"/>
          <w:szCs w:val="21"/>
        </w:rPr>
      </w:pPr>
    </w:p>
    <w:p w14:paraId="6429A96F">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90A55D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45A7C5">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3807837C">
      <w:pPr>
        <w:adjustRightInd w:val="0"/>
        <w:snapToGrid w:val="0"/>
        <w:jc w:val="left"/>
        <w:rPr>
          <w:rFonts w:eastAsiaTheme="minorEastAsia"/>
          <w:color w:val="000000"/>
          <w:szCs w:val="21"/>
          <w:vertAlign w:val="superscript"/>
        </w:rPr>
      </w:pPr>
    </w:p>
    <w:p w14:paraId="6FC38B5D">
      <w:pPr>
        <w:spacing w:line="360" w:lineRule="auto"/>
        <w:ind w:right="360" w:firstLine="480"/>
        <w:jc w:val="right"/>
        <w:rPr>
          <w:rFonts w:eastAsiaTheme="minorEastAsia"/>
          <w:color w:val="000000"/>
          <w:sz w:val="24"/>
        </w:rPr>
      </w:pPr>
    </w:p>
    <w:p w14:paraId="6A405D48">
      <w:pPr>
        <w:rPr>
          <w:rFonts w:eastAsiaTheme="minorEastAsia"/>
          <w:color w:val="000000"/>
          <w:sz w:val="24"/>
        </w:rPr>
      </w:pPr>
      <w:r>
        <w:rPr>
          <w:rFonts w:eastAsiaTheme="minorEastAsia"/>
          <w:color w:val="000000"/>
          <w:sz w:val="24"/>
        </w:rPr>
        <w:br w:type="page"/>
      </w:r>
    </w:p>
    <w:p w14:paraId="3208757F">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5BD2A9E9">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FE1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17E524E">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579F6075">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7D1BC4F8">
            <w:pPr>
              <w:widowControl/>
              <w:jc w:val="center"/>
              <w:rPr>
                <w:rFonts w:ascii="宋体" w:cs="宋体"/>
                <w:b/>
                <w:bCs/>
                <w:kern w:val="0"/>
                <w:sz w:val="18"/>
                <w:szCs w:val="18"/>
              </w:rPr>
            </w:pPr>
            <w:r>
              <w:rPr>
                <w:rFonts w:hint="eastAsia" w:ascii="宋体" w:cs="宋体"/>
                <w:b/>
                <w:bCs/>
                <w:kern w:val="0"/>
                <w:sz w:val="18"/>
                <w:szCs w:val="18"/>
              </w:rPr>
              <w:t>计量</w:t>
            </w:r>
          </w:p>
          <w:p w14:paraId="5E629B50">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315901D9">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30543E74">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30A308E0">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36567CA6">
            <w:pPr>
              <w:widowControl/>
              <w:jc w:val="center"/>
              <w:rPr>
                <w:rFonts w:ascii="宋体" w:cs="宋体"/>
                <w:b/>
                <w:bCs/>
                <w:kern w:val="0"/>
                <w:sz w:val="18"/>
                <w:szCs w:val="18"/>
              </w:rPr>
            </w:pPr>
            <w:r>
              <w:rPr>
                <w:rFonts w:hint="eastAsia" w:ascii="宋体" w:cs="宋体"/>
                <w:b/>
                <w:bCs/>
                <w:kern w:val="0"/>
                <w:sz w:val="18"/>
                <w:szCs w:val="18"/>
              </w:rPr>
              <w:t>微型</w:t>
            </w:r>
          </w:p>
        </w:tc>
      </w:tr>
      <w:tr w14:paraId="74D8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79CDFD4">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7C68897E">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2080A1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B59E49">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2C4E3FCA">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0E8FEED9">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1E178BA2">
            <w:pPr>
              <w:widowControl/>
              <w:jc w:val="center"/>
              <w:rPr>
                <w:rFonts w:ascii="宋体" w:cs="宋体"/>
                <w:kern w:val="0"/>
                <w:sz w:val="18"/>
                <w:szCs w:val="18"/>
              </w:rPr>
            </w:pPr>
            <w:r>
              <w:rPr>
                <w:rFonts w:hint="eastAsia" w:ascii="宋体" w:cs="宋体"/>
                <w:kern w:val="0"/>
                <w:sz w:val="18"/>
                <w:szCs w:val="18"/>
              </w:rPr>
              <w:t>Y＜50</w:t>
            </w:r>
          </w:p>
        </w:tc>
      </w:tr>
      <w:tr w14:paraId="723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78A146">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1FB8117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96BD242">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57F7E1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B0423E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61BC2F12">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481BCC3D">
            <w:pPr>
              <w:widowControl/>
              <w:jc w:val="center"/>
              <w:rPr>
                <w:rFonts w:ascii="宋体" w:cs="宋体"/>
                <w:kern w:val="0"/>
                <w:sz w:val="18"/>
                <w:szCs w:val="18"/>
              </w:rPr>
            </w:pPr>
            <w:r>
              <w:rPr>
                <w:rFonts w:hint="eastAsia" w:ascii="宋体" w:cs="宋体"/>
                <w:kern w:val="0"/>
                <w:sz w:val="18"/>
                <w:szCs w:val="18"/>
              </w:rPr>
              <w:t>X＜20</w:t>
            </w:r>
          </w:p>
        </w:tc>
      </w:tr>
      <w:tr w14:paraId="1A04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D00368">
            <w:pPr>
              <w:rPr>
                <w:szCs w:val="20"/>
              </w:rPr>
            </w:pPr>
          </w:p>
        </w:tc>
        <w:tc>
          <w:tcPr>
            <w:tcW w:w="1369" w:type="dxa"/>
            <w:vAlign w:val="center"/>
          </w:tcPr>
          <w:p w14:paraId="19C156DF">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2C6DCC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471B920">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65F8326C">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71D17FA6">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06FFA4A4">
            <w:pPr>
              <w:widowControl/>
              <w:jc w:val="center"/>
              <w:rPr>
                <w:rFonts w:ascii="宋体" w:cs="宋体"/>
                <w:kern w:val="0"/>
                <w:sz w:val="18"/>
                <w:szCs w:val="18"/>
              </w:rPr>
            </w:pPr>
            <w:r>
              <w:rPr>
                <w:rFonts w:hint="eastAsia" w:ascii="宋体" w:cs="宋体"/>
                <w:kern w:val="0"/>
                <w:sz w:val="18"/>
                <w:szCs w:val="18"/>
              </w:rPr>
              <w:t>Y＜300</w:t>
            </w:r>
          </w:p>
        </w:tc>
      </w:tr>
      <w:tr w14:paraId="1D8D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2EEA1E">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7ACA7C8C">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7589C4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CAFCAD8">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1DFF2755">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0E6073A5">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10FF6043">
            <w:pPr>
              <w:widowControl/>
              <w:jc w:val="center"/>
              <w:rPr>
                <w:rFonts w:ascii="宋体" w:cs="宋体"/>
                <w:kern w:val="0"/>
                <w:sz w:val="18"/>
                <w:szCs w:val="18"/>
              </w:rPr>
            </w:pPr>
            <w:r>
              <w:rPr>
                <w:rFonts w:hint="eastAsia" w:ascii="宋体" w:cs="宋体"/>
                <w:kern w:val="0"/>
                <w:sz w:val="18"/>
                <w:szCs w:val="18"/>
              </w:rPr>
              <w:t>Y＜300</w:t>
            </w:r>
          </w:p>
        </w:tc>
      </w:tr>
      <w:tr w14:paraId="0F7E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680C11">
            <w:pPr>
              <w:rPr>
                <w:szCs w:val="20"/>
              </w:rPr>
            </w:pPr>
          </w:p>
        </w:tc>
        <w:tc>
          <w:tcPr>
            <w:tcW w:w="1369" w:type="dxa"/>
            <w:vAlign w:val="center"/>
          </w:tcPr>
          <w:p w14:paraId="2CAB9BA2">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1AFFCDB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C213DB2">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0084000A">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37D985AA">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2B17AF9F">
            <w:pPr>
              <w:widowControl/>
              <w:jc w:val="center"/>
              <w:rPr>
                <w:rFonts w:ascii="宋体" w:cs="宋体"/>
                <w:kern w:val="0"/>
                <w:sz w:val="18"/>
                <w:szCs w:val="18"/>
              </w:rPr>
            </w:pPr>
            <w:r>
              <w:rPr>
                <w:rFonts w:hint="eastAsia" w:ascii="宋体" w:cs="宋体"/>
                <w:kern w:val="0"/>
                <w:sz w:val="18"/>
                <w:szCs w:val="18"/>
              </w:rPr>
              <w:t>Z＜300</w:t>
            </w:r>
          </w:p>
        </w:tc>
      </w:tr>
      <w:tr w14:paraId="0DB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B6C4ED5">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4F4E3982">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A36A5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594BD2F">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6B897BC4">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38CBB916">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2B351711">
            <w:pPr>
              <w:widowControl/>
              <w:jc w:val="center"/>
              <w:rPr>
                <w:rFonts w:ascii="宋体" w:cs="宋体"/>
                <w:kern w:val="0"/>
                <w:sz w:val="18"/>
                <w:szCs w:val="18"/>
              </w:rPr>
            </w:pPr>
            <w:r>
              <w:rPr>
                <w:rFonts w:hint="eastAsia" w:ascii="宋体" w:cs="宋体"/>
                <w:kern w:val="0"/>
                <w:sz w:val="18"/>
                <w:szCs w:val="18"/>
              </w:rPr>
              <w:t>X＜5</w:t>
            </w:r>
          </w:p>
        </w:tc>
      </w:tr>
      <w:tr w14:paraId="6456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5707626">
            <w:pPr>
              <w:rPr>
                <w:szCs w:val="20"/>
              </w:rPr>
            </w:pPr>
          </w:p>
        </w:tc>
        <w:tc>
          <w:tcPr>
            <w:tcW w:w="1369" w:type="dxa"/>
            <w:vAlign w:val="center"/>
          </w:tcPr>
          <w:p w14:paraId="3DE7A37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D0B6BF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85484BD">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45111856">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344A0B87">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3B7B7D28">
            <w:pPr>
              <w:widowControl/>
              <w:jc w:val="center"/>
              <w:rPr>
                <w:rFonts w:ascii="宋体" w:cs="宋体"/>
                <w:kern w:val="0"/>
                <w:sz w:val="18"/>
                <w:szCs w:val="18"/>
              </w:rPr>
            </w:pPr>
            <w:r>
              <w:rPr>
                <w:rFonts w:hint="eastAsia" w:ascii="宋体" w:cs="宋体"/>
                <w:kern w:val="0"/>
                <w:sz w:val="18"/>
                <w:szCs w:val="18"/>
              </w:rPr>
              <w:t>Y＜1000</w:t>
            </w:r>
          </w:p>
        </w:tc>
      </w:tr>
      <w:tr w14:paraId="134F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F6A458">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5215B4E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D99B79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50304DF">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930127C">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7CFDE487">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0E2E2BB1">
            <w:pPr>
              <w:widowControl/>
              <w:jc w:val="center"/>
              <w:rPr>
                <w:rFonts w:ascii="宋体" w:cs="宋体"/>
                <w:kern w:val="0"/>
                <w:sz w:val="18"/>
                <w:szCs w:val="18"/>
              </w:rPr>
            </w:pPr>
            <w:r>
              <w:rPr>
                <w:rFonts w:hint="eastAsia" w:ascii="宋体" w:cs="宋体"/>
                <w:kern w:val="0"/>
                <w:sz w:val="18"/>
                <w:szCs w:val="18"/>
              </w:rPr>
              <w:t>X＜10</w:t>
            </w:r>
          </w:p>
        </w:tc>
      </w:tr>
      <w:tr w14:paraId="2CE9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6C29AC">
            <w:pPr>
              <w:rPr>
                <w:szCs w:val="20"/>
              </w:rPr>
            </w:pPr>
          </w:p>
        </w:tc>
        <w:tc>
          <w:tcPr>
            <w:tcW w:w="1369" w:type="dxa"/>
            <w:vAlign w:val="center"/>
          </w:tcPr>
          <w:p w14:paraId="6CA143DD">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28CE72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38FDCE">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293A299E">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4B4B1A78">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5194AED4">
            <w:pPr>
              <w:widowControl/>
              <w:jc w:val="center"/>
              <w:rPr>
                <w:rFonts w:ascii="宋体" w:cs="宋体"/>
                <w:kern w:val="0"/>
                <w:sz w:val="18"/>
                <w:szCs w:val="18"/>
              </w:rPr>
            </w:pPr>
            <w:r>
              <w:rPr>
                <w:rFonts w:hint="eastAsia" w:ascii="宋体" w:cs="宋体"/>
                <w:kern w:val="0"/>
                <w:sz w:val="18"/>
                <w:szCs w:val="18"/>
              </w:rPr>
              <w:t>Y＜100</w:t>
            </w:r>
          </w:p>
        </w:tc>
      </w:tr>
      <w:tr w14:paraId="5448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FC12BF">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0F5F39E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D8885E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D5A8D44">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50B8E42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357F90B5">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60E2265D">
            <w:pPr>
              <w:widowControl/>
              <w:jc w:val="center"/>
              <w:rPr>
                <w:rFonts w:ascii="宋体" w:cs="宋体"/>
                <w:kern w:val="0"/>
                <w:sz w:val="18"/>
                <w:szCs w:val="18"/>
              </w:rPr>
            </w:pPr>
            <w:r>
              <w:rPr>
                <w:rFonts w:hint="eastAsia" w:ascii="宋体" w:cs="宋体"/>
                <w:kern w:val="0"/>
                <w:sz w:val="18"/>
                <w:szCs w:val="18"/>
              </w:rPr>
              <w:t>X＜20</w:t>
            </w:r>
          </w:p>
        </w:tc>
      </w:tr>
      <w:tr w14:paraId="49C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7F7357">
            <w:pPr>
              <w:rPr>
                <w:szCs w:val="20"/>
              </w:rPr>
            </w:pPr>
          </w:p>
        </w:tc>
        <w:tc>
          <w:tcPr>
            <w:tcW w:w="1369" w:type="dxa"/>
            <w:vAlign w:val="center"/>
          </w:tcPr>
          <w:p w14:paraId="7C588CB1">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26E5A9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CC09442">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8417986">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167738B1">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4E2AAE56">
            <w:pPr>
              <w:widowControl/>
              <w:jc w:val="center"/>
              <w:rPr>
                <w:rFonts w:ascii="宋体" w:cs="宋体"/>
                <w:kern w:val="0"/>
                <w:sz w:val="18"/>
                <w:szCs w:val="18"/>
              </w:rPr>
            </w:pPr>
            <w:r>
              <w:rPr>
                <w:rFonts w:hint="eastAsia" w:ascii="宋体" w:cs="宋体"/>
                <w:kern w:val="0"/>
                <w:sz w:val="18"/>
                <w:szCs w:val="18"/>
              </w:rPr>
              <w:t>Y＜200</w:t>
            </w:r>
          </w:p>
        </w:tc>
      </w:tr>
      <w:tr w14:paraId="3880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2F2101C">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6E16DB7B">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E1934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4456A06">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1D097600">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6E6D5FD9">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3396F18B">
            <w:pPr>
              <w:widowControl/>
              <w:jc w:val="center"/>
              <w:rPr>
                <w:rFonts w:ascii="宋体" w:cs="宋体"/>
                <w:kern w:val="0"/>
                <w:sz w:val="18"/>
                <w:szCs w:val="18"/>
              </w:rPr>
            </w:pPr>
            <w:r>
              <w:rPr>
                <w:rFonts w:hint="eastAsia" w:ascii="宋体" w:cs="宋体"/>
                <w:kern w:val="0"/>
                <w:sz w:val="18"/>
                <w:szCs w:val="18"/>
              </w:rPr>
              <w:t>X＜20</w:t>
            </w:r>
          </w:p>
        </w:tc>
      </w:tr>
      <w:tr w14:paraId="769F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FBAE09">
            <w:pPr>
              <w:rPr>
                <w:szCs w:val="20"/>
              </w:rPr>
            </w:pPr>
          </w:p>
        </w:tc>
        <w:tc>
          <w:tcPr>
            <w:tcW w:w="1369" w:type="dxa"/>
            <w:vAlign w:val="center"/>
          </w:tcPr>
          <w:p w14:paraId="206244CD">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9FED77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FB0FD1E">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6AA5E0B8">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09FF211D">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6E706FF3">
            <w:pPr>
              <w:widowControl/>
              <w:jc w:val="center"/>
              <w:rPr>
                <w:rFonts w:ascii="宋体" w:cs="宋体"/>
                <w:kern w:val="0"/>
                <w:sz w:val="18"/>
                <w:szCs w:val="18"/>
              </w:rPr>
            </w:pPr>
            <w:r>
              <w:rPr>
                <w:rFonts w:hint="eastAsia" w:ascii="宋体" w:cs="宋体"/>
                <w:kern w:val="0"/>
                <w:sz w:val="18"/>
                <w:szCs w:val="18"/>
              </w:rPr>
              <w:t>Y＜100</w:t>
            </w:r>
          </w:p>
        </w:tc>
      </w:tr>
      <w:tr w14:paraId="2FF7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A35FA7C">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325FBA8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B922FF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77441F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5BC6F6E">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0BD05054">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6F8065EF">
            <w:pPr>
              <w:widowControl/>
              <w:jc w:val="center"/>
              <w:rPr>
                <w:rFonts w:ascii="宋体" w:cs="宋体"/>
                <w:kern w:val="0"/>
                <w:sz w:val="18"/>
                <w:szCs w:val="18"/>
              </w:rPr>
            </w:pPr>
            <w:r>
              <w:rPr>
                <w:rFonts w:hint="eastAsia" w:ascii="宋体" w:cs="宋体"/>
                <w:kern w:val="0"/>
                <w:sz w:val="18"/>
                <w:szCs w:val="18"/>
              </w:rPr>
              <w:t>X＜20</w:t>
            </w:r>
          </w:p>
        </w:tc>
      </w:tr>
      <w:tr w14:paraId="0E75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5DA5E4">
            <w:pPr>
              <w:rPr>
                <w:szCs w:val="20"/>
              </w:rPr>
            </w:pPr>
          </w:p>
        </w:tc>
        <w:tc>
          <w:tcPr>
            <w:tcW w:w="1369" w:type="dxa"/>
            <w:vAlign w:val="center"/>
          </w:tcPr>
          <w:p w14:paraId="683CD02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A2DEBE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4AAC881">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59FF754C">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3A160D2C">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301A9380">
            <w:pPr>
              <w:widowControl/>
              <w:jc w:val="center"/>
              <w:rPr>
                <w:rFonts w:ascii="宋体" w:cs="宋体"/>
                <w:kern w:val="0"/>
                <w:sz w:val="18"/>
                <w:szCs w:val="18"/>
              </w:rPr>
            </w:pPr>
            <w:r>
              <w:rPr>
                <w:rFonts w:hint="eastAsia" w:ascii="宋体" w:cs="宋体"/>
                <w:kern w:val="0"/>
                <w:sz w:val="18"/>
                <w:szCs w:val="18"/>
              </w:rPr>
              <w:t>Y＜100</w:t>
            </w:r>
          </w:p>
        </w:tc>
      </w:tr>
      <w:tr w14:paraId="7801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1355E1">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10E32D4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D87456B">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C54D21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464787A">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45E72166">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3CABDF5D">
            <w:pPr>
              <w:widowControl/>
              <w:jc w:val="center"/>
              <w:rPr>
                <w:rFonts w:ascii="宋体" w:cs="宋体"/>
                <w:kern w:val="0"/>
                <w:sz w:val="18"/>
                <w:szCs w:val="18"/>
              </w:rPr>
            </w:pPr>
            <w:r>
              <w:rPr>
                <w:rFonts w:hint="eastAsia" w:ascii="宋体" w:cs="宋体"/>
                <w:kern w:val="0"/>
                <w:sz w:val="18"/>
                <w:szCs w:val="18"/>
              </w:rPr>
              <w:t>X＜10</w:t>
            </w:r>
          </w:p>
        </w:tc>
      </w:tr>
      <w:tr w14:paraId="0643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BF75080">
            <w:pPr>
              <w:rPr>
                <w:szCs w:val="20"/>
              </w:rPr>
            </w:pPr>
          </w:p>
        </w:tc>
        <w:tc>
          <w:tcPr>
            <w:tcW w:w="1369" w:type="dxa"/>
            <w:vAlign w:val="center"/>
          </w:tcPr>
          <w:p w14:paraId="1F4E8DF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9BB230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D05A51C">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3B55AF40">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72311D88">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3CD2E231">
            <w:pPr>
              <w:widowControl/>
              <w:jc w:val="center"/>
              <w:rPr>
                <w:rFonts w:ascii="宋体" w:cs="宋体"/>
                <w:kern w:val="0"/>
                <w:sz w:val="18"/>
                <w:szCs w:val="18"/>
              </w:rPr>
            </w:pPr>
            <w:r>
              <w:rPr>
                <w:rFonts w:hint="eastAsia" w:ascii="宋体" w:cs="宋体"/>
                <w:kern w:val="0"/>
                <w:sz w:val="18"/>
                <w:szCs w:val="18"/>
              </w:rPr>
              <w:t>Y＜100</w:t>
            </w:r>
          </w:p>
        </w:tc>
      </w:tr>
      <w:tr w14:paraId="373A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9F25DB">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6513D42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519960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BB526B5">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F1C94D7">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9058230">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1F5B429">
            <w:pPr>
              <w:widowControl/>
              <w:jc w:val="center"/>
              <w:rPr>
                <w:rFonts w:ascii="宋体" w:cs="宋体"/>
                <w:kern w:val="0"/>
                <w:sz w:val="18"/>
                <w:szCs w:val="18"/>
              </w:rPr>
            </w:pPr>
            <w:r>
              <w:rPr>
                <w:rFonts w:hint="eastAsia" w:ascii="宋体" w:cs="宋体"/>
                <w:kern w:val="0"/>
                <w:sz w:val="18"/>
                <w:szCs w:val="18"/>
              </w:rPr>
              <w:t>X＜10</w:t>
            </w:r>
          </w:p>
        </w:tc>
      </w:tr>
      <w:tr w14:paraId="5EC3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499482">
            <w:pPr>
              <w:rPr>
                <w:szCs w:val="20"/>
              </w:rPr>
            </w:pPr>
          </w:p>
        </w:tc>
        <w:tc>
          <w:tcPr>
            <w:tcW w:w="1369" w:type="dxa"/>
            <w:vAlign w:val="center"/>
          </w:tcPr>
          <w:p w14:paraId="0782BEF5">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368A2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B165D8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62C37EC">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2F4107A3">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02905935">
            <w:pPr>
              <w:widowControl/>
              <w:jc w:val="center"/>
              <w:rPr>
                <w:rFonts w:ascii="宋体" w:cs="宋体"/>
                <w:kern w:val="0"/>
                <w:sz w:val="18"/>
                <w:szCs w:val="18"/>
              </w:rPr>
            </w:pPr>
            <w:r>
              <w:rPr>
                <w:rFonts w:hint="eastAsia" w:ascii="宋体" w:cs="宋体"/>
                <w:kern w:val="0"/>
                <w:sz w:val="18"/>
                <w:szCs w:val="18"/>
              </w:rPr>
              <w:t>Y＜100</w:t>
            </w:r>
          </w:p>
        </w:tc>
      </w:tr>
      <w:tr w14:paraId="69FF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9A94C1F">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644DC30F">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9BBADC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9D389EF">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0A5DF940">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2AC604AB">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4862DE9">
            <w:pPr>
              <w:widowControl/>
              <w:jc w:val="center"/>
              <w:rPr>
                <w:rFonts w:ascii="宋体" w:cs="宋体"/>
                <w:kern w:val="0"/>
                <w:sz w:val="18"/>
                <w:szCs w:val="18"/>
              </w:rPr>
            </w:pPr>
            <w:r>
              <w:rPr>
                <w:rFonts w:hint="eastAsia" w:ascii="宋体" w:cs="宋体"/>
                <w:kern w:val="0"/>
                <w:sz w:val="18"/>
                <w:szCs w:val="18"/>
              </w:rPr>
              <w:t>X＜10</w:t>
            </w:r>
          </w:p>
        </w:tc>
      </w:tr>
      <w:tr w14:paraId="676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5A5289">
            <w:pPr>
              <w:rPr>
                <w:szCs w:val="20"/>
              </w:rPr>
            </w:pPr>
          </w:p>
        </w:tc>
        <w:tc>
          <w:tcPr>
            <w:tcW w:w="1369" w:type="dxa"/>
            <w:vAlign w:val="center"/>
          </w:tcPr>
          <w:p w14:paraId="702CCEB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88C55D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32FE660">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5F105F47">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256248AE">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C4CBF34">
            <w:pPr>
              <w:widowControl/>
              <w:jc w:val="center"/>
              <w:rPr>
                <w:rFonts w:ascii="宋体" w:cs="宋体"/>
                <w:kern w:val="0"/>
                <w:sz w:val="18"/>
                <w:szCs w:val="18"/>
              </w:rPr>
            </w:pPr>
            <w:r>
              <w:rPr>
                <w:rFonts w:hint="eastAsia" w:ascii="宋体" w:cs="宋体"/>
                <w:kern w:val="0"/>
                <w:sz w:val="18"/>
                <w:szCs w:val="18"/>
              </w:rPr>
              <w:t>Y＜100</w:t>
            </w:r>
          </w:p>
        </w:tc>
      </w:tr>
      <w:tr w14:paraId="2F33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98231D7">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5EDD23D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C97787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09B444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A87C976">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FF304E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4A3C3DF9">
            <w:pPr>
              <w:widowControl/>
              <w:jc w:val="center"/>
              <w:rPr>
                <w:rFonts w:ascii="宋体" w:cs="宋体"/>
                <w:kern w:val="0"/>
                <w:sz w:val="18"/>
                <w:szCs w:val="18"/>
              </w:rPr>
            </w:pPr>
            <w:r>
              <w:rPr>
                <w:rFonts w:hint="eastAsia" w:ascii="宋体" w:cs="宋体"/>
                <w:kern w:val="0"/>
                <w:sz w:val="18"/>
                <w:szCs w:val="18"/>
              </w:rPr>
              <w:t>X＜10</w:t>
            </w:r>
          </w:p>
        </w:tc>
      </w:tr>
      <w:tr w14:paraId="2D09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CDAF57A">
            <w:pPr>
              <w:rPr>
                <w:szCs w:val="20"/>
              </w:rPr>
            </w:pPr>
          </w:p>
        </w:tc>
        <w:tc>
          <w:tcPr>
            <w:tcW w:w="1369" w:type="dxa"/>
            <w:vAlign w:val="center"/>
          </w:tcPr>
          <w:p w14:paraId="12A5D965">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2BD32F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AFF27B2">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2EDE2173">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1DF48AA1">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17A04F99">
            <w:pPr>
              <w:widowControl/>
              <w:jc w:val="center"/>
              <w:rPr>
                <w:rFonts w:ascii="宋体" w:cs="宋体"/>
                <w:kern w:val="0"/>
                <w:sz w:val="18"/>
                <w:szCs w:val="18"/>
              </w:rPr>
            </w:pPr>
            <w:r>
              <w:rPr>
                <w:rFonts w:hint="eastAsia" w:ascii="宋体" w:cs="宋体"/>
                <w:kern w:val="0"/>
                <w:sz w:val="18"/>
                <w:szCs w:val="18"/>
              </w:rPr>
              <w:t>Y＜50</w:t>
            </w:r>
          </w:p>
        </w:tc>
      </w:tr>
      <w:tr w14:paraId="2B20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8B0689F">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1CBD1F51">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7BFBA9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B646143">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173EA9B0">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78F60340">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76529AB4">
            <w:pPr>
              <w:widowControl/>
              <w:jc w:val="center"/>
              <w:rPr>
                <w:rFonts w:ascii="宋体" w:cs="宋体"/>
                <w:kern w:val="0"/>
                <w:sz w:val="18"/>
                <w:szCs w:val="18"/>
              </w:rPr>
            </w:pPr>
            <w:r>
              <w:rPr>
                <w:rFonts w:hint="eastAsia" w:ascii="宋体" w:cs="宋体"/>
                <w:kern w:val="0"/>
                <w:sz w:val="18"/>
                <w:szCs w:val="18"/>
              </w:rPr>
              <w:t>Y＜100</w:t>
            </w:r>
          </w:p>
        </w:tc>
      </w:tr>
      <w:tr w14:paraId="1C6D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6F72D8E">
            <w:pPr>
              <w:rPr>
                <w:szCs w:val="20"/>
              </w:rPr>
            </w:pPr>
          </w:p>
        </w:tc>
        <w:tc>
          <w:tcPr>
            <w:tcW w:w="1369" w:type="dxa"/>
            <w:vAlign w:val="center"/>
          </w:tcPr>
          <w:p w14:paraId="6470E0A9">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F454AA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E563621">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3B7D87DC">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20DA0644">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6CF63FA4">
            <w:pPr>
              <w:widowControl/>
              <w:jc w:val="center"/>
              <w:rPr>
                <w:rFonts w:ascii="宋体" w:cs="宋体"/>
                <w:kern w:val="0"/>
                <w:sz w:val="18"/>
                <w:szCs w:val="18"/>
              </w:rPr>
            </w:pPr>
            <w:r>
              <w:rPr>
                <w:rFonts w:hint="eastAsia" w:ascii="宋体" w:cs="宋体"/>
                <w:kern w:val="0"/>
                <w:sz w:val="18"/>
                <w:szCs w:val="18"/>
              </w:rPr>
              <w:t>Z＜2000</w:t>
            </w:r>
          </w:p>
        </w:tc>
      </w:tr>
      <w:tr w14:paraId="2EE7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61CDF72">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2950CE8C">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4F12D2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6F4624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2C8BE76E">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188FC640">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3EAE4784">
            <w:pPr>
              <w:widowControl/>
              <w:jc w:val="center"/>
              <w:rPr>
                <w:rFonts w:ascii="宋体" w:cs="宋体"/>
                <w:kern w:val="0"/>
                <w:sz w:val="18"/>
                <w:szCs w:val="18"/>
              </w:rPr>
            </w:pPr>
            <w:r>
              <w:rPr>
                <w:rFonts w:hint="eastAsia" w:ascii="宋体" w:cs="宋体"/>
                <w:kern w:val="0"/>
                <w:sz w:val="18"/>
                <w:szCs w:val="18"/>
              </w:rPr>
              <w:t>X＜100</w:t>
            </w:r>
          </w:p>
        </w:tc>
      </w:tr>
      <w:tr w14:paraId="67D7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0C3F2C">
            <w:pPr>
              <w:rPr>
                <w:szCs w:val="20"/>
              </w:rPr>
            </w:pPr>
          </w:p>
        </w:tc>
        <w:tc>
          <w:tcPr>
            <w:tcW w:w="1369" w:type="dxa"/>
            <w:vAlign w:val="center"/>
          </w:tcPr>
          <w:p w14:paraId="1DFF7C6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5CD0545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C63FBC9">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1D112CE1">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412926F8">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7211F4BE">
            <w:pPr>
              <w:widowControl/>
              <w:jc w:val="center"/>
              <w:rPr>
                <w:rFonts w:ascii="宋体" w:cs="宋体"/>
                <w:kern w:val="0"/>
                <w:sz w:val="18"/>
                <w:szCs w:val="18"/>
              </w:rPr>
            </w:pPr>
            <w:r>
              <w:rPr>
                <w:rFonts w:hint="eastAsia" w:ascii="宋体" w:cs="宋体"/>
                <w:kern w:val="0"/>
                <w:sz w:val="18"/>
                <w:szCs w:val="18"/>
              </w:rPr>
              <w:t>Y＜500</w:t>
            </w:r>
          </w:p>
        </w:tc>
      </w:tr>
      <w:tr w14:paraId="2C44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0F87989">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35D000F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6621B8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64EF062">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85D6C3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7639E94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3D1DA168">
            <w:pPr>
              <w:widowControl/>
              <w:jc w:val="center"/>
              <w:rPr>
                <w:rFonts w:ascii="宋体" w:cs="宋体"/>
                <w:kern w:val="0"/>
                <w:sz w:val="18"/>
                <w:szCs w:val="18"/>
              </w:rPr>
            </w:pPr>
            <w:r>
              <w:rPr>
                <w:rFonts w:hint="eastAsia" w:ascii="宋体" w:cs="宋体"/>
                <w:kern w:val="0"/>
                <w:sz w:val="18"/>
                <w:szCs w:val="18"/>
              </w:rPr>
              <w:t>X＜10</w:t>
            </w:r>
          </w:p>
        </w:tc>
      </w:tr>
      <w:tr w14:paraId="2D28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FDA991">
            <w:pPr>
              <w:rPr>
                <w:szCs w:val="20"/>
              </w:rPr>
            </w:pPr>
          </w:p>
        </w:tc>
        <w:tc>
          <w:tcPr>
            <w:tcW w:w="1369" w:type="dxa"/>
            <w:vAlign w:val="center"/>
          </w:tcPr>
          <w:p w14:paraId="587019E4">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63106B6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8128778">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68A017AF">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4CD4AE73">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4EDACAA9">
            <w:pPr>
              <w:widowControl/>
              <w:jc w:val="center"/>
              <w:rPr>
                <w:rFonts w:ascii="宋体" w:cs="宋体"/>
                <w:kern w:val="0"/>
                <w:sz w:val="18"/>
                <w:szCs w:val="18"/>
              </w:rPr>
            </w:pPr>
            <w:r>
              <w:rPr>
                <w:rFonts w:hint="eastAsia" w:ascii="宋体" w:cs="宋体"/>
                <w:kern w:val="0"/>
                <w:sz w:val="18"/>
                <w:szCs w:val="18"/>
              </w:rPr>
              <w:t>Z＜100</w:t>
            </w:r>
          </w:p>
        </w:tc>
      </w:tr>
      <w:tr w14:paraId="376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F3F7D9D">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1F92344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4AF02D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6AD4044">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90D76A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90FA2C6">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E76C091">
            <w:pPr>
              <w:widowControl/>
              <w:jc w:val="center"/>
              <w:rPr>
                <w:rFonts w:ascii="宋体" w:cs="宋体"/>
                <w:kern w:val="0"/>
                <w:sz w:val="18"/>
                <w:szCs w:val="18"/>
              </w:rPr>
            </w:pPr>
            <w:r>
              <w:rPr>
                <w:rFonts w:hint="eastAsia" w:ascii="宋体" w:cs="宋体"/>
                <w:kern w:val="0"/>
                <w:sz w:val="18"/>
                <w:szCs w:val="18"/>
              </w:rPr>
              <w:t>X＜10</w:t>
            </w:r>
          </w:p>
        </w:tc>
      </w:tr>
    </w:tbl>
    <w:p w14:paraId="52AFF8B5">
      <w:pPr>
        <w:widowControl/>
        <w:spacing w:line="540" w:lineRule="exact"/>
        <w:rPr>
          <w:rFonts w:ascii="宋体"/>
          <w:szCs w:val="21"/>
        </w:rPr>
      </w:pPr>
      <w:r>
        <w:rPr>
          <w:rFonts w:hint="eastAsia" w:ascii="宋体"/>
          <w:szCs w:val="21"/>
        </w:rPr>
        <w:t>说明：</w:t>
      </w:r>
    </w:p>
    <w:p w14:paraId="56062D0D">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67197FD1">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7E5A77A">
      <w:pPr>
        <w:spacing w:line="540" w:lineRule="exact"/>
        <w:ind w:firstLine="420" w:firstLineChars="200"/>
        <w:rPr>
          <w:rFonts w:eastAsiaTheme="minorEastAsia"/>
          <w:color w:val="000000"/>
          <w:sz w:val="24"/>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7B26BED">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2F9F8C9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p>
    <w:p w14:paraId="641C305F">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0F424CD">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043AD514">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8E4211F">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3C4CA33">
      <w:pPr>
        <w:spacing w:line="588" w:lineRule="exact"/>
        <w:ind w:firstLine="504" w:firstLineChars="200"/>
        <w:rPr>
          <w:rFonts w:eastAsiaTheme="minorEastAsia"/>
          <w:spacing w:val="6"/>
          <w:sz w:val="24"/>
        </w:rPr>
      </w:pPr>
    </w:p>
    <w:p w14:paraId="6EA5E418">
      <w:pPr>
        <w:spacing w:line="588" w:lineRule="exact"/>
        <w:ind w:firstLine="504" w:firstLineChars="200"/>
        <w:rPr>
          <w:rFonts w:eastAsiaTheme="minorEastAsia"/>
          <w:spacing w:val="6"/>
          <w:sz w:val="24"/>
        </w:rPr>
      </w:pPr>
    </w:p>
    <w:p w14:paraId="47B9D50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65C27F5">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01DB7694">
      <w:pPr>
        <w:widowControl/>
        <w:jc w:val="left"/>
        <w:rPr>
          <w:rFonts w:eastAsiaTheme="minorEastAsia"/>
          <w:color w:val="000000"/>
          <w:sz w:val="24"/>
          <w:szCs w:val="20"/>
        </w:rPr>
      </w:pPr>
      <w:r>
        <w:rPr>
          <w:rFonts w:eastAsiaTheme="minorEastAsia"/>
          <w:color w:val="000000"/>
          <w:sz w:val="24"/>
          <w:szCs w:val="20"/>
        </w:rPr>
        <w:br w:type="page"/>
      </w:r>
    </w:p>
    <w:p w14:paraId="62B5566E">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3C9800B9">
      <w:pPr>
        <w:tabs>
          <w:tab w:val="left" w:pos="5580"/>
        </w:tabs>
        <w:spacing w:line="360" w:lineRule="auto"/>
        <w:rPr>
          <w:rFonts w:eastAsiaTheme="minorEastAsia"/>
          <w:sz w:val="24"/>
        </w:rPr>
      </w:pPr>
      <w:r>
        <w:rPr>
          <w:rFonts w:eastAsiaTheme="minorEastAsia"/>
          <w:sz w:val="24"/>
        </w:rPr>
        <w:t>说明：</w:t>
      </w:r>
    </w:p>
    <w:p w14:paraId="34D8E0A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3CCD90E7">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2DF29786">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17E1F975">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DD2BD5C">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C6BF856">
      <w:pPr>
        <w:autoSpaceDE w:val="0"/>
        <w:autoSpaceDN w:val="0"/>
        <w:adjustRightInd w:val="0"/>
        <w:rPr>
          <w:rFonts w:eastAsiaTheme="minorEastAsia"/>
          <w:color w:val="000000"/>
          <w:sz w:val="30"/>
          <w:szCs w:val="30"/>
        </w:rPr>
      </w:pPr>
    </w:p>
    <w:p w14:paraId="7A132768">
      <w:pPr>
        <w:widowControl/>
        <w:jc w:val="left"/>
        <w:rPr>
          <w:rFonts w:eastAsiaTheme="minorEastAsia"/>
          <w:b/>
          <w:color w:val="000000"/>
          <w:sz w:val="36"/>
          <w:szCs w:val="36"/>
        </w:rPr>
      </w:pPr>
      <w:r>
        <w:rPr>
          <w:rFonts w:eastAsiaTheme="minorEastAsia"/>
          <w:b/>
          <w:color w:val="000000"/>
          <w:sz w:val="36"/>
          <w:szCs w:val="36"/>
        </w:rPr>
        <w:br w:type="page"/>
      </w:r>
    </w:p>
    <w:p w14:paraId="6E8D9F0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4B8AE297">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A8B198C">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C5D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5020909">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A950ED6">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086A02F">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3AD17E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A41A62C">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8282A1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381080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37128CA">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899160">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F8297D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FC407B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DE0370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51F80F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DCD6B92">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F5C643F">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4550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D5E3F5D">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C36D24A">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A108A3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F9BFEAC">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A37CBEA">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DB4359C">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331C441">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7CC0F33">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6BE4CC6">
            <w:pPr>
              <w:pStyle w:val="246"/>
              <w:jc w:val="center"/>
              <w:rPr>
                <w:rFonts w:ascii="Times New Roman" w:hAnsi="Times New Roman" w:cs="Times New Roman" w:eastAsiaTheme="minorEastAsia"/>
                <w:sz w:val="30"/>
                <w:lang w:eastAsia="zh-CN"/>
              </w:rPr>
            </w:pPr>
          </w:p>
        </w:tc>
      </w:tr>
      <w:tr w14:paraId="67F7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ED870C6">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0E5798AC">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B3AB14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82358D1">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69A10D7">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CB52D65">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DBD527C">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6C93508">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9157BDB">
            <w:pPr>
              <w:pStyle w:val="246"/>
              <w:jc w:val="center"/>
              <w:rPr>
                <w:rFonts w:ascii="Times New Roman" w:hAnsi="Times New Roman" w:cs="Times New Roman" w:eastAsiaTheme="minorEastAsia"/>
                <w:sz w:val="30"/>
                <w:lang w:eastAsia="zh-CN"/>
              </w:rPr>
            </w:pPr>
          </w:p>
        </w:tc>
      </w:tr>
      <w:tr w14:paraId="1F8D7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405791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EB3389E">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61486B1">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5509CA6">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DEBDFCF">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1A8A055">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FB54D00">
            <w:pPr>
              <w:pStyle w:val="246"/>
              <w:jc w:val="center"/>
              <w:rPr>
                <w:rFonts w:ascii="Times New Roman" w:hAnsi="Times New Roman" w:cs="Times New Roman" w:eastAsiaTheme="minorEastAsia"/>
                <w:sz w:val="30"/>
              </w:rPr>
            </w:pPr>
          </w:p>
        </w:tc>
      </w:tr>
      <w:tr w14:paraId="3761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D7CBD84">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BC3F2AE">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AE9D20D">
            <w:pPr>
              <w:pStyle w:val="246"/>
              <w:jc w:val="center"/>
              <w:rPr>
                <w:rFonts w:ascii="Times New Roman" w:hAnsi="Times New Roman" w:cs="Times New Roman" w:eastAsiaTheme="minorEastAsia"/>
                <w:sz w:val="30"/>
              </w:rPr>
            </w:pPr>
          </w:p>
        </w:tc>
      </w:tr>
    </w:tbl>
    <w:p w14:paraId="7158CC4B">
      <w:pPr>
        <w:adjustRightInd w:val="0"/>
        <w:snapToGrid w:val="0"/>
        <w:spacing w:line="360" w:lineRule="auto"/>
        <w:jc w:val="left"/>
        <w:rPr>
          <w:rFonts w:eastAsiaTheme="minorEastAsia"/>
          <w:sz w:val="24"/>
        </w:rPr>
      </w:pPr>
    </w:p>
    <w:p w14:paraId="736A0879">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AEA5463">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8CEFBBE">
      <w:pPr>
        <w:adjustRightInd w:val="0"/>
        <w:snapToGrid w:val="0"/>
        <w:spacing w:line="360" w:lineRule="auto"/>
        <w:jc w:val="left"/>
        <w:rPr>
          <w:rFonts w:eastAsiaTheme="minorEastAsia"/>
          <w:sz w:val="24"/>
        </w:rPr>
      </w:pPr>
    </w:p>
    <w:p w14:paraId="7352DCE3">
      <w:pPr>
        <w:adjustRightInd w:val="0"/>
        <w:snapToGrid w:val="0"/>
        <w:spacing w:line="360" w:lineRule="auto"/>
        <w:jc w:val="left"/>
        <w:rPr>
          <w:rFonts w:eastAsiaTheme="minorEastAsia"/>
          <w:sz w:val="24"/>
        </w:rPr>
      </w:pPr>
      <w:r>
        <w:rPr>
          <w:rFonts w:eastAsiaTheme="minorEastAsia"/>
          <w:sz w:val="24"/>
        </w:rPr>
        <w:t>注：</w:t>
      </w:r>
    </w:p>
    <w:p w14:paraId="16A10430">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517EE1AC">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11DDC81">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（3）如本采购文件《供应商须知资料表》载明本项目分包承担主体应具备的相应资质条件，则供应商须在本表中列明分包承担主体的资质等级，并后附资质证书，否则</w:t>
      </w:r>
      <w:r>
        <w:rPr>
          <w:rFonts w:eastAsiaTheme="minorEastAsia"/>
          <w:b/>
          <w:sz w:val="24"/>
        </w:rPr>
        <w:t>响应无效</w:t>
      </w:r>
      <w:r>
        <w:rPr>
          <w:rFonts w:eastAsiaTheme="minorEastAsia"/>
          <w:sz w:val="24"/>
        </w:rPr>
        <w:t>。</w:t>
      </w:r>
    </w:p>
    <w:p w14:paraId="63C7EB0B">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0697C51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56E30C75">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72C48F2B">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21578774">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786500B8">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5272A114">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4127EF5B">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02A597EC">
      <w:pPr>
        <w:spacing w:line="360" w:lineRule="auto"/>
        <w:ind w:firstLine="471"/>
        <w:rPr>
          <w:rFonts w:eastAsiaTheme="minorEastAsia"/>
          <w:b/>
          <w:color w:val="000000"/>
          <w:sz w:val="24"/>
        </w:rPr>
      </w:pPr>
    </w:p>
    <w:p w14:paraId="5546D0CC">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6EFC76C">
      <w:pPr>
        <w:spacing w:line="360" w:lineRule="auto"/>
        <w:ind w:left="480"/>
        <w:jc w:val="right"/>
        <w:rPr>
          <w:rFonts w:eastAsiaTheme="minorEastAsia"/>
          <w:color w:val="000000"/>
          <w:sz w:val="24"/>
        </w:rPr>
      </w:pPr>
    </w:p>
    <w:p w14:paraId="3192BB7E">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B6B79C1">
      <w:pPr>
        <w:tabs>
          <w:tab w:val="left" w:pos="8280"/>
        </w:tabs>
        <w:spacing w:line="360" w:lineRule="auto"/>
        <w:ind w:firstLine="480"/>
        <w:rPr>
          <w:rFonts w:eastAsiaTheme="minorEastAsia"/>
          <w:color w:val="000000"/>
          <w:sz w:val="24"/>
        </w:rPr>
      </w:pPr>
    </w:p>
    <w:p w14:paraId="6836AC35">
      <w:pPr>
        <w:tabs>
          <w:tab w:val="left" w:pos="8280"/>
        </w:tabs>
        <w:spacing w:line="360" w:lineRule="auto"/>
        <w:rPr>
          <w:rFonts w:eastAsiaTheme="minorEastAsia"/>
          <w:color w:val="000000"/>
          <w:sz w:val="24"/>
        </w:rPr>
      </w:pPr>
      <w:r>
        <w:rPr>
          <w:rFonts w:eastAsiaTheme="minorEastAsia"/>
          <w:color w:val="000000"/>
          <w:sz w:val="24"/>
        </w:rPr>
        <w:t>注：</w:t>
      </w:r>
    </w:p>
    <w:p w14:paraId="22A7C662">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26A5B8E9">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供应商须与所有拟分包单位分别签订《分包意向协议》，每单位签订一份，并在响应文件中提交全部协议原件，否则</w:t>
      </w:r>
      <w:r>
        <w:rPr>
          <w:rFonts w:eastAsiaTheme="minorEastAsia"/>
          <w:b/>
          <w:color w:val="000000"/>
          <w:sz w:val="24"/>
        </w:rPr>
        <w:t>响应无效</w:t>
      </w:r>
      <w:r>
        <w:rPr>
          <w:rFonts w:eastAsiaTheme="minorEastAsia"/>
          <w:color w:val="000000"/>
          <w:sz w:val="24"/>
        </w:rPr>
        <w:t>。</w:t>
      </w:r>
    </w:p>
    <w:p w14:paraId="5F2308D7">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4023623">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1769A56B">
      <w:pPr>
        <w:widowControl/>
        <w:jc w:val="left"/>
        <w:rPr>
          <w:rFonts w:eastAsiaTheme="minorEastAsia"/>
          <w:sz w:val="24"/>
        </w:rPr>
      </w:pPr>
    </w:p>
    <w:p w14:paraId="24E96758">
      <w:pPr>
        <w:widowControl/>
        <w:jc w:val="left"/>
        <w:rPr>
          <w:rFonts w:eastAsiaTheme="minorEastAsia"/>
          <w:sz w:val="24"/>
        </w:rPr>
      </w:pPr>
      <w:r>
        <w:rPr>
          <w:rFonts w:eastAsiaTheme="minorEastAsia"/>
          <w:sz w:val="24"/>
        </w:rPr>
        <w:br w:type="page"/>
      </w:r>
    </w:p>
    <w:p w14:paraId="7D642B91">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4BF2783A">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83D380F">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0F9B47E4">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3C3BE604">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1B2275CA">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2ECD7049">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FB1B5CE">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5592AB86">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D9FAC09">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9D92854">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22153BA7">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36D1B5B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A14706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3CF1641">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51169FE">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08B216E9">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F9C4DEB">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7CD4F6B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77E234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5923002">
      <w:pPr>
        <w:spacing w:line="360" w:lineRule="auto"/>
        <w:ind w:firstLine="471"/>
        <w:rPr>
          <w:color w:val="000000"/>
          <w:sz w:val="24"/>
        </w:rPr>
      </w:pPr>
    </w:p>
    <w:p w14:paraId="1E9F559F">
      <w:pPr>
        <w:spacing w:line="360" w:lineRule="auto"/>
        <w:ind w:firstLine="471"/>
        <w:rPr>
          <w:color w:val="000000"/>
          <w:sz w:val="24"/>
        </w:rPr>
      </w:pPr>
    </w:p>
    <w:p w14:paraId="237669C0">
      <w:pPr>
        <w:spacing w:line="360" w:lineRule="auto"/>
        <w:ind w:firstLine="471"/>
        <w:rPr>
          <w:color w:val="000000"/>
          <w:sz w:val="24"/>
        </w:rPr>
      </w:pPr>
      <w:r>
        <w:rPr>
          <w:color w:val="000000"/>
          <w:sz w:val="24"/>
        </w:rPr>
        <w:t>联合体成员名称：</w:t>
      </w:r>
      <w:r>
        <w:rPr>
          <w:color w:val="000000"/>
          <w:sz w:val="24"/>
          <w:szCs w:val="20"/>
        </w:rPr>
        <w:t>______</w:t>
      </w:r>
    </w:p>
    <w:p w14:paraId="4D3469CE">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3BDC032D">
      <w:pPr>
        <w:spacing w:line="360" w:lineRule="auto"/>
        <w:ind w:left="480"/>
        <w:jc w:val="right"/>
        <w:rPr>
          <w:rFonts w:eastAsiaTheme="minorEastAsia"/>
          <w:color w:val="000000"/>
          <w:sz w:val="24"/>
        </w:rPr>
      </w:pPr>
    </w:p>
    <w:p w14:paraId="2D648C74">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65A4B99">
      <w:pPr>
        <w:spacing w:line="360" w:lineRule="auto"/>
        <w:ind w:left="480"/>
        <w:jc w:val="right"/>
        <w:rPr>
          <w:rFonts w:eastAsiaTheme="minorEastAsia"/>
          <w:b/>
          <w:color w:val="000000"/>
          <w:sz w:val="24"/>
        </w:rPr>
      </w:pPr>
    </w:p>
    <w:p w14:paraId="3CBD50B3">
      <w:pPr>
        <w:tabs>
          <w:tab w:val="left" w:pos="8280"/>
        </w:tabs>
        <w:spacing w:line="360" w:lineRule="auto"/>
        <w:ind w:firstLine="480"/>
        <w:rPr>
          <w:rFonts w:eastAsiaTheme="minorEastAsia"/>
          <w:color w:val="000000"/>
          <w:sz w:val="24"/>
        </w:rPr>
      </w:pPr>
    </w:p>
    <w:p w14:paraId="446A73F2">
      <w:pPr>
        <w:tabs>
          <w:tab w:val="left" w:pos="8280"/>
        </w:tabs>
        <w:spacing w:line="360" w:lineRule="auto"/>
        <w:ind w:firstLine="480"/>
        <w:rPr>
          <w:rFonts w:eastAsiaTheme="minorEastAsia"/>
          <w:color w:val="000000"/>
          <w:sz w:val="24"/>
        </w:rPr>
      </w:pPr>
    </w:p>
    <w:p w14:paraId="4F572CCC">
      <w:pPr>
        <w:spacing w:line="360" w:lineRule="auto"/>
        <w:ind w:left="719" w:leftChars="228" w:hanging="240" w:hangingChars="100"/>
        <w:rPr>
          <w:rFonts w:eastAsiaTheme="minorEastAsia"/>
          <w:color w:val="000000"/>
          <w:sz w:val="24"/>
        </w:rPr>
      </w:pPr>
      <w:r>
        <w:rPr>
          <w:rFonts w:eastAsiaTheme="minorEastAsia"/>
          <w:color w:val="000000"/>
          <w:sz w:val="24"/>
        </w:rPr>
        <w:t>注：</w:t>
      </w:r>
    </w:p>
    <w:p w14:paraId="09CC20E4">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2EB714B2">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4CD8C7DB">
      <w:pPr>
        <w:widowControl/>
        <w:jc w:val="left"/>
        <w:rPr>
          <w:rFonts w:eastAsiaTheme="minorEastAsia"/>
          <w:sz w:val="24"/>
        </w:rPr>
      </w:pPr>
      <w:r>
        <w:rPr>
          <w:rFonts w:eastAsiaTheme="minorEastAsia"/>
          <w:sz w:val="24"/>
        </w:rPr>
        <w:br w:type="page"/>
      </w:r>
    </w:p>
    <w:p w14:paraId="287C470B">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78201C3">
      <w:pPr>
        <w:widowControl/>
        <w:jc w:val="left"/>
        <w:rPr>
          <w:rFonts w:eastAsiaTheme="minorEastAsia"/>
          <w:b/>
          <w:bCs/>
          <w:sz w:val="24"/>
          <w:szCs w:val="20"/>
          <w:highlight w:val="none"/>
        </w:rPr>
      </w:pPr>
      <w:r>
        <w:rPr>
          <w:rFonts w:hint="eastAsia" w:eastAsiaTheme="minorEastAsia"/>
          <w:b/>
          <w:bCs/>
          <w:sz w:val="24"/>
          <w:szCs w:val="20"/>
          <w:highlight w:val="none"/>
        </w:rPr>
        <w:t>1）供应商须同时具有有效的电力工程施工总承包三级（含）以上资质证书、《承装（修、试）电力设施许可证》（许可类别和等级：承装类、承修类、承试类五级及以上）及有效的安全生产许可证；</w:t>
      </w:r>
    </w:p>
    <w:p w14:paraId="7EE0D7F5">
      <w:pPr>
        <w:widowControl/>
        <w:jc w:val="left"/>
        <w:rPr>
          <w:rFonts w:eastAsiaTheme="minorEastAsia"/>
          <w:sz w:val="24"/>
          <w:szCs w:val="20"/>
          <w:highlight w:val="none"/>
        </w:rPr>
      </w:pPr>
      <w:r>
        <w:rPr>
          <w:rFonts w:hint="eastAsia" w:eastAsiaTheme="minorEastAsia"/>
          <w:sz w:val="24"/>
          <w:szCs w:val="20"/>
          <w:highlight w:val="none"/>
        </w:rPr>
        <w:t>注：需提供相关证书复印件并加盖供应商公章。</w:t>
      </w:r>
    </w:p>
    <w:p w14:paraId="5EA35271">
      <w:pPr>
        <w:widowControl/>
        <w:jc w:val="left"/>
        <w:rPr>
          <w:rFonts w:eastAsiaTheme="minorEastAsia"/>
          <w:sz w:val="24"/>
          <w:szCs w:val="20"/>
          <w:highlight w:val="yellow"/>
        </w:rPr>
      </w:pPr>
    </w:p>
    <w:p w14:paraId="76ADC6B7">
      <w:pPr>
        <w:widowControl/>
        <w:jc w:val="left"/>
        <w:rPr>
          <w:rFonts w:eastAsiaTheme="minorEastAsia"/>
          <w:sz w:val="24"/>
          <w:szCs w:val="20"/>
          <w:highlight w:val="yellow"/>
        </w:rPr>
      </w:pPr>
    </w:p>
    <w:p w14:paraId="3B75186F">
      <w:pPr>
        <w:widowControl/>
        <w:jc w:val="left"/>
        <w:rPr>
          <w:rFonts w:eastAsiaTheme="minorEastAsia"/>
          <w:sz w:val="24"/>
          <w:szCs w:val="20"/>
          <w:highlight w:val="yellow"/>
        </w:rPr>
      </w:pPr>
    </w:p>
    <w:p w14:paraId="1F686A90">
      <w:pPr>
        <w:widowControl/>
        <w:jc w:val="left"/>
        <w:rPr>
          <w:rFonts w:eastAsiaTheme="minorEastAsia"/>
          <w:b/>
          <w:bCs/>
          <w:sz w:val="24"/>
          <w:szCs w:val="20"/>
          <w:highlight w:val="none"/>
        </w:rPr>
      </w:pPr>
      <w:r>
        <w:rPr>
          <w:rFonts w:hint="eastAsia" w:eastAsiaTheme="minorEastAsia"/>
          <w:b/>
          <w:bCs/>
          <w:sz w:val="24"/>
          <w:szCs w:val="20"/>
          <w:highlight w:val="none"/>
        </w:rPr>
        <w:t>2）非北京市建筑企业，应提供有效的《外省市建筑业企业进京施工备案信息》</w:t>
      </w:r>
    </w:p>
    <w:p w14:paraId="3420A04E">
      <w:pPr>
        <w:widowControl/>
        <w:jc w:val="left"/>
        <w:rPr>
          <w:rFonts w:eastAsiaTheme="minorEastAsia"/>
          <w:sz w:val="24"/>
          <w:szCs w:val="20"/>
          <w:highlight w:val="none"/>
        </w:rPr>
      </w:pPr>
      <w:r>
        <w:rPr>
          <w:rFonts w:hint="eastAsia" w:eastAsiaTheme="minorEastAsia"/>
          <w:sz w:val="24"/>
          <w:szCs w:val="20"/>
          <w:highlight w:val="none"/>
        </w:rPr>
        <w:t>注：需提供证明文件并加盖供应商公章。</w:t>
      </w:r>
    </w:p>
    <w:p w14:paraId="094DFCC0">
      <w:pPr>
        <w:widowControl/>
        <w:jc w:val="left"/>
        <w:rPr>
          <w:rFonts w:eastAsiaTheme="minorEastAsia"/>
          <w:sz w:val="24"/>
          <w:szCs w:val="20"/>
          <w:highlight w:val="yellow"/>
        </w:rPr>
      </w:pPr>
    </w:p>
    <w:p w14:paraId="1D16A2ED">
      <w:pPr>
        <w:widowControl/>
        <w:jc w:val="left"/>
        <w:rPr>
          <w:rFonts w:eastAsiaTheme="minorEastAsia"/>
          <w:sz w:val="24"/>
          <w:szCs w:val="20"/>
          <w:highlight w:val="yellow"/>
        </w:rPr>
      </w:pPr>
    </w:p>
    <w:p w14:paraId="25B068E5">
      <w:pPr>
        <w:widowControl/>
        <w:jc w:val="left"/>
        <w:rPr>
          <w:rFonts w:eastAsiaTheme="minorEastAsia"/>
          <w:sz w:val="24"/>
          <w:szCs w:val="20"/>
          <w:highlight w:val="yellow"/>
        </w:rPr>
      </w:pPr>
    </w:p>
    <w:p w14:paraId="35B99479">
      <w:pPr>
        <w:widowControl/>
        <w:jc w:val="left"/>
        <w:rPr>
          <w:rFonts w:eastAsiaTheme="minorEastAsia"/>
          <w:b/>
          <w:bCs/>
          <w:sz w:val="24"/>
          <w:szCs w:val="20"/>
          <w:highlight w:val="none"/>
        </w:rPr>
      </w:pPr>
      <w:r>
        <w:rPr>
          <w:rFonts w:hint="eastAsia" w:eastAsiaTheme="minorEastAsia"/>
          <w:b/>
          <w:bCs/>
          <w:sz w:val="24"/>
          <w:szCs w:val="20"/>
          <w:highlight w:val="none"/>
        </w:rPr>
        <w:t>3）项目经理须具有机电工程专业二级（含）以上注册建造师执业资格和有效的安全生产考核合格证书（简称B本），且在确定成交时不得担任其他在施建设工程的项目经理；</w:t>
      </w:r>
    </w:p>
    <w:p w14:paraId="46E1E025">
      <w:pPr>
        <w:widowControl/>
        <w:jc w:val="left"/>
        <w:rPr>
          <w:rFonts w:eastAsiaTheme="minorEastAsia"/>
          <w:sz w:val="24"/>
          <w:szCs w:val="20"/>
          <w:highlight w:val="none"/>
        </w:rPr>
      </w:pPr>
      <w:r>
        <w:rPr>
          <w:rFonts w:hint="eastAsia" w:eastAsiaTheme="minorEastAsia"/>
          <w:sz w:val="24"/>
          <w:szCs w:val="20"/>
          <w:highlight w:val="none"/>
        </w:rPr>
        <w:t>注：①需提供项目经理相关证书复印件并加盖供应商公章；</w:t>
      </w:r>
    </w:p>
    <w:p w14:paraId="4690761C">
      <w:pPr>
        <w:widowControl/>
        <w:ind w:firstLine="480" w:firstLineChars="200"/>
        <w:jc w:val="left"/>
        <w:rPr>
          <w:rFonts w:eastAsiaTheme="minorEastAsia"/>
          <w:sz w:val="24"/>
          <w:szCs w:val="20"/>
          <w:highlight w:val="none"/>
        </w:rPr>
      </w:pPr>
      <w:r>
        <w:rPr>
          <w:rFonts w:hint="eastAsia" w:eastAsiaTheme="minorEastAsia"/>
          <w:sz w:val="24"/>
          <w:szCs w:val="20"/>
          <w:highlight w:val="none"/>
        </w:rPr>
        <w:t>②需提供在确定成交供应商时不得担任其他在施建设工程的项目经理的承诺书并加盖供应商公章。（格式自拟）</w:t>
      </w:r>
    </w:p>
    <w:p w14:paraId="1EF1ECD5">
      <w:pPr>
        <w:widowControl/>
        <w:jc w:val="left"/>
        <w:rPr>
          <w:rFonts w:eastAsiaTheme="minorEastAsia"/>
          <w:sz w:val="24"/>
          <w:szCs w:val="20"/>
          <w:highlight w:val="yellow"/>
        </w:rPr>
      </w:pPr>
    </w:p>
    <w:p w14:paraId="7349EA47">
      <w:pPr>
        <w:widowControl/>
        <w:jc w:val="left"/>
        <w:rPr>
          <w:rFonts w:eastAsiaTheme="minorEastAsia"/>
          <w:sz w:val="24"/>
          <w:szCs w:val="20"/>
          <w:highlight w:val="yellow"/>
        </w:rPr>
      </w:pPr>
    </w:p>
    <w:p w14:paraId="10B251F7">
      <w:pPr>
        <w:widowControl/>
        <w:jc w:val="left"/>
        <w:rPr>
          <w:rFonts w:eastAsiaTheme="minorEastAsia"/>
          <w:sz w:val="24"/>
          <w:szCs w:val="20"/>
          <w:highlight w:val="yellow"/>
        </w:rPr>
      </w:pPr>
    </w:p>
    <w:p w14:paraId="05404D81">
      <w:pPr>
        <w:widowControl/>
        <w:jc w:val="left"/>
        <w:rPr>
          <w:rFonts w:eastAsiaTheme="minorEastAsia"/>
          <w:b/>
          <w:bCs/>
          <w:sz w:val="24"/>
          <w:szCs w:val="20"/>
          <w:highlight w:val="none"/>
        </w:rPr>
      </w:pPr>
      <w:r>
        <w:rPr>
          <w:rFonts w:hint="eastAsia" w:eastAsiaTheme="minorEastAsia"/>
          <w:b/>
          <w:bCs/>
          <w:sz w:val="24"/>
          <w:szCs w:val="20"/>
          <w:highlight w:val="none"/>
        </w:rPr>
        <w:t>4）供应商没有处于被责令停业，投标资格被取消，财产被接管、冻结，破产状态；</w:t>
      </w:r>
    </w:p>
    <w:p w14:paraId="598644DF">
      <w:pPr>
        <w:widowControl/>
        <w:jc w:val="left"/>
        <w:rPr>
          <w:rFonts w:eastAsiaTheme="minorEastAsia"/>
          <w:b/>
          <w:bCs/>
          <w:sz w:val="24"/>
          <w:szCs w:val="20"/>
          <w:highlight w:val="none"/>
        </w:rPr>
      </w:pPr>
      <w:r>
        <w:rPr>
          <w:rFonts w:hint="eastAsia" w:eastAsiaTheme="minorEastAsia"/>
          <w:b/>
          <w:bCs/>
          <w:sz w:val="24"/>
          <w:szCs w:val="20"/>
          <w:highlight w:val="none"/>
        </w:rPr>
        <w:t>5）供应商在最近三年内没有骗取中标和严重违约及重大工程质量问题；</w:t>
      </w:r>
    </w:p>
    <w:p w14:paraId="379778F4">
      <w:pPr>
        <w:widowControl/>
        <w:jc w:val="left"/>
        <w:rPr>
          <w:rFonts w:eastAsiaTheme="minorEastAsia"/>
          <w:sz w:val="24"/>
          <w:highlight w:val="none"/>
        </w:rPr>
      </w:pPr>
      <w:r>
        <w:rPr>
          <w:rFonts w:hint="eastAsia" w:eastAsiaTheme="minorEastAsia"/>
          <w:sz w:val="24"/>
          <w:szCs w:val="20"/>
          <w:highlight w:val="none"/>
        </w:rPr>
        <w:t>注：4）、5）项需提供承诺书并加盖供应商公章（格式自拟）</w:t>
      </w:r>
    </w:p>
    <w:p w14:paraId="7496E81F">
      <w:pPr>
        <w:tabs>
          <w:tab w:val="left" w:pos="5580"/>
        </w:tabs>
        <w:spacing w:line="360" w:lineRule="auto"/>
        <w:rPr>
          <w:rFonts w:eastAsiaTheme="minorEastAsia"/>
          <w:sz w:val="24"/>
          <w:highlight w:val="none"/>
        </w:rPr>
      </w:pPr>
    </w:p>
    <w:p w14:paraId="63DD5839">
      <w:pPr>
        <w:widowControl/>
        <w:jc w:val="left"/>
        <w:rPr>
          <w:rFonts w:eastAsiaTheme="minorEastAsia"/>
          <w:sz w:val="24"/>
          <w:szCs w:val="20"/>
          <w:highlight w:val="yellow"/>
        </w:rPr>
      </w:pPr>
      <w:r>
        <w:rPr>
          <w:rFonts w:eastAsiaTheme="minorEastAsia"/>
          <w:sz w:val="24"/>
          <w:szCs w:val="20"/>
          <w:highlight w:val="yellow"/>
        </w:rPr>
        <w:br w:type="page"/>
      </w:r>
    </w:p>
    <w:p w14:paraId="25A56F3E">
      <w:pPr>
        <w:tabs>
          <w:tab w:val="left" w:pos="360"/>
        </w:tabs>
        <w:snapToGrid w:val="0"/>
        <w:spacing w:line="360" w:lineRule="auto"/>
        <w:outlineLvl w:val="1"/>
        <w:rPr>
          <w:rFonts w:eastAsiaTheme="minorEastAsia"/>
          <w:sz w:val="24"/>
        </w:rPr>
      </w:pPr>
      <w:r>
        <w:rPr>
          <w:rFonts w:eastAsiaTheme="minorEastAsia"/>
          <w:sz w:val="24"/>
        </w:rPr>
        <w:t>4 磋商保证金凭证/交款单据</w:t>
      </w:r>
    </w:p>
    <w:p w14:paraId="65686574">
      <w:pPr>
        <w:widowControl/>
        <w:jc w:val="left"/>
        <w:rPr>
          <w:rFonts w:eastAsiaTheme="minorEastAsia"/>
          <w:kern w:val="0"/>
          <w:sz w:val="24"/>
          <w:szCs w:val="20"/>
        </w:rPr>
      </w:pPr>
      <w:r>
        <w:rPr>
          <w:rFonts w:eastAsiaTheme="minorEastAsia"/>
          <w:b/>
          <w:sz w:val="24"/>
        </w:rPr>
        <w:br w:type="page"/>
      </w:r>
    </w:p>
    <w:p w14:paraId="597F81C2">
      <w:pPr>
        <w:tabs>
          <w:tab w:val="left" w:pos="360"/>
        </w:tabs>
        <w:snapToGrid w:val="0"/>
        <w:spacing w:line="360" w:lineRule="auto"/>
        <w:outlineLvl w:val="1"/>
        <w:rPr>
          <w:rFonts w:eastAsiaTheme="minorEastAsia"/>
          <w:sz w:val="24"/>
        </w:rPr>
      </w:pPr>
      <w:bookmarkStart w:id="677" w:name="_Hlt520273711"/>
      <w:bookmarkEnd w:id="677"/>
      <w:bookmarkStart w:id="678" w:name="_Hlt520274065"/>
      <w:bookmarkEnd w:id="678"/>
      <w:bookmarkStart w:id="679" w:name="_Hlt520271212"/>
      <w:bookmarkEnd w:id="679"/>
      <w:bookmarkStart w:id="680" w:name="_Hlt520274393"/>
      <w:bookmarkEnd w:id="680"/>
      <w:bookmarkStart w:id="681" w:name="_Hlt520343392"/>
      <w:bookmarkEnd w:id="681"/>
      <w:bookmarkStart w:id="682" w:name="_Hlt520274407"/>
      <w:bookmarkEnd w:id="682"/>
      <w:bookmarkStart w:id="683" w:name="_Hlt520350918"/>
      <w:bookmarkEnd w:id="683"/>
      <w:bookmarkStart w:id="684" w:name="_Hlt520274121"/>
      <w:bookmarkEnd w:id="684"/>
      <w:bookmarkStart w:id="685" w:name="_Hlt520355504"/>
      <w:bookmarkEnd w:id="685"/>
      <w:bookmarkStart w:id="686" w:name="_Hlt520343000"/>
      <w:bookmarkEnd w:id="686"/>
      <w:bookmarkStart w:id="687" w:name="_Toc480942349"/>
      <w:bookmarkStart w:id="688" w:name="_Ref467988698"/>
      <w:bookmarkStart w:id="689" w:name="_Toc142311058"/>
      <w:bookmarkStart w:id="690" w:name="_Toc226309800"/>
      <w:bookmarkStart w:id="691" w:name="_Toc150774761"/>
      <w:bookmarkStart w:id="692" w:name="_Toc127151556"/>
      <w:bookmarkStart w:id="693" w:name="_Toc226965829"/>
      <w:bookmarkStart w:id="694" w:name="_Toc150480794"/>
      <w:bookmarkStart w:id="695" w:name="_Toc226337252"/>
      <w:bookmarkStart w:id="696" w:name="_Toc226965746"/>
      <w:bookmarkStart w:id="697" w:name="_Toc520356217"/>
      <w:bookmarkStart w:id="698" w:name="_Toc195842921"/>
      <w:r>
        <w:rPr>
          <w:rFonts w:eastAsiaTheme="minorEastAsia"/>
          <w:sz w:val="24"/>
        </w:rPr>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562F5252">
      <w:pPr>
        <w:tabs>
          <w:tab w:val="left" w:pos="5580"/>
        </w:tabs>
        <w:spacing w:line="360" w:lineRule="auto"/>
        <w:rPr>
          <w:rFonts w:eastAsiaTheme="minorEastAsia"/>
          <w:color w:val="000000"/>
          <w:sz w:val="24"/>
        </w:rPr>
      </w:pPr>
    </w:p>
    <w:p w14:paraId="2633A13B">
      <w:pPr>
        <w:spacing w:line="360" w:lineRule="auto"/>
        <w:jc w:val="center"/>
        <w:rPr>
          <w:rFonts w:eastAsiaTheme="minorEastAsia"/>
          <w:b/>
          <w:color w:val="000000"/>
          <w:sz w:val="36"/>
          <w:szCs w:val="36"/>
        </w:rPr>
      </w:pPr>
      <w:r>
        <w:rPr>
          <w:rFonts w:eastAsiaTheme="minorEastAsia"/>
          <w:b/>
          <w:color w:val="000000"/>
          <w:sz w:val="36"/>
          <w:szCs w:val="36"/>
        </w:rPr>
        <w:t>响应书</w:t>
      </w:r>
    </w:p>
    <w:p w14:paraId="4815278A">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19BB914">
      <w:pPr>
        <w:tabs>
          <w:tab w:val="left" w:pos="5580"/>
        </w:tabs>
        <w:spacing w:line="360" w:lineRule="auto"/>
        <w:rPr>
          <w:rFonts w:eastAsiaTheme="minorEastAsia"/>
          <w:color w:val="000000"/>
          <w:sz w:val="24"/>
          <w:szCs w:val="20"/>
        </w:rPr>
      </w:pPr>
    </w:p>
    <w:p w14:paraId="5854CCEA">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5B8FBAB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5F4B5382">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36642942">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530CC6D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7030AFF3">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507BF818">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1599FCAD">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A7D3524">
      <w:pPr>
        <w:tabs>
          <w:tab w:val="left" w:pos="5580"/>
        </w:tabs>
        <w:spacing w:line="360" w:lineRule="auto"/>
        <w:ind w:left="420"/>
        <w:rPr>
          <w:rFonts w:eastAsiaTheme="minorEastAsia"/>
          <w:color w:val="000000"/>
          <w:sz w:val="24"/>
          <w:szCs w:val="20"/>
        </w:rPr>
      </w:pPr>
    </w:p>
    <w:p w14:paraId="5A69F5B6">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34033984">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7C49F016">
      <w:pPr>
        <w:tabs>
          <w:tab w:val="left" w:pos="5580"/>
        </w:tabs>
        <w:spacing w:line="360" w:lineRule="auto"/>
        <w:ind w:left="420"/>
        <w:rPr>
          <w:rFonts w:eastAsiaTheme="minorEastAsia"/>
          <w:color w:val="000000"/>
          <w:sz w:val="24"/>
          <w:szCs w:val="20"/>
        </w:rPr>
      </w:pPr>
    </w:p>
    <w:p w14:paraId="51663700">
      <w:pPr>
        <w:tabs>
          <w:tab w:val="left" w:pos="5580"/>
        </w:tabs>
        <w:spacing w:line="360" w:lineRule="auto"/>
        <w:ind w:left="420"/>
        <w:rPr>
          <w:rFonts w:eastAsiaTheme="minorEastAsia"/>
          <w:color w:val="000000"/>
          <w:sz w:val="24"/>
          <w:szCs w:val="20"/>
        </w:rPr>
      </w:pPr>
    </w:p>
    <w:p w14:paraId="7464166F">
      <w:pPr>
        <w:tabs>
          <w:tab w:val="left" w:pos="5580"/>
        </w:tabs>
        <w:spacing w:line="360" w:lineRule="auto"/>
        <w:ind w:left="420"/>
        <w:rPr>
          <w:rFonts w:eastAsiaTheme="minorEastAsia"/>
          <w:color w:val="000000"/>
          <w:sz w:val="24"/>
          <w:szCs w:val="20"/>
        </w:rPr>
      </w:pPr>
    </w:p>
    <w:p w14:paraId="7A3B0BD4">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6D0D7D">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0B5699DD">
      <w:pPr>
        <w:tabs>
          <w:tab w:val="left" w:pos="5580"/>
        </w:tabs>
        <w:spacing w:line="360" w:lineRule="auto"/>
        <w:ind w:left="420"/>
        <w:jc w:val="left"/>
        <w:rPr>
          <w:rFonts w:eastAsiaTheme="minorEastAsia"/>
          <w:color w:val="000000"/>
          <w:sz w:val="24"/>
          <w:szCs w:val="20"/>
        </w:rPr>
      </w:pPr>
    </w:p>
    <w:p w14:paraId="471F4B90">
      <w:pPr>
        <w:widowControl/>
        <w:jc w:val="left"/>
        <w:rPr>
          <w:rFonts w:eastAsiaTheme="minorEastAsia"/>
          <w:b/>
          <w:color w:val="000000"/>
          <w:sz w:val="24"/>
          <w:szCs w:val="20"/>
        </w:rPr>
      </w:pPr>
      <w:r>
        <w:rPr>
          <w:rFonts w:eastAsiaTheme="minorEastAsia"/>
          <w:b/>
          <w:color w:val="000000"/>
          <w:sz w:val="24"/>
          <w:szCs w:val="20"/>
        </w:rPr>
        <w:br w:type="page"/>
      </w:r>
    </w:p>
    <w:p w14:paraId="161DF4E1">
      <w:pPr>
        <w:tabs>
          <w:tab w:val="left" w:pos="360"/>
        </w:tabs>
        <w:snapToGrid w:val="0"/>
        <w:spacing w:line="360" w:lineRule="auto"/>
        <w:outlineLvl w:val="1"/>
        <w:rPr>
          <w:rFonts w:eastAsiaTheme="minorEastAsia"/>
          <w:sz w:val="24"/>
        </w:rPr>
      </w:pPr>
      <w:bookmarkStart w:id="699" w:name="_Hlt520355938"/>
      <w:bookmarkEnd w:id="699"/>
      <w:bookmarkStart w:id="700" w:name="_Hlt520356243"/>
      <w:bookmarkEnd w:id="700"/>
      <w:bookmarkStart w:id="701" w:name="_Toc305158825"/>
      <w:bookmarkStart w:id="702" w:name="_Toc520356218"/>
      <w:bookmarkStart w:id="703" w:name="_Toc305158899"/>
      <w:bookmarkStart w:id="704" w:name="_Ref467988705"/>
      <w:bookmarkStart w:id="705" w:name="_Toc226965830"/>
      <w:bookmarkStart w:id="706" w:name="_Toc265228395"/>
      <w:bookmarkStart w:id="707" w:name="_Toc226309801"/>
      <w:bookmarkStart w:id="708" w:name="_Toc264969247"/>
      <w:bookmarkStart w:id="709" w:name="_Toc195842922"/>
      <w:bookmarkStart w:id="710" w:name="_Toc226337253"/>
      <w:bookmarkStart w:id="711" w:name="_Toc142311059"/>
      <w:bookmarkStart w:id="712" w:name="_Toc150480795"/>
      <w:bookmarkStart w:id="713" w:name="_Toc226965747"/>
      <w:bookmarkStart w:id="714" w:name="_Toc150774762"/>
      <w:bookmarkStart w:id="715" w:name="_Toc480942350"/>
      <w:bookmarkStart w:id="716" w:name="_Toc127151557"/>
      <w:r>
        <w:rPr>
          <w:rFonts w:eastAsiaTheme="minorEastAsia"/>
          <w:sz w:val="24"/>
        </w:rPr>
        <w:t>6  授权委托书（实质性格式）</w:t>
      </w:r>
    </w:p>
    <w:p w14:paraId="0A075E8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3252F756">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7EDA9F4">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EE08E35">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5E32D707">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D7361E7">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76166A0C">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0D560603">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0CACB666">
      <w:pPr>
        <w:tabs>
          <w:tab w:val="left" w:pos="5580"/>
        </w:tabs>
        <w:spacing w:line="360" w:lineRule="auto"/>
        <w:ind w:firstLine="480" w:firstLineChars="200"/>
        <w:rPr>
          <w:rFonts w:eastAsiaTheme="minorEastAsia"/>
          <w:color w:val="000000"/>
          <w:sz w:val="24"/>
          <w:szCs w:val="20"/>
        </w:rPr>
      </w:pPr>
    </w:p>
    <w:p w14:paraId="64EEC516">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p>
    <w:p w14:paraId="5430388B">
      <w:pPr>
        <w:tabs>
          <w:tab w:val="left" w:pos="5580"/>
        </w:tabs>
        <w:spacing w:line="360" w:lineRule="auto"/>
        <w:jc w:val="left"/>
        <w:rPr>
          <w:rFonts w:eastAsiaTheme="minorEastAsia"/>
          <w:color w:val="000000"/>
          <w:sz w:val="24"/>
          <w:szCs w:val="20"/>
        </w:rPr>
      </w:pPr>
    </w:p>
    <w:p w14:paraId="26CFA223">
      <w:pPr>
        <w:tabs>
          <w:tab w:val="left" w:pos="5580"/>
        </w:tabs>
        <w:spacing w:line="360" w:lineRule="auto"/>
        <w:jc w:val="left"/>
        <w:rPr>
          <w:rFonts w:eastAsiaTheme="minorEastAsia"/>
          <w:color w:val="000000"/>
          <w:sz w:val="24"/>
          <w:szCs w:val="20"/>
        </w:rPr>
      </w:pPr>
    </w:p>
    <w:p w14:paraId="5EB13DEC">
      <w:pPr>
        <w:tabs>
          <w:tab w:val="left" w:pos="5580"/>
        </w:tabs>
        <w:spacing w:line="360" w:lineRule="auto"/>
        <w:jc w:val="left"/>
        <w:rPr>
          <w:rFonts w:eastAsiaTheme="minorEastAsia"/>
          <w:color w:val="000000"/>
          <w:sz w:val="24"/>
          <w:szCs w:val="20"/>
        </w:rPr>
      </w:pPr>
    </w:p>
    <w:p w14:paraId="0BE9125D">
      <w:pPr>
        <w:tabs>
          <w:tab w:val="left" w:pos="5580"/>
        </w:tabs>
        <w:spacing w:line="360" w:lineRule="auto"/>
        <w:jc w:val="left"/>
        <w:rPr>
          <w:rFonts w:eastAsiaTheme="minorEastAsia"/>
          <w:color w:val="000000"/>
          <w:sz w:val="24"/>
          <w:szCs w:val="20"/>
        </w:rPr>
      </w:pPr>
    </w:p>
    <w:p w14:paraId="083A942C">
      <w:pPr>
        <w:tabs>
          <w:tab w:val="left" w:pos="5580"/>
        </w:tabs>
        <w:spacing w:line="360" w:lineRule="auto"/>
        <w:jc w:val="left"/>
        <w:rPr>
          <w:rFonts w:eastAsiaTheme="minorEastAsia"/>
          <w:color w:val="000000"/>
          <w:sz w:val="24"/>
          <w:szCs w:val="20"/>
        </w:rPr>
      </w:pPr>
    </w:p>
    <w:p w14:paraId="32528555">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53EBFE53">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D4CC313">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619FB036">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6274D6A3">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护照等身份证明文件。提供身份证的，应同时提供身份证</w:t>
      </w:r>
      <w:r>
        <w:rPr>
          <w:b/>
          <w:color w:val="000000"/>
          <w:sz w:val="24"/>
          <w:szCs w:val="20"/>
        </w:rPr>
        <w:t>双面</w:t>
      </w:r>
      <w:r>
        <w:rPr>
          <w:color w:val="000000"/>
          <w:sz w:val="24"/>
          <w:szCs w:val="20"/>
        </w:rPr>
        <w:t>。</w:t>
      </w:r>
      <w:r>
        <w:rPr>
          <w:rFonts w:eastAsiaTheme="minorEastAsia"/>
          <w:color w:val="000000"/>
          <w:sz w:val="30"/>
          <w:szCs w:val="30"/>
        </w:rPr>
        <w:br w:type="page"/>
      </w:r>
    </w:p>
    <w:p w14:paraId="0940B33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30381F3F">
      <w:pPr>
        <w:kinsoku w:val="0"/>
        <w:overflowPunct w:val="0"/>
        <w:spacing w:line="200" w:lineRule="exact"/>
        <w:rPr>
          <w:rFonts w:eastAsiaTheme="minorEastAsia"/>
          <w:sz w:val="20"/>
          <w:szCs w:val="20"/>
        </w:rPr>
      </w:pPr>
    </w:p>
    <w:p w14:paraId="6A220286">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5983D8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C253DB7">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BA701B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0A46960">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12AECC6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01A15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9B2299C">
      <w:pPr>
        <w:pStyle w:val="17"/>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p>
    <w:p w14:paraId="29967AD9">
      <w:pPr>
        <w:pStyle w:val="17"/>
        <w:kinsoku w:val="0"/>
        <w:overflowPunct w:val="0"/>
        <w:spacing w:line="583" w:lineRule="auto"/>
        <w:ind w:right="4305"/>
        <w:rPr>
          <w:rFonts w:ascii="Times New Roman" w:hAnsi="Times New Roman" w:eastAsiaTheme="minorEastAsia"/>
          <w:spacing w:val="-3"/>
        </w:rPr>
      </w:pPr>
    </w:p>
    <w:p w14:paraId="3D0A307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8E395F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06974C8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01A8A4D6">
      <w:pPr>
        <w:widowControl/>
        <w:jc w:val="left"/>
        <w:rPr>
          <w:rFonts w:eastAsiaTheme="minorEastAsia"/>
          <w:i/>
          <w:color w:val="000000"/>
          <w:sz w:val="24"/>
          <w:szCs w:val="20"/>
          <w:u w:val="single"/>
        </w:rPr>
      </w:pPr>
    </w:p>
    <w:p w14:paraId="4DB6AB13">
      <w:pPr>
        <w:widowControl/>
        <w:jc w:val="left"/>
        <w:rPr>
          <w:rFonts w:eastAsiaTheme="minorEastAsia"/>
          <w:color w:val="000000"/>
          <w:sz w:val="24"/>
          <w:szCs w:val="20"/>
        </w:rPr>
      </w:pPr>
      <w:r>
        <w:rPr>
          <w:rFonts w:eastAsiaTheme="minorEastAsia"/>
          <w:color w:val="000000"/>
          <w:sz w:val="24"/>
          <w:szCs w:val="20"/>
        </w:rPr>
        <w:br w:type="page"/>
      </w:r>
    </w:p>
    <w:p w14:paraId="73EAD15A">
      <w:pPr>
        <w:tabs>
          <w:tab w:val="left" w:pos="360"/>
        </w:tabs>
        <w:snapToGrid w:val="0"/>
        <w:spacing w:line="360" w:lineRule="auto"/>
        <w:outlineLvl w:val="1"/>
        <w:rPr>
          <w:rFonts w:eastAsiaTheme="minorEastAsia"/>
          <w:sz w:val="24"/>
        </w:rPr>
      </w:pPr>
      <w:r>
        <w:rPr>
          <w:rFonts w:eastAsiaTheme="minorEastAsia"/>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87D5A51">
      <w:pPr>
        <w:spacing w:line="360" w:lineRule="exact"/>
        <w:jc w:val="center"/>
        <w:rPr>
          <w:rFonts w:eastAsiaTheme="minorEastAsia"/>
          <w:b/>
          <w:color w:val="000000"/>
          <w:sz w:val="36"/>
          <w:szCs w:val="36"/>
        </w:rPr>
      </w:pPr>
      <w:bookmarkStart w:id="717" w:name="_Toc305158900"/>
      <w:bookmarkStart w:id="718" w:name="_Toc264969248"/>
      <w:bookmarkStart w:id="719" w:name="_Toc195842923"/>
      <w:bookmarkStart w:id="720" w:name="_Toc164608827"/>
      <w:bookmarkStart w:id="721" w:name="_Toc226965831"/>
      <w:bookmarkStart w:id="722" w:name="_Toc164608672"/>
      <w:bookmarkStart w:id="723" w:name="_Toc226337254"/>
      <w:bookmarkStart w:id="724" w:name="_Toc226309802"/>
      <w:bookmarkStart w:id="725" w:name="_Toc305158826"/>
      <w:bookmarkStart w:id="726" w:name="_Toc265228396"/>
      <w:bookmarkStart w:id="727" w:name="_Toc226965748"/>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0356A57F">
      <w:pPr>
        <w:tabs>
          <w:tab w:val="left" w:pos="1800"/>
          <w:tab w:val="left" w:pos="5580"/>
        </w:tabs>
        <w:spacing w:line="360" w:lineRule="auto"/>
        <w:jc w:val="left"/>
        <w:rPr>
          <w:rFonts w:eastAsiaTheme="minorEastAsia"/>
          <w:color w:val="000000"/>
          <w:sz w:val="24"/>
        </w:rPr>
      </w:pPr>
    </w:p>
    <w:p w14:paraId="77000E57">
      <w:pPr>
        <w:tabs>
          <w:tab w:val="left" w:pos="1800"/>
          <w:tab w:val="left" w:pos="5580"/>
        </w:tabs>
        <w:spacing w:line="360" w:lineRule="auto"/>
        <w:jc w:val="left"/>
        <w:rPr>
          <w:i/>
          <w:color w:val="FF0000"/>
          <w:sz w:val="24"/>
        </w:rPr>
      </w:pPr>
      <w:r>
        <w:rPr>
          <w:i/>
          <w:color w:val="FF0000"/>
          <w:sz w:val="24"/>
        </w:rPr>
        <w:t>（格式示例：适用于投报总价的项目）</w:t>
      </w:r>
    </w:p>
    <w:p w14:paraId="6F1BADCE">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14F6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3F3BA402">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181DCAC">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03525B79">
            <w:pPr>
              <w:tabs>
                <w:tab w:val="left" w:pos="5580"/>
              </w:tabs>
              <w:jc w:val="center"/>
              <w:rPr>
                <w:rFonts w:eastAsiaTheme="minorEastAsia"/>
                <w:b/>
                <w:sz w:val="24"/>
              </w:rPr>
            </w:pPr>
            <w:r>
              <w:rPr>
                <w:rFonts w:eastAsiaTheme="minorEastAsia"/>
                <w:b/>
                <w:sz w:val="24"/>
              </w:rPr>
              <w:t>报价</w:t>
            </w:r>
            <w:r>
              <w:rPr>
                <w:rFonts w:hint="eastAsia" w:eastAsiaTheme="minorEastAsia"/>
                <w:b/>
                <w:sz w:val="24"/>
              </w:rPr>
              <w:t>（人民币元）</w:t>
            </w:r>
          </w:p>
        </w:tc>
      </w:tr>
      <w:tr w14:paraId="1F78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08D69BB1">
            <w:pPr>
              <w:widowControl/>
              <w:jc w:val="left"/>
              <w:rPr>
                <w:rFonts w:eastAsiaTheme="minorEastAsia"/>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51BF2460">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6CBDE1D">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CE76F30">
            <w:pPr>
              <w:tabs>
                <w:tab w:val="left" w:pos="5580"/>
              </w:tabs>
              <w:jc w:val="center"/>
              <w:rPr>
                <w:rFonts w:eastAsiaTheme="minorEastAsia"/>
                <w:b/>
                <w:sz w:val="24"/>
              </w:rPr>
            </w:pPr>
            <w:r>
              <w:rPr>
                <w:rFonts w:eastAsiaTheme="minorEastAsia"/>
                <w:b/>
                <w:sz w:val="24"/>
              </w:rPr>
              <w:t>小写</w:t>
            </w:r>
          </w:p>
        </w:tc>
      </w:tr>
      <w:tr w14:paraId="41DA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3D54A98B">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8264D42">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4BFC0F9">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2E02333F">
            <w:pPr>
              <w:tabs>
                <w:tab w:val="left" w:pos="5580"/>
              </w:tabs>
              <w:jc w:val="center"/>
              <w:rPr>
                <w:rFonts w:eastAsiaTheme="minorEastAsia"/>
                <w:sz w:val="24"/>
              </w:rPr>
            </w:pPr>
          </w:p>
        </w:tc>
      </w:tr>
    </w:tbl>
    <w:p w14:paraId="0F8E553B">
      <w:pPr>
        <w:autoSpaceDE w:val="0"/>
        <w:autoSpaceDN w:val="0"/>
        <w:adjustRightInd w:val="0"/>
        <w:jc w:val="left"/>
        <w:rPr>
          <w:rFonts w:eastAsiaTheme="minorEastAsia"/>
          <w:color w:val="000000"/>
          <w:kern w:val="0"/>
          <w:sz w:val="24"/>
        </w:rPr>
      </w:pPr>
    </w:p>
    <w:p w14:paraId="2A95A8B6">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93535CA">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645106F9">
      <w:pPr>
        <w:tabs>
          <w:tab w:val="left" w:pos="5580"/>
        </w:tabs>
        <w:ind w:firstLine="480" w:firstLineChars="200"/>
        <w:rPr>
          <w:rFonts w:eastAsiaTheme="minorEastAsia"/>
          <w:color w:val="000000"/>
          <w:sz w:val="24"/>
          <w:szCs w:val="20"/>
        </w:rPr>
      </w:pPr>
    </w:p>
    <w:p w14:paraId="3EE90423">
      <w:pPr>
        <w:autoSpaceDE w:val="0"/>
        <w:autoSpaceDN w:val="0"/>
        <w:adjustRightInd w:val="0"/>
        <w:snapToGrid w:val="0"/>
        <w:spacing w:before="25" w:after="25" w:line="360" w:lineRule="auto"/>
        <w:rPr>
          <w:rFonts w:eastAsiaTheme="minorEastAsia"/>
          <w:color w:val="000000"/>
          <w:sz w:val="24"/>
          <w:lang w:val="zh-CN"/>
        </w:rPr>
      </w:pPr>
    </w:p>
    <w:p w14:paraId="26E02EA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F1BB9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6CDEC1B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5623C1BA">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1956015">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28" w:name="_Toc150480796"/>
      <w:bookmarkStart w:id="729" w:name="_Toc127151558"/>
      <w:bookmarkStart w:id="730" w:name="_Toc195842924"/>
      <w:bookmarkStart w:id="731" w:name="_Toc226309803"/>
      <w:bookmarkStart w:id="732" w:name="_Toc305158827"/>
      <w:bookmarkStart w:id="733" w:name="_Toc264969249"/>
      <w:bookmarkStart w:id="734" w:name="_Toc226965832"/>
      <w:bookmarkStart w:id="735" w:name="_Toc226337255"/>
      <w:bookmarkStart w:id="736" w:name="_Toc265228397"/>
      <w:bookmarkStart w:id="737" w:name="_Toc226965749"/>
      <w:bookmarkStart w:id="738" w:name="_Toc150774763"/>
      <w:bookmarkStart w:id="739" w:name="_Toc142311060"/>
      <w:bookmarkStart w:id="740" w:name="_Toc305158901"/>
    </w:p>
    <w:p w14:paraId="31156AD2">
      <w:pPr>
        <w:tabs>
          <w:tab w:val="left" w:pos="360"/>
        </w:tabs>
        <w:snapToGrid w:val="0"/>
        <w:spacing w:line="360" w:lineRule="auto"/>
        <w:outlineLvl w:val="1"/>
        <w:rPr>
          <w:rFonts w:eastAsiaTheme="minorEastAsia"/>
          <w:sz w:val="24"/>
        </w:rPr>
      </w:pPr>
      <w:r>
        <w:rPr>
          <w:rFonts w:eastAsiaTheme="minorEastAsia"/>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5C1BCB2D">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2CDE5CD1">
      <w:pPr>
        <w:spacing w:line="260" w:lineRule="exact"/>
        <w:jc w:val="center"/>
        <w:rPr>
          <w:rFonts w:eastAsiaTheme="minorEastAsia"/>
          <w:color w:val="000000"/>
          <w:sz w:val="36"/>
          <w:szCs w:val="36"/>
        </w:rPr>
      </w:pPr>
    </w:p>
    <w:p w14:paraId="1C35D69A">
      <w:pPr>
        <w:adjustRightInd w:val="0"/>
        <w:snapToGrid w:val="0"/>
        <w:spacing w:before="240" w:beforeLines="100" w:after="240" w:afterLines="100"/>
        <w:jc w:val="left"/>
        <w:rPr>
          <w:b/>
          <w:i/>
          <w:color w:val="FF0000"/>
          <w:sz w:val="24"/>
        </w:rPr>
      </w:pPr>
      <w:bookmarkStart w:id="741" w:name="_Hlk217395541"/>
      <w:r>
        <w:rPr>
          <w:rFonts w:hint="eastAsia"/>
          <w:b/>
          <w:i/>
          <w:color w:val="FF0000"/>
          <w:sz w:val="24"/>
        </w:rPr>
        <w:t>（格式示例一，适用于设备采购）</w:t>
      </w:r>
    </w:p>
    <w:p w14:paraId="2C4C1DA7">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76"/>
        <w:gridCol w:w="1234"/>
        <w:gridCol w:w="881"/>
        <w:gridCol w:w="1663"/>
        <w:gridCol w:w="1167"/>
        <w:gridCol w:w="1167"/>
        <w:gridCol w:w="1169"/>
        <w:gridCol w:w="1169"/>
        <w:gridCol w:w="1169"/>
        <w:gridCol w:w="959"/>
        <w:gridCol w:w="777"/>
        <w:gridCol w:w="11"/>
        <w:gridCol w:w="956"/>
        <w:gridCol w:w="8"/>
      </w:tblGrid>
      <w:tr w14:paraId="0442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3066048">
            <w:pPr>
              <w:adjustRightInd w:val="0"/>
              <w:snapToGrid w:val="0"/>
              <w:jc w:val="center"/>
              <w:rPr>
                <w:b/>
                <w:color w:val="000000"/>
                <w:sz w:val="24"/>
              </w:rPr>
            </w:pPr>
            <w:r>
              <w:rPr>
                <w:rFonts w:hint="eastAsia"/>
                <w:b/>
                <w:color w:val="000000"/>
                <w:sz w:val="24"/>
              </w:rPr>
              <w:t>序号</w:t>
            </w:r>
          </w:p>
        </w:tc>
        <w:tc>
          <w:tcPr>
            <w:tcW w:w="348" w:type="pct"/>
            <w:tcBorders>
              <w:top w:val="single" w:color="auto" w:sz="4" w:space="0"/>
              <w:left w:val="single" w:color="auto" w:sz="4" w:space="0"/>
              <w:bottom w:val="single" w:color="auto" w:sz="4" w:space="0"/>
              <w:right w:val="single" w:color="auto" w:sz="4" w:space="0"/>
            </w:tcBorders>
            <w:vAlign w:val="center"/>
          </w:tcPr>
          <w:p w14:paraId="6B1AA681">
            <w:pPr>
              <w:adjustRightInd w:val="0"/>
              <w:snapToGrid w:val="0"/>
              <w:jc w:val="center"/>
              <w:rPr>
                <w:b/>
                <w:color w:val="000000"/>
                <w:sz w:val="24"/>
              </w:rPr>
            </w:pPr>
            <w:r>
              <w:rPr>
                <w:rFonts w:hint="eastAsia"/>
                <w:b/>
                <w:color w:val="000000"/>
                <w:sz w:val="24"/>
              </w:rPr>
              <w:t>分项名称</w:t>
            </w:r>
          </w:p>
        </w:tc>
        <w:tc>
          <w:tcPr>
            <w:tcW w:w="440" w:type="pct"/>
            <w:tcBorders>
              <w:top w:val="single" w:color="auto" w:sz="4" w:space="0"/>
              <w:left w:val="single" w:color="auto" w:sz="4" w:space="0"/>
              <w:bottom w:val="single" w:color="auto" w:sz="4" w:space="0"/>
              <w:right w:val="single" w:color="auto" w:sz="4" w:space="0"/>
            </w:tcBorders>
            <w:vAlign w:val="center"/>
          </w:tcPr>
          <w:p w14:paraId="202CD022">
            <w:pPr>
              <w:adjustRightInd w:val="0"/>
              <w:snapToGrid w:val="0"/>
              <w:jc w:val="center"/>
              <w:rPr>
                <w:b/>
                <w:color w:val="000000"/>
                <w:sz w:val="24"/>
              </w:rPr>
            </w:pPr>
            <w:r>
              <w:rPr>
                <w:rFonts w:hint="eastAsia"/>
                <w:b/>
                <w:color w:val="000000"/>
                <w:sz w:val="24"/>
              </w:rPr>
              <w:t>制造商</w:t>
            </w:r>
          </w:p>
        </w:tc>
        <w:tc>
          <w:tcPr>
            <w:tcW w:w="314" w:type="pct"/>
            <w:tcBorders>
              <w:top w:val="single" w:color="auto" w:sz="4" w:space="0"/>
              <w:left w:val="single" w:color="auto" w:sz="4" w:space="0"/>
              <w:bottom w:val="single" w:color="auto" w:sz="4" w:space="0"/>
              <w:right w:val="single" w:color="auto" w:sz="4" w:space="0"/>
            </w:tcBorders>
            <w:vAlign w:val="center"/>
          </w:tcPr>
          <w:p w14:paraId="6F0C5136">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color="auto" w:sz="4" w:space="0"/>
              <w:left w:val="single" w:color="auto" w:sz="4" w:space="0"/>
              <w:bottom w:val="single" w:color="auto" w:sz="4" w:space="0"/>
              <w:right w:val="single" w:color="auto" w:sz="4" w:space="0"/>
            </w:tcBorders>
            <w:vAlign w:val="center"/>
          </w:tcPr>
          <w:p w14:paraId="1D92BC03">
            <w:pPr>
              <w:jc w:val="center"/>
              <w:rPr>
                <w:b/>
                <w:color w:val="000000"/>
                <w:sz w:val="24"/>
              </w:rPr>
            </w:pPr>
            <w:r>
              <w:rPr>
                <w:rFonts w:hint="eastAsia"/>
                <w:b/>
                <w:color w:val="000000"/>
                <w:sz w:val="24"/>
              </w:rPr>
              <w:t>制造商</w:t>
            </w:r>
          </w:p>
          <w:p w14:paraId="74396A11">
            <w:pPr>
              <w:adjustRightInd w:val="0"/>
              <w:snapToGrid w:val="0"/>
              <w:jc w:val="center"/>
              <w:rPr>
                <w:b/>
                <w:color w:val="000000"/>
                <w:sz w:val="24"/>
              </w:rPr>
            </w:pPr>
            <w:r>
              <w:rPr>
                <w:rFonts w:hint="eastAsia"/>
                <w:b/>
                <w:color w:val="000000"/>
                <w:sz w:val="24"/>
              </w:rPr>
              <w:t>统一社会信用代码</w:t>
            </w:r>
          </w:p>
        </w:tc>
        <w:tc>
          <w:tcPr>
            <w:tcW w:w="416" w:type="pct"/>
            <w:tcBorders>
              <w:top w:val="single" w:color="auto" w:sz="4" w:space="0"/>
              <w:left w:val="single" w:color="auto" w:sz="4" w:space="0"/>
              <w:bottom w:val="single" w:color="auto" w:sz="4" w:space="0"/>
              <w:right w:val="single" w:color="auto" w:sz="4" w:space="0"/>
            </w:tcBorders>
            <w:vAlign w:val="center"/>
          </w:tcPr>
          <w:p w14:paraId="1CA9D639">
            <w:pPr>
              <w:jc w:val="center"/>
              <w:rPr>
                <w:b/>
                <w:color w:val="000000"/>
                <w:sz w:val="24"/>
              </w:rPr>
            </w:pPr>
            <w:r>
              <w:rPr>
                <w:rFonts w:hint="eastAsia"/>
                <w:b/>
                <w:color w:val="000000"/>
                <w:sz w:val="24"/>
              </w:rPr>
              <w:t>制造商</w:t>
            </w:r>
          </w:p>
          <w:p w14:paraId="64B06B47">
            <w:pPr>
              <w:adjustRightInd w:val="0"/>
              <w:snapToGrid w:val="0"/>
              <w:jc w:val="center"/>
              <w:rPr>
                <w:b/>
                <w:color w:val="000000"/>
                <w:sz w:val="24"/>
              </w:rPr>
            </w:pPr>
            <w:r>
              <w:rPr>
                <w:rFonts w:hint="eastAsia"/>
                <w:b/>
                <w:color w:val="000000"/>
                <w:sz w:val="24"/>
              </w:rPr>
              <w:t>规模</w:t>
            </w:r>
          </w:p>
        </w:tc>
        <w:tc>
          <w:tcPr>
            <w:tcW w:w="416" w:type="pct"/>
            <w:tcBorders>
              <w:top w:val="single" w:color="auto" w:sz="4" w:space="0"/>
              <w:left w:val="single" w:color="auto" w:sz="4" w:space="0"/>
              <w:bottom w:val="single" w:color="auto" w:sz="4" w:space="0"/>
              <w:right w:val="single" w:color="auto" w:sz="4" w:space="0"/>
            </w:tcBorders>
            <w:vAlign w:val="center"/>
          </w:tcPr>
          <w:p w14:paraId="14496240">
            <w:pPr>
              <w:adjustRightInd w:val="0"/>
              <w:snapToGrid w:val="0"/>
              <w:jc w:val="center"/>
              <w:rPr>
                <w:b/>
                <w:color w:val="000000"/>
                <w:sz w:val="24"/>
              </w:rPr>
            </w:pPr>
            <w:r>
              <w:rPr>
                <w:rFonts w:hint="eastAsia"/>
                <w:b/>
                <w:color w:val="000000"/>
                <w:sz w:val="24"/>
              </w:rPr>
              <w:t>制造商所属性别</w:t>
            </w:r>
          </w:p>
        </w:tc>
        <w:tc>
          <w:tcPr>
            <w:tcW w:w="417" w:type="pct"/>
            <w:tcBorders>
              <w:top w:val="single" w:color="auto" w:sz="4" w:space="0"/>
              <w:left w:val="single" w:color="auto" w:sz="4" w:space="0"/>
              <w:bottom w:val="single" w:color="auto" w:sz="4" w:space="0"/>
              <w:right w:val="single" w:color="auto" w:sz="4" w:space="0"/>
            </w:tcBorders>
            <w:vAlign w:val="center"/>
          </w:tcPr>
          <w:p w14:paraId="77745EC5">
            <w:pPr>
              <w:adjustRightInd w:val="0"/>
              <w:snapToGrid w:val="0"/>
              <w:jc w:val="center"/>
              <w:rPr>
                <w:b/>
                <w:color w:val="000000"/>
                <w:sz w:val="24"/>
              </w:rPr>
            </w:pPr>
            <w:r>
              <w:rPr>
                <w:rFonts w:hint="eastAsia"/>
                <w:b/>
                <w:color w:val="000000"/>
                <w:sz w:val="24"/>
              </w:rPr>
              <w:t>外商投资类型</w:t>
            </w:r>
          </w:p>
        </w:tc>
        <w:tc>
          <w:tcPr>
            <w:tcW w:w="417" w:type="pct"/>
            <w:tcBorders>
              <w:top w:val="single" w:color="auto" w:sz="4" w:space="0"/>
              <w:left w:val="single" w:color="auto" w:sz="4" w:space="0"/>
              <w:bottom w:val="single" w:color="auto" w:sz="4" w:space="0"/>
              <w:right w:val="single" w:color="auto" w:sz="4" w:space="0"/>
            </w:tcBorders>
            <w:vAlign w:val="center"/>
          </w:tcPr>
          <w:p w14:paraId="433BA0CB">
            <w:pPr>
              <w:adjustRightInd w:val="0"/>
              <w:snapToGrid w:val="0"/>
              <w:jc w:val="center"/>
              <w:rPr>
                <w:b/>
                <w:color w:val="000000"/>
                <w:sz w:val="24"/>
              </w:rPr>
            </w:pPr>
            <w:r>
              <w:rPr>
                <w:rFonts w:hint="eastAsia"/>
                <w:b/>
                <w:color w:val="000000"/>
                <w:sz w:val="24"/>
              </w:rPr>
              <w:t>品牌</w:t>
            </w:r>
          </w:p>
        </w:tc>
        <w:tc>
          <w:tcPr>
            <w:tcW w:w="417" w:type="pct"/>
            <w:tcBorders>
              <w:top w:val="single" w:color="auto" w:sz="4" w:space="0"/>
              <w:left w:val="single" w:color="auto" w:sz="4" w:space="0"/>
              <w:bottom w:val="single" w:color="auto" w:sz="4" w:space="0"/>
              <w:right w:val="single" w:color="auto" w:sz="4" w:space="0"/>
            </w:tcBorders>
            <w:vAlign w:val="center"/>
          </w:tcPr>
          <w:p w14:paraId="1CFED948">
            <w:pPr>
              <w:adjustRightInd w:val="0"/>
              <w:snapToGrid w:val="0"/>
              <w:jc w:val="center"/>
              <w:rPr>
                <w:b/>
                <w:color w:val="000000"/>
                <w:sz w:val="24"/>
              </w:rPr>
            </w:pPr>
            <w:r>
              <w:rPr>
                <w:rFonts w:hint="eastAsia"/>
                <w:b/>
                <w:color w:val="000000"/>
                <w:sz w:val="24"/>
              </w:rPr>
              <w:t>规格、型号</w:t>
            </w:r>
          </w:p>
        </w:tc>
        <w:tc>
          <w:tcPr>
            <w:tcW w:w="342" w:type="pct"/>
            <w:tcBorders>
              <w:top w:val="single" w:color="auto" w:sz="4" w:space="0"/>
              <w:left w:val="single" w:color="auto" w:sz="4" w:space="0"/>
              <w:bottom w:val="single" w:color="auto" w:sz="4" w:space="0"/>
              <w:right w:val="single" w:color="auto" w:sz="4" w:space="0"/>
            </w:tcBorders>
            <w:vAlign w:val="center"/>
          </w:tcPr>
          <w:p w14:paraId="1DB15C56">
            <w:pPr>
              <w:adjustRightInd w:val="0"/>
              <w:snapToGrid w:val="0"/>
              <w:jc w:val="center"/>
              <w:rPr>
                <w:b/>
                <w:color w:val="000000"/>
                <w:sz w:val="24"/>
              </w:rPr>
            </w:pPr>
            <w:r>
              <w:rPr>
                <w:rFonts w:hint="eastAsia"/>
                <w:b/>
                <w:color w:val="000000"/>
                <w:sz w:val="24"/>
              </w:rPr>
              <w:t>单价（元）</w:t>
            </w:r>
          </w:p>
        </w:tc>
        <w:tc>
          <w:tcPr>
            <w:tcW w:w="277" w:type="pct"/>
            <w:tcBorders>
              <w:top w:val="single" w:color="auto" w:sz="4" w:space="0"/>
              <w:left w:val="single" w:color="auto" w:sz="4" w:space="0"/>
              <w:bottom w:val="single" w:color="auto" w:sz="4" w:space="0"/>
              <w:right w:val="single" w:color="auto" w:sz="4" w:space="0"/>
            </w:tcBorders>
            <w:vAlign w:val="center"/>
          </w:tcPr>
          <w:p w14:paraId="35B2CE90">
            <w:pPr>
              <w:adjustRightInd w:val="0"/>
              <w:snapToGrid w:val="0"/>
              <w:jc w:val="center"/>
              <w:rPr>
                <w:b/>
                <w:color w:val="000000"/>
                <w:sz w:val="24"/>
              </w:rPr>
            </w:pPr>
            <w:r>
              <w:rPr>
                <w:rFonts w:hint="eastAsia"/>
                <w:b/>
                <w:color w:val="000000"/>
                <w:sz w:val="24"/>
              </w:rPr>
              <w:t>数量</w:t>
            </w: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5A397777">
            <w:pPr>
              <w:adjustRightInd w:val="0"/>
              <w:snapToGrid w:val="0"/>
              <w:jc w:val="center"/>
              <w:rPr>
                <w:b/>
                <w:color w:val="000000"/>
                <w:sz w:val="24"/>
              </w:rPr>
            </w:pPr>
            <w:r>
              <w:rPr>
                <w:rFonts w:hint="eastAsia"/>
                <w:b/>
                <w:color w:val="000000"/>
                <w:sz w:val="24"/>
              </w:rPr>
              <w:t>合价（元）</w:t>
            </w:r>
          </w:p>
        </w:tc>
      </w:tr>
      <w:tr w14:paraId="6B37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3DAD1413">
            <w:pPr>
              <w:adjustRightInd w:val="0"/>
              <w:snapToGrid w:val="0"/>
              <w:jc w:val="left"/>
              <w:rPr>
                <w:color w:val="000000"/>
                <w:sz w:val="24"/>
              </w:rPr>
            </w:pPr>
            <w:r>
              <w:rPr>
                <w:color w:val="000000"/>
                <w:sz w:val="24"/>
              </w:rPr>
              <w:t>1</w:t>
            </w:r>
          </w:p>
        </w:tc>
        <w:tc>
          <w:tcPr>
            <w:tcW w:w="348" w:type="pct"/>
            <w:tcBorders>
              <w:top w:val="single" w:color="auto" w:sz="4" w:space="0"/>
              <w:left w:val="single" w:color="auto" w:sz="4" w:space="0"/>
              <w:bottom w:val="single" w:color="auto" w:sz="4" w:space="0"/>
              <w:right w:val="single" w:color="auto" w:sz="4" w:space="0"/>
            </w:tcBorders>
            <w:vAlign w:val="center"/>
          </w:tcPr>
          <w:p w14:paraId="0D146EC7">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EB9936E">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4CA9E1FE">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34952470">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2D9E1B13">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2138C87D">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1BD7007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0D5A9B47">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C193505">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7C9F022C">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7B68D7A2">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08F18FFE">
            <w:pPr>
              <w:adjustRightInd w:val="0"/>
              <w:snapToGrid w:val="0"/>
              <w:jc w:val="left"/>
              <w:rPr>
                <w:color w:val="000000"/>
                <w:sz w:val="24"/>
              </w:rPr>
            </w:pPr>
          </w:p>
        </w:tc>
      </w:tr>
      <w:tr w14:paraId="4372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321B4EDA">
            <w:pPr>
              <w:adjustRightInd w:val="0"/>
              <w:snapToGrid w:val="0"/>
              <w:jc w:val="left"/>
              <w:rPr>
                <w:color w:val="000000"/>
                <w:sz w:val="24"/>
              </w:rPr>
            </w:pPr>
            <w:r>
              <w:rPr>
                <w:color w:val="000000"/>
                <w:sz w:val="24"/>
              </w:rPr>
              <w:t>2</w:t>
            </w:r>
          </w:p>
        </w:tc>
        <w:tc>
          <w:tcPr>
            <w:tcW w:w="348" w:type="pct"/>
            <w:tcBorders>
              <w:top w:val="single" w:color="auto" w:sz="4" w:space="0"/>
              <w:left w:val="single" w:color="auto" w:sz="4" w:space="0"/>
              <w:bottom w:val="single" w:color="auto" w:sz="4" w:space="0"/>
              <w:right w:val="single" w:color="auto" w:sz="4" w:space="0"/>
            </w:tcBorders>
            <w:vAlign w:val="center"/>
          </w:tcPr>
          <w:p w14:paraId="5BB4B65D">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4E63B0A">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02DAFFD6">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03B5FA03">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5CCB26E5">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67300D06">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713486E8">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0790C866">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0E78A9CE">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6687FFCC">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1B792242">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319FCCF4">
            <w:pPr>
              <w:adjustRightInd w:val="0"/>
              <w:snapToGrid w:val="0"/>
              <w:jc w:val="left"/>
              <w:rPr>
                <w:color w:val="000000"/>
                <w:sz w:val="24"/>
              </w:rPr>
            </w:pPr>
          </w:p>
        </w:tc>
      </w:tr>
      <w:tr w14:paraId="5DBA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7140358">
            <w:pPr>
              <w:adjustRightInd w:val="0"/>
              <w:snapToGrid w:val="0"/>
              <w:jc w:val="left"/>
              <w:rPr>
                <w:color w:val="000000"/>
                <w:sz w:val="24"/>
              </w:rPr>
            </w:pPr>
            <w:r>
              <w:rPr>
                <w:color w:val="000000"/>
                <w:sz w:val="24"/>
              </w:rPr>
              <w:t>3</w:t>
            </w:r>
          </w:p>
        </w:tc>
        <w:tc>
          <w:tcPr>
            <w:tcW w:w="348" w:type="pct"/>
            <w:tcBorders>
              <w:top w:val="single" w:color="auto" w:sz="4" w:space="0"/>
              <w:left w:val="single" w:color="auto" w:sz="4" w:space="0"/>
              <w:bottom w:val="single" w:color="auto" w:sz="4" w:space="0"/>
              <w:right w:val="single" w:color="auto" w:sz="4" w:space="0"/>
            </w:tcBorders>
            <w:vAlign w:val="center"/>
          </w:tcPr>
          <w:p w14:paraId="51C0DBDF">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79584B7A">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202EF0EA">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219F195D">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3E35C024">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0F4234B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669A5158">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782C160E">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2F1E82DC">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6517266E">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3CE36268">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71F218E1">
            <w:pPr>
              <w:adjustRightInd w:val="0"/>
              <w:snapToGrid w:val="0"/>
              <w:jc w:val="left"/>
              <w:rPr>
                <w:color w:val="000000"/>
                <w:sz w:val="24"/>
              </w:rPr>
            </w:pPr>
          </w:p>
        </w:tc>
      </w:tr>
      <w:tr w14:paraId="0348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93D8E0A">
            <w:pPr>
              <w:adjustRightInd w:val="0"/>
              <w:snapToGrid w:val="0"/>
              <w:jc w:val="left"/>
              <w:rPr>
                <w:color w:val="000000"/>
                <w:sz w:val="24"/>
              </w:rPr>
            </w:pPr>
            <w:r>
              <w:rPr>
                <w:color w:val="000000"/>
                <w:sz w:val="24"/>
              </w:rPr>
              <w:t>4</w:t>
            </w:r>
          </w:p>
        </w:tc>
        <w:tc>
          <w:tcPr>
            <w:tcW w:w="348" w:type="pct"/>
            <w:tcBorders>
              <w:top w:val="single" w:color="auto" w:sz="4" w:space="0"/>
              <w:left w:val="single" w:color="auto" w:sz="4" w:space="0"/>
              <w:bottom w:val="single" w:color="auto" w:sz="4" w:space="0"/>
              <w:right w:val="single" w:color="auto" w:sz="4" w:space="0"/>
            </w:tcBorders>
            <w:vAlign w:val="center"/>
          </w:tcPr>
          <w:p w14:paraId="7F6BB4BB">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6382723">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3997A13B">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39C6FAFB">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55FF67CF">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14CB8F5A">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218B04C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454B61D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754580C">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3D4D32E3">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25FF08D1">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48AFE406">
            <w:pPr>
              <w:adjustRightInd w:val="0"/>
              <w:snapToGrid w:val="0"/>
              <w:jc w:val="left"/>
              <w:rPr>
                <w:color w:val="000000"/>
                <w:sz w:val="24"/>
              </w:rPr>
            </w:pPr>
          </w:p>
        </w:tc>
      </w:tr>
      <w:tr w14:paraId="0046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3811D8CF">
            <w:pPr>
              <w:adjustRightInd w:val="0"/>
              <w:snapToGrid w:val="0"/>
              <w:jc w:val="left"/>
              <w:rPr>
                <w:color w:val="000000"/>
                <w:sz w:val="24"/>
              </w:rPr>
            </w:pPr>
            <w:r>
              <w:rPr>
                <w:color w:val="000000"/>
                <w:sz w:val="24"/>
              </w:rPr>
              <w:t>…</w:t>
            </w:r>
          </w:p>
        </w:tc>
        <w:tc>
          <w:tcPr>
            <w:tcW w:w="348" w:type="pct"/>
            <w:tcBorders>
              <w:top w:val="single" w:color="auto" w:sz="4" w:space="0"/>
              <w:left w:val="single" w:color="auto" w:sz="4" w:space="0"/>
              <w:bottom w:val="single" w:color="auto" w:sz="4" w:space="0"/>
              <w:right w:val="single" w:color="auto" w:sz="4" w:space="0"/>
            </w:tcBorders>
            <w:vAlign w:val="center"/>
          </w:tcPr>
          <w:p w14:paraId="72F07A75">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307D713">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3DBD60C5">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1AC2D608">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6D9700C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79A2D817">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473B789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BD93D8A">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217FE7BE">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534553FB">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58CD7582">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57E6ED2A">
            <w:pPr>
              <w:adjustRightInd w:val="0"/>
              <w:snapToGrid w:val="0"/>
              <w:jc w:val="left"/>
              <w:rPr>
                <w:color w:val="000000"/>
                <w:sz w:val="24"/>
              </w:rPr>
            </w:pPr>
          </w:p>
        </w:tc>
      </w:tr>
      <w:tr w14:paraId="28DD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6" w:type="pct"/>
            <w:gridSpan w:val="13"/>
            <w:tcBorders>
              <w:top w:val="single" w:color="auto" w:sz="4" w:space="0"/>
              <w:left w:val="single" w:color="auto" w:sz="4" w:space="0"/>
              <w:bottom w:val="single" w:color="auto" w:sz="4" w:space="0"/>
              <w:right w:val="single" w:color="auto" w:sz="4" w:space="0"/>
            </w:tcBorders>
            <w:vAlign w:val="center"/>
          </w:tcPr>
          <w:p w14:paraId="586B20D2">
            <w:pPr>
              <w:adjustRightInd w:val="0"/>
              <w:snapToGrid w:val="0"/>
              <w:jc w:val="right"/>
              <w:rPr>
                <w:color w:val="000000"/>
                <w:sz w:val="24"/>
              </w:rPr>
            </w:pPr>
            <w:r>
              <w:rPr>
                <w:rFonts w:hint="eastAsia"/>
                <w:b/>
                <w:color w:val="000000"/>
                <w:sz w:val="24"/>
              </w:rPr>
              <w:t>总价（元）</w:t>
            </w:r>
          </w:p>
        </w:tc>
        <w:tc>
          <w:tcPr>
            <w:tcW w:w="344" w:type="pct"/>
            <w:gridSpan w:val="2"/>
            <w:tcBorders>
              <w:top w:val="single" w:color="auto" w:sz="4" w:space="0"/>
              <w:left w:val="single" w:color="auto" w:sz="4" w:space="0"/>
              <w:bottom w:val="single" w:color="auto" w:sz="4" w:space="0"/>
              <w:right w:val="single" w:color="auto" w:sz="4" w:space="0"/>
            </w:tcBorders>
            <w:vAlign w:val="center"/>
          </w:tcPr>
          <w:p w14:paraId="4FEFC5C2">
            <w:pPr>
              <w:adjustRightInd w:val="0"/>
              <w:snapToGrid w:val="0"/>
              <w:jc w:val="left"/>
              <w:rPr>
                <w:color w:val="000000"/>
                <w:sz w:val="24"/>
              </w:rPr>
            </w:pPr>
          </w:p>
        </w:tc>
      </w:tr>
    </w:tbl>
    <w:p w14:paraId="70A6A0E8">
      <w:pPr>
        <w:adjustRightInd w:val="0"/>
        <w:snapToGrid w:val="0"/>
        <w:jc w:val="left"/>
        <w:rPr>
          <w:b/>
          <w:i/>
          <w:color w:val="FF0000"/>
          <w:sz w:val="24"/>
        </w:rPr>
      </w:pPr>
      <w:r>
        <w:rPr>
          <w:b/>
          <w:i/>
          <w:color w:val="FF0000"/>
          <w:sz w:val="24"/>
        </w:rPr>
        <w:t>说明：制造商规模请填写</w:t>
      </w:r>
      <w:bookmarkStart w:id="742" w:name="_Hlk168431944"/>
      <w:r>
        <w:rPr>
          <w:b/>
          <w:i/>
          <w:color w:val="FF0000"/>
          <w:sz w:val="24"/>
        </w:rPr>
        <w:t>“</w:t>
      </w:r>
      <w:r>
        <w:rPr>
          <w:rFonts w:hint="eastAsia"/>
          <w:b/>
          <w:i/>
          <w:color w:val="FF0000"/>
          <w:sz w:val="24"/>
        </w:rPr>
        <w:t>大</w:t>
      </w:r>
      <w:r>
        <w:rPr>
          <w:b/>
          <w:i/>
          <w:color w:val="FF0000"/>
          <w:sz w:val="24"/>
        </w:rPr>
        <w:t>型”、</w:t>
      </w:r>
      <w:bookmarkEnd w:id="742"/>
      <w:r>
        <w:rPr>
          <w:b/>
          <w:i/>
          <w:color w:val="FF0000"/>
          <w:sz w:val="24"/>
        </w:rPr>
        <w:t>“中型”、“小型”、“微型”或“其他”，中小企业的定义见第二章《</w:t>
      </w:r>
      <w:r>
        <w:rPr>
          <w:rFonts w:hint="eastAsia"/>
          <w:b/>
          <w:bCs/>
          <w:i/>
          <w:iCs/>
          <w:color w:val="FF0000"/>
          <w:sz w:val="24"/>
        </w:rPr>
        <w:t>供应商</w:t>
      </w:r>
      <w:r>
        <w:rPr>
          <w:b/>
          <w:i/>
          <w:color w:val="FF0000"/>
          <w:sz w:val="24"/>
        </w:rPr>
        <w:t>须知》。</w:t>
      </w:r>
    </w:p>
    <w:p w14:paraId="6FA96BBA">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172A8A14">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741"/>
      <w:r>
        <w:rPr>
          <w:b/>
          <w:i/>
          <w:color w:val="FF0000"/>
          <w:sz w:val="24"/>
        </w:rPr>
        <w:t xml:space="preserve"> </w:t>
      </w:r>
    </w:p>
    <w:p w14:paraId="7B1FDCAD">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0EB1CEA4">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51DABA59">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25F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43D5D35">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81A6954">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76BC6CC5">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43FCE164">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34C0702C">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67B207F">
            <w:pPr>
              <w:adjustRightInd w:val="0"/>
              <w:snapToGrid w:val="0"/>
              <w:jc w:val="center"/>
              <w:rPr>
                <w:rFonts w:eastAsiaTheme="minorEastAsia"/>
                <w:b/>
                <w:color w:val="000000"/>
                <w:sz w:val="24"/>
              </w:rPr>
            </w:pPr>
            <w:r>
              <w:rPr>
                <w:rFonts w:eastAsiaTheme="minorEastAsia"/>
                <w:b/>
                <w:color w:val="000000"/>
                <w:sz w:val="24"/>
              </w:rPr>
              <w:t>备注/说明</w:t>
            </w:r>
          </w:p>
        </w:tc>
      </w:tr>
      <w:tr w14:paraId="01D6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018B067">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6F0A2876">
            <w:pPr>
              <w:adjustRightInd w:val="0"/>
              <w:snapToGrid w:val="0"/>
              <w:jc w:val="left"/>
              <w:rPr>
                <w:rFonts w:eastAsiaTheme="minorEastAsia"/>
                <w:color w:val="000000"/>
                <w:sz w:val="24"/>
              </w:rPr>
            </w:pPr>
          </w:p>
        </w:tc>
        <w:tc>
          <w:tcPr>
            <w:tcW w:w="725" w:type="pct"/>
            <w:vAlign w:val="center"/>
          </w:tcPr>
          <w:p w14:paraId="56459249">
            <w:pPr>
              <w:adjustRightInd w:val="0"/>
              <w:snapToGrid w:val="0"/>
              <w:jc w:val="left"/>
              <w:rPr>
                <w:rFonts w:eastAsiaTheme="minorEastAsia"/>
                <w:color w:val="000000"/>
                <w:sz w:val="24"/>
              </w:rPr>
            </w:pPr>
          </w:p>
        </w:tc>
        <w:tc>
          <w:tcPr>
            <w:tcW w:w="724" w:type="pct"/>
            <w:vAlign w:val="center"/>
          </w:tcPr>
          <w:p w14:paraId="2C1AA749">
            <w:pPr>
              <w:adjustRightInd w:val="0"/>
              <w:snapToGrid w:val="0"/>
              <w:jc w:val="center"/>
              <w:rPr>
                <w:rFonts w:eastAsiaTheme="minorEastAsia"/>
                <w:color w:val="000000"/>
                <w:sz w:val="24"/>
              </w:rPr>
            </w:pPr>
          </w:p>
        </w:tc>
        <w:tc>
          <w:tcPr>
            <w:tcW w:w="724" w:type="pct"/>
            <w:vAlign w:val="center"/>
          </w:tcPr>
          <w:p w14:paraId="187FA7A7">
            <w:pPr>
              <w:adjustRightInd w:val="0"/>
              <w:snapToGrid w:val="0"/>
              <w:jc w:val="left"/>
              <w:rPr>
                <w:rFonts w:eastAsiaTheme="minorEastAsia"/>
                <w:color w:val="000000"/>
                <w:sz w:val="24"/>
              </w:rPr>
            </w:pPr>
          </w:p>
        </w:tc>
        <w:tc>
          <w:tcPr>
            <w:tcW w:w="919" w:type="pct"/>
            <w:vAlign w:val="center"/>
          </w:tcPr>
          <w:p w14:paraId="2D8504E6">
            <w:pPr>
              <w:adjustRightInd w:val="0"/>
              <w:snapToGrid w:val="0"/>
              <w:jc w:val="left"/>
              <w:rPr>
                <w:rFonts w:eastAsiaTheme="minorEastAsia"/>
                <w:color w:val="000000"/>
                <w:sz w:val="24"/>
              </w:rPr>
            </w:pPr>
          </w:p>
        </w:tc>
      </w:tr>
      <w:tr w14:paraId="7D5B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5132017A">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5A76EC6F">
            <w:pPr>
              <w:adjustRightInd w:val="0"/>
              <w:snapToGrid w:val="0"/>
              <w:jc w:val="left"/>
              <w:rPr>
                <w:rFonts w:eastAsiaTheme="minorEastAsia"/>
                <w:color w:val="000000"/>
                <w:sz w:val="24"/>
              </w:rPr>
            </w:pPr>
          </w:p>
        </w:tc>
        <w:tc>
          <w:tcPr>
            <w:tcW w:w="725" w:type="pct"/>
            <w:vAlign w:val="center"/>
          </w:tcPr>
          <w:p w14:paraId="2E086345">
            <w:pPr>
              <w:adjustRightInd w:val="0"/>
              <w:snapToGrid w:val="0"/>
              <w:jc w:val="left"/>
              <w:rPr>
                <w:rFonts w:eastAsiaTheme="minorEastAsia"/>
                <w:color w:val="000000"/>
                <w:sz w:val="24"/>
              </w:rPr>
            </w:pPr>
          </w:p>
        </w:tc>
        <w:tc>
          <w:tcPr>
            <w:tcW w:w="724" w:type="pct"/>
            <w:vAlign w:val="center"/>
          </w:tcPr>
          <w:p w14:paraId="02784A4D">
            <w:pPr>
              <w:adjustRightInd w:val="0"/>
              <w:snapToGrid w:val="0"/>
              <w:jc w:val="center"/>
              <w:rPr>
                <w:rFonts w:eastAsiaTheme="minorEastAsia"/>
                <w:color w:val="000000"/>
                <w:sz w:val="24"/>
              </w:rPr>
            </w:pPr>
          </w:p>
        </w:tc>
        <w:tc>
          <w:tcPr>
            <w:tcW w:w="724" w:type="pct"/>
            <w:vAlign w:val="center"/>
          </w:tcPr>
          <w:p w14:paraId="5EF2ACEB">
            <w:pPr>
              <w:adjustRightInd w:val="0"/>
              <w:snapToGrid w:val="0"/>
              <w:jc w:val="left"/>
              <w:rPr>
                <w:rFonts w:eastAsiaTheme="minorEastAsia"/>
                <w:color w:val="000000"/>
                <w:sz w:val="24"/>
              </w:rPr>
            </w:pPr>
          </w:p>
        </w:tc>
        <w:tc>
          <w:tcPr>
            <w:tcW w:w="919" w:type="pct"/>
            <w:vAlign w:val="center"/>
          </w:tcPr>
          <w:p w14:paraId="1A4EE7B9">
            <w:pPr>
              <w:adjustRightInd w:val="0"/>
              <w:snapToGrid w:val="0"/>
              <w:jc w:val="left"/>
              <w:rPr>
                <w:rFonts w:eastAsiaTheme="minorEastAsia"/>
                <w:color w:val="000000"/>
                <w:sz w:val="24"/>
              </w:rPr>
            </w:pPr>
          </w:p>
        </w:tc>
      </w:tr>
      <w:tr w14:paraId="34C2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0320AE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3F4F4498">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0B757DFF">
            <w:pPr>
              <w:adjustRightInd w:val="0"/>
              <w:snapToGrid w:val="0"/>
              <w:jc w:val="left"/>
              <w:rPr>
                <w:rFonts w:eastAsiaTheme="minorEastAsia"/>
                <w:color w:val="000000"/>
                <w:sz w:val="24"/>
              </w:rPr>
            </w:pPr>
          </w:p>
        </w:tc>
        <w:tc>
          <w:tcPr>
            <w:tcW w:w="724" w:type="pct"/>
            <w:vAlign w:val="center"/>
          </w:tcPr>
          <w:p w14:paraId="2BCA16D2">
            <w:pPr>
              <w:adjustRightInd w:val="0"/>
              <w:snapToGrid w:val="0"/>
              <w:jc w:val="center"/>
              <w:rPr>
                <w:rFonts w:eastAsiaTheme="minorEastAsia"/>
                <w:color w:val="000000"/>
                <w:sz w:val="24"/>
              </w:rPr>
            </w:pPr>
          </w:p>
        </w:tc>
        <w:tc>
          <w:tcPr>
            <w:tcW w:w="724" w:type="pct"/>
            <w:vAlign w:val="center"/>
          </w:tcPr>
          <w:p w14:paraId="0188B503">
            <w:pPr>
              <w:adjustRightInd w:val="0"/>
              <w:snapToGrid w:val="0"/>
              <w:jc w:val="left"/>
              <w:rPr>
                <w:rFonts w:eastAsiaTheme="minorEastAsia"/>
                <w:color w:val="000000"/>
                <w:sz w:val="24"/>
              </w:rPr>
            </w:pPr>
          </w:p>
        </w:tc>
        <w:tc>
          <w:tcPr>
            <w:tcW w:w="919" w:type="pct"/>
            <w:vAlign w:val="center"/>
          </w:tcPr>
          <w:p w14:paraId="29FFBF5C">
            <w:pPr>
              <w:adjustRightInd w:val="0"/>
              <w:snapToGrid w:val="0"/>
              <w:jc w:val="left"/>
              <w:rPr>
                <w:rFonts w:eastAsiaTheme="minorEastAsia"/>
                <w:color w:val="000000"/>
                <w:sz w:val="24"/>
              </w:rPr>
            </w:pPr>
          </w:p>
        </w:tc>
      </w:tr>
      <w:tr w14:paraId="304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0A0EDF9B">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6481DA8C">
            <w:pPr>
              <w:adjustRightInd w:val="0"/>
              <w:snapToGrid w:val="0"/>
              <w:jc w:val="left"/>
              <w:rPr>
                <w:rFonts w:eastAsiaTheme="minorEastAsia"/>
                <w:color w:val="000000"/>
                <w:sz w:val="24"/>
              </w:rPr>
            </w:pPr>
          </w:p>
        </w:tc>
        <w:tc>
          <w:tcPr>
            <w:tcW w:w="919" w:type="pct"/>
            <w:vAlign w:val="center"/>
          </w:tcPr>
          <w:p w14:paraId="4EFD7C18">
            <w:pPr>
              <w:adjustRightInd w:val="0"/>
              <w:snapToGrid w:val="0"/>
              <w:jc w:val="left"/>
              <w:rPr>
                <w:rFonts w:eastAsiaTheme="minorEastAsia"/>
                <w:color w:val="000000"/>
                <w:sz w:val="24"/>
              </w:rPr>
            </w:pPr>
          </w:p>
        </w:tc>
      </w:tr>
    </w:tbl>
    <w:p w14:paraId="135A1E56">
      <w:pPr>
        <w:tabs>
          <w:tab w:val="left" w:pos="1800"/>
          <w:tab w:val="left" w:pos="5580"/>
        </w:tabs>
        <w:jc w:val="left"/>
        <w:rPr>
          <w:rFonts w:eastAsiaTheme="minorEastAsia"/>
          <w:color w:val="000000"/>
          <w:sz w:val="24"/>
        </w:rPr>
      </w:pPr>
    </w:p>
    <w:p w14:paraId="27E6C361">
      <w:pPr>
        <w:adjustRightInd w:val="0"/>
        <w:snapToGrid w:val="0"/>
        <w:spacing w:before="240" w:beforeLines="100" w:after="240" w:afterLines="100"/>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lang w:val="en-US" w:eastAsia="zh-CN"/>
        </w:rPr>
        <w:t>三，适用于工程量清单计价方式的采购项目</w:t>
      </w:r>
      <w:r>
        <w:rPr>
          <w:rFonts w:eastAsiaTheme="minorEastAsia"/>
          <w:b/>
          <w:i/>
          <w:color w:val="FF0000"/>
          <w:sz w:val="24"/>
        </w:rPr>
        <w:t>）</w:t>
      </w:r>
    </w:p>
    <w:p w14:paraId="098DCA57">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w:t>
      </w:r>
      <w:r>
        <w:rPr>
          <w:rFonts w:eastAsiaTheme="minorEastAsia"/>
          <w:b/>
          <w:bCs/>
          <w:i/>
          <w:color w:val="FF0000"/>
          <w:sz w:val="24"/>
          <w:u w:val="single"/>
        </w:rPr>
        <w:t>清单计价表格</w:t>
      </w:r>
      <w:r>
        <w:rPr>
          <w:rFonts w:hint="eastAsia" w:eastAsiaTheme="minorEastAsia"/>
          <w:b/>
          <w:bCs/>
          <w:i/>
          <w:color w:val="FF0000"/>
          <w:sz w:val="24"/>
          <w:u w:val="single"/>
          <w:lang w:val="en-US" w:eastAsia="zh-CN"/>
        </w:rPr>
        <w:t>及下表</w:t>
      </w:r>
      <w:r>
        <w:rPr>
          <w:rFonts w:eastAsiaTheme="minorEastAsia"/>
          <w:b/>
          <w:i/>
          <w:color w:val="FF0000"/>
          <w:sz w:val="24"/>
        </w:rPr>
        <w:t>）</w:t>
      </w:r>
    </w:p>
    <w:p w14:paraId="24234152">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6307"/>
      </w:tblGrid>
      <w:tr w14:paraId="5E7E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0E3D4AB6">
            <w:pPr>
              <w:rPr>
                <w:rFonts w:hint="eastAsia" w:ascii="宋体" w:hAnsi="宋体"/>
                <w:sz w:val="24"/>
              </w:rPr>
            </w:pPr>
            <w:r>
              <w:rPr>
                <w:rFonts w:hint="eastAsia" w:ascii="宋体" w:hAnsi="宋体"/>
                <w:sz w:val="24"/>
              </w:rPr>
              <w:t>工程名称</w:t>
            </w:r>
          </w:p>
        </w:tc>
        <w:tc>
          <w:tcPr>
            <w:tcW w:w="3395" w:type="pct"/>
            <w:noWrap w:val="0"/>
            <w:vAlign w:val="center"/>
          </w:tcPr>
          <w:p w14:paraId="127FBE2D">
            <w:pPr>
              <w:rPr>
                <w:rFonts w:hint="eastAsia" w:ascii="宋体" w:hAnsi="宋体"/>
                <w:sz w:val="24"/>
              </w:rPr>
            </w:pPr>
            <w:r>
              <w:rPr>
                <w:rFonts w:hint="eastAsia" w:ascii="宋体" w:hAnsi="宋体"/>
                <w:sz w:val="24"/>
              </w:rPr>
              <w:t xml:space="preserve">  </w:t>
            </w:r>
          </w:p>
        </w:tc>
      </w:tr>
      <w:tr w14:paraId="25E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0EA222C6">
            <w:pPr>
              <w:rPr>
                <w:rFonts w:hint="eastAsia" w:ascii="宋体" w:hAnsi="宋体"/>
                <w:sz w:val="24"/>
              </w:rPr>
            </w:pPr>
            <w:r>
              <w:rPr>
                <w:rFonts w:hint="eastAsia" w:ascii="宋体" w:hAnsi="宋体"/>
                <w:sz w:val="24"/>
              </w:rPr>
              <w:t>合同履行期限</w:t>
            </w:r>
          </w:p>
        </w:tc>
        <w:tc>
          <w:tcPr>
            <w:tcW w:w="3395" w:type="pct"/>
            <w:noWrap w:val="0"/>
            <w:vAlign w:val="center"/>
          </w:tcPr>
          <w:p w14:paraId="4999E5E7">
            <w:pPr>
              <w:rPr>
                <w:rFonts w:hint="eastAsia" w:ascii="宋体" w:hAnsi="宋体"/>
                <w:sz w:val="24"/>
              </w:rPr>
            </w:pPr>
          </w:p>
        </w:tc>
      </w:tr>
      <w:tr w14:paraId="304F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54F5C75E">
            <w:pPr>
              <w:rPr>
                <w:rFonts w:hint="eastAsia" w:ascii="宋体" w:hAnsi="宋体"/>
                <w:sz w:val="24"/>
              </w:rPr>
            </w:pPr>
            <w:r>
              <w:rPr>
                <w:rFonts w:hint="eastAsia" w:ascii="宋体" w:hAnsi="宋体"/>
                <w:sz w:val="24"/>
              </w:rPr>
              <w:t>计划开工日期</w:t>
            </w:r>
          </w:p>
        </w:tc>
        <w:tc>
          <w:tcPr>
            <w:tcW w:w="3395" w:type="pct"/>
            <w:noWrap w:val="0"/>
            <w:vAlign w:val="center"/>
          </w:tcPr>
          <w:p w14:paraId="6FAC340D">
            <w:pPr>
              <w:ind w:firstLine="840" w:firstLineChars="350"/>
              <w:rPr>
                <w:rFonts w:hint="eastAsia" w:ascii="宋体" w:hAnsi="宋体"/>
                <w:sz w:val="24"/>
              </w:rPr>
            </w:pPr>
            <w:r>
              <w:rPr>
                <w:rFonts w:hint="eastAsia" w:ascii="宋体" w:hAnsi="宋体"/>
                <w:sz w:val="24"/>
                <w:u w:val="single"/>
                <w:lang w:eastAsia="zh-CN"/>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22D4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689C2E99">
            <w:pPr>
              <w:rPr>
                <w:rFonts w:hint="eastAsia" w:ascii="宋体" w:hAnsi="宋体"/>
                <w:sz w:val="24"/>
              </w:rPr>
            </w:pPr>
            <w:r>
              <w:rPr>
                <w:rFonts w:hint="eastAsia" w:ascii="宋体" w:hAnsi="宋体"/>
                <w:sz w:val="24"/>
              </w:rPr>
              <w:t>计划竣工日期</w:t>
            </w:r>
          </w:p>
        </w:tc>
        <w:tc>
          <w:tcPr>
            <w:tcW w:w="3395" w:type="pct"/>
            <w:noWrap w:val="0"/>
            <w:vAlign w:val="center"/>
          </w:tcPr>
          <w:p w14:paraId="171EF663">
            <w:pPr>
              <w:ind w:firstLine="840" w:firstLineChars="350"/>
              <w:rPr>
                <w:rFonts w:hint="eastAsia" w:ascii="宋体" w:hAnsi="宋体"/>
                <w:sz w:val="24"/>
              </w:rPr>
            </w:pPr>
            <w:r>
              <w:rPr>
                <w:rFonts w:hint="eastAsia" w:ascii="宋体" w:hAnsi="宋体"/>
                <w:sz w:val="24"/>
                <w:u w:val="single"/>
                <w:lang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64E6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1028463A">
            <w:pPr>
              <w:rPr>
                <w:rFonts w:hint="eastAsia" w:ascii="宋体" w:hAnsi="宋体"/>
                <w:sz w:val="24"/>
              </w:rPr>
            </w:pPr>
            <w:r>
              <w:rPr>
                <w:rFonts w:hint="eastAsia" w:ascii="宋体" w:hAnsi="宋体"/>
                <w:sz w:val="24"/>
              </w:rPr>
              <w:t>质量标准</w:t>
            </w:r>
          </w:p>
        </w:tc>
        <w:tc>
          <w:tcPr>
            <w:tcW w:w="3395" w:type="pct"/>
            <w:noWrap w:val="0"/>
            <w:vAlign w:val="center"/>
          </w:tcPr>
          <w:p w14:paraId="70CF70D4">
            <w:pPr>
              <w:rPr>
                <w:rFonts w:hint="eastAsia" w:ascii="宋体" w:hAnsi="宋体"/>
                <w:sz w:val="24"/>
              </w:rPr>
            </w:pPr>
            <w:r>
              <w:rPr>
                <w:rFonts w:hint="eastAsia" w:ascii="宋体" w:hAnsi="宋体"/>
                <w:sz w:val="24"/>
              </w:rPr>
              <w:t>合格</w:t>
            </w:r>
          </w:p>
        </w:tc>
      </w:tr>
      <w:tr w14:paraId="301F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07BF2828">
            <w:pPr>
              <w:adjustRightInd w:val="0"/>
              <w:snapToGrid w:val="0"/>
              <w:jc w:val="left"/>
              <w:rPr>
                <w:rFonts w:hint="eastAsia" w:ascii="宋体" w:hAnsi="宋体"/>
                <w:sz w:val="24"/>
              </w:rPr>
            </w:pPr>
            <w:r>
              <w:rPr>
                <w:rFonts w:hint="eastAsia" w:ascii="宋体" w:hAnsi="宋体"/>
                <w:sz w:val="24"/>
              </w:rPr>
              <w:t>施工现场安全生产标准化管理目标等级</w:t>
            </w:r>
          </w:p>
        </w:tc>
        <w:tc>
          <w:tcPr>
            <w:tcW w:w="3395" w:type="pct"/>
            <w:noWrap w:val="0"/>
            <w:vAlign w:val="center"/>
          </w:tcPr>
          <w:p w14:paraId="3552500E">
            <w:pPr>
              <w:rPr>
                <w:rFonts w:hint="eastAsia" w:ascii="宋体" w:hAnsi="宋体"/>
                <w:sz w:val="24"/>
              </w:rPr>
            </w:pPr>
            <w:r>
              <w:rPr>
                <w:rFonts w:hint="eastAsia" w:ascii="宋体" w:hAnsi="宋体"/>
                <w:sz w:val="24"/>
              </w:rPr>
              <w:t>达标</w:t>
            </w:r>
          </w:p>
        </w:tc>
      </w:tr>
      <w:tr w14:paraId="0C25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4C6AE00B">
            <w:pPr>
              <w:rPr>
                <w:rFonts w:hint="eastAsia" w:ascii="宋体" w:hAnsi="宋体"/>
                <w:sz w:val="24"/>
              </w:rPr>
            </w:pPr>
            <w:r>
              <w:rPr>
                <w:rFonts w:hint="eastAsia" w:ascii="宋体" w:hAnsi="宋体"/>
                <w:sz w:val="24"/>
              </w:rPr>
              <w:t>响应报价</w:t>
            </w:r>
          </w:p>
        </w:tc>
        <w:tc>
          <w:tcPr>
            <w:tcW w:w="3395" w:type="pct"/>
            <w:noWrap w:val="0"/>
            <w:vAlign w:val="center"/>
          </w:tcPr>
          <w:p w14:paraId="187E6BE2">
            <w:pPr>
              <w:rPr>
                <w:rFonts w:hint="eastAsia" w:ascii="宋体" w:hAnsi="宋体"/>
                <w:sz w:val="24"/>
              </w:rPr>
            </w:pPr>
            <w:r>
              <w:rPr>
                <w:rFonts w:hint="eastAsia" w:ascii="宋体" w:hAnsi="宋体"/>
                <w:sz w:val="24"/>
              </w:rPr>
              <w:t>人民币大写：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sz w:val="24"/>
              </w:rPr>
              <w:t>，</w:t>
            </w:r>
          </w:p>
          <w:p w14:paraId="6BF3F6A3">
            <w:pPr>
              <w:rPr>
                <w:rFonts w:hint="eastAsia" w:ascii="宋体" w:hAnsi="宋体"/>
                <w:sz w:val="24"/>
              </w:rPr>
            </w:pPr>
            <w:r>
              <w:rPr>
                <w:rFonts w:hint="eastAsia" w:ascii="宋体" w:hAnsi="宋体"/>
                <w:sz w:val="24"/>
              </w:rPr>
              <w:t>人民币小写：</w:t>
            </w:r>
            <w:r>
              <w:rPr>
                <w:rFonts w:hint="eastAsia" w:ascii="宋体" w:hAnsi="宋体"/>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sz w:val="24"/>
              </w:rPr>
              <w:t>元</w:t>
            </w:r>
          </w:p>
        </w:tc>
      </w:tr>
      <w:tr w14:paraId="4DB3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39396991">
            <w:pPr>
              <w:rPr>
                <w:rFonts w:hint="eastAsia" w:ascii="宋体" w:hAnsi="宋体"/>
                <w:sz w:val="24"/>
              </w:rPr>
            </w:pPr>
            <w:r>
              <w:rPr>
                <w:rFonts w:hint="eastAsia" w:ascii="宋体" w:hAnsi="宋体"/>
                <w:sz w:val="24"/>
              </w:rPr>
              <w:t>其中：</w:t>
            </w:r>
          </w:p>
        </w:tc>
        <w:tc>
          <w:tcPr>
            <w:tcW w:w="3395" w:type="pct"/>
            <w:noWrap w:val="0"/>
            <w:vAlign w:val="center"/>
          </w:tcPr>
          <w:p w14:paraId="3EDFD8BE">
            <w:pPr>
              <w:jc w:val="left"/>
              <w:rPr>
                <w:rFonts w:hint="eastAsia" w:ascii="宋体" w:hAnsi="宋体"/>
                <w:bCs/>
                <w:sz w:val="24"/>
              </w:rPr>
            </w:pPr>
            <w:r>
              <w:rPr>
                <w:rFonts w:hint="eastAsia" w:ascii="宋体" w:hAnsi="宋体"/>
                <w:bCs/>
                <w:sz w:val="24"/>
              </w:rPr>
              <w:t>分部分项工程合价为：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3903127B">
            <w:pPr>
              <w:jc w:val="left"/>
              <w:rPr>
                <w:rFonts w:hint="eastAsia" w:ascii="宋体" w:hAnsi="宋体"/>
                <w:bCs/>
                <w:sz w:val="24"/>
              </w:rPr>
            </w:pPr>
            <w:r>
              <w:rPr>
                <w:rFonts w:hint="eastAsia" w:ascii="宋体" w:hAnsi="宋体"/>
                <w:bCs/>
                <w:sz w:val="24"/>
              </w:rPr>
              <w:t>措施项目合价为：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770009E0">
            <w:pPr>
              <w:jc w:val="left"/>
              <w:rPr>
                <w:rFonts w:hint="eastAsia" w:ascii="宋体" w:hAnsi="宋体"/>
                <w:bCs/>
                <w:sz w:val="24"/>
              </w:rPr>
            </w:pPr>
            <w:r>
              <w:rPr>
                <w:rFonts w:hint="eastAsia" w:ascii="宋体" w:hAnsi="宋体"/>
                <w:bCs/>
                <w:sz w:val="24"/>
              </w:rPr>
              <w:t>其他项目合价为：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cs="宋体"/>
                <w:bCs/>
                <w:sz w:val="24"/>
                <w:u w:val="single"/>
                <w:shd w:val="clear" w:color="auto" w:fill="FFFFFF"/>
              </w:rPr>
              <w:t xml:space="preserve"> </w:t>
            </w:r>
            <w:r>
              <w:rPr>
                <w:rFonts w:hint="eastAsia" w:ascii="宋体" w:hAnsi="宋体"/>
                <w:bCs/>
                <w:sz w:val="24"/>
                <w:u w:val="single"/>
              </w:rPr>
              <w:t xml:space="preserve">    </w:t>
            </w:r>
            <w:r>
              <w:rPr>
                <w:rFonts w:hint="eastAsia" w:ascii="宋体" w:hAnsi="宋体"/>
                <w:bCs/>
                <w:sz w:val="24"/>
              </w:rPr>
              <w:t>元；</w:t>
            </w:r>
          </w:p>
          <w:p w14:paraId="2F5806B3">
            <w:pPr>
              <w:jc w:val="left"/>
              <w:rPr>
                <w:rFonts w:hint="eastAsia" w:ascii="宋体" w:hAnsi="宋体"/>
                <w:bCs/>
                <w:sz w:val="24"/>
              </w:rPr>
            </w:pPr>
            <w:r>
              <w:rPr>
                <w:rFonts w:hint="eastAsia" w:ascii="宋体" w:hAnsi="宋体"/>
                <w:bCs/>
                <w:sz w:val="24"/>
              </w:rPr>
              <w:t>税金的合价为：</w:t>
            </w:r>
            <w:r>
              <w:rPr>
                <w:rFonts w:hint="eastAsia" w:ascii="宋体" w:hAnsi="宋体"/>
                <w:bCs/>
                <w:sz w:val="24"/>
                <w:u w:val="single"/>
              </w:rPr>
              <w:t xml:space="preserve">  </w:t>
            </w:r>
            <w:r>
              <w:rPr>
                <w:rFonts w:hint="eastAsia" w:ascii="宋体" w:hAnsi="宋体"/>
                <w:bCs/>
                <w:sz w:val="36"/>
                <w:szCs w:val="36"/>
                <w:u w:val="single"/>
              </w:rPr>
              <w:t xml:space="preserve">      </w:t>
            </w:r>
            <w:r>
              <w:rPr>
                <w:rFonts w:hint="eastAsia" w:ascii="宋体" w:hAnsi="宋体"/>
                <w:bCs/>
                <w:sz w:val="24"/>
                <w:u w:val="single"/>
              </w:rPr>
              <w:t xml:space="preserve">  </w:t>
            </w:r>
            <w:r>
              <w:rPr>
                <w:rFonts w:hint="eastAsia" w:ascii="宋体" w:hAnsi="宋体"/>
                <w:bCs/>
                <w:sz w:val="24"/>
              </w:rPr>
              <w:t>元；</w:t>
            </w:r>
          </w:p>
          <w:p w14:paraId="454E5C84">
            <w:pPr>
              <w:jc w:val="left"/>
              <w:rPr>
                <w:rFonts w:hint="eastAsia" w:ascii="宋体" w:hAnsi="宋体"/>
                <w:bCs/>
                <w:sz w:val="24"/>
              </w:rPr>
            </w:pPr>
            <w:r>
              <w:rPr>
                <w:rFonts w:hint="eastAsia" w:ascii="宋体" w:hAnsi="宋体"/>
                <w:bCs/>
                <w:sz w:val="24"/>
              </w:rPr>
              <w:t>其他说明：</w:t>
            </w:r>
          </w:p>
          <w:p w14:paraId="7ECC13BB">
            <w:pPr>
              <w:ind w:firstLine="480" w:firstLineChars="200"/>
              <w:jc w:val="left"/>
              <w:rPr>
                <w:rFonts w:hint="eastAsia" w:ascii="宋体" w:hAnsi="宋体"/>
                <w:bCs/>
                <w:sz w:val="24"/>
              </w:rPr>
            </w:pPr>
            <w:r>
              <w:rPr>
                <w:rFonts w:hint="eastAsia" w:ascii="宋体" w:hAnsi="宋体"/>
                <w:bCs/>
                <w:sz w:val="24"/>
              </w:rPr>
              <w:t>材料和工程设备暂估价（含税）合计金额：</w:t>
            </w:r>
            <w:r>
              <w:rPr>
                <w:rFonts w:hint="eastAsia" w:ascii="宋体" w:hAnsi="宋体"/>
                <w:bCs/>
                <w:sz w:val="24"/>
                <w:u w:val="single"/>
              </w:rPr>
              <w:t xml:space="preserve">      </w:t>
            </w:r>
            <w:r>
              <w:rPr>
                <w:rFonts w:hint="eastAsia" w:ascii="宋体" w:hAnsi="宋体"/>
                <w:bCs/>
                <w:sz w:val="24"/>
              </w:rPr>
              <w:t>元；</w:t>
            </w:r>
          </w:p>
          <w:p w14:paraId="2689A587">
            <w:pPr>
              <w:ind w:firstLine="480" w:firstLineChars="200"/>
              <w:jc w:val="left"/>
              <w:rPr>
                <w:rFonts w:hint="eastAsia" w:ascii="宋体" w:hAnsi="宋体"/>
                <w:bCs/>
                <w:sz w:val="24"/>
              </w:rPr>
            </w:pPr>
            <w:r>
              <w:rPr>
                <w:rFonts w:hint="eastAsia" w:ascii="宋体" w:hAnsi="宋体"/>
                <w:bCs/>
                <w:sz w:val="24"/>
              </w:rPr>
              <w:t>专业工程暂估价（含税）合计金额：</w:t>
            </w:r>
            <w:r>
              <w:rPr>
                <w:rFonts w:hint="eastAsia" w:ascii="宋体" w:hAnsi="宋体"/>
                <w:bCs/>
                <w:sz w:val="24"/>
                <w:u w:val="single"/>
              </w:rPr>
              <w:t xml:space="preserve">      </w:t>
            </w:r>
            <w:r>
              <w:rPr>
                <w:rFonts w:hint="eastAsia" w:ascii="宋体" w:hAnsi="宋体"/>
                <w:bCs/>
                <w:sz w:val="24"/>
              </w:rPr>
              <w:t>元；</w:t>
            </w:r>
          </w:p>
          <w:p w14:paraId="781A256A">
            <w:pPr>
              <w:ind w:firstLine="480" w:firstLineChars="200"/>
              <w:jc w:val="left"/>
              <w:rPr>
                <w:rFonts w:hint="eastAsia" w:ascii="宋体" w:hAnsi="宋体"/>
                <w:bCs/>
                <w:sz w:val="24"/>
              </w:rPr>
            </w:pPr>
            <w:r>
              <w:rPr>
                <w:rFonts w:hint="eastAsia" w:ascii="宋体" w:hAnsi="宋体"/>
                <w:bCs/>
                <w:sz w:val="24"/>
              </w:rPr>
              <w:t>暂列金额（不含计日工）（含税）合计金额：</w:t>
            </w:r>
            <w:r>
              <w:rPr>
                <w:rFonts w:hint="eastAsia" w:ascii="宋体" w:hAnsi="宋体"/>
                <w:bCs/>
                <w:sz w:val="24"/>
                <w:u w:val="single"/>
              </w:rPr>
              <w:t xml:space="preserve">      </w:t>
            </w:r>
            <w:r>
              <w:rPr>
                <w:rFonts w:hint="eastAsia" w:ascii="宋体" w:hAnsi="宋体"/>
                <w:bCs/>
                <w:sz w:val="24"/>
              </w:rPr>
              <w:t>元；</w:t>
            </w:r>
          </w:p>
          <w:p w14:paraId="3CD261A9">
            <w:pPr>
              <w:ind w:firstLine="480" w:firstLineChars="200"/>
              <w:jc w:val="left"/>
              <w:rPr>
                <w:rFonts w:hint="eastAsia" w:ascii="宋体" w:hAnsi="宋体"/>
                <w:bCs/>
                <w:sz w:val="24"/>
              </w:rPr>
            </w:pPr>
            <w:r>
              <w:rPr>
                <w:rFonts w:hint="eastAsia" w:ascii="宋体" w:hAnsi="宋体"/>
                <w:bCs/>
                <w:sz w:val="24"/>
              </w:rPr>
              <w:t>安全生产标准化措施费（含税）合计金额：</w:t>
            </w:r>
            <w:r>
              <w:rPr>
                <w:rFonts w:hint="eastAsia" w:ascii="宋体" w:hAnsi="宋体"/>
                <w:bCs/>
                <w:sz w:val="24"/>
                <w:u w:val="single"/>
              </w:rPr>
              <w:t xml:space="preserve">      </w:t>
            </w:r>
            <w:r>
              <w:rPr>
                <w:rFonts w:hint="eastAsia" w:ascii="宋体" w:hAnsi="宋体"/>
                <w:bCs/>
                <w:sz w:val="24"/>
              </w:rPr>
              <w:t>元</w:t>
            </w:r>
          </w:p>
          <w:p w14:paraId="4B512BCF">
            <w:pPr>
              <w:ind w:firstLine="480" w:firstLineChars="200"/>
              <w:jc w:val="left"/>
              <w:rPr>
                <w:rFonts w:hint="eastAsia" w:ascii="宋体" w:hAnsi="宋体"/>
                <w:bCs/>
                <w:sz w:val="24"/>
              </w:rPr>
            </w:pPr>
            <w:r>
              <w:rPr>
                <w:rFonts w:hint="eastAsia" w:ascii="宋体" w:hAnsi="宋体"/>
                <w:bCs/>
                <w:sz w:val="24"/>
              </w:rPr>
              <w:t>赶工增加费（含税）合计金额（如有）：</w:t>
            </w:r>
            <w:r>
              <w:rPr>
                <w:rFonts w:hint="eastAsia" w:ascii="宋体" w:hAnsi="宋体"/>
                <w:bCs/>
                <w:sz w:val="24"/>
                <w:u w:val="single"/>
              </w:rPr>
              <w:t xml:space="preserve">      </w:t>
            </w:r>
            <w:r>
              <w:rPr>
                <w:rFonts w:hint="eastAsia" w:ascii="宋体" w:hAnsi="宋体"/>
                <w:bCs/>
                <w:sz w:val="24"/>
              </w:rPr>
              <w:t>元。</w:t>
            </w:r>
          </w:p>
        </w:tc>
      </w:tr>
      <w:tr w14:paraId="5E84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3D645C50">
            <w:pPr>
              <w:rPr>
                <w:rFonts w:hint="eastAsia" w:ascii="宋体" w:hAnsi="宋体"/>
                <w:sz w:val="24"/>
              </w:rPr>
            </w:pPr>
            <w:r>
              <w:rPr>
                <w:rFonts w:hint="eastAsia" w:ascii="宋体" w:hAnsi="宋体"/>
                <w:sz w:val="24"/>
              </w:rPr>
              <w:t>对磋商文件的确认意见</w:t>
            </w:r>
          </w:p>
        </w:tc>
        <w:tc>
          <w:tcPr>
            <w:tcW w:w="3395" w:type="pct"/>
            <w:noWrap w:val="0"/>
            <w:vAlign w:val="center"/>
          </w:tcPr>
          <w:p w14:paraId="0B65BF41">
            <w:pPr>
              <w:rPr>
                <w:rFonts w:hint="eastAsia" w:ascii="宋体" w:hAnsi="宋体"/>
                <w:sz w:val="24"/>
              </w:rPr>
            </w:pPr>
            <w:r>
              <w:rPr>
                <w:rFonts w:hint="eastAsia"/>
                <w:szCs w:val="24"/>
              </w:rPr>
              <w:t>全部确认、无意见</w:t>
            </w:r>
          </w:p>
        </w:tc>
      </w:tr>
      <w:tr w14:paraId="6A66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769CC039">
            <w:pPr>
              <w:rPr>
                <w:rFonts w:hint="eastAsia" w:ascii="宋体" w:hAnsi="宋体"/>
                <w:sz w:val="24"/>
              </w:rPr>
            </w:pPr>
            <w:r>
              <w:rPr>
                <w:rFonts w:hint="eastAsia" w:ascii="宋体" w:hAnsi="宋体"/>
                <w:sz w:val="24"/>
              </w:rPr>
              <w:t>报价中未包含内容及要求采购单位的配合条件</w:t>
            </w:r>
          </w:p>
        </w:tc>
        <w:tc>
          <w:tcPr>
            <w:tcW w:w="3395" w:type="pct"/>
            <w:noWrap w:val="0"/>
            <w:vAlign w:val="center"/>
          </w:tcPr>
          <w:p w14:paraId="5888D30A">
            <w:pPr>
              <w:rPr>
                <w:rFonts w:ascii="宋体" w:hAnsi="宋体"/>
                <w:sz w:val="24"/>
              </w:rPr>
            </w:pPr>
            <w:r>
              <w:rPr>
                <w:rFonts w:hint="eastAsia" w:ascii="宋体" w:hAnsi="宋体"/>
                <w:sz w:val="24"/>
              </w:rPr>
              <w:t>无</w:t>
            </w:r>
          </w:p>
        </w:tc>
      </w:tr>
      <w:tr w14:paraId="1BF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70DAFA83">
            <w:pPr>
              <w:rPr>
                <w:rFonts w:hint="eastAsia" w:ascii="宋体" w:hAnsi="宋体"/>
                <w:sz w:val="24"/>
              </w:rPr>
            </w:pPr>
            <w:r>
              <w:rPr>
                <w:rFonts w:hint="eastAsia" w:ascii="宋体" w:hAnsi="宋体"/>
                <w:sz w:val="24"/>
              </w:rPr>
              <w:t>响应报价需要说明的问题</w:t>
            </w:r>
          </w:p>
        </w:tc>
        <w:tc>
          <w:tcPr>
            <w:tcW w:w="3395" w:type="pct"/>
            <w:noWrap w:val="0"/>
            <w:vAlign w:val="center"/>
          </w:tcPr>
          <w:p w14:paraId="4A9DB334">
            <w:pPr>
              <w:rPr>
                <w:rFonts w:hint="eastAsia" w:ascii="宋体" w:hAnsi="宋体"/>
                <w:sz w:val="24"/>
              </w:rPr>
            </w:pPr>
            <w:r>
              <w:rPr>
                <w:rFonts w:hint="eastAsia" w:ascii="宋体" w:hAnsi="宋体"/>
                <w:sz w:val="24"/>
              </w:rPr>
              <w:t>安全生产标准化措施费的报价及费率，以及税率、规费费率等执行现行最新标准。</w:t>
            </w:r>
          </w:p>
        </w:tc>
      </w:tr>
      <w:tr w14:paraId="25EF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4" w:type="pct"/>
            <w:noWrap w:val="0"/>
            <w:vAlign w:val="center"/>
          </w:tcPr>
          <w:p w14:paraId="6DEB3427">
            <w:pPr>
              <w:rPr>
                <w:rFonts w:hint="eastAsia" w:ascii="宋体" w:hAnsi="宋体"/>
                <w:sz w:val="24"/>
              </w:rPr>
            </w:pPr>
            <w:r>
              <w:rPr>
                <w:rFonts w:hint="eastAsia" w:ascii="宋体" w:hAnsi="宋体"/>
                <w:sz w:val="24"/>
              </w:rPr>
              <w:t>备注</w:t>
            </w:r>
          </w:p>
        </w:tc>
        <w:tc>
          <w:tcPr>
            <w:tcW w:w="3395" w:type="pct"/>
            <w:noWrap w:val="0"/>
            <w:vAlign w:val="center"/>
          </w:tcPr>
          <w:p w14:paraId="68B89EBA">
            <w:pPr>
              <w:rPr>
                <w:rFonts w:hint="eastAsia" w:ascii="宋体" w:hAnsi="宋体"/>
                <w:sz w:val="24"/>
              </w:rPr>
            </w:pPr>
            <w:r>
              <w:rPr>
                <w:rFonts w:hint="eastAsia" w:ascii="宋体" w:hAnsi="宋体"/>
                <w:sz w:val="24"/>
              </w:rPr>
              <w:t>无</w:t>
            </w:r>
          </w:p>
        </w:tc>
      </w:tr>
    </w:tbl>
    <w:p w14:paraId="69CCBEC6">
      <w:pPr>
        <w:tabs>
          <w:tab w:val="left" w:pos="1800"/>
          <w:tab w:val="left" w:pos="5580"/>
        </w:tabs>
        <w:jc w:val="left"/>
        <w:rPr>
          <w:rFonts w:eastAsiaTheme="minorEastAsia"/>
          <w:color w:val="000000"/>
          <w:sz w:val="24"/>
        </w:rPr>
      </w:pPr>
    </w:p>
    <w:p w14:paraId="5A23C160">
      <w:pPr>
        <w:tabs>
          <w:tab w:val="left" w:pos="1800"/>
          <w:tab w:val="left" w:pos="5580"/>
        </w:tabs>
        <w:jc w:val="left"/>
        <w:rPr>
          <w:rFonts w:eastAsiaTheme="minorEastAsia"/>
          <w:color w:val="000000"/>
          <w:sz w:val="24"/>
        </w:rPr>
      </w:pPr>
    </w:p>
    <w:p w14:paraId="6E422BA8">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597FF5E9">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1405E184">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43" w:name="_Hlk168432512"/>
      <w:r>
        <w:rPr>
          <w:rFonts w:hint="eastAsia" w:eastAsiaTheme="minorEastAsia"/>
          <w:color w:val="000000"/>
          <w:sz w:val="24"/>
        </w:rPr>
        <w:t>“大型”、</w:t>
      </w:r>
      <w:bookmarkEnd w:id="743"/>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44"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44"/>
    <w:p w14:paraId="56B34BA7">
      <w:pPr>
        <w:tabs>
          <w:tab w:val="left" w:pos="1800"/>
          <w:tab w:val="left" w:pos="5580"/>
        </w:tabs>
        <w:ind w:firstLine="480" w:firstLineChars="200"/>
        <w:jc w:val="left"/>
        <w:rPr>
          <w:rFonts w:eastAsiaTheme="minorEastAsia"/>
          <w:color w:val="000000"/>
          <w:sz w:val="24"/>
        </w:rPr>
      </w:pPr>
    </w:p>
    <w:p w14:paraId="0D08F313">
      <w:pPr>
        <w:autoSpaceDE w:val="0"/>
        <w:autoSpaceDN w:val="0"/>
        <w:adjustRightInd w:val="0"/>
        <w:snapToGrid w:val="0"/>
        <w:spacing w:before="25" w:after="25" w:line="360" w:lineRule="auto"/>
        <w:rPr>
          <w:rFonts w:eastAsiaTheme="minorEastAsia"/>
          <w:color w:val="000000"/>
          <w:sz w:val="24"/>
        </w:rPr>
      </w:pPr>
    </w:p>
    <w:p w14:paraId="7C388ACF">
      <w:pPr>
        <w:autoSpaceDE w:val="0"/>
        <w:autoSpaceDN w:val="0"/>
        <w:adjustRightInd w:val="0"/>
        <w:snapToGrid w:val="0"/>
        <w:spacing w:before="25" w:after="25" w:line="360" w:lineRule="auto"/>
        <w:rPr>
          <w:rFonts w:eastAsiaTheme="minorEastAsia"/>
          <w:color w:val="000000"/>
          <w:sz w:val="24"/>
        </w:rPr>
      </w:pPr>
    </w:p>
    <w:p w14:paraId="36EEA46C">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8ADAFB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151F0DD">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5" w:name="_Toc265228400"/>
      <w:bookmarkStart w:id="746" w:name="_Toc150480798"/>
      <w:bookmarkStart w:id="747" w:name="_Toc305158830"/>
      <w:bookmarkStart w:id="748" w:name="_Toc150774765"/>
      <w:bookmarkStart w:id="749" w:name="_Toc226309806"/>
      <w:bookmarkStart w:id="750" w:name="_Toc264969252"/>
      <w:bookmarkStart w:id="751" w:name="_Toc195842927"/>
      <w:bookmarkStart w:id="752" w:name="_Toc226337258"/>
      <w:bookmarkStart w:id="753" w:name="_Toc127151562"/>
      <w:bookmarkStart w:id="754" w:name="_Toc226965752"/>
      <w:bookmarkStart w:id="755" w:name="_Toc226965835"/>
      <w:bookmarkStart w:id="756" w:name="_Toc142311062"/>
      <w:bookmarkStart w:id="757" w:name="_Toc305158904"/>
      <w:bookmarkStart w:id="758" w:name="_Toc265228399"/>
      <w:bookmarkStart w:id="759" w:name="_Toc305158829"/>
      <w:bookmarkStart w:id="760" w:name="_Toc150480797"/>
      <w:bookmarkStart w:id="761" w:name="_Toc226309805"/>
      <w:bookmarkStart w:id="762" w:name="_Toc264969251"/>
      <w:bookmarkStart w:id="763" w:name="_Toc226965834"/>
      <w:bookmarkStart w:id="764" w:name="_Toc195842926"/>
      <w:bookmarkStart w:id="765" w:name="_Toc226965751"/>
      <w:bookmarkStart w:id="766" w:name="_Toc226337257"/>
      <w:bookmarkStart w:id="767" w:name="_Toc305158903"/>
      <w:bookmarkStart w:id="768" w:name="_Toc150774764"/>
      <w:bookmarkStart w:id="769" w:name="_Toc127151561"/>
      <w:bookmarkStart w:id="770" w:name="_Toc142311061"/>
    </w:p>
    <w:p w14:paraId="68023914">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eastAsiaTheme="minorEastAsia"/>
          <w:sz w:val="24"/>
        </w:rPr>
        <w:t>（实质性格式）</w:t>
      </w:r>
    </w:p>
    <w:p w14:paraId="1EE85897">
      <w:pPr>
        <w:spacing w:line="360" w:lineRule="auto"/>
        <w:rPr>
          <w:rFonts w:eastAsiaTheme="minorEastAsia"/>
          <w:color w:val="000000"/>
          <w:sz w:val="24"/>
          <w:szCs w:val="20"/>
        </w:rPr>
      </w:pPr>
    </w:p>
    <w:p w14:paraId="76E7AE31">
      <w:pPr>
        <w:tabs>
          <w:tab w:val="left" w:pos="2775"/>
          <w:tab w:val="center" w:pos="4153"/>
        </w:tabs>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合同条款偏离表</w:t>
      </w:r>
    </w:p>
    <w:p w14:paraId="1B8B6A8A">
      <w:pPr>
        <w:spacing w:line="360" w:lineRule="auto"/>
        <w:rPr>
          <w:rFonts w:eastAsiaTheme="minorEastAsia"/>
          <w:color w:val="000000"/>
          <w:sz w:val="24"/>
          <w:szCs w:val="20"/>
        </w:rPr>
      </w:pPr>
    </w:p>
    <w:p w14:paraId="18D22AB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5C09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2434BE">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EFCEE1A">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AF7A50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6F85C719">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A4F3DC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D39DD8F">
            <w:pPr>
              <w:adjustRightInd w:val="0"/>
              <w:snapToGrid w:val="0"/>
              <w:jc w:val="center"/>
              <w:rPr>
                <w:rFonts w:eastAsiaTheme="minorEastAsia"/>
                <w:color w:val="000000"/>
                <w:sz w:val="24"/>
              </w:rPr>
            </w:pPr>
            <w:r>
              <w:rPr>
                <w:rFonts w:eastAsiaTheme="minorEastAsia"/>
                <w:color w:val="000000"/>
                <w:sz w:val="24"/>
              </w:rPr>
              <w:t>说明</w:t>
            </w:r>
          </w:p>
        </w:tc>
      </w:tr>
      <w:tr w14:paraId="23C0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3C545A7">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9C9F5D2">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B1240BD">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77F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3918E15">
            <w:pPr>
              <w:adjustRightInd w:val="0"/>
              <w:snapToGrid w:val="0"/>
              <w:jc w:val="center"/>
              <w:rPr>
                <w:rFonts w:eastAsiaTheme="minorEastAsia"/>
                <w:color w:val="000000"/>
                <w:sz w:val="24"/>
              </w:rPr>
            </w:pPr>
          </w:p>
        </w:tc>
        <w:tc>
          <w:tcPr>
            <w:tcW w:w="1394" w:type="dxa"/>
            <w:vAlign w:val="center"/>
          </w:tcPr>
          <w:p w14:paraId="1E2C3F48">
            <w:pPr>
              <w:adjustRightInd w:val="0"/>
              <w:snapToGrid w:val="0"/>
              <w:jc w:val="center"/>
              <w:rPr>
                <w:rFonts w:eastAsiaTheme="minorEastAsia"/>
                <w:color w:val="000000"/>
                <w:sz w:val="24"/>
              </w:rPr>
            </w:pPr>
          </w:p>
        </w:tc>
        <w:tc>
          <w:tcPr>
            <w:tcW w:w="1808" w:type="dxa"/>
            <w:vAlign w:val="center"/>
          </w:tcPr>
          <w:p w14:paraId="6982B21F">
            <w:pPr>
              <w:adjustRightInd w:val="0"/>
              <w:snapToGrid w:val="0"/>
              <w:jc w:val="center"/>
              <w:rPr>
                <w:rFonts w:eastAsiaTheme="minorEastAsia"/>
                <w:color w:val="000000"/>
                <w:sz w:val="24"/>
              </w:rPr>
            </w:pPr>
          </w:p>
        </w:tc>
        <w:tc>
          <w:tcPr>
            <w:tcW w:w="1809" w:type="dxa"/>
            <w:vAlign w:val="center"/>
          </w:tcPr>
          <w:p w14:paraId="102F9008">
            <w:pPr>
              <w:adjustRightInd w:val="0"/>
              <w:snapToGrid w:val="0"/>
              <w:jc w:val="center"/>
              <w:rPr>
                <w:rFonts w:eastAsiaTheme="minorEastAsia"/>
                <w:color w:val="000000"/>
                <w:sz w:val="24"/>
              </w:rPr>
            </w:pPr>
          </w:p>
        </w:tc>
        <w:tc>
          <w:tcPr>
            <w:tcW w:w="2290" w:type="dxa"/>
            <w:vAlign w:val="center"/>
          </w:tcPr>
          <w:p w14:paraId="636D7DDE">
            <w:pPr>
              <w:adjustRightInd w:val="0"/>
              <w:snapToGrid w:val="0"/>
              <w:jc w:val="center"/>
              <w:rPr>
                <w:rFonts w:eastAsiaTheme="minorEastAsia"/>
                <w:color w:val="000000"/>
                <w:sz w:val="24"/>
              </w:rPr>
            </w:pPr>
          </w:p>
        </w:tc>
        <w:tc>
          <w:tcPr>
            <w:tcW w:w="863" w:type="dxa"/>
            <w:vAlign w:val="center"/>
          </w:tcPr>
          <w:p w14:paraId="767FD7F0">
            <w:pPr>
              <w:adjustRightInd w:val="0"/>
              <w:snapToGrid w:val="0"/>
              <w:jc w:val="center"/>
              <w:rPr>
                <w:rFonts w:eastAsiaTheme="minorEastAsia"/>
                <w:color w:val="000000"/>
                <w:sz w:val="24"/>
              </w:rPr>
            </w:pPr>
          </w:p>
        </w:tc>
      </w:tr>
      <w:tr w14:paraId="30B4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92213FB">
            <w:pPr>
              <w:adjustRightInd w:val="0"/>
              <w:snapToGrid w:val="0"/>
              <w:jc w:val="center"/>
              <w:rPr>
                <w:rFonts w:eastAsiaTheme="minorEastAsia"/>
                <w:color w:val="000000"/>
                <w:sz w:val="24"/>
              </w:rPr>
            </w:pPr>
          </w:p>
        </w:tc>
        <w:tc>
          <w:tcPr>
            <w:tcW w:w="1394" w:type="dxa"/>
            <w:vAlign w:val="center"/>
          </w:tcPr>
          <w:p w14:paraId="7D4ADE57">
            <w:pPr>
              <w:adjustRightInd w:val="0"/>
              <w:snapToGrid w:val="0"/>
              <w:jc w:val="center"/>
              <w:rPr>
                <w:rFonts w:eastAsiaTheme="minorEastAsia"/>
                <w:color w:val="000000"/>
                <w:sz w:val="24"/>
              </w:rPr>
            </w:pPr>
          </w:p>
        </w:tc>
        <w:tc>
          <w:tcPr>
            <w:tcW w:w="1808" w:type="dxa"/>
            <w:vAlign w:val="center"/>
          </w:tcPr>
          <w:p w14:paraId="309D6298">
            <w:pPr>
              <w:adjustRightInd w:val="0"/>
              <w:snapToGrid w:val="0"/>
              <w:jc w:val="center"/>
              <w:rPr>
                <w:rFonts w:eastAsiaTheme="minorEastAsia"/>
                <w:color w:val="000000"/>
                <w:sz w:val="24"/>
              </w:rPr>
            </w:pPr>
          </w:p>
        </w:tc>
        <w:tc>
          <w:tcPr>
            <w:tcW w:w="1809" w:type="dxa"/>
            <w:vAlign w:val="center"/>
          </w:tcPr>
          <w:p w14:paraId="0B67B4A5">
            <w:pPr>
              <w:adjustRightInd w:val="0"/>
              <w:snapToGrid w:val="0"/>
              <w:jc w:val="center"/>
              <w:rPr>
                <w:rFonts w:eastAsiaTheme="minorEastAsia"/>
                <w:color w:val="000000"/>
                <w:sz w:val="24"/>
              </w:rPr>
            </w:pPr>
          </w:p>
        </w:tc>
        <w:tc>
          <w:tcPr>
            <w:tcW w:w="2290" w:type="dxa"/>
            <w:vAlign w:val="center"/>
          </w:tcPr>
          <w:p w14:paraId="16B1BD7E">
            <w:pPr>
              <w:adjustRightInd w:val="0"/>
              <w:snapToGrid w:val="0"/>
              <w:jc w:val="center"/>
              <w:rPr>
                <w:rFonts w:eastAsiaTheme="minorEastAsia"/>
                <w:color w:val="000000"/>
                <w:sz w:val="24"/>
              </w:rPr>
            </w:pPr>
          </w:p>
        </w:tc>
        <w:tc>
          <w:tcPr>
            <w:tcW w:w="863" w:type="dxa"/>
            <w:vAlign w:val="center"/>
          </w:tcPr>
          <w:p w14:paraId="7F9A1AAE">
            <w:pPr>
              <w:adjustRightInd w:val="0"/>
              <w:snapToGrid w:val="0"/>
              <w:jc w:val="center"/>
              <w:rPr>
                <w:rFonts w:eastAsiaTheme="minorEastAsia"/>
                <w:color w:val="000000"/>
                <w:sz w:val="24"/>
              </w:rPr>
            </w:pPr>
          </w:p>
        </w:tc>
      </w:tr>
      <w:tr w14:paraId="1495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351C43D">
            <w:pPr>
              <w:adjustRightInd w:val="0"/>
              <w:snapToGrid w:val="0"/>
              <w:jc w:val="center"/>
              <w:rPr>
                <w:rFonts w:eastAsiaTheme="minorEastAsia"/>
                <w:color w:val="000000"/>
                <w:sz w:val="24"/>
              </w:rPr>
            </w:pPr>
          </w:p>
        </w:tc>
        <w:tc>
          <w:tcPr>
            <w:tcW w:w="1394" w:type="dxa"/>
            <w:vAlign w:val="center"/>
          </w:tcPr>
          <w:p w14:paraId="5CE6425F">
            <w:pPr>
              <w:adjustRightInd w:val="0"/>
              <w:snapToGrid w:val="0"/>
              <w:jc w:val="center"/>
              <w:rPr>
                <w:rFonts w:eastAsiaTheme="minorEastAsia"/>
                <w:color w:val="000000"/>
                <w:sz w:val="24"/>
              </w:rPr>
            </w:pPr>
          </w:p>
        </w:tc>
        <w:tc>
          <w:tcPr>
            <w:tcW w:w="1808" w:type="dxa"/>
            <w:vAlign w:val="center"/>
          </w:tcPr>
          <w:p w14:paraId="2B12D677">
            <w:pPr>
              <w:adjustRightInd w:val="0"/>
              <w:snapToGrid w:val="0"/>
              <w:jc w:val="center"/>
              <w:rPr>
                <w:rFonts w:eastAsiaTheme="minorEastAsia"/>
                <w:color w:val="000000"/>
                <w:sz w:val="24"/>
              </w:rPr>
            </w:pPr>
          </w:p>
        </w:tc>
        <w:tc>
          <w:tcPr>
            <w:tcW w:w="1809" w:type="dxa"/>
            <w:vAlign w:val="center"/>
          </w:tcPr>
          <w:p w14:paraId="5AFDD7E0">
            <w:pPr>
              <w:adjustRightInd w:val="0"/>
              <w:snapToGrid w:val="0"/>
              <w:jc w:val="center"/>
              <w:rPr>
                <w:rFonts w:eastAsiaTheme="minorEastAsia"/>
                <w:color w:val="000000"/>
                <w:sz w:val="24"/>
              </w:rPr>
            </w:pPr>
          </w:p>
        </w:tc>
        <w:tc>
          <w:tcPr>
            <w:tcW w:w="2290" w:type="dxa"/>
            <w:vAlign w:val="center"/>
          </w:tcPr>
          <w:p w14:paraId="6E4DA675">
            <w:pPr>
              <w:adjustRightInd w:val="0"/>
              <w:snapToGrid w:val="0"/>
              <w:jc w:val="center"/>
              <w:rPr>
                <w:rFonts w:eastAsiaTheme="minorEastAsia"/>
                <w:color w:val="000000"/>
                <w:sz w:val="24"/>
              </w:rPr>
            </w:pPr>
          </w:p>
        </w:tc>
        <w:tc>
          <w:tcPr>
            <w:tcW w:w="863" w:type="dxa"/>
            <w:vAlign w:val="center"/>
          </w:tcPr>
          <w:p w14:paraId="374B12D7">
            <w:pPr>
              <w:adjustRightInd w:val="0"/>
              <w:snapToGrid w:val="0"/>
              <w:jc w:val="center"/>
              <w:rPr>
                <w:rFonts w:eastAsiaTheme="minorEastAsia"/>
                <w:color w:val="000000"/>
                <w:sz w:val="24"/>
              </w:rPr>
            </w:pPr>
          </w:p>
        </w:tc>
      </w:tr>
      <w:tr w14:paraId="0814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2DD748F">
            <w:pPr>
              <w:adjustRightInd w:val="0"/>
              <w:snapToGrid w:val="0"/>
              <w:jc w:val="center"/>
              <w:rPr>
                <w:rFonts w:eastAsiaTheme="minorEastAsia"/>
                <w:color w:val="000000"/>
                <w:sz w:val="24"/>
              </w:rPr>
            </w:pPr>
          </w:p>
        </w:tc>
        <w:tc>
          <w:tcPr>
            <w:tcW w:w="1394" w:type="dxa"/>
            <w:vAlign w:val="center"/>
          </w:tcPr>
          <w:p w14:paraId="3FD10D53">
            <w:pPr>
              <w:adjustRightInd w:val="0"/>
              <w:snapToGrid w:val="0"/>
              <w:jc w:val="center"/>
              <w:rPr>
                <w:rFonts w:eastAsiaTheme="minorEastAsia"/>
                <w:color w:val="000000"/>
                <w:sz w:val="24"/>
              </w:rPr>
            </w:pPr>
          </w:p>
        </w:tc>
        <w:tc>
          <w:tcPr>
            <w:tcW w:w="1808" w:type="dxa"/>
            <w:vAlign w:val="center"/>
          </w:tcPr>
          <w:p w14:paraId="26D4851F">
            <w:pPr>
              <w:adjustRightInd w:val="0"/>
              <w:snapToGrid w:val="0"/>
              <w:jc w:val="center"/>
              <w:rPr>
                <w:rFonts w:eastAsiaTheme="minorEastAsia"/>
                <w:color w:val="000000"/>
                <w:sz w:val="24"/>
              </w:rPr>
            </w:pPr>
          </w:p>
        </w:tc>
        <w:tc>
          <w:tcPr>
            <w:tcW w:w="1809" w:type="dxa"/>
            <w:vAlign w:val="center"/>
          </w:tcPr>
          <w:p w14:paraId="62D39584">
            <w:pPr>
              <w:adjustRightInd w:val="0"/>
              <w:snapToGrid w:val="0"/>
              <w:jc w:val="center"/>
              <w:rPr>
                <w:rFonts w:eastAsiaTheme="minorEastAsia"/>
                <w:color w:val="000000"/>
                <w:sz w:val="24"/>
              </w:rPr>
            </w:pPr>
          </w:p>
        </w:tc>
        <w:tc>
          <w:tcPr>
            <w:tcW w:w="2290" w:type="dxa"/>
            <w:vAlign w:val="center"/>
          </w:tcPr>
          <w:p w14:paraId="4C9565DC">
            <w:pPr>
              <w:adjustRightInd w:val="0"/>
              <w:snapToGrid w:val="0"/>
              <w:jc w:val="center"/>
              <w:rPr>
                <w:rFonts w:eastAsiaTheme="minorEastAsia"/>
                <w:color w:val="000000"/>
                <w:sz w:val="24"/>
              </w:rPr>
            </w:pPr>
          </w:p>
        </w:tc>
        <w:tc>
          <w:tcPr>
            <w:tcW w:w="863" w:type="dxa"/>
            <w:vAlign w:val="center"/>
          </w:tcPr>
          <w:p w14:paraId="645718E5">
            <w:pPr>
              <w:adjustRightInd w:val="0"/>
              <w:snapToGrid w:val="0"/>
              <w:jc w:val="center"/>
              <w:rPr>
                <w:rFonts w:eastAsiaTheme="minorEastAsia"/>
                <w:color w:val="000000"/>
                <w:sz w:val="24"/>
              </w:rPr>
            </w:pPr>
          </w:p>
        </w:tc>
      </w:tr>
      <w:tr w14:paraId="09B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B2452C0">
            <w:pPr>
              <w:adjustRightInd w:val="0"/>
              <w:snapToGrid w:val="0"/>
              <w:jc w:val="center"/>
              <w:rPr>
                <w:rFonts w:eastAsiaTheme="minorEastAsia"/>
                <w:color w:val="000000"/>
                <w:sz w:val="24"/>
              </w:rPr>
            </w:pPr>
          </w:p>
        </w:tc>
        <w:tc>
          <w:tcPr>
            <w:tcW w:w="1394" w:type="dxa"/>
            <w:vAlign w:val="center"/>
          </w:tcPr>
          <w:p w14:paraId="08F13239">
            <w:pPr>
              <w:adjustRightInd w:val="0"/>
              <w:snapToGrid w:val="0"/>
              <w:jc w:val="center"/>
              <w:rPr>
                <w:rFonts w:eastAsiaTheme="minorEastAsia"/>
                <w:color w:val="000000"/>
                <w:sz w:val="24"/>
              </w:rPr>
            </w:pPr>
          </w:p>
        </w:tc>
        <w:tc>
          <w:tcPr>
            <w:tcW w:w="1808" w:type="dxa"/>
            <w:vAlign w:val="center"/>
          </w:tcPr>
          <w:p w14:paraId="70C4BA4C">
            <w:pPr>
              <w:adjustRightInd w:val="0"/>
              <w:snapToGrid w:val="0"/>
              <w:jc w:val="center"/>
              <w:rPr>
                <w:rFonts w:eastAsiaTheme="minorEastAsia"/>
                <w:color w:val="000000"/>
                <w:sz w:val="24"/>
              </w:rPr>
            </w:pPr>
          </w:p>
        </w:tc>
        <w:tc>
          <w:tcPr>
            <w:tcW w:w="1809" w:type="dxa"/>
            <w:vAlign w:val="center"/>
          </w:tcPr>
          <w:p w14:paraId="737D4055">
            <w:pPr>
              <w:adjustRightInd w:val="0"/>
              <w:snapToGrid w:val="0"/>
              <w:jc w:val="center"/>
              <w:rPr>
                <w:rFonts w:eastAsiaTheme="minorEastAsia"/>
                <w:color w:val="000000"/>
                <w:sz w:val="24"/>
              </w:rPr>
            </w:pPr>
          </w:p>
        </w:tc>
        <w:tc>
          <w:tcPr>
            <w:tcW w:w="2290" w:type="dxa"/>
            <w:vAlign w:val="center"/>
          </w:tcPr>
          <w:p w14:paraId="46AA692B">
            <w:pPr>
              <w:adjustRightInd w:val="0"/>
              <w:snapToGrid w:val="0"/>
              <w:jc w:val="center"/>
              <w:rPr>
                <w:rFonts w:eastAsiaTheme="minorEastAsia"/>
                <w:color w:val="000000"/>
                <w:sz w:val="24"/>
              </w:rPr>
            </w:pPr>
          </w:p>
        </w:tc>
        <w:tc>
          <w:tcPr>
            <w:tcW w:w="863" w:type="dxa"/>
            <w:vAlign w:val="center"/>
          </w:tcPr>
          <w:p w14:paraId="4243B72E">
            <w:pPr>
              <w:adjustRightInd w:val="0"/>
              <w:snapToGrid w:val="0"/>
              <w:jc w:val="center"/>
              <w:rPr>
                <w:rFonts w:eastAsiaTheme="minorEastAsia"/>
                <w:color w:val="000000"/>
                <w:sz w:val="24"/>
              </w:rPr>
            </w:pPr>
          </w:p>
        </w:tc>
      </w:tr>
    </w:tbl>
    <w:p w14:paraId="4E37E2CB">
      <w:pPr>
        <w:tabs>
          <w:tab w:val="left" w:pos="1800"/>
          <w:tab w:val="left" w:pos="5580"/>
        </w:tabs>
        <w:jc w:val="left"/>
        <w:rPr>
          <w:rFonts w:eastAsiaTheme="minorEastAsia"/>
          <w:color w:val="000000"/>
          <w:sz w:val="24"/>
        </w:rPr>
      </w:pPr>
    </w:p>
    <w:p w14:paraId="02CFDD17">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15B4C067">
      <w:pPr>
        <w:spacing w:line="360" w:lineRule="auto"/>
        <w:rPr>
          <w:rFonts w:eastAsiaTheme="minorEastAsia"/>
          <w:color w:val="000000"/>
          <w:sz w:val="24"/>
          <w:szCs w:val="20"/>
        </w:rPr>
      </w:pPr>
    </w:p>
    <w:p w14:paraId="1C98C62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4973891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962E96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Theme="minorEastAsia"/>
          <w:sz w:val="24"/>
        </w:rPr>
        <w:t>采购需求偏离表</w:t>
      </w:r>
    </w:p>
    <w:p w14:paraId="0E2C43D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A9DC71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0D4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D7EF866">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2C7D041">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0075B3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38311156">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45F92809">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039891D2">
            <w:pPr>
              <w:adjustRightInd w:val="0"/>
              <w:snapToGrid w:val="0"/>
              <w:jc w:val="center"/>
              <w:rPr>
                <w:rFonts w:eastAsiaTheme="minorEastAsia"/>
                <w:color w:val="000000"/>
                <w:sz w:val="24"/>
              </w:rPr>
            </w:pPr>
            <w:r>
              <w:rPr>
                <w:rFonts w:eastAsiaTheme="minorEastAsia"/>
                <w:color w:val="000000"/>
                <w:sz w:val="24"/>
              </w:rPr>
              <w:t>说明</w:t>
            </w:r>
          </w:p>
        </w:tc>
      </w:tr>
      <w:tr w14:paraId="3FE2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82529C">
            <w:pPr>
              <w:adjustRightInd w:val="0"/>
              <w:snapToGrid w:val="0"/>
              <w:jc w:val="center"/>
              <w:rPr>
                <w:rFonts w:eastAsiaTheme="minorEastAsia"/>
                <w:color w:val="000000"/>
                <w:sz w:val="24"/>
              </w:rPr>
            </w:pPr>
          </w:p>
        </w:tc>
        <w:tc>
          <w:tcPr>
            <w:tcW w:w="1482" w:type="dxa"/>
            <w:vAlign w:val="center"/>
          </w:tcPr>
          <w:p w14:paraId="1A37C510">
            <w:pPr>
              <w:adjustRightInd w:val="0"/>
              <w:snapToGrid w:val="0"/>
              <w:jc w:val="center"/>
              <w:rPr>
                <w:rFonts w:eastAsiaTheme="minorEastAsia"/>
                <w:color w:val="000000"/>
                <w:sz w:val="24"/>
              </w:rPr>
            </w:pPr>
          </w:p>
        </w:tc>
        <w:tc>
          <w:tcPr>
            <w:tcW w:w="2384" w:type="dxa"/>
            <w:vAlign w:val="center"/>
          </w:tcPr>
          <w:p w14:paraId="54A1D9C7">
            <w:pPr>
              <w:adjustRightInd w:val="0"/>
              <w:snapToGrid w:val="0"/>
              <w:jc w:val="center"/>
              <w:rPr>
                <w:rFonts w:eastAsiaTheme="minorEastAsia"/>
                <w:color w:val="000000"/>
                <w:sz w:val="24"/>
              </w:rPr>
            </w:pPr>
          </w:p>
        </w:tc>
        <w:tc>
          <w:tcPr>
            <w:tcW w:w="2126" w:type="dxa"/>
            <w:vAlign w:val="center"/>
          </w:tcPr>
          <w:p w14:paraId="2674F362">
            <w:pPr>
              <w:adjustRightInd w:val="0"/>
              <w:snapToGrid w:val="0"/>
              <w:jc w:val="center"/>
              <w:rPr>
                <w:rFonts w:eastAsiaTheme="minorEastAsia"/>
                <w:color w:val="000000"/>
                <w:sz w:val="24"/>
              </w:rPr>
            </w:pPr>
          </w:p>
        </w:tc>
        <w:tc>
          <w:tcPr>
            <w:tcW w:w="1875" w:type="dxa"/>
            <w:vAlign w:val="center"/>
          </w:tcPr>
          <w:p w14:paraId="12167B4A">
            <w:pPr>
              <w:adjustRightInd w:val="0"/>
              <w:snapToGrid w:val="0"/>
              <w:jc w:val="center"/>
              <w:rPr>
                <w:rFonts w:eastAsiaTheme="minorEastAsia"/>
                <w:color w:val="000000"/>
                <w:sz w:val="24"/>
              </w:rPr>
            </w:pPr>
          </w:p>
        </w:tc>
        <w:tc>
          <w:tcPr>
            <w:tcW w:w="1009" w:type="dxa"/>
            <w:vAlign w:val="center"/>
          </w:tcPr>
          <w:p w14:paraId="10F9FFFF">
            <w:pPr>
              <w:adjustRightInd w:val="0"/>
              <w:snapToGrid w:val="0"/>
              <w:jc w:val="center"/>
              <w:rPr>
                <w:rFonts w:eastAsiaTheme="minorEastAsia"/>
                <w:color w:val="000000"/>
                <w:sz w:val="24"/>
              </w:rPr>
            </w:pPr>
          </w:p>
        </w:tc>
      </w:tr>
      <w:tr w14:paraId="4635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59DE1E">
            <w:pPr>
              <w:adjustRightInd w:val="0"/>
              <w:snapToGrid w:val="0"/>
              <w:jc w:val="center"/>
              <w:rPr>
                <w:rFonts w:eastAsiaTheme="minorEastAsia"/>
                <w:color w:val="000000"/>
                <w:sz w:val="24"/>
              </w:rPr>
            </w:pPr>
          </w:p>
        </w:tc>
        <w:tc>
          <w:tcPr>
            <w:tcW w:w="1482" w:type="dxa"/>
            <w:vAlign w:val="center"/>
          </w:tcPr>
          <w:p w14:paraId="3876785F">
            <w:pPr>
              <w:adjustRightInd w:val="0"/>
              <w:snapToGrid w:val="0"/>
              <w:jc w:val="center"/>
              <w:rPr>
                <w:rFonts w:eastAsiaTheme="minorEastAsia"/>
                <w:color w:val="000000"/>
                <w:sz w:val="24"/>
              </w:rPr>
            </w:pPr>
          </w:p>
        </w:tc>
        <w:tc>
          <w:tcPr>
            <w:tcW w:w="2384" w:type="dxa"/>
            <w:vAlign w:val="center"/>
          </w:tcPr>
          <w:p w14:paraId="591F0AF3">
            <w:pPr>
              <w:adjustRightInd w:val="0"/>
              <w:snapToGrid w:val="0"/>
              <w:jc w:val="center"/>
              <w:rPr>
                <w:rFonts w:eastAsiaTheme="minorEastAsia"/>
                <w:color w:val="000000"/>
                <w:sz w:val="24"/>
              </w:rPr>
            </w:pPr>
          </w:p>
        </w:tc>
        <w:tc>
          <w:tcPr>
            <w:tcW w:w="2126" w:type="dxa"/>
            <w:vAlign w:val="center"/>
          </w:tcPr>
          <w:p w14:paraId="767E9D40">
            <w:pPr>
              <w:adjustRightInd w:val="0"/>
              <w:snapToGrid w:val="0"/>
              <w:jc w:val="center"/>
              <w:rPr>
                <w:rFonts w:eastAsiaTheme="minorEastAsia"/>
                <w:color w:val="000000"/>
                <w:sz w:val="24"/>
              </w:rPr>
            </w:pPr>
          </w:p>
        </w:tc>
        <w:tc>
          <w:tcPr>
            <w:tcW w:w="1875" w:type="dxa"/>
            <w:vAlign w:val="center"/>
          </w:tcPr>
          <w:p w14:paraId="12F5C194">
            <w:pPr>
              <w:adjustRightInd w:val="0"/>
              <w:snapToGrid w:val="0"/>
              <w:jc w:val="center"/>
              <w:rPr>
                <w:rFonts w:eastAsiaTheme="minorEastAsia"/>
                <w:color w:val="000000"/>
                <w:sz w:val="24"/>
              </w:rPr>
            </w:pPr>
          </w:p>
        </w:tc>
        <w:tc>
          <w:tcPr>
            <w:tcW w:w="1009" w:type="dxa"/>
            <w:vAlign w:val="center"/>
          </w:tcPr>
          <w:p w14:paraId="4F4752B7">
            <w:pPr>
              <w:adjustRightInd w:val="0"/>
              <w:snapToGrid w:val="0"/>
              <w:jc w:val="center"/>
              <w:rPr>
                <w:rFonts w:eastAsiaTheme="minorEastAsia"/>
                <w:color w:val="000000"/>
                <w:sz w:val="24"/>
              </w:rPr>
            </w:pPr>
          </w:p>
        </w:tc>
      </w:tr>
      <w:tr w14:paraId="38E7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4AB1B6">
            <w:pPr>
              <w:adjustRightInd w:val="0"/>
              <w:snapToGrid w:val="0"/>
              <w:jc w:val="center"/>
              <w:rPr>
                <w:rFonts w:eastAsiaTheme="minorEastAsia"/>
                <w:color w:val="000000"/>
                <w:sz w:val="24"/>
              </w:rPr>
            </w:pPr>
          </w:p>
        </w:tc>
        <w:tc>
          <w:tcPr>
            <w:tcW w:w="1482" w:type="dxa"/>
            <w:vAlign w:val="center"/>
          </w:tcPr>
          <w:p w14:paraId="7393067D">
            <w:pPr>
              <w:adjustRightInd w:val="0"/>
              <w:snapToGrid w:val="0"/>
              <w:jc w:val="center"/>
              <w:rPr>
                <w:rFonts w:eastAsiaTheme="minorEastAsia"/>
                <w:color w:val="000000"/>
                <w:sz w:val="24"/>
              </w:rPr>
            </w:pPr>
          </w:p>
        </w:tc>
        <w:tc>
          <w:tcPr>
            <w:tcW w:w="2384" w:type="dxa"/>
            <w:vAlign w:val="center"/>
          </w:tcPr>
          <w:p w14:paraId="28226262">
            <w:pPr>
              <w:adjustRightInd w:val="0"/>
              <w:snapToGrid w:val="0"/>
              <w:jc w:val="center"/>
              <w:rPr>
                <w:rFonts w:eastAsiaTheme="minorEastAsia"/>
                <w:color w:val="000000"/>
                <w:sz w:val="24"/>
              </w:rPr>
            </w:pPr>
          </w:p>
        </w:tc>
        <w:tc>
          <w:tcPr>
            <w:tcW w:w="2126" w:type="dxa"/>
            <w:vAlign w:val="center"/>
          </w:tcPr>
          <w:p w14:paraId="11CC0AD3">
            <w:pPr>
              <w:adjustRightInd w:val="0"/>
              <w:snapToGrid w:val="0"/>
              <w:jc w:val="center"/>
              <w:rPr>
                <w:rFonts w:eastAsiaTheme="minorEastAsia"/>
                <w:color w:val="000000"/>
                <w:sz w:val="24"/>
              </w:rPr>
            </w:pPr>
          </w:p>
        </w:tc>
        <w:tc>
          <w:tcPr>
            <w:tcW w:w="1875" w:type="dxa"/>
            <w:vAlign w:val="center"/>
          </w:tcPr>
          <w:p w14:paraId="34BB467E">
            <w:pPr>
              <w:adjustRightInd w:val="0"/>
              <w:snapToGrid w:val="0"/>
              <w:jc w:val="center"/>
              <w:rPr>
                <w:rFonts w:eastAsiaTheme="minorEastAsia"/>
                <w:color w:val="000000"/>
                <w:sz w:val="24"/>
              </w:rPr>
            </w:pPr>
          </w:p>
        </w:tc>
        <w:tc>
          <w:tcPr>
            <w:tcW w:w="1009" w:type="dxa"/>
            <w:vAlign w:val="center"/>
          </w:tcPr>
          <w:p w14:paraId="40D9D436">
            <w:pPr>
              <w:adjustRightInd w:val="0"/>
              <w:snapToGrid w:val="0"/>
              <w:jc w:val="center"/>
              <w:rPr>
                <w:rFonts w:eastAsiaTheme="minorEastAsia"/>
                <w:color w:val="000000"/>
                <w:sz w:val="24"/>
              </w:rPr>
            </w:pPr>
          </w:p>
        </w:tc>
      </w:tr>
      <w:tr w14:paraId="187F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FD9B88">
            <w:pPr>
              <w:adjustRightInd w:val="0"/>
              <w:snapToGrid w:val="0"/>
              <w:jc w:val="center"/>
              <w:rPr>
                <w:rFonts w:eastAsiaTheme="minorEastAsia"/>
                <w:color w:val="000000"/>
                <w:sz w:val="24"/>
              </w:rPr>
            </w:pPr>
          </w:p>
        </w:tc>
        <w:tc>
          <w:tcPr>
            <w:tcW w:w="1482" w:type="dxa"/>
            <w:vAlign w:val="center"/>
          </w:tcPr>
          <w:p w14:paraId="312724D9">
            <w:pPr>
              <w:adjustRightInd w:val="0"/>
              <w:snapToGrid w:val="0"/>
              <w:jc w:val="center"/>
              <w:rPr>
                <w:rFonts w:eastAsiaTheme="minorEastAsia"/>
                <w:color w:val="000000"/>
                <w:sz w:val="24"/>
              </w:rPr>
            </w:pPr>
          </w:p>
        </w:tc>
        <w:tc>
          <w:tcPr>
            <w:tcW w:w="2384" w:type="dxa"/>
            <w:vAlign w:val="center"/>
          </w:tcPr>
          <w:p w14:paraId="1A3CD553">
            <w:pPr>
              <w:adjustRightInd w:val="0"/>
              <w:snapToGrid w:val="0"/>
              <w:jc w:val="center"/>
              <w:rPr>
                <w:rFonts w:eastAsiaTheme="minorEastAsia"/>
                <w:color w:val="000000"/>
                <w:sz w:val="24"/>
              </w:rPr>
            </w:pPr>
          </w:p>
        </w:tc>
        <w:tc>
          <w:tcPr>
            <w:tcW w:w="2126" w:type="dxa"/>
            <w:vAlign w:val="center"/>
          </w:tcPr>
          <w:p w14:paraId="3EA04E6F">
            <w:pPr>
              <w:adjustRightInd w:val="0"/>
              <w:snapToGrid w:val="0"/>
              <w:jc w:val="center"/>
              <w:rPr>
                <w:rFonts w:eastAsiaTheme="minorEastAsia"/>
                <w:color w:val="000000"/>
                <w:sz w:val="24"/>
              </w:rPr>
            </w:pPr>
          </w:p>
        </w:tc>
        <w:tc>
          <w:tcPr>
            <w:tcW w:w="1875" w:type="dxa"/>
            <w:vAlign w:val="center"/>
          </w:tcPr>
          <w:p w14:paraId="76A1548D">
            <w:pPr>
              <w:adjustRightInd w:val="0"/>
              <w:snapToGrid w:val="0"/>
              <w:jc w:val="center"/>
              <w:rPr>
                <w:rFonts w:eastAsiaTheme="minorEastAsia"/>
                <w:color w:val="000000"/>
                <w:sz w:val="24"/>
              </w:rPr>
            </w:pPr>
          </w:p>
        </w:tc>
        <w:tc>
          <w:tcPr>
            <w:tcW w:w="1009" w:type="dxa"/>
            <w:vAlign w:val="center"/>
          </w:tcPr>
          <w:p w14:paraId="5658985B">
            <w:pPr>
              <w:adjustRightInd w:val="0"/>
              <w:snapToGrid w:val="0"/>
              <w:jc w:val="center"/>
              <w:rPr>
                <w:rFonts w:eastAsiaTheme="minorEastAsia"/>
                <w:color w:val="000000"/>
                <w:sz w:val="24"/>
              </w:rPr>
            </w:pPr>
          </w:p>
        </w:tc>
      </w:tr>
      <w:tr w14:paraId="101D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6E001D">
            <w:pPr>
              <w:adjustRightInd w:val="0"/>
              <w:snapToGrid w:val="0"/>
              <w:jc w:val="center"/>
              <w:rPr>
                <w:rFonts w:eastAsiaTheme="minorEastAsia"/>
                <w:color w:val="000000"/>
                <w:sz w:val="24"/>
              </w:rPr>
            </w:pPr>
          </w:p>
        </w:tc>
        <w:tc>
          <w:tcPr>
            <w:tcW w:w="1482" w:type="dxa"/>
            <w:vAlign w:val="center"/>
          </w:tcPr>
          <w:p w14:paraId="23AFF314">
            <w:pPr>
              <w:adjustRightInd w:val="0"/>
              <w:snapToGrid w:val="0"/>
              <w:jc w:val="center"/>
              <w:rPr>
                <w:rFonts w:eastAsiaTheme="minorEastAsia"/>
                <w:color w:val="000000"/>
                <w:sz w:val="24"/>
              </w:rPr>
            </w:pPr>
          </w:p>
        </w:tc>
        <w:tc>
          <w:tcPr>
            <w:tcW w:w="2384" w:type="dxa"/>
            <w:vAlign w:val="center"/>
          </w:tcPr>
          <w:p w14:paraId="51046A7A">
            <w:pPr>
              <w:adjustRightInd w:val="0"/>
              <w:snapToGrid w:val="0"/>
              <w:jc w:val="center"/>
              <w:rPr>
                <w:rFonts w:eastAsiaTheme="minorEastAsia"/>
                <w:color w:val="000000"/>
                <w:sz w:val="24"/>
              </w:rPr>
            </w:pPr>
          </w:p>
        </w:tc>
        <w:tc>
          <w:tcPr>
            <w:tcW w:w="2126" w:type="dxa"/>
            <w:vAlign w:val="center"/>
          </w:tcPr>
          <w:p w14:paraId="4AA925A3">
            <w:pPr>
              <w:adjustRightInd w:val="0"/>
              <w:snapToGrid w:val="0"/>
              <w:jc w:val="center"/>
              <w:rPr>
                <w:rFonts w:eastAsiaTheme="minorEastAsia"/>
                <w:color w:val="000000"/>
                <w:sz w:val="24"/>
              </w:rPr>
            </w:pPr>
          </w:p>
        </w:tc>
        <w:tc>
          <w:tcPr>
            <w:tcW w:w="1875" w:type="dxa"/>
            <w:vAlign w:val="center"/>
          </w:tcPr>
          <w:p w14:paraId="1C72F81D">
            <w:pPr>
              <w:adjustRightInd w:val="0"/>
              <w:snapToGrid w:val="0"/>
              <w:jc w:val="center"/>
              <w:rPr>
                <w:rFonts w:eastAsiaTheme="minorEastAsia"/>
                <w:color w:val="000000"/>
                <w:sz w:val="24"/>
              </w:rPr>
            </w:pPr>
          </w:p>
        </w:tc>
        <w:tc>
          <w:tcPr>
            <w:tcW w:w="1009" w:type="dxa"/>
            <w:vAlign w:val="center"/>
          </w:tcPr>
          <w:p w14:paraId="3ECE20C3">
            <w:pPr>
              <w:adjustRightInd w:val="0"/>
              <w:snapToGrid w:val="0"/>
              <w:jc w:val="center"/>
              <w:rPr>
                <w:rFonts w:eastAsiaTheme="minorEastAsia"/>
                <w:color w:val="000000"/>
                <w:sz w:val="24"/>
              </w:rPr>
            </w:pPr>
          </w:p>
        </w:tc>
      </w:tr>
      <w:tr w14:paraId="7697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E65B88">
            <w:pPr>
              <w:adjustRightInd w:val="0"/>
              <w:snapToGrid w:val="0"/>
              <w:jc w:val="center"/>
              <w:rPr>
                <w:rFonts w:eastAsiaTheme="minorEastAsia"/>
                <w:color w:val="000000"/>
                <w:sz w:val="24"/>
              </w:rPr>
            </w:pPr>
          </w:p>
        </w:tc>
        <w:tc>
          <w:tcPr>
            <w:tcW w:w="1482" w:type="dxa"/>
            <w:vAlign w:val="center"/>
          </w:tcPr>
          <w:p w14:paraId="7B2DED0A">
            <w:pPr>
              <w:adjustRightInd w:val="0"/>
              <w:snapToGrid w:val="0"/>
              <w:jc w:val="center"/>
              <w:rPr>
                <w:rFonts w:eastAsiaTheme="minorEastAsia"/>
                <w:color w:val="000000"/>
                <w:sz w:val="24"/>
              </w:rPr>
            </w:pPr>
          </w:p>
        </w:tc>
        <w:tc>
          <w:tcPr>
            <w:tcW w:w="2384" w:type="dxa"/>
            <w:vAlign w:val="center"/>
          </w:tcPr>
          <w:p w14:paraId="5F30B825">
            <w:pPr>
              <w:adjustRightInd w:val="0"/>
              <w:snapToGrid w:val="0"/>
              <w:jc w:val="center"/>
              <w:rPr>
                <w:rFonts w:eastAsiaTheme="minorEastAsia"/>
                <w:color w:val="000000"/>
                <w:sz w:val="24"/>
              </w:rPr>
            </w:pPr>
          </w:p>
        </w:tc>
        <w:tc>
          <w:tcPr>
            <w:tcW w:w="2126" w:type="dxa"/>
            <w:vAlign w:val="center"/>
          </w:tcPr>
          <w:p w14:paraId="06A6FED8">
            <w:pPr>
              <w:adjustRightInd w:val="0"/>
              <w:snapToGrid w:val="0"/>
              <w:jc w:val="center"/>
              <w:rPr>
                <w:rFonts w:eastAsiaTheme="minorEastAsia"/>
                <w:color w:val="000000"/>
                <w:sz w:val="24"/>
              </w:rPr>
            </w:pPr>
          </w:p>
        </w:tc>
        <w:tc>
          <w:tcPr>
            <w:tcW w:w="1875" w:type="dxa"/>
            <w:vAlign w:val="center"/>
          </w:tcPr>
          <w:p w14:paraId="7E20B9FC">
            <w:pPr>
              <w:adjustRightInd w:val="0"/>
              <w:snapToGrid w:val="0"/>
              <w:jc w:val="center"/>
              <w:rPr>
                <w:rFonts w:eastAsiaTheme="minorEastAsia"/>
                <w:color w:val="000000"/>
                <w:sz w:val="24"/>
              </w:rPr>
            </w:pPr>
          </w:p>
        </w:tc>
        <w:tc>
          <w:tcPr>
            <w:tcW w:w="1009" w:type="dxa"/>
            <w:vAlign w:val="center"/>
          </w:tcPr>
          <w:p w14:paraId="1EECB68B">
            <w:pPr>
              <w:adjustRightInd w:val="0"/>
              <w:snapToGrid w:val="0"/>
              <w:jc w:val="center"/>
              <w:rPr>
                <w:rFonts w:eastAsiaTheme="minorEastAsia"/>
                <w:color w:val="000000"/>
                <w:sz w:val="24"/>
              </w:rPr>
            </w:pPr>
          </w:p>
        </w:tc>
      </w:tr>
    </w:tbl>
    <w:p w14:paraId="1E9178DE">
      <w:pPr>
        <w:tabs>
          <w:tab w:val="left" w:pos="1800"/>
          <w:tab w:val="left" w:pos="5580"/>
        </w:tabs>
        <w:spacing w:line="360" w:lineRule="auto"/>
        <w:ind w:firstLine="360" w:firstLineChars="150"/>
        <w:jc w:val="left"/>
        <w:rPr>
          <w:rFonts w:eastAsiaTheme="minorEastAsia"/>
          <w:color w:val="000000"/>
          <w:sz w:val="24"/>
          <w:u w:val="single"/>
        </w:rPr>
      </w:pPr>
    </w:p>
    <w:p w14:paraId="1D198CB2">
      <w:pPr>
        <w:tabs>
          <w:tab w:val="left" w:pos="1800"/>
          <w:tab w:val="left" w:pos="5580"/>
        </w:tabs>
        <w:spacing w:line="360" w:lineRule="auto"/>
        <w:ind w:firstLine="360" w:firstLineChars="150"/>
        <w:jc w:val="left"/>
        <w:rPr>
          <w:rFonts w:eastAsiaTheme="minorEastAsia"/>
          <w:color w:val="000000"/>
          <w:sz w:val="24"/>
          <w:u w:val="single"/>
        </w:rPr>
      </w:pPr>
    </w:p>
    <w:p w14:paraId="26D8C022">
      <w:pPr>
        <w:tabs>
          <w:tab w:val="left" w:pos="1800"/>
          <w:tab w:val="left" w:pos="5580"/>
        </w:tabs>
        <w:jc w:val="left"/>
        <w:rPr>
          <w:rFonts w:eastAsiaTheme="minorEastAsia"/>
          <w:color w:val="000000"/>
          <w:sz w:val="24"/>
        </w:rPr>
      </w:pPr>
      <w:r>
        <w:rPr>
          <w:rFonts w:eastAsiaTheme="minorEastAsia"/>
          <w:color w:val="000000"/>
          <w:sz w:val="24"/>
        </w:rPr>
        <w:t>注：</w:t>
      </w:r>
    </w:p>
    <w:p w14:paraId="2682061A">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38DF207">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BCB6A06">
      <w:pPr>
        <w:tabs>
          <w:tab w:val="left" w:pos="1800"/>
          <w:tab w:val="left" w:pos="5580"/>
        </w:tabs>
        <w:jc w:val="left"/>
        <w:rPr>
          <w:rFonts w:eastAsiaTheme="minorEastAsia"/>
          <w:color w:val="000000"/>
          <w:sz w:val="24"/>
        </w:rPr>
      </w:pPr>
    </w:p>
    <w:p w14:paraId="108FF6C5">
      <w:pPr>
        <w:rPr>
          <w:rFonts w:eastAsiaTheme="minorEastAsia"/>
          <w:color w:val="000000"/>
          <w:sz w:val="24"/>
          <w:szCs w:val="20"/>
        </w:rPr>
      </w:pPr>
    </w:p>
    <w:p w14:paraId="7880890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7F3E6CF">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677A850C">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7FBB6DCE">
      <w:pPr>
        <w:pStyle w:val="37"/>
        <w:shd w:val="clear" w:color="auto" w:fill="FFFFFF"/>
        <w:spacing w:before="30" w:beforeAutospacing="0" w:after="30" w:afterAutospacing="0"/>
        <w:jc w:val="center"/>
        <w:rPr>
          <w:rFonts w:hint="eastAsia"/>
          <w:color w:val="333333"/>
          <w:sz w:val="36"/>
          <w:szCs w:val="36"/>
        </w:rPr>
      </w:pPr>
      <w:r>
        <w:rPr>
          <w:rStyle w:val="46"/>
          <w:rFonts w:hint="eastAsia"/>
          <w:color w:val="333333"/>
          <w:sz w:val="36"/>
          <w:szCs w:val="36"/>
          <w:shd w:val="clear" w:color="auto" w:fill="FFFFFF"/>
        </w:rPr>
        <w:t>关于符合本国产品标准的声明函</w:t>
      </w:r>
    </w:p>
    <w:p w14:paraId="42C88BB9">
      <w:pPr>
        <w:pStyle w:val="37"/>
        <w:shd w:val="clear" w:color="auto" w:fill="FFFFFF"/>
        <w:spacing w:before="30" w:beforeAutospacing="0" w:after="30" w:afterAutospacing="0"/>
        <w:ind w:firstLine="420"/>
        <w:rPr>
          <w:rFonts w:hint="eastAsia"/>
          <w:color w:val="333333"/>
        </w:rPr>
      </w:pPr>
    </w:p>
    <w:p w14:paraId="534FFBCC">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28140B8">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377FD1CB">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30A3D288">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w:t>
      </w:r>
    </w:p>
    <w:p w14:paraId="3A3E15E9">
      <w:pPr>
        <w:pStyle w:val="37"/>
        <w:shd w:val="clear" w:color="auto" w:fill="FFFFFF"/>
        <w:spacing w:before="0" w:beforeAutospacing="0" w:after="0" w:afterAutospacing="0" w:line="360" w:lineRule="auto"/>
        <w:ind w:firstLine="480" w:firstLineChars="200"/>
        <w:rPr>
          <w:rFonts w:hint="eastAsia"/>
          <w:color w:val="333333"/>
        </w:rPr>
      </w:pPr>
      <w:r>
        <w:rPr>
          <w:rFonts w:hint="eastAsia"/>
          <w:color w:val="333333"/>
          <w:shd w:val="clear" w:color="auto" w:fill="FFFFFF"/>
        </w:rPr>
        <w:t>本公司（单位）对上述声明内容的真实性负责。如有虚假，愿承担相应法律责任。</w:t>
      </w:r>
    </w:p>
    <w:p w14:paraId="7BACF249">
      <w:pPr>
        <w:pStyle w:val="37"/>
        <w:shd w:val="clear" w:color="auto" w:fill="FFFFFF"/>
        <w:spacing w:before="0" w:beforeAutospacing="0" w:after="0" w:afterAutospacing="0" w:line="360" w:lineRule="auto"/>
        <w:rPr>
          <w:rFonts w:hint="eastAsia"/>
          <w:color w:val="333333"/>
        </w:rPr>
      </w:pPr>
    </w:p>
    <w:p w14:paraId="62AE341D">
      <w:pPr>
        <w:pStyle w:val="37"/>
        <w:shd w:val="clear" w:color="auto" w:fill="FFFFFF"/>
        <w:spacing w:before="0" w:beforeAutospacing="0" w:after="0" w:afterAutospacing="0" w:line="360" w:lineRule="auto"/>
        <w:jc w:val="right"/>
        <w:rPr>
          <w:rFonts w:hint="eastAsia"/>
          <w:color w:val="333333"/>
          <w:shd w:val="clear" w:color="auto" w:fill="FFFFFF"/>
        </w:rPr>
      </w:pPr>
    </w:p>
    <w:p w14:paraId="6685E78D">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42535A12">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B740FF4">
      <w:pPr>
        <w:pStyle w:val="37"/>
        <w:shd w:val="clear" w:color="auto" w:fill="FFFFFF"/>
        <w:spacing w:before="0" w:beforeAutospacing="0" w:after="0" w:afterAutospacing="0" w:line="360" w:lineRule="auto"/>
        <w:rPr>
          <w:rFonts w:hint="eastAsia"/>
          <w:color w:val="333333"/>
          <w:shd w:val="clear" w:color="auto" w:fill="FFFFFF"/>
        </w:rPr>
      </w:pPr>
    </w:p>
    <w:p w14:paraId="7EAC0238">
      <w:pPr>
        <w:pStyle w:val="37"/>
        <w:shd w:val="clear" w:color="auto" w:fill="FFFFFF"/>
        <w:spacing w:before="0" w:beforeAutospacing="0" w:after="0" w:afterAutospacing="0" w:line="360" w:lineRule="auto"/>
        <w:rPr>
          <w:rFonts w:hint="eastAsia"/>
          <w:color w:val="333333"/>
          <w:shd w:val="clear" w:color="auto" w:fill="FFFFFF"/>
        </w:rPr>
      </w:pPr>
    </w:p>
    <w:p w14:paraId="6641355C">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5A16CE34">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1EB0A0CB">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60864739">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7A1D302F">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F5D52BD">
      <w:pPr>
        <w:widowControl/>
        <w:jc w:val="left"/>
        <w:rPr>
          <w:color w:val="333333"/>
          <w:szCs w:val="21"/>
          <w:shd w:val="clear" w:color="auto" w:fill="FFFFFF"/>
        </w:rPr>
      </w:pPr>
      <w:r>
        <w:rPr>
          <w:color w:val="333333"/>
          <w:szCs w:val="21"/>
          <w:shd w:val="clear" w:color="auto" w:fill="FFFFFF"/>
        </w:rPr>
        <w:br w:type="page"/>
      </w:r>
    </w:p>
    <w:p w14:paraId="228288B0">
      <w:pPr>
        <w:pStyle w:val="37"/>
        <w:shd w:val="clear" w:color="auto" w:fill="FFFFFF"/>
        <w:spacing w:before="30" w:beforeAutospacing="0" w:after="30" w:afterAutospacing="0"/>
        <w:jc w:val="center"/>
        <w:rPr>
          <w:rStyle w:val="46"/>
          <w:rFonts w:hint="eastAsia"/>
          <w:sz w:val="36"/>
          <w:szCs w:val="36"/>
        </w:rPr>
      </w:pPr>
      <w:r>
        <w:rPr>
          <w:rStyle w:val="46"/>
          <w:rFonts w:hint="eastAsia"/>
          <w:sz w:val="36"/>
          <w:szCs w:val="36"/>
        </w:rPr>
        <w:t>产品成本占比承诺函</w:t>
      </w:r>
    </w:p>
    <w:p w14:paraId="2B67DAD3">
      <w:pPr>
        <w:pStyle w:val="37"/>
        <w:shd w:val="clear" w:color="auto" w:fill="FFFFFF"/>
        <w:spacing w:before="30" w:beforeAutospacing="0" w:after="30" w:afterAutospacing="0"/>
        <w:rPr>
          <w:rStyle w:val="46"/>
          <w:rFonts w:hint="eastAsia"/>
          <w:sz w:val="36"/>
          <w:szCs w:val="36"/>
        </w:rPr>
      </w:pPr>
    </w:p>
    <w:p w14:paraId="45061084">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E296C8D">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8E91E0D">
      <w:pPr>
        <w:widowControl/>
        <w:spacing w:line="360" w:lineRule="auto"/>
        <w:ind w:firstLine="480" w:firstLineChars="200"/>
        <w:jc w:val="left"/>
        <w:rPr>
          <w:color w:val="000000"/>
          <w:sz w:val="24"/>
        </w:rPr>
      </w:pPr>
    </w:p>
    <w:p w14:paraId="414FA6A1">
      <w:pPr>
        <w:pStyle w:val="37"/>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3830D2C3">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718E6D36">
      <w:pPr>
        <w:widowControl/>
        <w:spacing w:line="360" w:lineRule="auto"/>
        <w:jc w:val="left"/>
        <w:rPr>
          <w:color w:val="000000"/>
          <w:sz w:val="24"/>
        </w:rPr>
      </w:pPr>
    </w:p>
    <w:p w14:paraId="44DA8E5B">
      <w:pPr>
        <w:widowControl/>
        <w:spacing w:line="360" w:lineRule="auto"/>
        <w:jc w:val="left"/>
        <w:rPr>
          <w:color w:val="000000"/>
          <w:sz w:val="24"/>
        </w:rPr>
      </w:pPr>
    </w:p>
    <w:p w14:paraId="6D1EAB85">
      <w:pPr>
        <w:spacing w:line="360" w:lineRule="auto"/>
        <w:rPr>
          <w:color w:val="000000"/>
          <w:sz w:val="22"/>
          <w:szCs w:val="22"/>
        </w:rPr>
      </w:pPr>
      <w:r>
        <w:rPr>
          <w:rFonts w:hint="eastAsia"/>
          <w:color w:val="000000"/>
          <w:sz w:val="22"/>
          <w:szCs w:val="22"/>
        </w:rPr>
        <w:t>注：</w:t>
      </w:r>
    </w:p>
    <w:p w14:paraId="732137ED">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C75DFC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95B2AD6">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E7D454D">
      <w:pPr>
        <w:spacing w:line="360" w:lineRule="auto"/>
        <w:ind w:left="420" w:leftChars="200"/>
        <w:rPr>
          <w:color w:val="333333"/>
          <w:szCs w:val="21"/>
          <w:shd w:val="clear" w:color="auto" w:fill="FFFFFF"/>
        </w:rPr>
      </w:pPr>
    </w:p>
    <w:p w14:paraId="22C7268E">
      <w:pPr>
        <w:widowControl/>
        <w:jc w:val="left"/>
        <w:rPr>
          <w:rFonts w:eastAsiaTheme="minorEastAsia"/>
          <w:sz w:val="24"/>
        </w:rPr>
      </w:pPr>
      <w:r>
        <w:rPr>
          <w:rFonts w:eastAsiaTheme="minorEastAsia"/>
          <w:sz w:val="24"/>
        </w:rPr>
        <w:br w:type="page"/>
      </w:r>
    </w:p>
    <w:p w14:paraId="10BB4734">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1A7948EB">
      <w:pPr>
        <w:widowControl/>
        <w:jc w:val="left"/>
        <w:rPr>
          <w:rFonts w:eastAsiaTheme="minorEastAsia"/>
          <w:b/>
          <w:sz w:val="36"/>
          <w:szCs w:val="36"/>
        </w:rPr>
      </w:pPr>
    </w:p>
    <w:p w14:paraId="27A869C6">
      <w:pPr>
        <w:widowControl/>
        <w:jc w:val="left"/>
        <w:rPr>
          <w:color w:val="000000"/>
          <w:sz w:val="24"/>
          <w:szCs w:val="20"/>
        </w:rPr>
      </w:pPr>
      <w:bookmarkStart w:id="771"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C8F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E4A8CE">
            <w:pPr>
              <w:rPr>
                <w:sz w:val="24"/>
              </w:rPr>
            </w:pPr>
            <w:r>
              <w:rPr>
                <w:rFonts w:hint="eastAsia"/>
                <w:sz w:val="24"/>
              </w:rPr>
              <w:t>供应商名称</w:t>
            </w:r>
          </w:p>
        </w:tc>
        <w:tc>
          <w:tcPr>
            <w:tcW w:w="1667" w:type="pct"/>
          </w:tcPr>
          <w:p w14:paraId="4EFC12B4">
            <w:pPr>
              <w:rPr>
                <w:sz w:val="24"/>
              </w:rPr>
            </w:pPr>
            <w:r>
              <w:rPr>
                <w:rFonts w:hint="eastAsia"/>
                <w:sz w:val="24"/>
              </w:rPr>
              <w:t>供应商所属性别</w:t>
            </w:r>
          </w:p>
        </w:tc>
        <w:tc>
          <w:tcPr>
            <w:tcW w:w="1667" w:type="pct"/>
          </w:tcPr>
          <w:p w14:paraId="1DA41A47">
            <w:pPr>
              <w:rPr>
                <w:sz w:val="24"/>
              </w:rPr>
            </w:pPr>
            <w:r>
              <w:rPr>
                <w:rFonts w:hint="eastAsia"/>
                <w:sz w:val="24"/>
              </w:rPr>
              <w:t>外商投资类型</w:t>
            </w:r>
          </w:p>
        </w:tc>
      </w:tr>
      <w:tr w14:paraId="755B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5B8721D">
            <w:pPr>
              <w:rPr>
                <w:sz w:val="24"/>
              </w:rPr>
            </w:pPr>
          </w:p>
        </w:tc>
        <w:tc>
          <w:tcPr>
            <w:tcW w:w="1667" w:type="pct"/>
          </w:tcPr>
          <w:p w14:paraId="3D40D03D">
            <w:pPr>
              <w:rPr>
                <w:sz w:val="24"/>
              </w:rPr>
            </w:pPr>
          </w:p>
        </w:tc>
        <w:tc>
          <w:tcPr>
            <w:tcW w:w="1667" w:type="pct"/>
          </w:tcPr>
          <w:p w14:paraId="2E9B1E1D">
            <w:pPr>
              <w:rPr>
                <w:sz w:val="24"/>
              </w:rPr>
            </w:pPr>
          </w:p>
        </w:tc>
      </w:tr>
      <w:tr w14:paraId="5BFA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67A1626"/>
        </w:tc>
        <w:tc>
          <w:tcPr>
            <w:tcW w:w="1667" w:type="pct"/>
          </w:tcPr>
          <w:p w14:paraId="5E2C0C31"/>
        </w:tc>
        <w:tc>
          <w:tcPr>
            <w:tcW w:w="1667" w:type="pct"/>
          </w:tcPr>
          <w:p w14:paraId="23507B54"/>
        </w:tc>
      </w:tr>
      <w:tr w14:paraId="0101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EF40429"/>
        </w:tc>
        <w:tc>
          <w:tcPr>
            <w:tcW w:w="1667" w:type="pct"/>
          </w:tcPr>
          <w:p w14:paraId="6C633187"/>
        </w:tc>
        <w:tc>
          <w:tcPr>
            <w:tcW w:w="1667" w:type="pct"/>
          </w:tcPr>
          <w:p w14:paraId="7B308088"/>
        </w:tc>
      </w:tr>
      <w:tr w14:paraId="638A7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03FCF50"/>
        </w:tc>
        <w:tc>
          <w:tcPr>
            <w:tcW w:w="1667" w:type="pct"/>
          </w:tcPr>
          <w:p w14:paraId="72F37868"/>
        </w:tc>
        <w:tc>
          <w:tcPr>
            <w:tcW w:w="1667" w:type="pct"/>
          </w:tcPr>
          <w:p w14:paraId="364CA157"/>
        </w:tc>
      </w:tr>
    </w:tbl>
    <w:p w14:paraId="75CE5AD4">
      <w:pPr>
        <w:tabs>
          <w:tab w:val="left" w:pos="1800"/>
          <w:tab w:val="left" w:pos="5580"/>
        </w:tabs>
        <w:jc w:val="left"/>
        <w:rPr>
          <w:color w:val="000000"/>
          <w:sz w:val="24"/>
        </w:rPr>
      </w:pPr>
      <w:r>
        <w:rPr>
          <w:rFonts w:hint="eastAsia"/>
          <w:color w:val="000000"/>
          <w:sz w:val="24"/>
        </w:rPr>
        <w:t>注：1.供应商如为联合体，则应填写联合体各成员信息。</w:t>
      </w:r>
    </w:p>
    <w:p w14:paraId="27DB8073">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6C28CFF">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1"/>
    <w:p w14:paraId="20E09BE1">
      <w:pPr>
        <w:widowControl/>
        <w:jc w:val="left"/>
        <w:rPr>
          <w:rFonts w:eastAsiaTheme="minorEastAsia"/>
          <w:b/>
          <w:sz w:val="36"/>
          <w:szCs w:val="36"/>
        </w:rPr>
      </w:pPr>
      <w:r>
        <w:rPr>
          <w:rFonts w:eastAsiaTheme="minorEastAsia"/>
          <w:b/>
          <w:sz w:val="36"/>
          <w:szCs w:val="36"/>
        </w:rPr>
        <w:br w:type="page"/>
      </w:r>
    </w:p>
    <w:p w14:paraId="44006B81">
      <w:pPr>
        <w:tabs>
          <w:tab w:val="left" w:pos="360"/>
        </w:tabs>
        <w:snapToGrid w:val="0"/>
        <w:spacing w:line="360" w:lineRule="auto"/>
        <w:outlineLvl w:val="1"/>
        <w:rPr>
          <w:rFonts w:eastAsiaTheme="minorEastAsia"/>
          <w:sz w:val="24"/>
        </w:rPr>
      </w:pPr>
      <w:r>
        <w:rPr>
          <w:rFonts w:eastAsiaTheme="minorEastAsia"/>
          <w:sz w:val="24"/>
        </w:rPr>
        <w:t>13  最后报价一览表（磋商后提交）</w:t>
      </w:r>
    </w:p>
    <w:p w14:paraId="09C95FE6">
      <w:pPr>
        <w:widowControl/>
        <w:jc w:val="left"/>
        <w:rPr>
          <w:rFonts w:eastAsiaTheme="minorEastAsia"/>
          <w:kern w:val="0"/>
          <w:sz w:val="24"/>
          <w:szCs w:val="20"/>
        </w:rPr>
      </w:pPr>
    </w:p>
    <w:p w14:paraId="39BFEE89">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6306420E">
      <w:pPr>
        <w:tabs>
          <w:tab w:val="left" w:pos="1800"/>
          <w:tab w:val="left" w:pos="5580"/>
        </w:tabs>
        <w:spacing w:line="360" w:lineRule="auto"/>
        <w:jc w:val="left"/>
        <w:rPr>
          <w:rFonts w:eastAsiaTheme="minorEastAsia"/>
          <w:color w:val="000000"/>
          <w:sz w:val="24"/>
        </w:rPr>
      </w:pPr>
    </w:p>
    <w:p w14:paraId="61CE7A65">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0C63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39ED8B4D">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1DA65BF1">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6861334">
            <w:pPr>
              <w:tabs>
                <w:tab w:val="left" w:pos="5580"/>
              </w:tabs>
              <w:jc w:val="center"/>
              <w:rPr>
                <w:rFonts w:eastAsiaTheme="minorEastAsia"/>
                <w:b/>
                <w:sz w:val="24"/>
              </w:rPr>
            </w:pPr>
            <w:r>
              <w:rPr>
                <w:rFonts w:eastAsiaTheme="minorEastAsia"/>
                <w:b/>
                <w:sz w:val="24"/>
              </w:rPr>
              <w:t>最后报价</w:t>
            </w:r>
          </w:p>
        </w:tc>
        <w:tc>
          <w:tcPr>
            <w:tcW w:w="948" w:type="pct"/>
            <w:vMerge w:val="restart"/>
            <w:vAlign w:val="center"/>
          </w:tcPr>
          <w:p w14:paraId="40179AEF">
            <w:pPr>
              <w:tabs>
                <w:tab w:val="left" w:pos="5580"/>
              </w:tabs>
              <w:jc w:val="center"/>
              <w:rPr>
                <w:rFonts w:eastAsiaTheme="minorEastAsia"/>
                <w:b/>
                <w:sz w:val="24"/>
              </w:rPr>
            </w:pPr>
            <w:r>
              <w:rPr>
                <w:rFonts w:eastAsiaTheme="minorEastAsia"/>
                <w:b/>
                <w:sz w:val="24"/>
              </w:rPr>
              <w:t>其他</w:t>
            </w:r>
          </w:p>
          <w:p w14:paraId="327D523A">
            <w:pPr>
              <w:tabs>
                <w:tab w:val="left" w:pos="5580"/>
              </w:tabs>
              <w:jc w:val="center"/>
              <w:rPr>
                <w:rFonts w:eastAsiaTheme="minorEastAsia"/>
                <w:b/>
                <w:sz w:val="24"/>
              </w:rPr>
            </w:pPr>
            <w:r>
              <w:rPr>
                <w:rFonts w:eastAsiaTheme="minorEastAsia"/>
                <w:b/>
                <w:sz w:val="24"/>
              </w:rPr>
              <w:t>声明</w:t>
            </w:r>
          </w:p>
        </w:tc>
      </w:tr>
      <w:tr w14:paraId="3E8F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4A1D7D6D">
            <w:pPr>
              <w:tabs>
                <w:tab w:val="left" w:pos="5580"/>
              </w:tabs>
              <w:jc w:val="center"/>
              <w:rPr>
                <w:rFonts w:eastAsiaTheme="minorEastAsia"/>
                <w:sz w:val="24"/>
              </w:rPr>
            </w:pPr>
          </w:p>
        </w:tc>
        <w:tc>
          <w:tcPr>
            <w:tcW w:w="1498" w:type="pct"/>
            <w:vMerge w:val="continue"/>
            <w:vAlign w:val="center"/>
          </w:tcPr>
          <w:p w14:paraId="3662AD80">
            <w:pPr>
              <w:tabs>
                <w:tab w:val="left" w:pos="5580"/>
              </w:tabs>
              <w:jc w:val="center"/>
              <w:rPr>
                <w:rFonts w:eastAsiaTheme="minorEastAsia"/>
                <w:sz w:val="24"/>
              </w:rPr>
            </w:pPr>
          </w:p>
        </w:tc>
        <w:tc>
          <w:tcPr>
            <w:tcW w:w="1114" w:type="pct"/>
            <w:vAlign w:val="center"/>
          </w:tcPr>
          <w:p w14:paraId="2329B8D7">
            <w:pPr>
              <w:tabs>
                <w:tab w:val="left" w:pos="5580"/>
              </w:tabs>
              <w:jc w:val="center"/>
              <w:rPr>
                <w:rFonts w:eastAsiaTheme="minorEastAsia"/>
                <w:b/>
                <w:sz w:val="24"/>
              </w:rPr>
            </w:pPr>
            <w:r>
              <w:rPr>
                <w:rFonts w:eastAsiaTheme="minorEastAsia"/>
                <w:b/>
                <w:sz w:val="24"/>
              </w:rPr>
              <w:t>大写</w:t>
            </w:r>
          </w:p>
        </w:tc>
        <w:tc>
          <w:tcPr>
            <w:tcW w:w="992" w:type="pct"/>
            <w:vAlign w:val="center"/>
          </w:tcPr>
          <w:p w14:paraId="524C56B6">
            <w:pPr>
              <w:tabs>
                <w:tab w:val="left" w:pos="5580"/>
              </w:tabs>
              <w:jc w:val="center"/>
              <w:rPr>
                <w:rFonts w:eastAsiaTheme="minorEastAsia"/>
                <w:b/>
                <w:sz w:val="24"/>
              </w:rPr>
            </w:pPr>
            <w:r>
              <w:rPr>
                <w:rFonts w:eastAsiaTheme="minorEastAsia"/>
                <w:b/>
                <w:sz w:val="24"/>
              </w:rPr>
              <w:t>小写</w:t>
            </w:r>
          </w:p>
        </w:tc>
        <w:tc>
          <w:tcPr>
            <w:tcW w:w="948" w:type="pct"/>
            <w:vMerge w:val="continue"/>
            <w:vAlign w:val="center"/>
          </w:tcPr>
          <w:p w14:paraId="62732D3D">
            <w:pPr>
              <w:tabs>
                <w:tab w:val="left" w:pos="5580"/>
              </w:tabs>
              <w:ind w:firstLine="482"/>
              <w:jc w:val="center"/>
              <w:rPr>
                <w:rFonts w:eastAsiaTheme="minorEastAsia"/>
                <w:b/>
                <w:sz w:val="24"/>
              </w:rPr>
            </w:pPr>
          </w:p>
        </w:tc>
      </w:tr>
      <w:tr w14:paraId="06B3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4E561774">
            <w:pPr>
              <w:tabs>
                <w:tab w:val="left" w:pos="5580"/>
              </w:tabs>
              <w:jc w:val="center"/>
              <w:rPr>
                <w:rFonts w:eastAsiaTheme="minorEastAsia"/>
                <w:sz w:val="24"/>
              </w:rPr>
            </w:pPr>
          </w:p>
        </w:tc>
        <w:tc>
          <w:tcPr>
            <w:tcW w:w="1498" w:type="pct"/>
            <w:vAlign w:val="center"/>
          </w:tcPr>
          <w:p w14:paraId="2A68F0A6">
            <w:pPr>
              <w:tabs>
                <w:tab w:val="left" w:pos="5580"/>
              </w:tabs>
              <w:jc w:val="center"/>
              <w:rPr>
                <w:rFonts w:eastAsiaTheme="minorEastAsia"/>
                <w:sz w:val="24"/>
              </w:rPr>
            </w:pPr>
          </w:p>
        </w:tc>
        <w:tc>
          <w:tcPr>
            <w:tcW w:w="1114" w:type="pct"/>
            <w:vAlign w:val="center"/>
          </w:tcPr>
          <w:p w14:paraId="1BB515FC">
            <w:pPr>
              <w:tabs>
                <w:tab w:val="left" w:pos="5580"/>
              </w:tabs>
              <w:jc w:val="center"/>
              <w:rPr>
                <w:rFonts w:eastAsiaTheme="minorEastAsia"/>
                <w:sz w:val="24"/>
              </w:rPr>
            </w:pPr>
          </w:p>
        </w:tc>
        <w:tc>
          <w:tcPr>
            <w:tcW w:w="992" w:type="pct"/>
            <w:vAlign w:val="center"/>
          </w:tcPr>
          <w:p w14:paraId="5FBC6C33">
            <w:pPr>
              <w:tabs>
                <w:tab w:val="left" w:pos="5580"/>
              </w:tabs>
              <w:jc w:val="center"/>
              <w:rPr>
                <w:rFonts w:eastAsiaTheme="minorEastAsia"/>
                <w:sz w:val="24"/>
              </w:rPr>
            </w:pPr>
          </w:p>
        </w:tc>
        <w:tc>
          <w:tcPr>
            <w:tcW w:w="948" w:type="pct"/>
            <w:vAlign w:val="center"/>
          </w:tcPr>
          <w:p w14:paraId="0C96045A">
            <w:pPr>
              <w:tabs>
                <w:tab w:val="left" w:pos="5580"/>
              </w:tabs>
              <w:jc w:val="center"/>
              <w:rPr>
                <w:rFonts w:eastAsiaTheme="minorEastAsia"/>
                <w:sz w:val="24"/>
              </w:rPr>
            </w:pPr>
          </w:p>
        </w:tc>
      </w:tr>
    </w:tbl>
    <w:p w14:paraId="3A50842C">
      <w:pPr>
        <w:autoSpaceDE w:val="0"/>
        <w:autoSpaceDN w:val="0"/>
        <w:adjustRightInd w:val="0"/>
        <w:jc w:val="left"/>
        <w:rPr>
          <w:rFonts w:eastAsiaTheme="minorEastAsia"/>
          <w:color w:val="000000"/>
          <w:kern w:val="0"/>
          <w:sz w:val="24"/>
        </w:rPr>
      </w:pPr>
    </w:p>
    <w:p w14:paraId="41BF38F4">
      <w:pPr>
        <w:autoSpaceDE w:val="0"/>
        <w:autoSpaceDN w:val="0"/>
        <w:adjustRightInd w:val="0"/>
        <w:jc w:val="left"/>
        <w:rPr>
          <w:rFonts w:eastAsiaTheme="minorEastAsia"/>
          <w:color w:val="000000"/>
          <w:kern w:val="0"/>
          <w:sz w:val="24"/>
        </w:rPr>
      </w:pPr>
    </w:p>
    <w:p w14:paraId="7EE5E1ED">
      <w:pPr>
        <w:autoSpaceDE w:val="0"/>
        <w:autoSpaceDN w:val="0"/>
        <w:adjustRightInd w:val="0"/>
        <w:jc w:val="left"/>
        <w:rPr>
          <w:rFonts w:eastAsiaTheme="minorEastAsia"/>
          <w:color w:val="000000"/>
          <w:kern w:val="0"/>
          <w:sz w:val="24"/>
        </w:rPr>
      </w:pPr>
    </w:p>
    <w:p w14:paraId="2BCF65B8">
      <w:pPr>
        <w:autoSpaceDE w:val="0"/>
        <w:autoSpaceDN w:val="0"/>
        <w:adjustRightInd w:val="0"/>
        <w:jc w:val="left"/>
        <w:rPr>
          <w:rFonts w:eastAsiaTheme="minorEastAsia"/>
          <w:color w:val="000000"/>
          <w:kern w:val="0"/>
          <w:sz w:val="24"/>
        </w:rPr>
      </w:pPr>
    </w:p>
    <w:p w14:paraId="5A7C6FE7">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468C46A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5A1F706">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72" w:name="_Hlk137145809"/>
      <w:r>
        <w:rPr>
          <w:rFonts w:ascii="Times New Roman" w:hAnsi="Times New Roman"/>
          <w:sz w:val="24"/>
          <w:szCs w:val="24"/>
        </w:rPr>
        <w:t>此表无需在响应文件中提交，磋商后供应商按磋商小组要求提交。</w:t>
      </w:r>
      <w:bookmarkEnd w:id="772"/>
    </w:p>
    <w:p w14:paraId="6724CA9F">
      <w:pPr>
        <w:tabs>
          <w:tab w:val="left" w:pos="5580"/>
        </w:tabs>
        <w:ind w:firstLine="480" w:firstLineChars="200"/>
        <w:rPr>
          <w:rFonts w:eastAsiaTheme="minorEastAsia"/>
          <w:color w:val="000000"/>
          <w:sz w:val="24"/>
          <w:szCs w:val="20"/>
        </w:rPr>
      </w:pPr>
    </w:p>
    <w:p w14:paraId="2007A910">
      <w:pPr>
        <w:autoSpaceDE w:val="0"/>
        <w:autoSpaceDN w:val="0"/>
        <w:adjustRightInd w:val="0"/>
        <w:snapToGrid w:val="0"/>
        <w:spacing w:before="25" w:after="25" w:line="360" w:lineRule="auto"/>
        <w:rPr>
          <w:rFonts w:eastAsiaTheme="minorEastAsia"/>
          <w:color w:val="000000"/>
          <w:sz w:val="24"/>
          <w:lang w:val="zh-CN"/>
        </w:rPr>
      </w:pPr>
    </w:p>
    <w:p w14:paraId="25F84F2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5C2329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EC76F45">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7E220ED6">
      <w:pPr>
        <w:widowControl/>
        <w:jc w:val="left"/>
        <w:rPr>
          <w:rFonts w:eastAsiaTheme="minorEastAsia"/>
          <w:color w:val="000000"/>
          <w:sz w:val="24"/>
          <w:szCs w:val="20"/>
        </w:rPr>
      </w:pPr>
    </w:p>
    <w:p w14:paraId="30FE96A3">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01D562F8">
      <w:pPr>
        <w:tabs>
          <w:tab w:val="left" w:pos="360"/>
        </w:tabs>
        <w:snapToGrid w:val="0"/>
        <w:spacing w:line="360" w:lineRule="auto"/>
        <w:outlineLvl w:val="1"/>
        <w:rPr>
          <w:rFonts w:eastAsiaTheme="minorEastAsia"/>
          <w:sz w:val="24"/>
        </w:rPr>
      </w:pPr>
      <w:r>
        <w:rPr>
          <w:rFonts w:eastAsiaTheme="minorEastAsia"/>
          <w:sz w:val="24"/>
        </w:rPr>
        <w:t>14  最后分项报价表（</w:t>
      </w:r>
      <w:r>
        <w:rPr>
          <w:rFonts w:hint="eastAsia" w:eastAsiaTheme="minorEastAsia"/>
          <w:sz w:val="24"/>
        </w:rPr>
        <w:t>磋商后提交</w:t>
      </w:r>
      <w:r>
        <w:rPr>
          <w:rFonts w:eastAsiaTheme="minorEastAsia"/>
          <w:sz w:val="24"/>
        </w:rPr>
        <w:t>）</w:t>
      </w:r>
    </w:p>
    <w:p w14:paraId="7AA2C875">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5F5FE570">
      <w:pPr>
        <w:spacing w:line="260" w:lineRule="exact"/>
        <w:jc w:val="center"/>
        <w:rPr>
          <w:rFonts w:eastAsiaTheme="minorEastAsia"/>
          <w:color w:val="000000"/>
          <w:sz w:val="36"/>
          <w:szCs w:val="36"/>
        </w:rPr>
      </w:pPr>
    </w:p>
    <w:p w14:paraId="50A8799C">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14:paraId="71156E88">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388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01C2F378">
            <w:pPr>
              <w:adjustRightInd w:val="0"/>
              <w:snapToGrid w:val="0"/>
              <w:jc w:val="center"/>
              <w:rPr>
                <w:b/>
                <w:color w:val="000000"/>
                <w:sz w:val="24"/>
              </w:rPr>
            </w:pPr>
            <w:r>
              <w:rPr>
                <w:b/>
                <w:color w:val="000000"/>
                <w:sz w:val="24"/>
              </w:rPr>
              <w:t>序号</w:t>
            </w:r>
          </w:p>
        </w:tc>
        <w:tc>
          <w:tcPr>
            <w:tcW w:w="370" w:type="pct"/>
            <w:vAlign w:val="center"/>
          </w:tcPr>
          <w:p w14:paraId="45B2A031">
            <w:pPr>
              <w:adjustRightInd w:val="0"/>
              <w:snapToGrid w:val="0"/>
              <w:jc w:val="center"/>
              <w:rPr>
                <w:b/>
                <w:color w:val="000000"/>
                <w:sz w:val="24"/>
              </w:rPr>
            </w:pPr>
            <w:r>
              <w:rPr>
                <w:b/>
                <w:color w:val="000000"/>
                <w:sz w:val="24"/>
              </w:rPr>
              <w:t>分项名称</w:t>
            </w:r>
          </w:p>
        </w:tc>
        <w:tc>
          <w:tcPr>
            <w:tcW w:w="466" w:type="pct"/>
            <w:vAlign w:val="center"/>
          </w:tcPr>
          <w:p w14:paraId="60BB3C48">
            <w:pPr>
              <w:adjustRightInd w:val="0"/>
              <w:snapToGrid w:val="0"/>
              <w:jc w:val="center"/>
              <w:rPr>
                <w:b/>
                <w:color w:val="000000"/>
                <w:sz w:val="24"/>
              </w:rPr>
            </w:pPr>
            <w:r>
              <w:rPr>
                <w:b/>
                <w:color w:val="000000"/>
                <w:sz w:val="24"/>
              </w:rPr>
              <w:t>制造商/</w:t>
            </w:r>
          </w:p>
          <w:p w14:paraId="53788638">
            <w:pPr>
              <w:adjustRightInd w:val="0"/>
              <w:snapToGrid w:val="0"/>
              <w:jc w:val="center"/>
              <w:rPr>
                <w:b/>
                <w:color w:val="000000"/>
                <w:sz w:val="24"/>
              </w:rPr>
            </w:pPr>
            <w:r>
              <w:rPr>
                <w:b/>
                <w:color w:val="000000"/>
                <w:sz w:val="24"/>
              </w:rPr>
              <w:t>生产厂家</w:t>
            </w:r>
          </w:p>
        </w:tc>
        <w:tc>
          <w:tcPr>
            <w:tcW w:w="332" w:type="pct"/>
            <w:vAlign w:val="center"/>
          </w:tcPr>
          <w:p w14:paraId="6BDE108D">
            <w:pPr>
              <w:adjustRightInd w:val="0"/>
              <w:snapToGrid w:val="0"/>
              <w:jc w:val="center"/>
              <w:rPr>
                <w:b/>
                <w:color w:val="000000"/>
                <w:sz w:val="24"/>
              </w:rPr>
            </w:pPr>
            <w:r>
              <w:rPr>
                <w:b/>
                <w:color w:val="000000"/>
                <w:sz w:val="24"/>
              </w:rPr>
              <w:t>产地/国别</w:t>
            </w:r>
          </w:p>
        </w:tc>
        <w:tc>
          <w:tcPr>
            <w:tcW w:w="441" w:type="pct"/>
            <w:vAlign w:val="center"/>
          </w:tcPr>
          <w:p w14:paraId="3DC2E4D6">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046D63CA">
            <w:pPr>
              <w:jc w:val="center"/>
              <w:rPr>
                <w:b/>
                <w:color w:val="000000"/>
                <w:sz w:val="24"/>
              </w:rPr>
            </w:pPr>
            <w:r>
              <w:rPr>
                <w:b/>
                <w:color w:val="000000"/>
                <w:sz w:val="24"/>
              </w:rPr>
              <w:t>制造商</w:t>
            </w:r>
          </w:p>
          <w:p w14:paraId="39CED5B5">
            <w:pPr>
              <w:adjustRightInd w:val="0"/>
              <w:snapToGrid w:val="0"/>
              <w:jc w:val="center"/>
              <w:rPr>
                <w:b/>
                <w:color w:val="000000"/>
                <w:sz w:val="24"/>
              </w:rPr>
            </w:pPr>
            <w:r>
              <w:rPr>
                <w:b/>
                <w:color w:val="000000"/>
                <w:sz w:val="24"/>
              </w:rPr>
              <w:t>规模</w:t>
            </w:r>
          </w:p>
        </w:tc>
        <w:tc>
          <w:tcPr>
            <w:tcW w:w="441" w:type="pct"/>
            <w:vAlign w:val="center"/>
          </w:tcPr>
          <w:p w14:paraId="28B62C48">
            <w:pPr>
              <w:adjustRightInd w:val="0"/>
              <w:snapToGrid w:val="0"/>
              <w:jc w:val="center"/>
              <w:rPr>
                <w:b/>
                <w:color w:val="000000"/>
                <w:sz w:val="24"/>
              </w:rPr>
            </w:pPr>
            <w:r>
              <w:rPr>
                <w:rFonts w:hint="eastAsia"/>
                <w:b/>
                <w:color w:val="000000"/>
                <w:sz w:val="24"/>
              </w:rPr>
              <w:t>制造商所属性别</w:t>
            </w:r>
          </w:p>
        </w:tc>
        <w:tc>
          <w:tcPr>
            <w:tcW w:w="441" w:type="pct"/>
            <w:vAlign w:val="center"/>
          </w:tcPr>
          <w:p w14:paraId="4DE3116D">
            <w:pPr>
              <w:adjustRightInd w:val="0"/>
              <w:snapToGrid w:val="0"/>
              <w:jc w:val="center"/>
              <w:rPr>
                <w:b/>
                <w:color w:val="000000"/>
                <w:sz w:val="24"/>
              </w:rPr>
            </w:pPr>
            <w:r>
              <w:rPr>
                <w:rFonts w:hint="eastAsia"/>
                <w:b/>
                <w:color w:val="000000"/>
                <w:sz w:val="24"/>
              </w:rPr>
              <w:t>外商投资类型</w:t>
            </w:r>
          </w:p>
        </w:tc>
        <w:tc>
          <w:tcPr>
            <w:tcW w:w="441" w:type="pct"/>
            <w:vAlign w:val="center"/>
          </w:tcPr>
          <w:p w14:paraId="0DC429F0">
            <w:pPr>
              <w:adjustRightInd w:val="0"/>
              <w:snapToGrid w:val="0"/>
              <w:jc w:val="center"/>
              <w:rPr>
                <w:b/>
                <w:color w:val="000000"/>
                <w:sz w:val="24"/>
              </w:rPr>
            </w:pPr>
            <w:r>
              <w:rPr>
                <w:b/>
                <w:color w:val="000000"/>
                <w:sz w:val="24"/>
              </w:rPr>
              <w:t>品牌</w:t>
            </w:r>
          </w:p>
        </w:tc>
        <w:tc>
          <w:tcPr>
            <w:tcW w:w="441" w:type="pct"/>
            <w:vAlign w:val="center"/>
          </w:tcPr>
          <w:p w14:paraId="2E0080E2">
            <w:pPr>
              <w:adjustRightInd w:val="0"/>
              <w:snapToGrid w:val="0"/>
              <w:jc w:val="center"/>
              <w:rPr>
                <w:b/>
                <w:color w:val="000000"/>
                <w:sz w:val="24"/>
              </w:rPr>
            </w:pPr>
            <w:r>
              <w:rPr>
                <w:b/>
                <w:color w:val="000000"/>
                <w:sz w:val="24"/>
              </w:rPr>
              <w:t>规格、型号</w:t>
            </w:r>
          </w:p>
        </w:tc>
        <w:tc>
          <w:tcPr>
            <w:tcW w:w="360" w:type="pct"/>
            <w:vAlign w:val="center"/>
          </w:tcPr>
          <w:p w14:paraId="22A3E2C1">
            <w:pPr>
              <w:adjustRightInd w:val="0"/>
              <w:snapToGrid w:val="0"/>
              <w:jc w:val="center"/>
              <w:rPr>
                <w:b/>
                <w:color w:val="000000"/>
                <w:sz w:val="24"/>
              </w:rPr>
            </w:pPr>
            <w:r>
              <w:rPr>
                <w:b/>
                <w:color w:val="000000"/>
                <w:sz w:val="24"/>
              </w:rPr>
              <w:t>单价（元）</w:t>
            </w:r>
          </w:p>
        </w:tc>
        <w:tc>
          <w:tcPr>
            <w:tcW w:w="292" w:type="pct"/>
            <w:vAlign w:val="center"/>
          </w:tcPr>
          <w:p w14:paraId="6DC77E37">
            <w:pPr>
              <w:adjustRightInd w:val="0"/>
              <w:snapToGrid w:val="0"/>
              <w:jc w:val="center"/>
              <w:rPr>
                <w:b/>
                <w:color w:val="000000"/>
                <w:sz w:val="24"/>
              </w:rPr>
            </w:pPr>
            <w:r>
              <w:rPr>
                <w:b/>
                <w:color w:val="000000"/>
                <w:sz w:val="24"/>
              </w:rPr>
              <w:t>数量</w:t>
            </w:r>
          </w:p>
        </w:tc>
        <w:tc>
          <w:tcPr>
            <w:tcW w:w="359" w:type="pct"/>
            <w:vAlign w:val="center"/>
          </w:tcPr>
          <w:p w14:paraId="4E80FA11">
            <w:pPr>
              <w:adjustRightInd w:val="0"/>
              <w:snapToGrid w:val="0"/>
              <w:jc w:val="center"/>
              <w:rPr>
                <w:b/>
                <w:color w:val="000000"/>
                <w:sz w:val="24"/>
              </w:rPr>
            </w:pPr>
            <w:r>
              <w:rPr>
                <w:b/>
                <w:color w:val="000000"/>
                <w:sz w:val="24"/>
              </w:rPr>
              <w:t>合价（元）</w:t>
            </w:r>
          </w:p>
        </w:tc>
      </w:tr>
      <w:tr w14:paraId="154B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9CABB18">
            <w:pPr>
              <w:adjustRightInd w:val="0"/>
              <w:snapToGrid w:val="0"/>
              <w:jc w:val="left"/>
              <w:rPr>
                <w:color w:val="000000"/>
                <w:sz w:val="24"/>
              </w:rPr>
            </w:pPr>
            <w:r>
              <w:rPr>
                <w:color w:val="000000"/>
                <w:sz w:val="24"/>
              </w:rPr>
              <w:t>1</w:t>
            </w:r>
          </w:p>
        </w:tc>
        <w:tc>
          <w:tcPr>
            <w:tcW w:w="370" w:type="pct"/>
            <w:vAlign w:val="center"/>
          </w:tcPr>
          <w:p w14:paraId="4F25D02D">
            <w:pPr>
              <w:adjustRightInd w:val="0"/>
              <w:snapToGrid w:val="0"/>
              <w:jc w:val="left"/>
              <w:rPr>
                <w:color w:val="000000"/>
                <w:sz w:val="24"/>
              </w:rPr>
            </w:pPr>
          </w:p>
        </w:tc>
        <w:tc>
          <w:tcPr>
            <w:tcW w:w="466" w:type="pct"/>
            <w:vAlign w:val="center"/>
          </w:tcPr>
          <w:p w14:paraId="42268B22">
            <w:pPr>
              <w:adjustRightInd w:val="0"/>
              <w:snapToGrid w:val="0"/>
              <w:jc w:val="left"/>
              <w:rPr>
                <w:color w:val="000000"/>
                <w:sz w:val="24"/>
              </w:rPr>
            </w:pPr>
          </w:p>
        </w:tc>
        <w:tc>
          <w:tcPr>
            <w:tcW w:w="332" w:type="pct"/>
          </w:tcPr>
          <w:p w14:paraId="48B85539">
            <w:pPr>
              <w:adjustRightInd w:val="0"/>
              <w:snapToGrid w:val="0"/>
              <w:jc w:val="left"/>
              <w:rPr>
                <w:color w:val="000000"/>
                <w:sz w:val="24"/>
              </w:rPr>
            </w:pPr>
          </w:p>
        </w:tc>
        <w:tc>
          <w:tcPr>
            <w:tcW w:w="441" w:type="pct"/>
            <w:vAlign w:val="center"/>
          </w:tcPr>
          <w:p w14:paraId="65EA132D">
            <w:pPr>
              <w:adjustRightInd w:val="0"/>
              <w:snapToGrid w:val="0"/>
              <w:jc w:val="center"/>
              <w:rPr>
                <w:color w:val="000000"/>
                <w:sz w:val="24"/>
              </w:rPr>
            </w:pPr>
          </w:p>
        </w:tc>
        <w:tc>
          <w:tcPr>
            <w:tcW w:w="441" w:type="pct"/>
            <w:vAlign w:val="center"/>
          </w:tcPr>
          <w:p w14:paraId="3821B0CB">
            <w:pPr>
              <w:adjustRightInd w:val="0"/>
              <w:snapToGrid w:val="0"/>
              <w:jc w:val="center"/>
              <w:rPr>
                <w:color w:val="000000"/>
                <w:sz w:val="24"/>
              </w:rPr>
            </w:pPr>
          </w:p>
        </w:tc>
        <w:tc>
          <w:tcPr>
            <w:tcW w:w="441" w:type="pct"/>
          </w:tcPr>
          <w:p w14:paraId="274583F9">
            <w:pPr>
              <w:adjustRightInd w:val="0"/>
              <w:snapToGrid w:val="0"/>
              <w:jc w:val="center"/>
              <w:rPr>
                <w:color w:val="000000"/>
                <w:sz w:val="24"/>
              </w:rPr>
            </w:pPr>
          </w:p>
        </w:tc>
        <w:tc>
          <w:tcPr>
            <w:tcW w:w="441" w:type="pct"/>
          </w:tcPr>
          <w:p w14:paraId="670AD0FA">
            <w:pPr>
              <w:adjustRightInd w:val="0"/>
              <w:snapToGrid w:val="0"/>
              <w:jc w:val="center"/>
              <w:rPr>
                <w:color w:val="000000"/>
                <w:sz w:val="24"/>
              </w:rPr>
            </w:pPr>
          </w:p>
        </w:tc>
        <w:tc>
          <w:tcPr>
            <w:tcW w:w="441" w:type="pct"/>
            <w:vAlign w:val="center"/>
          </w:tcPr>
          <w:p w14:paraId="2F588892">
            <w:pPr>
              <w:adjustRightInd w:val="0"/>
              <w:snapToGrid w:val="0"/>
              <w:jc w:val="center"/>
              <w:rPr>
                <w:color w:val="000000"/>
                <w:sz w:val="24"/>
              </w:rPr>
            </w:pPr>
          </w:p>
        </w:tc>
        <w:tc>
          <w:tcPr>
            <w:tcW w:w="441" w:type="pct"/>
            <w:vAlign w:val="center"/>
          </w:tcPr>
          <w:p w14:paraId="4C2857FF">
            <w:pPr>
              <w:adjustRightInd w:val="0"/>
              <w:snapToGrid w:val="0"/>
              <w:jc w:val="left"/>
              <w:rPr>
                <w:color w:val="000000"/>
                <w:sz w:val="24"/>
              </w:rPr>
            </w:pPr>
          </w:p>
        </w:tc>
        <w:tc>
          <w:tcPr>
            <w:tcW w:w="360" w:type="pct"/>
            <w:vAlign w:val="center"/>
          </w:tcPr>
          <w:p w14:paraId="6E524E7C">
            <w:pPr>
              <w:adjustRightInd w:val="0"/>
              <w:snapToGrid w:val="0"/>
              <w:jc w:val="left"/>
              <w:rPr>
                <w:color w:val="000000"/>
                <w:sz w:val="24"/>
              </w:rPr>
            </w:pPr>
          </w:p>
        </w:tc>
        <w:tc>
          <w:tcPr>
            <w:tcW w:w="292" w:type="pct"/>
            <w:vAlign w:val="center"/>
          </w:tcPr>
          <w:p w14:paraId="7E6B4D5D">
            <w:pPr>
              <w:adjustRightInd w:val="0"/>
              <w:snapToGrid w:val="0"/>
              <w:jc w:val="left"/>
              <w:rPr>
                <w:color w:val="000000"/>
                <w:sz w:val="24"/>
              </w:rPr>
            </w:pPr>
          </w:p>
        </w:tc>
        <w:tc>
          <w:tcPr>
            <w:tcW w:w="359" w:type="pct"/>
            <w:vAlign w:val="center"/>
          </w:tcPr>
          <w:p w14:paraId="7B2686E0">
            <w:pPr>
              <w:adjustRightInd w:val="0"/>
              <w:snapToGrid w:val="0"/>
              <w:jc w:val="left"/>
              <w:rPr>
                <w:color w:val="000000"/>
                <w:sz w:val="24"/>
              </w:rPr>
            </w:pPr>
          </w:p>
        </w:tc>
      </w:tr>
      <w:tr w14:paraId="081E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3039F63">
            <w:pPr>
              <w:adjustRightInd w:val="0"/>
              <w:snapToGrid w:val="0"/>
              <w:jc w:val="left"/>
              <w:rPr>
                <w:color w:val="000000"/>
                <w:sz w:val="24"/>
              </w:rPr>
            </w:pPr>
            <w:r>
              <w:rPr>
                <w:color w:val="000000"/>
                <w:sz w:val="24"/>
              </w:rPr>
              <w:t>2</w:t>
            </w:r>
          </w:p>
        </w:tc>
        <w:tc>
          <w:tcPr>
            <w:tcW w:w="370" w:type="pct"/>
            <w:vAlign w:val="center"/>
          </w:tcPr>
          <w:p w14:paraId="61AFCBFB">
            <w:pPr>
              <w:adjustRightInd w:val="0"/>
              <w:snapToGrid w:val="0"/>
              <w:jc w:val="left"/>
              <w:rPr>
                <w:color w:val="000000"/>
                <w:sz w:val="24"/>
              </w:rPr>
            </w:pPr>
          </w:p>
        </w:tc>
        <w:tc>
          <w:tcPr>
            <w:tcW w:w="466" w:type="pct"/>
            <w:vAlign w:val="center"/>
          </w:tcPr>
          <w:p w14:paraId="2C8A35C5">
            <w:pPr>
              <w:adjustRightInd w:val="0"/>
              <w:snapToGrid w:val="0"/>
              <w:jc w:val="left"/>
              <w:rPr>
                <w:color w:val="000000"/>
                <w:sz w:val="24"/>
              </w:rPr>
            </w:pPr>
          </w:p>
        </w:tc>
        <w:tc>
          <w:tcPr>
            <w:tcW w:w="332" w:type="pct"/>
          </w:tcPr>
          <w:p w14:paraId="02E347D2">
            <w:pPr>
              <w:adjustRightInd w:val="0"/>
              <w:snapToGrid w:val="0"/>
              <w:jc w:val="left"/>
              <w:rPr>
                <w:color w:val="000000"/>
                <w:sz w:val="24"/>
              </w:rPr>
            </w:pPr>
          </w:p>
        </w:tc>
        <w:tc>
          <w:tcPr>
            <w:tcW w:w="441" w:type="pct"/>
            <w:vAlign w:val="center"/>
          </w:tcPr>
          <w:p w14:paraId="433F2511">
            <w:pPr>
              <w:adjustRightInd w:val="0"/>
              <w:snapToGrid w:val="0"/>
              <w:jc w:val="center"/>
              <w:rPr>
                <w:color w:val="000000"/>
                <w:sz w:val="24"/>
              </w:rPr>
            </w:pPr>
          </w:p>
        </w:tc>
        <w:tc>
          <w:tcPr>
            <w:tcW w:w="441" w:type="pct"/>
            <w:vAlign w:val="center"/>
          </w:tcPr>
          <w:p w14:paraId="75724E8A">
            <w:pPr>
              <w:adjustRightInd w:val="0"/>
              <w:snapToGrid w:val="0"/>
              <w:jc w:val="center"/>
              <w:rPr>
                <w:color w:val="000000"/>
                <w:sz w:val="24"/>
              </w:rPr>
            </w:pPr>
          </w:p>
        </w:tc>
        <w:tc>
          <w:tcPr>
            <w:tcW w:w="441" w:type="pct"/>
          </w:tcPr>
          <w:p w14:paraId="12C80CCD">
            <w:pPr>
              <w:adjustRightInd w:val="0"/>
              <w:snapToGrid w:val="0"/>
              <w:jc w:val="center"/>
              <w:rPr>
                <w:color w:val="000000"/>
                <w:sz w:val="24"/>
              </w:rPr>
            </w:pPr>
          </w:p>
        </w:tc>
        <w:tc>
          <w:tcPr>
            <w:tcW w:w="441" w:type="pct"/>
          </w:tcPr>
          <w:p w14:paraId="4EC5A989">
            <w:pPr>
              <w:adjustRightInd w:val="0"/>
              <w:snapToGrid w:val="0"/>
              <w:jc w:val="center"/>
              <w:rPr>
                <w:color w:val="000000"/>
                <w:sz w:val="24"/>
              </w:rPr>
            </w:pPr>
          </w:p>
        </w:tc>
        <w:tc>
          <w:tcPr>
            <w:tcW w:w="441" w:type="pct"/>
            <w:vAlign w:val="center"/>
          </w:tcPr>
          <w:p w14:paraId="291520FD">
            <w:pPr>
              <w:adjustRightInd w:val="0"/>
              <w:snapToGrid w:val="0"/>
              <w:jc w:val="center"/>
              <w:rPr>
                <w:color w:val="000000"/>
                <w:sz w:val="24"/>
              </w:rPr>
            </w:pPr>
          </w:p>
        </w:tc>
        <w:tc>
          <w:tcPr>
            <w:tcW w:w="441" w:type="pct"/>
            <w:vAlign w:val="center"/>
          </w:tcPr>
          <w:p w14:paraId="756E6AD0">
            <w:pPr>
              <w:adjustRightInd w:val="0"/>
              <w:snapToGrid w:val="0"/>
              <w:jc w:val="left"/>
              <w:rPr>
                <w:color w:val="000000"/>
                <w:sz w:val="24"/>
              </w:rPr>
            </w:pPr>
          </w:p>
        </w:tc>
        <w:tc>
          <w:tcPr>
            <w:tcW w:w="360" w:type="pct"/>
            <w:vAlign w:val="center"/>
          </w:tcPr>
          <w:p w14:paraId="76721256">
            <w:pPr>
              <w:adjustRightInd w:val="0"/>
              <w:snapToGrid w:val="0"/>
              <w:jc w:val="left"/>
              <w:rPr>
                <w:color w:val="000000"/>
                <w:sz w:val="24"/>
              </w:rPr>
            </w:pPr>
          </w:p>
        </w:tc>
        <w:tc>
          <w:tcPr>
            <w:tcW w:w="292" w:type="pct"/>
            <w:vAlign w:val="center"/>
          </w:tcPr>
          <w:p w14:paraId="09517F7D">
            <w:pPr>
              <w:adjustRightInd w:val="0"/>
              <w:snapToGrid w:val="0"/>
              <w:jc w:val="left"/>
              <w:rPr>
                <w:color w:val="000000"/>
                <w:sz w:val="24"/>
              </w:rPr>
            </w:pPr>
          </w:p>
        </w:tc>
        <w:tc>
          <w:tcPr>
            <w:tcW w:w="359" w:type="pct"/>
            <w:vAlign w:val="center"/>
          </w:tcPr>
          <w:p w14:paraId="34696B1F">
            <w:pPr>
              <w:adjustRightInd w:val="0"/>
              <w:snapToGrid w:val="0"/>
              <w:jc w:val="left"/>
              <w:rPr>
                <w:color w:val="000000"/>
                <w:sz w:val="24"/>
              </w:rPr>
            </w:pPr>
          </w:p>
        </w:tc>
      </w:tr>
      <w:tr w14:paraId="1707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63FE07EC">
            <w:pPr>
              <w:adjustRightInd w:val="0"/>
              <w:snapToGrid w:val="0"/>
              <w:jc w:val="left"/>
              <w:rPr>
                <w:color w:val="000000"/>
                <w:sz w:val="24"/>
              </w:rPr>
            </w:pPr>
            <w:r>
              <w:rPr>
                <w:color w:val="000000"/>
                <w:sz w:val="24"/>
              </w:rPr>
              <w:t>3</w:t>
            </w:r>
          </w:p>
        </w:tc>
        <w:tc>
          <w:tcPr>
            <w:tcW w:w="370" w:type="pct"/>
            <w:vAlign w:val="center"/>
          </w:tcPr>
          <w:p w14:paraId="5ADEE252">
            <w:pPr>
              <w:adjustRightInd w:val="0"/>
              <w:snapToGrid w:val="0"/>
              <w:jc w:val="left"/>
              <w:rPr>
                <w:color w:val="000000"/>
                <w:sz w:val="24"/>
              </w:rPr>
            </w:pPr>
          </w:p>
        </w:tc>
        <w:tc>
          <w:tcPr>
            <w:tcW w:w="466" w:type="pct"/>
            <w:vAlign w:val="center"/>
          </w:tcPr>
          <w:p w14:paraId="2E88FABE">
            <w:pPr>
              <w:adjustRightInd w:val="0"/>
              <w:snapToGrid w:val="0"/>
              <w:jc w:val="left"/>
              <w:rPr>
                <w:color w:val="000000"/>
                <w:sz w:val="24"/>
              </w:rPr>
            </w:pPr>
          </w:p>
        </w:tc>
        <w:tc>
          <w:tcPr>
            <w:tcW w:w="332" w:type="pct"/>
          </w:tcPr>
          <w:p w14:paraId="45494B30">
            <w:pPr>
              <w:adjustRightInd w:val="0"/>
              <w:snapToGrid w:val="0"/>
              <w:jc w:val="left"/>
              <w:rPr>
                <w:color w:val="000000"/>
                <w:sz w:val="24"/>
              </w:rPr>
            </w:pPr>
          </w:p>
        </w:tc>
        <w:tc>
          <w:tcPr>
            <w:tcW w:w="441" w:type="pct"/>
            <w:vAlign w:val="center"/>
          </w:tcPr>
          <w:p w14:paraId="0938624B">
            <w:pPr>
              <w:adjustRightInd w:val="0"/>
              <w:snapToGrid w:val="0"/>
              <w:jc w:val="center"/>
              <w:rPr>
                <w:color w:val="000000"/>
                <w:sz w:val="24"/>
              </w:rPr>
            </w:pPr>
          </w:p>
        </w:tc>
        <w:tc>
          <w:tcPr>
            <w:tcW w:w="441" w:type="pct"/>
            <w:vAlign w:val="center"/>
          </w:tcPr>
          <w:p w14:paraId="1014FF99">
            <w:pPr>
              <w:adjustRightInd w:val="0"/>
              <w:snapToGrid w:val="0"/>
              <w:jc w:val="center"/>
              <w:rPr>
                <w:color w:val="000000"/>
                <w:sz w:val="24"/>
              </w:rPr>
            </w:pPr>
          </w:p>
        </w:tc>
        <w:tc>
          <w:tcPr>
            <w:tcW w:w="441" w:type="pct"/>
          </w:tcPr>
          <w:p w14:paraId="6DC57D9F">
            <w:pPr>
              <w:adjustRightInd w:val="0"/>
              <w:snapToGrid w:val="0"/>
              <w:jc w:val="center"/>
              <w:rPr>
                <w:color w:val="000000"/>
                <w:sz w:val="24"/>
              </w:rPr>
            </w:pPr>
          </w:p>
        </w:tc>
        <w:tc>
          <w:tcPr>
            <w:tcW w:w="441" w:type="pct"/>
          </w:tcPr>
          <w:p w14:paraId="0EBCC68B">
            <w:pPr>
              <w:adjustRightInd w:val="0"/>
              <w:snapToGrid w:val="0"/>
              <w:jc w:val="center"/>
              <w:rPr>
                <w:color w:val="000000"/>
                <w:sz w:val="24"/>
              </w:rPr>
            </w:pPr>
          </w:p>
        </w:tc>
        <w:tc>
          <w:tcPr>
            <w:tcW w:w="441" w:type="pct"/>
            <w:vAlign w:val="center"/>
          </w:tcPr>
          <w:p w14:paraId="13FEBD7F">
            <w:pPr>
              <w:adjustRightInd w:val="0"/>
              <w:snapToGrid w:val="0"/>
              <w:jc w:val="center"/>
              <w:rPr>
                <w:color w:val="000000"/>
                <w:sz w:val="24"/>
              </w:rPr>
            </w:pPr>
          </w:p>
        </w:tc>
        <w:tc>
          <w:tcPr>
            <w:tcW w:w="441" w:type="pct"/>
            <w:vAlign w:val="center"/>
          </w:tcPr>
          <w:p w14:paraId="79732A58">
            <w:pPr>
              <w:adjustRightInd w:val="0"/>
              <w:snapToGrid w:val="0"/>
              <w:jc w:val="left"/>
              <w:rPr>
                <w:color w:val="000000"/>
                <w:sz w:val="24"/>
              </w:rPr>
            </w:pPr>
          </w:p>
        </w:tc>
        <w:tc>
          <w:tcPr>
            <w:tcW w:w="360" w:type="pct"/>
            <w:vAlign w:val="center"/>
          </w:tcPr>
          <w:p w14:paraId="4ADE065C">
            <w:pPr>
              <w:adjustRightInd w:val="0"/>
              <w:snapToGrid w:val="0"/>
              <w:jc w:val="left"/>
              <w:rPr>
                <w:color w:val="000000"/>
                <w:sz w:val="24"/>
              </w:rPr>
            </w:pPr>
          </w:p>
        </w:tc>
        <w:tc>
          <w:tcPr>
            <w:tcW w:w="292" w:type="pct"/>
            <w:vAlign w:val="center"/>
          </w:tcPr>
          <w:p w14:paraId="27A5AA5A">
            <w:pPr>
              <w:adjustRightInd w:val="0"/>
              <w:snapToGrid w:val="0"/>
              <w:jc w:val="left"/>
              <w:rPr>
                <w:color w:val="000000"/>
                <w:sz w:val="24"/>
              </w:rPr>
            </w:pPr>
          </w:p>
        </w:tc>
        <w:tc>
          <w:tcPr>
            <w:tcW w:w="359" w:type="pct"/>
            <w:vAlign w:val="center"/>
          </w:tcPr>
          <w:p w14:paraId="4DDF1F8D">
            <w:pPr>
              <w:adjustRightInd w:val="0"/>
              <w:snapToGrid w:val="0"/>
              <w:jc w:val="left"/>
              <w:rPr>
                <w:color w:val="000000"/>
                <w:sz w:val="24"/>
              </w:rPr>
            </w:pPr>
          </w:p>
        </w:tc>
      </w:tr>
      <w:tr w14:paraId="4337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5A54961">
            <w:pPr>
              <w:adjustRightInd w:val="0"/>
              <w:snapToGrid w:val="0"/>
              <w:jc w:val="left"/>
              <w:rPr>
                <w:color w:val="000000"/>
                <w:sz w:val="24"/>
              </w:rPr>
            </w:pPr>
            <w:r>
              <w:rPr>
                <w:color w:val="000000"/>
                <w:sz w:val="24"/>
              </w:rPr>
              <w:t>4</w:t>
            </w:r>
          </w:p>
        </w:tc>
        <w:tc>
          <w:tcPr>
            <w:tcW w:w="370" w:type="pct"/>
            <w:vAlign w:val="center"/>
          </w:tcPr>
          <w:p w14:paraId="2C7E97EE">
            <w:pPr>
              <w:adjustRightInd w:val="0"/>
              <w:snapToGrid w:val="0"/>
              <w:jc w:val="left"/>
              <w:rPr>
                <w:color w:val="000000"/>
                <w:sz w:val="24"/>
              </w:rPr>
            </w:pPr>
          </w:p>
        </w:tc>
        <w:tc>
          <w:tcPr>
            <w:tcW w:w="466" w:type="pct"/>
            <w:vAlign w:val="center"/>
          </w:tcPr>
          <w:p w14:paraId="7B357EFD">
            <w:pPr>
              <w:adjustRightInd w:val="0"/>
              <w:snapToGrid w:val="0"/>
              <w:jc w:val="left"/>
              <w:rPr>
                <w:color w:val="000000"/>
                <w:sz w:val="24"/>
              </w:rPr>
            </w:pPr>
          </w:p>
        </w:tc>
        <w:tc>
          <w:tcPr>
            <w:tcW w:w="332" w:type="pct"/>
          </w:tcPr>
          <w:p w14:paraId="5C6DC781">
            <w:pPr>
              <w:adjustRightInd w:val="0"/>
              <w:snapToGrid w:val="0"/>
              <w:jc w:val="left"/>
              <w:rPr>
                <w:color w:val="000000"/>
                <w:sz w:val="24"/>
              </w:rPr>
            </w:pPr>
          </w:p>
        </w:tc>
        <w:tc>
          <w:tcPr>
            <w:tcW w:w="441" w:type="pct"/>
            <w:vAlign w:val="center"/>
          </w:tcPr>
          <w:p w14:paraId="2DA160E6">
            <w:pPr>
              <w:adjustRightInd w:val="0"/>
              <w:snapToGrid w:val="0"/>
              <w:jc w:val="center"/>
              <w:rPr>
                <w:color w:val="000000"/>
                <w:sz w:val="24"/>
              </w:rPr>
            </w:pPr>
          </w:p>
        </w:tc>
        <w:tc>
          <w:tcPr>
            <w:tcW w:w="441" w:type="pct"/>
            <w:vAlign w:val="center"/>
          </w:tcPr>
          <w:p w14:paraId="08E45600">
            <w:pPr>
              <w:adjustRightInd w:val="0"/>
              <w:snapToGrid w:val="0"/>
              <w:jc w:val="center"/>
              <w:rPr>
                <w:color w:val="000000"/>
                <w:sz w:val="24"/>
              </w:rPr>
            </w:pPr>
          </w:p>
        </w:tc>
        <w:tc>
          <w:tcPr>
            <w:tcW w:w="441" w:type="pct"/>
          </w:tcPr>
          <w:p w14:paraId="618BE634">
            <w:pPr>
              <w:adjustRightInd w:val="0"/>
              <w:snapToGrid w:val="0"/>
              <w:jc w:val="center"/>
              <w:rPr>
                <w:color w:val="000000"/>
                <w:sz w:val="24"/>
              </w:rPr>
            </w:pPr>
          </w:p>
        </w:tc>
        <w:tc>
          <w:tcPr>
            <w:tcW w:w="441" w:type="pct"/>
          </w:tcPr>
          <w:p w14:paraId="7DC1D665">
            <w:pPr>
              <w:adjustRightInd w:val="0"/>
              <w:snapToGrid w:val="0"/>
              <w:jc w:val="center"/>
              <w:rPr>
                <w:color w:val="000000"/>
                <w:sz w:val="24"/>
              </w:rPr>
            </w:pPr>
          </w:p>
        </w:tc>
        <w:tc>
          <w:tcPr>
            <w:tcW w:w="441" w:type="pct"/>
            <w:vAlign w:val="center"/>
          </w:tcPr>
          <w:p w14:paraId="5D39E715">
            <w:pPr>
              <w:adjustRightInd w:val="0"/>
              <w:snapToGrid w:val="0"/>
              <w:jc w:val="center"/>
              <w:rPr>
                <w:color w:val="000000"/>
                <w:sz w:val="24"/>
              </w:rPr>
            </w:pPr>
          </w:p>
        </w:tc>
        <w:tc>
          <w:tcPr>
            <w:tcW w:w="441" w:type="pct"/>
            <w:vAlign w:val="center"/>
          </w:tcPr>
          <w:p w14:paraId="622BE277">
            <w:pPr>
              <w:adjustRightInd w:val="0"/>
              <w:snapToGrid w:val="0"/>
              <w:jc w:val="left"/>
              <w:rPr>
                <w:color w:val="000000"/>
                <w:sz w:val="24"/>
              </w:rPr>
            </w:pPr>
          </w:p>
        </w:tc>
        <w:tc>
          <w:tcPr>
            <w:tcW w:w="360" w:type="pct"/>
            <w:vAlign w:val="center"/>
          </w:tcPr>
          <w:p w14:paraId="433206A0">
            <w:pPr>
              <w:adjustRightInd w:val="0"/>
              <w:snapToGrid w:val="0"/>
              <w:jc w:val="left"/>
              <w:rPr>
                <w:color w:val="000000"/>
                <w:sz w:val="24"/>
              </w:rPr>
            </w:pPr>
          </w:p>
        </w:tc>
        <w:tc>
          <w:tcPr>
            <w:tcW w:w="292" w:type="pct"/>
            <w:vAlign w:val="center"/>
          </w:tcPr>
          <w:p w14:paraId="31B31C46">
            <w:pPr>
              <w:adjustRightInd w:val="0"/>
              <w:snapToGrid w:val="0"/>
              <w:jc w:val="left"/>
              <w:rPr>
                <w:color w:val="000000"/>
                <w:sz w:val="24"/>
              </w:rPr>
            </w:pPr>
          </w:p>
        </w:tc>
        <w:tc>
          <w:tcPr>
            <w:tcW w:w="359" w:type="pct"/>
            <w:vAlign w:val="center"/>
          </w:tcPr>
          <w:p w14:paraId="5BD427E6">
            <w:pPr>
              <w:adjustRightInd w:val="0"/>
              <w:snapToGrid w:val="0"/>
              <w:jc w:val="left"/>
              <w:rPr>
                <w:color w:val="000000"/>
                <w:sz w:val="24"/>
              </w:rPr>
            </w:pPr>
          </w:p>
        </w:tc>
      </w:tr>
      <w:tr w14:paraId="4B1F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29F44CF">
            <w:pPr>
              <w:adjustRightInd w:val="0"/>
              <w:snapToGrid w:val="0"/>
              <w:jc w:val="left"/>
              <w:rPr>
                <w:color w:val="000000"/>
                <w:sz w:val="24"/>
              </w:rPr>
            </w:pPr>
            <w:r>
              <w:rPr>
                <w:color w:val="000000"/>
                <w:sz w:val="24"/>
              </w:rPr>
              <w:t>…</w:t>
            </w:r>
          </w:p>
        </w:tc>
        <w:tc>
          <w:tcPr>
            <w:tcW w:w="370" w:type="pct"/>
            <w:vAlign w:val="center"/>
          </w:tcPr>
          <w:p w14:paraId="06468F46">
            <w:pPr>
              <w:adjustRightInd w:val="0"/>
              <w:snapToGrid w:val="0"/>
              <w:jc w:val="left"/>
              <w:rPr>
                <w:color w:val="000000"/>
                <w:sz w:val="24"/>
              </w:rPr>
            </w:pPr>
          </w:p>
        </w:tc>
        <w:tc>
          <w:tcPr>
            <w:tcW w:w="466" w:type="pct"/>
            <w:vAlign w:val="center"/>
          </w:tcPr>
          <w:p w14:paraId="1903CC12">
            <w:pPr>
              <w:adjustRightInd w:val="0"/>
              <w:snapToGrid w:val="0"/>
              <w:jc w:val="left"/>
              <w:rPr>
                <w:color w:val="000000"/>
                <w:sz w:val="24"/>
              </w:rPr>
            </w:pPr>
          </w:p>
        </w:tc>
        <w:tc>
          <w:tcPr>
            <w:tcW w:w="332" w:type="pct"/>
          </w:tcPr>
          <w:p w14:paraId="4495247D">
            <w:pPr>
              <w:adjustRightInd w:val="0"/>
              <w:snapToGrid w:val="0"/>
              <w:jc w:val="left"/>
              <w:rPr>
                <w:color w:val="000000"/>
                <w:sz w:val="24"/>
              </w:rPr>
            </w:pPr>
          </w:p>
        </w:tc>
        <w:tc>
          <w:tcPr>
            <w:tcW w:w="441" w:type="pct"/>
            <w:vAlign w:val="center"/>
          </w:tcPr>
          <w:p w14:paraId="6F8ECB1F">
            <w:pPr>
              <w:adjustRightInd w:val="0"/>
              <w:snapToGrid w:val="0"/>
              <w:jc w:val="center"/>
              <w:rPr>
                <w:color w:val="000000"/>
                <w:sz w:val="24"/>
              </w:rPr>
            </w:pPr>
          </w:p>
        </w:tc>
        <w:tc>
          <w:tcPr>
            <w:tcW w:w="441" w:type="pct"/>
            <w:vAlign w:val="center"/>
          </w:tcPr>
          <w:p w14:paraId="0DDBB46F">
            <w:pPr>
              <w:adjustRightInd w:val="0"/>
              <w:snapToGrid w:val="0"/>
              <w:jc w:val="center"/>
              <w:rPr>
                <w:color w:val="000000"/>
                <w:sz w:val="24"/>
              </w:rPr>
            </w:pPr>
          </w:p>
        </w:tc>
        <w:tc>
          <w:tcPr>
            <w:tcW w:w="441" w:type="pct"/>
          </w:tcPr>
          <w:p w14:paraId="679ADE69">
            <w:pPr>
              <w:adjustRightInd w:val="0"/>
              <w:snapToGrid w:val="0"/>
              <w:jc w:val="center"/>
              <w:rPr>
                <w:color w:val="000000"/>
                <w:sz w:val="24"/>
              </w:rPr>
            </w:pPr>
          </w:p>
        </w:tc>
        <w:tc>
          <w:tcPr>
            <w:tcW w:w="441" w:type="pct"/>
          </w:tcPr>
          <w:p w14:paraId="35042CFD">
            <w:pPr>
              <w:adjustRightInd w:val="0"/>
              <w:snapToGrid w:val="0"/>
              <w:jc w:val="center"/>
              <w:rPr>
                <w:color w:val="000000"/>
                <w:sz w:val="24"/>
              </w:rPr>
            </w:pPr>
          </w:p>
        </w:tc>
        <w:tc>
          <w:tcPr>
            <w:tcW w:w="441" w:type="pct"/>
            <w:vAlign w:val="center"/>
          </w:tcPr>
          <w:p w14:paraId="71E7AAF1">
            <w:pPr>
              <w:adjustRightInd w:val="0"/>
              <w:snapToGrid w:val="0"/>
              <w:jc w:val="center"/>
              <w:rPr>
                <w:color w:val="000000"/>
                <w:sz w:val="24"/>
              </w:rPr>
            </w:pPr>
          </w:p>
        </w:tc>
        <w:tc>
          <w:tcPr>
            <w:tcW w:w="441" w:type="pct"/>
            <w:vAlign w:val="center"/>
          </w:tcPr>
          <w:p w14:paraId="07D3A69C">
            <w:pPr>
              <w:adjustRightInd w:val="0"/>
              <w:snapToGrid w:val="0"/>
              <w:jc w:val="left"/>
              <w:rPr>
                <w:color w:val="000000"/>
                <w:sz w:val="24"/>
              </w:rPr>
            </w:pPr>
          </w:p>
        </w:tc>
        <w:tc>
          <w:tcPr>
            <w:tcW w:w="360" w:type="pct"/>
            <w:vAlign w:val="center"/>
          </w:tcPr>
          <w:p w14:paraId="6BA4E449">
            <w:pPr>
              <w:adjustRightInd w:val="0"/>
              <w:snapToGrid w:val="0"/>
              <w:jc w:val="left"/>
              <w:rPr>
                <w:color w:val="000000"/>
                <w:sz w:val="24"/>
              </w:rPr>
            </w:pPr>
          </w:p>
        </w:tc>
        <w:tc>
          <w:tcPr>
            <w:tcW w:w="292" w:type="pct"/>
            <w:vAlign w:val="center"/>
          </w:tcPr>
          <w:p w14:paraId="5DDE3EDB">
            <w:pPr>
              <w:adjustRightInd w:val="0"/>
              <w:snapToGrid w:val="0"/>
              <w:jc w:val="left"/>
              <w:rPr>
                <w:color w:val="000000"/>
                <w:sz w:val="24"/>
              </w:rPr>
            </w:pPr>
          </w:p>
        </w:tc>
        <w:tc>
          <w:tcPr>
            <w:tcW w:w="359" w:type="pct"/>
            <w:vAlign w:val="center"/>
          </w:tcPr>
          <w:p w14:paraId="0C75AECD">
            <w:pPr>
              <w:adjustRightInd w:val="0"/>
              <w:snapToGrid w:val="0"/>
              <w:jc w:val="left"/>
              <w:rPr>
                <w:color w:val="000000"/>
                <w:sz w:val="24"/>
              </w:rPr>
            </w:pPr>
          </w:p>
        </w:tc>
      </w:tr>
      <w:tr w14:paraId="3BE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280AE30C">
            <w:pPr>
              <w:jc w:val="right"/>
              <w:rPr>
                <w:b/>
                <w:sz w:val="24"/>
              </w:rPr>
            </w:pPr>
            <w:r>
              <w:rPr>
                <w:b/>
                <w:sz w:val="24"/>
              </w:rPr>
              <w:t>总价（元）</w:t>
            </w:r>
          </w:p>
        </w:tc>
        <w:tc>
          <w:tcPr>
            <w:tcW w:w="359" w:type="pct"/>
            <w:vAlign w:val="center"/>
          </w:tcPr>
          <w:p w14:paraId="3507D9F0">
            <w:pPr>
              <w:adjustRightInd w:val="0"/>
              <w:snapToGrid w:val="0"/>
              <w:jc w:val="left"/>
              <w:rPr>
                <w:color w:val="000000"/>
                <w:sz w:val="24"/>
              </w:rPr>
            </w:pPr>
          </w:p>
        </w:tc>
      </w:tr>
    </w:tbl>
    <w:p w14:paraId="73779E5A">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442E06DF">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1F0F87E5">
      <w:pPr>
        <w:tabs>
          <w:tab w:val="left" w:pos="1800"/>
          <w:tab w:val="left" w:pos="5580"/>
        </w:tabs>
        <w:ind w:firstLine="723" w:firstLineChars="300"/>
        <w:jc w:val="left"/>
        <w:rPr>
          <w:rFonts w:eastAsiaTheme="minorEastAsia"/>
          <w:b/>
          <w:i/>
          <w:color w:val="FF0000"/>
          <w:sz w:val="24"/>
        </w:rPr>
      </w:pPr>
      <w:r>
        <w:rPr>
          <w:rFonts w:hint="eastAsia"/>
          <w:b/>
          <w:i/>
          <w:color w:val="FF0000"/>
          <w:sz w:val="24"/>
        </w:rPr>
        <w:t>外商投资类型请填写“外商单独投资”、“外商部分投资”或“内资”。</w:t>
      </w:r>
    </w:p>
    <w:p w14:paraId="0AB2CB23">
      <w:pPr>
        <w:adjustRightInd w:val="0"/>
        <w:snapToGrid w:val="0"/>
        <w:spacing w:before="240" w:beforeLines="100" w:after="240" w:afterLines="100"/>
        <w:jc w:val="left"/>
        <w:rPr>
          <w:rFonts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61FEF492">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14:paraId="474EF300">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48B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17DA37C">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49B36AF">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70B731FF">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70BB296">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7FEA558">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0087B9C7">
            <w:pPr>
              <w:adjustRightInd w:val="0"/>
              <w:snapToGrid w:val="0"/>
              <w:jc w:val="center"/>
              <w:rPr>
                <w:rFonts w:eastAsiaTheme="minorEastAsia"/>
                <w:b/>
                <w:color w:val="000000"/>
                <w:sz w:val="24"/>
              </w:rPr>
            </w:pPr>
            <w:r>
              <w:rPr>
                <w:rFonts w:eastAsiaTheme="minorEastAsia"/>
                <w:b/>
                <w:color w:val="000000"/>
                <w:sz w:val="24"/>
              </w:rPr>
              <w:t>备注/说明</w:t>
            </w:r>
          </w:p>
        </w:tc>
      </w:tr>
      <w:tr w14:paraId="1CB5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920692C">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5058073C">
            <w:pPr>
              <w:adjustRightInd w:val="0"/>
              <w:snapToGrid w:val="0"/>
              <w:jc w:val="left"/>
              <w:rPr>
                <w:rFonts w:eastAsiaTheme="minorEastAsia"/>
                <w:color w:val="000000"/>
                <w:sz w:val="24"/>
              </w:rPr>
            </w:pPr>
          </w:p>
        </w:tc>
        <w:tc>
          <w:tcPr>
            <w:tcW w:w="725" w:type="pct"/>
            <w:vAlign w:val="center"/>
          </w:tcPr>
          <w:p w14:paraId="065EE3B7">
            <w:pPr>
              <w:adjustRightInd w:val="0"/>
              <w:snapToGrid w:val="0"/>
              <w:jc w:val="left"/>
              <w:rPr>
                <w:rFonts w:eastAsiaTheme="minorEastAsia"/>
                <w:color w:val="000000"/>
                <w:sz w:val="24"/>
              </w:rPr>
            </w:pPr>
          </w:p>
        </w:tc>
        <w:tc>
          <w:tcPr>
            <w:tcW w:w="724" w:type="pct"/>
            <w:vAlign w:val="center"/>
          </w:tcPr>
          <w:p w14:paraId="15E54F4F">
            <w:pPr>
              <w:adjustRightInd w:val="0"/>
              <w:snapToGrid w:val="0"/>
              <w:jc w:val="center"/>
              <w:rPr>
                <w:rFonts w:eastAsiaTheme="minorEastAsia"/>
                <w:color w:val="000000"/>
                <w:sz w:val="24"/>
              </w:rPr>
            </w:pPr>
          </w:p>
        </w:tc>
        <w:tc>
          <w:tcPr>
            <w:tcW w:w="724" w:type="pct"/>
            <w:vAlign w:val="center"/>
          </w:tcPr>
          <w:p w14:paraId="4436A7F6">
            <w:pPr>
              <w:adjustRightInd w:val="0"/>
              <w:snapToGrid w:val="0"/>
              <w:jc w:val="left"/>
              <w:rPr>
                <w:rFonts w:eastAsiaTheme="minorEastAsia"/>
                <w:color w:val="000000"/>
                <w:sz w:val="24"/>
              </w:rPr>
            </w:pPr>
          </w:p>
        </w:tc>
        <w:tc>
          <w:tcPr>
            <w:tcW w:w="919" w:type="pct"/>
            <w:vAlign w:val="center"/>
          </w:tcPr>
          <w:p w14:paraId="12BFE20B">
            <w:pPr>
              <w:adjustRightInd w:val="0"/>
              <w:snapToGrid w:val="0"/>
              <w:jc w:val="left"/>
              <w:rPr>
                <w:rFonts w:eastAsiaTheme="minorEastAsia"/>
                <w:color w:val="000000"/>
                <w:sz w:val="24"/>
              </w:rPr>
            </w:pPr>
          </w:p>
        </w:tc>
      </w:tr>
      <w:tr w14:paraId="5EC1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7579F15">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2B76BEAC">
            <w:pPr>
              <w:adjustRightInd w:val="0"/>
              <w:snapToGrid w:val="0"/>
              <w:jc w:val="left"/>
              <w:rPr>
                <w:rFonts w:eastAsiaTheme="minorEastAsia"/>
                <w:color w:val="000000"/>
                <w:sz w:val="24"/>
              </w:rPr>
            </w:pPr>
          </w:p>
        </w:tc>
        <w:tc>
          <w:tcPr>
            <w:tcW w:w="725" w:type="pct"/>
            <w:vAlign w:val="center"/>
          </w:tcPr>
          <w:p w14:paraId="7A6731EC">
            <w:pPr>
              <w:adjustRightInd w:val="0"/>
              <w:snapToGrid w:val="0"/>
              <w:jc w:val="left"/>
              <w:rPr>
                <w:rFonts w:eastAsiaTheme="minorEastAsia"/>
                <w:color w:val="000000"/>
                <w:sz w:val="24"/>
              </w:rPr>
            </w:pPr>
          </w:p>
        </w:tc>
        <w:tc>
          <w:tcPr>
            <w:tcW w:w="724" w:type="pct"/>
            <w:vAlign w:val="center"/>
          </w:tcPr>
          <w:p w14:paraId="3A94C0E8">
            <w:pPr>
              <w:adjustRightInd w:val="0"/>
              <w:snapToGrid w:val="0"/>
              <w:jc w:val="center"/>
              <w:rPr>
                <w:rFonts w:eastAsiaTheme="minorEastAsia"/>
                <w:color w:val="000000"/>
                <w:sz w:val="24"/>
              </w:rPr>
            </w:pPr>
          </w:p>
        </w:tc>
        <w:tc>
          <w:tcPr>
            <w:tcW w:w="724" w:type="pct"/>
            <w:vAlign w:val="center"/>
          </w:tcPr>
          <w:p w14:paraId="288B14BC">
            <w:pPr>
              <w:adjustRightInd w:val="0"/>
              <w:snapToGrid w:val="0"/>
              <w:jc w:val="left"/>
              <w:rPr>
                <w:rFonts w:eastAsiaTheme="minorEastAsia"/>
                <w:color w:val="000000"/>
                <w:sz w:val="24"/>
              </w:rPr>
            </w:pPr>
          </w:p>
        </w:tc>
        <w:tc>
          <w:tcPr>
            <w:tcW w:w="919" w:type="pct"/>
            <w:vAlign w:val="center"/>
          </w:tcPr>
          <w:p w14:paraId="55F77B1A">
            <w:pPr>
              <w:adjustRightInd w:val="0"/>
              <w:snapToGrid w:val="0"/>
              <w:jc w:val="left"/>
              <w:rPr>
                <w:rFonts w:eastAsiaTheme="minorEastAsia"/>
                <w:color w:val="000000"/>
                <w:sz w:val="24"/>
              </w:rPr>
            </w:pPr>
          </w:p>
        </w:tc>
      </w:tr>
      <w:tr w14:paraId="7A6F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B9075F7">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0577F6F5">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2C17028E">
            <w:pPr>
              <w:adjustRightInd w:val="0"/>
              <w:snapToGrid w:val="0"/>
              <w:jc w:val="left"/>
              <w:rPr>
                <w:rFonts w:eastAsiaTheme="minorEastAsia"/>
                <w:color w:val="000000"/>
                <w:sz w:val="24"/>
              </w:rPr>
            </w:pPr>
          </w:p>
        </w:tc>
        <w:tc>
          <w:tcPr>
            <w:tcW w:w="724" w:type="pct"/>
            <w:vAlign w:val="center"/>
          </w:tcPr>
          <w:p w14:paraId="041ACD6F">
            <w:pPr>
              <w:adjustRightInd w:val="0"/>
              <w:snapToGrid w:val="0"/>
              <w:jc w:val="center"/>
              <w:rPr>
                <w:rFonts w:eastAsiaTheme="minorEastAsia"/>
                <w:color w:val="000000"/>
                <w:sz w:val="24"/>
              </w:rPr>
            </w:pPr>
          </w:p>
        </w:tc>
        <w:tc>
          <w:tcPr>
            <w:tcW w:w="724" w:type="pct"/>
            <w:vAlign w:val="center"/>
          </w:tcPr>
          <w:p w14:paraId="3E50C96A">
            <w:pPr>
              <w:adjustRightInd w:val="0"/>
              <w:snapToGrid w:val="0"/>
              <w:jc w:val="left"/>
              <w:rPr>
                <w:rFonts w:eastAsiaTheme="minorEastAsia"/>
                <w:color w:val="000000"/>
                <w:sz w:val="24"/>
              </w:rPr>
            </w:pPr>
          </w:p>
        </w:tc>
        <w:tc>
          <w:tcPr>
            <w:tcW w:w="919" w:type="pct"/>
            <w:vAlign w:val="center"/>
          </w:tcPr>
          <w:p w14:paraId="032F91C3">
            <w:pPr>
              <w:adjustRightInd w:val="0"/>
              <w:snapToGrid w:val="0"/>
              <w:jc w:val="left"/>
              <w:rPr>
                <w:rFonts w:eastAsiaTheme="minorEastAsia"/>
                <w:color w:val="000000"/>
                <w:sz w:val="24"/>
              </w:rPr>
            </w:pPr>
          </w:p>
        </w:tc>
      </w:tr>
      <w:tr w14:paraId="5E5C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BAE7548">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25B81DDB">
            <w:pPr>
              <w:adjustRightInd w:val="0"/>
              <w:snapToGrid w:val="0"/>
              <w:jc w:val="left"/>
              <w:rPr>
                <w:rFonts w:eastAsiaTheme="minorEastAsia"/>
                <w:color w:val="000000"/>
                <w:sz w:val="24"/>
              </w:rPr>
            </w:pPr>
          </w:p>
        </w:tc>
        <w:tc>
          <w:tcPr>
            <w:tcW w:w="919" w:type="pct"/>
            <w:vAlign w:val="center"/>
          </w:tcPr>
          <w:p w14:paraId="6D0355D5">
            <w:pPr>
              <w:adjustRightInd w:val="0"/>
              <w:snapToGrid w:val="0"/>
              <w:jc w:val="left"/>
              <w:rPr>
                <w:rFonts w:eastAsiaTheme="minorEastAsia"/>
                <w:color w:val="000000"/>
                <w:sz w:val="24"/>
              </w:rPr>
            </w:pPr>
          </w:p>
        </w:tc>
      </w:tr>
    </w:tbl>
    <w:p w14:paraId="0D45250C">
      <w:pPr>
        <w:tabs>
          <w:tab w:val="left" w:pos="1800"/>
          <w:tab w:val="left" w:pos="5580"/>
        </w:tabs>
        <w:jc w:val="left"/>
        <w:rPr>
          <w:rFonts w:eastAsiaTheme="minorEastAsia"/>
          <w:color w:val="000000"/>
          <w:sz w:val="24"/>
        </w:rPr>
      </w:pPr>
    </w:p>
    <w:p w14:paraId="3550E191">
      <w:pPr>
        <w:tabs>
          <w:tab w:val="left" w:pos="1800"/>
          <w:tab w:val="left" w:pos="5580"/>
        </w:tabs>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rPr>
        <w:t>三</w:t>
      </w:r>
      <w:r>
        <w:rPr>
          <w:rFonts w:eastAsiaTheme="minorEastAsia"/>
          <w:b/>
          <w:i/>
          <w:color w:val="FF0000"/>
          <w:sz w:val="24"/>
        </w:rPr>
        <w:t>，适用于工程类项目，且现场难以重新按工程量清单提供报价的）</w:t>
      </w:r>
    </w:p>
    <w:p w14:paraId="75135BB5">
      <w:pPr>
        <w:tabs>
          <w:tab w:val="left" w:pos="1800"/>
          <w:tab w:val="left" w:pos="5580"/>
        </w:tabs>
        <w:jc w:val="left"/>
        <w:rPr>
          <w:rFonts w:eastAsiaTheme="minorEastAsia"/>
          <w:color w:val="000000"/>
          <w:sz w:val="24"/>
        </w:rPr>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5008"/>
        <w:gridCol w:w="1564"/>
        <w:gridCol w:w="1720"/>
      </w:tblGrid>
      <w:tr w14:paraId="690C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534" w:type="pct"/>
            <w:vAlign w:val="center"/>
          </w:tcPr>
          <w:p w14:paraId="0518D278">
            <w:pPr>
              <w:adjustRightInd w:val="0"/>
              <w:jc w:val="center"/>
              <w:textAlignment w:val="baseline"/>
              <w:rPr>
                <w:kern w:val="0"/>
                <w:sz w:val="24"/>
                <w:szCs w:val="20"/>
              </w:rPr>
            </w:pPr>
            <w:r>
              <w:rPr>
                <w:kern w:val="0"/>
                <w:sz w:val="24"/>
                <w:szCs w:val="20"/>
              </w:rPr>
              <w:t>序号</w:t>
            </w:r>
          </w:p>
        </w:tc>
        <w:tc>
          <w:tcPr>
            <w:tcW w:w="2695" w:type="pct"/>
            <w:vAlign w:val="center"/>
          </w:tcPr>
          <w:p w14:paraId="4215BBA6">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842" w:type="pct"/>
            <w:vAlign w:val="center"/>
          </w:tcPr>
          <w:p w14:paraId="2E984AF1">
            <w:pPr>
              <w:adjustRightInd w:val="0"/>
              <w:jc w:val="center"/>
              <w:textAlignment w:val="baseline"/>
              <w:rPr>
                <w:kern w:val="0"/>
                <w:sz w:val="24"/>
                <w:szCs w:val="20"/>
              </w:rPr>
            </w:pPr>
            <w:r>
              <w:rPr>
                <w:kern w:val="0"/>
                <w:sz w:val="24"/>
                <w:szCs w:val="20"/>
              </w:rPr>
              <w:t>总价（元）</w:t>
            </w:r>
          </w:p>
        </w:tc>
        <w:tc>
          <w:tcPr>
            <w:tcW w:w="926" w:type="pct"/>
            <w:vAlign w:val="center"/>
          </w:tcPr>
          <w:p w14:paraId="2AA08D4B">
            <w:pPr>
              <w:adjustRightInd w:val="0"/>
              <w:jc w:val="center"/>
              <w:textAlignment w:val="baseline"/>
              <w:rPr>
                <w:kern w:val="0"/>
                <w:sz w:val="24"/>
                <w:szCs w:val="20"/>
              </w:rPr>
            </w:pPr>
            <w:r>
              <w:rPr>
                <w:kern w:val="0"/>
                <w:sz w:val="24"/>
                <w:szCs w:val="20"/>
              </w:rPr>
              <w:t>备注</w:t>
            </w:r>
          </w:p>
        </w:tc>
      </w:tr>
      <w:tr w14:paraId="00E5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534" w:type="pct"/>
            <w:vAlign w:val="center"/>
          </w:tcPr>
          <w:p w14:paraId="57F0F96B">
            <w:pPr>
              <w:adjustRightInd w:val="0"/>
              <w:jc w:val="center"/>
              <w:textAlignment w:val="baseline"/>
              <w:rPr>
                <w:kern w:val="0"/>
                <w:sz w:val="24"/>
                <w:szCs w:val="20"/>
              </w:rPr>
            </w:pPr>
            <w:r>
              <w:rPr>
                <w:kern w:val="0"/>
                <w:sz w:val="24"/>
                <w:szCs w:val="20"/>
              </w:rPr>
              <w:t>1</w:t>
            </w:r>
          </w:p>
        </w:tc>
        <w:tc>
          <w:tcPr>
            <w:tcW w:w="2695" w:type="pct"/>
            <w:vAlign w:val="center"/>
          </w:tcPr>
          <w:p w14:paraId="2B444CDC">
            <w:pPr>
              <w:adjustRightInd w:val="0"/>
              <w:jc w:val="center"/>
              <w:textAlignment w:val="baseline"/>
              <w:rPr>
                <w:kern w:val="0"/>
                <w:sz w:val="24"/>
                <w:szCs w:val="20"/>
              </w:rPr>
            </w:pPr>
          </w:p>
        </w:tc>
        <w:tc>
          <w:tcPr>
            <w:tcW w:w="842" w:type="pct"/>
            <w:vAlign w:val="center"/>
          </w:tcPr>
          <w:p w14:paraId="2EDFC9B6">
            <w:pPr>
              <w:adjustRightInd w:val="0"/>
              <w:jc w:val="center"/>
              <w:textAlignment w:val="baseline"/>
              <w:rPr>
                <w:kern w:val="0"/>
                <w:sz w:val="24"/>
                <w:szCs w:val="20"/>
              </w:rPr>
            </w:pPr>
          </w:p>
        </w:tc>
        <w:tc>
          <w:tcPr>
            <w:tcW w:w="926" w:type="pct"/>
            <w:vAlign w:val="center"/>
          </w:tcPr>
          <w:p w14:paraId="6A090690">
            <w:pPr>
              <w:adjustRightInd w:val="0"/>
              <w:jc w:val="center"/>
              <w:textAlignment w:val="baseline"/>
              <w:rPr>
                <w:kern w:val="0"/>
                <w:sz w:val="24"/>
                <w:szCs w:val="20"/>
              </w:rPr>
            </w:pPr>
          </w:p>
        </w:tc>
      </w:tr>
      <w:tr w14:paraId="2CF3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30" w:type="pct"/>
            <w:gridSpan w:val="2"/>
            <w:vAlign w:val="center"/>
          </w:tcPr>
          <w:p w14:paraId="3F28C5AF">
            <w:pPr>
              <w:adjustRightInd w:val="0"/>
              <w:jc w:val="right"/>
              <w:textAlignment w:val="baseline"/>
              <w:rPr>
                <w:kern w:val="0"/>
                <w:sz w:val="24"/>
                <w:szCs w:val="20"/>
              </w:rPr>
            </w:pPr>
            <w:r>
              <w:rPr>
                <w:kern w:val="0"/>
                <w:sz w:val="24"/>
                <w:szCs w:val="20"/>
              </w:rPr>
              <w:t>合计（元）</w:t>
            </w:r>
          </w:p>
        </w:tc>
        <w:tc>
          <w:tcPr>
            <w:tcW w:w="842" w:type="pct"/>
            <w:vAlign w:val="center"/>
          </w:tcPr>
          <w:p w14:paraId="5C91497D">
            <w:pPr>
              <w:adjustRightInd w:val="0"/>
              <w:jc w:val="center"/>
              <w:textAlignment w:val="baseline"/>
              <w:rPr>
                <w:kern w:val="0"/>
                <w:sz w:val="24"/>
                <w:szCs w:val="20"/>
              </w:rPr>
            </w:pPr>
          </w:p>
        </w:tc>
        <w:tc>
          <w:tcPr>
            <w:tcW w:w="926" w:type="pct"/>
            <w:vAlign w:val="center"/>
          </w:tcPr>
          <w:p w14:paraId="4F5A8A91">
            <w:pPr>
              <w:adjustRightInd w:val="0"/>
              <w:jc w:val="center"/>
              <w:textAlignment w:val="baseline"/>
              <w:rPr>
                <w:kern w:val="0"/>
                <w:sz w:val="24"/>
                <w:szCs w:val="20"/>
              </w:rPr>
            </w:pPr>
          </w:p>
        </w:tc>
      </w:tr>
    </w:tbl>
    <w:p w14:paraId="29C5AE5C">
      <w:pPr>
        <w:tabs>
          <w:tab w:val="left" w:pos="1800"/>
          <w:tab w:val="left" w:pos="5580"/>
        </w:tabs>
        <w:jc w:val="left"/>
        <w:rPr>
          <w:rFonts w:eastAsiaTheme="minorEastAsia"/>
          <w:color w:val="000000"/>
          <w:sz w:val="24"/>
        </w:rPr>
      </w:pPr>
    </w:p>
    <w:p w14:paraId="6CD74E1E">
      <w:pPr>
        <w:tabs>
          <w:tab w:val="left" w:pos="1800"/>
          <w:tab w:val="left" w:pos="5580"/>
        </w:tabs>
        <w:jc w:val="left"/>
        <w:rPr>
          <w:rFonts w:eastAsiaTheme="minorEastAsia"/>
          <w:color w:val="000000"/>
          <w:sz w:val="24"/>
        </w:rPr>
      </w:pPr>
    </w:p>
    <w:p w14:paraId="5F0926CB">
      <w:pPr>
        <w:tabs>
          <w:tab w:val="left" w:pos="1800"/>
          <w:tab w:val="left" w:pos="5580"/>
        </w:tabs>
        <w:jc w:val="left"/>
        <w:rPr>
          <w:rFonts w:eastAsiaTheme="minorEastAsia"/>
          <w:color w:val="000000"/>
          <w:sz w:val="24"/>
        </w:rPr>
      </w:pPr>
    </w:p>
    <w:p w14:paraId="089E53D6">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F0E3745">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2EB596D3">
      <w:pPr>
        <w:tabs>
          <w:tab w:val="left" w:pos="1800"/>
          <w:tab w:val="left" w:pos="5580"/>
        </w:tabs>
        <w:ind w:firstLine="480" w:firstLineChars="200"/>
        <w:jc w:val="left"/>
        <w:rPr>
          <w:sz w:val="24"/>
        </w:rPr>
      </w:pPr>
      <w:r>
        <w:rPr>
          <w:sz w:val="24"/>
        </w:rPr>
        <w:t>3.此表无需在响应文件中提交，磋商后供应商按磋商小组要求提交。</w:t>
      </w:r>
    </w:p>
    <w:p w14:paraId="3FC177E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73" w:name="_Hlk168431865"/>
      <w:r>
        <w:rPr>
          <w:rFonts w:hint="eastAsia" w:eastAsiaTheme="minorEastAsia"/>
          <w:color w:val="000000"/>
          <w:sz w:val="24"/>
        </w:rPr>
        <w:t>“大型”、</w:t>
      </w:r>
      <w:bookmarkEnd w:id="773"/>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4A594F32">
      <w:pPr>
        <w:tabs>
          <w:tab w:val="left" w:pos="1800"/>
          <w:tab w:val="left" w:pos="5580"/>
        </w:tabs>
        <w:ind w:firstLine="480" w:firstLineChars="200"/>
        <w:jc w:val="left"/>
        <w:rPr>
          <w:rFonts w:eastAsiaTheme="minorEastAsia"/>
          <w:color w:val="000000"/>
          <w:sz w:val="24"/>
        </w:rPr>
      </w:pPr>
    </w:p>
    <w:p w14:paraId="42E9FD0D">
      <w:pPr>
        <w:autoSpaceDE w:val="0"/>
        <w:autoSpaceDN w:val="0"/>
        <w:adjustRightInd w:val="0"/>
        <w:snapToGrid w:val="0"/>
        <w:spacing w:before="25" w:after="25" w:line="360" w:lineRule="auto"/>
        <w:rPr>
          <w:rFonts w:eastAsiaTheme="minorEastAsia"/>
          <w:color w:val="000000"/>
          <w:sz w:val="24"/>
          <w:lang w:val="zh-CN"/>
        </w:rPr>
      </w:pPr>
    </w:p>
    <w:p w14:paraId="0A46AD9E">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6952DDD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5D21785">
      <w:pPr>
        <w:widowControl/>
        <w:jc w:val="left"/>
        <w:rPr>
          <w:rFonts w:eastAsiaTheme="minorEastAsia"/>
          <w:b/>
          <w:sz w:val="36"/>
          <w:szCs w:val="36"/>
        </w:rPr>
      </w:pPr>
      <w:r>
        <w:rPr>
          <w:rFonts w:eastAsiaTheme="minorEastAsia"/>
          <w:b/>
          <w:sz w:val="36"/>
          <w:szCs w:val="36"/>
        </w:rPr>
        <w:br w:type="page"/>
      </w:r>
    </w:p>
    <w:p w14:paraId="2751EBCB">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17B9AEBD">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4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5"/>
        <w:gridCol w:w="4115"/>
        <w:gridCol w:w="2268"/>
        <w:gridCol w:w="1960"/>
      </w:tblGrid>
      <w:tr w14:paraId="00129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38B95231">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2266" w:type="pct"/>
            <w:tcBorders>
              <w:top w:val="single" w:color="000000" w:sz="4" w:space="0"/>
              <w:left w:val="single" w:color="000000" w:sz="4" w:space="0"/>
              <w:bottom w:val="single" w:color="000000" w:sz="4" w:space="0"/>
              <w:right w:val="single" w:color="000000" w:sz="4" w:space="0"/>
            </w:tcBorders>
            <w:vAlign w:val="center"/>
          </w:tcPr>
          <w:p w14:paraId="75D2D6FB">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1248" w:type="pct"/>
            <w:tcBorders>
              <w:top w:val="single" w:color="000000" w:sz="4" w:space="0"/>
              <w:left w:val="single" w:color="000000" w:sz="4" w:space="0"/>
              <w:bottom w:val="single" w:color="000000" w:sz="4" w:space="0"/>
              <w:right w:val="single" w:color="000000" w:sz="4" w:space="0"/>
            </w:tcBorders>
            <w:vAlign w:val="center"/>
          </w:tcPr>
          <w:p w14:paraId="6C00C099">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2389E9F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079" w:type="pct"/>
            <w:tcBorders>
              <w:top w:val="single" w:color="000000" w:sz="4" w:space="0"/>
              <w:left w:val="single" w:color="000000" w:sz="4" w:space="0"/>
              <w:bottom w:val="single" w:color="000000" w:sz="4" w:space="0"/>
              <w:right w:val="single" w:color="000000" w:sz="4" w:space="0"/>
            </w:tcBorders>
            <w:vAlign w:val="center"/>
          </w:tcPr>
          <w:p w14:paraId="793E066D">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2169C5E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35FA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3DB3FBE3">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266" w:type="pct"/>
            <w:tcBorders>
              <w:top w:val="single" w:color="000000" w:sz="4" w:space="0"/>
              <w:left w:val="single" w:color="000000" w:sz="4" w:space="0"/>
              <w:bottom w:val="single" w:color="000000" w:sz="4" w:space="0"/>
              <w:right w:val="single" w:color="000000" w:sz="4" w:space="0"/>
            </w:tcBorders>
            <w:vAlign w:val="center"/>
          </w:tcPr>
          <w:p w14:paraId="494F7345">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05632408">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9B5A50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0098AB5">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3C2E8324">
            <w:pPr>
              <w:pStyle w:val="246"/>
              <w:jc w:val="center"/>
              <w:rPr>
                <w:rFonts w:ascii="Times New Roman" w:hAnsi="Times New Roman" w:cs="Times New Roman" w:eastAsiaTheme="minorEastAsia"/>
                <w:sz w:val="30"/>
                <w:lang w:eastAsia="zh-CN"/>
              </w:rPr>
            </w:pPr>
          </w:p>
        </w:tc>
      </w:tr>
      <w:tr w14:paraId="2F9CD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33B4CDC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2266" w:type="pct"/>
            <w:tcBorders>
              <w:top w:val="single" w:color="000000" w:sz="4" w:space="0"/>
              <w:left w:val="single" w:color="000000" w:sz="4" w:space="0"/>
              <w:bottom w:val="single" w:color="000000" w:sz="4" w:space="0"/>
              <w:right w:val="single" w:color="000000" w:sz="4" w:space="0"/>
            </w:tcBorders>
            <w:vAlign w:val="center"/>
          </w:tcPr>
          <w:p w14:paraId="29A8B0AA">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65A8CF0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F4A490B">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D089A4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720D4FC2">
            <w:pPr>
              <w:pStyle w:val="246"/>
              <w:jc w:val="center"/>
              <w:rPr>
                <w:rFonts w:ascii="Times New Roman" w:hAnsi="Times New Roman" w:cs="Times New Roman" w:eastAsiaTheme="minorEastAsia"/>
                <w:sz w:val="30"/>
                <w:lang w:eastAsia="zh-CN"/>
              </w:rPr>
            </w:pPr>
          </w:p>
        </w:tc>
      </w:tr>
      <w:tr w14:paraId="75E0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1E9142C3">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2266" w:type="pct"/>
            <w:tcBorders>
              <w:top w:val="single" w:color="000000" w:sz="4" w:space="0"/>
              <w:left w:val="single" w:color="000000" w:sz="4" w:space="0"/>
              <w:bottom w:val="single" w:color="000000" w:sz="4" w:space="0"/>
              <w:right w:val="single" w:color="000000" w:sz="4" w:space="0"/>
            </w:tcBorders>
            <w:vAlign w:val="center"/>
          </w:tcPr>
          <w:p w14:paraId="0D88E555">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4FFF794C">
            <w:pPr>
              <w:pStyle w:val="246"/>
              <w:tabs>
                <w:tab w:val="left" w:pos="235"/>
              </w:tabs>
              <w:jc w:val="center"/>
              <w:rPr>
                <w:rFonts w:ascii="Times New Roman" w:hAnsi="Times New Roman" w:cs="Times New Roman" w:eastAsiaTheme="minorEastAsia"/>
                <w:sz w:val="24"/>
              </w:rPr>
            </w:pPr>
          </w:p>
        </w:tc>
        <w:tc>
          <w:tcPr>
            <w:tcW w:w="1079" w:type="pct"/>
            <w:tcBorders>
              <w:top w:val="single" w:color="000000" w:sz="4" w:space="0"/>
              <w:left w:val="single" w:color="000000" w:sz="4" w:space="0"/>
              <w:bottom w:val="single" w:color="000000" w:sz="4" w:space="0"/>
              <w:right w:val="single" w:color="000000" w:sz="4" w:space="0"/>
            </w:tcBorders>
            <w:vAlign w:val="center"/>
          </w:tcPr>
          <w:p w14:paraId="217B0D47">
            <w:pPr>
              <w:pStyle w:val="246"/>
              <w:jc w:val="center"/>
              <w:rPr>
                <w:rFonts w:ascii="Times New Roman" w:hAnsi="Times New Roman" w:cs="Times New Roman" w:eastAsiaTheme="minorEastAsia"/>
                <w:sz w:val="30"/>
              </w:rPr>
            </w:pPr>
          </w:p>
        </w:tc>
      </w:tr>
      <w:tr w14:paraId="68AF5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3920" w:type="pct"/>
            <w:gridSpan w:val="3"/>
            <w:tcBorders>
              <w:top w:val="single" w:color="000000" w:sz="4" w:space="0"/>
              <w:left w:val="single" w:color="000000" w:sz="4" w:space="0"/>
              <w:bottom w:val="single" w:color="000000" w:sz="4" w:space="0"/>
              <w:right w:val="single" w:color="000000" w:sz="4" w:space="0"/>
            </w:tcBorders>
            <w:vAlign w:val="center"/>
          </w:tcPr>
          <w:p w14:paraId="23E23BD4">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079" w:type="pct"/>
            <w:tcBorders>
              <w:top w:val="single" w:color="000000" w:sz="4" w:space="0"/>
              <w:left w:val="single" w:color="000000" w:sz="4" w:space="0"/>
              <w:bottom w:val="single" w:color="000000" w:sz="4" w:space="0"/>
              <w:right w:val="single" w:color="000000" w:sz="4" w:space="0"/>
            </w:tcBorders>
            <w:vAlign w:val="center"/>
          </w:tcPr>
          <w:p w14:paraId="6AC385B7">
            <w:pPr>
              <w:pStyle w:val="246"/>
              <w:jc w:val="center"/>
              <w:rPr>
                <w:rFonts w:ascii="Times New Roman" w:hAnsi="Times New Roman" w:cs="Times New Roman" w:eastAsiaTheme="minorEastAsia"/>
                <w:sz w:val="30"/>
              </w:rPr>
            </w:pPr>
          </w:p>
        </w:tc>
      </w:tr>
    </w:tbl>
    <w:p w14:paraId="5DFCED7D">
      <w:pPr>
        <w:tabs>
          <w:tab w:val="left" w:pos="1800"/>
          <w:tab w:val="left" w:pos="5580"/>
        </w:tabs>
        <w:jc w:val="left"/>
        <w:rPr>
          <w:rFonts w:eastAsiaTheme="minorEastAsia"/>
          <w:color w:val="000000"/>
          <w:sz w:val="24"/>
        </w:rPr>
      </w:pPr>
    </w:p>
    <w:p w14:paraId="58EF0CB1">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4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5"/>
        <w:gridCol w:w="4115"/>
        <w:gridCol w:w="2268"/>
        <w:gridCol w:w="1960"/>
      </w:tblGrid>
      <w:tr w14:paraId="55C0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33EB3774">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2266" w:type="pct"/>
            <w:tcBorders>
              <w:top w:val="single" w:color="000000" w:sz="4" w:space="0"/>
              <w:left w:val="single" w:color="000000" w:sz="4" w:space="0"/>
              <w:bottom w:val="single" w:color="000000" w:sz="4" w:space="0"/>
              <w:right w:val="single" w:color="000000" w:sz="4" w:space="0"/>
            </w:tcBorders>
            <w:vAlign w:val="center"/>
          </w:tcPr>
          <w:p w14:paraId="38FC3E1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1248" w:type="pct"/>
            <w:tcBorders>
              <w:top w:val="single" w:color="000000" w:sz="4" w:space="0"/>
              <w:left w:val="single" w:color="000000" w:sz="4" w:space="0"/>
              <w:bottom w:val="single" w:color="000000" w:sz="4" w:space="0"/>
              <w:right w:val="single" w:color="000000" w:sz="4" w:space="0"/>
            </w:tcBorders>
            <w:vAlign w:val="center"/>
          </w:tcPr>
          <w:p w14:paraId="29BCB9EB">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3799AA96">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079" w:type="pct"/>
            <w:tcBorders>
              <w:top w:val="single" w:color="000000" w:sz="4" w:space="0"/>
              <w:left w:val="single" w:color="000000" w:sz="4" w:space="0"/>
              <w:bottom w:val="single" w:color="000000" w:sz="4" w:space="0"/>
              <w:right w:val="single" w:color="000000" w:sz="4" w:space="0"/>
            </w:tcBorders>
            <w:vAlign w:val="center"/>
          </w:tcPr>
          <w:p w14:paraId="3066A4E7">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524879A">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0BB04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13E2ED32">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266" w:type="pct"/>
            <w:tcBorders>
              <w:top w:val="single" w:color="000000" w:sz="4" w:space="0"/>
              <w:left w:val="single" w:color="000000" w:sz="4" w:space="0"/>
              <w:bottom w:val="single" w:color="000000" w:sz="4" w:space="0"/>
              <w:right w:val="single" w:color="000000" w:sz="4" w:space="0"/>
            </w:tcBorders>
            <w:vAlign w:val="center"/>
          </w:tcPr>
          <w:p w14:paraId="0D4DA14A">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7727EADF">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8D6A2E4">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5409E4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5FD7FF83">
            <w:pPr>
              <w:pStyle w:val="246"/>
              <w:jc w:val="center"/>
              <w:rPr>
                <w:rFonts w:ascii="Times New Roman" w:hAnsi="Times New Roman" w:cs="Times New Roman" w:eastAsiaTheme="minorEastAsia"/>
                <w:sz w:val="30"/>
                <w:lang w:eastAsia="zh-CN"/>
              </w:rPr>
            </w:pPr>
          </w:p>
        </w:tc>
      </w:tr>
      <w:tr w14:paraId="0308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1DF9FAF2">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2266" w:type="pct"/>
            <w:tcBorders>
              <w:top w:val="single" w:color="000000" w:sz="4" w:space="0"/>
              <w:left w:val="single" w:color="000000" w:sz="4" w:space="0"/>
              <w:bottom w:val="single" w:color="000000" w:sz="4" w:space="0"/>
              <w:right w:val="single" w:color="000000" w:sz="4" w:space="0"/>
            </w:tcBorders>
            <w:vAlign w:val="center"/>
          </w:tcPr>
          <w:p w14:paraId="2844C906">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35427A6D">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03D6AC6">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269A4A1">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079" w:type="pct"/>
            <w:tcBorders>
              <w:top w:val="single" w:color="000000" w:sz="4" w:space="0"/>
              <w:left w:val="single" w:color="000000" w:sz="4" w:space="0"/>
              <w:bottom w:val="single" w:color="000000" w:sz="4" w:space="0"/>
              <w:right w:val="single" w:color="000000" w:sz="4" w:space="0"/>
            </w:tcBorders>
            <w:vAlign w:val="center"/>
          </w:tcPr>
          <w:p w14:paraId="208768DE">
            <w:pPr>
              <w:pStyle w:val="246"/>
              <w:jc w:val="center"/>
              <w:rPr>
                <w:rFonts w:ascii="Times New Roman" w:hAnsi="Times New Roman" w:cs="Times New Roman" w:eastAsiaTheme="minorEastAsia"/>
                <w:sz w:val="30"/>
                <w:lang w:eastAsia="zh-CN"/>
              </w:rPr>
            </w:pPr>
          </w:p>
        </w:tc>
      </w:tr>
      <w:tr w14:paraId="63D4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05" w:type="pct"/>
            <w:tcBorders>
              <w:top w:val="single" w:color="000000" w:sz="4" w:space="0"/>
              <w:left w:val="single" w:color="000000" w:sz="4" w:space="0"/>
              <w:bottom w:val="single" w:color="000000" w:sz="4" w:space="0"/>
              <w:right w:val="single" w:color="000000" w:sz="4" w:space="0"/>
            </w:tcBorders>
            <w:vAlign w:val="center"/>
          </w:tcPr>
          <w:p w14:paraId="42746B30">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2266" w:type="pct"/>
            <w:tcBorders>
              <w:top w:val="single" w:color="000000" w:sz="4" w:space="0"/>
              <w:left w:val="single" w:color="000000" w:sz="4" w:space="0"/>
              <w:bottom w:val="single" w:color="000000" w:sz="4" w:space="0"/>
              <w:right w:val="single" w:color="000000" w:sz="4" w:space="0"/>
            </w:tcBorders>
            <w:vAlign w:val="center"/>
          </w:tcPr>
          <w:p w14:paraId="152E7103">
            <w:pPr>
              <w:pStyle w:val="246"/>
              <w:jc w:val="center"/>
              <w:rPr>
                <w:rFonts w:ascii="Times New Roman" w:hAnsi="Times New Roman" w:cs="Times New Roman" w:eastAsiaTheme="minorEastAsia"/>
                <w:sz w:val="30"/>
              </w:rPr>
            </w:pPr>
          </w:p>
        </w:tc>
        <w:tc>
          <w:tcPr>
            <w:tcW w:w="1248" w:type="pct"/>
            <w:tcBorders>
              <w:top w:val="single" w:color="000000" w:sz="4" w:space="0"/>
              <w:left w:val="single" w:color="000000" w:sz="4" w:space="0"/>
              <w:bottom w:val="single" w:color="000000" w:sz="4" w:space="0"/>
              <w:right w:val="single" w:color="000000" w:sz="4" w:space="0"/>
            </w:tcBorders>
            <w:vAlign w:val="center"/>
          </w:tcPr>
          <w:p w14:paraId="4C745D12">
            <w:pPr>
              <w:pStyle w:val="246"/>
              <w:tabs>
                <w:tab w:val="left" w:pos="235"/>
              </w:tabs>
              <w:jc w:val="center"/>
              <w:rPr>
                <w:rFonts w:ascii="Times New Roman" w:hAnsi="Times New Roman" w:cs="Times New Roman" w:eastAsiaTheme="minorEastAsia"/>
                <w:sz w:val="24"/>
              </w:rPr>
            </w:pPr>
          </w:p>
        </w:tc>
        <w:tc>
          <w:tcPr>
            <w:tcW w:w="1079" w:type="pct"/>
            <w:tcBorders>
              <w:top w:val="single" w:color="000000" w:sz="4" w:space="0"/>
              <w:left w:val="single" w:color="000000" w:sz="4" w:space="0"/>
              <w:bottom w:val="single" w:color="000000" w:sz="4" w:space="0"/>
              <w:right w:val="single" w:color="000000" w:sz="4" w:space="0"/>
            </w:tcBorders>
            <w:vAlign w:val="center"/>
          </w:tcPr>
          <w:p w14:paraId="1FED7244">
            <w:pPr>
              <w:pStyle w:val="246"/>
              <w:jc w:val="center"/>
              <w:rPr>
                <w:rFonts w:ascii="Times New Roman" w:hAnsi="Times New Roman" w:cs="Times New Roman" w:eastAsiaTheme="minorEastAsia"/>
                <w:sz w:val="30"/>
              </w:rPr>
            </w:pPr>
          </w:p>
        </w:tc>
      </w:tr>
      <w:tr w14:paraId="0DD4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3920" w:type="pct"/>
            <w:gridSpan w:val="3"/>
            <w:tcBorders>
              <w:top w:val="single" w:color="000000" w:sz="4" w:space="0"/>
              <w:left w:val="single" w:color="000000" w:sz="4" w:space="0"/>
              <w:bottom w:val="single" w:color="000000" w:sz="4" w:space="0"/>
              <w:right w:val="single" w:color="000000" w:sz="4" w:space="0"/>
            </w:tcBorders>
            <w:vAlign w:val="center"/>
          </w:tcPr>
          <w:p w14:paraId="6B2A70FB">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079" w:type="pct"/>
            <w:tcBorders>
              <w:top w:val="single" w:color="000000" w:sz="4" w:space="0"/>
              <w:left w:val="single" w:color="000000" w:sz="4" w:space="0"/>
              <w:bottom w:val="single" w:color="000000" w:sz="4" w:space="0"/>
              <w:right w:val="single" w:color="000000" w:sz="4" w:space="0"/>
            </w:tcBorders>
            <w:vAlign w:val="center"/>
          </w:tcPr>
          <w:p w14:paraId="57D0E1CD">
            <w:pPr>
              <w:pStyle w:val="246"/>
              <w:jc w:val="center"/>
              <w:rPr>
                <w:rFonts w:ascii="Times New Roman" w:hAnsi="Times New Roman" w:cs="Times New Roman" w:eastAsiaTheme="minorEastAsia"/>
                <w:sz w:val="30"/>
              </w:rPr>
            </w:pPr>
          </w:p>
        </w:tc>
      </w:tr>
    </w:tbl>
    <w:p w14:paraId="10129C6C">
      <w:pPr>
        <w:tabs>
          <w:tab w:val="left" w:pos="1800"/>
          <w:tab w:val="left" w:pos="5580"/>
        </w:tabs>
        <w:jc w:val="left"/>
        <w:rPr>
          <w:rFonts w:eastAsiaTheme="minorEastAsia"/>
          <w:color w:val="000000"/>
          <w:sz w:val="24"/>
        </w:rPr>
      </w:pPr>
    </w:p>
    <w:p w14:paraId="67318D89">
      <w:pPr>
        <w:tabs>
          <w:tab w:val="left" w:pos="1800"/>
          <w:tab w:val="left" w:pos="5580"/>
        </w:tabs>
        <w:jc w:val="left"/>
        <w:rPr>
          <w:rFonts w:eastAsiaTheme="minorEastAsia"/>
          <w:color w:val="000000"/>
          <w:sz w:val="24"/>
        </w:rPr>
      </w:pPr>
    </w:p>
    <w:p w14:paraId="1B7FF09E">
      <w:pPr>
        <w:tabs>
          <w:tab w:val="left" w:pos="1800"/>
          <w:tab w:val="left" w:pos="5580"/>
        </w:tabs>
        <w:jc w:val="left"/>
        <w:rPr>
          <w:sz w:val="24"/>
        </w:rPr>
      </w:pPr>
      <w:r>
        <w:rPr>
          <w:rFonts w:eastAsiaTheme="minorEastAsia"/>
          <w:color w:val="000000"/>
          <w:sz w:val="24"/>
        </w:rPr>
        <w:t xml:space="preserve">注： </w:t>
      </w:r>
    </w:p>
    <w:p w14:paraId="13859B09">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4" w:name="_Hlk176775226"/>
      <w:r>
        <w:rPr>
          <w:rFonts w:hint="eastAsia"/>
          <w:sz w:val="24"/>
        </w:rPr>
        <w:t>如供应商为联合体或拟进行合同分包，则必须选择一种表格填报，否则</w:t>
      </w:r>
      <w:r>
        <w:rPr>
          <w:rFonts w:hint="eastAsia"/>
          <w:b/>
          <w:bCs/>
          <w:sz w:val="24"/>
        </w:rPr>
        <w:t>响应无效</w:t>
      </w:r>
      <w:bookmarkEnd w:id="774"/>
      <w:r>
        <w:rPr>
          <w:rFonts w:hint="eastAsia"/>
          <w:sz w:val="24"/>
        </w:rPr>
        <w:t>。</w:t>
      </w:r>
    </w:p>
    <w:p w14:paraId="474782EC">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6A55205A">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1844CDD3">
      <w:pPr>
        <w:tabs>
          <w:tab w:val="left" w:pos="1800"/>
          <w:tab w:val="left" w:pos="5580"/>
        </w:tabs>
        <w:jc w:val="left"/>
        <w:rPr>
          <w:rFonts w:eastAsiaTheme="minorEastAsia"/>
          <w:color w:val="000000"/>
          <w:sz w:val="24"/>
        </w:rPr>
      </w:pPr>
    </w:p>
    <w:p w14:paraId="1A80EAC6">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AEBC2B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0BB88569">
      <w:pPr>
        <w:rPr>
          <w:rFonts w:eastAsiaTheme="minorEastAsia"/>
          <w:color w:val="000000"/>
          <w:sz w:val="24"/>
        </w:rPr>
      </w:pPr>
      <w:r>
        <w:rPr>
          <w:rFonts w:eastAsiaTheme="minorEastAsia"/>
          <w:color w:val="000000"/>
          <w:sz w:val="24"/>
        </w:rPr>
        <w:br w:type="page"/>
      </w:r>
    </w:p>
    <w:p w14:paraId="65E259B7">
      <w:pPr>
        <w:autoSpaceDE w:val="0"/>
        <w:autoSpaceDN w:val="0"/>
        <w:adjustRightInd w:val="0"/>
        <w:snapToGrid w:val="0"/>
        <w:spacing w:before="25" w:after="25" w:line="360" w:lineRule="auto"/>
        <w:rPr>
          <w:sz w:val="24"/>
          <w:szCs w:val="20"/>
        </w:rPr>
      </w:pPr>
      <w:r>
        <w:rPr>
          <w:rFonts w:hint="eastAsia"/>
          <w:sz w:val="24"/>
        </w:rPr>
        <w:t xml:space="preserve">16 </w:t>
      </w:r>
      <w:r>
        <w:rPr>
          <w:rFonts w:hint="eastAsia"/>
          <w:b/>
          <w:sz w:val="24"/>
          <w:szCs w:val="20"/>
        </w:rPr>
        <w:t>成交服务费承诺书（格式）</w:t>
      </w:r>
    </w:p>
    <w:p w14:paraId="55154EF9">
      <w:pPr>
        <w:spacing w:line="360" w:lineRule="auto"/>
        <w:rPr>
          <w:sz w:val="24"/>
        </w:rPr>
      </w:pPr>
    </w:p>
    <w:p w14:paraId="72CDCC01">
      <w:pPr>
        <w:spacing w:line="360" w:lineRule="auto"/>
        <w:rPr>
          <w:sz w:val="24"/>
          <w:u w:val="single"/>
        </w:rPr>
      </w:pPr>
      <w:r>
        <w:rPr>
          <w:rFonts w:hint="eastAsia"/>
          <w:sz w:val="24"/>
        </w:rPr>
        <w:t>致：北京宏信天诚国际招标有限公司</w:t>
      </w:r>
    </w:p>
    <w:p w14:paraId="2B7F37C5">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05536B39">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0739BD6B">
      <w:pPr>
        <w:spacing w:line="360" w:lineRule="auto"/>
        <w:ind w:firstLine="566" w:firstLineChars="236"/>
        <w:rPr>
          <w:sz w:val="24"/>
        </w:rPr>
      </w:pPr>
    </w:p>
    <w:p w14:paraId="0F6B3F1F">
      <w:pPr>
        <w:spacing w:line="360" w:lineRule="auto"/>
        <w:rPr>
          <w:sz w:val="24"/>
        </w:rPr>
      </w:pPr>
    </w:p>
    <w:p w14:paraId="7F66053F">
      <w:pPr>
        <w:spacing w:line="360" w:lineRule="auto"/>
        <w:rPr>
          <w:sz w:val="24"/>
        </w:rPr>
      </w:pPr>
    </w:p>
    <w:p w14:paraId="5A538064">
      <w:pPr>
        <w:spacing w:line="360" w:lineRule="auto"/>
        <w:ind w:firstLine="480" w:firstLineChars="200"/>
        <w:rPr>
          <w:sz w:val="24"/>
        </w:rPr>
      </w:pPr>
      <w:r>
        <w:rPr>
          <w:rFonts w:hint="eastAsia"/>
          <w:sz w:val="24"/>
        </w:rPr>
        <w:t>特此承诺</w:t>
      </w:r>
    </w:p>
    <w:p w14:paraId="70064F29">
      <w:pPr>
        <w:spacing w:line="360" w:lineRule="auto"/>
        <w:rPr>
          <w:sz w:val="24"/>
        </w:rPr>
      </w:pPr>
    </w:p>
    <w:p w14:paraId="2805D66A">
      <w:pPr>
        <w:spacing w:line="360" w:lineRule="auto"/>
        <w:rPr>
          <w:sz w:val="24"/>
        </w:rPr>
      </w:pPr>
    </w:p>
    <w:p w14:paraId="3ADF152B">
      <w:pPr>
        <w:spacing w:line="360" w:lineRule="auto"/>
        <w:rPr>
          <w:sz w:val="24"/>
        </w:rPr>
      </w:pPr>
    </w:p>
    <w:p w14:paraId="75D176D1">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1725366">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B0FC88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127EB51">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C99B98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66506E64">
      <w:pPr>
        <w:spacing w:line="360" w:lineRule="auto"/>
        <w:rPr>
          <w:rFonts w:eastAsiaTheme="minorEastAsia"/>
          <w:color w:val="000000"/>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DDJLFQ+·ÂËÎ">
    <w:altName w:val="微软雅黑"/>
    <w:panose1 w:val="00000000000000000000"/>
    <w:charset w:val="01"/>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RQODRS+·ÂËÎ">
    <w:altName w:val="微软雅黑"/>
    <w:panose1 w:val="00000000000000000000"/>
    <w:charset w:val="01"/>
    <w:family w:val="modern"/>
    <w:pitch w:val="default"/>
    <w:sig w:usb0="00000000" w:usb1="0000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_GBK">
    <w:altName w:val="宋体"/>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3972B">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019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8C04159">
    <w:pPr>
      <w:pStyle w:val="28"/>
      <w:ind w:right="360"/>
    </w:pPr>
  </w:p>
  <w:p w14:paraId="5EF178F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A49D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3BD8">
    <w:pPr>
      <w:pStyle w:val="28"/>
      <w:framePr w:wrap="around" w:vAnchor="text" w:hAnchor="margin" w:xAlign="center" w:y="1"/>
      <w:rPr>
        <w:rStyle w:val="47"/>
      </w:rPr>
    </w:pPr>
    <w:r>
      <w:fldChar w:fldCharType="begin"/>
    </w:r>
    <w:r>
      <w:rPr>
        <w:rStyle w:val="47"/>
      </w:rPr>
      <w:instrText xml:space="preserve">PAGE  </w:instrText>
    </w:r>
    <w:r>
      <w:fldChar w:fldCharType="end"/>
    </w:r>
  </w:p>
  <w:p w14:paraId="12F66F3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C39D">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94B4D3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28F45B57">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B78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60A1DAC">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F74A">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50E6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F6DF1D5">
    <w:pPr>
      <w:pStyle w:val="28"/>
      <w:ind w:right="360"/>
    </w:pPr>
  </w:p>
  <w:p w14:paraId="06A7EF2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00F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AB7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E3DB">
    <w:pPr>
      <w:pStyle w:val="29"/>
      <w:jc w:val="right"/>
    </w:pPr>
    <w:r>
      <w:rPr>
        <w:rFonts w:hint="eastAsia"/>
      </w:rPr>
      <w:t xml:space="preserve">北京市政府采购项目竞争性磋商文件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95D8">
    <w:pPr>
      <w:pStyle w:val="29"/>
      <w:pBdr>
        <w:bottom w:val="single" w:color="auto" w:sz="4" w:space="1"/>
      </w:pBdr>
      <w:jc w:val="right"/>
    </w:pPr>
    <w:r>
      <w:rPr>
        <w:rFonts w:hint="eastAsia"/>
      </w:rPr>
      <w:t>北京市政府采购项目竞争性磋商文件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837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2C5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F5C5">
    <w:pPr>
      <w:pStyle w:val="29"/>
    </w:pPr>
  </w:p>
  <w:p w14:paraId="526852C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6EE36">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44FF">
    <w:pPr>
      <w:pStyle w:val="29"/>
    </w:pPr>
  </w:p>
  <w:p w14:paraId="12EFBB5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B34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5E281B"/>
    <w:multiLevelType w:val="multilevel"/>
    <w:tmpl w:val="135E281B"/>
    <w:lvl w:ilvl="0" w:tentative="0">
      <w:start w:val="1"/>
      <w:numFmt w:val="decimal"/>
      <w:lvlText w:val="%1."/>
      <w:lvlJc w:val="left"/>
      <w:pPr>
        <w:tabs>
          <w:tab w:val="left" w:pos="1320"/>
        </w:tabs>
        <w:ind w:left="1320" w:hanging="480"/>
      </w:pPr>
      <w:rPr>
        <w:rFonts w:hint="eastAsia"/>
      </w:rPr>
    </w:lvl>
    <w:lvl w:ilvl="1" w:tentative="0">
      <w:start w:val="1"/>
      <w:numFmt w:val="decimal"/>
      <w:lvlText w:val="%2、"/>
      <w:lvlJc w:val="left"/>
      <w:pPr>
        <w:tabs>
          <w:tab w:val="left" w:pos="1620"/>
        </w:tabs>
        <w:ind w:left="1620"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7A27B42"/>
    <w:multiLevelType w:val="multilevel"/>
    <w:tmpl w:val="37A27B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1"/>
  </w:num>
  <w:num w:numId="12">
    <w:abstractNumId w:val="13"/>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484"/>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BD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AE0"/>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69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DAA"/>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44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798"/>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0F13"/>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C0502"/>
    <w:rsid w:val="01171993"/>
    <w:rsid w:val="01253372"/>
    <w:rsid w:val="01935532"/>
    <w:rsid w:val="01A746B1"/>
    <w:rsid w:val="01B54B79"/>
    <w:rsid w:val="01EA7499"/>
    <w:rsid w:val="022A78C7"/>
    <w:rsid w:val="023C4E17"/>
    <w:rsid w:val="024737BC"/>
    <w:rsid w:val="02621EAC"/>
    <w:rsid w:val="027C35B8"/>
    <w:rsid w:val="02B26E88"/>
    <w:rsid w:val="02B96468"/>
    <w:rsid w:val="02D768EE"/>
    <w:rsid w:val="02E0398F"/>
    <w:rsid w:val="03162A63"/>
    <w:rsid w:val="034D4E02"/>
    <w:rsid w:val="035E700F"/>
    <w:rsid w:val="03710AF1"/>
    <w:rsid w:val="03993BA4"/>
    <w:rsid w:val="03AE1849"/>
    <w:rsid w:val="03CC3F79"/>
    <w:rsid w:val="03E7460F"/>
    <w:rsid w:val="03F11C32"/>
    <w:rsid w:val="04180F6C"/>
    <w:rsid w:val="045226B8"/>
    <w:rsid w:val="04536448"/>
    <w:rsid w:val="04754611"/>
    <w:rsid w:val="04BF3ADE"/>
    <w:rsid w:val="04D74983"/>
    <w:rsid w:val="04F512AE"/>
    <w:rsid w:val="04F96518"/>
    <w:rsid w:val="04F96FF0"/>
    <w:rsid w:val="053E00D1"/>
    <w:rsid w:val="053F1D82"/>
    <w:rsid w:val="05827AEC"/>
    <w:rsid w:val="05A11650"/>
    <w:rsid w:val="05E337FC"/>
    <w:rsid w:val="05EA06E6"/>
    <w:rsid w:val="060A3683"/>
    <w:rsid w:val="06165A2F"/>
    <w:rsid w:val="0633208D"/>
    <w:rsid w:val="06367DD0"/>
    <w:rsid w:val="064C314F"/>
    <w:rsid w:val="065F787C"/>
    <w:rsid w:val="06B37672"/>
    <w:rsid w:val="070325A7"/>
    <w:rsid w:val="072A7934"/>
    <w:rsid w:val="07A37103"/>
    <w:rsid w:val="07A86AAB"/>
    <w:rsid w:val="07AD2313"/>
    <w:rsid w:val="07D364E9"/>
    <w:rsid w:val="07FE6EDB"/>
    <w:rsid w:val="084E1401"/>
    <w:rsid w:val="086A52C4"/>
    <w:rsid w:val="088B3C51"/>
    <w:rsid w:val="089B216C"/>
    <w:rsid w:val="08B80F70"/>
    <w:rsid w:val="09B554AF"/>
    <w:rsid w:val="09BC683E"/>
    <w:rsid w:val="0A2C751F"/>
    <w:rsid w:val="0A780FD3"/>
    <w:rsid w:val="0A8D16B6"/>
    <w:rsid w:val="0AB359AE"/>
    <w:rsid w:val="0AC01B2F"/>
    <w:rsid w:val="0AE222D4"/>
    <w:rsid w:val="0AEF4ADD"/>
    <w:rsid w:val="0AF14803"/>
    <w:rsid w:val="0B082A4D"/>
    <w:rsid w:val="0B212DFC"/>
    <w:rsid w:val="0B23252D"/>
    <w:rsid w:val="0B3D750A"/>
    <w:rsid w:val="0B660C1A"/>
    <w:rsid w:val="0B9F1F73"/>
    <w:rsid w:val="0B9F6417"/>
    <w:rsid w:val="0BB92B92"/>
    <w:rsid w:val="0BBB3692"/>
    <w:rsid w:val="0BC11497"/>
    <w:rsid w:val="0BD11ADC"/>
    <w:rsid w:val="0BFA514F"/>
    <w:rsid w:val="0C2B1A59"/>
    <w:rsid w:val="0C434FF4"/>
    <w:rsid w:val="0C4F3999"/>
    <w:rsid w:val="0C646FEE"/>
    <w:rsid w:val="0C937D2A"/>
    <w:rsid w:val="0C9F1F83"/>
    <w:rsid w:val="0D024B6A"/>
    <w:rsid w:val="0D166CFD"/>
    <w:rsid w:val="0D471D25"/>
    <w:rsid w:val="0D9A0C44"/>
    <w:rsid w:val="0DA815B3"/>
    <w:rsid w:val="0DA91EF6"/>
    <w:rsid w:val="0DCD1068"/>
    <w:rsid w:val="0DEE2D3E"/>
    <w:rsid w:val="0DF50570"/>
    <w:rsid w:val="0E164AB9"/>
    <w:rsid w:val="0E2C2973"/>
    <w:rsid w:val="0E3C619F"/>
    <w:rsid w:val="0E7D6595"/>
    <w:rsid w:val="0E8A515C"/>
    <w:rsid w:val="0E927B6D"/>
    <w:rsid w:val="0E9824E1"/>
    <w:rsid w:val="0EC75A69"/>
    <w:rsid w:val="0EDB76A5"/>
    <w:rsid w:val="0F2A5FF8"/>
    <w:rsid w:val="0F6A2898"/>
    <w:rsid w:val="0F824086"/>
    <w:rsid w:val="0F8E1EF9"/>
    <w:rsid w:val="0F9C1A87"/>
    <w:rsid w:val="0FB32491"/>
    <w:rsid w:val="102173FB"/>
    <w:rsid w:val="102A2A1F"/>
    <w:rsid w:val="10765998"/>
    <w:rsid w:val="108F6A5A"/>
    <w:rsid w:val="10A047C3"/>
    <w:rsid w:val="10C77FE7"/>
    <w:rsid w:val="11567578"/>
    <w:rsid w:val="11643A43"/>
    <w:rsid w:val="117852DF"/>
    <w:rsid w:val="11812847"/>
    <w:rsid w:val="11B04EDA"/>
    <w:rsid w:val="11B51138"/>
    <w:rsid w:val="11B83D8F"/>
    <w:rsid w:val="11DB182B"/>
    <w:rsid w:val="12072620"/>
    <w:rsid w:val="12315932"/>
    <w:rsid w:val="12330252"/>
    <w:rsid w:val="12353631"/>
    <w:rsid w:val="123F625E"/>
    <w:rsid w:val="127E5E85"/>
    <w:rsid w:val="12A54313"/>
    <w:rsid w:val="1300779B"/>
    <w:rsid w:val="13182D37"/>
    <w:rsid w:val="135515B0"/>
    <w:rsid w:val="135D6BD4"/>
    <w:rsid w:val="13671E1C"/>
    <w:rsid w:val="138008DC"/>
    <w:rsid w:val="13C521D8"/>
    <w:rsid w:val="13E277BB"/>
    <w:rsid w:val="13F15927"/>
    <w:rsid w:val="13FA41EA"/>
    <w:rsid w:val="1433594E"/>
    <w:rsid w:val="145A274A"/>
    <w:rsid w:val="14685ADC"/>
    <w:rsid w:val="14CB202B"/>
    <w:rsid w:val="153C6A85"/>
    <w:rsid w:val="15415E49"/>
    <w:rsid w:val="154D0C92"/>
    <w:rsid w:val="15815C8A"/>
    <w:rsid w:val="15C42D02"/>
    <w:rsid w:val="15D60C87"/>
    <w:rsid w:val="160B1CC9"/>
    <w:rsid w:val="161A0B74"/>
    <w:rsid w:val="16300563"/>
    <w:rsid w:val="163A1216"/>
    <w:rsid w:val="16534086"/>
    <w:rsid w:val="1658169C"/>
    <w:rsid w:val="1663076D"/>
    <w:rsid w:val="169C77DB"/>
    <w:rsid w:val="17142E0D"/>
    <w:rsid w:val="17A636E2"/>
    <w:rsid w:val="17F906B8"/>
    <w:rsid w:val="17F93E0B"/>
    <w:rsid w:val="184E2D57"/>
    <w:rsid w:val="18562BF8"/>
    <w:rsid w:val="185E771C"/>
    <w:rsid w:val="1866298A"/>
    <w:rsid w:val="18930C59"/>
    <w:rsid w:val="18CE423B"/>
    <w:rsid w:val="18FC27B3"/>
    <w:rsid w:val="191A70DD"/>
    <w:rsid w:val="194D47E4"/>
    <w:rsid w:val="19510D51"/>
    <w:rsid w:val="19BB266E"/>
    <w:rsid w:val="19D76D7C"/>
    <w:rsid w:val="19ED0A34"/>
    <w:rsid w:val="19FD2C86"/>
    <w:rsid w:val="1A524411"/>
    <w:rsid w:val="1A626F8D"/>
    <w:rsid w:val="1A8E38DF"/>
    <w:rsid w:val="1A974E89"/>
    <w:rsid w:val="1AAA1F45"/>
    <w:rsid w:val="1AAE21D3"/>
    <w:rsid w:val="1AE314C2"/>
    <w:rsid w:val="1AFC2F3E"/>
    <w:rsid w:val="1AFD0A64"/>
    <w:rsid w:val="1B5C135E"/>
    <w:rsid w:val="1B5C7199"/>
    <w:rsid w:val="1B6925D9"/>
    <w:rsid w:val="1B797AFA"/>
    <w:rsid w:val="1BB11F7A"/>
    <w:rsid w:val="1BCC553F"/>
    <w:rsid w:val="1C455CA5"/>
    <w:rsid w:val="1C4A5424"/>
    <w:rsid w:val="1C5950C1"/>
    <w:rsid w:val="1C824B32"/>
    <w:rsid w:val="1CAA0778"/>
    <w:rsid w:val="1CDB6B83"/>
    <w:rsid w:val="1CDC4DD5"/>
    <w:rsid w:val="1D02521F"/>
    <w:rsid w:val="1D2C69D2"/>
    <w:rsid w:val="1D4666F2"/>
    <w:rsid w:val="1D8E3BF5"/>
    <w:rsid w:val="1DA8115B"/>
    <w:rsid w:val="1DB23D88"/>
    <w:rsid w:val="1DEA4A6B"/>
    <w:rsid w:val="1E1C2390"/>
    <w:rsid w:val="1E505DFB"/>
    <w:rsid w:val="1E844911"/>
    <w:rsid w:val="1E892D3B"/>
    <w:rsid w:val="1EA00084"/>
    <w:rsid w:val="1EBD4792"/>
    <w:rsid w:val="1EEA587E"/>
    <w:rsid w:val="1EEB7551"/>
    <w:rsid w:val="1F022AED"/>
    <w:rsid w:val="1F240CB5"/>
    <w:rsid w:val="1F574BE7"/>
    <w:rsid w:val="1F680BA2"/>
    <w:rsid w:val="1F9E6C9F"/>
    <w:rsid w:val="1FC14756"/>
    <w:rsid w:val="1FC658C9"/>
    <w:rsid w:val="1FF24910"/>
    <w:rsid w:val="20020FF7"/>
    <w:rsid w:val="200603BB"/>
    <w:rsid w:val="20132EB9"/>
    <w:rsid w:val="20223590"/>
    <w:rsid w:val="202A22FB"/>
    <w:rsid w:val="203046DB"/>
    <w:rsid w:val="20547378"/>
    <w:rsid w:val="20683ACE"/>
    <w:rsid w:val="20717F2A"/>
    <w:rsid w:val="2084273E"/>
    <w:rsid w:val="20DE4075"/>
    <w:rsid w:val="213D7E0C"/>
    <w:rsid w:val="21472A39"/>
    <w:rsid w:val="216336AD"/>
    <w:rsid w:val="216830DB"/>
    <w:rsid w:val="217575A6"/>
    <w:rsid w:val="21E87D78"/>
    <w:rsid w:val="228F6446"/>
    <w:rsid w:val="22A5175C"/>
    <w:rsid w:val="22B934C3"/>
    <w:rsid w:val="22C77191"/>
    <w:rsid w:val="22CC769A"/>
    <w:rsid w:val="23045086"/>
    <w:rsid w:val="23166B67"/>
    <w:rsid w:val="231B0735"/>
    <w:rsid w:val="2338494B"/>
    <w:rsid w:val="23492A98"/>
    <w:rsid w:val="239E00B4"/>
    <w:rsid w:val="23C30A9D"/>
    <w:rsid w:val="23C640E9"/>
    <w:rsid w:val="23FE7D27"/>
    <w:rsid w:val="24084702"/>
    <w:rsid w:val="241A61E3"/>
    <w:rsid w:val="24264B88"/>
    <w:rsid w:val="242B219E"/>
    <w:rsid w:val="24561911"/>
    <w:rsid w:val="245F1130"/>
    <w:rsid w:val="24B91EA0"/>
    <w:rsid w:val="24D64800"/>
    <w:rsid w:val="251E74A4"/>
    <w:rsid w:val="25AB382D"/>
    <w:rsid w:val="25D74C43"/>
    <w:rsid w:val="261310D6"/>
    <w:rsid w:val="26207ED6"/>
    <w:rsid w:val="264659B5"/>
    <w:rsid w:val="26571970"/>
    <w:rsid w:val="2661634B"/>
    <w:rsid w:val="26997893"/>
    <w:rsid w:val="26DD1E76"/>
    <w:rsid w:val="27781B9E"/>
    <w:rsid w:val="27831727"/>
    <w:rsid w:val="27843CE5"/>
    <w:rsid w:val="27BE338B"/>
    <w:rsid w:val="27CE17BE"/>
    <w:rsid w:val="27D456E7"/>
    <w:rsid w:val="27E707C8"/>
    <w:rsid w:val="28055063"/>
    <w:rsid w:val="280C44A0"/>
    <w:rsid w:val="2832107C"/>
    <w:rsid w:val="283244AF"/>
    <w:rsid w:val="2833593F"/>
    <w:rsid w:val="283F090E"/>
    <w:rsid w:val="28420138"/>
    <w:rsid w:val="2849346B"/>
    <w:rsid w:val="28887BBF"/>
    <w:rsid w:val="28BE5CD7"/>
    <w:rsid w:val="28DD1D90"/>
    <w:rsid w:val="28FA69BB"/>
    <w:rsid w:val="293871FA"/>
    <w:rsid w:val="294F2DD3"/>
    <w:rsid w:val="29693E94"/>
    <w:rsid w:val="297C64FE"/>
    <w:rsid w:val="29F55728"/>
    <w:rsid w:val="2A051464"/>
    <w:rsid w:val="2A44220C"/>
    <w:rsid w:val="2A6571D9"/>
    <w:rsid w:val="2A73664D"/>
    <w:rsid w:val="2A793F66"/>
    <w:rsid w:val="2A905451"/>
    <w:rsid w:val="2AA64C74"/>
    <w:rsid w:val="2B31381E"/>
    <w:rsid w:val="2B514D73"/>
    <w:rsid w:val="2B88437A"/>
    <w:rsid w:val="2BA3410D"/>
    <w:rsid w:val="2BAC0068"/>
    <w:rsid w:val="2BB46F1D"/>
    <w:rsid w:val="2BDF5274"/>
    <w:rsid w:val="2BF35C97"/>
    <w:rsid w:val="2C2B3683"/>
    <w:rsid w:val="2C673F8F"/>
    <w:rsid w:val="2C840FE5"/>
    <w:rsid w:val="2CA40604"/>
    <w:rsid w:val="2CBF4252"/>
    <w:rsid w:val="2CD63007"/>
    <w:rsid w:val="2CEA1BFA"/>
    <w:rsid w:val="2D045C82"/>
    <w:rsid w:val="2D0C2B17"/>
    <w:rsid w:val="2D122ABC"/>
    <w:rsid w:val="2D5C0389"/>
    <w:rsid w:val="2D654973"/>
    <w:rsid w:val="2D684463"/>
    <w:rsid w:val="2D9B0A93"/>
    <w:rsid w:val="2DA52FC1"/>
    <w:rsid w:val="2DAF5BEE"/>
    <w:rsid w:val="2DC7118A"/>
    <w:rsid w:val="2DD12008"/>
    <w:rsid w:val="2E0A3131"/>
    <w:rsid w:val="2E6A7D67"/>
    <w:rsid w:val="2EEE00F1"/>
    <w:rsid w:val="2F0B154A"/>
    <w:rsid w:val="2F162C57"/>
    <w:rsid w:val="2F48454C"/>
    <w:rsid w:val="2F4B1946"/>
    <w:rsid w:val="30202DD3"/>
    <w:rsid w:val="30542A7D"/>
    <w:rsid w:val="308415B4"/>
    <w:rsid w:val="30C10112"/>
    <w:rsid w:val="3103599E"/>
    <w:rsid w:val="31532D34"/>
    <w:rsid w:val="3172765E"/>
    <w:rsid w:val="31740058"/>
    <w:rsid w:val="31A33CBC"/>
    <w:rsid w:val="31F1484C"/>
    <w:rsid w:val="31F92B93"/>
    <w:rsid w:val="32187AA5"/>
    <w:rsid w:val="3234700A"/>
    <w:rsid w:val="32470AEB"/>
    <w:rsid w:val="32495490"/>
    <w:rsid w:val="325B6344"/>
    <w:rsid w:val="325E5003"/>
    <w:rsid w:val="329D4BAF"/>
    <w:rsid w:val="32D14858"/>
    <w:rsid w:val="32EB653A"/>
    <w:rsid w:val="330662B0"/>
    <w:rsid w:val="33182487"/>
    <w:rsid w:val="334B460B"/>
    <w:rsid w:val="335C2374"/>
    <w:rsid w:val="33A06705"/>
    <w:rsid w:val="33D22636"/>
    <w:rsid w:val="33F22CD8"/>
    <w:rsid w:val="342A78C9"/>
    <w:rsid w:val="343374DC"/>
    <w:rsid w:val="343E550A"/>
    <w:rsid w:val="344A6670"/>
    <w:rsid w:val="345F6138"/>
    <w:rsid w:val="34E55713"/>
    <w:rsid w:val="35316D7A"/>
    <w:rsid w:val="354632DC"/>
    <w:rsid w:val="355A28E3"/>
    <w:rsid w:val="355E0625"/>
    <w:rsid w:val="357339A5"/>
    <w:rsid w:val="35E71A8B"/>
    <w:rsid w:val="35EA1EB9"/>
    <w:rsid w:val="35F20D6E"/>
    <w:rsid w:val="35F640ED"/>
    <w:rsid w:val="363D0B0F"/>
    <w:rsid w:val="366A2FFA"/>
    <w:rsid w:val="366C4FC4"/>
    <w:rsid w:val="36730100"/>
    <w:rsid w:val="36D87F64"/>
    <w:rsid w:val="36DD1A1E"/>
    <w:rsid w:val="36E27034"/>
    <w:rsid w:val="37160A8C"/>
    <w:rsid w:val="371D006C"/>
    <w:rsid w:val="374B4BD9"/>
    <w:rsid w:val="37503F9E"/>
    <w:rsid w:val="375A10AA"/>
    <w:rsid w:val="377D0B0B"/>
    <w:rsid w:val="37813DE2"/>
    <w:rsid w:val="37BF2ED1"/>
    <w:rsid w:val="37C36E66"/>
    <w:rsid w:val="37C404E8"/>
    <w:rsid w:val="37C87133"/>
    <w:rsid w:val="38090DB7"/>
    <w:rsid w:val="382C3180"/>
    <w:rsid w:val="387156D3"/>
    <w:rsid w:val="387C319D"/>
    <w:rsid w:val="38C641BE"/>
    <w:rsid w:val="38CA4224"/>
    <w:rsid w:val="38DB1F8D"/>
    <w:rsid w:val="390D5245"/>
    <w:rsid w:val="39137979"/>
    <w:rsid w:val="39504729"/>
    <w:rsid w:val="398C3287"/>
    <w:rsid w:val="39BB0884"/>
    <w:rsid w:val="39FB251E"/>
    <w:rsid w:val="3A481594"/>
    <w:rsid w:val="3A5222C0"/>
    <w:rsid w:val="3A90457C"/>
    <w:rsid w:val="3A944AE9"/>
    <w:rsid w:val="3AAE3935"/>
    <w:rsid w:val="3AC6749A"/>
    <w:rsid w:val="3AE8273F"/>
    <w:rsid w:val="3AF42518"/>
    <w:rsid w:val="3B1C20C3"/>
    <w:rsid w:val="3B264F79"/>
    <w:rsid w:val="3BAE3989"/>
    <w:rsid w:val="3BCB6780"/>
    <w:rsid w:val="3C4D6CFE"/>
    <w:rsid w:val="3C793F97"/>
    <w:rsid w:val="3C7C664D"/>
    <w:rsid w:val="3C882D18"/>
    <w:rsid w:val="3C8A1D00"/>
    <w:rsid w:val="3C97441D"/>
    <w:rsid w:val="3CB961C2"/>
    <w:rsid w:val="3CCA65A0"/>
    <w:rsid w:val="3CCF005B"/>
    <w:rsid w:val="3D314871"/>
    <w:rsid w:val="3D436353"/>
    <w:rsid w:val="3D5931FA"/>
    <w:rsid w:val="3D78424E"/>
    <w:rsid w:val="3DE713D4"/>
    <w:rsid w:val="3E6A003B"/>
    <w:rsid w:val="3E7C1B1C"/>
    <w:rsid w:val="3E815385"/>
    <w:rsid w:val="3EBD56B8"/>
    <w:rsid w:val="3ED93269"/>
    <w:rsid w:val="3EE576C2"/>
    <w:rsid w:val="3F065125"/>
    <w:rsid w:val="3F626F64"/>
    <w:rsid w:val="3F7A7E3B"/>
    <w:rsid w:val="3F9651BD"/>
    <w:rsid w:val="3F9D1D4A"/>
    <w:rsid w:val="3FE3596D"/>
    <w:rsid w:val="40112738"/>
    <w:rsid w:val="401D7D40"/>
    <w:rsid w:val="403E1896"/>
    <w:rsid w:val="40454F35"/>
    <w:rsid w:val="404E573A"/>
    <w:rsid w:val="40580367"/>
    <w:rsid w:val="409749EB"/>
    <w:rsid w:val="40994C08"/>
    <w:rsid w:val="40A26175"/>
    <w:rsid w:val="40BD62C9"/>
    <w:rsid w:val="40D45C40"/>
    <w:rsid w:val="41320BB8"/>
    <w:rsid w:val="413E130B"/>
    <w:rsid w:val="414C203F"/>
    <w:rsid w:val="4162149D"/>
    <w:rsid w:val="418A7109"/>
    <w:rsid w:val="41B33CDD"/>
    <w:rsid w:val="41C4389E"/>
    <w:rsid w:val="41F93484"/>
    <w:rsid w:val="422229DB"/>
    <w:rsid w:val="42471B37"/>
    <w:rsid w:val="425A7BFB"/>
    <w:rsid w:val="426C3C56"/>
    <w:rsid w:val="428611BC"/>
    <w:rsid w:val="42927B60"/>
    <w:rsid w:val="42B20202"/>
    <w:rsid w:val="42CD0A98"/>
    <w:rsid w:val="42FE0E3E"/>
    <w:rsid w:val="431A0C09"/>
    <w:rsid w:val="43655275"/>
    <w:rsid w:val="43792ACE"/>
    <w:rsid w:val="43A018F3"/>
    <w:rsid w:val="43BD084E"/>
    <w:rsid w:val="43D60064"/>
    <w:rsid w:val="43E647C5"/>
    <w:rsid w:val="441659D2"/>
    <w:rsid w:val="44404F26"/>
    <w:rsid w:val="445175A7"/>
    <w:rsid w:val="445D419E"/>
    <w:rsid w:val="4473751E"/>
    <w:rsid w:val="44810396"/>
    <w:rsid w:val="44935E12"/>
    <w:rsid w:val="44B21999"/>
    <w:rsid w:val="44CE0BF8"/>
    <w:rsid w:val="44D501D8"/>
    <w:rsid w:val="44DD0E3B"/>
    <w:rsid w:val="44F763A1"/>
    <w:rsid w:val="451E1B7F"/>
    <w:rsid w:val="454D612E"/>
    <w:rsid w:val="4574179F"/>
    <w:rsid w:val="45924862"/>
    <w:rsid w:val="45A858ED"/>
    <w:rsid w:val="45AB2CE7"/>
    <w:rsid w:val="45E35C2F"/>
    <w:rsid w:val="45E858D0"/>
    <w:rsid w:val="45EE33E3"/>
    <w:rsid w:val="45F75F2C"/>
    <w:rsid w:val="46003033"/>
    <w:rsid w:val="461E795D"/>
    <w:rsid w:val="465E7D59"/>
    <w:rsid w:val="46674E60"/>
    <w:rsid w:val="469971A8"/>
    <w:rsid w:val="46F47588"/>
    <w:rsid w:val="470D3C59"/>
    <w:rsid w:val="471F1BDF"/>
    <w:rsid w:val="47620F81"/>
    <w:rsid w:val="47B265AF"/>
    <w:rsid w:val="47E25938"/>
    <w:rsid w:val="480E2158"/>
    <w:rsid w:val="48482A6F"/>
    <w:rsid w:val="488C32A4"/>
    <w:rsid w:val="48A00AFD"/>
    <w:rsid w:val="48B620CF"/>
    <w:rsid w:val="48D83DF3"/>
    <w:rsid w:val="48E56510"/>
    <w:rsid w:val="490966A2"/>
    <w:rsid w:val="49247038"/>
    <w:rsid w:val="496E7F48"/>
    <w:rsid w:val="49831FB1"/>
    <w:rsid w:val="49B715A8"/>
    <w:rsid w:val="4A2117CA"/>
    <w:rsid w:val="4A421E6C"/>
    <w:rsid w:val="4A4A0D21"/>
    <w:rsid w:val="4A4D0811"/>
    <w:rsid w:val="4AA448D5"/>
    <w:rsid w:val="4AAF1765"/>
    <w:rsid w:val="4AC47B0F"/>
    <w:rsid w:val="4B0233A9"/>
    <w:rsid w:val="4B3814C1"/>
    <w:rsid w:val="4B4614E8"/>
    <w:rsid w:val="4B65373A"/>
    <w:rsid w:val="4BA32DDE"/>
    <w:rsid w:val="4BB26B7D"/>
    <w:rsid w:val="4CAF57B3"/>
    <w:rsid w:val="4CE76CFB"/>
    <w:rsid w:val="4D00163A"/>
    <w:rsid w:val="4D5A571F"/>
    <w:rsid w:val="4D680D9C"/>
    <w:rsid w:val="4D761E2D"/>
    <w:rsid w:val="4D9A5B1B"/>
    <w:rsid w:val="4D9E5AFA"/>
    <w:rsid w:val="4DBE3EFF"/>
    <w:rsid w:val="4DE04F2F"/>
    <w:rsid w:val="4E0C07CA"/>
    <w:rsid w:val="4E2D698F"/>
    <w:rsid w:val="4E513F4D"/>
    <w:rsid w:val="4E5E123E"/>
    <w:rsid w:val="4E88341A"/>
    <w:rsid w:val="4EA76741"/>
    <w:rsid w:val="4EC54E1A"/>
    <w:rsid w:val="4EE206B5"/>
    <w:rsid w:val="4EE71234"/>
    <w:rsid w:val="4F0F5BE3"/>
    <w:rsid w:val="4F133DD7"/>
    <w:rsid w:val="4F337FD5"/>
    <w:rsid w:val="4F55367B"/>
    <w:rsid w:val="4F716D4F"/>
    <w:rsid w:val="4FAE58AE"/>
    <w:rsid w:val="4FB8672C"/>
    <w:rsid w:val="4FE01A72"/>
    <w:rsid w:val="50697A27"/>
    <w:rsid w:val="506B7C43"/>
    <w:rsid w:val="506F14E1"/>
    <w:rsid w:val="5095081C"/>
    <w:rsid w:val="513E2C61"/>
    <w:rsid w:val="51ED4DB3"/>
    <w:rsid w:val="51F24178"/>
    <w:rsid w:val="52035925"/>
    <w:rsid w:val="522105B9"/>
    <w:rsid w:val="522A286E"/>
    <w:rsid w:val="523227C6"/>
    <w:rsid w:val="523A5B1F"/>
    <w:rsid w:val="523F6865"/>
    <w:rsid w:val="52422029"/>
    <w:rsid w:val="5245699D"/>
    <w:rsid w:val="52676397"/>
    <w:rsid w:val="52D4387D"/>
    <w:rsid w:val="52EF6909"/>
    <w:rsid w:val="530374BA"/>
    <w:rsid w:val="538A5B0B"/>
    <w:rsid w:val="53B35B89"/>
    <w:rsid w:val="543842E0"/>
    <w:rsid w:val="543E18F6"/>
    <w:rsid w:val="54CF07B4"/>
    <w:rsid w:val="550167C3"/>
    <w:rsid w:val="55040901"/>
    <w:rsid w:val="5523289A"/>
    <w:rsid w:val="55326F81"/>
    <w:rsid w:val="55393E6B"/>
    <w:rsid w:val="55562C6F"/>
    <w:rsid w:val="559612BE"/>
    <w:rsid w:val="56070E48"/>
    <w:rsid w:val="563C5781"/>
    <w:rsid w:val="56625644"/>
    <w:rsid w:val="566C201F"/>
    <w:rsid w:val="566E3FE9"/>
    <w:rsid w:val="56903F5F"/>
    <w:rsid w:val="56A41A0A"/>
    <w:rsid w:val="56CF2CD9"/>
    <w:rsid w:val="56D71B8E"/>
    <w:rsid w:val="56DF05DE"/>
    <w:rsid w:val="56E9366F"/>
    <w:rsid w:val="56F939F3"/>
    <w:rsid w:val="57234DD3"/>
    <w:rsid w:val="57765EBD"/>
    <w:rsid w:val="57911D3D"/>
    <w:rsid w:val="57E446DB"/>
    <w:rsid w:val="57FC6189"/>
    <w:rsid w:val="5857298D"/>
    <w:rsid w:val="58615BB3"/>
    <w:rsid w:val="586456A3"/>
    <w:rsid w:val="58A27F7A"/>
    <w:rsid w:val="58F02837"/>
    <w:rsid w:val="58F033DB"/>
    <w:rsid w:val="58F1657A"/>
    <w:rsid w:val="58FA1781"/>
    <w:rsid w:val="58FE694D"/>
    <w:rsid w:val="59212B72"/>
    <w:rsid w:val="59253085"/>
    <w:rsid w:val="5955323E"/>
    <w:rsid w:val="595B6559"/>
    <w:rsid w:val="597E346F"/>
    <w:rsid w:val="599726B0"/>
    <w:rsid w:val="59981AA8"/>
    <w:rsid w:val="59C05F67"/>
    <w:rsid w:val="59D33F07"/>
    <w:rsid w:val="59E90778"/>
    <w:rsid w:val="5A0E58C7"/>
    <w:rsid w:val="5A2F1813"/>
    <w:rsid w:val="5A4455DB"/>
    <w:rsid w:val="5A4D7FA6"/>
    <w:rsid w:val="5A647BDD"/>
    <w:rsid w:val="5A671258"/>
    <w:rsid w:val="5A7D0DE6"/>
    <w:rsid w:val="5A9F5449"/>
    <w:rsid w:val="5B5D1941"/>
    <w:rsid w:val="5B962018"/>
    <w:rsid w:val="5BB669AB"/>
    <w:rsid w:val="5BCF382F"/>
    <w:rsid w:val="5BD14DA8"/>
    <w:rsid w:val="5C480E38"/>
    <w:rsid w:val="5C5F68AD"/>
    <w:rsid w:val="5C732359"/>
    <w:rsid w:val="5CB92345"/>
    <w:rsid w:val="5CE312A0"/>
    <w:rsid w:val="5D0674A9"/>
    <w:rsid w:val="5D177188"/>
    <w:rsid w:val="5D335644"/>
    <w:rsid w:val="5D4B16EB"/>
    <w:rsid w:val="5D6F4001"/>
    <w:rsid w:val="5D9407D9"/>
    <w:rsid w:val="5DB2525D"/>
    <w:rsid w:val="5DCE0631"/>
    <w:rsid w:val="5DCF1811"/>
    <w:rsid w:val="5DE132F2"/>
    <w:rsid w:val="5E0E058B"/>
    <w:rsid w:val="5E2D1CCD"/>
    <w:rsid w:val="5E331DA0"/>
    <w:rsid w:val="5E624433"/>
    <w:rsid w:val="5E7F3237"/>
    <w:rsid w:val="5E8C14B0"/>
    <w:rsid w:val="5E8E70B4"/>
    <w:rsid w:val="5EA92116"/>
    <w:rsid w:val="5ED54C05"/>
    <w:rsid w:val="5F073306"/>
    <w:rsid w:val="5F2B2A77"/>
    <w:rsid w:val="5F5F73B9"/>
    <w:rsid w:val="5F861C93"/>
    <w:rsid w:val="5FBC2BEC"/>
    <w:rsid w:val="5FC92003"/>
    <w:rsid w:val="60121E89"/>
    <w:rsid w:val="6065020A"/>
    <w:rsid w:val="60CC7399"/>
    <w:rsid w:val="60F8107F"/>
    <w:rsid w:val="6138147B"/>
    <w:rsid w:val="616D55C9"/>
    <w:rsid w:val="617145D3"/>
    <w:rsid w:val="61992081"/>
    <w:rsid w:val="61CA2A1B"/>
    <w:rsid w:val="62262577"/>
    <w:rsid w:val="622A170C"/>
    <w:rsid w:val="625702B8"/>
    <w:rsid w:val="62B80AC5"/>
    <w:rsid w:val="62B861A9"/>
    <w:rsid w:val="62D376AD"/>
    <w:rsid w:val="62E55633"/>
    <w:rsid w:val="62F55A1E"/>
    <w:rsid w:val="631F0E6C"/>
    <w:rsid w:val="63964B41"/>
    <w:rsid w:val="639E1645"/>
    <w:rsid w:val="63F4603A"/>
    <w:rsid w:val="6418303F"/>
    <w:rsid w:val="645962D8"/>
    <w:rsid w:val="64786EB7"/>
    <w:rsid w:val="64812DEB"/>
    <w:rsid w:val="6491119F"/>
    <w:rsid w:val="649B6943"/>
    <w:rsid w:val="64A532CB"/>
    <w:rsid w:val="64B67287"/>
    <w:rsid w:val="64BB489D"/>
    <w:rsid w:val="64D25334"/>
    <w:rsid w:val="654C7BEB"/>
    <w:rsid w:val="65510F57"/>
    <w:rsid w:val="6578453C"/>
    <w:rsid w:val="659C3AAC"/>
    <w:rsid w:val="65A6554D"/>
    <w:rsid w:val="65CA32A0"/>
    <w:rsid w:val="65F53DDF"/>
    <w:rsid w:val="65F91B21"/>
    <w:rsid w:val="66A658E8"/>
    <w:rsid w:val="66BA1E66"/>
    <w:rsid w:val="66EC3434"/>
    <w:rsid w:val="66F127F8"/>
    <w:rsid w:val="675C7790"/>
    <w:rsid w:val="6762569A"/>
    <w:rsid w:val="6773145F"/>
    <w:rsid w:val="678A4D11"/>
    <w:rsid w:val="679766E8"/>
    <w:rsid w:val="67A55390"/>
    <w:rsid w:val="67E4235D"/>
    <w:rsid w:val="68307350"/>
    <w:rsid w:val="6838144E"/>
    <w:rsid w:val="688B0A2A"/>
    <w:rsid w:val="68AA7398"/>
    <w:rsid w:val="68B51551"/>
    <w:rsid w:val="68CA3301"/>
    <w:rsid w:val="68DE733A"/>
    <w:rsid w:val="69442C7A"/>
    <w:rsid w:val="6953168E"/>
    <w:rsid w:val="69BD2E65"/>
    <w:rsid w:val="69C2222A"/>
    <w:rsid w:val="69EF7442"/>
    <w:rsid w:val="6A3F6C07"/>
    <w:rsid w:val="6A615405"/>
    <w:rsid w:val="6A796361"/>
    <w:rsid w:val="6A82088C"/>
    <w:rsid w:val="6B0C2A72"/>
    <w:rsid w:val="6B1E5B86"/>
    <w:rsid w:val="6B4E646B"/>
    <w:rsid w:val="6B7359AC"/>
    <w:rsid w:val="6B7D0AFE"/>
    <w:rsid w:val="6BD10E4A"/>
    <w:rsid w:val="6C4B4758"/>
    <w:rsid w:val="6C9A748E"/>
    <w:rsid w:val="6CA65E33"/>
    <w:rsid w:val="6CE40709"/>
    <w:rsid w:val="6D0509B6"/>
    <w:rsid w:val="6D552E84"/>
    <w:rsid w:val="6D6104D7"/>
    <w:rsid w:val="6D912FC0"/>
    <w:rsid w:val="6D9B1E51"/>
    <w:rsid w:val="6E1A32A5"/>
    <w:rsid w:val="6E35746E"/>
    <w:rsid w:val="6E3866E0"/>
    <w:rsid w:val="6E494CC8"/>
    <w:rsid w:val="6E6B2E90"/>
    <w:rsid w:val="6E8E3022"/>
    <w:rsid w:val="6EE367FB"/>
    <w:rsid w:val="6F210EE5"/>
    <w:rsid w:val="6F6D70DC"/>
    <w:rsid w:val="6FBB4290"/>
    <w:rsid w:val="6FC7059A"/>
    <w:rsid w:val="70027824"/>
    <w:rsid w:val="70434E49"/>
    <w:rsid w:val="70573835"/>
    <w:rsid w:val="70A1703D"/>
    <w:rsid w:val="70AB3A18"/>
    <w:rsid w:val="70D80585"/>
    <w:rsid w:val="710D2076"/>
    <w:rsid w:val="712633F1"/>
    <w:rsid w:val="7128150C"/>
    <w:rsid w:val="716D33C3"/>
    <w:rsid w:val="71707AFA"/>
    <w:rsid w:val="71745F02"/>
    <w:rsid w:val="717C5C97"/>
    <w:rsid w:val="7196291D"/>
    <w:rsid w:val="71B927E7"/>
    <w:rsid w:val="71BA7C8A"/>
    <w:rsid w:val="71EA0570"/>
    <w:rsid w:val="71FE401B"/>
    <w:rsid w:val="720A602E"/>
    <w:rsid w:val="72347346"/>
    <w:rsid w:val="724C4D86"/>
    <w:rsid w:val="72693B8A"/>
    <w:rsid w:val="72901CD2"/>
    <w:rsid w:val="72973E6B"/>
    <w:rsid w:val="72CA214F"/>
    <w:rsid w:val="72E2393D"/>
    <w:rsid w:val="73216213"/>
    <w:rsid w:val="738E13CF"/>
    <w:rsid w:val="73AD3F4B"/>
    <w:rsid w:val="73C03C7E"/>
    <w:rsid w:val="73C31078"/>
    <w:rsid w:val="74055B35"/>
    <w:rsid w:val="740743E3"/>
    <w:rsid w:val="742C597A"/>
    <w:rsid w:val="74404DBF"/>
    <w:rsid w:val="74546839"/>
    <w:rsid w:val="7456322F"/>
    <w:rsid w:val="74602D6B"/>
    <w:rsid w:val="74730CF0"/>
    <w:rsid w:val="747F58E7"/>
    <w:rsid w:val="7487654A"/>
    <w:rsid w:val="74A215D5"/>
    <w:rsid w:val="74B66E2F"/>
    <w:rsid w:val="74BB61F3"/>
    <w:rsid w:val="74FF07D6"/>
    <w:rsid w:val="750000AA"/>
    <w:rsid w:val="75151DA7"/>
    <w:rsid w:val="75175FA2"/>
    <w:rsid w:val="754B7BB9"/>
    <w:rsid w:val="75604A10"/>
    <w:rsid w:val="75D270BD"/>
    <w:rsid w:val="75E6564D"/>
    <w:rsid w:val="75FF0A4C"/>
    <w:rsid w:val="76067942"/>
    <w:rsid w:val="76A72ED3"/>
    <w:rsid w:val="76B850E0"/>
    <w:rsid w:val="770C2D36"/>
    <w:rsid w:val="77274014"/>
    <w:rsid w:val="775766A7"/>
    <w:rsid w:val="7758332B"/>
    <w:rsid w:val="775841CD"/>
    <w:rsid w:val="7762504C"/>
    <w:rsid w:val="77C83CDC"/>
    <w:rsid w:val="77D71596"/>
    <w:rsid w:val="77E2696C"/>
    <w:rsid w:val="77F951E6"/>
    <w:rsid w:val="7860333A"/>
    <w:rsid w:val="78770683"/>
    <w:rsid w:val="78AE679B"/>
    <w:rsid w:val="78C9677E"/>
    <w:rsid w:val="78E33F6B"/>
    <w:rsid w:val="793B3DA7"/>
    <w:rsid w:val="7956473D"/>
    <w:rsid w:val="798715FB"/>
    <w:rsid w:val="79B74AA6"/>
    <w:rsid w:val="79D616AE"/>
    <w:rsid w:val="7A0F14BB"/>
    <w:rsid w:val="7A344A7E"/>
    <w:rsid w:val="7A3E0998"/>
    <w:rsid w:val="7A4775A8"/>
    <w:rsid w:val="7A491712"/>
    <w:rsid w:val="7A4D1FE3"/>
    <w:rsid w:val="7AA8721A"/>
    <w:rsid w:val="7AB40027"/>
    <w:rsid w:val="7AB8291B"/>
    <w:rsid w:val="7AFD1314"/>
    <w:rsid w:val="7B346CFF"/>
    <w:rsid w:val="7B735A7A"/>
    <w:rsid w:val="7B9003DA"/>
    <w:rsid w:val="7BB21B01"/>
    <w:rsid w:val="7BCF674F"/>
    <w:rsid w:val="7BD76009"/>
    <w:rsid w:val="7C29147F"/>
    <w:rsid w:val="7C532BE5"/>
    <w:rsid w:val="7C613B24"/>
    <w:rsid w:val="7C7750F6"/>
    <w:rsid w:val="7C944FFD"/>
    <w:rsid w:val="7CBB319E"/>
    <w:rsid w:val="7D4F6073"/>
    <w:rsid w:val="7D823D52"/>
    <w:rsid w:val="7DAE3F99"/>
    <w:rsid w:val="7E1A21DD"/>
    <w:rsid w:val="7E5F26BC"/>
    <w:rsid w:val="7E663674"/>
    <w:rsid w:val="7E6873EC"/>
    <w:rsid w:val="7F12109E"/>
    <w:rsid w:val="7F2A46A1"/>
    <w:rsid w:val="7F2D7CEE"/>
    <w:rsid w:val="7F3C2592"/>
    <w:rsid w:val="7F405C73"/>
    <w:rsid w:val="7F533BF8"/>
    <w:rsid w:val="7FA75431"/>
    <w:rsid w:val="7FBD5515"/>
    <w:rsid w:val="7FCA735A"/>
    <w:rsid w:val="7FCD7330"/>
    <w:rsid w:val="7FDF723A"/>
    <w:rsid w:val="7FED72E8"/>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next w:val="23"/>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无间隔1"/>
    <w:next w:val="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50">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251">
    <w:name w:val="样式 标题 3 + (中文) 黑体 小四 非加粗 段前: 7.8 磅 段后: 0 磅 行距: 固定值 20 磅"/>
    <w:basedOn w:val="4"/>
    <w:qFormat/>
    <w:uiPriority w:val="0"/>
    <w:pPr>
      <w:autoSpaceDE/>
      <w:autoSpaceDN/>
      <w:adjustRightInd/>
      <w:spacing w:before="0" w:after="0" w:line="400" w:lineRule="exact"/>
      <w:jc w:val="both"/>
    </w:pPr>
    <w:rPr>
      <w:rFonts w:ascii="Times New Roman" w:hAnsi="Calibri" w:eastAsia="黑体"/>
      <w:b w:val="0"/>
      <w:kern w:val="2"/>
      <w:u w:val="none"/>
    </w:rPr>
  </w:style>
  <w:style w:type="paragraph" w:customStyle="1" w:styleId="252">
    <w:name w:val="Normal_0"/>
    <w:qFormat/>
    <w:uiPriority w:val="99"/>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png"/><Relationship Id="rId25" Type="http://schemas.openxmlformats.org/officeDocument/2006/relationships/image" Target="media/image1.w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149</Pages>
  <Words>2613</Words>
  <Characters>2950</Characters>
  <Lines>295</Lines>
  <Paragraphs>83</Paragraphs>
  <TotalTime>0</TotalTime>
  <ScaleCrop>false</ScaleCrop>
  <LinksUpToDate>false</LinksUpToDate>
  <CharactersWithSpaces>3031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WXL</cp:lastModifiedBy>
  <cp:lastPrinted>2026-01-30T09:20:00Z</cp:lastPrinted>
  <dcterms:modified xsi:type="dcterms:W3CDTF">2026-05-18T08:38:26Z</dcterms:modified>
  <dc:title>政府采购示范文本（2023）</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AA3A50910270438E8DFF8B0D9B92A37B_13</vt:lpwstr>
  </property>
  <property fmtid="{D5CDD505-2E9C-101B-9397-08002B2CF9AE}" pid="4" name="KSOTemplateDocerSaveRecord">
    <vt:lpwstr>eyJoZGlkIjoiNjhmZTM3MmUxNjNlM2RiZjE3ZDlhYjdhODJiNGM2YmQiLCJ1c2VySWQiOiIzMTkxNjEyMjMifQ==</vt:lpwstr>
  </property>
</Properties>
</file>