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  <w:t>北三河流域取用水监测计量能力提升重点项目（中央）——遥测终端及通讯模块升级改造及感知能力完善中标公告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一、项目编号：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11000026210200169459-XM001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二、项目名称：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北三河流域取用水监测计量能力提升重点项目（中央）——遥测终端及通讯模块升级改造及感知能力完善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三、中标（成交）信息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总中标成交金额：587.7712万元（人民币）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中标成交供应商名称、地址及中标成交金额：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中标成交供应商名称：北京科汇永兴信息技术有限公司、北京数云智源技术有限公司组成的联合体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中标成交供应商地址：北京市大兴区黄村镇清澄名苑北区27号楼2单元2210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中标金额：587.7712万元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2096"/>
        <w:gridCol w:w="1530"/>
        <w:gridCol w:w="2215"/>
        <w:gridCol w:w="1055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</w:trPr>
        <w:tc>
          <w:tcPr>
            <w:tcW w:w="2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供应商名称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供应商地址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统一信用代码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中标金额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中标成交备注信息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</w:trPr>
        <w:tc>
          <w:tcPr>
            <w:tcW w:w="2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北京科汇永兴信息技术有限公司、北京数云智源技术有限公司组成的联合体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北京市大兴区黄村镇清澄名苑北区27号楼2单元2210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911101153979131068、9111011105144818XW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587.7712万元</w:t>
            </w:r>
          </w:p>
        </w:tc>
        <w:tc>
          <w:tcPr>
            <w:tcW w:w="1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评审总得分（综合评分法）：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82.41分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四、主要标的信息</w:t>
      </w:r>
    </w:p>
    <w:tbl>
      <w:tblPr>
        <w:tblStyle w:val="7"/>
        <w:tblW w:w="84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2218"/>
        <w:gridCol w:w="1016"/>
        <w:gridCol w:w="892"/>
        <w:gridCol w:w="662"/>
        <w:gridCol w:w="984"/>
        <w:gridCol w:w="1077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</w:trPr>
        <w:tc>
          <w:tcPr>
            <w:tcW w:w="2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供应商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商品名称</w:t>
            </w: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规格型号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数量</w:t>
            </w: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单价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总价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服务要求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</w:trPr>
        <w:tc>
          <w:tcPr>
            <w:tcW w:w="2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北京科汇永兴信息技术有限公司、北京数云智源技术有限公司组成的联合体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智能遥测终端</w:t>
            </w: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B3_RTU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1</w:t>
            </w: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497.8712万元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497.8712万元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技术需求或服务要求详见招标文件第五章采购需求。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0" w:hRule="atLeast"/>
        </w:trPr>
        <w:tc>
          <w:tcPr>
            <w:tcW w:w="2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北京科汇永兴信息技术有限公司、北京数云智源技术有限公司组成的联合体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</w:pP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1</w:t>
            </w: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89.9万元</w:t>
            </w:r>
          </w:p>
        </w:tc>
        <w:tc>
          <w:tcPr>
            <w:tcW w:w="10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89.9万元</w:t>
            </w:r>
          </w:p>
        </w:tc>
        <w:tc>
          <w:tcPr>
            <w:tcW w:w="1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4"/>
                <w:lang w:val="en-US" w:eastAsia="zh-CN"/>
              </w:rPr>
              <w:t>详见招标文件第五章采购需求。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项目用途：北三河流域取用水监测计量能力提升重点项目（中央）——遥测终端及通讯模块升级改造及感知能力完善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简要技术要求：详见招标文件第五章采购需求。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合同履行期限：合同签订之日起至2027年6月30日前完成交货、安装、试运行、人员培训、验收合格交付使用及后续进行运行维护。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五、评审专家（单一来源采购人员）名单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胡晨雪；张涛；梁翠萍；崔旭光；赵泓漪；李江飞；程凤云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六、代理服务收费标准及金额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本项目代理费总金额：6.6022万元（人民币）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本项目代理费收费标准：以中标额为基数计算，计算方法采用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“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差额定率累进法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”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计取。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七、公告期限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自本公告发布之日起1个工作日。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八、其它补充事宜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九、凡对本次公告内容提出询问，请按以下方式联系。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1.采购人信息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名    称：北京市水资源调度管理事务中心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地    址：北京市通州区留庄路1号院2号楼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联系方式：胡远航，010-55523500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2.采购代理机构信息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名    称：北京水务咨询有限公司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地    址：北京市海淀区车道沟1号青东商务区C座7层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联系方式：保瑞华，010-68433379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3.项目联系方式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项目联系人：保瑞华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电      话：010-68433379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76DF4"/>
    <w:rsid w:val="2B87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2026-06-22T01:24:00Z</dcterms:created>
  <dc:creator>Y</dc:creator>
  <cp:lastModifiedBy>Y</cp:lastModifiedBy>
  <dcterms:modified xsi:type="dcterms:W3CDTF">2026-06-22T02:01:08Z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