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253" w:line="360" w:lineRule="auto"/>
        <w:jc w:val="center"/>
        <w:rPr>
          <w:rFonts w:hint="eastAsia" w:ascii="宋体" w:hAnsi="宋体" w:cs="宋体"/>
          <w:b/>
          <w:bCs/>
          <w:color w:val="000000" w:themeColor="text1"/>
          <w:sz w:val="60"/>
          <w:szCs w:val="60"/>
          <w14:textFill>
            <w14:solidFill>
              <w14:schemeClr w14:val="tx1"/>
            </w14:solidFill>
          </w14:textFill>
        </w:rPr>
      </w:pPr>
    </w:p>
    <w:p>
      <w:pPr>
        <w:spacing w:before="253" w:line="360" w:lineRule="auto"/>
        <w:jc w:val="center"/>
        <w:rPr>
          <w:rFonts w:hint="eastAsia" w:ascii="宋体" w:hAnsi="宋体" w:cs="宋体"/>
          <w:b/>
          <w:bCs/>
          <w:color w:val="000000" w:themeColor="text1"/>
          <w:sz w:val="60"/>
          <w:szCs w:val="60"/>
          <w14:textFill>
            <w14:solidFill>
              <w14:schemeClr w14:val="tx1"/>
            </w14:solidFill>
          </w14:textFill>
        </w:rPr>
      </w:pPr>
      <w:r>
        <w:rPr>
          <w:rFonts w:hint="eastAsia" w:ascii="宋体" w:hAnsi="宋体" w:cs="宋体"/>
          <w:b/>
          <w:bCs/>
          <w:color w:val="000000" w:themeColor="text1"/>
          <w:sz w:val="60"/>
          <w:szCs w:val="60"/>
          <w14:textFill>
            <w14:solidFill>
              <w14:schemeClr w14:val="tx1"/>
            </w14:solidFill>
          </w14:textFill>
        </w:rPr>
        <w:t>北京市政府采购项目</w:t>
      </w:r>
    </w:p>
    <w:p>
      <w:pPr>
        <w:spacing w:before="253" w:line="360" w:lineRule="auto"/>
        <w:jc w:val="center"/>
        <w:rPr>
          <w:rFonts w:hint="eastAsia" w:ascii="宋体" w:hAnsi="宋体" w:cs="宋体"/>
          <w:b/>
          <w:bCs/>
          <w:color w:val="000000" w:themeColor="text1"/>
          <w:spacing w:val="11"/>
          <w:sz w:val="59"/>
          <w:szCs w:val="59"/>
          <w14:textFill>
            <w14:solidFill>
              <w14:schemeClr w14:val="tx1"/>
            </w14:solidFill>
          </w14:textFill>
        </w:rPr>
      </w:pPr>
      <w:r>
        <w:rPr>
          <w:rFonts w:hint="eastAsia" w:ascii="宋体" w:hAnsi="宋体" w:cs="宋体"/>
          <w:b/>
          <w:bCs/>
          <w:color w:val="000000" w:themeColor="text1"/>
          <w:spacing w:val="11"/>
          <w:sz w:val="59"/>
          <w:szCs w:val="59"/>
          <w14:textFill>
            <w14:solidFill>
              <w14:schemeClr w14:val="tx1"/>
            </w14:solidFill>
          </w14:textFill>
        </w:rPr>
        <w:t>公开招标文件</w:t>
      </w:r>
    </w:p>
    <w:p>
      <w:pPr>
        <w:rPr>
          <w:rFonts w:hint="eastAsia" w:ascii="宋体" w:hAnsi="宋体" w:cs="宋体"/>
          <w:color w:val="000000" w:themeColor="text1"/>
          <w14:textFill>
            <w14:solidFill>
              <w14:schemeClr w14:val="tx1"/>
            </w14:solidFill>
          </w14:textFill>
        </w:rPr>
      </w:pPr>
    </w:p>
    <w:p>
      <w:pPr>
        <w:rPr>
          <w:rFonts w:hint="eastAsia" w:ascii="宋体" w:hAnsi="宋体" w:cs="宋体"/>
          <w:color w:val="000000" w:themeColor="text1"/>
          <w14:textFill>
            <w14:solidFill>
              <w14:schemeClr w14:val="tx1"/>
            </w14:solidFill>
          </w14:textFill>
        </w:rPr>
      </w:pPr>
    </w:p>
    <w:p>
      <w:pPr>
        <w:spacing w:line="295" w:lineRule="auto"/>
        <w:rPr>
          <w:rFonts w:hint="eastAsia" w:ascii="宋体" w:hAnsi="宋体" w:cs="宋体"/>
          <w:color w:val="000000" w:themeColor="text1"/>
          <w14:textFill>
            <w14:solidFill>
              <w14:schemeClr w14:val="tx1"/>
            </w14:solidFill>
          </w14:textFill>
        </w:rPr>
      </w:pPr>
    </w:p>
    <w:p>
      <w:pPr>
        <w:spacing w:line="295" w:lineRule="auto"/>
        <w:rPr>
          <w:rFonts w:hint="eastAsia" w:ascii="宋体" w:hAnsi="宋体" w:cs="宋体"/>
          <w:color w:val="000000" w:themeColor="text1"/>
          <w14:textFill>
            <w14:solidFill>
              <w14:schemeClr w14:val="tx1"/>
            </w14:solidFill>
          </w14:textFill>
        </w:rPr>
      </w:pPr>
    </w:p>
    <w:p>
      <w:pPr>
        <w:spacing w:line="295" w:lineRule="auto"/>
        <w:rPr>
          <w:rFonts w:hint="eastAsia" w:ascii="宋体" w:hAnsi="宋体" w:cs="宋体"/>
          <w:color w:val="000000" w:themeColor="text1"/>
          <w14:textFill>
            <w14:solidFill>
              <w14:schemeClr w14:val="tx1"/>
            </w14:solidFill>
          </w14:textFill>
        </w:rPr>
      </w:pPr>
    </w:p>
    <w:p>
      <w:pPr>
        <w:spacing w:before="150" w:line="360" w:lineRule="auto"/>
        <w:ind w:left="853"/>
        <w:rPr>
          <w:rFonts w:hint="eastAsia" w:ascii="宋体" w:hAnsi="宋体" w:cs="宋体"/>
          <w:b/>
          <w:bCs/>
          <w:color w:val="000000" w:themeColor="text1"/>
          <w:sz w:val="35"/>
          <w:szCs w:val="35"/>
          <w14:textFill>
            <w14:solidFill>
              <w14:schemeClr w14:val="tx1"/>
            </w14:solidFill>
          </w14:textFill>
        </w:rPr>
      </w:pPr>
      <w:r>
        <w:rPr>
          <w:rFonts w:hint="eastAsia" w:ascii="宋体" w:hAnsi="宋体" w:cs="宋体"/>
          <w:b/>
          <w:bCs/>
          <w:color w:val="000000" w:themeColor="text1"/>
          <w:spacing w:val="6"/>
          <w:sz w:val="35"/>
          <w:szCs w:val="35"/>
          <w14:textFill>
            <w14:solidFill>
              <w14:schemeClr w14:val="tx1"/>
            </w14:solidFill>
          </w14:textFill>
        </w:rPr>
        <w:t>项目名称：中央补助乡村旅游品牌培育与消费促进项目</w:t>
      </w:r>
    </w:p>
    <w:p>
      <w:pPr>
        <w:spacing w:before="150" w:line="360" w:lineRule="auto"/>
        <w:ind w:left="853"/>
        <w:rPr>
          <w:rFonts w:hint="eastAsia" w:ascii="宋体" w:hAnsi="宋体" w:cs="宋体"/>
          <w:b/>
          <w:bCs/>
          <w:color w:val="000000" w:themeColor="text1"/>
          <w:spacing w:val="1"/>
          <w:sz w:val="35"/>
          <w:szCs w:val="35"/>
          <w14:textFill>
            <w14:solidFill>
              <w14:schemeClr w14:val="tx1"/>
            </w14:solidFill>
          </w14:textFill>
        </w:rPr>
      </w:pPr>
      <w:r>
        <w:rPr>
          <w:rFonts w:hint="eastAsia" w:ascii="宋体" w:hAnsi="宋体" w:cs="宋体"/>
          <w:b/>
          <w:bCs/>
          <w:spacing w:val="1"/>
          <w:sz w:val="35"/>
          <w:szCs w:val="35"/>
        </w:rPr>
        <w:t>项目编号/包号：11000026210200171935-XM001</w:t>
      </w:r>
    </w:p>
    <w:p>
      <w:pPr>
        <w:spacing w:before="150" w:line="360" w:lineRule="auto"/>
        <w:ind w:left="853"/>
        <w:rPr>
          <w:rFonts w:hint="eastAsia" w:ascii="宋体" w:hAnsi="宋体" w:cs="宋体"/>
          <w:b/>
          <w:bCs/>
          <w:color w:val="000000" w:themeColor="text1"/>
          <w:sz w:val="35"/>
          <w:szCs w:val="35"/>
          <w14:textFill>
            <w14:solidFill>
              <w14:schemeClr w14:val="tx1"/>
            </w14:solidFill>
          </w14:textFill>
        </w:rPr>
      </w:pPr>
      <w:r>
        <w:rPr>
          <w:rFonts w:hint="eastAsia" w:ascii="宋体" w:hAnsi="宋体" w:cs="宋体"/>
          <w:b/>
          <w:bCs/>
          <w:color w:val="000000" w:themeColor="text1"/>
          <w:spacing w:val="1"/>
          <w:sz w:val="35"/>
          <w:szCs w:val="35"/>
          <w14:textFill>
            <w14:solidFill>
              <w14:schemeClr w14:val="tx1"/>
            </w14:solidFill>
          </w14:textFill>
        </w:rPr>
        <w:t>采购人：北京市文化和旅游局</w:t>
      </w:r>
    </w:p>
    <w:p>
      <w:pPr>
        <w:spacing w:before="150" w:line="360" w:lineRule="auto"/>
        <w:ind w:left="853"/>
        <w:rPr>
          <w:rFonts w:hint="eastAsia" w:ascii="宋体" w:hAnsi="宋体" w:cs="宋体"/>
          <w:b/>
          <w:bCs/>
          <w:color w:val="000000" w:themeColor="text1"/>
          <w:sz w:val="35"/>
          <w:szCs w:val="35"/>
          <w14:textFill>
            <w14:solidFill>
              <w14:schemeClr w14:val="tx1"/>
            </w14:solidFill>
          </w14:textFill>
        </w:rPr>
      </w:pPr>
      <w:r>
        <w:rPr>
          <w:rFonts w:hint="eastAsia" w:ascii="宋体" w:hAnsi="宋体" w:cs="宋体"/>
          <w:b/>
          <w:bCs/>
          <w:color w:val="000000" w:themeColor="text1"/>
          <w:spacing w:val="7"/>
          <w:sz w:val="35"/>
          <w:szCs w:val="35"/>
          <w14:textFill>
            <w14:solidFill>
              <w14:schemeClr w14:val="tx1"/>
            </w14:solidFill>
          </w14:textFill>
        </w:rPr>
        <w:t>采购代理机构：</w:t>
      </w:r>
      <w:r>
        <w:rPr>
          <w:rFonts w:hint="eastAsia" w:ascii="宋体" w:hAnsi="宋体" w:cs="宋体"/>
          <w:b/>
          <w:bCs/>
          <w:color w:val="000000" w:themeColor="text1"/>
          <w:sz w:val="35"/>
          <w:szCs w:val="35"/>
          <w14:textFill>
            <w14:solidFill>
              <w14:schemeClr w14:val="tx1"/>
            </w14:solidFill>
          </w14:textFill>
        </w:rPr>
        <w:t>北京市京发招标有限公司</w:t>
      </w:r>
    </w:p>
    <w:p>
      <w:pPr>
        <w:widowControl/>
        <w:jc w:val="left"/>
        <w:rPr>
          <w:rFonts w:hint="eastAsia" w:ascii="宋体" w:hAnsi="宋体" w:cs="宋体"/>
          <w:b/>
          <w:color w:val="000000" w:themeColor="text1"/>
          <w:sz w:val="72"/>
          <w14:textFill>
            <w14:solidFill>
              <w14:schemeClr w14:val="tx1"/>
            </w14:solidFill>
          </w14:textFill>
        </w:rPr>
      </w:pPr>
    </w:p>
    <w:p>
      <w:pPr>
        <w:widowControl/>
        <w:jc w:val="left"/>
        <w:rPr>
          <w:rFonts w:hint="eastAsia" w:ascii="宋体" w:hAnsi="宋体" w:cs="宋体"/>
          <w:b/>
          <w:color w:val="000000" w:themeColor="text1"/>
          <w:sz w:val="36"/>
          <w:szCs w:val="36"/>
          <w14:textFill>
            <w14:solidFill>
              <w14:schemeClr w14:val="tx1"/>
            </w14:solidFill>
          </w14:textFill>
        </w:rPr>
        <w:sectPr>
          <w:headerReference r:id="rId3" w:type="default"/>
          <w:footerReference r:id="rId5" w:type="default"/>
          <w:headerReference r:id="rId4" w:type="even"/>
          <w:footerReference r:id="rId6" w:type="even"/>
          <w:pgSz w:w="11907" w:h="16840"/>
          <w:pgMar w:top="1440" w:right="1800" w:bottom="1440" w:left="1800" w:header="851" w:footer="851" w:gutter="0"/>
          <w:cols w:space="720" w:num="1"/>
          <w:docGrid w:linePitch="462" w:charSpace="0"/>
        </w:sectPr>
      </w:pPr>
      <w:bookmarkStart w:id="0" w:name="_Toc99301418"/>
      <w:r>
        <w:rPr>
          <w:rFonts w:ascii="宋体" w:hAnsi="宋体" w:cs="宋体"/>
          <w:b/>
          <w:color w:val="000000" w:themeColor="text1"/>
          <w:sz w:val="36"/>
          <w:szCs w:val="36"/>
          <w14:textFill>
            <w14:solidFill>
              <w14:schemeClr w14:val="tx1"/>
            </w14:solidFill>
          </w14:textFill>
        </w:rPr>
        <w:br w:type="page"/>
      </w:r>
    </w:p>
    <w:p>
      <w:pPr>
        <w:widowControl/>
        <w:jc w:val="left"/>
        <w:rPr>
          <w:rFonts w:hint="eastAsia" w:ascii="宋体" w:hAnsi="宋体" w:cs="宋体"/>
          <w:b/>
          <w:color w:val="000000" w:themeColor="text1"/>
          <w:sz w:val="36"/>
          <w:szCs w:val="36"/>
          <w14:textFill>
            <w14:solidFill>
              <w14:schemeClr w14:val="tx1"/>
            </w14:solidFill>
          </w14:textFill>
        </w:rPr>
      </w:pPr>
    </w:p>
    <w:p>
      <w:pPr>
        <w:spacing w:line="360" w:lineRule="auto"/>
        <w:jc w:val="center"/>
        <w:outlineLvl w:val="0"/>
        <w:rPr>
          <w:rFonts w:hint="eastAsia" w:ascii="宋体" w:hAnsi="宋体" w:cs="宋体"/>
          <w:b/>
          <w:color w:val="000000" w:themeColor="text1"/>
          <w:sz w:val="36"/>
          <w:szCs w:val="36"/>
          <w14:textFill>
            <w14:solidFill>
              <w14:schemeClr w14:val="tx1"/>
            </w14:solidFill>
          </w14:textFill>
        </w:rPr>
      </w:pPr>
      <w:bookmarkStart w:id="1" w:name="_Toc2665"/>
      <w:bookmarkStart w:id="2" w:name="_Toc218620565"/>
      <w:r>
        <w:rPr>
          <w:rFonts w:hint="eastAsia" w:ascii="宋体" w:hAnsi="宋体" w:cs="宋体"/>
          <w:b/>
          <w:color w:val="000000" w:themeColor="text1"/>
          <w:sz w:val="36"/>
          <w:szCs w:val="36"/>
          <w14:textFill>
            <w14:solidFill>
              <w14:schemeClr w14:val="tx1"/>
            </w14:solidFill>
          </w14:textFill>
        </w:rPr>
        <w:t>目      录</w:t>
      </w:r>
      <w:bookmarkEnd w:id="0"/>
      <w:bookmarkEnd w:id="1"/>
      <w:bookmarkEnd w:id="2"/>
    </w:p>
    <w:p>
      <w:pPr>
        <w:pStyle w:val="35"/>
        <w:rPr>
          <w:rFonts w:hint="eastAsia" w:cstheme="minorBidi"/>
          <w:b w:val="0"/>
          <w:sz w:val="21"/>
          <w:szCs w:val="22"/>
        </w:rPr>
      </w:pPr>
      <w:r>
        <w:fldChar w:fldCharType="begin"/>
      </w:r>
      <w:r>
        <w:instrText xml:space="preserve">TOC \o "1-1" \h \u </w:instrText>
      </w:r>
      <w:r>
        <w:fldChar w:fldCharType="separate"/>
      </w:r>
    </w:p>
    <w:p>
      <w:pPr>
        <w:pStyle w:val="35"/>
        <w:rPr>
          <w:rFonts w:hint="eastAsia" w:cstheme="minorBidi"/>
          <w:b w:val="0"/>
          <w:sz w:val="21"/>
          <w:szCs w:val="22"/>
        </w:rPr>
      </w:pPr>
      <w:r>
        <w:fldChar w:fldCharType="begin"/>
      </w:r>
      <w:r>
        <w:instrText xml:space="preserve"> HYPERLINK \l "_Toc218620566" </w:instrText>
      </w:r>
      <w:r>
        <w:fldChar w:fldCharType="separate"/>
      </w:r>
      <w:r>
        <w:rPr>
          <w:rStyle w:val="60"/>
          <w:rFonts w:cs="宋体"/>
        </w:rPr>
        <w:t>第一章   投标邀请</w:t>
      </w:r>
      <w:r>
        <w:tab/>
      </w:r>
      <w:r>
        <w:fldChar w:fldCharType="begin"/>
      </w:r>
      <w:r>
        <w:instrText xml:space="preserve"> PAGEREF _Toc218620566 \h </w:instrText>
      </w:r>
      <w:r>
        <w:fldChar w:fldCharType="separate"/>
      </w:r>
      <w:r>
        <w:t>1</w:t>
      </w:r>
      <w:r>
        <w:fldChar w:fldCharType="end"/>
      </w:r>
      <w:r>
        <w:fldChar w:fldCharType="end"/>
      </w:r>
    </w:p>
    <w:p>
      <w:pPr>
        <w:pStyle w:val="35"/>
        <w:rPr>
          <w:rFonts w:hint="eastAsia" w:cstheme="minorBidi"/>
          <w:b w:val="0"/>
          <w:sz w:val="21"/>
          <w:szCs w:val="22"/>
        </w:rPr>
      </w:pPr>
      <w:r>
        <w:fldChar w:fldCharType="begin"/>
      </w:r>
      <w:r>
        <w:instrText xml:space="preserve"> HYPERLINK \l "_Toc218620567" </w:instrText>
      </w:r>
      <w:r>
        <w:fldChar w:fldCharType="separate"/>
      </w:r>
      <w:r>
        <w:rPr>
          <w:rStyle w:val="60"/>
          <w:rFonts w:cs="宋体"/>
        </w:rPr>
        <w:t>第二章   投标人须知</w:t>
      </w:r>
      <w:r>
        <w:tab/>
      </w:r>
      <w:r>
        <w:fldChar w:fldCharType="begin"/>
      </w:r>
      <w:r>
        <w:instrText xml:space="preserve"> PAGEREF _Toc218620567 \h </w:instrText>
      </w:r>
      <w:r>
        <w:fldChar w:fldCharType="separate"/>
      </w:r>
      <w:r>
        <w:t>6</w:t>
      </w:r>
      <w:r>
        <w:fldChar w:fldCharType="end"/>
      </w:r>
      <w:r>
        <w:fldChar w:fldCharType="end"/>
      </w:r>
    </w:p>
    <w:p>
      <w:pPr>
        <w:pStyle w:val="35"/>
        <w:rPr>
          <w:rFonts w:hint="eastAsia" w:cstheme="minorBidi"/>
          <w:b w:val="0"/>
          <w:sz w:val="21"/>
          <w:szCs w:val="22"/>
        </w:rPr>
      </w:pPr>
      <w:r>
        <w:fldChar w:fldCharType="begin"/>
      </w:r>
      <w:r>
        <w:instrText xml:space="preserve"> HYPERLINK \l "_Toc218620568" </w:instrText>
      </w:r>
      <w:r>
        <w:fldChar w:fldCharType="separate"/>
      </w:r>
      <w:r>
        <w:rPr>
          <w:rStyle w:val="60"/>
          <w:rFonts w:cs="宋体"/>
        </w:rPr>
        <w:t>第三章   资格审查</w:t>
      </w:r>
      <w:r>
        <w:tab/>
      </w:r>
      <w:r>
        <w:fldChar w:fldCharType="begin"/>
      </w:r>
      <w:r>
        <w:instrText xml:space="preserve"> PAGEREF _Toc218620568 \h </w:instrText>
      </w:r>
      <w:r>
        <w:fldChar w:fldCharType="separate"/>
      </w:r>
      <w:r>
        <w:t>24</w:t>
      </w:r>
      <w:r>
        <w:fldChar w:fldCharType="end"/>
      </w:r>
      <w:r>
        <w:fldChar w:fldCharType="end"/>
      </w:r>
    </w:p>
    <w:p>
      <w:pPr>
        <w:pStyle w:val="35"/>
        <w:rPr>
          <w:rFonts w:hint="eastAsia" w:cstheme="minorBidi"/>
          <w:b w:val="0"/>
          <w:sz w:val="21"/>
          <w:szCs w:val="22"/>
        </w:rPr>
      </w:pPr>
      <w:r>
        <w:fldChar w:fldCharType="begin"/>
      </w:r>
      <w:r>
        <w:instrText xml:space="preserve"> HYPERLINK \l "_Toc218620569" </w:instrText>
      </w:r>
      <w:r>
        <w:fldChar w:fldCharType="separate"/>
      </w:r>
      <w:r>
        <w:rPr>
          <w:rStyle w:val="60"/>
          <w:rFonts w:cs="宋体"/>
        </w:rPr>
        <w:t>第四章   评标程序、评标方法和评标标准</w:t>
      </w:r>
      <w:r>
        <w:tab/>
      </w:r>
      <w:r>
        <w:fldChar w:fldCharType="begin"/>
      </w:r>
      <w:r>
        <w:instrText xml:space="preserve"> PAGEREF _Toc218620569 \h </w:instrText>
      </w:r>
      <w:r>
        <w:fldChar w:fldCharType="separate"/>
      </w:r>
      <w:r>
        <w:t>27</w:t>
      </w:r>
      <w:r>
        <w:fldChar w:fldCharType="end"/>
      </w:r>
      <w:r>
        <w:fldChar w:fldCharType="end"/>
      </w:r>
    </w:p>
    <w:p>
      <w:pPr>
        <w:pStyle w:val="35"/>
        <w:rPr>
          <w:rFonts w:hint="eastAsia" w:cstheme="minorBidi"/>
          <w:b w:val="0"/>
          <w:sz w:val="21"/>
          <w:szCs w:val="22"/>
        </w:rPr>
      </w:pPr>
      <w:r>
        <w:fldChar w:fldCharType="begin"/>
      </w:r>
      <w:r>
        <w:instrText xml:space="preserve"> HYPERLINK \l "_Toc218620570" </w:instrText>
      </w:r>
      <w:r>
        <w:fldChar w:fldCharType="separate"/>
      </w:r>
      <w:r>
        <w:rPr>
          <w:rStyle w:val="60"/>
          <w:rFonts w:cs="宋体"/>
        </w:rPr>
        <w:t>第五章   采购需求</w:t>
      </w:r>
      <w:r>
        <w:tab/>
      </w:r>
      <w:r>
        <w:fldChar w:fldCharType="begin"/>
      </w:r>
      <w:r>
        <w:instrText xml:space="preserve"> PAGEREF _Toc218620570 \h </w:instrText>
      </w:r>
      <w:r>
        <w:fldChar w:fldCharType="separate"/>
      </w:r>
      <w:r>
        <w:t>35</w:t>
      </w:r>
      <w:r>
        <w:fldChar w:fldCharType="end"/>
      </w:r>
      <w:r>
        <w:fldChar w:fldCharType="end"/>
      </w:r>
    </w:p>
    <w:p>
      <w:pPr>
        <w:pStyle w:val="35"/>
        <w:rPr>
          <w:rFonts w:hint="eastAsia" w:cstheme="minorBidi"/>
          <w:b w:val="0"/>
          <w:sz w:val="21"/>
          <w:szCs w:val="22"/>
        </w:rPr>
      </w:pPr>
      <w:r>
        <w:fldChar w:fldCharType="begin"/>
      </w:r>
      <w:r>
        <w:instrText xml:space="preserve"> HYPERLINK \l "_Toc218620574" </w:instrText>
      </w:r>
      <w:r>
        <w:fldChar w:fldCharType="separate"/>
      </w:r>
      <w:r>
        <w:rPr>
          <w:rStyle w:val="60"/>
          <w:rFonts w:cs="宋体"/>
        </w:rPr>
        <w:t>第六章   拟签订的合同文本</w:t>
      </w:r>
      <w:r>
        <w:tab/>
      </w:r>
      <w:r>
        <w:fldChar w:fldCharType="begin"/>
      </w:r>
      <w:r>
        <w:instrText xml:space="preserve"> PAGEREF _Toc218620574 \h </w:instrText>
      </w:r>
      <w:r>
        <w:fldChar w:fldCharType="separate"/>
      </w:r>
      <w:r>
        <w:t>42</w:t>
      </w:r>
      <w:r>
        <w:fldChar w:fldCharType="end"/>
      </w:r>
      <w:r>
        <w:fldChar w:fldCharType="end"/>
      </w:r>
    </w:p>
    <w:p>
      <w:pPr>
        <w:pStyle w:val="35"/>
        <w:rPr>
          <w:rFonts w:hint="eastAsia" w:cstheme="minorBidi"/>
          <w:b w:val="0"/>
          <w:sz w:val="21"/>
          <w:szCs w:val="22"/>
        </w:rPr>
      </w:pPr>
      <w:r>
        <w:fldChar w:fldCharType="begin"/>
      </w:r>
      <w:r>
        <w:instrText xml:space="preserve"> HYPERLINK \l "_Toc218620575" </w:instrText>
      </w:r>
      <w:r>
        <w:fldChar w:fldCharType="separate"/>
      </w:r>
      <w:r>
        <w:rPr>
          <w:rStyle w:val="60"/>
          <w:rFonts w:cs="宋体"/>
        </w:rPr>
        <w:t>第七章   投标文件格式</w:t>
      </w:r>
      <w:r>
        <w:tab/>
      </w:r>
      <w:r>
        <w:fldChar w:fldCharType="begin"/>
      </w:r>
      <w:r>
        <w:instrText xml:space="preserve"> PAGEREF _Toc218620575 \h </w:instrText>
      </w:r>
      <w:r>
        <w:fldChar w:fldCharType="separate"/>
      </w:r>
      <w:r>
        <w:t>59</w:t>
      </w:r>
      <w:r>
        <w:fldChar w:fldCharType="end"/>
      </w:r>
      <w:r>
        <w:fldChar w:fldCharType="end"/>
      </w:r>
    </w:p>
    <w:p>
      <w:pPr>
        <w:spacing w:line="360" w:lineRule="auto"/>
        <w:rPr>
          <w:rFonts w:hint="eastAsia" w:ascii="宋体" w:hAnsi="宋体"/>
          <w:sz w:val="24"/>
        </w:rPr>
        <w:sectPr>
          <w:footerReference r:id="rId7" w:type="default"/>
          <w:pgSz w:w="11907" w:h="16840"/>
          <w:pgMar w:top="1440" w:right="1800" w:bottom="1440" w:left="1800" w:header="851" w:footer="851" w:gutter="0"/>
          <w:pgNumType w:start="1"/>
          <w:cols w:space="720" w:num="1"/>
          <w:docGrid w:linePitch="462" w:charSpace="0"/>
        </w:sectPr>
      </w:pPr>
      <w:r>
        <w:rPr>
          <w:rFonts w:ascii="宋体" w:hAnsi="宋体"/>
          <w:sz w:val="24"/>
        </w:rPr>
        <w:fldChar w:fldCharType="end"/>
      </w:r>
    </w:p>
    <w:p>
      <w:pPr>
        <w:spacing w:line="360" w:lineRule="auto"/>
        <w:jc w:val="center"/>
        <w:outlineLvl w:val="0"/>
        <w:rPr>
          <w:rFonts w:hint="eastAsia" w:ascii="宋体" w:hAnsi="宋体" w:cs="宋体"/>
          <w:b/>
          <w:color w:val="000000" w:themeColor="text1"/>
          <w:sz w:val="36"/>
          <w:szCs w:val="36"/>
          <w14:textFill>
            <w14:solidFill>
              <w14:schemeClr w14:val="tx1"/>
            </w14:solidFill>
          </w14:textFill>
        </w:rPr>
      </w:pPr>
      <w:bookmarkStart w:id="3" w:name="_Toc99301419"/>
      <w:bookmarkStart w:id="4" w:name="_Toc218620566"/>
      <w:r>
        <w:rPr>
          <w:rFonts w:hint="eastAsia" w:ascii="宋体" w:hAnsi="宋体" w:cs="宋体"/>
          <w:b/>
          <w:color w:val="000000" w:themeColor="text1"/>
          <w:sz w:val="36"/>
          <w:szCs w:val="36"/>
          <w14:textFill>
            <w14:solidFill>
              <w14:schemeClr w14:val="tx1"/>
            </w14:solidFill>
          </w14:textFill>
        </w:rPr>
        <w:t>第一章   投标邀请</w:t>
      </w:r>
      <w:bookmarkEnd w:id="3"/>
      <w:bookmarkEnd w:id="4"/>
    </w:p>
    <w:p>
      <w:pPr>
        <w:spacing w:line="360" w:lineRule="auto"/>
        <w:ind w:firstLine="640" w:firstLineChars="200"/>
        <w:rPr>
          <w:rFonts w:hint="eastAsia" w:ascii="宋体" w:hAnsi="宋体" w:cs="宋体"/>
          <w:color w:val="000000" w:themeColor="text1"/>
          <w:sz w:val="32"/>
          <w:szCs w:val="32"/>
          <w14:textFill>
            <w14:solidFill>
              <w14:schemeClr w14:val="tx1"/>
            </w14:solidFill>
          </w14:textFill>
        </w:rPr>
      </w:pPr>
    </w:p>
    <w:p>
      <w:pPr>
        <w:spacing w:line="360" w:lineRule="auto"/>
        <w:jc w:val="left"/>
        <w:rPr>
          <w:rFonts w:hint="eastAsia" w:ascii="宋体" w:hAnsi="宋体" w:cs="宋体"/>
          <w:b/>
          <w:color w:val="000000" w:themeColor="text1"/>
          <w:sz w:val="24"/>
          <w14:textFill>
            <w14:solidFill>
              <w14:schemeClr w14:val="tx1"/>
            </w14:solidFill>
          </w14:textFill>
        </w:rPr>
      </w:pPr>
      <w:bookmarkStart w:id="5" w:name="_Toc28359079"/>
      <w:bookmarkStart w:id="6" w:name="_Toc35393621"/>
      <w:bookmarkStart w:id="7" w:name="_Toc35393790"/>
      <w:bookmarkStart w:id="8" w:name="_Toc28359002"/>
      <w:bookmarkStart w:id="9" w:name="_Hlk24379207"/>
      <w:r>
        <w:rPr>
          <w:rFonts w:hint="eastAsia" w:ascii="宋体" w:hAnsi="宋体" w:cs="宋体"/>
          <w:b/>
          <w:color w:val="000000" w:themeColor="text1"/>
          <w:sz w:val="24"/>
          <w14:textFill>
            <w14:solidFill>
              <w14:schemeClr w14:val="tx1"/>
            </w14:solidFill>
          </w14:textFill>
        </w:rPr>
        <w:t>一、项目基本情况</w:t>
      </w:r>
      <w:bookmarkEnd w:id="5"/>
      <w:bookmarkEnd w:id="6"/>
      <w:bookmarkEnd w:id="7"/>
      <w:bookmarkEnd w:id="8"/>
    </w:p>
    <w:bookmarkEnd w:id="9"/>
    <w:p>
      <w:pPr>
        <w:pStyle w:val="21"/>
        <w:ind w:firstLine="480"/>
        <w:rPr>
          <w:rFonts w:hint="eastAsia"/>
        </w:rPr>
      </w:pPr>
      <w:bookmarkStart w:id="10" w:name="OLE_LINK45"/>
      <w:r>
        <w:rPr>
          <w:rFonts w:hint="eastAsia"/>
        </w:rPr>
        <w:t>1.项目编号：11000026210200171935-XM001</w:t>
      </w:r>
    </w:p>
    <w:p>
      <w:pPr>
        <w:pStyle w:val="21"/>
        <w:ind w:firstLine="480"/>
        <w:rPr>
          <w:rFonts w:hint="eastAsia"/>
        </w:rPr>
      </w:pPr>
      <w:r>
        <w:rPr>
          <w:rFonts w:hint="eastAsia"/>
        </w:rPr>
        <w:t>2.项目名称：中央补助乡村旅游品牌培育与消费促进项目</w:t>
      </w:r>
    </w:p>
    <w:p>
      <w:pPr>
        <w:pStyle w:val="21"/>
        <w:ind w:firstLine="480"/>
        <w:rPr>
          <w:rFonts w:hint="eastAsia"/>
        </w:rPr>
      </w:pPr>
      <w:r>
        <w:rPr>
          <w:rFonts w:hint="eastAsia"/>
        </w:rPr>
        <w:t>3.项目预算金额：</w:t>
      </w:r>
      <w:r>
        <w:rPr>
          <w:rFonts w:hint="eastAsia"/>
          <w:u w:val="single"/>
        </w:rPr>
        <w:t>197</w:t>
      </w:r>
      <w:r>
        <w:rPr>
          <w:rFonts w:hint="eastAsia"/>
        </w:rPr>
        <w:t xml:space="preserve">万元，项目最高限价（如有）：197万元 </w:t>
      </w:r>
    </w:p>
    <w:p>
      <w:pPr>
        <w:spacing w:line="360" w:lineRule="auto"/>
        <w:ind w:firstLine="480" w:firstLineChars="200"/>
        <w:rPr>
          <w:rFonts w:hint="eastAsia" w:ascii="宋体" w:hAnsi="宋体" w:cs="宋体"/>
          <w:sz w:val="24"/>
        </w:rPr>
      </w:pPr>
      <w:r>
        <w:rPr>
          <w:rFonts w:hint="eastAsia" w:ascii="宋体" w:hAnsi="宋体" w:cs="宋体"/>
          <w:sz w:val="24"/>
        </w:rPr>
        <w:t>4.采购需求：</w:t>
      </w:r>
      <w:bookmarkStart w:id="11" w:name="OLE_LINK118"/>
      <w:r>
        <w:rPr>
          <w:rFonts w:hint="eastAsia" w:ascii="宋体" w:hAnsi="宋体" w:cs="宋体"/>
          <w:color w:val="000000" w:themeColor="text1"/>
          <w:sz w:val="24"/>
          <w14:textFill>
            <w14:solidFill>
              <w14:schemeClr w14:val="tx1"/>
            </w14:solidFill>
          </w14:textFill>
        </w:rPr>
        <w:t>该项目共分2个包，要求投标人需对整包进行投标，中标后不得分包。</w:t>
      </w:r>
      <w:bookmarkEnd w:id="11"/>
    </w:p>
    <w:tbl>
      <w:tblPr>
        <w:tblStyle w:val="52"/>
        <w:tblW w:w="88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9"/>
        <w:gridCol w:w="1956"/>
        <w:gridCol w:w="2111"/>
        <w:gridCol w:w="493"/>
        <w:gridCol w:w="1563"/>
        <w:gridCol w:w="1303"/>
        <w:gridCol w:w="7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0" w:hRule="atLeast"/>
        </w:trPr>
        <w:tc>
          <w:tcPr>
            <w:tcW w:w="649" w:type="dxa"/>
            <w:vAlign w:val="center"/>
          </w:tcPr>
          <w:p>
            <w:pPr>
              <w:autoSpaceDE w:val="0"/>
              <w:autoSpaceDN w:val="0"/>
              <w:spacing w:before="86" w:line="211" w:lineRule="auto"/>
              <w:ind w:firstLine="1"/>
              <w:jc w:val="center"/>
              <w:rPr>
                <w:rFonts w:hint="eastAsia" w:ascii="宋体" w:hAnsi="宋体" w:cs="宋体"/>
                <w:sz w:val="24"/>
              </w:rPr>
            </w:pPr>
            <w:bookmarkStart w:id="12" w:name="OLE_LINK135"/>
            <w:bookmarkStart w:id="13" w:name="OLE_LINK134"/>
            <w:r>
              <w:rPr>
                <w:rFonts w:hint="eastAsia" w:ascii="宋体" w:hAnsi="宋体" w:cs="宋体"/>
                <w:sz w:val="24"/>
              </w:rPr>
              <w:t>包号</w:t>
            </w:r>
          </w:p>
        </w:tc>
        <w:tc>
          <w:tcPr>
            <w:tcW w:w="1956" w:type="dxa"/>
            <w:vAlign w:val="center"/>
          </w:tcPr>
          <w:p>
            <w:pPr>
              <w:autoSpaceDE w:val="0"/>
              <w:autoSpaceDN w:val="0"/>
              <w:spacing w:before="85" w:line="208" w:lineRule="auto"/>
              <w:ind w:firstLine="128"/>
              <w:jc w:val="center"/>
              <w:rPr>
                <w:rFonts w:hint="eastAsia" w:ascii="宋体" w:hAnsi="宋体" w:cs="宋体"/>
                <w:sz w:val="24"/>
              </w:rPr>
            </w:pPr>
            <w:r>
              <w:rPr>
                <w:rFonts w:hint="eastAsia" w:ascii="宋体" w:hAnsi="宋体" w:cs="宋体"/>
                <w:sz w:val="24"/>
              </w:rPr>
              <w:t>项目名称</w:t>
            </w:r>
          </w:p>
        </w:tc>
        <w:tc>
          <w:tcPr>
            <w:tcW w:w="2111" w:type="dxa"/>
            <w:vAlign w:val="center"/>
          </w:tcPr>
          <w:p>
            <w:pPr>
              <w:autoSpaceDE w:val="0"/>
              <w:autoSpaceDN w:val="0"/>
              <w:spacing w:before="86" w:line="207" w:lineRule="auto"/>
              <w:jc w:val="center"/>
              <w:rPr>
                <w:rFonts w:hint="eastAsia" w:ascii="宋体" w:hAnsi="宋体" w:cs="宋体"/>
                <w:spacing w:val="6"/>
                <w:sz w:val="24"/>
              </w:rPr>
            </w:pPr>
            <w:r>
              <w:rPr>
                <w:rFonts w:hint="eastAsia" w:ascii="宋体" w:hAnsi="宋体" w:cs="宋体"/>
                <w:spacing w:val="6"/>
                <w:sz w:val="24"/>
              </w:rPr>
              <w:t>标的名称</w:t>
            </w:r>
          </w:p>
        </w:tc>
        <w:tc>
          <w:tcPr>
            <w:tcW w:w="493" w:type="dxa"/>
            <w:vAlign w:val="center"/>
          </w:tcPr>
          <w:p>
            <w:pPr>
              <w:autoSpaceDE w:val="0"/>
              <w:autoSpaceDN w:val="0"/>
              <w:spacing w:before="86" w:line="207" w:lineRule="auto"/>
              <w:jc w:val="center"/>
              <w:rPr>
                <w:rFonts w:hint="eastAsia" w:ascii="宋体" w:hAnsi="宋体" w:cs="宋体"/>
                <w:sz w:val="24"/>
              </w:rPr>
            </w:pPr>
            <w:r>
              <w:rPr>
                <w:rFonts w:hint="eastAsia" w:ascii="宋体" w:hAnsi="宋体" w:cs="宋体"/>
                <w:spacing w:val="6"/>
                <w:sz w:val="24"/>
              </w:rPr>
              <w:t>数量</w:t>
            </w:r>
          </w:p>
        </w:tc>
        <w:tc>
          <w:tcPr>
            <w:tcW w:w="1563" w:type="dxa"/>
            <w:vAlign w:val="center"/>
          </w:tcPr>
          <w:p>
            <w:pPr>
              <w:autoSpaceDE w:val="0"/>
              <w:autoSpaceDN w:val="0"/>
              <w:spacing w:before="86" w:line="207" w:lineRule="auto"/>
              <w:jc w:val="center"/>
              <w:rPr>
                <w:rFonts w:hint="eastAsia" w:ascii="宋体" w:hAnsi="宋体" w:cs="宋体"/>
                <w:sz w:val="24"/>
              </w:rPr>
            </w:pPr>
            <w:r>
              <w:rPr>
                <w:rFonts w:hint="eastAsia" w:ascii="宋体" w:hAnsi="宋体" w:cs="宋体"/>
                <w:spacing w:val="9"/>
                <w:sz w:val="24"/>
              </w:rPr>
              <w:t>简要技术需求或服务要求</w:t>
            </w:r>
          </w:p>
        </w:tc>
        <w:tc>
          <w:tcPr>
            <w:tcW w:w="1303" w:type="dxa"/>
            <w:vAlign w:val="center"/>
          </w:tcPr>
          <w:p>
            <w:pPr>
              <w:autoSpaceDE w:val="0"/>
              <w:autoSpaceDN w:val="0"/>
              <w:spacing w:before="40" w:line="203" w:lineRule="auto"/>
              <w:ind w:right="-5"/>
              <w:rPr>
                <w:rFonts w:hint="eastAsia" w:ascii="宋体" w:hAnsi="宋体" w:cs="宋体"/>
                <w:sz w:val="24"/>
              </w:rPr>
            </w:pPr>
            <w:r>
              <w:rPr>
                <w:rFonts w:hint="eastAsia" w:ascii="宋体" w:hAnsi="宋体" w:cs="宋体"/>
                <w:spacing w:val="1"/>
                <w:sz w:val="24"/>
              </w:rPr>
              <w:t>采购包预算金额</w:t>
            </w:r>
            <w:r>
              <w:rPr>
                <w:rFonts w:hint="eastAsia" w:ascii="宋体" w:hAnsi="宋体" w:cs="宋体"/>
                <w:spacing w:val="11"/>
                <w:sz w:val="24"/>
              </w:rPr>
              <w:t>（万元）</w:t>
            </w:r>
          </w:p>
        </w:tc>
        <w:tc>
          <w:tcPr>
            <w:tcW w:w="781" w:type="dxa"/>
            <w:vAlign w:val="center"/>
          </w:tcPr>
          <w:p>
            <w:pPr>
              <w:autoSpaceDE w:val="0"/>
              <w:autoSpaceDN w:val="0"/>
              <w:spacing w:before="86" w:line="207" w:lineRule="auto"/>
              <w:jc w:val="center"/>
              <w:rPr>
                <w:rFonts w:hint="eastAsia" w:ascii="宋体" w:hAnsi="宋体" w:cs="宋体"/>
                <w:spacing w:val="9"/>
                <w:sz w:val="24"/>
              </w:rPr>
            </w:pPr>
            <w:r>
              <w:rPr>
                <w:rFonts w:hint="eastAsia" w:ascii="宋体" w:hAnsi="宋体" w:cs="宋体"/>
                <w:spacing w:val="9"/>
                <w:sz w:val="24"/>
              </w:rPr>
              <w:t>是否接受进口产品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7" w:hRule="atLeast"/>
        </w:trPr>
        <w:tc>
          <w:tcPr>
            <w:tcW w:w="649" w:type="dxa"/>
            <w:vAlign w:val="center"/>
          </w:tcPr>
          <w:p>
            <w:pPr>
              <w:autoSpaceDE w:val="0"/>
              <w:autoSpaceDN w:val="0"/>
              <w:spacing w:before="86" w:line="211" w:lineRule="auto"/>
              <w:ind w:firstLine="1"/>
              <w:jc w:val="center"/>
              <w:rPr>
                <w:rFonts w:hint="eastAsia" w:ascii="宋体" w:hAnsi="宋体" w:cs="宋体"/>
                <w:spacing w:val="7"/>
                <w:sz w:val="24"/>
              </w:rPr>
            </w:pPr>
            <w:bookmarkStart w:id="14" w:name="_Hlk188519384"/>
            <w:r>
              <w:rPr>
                <w:rFonts w:ascii="宋体" w:hAnsi="宋体" w:cs="宋体"/>
                <w:spacing w:val="7"/>
                <w:sz w:val="24"/>
              </w:rPr>
              <w:t>1</w:t>
            </w:r>
          </w:p>
        </w:tc>
        <w:tc>
          <w:tcPr>
            <w:tcW w:w="1956" w:type="dxa"/>
            <w:vMerge w:val="restart"/>
            <w:vAlign w:val="center"/>
          </w:tcPr>
          <w:p>
            <w:pPr>
              <w:autoSpaceDE w:val="0"/>
              <w:autoSpaceDN w:val="0"/>
              <w:spacing w:before="86" w:line="211" w:lineRule="auto"/>
              <w:ind w:firstLine="1"/>
              <w:jc w:val="center"/>
              <w:rPr>
                <w:rFonts w:hint="eastAsia" w:ascii="宋体" w:hAnsi="宋体" w:cs="宋体"/>
                <w:spacing w:val="7"/>
                <w:sz w:val="24"/>
              </w:rPr>
            </w:pPr>
            <w:r>
              <w:rPr>
                <w:rFonts w:hint="eastAsia" w:ascii="宋体" w:hAnsi="宋体" w:cs="宋体"/>
                <w:spacing w:val="7"/>
                <w:sz w:val="24"/>
              </w:rPr>
              <w:t>中央补助乡村旅游品牌培育与消费促进项目</w:t>
            </w:r>
          </w:p>
        </w:tc>
        <w:tc>
          <w:tcPr>
            <w:tcW w:w="2111" w:type="dxa"/>
            <w:vAlign w:val="center"/>
          </w:tcPr>
          <w:p>
            <w:pPr>
              <w:pStyle w:val="260"/>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乡村旅游消费促进</w:t>
            </w:r>
          </w:p>
        </w:tc>
        <w:tc>
          <w:tcPr>
            <w:tcW w:w="493" w:type="dxa"/>
            <w:vAlign w:val="center"/>
          </w:tcPr>
          <w:p>
            <w:pPr>
              <w:pStyle w:val="260"/>
              <w:jc w:val="center"/>
              <w:rPr>
                <w:rFonts w:hint="eastAsia" w:ascii="宋体" w:hAnsi="宋体" w:eastAsia="宋体" w:cs="宋体"/>
                <w:color w:val="auto"/>
                <w:sz w:val="24"/>
                <w:szCs w:val="24"/>
                <w:lang w:eastAsia="zh-CN"/>
              </w:rPr>
            </w:pPr>
            <w:r>
              <w:rPr>
                <w:rFonts w:hint="eastAsia" w:ascii="宋体" w:hAnsi="宋体" w:eastAsia="宋体" w:cs="宋体"/>
                <w:color w:val="auto"/>
                <w:sz w:val="24"/>
                <w:lang w:eastAsia="zh-CN"/>
              </w:rPr>
              <w:t>1</w:t>
            </w:r>
          </w:p>
        </w:tc>
        <w:tc>
          <w:tcPr>
            <w:tcW w:w="1563" w:type="dxa"/>
            <w:vAlign w:val="center"/>
          </w:tcPr>
          <w:p>
            <w:pPr>
              <w:pStyle w:val="260"/>
              <w:jc w:val="center"/>
              <w:rPr>
                <w:rFonts w:hint="eastAsia" w:ascii="宋体" w:hAnsi="宋体" w:eastAsia="宋体" w:cs="宋体"/>
                <w:color w:val="auto"/>
                <w:sz w:val="24"/>
                <w:szCs w:val="24"/>
                <w:lang w:eastAsia="zh-CN"/>
              </w:rPr>
            </w:pPr>
            <w:r>
              <w:rPr>
                <w:rFonts w:hint="eastAsia" w:ascii="宋体" w:hAnsi="宋体" w:eastAsia="宋体" w:cs="宋体"/>
                <w:color w:val="auto"/>
                <w:sz w:val="24"/>
                <w:lang w:eastAsia="zh-CN"/>
              </w:rPr>
              <w:t>详见招标文件第五章 采购需求</w:t>
            </w:r>
          </w:p>
        </w:tc>
        <w:tc>
          <w:tcPr>
            <w:tcW w:w="1303" w:type="dxa"/>
            <w:vAlign w:val="center"/>
          </w:tcPr>
          <w:p>
            <w:pPr>
              <w:pStyle w:val="260"/>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150</w:t>
            </w:r>
          </w:p>
        </w:tc>
        <w:tc>
          <w:tcPr>
            <w:tcW w:w="781" w:type="dxa"/>
            <w:vAlign w:val="center"/>
          </w:tcPr>
          <w:p>
            <w:pPr>
              <w:autoSpaceDE w:val="0"/>
              <w:autoSpaceDN w:val="0"/>
              <w:spacing w:before="86" w:line="211" w:lineRule="auto"/>
              <w:jc w:val="center"/>
              <w:rPr>
                <w:rFonts w:hint="eastAsia" w:ascii="宋体" w:hAnsi="宋体" w:cs="宋体"/>
                <w:spacing w:val="7"/>
                <w:sz w:val="24"/>
              </w:rPr>
            </w:pPr>
            <w:r>
              <w:rPr>
                <w:rFonts w:hint="eastAsia" w:ascii="宋体" w:hAnsi="宋体" w:cs="宋体"/>
                <w:spacing w:val="7"/>
                <w:sz w:val="24"/>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7" w:hRule="atLeast"/>
        </w:trPr>
        <w:tc>
          <w:tcPr>
            <w:tcW w:w="649" w:type="dxa"/>
            <w:vAlign w:val="center"/>
          </w:tcPr>
          <w:p>
            <w:pPr>
              <w:autoSpaceDE w:val="0"/>
              <w:autoSpaceDN w:val="0"/>
              <w:spacing w:before="86" w:line="211" w:lineRule="auto"/>
              <w:ind w:firstLine="1"/>
              <w:jc w:val="center"/>
              <w:rPr>
                <w:rFonts w:hint="eastAsia" w:ascii="宋体" w:hAnsi="宋体" w:cs="宋体"/>
                <w:spacing w:val="7"/>
                <w:sz w:val="24"/>
              </w:rPr>
            </w:pPr>
            <w:r>
              <w:rPr>
                <w:rFonts w:hint="eastAsia" w:ascii="宋体" w:hAnsi="宋体" w:cs="宋体"/>
                <w:spacing w:val="7"/>
                <w:sz w:val="24"/>
              </w:rPr>
              <w:t>2</w:t>
            </w:r>
          </w:p>
        </w:tc>
        <w:tc>
          <w:tcPr>
            <w:tcW w:w="1956" w:type="dxa"/>
            <w:vMerge w:val="continue"/>
            <w:vAlign w:val="center"/>
          </w:tcPr>
          <w:p>
            <w:pPr>
              <w:autoSpaceDE w:val="0"/>
              <w:autoSpaceDN w:val="0"/>
              <w:spacing w:before="86" w:line="211" w:lineRule="auto"/>
              <w:ind w:firstLine="1"/>
              <w:jc w:val="center"/>
              <w:rPr>
                <w:rFonts w:hint="eastAsia" w:ascii="宋体" w:hAnsi="宋体" w:cs="宋体"/>
                <w:spacing w:val="7"/>
                <w:sz w:val="24"/>
              </w:rPr>
            </w:pPr>
          </w:p>
        </w:tc>
        <w:tc>
          <w:tcPr>
            <w:tcW w:w="2111" w:type="dxa"/>
            <w:vAlign w:val="center"/>
          </w:tcPr>
          <w:p>
            <w:pPr>
              <w:pStyle w:val="260"/>
              <w:jc w:val="center"/>
              <w:rPr>
                <w:rFonts w:ascii="宋体" w:hAnsi="宋体" w:cs="宋体"/>
                <w:spacing w:val="7"/>
                <w:sz w:val="24"/>
                <w:lang w:eastAsia="zh-CN"/>
              </w:rPr>
            </w:pPr>
            <w:r>
              <w:rPr>
                <w:rFonts w:hint="eastAsia" w:ascii="宋体" w:hAnsi="宋体" w:cs="宋体"/>
                <w:spacing w:val="7"/>
                <w:sz w:val="24"/>
                <w:lang w:eastAsia="zh-CN"/>
              </w:rPr>
              <w:t>乡村旅游品牌设计及推广</w:t>
            </w:r>
          </w:p>
        </w:tc>
        <w:tc>
          <w:tcPr>
            <w:tcW w:w="493" w:type="dxa"/>
            <w:vAlign w:val="center"/>
          </w:tcPr>
          <w:p>
            <w:pPr>
              <w:pStyle w:val="260"/>
              <w:jc w:val="center"/>
              <w:rPr>
                <w:rFonts w:hint="eastAsia" w:ascii="宋体" w:hAnsi="宋体" w:eastAsia="宋体" w:cs="宋体"/>
                <w:color w:val="auto"/>
                <w:sz w:val="24"/>
                <w:lang w:eastAsia="zh-CN"/>
              </w:rPr>
            </w:pPr>
            <w:r>
              <w:rPr>
                <w:rFonts w:hint="eastAsia" w:ascii="宋体" w:hAnsi="宋体" w:eastAsia="宋体" w:cs="宋体"/>
                <w:color w:val="auto"/>
                <w:sz w:val="24"/>
                <w:lang w:eastAsia="zh-CN"/>
              </w:rPr>
              <w:t>1</w:t>
            </w:r>
          </w:p>
        </w:tc>
        <w:tc>
          <w:tcPr>
            <w:tcW w:w="1563" w:type="dxa"/>
            <w:vAlign w:val="center"/>
          </w:tcPr>
          <w:p>
            <w:pPr>
              <w:pStyle w:val="260"/>
              <w:jc w:val="center"/>
              <w:rPr>
                <w:rFonts w:hint="eastAsia" w:ascii="宋体" w:hAnsi="宋体" w:eastAsia="宋体" w:cs="宋体"/>
                <w:color w:val="auto"/>
                <w:sz w:val="24"/>
                <w:lang w:eastAsia="zh-CN"/>
              </w:rPr>
            </w:pPr>
            <w:r>
              <w:rPr>
                <w:rFonts w:hint="eastAsia" w:ascii="宋体" w:hAnsi="宋体" w:eastAsia="宋体" w:cs="宋体"/>
                <w:color w:val="auto"/>
                <w:sz w:val="24"/>
                <w:lang w:eastAsia="zh-CN"/>
              </w:rPr>
              <w:t>详见招标文件第五章 采购需求</w:t>
            </w:r>
          </w:p>
        </w:tc>
        <w:tc>
          <w:tcPr>
            <w:tcW w:w="1303" w:type="dxa"/>
            <w:vAlign w:val="center"/>
          </w:tcPr>
          <w:p>
            <w:pPr>
              <w:pStyle w:val="260"/>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47</w:t>
            </w:r>
          </w:p>
        </w:tc>
        <w:tc>
          <w:tcPr>
            <w:tcW w:w="781" w:type="dxa"/>
            <w:vAlign w:val="center"/>
          </w:tcPr>
          <w:p>
            <w:pPr>
              <w:autoSpaceDE w:val="0"/>
              <w:autoSpaceDN w:val="0"/>
              <w:spacing w:before="86" w:line="211" w:lineRule="auto"/>
              <w:jc w:val="center"/>
              <w:rPr>
                <w:rFonts w:hint="eastAsia" w:ascii="宋体" w:hAnsi="宋体" w:cs="宋体"/>
                <w:spacing w:val="7"/>
                <w:sz w:val="24"/>
              </w:rPr>
            </w:pPr>
            <w:r>
              <w:rPr>
                <w:rFonts w:hint="eastAsia" w:ascii="宋体" w:hAnsi="宋体" w:cs="宋体"/>
                <w:spacing w:val="7"/>
                <w:sz w:val="24"/>
              </w:rPr>
              <w:t>否</w:t>
            </w:r>
          </w:p>
        </w:tc>
      </w:tr>
      <w:bookmarkEnd w:id="10"/>
      <w:bookmarkEnd w:id="12"/>
      <w:bookmarkEnd w:id="13"/>
      <w:bookmarkEnd w:id="14"/>
    </w:tbl>
    <w:p>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5.合同履行期限：自合同签订之日起至2026年11月30日。</w:t>
      </w:r>
    </w:p>
    <w:p>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6.本项目是否接受联合体投标：</w:t>
      </w:r>
      <w:r>
        <w:rPr>
          <w:rFonts w:hint="eastAsia" w:ascii="宋体" w:hAnsi="宋体" w:cs="宋体"/>
          <w:color w:val="000000" w:themeColor="text1"/>
          <w:spacing w:val="6"/>
          <w:sz w:val="24"/>
          <w14:textFill>
            <w14:solidFill>
              <w14:schemeClr w14:val="tx1"/>
            </w14:solidFill>
          </w14:textFill>
        </w:rPr>
        <w:t xml:space="preserve">□是 </w:t>
      </w:r>
      <w:r>
        <w:rPr>
          <w:rFonts w:ascii="宋体" w:hAnsi="宋体" w:cs="宋体"/>
          <w:color w:val="000000" w:themeColor="text1"/>
          <w:spacing w:val="6"/>
          <w:sz w:val="24"/>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w:t>
      </w:r>
      <w:r>
        <w:rPr>
          <w:rFonts w:hint="eastAsia" w:ascii="宋体" w:hAnsi="宋体" w:cs="宋体"/>
          <w:color w:val="000000" w:themeColor="text1"/>
          <w:spacing w:val="6"/>
          <w:sz w:val="24"/>
          <w14:textFill>
            <w14:solidFill>
              <w14:schemeClr w14:val="tx1"/>
            </w14:solidFill>
          </w14:textFill>
        </w:rPr>
        <w:t>否</w:t>
      </w:r>
      <w:r>
        <w:rPr>
          <w:rFonts w:hint="eastAsia" w:ascii="宋体" w:hAnsi="宋体" w:cs="宋体"/>
          <w:color w:val="000000" w:themeColor="text1"/>
          <w:sz w:val="24"/>
          <w14:textFill>
            <w14:solidFill>
              <w14:schemeClr w14:val="tx1"/>
            </w14:solidFill>
          </w14:textFill>
        </w:rPr>
        <w:t>。</w:t>
      </w:r>
    </w:p>
    <w:p>
      <w:pPr>
        <w:spacing w:line="360" w:lineRule="auto"/>
        <w:ind w:firstLine="480" w:firstLineChars="200"/>
        <w:rPr>
          <w:rFonts w:hint="eastAsia" w:ascii="宋体" w:hAnsi="宋体" w:cs="宋体"/>
          <w:color w:val="000000" w:themeColor="text1"/>
          <w:sz w:val="24"/>
          <w14:textFill>
            <w14:solidFill>
              <w14:schemeClr w14:val="tx1"/>
            </w14:solidFill>
          </w14:textFill>
        </w:rPr>
      </w:pPr>
    </w:p>
    <w:p>
      <w:pPr>
        <w:spacing w:line="360" w:lineRule="auto"/>
        <w:jc w:val="left"/>
        <w:rPr>
          <w:rFonts w:hint="eastAsia" w:ascii="宋体" w:hAnsi="宋体" w:cs="宋体"/>
          <w:b/>
          <w:color w:val="000000" w:themeColor="text1"/>
          <w:sz w:val="24"/>
          <w14:textFill>
            <w14:solidFill>
              <w14:schemeClr w14:val="tx1"/>
            </w14:solidFill>
          </w14:textFill>
        </w:rPr>
      </w:pPr>
      <w:bookmarkStart w:id="15" w:name="_Toc28359080"/>
      <w:bookmarkStart w:id="16" w:name="_Toc28359003"/>
      <w:bookmarkStart w:id="17" w:name="_Toc35393791"/>
      <w:bookmarkStart w:id="18" w:name="_Toc35393622"/>
      <w:r>
        <w:rPr>
          <w:rFonts w:hint="eastAsia" w:ascii="宋体" w:hAnsi="宋体" w:cs="宋体"/>
          <w:b/>
          <w:color w:val="000000" w:themeColor="text1"/>
          <w:sz w:val="24"/>
          <w14:textFill>
            <w14:solidFill>
              <w14:schemeClr w14:val="tx1"/>
            </w14:solidFill>
          </w14:textFill>
        </w:rPr>
        <w:t>二、申请人的资格要求（须同时满足）</w:t>
      </w:r>
      <w:bookmarkEnd w:id="15"/>
      <w:bookmarkEnd w:id="16"/>
      <w:bookmarkEnd w:id="17"/>
      <w:bookmarkEnd w:id="18"/>
    </w:p>
    <w:p>
      <w:pPr>
        <w:pStyle w:val="21"/>
        <w:ind w:firstLine="480"/>
        <w:rPr>
          <w:rFonts w:hint="eastAsia"/>
        </w:rPr>
      </w:pPr>
      <w:bookmarkStart w:id="19" w:name="_Toc28359004"/>
      <w:bookmarkStart w:id="20" w:name="_Toc28359081"/>
      <w:r>
        <w:rPr>
          <w:rFonts w:hint="eastAsia"/>
        </w:rPr>
        <w:t xml:space="preserve">1.满足《中华人民共和国政府采购法》第二十二条规定； </w:t>
      </w:r>
    </w:p>
    <w:p>
      <w:pPr>
        <w:pStyle w:val="21"/>
        <w:ind w:firstLine="480"/>
        <w:rPr>
          <w:rFonts w:hint="eastAsia"/>
        </w:rPr>
      </w:pPr>
      <w:r>
        <w:rPr>
          <w:rFonts w:hint="eastAsia"/>
        </w:rPr>
        <w:t>2.落实政府采购政策需满足的资格要求：</w:t>
      </w:r>
    </w:p>
    <w:p>
      <w:pPr>
        <w:pStyle w:val="21"/>
        <w:ind w:firstLine="480"/>
        <w:rPr>
          <w:rFonts w:hint="eastAsia"/>
        </w:rPr>
      </w:pPr>
      <w:r>
        <w:rPr>
          <w:rFonts w:hint="eastAsia"/>
        </w:rPr>
        <w:t>2.1  中小企业政策</w:t>
      </w:r>
    </w:p>
    <w:p>
      <w:pPr>
        <w:pStyle w:val="21"/>
        <w:ind w:firstLine="480"/>
        <w:rPr>
          <w:rFonts w:hint="eastAsia"/>
        </w:rPr>
      </w:pPr>
      <w:r>
        <w:rPr>
          <w:rFonts w:hint="eastAsia"/>
        </w:rPr>
        <w:t>□本项目不专门面向中小企业预留采购份额。</w:t>
      </w:r>
    </w:p>
    <w:p>
      <w:pPr>
        <w:pStyle w:val="21"/>
        <w:ind w:firstLine="480"/>
        <w:rPr>
          <w:rFonts w:hint="eastAsia"/>
        </w:rPr>
      </w:pPr>
      <w:bookmarkStart w:id="1055" w:name="_GoBack"/>
      <w:r>
        <w:rPr>
          <w:rFonts w:hint="eastAsia"/>
        </w:rPr>
        <w:t>■</w:t>
      </w:r>
      <w:bookmarkEnd w:id="1055"/>
      <w:r>
        <w:rPr>
          <w:rFonts w:hint="eastAsia"/>
        </w:rPr>
        <w:t>本项目专门面向   ■中小  □小微企业  采购。即：提供的货物全部</w:t>
      </w:r>
    </w:p>
    <w:p>
      <w:pPr>
        <w:pStyle w:val="21"/>
        <w:ind w:firstLine="480"/>
        <w:rPr>
          <w:rFonts w:hint="eastAsia"/>
        </w:rPr>
      </w:pPr>
      <w:r>
        <w:rPr>
          <w:rFonts w:hint="eastAsia"/>
        </w:rPr>
        <w:t>由符合政策要求的中小企业制造、服务全部由符合政策要求的中小企业承接。</w:t>
      </w:r>
    </w:p>
    <w:p>
      <w:pPr>
        <w:pStyle w:val="21"/>
        <w:ind w:firstLine="480"/>
        <w:rPr>
          <w:rFonts w:hint="eastAsia"/>
          <w:color w:val="000000" w:themeColor="text1"/>
          <w14:textFill>
            <w14:solidFill>
              <w14:schemeClr w14:val="tx1"/>
            </w14:solidFill>
          </w14:textFill>
        </w:rPr>
      </w:pPr>
      <w:r>
        <w:rPr>
          <w:rFonts w:hint="eastAsia"/>
        </w:rPr>
        <w:t>□本项目预留部分采购项目预算专门面向中小企业采购。对于预留份额，提供的货物由符合政策要求的中小企业制造、服务由符合政策要求的中小企业承接。预留份额通过以下措施进行：</w:t>
      </w:r>
      <w:r>
        <w:rPr>
          <w:rFonts w:hint="eastAsia"/>
          <w:color w:val="000000" w:themeColor="text1"/>
          <w:u w:val="single"/>
          <w14:textFill>
            <w14:solidFill>
              <w14:schemeClr w14:val="tx1"/>
            </w14:solidFill>
          </w14:textFill>
        </w:rPr>
        <w:t>/</w:t>
      </w:r>
      <w:r>
        <w:rPr>
          <w:rFonts w:hint="eastAsia"/>
        </w:rPr>
        <w:t>。</w:t>
      </w:r>
    </w:p>
    <w:p>
      <w:pPr>
        <w:pStyle w:val="21"/>
        <w:ind w:firstLine="480"/>
        <w:rPr>
          <w:rFonts w:hint="eastAsia"/>
        </w:rPr>
      </w:pPr>
      <w:r>
        <w:rPr>
          <w:rFonts w:hint="eastAsia"/>
        </w:rPr>
        <w:t>2.2 其它落实政府采购政策的资格要求（如有）：</w:t>
      </w:r>
      <w:r>
        <w:rPr>
          <w:rFonts w:hint="eastAsia"/>
          <w:u w:val="single"/>
        </w:rPr>
        <w:t>/</w:t>
      </w:r>
      <w:r>
        <w:rPr>
          <w:rFonts w:hint="eastAsia"/>
        </w:rPr>
        <w:t>。</w:t>
      </w:r>
    </w:p>
    <w:p>
      <w:pPr>
        <w:pStyle w:val="21"/>
        <w:ind w:firstLine="480"/>
        <w:rPr>
          <w:rFonts w:hint="eastAsia"/>
        </w:rPr>
      </w:pPr>
      <w:r>
        <w:rPr>
          <w:rFonts w:hint="eastAsia"/>
        </w:rPr>
        <w:t>3.本项目的特定资格要求：</w:t>
      </w:r>
    </w:p>
    <w:p>
      <w:pPr>
        <w:pStyle w:val="21"/>
        <w:ind w:firstLine="480"/>
        <w:rPr>
          <w:rFonts w:hint="eastAsia"/>
          <w:spacing w:val="-4"/>
        </w:rPr>
      </w:pPr>
      <w:r>
        <w:rPr>
          <w:rFonts w:hint="eastAsia"/>
        </w:rPr>
        <w:t>3.1 本项目是否属于政府购买服务：</w:t>
      </w:r>
    </w:p>
    <w:p>
      <w:pPr>
        <w:pStyle w:val="21"/>
        <w:ind w:firstLine="480"/>
        <w:rPr>
          <w:rFonts w:hint="eastAsia"/>
          <w:spacing w:val="-4"/>
        </w:rPr>
      </w:pPr>
      <w:r>
        <w:rPr>
          <w:rFonts w:hint="eastAsia"/>
        </w:rPr>
        <w:t>□</w:t>
      </w:r>
      <w:r>
        <w:rPr>
          <w:rFonts w:hint="eastAsia"/>
          <w:spacing w:val="30"/>
        </w:rPr>
        <w:t>否</w:t>
      </w:r>
    </w:p>
    <w:p>
      <w:pPr>
        <w:pStyle w:val="21"/>
        <w:ind w:firstLine="480"/>
        <w:rPr>
          <w:rFonts w:hint="eastAsia"/>
          <w:spacing w:val="-1"/>
        </w:rPr>
      </w:pPr>
      <w:r>
        <w:rPr>
          <w:rFonts w:hint="eastAsia"/>
        </w:rPr>
        <w:t>■是，公益一类事业单位、使用事业编制且由财政拨款保障</w:t>
      </w:r>
      <w:r>
        <w:rPr>
          <w:rFonts w:hint="eastAsia"/>
          <w:spacing w:val="-1"/>
        </w:rPr>
        <w:t>的群团组织，不得作为承接主体；</w:t>
      </w:r>
    </w:p>
    <w:p>
      <w:pPr>
        <w:pStyle w:val="21"/>
        <w:ind w:firstLine="480"/>
        <w:rPr>
          <w:rFonts w:hint="eastAsia"/>
        </w:rPr>
      </w:pPr>
      <w:r>
        <w:rPr>
          <w:rFonts w:hint="eastAsia"/>
        </w:rPr>
        <w:t>3.2 其他特定资格要求：</w:t>
      </w:r>
    </w:p>
    <w:p>
      <w:pPr>
        <w:pStyle w:val="21"/>
        <w:ind w:firstLine="480"/>
        <w:rPr>
          <w:rFonts w:hint="eastAsia"/>
        </w:rPr>
      </w:pPr>
      <w:r>
        <w:rPr>
          <w:rFonts w:hint="eastAsia"/>
        </w:rPr>
        <w:t>3.2.1单位负责人为同一人或者存在直接控股、管理关系的不同供应商，不得参加同一合同项下的政府采购活动；</w:t>
      </w:r>
    </w:p>
    <w:p>
      <w:pPr>
        <w:pStyle w:val="21"/>
        <w:ind w:firstLine="480"/>
        <w:rPr>
          <w:rFonts w:hint="eastAsia"/>
        </w:rPr>
      </w:pPr>
      <w:r>
        <w:rPr>
          <w:rFonts w:hint="eastAsia"/>
        </w:rPr>
        <w:t>3.2.2除单一来源采购项目外，为采购项目提供整体设计、规范编制或者项目管理、监理、检测等服务的供应商，不得再参加该采购项目的其他采购活动；</w:t>
      </w:r>
    </w:p>
    <w:p>
      <w:pPr>
        <w:pStyle w:val="21"/>
        <w:ind w:firstLine="480"/>
        <w:rPr>
          <w:rFonts w:hint="eastAsia"/>
        </w:rPr>
      </w:pPr>
      <w:r>
        <w:rPr>
          <w:rFonts w:hint="eastAsia"/>
        </w:rPr>
        <w:t>3.2.3供应商不能被列入“信用中国”网站（</w:t>
      </w:r>
      <w:r>
        <w:rPr>
          <w:rFonts w:hint="eastAsia"/>
        </w:rPr>
        <w:fldChar w:fldCharType="begin"/>
      </w:r>
      <w:r>
        <w:instrText xml:space="preserve"> HYPERLINK "http://www.creditchina.gov.cn" </w:instrText>
      </w:r>
      <w:r>
        <w:rPr>
          <w:rFonts w:hint="eastAsia"/>
        </w:rPr>
        <w:fldChar w:fldCharType="separate"/>
      </w:r>
      <w:r>
        <w:rPr>
          <w:rFonts w:hint="eastAsia"/>
        </w:rPr>
        <w:t>www.creditchina.gov.cn</w:t>
      </w:r>
      <w:r>
        <w:rPr>
          <w:rFonts w:hint="eastAsia"/>
        </w:rPr>
        <w:fldChar w:fldCharType="end"/>
      </w:r>
      <w:r>
        <w:rPr>
          <w:rFonts w:hint="eastAsia"/>
        </w:rPr>
        <w:t>）失信被执行人、重大税收违法案件当事人名单”和中国政府采购网（</w:t>
      </w:r>
      <w:r>
        <w:rPr>
          <w:rFonts w:hint="eastAsia"/>
        </w:rPr>
        <w:fldChar w:fldCharType="begin"/>
      </w:r>
      <w:r>
        <w:instrText xml:space="preserve"> HYPERLINK "http://www.ccgp.gov.cn" </w:instrText>
      </w:r>
      <w:r>
        <w:rPr>
          <w:rFonts w:hint="eastAsia"/>
        </w:rPr>
        <w:fldChar w:fldCharType="separate"/>
      </w:r>
      <w:r>
        <w:rPr>
          <w:rFonts w:hint="eastAsia"/>
        </w:rPr>
        <w:t>www.ccgp.gov.cn</w:t>
      </w:r>
      <w:r>
        <w:rPr>
          <w:rFonts w:hint="eastAsia"/>
        </w:rPr>
        <w:fldChar w:fldCharType="end"/>
      </w:r>
      <w:r>
        <w:rPr>
          <w:rFonts w:hint="eastAsia"/>
        </w:rPr>
        <w:t>）政府采购严重违法失信行为记录名单。否则其投标将被拒绝。</w:t>
      </w:r>
    </w:p>
    <w:bookmarkEnd w:id="19"/>
    <w:bookmarkEnd w:id="20"/>
    <w:p>
      <w:pPr>
        <w:widowControl/>
        <w:spacing w:line="360" w:lineRule="auto"/>
        <w:jc w:val="left"/>
        <w:rPr>
          <w:rFonts w:hint="eastAsia" w:ascii="宋体" w:hAnsi="宋体" w:cs="宋体"/>
          <w:b/>
          <w:color w:val="000000" w:themeColor="text1"/>
          <w:sz w:val="24"/>
          <w14:textFill>
            <w14:solidFill>
              <w14:schemeClr w14:val="tx1"/>
            </w14:solidFill>
          </w14:textFill>
        </w:rPr>
      </w:pPr>
      <w:bookmarkStart w:id="21" w:name="_Toc35393623"/>
      <w:bookmarkStart w:id="22" w:name="_Toc35393792"/>
    </w:p>
    <w:p>
      <w:pPr>
        <w:widowControl/>
        <w:spacing w:line="360" w:lineRule="auto"/>
        <w:jc w:val="left"/>
        <w:rPr>
          <w:rFonts w:hint="eastAsia"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三、获取招标文件</w:t>
      </w:r>
      <w:bookmarkEnd w:id="21"/>
      <w:bookmarkEnd w:id="22"/>
    </w:p>
    <w:p>
      <w:pPr>
        <w:adjustRightInd w:val="0"/>
        <w:snapToGrid w:val="0"/>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sz w:val="24"/>
          <w:lang w:bidi="ar"/>
        </w:rPr>
        <w:t>时间：</w:t>
      </w:r>
      <w:r>
        <w:rPr>
          <w:rFonts w:hint="eastAsia" w:ascii="宋体" w:hAnsi="宋体" w:cs="宋体"/>
          <w:sz w:val="24"/>
          <w:u w:val="single"/>
          <w:lang w:bidi="ar"/>
        </w:rPr>
        <w:t>202</w:t>
      </w:r>
      <w:r>
        <w:rPr>
          <w:rFonts w:ascii="宋体" w:hAnsi="宋体" w:cs="宋体"/>
          <w:sz w:val="24"/>
          <w:u w:val="single"/>
          <w:lang w:bidi="ar"/>
        </w:rPr>
        <w:t>6</w:t>
      </w:r>
      <w:r>
        <w:rPr>
          <w:rFonts w:hint="eastAsia" w:ascii="宋体" w:hAnsi="宋体" w:cs="宋体"/>
          <w:sz w:val="24"/>
          <w:lang w:bidi="ar"/>
        </w:rPr>
        <w:t>年</w:t>
      </w:r>
      <w:r>
        <w:rPr>
          <w:rFonts w:hint="eastAsia" w:ascii="宋体" w:hAnsi="宋体" w:cs="宋体"/>
          <w:sz w:val="24"/>
          <w:u w:val="single"/>
          <w:lang w:val="en-US" w:eastAsia="zh-CN" w:bidi="ar"/>
        </w:rPr>
        <w:t>5</w:t>
      </w:r>
      <w:r>
        <w:rPr>
          <w:rFonts w:hint="eastAsia" w:ascii="宋体" w:hAnsi="宋体" w:cs="宋体"/>
          <w:sz w:val="24"/>
          <w:lang w:bidi="ar"/>
        </w:rPr>
        <w:t>月</w:t>
      </w:r>
      <w:r>
        <w:rPr>
          <w:rFonts w:hint="eastAsia" w:ascii="宋体" w:hAnsi="宋体" w:cs="宋体"/>
          <w:sz w:val="24"/>
          <w:u w:val="single"/>
          <w:lang w:val="en-US" w:eastAsia="zh-CN" w:bidi="ar"/>
        </w:rPr>
        <w:t>7</w:t>
      </w:r>
      <w:r>
        <w:rPr>
          <w:rFonts w:hint="eastAsia" w:ascii="宋体" w:hAnsi="宋体" w:cs="宋体"/>
          <w:sz w:val="24"/>
          <w:lang w:bidi="ar"/>
        </w:rPr>
        <w:t>日至</w:t>
      </w:r>
      <w:r>
        <w:rPr>
          <w:rFonts w:hint="eastAsia" w:ascii="宋体" w:hAnsi="宋体" w:cs="宋体"/>
          <w:sz w:val="24"/>
          <w:u w:val="single"/>
          <w:lang w:bidi="ar"/>
        </w:rPr>
        <w:t>202</w:t>
      </w:r>
      <w:r>
        <w:rPr>
          <w:rFonts w:ascii="宋体" w:hAnsi="宋体" w:cs="宋体"/>
          <w:sz w:val="24"/>
          <w:u w:val="single"/>
          <w:lang w:bidi="ar"/>
        </w:rPr>
        <w:t>6</w:t>
      </w:r>
      <w:r>
        <w:rPr>
          <w:rFonts w:hint="eastAsia" w:ascii="宋体" w:hAnsi="宋体" w:cs="宋体"/>
          <w:sz w:val="24"/>
          <w:lang w:bidi="ar"/>
        </w:rPr>
        <w:t>年</w:t>
      </w:r>
      <w:r>
        <w:rPr>
          <w:rFonts w:hint="eastAsia" w:ascii="宋体" w:hAnsi="宋体" w:cs="宋体"/>
          <w:sz w:val="24"/>
          <w:u w:val="single"/>
          <w:lang w:val="en-US" w:eastAsia="zh-CN" w:bidi="ar"/>
        </w:rPr>
        <w:t>5</w:t>
      </w:r>
      <w:r>
        <w:rPr>
          <w:rFonts w:hint="eastAsia" w:ascii="宋体" w:hAnsi="宋体" w:cs="宋体"/>
          <w:sz w:val="24"/>
          <w:lang w:bidi="ar"/>
        </w:rPr>
        <w:t>月</w:t>
      </w:r>
      <w:r>
        <w:rPr>
          <w:rFonts w:hint="eastAsia" w:ascii="宋体" w:hAnsi="宋体" w:cs="宋体"/>
          <w:sz w:val="24"/>
          <w:u w:val="single"/>
          <w:lang w:val="en-US" w:eastAsia="zh-CN" w:bidi="ar"/>
        </w:rPr>
        <w:t>12</w:t>
      </w:r>
      <w:r>
        <w:rPr>
          <w:rFonts w:hint="eastAsia" w:ascii="宋体" w:hAnsi="宋体" w:cs="宋体"/>
          <w:sz w:val="24"/>
          <w:lang w:bidi="ar"/>
        </w:rPr>
        <w:t>日，每天上午</w:t>
      </w:r>
      <w:r>
        <w:rPr>
          <w:rFonts w:ascii="宋体" w:hAnsi="宋体" w:cs="宋体"/>
          <w:sz w:val="24"/>
          <w:u w:val="single"/>
          <w:lang w:bidi="ar"/>
        </w:rPr>
        <w:t>00</w:t>
      </w:r>
      <w:r>
        <w:rPr>
          <w:rFonts w:hint="eastAsia" w:ascii="宋体" w:hAnsi="宋体" w:cs="宋体"/>
          <w:sz w:val="24"/>
          <w:u w:val="single"/>
          <w:lang w:bidi="ar"/>
        </w:rPr>
        <w:t>：00</w:t>
      </w:r>
      <w:r>
        <w:rPr>
          <w:rFonts w:hint="eastAsia" w:ascii="宋体" w:hAnsi="宋体" w:cs="宋体"/>
          <w:sz w:val="24"/>
          <w:lang w:bidi="ar"/>
        </w:rPr>
        <w:t>至</w:t>
      </w:r>
      <w:r>
        <w:rPr>
          <w:rFonts w:hint="eastAsia" w:ascii="宋体" w:hAnsi="宋体" w:cs="宋体"/>
          <w:sz w:val="24"/>
          <w:u w:val="single"/>
          <w:lang w:bidi="ar"/>
        </w:rPr>
        <w:t>12：00</w:t>
      </w:r>
      <w:r>
        <w:rPr>
          <w:rFonts w:hint="eastAsia" w:ascii="宋体" w:hAnsi="宋体" w:cs="宋体"/>
          <w:sz w:val="24"/>
          <w:lang w:bidi="ar"/>
        </w:rPr>
        <w:t>，下午</w:t>
      </w:r>
      <w:r>
        <w:rPr>
          <w:rFonts w:hint="eastAsia" w:ascii="宋体" w:hAnsi="宋体" w:cs="宋体"/>
          <w:sz w:val="24"/>
          <w:u w:val="single"/>
          <w:lang w:bidi="ar"/>
        </w:rPr>
        <w:t>12：00</w:t>
      </w:r>
      <w:r>
        <w:rPr>
          <w:rFonts w:hint="eastAsia" w:ascii="宋体" w:hAnsi="宋体" w:cs="宋体"/>
          <w:sz w:val="24"/>
          <w:lang w:bidi="ar"/>
        </w:rPr>
        <w:t>至</w:t>
      </w:r>
      <w:r>
        <w:rPr>
          <w:rFonts w:ascii="宋体" w:hAnsi="宋体" w:cs="宋体"/>
          <w:sz w:val="24"/>
          <w:u w:val="single"/>
          <w:lang w:bidi="ar"/>
        </w:rPr>
        <w:t>24</w:t>
      </w:r>
      <w:r>
        <w:rPr>
          <w:rFonts w:hint="eastAsia" w:ascii="宋体" w:hAnsi="宋体" w:cs="宋体"/>
          <w:sz w:val="24"/>
          <w:u w:val="single"/>
          <w:lang w:bidi="ar"/>
        </w:rPr>
        <w:t>：00</w:t>
      </w:r>
      <w:r>
        <w:rPr>
          <w:rFonts w:hint="eastAsia" w:ascii="宋体" w:hAnsi="宋体" w:cs="宋体"/>
          <w:color w:val="000000" w:themeColor="text1"/>
          <w:sz w:val="24"/>
          <w14:textFill>
            <w14:solidFill>
              <w14:schemeClr w14:val="tx1"/>
            </w14:solidFill>
          </w14:textFill>
        </w:rPr>
        <w:t>（北京时间，法定节假日除外）。</w:t>
      </w:r>
    </w:p>
    <w:p>
      <w:pPr>
        <w:adjustRightInd w:val="0"/>
        <w:snapToGrid w:val="0"/>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2.地点：北京市政府采购电子交易平台。</w:t>
      </w:r>
    </w:p>
    <w:p>
      <w:pPr>
        <w:widowControl/>
        <w:adjustRightInd w:val="0"/>
        <w:snapToGrid w:val="0"/>
        <w:spacing w:line="360" w:lineRule="auto"/>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3.方式：</w:t>
      </w:r>
      <w:r>
        <w:rPr>
          <w:rFonts w:hint="eastAsia" w:ascii="宋体" w:hAnsi="宋体" w:cs="宋体"/>
          <w:color w:val="000000" w:themeColor="text1"/>
          <w:spacing w:val="1"/>
          <w:sz w:val="24"/>
          <w14:textFill>
            <w14:solidFill>
              <w14:schemeClr w14:val="tx1"/>
            </w14:solidFill>
          </w14:textFill>
        </w:rPr>
        <w:t>供应商使用</w:t>
      </w:r>
      <w:r>
        <w:rPr>
          <w:rFonts w:hint="eastAsia" w:ascii="宋体" w:hAnsi="宋体" w:cs="宋体"/>
          <w:color w:val="000000" w:themeColor="text1"/>
          <w:sz w:val="24"/>
          <w14:textFill>
            <w14:solidFill>
              <w14:schemeClr w14:val="tx1"/>
            </w14:solidFill>
          </w14:textFill>
        </w:rPr>
        <w:t>CA</w:t>
      </w:r>
      <w:r>
        <w:rPr>
          <w:rFonts w:hint="eastAsia" w:ascii="宋体" w:hAnsi="宋体" w:cs="宋体"/>
          <w:color w:val="000000" w:themeColor="text1"/>
          <w:spacing w:val="1"/>
          <w:sz w:val="24"/>
          <w14:textFill>
            <w14:solidFill>
              <w14:schemeClr w14:val="tx1"/>
            </w14:solidFill>
          </w14:textFill>
        </w:rPr>
        <w:t>数字证书或电子营业执照登录北京市政府采购电子交易平</w:t>
      </w:r>
      <w:r>
        <w:rPr>
          <w:rFonts w:hint="eastAsia" w:ascii="宋体" w:hAnsi="宋体" w:cs="宋体"/>
          <w:color w:val="000000" w:themeColor="text1"/>
          <w:spacing w:val="14"/>
          <w:sz w:val="24"/>
          <w14:textFill>
            <w14:solidFill>
              <w14:schemeClr w14:val="tx1"/>
            </w14:solidFill>
          </w14:textFill>
        </w:rPr>
        <w:t>台</w:t>
      </w:r>
      <w:r>
        <w:rPr>
          <w:rFonts w:hint="eastAsia" w:ascii="宋体" w:hAnsi="宋体" w:cs="宋体"/>
          <w:color w:val="000000" w:themeColor="text1"/>
          <w:spacing w:val="14"/>
          <w:szCs w:val="21"/>
          <w14:textFill>
            <w14:solidFill>
              <w14:schemeClr w14:val="tx1"/>
            </w14:solidFill>
          </w14:textFill>
        </w:rPr>
        <w:t>（http：//zbcg-bjzc.zhongcy.com/bjczj-portal-site/index.html#/hom</w:t>
      </w:r>
      <w:r>
        <w:rPr>
          <w:rFonts w:hint="eastAsia" w:ascii="宋体" w:hAnsi="宋体" w:cs="宋体"/>
          <w:color w:val="000000" w:themeColor="text1"/>
          <w:spacing w:val="13"/>
          <w:szCs w:val="21"/>
          <w14:textFill>
            <w14:solidFill>
              <w14:schemeClr w14:val="tx1"/>
            </w14:solidFill>
          </w14:textFill>
        </w:rPr>
        <w:t>e）</w:t>
      </w:r>
      <w:r>
        <w:rPr>
          <w:rFonts w:hint="eastAsia" w:ascii="宋体" w:hAnsi="宋体" w:cs="宋体"/>
          <w:color w:val="000000" w:themeColor="text1"/>
          <w:spacing w:val="13"/>
          <w:sz w:val="24"/>
          <w14:textFill>
            <w14:solidFill>
              <w14:schemeClr w14:val="tx1"/>
            </w14:solidFill>
          </w14:textFill>
        </w:rPr>
        <w:t>获取</w:t>
      </w:r>
      <w:r>
        <w:rPr>
          <w:rFonts w:hint="eastAsia" w:ascii="宋体" w:hAnsi="宋体" w:cs="宋体"/>
          <w:color w:val="000000" w:themeColor="text1"/>
          <w:spacing w:val="-3"/>
          <w:sz w:val="24"/>
          <w14:textFill>
            <w14:solidFill>
              <w14:schemeClr w14:val="tx1"/>
            </w14:solidFill>
          </w14:textFill>
        </w:rPr>
        <w:t>电子版招标文件</w:t>
      </w:r>
      <w:r>
        <w:rPr>
          <w:rFonts w:hint="eastAsia" w:ascii="宋体" w:hAnsi="宋体" w:cs="宋体"/>
          <w:color w:val="000000" w:themeColor="text1"/>
          <w:sz w:val="24"/>
          <w14:textFill>
            <w14:solidFill>
              <w14:schemeClr w14:val="tx1"/>
            </w14:solidFill>
          </w14:textFill>
        </w:rPr>
        <w:t>。</w:t>
      </w:r>
    </w:p>
    <w:p>
      <w:pPr>
        <w:widowControl/>
        <w:adjustRightInd w:val="0"/>
        <w:snapToGrid w:val="0"/>
        <w:spacing w:line="360" w:lineRule="auto"/>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4.售价：0元。</w:t>
      </w:r>
    </w:p>
    <w:p>
      <w:pPr>
        <w:tabs>
          <w:tab w:val="left" w:pos="900"/>
          <w:tab w:val="left" w:pos="1980"/>
        </w:tabs>
        <w:snapToGrid w:val="0"/>
        <w:spacing w:line="360" w:lineRule="auto"/>
        <w:ind w:left="840"/>
        <w:rPr>
          <w:rFonts w:hint="eastAsia" w:ascii="宋体" w:hAnsi="宋体" w:cs="宋体"/>
          <w:color w:val="000000" w:themeColor="text1"/>
          <w:sz w:val="24"/>
          <w14:textFill>
            <w14:solidFill>
              <w14:schemeClr w14:val="tx1"/>
            </w14:solidFill>
          </w14:textFill>
        </w:rPr>
      </w:pPr>
    </w:p>
    <w:p>
      <w:pPr>
        <w:widowControl/>
        <w:spacing w:line="360" w:lineRule="auto"/>
        <w:jc w:val="left"/>
        <w:rPr>
          <w:rFonts w:hint="eastAsia" w:ascii="宋体" w:hAnsi="宋体" w:cs="宋体"/>
          <w:b/>
          <w:color w:val="000000" w:themeColor="text1"/>
          <w:sz w:val="24"/>
          <w14:textFill>
            <w14:solidFill>
              <w14:schemeClr w14:val="tx1"/>
            </w14:solidFill>
          </w14:textFill>
        </w:rPr>
      </w:pPr>
      <w:bookmarkStart w:id="23" w:name="_Toc28359005"/>
      <w:bookmarkStart w:id="24" w:name="_Toc28359082"/>
      <w:bookmarkStart w:id="25" w:name="_Toc35393793"/>
      <w:bookmarkStart w:id="26" w:name="_Toc35393624"/>
      <w:r>
        <w:rPr>
          <w:rFonts w:hint="eastAsia" w:ascii="宋体" w:hAnsi="宋体" w:cs="宋体"/>
          <w:b/>
          <w:color w:val="000000" w:themeColor="text1"/>
          <w:sz w:val="24"/>
          <w14:textFill>
            <w14:solidFill>
              <w14:schemeClr w14:val="tx1"/>
            </w14:solidFill>
          </w14:textFill>
        </w:rPr>
        <w:t>四、提交投标文件</w:t>
      </w:r>
      <w:bookmarkEnd w:id="23"/>
      <w:bookmarkEnd w:id="24"/>
      <w:r>
        <w:rPr>
          <w:rFonts w:hint="eastAsia" w:ascii="宋体" w:hAnsi="宋体" w:cs="宋体"/>
          <w:b/>
          <w:color w:val="000000" w:themeColor="text1"/>
          <w:sz w:val="24"/>
          <w14:textFill>
            <w14:solidFill>
              <w14:schemeClr w14:val="tx1"/>
            </w14:solidFill>
          </w14:textFill>
        </w:rPr>
        <w:t>截止时间、开标时间和地点</w:t>
      </w:r>
      <w:bookmarkEnd w:id="25"/>
      <w:bookmarkEnd w:id="26"/>
    </w:p>
    <w:p>
      <w:pPr>
        <w:spacing w:line="360" w:lineRule="auto"/>
        <w:ind w:firstLine="480" w:firstLineChars="200"/>
        <w:rPr>
          <w:rFonts w:hint="eastAsia" w:ascii="宋体" w:hAnsi="宋体" w:cs="宋体"/>
          <w:bCs/>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投标截止时间、开标时间：</w:t>
      </w:r>
      <w:r>
        <w:rPr>
          <w:rFonts w:hint="eastAsia" w:ascii="宋体" w:hAnsi="宋体" w:cs="宋体"/>
          <w:sz w:val="24"/>
          <w:u w:val="single"/>
          <w:lang w:bidi="ar"/>
        </w:rPr>
        <w:t>202</w:t>
      </w:r>
      <w:r>
        <w:rPr>
          <w:rFonts w:ascii="宋体" w:hAnsi="宋体" w:cs="宋体"/>
          <w:sz w:val="24"/>
          <w:u w:val="single"/>
          <w:lang w:bidi="ar"/>
        </w:rPr>
        <w:t>6</w:t>
      </w:r>
      <w:r>
        <w:rPr>
          <w:rFonts w:hint="eastAsia" w:ascii="宋体" w:hAnsi="宋体" w:cs="宋体"/>
          <w:sz w:val="24"/>
          <w:lang w:bidi="ar"/>
        </w:rPr>
        <w:t>年</w:t>
      </w:r>
      <w:r>
        <w:rPr>
          <w:rFonts w:hint="eastAsia" w:ascii="宋体" w:hAnsi="宋体" w:cs="宋体"/>
          <w:sz w:val="24"/>
          <w:u w:val="single"/>
          <w:lang w:val="en-US" w:eastAsia="zh-CN" w:bidi="ar"/>
        </w:rPr>
        <w:t>5</w:t>
      </w:r>
      <w:r>
        <w:rPr>
          <w:rFonts w:hint="eastAsia" w:ascii="宋体" w:hAnsi="宋体" w:cs="宋体"/>
          <w:sz w:val="24"/>
          <w:lang w:bidi="ar"/>
        </w:rPr>
        <w:t>月</w:t>
      </w:r>
      <w:r>
        <w:rPr>
          <w:rFonts w:hint="eastAsia" w:ascii="宋体" w:hAnsi="宋体" w:cs="宋体"/>
          <w:sz w:val="24"/>
          <w:u w:val="single"/>
          <w:lang w:val="en-US" w:eastAsia="zh-CN" w:bidi="ar"/>
        </w:rPr>
        <w:t>27</w:t>
      </w:r>
      <w:r>
        <w:rPr>
          <w:rFonts w:hint="eastAsia" w:ascii="宋体" w:hAnsi="宋体" w:cs="宋体"/>
          <w:sz w:val="24"/>
          <w:lang w:bidi="ar"/>
        </w:rPr>
        <w:t>日</w:t>
      </w:r>
      <w:r>
        <w:rPr>
          <w:rFonts w:hint="eastAsia" w:ascii="宋体" w:hAnsi="宋体" w:cs="宋体"/>
          <w:sz w:val="24"/>
          <w:u w:val="single"/>
          <w:lang w:bidi="ar"/>
        </w:rPr>
        <w:t>13</w:t>
      </w:r>
      <w:r>
        <w:rPr>
          <w:rFonts w:hint="eastAsia" w:ascii="宋体" w:hAnsi="宋体" w:cs="宋体"/>
          <w:sz w:val="24"/>
          <w:lang w:bidi="ar"/>
        </w:rPr>
        <w:t>点</w:t>
      </w:r>
      <w:r>
        <w:rPr>
          <w:rFonts w:hint="eastAsia" w:ascii="宋体" w:hAnsi="宋体" w:cs="宋体"/>
          <w:sz w:val="24"/>
          <w:u w:val="single"/>
          <w:lang w:bidi="ar"/>
        </w:rPr>
        <w:t>30</w:t>
      </w:r>
      <w:r>
        <w:rPr>
          <w:rFonts w:hint="eastAsia" w:ascii="宋体" w:hAnsi="宋体" w:cs="宋体"/>
          <w:sz w:val="24"/>
          <w:lang w:bidi="ar"/>
        </w:rPr>
        <w:t>分</w:t>
      </w:r>
      <w:r>
        <w:rPr>
          <w:rFonts w:hint="eastAsia" w:ascii="宋体" w:hAnsi="宋体" w:cs="宋体"/>
          <w:bCs/>
          <w:color w:val="000000" w:themeColor="text1"/>
          <w:sz w:val="24"/>
          <w14:textFill>
            <w14:solidFill>
              <w14:schemeClr w14:val="tx1"/>
            </w14:solidFill>
          </w14:textFill>
        </w:rPr>
        <w:t>（北京时间）</w:t>
      </w:r>
      <w:r>
        <w:rPr>
          <w:rFonts w:hint="eastAsia" w:ascii="宋体" w:hAnsi="宋体" w:cs="宋体"/>
          <w:iCs/>
          <w:color w:val="000000" w:themeColor="text1"/>
          <w:sz w:val="24"/>
          <w14:textFill>
            <w14:solidFill>
              <w14:schemeClr w14:val="tx1"/>
            </w14:solidFill>
          </w14:textFill>
        </w:rPr>
        <w:t>。</w:t>
      </w:r>
    </w:p>
    <w:p>
      <w:pPr>
        <w:spacing w:line="360" w:lineRule="auto"/>
        <w:ind w:firstLine="480" w:firstLineChars="200"/>
        <w:rPr>
          <w:rFonts w:hint="eastAsia" w:ascii="宋体" w:hAnsi="宋体" w:cs="宋体"/>
          <w:color w:val="000000" w:themeColor="text1"/>
          <w:sz w:val="24"/>
          <w:lang w:val="zh-TW"/>
          <w14:textFill>
            <w14:solidFill>
              <w14:schemeClr w14:val="tx1"/>
            </w14:solidFill>
          </w14:textFill>
        </w:rPr>
      </w:pPr>
      <w:r>
        <w:rPr>
          <w:rFonts w:hint="eastAsia" w:ascii="宋体" w:hAnsi="宋体" w:cs="宋体"/>
          <w:color w:val="000000" w:themeColor="text1"/>
          <w:sz w:val="24"/>
          <w14:textFill>
            <w14:solidFill>
              <w14:schemeClr w14:val="tx1"/>
            </w14:solidFill>
          </w14:textFill>
        </w:rPr>
        <w:t>地点：</w:t>
      </w:r>
      <w:r>
        <w:rPr>
          <w:rFonts w:hint="eastAsia" w:ascii="宋体" w:hAnsi="宋体" w:cs="宋体"/>
          <w:color w:val="000000" w:themeColor="text1"/>
          <w:spacing w:val="1"/>
          <w:sz w:val="24"/>
          <w:u w:val="single"/>
          <w14:textFill>
            <w14:solidFill>
              <w14:schemeClr w14:val="tx1"/>
            </w14:solidFill>
          </w14:textFill>
        </w:rPr>
        <w:t>北京市政府采购电子交易平台</w:t>
      </w:r>
      <w:r>
        <w:rPr>
          <w:rFonts w:hint="eastAsia" w:ascii="宋体" w:hAnsi="宋体" w:cs="宋体"/>
          <w:color w:val="000000" w:themeColor="text1"/>
          <w:sz w:val="24"/>
          <w:lang w:val="zh-TW"/>
          <w14:textFill>
            <w14:solidFill>
              <w14:schemeClr w14:val="tx1"/>
            </w14:solidFill>
          </w14:textFill>
        </w:rPr>
        <w:t>。</w:t>
      </w:r>
    </w:p>
    <w:p>
      <w:pPr>
        <w:spacing w:line="360" w:lineRule="auto"/>
        <w:ind w:firstLine="480" w:firstLineChars="200"/>
        <w:rPr>
          <w:rFonts w:hint="eastAsia" w:ascii="宋体" w:hAnsi="宋体" w:cs="宋体"/>
          <w:bCs/>
          <w:color w:val="000000" w:themeColor="text1"/>
          <w:sz w:val="24"/>
          <w:u w:val="single"/>
          <w14:textFill>
            <w14:solidFill>
              <w14:schemeClr w14:val="tx1"/>
            </w14:solidFill>
          </w14:textFill>
        </w:rPr>
      </w:pPr>
    </w:p>
    <w:p>
      <w:pPr>
        <w:spacing w:line="360" w:lineRule="auto"/>
        <w:jc w:val="left"/>
        <w:rPr>
          <w:rFonts w:hint="eastAsia" w:ascii="宋体" w:hAnsi="宋体" w:cs="宋体"/>
          <w:b/>
          <w:color w:val="000000" w:themeColor="text1"/>
          <w:sz w:val="24"/>
          <w14:textFill>
            <w14:solidFill>
              <w14:schemeClr w14:val="tx1"/>
            </w14:solidFill>
          </w14:textFill>
        </w:rPr>
      </w:pPr>
      <w:bookmarkStart w:id="27" w:name="_Toc28359007"/>
      <w:bookmarkStart w:id="28" w:name="_Toc35393625"/>
      <w:bookmarkStart w:id="29" w:name="_Toc28359084"/>
      <w:bookmarkStart w:id="30" w:name="_Toc35393794"/>
      <w:r>
        <w:rPr>
          <w:rFonts w:hint="eastAsia" w:ascii="宋体" w:hAnsi="宋体" w:cs="宋体"/>
          <w:b/>
          <w:color w:val="000000" w:themeColor="text1"/>
          <w:sz w:val="24"/>
          <w14:textFill>
            <w14:solidFill>
              <w14:schemeClr w14:val="tx1"/>
            </w14:solidFill>
          </w14:textFill>
        </w:rPr>
        <w:t>五、公告期限</w:t>
      </w:r>
      <w:bookmarkEnd w:id="27"/>
      <w:bookmarkEnd w:id="28"/>
      <w:bookmarkEnd w:id="29"/>
      <w:bookmarkEnd w:id="30"/>
    </w:p>
    <w:p>
      <w:pPr>
        <w:spacing w:line="360" w:lineRule="auto"/>
        <w:ind w:firstLine="480" w:firstLineChars="200"/>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自本公告发布之日起5个工作日。</w:t>
      </w:r>
    </w:p>
    <w:p>
      <w:pPr>
        <w:spacing w:line="360" w:lineRule="auto"/>
        <w:ind w:firstLine="480" w:firstLineChars="200"/>
        <w:rPr>
          <w:rFonts w:hint="eastAsia" w:ascii="宋体" w:hAnsi="宋体" w:cs="宋体"/>
          <w:color w:val="000000" w:themeColor="text1"/>
          <w:kern w:val="0"/>
          <w:sz w:val="24"/>
          <w14:textFill>
            <w14:solidFill>
              <w14:schemeClr w14:val="tx1"/>
            </w14:solidFill>
          </w14:textFill>
        </w:rPr>
      </w:pPr>
    </w:p>
    <w:p>
      <w:pPr>
        <w:spacing w:line="360" w:lineRule="auto"/>
        <w:jc w:val="left"/>
        <w:rPr>
          <w:rFonts w:hint="eastAsia" w:ascii="宋体" w:hAnsi="宋体" w:cs="宋体"/>
          <w:b/>
          <w:color w:val="000000" w:themeColor="text1"/>
          <w:sz w:val="24"/>
          <w14:textFill>
            <w14:solidFill>
              <w14:schemeClr w14:val="tx1"/>
            </w14:solidFill>
          </w14:textFill>
        </w:rPr>
      </w:pPr>
      <w:bookmarkStart w:id="31" w:name="_Toc35393626"/>
      <w:bookmarkStart w:id="32" w:name="_Toc35393795"/>
      <w:r>
        <w:rPr>
          <w:rFonts w:hint="eastAsia" w:ascii="宋体" w:hAnsi="宋体" w:cs="宋体"/>
          <w:b/>
          <w:color w:val="000000" w:themeColor="text1"/>
          <w:sz w:val="24"/>
          <w14:textFill>
            <w14:solidFill>
              <w14:schemeClr w14:val="tx1"/>
            </w14:solidFill>
          </w14:textFill>
        </w:rPr>
        <w:t>六、其他补充事宜</w:t>
      </w:r>
      <w:bookmarkEnd w:id="31"/>
      <w:bookmarkEnd w:id="32"/>
    </w:p>
    <w:p>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1.本项目需要落实的政府采购政策：</w:t>
      </w:r>
    </w:p>
    <w:p>
      <w:pPr>
        <w:spacing w:line="360" w:lineRule="auto"/>
        <w:ind w:firstLine="460" w:firstLineChars="192"/>
        <w:rPr>
          <w:rFonts w:hint="eastAsia" w:ascii="宋体" w:hAnsi="宋体" w:cs="宋体"/>
          <w:sz w:val="24"/>
        </w:rPr>
      </w:pPr>
      <w:bookmarkStart w:id="33" w:name="OLE_LINK176"/>
      <w:bookmarkStart w:id="34" w:name="OLE_LINK17"/>
      <w:bookmarkStart w:id="35" w:name="OLE_LINK132"/>
      <w:bookmarkStart w:id="36" w:name="OLE_LINK14"/>
      <w:r>
        <w:rPr>
          <w:rFonts w:hint="eastAsia" w:ascii="宋体" w:hAnsi="宋体" w:cs="宋体"/>
          <w:sz w:val="24"/>
        </w:rPr>
        <w:t>（1）执行</w:t>
      </w:r>
      <w:bookmarkStart w:id="37" w:name="OLE_LINK173"/>
      <w:bookmarkStart w:id="38" w:name="OLE_LINK172"/>
      <w:r>
        <w:rPr>
          <w:rFonts w:hint="eastAsia" w:ascii="宋体" w:hAnsi="宋体" w:cs="宋体"/>
          <w:szCs w:val="22"/>
        </w:rPr>
        <w:fldChar w:fldCharType="begin"/>
      </w:r>
      <w:r>
        <w:rPr>
          <w:rFonts w:hint="eastAsia" w:ascii="宋体" w:hAnsi="宋体" w:cs="宋体"/>
        </w:rPr>
        <w:instrText xml:space="preserve"> HYPERLINK "http://www.ccgp.gov.cn/zcfg/mof/201904/t20190403_11849836.htm" \t "http://www.ccgp.gov.cn/jnhb/jnhbqd/_blank" \o "关于印发节能产品政府采购品目清单的通知（财库〔2019〕19号）" </w:instrText>
      </w:r>
      <w:r>
        <w:rPr>
          <w:rFonts w:hint="eastAsia" w:ascii="宋体" w:hAnsi="宋体" w:cs="宋体"/>
          <w:szCs w:val="22"/>
        </w:rPr>
        <w:fldChar w:fldCharType="separate"/>
      </w:r>
      <w:bookmarkStart w:id="39" w:name="OLE_LINK151"/>
      <w:bookmarkStart w:id="40" w:name="OLE_LINK167"/>
      <w:r>
        <w:rPr>
          <w:rFonts w:hint="eastAsia" w:ascii="宋体" w:hAnsi="宋体" w:cs="宋体"/>
          <w:sz w:val="24"/>
        </w:rPr>
        <w:t>《关于印发节能产品政府采购品目清单的通知》</w:t>
      </w:r>
      <w:bookmarkEnd w:id="39"/>
      <w:bookmarkEnd w:id="40"/>
      <w:r>
        <w:rPr>
          <w:rFonts w:hint="eastAsia" w:ascii="宋体" w:hAnsi="宋体" w:cs="宋体"/>
          <w:sz w:val="24"/>
        </w:rPr>
        <w:t>（财库〔2019〕19号）</w:t>
      </w:r>
      <w:r>
        <w:rPr>
          <w:rFonts w:hint="eastAsia" w:ascii="宋体" w:hAnsi="宋体" w:cs="宋体"/>
          <w:sz w:val="24"/>
        </w:rPr>
        <w:fldChar w:fldCharType="end"/>
      </w:r>
      <w:bookmarkEnd w:id="37"/>
      <w:bookmarkEnd w:id="38"/>
      <w:r>
        <w:rPr>
          <w:rFonts w:hint="eastAsia" w:ascii="宋体" w:hAnsi="宋体" w:cs="宋体"/>
          <w:sz w:val="24"/>
        </w:rPr>
        <w:t>；</w:t>
      </w:r>
    </w:p>
    <w:p>
      <w:pPr>
        <w:spacing w:line="360" w:lineRule="auto"/>
        <w:ind w:firstLine="460" w:firstLineChars="192"/>
        <w:rPr>
          <w:rFonts w:hint="eastAsia" w:ascii="宋体" w:hAnsi="宋体" w:cs="宋体"/>
          <w:sz w:val="24"/>
        </w:rPr>
      </w:pPr>
      <w:r>
        <w:rPr>
          <w:rFonts w:hint="eastAsia" w:ascii="宋体" w:hAnsi="宋体" w:cs="宋体"/>
          <w:sz w:val="24"/>
        </w:rPr>
        <w:t>（2）执行《关于印发环境标志产品政府采购品目清单的通知》（财库〔2019〕18号）；</w:t>
      </w:r>
    </w:p>
    <w:p>
      <w:pPr>
        <w:spacing w:line="360" w:lineRule="auto"/>
        <w:ind w:firstLine="460" w:firstLineChars="192"/>
        <w:rPr>
          <w:rFonts w:hint="eastAsia" w:ascii="宋体" w:hAnsi="宋体" w:cs="宋体"/>
          <w:sz w:val="24"/>
        </w:rPr>
      </w:pPr>
      <w:r>
        <w:rPr>
          <w:rFonts w:hint="eastAsia" w:ascii="宋体" w:hAnsi="宋体" w:cs="宋体"/>
          <w:sz w:val="24"/>
        </w:rPr>
        <w:t>（3）执行《关于印发政府采购促进中小企业发展管理办法》（财库[2020]46号；</w:t>
      </w:r>
    </w:p>
    <w:p>
      <w:pPr>
        <w:spacing w:line="360" w:lineRule="auto"/>
        <w:ind w:firstLine="460" w:firstLineChars="192"/>
        <w:rPr>
          <w:rFonts w:hint="eastAsia" w:ascii="宋体" w:hAnsi="宋体" w:cs="宋体"/>
          <w:sz w:val="24"/>
        </w:rPr>
      </w:pPr>
      <w:r>
        <w:rPr>
          <w:rFonts w:hint="eastAsia" w:ascii="宋体" w:hAnsi="宋体" w:cs="宋体"/>
          <w:sz w:val="24"/>
        </w:rPr>
        <w:t>（4）执行《财政部、司法部关于政府采购支持监狱企业发展有关问题的通知》</w:t>
      </w:r>
      <w:bookmarkStart w:id="41" w:name="OLE_LINK171"/>
      <w:r>
        <w:rPr>
          <w:rFonts w:hint="eastAsia" w:ascii="宋体" w:hAnsi="宋体" w:cs="宋体"/>
          <w:sz w:val="24"/>
        </w:rPr>
        <w:t>（财库[2014]68号）</w:t>
      </w:r>
      <w:bookmarkEnd w:id="41"/>
      <w:r>
        <w:rPr>
          <w:rFonts w:hint="eastAsia" w:ascii="宋体" w:hAnsi="宋体" w:cs="宋体"/>
          <w:sz w:val="24"/>
        </w:rPr>
        <w:t>；</w:t>
      </w:r>
    </w:p>
    <w:p>
      <w:pPr>
        <w:spacing w:line="360" w:lineRule="auto"/>
        <w:ind w:firstLine="460" w:firstLineChars="192"/>
        <w:rPr>
          <w:rFonts w:hint="eastAsia" w:ascii="宋体" w:hAnsi="宋体" w:cs="宋体"/>
          <w:sz w:val="24"/>
        </w:rPr>
      </w:pPr>
      <w:r>
        <w:rPr>
          <w:rFonts w:hint="eastAsia" w:ascii="宋体" w:hAnsi="宋体" w:cs="宋体"/>
          <w:sz w:val="24"/>
        </w:rPr>
        <w:t>（5）执行《关于促进残疾人就业政府采购政策的通知》（财库〔2017〕141号）；</w:t>
      </w:r>
    </w:p>
    <w:p>
      <w:pPr>
        <w:spacing w:line="360" w:lineRule="auto"/>
        <w:ind w:firstLine="460" w:firstLineChars="192"/>
        <w:rPr>
          <w:rFonts w:hint="eastAsia" w:ascii="宋体" w:hAnsi="宋体" w:cs="宋体"/>
          <w:sz w:val="24"/>
        </w:rPr>
      </w:pPr>
      <w:r>
        <w:rPr>
          <w:rFonts w:hint="eastAsia" w:ascii="宋体" w:hAnsi="宋体" w:cs="宋体"/>
          <w:sz w:val="24"/>
        </w:rPr>
        <w:t>（6）执行《</w:t>
      </w:r>
      <w:bookmarkStart w:id="42" w:name="OLE_LINK166"/>
      <w:r>
        <w:rPr>
          <w:rFonts w:hint="eastAsia" w:ascii="宋体" w:hAnsi="宋体" w:cs="宋体"/>
          <w:sz w:val="24"/>
        </w:rPr>
        <w:t>财政部关于在政府采购活动中查询及使用信用记录有关问题的通知</w:t>
      </w:r>
      <w:bookmarkEnd w:id="42"/>
      <w:r>
        <w:rPr>
          <w:rFonts w:hint="eastAsia" w:ascii="宋体" w:hAnsi="宋体" w:cs="宋体"/>
          <w:sz w:val="24"/>
        </w:rPr>
        <w:t>》（财库[2016]125号）；</w:t>
      </w:r>
    </w:p>
    <w:p>
      <w:pPr>
        <w:spacing w:line="360" w:lineRule="auto"/>
        <w:ind w:firstLine="480" w:firstLineChars="200"/>
        <w:rPr>
          <w:rFonts w:hint="eastAsia" w:ascii="宋体" w:hAnsi="宋体" w:cs="宋体"/>
          <w:sz w:val="24"/>
          <w:lang w:bidi="ar"/>
        </w:rPr>
      </w:pPr>
      <w:r>
        <w:rPr>
          <w:rFonts w:hint="eastAsia" w:ascii="宋体" w:hAnsi="宋体" w:cs="宋体"/>
          <w:sz w:val="24"/>
        </w:rPr>
        <w:t>（7）执</w:t>
      </w:r>
      <w:bookmarkEnd w:id="33"/>
      <w:r>
        <w:rPr>
          <w:rFonts w:hint="eastAsia" w:ascii="宋体" w:hAnsi="宋体" w:cs="宋体"/>
          <w:sz w:val="24"/>
        </w:rPr>
        <w:t>行《关于进一步加大政府采购支持中小企业力度的通知》（财库〔2022〕19号）；</w:t>
      </w:r>
    </w:p>
    <w:bookmarkEnd w:id="34"/>
    <w:p>
      <w:pPr>
        <w:spacing w:line="360" w:lineRule="auto"/>
        <w:ind w:firstLine="460" w:firstLineChars="192"/>
        <w:rPr>
          <w:rFonts w:hint="eastAsia" w:ascii="宋体" w:hAnsi="宋体" w:cs="宋体"/>
          <w:sz w:val="24"/>
        </w:rPr>
      </w:pPr>
      <w:r>
        <w:rPr>
          <w:rFonts w:hint="eastAsia" w:ascii="宋体" w:hAnsi="宋体" w:cs="宋体"/>
          <w:sz w:val="24"/>
        </w:rPr>
        <w:t>（</w:t>
      </w:r>
      <w:r>
        <w:rPr>
          <w:rFonts w:ascii="宋体" w:hAnsi="宋体" w:cs="宋体"/>
          <w:sz w:val="24"/>
        </w:rPr>
        <w:t>8</w:t>
      </w:r>
      <w:r>
        <w:rPr>
          <w:rFonts w:hint="eastAsia" w:ascii="宋体" w:hAnsi="宋体" w:cs="宋体"/>
          <w:sz w:val="24"/>
        </w:rPr>
        <w:t>）执行</w:t>
      </w:r>
      <w:r>
        <w:rPr>
          <w:rFonts w:ascii="宋体" w:hAnsi="宋体" w:cs="宋体"/>
          <w:sz w:val="24"/>
        </w:rPr>
        <w:t>关于印发《商品包装政府采购需求标准（试行）》、《快递包装政府采购需求标准（试行）》的通知（财办库〔2020〕123号）</w:t>
      </w:r>
      <w:r>
        <w:rPr>
          <w:rFonts w:hint="eastAsia" w:ascii="宋体" w:hAnsi="宋体" w:cs="宋体"/>
          <w:sz w:val="24"/>
        </w:rPr>
        <w:t>。</w:t>
      </w:r>
      <w:bookmarkEnd w:id="35"/>
    </w:p>
    <w:p>
      <w:pPr>
        <w:spacing w:line="360" w:lineRule="auto"/>
        <w:ind w:firstLine="460" w:firstLineChars="192"/>
        <w:rPr>
          <w:rFonts w:hint="eastAsia" w:ascii="宋体" w:hAnsi="宋体" w:cs="宋体"/>
          <w:sz w:val="24"/>
        </w:rPr>
      </w:pPr>
      <w:r>
        <w:rPr>
          <w:rFonts w:hint="eastAsia" w:ascii="宋体" w:hAnsi="宋体" w:cs="宋体"/>
          <w:sz w:val="24"/>
        </w:rPr>
        <w:t>（9）国务院办公厅关于在政府采购中实施本国产品标准及相关政策的通知（国办发〔2025〕34号）</w:t>
      </w:r>
    </w:p>
    <w:p>
      <w:pPr>
        <w:spacing w:line="360" w:lineRule="auto"/>
        <w:ind w:firstLine="460" w:firstLineChars="192"/>
        <w:rPr>
          <w:rFonts w:hint="eastAsia" w:ascii="宋体" w:hAnsi="宋体" w:cs="宋体"/>
          <w:color w:val="000000" w:themeColor="text1"/>
          <w:sz w:val="24"/>
          <w14:textFill>
            <w14:solidFill>
              <w14:schemeClr w14:val="tx1"/>
            </w14:solidFill>
          </w14:textFill>
        </w:rPr>
      </w:pPr>
      <w:r>
        <w:rPr>
          <w:rFonts w:hint="eastAsia" w:ascii="宋体" w:hAnsi="宋体" w:cs="宋体"/>
          <w:sz w:val="24"/>
        </w:rPr>
        <w:t>（1</w:t>
      </w:r>
      <w:r>
        <w:rPr>
          <w:rFonts w:ascii="宋体" w:hAnsi="宋体" w:cs="宋体"/>
          <w:sz w:val="24"/>
        </w:rPr>
        <w:t>0</w:t>
      </w:r>
      <w:r>
        <w:rPr>
          <w:rFonts w:hint="eastAsia" w:ascii="宋体" w:hAnsi="宋体" w:cs="宋体"/>
          <w:sz w:val="24"/>
        </w:rPr>
        <w:t>）关于推动解决政府采购异常低价问题的通知（财库〔2026〕2号）</w:t>
      </w:r>
    </w:p>
    <w:bookmarkEnd w:id="36"/>
    <w:p>
      <w:pPr>
        <w:spacing w:line="360" w:lineRule="auto"/>
        <w:ind w:firstLine="460" w:firstLineChars="192"/>
        <w:rPr>
          <w:rFonts w:hint="eastAsia"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本项目采用全流程电子化采购方式，请供应商认真学习北京市政府采购电子交易平台发布的相关操作手册（供应商可在交易平台下载相关手册），办理CA数字证书或电子营业执照、进行北京市政府采购电子交易平台注册绑定，并认真核实CA数字证书 或电子营业执照情况确认是否符合本项目电子化采购流程要求。</w:t>
      </w:r>
    </w:p>
    <w:p>
      <w:pPr>
        <w:spacing w:line="360" w:lineRule="auto"/>
        <w:ind w:firstLine="460" w:firstLineChars="192"/>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CA数字证书服务热线010-58511086</w:t>
      </w:r>
    </w:p>
    <w:p>
      <w:pPr>
        <w:spacing w:line="360" w:lineRule="auto"/>
        <w:ind w:firstLine="460" w:firstLineChars="192"/>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电子营业执照服务热线400-699-7000</w:t>
      </w:r>
    </w:p>
    <w:p>
      <w:pPr>
        <w:spacing w:line="360" w:lineRule="auto"/>
        <w:ind w:firstLine="460" w:firstLineChars="192"/>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技术支持服务热线010-86483801</w:t>
      </w:r>
    </w:p>
    <w:p>
      <w:pPr>
        <w:spacing w:line="360" w:lineRule="auto"/>
        <w:ind w:firstLine="460" w:firstLineChars="192"/>
        <w:rPr>
          <w:rFonts w:hint="eastAsia"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.1办理CA数字证书或电子营业执照</w:t>
      </w:r>
    </w:p>
    <w:p>
      <w:pPr>
        <w:spacing w:line="360" w:lineRule="auto"/>
        <w:ind w:firstLine="460" w:firstLineChars="192"/>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供应商登录北京市政府采购电子交易平台查阅“用户指南”—“操作指南”—“市场主体CA办理操作流程指引”/“电子营业执照使用指南”，按照程序要求办理。</w:t>
      </w:r>
    </w:p>
    <w:p>
      <w:pPr>
        <w:spacing w:line="360" w:lineRule="auto"/>
        <w:ind w:firstLine="460" w:firstLineChars="192"/>
        <w:rPr>
          <w:rFonts w:hint="eastAsia"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.2注册</w:t>
      </w:r>
    </w:p>
    <w:p>
      <w:pPr>
        <w:spacing w:line="360" w:lineRule="auto"/>
        <w:ind w:firstLine="460" w:firstLineChars="192"/>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供应商登录北京市政府采购电子交易平台“用户指南”—“操作指南”—“市场主体注册入库操作流程指引”进行自助注册绑定。</w:t>
      </w:r>
    </w:p>
    <w:p>
      <w:pPr>
        <w:spacing w:line="360" w:lineRule="auto"/>
        <w:ind w:firstLine="460" w:firstLineChars="192"/>
        <w:rPr>
          <w:rFonts w:hint="eastAsia"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.3驱动、客户端下载</w:t>
      </w:r>
    </w:p>
    <w:p>
      <w:pPr>
        <w:spacing w:line="360" w:lineRule="auto"/>
        <w:ind w:firstLine="460" w:firstLineChars="192"/>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供应商登录北京市政府采购电子交易平台“用户指南”—“工具下载”—“招标采购系统文件驱动安装包”下载相关驱动。</w:t>
      </w:r>
    </w:p>
    <w:p>
      <w:pPr>
        <w:spacing w:line="360" w:lineRule="auto"/>
        <w:ind w:firstLine="460" w:firstLineChars="192"/>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供应商登录北京市政府采购电子交易平台“用户指南”—“工具下载”—“投标文件编制工具”下载相关客户端。</w:t>
      </w:r>
    </w:p>
    <w:p>
      <w:pPr>
        <w:spacing w:line="360" w:lineRule="auto"/>
        <w:ind w:firstLine="460" w:firstLineChars="192"/>
        <w:rPr>
          <w:rFonts w:hint="eastAsia"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.4获取电子招标文件</w:t>
      </w:r>
    </w:p>
    <w:p>
      <w:pPr>
        <w:spacing w:line="360" w:lineRule="auto"/>
        <w:ind w:firstLine="460" w:firstLineChars="192"/>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供应商使用CA数字证书或电子营业执照登录北京市政府采购电子交易平台获取电子招标文件。</w:t>
      </w:r>
    </w:p>
    <w:p>
      <w:pPr>
        <w:spacing w:line="360" w:lineRule="auto"/>
        <w:ind w:firstLine="460" w:firstLineChars="192"/>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如计划参与多个采购包的投标，应在登录北京市政府采购电子交易平台后，在【我的项目】栏目依次选择对应采购包，进入项目工作台招标/采购文件环节分别按采购包下载招标文件电子版。未在规定期限内按上述操作获取文件的采购包，供应商无法提交相应包的电子投标文件。</w:t>
      </w:r>
    </w:p>
    <w:p>
      <w:pPr>
        <w:spacing w:line="360" w:lineRule="auto"/>
        <w:ind w:firstLine="460" w:firstLineChars="192"/>
        <w:rPr>
          <w:rFonts w:hint="eastAsia"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.5编制电子投标文件</w:t>
      </w:r>
    </w:p>
    <w:p>
      <w:pPr>
        <w:spacing w:line="360" w:lineRule="auto"/>
        <w:ind w:firstLine="460" w:firstLineChars="192"/>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应使用电子投标客户端编制电子投标文件并进行线上投标，供应商电子投标文件需要加密并加盖电子签章，如无法按照要求在电子投标文件中加盖电子签章和加密，请及时通过技术支持服务热线联系技术人员。</w:t>
      </w:r>
    </w:p>
    <w:p>
      <w:pPr>
        <w:spacing w:line="360" w:lineRule="auto"/>
        <w:ind w:firstLine="460" w:firstLineChars="192"/>
        <w:rPr>
          <w:rFonts w:hint="eastAsia"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.6提交电子投标文件</w:t>
      </w:r>
    </w:p>
    <w:p>
      <w:pPr>
        <w:spacing w:line="360" w:lineRule="auto"/>
        <w:ind w:firstLine="460" w:firstLineChars="192"/>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供应商应于投标截止时间前在北京市政府采购电子交易平台提交电子投标文件，上传电子投标文件过程中请保持与互联网的连接畅通。</w:t>
      </w:r>
    </w:p>
    <w:p>
      <w:pPr>
        <w:spacing w:line="360" w:lineRule="auto"/>
        <w:ind w:firstLine="460" w:firstLineChars="192"/>
        <w:rPr>
          <w:rFonts w:hint="eastAsia"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.7电子开标</w:t>
      </w:r>
    </w:p>
    <w:p>
      <w:pPr>
        <w:spacing w:line="360" w:lineRule="auto"/>
        <w:ind w:firstLine="460" w:firstLineChars="192"/>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供应商在开标地点使用CA数字证书或电子营业执照登录北京市政府采购电子交易平台进行电子开标。</w:t>
      </w:r>
    </w:p>
    <w:p>
      <w:pPr>
        <w:spacing w:line="360" w:lineRule="auto"/>
        <w:ind w:firstLine="460" w:firstLineChars="192"/>
        <w:rPr>
          <w:rFonts w:hint="eastAsia" w:ascii="宋体" w:hAnsi="宋体" w:cs="宋体"/>
          <w:color w:val="000000" w:themeColor="text1"/>
          <w:sz w:val="24"/>
          <w14:textFill>
            <w14:solidFill>
              <w14:schemeClr w14:val="tx1"/>
            </w14:solidFill>
          </w14:textFill>
        </w:rPr>
      </w:pPr>
    </w:p>
    <w:p>
      <w:pPr>
        <w:spacing w:line="360" w:lineRule="auto"/>
        <w:jc w:val="left"/>
        <w:rPr>
          <w:rFonts w:hint="eastAsia" w:ascii="宋体" w:hAnsi="宋体" w:cs="宋体"/>
          <w:b/>
          <w:color w:val="000000" w:themeColor="text1"/>
          <w:sz w:val="24"/>
          <w14:textFill>
            <w14:solidFill>
              <w14:schemeClr w14:val="tx1"/>
            </w14:solidFill>
          </w14:textFill>
        </w:rPr>
      </w:pPr>
      <w:bookmarkStart w:id="43" w:name="_Toc35393627"/>
      <w:bookmarkStart w:id="44" w:name="_Toc28359008"/>
      <w:bookmarkStart w:id="45" w:name="_Toc28359085"/>
      <w:bookmarkStart w:id="46" w:name="_Toc35393796"/>
      <w:r>
        <w:rPr>
          <w:rFonts w:hint="eastAsia" w:ascii="宋体" w:hAnsi="宋体" w:cs="宋体"/>
          <w:b/>
          <w:color w:val="000000" w:themeColor="text1"/>
          <w:sz w:val="24"/>
          <w14:textFill>
            <w14:solidFill>
              <w14:schemeClr w14:val="tx1"/>
            </w14:solidFill>
          </w14:textFill>
        </w:rPr>
        <w:t>七、对本次招标提出询问，请按以下方式联系。</w:t>
      </w:r>
      <w:bookmarkEnd w:id="43"/>
      <w:bookmarkEnd w:id="44"/>
      <w:bookmarkEnd w:id="45"/>
      <w:bookmarkEnd w:id="46"/>
    </w:p>
    <w:p>
      <w:pPr>
        <w:widowControl/>
        <w:spacing w:line="360" w:lineRule="auto"/>
        <w:jc w:val="left"/>
        <w:rPr>
          <w:rFonts w:hint="eastAsia"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w:t>
      </w:r>
      <w:r>
        <w:rPr>
          <w:rFonts w:hint="eastAsia" w:ascii="宋体" w:hAnsi="宋体" w:cs="宋体"/>
          <w:b/>
          <w:color w:val="000000" w:themeColor="text1"/>
          <w:sz w:val="24"/>
          <w14:textFill>
            <w14:solidFill>
              <w14:schemeClr w14:val="tx1"/>
            </w14:solidFill>
          </w14:textFill>
        </w:rPr>
        <w:t>1.采购人信息</w:t>
      </w:r>
    </w:p>
    <w:p>
      <w:pPr>
        <w:spacing w:line="360" w:lineRule="auto"/>
        <w:ind w:left="1079" w:leftChars="371" w:hanging="300" w:hangingChars="125"/>
        <w:jc w:val="left"/>
        <w:rPr>
          <w:rFonts w:hint="eastAsia" w:ascii="宋体" w:hAnsi="宋体" w:cs="宋体"/>
          <w:sz w:val="24"/>
          <w:u w:val="single"/>
        </w:rPr>
      </w:pPr>
      <w:bookmarkStart w:id="47" w:name="_Toc28359009"/>
      <w:bookmarkStart w:id="48" w:name="_Toc28359086"/>
      <w:r>
        <w:rPr>
          <w:rFonts w:hint="eastAsia" w:ascii="宋体" w:hAnsi="宋体" w:cs="宋体"/>
          <w:sz w:val="24"/>
        </w:rPr>
        <w:t>名    称：</w:t>
      </w:r>
      <w:r>
        <w:rPr>
          <w:rFonts w:hint="eastAsia" w:ascii="宋体" w:hAnsi="宋体" w:cs="宋体"/>
          <w:sz w:val="24"/>
          <w:u w:val="single"/>
        </w:rPr>
        <w:t>北京市文化和旅游局</w:t>
      </w:r>
    </w:p>
    <w:p>
      <w:pPr>
        <w:spacing w:line="360" w:lineRule="auto"/>
        <w:ind w:left="1079" w:leftChars="371" w:hanging="300" w:hangingChars="125"/>
        <w:jc w:val="left"/>
        <w:rPr>
          <w:rFonts w:hint="eastAsia" w:ascii="宋体" w:hAnsi="宋体" w:cs="宋体"/>
          <w:sz w:val="24"/>
          <w:u w:val="single"/>
        </w:rPr>
      </w:pPr>
      <w:r>
        <w:rPr>
          <w:rFonts w:hint="eastAsia" w:ascii="宋体" w:hAnsi="宋体" w:cs="宋体"/>
          <w:sz w:val="24"/>
        </w:rPr>
        <w:t>地    址：</w:t>
      </w:r>
      <w:r>
        <w:rPr>
          <w:rFonts w:hint="eastAsia" w:ascii="宋体" w:hAnsi="宋体" w:cs="宋体"/>
          <w:sz w:val="24"/>
          <w:u w:val="single"/>
        </w:rPr>
        <w:t>北京市通州区留庄路1号院1号楼</w:t>
      </w:r>
    </w:p>
    <w:p>
      <w:pPr>
        <w:spacing w:line="360" w:lineRule="auto"/>
        <w:ind w:left="1079" w:leftChars="371" w:hanging="300" w:hangingChars="125"/>
        <w:jc w:val="left"/>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联系方式：</w:t>
      </w:r>
      <w:r>
        <w:rPr>
          <w:rFonts w:hint="eastAsia" w:ascii="宋体" w:hAnsi="宋体" w:cs="宋体"/>
          <w:sz w:val="24"/>
          <w:u w:val="single"/>
        </w:rPr>
        <w:t>毛老师 010-55525796</w:t>
      </w:r>
    </w:p>
    <w:p>
      <w:pPr>
        <w:spacing w:line="360" w:lineRule="auto"/>
        <w:ind w:left="1080" w:leftChars="371" w:hanging="301" w:hangingChars="125"/>
        <w:jc w:val="left"/>
        <w:rPr>
          <w:rFonts w:hint="eastAsia"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2.采购代理机构信息</w:t>
      </w:r>
      <w:bookmarkEnd w:id="47"/>
      <w:bookmarkEnd w:id="48"/>
    </w:p>
    <w:p>
      <w:pPr>
        <w:spacing w:line="360" w:lineRule="auto"/>
        <w:ind w:left="1079" w:leftChars="371" w:hanging="300" w:hangingChars="125"/>
        <w:jc w:val="left"/>
        <w:rPr>
          <w:rFonts w:hint="eastAsia" w:ascii="宋体" w:hAnsi="宋体" w:cs="宋体"/>
          <w:sz w:val="24"/>
          <w:u w:val="single"/>
        </w:rPr>
      </w:pPr>
      <w:bookmarkStart w:id="49" w:name="_Toc28359087"/>
      <w:bookmarkStart w:id="50" w:name="_Toc28359010"/>
      <w:r>
        <w:rPr>
          <w:rFonts w:hint="eastAsia" w:ascii="宋体" w:hAnsi="宋体" w:cs="宋体"/>
          <w:sz w:val="24"/>
        </w:rPr>
        <w:t>名    称：</w:t>
      </w:r>
      <w:r>
        <w:rPr>
          <w:rFonts w:hint="eastAsia" w:ascii="宋体" w:hAnsi="宋体" w:cs="宋体"/>
          <w:sz w:val="24"/>
          <w:u w:val="single"/>
        </w:rPr>
        <w:t>北京市京发招标有限公司</w:t>
      </w:r>
    </w:p>
    <w:p>
      <w:pPr>
        <w:spacing w:line="360" w:lineRule="auto"/>
        <w:ind w:left="1079" w:leftChars="371" w:hanging="300" w:hangingChars="125"/>
        <w:jc w:val="left"/>
        <w:rPr>
          <w:rFonts w:hint="eastAsia" w:ascii="宋体" w:hAnsi="宋体" w:cs="宋体"/>
          <w:sz w:val="24"/>
        </w:rPr>
      </w:pPr>
      <w:r>
        <w:rPr>
          <w:rFonts w:hint="eastAsia" w:ascii="宋体" w:hAnsi="宋体" w:cs="宋体"/>
          <w:sz w:val="24"/>
        </w:rPr>
        <w:t>地    址：</w:t>
      </w:r>
      <w:bookmarkStart w:id="51" w:name="OLE_LINK15"/>
      <w:bookmarkStart w:id="52" w:name="OLE_LINK9"/>
      <w:r>
        <w:rPr>
          <w:rFonts w:hint="eastAsia" w:ascii="宋体" w:hAnsi="宋体" w:cs="宋体"/>
          <w:sz w:val="24"/>
          <w:u w:val="single"/>
        </w:rPr>
        <w:t>北京市东城区崇文门外大街90号</w:t>
      </w:r>
      <w:bookmarkEnd w:id="51"/>
      <w:bookmarkEnd w:id="52"/>
    </w:p>
    <w:p>
      <w:pPr>
        <w:spacing w:line="360" w:lineRule="auto"/>
        <w:ind w:left="1079" w:leftChars="371" w:hanging="300" w:hangingChars="125"/>
        <w:jc w:val="left"/>
        <w:rPr>
          <w:rFonts w:hint="eastAsia" w:ascii="宋体" w:hAnsi="宋体" w:cs="宋体"/>
          <w:sz w:val="24"/>
          <w:u w:val="single"/>
        </w:rPr>
      </w:pPr>
      <w:r>
        <w:rPr>
          <w:rFonts w:hint="eastAsia" w:ascii="宋体" w:hAnsi="宋体" w:cs="宋体"/>
          <w:sz w:val="24"/>
        </w:rPr>
        <w:t>联系方式：</w:t>
      </w:r>
      <w:bookmarkStart w:id="53" w:name="OLE_LINK159"/>
      <w:bookmarkStart w:id="54" w:name="OLE_LINK158"/>
      <w:r>
        <w:rPr>
          <w:rFonts w:hint="eastAsia" w:ascii="宋体" w:hAnsi="宋体" w:cs="宋体"/>
          <w:sz w:val="24"/>
          <w:u w:val="single"/>
        </w:rPr>
        <w:t>张超、李丁010-67169727</w:t>
      </w:r>
      <w:bookmarkEnd w:id="53"/>
      <w:bookmarkEnd w:id="54"/>
    </w:p>
    <w:p>
      <w:pPr>
        <w:spacing w:line="360" w:lineRule="auto"/>
        <w:ind w:firstLine="723" w:firstLineChars="300"/>
        <w:rPr>
          <w:rFonts w:hint="eastAsia" w:ascii="宋体" w:hAnsi="宋体" w:cs="宋体"/>
          <w:b/>
          <w:color w:val="000000" w:themeColor="text1"/>
          <w:sz w:val="24"/>
          <w:u w:val="single"/>
          <w14:textFill>
            <w14:solidFill>
              <w14:schemeClr w14:val="tx1"/>
            </w14:solidFill>
          </w14:textFill>
        </w:rPr>
      </w:pPr>
      <w:r>
        <w:rPr>
          <w:rFonts w:hint="eastAsia" w:ascii="宋体" w:hAnsi="宋体" w:cs="宋体"/>
          <w:b/>
          <w:color w:val="000000" w:themeColor="text1"/>
          <w:sz w:val="24"/>
          <w14:textFill>
            <w14:solidFill>
              <w14:schemeClr w14:val="tx1"/>
            </w14:solidFill>
          </w14:textFill>
        </w:rPr>
        <w:t>3.项目联系方式</w:t>
      </w:r>
      <w:bookmarkEnd w:id="49"/>
      <w:bookmarkEnd w:id="50"/>
    </w:p>
    <w:p>
      <w:pPr>
        <w:pStyle w:val="28"/>
        <w:spacing w:line="360" w:lineRule="auto"/>
        <w:ind w:firstLine="720" w:firstLineChars="300"/>
        <w:rPr>
          <w:rFonts w:hAnsi="宋体" w:cs="宋体"/>
          <w:color w:val="000000" w:themeColor="text1"/>
          <w:sz w:val="24"/>
          <w:szCs w:val="24"/>
          <w:u w:val="single"/>
          <w14:textFill>
            <w14:solidFill>
              <w14:schemeClr w14:val="tx1"/>
            </w14:solidFill>
          </w14:textFill>
        </w:rPr>
      </w:pPr>
      <w:r>
        <w:rPr>
          <w:rFonts w:hAnsi="宋体" w:cs="宋体"/>
          <w:color w:val="000000" w:themeColor="text1"/>
          <w:sz w:val="24"/>
          <w:szCs w:val="24"/>
          <w14:textFill>
            <w14:solidFill>
              <w14:schemeClr w14:val="tx1"/>
            </w14:solidFill>
          </w14:textFill>
        </w:rPr>
        <w:t>项目联系人：</w:t>
      </w:r>
      <w:r>
        <w:rPr>
          <w:rFonts w:hAnsi="宋体" w:cs="宋体"/>
          <w:sz w:val="24"/>
          <w:u w:val="single"/>
        </w:rPr>
        <w:t>张超、李丁</w:t>
      </w:r>
    </w:p>
    <w:p>
      <w:pPr>
        <w:pStyle w:val="28"/>
        <w:spacing w:line="360" w:lineRule="auto"/>
        <w:ind w:firstLine="720" w:firstLineChars="300"/>
        <w:rPr>
          <w:rFonts w:hAnsi="宋体" w:cs="宋体"/>
          <w:color w:val="000000" w:themeColor="text1"/>
          <w:sz w:val="24"/>
          <w14:textFill>
            <w14:solidFill>
              <w14:schemeClr w14:val="tx1"/>
            </w14:solidFill>
          </w14:textFill>
        </w:rPr>
      </w:pPr>
      <w:r>
        <w:rPr>
          <w:rFonts w:hAnsi="宋体" w:cs="宋体"/>
          <w:color w:val="000000" w:themeColor="text1"/>
          <w:sz w:val="24"/>
          <w14:textFill>
            <w14:solidFill>
              <w14:schemeClr w14:val="tx1"/>
            </w14:solidFill>
          </w14:textFill>
        </w:rPr>
        <w:t>电      话：</w:t>
      </w:r>
      <w:r>
        <w:rPr>
          <w:rFonts w:hAnsi="宋体" w:cs="宋体"/>
          <w:color w:val="000000" w:themeColor="text1"/>
          <w:sz w:val="24"/>
          <w:u w:val="single"/>
          <w14:textFill>
            <w14:solidFill>
              <w14:schemeClr w14:val="tx1"/>
            </w14:solidFill>
          </w14:textFill>
        </w:rPr>
        <w:t>010-</w:t>
      </w:r>
      <w:r>
        <w:rPr>
          <w:rFonts w:hAnsi="宋体" w:cs="宋体"/>
          <w:color w:val="000000" w:themeColor="text1"/>
          <w:sz w:val="24"/>
          <w:szCs w:val="24"/>
          <w:u w:val="single"/>
          <w14:textFill>
            <w14:solidFill>
              <w14:schemeClr w14:val="tx1"/>
            </w14:solidFill>
          </w14:textFill>
        </w:rPr>
        <w:t>67169727</w:t>
      </w:r>
    </w:p>
    <w:p>
      <w:pPr>
        <w:widowControl/>
        <w:jc w:val="left"/>
        <w:rPr>
          <w:rFonts w:hint="eastAsia" w:ascii="宋体" w:hAnsi="宋体" w:cs="宋体"/>
          <w:b/>
          <w:color w:val="000000" w:themeColor="text1"/>
          <w:sz w:val="36"/>
          <w:szCs w:val="36"/>
          <w14:textFill>
            <w14:solidFill>
              <w14:schemeClr w14:val="tx1"/>
            </w14:solidFill>
          </w14:textFill>
        </w:rPr>
      </w:pPr>
      <w:bookmarkStart w:id="55" w:name="_Toc353825548"/>
      <w:bookmarkStart w:id="56" w:name="_Toc127161488"/>
      <w:bookmarkStart w:id="57" w:name="_Toc305158854"/>
      <w:bookmarkStart w:id="58" w:name="_Toc264969275"/>
      <w:bookmarkStart w:id="59" w:name="_Toc265228423"/>
      <w:bookmarkStart w:id="60" w:name="_Toc150774783"/>
      <w:bookmarkStart w:id="61" w:name="_Toc226965856"/>
      <w:bookmarkStart w:id="62" w:name="_Toc353873938"/>
      <w:bookmarkStart w:id="63" w:name="_Toc305158928"/>
      <w:bookmarkStart w:id="64" w:name="_Toc127151777"/>
      <w:bookmarkStart w:id="65" w:name="_Toc195842950"/>
      <w:bookmarkStart w:id="66" w:name="_Toc512937850"/>
      <w:bookmarkStart w:id="67" w:name="_Toc99301420"/>
      <w:r>
        <w:rPr>
          <w:rFonts w:ascii="宋体" w:hAnsi="宋体" w:cs="宋体"/>
          <w:b/>
          <w:color w:val="000000" w:themeColor="text1"/>
          <w:sz w:val="36"/>
          <w:szCs w:val="36"/>
          <w14:textFill>
            <w14:solidFill>
              <w14:schemeClr w14:val="tx1"/>
            </w14:solidFill>
          </w14:textFill>
        </w:rPr>
        <w:br w:type="page"/>
      </w:r>
    </w:p>
    <w:p>
      <w:pPr>
        <w:spacing w:line="360" w:lineRule="auto"/>
        <w:jc w:val="center"/>
        <w:outlineLvl w:val="0"/>
        <w:rPr>
          <w:rFonts w:hint="eastAsia" w:ascii="宋体" w:hAnsi="宋体" w:cs="宋体"/>
          <w:b/>
          <w:color w:val="000000" w:themeColor="text1"/>
          <w:sz w:val="32"/>
          <w:szCs w:val="32"/>
          <w14:textFill>
            <w14:solidFill>
              <w14:schemeClr w14:val="tx1"/>
            </w14:solidFill>
          </w14:textFill>
        </w:rPr>
      </w:pPr>
      <w:bookmarkStart w:id="68" w:name="_Toc218620567"/>
      <w:r>
        <w:rPr>
          <w:rFonts w:hint="eastAsia" w:ascii="宋体" w:hAnsi="宋体" w:cs="宋体"/>
          <w:b/>
          <w:color w:val="000000" w:themeColor="text1"/>
          <w:sz w:val="36"/>
          <w:szCs w:val="36"/>
          <w14:textFill>
            <w14:solidFill>
              <w14:schemeClr w14:val="tx1"/>
            </w14:solidFill>
          </w14:textFill>
        </w:rPr>
        <w:t>第二章   投标人须知</w:t>
      </w:r>
      <w:bookmarkEnd w:id="55"/>
      <w:bookmarkEnd w:id="56"/>
      <w:bookmarkEnd w:id="57"/>
      <w:bookmarkEnd w:id="58"/>
      <w:bookmarkEnd w:id="59"/>
      <w:bookmarkEnd w:id="60"/>
      <w:bookmarkEnd w:id="61"/>
      <w:bookmarkEnd w:id="62"/>
      <w:bookmarkEnd w:id="63"/>
      <w:bookmarkEnd w:id="64"/>
      <w:bookmarkEnd w:id="65"/>
      <w:bookmarkEnd w:id="66"/>
      <w:bookmarkEnd w:id="67"/>
      <w:bookmarkEnd w:id="68"/>
    </w:p>
    <w:p>
      <w:pPr>
        <w:tabs>
          <w:tab w:val="center" w:pos="4592"/>
          <w:tab w:val="left" w:pos="7860"/>
        </w:tabs>
        <w:spacing w:line="360" w:lineRule="auto"/>
        <w:jc w:val="center"/>
        <w:rPr>
          <w:rFonts w:hint="eastAsia" w:ascii="宋体" w:hAnsi="宋体" w:cs="宋体"/>
          <w:color w:val="000000" w:themeColor="text1"/>
          <w:sz w:val="28"/>
          <w14:textFill>
            <w14:solidFill>
              <w14:schemeClr w14:val="tx1"/>
            </w14:solidFill>
          </w14:textFill>
        </w:rPr>
      </w:pPr>
      <w:bookmarkStart w:id="69" w:name="_Toc164608633"/>
      <w:bookmarkStart w:id="70" w:name="_Toc164608788"/>
      <w:bookmarkStart w:id="71" w:name="_Toc127151519"/>
      <w:bookmarkStart w:id="72" w:name="_Toc195842884"/>
      <w:bookmarkStart w:id="73" w:name="_Toc151193689"/>
      <w:bookmarkStart w:id="74" w:name="_Toc164351613"/>
      <w:bookmarkStart w:id="75" w:name="_Toc151193761"/>
      <w:bookmarkStart w:id="76" w:name="_Toc164229360"/>
      <w:bookmarkStart w:id="77" w:name="_Toc150480757"/>
      <w:bookmarkStart w:id="78" w:name="_Toc127151720"/>
      <w:bookmarkStart w:id="79" w:name="_Toc151193907"/>
      <w:bookmarkStart w:id="80" w:name="_Toc151193833"/>
      <w:bookmarkStart w:id="81" w:name="_Toc226965709"/>
      <w:bookmarkStart w:id="82" w:name="_Toc226337215"/>
      <w:bookmarkStart w:id="83" w:name="_Toc151190146"/>
      <w:bookmarkStart w:id="84" w:name="_Toc164229214"/>
      <w:bookmarkStart w:id="85" w:name="_Toc149720812"/>
      <w:bookmarkStart w:id="86" w:name="_Toc142311021"/>
      <w:bookmarkStart w:id="87" w:name="_Toc520356144"/>
      <w:bookmarkStart w:id="88" w:name="_Toc127161433"/>
      <w:bookmarkStart w:id="89" w:name="_Toc150509270"/>
      <w:bookmarkStart w:id="90" w:name="_Toc150774619"/>
      <w:bookmarkStart w:id="91" w:name="_Toc226965792"/>
      <w:bookmarkStart w:id="92" w:name="_Toc151193617"/>
      <w:bookmarkStart w:id="93" w:name="_Toc150774724"/>
      <w:bookmarkStart w:id="94" w:name="_Toc226309763"/>
      <w:r>
        <w:rPr>
          <w:rFonts w:hint="eastAsia" w:ascii="宋体" w:hAnsi="宋体" w:cs="宋体"/>
          <w:color w:val="000000" w:themeColor="text1"/>
          <w:sz w:val="28"/>
          <w14:textFill>
            <w14:solidFill>
              <w14:schemeClr w14:val="tx1"/>
            </w14:solidFill>
          </w14:textFill>
        </w:rPr>
        <w:t>投标人须知资料表</w:t>
      </w:r>
    </w:p>
    <w:p>
      <w:pPr>
        <w:jc w:val="center"/>
        <w:rPr>
          <w:rFonts w:hint="eastAsia" w:ascii="宋体" w:hAnsi="宋体" w:cs="宋体"/>
          <w:b/>
          <w:color w:val="000000" w:themeColor="text1"/>
          <w:sz w:val="28"/>
          <w:szCs w:val="28"/>
          <w14:textFill>
            <w14:solidFill>
              <w14:schemeClr w14:val="tx1"/>
            </w14:solidFill>
          </w14:textFill>
        </w:rPr>
      </w:pPr>
    </w:p>
    <w:p>
      <w:pPr>
        <w:spacing w:line="360" w:lineRule="auto"/>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本表是对投标人须知的具体补充和修改，如有矛盾，均以本资料表为准。</w:t>
      </w:r>
    </w:p>
    <w:tbl>
      <w:tblPr>
        <w:tblStyle w:val="52"/>
        <w:tblW w:w="90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2"/>
        <w:gridCol w:w="1700"/>
        <w:gridCol w:w="63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tcPr>
          <w:p>
            <w:pPr>
              <w:autoSpaceDE w:val="0"/>
              <w:autoSpaceDN w:val="0"/>
              <w:spacing w:before="167" w:line="200" w:lineRule="auto"/>
              <w:ind w:left="138"/>
              <w:rPr>
                <w:rFonts w:hint="eastAsia" w:ascii="宋体" w:hAnsi="宋体" w:cs="宋体"/>
                <w:color w:val="000000" w:themeColor="text1"/>
                <w:sz w:val="24"/>
                <w14:textFill>
                  <w14:solidFill>
                    <w14:schemeClr w14:val="tx1"/>
                  </w14:solidFill>
                </w14:textFill>
              </w:rPr>
            </w:pPr>
            <w:r>
              <w:rPr>
                <w:rFonts w:hint="eastAsia" w:ascii="宋体" w:hAnsi="宋体" w:cs="宋体"/>
                <w:b/>
                <w:bCs/>
                <w:color w:val="000000" w:themeColor="text1"/>
                <w:spacing w:val="-2"/>
                <w:sz w:val="24"/>
                <w14:textFill>
                  <w14:solidFill>
                    <w14:schemeClr w14:val="tx1"/>
                  </w14:solidFill>
                </w14:textFill>
              </w:rPr>
              <w:t>条款号</w:t>
            </w:r>
          </w:p>
        </w:tc>
        <w:tc>
          <w:tcPr>
            <w:tcW w:w="1700" w:type="dxa"/>
          </w:tcPr>
          <w:p>
            <w:pPr>
              <w:autoSpaceDE w:val="0"/>
              <w:autoSpaceDN w:val="0"/>
              <w:spacing w:before="166" w:line="202" w:lineRule="auto"/>
              <w:ind w:left="610"/>
              <w:rPr>
                <w:rFonts w:hint="eastAsia" w:ascii="宋体" w:hAnsi="宋体" w:cs="宋体"/>
                <w:color w:val="000000" w:themeColor="text1"/>
                <w:sz w:val="24"/>
                <w14:textFill>
                  <w14:solidFill>
                    <w14:schemeClr w14:val="tx1"/>
                  </w14:solidFill>
                </w14:textFill>
              </w:rPr>
            </w:pPr>
            <w:r>
              <w:rPr>
                <w:rFonts w:hint="eastAsia" w:ascii="宋体" w:hAnsi="宋体" w:cs="宋体"/>
                <w:b/>
                <w:bCs/>
                <w:color w:val="000000" w:themeColor="text1"/>
                <w:spacing w:val="-3"/>
                <w:sz w:val="24"/>
                <w14:textFill>
                  <w14:solidFill>
                    <w14:schemeClr w14:val="tx1"/>
                  </w14:solidFill>
                </w14:textFill>
              </w:rPr>
              <w:t>条目</w:t>
            </w:r>
          </w:p>
        </w:tc>
        <w:tc>
          <w:tcPr>
            <w:tcW w:w="6381" w:type="dxa"/>
          </w:tcPr>
          <w:p>
            <w:pPr>
              <w:autoSpaceDE w:val="0"/>
              <w:autoSpaceDN w:val="0"/>
              <w:spacing w:before="166" w:line="201" w:lineRule="auto"/>
              <w:ind w:left="3557"/>
              <w:rPr>
                <w:rFonts w:hint="eastAsia" w:ascii="宋体" w:hAnsi="宋体" w:cs="宋体"/>
                <w:color w:val="000000" w:themeColor="text1"/>
                <w:sz w:val="24"/>
                <w14:textFill>
                  <w14:solidFill>
                    <w14:schemeClr w14:val="tx1"/>
                  </w14:solidFill>
                </w14:textFill>
              </w:rPr>
            </w:pPr>
            <w:r>
              <w:rPr>
                <w:rFonts w:hint="eastAsia" w:ascii="宋体" w:hAnsi="宋体" w:cs="宋体"/>
                <w:b/>
                <w:bCs/>
                <w:color w:val="000000" w:themeColor="text1"/>
                <w:spacing w:val="-15"/>
                <w:sz w:val="24"/>
                <w14:textFill>
                  <w14:solidFill>
                    <w14:schemeClr w14:val="tx1"/>
                  </w14:solidFill>
                </w14:textFill>
              </w:rPr>
              <w:t>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Align w:val="center"/>
          </w:tcPr>
          <w:p>
            <w:pPr>
              <w:pStyle w:val="260"/>
              <w:spacing w:before="69" w:line="201" w:lineRule="auto"/>
              <w:ind w:left="1"/>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9"/>
                <w:sz w:val="24"/>
                <w:szCs w:val="24"/>
                <w14:textFill>
                  <w14:solidFill>
                    <w14:schemeClr w14:val="tx1"/>
                  </w14:solidFill>
                </w14:textFill>
              </w:rPr>
              <w:t>2.2</w:t>
            </w:r>
          </w:p>
        </w:tc>
        <w:tc>
          <w:tcPr>
            <w:tcW w:w="1700" w:type="dxa"/>
            <w:vAlign w:val="center"/>
          </w:tcPr>
          <w:p>
            <w:pPr>
              <w:autoSpaceDE w:val="0"/>
              <w:autoSpaceDN w:val="0"/>
              <w:spacing w:before="103" w:line="200" w:lineRule="auto"/>
              <w:ind w:left="2"/>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项目属性</w:t>
            </w:r>
          </w:p>
        </w:tc>
        <w:tc>
          <w:tcPr>
            <w:tcW w:w="6381" w:type="dxa"/>
          </w:tcPr>
          <w:p>
            <w:pPr>
              <w:autoSpaceDE w:val="0"/>
              <w:autoSpaceDN w:val="0"/>
              <w:spacing w:before="103"/>
              <w:ind w:left="2"/>
              <w:rPr>
                <w:rFonts w:hint="eastAsia" w:ascii="宋体" w:hAnsi="宋体" w:cs="宋体"/>
                <w:color w:val="000000" w:themeColor="text1"/>
                <w:spacing w:val="-2"/>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项目属性：</w:t>
            </w:r>
          </w:p>
          <w:p>
            <w:pPr>
              <w:autoSpaceDE w:val="0"/>
              <w:autoSpaceDN w:val="0"/>
              <w:spacing w:before="103"/>
              <w:ind w:left="2"/>
              <w:rPr>
                <w:rFonts w:hint="eastAsia" w:ascii="宋体" w:hAnsi="宋体" w:cs="宋体"/>
                <w:spacing w:val="-2"/>
                <w:sz w:val="24"/>
              </w:rPr>
            </w:pPr>
            <w:r>
              <w:rPr>
                <w:rFonts w:hint="eastAsia" w:ascii="宋体" w:hAnsi="宋体" w:cs="宋体"/>
                <w:spacing w:val="-2"/>
                <w:sz w:val="24"/>
              </w:rPr>
              <w:t>■服务</w:t>
            </w:r>
          </w:p>
          <w:p>
            <w:pPr>
              <w:autoSpaceDE w:val="0"/>
              <w:autoSpaceDN w:val="0"/>
              <w:spacing w:before="103"/>
              <w:ind w:left="2"/>
              <w:rPr>
                <w:rFonts w:hint="eastAsia" w:ascii="宋体" w:hAnsi="宋体" w:cs="宋体"/>
                <w:color w:val="000000" w:themeColor="text1"/>
                <w:sz w:val="24"/>
                <w14:textFill>
                  <w14:solidFill>
                    <w14:schemeClr w14:val="tx1"/>
                  </w14:solidFill>
                </w14:textFill>
              </w:rPr>
            </w:pPr>
            <w:r>
              <w:rPr>
                <w:rFonts w:hint="eastAsia" w:ascii="宋体" w:hAnsi="宋体" w:cs="宋体"/>
                <w:spacing w:val="-2"/>
                <w:sz w:val="24"/>
              </w:rPr>
              <w:t>□货物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Align w:val="center"/>
          </w:tcPr>
          <w:p>
            <w:pPr>
              <w:pStyle w:val="260"/>
              <w:spacing w:before="69" w:line="201" w:lineRule="auto"/>
              <w:ind w:left="1"/>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9"/>
                <w:sz w:val="24"/>
                <w:szCs w:val="24"/>
                <w14:textFill>
                  <w14:solidFill>
                    <w14:schemeClr w14:val="tx1"/>
                  </w14:solidFill>
                </w14:textFill>
              </w:rPr>
              <w:t>2.3</w:t>
            </w:r>
          </w:p>
        </w:tc>
        <w:tc>
          <w:tcPr>
            <w:tcW w:w="1700" w:type="dxa"/>
            <w:vAlign w:val="center"/>
          </w:tcPr>
          <w:p>
            <w:pPr>
              <w:autoSpaceDE w:val="0"/>
              <w:autoSpaceDN w:val="0"/>
              <w:spacing w:before="103" w:line="201" w:lineRule="auto"/>
              <w:ind w:left="2"/>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科研仪器设备</w:t>
            </w:r>
          </w:p>
        </w:tc>
        <w:tc>
          <w:tcPr>
            <w:tcW w:w="6381" w:type="dxa"/>
          </w:tcPr>
          <w:p>
            <w:pPr>
              <w:autoSpaceDE w:val="0"/>
              <w:autoSpaceDN w:val="0"/>
              <w:spacing w:before="103"/>
              <w:ind w:left="2"/>
              <w:rPr>
                <w:rFonts w:hint="eastAsia" w:ascii="宋体" w:hAnsi="宋体" w:cs="宋体"/>
                <w:color w:val="000000" w:themeColor="text1"/>
                <w:spacing w:val="-2"/>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是否属于科研仪器设备采购项目：</w:t>
            </w:r>
          </w:p>
          <w:p>
            <w:pPr>
              <w:autoSpaceDE w:val="0"/>
              <w:autoSpaceDN w:val="0"/>
              <w:spacing w:before="103"/>
              <w:ind w:left="2"/>
              <w:rPr>
                <w:rFonts w:hint="eastAsia" w:ascii="宋体" w:hAnsi="宋体" w:cs="宋体"/>
                <w:color w:val="000000" w:themeColor="text1"/>
                <w:spacing w:val="-2"/>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□是</w:t>
            </w:r>
          </w:p>
          <w:p>
            <w:pPr>
              <w:autoSpaceDE w:val="0"/>
              <w:autoSpaceDN w:val="0"/>
              <w:spacing w:before="103"/>
              <w:ind w:left="2"/>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Align w:val="center"/>
          </w:tcPr>
          <w:p>
            <w:pPr>
              <w:pStyle w:val="260"/>
              <w:spacing w:before="69" w:line="201" w:lineRule="auto"/>
              <w:ind w:left="1"/>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9"/>
                <w:sz w:val="24"/>
                <w:szCs w:val="24"/>
                <w14:textFill>
                  <w14:solidFill>
                    <w14:schemeClr w14:val="tx1"/>
                  </w14:solidFill>
                </w14:textFill>
              </w:rPr>
              <w:t>2.4</w:t>
            </w:r>
          </w:p>
        </w:tc>
        <w:tc>
          <w:tcPr>
            <w:tcW w:w="1700" w:type="dxa"/>
            <w:vAlign w:val="center"/>
          </w:tcPr>
          <w:p>
            <w:pPr>
              <w:autoSpaceDE w:val="0"/>
              <w:autoSpaceDN w:val="0"/>
              <w:spacing w:before="103" w:line="201" w:lineRule="auto"/>
              <w:ind w:left="2"/>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核心产品</w:t>
            </w:r>
          </w:p>
        </w:tc>
        <w:tc>
          <w:tcPr>
            <w:tcW w:w="6381" w:type="dxa"/>
          </w:tcPr>
          <w:p>
            <w:pPr>
              <w:autoSpaceDE w:val="0"/>
              <w:autoSpaceDN w:val="0"/>
              <w:spacing w:before="103"/>
              <w:ind w:left="2"/>
              <w:rPr>
                <w:rFonts w:hint="eastAsia" w:ascii="宋体" w:hAnsi="宋体" w:cs="宋体"/>
                <w:sz w:val="24"/>
                <w:u w:val="single"/>
              </w:rPr>
            </w:pPr>
            <w:r>
              <w:rPr>
                <w:rFonts w:hint="eastAsia" w:ascii="宋体" w:hAnsi="宋体" w:cs="宋体"/>
                <w:spacing w:val="-2"/>
                <w:sz w:val="24"/>
              </w:rPr>
              <w:t>■</w:t>
            </w:r>
            <w:r>
              <w:rPr>
                <w:rFonts w:hint="eastAsia" w:ascii="宋体" w:hAnsi="宋体" w:cs="宋体"/>
                <w:sz w:val="24"/>
              </w:rPr>
              <w:t>关于核心产品本项目</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包不适用。</w:t>
            </w:r>
          </w:p>
          <w:p>
            <w:pPr>
              <w:autoSpaceDE w:val="0"/>
              <w:autoSpaceDN w:val="0"/>
              <w:spacing w:before="103"/>
              <w:ind w:left="2"/>
              <w:rPr>
                <w:rFonts w:hint="eastAsia" w:ascii="宋体" w:hAnsi="宋体" w:cs="宋体"/>
                <w:sz w:val="24"/>
              </w:rPr>
            </w:pPr>
            <w:r>
              <w:rPr>
                <w:rFonts w:hint="eastAsia" w:ascii="宋体" w:hAnsi="宋体" w:cs="宋体"/>
                <w:sz w:val="24"/>
              </w:rPr>
              <w:t>□本项目</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包为单一产品采购项目。</w:t>
            </w:r>
          </w:p>
          <w:p>
            <w:pPr>
              <w:autoSpaceDE w:val="0"/>
              <w:autoSpaceDN w:val="0"/>
              <w:spacing w:before="103"/>
              <w:ind w:left="2"/>
              <w:rPr>
                <w:rFonts w:hint="eastAsia" w:ascii="宋体" w:hAnsi="宋体" w:cs="宋体"/>
                <w:color w:val="000000" w:themeColor="text1"/>
                <w:sz w:val="24"/>
                <w14:textFill>
                  <w14:solidFill>
                    <w14:schemeClr w14:val="tx1"/>
                  </w14:solidFill>
                </w14:textFill>
              </w:rPr>
            </w:pPr>
            <w:r>
              <w:rPr>
                <w:rFonts w:hint="eastAsia" w:ascii="宋体" w:hAnsi="宋体" w:cs="宋体"/>
                <w:spacing w:val="-2"/>
                <w:sz w:val="24"/>
              </w:rPr>
              <w:t>□</w:t>
            </w:r>
            <w:r>
              <w:rPr>
                <w:rFonts w:hint="eastAsia" w:ascii="宋体" w:hAnsi="宋体" w:cs="宋体"/>
                <w:sz w:val="24"/>
              </w:rPr>
              <w:t>本项目</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包为非单一产品采购项目 ，核心产品为：</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Merge w:val="restart"/>
            <w:tcBorders>
              <w:bottom w:val="nil"/>
            </w:tcBorders>
            <w:vAlign w:val="center"/>
          </w:tcPr>
          <w:p>
            <w:pPr>
              <w:pStyle w:val="260"/>
              <w:spacing w:before="69" w:line="201" w:lineRule="auto"/>
              <w:ind w:left="1"/>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9"/>
                <w:sz w:val="24"/>
                <w:szCs w:val="24"/>
                <w14:textFill>
                  <w14:solidFill>
                    <w14:schemeClr w14:val="tx1"/>
                  </w14:solidFill>
                </w14:textFill>
              </w:rPr>
              <w:t>3.1</w:t>
            </w:r>
          </w:p>
        </w:tc>
        <w:tc>
          <w:tcPr>
            <w:tcW w:w="1700" w:type="dxa"/>
            <w:vAlign w:val="center"/>
          </w:tcPr>
          <w:p>
            <w:pPr>
              <w:autoSpaceDE w:val="0"/>
              <w:autoSpaceDN w:val="0"/>
              <w:spacing w:before="103" w:line="201" w:lineRule="auto"/>
              <w:ind w:left="2"/>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现场考察</w:t>
            </w:r>
          </w:p>
        </w:tc>
        <w:tc>
          <w:tcPr>
            <w:tcW w:w="6381" w:type="dxa"/>
          </w:tcPr>
          <w:p>
            <w:pPr>
              <w:autoSpaceDE w:val="0"/>
              <w:autoSpaceDN w:val="0"/>
              <w:spacing w:before="103"/>
              <w:ind w:left="2"/>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w:t>
            </w:r>
            <w:r>
              <w:rPr>
                <w:rFonts w:hint="eastAsia" w:ascii="宋体" w:hAnsi="宋体" w:cs="宋体"/>
                <w:color w:val="000000" w:themeColor="text1"/>
                <w:sz w:val="24"/>
                <w14:textFill>
                  <w14:solidFill>
                    <w14:schemeClr w14:val="tx1"/>
                  </w14:solidFill>
                </w14:textFill>
              </w:rPr>
              <w:t>不组织</w:t>
            </w:r>
          </w:p>
          <w:p>
            <w:pPr>
              <w:autoSpaceDE w:val="0"/>
              <w:autoSpaceDN w:val="0"/>
              <w:spacing w:before="103"/>
              <w:ind w:left="2"/>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□组织，考察时间：</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日/点/分</w:t>
            </w:r>
          </w:p>
          <w:p>
            <w:pPr>
              <w:autoSpaceDE w:val="0"/>
              <w:autoSpaceDN w:val="0"/>
              <w:spacing w:before="103"/>
              <w:ind w:left="2"/>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考察地点：</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Merge w:val="continue"/>
            <w:tcBorders>
              <w:top w:val="nil"/>
            </w:tcBorders>
            <w:vAlign w:val="center"/>
          </w:tcPr>
          <w:p>
            <w:pPr>
              <w:pStyle w:val="260"/>
              <w:ind w:left="1"/>
              <w:jc w:val="center"/>
              <w:rPr>
                <w:rFonts w:hint="eastAsia" w:ascii="宋体" w:hAnsi="宋体" w:eastAsia="宋体" w:cs="宋体"/>
                <w:color w:val="000000" w:themeColor="text1"/>
                <w:sz w:val="22"/>
                <w14:textFill>
                  <w14:solidFill>
                    <w14:schemeClr w14:val="tx1"/>
                  </w14:solidFill>
                </w14:textFill>
              </w:rPr>
            </w:pPr>
          </w:p>
        </w:tc>
        <w:tc>
          <w:tcPr>
            <w:tcW w:w="1700" w:type="dxa"/>
            <w:vAlign w:val="center"/>
          </w:tcPr>
          <w:p>
            <w:pPr>
              <w:autoSpaceDE w:val="0"/>
              <w:autoSpaceDN w:val="0"/>
              <w:spacing w:before="103" w:line="200" w:lineRule="auto"/>
              <w:ind w:left="2"/>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开标前答疑会</w:t>
            </w:r>
          </w:p>
        </w:tc>
        <w:tc>
          <w:tcPr>
            <w:tcW w:w="6381" w:type="dxa"/>
          </w:tcPr>
          <w:p>
            <w:pPr>
              <w:autoSpaceDE w:val="0"/>
              <w:autoSpaceDN w:val="0"/>
              <w:spacing w:before="103"/>
              <w:ind w:left="2"/>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w:t>
            </w:r>
            <w:r>
              <w:rPr>
                <w:rFonts w:hint="eastAsia" w:ascii="宋体" w:hAnsi="宋体" w:cs="宋体"/>
                <w:color w:val="000000" w:themeColor="text1"/>
                <w:sz w:val="24"/>
                <w14:textFill>
                  <w14:solidFill>
                    <w14:schemeClr w14:val="tx1"/>
                  </w14:solidFill>
                </w14:textFill>
              </w:rPr>
              <w:t>不召开</w:t>
            </w:r>
          </w:p>
          <w:p>
            <w:pPr>
              <w:autoSpaceDE w:val="0"/>
              <w:autoSpaceDN w:val="0"/>
              <w:spacing w:before="103"/>
              <w:ind w:left="2"/>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□召开 ，召开时间：</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日/点</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分</w:t>
            </w:r>
          </w:p>
          <w:p>
            <w:pPr>
              <w:autoSpaceDE w:val="0"/>
              <w:autoSpaceDN w:val="0"/>
              <w:spacing w:before="103"/>
              <w:ind w:left="2"/>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召开地点：</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Align w:val="center"/>
          </w:tcPr>
          <w:p>
            <w:pPr>
              <w:pStyle w:val="260"/>
              <w:spacing w:before="69" w:line="199" w:lineRule="auto"/>
              <w:ind w:left="1"/>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1"/>
                <w:sz w:val="24"/>
                <w:szCs w:val="24"/>
                <w14:textFill>
                  <w14:solidFill>
                    <w14:schemeClr w14:val="tx1"/>
                  </w14:solidFill>
                </w14:textFill>
              </w:rPr>
              <w:t>4.1</w:t>
            </w:r>
          </w:p>
        </w:tc>
        <w:tc>
          <w:tcPr>
            <w:tcW w:w="1700" w:type="dxa"/>
            <w:vAlign w:val="center"/>
          </w:tcPr>
          <w:p>
            <w:pPr>
              <w:autoSpaceDE w:val="0"/>
              <w:autoSpaceDN w:val="0"/>
              <w:spacing w:before="103" w:line="201" w:lineRule="auto"/>
              <w:ind w:left="2"/>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样品</w:t>
            </w:r>
          </w:p>
        </w:tc>
        <w:tc>
          <w:tcPr>
            <w:tcW w:w="6381" w:type="dxa"/>
          </w:tcPr>
          <w:p>
            <w:pPr>
              <w:autoSpaceDE w:val="0"/>
              <w:autoSpaceDN w:val="0"/>
              <w:spacing w:before="103"/>
              <w:ind w:left="2"/>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投标样品递交：</w:t>
            </w:r>
          </w:p>
          <w:p>
            <w:pPr>
              <w:autoSpaceDE w:val="0"/>
              <w:autoSpaceDN w:val="0"/>
              <w:spacing w:before="103"/>
              <w:ind w:left="2"/>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■不需要</w:t>
            </w:r>
          </w:p>
          <w:p>
            <w:pPr>
              <w:autoSpaceDE w:val="0"/>
              <w:autoSpaceDN w:val="0"/>
              <w:spacing w:before="103"/>
              <w:ind w:left="2"/>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□需要，具体要求如下：</w:t>
            </w:r>
          </w:p>
          <w:p>
            <w:pPr>
              <w:autoSpaceDE w:val="0"/>
              <w:autoSpaceDN w:val="0"/>
              <w:spacing w:before="103"/>
              <w:ind w:left="2"/>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（1）样品制作的标准和要求：</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（2）是否需要随样品提交相关检测报告：</w:t>
            </w:r>
          </w:p>
          <w:p>
            <w:pPr>
              <w:autoSpaceDE w:val="0"/>
              <w:autoSpaceDN w:val="0"/>
              <w:spacing w:before="103"/>
              <w:ind w:left="2"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□不需要</w:t>
            </w:r>
          </w:p>
          <w:p>
            <w:pPr>
              <w:autoSpaceDE w:val="0"/>
              <w:autoSpaceDN w:val="0"/>
              <w:spacing w:before="103"/>
              <w:ind w:left="2"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□需要</w:t>
            </w:r>
          </w:p>
          <w:p>
            <w:pPr>
              <w:autoSpaceDE w:val="0"/>
              <w:autoSpaceDN w:val="0"/>
              <w:spacing w:before="103"/>
              <w:ind w:left="2"/>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（3）样品递交要求：</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（4）未中标人样品退还：</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（5）中标人样品保管、封存及退还：</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（6）其他要求（如有）：</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5" w:hRule="atLeast"/>
        </w:trPr>
        <w:tc>
          <w:tcPr>
            <w:tcW w:w="992" w:type="dxa"/>
            <w:vAlign w:val="center"/>
          </w:tcPr>
          <w:p>
            <w:pPr>
              <w:pStyle w:val="260"/>
              <w:spacing w:before="69" w:line="202" w:lineRule="auto"/>
              <w:ind w:left="1"/>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1"/>
                <w:sz w:val="24"/>
                <w:szCs w:val="24"/>
                <w14:textFill>
                  <w14:solidFill>
                    <w14:schemeClr w14:val="tx1"/>
                  </w14:solidFill>
                </w14:textFill>
              </w:rPr>
              <w:t>5.2.5</w:t>
            </w:r>
          </w:p>
        </w:tc>
        <w:tc>
          <w:tcPr>
            <w:tcW w:w="1700" w:type="dxa"/>
            <w:vAlign w:val="center"/>
          </w:tcPr>
          <w:p>
            <w:pPr>
              <w:autoSpaceDE w:val="0"/>
              <w:autoSpaceDN w:val="0"/>
              <w:spacing w:before="103" w:line="201" w:lineRule="auto"/>
              <w:ind w:left="2"/>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标的所属行业</w:t>
            </w:r>
          </w:p>
        </w:tc>
        <w:tc>
          <w:tcPr>
            <w:tcW w:w="6381" w:type="dxa"/>
          </w:tcPr>
          <w:p>
            <w:pPr>
              <w:autoSpaceDE w:val="0"/>
              <w:autoSpaceDN w:val="0"/>
              <w:spacing w:before="45"/>
              <w:ind w:left="108"/>
              <w:rPr>
                <w:rFonts w:hint="eastAsia" w:ascii="宋体" w:hAnsi="宋体" w:cs="宋体"/>
                <w:sz w:val="24"/>
              </w:rPr>
            </w:pPr>
            <w:r>
              <w:rPr>
                <w:rFonts w:hint="eastAsia" w:ascii="宋体" w:hAnsi="宋体" w:cs="宋体"/>
                <w:spacing w:val="-1"/>
                <w:sz w:val="24"/>
              </w:rPr>
              <w:t>本项目采购标的对应的中小企业划分标准所属行业：</w:t>
            </w:r>
          </w:p>
          <w:tbl>
            <w:tblPr>
              <w:tblStyle w:val="52"/>
              <w:tblW w:w="6130" w:type="dxa"/>
              <w:tblInd w:w="1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7"/>
              <w:gridCol w:w="3236"/>
              <w:gridCol w:w="21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767" w:type="dxa"/>
                </w:tcPr>
                <w:p>
                  <w:pPr>
                    <w:autoSpaceDE w:val="0"/>
                    <w:autoSpaceDN w:val="0"/>
                    <w:spacing w:before="98"/>
                    <w:ind w:left="145"/>
                    <w:rPr>
                      <w:rFonts w:hint="eastAsia" w:ascii="宋体" w:hAnsi="宋体" w:cs="宋体"/>
                      <w:b/>
                      <w:sz w:val="24"/>
                    </w:rPr>
                  </w:pPr>
                  <w:bookmarkStart w:id="95" w:name="OLE_LINK5"/>
                  <w:bookmarkStart w:id="96" w:name="OLE_LINK7"/>
                  <w:r>
                    <w:rPr>
                      <w:rFonts w:hint="eastAsia" w:ascii="宋体" w:hAnsi="宋体" w:cs="宋体"/>
                      <w:b/>
                      <w:sz w:val="24"/>
                    </w:rPr>
                    <w:t>序号</w:t>
                  </w:r>
                </w:p>
              </w:tc>
              <w:tc>
                <w:tcPr>
                  <w:tcW w:w="3236" w:type="dxa"/>
                  <w:vAlign w:val="center"/>
                </w:tcPr>
                <w:p>
                  <w:pPr>
                    <w:autoSpaceDE w:val="0"/>
                    <w:autoSpaceDN w:val="0"/>
                    <w:spacing w:before="97"/>
                    <w:jc w:val="center"/>
                    <w:rPr>
                      <w:rFonts w:hint="eastAsia" w:ascii="宋体" w:hAnsi="宋体" w:cs="宋体"/>
                      <w:b/>
                      <w:sz w:val="24"/>
                    </w:rPr>
                  </w:pPr>
                  <w:r>
                    <w:rPr>
                      <w:rFonts w:hint="eastAsia" w:ascii="宋体" w:hAnsi="宋体" w:cs="宋体"/>
                      <w:b/>
                      <w:spacing w:val="-1"/>
                      <w:sz w:val="24"/>
                    </w:rPr>
                    <w:t>标的名称</w:t>
                  </w:r>
                </w:p>
              </w:tc>
              <w:tc>
                <w:tcPr>
                  <w:tcW w:w="2127" w:type="dxa"/>
                  <w:vAlign w:val="center"/>
                </w:tcPr>
                <w:p>
                  <w:pPr>
                    <w:autoSpaceDE w:val="0"/>
                    <w:autoSpaceDN w:val="0"/>
                    <w:spacing w:before="97"/>
                    <w:jc w:val="center"/>
                    <w:rPr>
                      <w:rFonts w:hint="eastAsia" w:ascii="宋体" w:hAnsi="宋体" w:cs="宋体"/>
                      <w:b/>
                      <w:sz w:val="24"/>
                    </w:rPr>
                  </w:pPr>
                  <w:r>
                    <w:rPr>
                      <w:rFonts w:hint="eastAsia" w:ascii="宋体" w:hAnsi="宋体" w:cs="宋体"/>
                      <w:b/>
                      <w:spacing w:val="-3"/>
                      <w:sz w:val="24"/>
                    </w:rPr>
                    <w:t>中小企业划分标准所属行业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67" w:type="dxa"/>
                  <w:vAlign w:val="center"/>
                </w:tcPr>
                <w:p>
                  <w:pPr>
                    <w:autoSpaceDE w:val="0"/>
                    <w:autoSpaceDN w:val="0"/>
                    <w:adjustRightInd w:val="0"/>
                    <w:snapToGrid w:val="0"/>
                    <w:spacing w:before="86"/>
                    <w:ind w:firstLine="1"/>
                    <w:jc w:val="center"/>
                    <w:rPr>
                      <w:rFonts w:hint="eastAsia" w:ascii="宋体" w:hAnsi="宋体" w:cs="宋体"/>
                      <w:b/>
                      <w:spacing w:val="7"/>
                      <w:sz w:val="24"/>
                    </w:rPr>
                  </w:pPr>
                  <w:r>
                    <w:rPr>
                      <w:rFonts w:hint="eastAsia" w:ascii="宋体" w:hAnsi="宋体" w:cs="宋体"/>
                      <w:b/>
                      <w:spacing w:val="7"/>
                      <w:sz w:val="24"/>
                    </w:rPr>
                    <w:t>1</w:t>
                  </w:r>
                </w:p>
              </w:tc>
              <w:tc>
                <w:tcPr>
                  <w:tcW w:w="3236" w:type="dxa"/>
                  <w:vAlign w:val="center"/>
                </w:tcPr>
                <w:p>
                  <w:pPr>
                    <w:pStyle w:val="260"/>
                    <w:jc w:val="center"/>
                    <w:rPr>
                      <w:rFonts w:ascii="宋体" w:hAnsi="宋体" w:cs="宋体"/>
                    </w:rPr>
                  </w:pPr>
                  <w:r>
                    <w:rPr>
                      <w:rFonts w:hint="eastAsia" w:ascii="宋体" w:hAnsi="宋体" w:eastAsia="宋体" w:cs="宋体"/>
                      <w:color w:val="auto"/>
                      <w:sz w:val="24"/>
                      <w:szCs w:val="24"/>
                      <w:lang w:eastAsia="zh-CN"/>
                    </w:rPr>
                    <w:t>乡村旅游消费促进</w:t>
                  </w:r>
                </w:p>
              </w:tc>
              <w:tc>
                <w:tcPr>
                  <w:tcW w:w="2127" w:type="dxa"/>
                  <w:vAlign w:val="center"/>
                </w:tcPr>
                <w:p>
                  <w:pPr>
                    <w:pStyle w:val="260"/>
                    <w:jc w:val="center"/>
                    <w:rPr>
                      <w:rFonts w:hint="eastAsia" w:ascii="宋体" w:hAnsi="宋体" w:eastAsia="宋体" w:cs="宋体"/>
                      <w:color w:val="auto"/>
                      <w:lang w:eastAsia="zh-CN"/>
                    </w:rPr>
                  </w:pPr>
                  <w:r>
                    <w:rPr>
                      <w:rFonts w:hint="eastAsia" w:ascii="宋体" w:hAnsi="宋体" w:eastAsia="宋体" w:cs="宋体"/>
                      <w:color w:val="auto"/>
                      <w:lang w:eastAsia="zh-CN"/>
                    </w:rPr>
                    <w:t>其他未列明行业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67" w:type="dxa"/>
                  <w:vAlign w:val="center"/>
                </w:tcPr>
                <w:p>
                  <w:pPr>
                    <w:autoSpaceDE w:val="0"/>
                    <w:autoSpaceDN w:val="0"/>
                    <w:adjustRightInd w:val="0"/>
                    <w:snapToGrid w:val="0"/>
                    <w:spacing w:before="86"/>
                    <w:ind w:firstLine="1"/>
                    <w:jc w:val="center"/>
                    <w:rPr>
                      <w:rFonts w:hint="eastAsia" w:ascii="宋体" w:hAnsi="宋体" w:cs="宋体"/>
                      <w:b/>
                      <w:spacing w:val="7"/>
                      <w:sz w:val="24"/>
                    </w:rPr>
                  </w:pPr>
                  <w:r>
                    <w:rPr>
                      <w:rFonts w:hint="eastAsia" w:ascii="宋体" w:hAnsi="宋体" w:cs="宋体"/>
                      <w:b/>
                      <w:spacing w:val="7"/>
                      <w:sz w:val="24"/>
                    </w:rPr>
                    <w:t>2</w:t>
                  </w:r>
                </w:p>
              </w:tc>
              <w:tc>
                <w:tcPr>
                  <w:tcW w:w="3236" w:type="dxa"/>
                  <w:vAlign w:val="center"/>
                </w:tcPr>
                <w:p>
                  <w:pPr>
                    <w:pStyle w:val="260"/>
                    <w:jc w:val="center"/>
                    <w:rPr>
                      <w:rFonts w:ascii="宋体" w:hAnsi="宋体" w:cs="宋体"/>
                      <w:spacing w:val="7"/>
                      <w:sz w:val="24"/>
                      <w:lang w:eastAsia="zh-CN"/>
                    </w:rPr>
                  </w:pPr>
                  <w:r>
                    <w:rPr>
                      <w:rFonts w:hint="eastAsia" w:ascii="宋体" w:hAnsi="宋体" w:cs="宋体"/>
                      <w:spacing w:val="7"/>
                      <w:sz w:val="24"/>
                      <w:lang w:eastAsia="zh-CN"/>
                    </w:rPr>
                    <w:t>乡村旅游品牌设计及推广</w:t>
                  </w:r>
                </w:p>
              </w:tc>
              <w:tc>
                <w:tcPr>
                  <w:tcW w:w="2127" w:type="dxa"/>
                  <w:vAlign w:val="center"/>
                </w:tcPr>
                <w:p>
                  <w:pPr>
                    <w:pStyle w:val="260"/>
                    <w:jc w:val="center"/>
                    <w:rPr>
                      <w:rFonts w:hint="eastAsia" w:ascii="宋体" w:hAnsi="宋体" w:eastAsia="宋体" w:cs="宋体"/>
                      <w:color w:val="auto"/>
                      <w:lang w:eastAsia="zh-CN"/>
                    </w:rPr>
                  </w:pPr>
                  <w:r>
                    <w:rPr>
                      <w:rFonts w:hint="eastAsia" w:ascii="宋体" w:hAnsi="宋体" w:eastAsia="宋体" w:cs="宋体"/>
                      <w:color w:val="auto"/>
                      <w:lang w:eastAsia="zh-CN"/>
                    </w:rPr>
                    <w:t>其他未列明行业</w:t>
                  </w:r>
                </w:p>
              </w:tc>
            </w:tr>
            <w:bookmarkEnd w:id="95"/>
            <w:bookmarkEnd w:id="96"/>
          </w:tbl>
          <w:p>
            <w:pPr>
              <w:pStyle w:val="260"/>
              <w:rPr>
                <w:rFonts w:hint="eastAsia" w:ascii="宋体" w:hAnsi="宋体" w:eastAsia="宋体" w:cs="宋体"/>
                <w:color w:val="000000" w:themeColor="text1"/>
                <w:sz w:val="22"/>
                <w:lang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8" w:hRule="atLeast"/>
        </w:trPr>
        <w:tc>
          <w:tcPr>
            <w:tcW w:w="992" w:type="dxa"/>
            <w:vAlign w:val="center"/>
          </w:tcPr>
          <w:p>
            <w:pPr>
              <w:pStyle w:val="260"/>
              <w:spacing w:before="69" w:line="201" w:lineRule="auto"/>
              <w:ind w:left="1"/>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0"/>
                <w:sz w:val="24"/>
                <w:szCs w:val="24"/>
                <w14:textFill>
                  <w14:solidFill>
                    <w14:schemeClr w14:val="tx1"/>
                  </w14:solidFill>
                </w14:textFill>
              </w:rPr>
              <w:t>11.2</w:t>
            </w:r>
          </w:p>
        </w:tc>
        <w:tc>
          <w:tcPr>
            <w:tcW w:w="1700" w:type="dxa"/>
            <w:vAlign w:val="center"/>
          </w:tcPr>
          <w:p>
            <w:pPr>
              <w:autoSpaceDE w:val="0"/>
              <w:autoSpaceDN w:val="0"/>
              <w:spacing w:before="103" w:line="200" w:lineRule="auto"/>
              <w:ind w:left="2"/>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投标报价</w:t>
            </w:r>
          </w:p>
        </w:tc>
        <w:tc>
          <w:tcPr>
            <w:tcW w:w="6381" w:type="dxa"/>
          </w:tcPr>
          <w:p>
            <w:pPr>
              <w:autoSpaceDE w:val="0"/>
              <w:autoSpaceDN w:val="0"/>
              <w:spacing w:before="103"/>
              <w:ind w:left="2"/>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投标报价的特殊规定： </w:t>
            </w:r>
          </w:p>
          <w:p>
            <w:pPr>
              <w:autoSpaceDE w:val="0"/>
              <w:autoSpaceDN w:val="0"/>
              <w:spacing w:before="103"/>
              <w:ind w:left="2"/>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■无</w:t>
            </w:r>
          </w:p>
          <w:p>
            <w:pPr>
              <w:autoSpaceDE w:val="0"/>
              <w:autoSpaceDN w:val="0"/>
              <w:spacing w:before="103"/>
              <w:ind w:left="2"/>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□有，具体情形：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6" w:hRule="atLeast"/>
        </w:trPr>
        <w:tc>
          <w:tcPr>
            <w:tcW w:w="992" w:type="dxa"/>
            <w:vAlign w:val="center"/>
          </w:tcPr>
          <w:p>
            <w:pPr>
              <w:pStyle w:val="260"/>
              <w:spacing w:before="69" w:line="201" w:lineRule="auto"/>
              <w:ind w:left="1"/>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0"/>
                <w:sz w:val="24"/>
                <w:szCs w:val="24"/>
                <w14:textFill>
                  <w14:solidFill>
                    <w14:schemeClr w14:val="tx1"/>
                  </w14:solidFill>
                </w14:textFill>
              </w:rPr>
              <w:t>12.1</w:t>
            </w:r>
          </w:p>
        </w:tc>
        <w:tc>
          <w:tcPr>
            <w:tcW w:w="1700" w:type="dxa"/>
            <w:vMerge w:val="restart"/>
            <w:tcBorders>
              <w:bottom w:val="nil"/>
            </w:tcBorders>
            <w:vAlign w:val="center"/>
          </w:tcPr>
          <w:p>
            <w:pPr>
              <w:autoSpaceDE w:val="0"/>
              <w:autoSpaceDN w:val="0"/>
              <w:spacing w:before="103" w:line="201" w:lineRule="auto"/>
              <w:ind w:left="2"/>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投标保证金</w:t>
            </w:r>
          </w:p>
        </w:tc>
        <w:tc>
          <w:tcPr>
            <w:tcW w:w="6381" w:type="dxa"/>
          </w:tcPr>
          <w:p>
            <w:pPr>
              <w:autoSpaceDE w:val="0"/>
              <w:autoSpaceDN w:val="0"/>
              <w:spacing w:before="103"/>
              <w:ind w:left="2"/>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投标保证金金额：</w:t>
            </w:r>
            <w:r>
              <w:rPr>
                <w:rFonts w:hint="eastAsia" w:ascii="宋体" w:hAnsi="宋体" w:cs="宋体"/>
                <w:color w:val="000000" w:themeColor="text1"/>
                <w:sz w:val="24"/>
                <w:u w:val="single"/>
                <w14:textFill>
                  <w14:solidFill>
                    <w14:schemeClr w14:val="tx1"/>
                  </w14:solidFill>
                </w14:textFill>
              </w:rPr>
              <w:t>1包：</w:t>
            </w:r>
            <w:r>
              <w:rPr>
                <w:rFonts w:ascii="宋体" w:hAnsi="宋体" w:cs="宋体"/>
                <w:sz w:val="24"/>
                <w:u w:val="single"/>
              </w:rPr>
              <w:t>1</w:t>
            </w:r>
            <w:r>
              <w:rPr>
                <w:rFonts w:hint="eastAsia" w:ascii="宋体" w:hAnsi="宋体" w:cs="宋体"/>
                <w:sz w:val="24"/>
                <w:u w:val="single"/>
              </w:rPr>
              <w:t>9</w:t>
            </w:r>
            <w:r>
              <w:rPr>
                <w:rFonts w:ascii="宋体" w:hAnsi="宋体" w:cs="宋体"/>
                <w:sz w:val="24"/>
                <w:u w:val="single"/>
              </w:rPr>
              <w:t>000</w:t>
            </w:r>
            <w:r>
              <w:rPr>
                <w:rFonts w:hint="eastAsia" w:ascii="宋体" w:hAnsi="宋体" w:cs="宋体"/>
                <w:color w:val="000000" w:themeColor="text1"/>
                <w:sz w:val="24"/>
                <w:u w:val="single"/>
                <w14:textFill>
                  <w14:solidFill>
                    <w14:schemeClr w14:val="tx1"/>
                  </w14:solidFill>
                </w14:textFill>
              </w:rPr>
              <w:t>元；2包：7000元。</w:t>
            </w:r>
          </w:p>
          <w:p>
            <w:pPr>
              <w:autoSpaceDE w:val="0"/>
              <w:autoSpaceDN w:val="0"/>
              <w:spacing w:before="103"/>
              <w:ind w:left="2"/>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投标保证金收受人信息：</w:t>
            </w:r>
          </w:p>
          <w:p>
            <w:pPr>
              <w:autoSpaceDE w:val="0"/>
              <w:autoSpaceDN w:val="0"/>
              <w:spacing w:before="103"/>
              <w:ind w:left="2"/>
              <w:rPr>
                <w:rFonts w:hint="eastAsia"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u w:val="single"/>
                <w14:textFill>
                  <w14:solidFill>
                    <w14:schemeClr w14:val="tx1"/>
                  </w14:solidFill>
                </w14:textFill>
              </w:rPr>
              <w:t>开户名（全称）：北京市京发招标有限公司；</w:t>
            </w:r>
          </w:p>
          <w:p>
            <w:pPr>
              <w:autoSpaceDE w:val="0"/>
              <w:autoSpaceDN w:val="0"/>
              <w:spacing w:before="103"/>
              <w:ind w:left="2"/>
              <w:rPr>
                <w:rFonts w:hint="eastAsia"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u w:val="single"/>
                <w14:textFill>
                  <w14:solidFill>
                    <w14:schemeClr w14:val="tx1"/>
                  </w14:solidFill>
                </w14:textFill>
              </w:rPr>
              <w:t>开户银行：招商银行北京分行崇文门支行；</w:t>
            </w:r>
          </w:p>
          <w:p>
            <w:pPr>
              <w:autoSpaceDE w:val="0"/>
              <w:autoSpaceDN w:val="0"/>
              <w:spacing w:before="103"/>
              <w:ind w:left="2"/>
              <w:rPr>
                <w:rFonts w:hint="eastAsia"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u w:val="single"/>
                <w14:textFill>
                  <w14:solidFill>
                    <w14:schemeClr w14:val="tx1"/>
                  </w14:solidFill>
                </w14:textFill>
              </w:rPr>
              <w:t>账    号：1109 1881 6710 6010 0000 00007。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992" w:type="dxa"/>
            <w:vAlign w:val="center"/>
          </w:tcPr>
          <w:p>
            <w:pPr>
              <w:pStyle w:val="260"/>
              <w:spacing w:before="69" w:line="202" w:lineRule="auto"/>
              <w:ind w:left="1"/>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1"/>
                <w:sz w:val="24"/>
                <w:szCs w:val="24"/>
                <w14:textFill>
                  <w14:solidFill>
                    <w14:schemeClr w14:val="tx1"/>
                  </w14:solidFill>
                </w14:textFill>
              </w:rPr>
              <w:t>12.8.2</w:t>
            </w:r>
          </w:p>
        </w:tc>
        <w:tc>
          <w:tcPr>
            <w:tcW w:w="1700" w:type="dxa"/>
            <w:vMerge w:val="continue"/>
            <w:tcBorders>
              <w:top w:val="nil"/>
            </w:tcBorders>
            <w:vAlign w:val="center"/>
          </w:tcPr>
          <w:p>
            <w:pPr>
              <w:pStyle w:val="260"/>
              <w:jc w:val="center"/>
              <w:rPr>
                <w:rFonts w:hint="eastAsia" w:ascii="宋体" w:hAnsi="宋体" w:eastAsia="宋体" w:cs="宋体"/>
                <w:color w:val="000000" w:themeColor="text1"/>
                <w:sz w:val="22"/>
                <w14:textFill>
                  <w14:solidFill>
                    <w14:schemeClr w14:val="tx1"/>
                  </w14:solidFill>
                </w14:textFill>
              </w:rPr>
            </w:pPr>
          </w:p>
        </w:tc>
        <w:tc>
          <w:tcPr>
            <w:tcW w:w="6381" w:type="dxa"/>
          </w:tcPr>
          <w:p>
            <w:pPr>
              <w:autoSpaceDE w:val="0"/>
              <w:autoSpaceDN w:val="0"/>
              <w:spacing w:before="103"/>
              <w:ind w:left="2"/>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投标保证金可以不予退还的其他情形：</w:t>
            </w:r>
          </w:p>
          <w:p>
            <w:pPr>
              <w:autoSpaceDE w:val="0"/>
              <w:autoSpaceDN w:val="0"/>
              <w:spacing w:before="103"/>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□无</w:t>
            </w:r>
          </w:p>
          <w:p>
            <w:pPr>
              <w:autoSpaceDE w:val="0"/>
              <w:autoSpaceDN w:val="0"/>
              <w:spacing w:before="103"/>
              <w:ind w:left="2"/>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■有，具体情形：</w:t>
            </w:r>
          </w:p>
          <w:p>
            <w:pPr>
              <w:autoSpaceDE w:val="0"/>
              <w:autoSpaceDN w:val="0"/>
              <w:spacing w:before="103"/>
              <w:ind w:left="2"/>
              <w:rPr>
                <w:rFonts w:hint="eastAsia"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（1）投标人在投标有效期内撤销投标文件的；</w:t>
            </w:r>
          </w:p>
          <w:p>
            <w:pPr>
              <w:autoSpaceDE w:val="0"/>
              <w:autoSpaceDN w:val="0"/>
              <w:spacing w:before="103"/>
              <w:ind w:left="2"/>
              <w:rPr>
                <w:rFonts w:hint="eastAsia"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（2）投标人在投标文件中提供虚假材料的；</w:t>
            </w:r>
          </w:p>
          <w:p>
            <w:pPr>
              <w:autoSpaceDE w:val="0"/>
              <w:autoSpaceDN w:val="0"/>
              <w:spacing w:before="103"/>
              <w:ind w:left="2"/>
              <w:rPr>
                <w:rFonts w:hint="eastAsia"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（3）除因不可抗力或招标文件认可的情形以外，中标人不与</w:t>
            </w:r>
          </w:p>
          <w:p>
            <w:pPr>
              <w:autoSpaceDE w:val="0"/>
              <w:autoSpaceDN w:val="0"/>
              <w:spacing w:before="103"/>
              <w:ind w:left="2"/>
              <w:rPr>
                <w:rFonts w:hint="eastAsia"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采购人签订合同的；</w:t>
            </w:r>
          </w:p>
          <w:p>
            <w:pPr>
              <w:autoSpaceDE w:val="0"/>
              <w:autoSpaceDN w:val="0"/>
              <w:spacing w:before="103"/>
              <w:ind w:left="2"/>
              <w:rPr>
                <w:rFonts w:hint="eastAsia"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（4）投标人与采购人、其他投标人或者采购代理机构恶意串</w:t>
            </w:r>
          </w:p>
          <w:p>
            <w:pPr>
              <w:autoSpaceDE w:val="0"/>
              <w:autoSpaceDN w:val="0"/>
              <w:spacing w:before="103"/>
              <w:ind w:left="2"/>
              <w:rPr>
                <w:rFonts w:hint="eastAsia"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通的；</w:t>
            </w:r>
          </w:p>
          <w:p>
            <w:pPr>
              <w:autoSpaceDE w:val="0"/>
              <w:autoSpaceDN w:val="0"/>
              <w:spacing w:before="103"/>
              <w:ind w:left="2"/>
              <w:rPr>
                <w:rFonts w:hint="eastAsia"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（5）招标文件规定应由中标人缴纳招标服务费而中标人未缴</w:t>
            </w:r>
          </w:p>
          <w:p>
            <w:pPr>
              <w:autoSpaceDE w:val="0"/>
              <w:autoSpaceDN w:val="0"/>
              <w:spacing w:before="103"/>
              <w:ind w:left="2"/>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纳的</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hint="eastAsia"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（6）中标人未在规定期限内根据招标文件规定提交履约保证</w:t>
            </w:r>
          </w:p>
          <w:p>
            <w:pPr>
              <w:autoSpaceDE w:val="0"/>
              <w:autoSpaceDN w:val="0"/>
              <w:spacing w:before="103"/>
              <w:ind w:left="2"/>
              <w:rPr>
                <w:rFonts w:hint="eastAsia"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金（如有）；</w:t>
            </w:r>
          </w:p>
          <w:p>
            <w:pPr>
              <w:autoSpaceDE w:val="0"/>
              <w:autoSpaceDN w:val="0"/>
              <w:spacing w:before="103"/>
              <w:ind w:left="2"/>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（7）法律、法规规定的其它不予退还的情形</w:t>
            </w:r>
            <w:r>
              <w:rPr>
                <w:rFonts w:hint="eastAsia" w:ascii="宋体" w:hAnsi="宋体" w:cs="宋体"/>
                <w:color w:val="000000" w:themeColor="text1"/>
                <w:sz w:val="24"/>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992" w:type="dxa"/>
            <w:vAlign w:val="center"/>
          </w:tcPr>
          <w:p>
            <w:pPr>
              <w:pStyle w:val="260"/>
              <w:spacing w:before="75" w:line="201" w:lineRule="auto"/>
              <w:ind w:left="1"/>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0"/>
                <w:sz w:val="24"/>
                <w:szCs w:val="24"/>
                <w14:textFill>
                  <w14:solidFill>
                    <w14:schemeClr w14:val="tx1"/>
                  </w14:solidFill>
                </w14:textFill>
              </w:rPr>
              <w:t>13.1</w:t>
            </w:r>
          </w:p>
        </w:tc>
        <w:tc>
          <w:tcPr>
            <w:tcW w:w="1700" w:type="dxa"/>
            <w:vAlign w:val="center"/>
          </w:tcPr>
          <w:p>
            <w:pPr>
              <w:autoSpaceDE w:val="0"/>
              <w:autoSpaceDN w:val="0"/>
              <w:spacing w:before="42" w:line="175" w:lineRule="auto"/>
              <w:ind w:left="2"/>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投标有效期</w:t>
            </w:r>
          </w:p>
        </w:tc>
        <w:tc>
          <w:tcPr>
            <w:tcW w:w="6381" w:type="dxa"/>
          </w:tcPr>
          <w:p>
            <w:pPr>
              <w:autoSpaceDE w:val="0"/>
              <w:autoSpaceDN w:val="0"/>
              <w:spacing w:before="103"/>
              <w:ind w:left="2"/>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自提交投标文件的截止之日起算</w:t>
            </w:r>
            <w:r>
              <w:rPr>
                <w:rFonts w:hint="eastAsia" w:ascii="宋体" w:hAnsi="宋体" w:cs="宋体"/>
                <w:color w:val="000000" w:themeColor="text1"/>
                <w:sz w:val="24"/>
                <w:u w:val="single"/>
                <w14:textFill>
                  <w14:solidFill>
                    <w14:schemeClr w14:val="tx1"/>
                  </w14:solidFill>
                </w14:textFill>
              </w:rPr>
              <w:t>90</w:t>
            </w:r>
            <w:r>
              <w:rPr>
                <w:rFonts w:hint="eastAsia" w:ascii="宋体" w:hAnsi="宋体" w:cs="宋体"/>
                <w:color w:val="000000" w:themeColor="text1"/>
                <w:sz w:val="24"/>
                <w14:textFill>
                  <w14:solidFill>
                    <w14:schemeClr w14:val="tx1"/>
                  </w14:solidFill>
                </w14:textFill>
              </w:rPr>
              <w:t>日历天。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992" w:type="dxa"/>
            <w:vAlign w:val="center"/>
          </w:tcPr>
          <w:p>
            <w:pPr>
              <w:pStyle w:val="260"/>
              <w:spacing w:before="73" w:line="202" w:lineRule="auto"/>
              <w:ind w:left="1"/>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0"/>
                <w:sz w:val="24"/>
                <w:szCs w:val="24"/>
                <w14:textFill>
                  <w14:solidFill>
                    <w14:schemeClr w14:val="tx1"/>
                  </w14:solidFill>
                </w14:textFill>
              </w:rPr>
              <w:t>18.2</w:t>
            </w:r>
          </w:p>
        </w:tc>
        <w:tc>
          <w:tcPr>
            <w:tcW w:w="1700" w:type="dxa"/>
          </w:tcPr>
          <w:p>
            <w:pPr>
              <w:autoSpaceDE w:val="0"/>
              <w:autoSpaceDN w:val="0"/>
              <w:spacing w:before="103" w:line="201" w:lineRule="auto"/>
              <w:ind w:left="2"/>
              <w:jc w:val="center"/>
              <w:rPr>
                <w:rFonts w:hint="eastAsia" w:ascii="宋体" w:hAnsi="宋体" w:cs="宋体"/>
                <w:color w:val="000000" w:themeColor="text1"/>
                <w:spacing w:val="-2"/>
                <w:sz w:val="24"/>
                <w14:textFill>
                  <w14:solidFill>
                    <w14:schemeClr w14:val="tx1"/>
                  </w14:solidFill>
                </w14:textFill>
              </w:rPr>
            </w:pPr>
            <w:r>
              <w:rPr>
                <w:rFonts w:ascii="宋体" w:hAnsi="宋体" w:cs="宋体"/>
                <w:color w:val="000000" w:themeColor="text1"/>
                <w:spacing w:val="-2"/>
                <w:sz w:val="24"/>
                <w14:textFill>
                  <w14:solidFill>
                    <w14:schemeClr w14:val="tx1"/>
                  </w14:solidFill>
                </w14:textFill>
              </w:rPr>
              <w:t>解密时间</w:t>
            </w:r>
          </w:p>
        </w:tc>
        <w:tc>
          <w:tcPr>
            <w:tcW w:w="6381" w:type="dxa"/>
          </w:tcPr>
          <w:p>
            <w:pPr>
              <w:autoSpaceDE w:val="0"/>
              <w:autoSpaceDN w:val="0"/>
              <w:spacing w:before="103" w:line="201" w:lineRule="auto"/>
              <w:ind w:left="2"/>
              <w:rPr>
                <w:rFonts w:hint="eastAsia" w:ascii="宋体" w:hAnsi="宋体" w:cs="宋体"/>
                <w:color w:val="000000" w:themeColor="text1"/>
                <w:spacing w:val="-2"/>
                <w:sz w:val="24"/>
                <w14:textFill>
                  <w14:solidFill>
                    <w14:schemeClr w14:val="tx1"/>
                  </w14:solidFill>
                </w14:textFill>
              </w:rPr>
            </w:pPr>
            <w:r>
              <w:rPr>
                <w:rFonts w:ascii="宋体" w:hAnsi="宋体" w:cs="宋体"/>
                <w:color w:val="000000" w:themeColor="text1"/>
                <w:spacing w:val="-2"/>
                <w:sz w:val="24"/>
                <w14:textFill>
                  <w14:solidFill>
                    <w14:schemeClr w14:val="tx1"/>
                  </w14:solidFill>
                </w14:textFill>
              </w:rPr>
              <w:t>解密时间：</w:t>
            </w:r>
            <w:r>
              <w:rPr>
                <w:rFonts w:ascii="宋体" w:hAnsi="宋体" w:cs="宋体"/>
                <w:color w:val="000000" w:themeColor="text1"/>
                <w:spacing w:val="-2"/>
                <w:sz w:val="24"/>
                <w:u w:val="single"/>
                <w14:textFill>
                  <w14:solidFill>
                    <w14:schemeClr w14:val="tx1"/>
                  </w14:solidFill>
                </w14:textFill>
              </w:rPr>
              <w:t>30分钟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992" w:type="dxa"/>
            <w:vAlign w:val="center"/>
          </w:tcPr>
          <w:p>
            <w:pPr>
              <w:pStyle w:val="260"/>
              <w:spacing w:before="69" w:line="201" w:lineRule="auto"/>
              <w:ind w:left="1"/>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2"/>
                <w:sz w:val="24"/>
                <w:szCs w:val="24"/>
                <w14:textFill>
                  <w14:solidFill>
                    <w14:schemeClr w14:val="tx1"/>
                  </w14:solidFill>
                </w14:textFill>
              </w:rPr>
              <w:t>22.1</w:t>
            </w:r>
          </w:p>
        </w:tc>
        <w:tc>
          <w:tcPr>
            <w:tcW w:w="1700" w:type="dxa"/>
            <w:vAlign w:val="center"/>
          </w:tcPr>
          <w:p>
            <w:pPr>
              <w:autoSpaceDE w:val="0"/>
              <w:autoSpaceDN w:val="0"/>
              <w:spacing w:before="103" w:line="201" w:lineRule="auto"/>
              <w:ind w:left="2"/>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确定中标人</w:t>
            </w:r>
          </w:p>
        </w:tc>
        <w:tc>
          <w:tcPr>
            <w:tcW w:w="6381" w:type="dxa"/>
          </w:tcPr>
          <w:p>
            <w:pPr>
              <w:pStyle w:val="260"/>
              <w:spacing w:before="103"/>
              <w:ind w:left="2"/>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中标候选人并列的，采购人是否委托评标委员会确定中标人：</w:t>
            </w:r>
          </w:p>
          <w:p>
            <w:pPr>
              <w:pStyle w:val="260"/>
              <w:spacing w:before="103"/>
              <w:ind w:left="2"/>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■否</w:t>
            </w:r>
          </w:p>
          <w:p>
            <w:pPr>
              <w:pStyle w:val="260"/>
              <w:spacing w:before="103"/>
              <w:ind w:left="2"/>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□是</w:t>
            </w:r>
          </w:p>
          <w:p>
            <w:pPr>
              <w:pStyle w:val="260"/>
              <w:spacing w:before="103"/>
              <w:ind w:left="2"/>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中标候选人并列的，按照以下方式确定中标人：</w:t>
            </w:r>
          </w:p>
          <w:p>
            <w:pPr>
              <w:pStyle w:val="260"/>
              <w:spacing w:before="103"/>
              <w:ind w:left="2"/>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■得分且投标报价均相同的，以</w:t>
            </w:r>
            <w:r>
              <w:rPr>
                <w:rFonts w:hint="eastAsia" w:ascii="宋体" w:hAnsi="宋体" w:eastAsia="宋体" w:cs="宋体"/>
                <w:color w:val="000000" w:themeColor="text1"/>
                <w:sz w:val="24"/>
                <w:szCs w:val="24"/>
                <w:u w:val="single"/>
                <w:lang w:eastAsia="zh-CN"/>
                <w14:textFill>
                  <w14:solidFill>
                    <w14:schemeClr w14:val="tx1"/>
                  </w14:solidFill>
                </w14:textFill>
              </w:rPr>
              <w:t>技术部分</w:t>
            </w:r>
            <w:r>
              <w:rPr>
                <w:rFonts w:hint="eastAsia" w:ascii="宋体" w:hAnsi="宋体" w:eastAsia="宋体" w:cs="宋体"/>
                <w:color w:val="000000" w:themeColor="text1"/>
                <w:sz w:val="24"/>
                <w:szCs w:val="24"/>
                <w:lang w:eastAsia="zh-CN"/>
                <w14:textFill>
                  <w14:solidFill>
                    <w14:schemeClr w14:val="tx1"/>
                  </w14:solidFill>
                </w14:textFill>
              </w:rPr>
              <w:t>得分高者为中标人</w:t>
            </w:r>
          </w:p>
          <w:p>
            <w:pPr>
              <w:pStyle w:val="260"/>
              <w:spacing w:before="103"/>
              <w:ind w:left="2"/>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□随机抽取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992" w:type="dxa"/>
            <w:vAlign w:val="center"/>
          </w:tcPr>
          <w:p>
            <w:pPr>
              <w:pStyle w:val="260"/>
              <w:spacing w:before="69" w:line="202" w:lineRule="auto"/>
              <w:ind w:left="1"/>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2"/>
                <w:sz w:val="24"/>
                <w:szCs w:val="24"/>
                <w14:textFill>
                  <w14:solidFill>
                    <w14:schemeClr w14:val="tx1"/>
                  </w14:solidFill>
                </w14:textFill>
              </w:rPr>
              <w:t>25.5</w:t>
            </w:r>
          </w:p>
        </w:tc>
        <w:tc>
          <w:tcPr>
            <w:tcW w:w="1700" w:type="dxa"/>
            <w:vAlign w:val="center"/>
          </w:tcPr>
          <w:p>
            <w:pPr>
              <w:autoSpaceDE w:val="0"/>
              <w:autoSpaceDN w:val="0"/>
              <w:spacing w:before="103" w:line="201" w:lineRule="auto"/>
              <w:ind w:left="2"/>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分包</w:t>
            </w:r>
          </w:p>
        </w:tc>
        <w:tc>
          <w:tcPr>
            <w:tcW w:w="6381" w:type="dxa"/>
          </w:tcPr>
          <w:p>
            <w:pPr>
              <w:autoSpaceDE w:val="0"/>
              <w:autoSpaceDN w:val="0"/>
              <w:spacing w:before="103"/>
              <w:ind w:left="2"/>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本项目的非主体、非关键性工作是否允许分包： </w:t>
            </w:r>
          </w:p>
          <w:p>
            <w:pPr>
              <w:autoSpaceDE w:val="0"/>
              <w:autoSpaceDN w:val="0"/>
              <w:spacing w:before="103"/>
              <w:ind w:left="2"/>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■不允许</w:t>
            </w:r>
          </w:p>
          <w:p>
            <w:pPr>
              <w:autoSpaceDE w:val="0"/>
              <w:autoSpaceDN w:val="0"/>
              <w:spacing w:before="103"/>
              <w:ind w:left="2"/>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□允许，具体要求：</w:t>
            </w:r>
          </w:p>
          <w:p>
            <w:pPr>
              <w:autoSpaceDE w:val="0"/>
              <w:autoSpaceDN w:val="0"/>
              <w:spacing w:before="103"/>
              <w:ind w:left="2"/>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（1）可以分包履行的具体内容：</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（2）允许分包的金额或者比例：</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（3）其他要求：</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90" w:hRule="atLeast"/>
        </w:trPr>
        <w:tc>
          <w:tcPr>
            <w:tcW w:w="992" w:type="dxa"/>
            <w:vAlign w:val="center"/>
          </w:tcPr>
          <w:p>
            <w:pPr>
              <w:pStyle w:val="260"/>
              <w:spacing w:before="69" w:line="202" w:lineRule="auto"/>
              <w:ind w:left="1"/>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2"/>
                <w:sz w:val="24"/>
                <w:szCs w:val="24"/>
                <w14:textFill>
                  <w14:solidFill>
                    <w14:schemeClr w14:val="tx1"/>
                  </w14:solidFill>
                </w14:textFill>
              </w:rPr>
              <w:t>25.6</w:t>
            </w:r>
          </w:p>
        </w:tc>
        <w:tc>
          <w:tcPr>
            <w:tcW w:w="1700" w:type="dxa"/>
            <w:vAlign w:val="center"/>
          </w:tcPr>
          <w:p>
            <w:pPr>
              <w:autoSpaceDE w:val="0"/>
              <w:autoSpaceDN w:val="0"/>
              <w:spacing w:before="103" w:line="200" w:lineRule="auto"/>
              <w:ind w:left="2"/>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政采贷</w:t>
            </w:r>
          </w:p>
        </w:tc>
        <w:tc>
          <w:tcPr>
            <w:tcW w:w="6381" w:type="dxa"/>
          </w:tcPr>
          <w:p>
            <w:pPr>
              <w:pStyle w:val="260"/>
              <w:spacing w:before="103"/>
              <w:ind w:left="2"/>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为更大力度激发市场活力和社会创造力，增强发展动力，按照《北京市全面优化营商环境助力企业高质量发展实施方案》（京政办发〔2023〕8号）部署，进一步加强政府采购合同线上融资“一站式”服务（以下简称“政采贷”），北京市财政局、中国人民银行营业管理部联合发布《关于推进政府采购合同线上融资有关工作的通知》（京财采购〔2023〕637号）。有需求的供应商，可按上述通知要求办理“政采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992" w:type="dxa"/>
            <w:vAlign w:val="center"/>
          </w:tcPr>
          <w:p>
            <w:pPr>
              <w:pStyle w:val="260"/>
              <w:spacing w:before="76" w:line="202" w:lineRule="auto"/>
              <w:ind w:left="1"/>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2"/>
                <w:sz w:val="24"/>
                <w:szCs w:val="24"/>
                <w14:textFill>
                  <w14:solidFill>
                    <w14:schemeClr w14:val="tx1"/>
                  </w14:solidFill>
                </w14:textFill>
              </w:rPr>
              <w:t>26.1.1</w:t>
            </w:r>
          </w:p>
        </w:tc>
        <w:tc>
          <w:tcPr>
            <w:tcW w:w="1700" w:type="dxa"/>
            <w:vAlign w:val="center"/>
          </w:tcPr>
          <w:p>
            <w:pPr>
              <w:autoSpaceDE w:val="0"/>
              <w:autoSpaceDN w:val="0"/>
              <w:spacing w:before="44" w:line="174" w:lineRule="auto"/>
              <w:ind w:left="2"/>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4"/>
                <w:sz w:val="24"/>
                <w14:textFill>
                  <w14:solidFill>
                    <w14:schemeClr w14:val="tx1"/>
                  </w14:solidFill>
                </w14:textFill>
              </w:rPr>
              <w:t>询问</w:t>
            </w:r>
          </w:p>
        </w:tc>
        <w:tc>
          <w:tcPr>
            <w:tcW w:w="6381" w:type="dxa"/>
          </w:tcPr>
          <w:p>
            <w:pPr>
              <w:pStyle w:val="260"/>
              <w:spacing w:before="103"/>
              <w:ind w:left="2"/>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询问提出形式：</w:t>
            </w:r>
            <w:r>
              <w:rPr>
                <w:rFonts w:hint="eastAsia" w:ascii="宋体" w:hAnsi="宋体" w:eastAsia="宋体" w:cs="宋体"/>
                <w:color w:val="000000" w:themeColor="text1"/>
                <w:sz w:val="24"/>
                <w:szCs w:val="24"/>
                <w:u w:val="single"/>
                <w:lang w:eastAsia="zh-CN"/>
                <w14:textFill>
                  <w14:solidFill>
                    <w14:schemeClr w14:val="tx1"/>
                  </w14:solidFill>
                </w14:textFill>
              </w:rPr>
              <w:t>以书面或邮件（扫描原件）</w:t>
            </w:r>
            <w:r>
              <w:rPr>
                <w:rFonts w:hint="eastAsia"/>
              </w:rPr>
              <w:fldChar w:fldCharType="begin"/>
            </w:r>
            <w:r>
              <w:instrText xml:space="preserve"> HYPERLINK "mailto:发送至maruosha@126.com" </w:instrText>
            </w:r>
            <w:r>
              <w:rPr>
                <w:rFonts w:hint="eastAsia"/>
              </w:rPr>
              <w:fldChar w:fldCharType="separate"/>
            </w:r>
            <w:r>
              <w:rPr>
                <w:rFonts w:hint="eastAsia" w:ascii="宋体" w:hAnsi="宋体" w:eastAsia="宋体" w:cs="宋体"/>
                <w:color w:val="000000" w:themeColor="text1"/>
                <w:sz w:val="24"/>
                <w:szCs w:val="24"/>
                <w:u w:val="single"/>
                <w:lang w:eastAsia="zh-CN"/>
                <w14:textFill>
                  <w14:solidFill>
                    <w14:schemeClr w14:val="tx1"/>
                  </w14:solidFill>
                </w14:textFill>
              </w:rPr>
              <w:t>发送至</w:t>
            </w:r>
            <w:bookmarkStart w:id="97" w:name="_Hlt188370718"/>
            <w:bookmarkEnd w:id="97"/>
            <w:bookmarkStart w:id="98" w:name="_Hlt188370710"/>
            <w:bookmarkEnd w:id="98"/>
            <w:bookmarkStart w:id="99" w:name="_Hlt188370709"/>
            <w:bookmarkEnd w:id="99"/>
            <w:r>
              <w:rPr>
                <w:rFonts w:hint="eastAsia" w:ascii="宋体" w:hAnsi="宋体" w:eastAsia="宋体" w:cs="宋体"/>
                <w:color w:val="000000" w:themeColor="text1"/>
                <w:sz w:val="24"/>
                <w:szCs w:val="24"/>
                <w:u w:val="single"/>
                <w:lang w:eastAsia="zh-CN"/>
                <w14:textFill>
                  <w14:solidFill>
                    <w14:schemeClr w14:val="tx1"/>
                  </w14:solidFill>
                </w14:textFill>
              </w:rPr>
              <w:t>710280222@qq.com</w:t>
            </w:r>
            <w:r>
              <w:rPr>
                <w:rFonts w:hint="eastAsia" w:ascii="宋体" w:hAnsi="宋体" w:eastAsia="宋体" w:cs="宋体"/>
                <w:color w:val="000000" w:themeColor="text1"/>
                <w:sz w:val="24"/>
                <w:szCs w:val="24"/>
                <w:u w:val="single"/>
                <w:lang w:eastAsia="zh-CN"/>
                <w14:textFill>
                  <w14:solidFill>
                    <w14:schemeClr w14:val="tx1"/>
                  </w14:solidFill>
                </w14:textFill>
              </w:rPr>
              <w:fldChar w:fldCharType="end"/>
            </w:r>
            <w:r>
              <w:rPr>
                <w:rFonts w:hint="eastAsia" w:ascii="宋体" w:hAnsi="宋体" w:eastAsia="宋体" w:cs="宋体"/>
                <w:color w:val="000000" w:themeColor="text1"/>
                <w:sz w:val="24"/>
                <w:szCs w:val="24"/>
                <w:u w:val="single"/>
                <w:lang w:eastAsia="zh-CN"/>
                <w14:textFill>
                  <w14:solidFill>
                    <w14:schemeClr w14:val="tx1"/>
                  </w14:solidFill>
                </w14:textFill>
              </w:rPr>
              <w:t>且与代理机构确认已收到。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5" w:hRule="atLeast"/>
        </w:trPr>
        <w:tc>
          <w:tcPr>
            <w:tcW w:w="992" w:type="dxa"/>
            <w:vAlign w:val="center"/>
          </w:tcPr>
          <w:p>
            <w:pPr>
              <w:pStyle w:val="260"/>
              <w:spacing w:before="69" w:line="201" w:lineRule="auto"/>
              <w:ind w:left="1"/>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2"/>
                <w:sz w:val="24"/>
                <w:szCs w:val="24"/>
                <w14:textFill>
                  <w14:solidFill>
                    <w14:schemeClr w14:val="tx1"/>
                  </w14:solidFill>
                </w14:textFill>
              </w:rPr>
              <w:t>26.3</w:t>
            </w:r>
          </w:p>
        </w:tc>
        <w:tc>
          <w:tcPr>
            <w:tcW w:w="1700" w:type="dxa"/>
            <w:vAlign w:val="center"/>
          </w:tcPr>
          <w:p>
            <w:pPr>
              <w:autoSpaceDE w:val="0"/>
              <w:autoSpaceDN w:val="0"/>
              <w:spacing w:before="103" w:line="201" w:lineRule="auto"/>
              <w:ind w:left="2"/>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联系方式</w:t>
            </w:r>
          </w:p>
        </w:tc>
        <w:tc>
          <w:tcPr>
            <w:tcW w:w="6381" w:type="dxa"/>
          </w:tcPr>
          <w:p>
            <w:pPr>
              <w:pStyle w:val="260"/>
              <w:spacing w:before="103"/>
              <w:ind w:left="2"/>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接收询问和质疑的联系方式</w:t>
            </w:r>
          </w:p>
          <w:p>
            <w:pPr>
              <w:pStyle w:val="260"/>
              <w:spacing w:before="103"/>
              <w:ind w:left="2"/>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联系部门：</w:t>
            </w:r>
            <w:r>
              <w:rPr>
                <w:rFonts w:hint="eastAsia" w:ascii="宋体" w:hAnsi="宋体" w:eastAsia="宋体" w:cs="宋体"/>
                <w:color w:val="000000" w:themeColor="text1"/>
                <w:sz w:val="24"/>
                <w:szCs w:val="24"/>
                <w:u w:val="single"/>
                <w:lang w:eastAsia="zh-CN"/>
                <w14:textFill>
                  <w14:solidFill>
                    <w14:schemeClr w14:val="tx1"/>
                  </w14:solidFill>
                </w14:textFill>
              </w:rPr>
              <w:t>业务七部</w:t>
            </w:r>
            <w:r>
              <w:rPr>
                <w:rFonts w:hint="eastAsia" w:ascii="宋体" w:hAnsi="宋体" w:eastAsia="宋体" w:cs="宋体"/>
                <w:color w:val="000000" w:themeColor="text1"/>
                <w:sz w:val="24"/>
                <w:szCs w:val="24"/>
                <w:lang w:eastAsia="zh-CN"/>
                <w14:textFill>
                  <w14:solidFill>
                    <w14:schemeClr w14:val="tx1"/>
                  </w14:solidFill>
                </w14:textFill>
              </w:rPr>
              <w:t>；</w:t>
            </w:r>
          </w:p>
          <w:p>
            <w:pPr>
              <w:pStyle w:val="260"/>
              <w:spacing w:before="103"/>
              <w:ind w:left="2"/>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联系电话：</w:t>
            </w:r>
            <w:r>
              <w:rPr>
                <w:rFonts w:hint="eastAsia" w:ascii="宋体" w:hAnsi="宋体" w:eastAsia="宋体" w:cs="宋体"/>
                <w:color w:val="000000" w:themeColor="text1"/>
                <w:sz w:val="24"/>
                <w:szCs w:val="24"/>
                <w:u w:val="single"/>
                <w:lang w:eastAsia="zh-CN"/>
                <w14:textFill>
                  <w14:solidFill>
                    <w14:schemeClr w14:val="tx1"/>
                  </w14:solidFill>
                </w14:textFill>
              </w:rPr>
              <w:t>010-67169727</w:t>
            </w:r>
            <w:r>
              <w:rPr>
                <w:rFonts w:hint="eastAsia" w:ascii="宋体" w:hAnsi="宋体" w:eastAsia="宋体" w:cs="宋体"/>
                <w:color w:val="000000" w:themeColor="text1"/>
                <w:sz w:val="24"/>
                <w:szCs w:val="24"/>
                <w:lang w:eastAsia="zh-CN"/>
                <w14:textFill>
                  <w14:solidFill>
                    <w14:schemeClr w14:val="tx1"/>
                  </w14:solidFill>
                </w14:textFill>
              </w:rPr>
              <w:t>；</w:t>
            </w:r>
          </w:p>
          <w:p>
            <w:pPr>
              <w:pStyle w:val="260"/>
              <w:spacing w:before="103"/>
              <w:ind w:left="2"/>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通讯地址：</w:t>
            </w:r>
            <w:r>
              <w:rPr>
                <w:rFonts w:hint="eastAsia" w:ascii="宋体" w:hAnsi="宋体" w:eastAsia="宋体" w:cs="宋体"/>
                <w:color w:val="000000" w:themeColor="text1"/>
                <w:sz w:val="24"/>
                <w:szCs w:val="24"/>
                <w:u w:val="single"/>
                <w:lang w:eastAsia="zh-CN"/>
                <w14:textFill>
                  <w14:solidFill>
                    <w14:schemeClr w14:val="tx1"/>
                  </w14:solidFill>
                </w14:textFill>
              </w:rPr>
              <w:t>北京市京发招标有限公司705室</w:t>
            </w:r>
            <w:r>
              <w:rPr>
                <w:rFonts w:hint="eastAsia" w:ascii="宋体" w:hAnsi="宋体" w:eastAsia="宋体" w:cs="宋体"/>
                <w:color w:val="000000" w:themeColor="text1"/>
                <w:sz w:val="24"/>
                <w:szCs w:val="24"/>
                <w:lang w:eastAsia="zh-CN"/>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992" w:type="dxa"/>
            <w:vAlign w:val="center"/>
          </w:tcPr>
          <w:p>
            <w:pPr>
              <w:pStyle w:val="260"/>
              <w:spacing w:before="69" w:line="201" w:lineRule="auto"/>
              <w:ind w:left="1"/>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9"/>
                <w:sz w:val="24"/>
                <w:szCs w:val="24"/>
                <w14:textFill>
                  <w14:solidFill>
                    <w14:schemeClr w14:val="tx1"/>
                  </w14:solidFill>
                </w14:textFill>
              </w:rPr>
              <w:t>27</w:t>
            </w:r>
          </w:p>
        </w:tc>
        <w:tc>
          <w:tcPr>
            <w:tcW w:w="1700" w:type="dxa"/>
            <w:vAlign w:val="center"/>
          </w:tcPr>
          <w:p>
            <w:pPr>
              <w:autoSpaceDE w:val="0"/>
              <w:autoSpaceDN w:val="0"/>
              <w:spacing w:before="103" w:line="201" w:lineRule="auto"/>
              <w:ind w:left="2"/>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代理费</w:t>
            </w:r>
          </w:p>
        </w:tc>
        <w:tc>
          <w:tcPr>
            <w:tcW w:w="6381" w:type="dxa"/>
          </w:tcPr>
          <w:p>
            <w:pPr>
              <w:pStyle w:val="260"/>
              <w:spacing w:before="103"/>
              <w:ind w:left="2"/>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 xml:space="preserve">收费对象： </w:t>
            </w:r>
          </w:p>
          <w:p>
            <w:pPr>
              <w:pStyle w:val="260"/>
              <w:spacing w:before="103"/>
              <w:ind w:left="2"/>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 xml:space="preserve">□采购人    </w:t>
            </w:r>
          </w:p>
          <w:p>
            <w:pPr>
              <w:pStyle w:val="260"/>
              <w:spacing w:before="103"/>
              <w:ind w:left="2"/>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■中标人</w:t>
            </w:r>
          </w:p>
          <w:p>
            <w:pPr>
              <w:pStyle w:val="260"/>
              <w:spacing w:before="103"/>
              <w:ind w:left="2"/>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收费标准：</w:t>
            </w:r>
            <w:r>
              <w:rPr>
                <w:rFonts w:hint="eastAsia" w:ascii="宋体" w:hAnsi="宋体" w:eastAsia="宋体" w:cs="宋体"/>
                <w:color w:val="000000" w:themeColor="text1"/>
                <w:sz w:val="24"/>
                <w:szCs w:val="24"/>
                <w:u w:val="single"/>
                <w:lang w:eastAsia="zh-CN"/>
                <w14:textFill>
                  <w14:solidFill>
                    <w14:schemeClr w14:val="tx1"/>
                  </w14:solidFill>
                </w14:textFill>
              </w:rPr>
              <w:t>参照国家发展计划委员会颁发的《招标代理服务收费管理暂行办法》（计价格[2002]1980号）和《国家发展改革委办公厅关于采购代理服务收费有关问题的通知》（发改办价格[2003]857号）执行。以最终中标金额为基数计算为准</w:t>
            </w:r>
            <w:r>
              <w:rPr>
                <w:rFonts w:hint="eastAsia" w:ascii="宋体" w:hAnsi="宋体" w:eastAsia="宋体" w:cs="宋体"/>
                <w:color w:val="000000" w:themeColor="text1"/>
                <w:sz w:val="24"/>
                <w:szCs w:val="24"/>
                <w:lang w:eastAsia="zh-CN"/>
                <w14:textFill>
                  <w14:solidFill>
                    <w14:schemeClr w14:val="tx1"/>
                  </w14:solidFill>
                </w14:textFill>
              </w:rPr>
              <w:t>。</w:t>
            </w:r>
          </w:p>
          <w:p>
            <w:pPr>
              <w:pStyle w:val="260"/>
              <w:spacing w:before="103"/>
              <w:ind w:left="2"/>
              <w:rPr>
                <w:rFonts w:hint="eastAsia" w:ascii="宋体" w:hAnsi="宋体" w:eastAsia="宋体" w:cs="宋体"/>
                <w:color w:val="000000" w:themeColor="text1"/>
                <w:sz w:val="24"/>
                <w:szCs w:val="24"/>
                <w:u w:val="single"/>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缴纳时间：</w:t>
            </w:r>
            <w:r>
              <w:rPr>
                <w:rFonts w:hint="eastAsia" w:ascii="宋体" w:hAnsi="宋体" w:eastAsia="宋体" w:cs="宋体"/>
                <w:color w:val="000000" w:themeColor="text1"/>
                <w:sz w:val="24"/>
                <w:szCs w:val="24"/>
                <w:u w:val="single"/>
                <w:lang w:eastAsia="zh-CN"/>
                <w14:textFill>
                  <w14:solidFill>
                    <w14:schemeClr w14:val="tx1"/>
                  </w14:solidFill>
                </w14:textFill>
              </w:rPr>
              <w:t>中标人在中标通知书发出之日起5个工作日内向采</w:t>
            </w:r>
          </w:p>
          <w:p>
            <w:pPr>
              <w:pStyle w:val="260"/>
              <w:spacing w:before="103"/>
              <w:ind w:left="2"/>
              <w:rPr>
                <w:rFonts w:hint="eastAsia"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szCs w:val="24"/>
                <w:u w:val="single"/>
                <w:lang w:eastAsia="zh-CN"/>
                <w14:textFill>
                  <w14:solidFill>
                    <w14:schemeClr w14:val="tx1"/>
                  </w14:solidFill>
                </w14:textFill>
              </w:rPr>
              <w:t>购代理机构缴付中标服务费</w:t>
            </w:r>
            <w:r>
              <w:rPr>
                <w:rFonts w:hint="eastAsia" w:ascii="宋体" w:hAnsi="宋体" w:eastAsia="宋体" w:cs="宋体"/>
                <w:color w:val="000000" w:themeColor="text1"/>
                <w:sz w:val="24"/>
                <w:szCs w:val="24"/>
                <w:lang w:eastAsia="zh-CN"/>
                <w14:textFill>
                  <w14:solidFill>
                    <w14:schemeClr w14:val="tx1"/>
                  </w14:solidFill>
                </w14:textFill>
              </w:rPr>
              <w:t>。</w:t>
            </w:r>
          </w:p>
        </w:tc>
      </w:tr>
    </w:tbl>
    <w:p>
      <w:pPr>
        <w:rPr>
          <w:rFonts w:hint="eastAsia" w:ascii="宋体" w:hAnsi="宋体" w:cs="宋体"/>
          <w:color w:val="000000" w:themeColor="text1"/>
          <w14:textFill>
            <w14:solidFill>
              <w14:schemeClr w14:val="tx1"/>
            </w14:solidFill>
          </w14:textFill>
        </w:rPr>
      </w:pPr>
    </w:p>
    <w:p>
      <w:pPr>
        <w:widowControl/>
        <w:jc w:val="left"/>
        <w:rPr>
          <w:rFonts w:hint="eastAsia" w:ascii="宋体" w:hAnsi="宋体" w:cs="宋体"/>
          <w:b/>
          <w:color w:val="000000" w:themeColor="text1"/>
          <w:sz w:val="28"/>
          <w:szCs w:val="28"/>
          <w14:textFill>
            <w14:solidFill>
              <w14:schemeClr w14:val="tx1"/>
            </w14:solidFill>
          </w14:textFill>
        </w:rPr>
      </w:pPr>
      <w:bookmarkStart w:id="100" w:name="_Toc127151517"/>
      <w:bookmarkStart w:id="101" w:name="_Toc305158859"/>
      <w:bookmarkStart w:id="102" w:name="_Toc265228355"/>
      <w:bookmarkStart w:id="103" w:name="_Toc226965790"/>
      <w:bookmarkStart w:id="104" w:name="_Toc264969207"/>
      <w:bookmarkStart w:id="105" w:name="_Toc353825542"/>
      <w:bookmarkStart w:id="106" w:name="_Toc142311019"/>
      <w:bookmarkStart w:id="107" w:name="_Toc150774722"/>
      <w:bookmarkStart w:id="108" w:name="_Toc305158785"/>
      <w:bookmarkStart w:id="109" w:name="_Toc353873932"/>
      <w:bookmarkStart w:id="110" w:name="_Toc150480755"/>
      <w:bookmarkStart w:id="111" w:name="_Toc195842882"/>
      <w:bookmarkStart w:id="112" w:name="_Toc226337213"/>
      <w:bookmarkStart w:id="113" w:name="_Toc353873662"/>
      <w:r>
        <w:rPr>
          <w:rFonts w:ascii="宋体" w:hAnsi="宋体" w:cs="宋体"/>
          <w:b/>
          <w:color w:val="000000" w:themeColor="text1"/>
          <w:sz w:val="28"/>
          <w:szCs w:val="28"/>
          <w14:textFill>
            <w14:solidFill>
              <w14:schemeClr w14:val="tx1"/>
            </w14:solidFill>
          </w14:textFill>
        </w:rPr>
        <w:br w:type="page"/>
      </w:r>
    </w:p>
    <w:p>
      <w:pPr>
        <w:spacing w:before="240" w:beforeLines="100" w:after="240" w:afterLines="100"/>
        <w:jc w:val="center"/>
        <w:rPr>
          <w:rFonts w:hint="eastAsia" w:ascii="宋体" w:hAnsi="宋体" w:cs="宋体"/>
          <w:b/>
          <w:color w:val="000000" w:themeColor="text1"/>
          <w:sz w:val="28"/>
          <w:szCs w:val="28"/>
          <w14:textFill>
            <w14:solidFill>
              <w14:schemeClr w14:val="tx1"/>
            </w14:solidFill>
          </w14:textFill>
        </w:rPr>
      </w:pPr>
      <w:r>
        <w:rPr>
          <w:rFonts w:hint="eastAsia" w:ascii="宋体" w:hAnsi="宋体" w:cs="宋体"/>
          <w:b/>
          <w:color w:val="000000" w:themeColor="text1"/>
          <w:sz w:val="28"/>
          <w:szCs w:val="28"/>
          <w14:textFill>
            <w14:solidFill>
              <w14:schemeClr w14:val="tx1"/>
            </w14:solidFill>
          </w14:textFill>
        </w:rPr>
        <w:t>投标人须知</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pPr>
        <w:pStyle w:val="4"/>
        <w:rPr>
          <w:rStyle w:val="463"/>
          <w:rFonts w:hint="default" w:ascii="宋体" w:hAnsi="宋体"/>
          <w:b/>
          <w:szCs w:val="28"/>
        </w:rPr>
      </w:pPr>
      <w:bookmarkStart w:id="114" w:name="_Toc151193832"/>
      <w:bookmarkStart w:id="115" w:name="_Toc150509269"/>
      <w:bookmarkStart w:id="116" w:name="_Toc226965708"/>
      <w:bookmarkStart w:id="117" w:name="_Toc226965791"/>
      <w:bookmarkStart w:id="118" w:name="_Toc142311020"/>
      <w:bookmarkStart w:id="119" w:name="_Toc127151518"/>
      <w:bookmarkStart w:id="120" w:name="_Toc151193616"/>
      <w:bookmarkStart w:id="121" w:name="_Toc305158786"/>
      <w:bookmarkStart w:id="122" w:name="_Toc520356143"/>
      <w:bookmarkStart w:id="123" w:name="_Toc150480756"/>
      <w:bookmarkStart w:id="124" w:name="_Toc226337214"/>
      <w:bookmarkStart w:id="125" w:name="_Toc195842883"/>
      <w:bookmarkStart w:id="126" w:name="_Toc265228356"/>
      <w:bookmarkStart w:id="127" w:name="_Toc151193688"/>
      <w:bookmarkStart w:id="128" w:name="_Toc226309762"/>
      <w:bookmarkStart w:id="129" w:name="_Toc151193906"/>
      <w:bookmarkStart w:id="130" w:name="_Toc305158860"/>
      <w:bookmarkStart w:id="131" w:name="_Toc264969208"/>
      <w:bookmarkStart w:id="132" w:name="_Toc151190145"/>
      <w:bookmarkStart w:id="133" w:name="_Toc150774618"/>
      <w:bookmarkStart w:id="134" w:name="_Toc151193760"/>
      <w:bookmarkStart w:id="135" w:name="_Toc150774723"/>
      <w:r>
        <w:rPr>
          <w:rStyle w:val="463"/>
          <w:rFonts w:hint="default" w:ascii="宋体" w:hAnsi="宋体"/>
          <w:b/>
          <w:szCs w:val="28"/>
        </w:rPr>
        <w:t>一   说  明</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pPr>
        <w:numPr>
          <w:ilvl w:val="0"/>
          <w:numId w:val="9"/>
        </w:numPr>
        <w:tabs>
          <w:tab w:val="left" w:pos="360"/>
          <w:tab w:val="clear" w:pos="900"/>
        </w:tabs>
        <w:snapToGrid w:val="0"/>
        <w:spacing w:line="360" w:lineRule="auto"/>
        <w:ind w:left="357" w:hanging="357"/>
        <w:rPr>
          <w:rFonts w:hint="eastAsia" w:ascii="宋体" w:hAnsi="宋体" w:cs="宋体"/>
          <w:color w:val="000000" w:themeColor="text1"/>
          <w:sz w:val="24"/>
          <w14:textFill>
            <w14:solidFill>
              <w14:schemeClr w14:val="tx1"/>
            </w14:solidFill>
          </w14:textFill>
        </w:rPr>
      </w:pPr>
      <w:bookmarkStart w:id="136" w:name="_Toc305158787"/>
      <w:bookmarkStart w:id="137" w:name="_Toc265228357"/>
      <w:bookmarkStart w:id="138" w:name="_Toc305158861"/>
      <w:bookmarkStart w:id="139" w:name="_Toc264969209"/>
      <w:r>
        <w:rPr>
          <w:rFonts w:hint="eastAsia" w:ascii="宋体" w:hAnsi="宋体" w:cs="宋体"/>
          <w:color w:val="000000" w:themeColor="text1"/>
          <w:sz w:val="24"/>
          <w14:textFill>
            <w14:solidFill>
              <w14:schemeClr w14:val="tx1"/>
            </w14:solidFill>
          </w14:textFill>
        </w:rPr>
        <w:t>采购人、采购代理机构、投标人</w:t>
      </w:r>
      <w:bookmarkEnd w:id="136"/>
      <w:bookmarkEnd w:id="137"/>
      <w:bookmarkEnd w:id="138"/>
      <w:bookmarkEnd w:id="139"/>
      <w:r>
        <w:rPr>
          <w:rFonts w:hint="eastAsia" w:ascii="宋体" w:hAnsi="宋体" w:cs="宋体"/>
          <w:color w:val="000000" w:themeColor="text1"/>
          <w:sz w:val="24"/>
          <w14:textFill>
            <w14:solidFill>
              <w14:schemeClr w14:val="tx1"/>
            </w14:solidFill>
          </w14:textFill>
        </w:rPr>
        <w:t>、联合体</w:t>
      </w:r>
    </w:p>
    <w:p>
      <w:pPr>
        <w:numPr>
          <w:ilvl w:val="1"/>
          <w:numId w:val="9"/>
        </w:numPr>
        <w:tabs>
          <w:tab w:val="left" w:pos="1080"/>
          <w:tab w:val="left" w:pos="2014"/>
          <w:tab w:val="left" w:pos="5521"/>
        </w:tabs>
        <w:snapToGrid w:val="0"/>
        <w:spacing w:line="360" w:lineRule="auto"/>
        <w:ind w:left="1080"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采购人、采购代理机构：指依法进行政府采购的国家机关、事业单位、团体组织，及其委托的采购代理机构。本项目采购人、采购代理机构见第一章《投标邀请》。</w:t>
      </w:r>
    </w:p>
    <w:p>
      <w:pPr>
        <w:numPr>
          <w:ilvl w:val="1"/>
          <w:numId w:val="9"/>
        </w:numPr>
        <w:tabs>
          <w:tab w:val="left" w:pos="1080"/>
          <w:tab w:val="left" w:pos="2014"/>
          <w:tab w:val="left" w:pos="5521"/>
        </w:tabs>
        <w:snapToGrid w:val="0"/>
        <w:spacing w:line="360" w:lineRule="auto"/>
        <w:ind w:left="1080"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投标人（也称“供应商”、“申请人”）：指向采购人提供货物、工程或者服务的法人、其他组织或者自然人。</w:t>
      </w:r>
    </w:p>
    <w:p>
      <w:pPr>
        <w:numPr>
          <w:ilvl w:val="1"/>
          <w:numId w:val="9"/>
        </w:numPr>
        <w:tabs>
          <w:tab w:val="left" w:pos="1080"/>
          <w:tab w:val="left" w:pos="2014"/>
          <w:tab w:val="left" w:pos="5521"/>
        </w:tabs>
        <w:snapToGrid w:val="0"/>
        <w:spacing w:line="360" w:lineRule="auto"/>
        <w:ind w:left="1080"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联合体：指两个以上的自然人、法人或者其他组织组成一个联合体，以一个供应商的身份共同参加政府采购。</w:t>
      </w:r>
    </w:p>
    <w:p>
      <w:pPr>
        <w:numPr>
          <w:ilvl w:val="0"/>
          <w:numId w:val="9"/>
        </w:numPr>
        <w:tabs>
          <w:tab w:val="left" w:pos="360"/>
          <w:tab w:val="clear" w:pos="900"/>
        </w:tabs>
        <w:snapToGrid w:val="0"/>
        <w:spacing w:line="360" w:lineRule="auto"/>
        <w:ind w:left="357" w:hanging="357"/>
        <w:rPr>
          <w:rFonts w:hint="eastAsia" w:ascii="宋体" w:hAnsi="宋体" w:cs="宋体"/>
          <w:color w:val="000000" w:themeColor="text1"/>
          <w:sz w:val="24"/>
          <w14:textFill>
            <w14:solidFill>
              <w14:schemeClr w14:val="tx1"/>
            </w14:solidFill>
          </w14:textFill>
        </w:rPr>
      </w:pPr>
      <w:bookmarkStart w:id="140" w:name="_Toc142311022"/>
      <w:bookmarkStart w:id="141" w:name="_Toc226309764"/>
      <w:bookmarkStart w:id="142" w:name="_Toc265228358"/>
      <w:bookmarkStart w:id="143" w:name="_Toc305158788"/>
      <w:bookmarkStart w:id="144" w:name="_Toc164608634"/>
      <w:bookmarkStart w:id="145" w:name="_Toc149720813"/>
      <w:bookmarkStart w:id="146" w:name="_Toc151193690"/>
      <w:bookmarkStart w:id="147" w:name="_Toc164608789"/>
      <w:bookmarkStart w:id="148" w:name="_Toc150774725"/>
      <w:bookmarkStart w:id="149" w:name="_Toc150480758"/>
      <w:bookmarkStart w:id="150" w:name="_Toc195842885"/>
      <w:bookmarkStart w:id="151" w:name="_Toc151193618"/>
      <w:bookmarkStart w:id="152" w:name="_Toc127161434"/>
      <w:bookmarkStart w:id="153" w:name="_Toc151193762"/>
      <w:bookmarkStart w:id="154" w:name="_Toc151193908"/>
      <w:bookmarkStart w:id="155" w:name="_Toc164229215"/>
      <w:bookmarkStart w:id="156" w:name="_Toc127151721"/>
      <w:bookmarkStart w:id="157" w:name="_Toc127151520"/>
      <w:bookmarkStart w:id="158" w:name="_Toc151190147"/>
      <w:bookmarkStart w:id="159" w:name="_Toc150509271"/>
      <w:bookmarkStart w:id="160" w:name="_Toc264969210"/>
      <w:bookmarkStart w:id="161" w:name="_Toc164229361"/>
      <w:bookmarkStart w:id="162" w:name="_Toc164351614"/>
      <w:bookmarkStart w:id="163" w:name="_Toc305158862"/>
      <w:bookmarkStart w:id="164" w:name="_Toc151193834"/>
      <w:bookmarkStart w:id="165" w:name="_Toc226965793"/>
      <w:bookmarkStart w:id="166" w:name="_Toc226337216"/>
      <w:bookmarkStart w:id="167" w:name="_Toc226965710"/>
      <w:bookmarkStart w:id="168" w:name="_Toc150774620"/>
      <w:r>
        <w:rPr>
          <w:rFonts w:hint="eastAsia" w:ascii="宋体" w:hAnsi="宋体" w:cs="宋体"/>
          <w:color w:val="000000" w:themeColor="text1"/>
          <w:sz w:val="24"/>
          <w14:textFill>
            <w14:solidFill>
              <w14:schemeClr w14:val="tx1"/>
            </w14:solidFill>
          </w14:textFill>
        </w:rPr>
        <w:t>资金来源</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Pr>
          <w:rFonts w:hint="eastAsia" w:ascii="宋体" w:hAnsi="宋体" w:cs="宋体"/>
          <w:color w:val="000000" w:themeColor="text1"/>
          <w:sz w:val="24"/>
          <w14:textFill>
            <w14:solidFill>
              <w14:schemeClr w14:val="tx1"/>
            </w14:solidFill>
          </w14:textFill>
        </w:rPr>
        <w:t>、项目属性、科研仪器设备采购、核心产品</w:t>
      </w:r>
    </w:p>
    <w:p>
      <w:pPr>
        <w:numPr>
          <w:ilvl w:val="1"/>
          <w:numId w:val="9"/>
        </w:numPr>
        <w:tabs>
          <w:tab w:val="left" w:pos="1080"/>
          <w:tab w:val="left" w:pos="2014"/>
        </w:tabs>
        <w:snapToGrid w:val="0"/>
        <w:spacing w:line="360" w:lineRule="auto"/>
        <w:ind w:left="1080"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资金来源为财政性资金和/或本项目采购中无法与财政性资金分割的非财政性资金。</w:t>
      </w:r>
    </w:p>
    <w:p>
      <w:pPr>
        <w:numPr>
          <w:ilvl w:val="1"/>
          <w:numId w:val="9"/>
        </w:numPr>
        <w:tabs>
          <w:tab w:val="left" w:pos="1080"/>
          <w:tab w:val="left" w:pos="2014"/>
        </w:tabs>
        <w:snapToGrid w:val="0"/>
        <w:spacing w:line="360" w:lineRule="auto"/>
        <w:ind w:left="1080"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项目属性见《投标人须知资料表》。</w:t>
      </w:r>
    </w:p>
    <w:p>
      <w:pPr>
        <w:numPr>
          <w:ilvl w:val="1"/>
          <w:numId w:val="9"/>
        </w:numPr>
        <w:tabs>
          <w:tab w:val="left" w:pos="1080"/>
          <w:tab w:val="left" w:pos="2014"/>
        </w:tabs>
        <w:snapToGrid w:val="0"/>
        <w:spacing w:line="360" w:lineRule="auto"/>
        <w:ind w:left="1080"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是否属于科研仪器设备采购见《投标人须知资料表》。</w:t>
      </w:r>
    </w:p>
    <w:p>
      <w:pPr>
        <w:numPr>
          <w:ilvl w:val="1"/>
          <w:numId w:val="9"/>
        </w:numPr>
        <w:tabs>
          <w:tab w:val="left" w:pos="1080"/>
          <w:tab w:val="left" w:pos="2014"/>
          <w:tab w:val="left" w:pos="5521"/>
        </w:tabs>
        <w:snapToGrid w:val="0"/>
        <w:spacing w:line="360" w:lineRule="auto"/>
        <w:ind w:left="1080"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核心产品见《投标人须知资料表》。</w:t>
      </w:r>
    </w:p>
    <w:p>
      <w:pPr>
        <w:numPr>
          <w:ilvl w:val="0"/>
          <w:numId w:val="9"/>
        </w:numPr>
        <w:tabs>
          <w:tab w:val="left" w:pos="360"/>
        </w:tabs>
        <w:snapToGrid w:val="0"/>
        <w:spacing w:line="360" w:lineRule="auto"/>
        <w:ind w:left="357" w:hanging="357"/>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现场考察、开标前答疑会</w:t>
      </w:r>
    </w:p>
    <w:p>
      <w:pPr>
        <w:numPr>
          <w:ilvl w:val="1"/>
          <w:numId w:val="9"/>
        </w:numPr>
        <w:tabs>
          <w:tab w:val="left" w:pos="1080"/>
          <w:tab w:val="left" w:pos="2014"/>
        </w:tabs>
        <w:snapToGrid w:val="0"/>
        <w:spacing w:line="360" w:lineRule="auto"/>
        <w:ind w:left="1080" w:hanging="720"/>
        <w:rPr>
          <w:rFonts w:hint="eastAsia" w:ascii="宋体" w:hAnsi="宋体" w:cs="宋体"/>
          <w:color w:val="000000" w:themeColor="text1"/>
          <w:sz w:val="28"/>
          <w14:textFill>
            <w14:solidFill>
              <w14:schemeClr w14:val="tx1"/>
            </w14:solidFill>
          </w14:textFill>
        </w:rPr>
      </w:pPr>
      <w:r>
        <w:rPr>
          <w:rFonts w:hint="eastAsia" w:ascii="宋体" w:hAnsi="宋体" w:cs="宋体"/>
          <w:color w:val="000000" w:themeColor="text1"/>
          <w:sz w:val="24"/>
          <w14:textFill>
            <w14:solidFill>
              <w14:schemeClr w14:val="tx1"/>
            </w14:solidFill>
          </w14:textFill>
        </w:rPr>
        <w:t>若《投标人须知资料表》中规定了组织现场考察、召开开标前答疑会，则投标人应按要求在规定的时间和地点参加。</w:t>
      </w:r>
      <w:bookmarkStart w:id="169" w:name="_Toc226309766"/>
      <w:bookmarkStart w:id="170" w:name="_Toc150480760"/>
      <w:bookmarkStart w:id="171" w:name="_Toc265228360"/>
      <w:bookmarkStart w:id="172" w:name="_Toc150774727"/>
      <w:bookmarkStart w:id="173" w:name="_Toc151190149"/>
      <w:bookmarkStart w:id="174" w:name="_Toc150774622"/>
      <w:bookmarkStart w:id="175" w:name="_Toc151193692"/>
      <w:bookmarkStart w:id="176" w:name="_Toc520356146"/>
      <w:bookmarkStart w:id="177" w:name="_Toc226965795"/>
      <w:bookmarkStart w:id="178" w:name="_Toc151193764"/>
      <w:bookmarkStart w:id="179" w:name="_Toc195842887"/>
      <w:bookmarkStart w:id="180" w:name="_Toc305158864"/>
      <w:bookmarkStart w:id="181" w:name="_Toc305158790"/>
      <w:bookmarkStart w:id="182" w:name="_Toc226337218"/>
      <w:bookmarkStart w:id="183" w:name="_Toc151193910"/>
      <w:bookmarkStart w:id="184" w:name="_Toc151193620"/>
      <w:bookmarkStart w:id="185" w:name="_Toc150509273"/>
      <w:bookmarkStart w:id="186" w:name="_Toc264969212"/>
      <w:bookmarkStart w:id="187" w:name="_Toc127151522"/>
      <w:bookmarkStart w:id="188" w:name="_Toc226965712"/>
      <w:bookmarkStart w:id="189" w:name="_Toc151193836"/>
      <w:bookmarkStart w:id="190" w:name="_Toc142311024"/>
    </w:p>
    <w:p>
      <w:pPr>
        <w:numPr>
          <w:ilvl w:val="1"/>
          <w:numId w:val="9"/>
        </w:numPr>
        <w:tabs>
          <w:tab w:val="left" w:pos="1080"/>
          <w:tab w:val="left" w:pos="2014"/>
        </w:tabs>
        <w:snapToGrid w:val="0"/>
        <w:spacing w:line="360" w:lineRule="auto"/>
        <w:ind w:left="1080"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由于未参加现场考察或开标前答疑会而导致对项目实际情况不了解，影响投标文件编制、投标报价准确性、综合因素响应不全面等问题的，由投标人自行承担不利评审后果。</w:t>
      </w:r>
    </w:p>
    <w:p>
      <w:pPr>
        <w:numPr>
          <w:ilvl w:val="0"/>
          <w:numId w:val="9"/>
        </w:numPr>
        <w:tabs>
          <w:tab w:val="left" w:pos="360"/>
        </w:tabs>
        <w:snapToGrid w:val="0"/>
        <w:spacing w:line="360" w:lineRule="auto"/>
        <w:ind w:left="357" w:hanging="357"/>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样品</w:t>
      </w:r>
    </w:p>
    <w:p>
      <w:pPr>
        <w:numPr>
          <w:ilvl w:val="1"/>
          <w:numId w:val="9"/>
        </w:numPr>
        <w:tabs>
          <w:tab w:val="left" w:pos="1080"/>
          <w:tab w:val="left" w:pos="2014"/>
        </w:tabs>
        <w:snapToGrid w:val="0"/>
        <w:spacing w:line="360" w:lineRule="auto"/>
        <w:ind w:left="1080"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本项目是否要求投标人提供样品，以及样品制作的标准和要求、是否需要随样品提交相关检测报告、样品的递交与退还等要求见《投标人须知资料表》。</w:t>
      </w:r>
    </w:p>
    <w:p>
      <w:pPr>
        <w:numPr>
          <w:ilvl w:val="1"/>
          <w:numId w:val="9"/>
        </w:numPr>
        <w:tabs>
          <w:tab w:val="left" w:pos="1080"/>
          <w:tab w:val="left" w:pos="2014"/>
        </w:tabs>
        <w:snapToGrid w:val="0"/>
        <w:spacing w:line="360" w:lineRule="auto"/>
        <w:ind w:left="1080"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样品的评审方法以及评审标准等内容见第四章《评标方法和评标标准》。</w:t>
      </w:r>
    </w:p>
    <w:p>
      <w:pPr>
        <w:numPr>
          <w:ilvl w:val="0"/>
          <w:numId w:val="9"/>
        </w:numPr>
        <w:tabs>
          <w:tab w:val="left" w:pos="360"/>
          <w:tab w:val="clear" w:pos="900"/>
        </w:tabs>
        <w:snapToGrid w:val="0"/>
        <w:spacing w:line="360" w:lineRule="auto"/>
        <w:ind w:left="357" w:hanging="357"/>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政府采购政策（包括但不限于下列具体政策要求）</w:t>
      </w:r>
    </w:p>
    <w:p>
      <w:pPr>
        <w:numPr>
          <w:ilvl w:val="1"/>
          <w:numId w:val="9"/>
        </w:numPr>
        <w:tabs>
          <w:tab w:val="left" w:pos="1080"/>
          <w:tab w:val="left" w:pos="2014"/>
        </w:tabs>
        <w:snapToGrid w:val="0"/>
        <w:spacing w:line="360" w:lineRule="auto"/>
        <w:ind w:left="1080"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采购本国货物、工程和服务</w:t>
      </w:r>
    </w:p>
    <w:p>
      <w:pPr>
        <w:numPr>
          <w:ilvl w:val="2"/>
          <w:numId w:val="9"/>
        </w:numPr>
        <w:tabs>
          <w:tab w:val="left" w:pos="2014"/>
        </w:tabs>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政府采购应当采购本国货物、工程和服务。但有</w:t>
      </w:r>
      <w:r>
        <w:rPr>
          <w:rFonts w:hint="eastAsia" w:ascii="宋体" w:hAnsi="宋体" w:cs="宋体"/>
          <w:b/>
          <w:color w:val="000000" w:themeColor="text1"/>
          <w:sz w:val="24"/>
          <w14:textFill>
            <w14:solidFill>
              <w14:schemeClr w14:val="tx1"/>
            </w14:solidFill>
          </w14:textFill>
        </w:rPr>
        <w:t>《中华人民共和国政府采购法》</w:t>
      </w:r>
      <w:r>
        <w:rPr>
          <w:rFonts w:hint="eastAsia" w:ascii="宋体" w:hAnsi="宋体" w:cs="宋体"/>
          <w:color w:val="000000" w:themeColor="text1"/>
          <w:sz w:val="24"/>
          <w14:textFill>
            <w14:solidFill>
              <w14:schemeClr w14:val="tx1"/>
            </w14:solidFill>
          </w14:textFill>
        </w:rPr>
        <w:t>第十条规定情形的除外。</w:t>
      </w:r>
    </w:p>
    <w:p>
      <w:pPr>
        <w:pStyle w:val="15"/>
        <w:numPr>
          <w:ilvl w:val="2"/>
          <w:numId w:val="9"/>
        </w:numPr>
        <w:spacing w:line="360" w:lineRule="auto"/>
        <w:ind w:firstLineChars="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本国产品标准及相关政策</w:t>
      </w:r>
    </w:p>
    <w:p>
      <w:pPr>
        <w:numPr>
          <w:ilvl w:val="3"/>
          <w:numId w:val="8"/>
        </w:numPr>
        <w:tabs>
          <w:tab w:val="left" w:pos="1980"/>
          <w:tab w:val="left" w:pos="2014"/>
          <w:tab w:val="left" w:pos="2885"/>
          <w:tab w:val="left" w:pos="2977"/>
        </w:tabs>
        <w:snapToGrid w:val="0"/>
        <w:spacing w:line="360" w:lineRule="auto"/>
        <w:ind w:firstLine="108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本国产品应当符合以下条件</w:t>
      </w:r>
    </w:p>
    <w:p>
      <w:pPr>
        <w:tabs>
          <w:tab w:val="left" w:pos="1980"/>
          <w:tab w:val="left" w:pos="2014"/>
          <w:tab w:val="left" w:pos="2885"/>
          <w:tab w:val="left" w:pos="2977"/>
        </w:tabs>
        <w:snapToGrid w:val="0"/>
        <w:spacing w:line="360" w:lineRule="auto"/>
        <w:ind w:left="288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（一）在中国境内生产</w:t>
      </w:r>
    </w:p>
    <w:p>
      <w:pPr>
        <w:tabs>
          <w:tab w:val="left" w:pos="1980"/>
          <w:tab w:val="left" w:pos="2014"/>
          <w:tab w:val="left" w:pos="2885"/>
          <w:tab w:val="left" w:pos="2977"/>
        </w:tabs>
        <w:snapToGrid w:val="0"/>
        <w:spacing w:line="360" w:lineRule="auto"/>
        <w:ind w:left="288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产品应当在中国境内生产，即在中华人民共和国关境内实现从原材料、组件到产品的属性改变。</w:t>
      </w:r>
    </w:p>
    <w:p>
      <w:pPr>
        <w:tabs>
          <w:tab w:val="left" w:pos="1980"/>
          <w:tab w:val="left" w:pos="2014"/>
          <w:tab w:val="left" w:pos="2885"/>
          <w:tab w:val="left" w:pos="2977"/>
        </w:tabs>
        <w:snapToGrid w:val="0"/>
        <w:spacing w:line="360" w:lineRule="auto"/>
        <w:ind w:left="288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属性改变是指经过制造、加工或者组装等工序，产生完全不同于原材料、组件的新产品，并具有新的名称和特征（用途）。属性改变不包括以下细微操作：</w:t>
      </w:r>
    </w:p>
    <w:p>
      <w:pPr>
        <w:pStyle w:val="15"/>
        <w:numPr>
          <w:ilvl w:val="0"/>
          <w:numId w:val="10"/>
        </w:numPr>
        <w:tabs>
          <w:tab w:val="left" w:pos="1980"/>
          <w:tab w:val="left" w:pos="2014"/>
          <w:tab w:val="left" w:pos="2885"/>
          <w:tab w:val="left" w:pos="2977"/>
        </w:tabs>
        <w:snapToGrid w:val="0"/>
        <w:spacing w:line="360" w:lineRule="auto"/>
        <w:ind w:hanging="88" w:firstLineChars="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为确保产品在运输或者储存期间保持某种状态而进行的操作；</w:t>
      </w:r>
    </w:p>
    <w:p>
      <w:pPr>
        <w:pStyle w:val="15"/>
        <w:numPr>
          <w:ilvl w:val="0"/>
          <w:numId w:val="10"/>
        </w:numPr>
        <w:tabs>
          <w:tab w:val="left" w:pos="1980"/>
          <w:tab w:val="left" w:pos="2014"/>
          <w:tab w:val="left" w:pos="2885"/>
          <w:tab w:val="left" w:pos="2977"/>
        </w:tabs>
        <w:snapToGrid w:val="0"/>
        <w:spacing w:line="360" w:lineRule="auto"/>
        <w:ind w:hanging="88" w:firstLineChars="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为产品运输或者销售进行的包装或者展示；</w:t>
      </w:r>
    </w:p>
    <w:p>
      <w:pPr>
        <w:pStyle w:val="15"/>
        <w:numPr>
          <w:ilvl w:val="0"/>
          <w:numId w:val="10"/>
        </w:numPr>
        <w:tabs>
          <w:tab w:val="left" w:pos="1980"/>
          <w:tab w:val="left" w:pos="2014"/>
          <w:tab w:val="left" w:pos="2885"/>
          <w:tab w:val="left" w:pos="2977"/>
        </w:tabs>
        <w:snapToGrid w:val="0"/>
        <w:spacing w:line="360" w:lineRule="auto"/>
        <w:ind w:hanging="88" w:firstLineChars="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在产品或者其包装上粘贴或者印刷品牌、标志、标识以及其他用于区别的标记；</w:t>
      </w:r>
    </w:p>
    <w:p>
      <w:pPr>
        <w:pStyle w:val="15"/>
        <w:numPr>
          <w:ilvl w:val="0"/>
          <w:numId w:val="10"/>
        </w:numPr>
        <w:tabs>
          <w:tab w:val="left" w:pos="1980"/>
          <w:tab w:val="left" w:pos="2014"/>
          <w:tab w:val="left" w:pos="2885"/>
          <w:tab w:val="left" w:pos="2977"/>
        </w:tabs>
        <w:snapToGrid w:val="0"/>
        <w:spacing w:line="360" w:lineRule="auto"/>
        <w:ind w:hanging="88" w:firstLineChars="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简单的上漆、磨光和分装；</w:t>
      </w:r>
    </w:p>
    <w:p>
      <w:pPr>
        <w:pStyle w:val="15"/>
        <w:numPr>
          <w:ilvl w:val="0"/>
          <w:numId w:val="10"/>
        </w:numPr>
        <w:tabs>
          <w:tab w:val="left" w:pos="1980"/>
          <w:tab w:val="left" w:pos="2014"/>
          <w:tab w:val="left" w:pos="2885"/>
          <w:tab w:val="left" w:pos="2977"/>
        </w:tabs>
        <w:snapToGrid w:val="0"/>
        <w:spacing w:line="360" w:lineRule="auto"/>
        <w:ind w:hanging="88" w:firstLineChars="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其他不属于属性改变的情形。</w:t>
      </w:r>
    </w:p>
    <w:p>
      <w:pPr>
        <w:tabs>
          <w:tab w:val="left" w:pos="1980"/>
          <w:tab w:val="left" w:pos="2014"/>
          <w:tab w:val="left" w:pos="2885"/>
          <w:tab w:val="left" w:pos="2977"/>
        </w:tabs>
        <w:snapToGrid w:val="0"/>
        <w:spacing w:line="360" w:lineRule="auto"/>
        <w:ind w:left="288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（二）在中国境内生产的组件成本占比达到规定比例</w:t>
      </w:r>
    </w:p>
    <w:p>
      <w:pPr>
        <w:tabs>
          <w:tab w:val="left" w:pos="1980"/>
          <w:tab w:val="left" w:pos="2014"/>
          <w:tab w:val="left" w:pos="2885"/>
          <w:tab w:val="left" w:pos="2977"/>
        </w:tabs>
        <w:snapToGrid w:val="0"/>
        <w:spacing w:line="360" w:lineRule="auto"/>
        <w:ind w:left="2885"/>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产品在中国境内生产的组件成本占比应当达到规定比例，计算公式为：</w:t>
      </w:r>
      <w:r>
        <w:rPr>
          <w:rFonts w:ascii="宋体" w:hAnsi="宋体" w:cs="宋体"/>
          <w:color w:val="000000" w:themeColor="text1"/>
          <w:sz w:val="24"/>
          <w14:textFill>
            <w14:solidFill>
              <w14:schemeClr w14:val="tx1"/>
            </w14:solidFill>
          </w14:textFill>
        </w:rPr>
        <w:drawing>
          <wp:inline distT="0" distB="0" distL="0" distR="0">
            <wp:extent cx="2731135" cy="391795"/>
            <wp:effectExtent l="0" t="0" r="0" b="8255"/>
            <wp:docPr id="1" name="图片 1" descr="https://www.gov.cn/gongbao/2025/issue_12346/202510/W020251020359236170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s://www.gov.cn/gongbao/2025/issue_12346/202510/W02025102035923617007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731135" cy="391795"/>
                    </a:xfrm>
                    <a:prstGeom prst="rect">
                      <a:avLst/>
                    </a:prstGeom>
                    <a:noFill/>
                    <a:ln>
                      <a:noFill/>
                    </a:ln>
                  </pic:spPr>
                </pic:pic>
              </a:graphicData>
            </a:graphic>
          </wp:inline>
        </w:drawing>
      </w:r>
    </w:p>
    <w:p>
      <w:pPr>
        <w:tabs>
          <w:tab w:val="left" w:pos="1980"/>
          <w:tab w:val="left" w:pos="2014"/>
          <w:tab w:val="left" w:pos="2885"/>
          <w:tab w:val="left" w:pos="2977"/>
        </w:tabs>
        <w:snapToGrid w:val="0"/>
        <w:spacing w:line="360" w:lineRule="auto"/>
        <w:ind w:left="288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财政部会同有关行业主管部门，分产品确定在中国境内生产的组件成本占比应当达到的规定比例。在分产品的中国境内生产的组件成本占比相关要求实施前，符合本通知第一条第（一）项条件的产品在政府采购活动中视同本国产品。</w:t>
      </w:r>
    </w:p>
    <w:p>
      <w:pPr>
        <w:tabs>
          <w:tab w:val="left" w:pos="1980"/>
          <w:tab w:val="left" w:pos="2014"/>
          <w:tab w:val="left" w:pos="2885"/>
          <w:tab w:val="left" w:pos="2977"/>
        </w:tabs>
        <w:snapToGrid w:val="0"/>
        <w:spacing w:line="360" w:lineRule="auto"/>
        <w:ind w:left="288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（三）特定产品的关键组件、关键工序符合相关要求</w:t>
      </w:r>
    </w:p>
    <w:p>
      <w:pPr>
        <w:tabs>
          <w:tab w:val="left" w:pos="1980"/>
          <w:tab w:val="left" w:pos="2014"/>
          <w:tab w:val="left" w:pos="2885"/>
          <w:tab w:val="left" w:pos="2977"/>
        </w:tabs>
        <w:snapToGrid w:val="0"/>
        <w:spacing w:line="360" w:lineRule="auto"/>
        <w:ind w:left="288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对特定产品，在符合本通知第一条第（一）项和第（二）项条件的基础上，应当符合财政部会同有关行业主管部门确定的其关键组件、关键工序在中国境内生产、完成等要求。</w:t>
      </w:r>
    </w:p>
    <w:p>
      <w:pPr>
        <w:numPr>
          <w:ilvl w:val="3"/>
          <w:numId w:val="8"/>
        </w:numPr>
        <w:tabs>
          <w:tab w:val="left" w:pos="1980"/>
          <w:tab w:val="left" w:pos="2014"/>
          <w:tab w:val="left" w:pos="2885"/>
          <w:tab w:val="left" w:pos="2977"/>
        </w:tabs>
        <w:snapToGrid w:val="0"/>
        <w:spacing w:line="360" w:lineRule="auto"/>
        <w:ind w:firstLine="1085"/>
        <w:rPr>
          <w:rFonts w:hint="eastAsia" w:ascii="宋体" w:hAnsi="宋体" w:cs="宋体"/>
          <w:color w:val="000000" w:themeColor="text1"/>
          <w:sz w:val="24"/>
          <w14:textFill>
            <w14:solidFill>
              <w14:schemeClr w14:val="tx1"/>
            </w14:solidFill>
          </w14:textFill>
        </w:rPr>
      </w:pPr>
      <w:r>
        <w:rPr>
          <w:rFonts w:hint="eastAsia" w:ascii="宋体" w:hAnsi="宋体"/>
          <w:sz w:val="24"/>
        </w:rPr>
        <w:t>本国产品标准的适用范围</w:t>
      </w:r>
    </w:p>
    <w:p>
      <w:pPr>
        <w:tabs>
          <w:tab w:val="left" w:pos="1980"/>
          <w:tab w:val="left" w:pos="2014"/>
          <w:tab w:val="left" w:pos="2885"/>
          <w:tab w:val="left" w:pos="2977"/>
        </w:tabs>
        <w:snapToGrid w:val="0"/>
        <w:spacing w:line="360" w:lineRule="auto"/>
        <w:ind w:left="2885"/>
        <w:rPr>
          <w:rFonts w:hint="eastAsia" w:ascii="宋体" w:hAnsi="宋体"/>
          <w:sz w:val="24"/>
        </w:rPr>
      </w:pPr>
      <w:r>
        <w:rPr>
          <w:rFonts w:hint="eastAsia" w:ascii="宋体" w:hAnsi="宋体" w:cs="宋体"/>
          <w:color w:val="000000" w:themeColor="text1"/>
          <w:sz w:val="24"/>
          <w14:textFill>
            <w14:solidFill>
              <w14:schemeClr w14:val="tx1"/>
            </w14:solidFill>
          </w14:textFill>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w:t>
      </w:r>
      <w:r>
        <w:rPr>
          <w:rFonts w:hint="eastAsia" w:ascii="宋体" w:hAnsi="宋体"/>
          <w:sz w:val="24"/>
        </w:rPr>
        <w:t>草原料，无形资产。</w:t>
      </w:r>
    </w:p>
    <w:p>
      <w:pPr>
        <w:numPr>
          <w:ilvl w:val="3"/>
          <w:numId w:val="8"/>
        </w:numPr>
        <w:tabs>
          <w:tab w:val="left" w:pos="1980"/>
          <w:tab w:val="left" w:pos="2014"/>
          <w:tab w:val="left" w:pos="2885"/>
          <w:tab w:val="left" w:pos="2977"/>
        </w:tabs>
        <w:snapToGrid w:val="0"/>
        <w:spacing w:line="360" w:lineRule="auto"/>
        <w:ind w:firstLine="1085"/>
        <w:rPr>
          <w:rFonts w:hint="eastAsia" w:ascii="宋体" w:hAnsi="宋体" w:cs="宋体"/>
          <w:color w:val="000000" w:themeColor="text1"/>
          <w:sz w:val="24"/>
          <w14:textFill>
            <w14:solidFill>
              <w14:schemeClr w14:val="tx1"/>
            </w14:solidFill>
          </w14:textFill>
        </w:rPr>
      </w:pPr>
      <w:r>
        <w:rPr>
          <w:rFonts w:hint="eastAsia" w:ascii="宋体" w:hAnsi="宋体"/>
          <w:sz w:val="24"/>
        </w:rPr>
        <w:t>产品在中国境内生产的组件成本核算规则</w:t>
      </w:r>
    </w:p>
    <w:p>
      <w:pPr>
        <w:tabs>
          <w:tab w:val="left" w:pos="1980"/>
          <w:tab w:val="left" w:pos="2014"/>
          <w:tab w:val="left" w:pos="2885"/>
          <w:tab w:val="left" w:pos="2977"/>
        </w:tabs>
        <w:snapToGrid w:val="0"/>
        <w:spacing w:line="360" w:lineRule="auto"/>
        <w:ind w:left="288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产品在中国境内生产的组件成本，一般按照其二级组件的相关成本进行核算。按照产品的一级组件进行成本核算能够满足中国境内生产的组件成本判定需求的，可以按照一级组件的相关成本进行核算。</w:t>
      </w:r>
    </w:p>
    <w:p>
      <w:pPr>
        <w:tabs>
          <w:tab w:val="left" w:pos="1980"/>
          <w:tab w:val="left" w:pos="2014"/>
          <w:tab w:val="left" w:pos="2885"/>
          <w:tab w:val="left" w:pos="2977"/>
        </w:tabs>
        <w:snapToGrid w:val="0"/>
        <w:spacing w:line="360" w:lineRule="auto"/>
        <w:ind w:left="288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（一）产品的一级组件是指直接组成产品的组件。产品的二级组件是指直接组成产品一级组件的组件。一级组件不可分解的，视同二级组件。</w:t>
      </w:r>
    </w:p>
    <w:p>
      <w:pPr>
        <w:tabs>
          <w:tab w:val="left" w:pos="1980"/>
          <w:tab w:val="left" w:pos="2014"/>
          <w:tab w:val="left" w:pos="2885"/>
          <w:tab w:val="left" w:pos="2977"/>
        </w:tabs>
        <w:snapToGrid w:val="0"/>
        <w:spacing w:line="360" w:lineRule="auto"/>
        <w:ind w:left="288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（二）二级组件在中国境内生产的，其全部成本计入中国境内生产的组件成本；二级组件不在中国境内生产的，其成本不计入中国境内生产的组件成本。</w:t>
      </w:r>
    </w:p>
    <w:p>
      <w:pPr>
        <w:tabs>
          <w:tab w:val="left" w:pos="1980"/>
          <w:tab w:val="left" w:pos="2014"/>
          <w:tab w:val="left" w:pos="2885"/>
          <w:tab w:val="left" w:pos="2977"/>
        </w:tabs>
        <w:snapToGrid w:val="0"/>
        <w:spacing w:line="360" w:lineRule="auto"/>
        <w:ind w:left="288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（三）产品总成本和组件成本以相关会计核算数据、采购合同、进货记录等为基础进行计算。</w:t>
      </w:r>
    </w:p>
    <w:p>
      <w:pPr>
        <w:tabs>
          <w:tab w:val="left" w:pos="1980"/>
          <w:tab w:val="left" w:pos="2014"/>
          <w:tab w:val="left" w:pos="2885"/>
          <w:tab w:val="left" w:pos="2977"/>
        </w:tabs>
        <w:snapToGrid w:val="0"/>
        <w:spacing w:line="360" w:lineRule="auto"/>
        <w:ind w:left="288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（四）需要对成本核算规则予以进一步明确的其他有关事项，由财政部会同有关部门另行规定。</w:t>
      </w:r>
    </w:p>
    <w:p>
      <w:pPr>
        <w:numPr>
          <w:ilvl w:val="2"/>
          <w:numId w:val="9"/>
        </w:numPr>
        <w:tabs>
          <w:tab w:val="left" w:pos="2014"/>
        </w:tabs>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本项目如接受非本国货物、工程、服务参与投标，则具体要求见第五章《采购需求》。</w:t>
      </w:r>
    </w:p>
    <w:p>
      <w:pPr>
        <w:numPr>
          <w:ilvl w:val="1"/>
          <w:numId w:val="9"/>
        </w:numPr>
        <w:tabs>
          <w:tab w:val="left" w:pos="1080"/>
          <w:tab w:val="left" w:pos="2014"/>
        </w:tabs>
        <w:snapToGrid w:val="0"/>
        <w:spacing w:line="360" w:lineRule="auto"/>
        <w:ind w:left="1080"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中小企业、监狱企业及残疾人福利性单位</w:t>
      </w:r>
    </w:p>
    <w:p>
      <w:pPr>
        <w:numPr>
          <w:ilvl w:val="2"/>
          <w:numId w:val="9"/>
        </w:numPr>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中小企业定义：</w:t>
      </w:r>
    </w:p>
    <w:p>
      <w:pPr>
        <w:numPr>
          <w:ilvl w:val="3"/>
          <w:numId w:val="9"/>
        </w:numPr>
        <w:tabs>
          <w:tab w:val="left" w:pos="1980"/>
          <w:tab w:val="clear" w:pos="900"/>
        </w:tabs>
        <w:snapToGrid w:val="0"/>
        <w:spacing w:line="360" w:lineRule="auto"/>
        <w:ind w:firstLine="108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中小企业是指在中华人民共和国境内依法设立，依</w:t>
      </w:r>
    </w:p>
    <w:p>
      <w:pPr>
        <w:tabs>
          <w:tab w:val="left" w:pos="1980"/>
          <w:tab w:val="left" w:pos="2035"/>
          <w:tab w:val="left" w:pos="2885"/>
          <w:tab w:val="left" w:pos="2977"/>
        </w:tabs>
        <w:snapToGrid w:val="0"/>
        <w:spacing w:line="360" w:lineRule="auto"/>
        <w:ind w:left="288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号）、《关于印发中小企业划型标准规定的通知》（工信部联企业〔2011〕300号）、《国务院关于进一步促进中小企业发展的若干意见》（国发〔2009〕36号）。</w:t>
      </w:r>
    </w:p>
    <w:p>
      <w:pPr>
        <w:numPr>
          <w:ilvl w:val="3"/>
          <w:numId w:val="9"/>
        </w:numPr>
        <w:tabs>
          <w:tab w:val="left" w:pos="1980"/>
          <w:tab w:val="clear" w:pos="900"/>
        </w:tabs>
        <w:snapToGrid w:val="0"/>
        <w:spacing w:line="360" w:lineRule="auto"/>
        <w:ind w:firstLine="108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供应商提供的货物、工程或者服务符合下列情形的，</w:t>
      </w:r>
    </w:p>
    <w:p>
      <w:pPr>
        <w:tabs>
          <w:tab w:val="left" w:pos="1980"/>
        </w:tabs>
        <w:snapToGrid w:val="0"/>
        <w:spacing w:line="360" w:lineRule="auto"/>
        <w:ind w:left="2835" w:leftChars="135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享受中小企业扶持政策：</w:t>
      </w:r>
    </w:p>
    <w:p>
      <w:pPr>
        <w:tabs>
          <w:tab w:val="left" w:pos="1980"/>
        </w:tabs>
        <w:snapToGrid w:val="0"/>
        <w:spacing w:line="360" w:lineRule="auto"/>
        <w:ind w:left="2835" w:leftChars="135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（1）在货物采购项目中，货物由中小企业制造，即货物由中小企业生产且使用该中小企业商号或者注册商标；</w:t>
      </w:r>
    </w:p>
    <w:p>
      <w:pPr>
        <w:tabs>
          <w:tab w:val="left" w:pos="1980"/>
        </w:tabs>
        <w:snapToGrid w:val="0"/>
        <w:spacing w:line="360" w:lineRule="auto"/>
        <w:ind w:left="2835" w:leftChars="135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（2）在工程采购项目中，工程由中小企业承建，即工程施工单位为中小企业；</w:t>
      </w:r>
    </w:p>
    <w:p>
      <w:pPr>
        <w:tabs>
          <w:tab w:val="left" w:pos="1980"/>
        </w:tabs>
        <w:snapToGrid w:val="0"/>
        <w:spacing w:line="360" w:lineRule="auto"/>
        <w:ind w:left="2835" w:leftChars="135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（3）在服务采购项目中，服务由中小企业承接，即提供服务的人员为中小企业依照《中华人民共和国劳动合同法》订立劳动合同的从业人员。</w:t>
      </w:r>
    </w:p>
    <w:p>
      <w:pPr>
        <w:numPr>
          <w:ilvl w:val="3"/>
          <w:numId w:val="9"/>
        </w:numPr>
        <w:tabs>
          <w:tab w:val="left" w:pos="1980"/>
          <w:tab w:val="clear" w:pos="900"/>
        </w:tabs>
        <w:snapToGrid w:val="0"/>
        <w:spacing w:line="360" w:lineRule="auto"/>
        <w:ind w:firstLine="108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在货物采购项目中，供应商提供的货物既有中小企</w:t>
      </w:r>
    </w:p>
    <w:p>
      <w:pPr>
        <w:tabs>
          <w:tab w:val="left" w:pos="1980"/>
        </w:tabs>
        <w:snapToGrid w:val="0"/>
        <w:spacing w:line="360" w:lineRule="auto"/>
        <w:ind w:left="2835" w:leftChars="135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业制造货物，也有大型企业制造货物的，不享受中小企业扶持政策。</w:t>
      </w:r>
    </w:p>
    <w:p>
      <w:pPr>
        <w:numPr>
          <w:ilvl w:val="3"/>
          <w:numId w:val="9"/>
        </w:numPr>
        <w:tabs>
          <w:tab w:val="left" w:pos="1980"/>
          <w:tab w:val="clear" w:pos="900"/>
        </w:tabs>
        <w:snapToGrid w:val="0"/>
        <w:spacing w:line="360" w:lineRule="auto"/>
        <w:ind w:firstLine="108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以联合体形式参加政府采购活动，联合体各方均为</w:t>
      </w:r>
    </w:p>
    <w:p>
      <w:pPr>
        <w:tabs>
          <w:tab w:val="left" w:pos="1980"/>
        </w:tabs>
        <w:snapToGrid w:val="0"/>
        <w:spacing w:line="360" w:lineRule="auto"/>
        <w:ind w:left="2835" w:leftChars="135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中小企业的，联合体视同中小企业。其中，联合体各方均为小微企业的，联合体视同小微企业。</w:t>
      </w:r>
    </w:p>
    <w:p>
      <w:pPr>
        <w:numPr>
          <w:ilvl w:val="2"/>
          <w:numId w:val="9"/>
        </w:numPr>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numPr>
          <w:ilvl w:val="2"/>
          <w:numId w:val="9"/>
        </w:numPr>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pPr>
        <w:numPr>
          <w:ilvl w:val="3"/>
          <w:numId w:val="9"/>
        </w:numPr>
        <w:tabs>
          <w:tab w:val="left" w:pos="1980"/>
          <w:tab w:val="clear" w:pos="900"/>
        </w:tabs>
        <w:snapToGrid w:val="0"/>
        <w:spacing w:line="360" w:lineRule="auto"/>
        <w:ind w:left="283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安置的残疾人占本单位在职职工人数的比例不低于25%（含25%），并且安置的残疾人人数不少于10 人（含10 人）；</w:t>
      </w:r>
    </w:p>
    <w:p>
      <w:pPr>
        <w:numPr>
          <w:ilvl w:val="3"/>
          <w:numId w:val="9"/>
        </w:numPr>
        <w:tabs>
          <w:tab w:val="left" w:pos="1980"/>
          <w:tab w:val="clear" w:pos="900"/>
        </w:tabs>
        <w:snapToGrid w:val="0"/>
        <w:spacing w:line="360" w:lineRule="auto"/>
        <w:ind w:left="283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依法与安置的每位残疾人签订了一年以上（含一年）的劳动合同或服务协议；</w:t>
      </w:r>
    </w:p>
    <w:p>
      <w:pPr>
        <w:numPr>
          <w:ilvl w:val="3"/>
          <w:numId w:val="9"/>
        </w:numPr>
        <w:tabs>
          <w:tab w:val="left" w:pos="1980"/>
          <w:tab w:val="clear" w:pos="900"/>
        </w:tabs>
        <w:snapToGrid w:val="0"/>
        <w:spacing w:line="360" w:lineRule="auto"/>
        <w:ind w:left="283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为安置的每位残疾人按月足额缴纳了基本养老保险、基本医疗保险、失业保险、工伤保险和生育保险等社会保险费；</w:t>
      </w:r>
    </w:p>
    <w:p>
      <w:pPr>
        <w:numPr>
          <w:ilvl w:val="3"/>
          <w:numId w:val="9"/>
        </w:numPr>
        <w:tabs>
          <w:tab w:val="left" w:pos="1980"/>
          <w:tab w:val="clear" w:pos="900"/>
        </w:tabs>
        <w:snapToGrid w:val="0"/>
        <w:spacing w:line="360" w:lineRule="auto"/>
        <w:ind w:left="283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通过银行等金融机构向安置的每位残疾人，按月支付了不低于单位所在区县适用的经省级人民政府批准的月最低工资标准的工资；</w:t>
      </w:r>
    </w:p>
    <w:p>
      <w:pPr>
        <w:numPr>
          <w:ilvl w:val="3"/>
          <w:numId w:val="9"/>
        </w:numPr>
        <w:tabs>
          <w:tab w:val="left" w:pos="1980"/>
          <w:tab w:val="clear" w:pos="900"/>
        </w:tabs>
        <w:snapToGrid w:val="0"/>
        <w:spacing w:line="360" w:lineRule="auto"/>
        <w:ind w:left="283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提供本单位制造的货物、承担的工程或者服务（以下简称产品），或者提供其他残疾人福利性单位制造的货物（不包括使用非残疾人福利性单位注册商标的货物）；</w:t>
      </w:r>
    </w:p>
    <w:p>
      <w:pPr>
        <w:numPr>
          <w:ilvl w:val="3"/>
          <w:numId w:val="9"/>
        </w:numPr>
        <w:tabs>
          <w:tab w:val="left" w:pos="1980"/>
          <w:tab w:val="clear" w:pos="900"/>
        </w:tabs>
        <w:snapToGrid w:val="0"/>
        <w:spacing w:line="360" w:lineRule="auto"/>
        <w:ind w:left="283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服务协议的雇员人数。</w:t>
      </w:r>
    </w:p>
    <w:p>
      <w:pPr>
        <w:numPr>
          <w:ilvl w:val="2"/>
          <w:numId w:val="9"/>
        </w:numPr>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本项目是否专门面向中小企业预留采购份额见第一章《投标邀请》。</w:t>
      </w:r>
    </w:p>
    <w:p>
      <w:pPr>
        <w:numPr>
          <w:ilvl w:val="2"/>
          <w:numId w:val="9"/>
        </w:numPr>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采购标的对应的中小企业划分标准所属行业见《投标人须知资料表》。</w:t>
      </w:r>
    </w:p>
    <w:p>
      <w:pPr>
        <w:numPr>
          <w:ilvl w:val="2"/>
          <w:numId w:val="9"/>
        </w:numPr>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小微企业价格评审优惠的政策调整：见第四章《评标程序、评标方法 和评标标准》。</w:t>
      </w:r>
    </w:p>
    <w:p>
      <w:pPr>
        <w:numPr>
          <w:ilvl w:val="1"/>
          <w:numId w:val="9"/>
        </w:numPr>
        <w:tabs>
          <w:tab w:val="left" w:pos="1080"/>
          <w:tab w:val="left" w:pos="2014"/>
        </w:tabs>
        <w:snapToGrid w:val="0"/>
        <w:spacing w:line="360" w:lineRule="auto"/>
        <w:ind w:left="1080"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政府采购节能产品、环境标志产品</w:t>
      </w:r>
    </w:p>
    <w:p>
      <w:pPr>
        <w:numPr>
          <w:ilvl w:val="2"/>
          <w:numId w:val="9"/>
        </w:numPr>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pPr>
        <w:numPr>
          <w:ilvl w:val="2"/>
          <w:numId w:val="9"/>
        </w:numPr>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 </w:t>
      </w:r>
    </w:p>
    <w:p>
      <w:pPr>
        <w:numPr>
          <w:ilvl w:val="2"/>
          <w:numId w:val="9"/>
        </w:numPr>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如本项目采购产品属于实施政府强制采购品目清单范围的节能产品，则投标人所报产品必须获得国家确定的认证机构出具的、处于有效期之内的节能产品认证证书，</w:t>
      </w:r>
      <w:r>
        <w:rPr>
          <w:rFonts w:hint="eastAsia" w:ascii="宋体" w:hAnsi="宋体" w:cs="宋体"/>
          <w:color w:val="000000" w:themeColor="text1"/>
          <w:kern w:val="0"/>
          <w:sz w:val="24"/>
          <w14:textFill>
            <w14:solidFill>
              <w14:schemeClr w14:val="tx1"/>
            </w14:solidFill>
          </w14:textFill>
        </w:rPr>
        <w:t>否则</w:t>
      </w:r>
      <w:r>
        <w:rPr>
          <w:rFonts w:hint="eastAsia" w:ascii="宋体" w:hAnsi="宋体" w:cs="宋体"/>
          <w:b/>
          <w:color w:val="000000" w:themeColor="text1"/>
          <w:kern w:val="0"/>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2"/>
          <w:numId w:val="9"/>
        </w:numPr>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非政府强制采购的节能产品或环境标志产品，依据品目清单和认证证书实施政府优先采购。优先采购的具体规定见第四章《评标程序、评标方法和评标标准》（如涉及）。</w:t>
      </w:r>
    </w:p>
    <w:p>
      <w:pPr>
        <w:numPr>
          <w:ilvl w:val="1"/>
          <w:numId w:val="9"/>
        </w:numPr>
        <w:tabs>
          <w:tab w:val="left" w:pos="1080"/>
          <w:tab w:val="left" w:pos="2014"/>
        </w:tabs>
        <w:snapToGrid w:val="0"/>
        <w:spacing w:line="360" w:lineRule="auto"/>
        <w:ind w:left="1080"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正版软件</w:t>
      </w:r>
    </w:p>
    <w:p>
      <w:pPr>
        <w:numPr>
          <w:ilvl w:val="2"/>
          <w:numId w:val="9"/>
        </w:numPr>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各级政府部门在购置计算机办公设</w:t>
      </w:r>
      <w:bookmarkStart w:id="191" w:name="OLE_LINK24"/>
      <w:bookmarkStart w:id="192" w:name="OLE_LINK25"/>
      <w:r>
        <w:rPr>
          <w:rFonts w:hint="eastAsia" w:ascii="宋体" w:hAnsi="宋体" w:cs="宋体"/>
          <w:color w:val="000000" w:themeColor="text1"/>
          <w:sz w:val="24"/>
          <w14:textFill>
            <w14:solidFill>
              <w14:schemeClr w14:val="tx1"/>
            </w14:solidFill>
          </w14:textFill>
        </w:rPr>
        <w:t>备时，必须采购预装正版操作系统软件的计算机产品，相关规定依据《国家版权局、信息产业部、财政部、国务院机关事务管理局关于政府部门购置计算机办公设备必须采购已预装正版操作系统软件产品的通知》</w:t>
      </w:r>
      <w:bookmarkEnd w:id="191"/>
      <w:bookmarkEnd w:id="192"/>
      <w:r>
        <w:rPr>
          <w:rFonts w:hint="eastAsia" w:ascii="宋体" w:hAnsi="宋体" w:cs="宋体"/>
          <w:color w:val="000000" w:themeColor="text1"/>
          <w:sz w:val="24"/>
          <w14:textFill>
            <w14:solidFill>
              <w14:schemeClr w14:val="tx1"/>
            </w14:solidFill>
          </w14:textFill>
        </w:rPr>
        <w:t>（国权联〔2006〕1 号）、《国务院办公厅关于进一步做好政府机关使用正版软件工作的通知》（国办发〔2010〕47 号）、《财政部关于进一步做好政府机关使用正版软件工作的通知》（财预〔2010〕536 号）。</w:t>
      </w:r>
    </w:p>
    <w:p>
      <w:pPr>
        <w:numPr>
          <w:ilvl w:val="1"/>
          <w:numId w:val="9"/>
        </w:numPr>
        <w:tabs>
          <w:tab w:val="left" w:pos="1080"/>
          <w:tab w:val="left" w:pos="2014"/>
        </w:tabs>
        <w:snapToGrid w:val="0"/>
        <w:spacing w:line="360" w:lineRule="auto"/>
        <w:ind w:left="1080"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网络安全专用产品</w:t>
      </w:r>
    </w:p>
    <w:p>
      <w:pPr>
        <w:numPr>
          <w:ilvl w:val="2"/>
          <w:numId w:val="9"/>
        </w:numPr>
        <w:tabs>
          <w:tab w:val="left" w:pos="2014"/>
        </w:tabs>
        <w:snapToGrid w:val="0"/>
        <w:spacing w:line="360" w:lineRule="auto"/>
        <w:rPr>
          <w:rFonts w:hint="eastAsia" w:ascii="宋体" w:hAnsi="宋体" w:cs="宋体"/>
          <w:color w:val="000000" w:themeColor="text1"/>
          <w:sz w:val="24"/>
          <w14:textFill>
            <w14:solidFill>
              <w14:schemeClr w14:val="tx1"/>
            </w14:solidFill>
          </w14:textFill>
        </w:rPr>
      </w:pPr>
      <w:bookmarkStart w:id="193" w:name="OLE_LINK28"/>
      <w:bookmarkStart w:id="194" w:name="OLE_LINK29"/>
      <w:r>
        <w:rPr>
          <w:rFonts w:hint="eastAsia" w:ascii="宋体" w:hAnsi="宋体" w:cs="宋体"/>
          <w:color w:val="000000" w:themeColor="text1"/>
          <w:sz w:val="24"/>
          <w14:textFill>
            <w14:solidFill>
              <w14:schemeClr w14:val="tx1"/>
            </w14:solidFill>
          </w14:textFill>
        </w:rPr>
        <w:t>根据</w:t>
      </w:r>
      <w:bookmarkStart w:id="195" w:name="OLE_LINK26"/>
      <w:bookmarkStart w:id="196" w:name="OLE_LINK33"/>
      <w:bookmarkStart w:id="197" w:name="OLE_LINK32"/>
      <w:r>
        <w:rPr>
          <w:rFonts w:hint="eastAsia" w:ascii="宋体" w:hAnsi="宋体" w:cs="宋体"/>
          <w:color w:val="000000" w:themeColor="text1"/>
          <w:sz w:val="24"/>
          <w14:textFill>
            <w14:solidFill>
              <w14:schemeClr w14:val="tx1"/>
            </w14:solidFill>
          </w14:textFill>
        </w:rPr>
        <w:t>《关于调整网络安全专用产品安全管理有关事项的公告》</w:t>
      </w:r>
      <w:bookmarkEnd w:id="195"/>
      <w:r>
        <w:rPr>
          <w:rFonts w:hint="eastAsia" w:ascii="宋体" w:hAnsi="宋体" w:cs="宋体"/>
          <w:color w:val="000000" w:themeColor="text1"/>
          <w:sz w:val="24"/>
          <w14:textFill>
            <w14:solidFill>
              <w14:schemeClr w14:val="tx1"/>
            </w14:solidFill>
          </w14:textFill>
        </w:rPr>
        <w:t>（2023年第1号）</w:t>
      </w:r>
      <w:bookmarkEnd w:id="196"/>
      <w:bookmarkEnd w:id="197"/>
      <w:r>
        <w:rPr>
          <w:rFonts w:hint="eastAsia" w:ascii="宋体" w:hAnsi="宋体" w:cs="宋体"/>
          <w:color w:val="000000" w:themeColor="text1"/>
          <w:sz w:val="24"/>
          <w14:textFill>
            <w14:solidFill>
              <w14:schemeClr w14:val="tx1"/>
            </w14:solidFill>
          </w14:textFill>
        </w:rPr>
        <w:t>，所提供产品属于列入</w:t>
      </w:r>
      <w:bookmarkStart w:id="198" w:name="OLE_LINK27"/>
      <w:r>
        <w:rPr>
          <w:rFonts w:hint="eastAsia" w:ascii="宋体" w:hAnsi="宋体" w:cs="宋体"/>
          <w:color w:val="000000" w:themeColor="text1"/>
          <w:sz w:val="24"/>
          <w14:textFill>
            <w14:solidFill>
              <w14:schemeClr w14:val="tx1"/>
            </w14:solidFill>
          </w14:textFill>
        </w:rPr>
        <w:t>《网络关键设备和网络安全专用产品目录》</w:t>
      </w:r>
      <w:bookmarkEnd w:id="198"/>
      <w:r>
        <w:rPr>
          <w:rFonts w:hint="eastAsia" w:ascii="宋体" w:hAnsi="宋体" w:cs="宋体"/>
          <w:color w:val="000000" w:themeColor="text1"/>
          <w:sz w:val="24"/>
          <w14:textFill>
            <w14:solidFill>
              <w14:schemeClr w14:val="tx1"/>
            </w14:solidFill>
          </w14:textFill>
        </w:rPr>
        <w:t>的网络安全专用产品时，应当按照《信息安全技术网络安全专用产品安全技术要求》等相关国家标准的强制性要求，由具备资格 的机构安全认证合格或者安全检测符合要求。</w:t>
      </w:r>
      <w:bookmarkEnd w:id="193"/>
      <w:bookmarkEnd w:id="194"/>
    </w:p>
    <w:p>
      <w:pPr>
        <w:numPr>
          <w:ilvl w:val="1"/>
          <w:numId w:val="9"/>
        </w:numPr>
        <w:tabs>
          <w:tab w:val="left" w:pos="1080"/>
          <w:tab w:val="left" w:pos="2014"/>
        </w:tabs>
        <w:snapToGrid w:val="0"/>
        <w:spacing w:line="360" w:lineRule="auto"/>
        <w:ind w:left="1080"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推广使用低挥发性有机化合物（VOCs）</w:t>
      </w:r>
    </w:p>
    <w:p>
      <w:pPr>
        <w:numPr>
          <w:ilvl w:val="2"/>
          <w:numId w:val="9"/>
        </w:numPr>
        <w:tabs>
          <w:tab w:val="left" w:pos="2014"/>
        </w:tabs>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为全面推进本市挥发性有机物（VOCs）治理，贯彻落实挥发性有机物污染治理专项行动有关要求，相关规定依据《北京市财政局北京市生态环境局关于政府采购推广使用低挥发性有机化合物（VOCs）有关事项的通知》（京财采购〔2020〕2381号）。本项目中涉及涂料、胶黏剂、油墨、清洗剂等挥发性有机物产品的 ，属于强制性标准的，供应商应执行符合本市和国家的VOCs含量限制标准（具体标准见第五章《采购需求》），否则投标无效；属于推荐性标准的，优先采购，具体见第四章《评标程序、评标方法和评标标准》</w:t>
      </w:r>
    </w:p>
    <w:p>
      <w:pPr>
        <w:numPr>
          <w:ilvl w:val="1"/>
          <w:numId w:val="9"/>
        </w:numPr>
        <w:tabs>
          <w:tab w:val="left" w:pos="1080"/>
          <w:tab w:val="left" w:pos="2014"/>
        </w:tabs>
        <w:snapToGrid w:val="0"/>
        <w:spacing w:line="360" w:lineRule="auto"/>
        <w:ind w:left="1080"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采购需求标准</w:t>
      </w:r>
    </w:p>
    <w:p>
      <w:pPr>
        <w:numPr>
          <w:ilvl w:val="2"/>
          <w:numId w:val="9"/>
        </w:numPr>
        <w:tabs>
          <w:tab w:val="left" w:pos="2014"/>
        </w:tabs>
        <w:snapToGrid w:val="0"/>
        <w:spacing w:line="360" w:lineRule="auto"/>
        <w:rPr>
          <w:rFonts w:hint="eastAsia" w:ascii="宋体" w:hAnsi="宋体" w:cs="宋体"/>
          <w:color w:val="000000" w:themeColor="text1"/>
          <w:sz w:val="24"/>
          <w14:textFill>
            <w14:solidFill>
              <w14:schemeClr w14:val="tx1"/>
            </w14:solidFill>
          </w14:textFill>
        </w:rPr>
      </w:pPr>
      <w:bookmarkStart w:id="199" w:name="OLE_LINK61"/>
      <w:bookmarkStart w:id="200" w:name="OLE_LINK62"/>
      <w:r>
        <w:rPr>
          <w:rFonts w:ascii="宋体" w:hAnsi="宋体"/>
          <w:spacing w:val="3"/>
          <w:sz w:val="24"/>
        </w:rPr>
        <w:t>商品包装、快递包装政府采购需求标</w:t>
      </w:r>
      <w:r>
        <w:rPr>
          <w:rFonts w:ascii="宋体" w:hAnsi="宋体"/>
          <w:spacing w:val="2"/>
          <w:sz w:val="24"/>
        </w:rPr>
        <w:t>准（试行）</w:t>
      </w:r>
    </w:p>
    <w:p>
      <w:pPr>
        <w:tabs>
          <w:tab w:val="left" w:pos="900"/>
          <w:tab w:val="left" w:pos="1980"/>
          <w:tab w:val="left" w:pos="2014"/>
        </w:tabs>
        <w:snapToGrid w:val="0"/>
        <w:spacing w:line="360" w:lineRule="auto"/>
        <w:ind w:left="1980"/>
        <w:rPr>
          <w:rFonts w:hint="eastAsia" w:ascii="宋体" w:hAnsi="宋体" w:cs="宋体"/>
          <w:color w:val="000000" w:themeColor="text1"/>
          <w:sz w:val="24"/>
          <w14:textFill>
            <w14:solidFill>
              <w14:schemeClr w14:val="tx1"/>
            </w14:solidFill>
          </w14:textFill>
        </w:rPr>
      </w:pPr>
      <w:r>
        <w:rPr>
          <w:rFonts w:ascii="宋体" w:hAnsi="宋体"/>
          <w:spacing w:val="-4"/>
          <w:sz w:val="24"/>
        </w:rPr>
        <w:t>为助力打好污染防治攻坚战，推广使用绿色包装，根据</w:t>
      </w:r>
      <w:r>
        <w:rPr>
          <w:rFonts w:ascii="宋体" w:hAnsi="宋体"/>
          <w:spacing w:val="-5"/>
          <w:sz w:val="24"/>
        </w:rPr>
        <w:t>财政部关于印</w:t>
      </w:r>
      <w:r>
        <w:rPr>
          <w:rFonts w:ascii="宋体" w:hAnsi="宋体"/>
          <w:spacing w:val="-12"/>
          <w:sz w:val="24"/>
        </w:rPr>
        <w:t>发《商品包装政府采购需求标准（试行）》、《快递包装政府采购需求</w:t>
      </w:r>
      <w:r>
        <w:rPr>
          <w:rFonts w:ascii="宋体" w:hAnsi="宋体"/>
          <w:spacing w:val="-1"/>
          <w:sz w:val="24"/>
        </w:rPr>
        <w:t>标准（试行）》的通知（财办库〔</w:t>
      </w:r>
      <w:r>
        <w:rPr>
          <w:rFonts w:ascii="宋体" w:hAnsi="宋体" w:cs="Arial"/>
          <w:spacing w:val="-1"/>
          <w:sz w:val="24"/>
        </w:rPr>
        <w:t>2020</w:t>
      </w:r>
      <w:r>
        <w:rPr>
          <w:rFonts w:ascii="宋体" w:hAnsi="宋体"/>
          <w:spacing w:val="-1"/>
          <w:sz w:val="24"/>
        </w:rPr>
        <w:t>〕</w:t>
      </w:r>
      <w:r>
        <w:rPr>
          <w:rFonts w:ascii="宋体" w:hAnsi="宋体" w:cs="Arial"/>
          <w:spacing w:val="-1"/>
          <w:sz w:val="24"/>
        </w:rPr>
        <w:t xml:space="preserve">123 </w:t>
      </w:r>
      <w:r>
        <w:rPr>
          <w:rFonts w:ascii="宋体" w:hAnsi="宋体"/>
          <w:spacing w:val="-1"/>
          <w:sz w:val="24"/>
        </w:rPr>
        <w:t>号</w:t>
      </w:r>
      <w:r>
        <w:rPr>
          <w:rFonts w:ascii="宋体" w:hAnsi="宋体"/>
          <w:spacing w:val="-55"/>
          <w:w w:val="97"/>
          <w:sz w:val="24"/>
        </w:rPr>
        <w:t>），</w:t>
      </w:r>
      <w:r>
        <w:rPr>
          <w:rFonts w:ascii="宋体" w:hAnsi="宋体"/>
          <w:spacing w:val="-1"/>
          <w:sz w:val="24"/>
        </w:rPr>
        <w:t>本项目如涉及商</w:t>
      </w:r>
      <w:r>
        <w:rPr>
          <w:rFonts w:ascii="宋体" w:hAnsi="宋体"/>
          <w:spacing w:val="-4"/>
          <w:sz w:val="24"/>
        </w:rPr>
        <w:t>品包装和快递包装的，则其具体要求见第五章《采购需求》。</w:t>
      </w:r>
    </w:p>
    <w:bookmarkEnd w:id="199"/>
    <w:bookmarkEnd w:id="200"/>
    <w:p>
      <w:pPr>
        <w:numPr>
          <w:ilvl w:val="2"/>
          <w:numId w:val="9"/>
        </w:numPr>
        <w:tabs>
          <w:tab w:val="left" w:pos="2014"/>
        </w:tabs>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4"/>
          <w:sz w:val="24"/>
          <w14:textFill>
            <w14:solidFill>
              <w14:schemeClr w14:val="tx1"/>
            </w14:solidFill>
          </w14:textFill>
        </w:rPr>
        <w:t>其他政府采购需求标准</w:t>
      </w:r>
    </w:p>
    <w:p>
      <w:pPr>
        <w:tabs>
          <w:tab w:val="left" w:pos="2014"/>
        </w:tabs>
        <w:snapToGrid w:val="0"/>
        <w:spacing w:line="360" w:lineRule="auto"/>
        <w:ind w:left="19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为贯彻落实《深化政府采购制度改革方案》有关要求，推动政府采购 需求标准建设，财政部门会同有关部门制定发布的其他政府采购需求 标准，本项目如涉及，则具体要求见第五章《采购需求》。</w:t>
      </w:r>
    </w:p>
    <w:p>
      <w:pPr>
        <w:numPr>
          <w:ilvl w:val="0"/>
          <w:numId w:val="9"/>
        </w:numPr>
        <w:tabs>
          <w:tab w:val="left" w:pos="360"/>
        </w:tabs>
        <w:snapToGrid w:val="0"/>
        <w:spacing w:line="360" w:lineRule="auto"/>
        <w:ind w:left="357" w:hanging="357"/>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投标费用</w:t>
      </w:r>
    </w:p>
    <w:p>
      <w:pPr>
        <w:numPr>
          <w:ilvl w:val="1"/>
          <w:numId w:val="9"/>
        </w:numPr>
        <w:tabs>
          <w:tab w:val="left" w:pos="1080"/>
          <w:tab w:val="left" w:pos="2014"/>
        </w:tabs>
        <w:snapToGrid w:val="0"/>
        <w:spacing w:line="360" w:lineRule="auto"/>
        <w:ind w:left="1080"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投标人应自行承担所有与准备和参加投标有关的费用，无论投标的结果如何，采购人或采购代理机构在任何情况下均无承担这些费用的义务和责任。</w:t>
      </w:r>
    </w:p>
    <w:p>
      <w:pPr>
        <w:tabs>
          <w:tab w:val="left" w:pos="1080"/>
        </w:tabs>
        <w:snapToGrid w:val="0"/>
        <w:spacing w:line="360" w:lineRule="auto"/>
        <w:ind w:left="1080"/>
        <w:rPr>
          <w:rFonts w:hint="eastAsia" w:ascii="宋体" w:hAnsi="宋体" w:cs="宋体"/>
          <w:color w:val="000000" w:themeColor="text1"/>
          <w:sz w:val="28"/>
          <w14:textFill>
            <w14:solidFill>
              <w14:schemeClr w14:val="tx1"/>
            </w14:solidFill>
          </w14:textFill>
        </w:rPr>
      </w:pPr>
      <w:bookmarkStart w:id="201" w:name="_1.8_计量单位"/>
      <w:bookmarkEnd w:id="201"/>
    </w:p>
    <w:p>
      <w:pPr>
        <w:pStyle w:val="4"/>
        <w:rPr>
          <w:rStyle w:val="463"/>
          <w:rFonts w:hint="default" w:ascii="宋体" w:hAnsi="宋体"/>
          <w:b/>
        </w:rPr>
      </w:pPr>
      <w:r>
        <w:rPr>
          <w:rStyle w:val="463"/>
          <w:rFonts w:hint="default" w:ascii="宋体" w:hAnsi="宋体"/>
          <w:b/>
        </w:rPr>
        <w:t>二   招标文件</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pPr>
        <w:numPr>
          <w:ilvl w:val="0"/>
          <w:numId w:val="9"/>
        </w:numPr>
        <w:tabs>
          <w:tab w:val="left" w:pos="360"/>
        </w:tabs>
        <w:snapToGrid w:val="0"/>
        <w:spacing w:line="360" w:lineRule="auto"/>
        <w:ind w:left="357" w:hanging="357"/>
        <w:rPr>
          <w:rFonts w:hint="eastAsia" w:ascii="宋体" w:hAnsi="宋体" w:cs="宋体"/>
          <w:color w:val="000000" w:themeColor="text1"/>
          <w:sz w:val="24"/>
          <w14:textFill>
            <w14:solidFill>
              <w14:schemeClr w14:val="tx1"/>
            </w14:solidFill>
          </w14:textFill>
        </w:rPr>
      </w:pPr>
      <w:bookmarkStart w:id="202" w:name="_Toc520356147"/>
      <w:bookmarkStart w:id="203" w:name="_Toc264969213"/>
      <w:bookmarkStart w:id="204" w:name="_Toc226309767"/>
      <w:bookmarkStart w:id="205" w:name="_Toc151193621"/>
      <w:bookmarkStart w:id="206" w:name="_Toc151193693"/>
      <w:bookmarkStart w:id="207" w:name="_Toc305158791"/>
      <w:bookmarkStart w:id="208" w:name="_Toc150774728"/>
      <w:bookmarkStart w:id="209" w:name="_Toc149720816"/>
      <w:bookmarkStart w:id="210" w:name="_Toc151190150"/>
      <w:bookmarkStart w:id="211" w:name="_Toc226337219"/>
      <w:bookmarkStart w:id="212" w:name="_Toc151193911"/>
      <w:bookmarkStart w:id="213" w:name="_Toc226965796"/>
      <w:bookmarkStart w:id="214" w:name="_Toc226965713"/>
      <w:bookmarkStart w:id="215" w:name="_Toc265228361"/>
      <w:bookmarkStart w:id="216" w:name="_Toc127151523"/>
      <w:bookmarkStart w:id="217" w:name="_Toc164608792"/>
      <w:bookmarkStart w:id="218" w:name="_Toc164229218"/>
      <w:bookmarkStart w:id="219" w:name="_Toc127161437"/>
      <w:bookmarkStart w:id="220" w:name="_Toc305158865"/>
      <w:bookmarkStart w:id="221" w:name="_Toc151193765"/>
      <w:bookmarkStart w:id="222" w:name="_Toc127151724"/>
      <w:bookmarkStart w:id="223" w:name="_Toc142311025"/>
      <w:bookmarkStart w:id="224" w:name="_Toc164351617"/>
      <w:bookmarkStart w:id="225" w:name="_Toc150480761"/>
      <w:bookmarkStart w:id="226" w:name="_Toc150774623"/>
      <w:bookmarkStart w:id="227" w:name="_Toc151193837"/>
      <w:bookmarkStart w:id="228" w:name="_Toc150509274"/>
      <w:bookmarkStart w:id="229" w:name="_Toc164608637"/>
      <w:bookmarkStart w:id="230" w:name="_Toc195842888"/>
      <w:bookmarkStart w:id="231" w:name="_Toc164229364"/>
      <w:r>
        <w:rPr>
          <w:rFonts w:hint="eastAsia" w:ascii="宋体" w:hAnsi="宋体" w:cs="宋体"/>
          <w:color w:val="000000" w:themeColor="text1"/>
          <w:sz w:val="24"/>
          <w14:textFill>
            <w14:solidFill>
              <w14:schemeClr w14:val="tx1"/>
            </w14:solidFill>
          </w14:textFill>
        </w:rPr>
        <w:t>招标文件构</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rPr>
          <w:rFonts w:hint="eastAsia" w:ascii="宋体" w:hAnsi="宋体" w:cs="宋体"/>
          <w:color w:val="000000" w:themeColor="text1"/>
          <w:sz w:val="24"/>
          <w14:textFill>
            <w14:solidFill>
              <w14:schemeClr w14:val="tx1"/>
            </w14:solidFill>
          </w14:textFill>
        </w:rPr>
        <w:t>成</w:t>
      </w:r>
    </w:p>
    <w:p>
      <w:pPr>
        <w:numPr>
          <w:ilvl w:val="1"/>
          <w:numId w:val="9"/>
        </w:numPr>
        <w:tabs>
          <w:tab w:val="left" w:pos="1080"/>
          <w:tab w:val="left" w:pos="2014"/>
        </w:tabs>
        <w:snapToGrid w:val="0"/>
        <w:spacing w:line="360" w:lineRule="auto"/>
        <w:ind w:left="1080"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招标文件包括以下部分：</w:t>
      </w:r>
    </w:p>
    <w:p>
      <w:pPr>
        <w:numPr>
          <w:ilvl w:val="0"/>
          <w:numId w:val="11"/>
        </w:numPr>
        <w:tabs>
          <w:tab w:val="left" w:pos="1980"/>
          <w:tab w:val="left" w:pos="2520"/>
        </w:tabs>
        <w:snapToGrid w:val="0"/>
        <w:spacing w:line="360" w:lineRule="auto"/>
        <w:ind w:left="1440" w:firstLine="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投标邀请</w:t>
      </w:r>
    </w:p>
    <w:p>
      <w:pPr>
        <w:numPr>
          <w:ilvl w:val="0"/>
          <w:numId w:val="11"/>
        </w:numPr>
        <w:tabs>
          <w:tab w:val="left" w:pos="1980"/>
          <w:tab w:val="left" w:pos="2520"/>
        </w:tabs>
        <w:snapToGrid w:val="0"/>
        <w:spacing w:line="360" w:lineRule="auto"/>
        <w:ind w:left="1440" w:firstLine="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投标人须知</w:t>
      </w:r>
    </w:p>
    <w:p>
      <w:pPr>
        <w:numPr>
          <w:ilvl w:val="0"/>
          <w:numId w:val="11"/>
        </w:numPr>
        <w:tabs>
          <w:tab w:val="left" w:pos="1980"/>
          <w:tab w:val="left" w:pos="2520"/>
        </w:tabs>
        <w:snapToGrid w:val="0"/>
        <w:spacing w:line="360" w:lineRule="auto"/>
        <w:ind w:left="1440" w:firstLine="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资格审查</w:t>
      </w:r>
    </w:p>
    <w:p>
      <w:pPr>
        <w:numPr>
          <w:ilvl w:val="0"/>
          <w:numId w:val="11"/>
        </w:numPr>
        <w:tabs>
          <w:tab w:val="left" w:pos="1980"/>
          <w:tab w:val="left" w:pos="2520"/>
        </w:tabs>
        <w:snapToGrid w:val="0"/>
        <w:spacing w:line="360" w:lineRule="auto"/>
        <w:ind w:left="1440" w:firstLine="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评标程序、评标方法和评标标准</w:t>
      </w:r>
    </w:p>
    <w:p>
      <w:pPr>
        <w:numPr>
          <w:ilvl w:val="0"/>
          <w:numId w:val="11"/>
        </w:numPr>
        <w:tabs>
          <w:tab w:val="left" w:pos="1980"/>
          <w:tab w:val="left" w:pos="2520"/>
        </w:tabs>
        <w:snapToGrid w:val="0"/>
        <w:spacing w:line="360" w:lineRule="auto"/>
        <w:ind w:left="1440" w:firstLine="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采购需求</w:t>
      </w:r>
    </w:p>
    <w:p>
      <w:pPr>
        <w:numPr>
          <w:ilvl w:val="0"/>
          <w:numId w:val="11"/>
        </w:numPr>
        <w:tabs>
          <w:tab w:val="left" w:pos="1980"/>
          <w:tab w:val="left" w:pos="2520"/>
        </w:tabs>
        <w:snapToGrid w:val="0"/>
        <w:spacing w:line="360" w:lineRule="auto"/>
        <w:ind w:left="1440" w:firstLine="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拟签订的合同文本</w:t>
      </w:r>
    </w:p>
    <w:p>
      <w:pPr>
        <w:numPr>
          <w:ilvl w:val="0"/>
          <w:numId w:val="11"/>
        </w:numPr>
        <w:tabs>
          <w:tab w:val="left" w:pos="1980"/>
          <w:tab w:val="left" w:pos="2520"/>
        </w:tabs>
        <w:snapToGrid w:val="0"/>
        <w:spacing w:line="360" w:lineRule="auto"/>
        <w:ind w:left="1440" w:firstLine="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投标文件格式</w:t>
      </w:r>
    </w:p>
    <w:p>
      <w:pPr>
        <w:numPr>
          <w:ilvl w:val="1"/>
          <w:numId w:val="9"/>
        </w:numPr>
        <w:tabs>
          <w:tab w:val="left" w:pos="1080"/>
          <w:tab w:val="left" w:pos="2014"/>
        </w:tabs>
        <w:snapToGrid w:val="0"/>
        <w:spacing w:line="360" w:lineRule="auto"/>
        <w:ind w:left="1080"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投标人应认真阅读招标文件的全部内容。投标人应按照招标文件要求提交投标文件并保证所提供的全部资料的真实性，并对招标文件做出实质性响应，否则</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0"/>
          <w:numId w:val="9"/>
        </w:numPr>
        <w:tabs>
          <w:tab w:val="left" w:pos="1080"/>
          <w:tab w:val="left" w:pos="2014"/>
        </w:tabs>
        <w:snapToGrid w:val="0"/>
        <w:spacing w:line="360" w:lineRule="auto"/>
        <w:ind w:left="357" w:hanging="357"/>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对招标文件的澄清或修改</w:t>
      </w:r>
    </w:p>
    <w:p>
      <w:pPr>
        <w:numPr>
          <w:ilvl w:val="1"/>
          <w:numId w:val="9"/>
        </w:numPr>
        <w:tabs>
          <w:tab w:val="left" w:pos="1080"/>
          <w:tab w:val="left" w:pos="1561"/>
          <w:tab w:val="left" w:pos="2014"/>
        </w:tabs>
        <w:snapToGrid w:val="0"/>
        <w:spacing w:line="360" w:lineRule="auto"/>
        <w:ind w:left="1080"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采购人或采购代理机构对已发出的招标文件进行必要澄清或者修改的，将在原公告发布媒体上发布更正公告，并以书面形式通知所有获取招标文件的潜在投标人。</w:t>
      </w:r>
    </w:p>
    <w:p>
      <w:pPr>
        <w:numPr>
          <w:ilvl w:val="1"/>
          <w:numId w:val="9"/>
        </w:numPr>
        <w:tabs>
          <w:tab w:val="left" w:pos="1080"/>
          <w:tab w:val="left" w:pos="1561"/>
          <w:tab w:val="left" w:pos="2014"/>
        </w:tabs>
        <w:snapToGrid w:val="0"/>
        <w:spacing w:line="360" w:lineRule="auto"/>
        <w:ind w:left="1080"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上述书面通知，按照获取招标文件的潜在投标人提供的联系方式发出，因提供的信息有误导致通知延迟或无法通知的，采购人或采购代理机构不承担责任。</w:t>
      </w:r>
    </w:p>
    <w:p>
      <w:pPr>
        <w:numPr>
          <w:ilvl w:val="1"/>
          <w:numId w:val="9"/>
        </w:numPr>
        <w:tabs>
          <w:tab w:val="left" w:pos="1080"/>
          <w:tab w:val="left" w:pos="1561"/>
          <w:tab w:val="left" w:pos="2014"/>
        </w:tabs>
        <w:snapToGrid w:val="0"/>
        <w:spacing w:line="360" w:lineRule="auto"/>
        <w:ind w:left="1080"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澄清或者修改的内容为招标文件的组成部分，并对所有获取招标文件的潜在投标人具有约束力。澄清或者修改的内容可能影响投标文件编制的，将在投标截止时间至少15日前，以书面形式通知所有获取招标文件的潜在投标人；不足15日的，将顺延提交投标文件的截止时间和开标时间。</w:t>
      </w:r>
    </w:p>
    <w:p>
      <w:pPr>
        <w:tabs>
          <w:tab w:val="left" w:pos="1080"/>
          <w:tab w:val="left" w:pos="1561"/>
        </w:tabs>
        <w:snapToGrid w:val="0"/>
        <w:spacing w:line="360" w:lineRule="auto"/>
        <w:ind w:left="1080"/>
        <w:rPr>
          <w:rFonts w:hint="eastAsia" w:ascii="宋体" w:hAnsi="宋体" w:cs="宋体"/>
          <w:color w:val="000000" w:themeColor="text1"/>
          <w:sz w:val="28"/>
          <w14:textFill>
            <w14:solidFill>
              <w14:schemeClr w14:val="tx1"/>
            </w14:solidFill>
          </w14:textFill>
        </w:rPr>
      </w:pPr>
      <w:bookmarkStart w:id="232" w:name="_Toc516367020"/>
      <w:bookmarkStart w:id="233" w:name="_Toc305158868"/>
      <w:bookmarkStart w:id="234" w:name="_Toc520356150"/>
      <w:bookmarkStart w:id="235" w:name="_Toc305158794"/>
      <w:bookmarkStart w:id="236" w:name="_Toc142311028"/>
      <w:bookmarkStart w:id="237" w:name="_Toc226337222"/>
      <w:bookmarkStart w:id="238" w:name="_Toc151193914"/>
      <w:bookmarkStart w:id="239" w:name="_Toc195842891"/>
      <w:bookmarkStart w:id="240" w:name="_Toc150509277"/>
      <w:bookmarkStart w:id="241" w:name="_Toc150774731"/>
      <w:bookmarkStart w:id="242" w:name="_Toc226965716"/>
      <w:bookmarkStart w:id="243" w:name="_Toc226965799"/>
      <w:bookmarkStart w:id="244" w:name="_Toc264969216"/>
      <w:bookmarkStart w:id="245" w:name="_Toc151193768"/>
      <w:bookmarkStart w:id="246" w:name="_Toc150480764"/>
      <w:bookmarkStart w:id="247" w:name="_Toc151193696"/>
      <w:bookmarkStart w:id="248" w:name="_Toc127151526"/>
      <w:bookmarkStart w:id="249" w:name="_Toc150774626"/>
      <w:bookmarkStart w:id="250" w:name="_Toc151190153"/>
      <w:bookmarkStart w:id="251" w:name="_Toc151193840"/>
      <w:bookmarkStart w:id="252" w:name="_Toc151193624"/>
      <w:bookmarkStart w:id="253" w:name="_Toc226309770"/>
      <w:bookmarkStart w:id="254" w:name="_Toc265228364"/>
    </w:p>
    <w:p>
      <w:pPr>
        <w:pStyle w:val="4"/>
        <w:rPr>
          <w:rStyle w:val="463"/>
          <w:rFonts w:hint="default" w:ascii="宋体" w:hAnsi="宋体"/>
          <w:b/>
        </w:rPr>
      </w:pPr>
      <w:r>
        <w:rPr>
          <w:rStyle w:val="463"/>
          <w:rFonts w:hint="default" w:ascii="宋体" w:hAnsi="宋体"/>
          <w:b/>
        </w:rPr>
        <w:t>三   投标文件</w:t>
      </w:r>
      <w:bookmarkEnd w:id="232"/>
      <w:r>
        <w:rPr>
          <w:rStyle w:val="463"/>
          <w:rFonts w:hint="default" w:ascii="宋体" w:hAnsi="宋体"/>
          <w:b/>
        </w:rPr>
        <w:t>的编制</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pPr>
        <w:numPr>
          <w:ilvl w:val="0"/>
          <w:numId w:val="9"/>
        </w:numPr>
        <w:tabs>
          <w:tab w:val="left" w:pos="360"/>
        </w:tabs>
        <w:snapToGrid w:val="0"/>
        <w:spacing w:line="360" w:lineRule="auto"/>
        <w:ind w:left="357" w:hanging="357"/>
        <w:rPr>
          <w:rFonts w:hint="eastAsia" w:ascii="宋体" w:hAnsi="宋体" w:cs="宋体"/>
          <w:color w:val="000000" w:themeColor="text1"/>
          <w:sz w:val="24"/>
          <w14:textFill>
            <w14:solidFill>
              <w14:schemeClr w14:val="tx1"/>
            </w14:solidFill>
          </w14:textFill>
        </w:rPr>
      </w:pPr>
      <w:bookmarkStart w:id="255" w:name="_Toc150509278"/>
      <w:bookmarkStart w:id="256" w:name="_Toc151193769"/>
      <w:bookmarkStart w:id="257" w:name="_Toc226309771"/>
      <w:bookmarkStart w:id="258" w:name="_Toc150480765"/>
      <w:bookmarkStart w:id="259" w:name="_Toc127161441"/>
      <w:bookmarkStart w:id="260" w:name="_Toc305158795"/>
      <w:bookmarkStart w:id="261" w:name="_Toc164229368"/>
      <w:bookmarkStart w:id="262" w:name="_Toc516367021"/>
      <w:bookmarkStart w:id="263" w:name="_Toc127151527"/>
      <w:bookmarkStart w:id="264" w:name="_Toc195842892"/>
      <w:bookmarkStart w:id="265" w:name="_Toc127151728"/>
      <w:bookmarkStart w:id="266" w:name="_Toc226965800"/>
      <w:bookmarkStart w:id="267" w:name="_Toc151193915"/>
      <w:bookmarkStart w:id="268" w:name="_Toc164608796"/>
      <w:bookmarkStart w:id="269" w:name="_Toc151190154"/>
      <w:bookmarkStart w:id="270" w:name="_Toc150774627"/>
      <w:bookmarkStart w:id="271" w:name="_Toc164229222"/>
      <w:bookmarkStart w:id="272" w:name="_Toc164351621"/>
      <w:bookmarkStart w:id="273" w:name="_Toc151193697"/>
      <w:bookmarkStart w:id="274" w:name="_Toc265228365"/>
      <w:bookmarkStart w:id="275" w:name="_Toc520356151"/>
      <w:bookmarkStart w:id="276" w:name="_Toc151193841"/>
      <w:bookmarkStart w:id="277" w:name="_Toc305158869"/>
      <w:bookmarkStart w:id="278" w:name="_Toc226337223"/>
      <w:bookmarkStart w:id="279" w:name="_Toc226965717"/>
      <w:bookmarkStart w:id="280" w:name="_Toc264969217"/>
      <w:bookmarkStart w:id="281" w:name="_Toc151193625"/>
      <w:bookmarkStart w:id="282" w:name="_Toc150774732"/>
      <w:bookmarkStart w:id="283" w:name="_Toc142311029"/>
      <w:bookmarkStart w:id="284" w:name="_Toc164608641"/>
      <w:bookmarkStart w:id="285" w:name="_Toc149720820"/>
      <w:r>
        <w:rPr>
          <w:rFonts w:hint="eastAsia" w:ascii="宋体" w:hAnsi="宋体" w:cs="宋体"/>
          <w:color w:val="000000" w:themeColor="text1"/>
          <w:sz w:val="24"/>
          <w14:textFill>
            <w14:solidFill>
              <w14:schemeClr w14:val="tx1"/>
            </w14:solidFill>
          </w14:textFill>
        </w:rPr>
        <w:t>投标范围、投标文件中计量单位的使用</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rPr>
          <w:rFonts w:hint="eastAsia" w:ascii="宋体" w:hAnsi="宋体" w:cs="宋体"/>
          <w:color w:val="000000" w:themeColor="text1"/>
          <w:sz w:val="24"/>
          <w14:textFill>
            <w14:solidFill>
              <w14:schemeClr w14:val="tx1"/>
            </w14:solidFill>
          </w14:textFill>
        </w:rPr>
        <w:t>及投标语言</w:t>
      </w:r>
    </w:p>
    <w:p>
      <w:pPr>
        <w:numPr>
          <w:ilvl w:val="1"/>
          <w:numId w:val="9"/>
        </w:numPr>
        <w:tabs>
          <w:tab w:val="left" w:pos="1080"/>
          <w:tab w:val="left" w:pos="2014"/>
        </w:tabs>
        <w:snapToGrid w:val="0"/>
        <w:spacing w:line="360" w:lineRule="auto"/>
        <w:ind w:left="1080"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如划分采购包，投标人可以对本项目的其中一个采购包进行投标，也可同时对多个采购包进行投标。投标人应当对所投采购包对应第五章《采购需求》所列的全部内容进行投标，不得将一个采购包中的内容拆开投标，否则其对该采购包的投标将被认定为</w:t>
      </w:r>
      <w:r>
        <w:rPr>
          <w:rFonts w:hint="eastAsia" w:ascii="宋体" w:hAnsi="宋体" w:cs="宋体"/>
          <w:b/>
          <w:color w:val="000000" w:themeColor="text1"/>
          <w:sz w:val="24"/>
          <w14:textFill>
            <w14:solidFill>
              <w14:schemeClr w14:val="tx1"/>
            </w14:solidFill>
          </w14:textFill>
        </w:rPr>
        <w:t>无效投标</w:t>
      </w:r>
      <w:r>
        <w:rPr>
          <w:rFonts w:hint="eastAsia" w:ascii="宋体" w:hAnsi="宋体" w:cs="宋体"/>
          <w:color w:val="000000" w:themeColor="text1"/>
          <w:sz w:val="24"/>
          <w14:textFill>
            <w14:solidFill>
              <w14:schemeClr w14:val="tx1"/>
            </w14:solidFill>
          </w14:textFill>
        </w:rPr>
        <w:t>。</w:t>
      </w:r>
    </w:p>
    <w:p>
      <w:pPr>
        <w:numPr>
          <w:ilvl w:val="1"/>
          <w:numId w:val="9"/>
        </w:numPr>
        <w:tabs>
          <w:tab w:val="left" w:pos="1080"/>
          <w:tab w:val="left" w:pos="2014"/>
        </w:tabs>
        <w:snapToGrid w:val="0"/>
        <w:spacing w:line="360" w:lineRule="auto"/>
        <w:ind w:left="1080"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除招标文件有特殊要求外，本项目投标所使用的计量单位，应采用中华人民共和国法定计量单位。</w:t>
      </w:r>
    </w:p>
    <w:p>
      <w:pPr>
        <w:numPr>
          <w:ilvl w:val="1"/>
          <w:numId w:val="9"/>
        </w:numPr>
        <w:tabs>
          <w:tab w:val="left" w:pos="1080"/>
          <w:tab w:val="left" w:pos="2014"/>
        </w:tabs>
        <w:snapToGrid w:val="0"/>
        <w:spacing w:line="360" w:lineRule="auto"/>
        <w:ind w:left="1080"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pPr>
        <w:numPr>
          <w:ilvl w:val="0"/>
          <w:numId w:val="9"/>
        </w:numPr>
        <w:tabs>
          <w:tab w:val="left" w:pos="360"/>
        </w:tabs>
        <w:snapToGrid w:val="0"/>
        <w:spacing w:line="360" w:lineRule="auto"/>
        <w:ind w:left="357" w:hanging="357"/>
        <w:rPr>
          <w:rFonts w:hint="eastAsia" w:ascii="宋体" w:hAnsi="宋体" w:cs="宋体"/>
          <w:color w:val="000000" w:themeColor="text1"/>
          <w:sz w:val="24"/>
          <w14:textFill>
            <w14:solidFill>
              <w14:schemeClr w14:val="tx1"/>
            </w14:solidFill>
          </w14:textFill>
        </w:rPr>
      </w:pPr>
      <w:bookmarkStart w:id="286" w:name="_Ref467306676"/>
      <w:bookmarkStart w:id="287" w:name="_Toc516367022"/>
      <w:bookmarkStart w:id="288" w:name="_Ref467306195"/>
      <w:bookmarkStart w:id="289" w:name="_Toc195842893"/>
      <w:bookmarkStart w:id="290" w:name="_Toc264969218"/>
      <w:bookmarkStart w:id="291" w:name="_Toc164229223"/>
      <w:bookmarkStart w:id="292" w:name="_Toc127161442"/>
      <w:bookmarkStart w:id="293" w:name="_Toc142311030"/>
      <w:bookmarkStart w:id="294" w:name="_Toc151193916"/>
      <w:bookmarkStart w:id="295" w:name="_Toc127151729"/>
      <w:bookmarkStart w:id="296" w:name="_Toc226965718"/>
      <w:bookmarkStart w:id="297" w:name="_Toc226337224"/>
      <w:bookmarkStart w:id="298" w:name="_Toc150509279"/>
      <w:bookmarkStart w:id="299" w:name="_Toc149720821"/>
      <w:bookmarkStart w:id="300" w:name="_Toc150480766"/>
      <w:bookmarkStart w:id="301" w:name="_Toc164608642"/>
      <w:bookmarkStart w:id="302" w:name="_Toc164351622"/>
      <w:bookmarkStart w:id="303" w:name="_Toc305158796"/>
      <w:bookmarkStart w:id="304" w:name="_Toc226965801"/>
      <w:bookmarkStart w:id="305" w:name="_Toc151190155"/>
      <w:bookmarkStart w:id="306" w:name="_Toc520356152"/>
      <w:bookmarkStart w:id="307" w:name="_Toc164229369"/>
      <w:bookmarkStart w:id="308" w:name="_Toc150774628"/>
      <w:bookmarkStart w:id="309" w:name="_Toc151193698"/>
      <w:bookmarkStart w:id="310" w:name="_Toc164608797"/>
      <w:bookmarkStart w:id="311" w:name="_Toc305158870"/>
      <w:bookmarkStart w:id="312" w:name="_Toc265228366"/>
      <w:bookmarkStart w:id="313" w:name="_Toc127151528"/>
      <w:bookmarkStart w:id="314" w:name="_Toc151193626"/>
      <w:bookmarkStart w:id="315" w:name="_Toc150774733"/>
      <w:bookmarkStart w:id="316" w:name="_Toc151193770"/>
      <w:bookmarkStart w:id="317" w:name="_Toc226309772"/>
      <w:bookmarkStart w:id="318" w:name="_Toc151193842"/>
      <w:r>
        <w:rPr>
          <w:rFonts w:hint="eastAsia" w:ascii="宋体" w:hAnsi="宋体" w:cs="宋体"/>
          <w:color w:val="000000" w:themeColor="text1"/>
          <w:sz w:val="24"/>
          <w14:textFill>
            <w14:solidFill>
              <w14:schemeClr w14:val="tx1"/>
            </w14:solidFill>
          </w14:textFill>
        </w:rPr>
        <w:t>投标文件</w:t>
      </w:r>
      <w:bookmarkEnd w:id="286"/>
      <w:bookmarkEnd w:id="287"/>
      <w:bookmarkEnd w:id="288"/>
      <w:r>
        <w:rPr>
          <w:rFonts w:hint="eastAsia" w:ascii="宋体" w:hAnsi="宋体" w:cs="宋体"/>
          <w:color w:val="000000" w:themeColor="text1"/>
          <w:sz w:val="24"/>
          <w14:textFill>
            <w14:solidFill>
              <w14:schemeClr w14:val="tx1"/>
            </w14:solidFill>
          </w14:textFill>
        </w:rPr>
        <w:t>构成</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pPr>
        <w:numPr>
          <w:ilvl w:val="1"/>
          <w:numId w:val="9"/>
        </w:numPr>
        <w:tabs>
          <w:tab w:val="left" w:pos="1080"/>
          <w:tab w:val="left" w:pos="2014"/>
        </w:tabs>
        <w:snapToGrid w:val="0"/>
        <w:spacing w:line="360" w:lineRule="auto"/>
        <w:ind w:left="1077" w:hanging="720"/>
        <w:rPr>
          <w:rFonts w:hint="eastAsia" w:ascii="宋体" w:hAnsi="宋体" w:cs="宋体"/>
          <w:color w:val="000000" w:themeColor="text1"/>
          <w:sz w:val="24"/>
          <w14:textFill>
            <w14:solidFill>
              <w14:schemeClr w14:val="tx1"/>
            </w14:solidFill>
          </w14:textFill>
        </w:rPr>
      </w:pPr>
      <w:bookmarkStart w:id="319" w:name="_Ref467052588"/>
      <w:r>
        <w:rPr>
          <w:rFonts w:hint="eastAsia" w:ascii="宋体" w:hAnsi="宋体" w:cs="宋体"/>
          <w:color w:val="000000" w:themeColor="text1"/>
          <w:sz w:val="24"/>
          <w:u w:val="single"/>
          <w14:textFill>
            <w14:solidFill>
              <w14:schemeClr w14:val="tx1"/>
            </w14:solidFill>
          </w14:textFill>
        </w:rPr>
        <w:t>投标人应当按照招标文件的要求编制投标文件。投标文件应由《资格证明文件》、《商务技术文件》两部分构成</w:t>
      </w:r>
      <w:r>
        <w:rPr>
          <w:rFonts w:hint="eastAsia" w:ascii="宋体" w:hAnsi="宋体" w:cs="宋体"/>
          <w:color w:val="000000" w:themeColor="text1"/>
          <w:sz w:val="24"/>
          <w14:textFill>
            <w14:solidFill>
              <w14:schemeClr w14:val="tx1"/>
            </w14:solidFill>
          </w14:textFill>
        </w:rPr>
        <w:t>。投标文件的部分格式要求，见第七章《投标文件格式》。</w:t>
      </w:r>
    </w:p>
    <w:p>
      <w:pPr>
        <w:numPr>
          <w:ilvl w:val="1"/>
          <w:numId w:val="9"/>
        </w:numPr>
        <w:tabs>
          <w:tab w:val="left" w:pos="1080"/>
          <w:tab w:val="left" w:pos="2014"/>
        </w:tabs>
        <w:snapToGrid w:val="0"/>
        <w:spacing w:line="360" w:lineRule="auto"/>
        <w:ind w:left="1077"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对于招标文件中标记了“实质性格式”文件的，</w:t>
      </w:r>
      <w:r>
        <w:rPr>
          <w:rFonts w:hint="eastAsia" w:ascii="宋体" w:hAnsi="宋体" w:cs="宋体"/>
          <w:color w:val="000000" w:themeColor="text1"/>
          <w:sz w:val="24"/>
          <w14:textFill>
            <w14:solidFill>
              <w14:schemeClr w14:val="tx1"/>
            </w14:solidFill>
          </w14:textFill>
        </w:rPr>
        <w:t>投标人不得改变格式中给定的文字所表达的含义，不得删减格式中的实质性内容，不得自行添加与格式中给定的文字内容相矛盾的内容，不得对应当填写的空格不填写或不实质性响应，</w:t>
      </w:r>
      <w:r>
        <w:rPr>
          <w:rFonts w:hint="eastAsia" w:ascii="宋体" w:hAnsi="宋体" w:cs="宋体"/>
          <w:color w:val="000000" w:themeColor="text1"/>
          <w:kern w:val="0"/>
          <w:sz w:val="24"/>
          <w14:textFill>
            <w14:solidFill>
              <w14:schemeClr w14:val="tx1"/>
            </w14:solidFill>
          </w14:textFill>
        </w:rPr>
        <w:t>否则</w:t>
      </w:r>
      <w:r>
        <w:rPr>
          <w:rFonts w:hint="eastAsia" w:ascii="宋体" w:hAnsi="宋体" w:cs="宋体"/>
          <w:b/>
          <w:color w:val="000000" w:themeColor="text1"/>
          <w:kern w:val="0"/>
          <w:sz w:val="24"/>
          <w14:textFill>
            <w14:solidFill>
              <w14:schemeClr w14:val="tx1"/>
            </w14:solidFill>
          </w14:textFill>
        </w:rPr>
        <w:t>投标无效</w:t>
      </w:r>
      <w:r>
        <w:rPr>
          <w:rFonts w:hint="eastAsia" w:ascii="宋体" w:hAnsi="宋体" w:cs="宋体"/>
          <w:color w:val="000000" w:themeColor="text1"/>
          <w:kern w:val="0"/>
          <w:sz w:val="24"/>
          <w14:textFill>
            <w14:solidFill>
              <w14:schemeClr w14:val="tx1"/>
            </w14:solidFill>
          </w14:textFill>
        </w:rPr>
        <w:t>。未标记“实质性格式”的文件和招标文件未提供格式的内容，可由投标人自行编写。</w:t>
      </w:r>
    </w:p>
    <w:p>
      <w:pPr>
        <w:numPr>
          <w:ilvl w:val="1"/>
          <w:numId w:val="9"/>
        </w:numPr>
        <w:tabs>
          <w:tab w:val="left" w:pos="1080"/>
          <w:tab w:val="left" w:pos="2014"/>
        </w:tabs>
        <w:snapToGrid w:val="0"/>
        <w:spacing w:line="360" w:lineRule="auto"/>
        <w:ind w:left="1077"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第四章《评标程序、评标方法和评标标准》中涉及的证明文件。</w:t>
      </w:r>
    </w:p>
    <w:p>
      <w:pPr>
        <w:numPr>
          <w:ilvl w:val="1"/>
          <w:numId w:val="9"/>
        </w:numPr>
        <w:tabs>
          <w:tab w:val="left" w:pos="1080"/>
          <w:tab w:val="left" w:pos="2014"/>
        </w:tabs>
        <w:snapToGrid w:val="0"/>
        <w:spacing w:line="360" w:lineRule="auto"/>
        <w:ind w:left="1077"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照第五章《采购需求》，说明所提供货物和服务已对第五章《采购需求》做出了响应，或申明与第五章《采购需求》的偏差和例外。如第五章《采购需求》中要求提供证明文件的，投标人应当按具体要求提供证明文件。</w:t>
      </w:r>
    </w:p>
    <w:p>
      <w:pPr>
        <w:numPr>
          <w:ilvl w:val="1"/>
          <w:numId w:val="9"/>
        </w:numPr>
        <w:tabs>
          <w:tab w:val="left" w:pos="1080"/>
          <w:tab w:val="left" w:pos="2014"/>
        </w:tabs>
        <w:snapToGrid w:val="0"/>
        <w:spacing w:line="360" w:lineRule="auto"/>
        <w:ind w:left="1077"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投标人认为应附的其他材料。</w:t>
      </w:r>
      <w:bookmarkEnd w:id="319"/>
    </w:p>
    <w:p>
      <w:pPr>
        <w:numPr>
          <w:ilvl w:val="0"/>
          <w:numId w:val="9"/>
        </w:numPr>
        <w:tabs>
          <w:tab w:val="left" w:pos="360"/>
        </w:tabs>
        <w:snapToGrid w:val="0"/>
        <w:spacing w:line="360" w:lineRule="auto"/>
        <w:ind w:left="357" w:hanging="357"/>
        <w:rPr>
          <w:rFonts w:hint="eastAsia" w:ascii="宋体" w:hAnsi="宋体" w:cs="宋体"/>
          <w:color w:val="000000" w:themeColor="text1"/>
          <w:sz w:val="24"/>
          <w14:textFill>
            <w14:solidFill>
              <w14:schemeClr w14:val="tx1"/>
            </w14:solidFill>
          </w14:textFill>
        </w:rPr>
      </w:pPr>
      <w:bookmarkStart w:id="320" w:name="_Toc164608799"/>
      <w:bookmarkStart w:id="321" w:name="_Toc142311032"/>
      <w:bookmarkStart w:id="322" w:name="_Toc151193700"/>
      <w:bookmarkStart w:id="323" w:name="_Toc151193772"/>
      <w:bookmarkStart w:id="324" w:name="_Toc151193628"/>
      <w:bookmarkStart w:id="325" w:name="_Toc164229371"/>
      <w:bookmarkStart w:id="326" w:name="_Toc150774630"/>
      <w:bookmarkStart w:id="327" w:name="_Toc127151731"/>
      <w:bookmarkStart w:id="328" w:name="_Toc127161444"/>
      <w:bookmarkStart w:id="329" w:name="_Toc150774735"/>
      <w:bookmarkStart w:id="330" w:name="_Toc164351624"/>
      <w:bookmarkStart w:id="331" w:name="_Toc149720823"/>
      <w:bookmarkStart w:id="332" w:name="_Toc195842895"/>
      <w:bookmarkStart w:id="333" w:name="_Toc151190157"/>
      <w:bookmarkStart w:id="334" w:name="_Toc150509281"/>
      <w:bookmarkStart w:id="335" w:name="_Toc164608644"/>
      <w:bookmarkStart w:id="336" w:name="_Toc151193844"/>
      <w:bookmarkStart w:id="337" w:name="_Toc164229225"/>
      <w:bookmarkStart w:id="338" w:name="_Toc127151530"/>
      <w:bookmarkStart w:id="339" w:name="_Toc150480768"/>
      <w:bookmarkStart w:id="340" w:name="_Toc520356155"/>
      <w:bookmarkStart w:id="341" w:name="_Toc151193918"/>
      <w:r>
        <w:rPr>
          <w:rFonts w:hint="eastAsia" w:ascii="宋体" w:hAnsi="宋体" w:cs="宋体"/>
          <w:color w:val="000000" w:themeColor="text1"/>
          <w:sz w:val="24"/>
          <w14:textFill>
            <w14:solidFill>
              <w14:schemeClr w14:val="tx1"/>
            </w14:solidFill>
          </w14:textFill>
        </w:rPr>
        <w:t>投标报价</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pPr>
        <w:numPr>
          <w:ilvl w:val="1"/>
          <w:numId w:val="9"/>
        </w:numPr>
        <w:tabs>
          <w:tab w:val="left" w:pos="1080"/>
          <w:tab w:val="left" w:pos="2014"/>
        </w:tabs>
        <w:snapToGrid w:val="0"/>
        <w:spacing w:line="360" w:lineRule="auto"/>
        <w:ind w:left="1077"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所有投标均以人民币为计价货币。</w:t>
      </w:r>
    </w:p>
    <w:p>
      <w:pPr>
        <w:numPr>
          <w:ilvl w:val="1"/>
          <w:numId w:val="9"/>
        </w:numPr>
        <w:tabs>
          <w:tab w:val="left" w:pos="1080"/>
          <w:tab w:val="left" w:pos="2014"/>
        </w:tabs>
        <w:snapToGrid w:val="0"/>
        <w:spacing w:line="360" w:lineRule="auto"/>
        <w:ind w:left="1077"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投标人的报价应包括为完成本项目所发生的一切费用和税费，采购人将不再支付报价以外的任何费用。投标人的报价应包括但不限于下列内容，《投标人须知资料表》中有特殊规定的，从其规定。</w:t>
      </w:r>
    </w:p>
    <w:p>
      <w:pPr>
        <w:numPr>
          <w:ilvl w:val="2"/>
          <w:numId w:val="9"/>
        </w:numPr>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p>
    <w:p>
      <w:pPr>
        <w:numPr>
          <w:ilvl w:val="2"/>
          <w:numId w:val="9"/>
        </w:numPr>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按照招标文件要求完成本项目的全部相关服务费用。 </w:t>
      </w:r>
    </w:p>
    <w:p>
      <w:pPr>
        <w:numPr>
          <w:ilvl w:val="1"/>
          <w:numId w:val="9"/>
        </w:numPr>
        <w:tabs>
          <w:tab w:val="left" w:pos="1080"/>
          <w:tab w:val="left" w:pos="2014"/>
        </w:tabs>
        <w:snapToGrid w:val="0"/>
        <w:spacing w:line="360" w:lineRule="auto"/>
        <w:ind w:left="1077"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采购人不得向供应商索要或者接受其给予的赠品、回扣或者与采购无关的其他商品、服务。</w:t>
      </w:r>
    </w:p>
    <w:p>
      <w:pPr>
        <w:numPr>
          <w:ilvl w:val="1"/>
          <w:numId w:val="9"/>
        </w:numPr>
        <w:tabs>
          <w:tab w:val="left" w:pos="1080"/>
          <w:tab w:val="left" w:pos="2014"/>
        </w:tabs>
        <w:snapToGrid w:val="0"/>
        <w:spacing w:line="360" w:lineRule="auto"/>
        <w:ind w:left="1080" w:hanging="72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投标人不能提供任何有选择性或可调整的报价（招标文件另有规定的除外），否则其</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0"/>
          <w:numId w:val="9"/>
        </w:numPr>
        <w:tabs>
          <w:tab w:val="left" w:pos="360"/>
        </w:tabs>
        <w:snapToGrid w:val="0"/>
        <w:spacing w:line="360" w:lineRule="auto"/>
        <w:ind w:left="357" w:hanging="357"/>
        <w:rPr>
          <w:rFonts w:hint="eastAsia" w:ascii="宋体" w:hAnsi="宋体" w:cs="宋体"/>
          <w:color w:val="000000" w:themeColor="text1"/>
          <w:sz w:val="24"/>
          <w14:textFill>
            <w14:solidFill>
              <w14:schemeClr w14:val="tx1"/>
            </w14:solidFill>
          </w14:textFill>
        </w:rPr>
      </w:pPr>
      <w:bookmarkStart w:id="342" w:name="_Toc150774631"/>
      <w:bookmarkStart w:id="343" w:name="_Ref467306513"/>
      <w:bookmarkStart w:id="344" w:name="_Toc151193845"/>
      <w:bookmarkStart w:id="345" w:name="_Toc195842896"/>
      <w:bookmarkStart w:id="346" w:name="_Toc127151732"/>
      <w:bookmarkStart w:id="347" w:name="_Toc226309775"/>
      <w:bookmarkStart w:id="348" w:name="_Toc151193773"/>
      <w:bookmarkStart w:id="349" w:name="_Toc149720824"/>
      <w:bookmarkStart w:id="350" w:name="_Toc226965804"/>
      <w:bookmarkStart w:id="351" w:name="_Toc127161445"/>
      <w:bookmarkStart w:id="352" w:name="_Toc164608800"/>
      <w:bookmarkStart w:id="353" w:name="_Toc150774736"/>
      <w:bookmarkStart w:id="354" w:name="_Toc151190158"/>
      <w:bookmarkStart w:id="355" w:name="_Toc305158799"/>
      <w:bookmarkStart w:id="356" w:name="_Toc264969221"/>
      <w:bookmarkStart w:id="357" w:name="_Toc520356156"/>
      <w:bookmarkStart w:id="358" w:name="_Toc150509282"/>
      <w:bookmarkStart w:id="359" w:name="_Toc142311033"/>
      <w:bookmarkStart w:id="360" w:name="_Toc151193629"/>
      <w:bookmarkStart w:id="361" w:name="_Toc164229226"/>
      <w:bookmarkStart w:id="362" w:name="_Toc164351625"/>
      <w:bookmarkStart w:id="363" w:name="_Toc226965721"/>
      <w:bookmarkStart w:id="364" w:name="_Toc150480769"/>
      <w:bookmarkStart w:id="365" w:name="_Toc164229372"/>
      <w:bookmarkStart w:id="366" w:name="_Toc151193919"/>
      <w:bookmarkStart w:id="367" w:name="_Toc305158873"/>
      <w:bookmarkStart w:id="368" w:name="_Toc164608645"/>
      <w:bookmarkStart w:id="369" w:name="_Toc127151531"/>
      <w:bookmarkStart w:id="370" w:name="_Toc226337227"/>
      <w:bookmarkStart w:id="371" w:name="_Toc151193701"/>
      <w:bookmarkStart w:id="372" w:name="_Toc265228369"/>
      <w:r>
        <w:rPr>
          <w:rFonts w:hint="eastAsia" w:ascii="宋体" w:hAnsi="宋体" w:cs="宋体"/>
          <w:color w:val="000000" w:themeColor="text1"/>
          <w:sz w:val="24"/>
          <w14:textFill>
            <w14:solidFill>
              <w14:schemeClr w14:val="tx1"/>
            </w14:solidFill>
          </w14:textFill>
        </w:rPr>
        <w:t>投标保证金</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pPr>
        <w:numPr>
          <w:ilvl w:val="1"/>
          <w:numId w:val="9"/>
        </w:numPr>
        <w:tabs>
          <w:tab w:val="left" w:pos="1080"/>
          <w:tab w:val="left" w:pos="2014"/>
        </w:tabs>
        <w:snapToGrid w:val="0"/>
        <w:spacing w:line="360" w:lineRule="auto"/>
        <w:ind w:left="1077" w:hanging="720"/>
        <w:rPr>
          <w:rFonts w:hint="eastAsia" w:ascii="宋体" w:hAnsi="宋体" w:cs="宋体"/>
          <w:color w:val="000000" w:themeColor="text1"/>
          <w:sz w:val="24"/>
          <w14:textFill>
            <w14:solidFill>
              <w14:schemeClr w14:val="tx1"/>
            </w14:solidFill>
          </w14:textFill>
        </w:rPr>
      </w:pPr>
      <w:bookmarkStart w:id="373" w:name="_Ref467306302"/>
      <w:r>
        <w:rPr>
          <w:rFonts w:hint="eastAsia" w:ascii="宋体" w:hAnsi="宋体" w:cs="宋体"/>
          <w:color w:val="000000" w:themeColor="text1"/>
          <w:sz w:val="24"/>
          <w14:textFill>
            <w14:solidFill>
              <w14:schemeClr w14:val="tx1"/>
            </w14:solidFill>
          </w14:textFill>
        </w:rPr>
        <w:t>投标人应按《投标人须知资料表》中规定的金额及要求交纳投标保证金</w:t>
      </w:r>
      <w:bookmarkEnd w:id="373"/>
      <w:r>
        <w:rPr>
          <w:rFonts w:hint="eastAsia" w:ascii="宋体" w:hAnsi="宋体" w:cs="宋体"/>
          <w:color w:val="000000" w:themeColor="text1"/>
          <w:sz w:val="24"/>
          <w14:textFill>
            <w14:solidFill>
              <w14:schemeClr w14:val="tx1"/>
            </w14:solidFill>
          </w14:textFill>
        </w:rPr>
        <w:t>，投标人自愿超额缴纳投标保证金的，投标文件不做无效处理。</w:t>
      </w:r>
    </w:p>
    <w:p>
      <w:pPr>
        <w:numPr>
          <w:ilvl w:val="1"/>
          <w:numId w:val="9"/>
        </w:numPr>
        <w:tabs>
          <w:tab w:val="left" w:pos="1080"/>
          <w:tab w:val="left" w:pos="2014"/>
        </w:tabs>
        <w:snapToGrid w:val="0"/>
        <w:spacing w:line="360" w:lineRule="auto"/>
        <w:ind w:left="1077"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交纳投标保证金可采用的形式：政府采购法律法规接受的支票、汇票、本票、网上银行支付或者金融机构、担保机构出具的保函等非现金形式。</w:t>
      </w:r>
    </w:p>
    <w:p>
      <w:pPr>
        <w:numPr>
          <w:ilvl w:val="1"/>
          <w:numId w:val="9"/>
        </w:numPr>
        <w:tabs>
          <w:tab w:val="left" w:pos="1080"/>
          <w:tab w:val="left" w:pos="2014"/>
        </w:tabs>
        <w:snapToGrid w:val="0"/>
        <w:spacing w:line="360" w:lineRule="auto"/>
        <w:ind w:left="1077" w:hanging="720"/>
        <w:rPr>
          <w:rFonts w:hint="eastAsia" w:ascii="宋体" w:hAnsi="宋体" w:cs="宋体"/>
          <w:color w:val="000000" w:themeColor="text1"/>
          <w:sz w:val="24"/>
          <w14:textFill>
            <w14:solidFill>
              <w14:schemeClr w14:val="tx1"/>
            </w14:solidFill>
          </w14:textFill>
        </w:rPr>
      </w:pPr>
      <w:r>
        <w:rPr>
          <w:rFonts w:ascii="宋体" w:hAnsi="宋体"/>
          <w:spacing w:val="1"/>
          <w:sz w:val="24"/>
        </w:rPr>
        <w:t>投标保证金到账（保函提交）截止时</w:t>
      </w:r>
      <w:r>
        <w:rPr>
          <w:rFonts w:ascii="宋体" w:hAnsi="宋体"/>
          <w:sz w:val="24"/>
        </w:rPr>
        <w:t>间同投标截止时间。以支票、汇票、本</w:t>
      </w:r>
      <w:r>
        <w:rPr>
          <w:rFonts w:ascii="宋体" w:hAnsi="宋体"/>
          <w:spacing w:val="-1"/>
          <w:sz w:val="24"/>
        </w:rPr>
        <w:t>票、网上银行支付等形式提交投标保证金的，应在投标截止时间前到账</w:t>
      </w:r>
      <w:r>
        <w:rPr>
          <w:rFonts w:hint="eastAsia" w:ascii="宋体" w:hAnsi="宋体"/>
          <w:spacing w:val="-1"/>
          <w:sz w:val="24"/>
        </w:rPr>
        <w:t>；</w:t>
      </w:r>
      <w:r>
        <w:rPr>
          <w:rFonts w:ascii="宋体" w:hAnsi="宋体"/>
          <w:spacing w:val="-1"/>
          <w:sz w:val="24"/>
        </w:rPr>
        <w:t>以</w:t>
      </w:r>
      <w:r>
        <w:rPr>
          <w:rFonts w:ascii="宋体" w:hAnsi="宋体"/>
          <w:spacing w:val="1"/>
          <w:sz w:val="24"/>
        </w:rPr>
        <w:t>金融机构、担保机构出具的纸质保函等形式提交投标保证金的，应在投标截</w:t>
      </w:r>
      <w:r>
        <w:rPr>
          <w:rFonts w:ascii="宋体" w:hAnsi="宋体"/>
          <w:sz w:val="24"/>
        </w:rPr>
        <w:t>止时间前将原件提交至采购代理机构；</w:t>
      </w:r>
      <w:r>
        <w:rPr>
          <w:rFonts w:ascii="宋体" w:hAnsi="宋体"/>
          <w:spacing w:val="-50"/>
          <w:sz w:val="24"/>
        </w:rPr>
        <w:t xml:space="preserve"> </w:t>
      </w:r>
      <w:r>
        <w:rPr>
          <w:rFonts w:ascii="宋体" w:hAnsi="宋体"/>
          <w:sz w:val="24"/>
        </w:rPr>
        <w:t>以电子保函形式提交投标保证金的，</w:t>
      </w:r>
      <w:r>
        <w:rPr>
          <w:rFonts w:ascii="宋体" w:hAnsi="宋体"/>
          <w:spacing w:val="2"/>
          <w:sz w:val="24"/>
        </w:rPr>
        <w:t>应在投标截止时间前通过北京市政府采购电子交易平台完成电子保函在线办</w:t>
      </w:r>
      <w:r>
        <w:rPr>
          <w:rFonts w:ascii="宋体" w:hAnsi="宋体"/>
          <w:sz w:val="24"/>
        </w:rPr>
        <w:t>理。未按上述要求缴纳投标保证金的，其</w:t>
      </w:r>
      <w:r>
        <w:rPr>
          <w:rFonts w:ascii="宋体" w:hAnsi="宋体"/>
          <w:b/>
          <w:bCs/>
          <w:sz w:val="24"/>
        </w:rPr>
        <w:t>投标</w:t>
      </w:r>
      <w:r>
        <w:rPr>
          <w:rFonts w:ascii="宋体" w:hAnsi="宋体"/>
          <w:b/>
          <w:bCs/>
          <w:spacing w:val="-1"/>
          <w:sz w:val="24"/>
        </w:rPr>
        <w:t>无效</w:t>
      </w:r>
      <w:r>
        <w:rPr>
          <w:rFonts w:ascii="宋体" w:hAnsi="宋体"/>
          <w:spacing w:val="-1"/>
          <w:sz w:val="24"/>
        </w:rPr>
        <w:t>。</w:t>
      </w:r>
    </w:p>
    <w:p>
      <w:pPr>
        <w:numPr>
          <w:ilvl w:val="1"/>
          <w:numId w:val="9"/>
        </w:numPr>
        <w:tabs>
          <w:tab w:val="left" w:pos="1080"/>
          <w:tab w:val="left" w:pos="2014"/>
        </w:tabs>
        <w:snapToGrid w:val="0"/>
        <w:spacing w:line="360" w:lineRule="auto"/>
        <w:ind w:left="1077" w:hanging="720"/>
        <w:rPr>
          <w:rFonts w:hint="eastAsia" w:ascii="宋体" w:hAnsi="宋体" w:cs="宋体"/>
          <w:color w:val="000000" w:themeColor="text1"/>
          <w:sz w:val="24"/>
          <w14:textFill>
            <w14:solidFill>
              <w14:schemeClr w14:val="tx1"/>
            </w14:solidFill>
          </w14:textFill>
        </w:rPr>
      </w:pPr>
      <w:r>
        <w:rPr>
          <w:rFonts w:ascii="宋体" w:hAnsi="宋体"/>
          <w:spacing w:val="1"/>
          <w:sz w:val="24"/>
        </w:rPr>
        <w:t>投标人除需在投标文件中提供</w:t>
      </w:r>
      <w:r>
        <w:rPr>
          <w:rFonts w:hint="eastAsia" w:ascii="宋体" w:hAnsi="宋体"/>
          <w:sz w:val="24"/>
        </w:rPr>
        <w:t>“</w:t>
      </w:r>
      <w:r>
        <w:rPr>
          <w:rFonts w:ascii="宋体" w:hAnsi="宋体"/>
          <w:spacing w:val="1"/>
          <w:sz w:val="24"/>
        </w:rPr>
        <w:t>投标保证</w:t>
      </w:r>
      <w:r>
        <w:rPr>
          <w:rFonts w:ascii="宋体" w:hAnsi="宋体"/>
          <w:sz w:val="24"/>
        </w:rPr>
        <w:t>金凭证</w:t>
      </w:r>
      <w:r>
        <w:rPr>
          <w:rFonts w:ascii="宋体" w:hAnsi="宋体" w:cs="Arial"/>
          <w:sz w:val="24"/>
        </w:rPr>
        <w:t>/</w:t>
      </w:r>
      <w:r>
        <w:rPr>
          <w:rFonts w:ascii="宋体" w:hAnsi="宋体"/>
          <w:sz w:val="24"/>
        </w:rPr>
        <w:t>交款单据电子件</w:t>
      </w:r>
      <w:r>
        <w:rPr>
          <w:rFonts w:hint="eastAsia" w:ascii="宋体" w:hAnsi="宋体"/>
          <w:sz w:val="24"/>
        </w:rPr>
        <w:t>”</w:t>
      </w:r>
      <w:r>
        <w:rPr>
          <w:rFonts w:ascii="宋体" w:hAnsi="宋体"/>
          <w:sz w:val="24"/>
        </w:rPr>
        <w:t>，还需在</w:t>
      </w:r>
      <w:r>
        <w:rPr>
          <w:rFonts w:ascii="宋体" w:hAnsi="宋体"/>
          <w:spacing w:val="-8"/>
          <w:sz w:val="24"/>
        </w:rPr>
        <w:t>投标截止时间前，通过电子交易平台上传</w:t>
      </w:r>
      <w:r>
        <w:rPr>
          <w:rFonts w:hint="eastAsia" w:ascii="宋体" w:hAnsi="宋体"/>
          <w:spacing w:val="-8"/>
          <w:sz w:val="24"/>
        </w:rPr>
        <w:t>“</w:t>
      </w:r>
      <w:r>
        <w:rPr>
          <w:rFonts w:ascii="宋体" w:hAnsi="宋体"/>
          <w:spacing w:val="-8"/>
          <w:sz w:val="24"/>
        </w:rPr>
        <w:t>投标保证金凭证</w:t>
      </w:r>
      <w:r>
        <w:rPr>
          <w:rFonts w:ascii="宋体" w:hAnsi="宋体" w:cs="Arial"/>
          <w:spacing w:val="-8"/>
          <w:sz w:val="24"/>
        </w:rPr>
        <w:t>/</w:t>
      </w:r>
      <w:r>
        <w:rPr>
          <w:rFonts w:ascii="宋体" w:hAnsi="宋体"/>
          <w:spacing w:val="-8"/>
          <w:sz w:val="24"/>
        </w:rPr>
        <w:t>交款单据电子件</w:t>
      </w:r>
      <w:r>
        <w:rPr>
          <w:rFonts w:hint="eastAsia" w:ascii="宋体" w:hAnsi="宋体"/>
          <w:spacing w:val="-8"/>
          <w:sz w:val="24"/>
        </w:rPr>
        <w:t>”</w:t>
      </w:r>
      <w:r>
        <w:rPr>
          <w:rFonts w:hint="eastAsia" w:ascii="宋体" w:hAnsi="宋体" w:cs="宋体"/>
          <w:color w:val="000000" w:themeColor="text1"/>
          <w:sz w:val="24"/>
          <w14:textFill>
            <w14:solidFill>
              <w14:schemeClr w14:val="tx1"/>
            </w14:solidFill>
          </w14:textFill>
        </w:rPr>
        <w:t>。</w:t>
      </w:r>
    </w:p>
    <w:p>
      <w:pPr>
        <w:numPr>
          <w:ilvl w:val="1"/>
          <w:numId w:val="9"/>
        </w:numPr>
        <w:tabs>
          <w:tab w:val="left" w:pos="1080"/>
          <w:tab w:val="left" w:pos="2014"/>
        </w:tabs>
        <w:snapToGrid w:val="0"/>
        <w:spacing w:line="360" w:lineRule="auto"/>
        <w:ind w:left="1077"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投标保证金有效期同投标有效期。</w:t>
      </w:r>
    </w:p>
    <w:p>
      <w:pPr>
        <w:numPr>
          <w:ilvl w:val="1"/>
          <w:numId w:val="9"/>
        </w:numPr>
        <w:tabs>
          <w:tab w:val="left" w:pos="1080"/>
          <w:tab w:val="left" w:pos="2014"/>
        </w:tabs>
        <w:snapToGrid w:val="0"/>
        <w:spacing w:line="360" w:lineRule="auto"/>
        <w:ind w:left="1077"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投标人为联合体的，可以由联合体中的一方或者多方共同交纳投标保证金，其交纳的投标保证金对联合体各方均具有约束力。</w:t>
      </w:r>
    </w:p>
    <w:p>
      <w:pPr>
        <w:numPr>
          <w:ilvl w:val="1"/>
          <w:numId w:val="9"/>
        </w:numPr>
        <w:tabs>
          <w:tab w:val="left" w:pos="1080"/>
          <w:tab w:val="left" w:pos="2014"/>
        </w:tabs>
        <w:snapToGrid w:val="0"/>
        <w:spacing w:line="360" w:lineRule="auto"/>
        <w:ind w:left="1077"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采购代理机构将及时退还投标人的投标保证金，采用银行保函、担保机构担保函等形式递交的投标保证金，经投标人同意后采购人、采购代理机构可以不再退还，但因投标人自身原因导致无法及时退还的除外：</w:t>
      </w:r>
    </w:p>
    <w:p>
      <w:pPr>
        <w:numPr>
          <w:ilvl w:val="2"/>
          <w:numId w:val="9"/>
        </w:numPr>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投标人在投标截止时间前撤回已提交的投标文件的，自收到投标人书面撤回通知之日起5个工作日内退还已收取的投标保证金；</w:t>
      </w:r>
    </w:p>
    <w:p>
      <w:pPr>
        <w:numPr>
          <w:ilvl w:val="2"/>
          <w:numId w:val="9"/>
        </w:numPr>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中标人的投标保证金，自采购合同签订之日起5个工作日内退还中标人；</w:t>
      </w:r>
    </w:p>
    <w:p>
      <w:pPr>
        <w:numPr>
          <w:ilvl w:val="2"/>
          <w:numId w:val="9"/>
        </w:numPr>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未中标投标人的投标保证金，自中标通知书发出之日起5个工作日内退还未中标人；</w:t>
      </w:r>
    </w:p>
    <w:p>
      <w:pPr>
        <w:numPr>
          <w:ilvl w:val="2"/>
          <w:numId w:val="9"/>
        </w:numPr>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终止招标项目已经收取投标保证金的，自终止采购活动后5个工作日内退还已收取的投标保证金及其在银行产生的孳息。</w:t>
      </w:r>
    </w:p>
    <w:p>
      <w:pPr>
        <w:numPr>
          <w:ilvl w:val="1"/>
          <w:numId w:val="9"/>
        </w:numPr>
        <w:tabs>
          <w:tab w:val="left" w:pos="1080"/>
          <w:tab w:val="left" w:pos="2014"/>
        </w:tabs>
        <w:snapToGrid w:val="0"/>
        <w:spacing w:line="360" w:lineRule="auto"/>
        <w:ind w:left="1077"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有下列情形之一的，采购人或采购代理机构可以不予退还投标保证金：</w:t>
      </w:r>
    </w:p>
    <w:p>
      <w:pPr>
        <w:numPr>
          <w:ilvl w:val="2"/>
          <w:numId w:val="9"/>
        </w:numPr>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投标有效期内投标人撤销投标文件的；</w:t>
      </w:r>
    </w:p>
    <w:p>
      <w:pPr>
        <w:numPr>
          <w:ilvl w:val="2"/>
          <w:numId w:val="9"/>
        </w:numPr>
        <w:tabs>
          <w:tab w:val="left" w:pos="900"/>
          <w:tab w:val="left" w:pos="1080"/>
          <w:tab w:val="left" w:pos="2014"/>
        </w:tabs>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《投标人须知资料表》中规定的其他情形。</w:t>
      </w:r>
    </w:p>
    <w:p>
      <w:pPr>
        <w:numPr>
          <w:ilvl w:val="0"/>
          <w:numId w:val="9"/>
        </w:numPr>
        <w:tabs>
          <w:tab w:val="left" w:pos="360"/>
        </w:tabs>
        <w:snapToGrid w:val="0"/>
        <w:spacing w:line="360" w:lineRule="auto"/>
        <w:ind w:left="357" w:hanging="357"/>
        <w:rPr>
          <w:rFonts w:hint="eastAsia" w:ascii="宋体" w:hAnsi="宋体" w:cs="宋体"/>
          <w:color w:val="000000" w:themeColor="text1"/>
          <w:sz w:val="24"/>
          <w14:textFill>
            <w14:solidFill>
              <w14:schemeClr w14:val="tx1"/>
            </w14:solidFill>
          </w14:textFill>
        </w:rPr>
      </w:pPr>
      <w:bookmarkStart w:id="374" w:name="_Toc164608646"/>
      <w:bookmarkStart w:id="375" w:name="_Toc520356157"/>
      <w:bookmarkStart w:id="376" w:name="_Toc151193630"/>
      <w:bookmarkStart w:id="377" w:name="_Toc226337228"/>
      <w:bookmarkStart w:id="378" w:name="_Toc226309776"/>
      <w:bookmarkStart w:id="379" w:name="_Toc151193846"/>
      <w:bookmarkStart w:id="380" w:name="_Toc127161446"/>
      <w:bookmarkStart w:id="381" w:name="_Toc195842897"/>
      <w:bookmarkStart w:id="382" w:name="_Toc226965722"/>
      <w:bookmarkStart w:id="383" w:name="_Toc151193702"/>
      <w:bookmarkStart w:id="384" w:name="_Toc150509283"/>
      <w:bookmarkStart w:id="385" w:name="_Toc150480770"/>
      <w:bookmarkStart w:id="386" w:name="_Toc164608801"/>
      <w:bookmarkStart w:id="387" w:name="_Toc150774632"/>
      <w:bookmarkStart w:id="388" w:name="_Toc149720825"/>
      <w:bookmarkStart w:id="389" w:name="_Toc265228370"/>
      <w:bookmarkStart w:id="390" w:name="_Toc264969222"/>
      <w:bookmarkStart w:id="391" w:name="_Toc127151532"/>
      <w:bookmarkStart w:id="392" w:name="_Toc305158874"/>
      <w:bookmarkStart w:id="393" w:name="_Toc164229227"/>
      <w:bookmarkStart w:id="394" w:name="_Toc164229373"/>
      <w:bookmarkStart w:id="395" w:name="_Toc226965805"/>
      <w:bookmarkStart w:id="396" w:name="_Toc164351626"/>
      <w:bookmarkStart w:id="397" w:name="_Toc150774737"/>
      <w:bookmarkStart w:id="398" w:name="_Toc151193920"/>
      <w:bookmarkStart w:id="399" w:name="_Toc142311034"/>
      <w:bookmarkStart w:id="400" w:name="_Toc127151733"/>
      <w:bookmarkStart w:id="401" w:name="_Toc151190159"/>
      <w:bookmarkStart w:id="402" w:name="_Toc305158800"/>
      <w:bookmarkStart w:id="403" w:name="_Toc151193774"/>
      <w:r>
        <w:rPr>
          <w:rFonts w:hint="eastAsia" w:ascii="宋体" w:hAnsi="宋体" w:cs="宋体"/>
          <w:color w:val="000000" w:themeColor="text1"/>
          <w:sz w:val="24"/>
          <w14:textFill>
            <w14:solidFill>
              <w14:schemeClr w14:val="tx1"/>
            </w14:solidFill>
          </w14:textFill>
        </w:rPr>
        <w:t>投标有效期</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pPr>
        <w:numPr>
          <w:ilvl w:val="1"/>
          <w:numId w:val="9"/>
        </w:numPr>
        <w:tabs>
          <w:tab w:val="left" w:pos="1080"/>
          <w:tab w:val="left" w:pos="2014"/>
        </w:tabs>
        <w:snapToGrid w:val="0"/>
        <w:spacing w:line="360" w:lineRule="auto"/>
        <w:ind w:left="1077"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投标文件应在本招标文件《投标人须知资料表》中规定的投标有效期内保持有效，投标有效期少于招标文件规定期限的，其</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0"/>
          <w:numId w:val="9"/>
        </w:numPr>
        <w:tabs>
          <w:tab w:val="left" w:pos="360"/>
        </w:tabs>
        <w:snapToGrid w:val="0"/>
        <w:spacing w:line="360" w:lineRule="auto"/>
        <w:ind w:left="357" w:hanging="357"/>
        <w:rPr>
          <w:rFonts w:hint="eastAsia" w:ascii="宋体" w:hAnsi="宋体" w:cs="宋体"/>
          <w:color w:val="000000" w:themeColor="text1"/>
          <w:sz w:val="24"/>
          <w14:textFill>
            <w14:solidFill>
              <w14:schemeClr w14:val="tx1"/>
            </w14:solidFill>
          </w14:textFill>
        </w:rPr>
      </w:pPr>
      <w:bookmarkStart w:id="404" w:name="_Toc150509284"/>
      <w:bookmarkStart w:id="405" w:name="_Toc127151734"/>
      <w:bookmarkStart w:id="406" w:name="_Toc265228371"/>
      <w:bookmarkStart w:id="407" w:name="_Toc151193847"/>
      <w:bookmarkStart w:id="408" w:name="_Toc164351627"/>
      <w:bookmarkStart w:id="409" w:name="_Toc164608802"/>
      <w:bookmarkStart w:id="410" w:name="_Toc127151533"/>
      <w:bookmarkStart w:id="411" w:name="_Toc151193631"/>
      <w:bookmarkStart w:id="412" w:name="_Toc127161447"/>
      <w:bookmarkStart w:id="413" w:name="_Toc226337229"/>
      <w:bookmarkStart w:id="414" w:name="_Toc305158801"/>
      <w:bookmarkStart w:id="415" w:name="_Toc520356158"/>
      <w:bookmarkStart w:id="416" w:name="_Toc151190160"/>
      <w:bookmarkStart w:id="417" w:name="_Toc195842898"/>
      <w:bookmarkStart w:id="418" w:name="_Toc226965723"/>
      <w:bookmarkStart w:id="419" w:name="_Toc150774633"/>
      <w:bookmarkStart w:id="420" w:name="_Toc226309777"/>
      <w:bookmarkStart w:id="421" w:name="_Toc164229228"/>
      <w:bookmarkStart w:id="422" w:name="_Toc150480771"/>
      <w:bookmarkStart w:id="423" w:name="_Toc226965806"/>
      <w:bookmarkStart w:id="424" w:name="_Toc264969223"/>
      <w:bookmarkStart w:id="425" w:name="_Toc164608647"/>
      <w:bookmarkStart w:id="426" w:name="_Toc142311035"/>
      <w:bookmarkStart w:id="427" w:name="_Toc149720826"/>
      <w:bookmarkStart w:id="428" w:name="_Toc305158875"/>
      <w:bookmarkStart w:id="429" w:name="_Toc151193703"/>
      <w:bookmarkStart w:id="430" w:name="_Toc164229374"/>
      <w:bookmarkStart w:id="431" w:name="_Toc151193921"/>
      <w:bookmarkStart w:id="432" w:name="_Toc150774738"/>
      <w:bookmarkStart w:id="433" w:name="_Toc151193775"/>
      <w:r>
        <w:rPr>
          <w:rFonts w:hint="eastAsia" w:ascii="宋体" w:hAnsi="宋体" w:cs="宋体"/>
          <w:color w:val="000000" w:themeColor="text1"/>
          <w:sz w:val="24"/>
          <w14:textFill>
            <w14:solidFill>
              <w14:schemeClr w14:val="tx1"/>
            </w14:solidFill>
          </w14:textFill>
        </w:rPr>
        <w:t>投标文件的签署</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r>
        <w:rPr>
          <w:rFonts w:hint="eastAsia" w:ascii="宋体" w:hAnsi="宋体" w:cs="宋体"/>
          <w:color w:val="000000" w:themeColor="text1"/>
          <w:sz w:val="24"/>
          <w14:textFill>
            <w14:solidFill>
              <w14:schemeClr w14:val="tx1"/>
            </w14:solidFill>
          </w14:textFill>
        </w:rPr>
        <w:t>、盖章</w:t>
      </w:r>
    </w:p>
    <w:p>
      <w:pPr>
        <w:numPr>
          <w:ilvl w:val="1"/>
          <w:numId w:val="9"/>
        </w:numPr>
        <w:tabs>
          <w:tab w:val="left" w:pos="1080"/>
          <w:tab w:val="left" w:pos="2014"/>
        </w:tabs>
        <w:snapToGrid w:val="0"/>
        <w:spacing w:line="360" w:lineRule="auto"/>
        <w:ind w:left="1077" w:hanging="720"/>
        <w:rPr>
          <w:rFonts w:hint="eastAsia" w:ascii="宋体" w:hAnsi="宋体" w:cs="宋体"/>
          <w:b/>
          <w:color w:val="000000" w:themeColor="text1"/>
          <w:sz w:val="24"/>
          <w14:textFill>
            <w14:solidFill>
              <w14:schemeClr w14:val="tx1"/>
            </w14:solidFill>
          </w14:textFill>
        </w:rPr>
      </w:pPr>
      <w:bookmarkStart w:id="434" w:name="_Toc150480772"/>
      <w:bookmarkStart w:id="435" w:name="_Toc127151534"/>
      <w:bookmarkStart w:id="436" w:name="_Toc150509285"/>
      <w:bookmarkStart w:id="437" w:name="_Toc226337230"/>
      <w:bookmarkStart w:id="438" w:name="_Toc150774739"/>
      <w:bookmarkStart w:id="439" w:name="_Toc226965807"/>
      <w:bookmarkStart w:id="440" w:name="_Toc151193632"/>
      <w:bookmarkStart w:id="441" w:name="_Toc226965724"/>
      <w:bookmarkStart w:id="442" w:name="_Toc151193922"/>
      <w:bookmarkStart w:id="443" w:name="_Toc142311036"/>
      <w:bookmarkStart w:id="444" w:name="_Toc150774634"/>
      <w:bookmarkStart w:id="445" w:name="_Toc151190161"/>
      <w:bookmarkStart w:id="446" w:name="_Toc305158876"/>
      <w:bookmarkStart w:id="447" w:name="_Toc195842899"/>
      <w:bookmarkStart w:id="448" w:name="_Toc520356159"/>
      <w:bookmarkStart w:id="449" w:name="_Toc226309778"/>
      <w:bookmarkStart w:id="450" w:name="_Toc151193848"/>
      <w:bookmarkStart w:id="451" w:name="_Toc305158802"/>
      <w:bookmarkStart w:id="452" w:name="_Toc264969224"/>
      <w:bookmarkStart w:id="453" w:name="_Toc151193776"/>
      <w:bookmarkStart w:id="454" w:name="_Toc265228372"/>
      <w:bookmarkStart w:id="455" w:name="_Toc151193704"/>
      <w:r>
        <w:rPr>
          <w:rFonts w:ascii="宋体" w:hAnsi="宋体"/>
          <w:sz w:val="24"/>
        </w:rPr>
        <w:t>招标文件要求签字的内容</w:t>
      </w:r>
      <w:r>
        <w:rPr>
          <w:rFonts w:hint="eastAsia" w:ascii="宋体" w:hAnsi="宋体"/>
          <w:sz w:val="24"/>
        </w:rPr>
        <w:t>（</w:t>
      </w:r>
      <w:r>
        <w:rPr>
          <w:rFonts w:ascii="宋体" w:hAnsi="宋体"/>
          <w:sz w:val="24"/>
        </w:rPr>
        <w:t>如授权委托书等</w:t>
      </w:r>
      <w:r>
        <w:rPr>
          <w:rFonts w:ascii="宋体" w:hAnsi="宋体"/>
          <w:spacing w:val="-54"/>
          <w:w w:val="95"/>
          <w:sz w:val="24"/>
        </w:rPr>
        <w:t>）</w:t>
      </w:r>
      <w:r>
        <w:rPr>
          <w:rFonts w:hint="eastAsia" w:ascii="宋体" w:hAnsi="宋体"/>
          <w:spacing w:val="-54"/>
          <w:w w:val="95"/>
          <w:sz w:val="24"/>
        </w:rPr>
        <w:t>，</w:t>
      </w:r>
      <w:r>
        <w:rPr>
          <w:rFonts w:ascii="宋体" w:hAnsi="宋体"/>
          <w:sz w:val="24"/>
        </w:rPr>
        <w:t>可以使用电子签章或使用原件</w:t>
      </w:r>
      <w:r>
        <w:rPr>
          <w:rFonts w:ascii="宋体" w:hAnsi="宋体"/>
          <w:spacing w:val="-3"/>
          <w:sz w:val="24"/>
        </w:rPr>
        <w:t>的电子件（电子件指扫描件、照片等形式电子文</w:t>
      </w:r>
      <w:r>
        <w:rPr>
          <w:rFonts w:ascii="宋体" w:hAnsi="宋体"/>
          <w:spacing w:val="-4"/>
          <w:sz w:val="24"/>
        </w:rPr>
        <w:t>件</w:t>
      </w:r>
      <w:r>
        <w:rPr>
          <w:rFonts w:ascii="宋体" w:hAnsi="宋体"/>
          <w:spacing w:val="-54"/>
          <w:w w:val="95"/>
          <w:sz w:val="24"/>
        </w:rPr>
        <w:t>）；</w:t>
      </w:r>
      <w:r>
        <w:rPr>
          <w:rFonts w:ascii="宋体" w:hAnsi="宋体"/>
          <w:spacing w:val="-4"/>
          <w:sz w:val="24"/>
        </w:rPr>
        <w:t>要求第三方出具的盖章</w:t>
      </w:r>
      <w:r>
        <w:rPr>
          <w:rFonts w:ascii="宋体" w:hAnsi="宋体"/>
          <w:spacing w:val="-1"/>
          <w:sz w:val="24"/>
        </w:rPr>
        <w:t>件原件（如联合协议、分包意向协议、制造商</w:t>
      </w:r>
      <w:r>
        <w:rPr>
          <w:rFonts w:ascii="宋体" w:hAnsi="宋体"/>
          <w:spacing w:val="-2"/>
          <w:sz w:val="24"/>
        </w:rPr>
        <w:t>授权书等</w:t>
      </w:r>
      <w:r>
        <w:rPr>
          <w:rFonts w:ascii="宋体" w:hAnsi="宋体"/>
          <w:spacing w:val="-55"/>
          <w:w w:val="97"/>
          <w:sz w:val="24"/>
        </w:rPr>
        <w:t>），</w:t>
      </w:r>
      <w:r>
        <w:rPr>
          <w:rFonts w:ascii="宋体" w:hAnsi="宋体"/>
          <w:spacing w:val="-2"/>
          <w:sz w:val="24"/>
        </w:rPr>
        <w:t>投标文件中应使用</w:t>
      </w:r>
      <w:r>
        <w:rPr>
          <w:rFonts w:ascii="宋体" w:hAnsi="宋体"/>
          <w:spacing w:val="-1"/>
          <w:sz w:val="24"/>
        </w:rPr>
        <w:t>原件的电子件。</w:t>
      </w:r>
    </w:p>
    <w:p>
      <w:pPr>
        <w:numPr>
          <w:ilvl w:val="1"/>
          <w:numId w:val="9"/>
        </w:numPr>
        <w:tabs>
          <w:tab w:val="left" w:pos="1080"/>
          <w:tab w:val="left" w:pos="2014"/>
        </w:tabs>
        <w:snapToGrid w:val="0"/>
        <w:spacing w:line="360" w:lineRule="auto"/>
        <w:ind w:left="1077" w:hanging="720"/>
        <w:rPr>
          <w:rFonts w:hint="eastAsia" w:ascii="宋体" w:hAnsi="宋体" w:cs="宋体"/>
          <w:b/>
          <w:color w:val="000000" w:themeColor="text1"/>
          <w:sz w:val="24"/>
          <w14:textFill>
            <w14:solidFill>
              <w14:schemeClr w14:val="tx1"/>
            </w14:solidFill>
          </w14:textFill>
        </w:rPr>
      </w:pPr>
      <w:r>
        <w:rPr>
          <w:rFonts w:ascii="宋体" w:hAnsi="宋体"/>
          <w:spacing w:val="1"/>
          <w:sz w:val="24"/>
        </w:rPr>
        <w:t>招标文件要求盖章的内容，一般通过投标文件编制工具加盖电子签章。</w:t>
      </w:r>
    </w:p>
    <w:p>
      <w:pPr>
        <w:tabs>
          <w:tab w:val="left" w:pos="900"/>
          <w:tab w:val="left" w:pos="1080"/>
        </w:tabs>
        <w:snapToGrid w:val="0"/>
        <w:spacing w:line="360" w:lineRule="auto"/>
        <w:ind w:left="357"/>
        <w:rPr>
          <w:rFonts w:hint="eastAsia" w:ascii="宋体" w:hAnsi="宋体" w:cs="宋体"/>
          <w:color w:val="000000" w:themeColor="text1"/>
          <w14:textFill>
            <w14:solidFill>
              <w14:schemeClr w14:val="tx1"/>
            </w14:solidFill>
          </w14:textFill>
        </w:rPr>
      </w:pPr>
    </w:p>
    <w:p>
      <w:pPr>
        <w:pStyle w:val="4"/>
        <w:rPr>
          <w:rStyle w:val="463"/>
          <w:rFonts w:hint="default" w:ascii="宋体" w:hAnsi="宋体"/>
          <w:b/>
        </w:rPr>
      </w:pPr>
      <w:r>
        <w:rPr>
          <w:rStyle w:val="463"/>
          <w:rFonts w:hint="default" w:ascii="宋体" w:hAnsi="宋体"/>
          <w:b/>
        </w:rPr>
        <w:t>四   投标文件的提交</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p>
      <w:pPr>
        <w:numPr>
          <w:ilvl w:val="0"/>
          <w:numId w:val="9"/>
        </w:numPr>
        <w:tabs>
          <w:tab w:val="left" w:pos="360"/>
        </w:tabs>
        <w:snapToGrid w:val="0"/>
        <w:spacing w:line="360" w:lineRule="auto"/>
        <w:ind w:left="357" w:hanging="357"/>
        <w:rPr>
          <w:rFonts w:hint="eastAsia" w:ascii="宋体" w:hAnsi="宋体" w:cs="宋体"/>
          <w:color w:val="000000" w:themeColor="text1"/>
          <w:sz w:val="24"/>
          <w14:textFill>
            <w14:solidFill>
              <w14:schemeClr w14:val="tx1"/>
            </w14:solidFill>
          </w14:textFill>
        </w:rPr>
      </w:pPr>
      <w:bookmarkStart w:id="456" w:name="_Toc520356160"/>
      <w:bookmarkStart w:id="457" w:name="_Toc150509286"/>
      <w:bookmarkStart w:id="458" w:name="_Toc264969225"/>
      <w:bookmarkStart w:id="459" w:name="_Toc226309779"/>
      <w:bookmarkStart w:id="460" w:name="_Toc164229230"/>
      <w:bookmarkStart w:id="461" w:name="_Toc226965725"/>
      <w:bookmarkStart w:id="462" w:name="_Toc164608804"/>
      <w:bookmarkStart w:id="463" w:name="_Toc150774740"/>
      <w:bookmarkStart w:id="464" w:name="_Toc164608649"/>
      <w:bookmarkStart w:id="465" w:name="_Toc127161449"/>
      <w:bookmarkStart w:id="466" w:name="_Toc151193705"/>
      <w:bookmarkStart w:id="467" w:name="_Toc151193923"/>
      <w:bookmarkStart w:id="468" w:name="_Toc150480773"/>
      <w:bookmarkStart w:id="469" w:name="_Toc127151736"/>
      <w:bookmarkStart w:id="470" w:name="_Toc127151535"/>
      <w:bookmarkStart w:id="471" w:name="_Toc164351629"/>
      <w:bookmarkStart w:id="472" w:name="_Toc151193849"/>
      <w:bookmarkStart w:id="473" w:name="_Toc164229376"/>
      <w:bookmarkStart w:id="474" w:name="_Toc305158877"/>
      <w:bookmarkStart w:id="475" w:name="_Toc142311037"/>
      <w:bookmarkStart w:id="476" w:name="_Toc150774635"/>
      <w:bookmarkStart w:id="477" w:name="_Toc305158803"/>
      <w:bookmarkStart w:id="478" w:name="_Toc265228373"/>
      <w:bookmarkStart w:id="479" w:name="_Toc226965808"/>
      <w:bookmarkStart w:id="480" w:name="_Toc151193633"/>
      <w:bookmarkStart w:id="481" w:name="_Toc151193777"/>
      <w:bookmarkStart w:id="482" w:name="_Toc195842900"/>
      <w:bookmarkStart w:id="483" w:name="_Toc151190162"/>
      <w:bookmarkStart w:id="484" w:name="_Toc149720828"/>
      <w:bookmarkStart w:id="485" w:name="_Toc226337231"/>
      <w:r>
        <w:rPr>
          <w:rFonts w:hint="eastAsia" w:ascii="宋体" w:hAnsi="宋体" w:cs="宋体"/>
          <w:color w:val="000000" w:themeColor="text1"/>
          <w:sz w:val="24"/>
          <w14:textFill>
            <w14:solidFill>
              <w14:schemeClr w14:val="tx1"/>
            </w14:solidFill>
          </w14:textFill>
        </w:rPr>
        <w:t>投标文件的</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r>
        <w:rPr>
          <w:rFonts w:hint="eastAsia" w:ascii="宋体" w:hAnsi="宋体" w:cs="宋体"/>
          <w:color w:val="000000" w:themeColor="text1"/>
          <w:sz w:val="24"/>
          <w14:textFill>
            <w14:solidFill>
              <w14:schemeClr w14:val="tx1"/>
            </w14:solidFill>
          </w14:textFill>
        </w:rPr>
        <w:t>提交</w:t>
      </w:r>
    </w:p>
    <w:p>
      <w:pPr>
        <w:numPr>
          <w:ilvl w:val="1"/>
          <w:numId w:val="9"/>
        </w:numPr>
        <w:tabs>
          <w:tab w:val="left" w:pos="1080"/>
          <w:tab w:val="left" w:pos="2014"/>
        </w:tabs>
        <w:snapToGrid w:val="0"/>
        <w:spacing w:line="360" w:lineRule="auto"/>
        <w:ind w:left="1077" w:hanging="720"/>
        <w:rPr>
          <w:rFonts w:hint="eastAsia" w:ascii="宋体" w:hAnsi="宋体" w:cs="宋体"/>
          <w:b/>
          <w:color w:val="000000" w:themeColor="text1"/>
          <w:sz w:val="24"/>
          <w14:textFill>
            <w14:solidFill>
              <w14:schemeClr w14:val="tx1"/>
            </w14:solidFill>
          </w14:textFill>
        </w:rPr>
      </w:pPr>
      <w:r>
        <w:rPr>
          <w:rFonts w:ascii="宋体" w:hAnsi="宋体"/>
          <w:spacing w:val="2"/>
          <w:sz w:val="24"/>
        </w:rPr>
        <w:t>本项目使用北京市政府采购电子交易平台。投标人根据招标文件及电子交易</w:t>
      </w:r>
      <w:r>
        <w:rPr>
          <w:rFonts w:ascii="宋体" w:hAnsi="宋体"/>
          <w:sz w:val="24"/>
        </w:rPr>
        <w:t>平台供应商操作手册要求编制、生成并提交电子</w:t>
      </w:r>
      <w:r>
        <w:rPr>
          <w:rFonts w:ascii="宋体" w:hAnsi="宋体"/>
          <w:spacing w:val="-1"/>
          <w:sz w:val="24"/>
        </w:rPr>
        <w:t>投标文件。</w:t>
      </w:r>
    </w:p>
    <w:p>
      <w:pPr>
        <w:numPr>
          <w:ilvl w:val="1"/>
          <w:numId w:val="9"/>
        </w:numPr>
        <w:tabs>
          <w:tab w:val="left" w:pos="1080"/>
          <w:tab w:val="left" w:pos="2014"/>
        </w:tabs>
        <w:snapToGrid w:val="0"/>
        <w:spacing w:line="360" w:lineRule="auto"/>
        <w:ind w:left="1077" w:hanging="720"/>
        <w:rPr>
          <w:rFonts w:hint="eastAsia" w:ascii="宋体" w:hAnsi="宋体" w:cs="宋体"/>
          <w:b/>
          <w:color w:val="000000" w:themeColor="text1"/>
          <w:sz w:val="24"/>
          <w14:textFill>
            <w14:solidFill>
              <w14:schemeClr w14:val="tx1"/>
            </w14:solidFill>
          </w14:textFill>
        </w:rPr>
      </w:pPr>
      <w:r>
        <w:rPr>
          <w:rFonts w:ascii="宋体" w:hAnsi="宋体"/>
          <w:spacing w:val="3"/>
          <w:sz w:val="24"/>
        </w:rPr>
        <w:t>采购人及采购代理机构拒绝接受通过电子交易平台以外任何形式提交的</w:t>
      </w:r>
      <w:r>
        <w:rPr>
          <w:rFonts w:ascii="宋体" w:hAnsi="宋体"/>
          <w:spacing w:val="2"/>
          <w:sz w:val="24"/>
        </w:rPr>
        <w:t>投标</w:t>
      </w:r>
      <w:r>
        <w:rPr>
          <w:rFonts w:ascii="宋体" w:hAnsi="宋体"/>
          <w:spacing w:val="-1"/>
          <w:sz w:val="24"/>
        </w:rPr>
        <w:t>文件，投标保证金除外。</w:t>
      </w:r>
    </w:p>
    <w:p>
      <w:pPr>
        <w:numPr>
          <w:ilvl w:val="0"/>
          <w:numId w:val="9"/>
        </w:numPr>
        <w:tabs>
          <w:tab w:val="left" w:pos="360"/>
        </w:tabs>
        <w:snapToGrid w:val="0"/>
        <w:spacing w:line="360" w:lineRule="auto"/>
        <w:ind w:left="357" w:hanging="357"/>
        <w:rPr>
          <w:rFonts w:hint="eastAsia" w:ascii="宋体" w:hAnsi="宋体" w:cs="宋体"/>
          <w:color w:val="000000" w:themeColor="text1"/>
          <w:sz w:val="24"/>
          <w14:textFill>
            <w14:solidFill>
              <w14:schemeClr w14:val="tx1"/>
            </w14:solidFill>
          </w14:textFill>
        </w:rPr>
      </w:pPr>
      <w:bookmarkStart w:id="486" w:name="_Toc150480774"/>
      <w:bookmarkStart w:id="487" w:name="_Toc151193778"/>
      <w:bookmarkStart w:id="488" w:name="_Toc264969226"/>
      <w:bookmarkStart w:id="489" w:name="_Toc305158804"/>
      <w:bookmarkStart w:id="490" w:name="_Toc150774636"/>
      <w:bookmarkStart w:id="491" w:name="_Toc151193850"/>
      <w:bookmarkStart w:id="492" w:name="_Toc226965809"/>
      <w:bookmarkStart w:id="493" w:name="_Toc151190163"/>
      <w:bookmarkStart w:id="494" w:name="_Toc164608805"/>
      <w:bookmarkStart w:id="495" w:name="_Toc226309780"/>
      <w:bookmarkStart w:id="496" w:name="_Toc164229377"/>
      <w:bookmarkStart w:id="497" w:name="_Toc127161450"/>
      <w:bookmarkStart w:id="498" w:name="_Toc305158878"/>
      <w:bookmarkStart w:id="499" w:name="_Toc164229231"/>
      <w:bookmarkStart w:id="500" w:name="_Toc265228374"/>
      <w:bookmarkStart w:id="501" w:name="_Toc226337232"/>
      <w:bookmarkStart w:id="502" w:name="_Toc149720829"/>
      <w:bookmarkStart w:id="503" w:name="_Toc195842901"/>
      <w:bookmarkStart w:id="504" w:name="_Toc151193634"/>
      <w:bookmarkStart w:id="505" w:name="_Toc127151536"/>
      <w:bookmarkStart w:id="506" w:name="_Toc164351630"/>
      <w:bookmarkStart w:id="507" w:name="_Toc164608650"/>
      <w:bookmarkStart w:id="508" w:name="_Toc151193706"/>
      <w:bookmarkStart w:id="509" w:name="_Toc151193924"/>
      <w:bookmarkStart w:id="510" w:name="_Toc226965726"/>
      <w:bookmarkStart w:id="511" w:name="_Toc150509287"/>
      <w:bookmarkStart w:id="512" w:name="_Toc520356161"/>
      <w:bookmarkStart w:id="513" w:name="_Toc150774741"/>
      <w:bookmarkStart w:id="514" w:name="_Toc142311038"/>
      <w:bookmarkStart w:id="515" w:name="_Toc127151737"/>
      <w:r>
        <w:rPr>
          <w:rFonts w:hint="eastAsia" w:ascii="宋体" w:hAnsi="宋体" w:cs="宋体"/>
          <w:color w:val="000000" w:themeColor="text1"/>
          <w:sz w:val="24"/>
          <w14:textFill>
            <w14:solidFill>
              <w14:schemeClr w14:val="tx1"/>
            </w14:solidFill>
          </w14:textFill>
        </w:rPr>
        <w:t>投标截止</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r>
        <w:rPr>
          <w:rFonts w:hint="eastAsia" w:ascii="宋体" w:hAnsi="宋体" w:cs="宋体"/>
          <w:color w:val="000000" w:themeColor="text1"/>
          <w:sz w:val="24"/>
          <w14:textFill>
            <w14:solidFill>
              <w14:schemeClr w14:val="tx1"/>
            </w14:solidFill>
          </w14:textFill>
        </w:rPr>
        <w:t>时间</w:t>
      </w:r>
    </w:p>
    <w:p>
      <w:pPr>
        <w:numPr>
          <w:ilvl w:val="1"/>
          <w:numId w:val="9"/>
        </w:numPr>
        <w:tabs>
          <w:tab w:val="left" w:pos="1080"/>
          <w:tab w:val="left" w:pos="2014"/>
        </w:tabs>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投标人应在招标文件要求提交投标文件截止时间前，将电子投标文件</w:t>
      </w:r>
    </w:p>
    <w:p>
      <w:pPr>
        <w:tabs>
          <w:tab w:val="left" w:pos="1080"/>
          <w:tab w:val="left" w:pos="1589"/>
          <w:tab w:val="left" w:pos="2014"/>
        </w:tabs>
        <w:snapToGrid w:val="0"/>
        <w:spacing w:line="360" w:lineRule="auto"/>
        <w:ind w:left="1077"/>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提交至电子交易平台。</w:t>
      </w:r>
    </w:p>
    <w:p>
      <w:pPr>
        <w:numPr>
          <w:ilvl w:val="0"/>
          <w:numId w:val="9"/>
        </w:numPr>
        <w:tabs>
          <w:tab w:val="left" w:pos="360"/>
        </w:tabs>
        <w:snapToGrid w:val="0"/>
        <w:spacing w:line="360" w:lineRule="auto"/>
        <w:ind w:left="357" w:hanging="357"/>
        <w:rPr>
          <w:rFonts w:hint="eastAsia" w:ascii="宋体" w:hAnsi="宋体" w:cs="宋体"/>
          <w:color w:val="000000" w:themeColor="text1"/>
          <w:sz w:val="24"/>
          <w14:textFill>
            <w14:solidFill>
              <w14:schemeClr w14:val="tx1"/>
            </w14:solidFill>
          </w14:textFill>
        </w:rPr>
      </w:pPr>
      <w:bookmarkStart w:id="516" w:name="_Toc264969227"/>
      <w:bookmarkStart w:id="517" w:name="_Toc150509288"/>
      <w:bookmarkStart w:id="518" w:name="_Toc226965727"/>
      <w:bookmarkStart w:id="519" w:name="_Toc226337233"/>
      <w:bookmarkStart w:id="520" w:name="_Toc305158805"/>
      <w:bookmarkStart w:id="521" w:name="_Toc127161451"/>
      <w:bookmarkStart w:id="522" w:name="_Toc305158879"/>
      <w:bookmarkStart w:id="523" w:name="_Toc226309781"/>
      <w:bookmarkStart w:id="524" w:name="_Toc127151738"/>
      <w:bookmarkStart w:id="525" w:name="_Toc164351631"/>
      <w:bookmarkStart w:id="526" w:name="_Toc151193925"/>
      <w:bookmarkStart w:id="527" w:name="_Toc127151537"/>
      <w:bookmarkStart w:id="528" w:name="_Toc151190164"/>
      <w:bookmarkStart w:id="529" w:name="_Toc150480775"/>
      <w:bookmarkStart w:id="530" w:name="_Toc164229232"/>
      <w:bookmarkStart w:id="531" w:name="_Toc149720830"/>
      <w:bookmarkStart w:id="532" w:name="_Toc164608651"/>
      <w:bookmarkStart w:id="533" w:name="_Toc520356162"/>
      <w:bookmarkStart w:id="534" w:name="_Toc226965810"/>
      <w:bookmarkStart w:id="535" w:name="_Toc151193707"/>
      <w:bookmarkStart w:id="536" w:name="_Toc150774637"/>
      <w:bookmarkStart w:id="537" w:name="_Toc151193779"/>
      <w:bookmarkStart w:id="538" w:name="_Toc164229378"/>
      <w:bookmarkStart w:id="539" w:name="_Toc265228375"/>
      <w:bookmarkStart w:id="540" w:name="_Toc195842902"/>
      <w:bookmarkStart w:id="541" w:name="_Toc164608806"/>
      <w:bookmarkStart w:id="542" w:name="_Toc151193635"/>
      <w:bookmarkStart w:id="543" w:name="_Toc150774742"/>
      <w:bookmarkStart w:id="544" w:name="_Toc151193851"/>
      <w:bookmarkStart w:id="545" w:name="_Toc142311039"/>
      <w:r>
        <w:rPr>
          <w:rFonts w:hint="eastAsia" w:ascii="宋体" w:hAnsi="宋体" w:cs="宋体"/>
          <w:color w:val="000000" w:themeColor="text1"/>
          <w:sz w:val="24"/>
          <w14:textFill>
            <w14:solidFill>
              <w14:schemeClr w14:val="tx1"/>
            </w14:solidFill>
          </w14:textFill>
        </w:rPr>
        <w:t>投标文件的修改与撤回</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p>
    <w:p>
      <w:pPr>
        <w:numPr>
          <w:ilvl w:val="1"/>
          <w:numId w:val="9"/>
        </w:numPr>
        <w:tabs>
          <w:tab w:val="left" w:pos="1080"/>
          <w:tab w:val="left" w:pos="2014"/>
        </w:tabs>
        <w:snapToGrid w:val="0"/>
        <w:spacing w:line="360" w:lineRule="auto"/>
        <w:ind w:left="1077" w:hanging="720"/>
        <w:rPr>
          <w:rFonts w:hint="eastAsia" w:ascii="宋体" w:hAnsi="宋体" w:cs="宋体"/>
          <w:color w:val="000000" w:themeColor="text1"/>
          <w:sz w:val="24"/>
          <w14:textFill>
            <w14:solidFill>
              <w14:schemeClr w14:val="tx1"/>
            </w14:solidFill>
          </w14:textFill>
        </w:rPr>
      </w:pPr>
      <w:r>
        <w:rPr>
          <w:rFonts w:ascii="宋体" w:hAnsi="宋体"/>
          <w:spacing w:val="2"/>
          <w:sz w:val="24"/>
        </w:rPr>
        <w:t>投标截止时间前，投标人可以通过电子交易平台对</w:t>
      </w:r>
      <w:r>
        <w:rPr>
          <w:rFonts w:ascii="宋体" w:hAnsi="宋体"/>
          <w:spacing w:val="1"/>
          <w:sz w:val="24"/>
        </w:rPr>
        <w:t>所提交的投标文件进行补</w:t>
      </w:r>
      <w:r>
        <w:rPr>
          <w:rFonts w:ascii="宋体" w:hAnsi="宋体"/>
          <w:spacing w:val="-1"/>
          <w:sz w:val="24"/>
        </w:rPr>
        <w:t>充、修改或者撤回。投标保证金的补充、修改或者撤回无需通过电子交易平</w:t>
      </w:r>
      <w:r>
        <w:rPr>
          <w:rFonts w:ascii="宋体" w:hAnsi="宋体"/>
          <w:sz w:val="24"/>
        </w:rPr>
        <w:t>台，但应就其补充、修改或者撤回通知采购人或</w:t>
      </w:r>
      <w:r>
        <w:rPr>
          <w:rFonts w:ascii="宋体" w:hAnsi="宋体"/>
          <w:spacing w:val="-1"/>
          <w:sz w:val="24"/>
        </w:rPr>
        <w:t>采购代理机构。</w:t>
      </w:r>
    </w:p>
    <w:p>
      <w:pPr>
        <w:numPr>
          <w:ilvl w:val="1"/>
          <w:numId w:val="9"/>
        </w:numPr>
        <w:tabs>
          <w:tab w:val="left" w:pos="1080"/>
          <w:tab w:val="left" w:pos="2014"/>
        </w:tabs>
        <w:snapToGrid w:val="0"/>
        <w:spacing w:line="360" w:lineRule="auto"/>
        <w:ind w:left="1077"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投标人对投标文件的补充、修改的内容应当按照招标文件要求签署、盖章，作为投标文件的组成部分。</w:t>
      </w:r>
    </w:p>
    <w:p>
      <w:pPr>
        <w:spacing w:line="360" w:lineRule="auto"/>
        <w:rPr>
          <w:rFonts w:hint="eastAsia" w:ascii="宋体" w:hAnsi="宋体" w:cs="宋体"/>
          <w:color w:val="000000" w:themeColor="text1"/>
          <w:sz w:val="24"/>
          <w14:textFill>
            <w14:solidFill>
              <w14:schemeClr w14:val="tx1"/>
            </w14:solidFill>
          </w14:textFill>
        </w:rPr>
      </w:pPr>
    </w:p>
    <w:p>
      <w:pPr>
        <w:pStyle w:val="4"/>
        <w:rPr>
          <w:rStyle w:val="463"/>
          <w:rFonts w:hint="default" w:ascii="宋体" w:hAnsi="宋体"/>
          <w:b/>
        </w:rPr>
      </w:pPr>
      <w:bookmarkStart w:id="546" w:name="_Toc151193852"/>
      <w:bookmarkStart w:id="547" w:name="_Toc142311040"/>
      <w:bookmarkStart w:id="548" w:name="_Toc305158880"/>
      <w:bookmarkStart w:id="549" w:name="_Toc151190165"/>
      <w:bookmarkStart w:id="550" w:name="_Toc151193926"/>
      <w:bookmarkStart w:id="551" w:name="_Toc226337234"/>
      <w:bookmarkStart w:id="552" w:name="_Toc150480776"/>
      <w:bookmarkStart w:id="553" w:name="_Toc520356163"/>
      <w:bookmarkStart w:id="554" w:name="_Toc226965728"/>
      <w:bookmarkStart w:id="555" w:name="_Toc195842903"/>
      <w:bookmarkStart w:id="556" w:name="_Toc150774743"/>
      <w:bookmarkStart w:id="557" w:name="_Toc151193708"/>
      <w:bookmarkStart w:id="558" w:name="_Toc226309782"/>
      <w:bookmarkStart w:id="559" w:name="_Toc150774638"/>
      <w:bookmarkStart w:id="560" w:name="_Toc151193636"/>
      <w:bookmarkStart w:id="561" w:name="_Toc265228376"/>
      <w:bookmarkStart w:id="562" w:name="_Toc151193780"/>
      <w:bookmarkStart w:id="563" w:name="_Toc226965811"/>
      <w:bookmarkStart w:id="564" w:name="_Toc150509289"/>
      <w:bookmarkStart w:id="565" w:name="_Toc305158806"/>
      <w:bookmarkStart w:id="566" w:name="_Toc264969228"/>
      <w:bookmarkStart w:id="567" w:name="_Toc127151538"/>
      <w:r>
        <w:rPr>
          <w:rStyle w:val="463"/>
          <w:rFonts w:hint="default" w:ascii="宋体" w:hAnsi="宋体"/>
          <w:b/>
        </w:rPr>
        <w:t>五   开标、资格审查及评标</w: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pPr>
        <w:numPr>
          <w:ilvl w:val="0"/>
          <w:numId w:val="9"/>
        </w:numPr>
        <w:tabs>
          <w:tab w:val="left" w:pos="360"/>
        </w:tabs>
        <w:snapToGrid w:val="0"/>
        <w:spacing w:line="360" w:lineRule="auto"/>
        <w:ind w:left="357" w:hanging="357"/>
        <w:rPr>
          <w:rFonts w:hint="eastAsia" w:ascii="宋体" w:hAnsi="宋体" w:cs="宋体"/>
          <w:color w:val="000000" w:themeColor="text1"/>
          <w:sz w:val="24"/>
          <w14:textFill>
            <w14:solidFill>
              <w14:schemeClr w14:val="tx1"/>
            </w14:solidFill>
          </w14:textFill>
        </w:rPr>
      </w:pPr>
      <w:bookmarkStart w:id="568" w:name="_Toc151193927"/>
      <w:bookmarkStart w:id="569" w:name="_Toc142311041"/>
      <w:bookmarkStart w:id="570" w:name="_Toc127151740"/>
      <w:bookmarkStart w:id="571" w:name="_Toc264969229"/>
      <w:bookmarkStart w:id="572" w:name="_Toc151193709"/>
      <w:bookmarkStart w:id="573" w:name="_Toc164351633"/>
      <w:bookmarkStart w:id="574" w:name="_Toc226965812"/>
      <w:bookmarkStart w:id="575" w:name="_Toc164608653"/>
      <w:bookmarkStart w:id="576" w:name="_Toc150509290"/>
      <w:bookmarkStart w:id="577" w:name="_Toc150774744"/>
      <w:bookmarkStart w:id="578" w:name="_Toc151193637"/>
      <w:bookmarkStart w:id="579" w:name="_Toc127151539"/>
      <w:bookmarkStart w:id="580" w:name="_Toc150774639"/>
      <w:bookmarkStart w:id="581" w:name="_Toc149720832"/>
      <w:bookmarkStart w:id="582" w:name="_Toc151190166"/>
      <w:bookmarkStart w:id="583" w:name="_Toc151193853"/>
      <w:bookmarkStart w:id="584" w:name="_Toc305158807"/>
      <w:bookmarkStart w:id="585" w:name="_Toc150480777"/>
      <w:bookmarkStart w:id="586" w:name="_Toc164608808"/>
      <w:bookmarkStart w:id="587" w:name="_Toc127161453"/>
      <w:bookmarkStart w:id="588" w:name="_Toc195842904"/>
      <w:bookmarkStart w:id="589" w:name="_Toc151193781"/>
      <w:bookmarkStart w:id="590" w:name="_Toc164229234"/>
      <w:bookmarkStart w:id="591" w:name="_Toc226337235"/>
      <w:bookmarkStart w:id="592" w:name="_Toc305158881"/>
      <w:bookmarkStart w:id="593" w:name="_Toc226965729"/>
      <w:bookmarkStart w:id="594" w:name="_Toc164229380"/>
      <w:bookmarkStart w:id="595" w:name="_Toc520356164"/>
      <w:bookmarkStart w:id="596" w:name="_Toc226309783"/>
      <w:bookmarkStart w:id="597" w:name="_Toc265228377"/>
      <w:r>
        <w:rPr>
          <w:rFonts w:hint="eastAsia" w:ascii="宋体" w:hAnsi="宋体" w:cs="宋体"/>
          <w:color w:val="000000" w:themeColor="text1"/>
          <w:sz w:val="24"/>
          <w14:textFill>
            <w14:solidFill>
              <w14:schemeClr w14:val="tx1"/>
            </w14:solidFill>
          </w14:textFill>
        </w:rPr>
        <w:t>开标</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p>
      <w:pPr>
        <w:numPr>
          <w:ilvl w:val="1"/>
          <w:numId w:val="9"/>
        </w:numPr>
        <w:tabs>
          <w:tab w:val="left" w:pos="1080"/>
          <w:tab w:val="left" w:pos="2014"/>
        </w:tabs>
        <w:snapToGrid w:val="0"/>
        <w:spacing w:line="360" w:lineRule="auto"/>
        <w:ind w:left="1077"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采购人或采购代理机构将按招标文件的规定，在投标截止时间的同一时间和招标文件预先确定的地点组织开标。</w:t>
      </w:r>
    </w:p>
    <w:p>
      <w:pPr>
        <w:numPr>
          <w:ilvl w:val="1"/>
          <w:numId w:val="9"/>
        </w:numPr>
        <w:tabs>
          <w:tab w:val="left" w:pos="1080"/>
          <w:tab w:val="left" w:pos="2014"/>
        </w:tabs>
        <w:snapToGrid w:val="0"/>
        <w:spacing w:line="360" w:lineRule="auto"/>
        <w:ind w:left="1077" w:hanging="720"/>
        <w:rPr>
          <w:rFonts w:hint="eastAsia" w:ascii="宋体" w:hAnsi="宋体" w:cs="宋体"/>
          <w:color w:val="000000" w:themeColor="text1"/>
          <w:sz w:val="24"/>
          <w14:textFill>
            <w14:solidFill>
              <w14:schemeClr w14:val="tx1"/>
            </w14:solidFill>
          </w14:textFill>
        </w:rPr>
      </w:pPr>
      <w:bookmarkStart w:id="598" w:name="_Toc520356165"/>
      <w:r>
        <w:rPr>
          <w:rFonts w:ascii="宋体" w:hAnsi="宋体"/>
          <w:spacing w:val="2"/>
          <w:sz w:val="24"/>
        </w:rPr>
        <w:t>本项目开标使用北京市政府采购电子交易平台。投标人应在《投标人须知资</w:t>
      </w:r>
      <w:r>
        <w:rPr>
          <w:rFonts w:ascii="宋体" w:hAnsi="宋体"/>
          <w:spacing w:val="1"/>
          <w:sz w:val="24"/>
        </w:rPr>
        <w:t>料表》规定的时间内对投标文件进行解密，因非系统原因导致的解密失败，</w:t>
      </w:r>
      <w:r>
        <w:rPr>
          <w:rFonts w:ascii="宋体" w:hAnsi="宋体"/>
          <w:spacing w:val="-1"/>
          <w:sz w:val="24"/>
        </w:rPr>
        <w:t>视为</w:t>
      </w:r>
      <w:r>
        <w:rPr>
          <w:rFonts w:ascii="宋体" w:hAnsi="宋体"/>
          <w:b/>
          <w:bCs/>
          <w:spacing w:val="-1"/>
          <w:sz w:val="24"/>
        </w:rPr>
        <w:t>投标无效</w:t>
      </w:r>
      <w:r>
        <w:rPr>
          <w:rFonts w:ascii="宋体" w:hAnsi="宋体"/>
          <w:spacing w:val="-1"/>
          <w:sz w:val="24"/>
        </w:rPr>
        <w:t>。</w:t>
      </w:r>
    </w:p>
    <w:p>
      <w:pPr>
        <w:numPr>
          <w:ilvl w:val="1"/>
          <w:numId w:val="9"/>
        </w:numPr>
        <w:tabs>
          <w:tab w:val="left" w:pos="1080"/>
          <w:tab w:val="left" w:pos="2014"/>
        </w:tabs>
        <w:snapToGrid w:val="0"/>
        <w:spacing w:line="360" w:lineRule="auto"/>
        <w:ind w:left="1077" w:hanging="720"/>
        <w:rPr>
          <w:rFonts w:hint="eastAsia" w:ascii="宋体" w:hAnsi="宋体" w:cs="宋体"/>
          <w:color w:val="000000" w:themeColor="text1"/>
          <w:sz w:val="24"/>
          <w14:textFill>
            <w14:solidFill>
              <w14:schemeClr w14:val="tx1"/>
            </w14:solidFill>
          </w14:textFill>
        </w:rPr>
      </w:pPr>
      <w:r>
        <w:rPr>
          <w:rFonts w:ascii="宋体" w:hAnsi="宋体"/>
          <w:spacing w:val="2"/>
          <w:sz w:val="24"/>
        </w:rPr>
        <w:t>开标过程将使用电子交易平台宣布投标人名称、投标价格和招标文件规定的</w:t>
      </w:r>
      <w:r>
        <w:rPr>
          <w:rFonts w:ascii="宋体" w:hAnsi="宋体"/>
          <w:spacing w:val="1"/>
          <w:sz w:val="24"/>
        </w:rPr>
        <w:t>需要宣布的其他内容并进行记录，并由参加开标的各投标人确认。投标人未</w:t>
      </w:r>
      <w:r>
        <w:rPr>
          <w:rFonts w:ascii="宋体" w:hAnsi="宋体"/>
          <w:sz w:val="24"/>
        </w:rPr>
        <w:t>在规定时间内提出疑义或确认一览表的，视同认可</w:t>
      </w:r>
      <w:r>
        <w:rPr>
          <w:rFonts w:ascii="宋体" w:hAnsi="宋体"/>
          <w:spacing w:val="-1"/>
          <w:sz w:val="24"/>
        </w:rPr>
        <w:t>开标结果。</w:t>
      </w:r>
    </w:p>
    <w:p>
      <w:pPr>
        <w:numPr>
          <w:ilvl w:val="1"/>
          <w:numId w:val="9"/>
        </w:numPr>
        <w:tabs>
          <w:tab w:val="left" w:pos="1080"/>
          <w:tab w:val="left" w:pos="2014"/>
        </w:tabs>
        <w:snapToGrid w:val="0"/>
        <w:spacing w:line="360" w:lineRule="auto"/>
        <w:ind w:left="1077" w:hanging="720"/>
        <w:rPr>
          <w:rFonts w:hint="eastAsia" w:ascii="宋体" w:hAnsi="宋体" w:cs="宋体"/>
          <w:color w:val="000000" w:themeColor="text1"/>
          <w:sz w:val="24"/>
          <w14:textFill>
            <w14:solidFill>
              <w14:schemeClr w14:val="tx1"/>
            </w14:solidFill>
          </w14:textFill>
        </w:rPr>
      </w:pPr>
      <w:r>
        <w:rPr>
          <w:rFonts w:ascii="宋体" w:hAnsi="宋体"/>
          <w:spacing w:val="2"/>
          <w:sz w:val="24"/>
        </w:rPr>
        <w:t>投标人对开标过程和开标记录有疑义，</w:t>
      </w:r>
      <w:r>
        <w:rPr>
          <w:rFonts w:ascii="宋体" w:hAnsi="宋体"/>
          <w:spacing w:val="-50"/>
          <w:sz w:val="24"/>
        </w:rPr>
        <w:t xml:space="preserve"> </w:t>
      </w:r>
      <w:r>
        <w:rPr>
          <w:rFonts w:ascii="宋体" w:hAnsi="宋体"/>
          <w:spacing w:val="1"/>
          <w:sz w:val="24"/>
        </w:rPr>
        <w:t>以及认为采购人、采购代理机构相关</w:t>
      </w:r>
      <w:r>
        <w:rPr>
          <w:rFonts w:ascii="宋体" w:hAnsi="宋体"/>
          <w:sz w:val="24"/>
        </w:rPr>
        <w:t>工作人员有需要回避的情形的，应当场提出询问或者回避申请。采购人、采购代理机构对投标人提出的询问或者回避申</w:t>
      </w:r>
      <w:r>
        <w:rPr>
          <w:rFonts w:ascii="宋体" w:hAnsi="宋体"/>
          <w:spacing w:val="-1"/>
          <w:sz w:val="24"/>
        </w:rPr>
        <w:t>请将及时处理。</w:t>
      </w:r>
    </w:p>
    <w:p>
      <w:pPr>
        <w:numPr>
          <w:ilvl w:val="1"/>
          <w:numId w:val="9"/>
        </w:numPr>
        <w:tabs>
          <w:tab w:val="left" w:pos="1080"/>
          <w:tab w:val="left" w:pos="2014"/>
        </w:tabs>
        <w:snapToGrid w:val="0"/>
        <w:spacing w:line="360" w:lineRule="auto"/>
        <w:ind w:left="1077"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投标人不足3家的，不予开标。</w:t>
      </w:r>
    </w:p>
    <w:p>
      <w:pPr>
        <w:numPr>
          <w:ilvl w:val="0"/>
          <w:numId w:val="9"/>
        </w:numPr>
        <w:tabs>
          <w:tab w:val="left" w:pos="360"/>
        </w:tabs>
        <w:snapToGrid w:val="0"/>
        <w:spacing w:line="360" w:lineRule="auto"/>
        <w:ind w:left="357" w:hanging="357"/>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资格审查</w:t>
      </w:r>
    </w:p>
    <w:p>
      <w:pPr>
        <w:numPr>
          <w:ilvl w:val="1"/>
          <w:numId w:val="9"/>
        </w:numPr>
        <w:tabs>
          <w:tab w:val="left" w:pos="1080"/>
          <w:tab w:val="left" w:pos="2014"/>
        </w:tabs>
        <w:snapToGrid w:val="0"/>
        <w:spacing w:line="360" w:lineRule="auto"/>
        <w:ind w:left="1077"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见第三章《资格审查》。</w:t>
      </w:r>
    </w:p>
    <w:bookmarkEnd w:id="598"/>
    <w:p>
      <w:pPr>
        <w:numPr>
          <w:ilvl w:val="0"/>
          <w:numId w:val="9"/>
        </w:numPr>
        <w:tabs>
          <w:tab w:val="left" w:pos="360"/>
        </w:tabs>
        <w:snapToGrid w:val="0"/>
        <w:spacing w:line="360" w:lineRule="auto"/>
        <w:ind w:left="357" w:hanging="357"/>
        <w:rPr>
          <w:rFonts w:hint="eastAsia" w:ascii="宋体" w:hAnsi="宋体" w:cs="宋体"/>
          <w:color w:val="000000" w:themeColor="text1"/>
          <w:sz w:val="24"/>
          <w14:textFill>
            <w14:solidFill>
              <w14:schemeClr w14:val="tx1"/>
            </w14:solidFill>
          </w14:textFill>
        </w:rPr>
      </w:pPr>
      <w:bookmarkStart w:id="599" w:name="_Toc127151540"/>
      <w:bookmarkStart w:id="600" w:name="_Toc305158808"/>
      <w:bookmarkStart w:id="601" w:name="_Toc127161454"/>
      <w:bookmarkStart w:id="602" w:name="_Toc305158882"/>
      <w:bookmarkStart w:id="603" w:name="_Toc226309784"/>
      <w:bookmarkStart w:id="604" w:name="_Toc265228378"/>
      <w:bookmarkStart w:id="605" w:name="_Toc150509291"/>
      <w:bookmarkStart w:id="606" w:name="_Toc226965730"/>
      <w:bookmarkStart w:id="607" w:name="_Toc151193782"/>
      <w:bookmarkStart w:id="608" w:name="_Toc164608654"/>
      <w:bookmarkStart w:id="609" w:name="_Toc164229381"/>
      <w:bookmarkStart w:id="610" w:name="_Toc164608809"/>
      <w:bookmarkStart w:id="611" w:name="_Toc226965813"/>
      <w:bookmarkStart w:id="612" w:name="_Toc151193638"/>
      <w:bookmarkStart w:id="613" w:name="_Toc164229235"/>
      <w:bookmarkStart w:id="614" w:name="_Toc149720833"/>
      <w:bookmarkStart w:id="615" w:name="_Toc151193710"/>
      <w:bookmarkStart w:id="616" w:name="_Toc151193854"/>
      <w:bookmarkStart w:id="617" w:name="_Toc164351634"/>
      <w:bookmarkStart w:id="618" w:name="_Toc142311042"/>
      <w:bookmarkStart w:id="619" w:name="_Toc195842905"/>
      <w:bookmarkStart w:id="620" w:name="_Toc264969230"/>
      <w:bookmarkStart w:id="621" w:name="_Toc150774745"/>
      <w:bookmarkStart w:id="622" w:name="_Toc150774640"/>
      <w:bookmarkStart w:id="623" w:name="_Toc150480778"/>
      <w:bookmarkStart w:id="624" w:name="_Toc127151741"/>
      <w:bookmarkStart w:id="625" w:name="_Toc226337236"/>
      <w:bookmarkStart w:id="626" w:name="_Toc151193928"/>
      <w:bookmarkStart w:id="627" w:name="_Toc151190167"/>
      <w:r>
        <w:rPr>
          <w:rFonts w:hint="eastAsia" w:ascii="宋体" w:hAnsi="宋体" w:cs="宋体"/>
          <w:color w:val="000000" w:themeColor="text1"/>
          <w:sz w:val="24"/>
          <w14:textFill>
            <w14:solidFill>
              <w14:schemeClr w14:val="tx1"/>
            </w14:solidFill>
          </w14:textFill>
        </w:rPr>
        <w:t>评标委员会</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p>
      <w:pPr>
        <w:numPr>
          <w:ilvl w:val="1"/>
          <w:numId w:val="9"/>
        </w:numPr>
        <w:tabs>
          <w:tab w:val="left" w:pos="1080"/>
          <w:tab w:val="left" w:pos="2014"/>
        </w:tabs>
        <w:snapToGrid w:val="0"/>
        <w:spacing w:line="360" w:lineRule="auto"/>
        <w:ind w:left="1077"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评标委员会根据政府采购有关规定和本次采购项目的特点进行组建，并负责具体评标事务，独立履行职责。</w:t>
      </w:r>
      <w:bookmarkStart w:id="628" w:name="_Toc520356166"/>
    </w:p>
    <w:p>
      <w:pPr>
        <w:numPr>
          <w:ilvl w:val="1"/>
          <w:numId w:val="9"/>
        </w:numPr>
        <w:tabs>
          <w:tab w:val="left" w:pos="1080"/>
          <w:tab w:val="left" w:pos="2014"/>
        </w:tabs>
        <w:snapToGrid w:val="0"/>
        <w:spacing w:line="360" w:lineRule="auto"/>
        <w:ind w:left="1077"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审专家须符合《财政部关于在政府采购活动中查询及使用信用记录有关问题的通知》（财库〔2016〕125号）的规定。依法自行选定评审专家的，采购人和采购代理机构将查询有关信用记录，对具有行贿、受贿、欺诈等不良信用记录的人员，拒绝其参与政府采购活动。</w:t>
      </w:r>
      <w:bookmarkEnd w:id="628"/>
      <w:bookmarkStart w:id="629" w:name="_Toc520356169"/>
    </w:p>
    <w:p>
      <w:pPr>
        <w:numPr>
          <w:ilvl w:val="0"/>
          <w:numId w:val="9"/>
        </w:numPr>
        <w:tabs>
          <w:tab w:val="left" w:pos="360"/>
        </w:tabs>
        <w:snapToGrid w:val="0"/>
        <w:spacing w:line="360" w:lineRule="auto"/>
        <w:ind w:left="357" w:hanging="357"/>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评标程序、评标方法和评标标准</w:t>
      </w:r>
    </w:p>
    <w:p>
      <w:pPr>
        <w:numPr>
          <w:ilvl w:val="1"/>
          <w:numId w:val="9"/>
        </w:numPr>
        <w:tabs>
          <w:tab w:val="left" w:pos="1080"/>
          <w:tab w:val="left" w:pos="2014"/>
        </w:tabs>
        <w:snapToGrid w:val="0"/>
        <w:spacing w:line="360" w:lineRule="auto"/>
        <w:ind w:left="1077"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见第四章《评标程序、评标方法和评标标准》。</w:t>
      </w:r>
    </w:p>
    <w:p>
      <w:pPr>
        <w:tabs>
          <w:tab w:val="left" w:pos="360"/>
          <w:tab w:val="left" w:pos="1080"/>
        </w:tabs>
        <w:snapToGrid w:val="0"/>
        <w:spacing w:line="360" w:lineRule="auto"/>
        <w:ind w:left="1080"/>
        <w:rPr>
          <w:rFonts w:hint="eastAsia" w:ascii="宋体" w:hAnsi="宋体" w:cs="宋体"/>
          <w:color w:val="000000" w:themeColor="text1"/>
          <w:sz w:val="24"/>
          <w14:textFill>
            <w14:solidFill>
              <w14:schemeClr w14:val="tx1"/>
            </w14:solidFill>
          </w14:textFill>
        </w:rPr>
      </w:pPr>
    </w:p>
    <w:p>
      <w:pPr>
        <w:pStyle w:val="4"/>
        <w:rPr>
          <w:rStyle w:val="463"/>
          <w:rFonts w:hint="default" w:ascii="宋体" w:hAnsi="宋体"/>
          <w:b/>
        </w:rPr>
      </w:pPr>
      <w:bookmarkStart w:id="630" w:name="_Toc151193715"/>
      <w:bookmarkStart w:id="631" w:name="_Toc305158887"/>
      <w:bookmarkStart w:id="632" w:name="_Toc151190172"/>
      <w:bookmarkStart w:id="633" w:name="_Toc150480783"/>
      <w:bookmarkStart w:id="634" w:name="_Toc151193643"/>
      <w:bookmarkStart w:id="635" w:name="_Toc150509296"/>
      <w:bookmarkStart w:id="636" w:name="_Toc305158813"/>
      <w:bookmarkStart w:id="637" w:name="_Toc127151545"/>
      <w:bookmarkStart w:id="638" w:name="_Toc142311047"/>
      <w:bookmarkStart w:id="639" w:name="_Toc195842910"/>
      <w:bookmarkStart w:id="640" w:name="_Toc151193933"/>
      <w:bookmarkStart w:id="641" w:name="_Toc226965818"/>
      <w:bookmarkStart w:id="642" w:name="_Toc264969235"/>
      <w:bookmarkStart w:id="643" w:name="_Toc226965735"/>
      <w:bookmarkStart w:id="644" w:name="_Toc150774645"/>
      <w:bookmarkStart w:id="645" w:name="_Toc151193859"/>
      <w:bookmarkStart w:id="646" w:name="_Toc226337241"/>
      <w:bookmarkStart w:id="647" w:name="_Toc265228383"/>
      <w:bookmarkStart w:id="648" w:name="_Toc226309789"/>
      <w:bookmarkStart w:id="649" w:name="_Toc151193787"/>
      <w:bookmarkStart w:id="650" w:name="_Toc150774750"/>
      <w:r>
        <w:rPr>
          <w:rStyle w:val="463"/>
          <w:rFonts w:hint="default" w:ascii="宋体" w:hAnsi="宋体"/>
          <w:b/>
        </w:rPr>
        <w:t xml:space="preserve">六   </w:t>
      </w:r>
      <w:bookmarkEnd w:id="629"/>
      <w:r>
        <w:rPr>
          <w:rStyle w:val="463"/>
          <w:rFonts w:hint="default" w:ascii="宋体" w:hAnsi="宋体"/>
          <w:b/>
        </w:rPr>
        <w:t>确定中标</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Start w:id="651" w:name="_Toc150774752"/>
      <w:bookmarkStart w:id="652" w:name="_Toc264969237"/>
      <w:bookmarkStart w:id="653" w:name="_Toc127151748"/>
      <w:bookmarkStart w:id="654" w:name="_Toc127161461"/>
      <w:bookmarkStart w:id="655" w:name="_Toc164351641"/>
      <w:bookmarkStart w:id="656" w:name="_Toc164229242"/>
      <w:bookmarkStart w:id="657" w:name="_Toc151193717"/>
      <w:bookmarkStart w:id="658" w:name="_Toc195842912"/>
      <w:bookmarkStart w:id="659" w:name="_Toc305158815"/>
      <w:bookmarkStart w:id="660" w:name="_Toc151193645"/>
      <w:bookmarkStart w:id="661" w:name="_Toc265228385"/>
      <w:bookmarkStart w:id="662" w:name="_Toc226309791"/>
      <w:bookmarkStart w:id="663" w:name="_Toc151193935"/>
      <w:bookmarkStart w:id="664" w:name="_Toc164608661"/>
      <w:bookmarkStart w:id="665" w:name="_Toc150509298"/>
      <w:bookmarkStart w:id="666" w:name="_Toc151193789"/>
      <w:bookmarkStart w:id="667" w:name="_Toc127151547"/>
      <w:bookmarkStart w:id="668" w:name="_Toc226965820"/>
      <w:bookmarkStart w:id="669" w:name="_Toc151190174"/>
      <w:bookmarkStart w:id="670" w:name="_Toc164229388"/>
      <w:bookmarkStart w:id="671" w:name="_Toc164608816"/>
      <w:bookmarkStart w:id="672" w:name="_Toc149720840"/>
      <w:bookmarkStart w:id="673" w:name="_Toc305158889"/>
      <w:bookmarkStart w:id="674" w:name="_Toc150774647"/>
      <w:bookmarkStart w:id="675" w:name="_Toc142311049"/>
      <w:bookmarkStart w:id="676" w:name="_Toc226965737"/>
      <w:bookmarkStart w:id="677" w:name="_Toc226337243"/>
      <w:bookmarkStart w:id="678" w:name="_Toc151193861"/>
      <w:bookmarkStart w:id="679" w:name="_Toc150480785"/>
    </w:p>
    <w:p>
      <w:pPr>
        <w:numPr>
          <w:ilvl w:val="0"/>
          <w:numId w:val="9"/>
        </w:numPr>
        <w:tabs>
          <w:tab w:val="left" w:pos="360"/>
        </w:tabs>
        <w:snapToGrid w:val="0"/>
        <w:spacing w:line="360" w:lineRule="auto"/>
        <w:ind w:left="357" w:hanging="357"/>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确定中标人</w:t>
      </w:r>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pPr>
        <w:numPr>
          <w:ilvl w:val="1"/>
          <w:numId w:val="9"/>
        </w:numPr>
        <w:tabs>
          <w:tab w:val="left" w:pos="1080"/>
          <w:tab w:val="left" w:pos="2014"/>
        </w:tabs>
        <w:snapToGrid w:val="0"/>
        <w:spacing w:line="360" w:lineRule="auto"/>
        <w:ind w:left="1077"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将在评标报告确定的中标候选人名单中按顺序确定中标人，中标候选人并列的，由采购人或者采购人委托评标委员会按照招标文件规定的方式确定中标人；招标文件未规定的，采取随机抽取的方式确定。采购人是否委托评标委员会直接确定中标人，见《投标人须知资料表》。中标候选人并列的，按照《投标人须知资料表》要求确定中标人。</w:t>
      </w:r>
    </w:p>
    <w:p>
      <w:pPr>
        <w:numPr>
          <w:ilvl w:val="0"/>
          <w:numId w:val="9"/>
        </w:numPr>
        <w:tabs>
          <w:tab w:val="left" w:pos="360"/>
        </w:tabs>
        <w:snapToGrid w:val="0"/>
        <w:spacing w:line="360" w:lineRule="auto"/>
        <w:ind w:left="357" w:hanging="357"/>
        <w:rPr>
          <w:rFonts w:hint="eastAsia" w:ascii="宋体" w:hAnsi="宋体" w:cs="宋体"/>
          <w:color w:val="000000" w:themeColor="text1"/>
          <w:sz w:val="24"/>
          <w14:textFill>
            <w14:solidFill>
              <w14:schemeClr w14:val="tx1"/>
            </w14:solidFill>
          </w14:textFill>
        </w:rPr>
      </w:pPr>
      <w:bookmarkStart w:id="680" w:name="_Toc305158891"/>
      <w:bookmarkStart w:id="681" w:name="_Toc305158817"/>
      <w:bookmarkStart w:id="682" w:name="_Toc150509300"/>
      <w:bookmarkStart w:id="683" w:name="_Toc226965822"/>
      <w:bookmarkStart w:id="684" w:name="_Toc149720842"/>
      <w:bookmarkStart w:id="685" w:name="_Toc142311051"/>
      <w:bookmarkStart w:id="686" w:name="_Toc127151549"/>
      <w:bookmarkStart w:id="687" w:name="_Toc151190176"/>
      <w:bookmarkStart w:id="688" w:name="_Toc264969239"/>
      <w:bookmarkStart w:id="689" w:name="_Toc150774649"/>
      <w:bookmarkStart w:id="690" w:name="_Toc151193863"/>
      <w:bookmarkStart w:id="691" w:name="_Toc164608818"/>
      <w:bookmarkStart w:id="692" w:name="_Toc265228387"/>
      <w:bookmarkStart w:id="693" w:name="_Toc150480787"/>
      <w:bookmarkStart w:id="694" w:name="_Toc164351643"/>
      <w:bookmarkStart w:id="695" w:name="_Toc226965739"/>
      <w:bookmarkStart w:id="696" w:name="_Toc151193647"/>
      <w:bookmarkStart w:id="697" w:name="_Toc151193719"/>
      <w:bookmarkStart w:id="698" w:name="_Toc164608663"/>
      <w:bookmarkStart w:id="699" w:name="_Toc164229244"/>
      <w:bookmarkStart w:id="700" w:name="_Toc150774754"/>
      <w:bookmarkStart w:id="701" w:name="_Toc127151750"/>
      <w:bookmarkStart w:id="702" w:name="_Toc151193937"/>
      <w:bookmarkStart w:id="703" w:name="_Toc195842914"/>
      <w:bookmarkStart w:id="704" w:name="_Toc127161463"/>
      <w:bookmarkStart w:id="705" w:name="_Toc226309793"/>
      <w:bookmarkStart w:id="706" w:name="_Toc151193791"/>
      <w:bookmarkStart w:id="707" w:name="_Toc164229390"/>
      <w:bookmarkStart w:id="708" w:name="_Toc226337245"/>
      <w:bookmarkStart w:id="709" w:name="_Ref467306425"/>
      <w:bookmarkStart w:id="710" w:name="_Toc520356176"/>
      <w:bookmarkStart w:id="711" w:name="_Ref467307090"/>
      <w:r>
        <w:rPr>
          <w:rFonts w:hint="eastAsia" w:ascii="宋体" w:hAnsi="宋体" w:cs="宋体"/>
          <w:color w:val="000000" w:themeColor="text1"/>
          <w:sz w:val="24"/>
          <w14:textFill>
            <w14:solidFill>
              <w14:schemeClr w14:val="tx1"/>
            </w14:solidFill>
          </w14:textFill>
        </w:rPr>
        <w:t>中标公告与中标通知书</w:t>
      </w:r>
      <w:bookmarkEnd w:id="680"/>
      <w:bookmarkEnd w:id="681"/>
    </w:p>
    <w:p>
      <w:pPr>
        <w:numPr>
          <w:ilvl w:val="1"/>
          <w:numId w:val="9"/>
        </w:numPr>
        <w:tabs>
          <w:tab w:val="left" w:pos="1080"/>
          <w:tab w:val="left" w:pos="2014"/>
        </w:tabs>
        <w:snapToGrid w:val="0"/>
        <w:spacing w:line="360" w:lineRule="auto"/>
        <w:ind w:left="1077"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采购人或采购代理机构自中标人确定之日起2个工作日内，</w:t>
      </w:r>
      <w:r>
        <w:rPr>
          <w:rFonts w:hint="eastAsia" w:ascii="宋体" w:hAnsi="宋体" w:cs="宋体"/>
          <w:color w:val="000000" w:themeColor="text1"/>
          <w:kern w:val="0"/>
          <w:sz w:val="24"/>
          <w14:textFill>
            <w14:solidFill>
              <w14:schemeClr w14:val="tx1"/>
            </w14:solidFill>
          </w14:textFill>
        </w:rPr>
        <w:t>在北京市政府采购网公告中标结果</w:t>
      </w:r>
      <w:r>
        <w:rPr>
          <w:rFonts w:hint="eastAsia" w:ascii="宋体" w:hAnsi="宋体" w:cs="宋体"/>
          <w:color w:val="000000" w:themeColor="text1"/>
          <w:sz w:val="24"/>
          <w14:textFill>
            <w14:solidFill>
              <w14:schemeClr w14:val="tx1"/>
            </w14:solidFill>
          </w14:textFill>
        </w:rPr>
        <w:t>，同时向中标人发出中标通知书，中标公告期限为1个工作日。</w:t>
      </w:r>
    </w:p>
    <w:p>
      <w:pPr>
        <w:numPr>
          <w:ilvl w:val="1"/>
          <w:numId w:val="9"/>
        </w:numPr>
        <w:tabs>
          <w:tab w:val="left" w:pos="1080"/>
          <w:tab w:val="left" w:pos="2014"/>
        </w:tabs>
        <w:snapToGrid w:val="0"/>
        <w:spacing w:line="360" w:lineRule="auto"/>
        <w:ind w:left="1077"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中标通知书对采购人和中标供应商均具有法律效力。中标通知书发出后，采购人改变中标结果的，或者中标供应商放弃中标项目的，应当依法承担法律责任。</w:t>
      </w:r>
    </w:p>
    <w:p>
      <w:pPr>
        <w:numPr>
          <w:ilvl w:val="0"/>
          <w:numId w:val="9"/>
        </w:numPr>
        <w:tabs>
          <w:tab w:val="left" w:pos="360"/>
        </w:tabs>
        <w:snapToGrid w:val="0"/>
        <w:spacing w:line="360" w:lineRule="auto"/>
        <w:ind w:left="357" w:hanging="357"/>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废标</w:t>
      </w:r>
    </w:p>
    <w:p>
      <w:pPr>
        <w:numPr>
          <w:ilvl w:val="1"/>
          <w:numId w:val="9"/>
        </w:numPr>
        <w:tabs>
          <w:tab w:val="left" w:pos="1080"/>
          <w:tab w:val="left" w:pos="2014"/>
        </w:tabs>
        <w:snapToGrid w:val="0"/>
        <w:spacing w:line="360" w:lineRule="auto"/>
        <w:ind w:left="1077"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在招标采购中，出现下列情形之一的，应予废标：</w:t>
      </w:r>
    </w:p>
    <w:p>
      <w:pPr>
        <w:numPr>
          <w:ilvl w:val="2"/>
          <w:numId w:val="9"/>
        </w:numPr>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符合专业条件的供应商或者对招标文件作实质响应的供应商不足三家的；</w:t>
      </w:r>
    </w:p>
    <w:p>
      <w:pPr>
        <w:numPr>
          <w:ilvl w:val="2"/>
          <w:numId w:val="9"/>
        </w:numPr>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出现影响采购公正的违法、违规行为的；</w:t>
      </w:r>
    </w:p>
    <w:p>
      <w:pPr>
        <w:numPr>
          <w:ilvl w:val="2"/>
          <w:numId w:val="9"/>
        </w:numPr>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投标人的报价均超过了采购预算，采购人不能支付的；</w:t>
      </w:r>
    </w:p>
    <w:p>
      <w:pPr>
        <w:numPr>
          <w:ilvl w:val="2"/>
          <w:numId w:val="9"/>
        </w:numPr>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因重大变故，采购任务取消的。</w:t>
      </w:r>
    </w:p>
    <w:p>
      <w:pPr>
        <w:numPr>
          <w:ilvl w:val="1"/>
          <w:numId w:val="9"/>
        </w:numPr>
        <w:tabs>
          <w:tab w:val="left" w:pos="1080"/>
          <w:tab w:val="left" w:pos="2014"/>
        </w:tabs>
        <w:snapToGrid w:val="0"/>
        <w:spacing w:line="360" w:lineRule="auto"/>
        <w:ind w:left="1077"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废标后，采购人将废标理由书面通知所有投标人。</w:t>
      </w:r>
    </w:p>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pPr>
        <w:numPr>
          <w:ilvl w:val="0"/>
          <w:numId w:val="9"/>
        </w:numPr>
        <w:tabs>
          <w:tab w:val="left" w:pos="360"/>
        </w:tabs>
        <w:snapToGrid w:val="0"/>
        <w:spacing w:line="360" w:lineRule="auto"/>
        <w:ind w:left="357" w:hanging="357"/>
        <w:rPr>
          <w:rFonts w:hint="eastAsia" w:ascii="宋体" w:hAnsi="宋体" w:cs="宋体"/>
          <w:color w:val="000000" w:themeColor="text1"/>
          <w:sz w:val="24"/>
          <w14:textFill>
            <w14:solidFill>
              <w14:schemeClr w14:val="tx1"/>
            </w14:solidFill>
          </w14:textFill>
        </w:rPr>
      </w:pPr>
      <w:bookmarkStart w:id="712" w:name="_Toc164608664"/>
      <w:bookmarkStart w:id="713" w:name="_Toc151193648"/>
      <w:bookmarkStart w:id="714" w:name="_Toc149720843"/>
      <w:bookmarkStart w:id="715" w:name="_Ref467306377"/>
      <w:bookmarkStart w:id="716" w:name="_Toc264969240"/>
      <w:bookmarkStart w:id="717" w:name="_Toc150774650"/>
      <w:bookmarkStart w:id="718" w:name="_Toc195842915"/>
      <w:bookmarkStart w:id="719" w:name="_Toc150774755"/>
      <w:bookmarkStart w:id="720" w:name="_Toc164229245"/>
      <w:bookmarkStart w:id="721" w:name="_Toc150480788"/>
      <w:bookmarkStart w:id="722" w:name="_Toc151190177"/>
      <w:bookmarkStart w:id="723" w:name="_Toc164351644"/>
      <w:bookmarkStart w:id="724" w:name="_Toc127151550"/>
      <w:bookmarkStart w:id="725" w:name="_Toc265228388"/>
      <w:bookmarkStart w:id="726" w:name="_Toc151193720"/>
      <w:bookmarkStart w:id="727" w:name="_Toc305158892"/>
      <w:bookmarkStart w:id="728" w:name="_Toc151193864"/>
      <w:bookmarkStart w:id="729" w:name="_Ref467307204"/>
      <w:bookmarkStart w:id="730" w:name="_Toc226337246"/>
      <w:bookmarkStart w:id="731" w:name="_Toc150509301"/>
      <w:bookmarkStart w:id="732" w:name="_Toc226309794"/>
      <w:bookmarkStart w:id="733" w:name="_Toc151193792"/>
      <w:bookmarkStart w:id="734" w:name="_Toc164608819"/>
      <w:bookmarkStart w:id="735" w:name="_Toc226965823"/>
      <w:bookmarkStart w:id="736" w:name="_Toc151193938"/>
      <w:bookmarkStart w:id="737" w:name="_Toc142311052"/>
      <w:bookmarkStart w:id="738" w:name="_Toc127161464"/>
      <w:bookmarkStart w:id="739" w:name="_Ref467306978"/>
      <w:bookmarkStart w:id="740" w:name="_Ref467307062"/>
      <w:bookmarkStart w:id="741" w:name="_Toc520356175"/>
      <w:bookmarkStart w:id="742" w:name="_Toc305158818"/>
      <w:bookmarkStart w:id="743" w:name="_Toc226965740"/>
      <w:bookmarkStart w:id="744" w:name="_Toc127151751"/>
      <w:bookmarkStart w:id="745" w:name="_Toc164229391"/>
      <w:r>
        <w:rPr>
          <w:rFonts w:hint="eastAsia" w:ascii="宋体" w:hAnsi="宋体" w:cs="宋体"/>
          <w:color w:val="000000" w:themeColor="text1"/>
          <w:sz w:val="24"/>
          <w14:textFill>
            <w14:solidFill>
              <w14:schemeClr w14:val="tx1"/>
            </w14:solidFill>
          </w14:textFill>
        </w:rPr>
        <w:t>签订合同</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p>
    <w:p>
      <w:pPr>
        <w:numPr>
          <w:ilvl w:val="1"/>
          <w:numId w:val="9"/>
        </w:numPr>
        <w:tabs>
          <w:tab w:val="left" w:pos="1080"/>
          <w:tab w:val="left" w:pos="2014"/>
        </w:tabs>
        <w:snapToGrid w:val="0"/>
        <w:spacing w:line="360" w:lineRule="auto"/>
        <w:ind w:left="1077"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中标人、采购人应当自中标通知书发出之日起30日内，按照招标文件和中标人投标文件的规定签订书面合同。所签订的合同不得对招标文件确定的事项和中标人投标文件作实质性修改。</w:t>
      </w:r>
    </w:p>
    <w:p>
      <w:pPr>
        <w:numPr>
          <w:ilvl w:val="1"/>
          <w:numId w:val="9"/>
        </w:numPr>
        <w:tabs>
          <w:tab w:val="left" w:pos="1080"/>
          <w:tab w:val="left" w:pos="2014"/>
        </w:tabs>
        <w:snapToGrid w:val="0"/>
        <w:spacing w:line="360" w:lineRule="auto"/>
        <w:ind w:left="1077"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中标人拒绝与采购人签订合同的，采购人可以按照评标报告推荐的中标候选人名单排序，确定下一候选人为中标人，也可以重新开展政府采购活动。</w:t>
      </w:r>
    </w:p>
    <w:p>
      <w:pPr>
        <w:numPr>
          <w:ilvl w:val="1"/>
          <w:numId w:val="9"/>
        </w:numPr>
        <w:tabs>
          <w:tab w:val="left" w:pos="1080"/>
          <w:tab w:val="left" w:pos="2014"/>
        </w:tabs>
        <w:snapToGrid w:val="0"/>
        <w:spacing w:line="360" w:lineRule="auto"/>
        <w:ind w:left="1077"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联合体中标的，联合体各方应当共同与采购人签订合同，就采购合同约定的 事项向采购人承担连带责任。</w:t>
      </w:r>
    </w:p>
    <w:p>
      <w:pPr>
        <w:numPr>
          <w:ilvl w:val="1"/>
          <w:numId w:val="9"/>
        </w:numPr>
        <w:tabs>
          <w:tab w:val="left" w:pos="1080"/>
          <w:tab w:val="left" w:pos="2014"/>
        </w:tabs>
        <w:snapToGrid w:val="0"/>
        <w:spacing w:line="360" w:lineRule="auto"/>
        <w:ind w:left="1077"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政府采购合同不能转包。</w:t>
      </w:r>
    </w:p>
    <w:p>
      <w:pPr>
        <w:numPr>
          <w:ilvl w:val="1"/>
          <w:numId w:val="9"/>
        </w:numPr>
        <w:tabs>
          <w:tab w:val="left" w:pos="1080"/>
          <w:tab w:val="left" w:pos="2014"/>
        </w:tabs>
        <w:snapToGrid w:val="0"/>
        <w:spacing w:line="360" w:lineRule="auto"/>
        <w:ind w:left="1077"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w:t>
      </w:r>
      <w:r>
        <w:rPr>
          <w:rFonts w:hint="eastAsia" w:ascii="宋体" w:hAnsi="宋体" w:cs="宋体"/>
          <w:b/>
          <w:color w:val="000000" w:themeColor="text1"/>
          <w:sz w:val="24"/>
          <w14:textFill>
            <w14:solidFill>
              <w14:schemeClr w14:val="tx1"/>
            </w14:solidFill>
          </w14:textFill>
        </w:rPr>
        <w:t>，</w:t>
      </w:r>
      <w:r>
        <w:rPr>
          <w:rFonts w:hint="eastAsia" w:ascii="宋体" w:hAnsi="宋体" w:cs="宋体"/>
          <w:color w:val="000000" w:themeColor="text1"/>
          <w:sz w:val="24"/>
          <w14:textFill>
            <w14:solidFill>
              <w14:schemeClr w14:val="tx1"/>
            </w14:solidFill>
          </w14:textFill>
        </w:rPr>
        <w:t>否则</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。中标人就采购项目和分包项目向采购人负责，分包供应商就分包项目承担责任。</w:t>
      </w:r>
    </w:p>
    <w:p>
      <w:pPr>
        <w:numPr>
          <w:ilvl w:val="1"/>
          <w:numId w:val="9"/>
        </w:numPr>
        <w:tabs>
          <w:tab w:val="left" w:pos="1080"/>
          <w:tab w:val="left" w:pos="2014"/>
        </w:tabs>
        <w:snapToGrid w:val="0"/>
        <w:spacing w:line="360" w:lineRule="auto"/>
        <w:ind w:left="1077"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“政采贷”融资指引：详见《投标人须知资料表》。</w:t>
      </w:r>
    </w:p>
    <w:bookmarkEnd w:id="709"/>
    <w:bookmarkEnd w:id="710"/>
    <w:bookmarkEnd w:id="711"/>
    <w:p>
      <w:pPr>
        <w:numPr>
          <w:ilvl w:val="0"/>
          <w:numId w:val="9"/>
        </w:numPr>
        <w:tabs>
          <w:tab w:val="left" w:pos="360"/>
        </w:tabs>
        <w:snapToGrid w:val="0"/>
        <w:spacing w:line="360" w:lineRule="auto"/>
        <w:ind w:left="357" w:hanging="357"/>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询问与质疑</w:t>
      </w:r>
    </w:p>
    <w:p>
      <w:pPr>
        <w:numPr>
          <w:ilvl w:val="1"/>
          <w:numId w:val="9"/>
        </w:numPr>
        <w:tabs>
          <w:tab w:val="left" w:pos="1080"/>
          <w:tab w:val="left" w:pos="2014"/>
        </w:tabs>
        <w:snapToGrid w:val="0"/>
        <w:spacing w:line="360" w:lineRule="auto"/>
        <w:ind w:left="1077"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询问</w:t>
      </w:r>
    </w:p>
    <w:p>
      <w:pPr>
        <w:numPr>
          <w:ilvl w:val="2"/>
          <w:numId w:val="9"/>
        </w:numPr>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投标人对政府采购活动事项有疑问的，</w:t>
      </w:r>
      <w:r>
        <w:rPr>
          <w:rFonts w:hint="eastAsia" w:ascii="宋体" w:hAnsi="宋体" w:cs="宋体"/>
          <w:color w:val="000000" w:themeColor="text1"/>
          <w:spacing w:val="3"/>
          <w:sz w:val="24"/>
          <w14:textFill>
            <w14:solidFill>
              <w14:schemeClr w14:val="tx1"/>
            </w14:solidFill>
          </w14:textFill>
        </w:rPr>
        <w:t>可依法向采购人或采购代理机构提出询问</w:t>
      </w:r>
      <w:r>
        <w:rPr>
          <w:rFonts w:hint="eastAsia" w:ascii="宋体" w:hAnsi="宋体" w:cs="宋体"/>
          <w:color w:val="000000" w:themeColor="text1"/>
          <w:sz w:val="24"/>
          <w14:textFill>
            <w14:solidFill>
              <w14:schemeClr w14:val="tx1"/>
            </w14:solidFill>
          </w14:textFill>
        </w:rPr>
        <w:t>，</w:t>
      </w:r>
      <w:r>
        <w:rPr>
          <w:rFonts w:hint="eastAsia" w:ascii="宋体" w:hAnsi="宋体" w:cs="宋体"/>
          <w:color w:val="000000" w:themeColor="text1"/>
          <w:spacing w:val="3"/>
          <w:sz w:val="24"/>
          <w14:textFill>
            <w14:solidFill>
              <w14:schemeClr w14:val="tx1"/>
            </w14:solidFill>
          </w14:textFill>
        </w:rPr>
        <w:t>提出形式见《投标人须知资料表》。</w:t>
      </w:r>
    </w:p>
    <w:p>
      <w:pPr>
        <w:numPr>
          <w:ilvl w:val="2"/>
          <w:numId w:val="9"/>
        </w:numPr>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采购人或采购代理机构对供应商依法提出的询问，在3个工作日内作出答复，但答复的内容不得涉及商业秘密。</w:t>
      </w:r>
    </w:p>
    <w:p>
      <w:pPr>
        <w:numPr>
          <w:ilvl w:val="1"/>
          <w:numId w:val="9"/>
        </w:numPr>
        <w:tabs>
          <w:tab w:val="left" w:pos="1080"/>
          <w:tab w:val="left" w:pos="2014"/>
        </w:tabs>
        <w:snapToGrid w:val="0"/>
        <w:spacing w:line="360" w:lineRule="auto"/>
        <w:ind w:left="1077"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质疑</w:t>
      </w:r>
    </w:p>
    <w:p>
      <w:pPr>
        <w:numPr>
          <w:ilvl w:val="2"/>
          <w:numId w:val="9"/>
        </w:numPr>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认为采购文件、采购过程、中标结果使自己的权益受到损害的，可以在知道或者应知其权益受到损害之日起7个工作日内，以书面形式向采购人、采购代理机构提出质疑。采购人、采购代理机构在收到质疑函后7个工作日内作出答复。</w:t>
      </w:r>
    </w:p>
    <w:p>
      <w:pPr>
        <w:numPr>
          <w:ilvl w:val="2"/>
          <w:numId w:val="9"/>
        </w:numPr>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质疑函须使用财政部制定的范本文件。投标人为自然人的，质疑函应当由本人签字；投标人为法人或者其他组织的，质疑函应当由法定代表人、主要负责人，或者其授权代表签字或者盖章，并加盖公章。</w:t>
      </w:r>
    </w:p>
    <w:p>
      <w:pPr>
        <w:numPr>
          <w:ilvl w:val="2"/>
          <w:numId w:val="9"/>
        </w:numPr>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pPr>
        <w:numPr>
          <w:ilvl w:val="2"/>
          <w:numId w:val="9"/>
        </w:numPr>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投标人应在法定质疑期内一次性提出针对同一采购程序环节的质疑，法定质疑期内针对同一采购程序环节再次提出的质疑，采购人、采购代理机构有权不予答复。</w:t>
      </w:r>
    </w:p>
    <w:p>
      <w:pPr>
        <w:numPr>
          <w:ilvl w:val="1"/>
          <w:numId w:val="9"/>
        </w:numPr>
        <w:tabs>
          <w:tab w:val="left" w:pos="1080"/>
          <w:tab w:val="left" w:pos="2014"/>
        </w:tabs>
        <w:snapToGrid w:val="0"/>
        <w:spacing w:line="360" w:lineRule="auto"/>
        <w:ind w:left="1077"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接收询问和质疑的联系部门、联系电话和通讯地址见《投标人须知资料表》。</w:t>
      </w:r>
    </w:p>
    <w:p>
      <w:pPr>
        <w:numPr>
          <w:ilvl w:val="0"/>
          <w:numId w:val="9"/>
        </w:numPr>
        <w:tabs>
          <w:tab w:val="left" w:pos="360"/>
        </w:tabs>
        <w:snapToGrid w:val="0"/>
        <w:spacing w:line="360" w:lineRule="auto"/>
        <w:ind w:left="357" w:hanging="357"/>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代理费</w:t>
      </w:r>
    </w:p>
    <w:p>
      <w:pPr>
        <w:numPr>
          <w:ilvl w:val="1"/>
          <w:numId w:val="9"/>
        </w:numPr>
        <w:tabs>
          <w:tab w:val="left" w:pos="1080"/>
          <w:tab w:val="left" w:pos="2014"/>
        </w:tabs>
        <w:snapToGrid w:val="0"/>
        <w:spacing w:line="360" w:lineRule="auto"/>
        <w:ind w:left="1077"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收费对象、收费标准及缴纳时间见《投标人须知资料表》。由中标人支付的，中标人须一次性向采购代理机构缴纳代理费，投标报价应包含代理费用。</w:t>
      </w:r>
    </w:p>
    <w:p>
      <w:pPr>
        <w:spacing w:line="360" w:lineRule="auto"/>
        <w:jc w:val="center"/>
        <w:outlineLvl w:val="0"/>
        <w:rPr>
          <w:rFonts w:hint="eastAsia" w:ascii="宋体" w:hAnsi="宋体" w:cs="宋体"/>
          <w:b/>
          <w:color w:val="000000" w:themeColor="text1"/>
          <w:sz w:val="36"/>
          <w:szCs w:val="36"/>
          <w14:textFill>
            <w14:solidFill>
              <w14:schemeClr w14:val="tx1"/>
            </w14:solidFill>
          </w14:textFill>
        </w:rPr>
      </w:pPr>
      <w:bookmarkStart w:id="746" w:name="_Toc305158896"/>
      <w:bookmarkStart w:id="747" w:name="_Toc127151554"/>
      <w:bookmarkStart w:id="748" w:name="_Toc353873664"/>
      <w:bookmarkStart w:id="749" w:name="_Toc226337250"/>
      <w:bookmarkStart w:id="750" w:name="_Toc150774759"/>
      <w:bookmarkStart w:id="751" w:name="_Toc353825544"/>
      <w:bookmarkStart w:id="752" w:name="_Toc305158822"/>
      <w:bookmarkStart w:id="753" w:name="_Toc226965827"/>
      <w:bookmarkStart w:id="754" w:name="_Toc150480792"/>
      <w:bookmarkStart w:id="755" w:name="_Toc353873934"/>
      <w:bookmarkStart w:id="756" w:name="_Toc142311056"/>
      <w:bookmarkStart w:id="757" w:name="_Toc265228392"/>
      <w:bookmarkStart w:id="758" w:name="_Toc264969244"/>
      <w:r>
        <w:rPr>
          <w:rFonts w:hint="eastAsia" w:ascii="宋体" w:hAnsi="宋体" w:cs="宋体"/>
          <w:color w:val="000000" w:themeColor="text1"/>
          <w:sz w:val="24"/>
          <w14:textFill>
            <w14:solidFill>
              <w14:schemeClr w14:val="tx1"/>
            </w14:solidFill>
          </w14:textFill>
        </w:rPr>
        <w:br w:type="page"/>
      </w:r>
      <w:bookmarkStart w:id="759" w:name="_Toc99301421"/>
      <w:bookmarkStart w:id="760" w:name="_Toc218620568"/>
      <w:r>
        <w:rPr>
          <w:rFonts w:hint="eastAsia" w:ascii="宋体" w:hAnsi="宋体" w:cs="宋体"/>
          <w:b/>
          <w:color w:val="000000" w:themeColor="text1"/>
          <w:sz w:val="36"/>
          <w:szCs w:val="36"/>
          <w14:textFill>
            <w14:solidFill>
              <w14:schemeClr w14:val="tx1"/>
            </w14:solidFill>
          </w14:textFill>
        </w:rPr>
        <w:t xml:space="preserve">第三章   </w:t>
      </w:r>
      <w:bookmarkEnd w:id="746"/>
      <w:bookmarkEnd w:id="747"/>
      <w:bookmarkEnd w:id="748"/>
      <w:bookmarkEnd w:id="749"/>
      <w:bookmarkEnd w:id="750"/>
      <w:bookmarkEnd w:id="751"/>
      <w:bookmarkEnd w:id="752"/>
      <w:bookmarkEnd w:id="753"/>
      <w:bookmarkEnd w:id="754"/>
      <w:bookmarkEnd w:id="755"/>
      <w:bookmarkEnd w:id="756"/>
      <w:bookmarkEnd w:id="757"/>
      <w:bookmarkEnd w:id="758"/>
      <w:r>
        <w:rPr>
          <w:rFonts w:hint="eastAsia" w:ascii="宋体" w:hAnsi="宋体" w:cs="宋体"/>
          <w:b/>
          <w:color w:val="000000" w:themeColor="text1"/>
          <w:sz w:val="36"/>
          <w:szCs w:val="36"/>
          <w14:textFill>
            <w14:solidFill>
              <w14:schemeClr w14:val="tx1"/>
            </w14:solidFill>
          </w14:textFill>
        </w:rPr>
        <w:t>资格审查</w:t>
      </w:r>
      <w:bookmarkEnd w:id="759"/>
      <w:bookmarkEnd w:id="760"/>
      <w:bookmarkStart w:id="761" w:name="_Toc487900382"/>
    </w:p>
    <w:p>
      <w:pPr>
        <w:tabs>
          <w:tab w:val="left" w:pos="360"/>
          <w:tab w:val="left" w:pos="900"/>
        </w:tabs>
        <w:snapToGrid w:val="0"/>
        <w:spacing w:line="360" w:lineRule="auto"/>
        <w:jc w:val="center"/>
        <w:rPr>
          <w:rFonts w:hint="eastAsia" w:ascii="宋体" w:hAnsi="宋体" w:cs="宋体"/>
          <w:b/>
          <w:color w:val="000000" w:themeColor="text1"/>
          <w:sz w:val="24"/>
          <w14:textFill>
            <w14:solidFill>
              <w14:schemeClr w14:val="tx1"/>
            </w14:solidFill>
          </w14:textFill>
        </w:rPr>
      </w:pPr>
      <w:bookmarkStart w:id="762" w:name="_Toc99301422"/>
      <w:r>
        <w:rPr>
          <w:rFonts w:hint="eastAsia" w:ascii="宋体" w:hAnsi="宋体" w:cs="宋体"/>
          <w:b/>
          <w:color w:val="000000" w:themeColor="text1"/>
          <w:sz w:val="24"/>
          <w14:textFill>
            <w14:solidFill>
              <w14:schemeClr w14:val="tx1"/>
            </w14:solidFill>
          </w14:textFill>
        </w:rPr>
        <w:t>一、资格审查程序</w:t>
      </w:r>
      <w:bookmarkEnd w:id="762"/>
    </w:p>
    <w:p>
      <w:pPr>
        <w:numPr>
          <w:ilvl w:val="0"/>
          <w:numId w:val="12"/>
        </w:numPr>
        <w:tabs>
          <w:tab w:val="left" w:pos="426"/>
          <w:tab w:val="left" w:pos="851"/>
          <w:tab w:val="clear" w:pos="900"/>
        </w:tabs>
        <w:snapToGrid w:val="0"/>
        <w:spacing w:line="360" w:lineRule="auto"/>
        <w:ind w:left="426" w:hanging="426"/>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开标结束后，采购人或采购代理机构将根据《资格审查要求》中的规定，对投标人进行资格审查，并形成资格审查结果。</w:t>
      </w:r>
    </w:p>
    <w:p>
      <w:pPr>
        <w:numPr>
          <w:ilvl w:val="0"/>
          <w:numId w:val="12"/>
        </w:numPr>
        <w:tabs>
          <w:tab w:val="left" w:pos="426"/>
          <w:tab w:val="left" w:pos="851"/>
          <w:tab w:val="clear" w:pos="900"/>
        </w:tabs>
        <w:snapToGrid w:val="0"/>
        <w:spacing w:line="360" w:lineRule="auto"/>
        <w:ind w:left="426" w:hanging="426"/>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《资格审查要求》中对格式有要求的，除招标文件另有规定外，均为“实质性格式”文件。</w:t>
      </w:r>
    </w:p>
    <w:p>
      <w:pPr>
        <w:numPr>
          <w:ilvl w:val="0"/>
          <w:numId w:val="12"/>
        </w:numPr>
        <w:tabs>
          <w:tab w:val="left" w:pos="426"/>
          <w:tab w:val="left" w:pos="851"/>
          <w:tab w:val="clear" w:pos="900"/>
        </w:tabs>
        <w:snapToGrid w:val="0"/>
        <w:spacing w:line="360" w:lineRule="auto"/>
        <w:ind w:left="426" w:hanging="426"/>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投标人《资格证明文件》有任何一项不符合《资格审查要求》的，资格审查不合格，其</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0"/>
          <w:numId w:val="12"/>
        </w:numPr>
        <w:tabs>
          <w:tab w:val="left" w:pos="426"/>
          <w:tab w:val="left" w:pos="851"/>
          <w:tab w:val="clear" w:pos="900"/>
        </w:tabs>
        <w:snapToGrid w:val="0"/>
        <w:spacing w:line="360" w:lineRule="auto"/>
        <w:ind w:left="426" w:hanging="426"/>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资格审查合格的投标人不足3家的，不进行评标。</w:t>
      </w:r>
    </w:p>
    <w:p>
      <w:pPr>
        <w:tabs>
          <w:tab w:val="left" w:pos="360"/>
          <w:tab w:val="left" w:pos="900"/>
        </w:tabs>
        <w:snapToGrid w:val="0"/>
        <w:spacing w:line="360" w:lineRule="auto"/>
        <w:jc w:val="center"/>
        <w:rPr>
          <w:rFonts w:hint="eastAsia"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二、资格审查要求</w:t>
      </w:r>
    </w:p>
    <w:tbl>
      <w:tblPr>
        <w:tblStyle w:val="52"/>
        <w:tblW w:w="928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6"/>
        <w:gridCol w:w="1715"/>
        <w:gridCol w:w="5232"/>
        <w:gridCol w:w="14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hint="eastAsia" w:ascii="宋体" w:hAnsi="宋体" w:cs="宋体"/>
                <w:b/>
                <w:color w:val="000000" w:themeColor="text1"/>
                <w:sz w:val="24"/>
                <w14:textFill>
                  <w14:solidFill>
                    <w14:schemeClr w14:val="tx1"/>
                  </w14:solidFill>
                </w14:textFill>
              </w:rPr>
            </w:pPr>
            <w:bookmarkStart w:id="763" w:name="_Hlt487972895"/>
            <w:bookmarkEnd w:id="763"/>
            <w:r>
              <w:rPr>
                <w:rFonts w:hint="eastAsia" w:ascii="宋体" w:hAnsi="宋体" w:cs="宋体"/>
                <w:b/>
                <w:color w:val="000000" w:themeColor="text1"/>
                <w:sz w:val="24"/>
                <w14:textFill>
                  <w14:solidFill>
                    <w14:schemeClr w14:val="tx1"/>
                  </w14:solidFill>
                </w14:textFill>
              </w:rPr>
              <w:t>序号</w:t>
            </w:r>
          </w:p>
        </w:tc>
        <w:tc>
          <w:tcPr>
            <w:tcW w:w="1715" w:type="dxa"/>
            <w:vAlign w:val="center"/>
          </w:tcPr>
          <w:p>
            <w:pPr>
              <w:tabs>
                <w:tab w:val="left" w:pos="1080"/>
              </w:tabs>
              <w:snapToGrid w:val="0"/>
              <w:jc w:val="center"/>
              <w:rPr>
                <w:rFonts w:hint="eastAsia"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审查因素</w:t>
            </w:r>
          </w:p>
        </w:tc>
        <w:tc>
          <w:tcPr>
            <w:tcW w:w="5232" w:type="dxa"/>
            <w:vAlign w:val="center"/>
          </w:tcPr>
          <w:p>
            <w:pPr>
              <w:tabs>
                <w:tab w:val="left" w:pos="1080"/>
              </w:tabs>
              <w:snapToGrid w:val="0"/>
              <w:jc w:val="center"/>
              <w:rPr>
                <w:rFonts w:hint="eastAsia"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审查内容</w:t>
            </w:r>
          </w:p>
        </w:tc>
        <w:tc>
          <w:tcPr>
            <w:tcW w:w="1495" w:type="dxa"/>
            <w:vAlign w:val="center"/>
          </w:tcPr>
          <w:p>
            <w:pPr>
              <w:tabs>
                <w:tab w:val="left" w:pos="1080"/>
              </w:tabs>
              <w:snapToGrid w:val="0"/>
              <w:jc w:val="center"/>
              <w:rPr>
                <w:rFonts w:hint="eastAsia"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格式要求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p>
        </w:tc>
        <w:tc>
          <w:tcPr>
            <w:tcW w:w="1715" w:type="dxa"/>
            <w:vAlign w:val="center"/>
          </w:tcPr>
          <w:p>
            <w:pPr>
              <w:tabs>
                <w:tab w:val="left" w:pos="1080"/>
              </w:tabs>
              <w:snapToGrid w:val="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满足</w:t>
            </w:r>
            <w:r>
              <w:rPr>
                <w:rFonts w:hint="eastAsia" w:ascii="宋体" w:hAnsi="宋体" w:cs="宋体"/>
                <w:color w:val="000000" w:themeColor="text1"/>
                <w:spacing w:val="11"/>
                <w:sz w:val="24"/>
                <w14:textFill>
                  <w14:solidFill>
                    <w14:schemeClr w14:val="tx1"/>
                  </w14:solidFill>
                </w14:textFill>
              </w:rPr>
              <w:t>《中华人民共和国政府采购</w:t>
            </w:r>
            <w:r>
              <w:rPr>
                <w:rFonts w:hint="eastAsia" w:ascii="宋体" w:hAnsi="宋体" w:cs="宋体"/>
                <w:color w:val="000000" w:themeColor="text1"/>
                <w:spacing w:val="7"/>
                <w:sz w:val="24"/>
                <w14:textFill>
                  <w14:solidFill>
                    <w14:schemeClr w14:val="tx1"/>
                  </w14:solidFill>
                </w14:textFill>
              </w:rPr>
              <w:t>法》第二十二条</w:t>
            </w:r>
            <w:r>
              <w:rPr>
                <w:rFonts w:hint="eastAsia" w:ascii="宋体" w:hAnsi="宋体" w:cs="宋体"/>
                <w:color w:val="000000" w:themeColor="text1"/>
                <w:spacing w:val="-2"/>
                <w:sz w:val="24"/>
                <w14:textFill>
                  <w14:solidFill>
                    <w14:schemeClr w14:val="tx1"/>
                  </w14:solidFill>
                </w14:textFill>
              </w:rPr>
              <w:t>规定</w:t>
            </w:r>
          </w:p>
        </w:tc>
        <w:tc>
          <w:tcPr>
            <w:tcW w:w="5232" w:type="dxa"/>
            <w:vAlign w:val="center"/>
          </w:tcPr>
          <w:p>
            <w:pPr>
              <w:tabs>
                <w:tab w:val="left" w:pos="1080"/>
              </w:tabs>
              <w:snapToGrid w:val="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具体规定见第一章《投标邀请》</w:t>
            </w:r>
          </w:p>
        </w:tc>
        <w:tc>
          <w:tcPr>
            <w:tcW w:w="1495" w:type="dxa"/>
            <w:vAlign w:val="center"/>
          </w:tcPr>
          <w:p>
            <w:pPr>
              <w:tabs>
                <w:tab w:val="left" w:pos="1080"/>
              </w:tabs>
              <w:snapToGrid w:val="0"/>
              <w:rPr>
                <w:rFonts w:hint="eastAsia"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1-1</w:t>
            </w:r>
          </w:p>
        </w:tc>
        <w:tc>
          <w:tcPr>
            <w:tcW w:w="1715" w:type="dxa"/>
            <w:vAlign w:val="center"/>
          </w:tcPr>
          <w:p>
            <w:pPr>
              <w:tabs>
                <w:tab w:val="left" w:pos="1080"/>
              </w:tabs>
              <w:snapToGrid w:val="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营业执照等证明文件</w:t>
            </w:r>
          </w:p>
        </w:tc>
        <w:tc>
          <w:tcPr>
            <w:tcW w:w="5232" w:type="dxa"/>
            <w:vAlign w:val="center"/>
          </w:tcPr>
          <w:p>
            <w:pPr>
              <w:tabs>
                <w:tab w:val="left" w:pos="1080"/>
              </w:tabs>
              <w:snapToGrid w:val="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投标人为企业（包括合伙企业）的，应提供有效的“营业执照”；</w:t>
            </w:r>
          </w:p>
          <w:p>
            <w:pPr>
              <w:tabs>
                <w:tab w:val="left" w:pos="1080"/>
              </w:tabs>
              <w:snapToGrid w:val="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投标人为事业单位的，应提供有效的“事业单位法人证书”；</w:t>
            </w:r>
          </w:p>
          <w:p>
            <w:pPr>
              <w:tabs>
                <w:tab w:val="left" w:pos="1080"/>
              </w:tabs>
              <w:snapToGrid w:val="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投标人是非企业机构的，应提供有效的“执业许可证”、“登记证书”等证明文件；</w:t>
            </w:r>
          </w:p>
          <w:p>
            <w:pPr>
              <w:tabs>
                <w:tab w:val="left" w:pos="1080"/>
              </w:tabs>
              <w:snapToGrid w:val="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投标人是个体工商户的，应提供有效的“个体工商户营业执照”；</w:t>
            </w:r>
          </w:p>
          <w:p>
            <w:pPr>
              <w:tabs>
                <w:tab w:val="left" w:pos="1080"/>
              </w:tabs>
              <w:snapToGrid w:val="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投标人是自然人的，应提供有效的自然人身份证明。</w:t>
            </w:r>
          </w:p>
          <w:p>
            <w:pPr>
              <w:tabs>
                <w:tab w:val="left" w:pos="1080"/>
              </w:tabs>
              <w:snapToGrid w:val="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 属法人/其他组织的有关文件或制度等能够证明授权其独立开展业务的证明材料</w:t>
            </w:r>
            <w:r>
              <w:rPr>
                <w:rFonts w:hint="eastAsia" w:ascii="宋体" w:hAnsi="宋体" w:cs="宋体"/>
                <w:color w:val="000000" w:themeColor="text1"/>
                <w:sz w:val="24"/>
                <w14:textFill>
                  <w14:solidFill>
                    <w14:schemeClr w14:val="tx1"/>
                  </w14:solidFill>
                </w14:textFill>
              </w:rPr>
              <w:t>。</w:t>
            </w:r>
          </w:p>
        </w:tc>
        <w:tc>
          <w:tcPr>
            <w:tcW w:w="1495" w:type="dxa"/>
            <w:vAlign w:val="center"/>
          </w:tcPr>
          <w:p>
            <w:pPr>
              <w:tabs>
                <w:tab w:val="left" w:pos="1080"/>
              </w:tabs>
              <w:snapToGrid w:val="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提供证明文件的电子件或电子证照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1-2</w:t>
            </w:r>
          </w:p>
        </w:tc>
        <w:tc>
          <w:tcPr>
            <w:tcW w:w="1715" w:type="dxa"/>
            <w:vAlign w:val="center"/>
          </w:tcPr>
          <w:p>
            <w:pPr>
              <w:tabs>
                <w:tab w:val="left" w:pos="1080"/>
              </w:tabs>
              <w:snapToGrid w:val="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投标人资格声明书</w:t>
            </w:r>
          </w:p>
        </w:tc>
        <w:tc>
          <w:tcPr>
            <w:tcW w:w="5232" w:type="dxa"/>
            <w:vAlign w:val="center"/>
          </w:tcPr>
          <w:p>
            <w:pPr>
              <w:tabs>
                <w:tab w:val="left" w:pos="1080"/>
              </w:tabs>
              <w:snapToGrid w:val="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提供了符合招标文件要求的《投标人资格声明书》。</w:t>
            </w:r>
          </w:p>
        </w:tc>
        <w:tc>
          <w:tcPr>
            <w:tcW w:w="1495" w:type="dxa"/>
            <w:vAlign w:val="center"/>
          </w:tcPr>
          <w:p>
            <w:pPr>
              <w:tabs>
                <w:tab w:val="left" w:pos="1080"/>
              </w:tabs>
              <w:snapToGrid w:val="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格式见《投标文件格式》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1-3</w:t>
            </w:r>
          </w:p>
        </w:tc>
        <w:tc>
          <w:tcPr>
            <w:tcW w:w="1715" w:type="dxa"/>
            <w:vAlign w:val="center"/>
          </w:tcPr>
          <w:p>
            <w:pPr>
              <w:tabs>
                <w:tab w:val="left" w:pos="1080"/>
              </w:tabs>
              <w:snapToGrid w:val="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投标人信用记录</w:t>
            </w:r>
          </w:p>
        </w:tc>
        <w:tc>
          <w:tcPr>
            <w:tcW w:w="5232" w:type="dxa"/>
            <w:vAlign w:val="center"/>
          </w:tcPr>
          <w:p>
            <w:pPr>
              <w:tabs>
                <w:tab w:val="left" w:pos="1080"/>
              </w:tabs>
              <w:snapToGrid w:val="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查询渠道：信用中国网站和中国政府采购网（</w:t>
            </w:r>
            <w:r>
              <w:rPr>
                <w:rFonts w:hint="eastAsia" w:ascii="宋体" w:hAnsi="宋体" w:cs="宋体"/>
                <w:color w:val="000000" w:themeColor="text1"/>
                <w14:textFill>
                  <w14:solidFill>
                    <w14:schemeClr w14:val="tx1"/>
                  </w14:solidFill>
                </w14:textFill>
              </w:rPr>
              <w:t>www.creditchina.gov.cn</w:t>
            </w:r>
            <w:r>
              <w:rPr>
                <w:rFonts w:hint="eastAsia" w:ascii="宋体" w:hAnsi="宋体" w:cs="宋体"/>
                <w:color w:val="000000" w:themeColor="text1"/>
                <w:sz w:val="24"/>
                <w14:textFill>
                  <w14:solidFill>
                    <w14:schemeClr w14:val="tx1"/>
                  </w14:solidFill>
                </w14:textFill>
              </w:rPr>
              <w:t>、</w:t>
            </w:r>
            <w:r>
              <w:rPr>
                <w:rFonts w:hint="eastAsia" w:ascii="宋体" w:hAnsi="宋体" w:cs="宋体"/>
                <w:color w:val="000000" w:themeColor="text1"/>
                <w14:textFill>
                  <w14:solidFill>
                    <w14:schemeClr w14:val="tx1"/>
                  </w14:solidFill>
                </w14:textFill>
              </w:rPr>
              <w:t>www.ccgp.gov.cn</w:t>
            </w:r>
            <w:r>
              <w:rPr>
                <w:rFonts w:hint="eastAsia" w:ascii="宋体" w:hAnsi="宋体" w:cs="宋体"/>
                <w:color w:val="000000" w:themeColor="text1"/>
                <w:sz w:val="24"/>
                <w14:textFill>
                  <w14:solidFill>
                    <w14:schemeClr w14:val="tx1"/>
                  </w14:solidFill>
                </w14:textFill>
              </w:rPr>
              <w:t>）；</w:t>
            </w:r>
          </w:p>
          <w:p>
            <w:pPr>
              <w:tabs>
                <w:tab w:val="left" w:pos="900"/>
                <w:tab w:val="left" w:pos="1980"/>
              </w:tabs>
              <w:snapToGrid w:val="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截止时点：投标截止时间以后、资格审查阶段采购人或采购代理机构的实际查询时间；</w:t>
            </w:r>
          </w:p>
          <w:p>
            <w:pPr>
              <w:tabs>
                <w:tab w:val="left" w:pos="900"/>
                <w:tab w:val="left" w:pos="1980"/>
              </w:tabs>
              <w:snapToGrid w:val="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信用信息查询记录和证据留存具体方式：查询结果网页打印页作为查询记录和证据，与其他采购文件一并保存；</w:t>
            </w:r>
          </w:p>
          <w:p>
            <w:pPr>
              <w:tabs>
                <w:tab w:val="left" w:pos="1080"/>
              </w:tabs>
              <w:snapToGrid w:val="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信用信息的使用原则：经认定的被列入失信被执行人、重大税收违法失信主体名单、政府采购严重违法失信行为记录名单的投标人，其</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。联合体形式投标的，联合体成员存在不良信用记录，视同联合体存在不良信用记录。</w:t>
            </w:r>
          </w:p>
        </w:tc>
        <w:tc>
          <w:tcPr>
            <w:tcW w:w="1495" w:type="dxa"/>
            <w:vAlign w:val="center"/>
          </w:tcPr>
          <w:p>
            <w:pPr>
              <w:tabs>
                <w:tab w:val="left" w:pos="1080"/>
              </w:tabs>
              <w:snapToGrid w:val="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无须投标人提供，由采购人或采购代理机构查询。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5"/>
                <w:sz w:val="24"/>
                <w14:textFill>
                  <w14:solidFill>
                    <w14:schemeClr w14:val="tx1"/>
                  </w14:solidFill>
                </w14:textFill>
              </w:rPr>
              <w:t>1-4</w:t>
            </w:r>
          </w:p>
        </w:tc>
        <w:tc>
          <w:tcPr>
            <w:tcW w:w="1715" w:type="dxa"/>
            <w:vAlign w:val="center"/>
          </w:tcPr>
          <w:p>
            <w:pPr>
              <w:tabs>
                <w:tab w:val="left" w:pos="1080"/>
              </w:tabs>
              <w:snapToGrid w:val="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5"/>
                <w:sz w:val="24"/>
                <w14:textFill>
                  <w14:solidFill>
                    <w14:schemeClr w14:val="tx1"/>
                  </w14:solidFill>
                </w14:textFill>
              </w:rPr>
              <w:t>法律、行政法规</w:t>
            </w:r>
            <w:r>
              <w:rPr>
                <w:rFonts w:hint="eastAsia" w:ascii="宋体" w:hAnsi="宋体" w:cs="宋体"/>
                <w:color w:val="000000" w:themeColor="text1"/>
                <w:spacing w:val="-1"/>
                <w:sz w:val="24"/>
                <w14:textFill>
                  <w14:solidFill>
                    <w14:schemeClr w14:val="tx1"/>
                  </w14:solidFill>
                </w14:textFill>
              </w:rPr>
              <w:t>规定的其他条件</w:t>
            </w:r>
          </w:p>
        </w:tc>
        <w:tc>
          <w:tcPr>
            <w:tcW w:w="5232" w:type="dxa"/>
            <w:vAlign w:val="center"/>
          </w:tcPr>
          <w:p>
            <w:pPr>
              <w:tabs>
                <w:tab w:val="left" w:pos="1080"/>
              </w:tabs>
              <w:snapToGrid w:val="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法律、行政法规规定的其他条件</w:t>
            </w:r>
          </w:p>
        </w:tc>
        <w:tc>
          <w:tcPr>
            <w:tcW w:w="1495" w:type="dxa"/>
            <w:vAlign w:val="center"/>
          </w:tcPr>
          <w:p>
            <w:pPr>
              <w:tabs>
                <w:tab w:val="left" w:pos="1080"/>
              </w:tabs>
              <w:snapToGrid w:val="0"/>
              <w:jc w:val="center"/>
              <w:rPr>
                <w:rFonts w:hint="eastAsia"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p>
        </w:tc>
        <w:tc>
          <w:tcPr>
            <w:tcW w:w="1715" w:type="dxa"/>
            <w:vAlign w:val="center"/>
          </w:tcPr>
          <w:p>
            <w:pPr>
              <w:tabs>
                <w:tab w:val="left" w:pos="1080"/>
              </w:tabs>
              <w:snapToGrid w:val="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落实政府采购政策需满足的资格要求</w:t>
            </w:r>
          </w:p>
        </w:tc>
        <w:tc>
          <w:tcPr>
            <w:tcW w:w="5232" w:type="dxa"/>
            <w:vAlign w:val="center"/>
          </w:tcPr>
          <w:p>
            <w:pPr>
              <w:tabs>
                <w:tab w:val="left" w:pos="1080"/>
              </w:tabs>
              <w:snapToGrid w:val="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具体要求见第一章《投标邀请》</w:t>
            </w:r>
          </w:p>
        </w:tc>
        <w:tc>
          <w:tcPr>
            <w:tcW w:w="1495" w:type="dxa"/>
            <w:vAlign w:val="center"/>
          </w:tcPr>
          <w:p>
            <w:pPr>
              <w:tabs>
                <w:tab w:val="left" w:pos="1080"/>
              </w:tabs>
              <w:snapToGrid w:val="0"/>
              <w:rPr>
                <w:rFonts w:hint="eastAsia"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2-1</w:t>
            </w:r>
          </w:p>
        </w:tc>
        <w:tc>
          <w:tcPr>
            <w:tcW w:w="1715" w:type="dxa"/>
            <w:vAlign w:val="center"/>
          </w:tcPr>
          <w:p>
            <w:pPr>
              <w:tabs>
                <w:tab w:val="left" w:pos="1080"/>
              </w:tabs>
              <w:snapToGrid w:val="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中小企业政策证明文件</w:t>
            </w:r>
          </w:p>
        </w:tc>
        <w:tc>
          <w:tcPr>
            <w:tcW w:w="5232" w:type="dxa"/>
            <w:vAlign w:val="center"/>
          </w:tcPr>
          <w:p>
            <w:pPr>
              <w:tabs>
                <w:tab w:val="left" w:pos="1080"/>
              </w:tabs>
              <w:snapToGrid w:val="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具体要求见第一章《投标邀请》</w:t>
            </w:r>
          </w:p>
        </w:tc>
        <w:tc>
          <w:tcPr>
            <w:tcW w:w="1495" w:type="dxa"/>
            <w:vAlign w:val="center"/>
          </w:tcPr>
          <w:p>
            <w:pPr>
              <w:tabs>
                <w:tab w:val="left" w:pos="1080"/>
              </w:tabs>
              <w:snapToGrid w:val="0"/>
              <w:rPr>
                <w:rFonts w:hint="eastAsia"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2-1-1</w:t>
            </w:r>
          </w:p>
        </w:tc>
        <w:tc>
          <w:tcPr>
            <w:tcW w:w="1715" w:type="dxa"/>
            <w:vAlign w:val="center"/>
          </w:tcPr>
          <w:p>
            <w:pPr>
              <w:tabs>
                <w:tab w:val="left" w:pos="1080"/>
              </w:tabs>
              <w:snapToGrid w:val="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中小企业政策证明文件</w:t>
            </w:r>
          </w:p>
        </w:tc>
        <w:tc>
          <w:tcPr>
            <w:tcW w:w="5232" w:type="dxa"/>
            <w:vAlign w:val="center"/>
          </w:tcPr>
          <w:p>
            <w:pPr>
              <w:tabs>
                <w:tab w:val="left" w:pos="1080"/>
              </w:tabs>
              <w:snapToGrid w:val="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当本项目（包）涉及预留份额专门面向中小企业采购，此时建议在《资格证明文件》中提供。</w:t>
            </w:r>
          </w:p>
          <w:p>
            <w:pPr>
              <w:tabs>
                <w:tab w:val="left" w:pos="1080"/>
              </w:tabs>
              <w:snapToGrid w:val="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1、投标人单独投标的，应提供《中小企业声 明函》或《残疾人福利性单位声明函》或由省级以上监狱管理局、戒毒管理局（含新疆生产建设兵团）出具的属于监狱企业的证明 文件。</w:t>
            </w:r>
          </w:p>
          <w:p>
            <w:pPr>
              <w:tabs>
                <w:tab w:val="left" w:pos="1080"/>
              </w:tabs>
              <w:snapToGrid w:val="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2、如招标文件要求以联合体形式参加或者要 求合同分包的，且投标人为联合体或拟进行 合同分包的，则联合体中的中小企业 、签订 分包意向协议的中小企业具体情况须在《中 小企业声明函》或《残疾人福利性单位声明 函》或由省级以上监狱管理局、戒毒管理局</w:t>
            </w:r>
            <w:r>
              <w:rPr>
                <w:rFonts w:hint="eastAsia" w:ascii="宋体" w:hAnsi="宋体" w:cs="宋体"/>
                <w:color w:val="000000" w:themeColor="text1"/>
                <w:spacing w:val="2"/>
                <w:sz w:val="24"/>
                <w14:textFill>
                  <w14:solidFill>
                    <w14:schemeClr w14:val="tx1"/>
                  </w14:solidFill>
                </w14:textFill>
              </w:rPr>
              <w:t>（含新疆生产建设兵团）出具的属于监狱企业的证明文件中如实填报，且满足招标文件</w:t>
            </w:r>
            <w:r>
              <w:rPr>
                <w:rFonts w:hint="eastAsia" w:ascii="宋体" w:hAnsi="宋体" w:cs="宋体"/>
                <w:color w:val="000000" w:themeColor="text1"/>
                <w:spacing w:val="-1"/>
                <w:sz w:val="24"/>
                <w14:textFill>
                  <w14:solidFill>
                    <w14:schemeClr w14:val="tx1"/>
                  </w14:solidFill>
                </w14:textFill>
              </w:rPr>
              <w:t>关于预留份额的要求。</w:t>
            </w:r>
          </w:p>
        </w:tc>
        <w:tc>
          <w:tcPr>
            <w:tcW w:w="1495" w:type="dxa"/>
            <w:vAlign w:val="center"/>
          </w:tcPr>
          <w:p>
            <w:pPr>
              <w:tabs>
                <w:tab w:val="left" w:pos="1080"/>
              </w:tabs>
              <w:snapToGrid w:val="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格式见《投标文件格式》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2-1-2</w:t>
            </w:r>
          </w:p>
        </w:tc>
        <w:tc>
          <w:tcPr>
            <w:tcW w:w="1715" w:type="dxa"/>
            <w:vAlign w:val="center"/>
          </w:tcPr>
          <w:p>
            <w:pPr>
              <w:tabs>
                <w:tab w:val="left" w:pos="1080"/>
              </w:tabs>
              <w:snapToGrid w:val="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拟分包情况说明及分包意向协议</w:t>
            </w:r>
            <w:bookmarkStart w:id="764" w:name="OLE_LINK122"/>
            <w:bookmarkStart w:id="765" w:name="OLE_LINK123"/>
            <w:r>
              <w:rPr>
                <w:rFonts w:hint="eastAsia" w:ascii="宋体" w:hAnsi="宋体" w:cs="宋体"/>
                <w:color w:val="000000" w:themeColor="text1"/>
                <w:sz w:val="24"/>
                <w14:textFill>
                  <w14:solidFill>
                    <w14:schemeClr w14:val="tx1"/>
                  </w14:solidFill>
                </w14:textFill>
              </w:rPr>
              <w:t>（本项目不适用）</w:t>
            </w:r>
            <w:bookmarkEnd w:id="764"/>
            <w:bookmarkEnd w:id="765"/>
          </w:p>
        </w:tc>
        <w:tc>
          <w:tcPr>
            <w:tcW w:w="5232" w:type="dxa"/>
            <w:vAlign w:val="center"/>
          </w:tcPr>
          <w:p>
            <w:pPr>
              <w:tabs>
                <w:tab w:val="left" w:pos="1080"/>
              </w:tabs>
              <w:snapToGrid w:val="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如本项目（包）要求通过分包措施预留部分 采购份额面向中小企业采购、且投标人因落 实政府采购政策拟进行分包的，必须提供； 否则无须提供。</w:t>
            </w:r>
          </w:p>
          <w:p>
            <w:pPr>
              <w:tabs>
                <w:tab w:val="left" w:pos="1080"/>
              </w:tabs>
              <w:snapToGrid w:val="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对于预留份额专门面向中小企业采购的项目 （包），组成联合体或者接受分包合同的中小 企业与联合体内其他企业、分包企业之间不 得存在直接控股、管理关系。</w:t>
            </w:r>
          </w:p>
        </w:tc>
        <w:tc>
          <w:tcPr>
            <w:tcW w:w="1495" w:type="dxa"/>
            <w:vAlign w:val="center"/>
          </w:tcPr>
          <w:p>
            <w:pPr>
              <w:tabs>
                <w:tab w:val="left" w:pos="1080"/>
              </w:tabs>
              <w:snapToGrid w:val="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格式见《投标文件格式》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2-2</w:t>
            </w:r>
          </w:p>
        </w:tc>
        <w:tc>
          <w:tcPr>
            <w:tcW w:w="1715" w:type="dxa"/>
            <w:vAlign w:val="center"/>
          </w:tcPr>
          <w:p>
            <w:pPr>
              <w:tabs>
                <w:tab w:val="left" w:pos="1080"/>
              </w:tabs>
              <w:snapToGrid w:val="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其它落实政府采购政策的资格要求</w:t>
            </w:r>
          </w:p>
        </w:tc>
        <w:tc>
          <w:tcPr>
            <w:tcW w:w="5232" w:type="dxa"/>
            <w:vAlign w:val="center"/>
          </w:tcPr>
          <w:p>
            <w:pPr>
              <w:tabs>
                <w:tab w:val="left" w:pos="1080"/>
              </w:tabs>
              <w:snapToGrid w:val="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如有，见第一章《投标邀请》</w:t>
            </w:r>
          </w:p>
        </w:tc>
        <w:tc>
          <w:tcPr>
            <w:tcW w:w="1495" w:type="dxa"/>
            <w:vAlign w:val="center"/>
          </w:tcPr>
          <w:p>
            <w:pPr>
              <w:tabs>
                <w:tab w:val="left" w:pos="1080"/>
              </w:tabs>
              <w:snapToGrid w:val="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提供证明文件的电子件或电子证照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w:t>
            </w:r>
          </w:p>
        </w:tc>
        <w:tc>
          <w:tcPr>
            <w:tcW w:w="1715" w:type="dxa"/>
            <w:vAlign w:val="center"/>
          </w:tcPr>
          <w:p>
            <w:pPr>
              <w:tabs>
                <w:tab w:val="left" w:pos="1080"/>
              </w:tabs>
              <w:snapToGrid w:val="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本项目的特定资格要求</w:t>
            </w:r>
          </w:p>
        </w:tc>
        <w:tc>
          <w:tcPr>
            <w:tcW w:w="5232" w:type="dxa"/>
            <w:vAlign w:val="center"/>
          </w:tcPr>
          <w:p>
            <w:pPr>
              <w:tabs>
                <w:tab w:val="left" w:pos="1080"/>
              </w:tabs>
              <w:snapToGrid w:val="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如有，见第一章《投标邀请》</w:t>
            </w:r>
          </w:p>
        </w:tc>
        <w:tc>
          <w:tcPr>
            <w:tcW w:w="1495" w:type="dxa"/>
            <w:vAlign w:val="center"/>
          </w:tcPr>
          <w:p>
            <w:pPr>
              <w:tabs>
                <w:tab w:val="left" w:pos="1080"/>
              </w:tabs>
              <w:snapToGrid w:val="0"/>
              <w:rPr>
                <w:rFonts w:hint="eastAsia"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3-1</w:t>
            </w:r>
          </w:p>
        </w:tc>
        <w:tc>
          <w:tcPr>
            <w:tcW w:w="1715" w:type="dxa"/>
            <w:vAlign w:val="center"/>
          </w:tcPr>
          <w:p>
            <w:pPr>
              <w:tabs>
                <w:tab w:val="left" w:pos="1080"/>
              </w:tabs>
              <w:snapToGrid w:val="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是否接受联合体投标（本项目不适用）</w:t>
            </w:r>
          </w:p>
        </w:tc>
        <w:tc>
          <w:tcPr>
            <w:tcW w:w="5232" w:type="dxa"/>
            <w:vAlign w:val="center"/>
          </w:tcPr>
          <w:p>
            <w:pPr>
              <w:tabs>
                <w:tab w:val="left" w:pos="1080"/>
              </w:tabs>
              <w:snapToGrid w:val="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1、如本项目接受联合体投标，且投标人为联 合体时必须提供《联合协议》，明确各方拟担的工作和责任，并指定联合体牵头人，授 权其代表所有联合体成员负责本项目投标和 合同实施阶段的牵头、协调工作。该联合协 议应当作为投标文件的组成部分，与投标文 件其他内容同时递交。</w:t>
            </w:r>
          </w:p>
          <w:p>
            <w:pPr>
              <w:tabs>
                <w:tab w:val="left" w:pos="1080"/>
              </w:tabs>
              <w:snapToGrid w:val="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2、联合体各成员单位均须提供本表中序号 1-1、1-2的证明文件。联合体各成员单位均 应满足本表3-2项规定。</w:t>
            </w:r>
          </w:p>
          <w:p>
            <w:pPr>
              <w:tabs>
                <w:tab w:val="left" w:pos="1080"/>
              </w:tabs>
              <w:snapToGrid w:val="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3、本表序号3-3项规定的其他特定资格要求中的每一小项要求，联合体各方中至少应当有一方符合本表中其他资格要求并提供证 明文件。</w:t>
            </w:r>
          </w:p>
          <w:p>
            <w:pPr>
              <w:tabs>
                <w:tab w:val="left" w:pos="1080"/>
              </w:tabs>
              <w:snapToGrid w:val="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4、联合体中有同类资质的供应商按照联合体 分工承担相同工作的，应当按照资质等级较 低的供应商确定资质等级。</w:t>
            </w:r>
          </w:p>
          <w:p>
            <w:pPr>
              <w:tabs>
                <w:tab w:val="left" w:pos="1080"/>
              </w:tabs>
              <w:snapToGrid w:val="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5、以联合体形式参加政府采购活动的，联合 体各方不得再单独参加或者与其他供应商另 外组成联合体参加同一合同项下的政府采购 活动。</w:t>
            </w:r>
          </w:p>
          <w:p>
            <w:pPr>
              <w:tabs>
                <w:tab w:val="left" w:pos="1080"/>
              </w:tabs>
              <w:snapToGrid w:val="0"/>
              <w:rPr>
                <w:rFonts w:hint="eastAsia" w:ascii="宋体" w:hAnsi="宋体" w:cs="宋体"/>
                <w:b/>
                <w:bCs/>
                <w:color w:val="000000" w:themeColor="text1"/>
                <w:spacing w:val="-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6、若联合体中任一成员单位中途退出，则该</w:t>
            </w:r>
            <w:r>
              <w:rPr>
                <w:rFonts w:hint="eastAsia" w:ascii="宋体" w:hAnsi="宋体" w:cs="宋体"/>
                <w:color w:val="000000" w:themeColor="text1"/>
                <w:spacing w:val="-1"/>
                <w:sz w:val="24"/>
                <w14:textFill>
                  <w14:solidFill>
                    <w14:schemeClr w14:val="tx1"/>
                  </w14:solidFill>
                </w14:textFill>
              </w:rPr>
              <w:t>联合体的</w:t>
            </w:r>
            <w:r>
              <w:rPr>
                <w:rFonts w:hint="eastAsia" w:ascii="宋体" w:hAnsi="宋体" w:cs="宋体"/>
                <w:b/>
                <w:bCs/>
                <w:color w:val="000000" w:themeColor="text1"/>
                <w:spacing w:val="-1"/>
                <w:sz w:val="24"/>
                <w14:textFill>
                  <w14:solidFill>
                    <w14:schemeClr w14:val="tx1"/>
                  </w14:solidFill>
                </w14:textFill>
              </w:rPr>
              <w:t>投标无效。</w:t>
            </w:r>
          </w:p>
          <w:p>
            <w:pPr>
              <w:tabs>
                <w:tab w:val="left" w:pos="1080"/>
              </w:tabs>
              <w:snapToGrid w:val="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7、本项目不接受联合体投标时，投标人不得</w:t>
            </w:r>
            <w:r>
              <w:rPr>
                <w:rFonts w:hint="eastAsia" w:ascii="宋体" w:hAnsi="宋体" w:cs="宋体"/>
                <w:color w:val="000000" w:themeColor="text1"/>
                <w:spacing w:val="-3"/>
                <w:sz w:val="24"/>
                <w14:textFill>
                  <w14:solidFill>
                    <w14:schemeClr w14:val="tx1"/>
                  </w14:solidFill>
                </w14:textFill>
              </w:rPr>
              <w:t>为联合体。</w:t>
            </w:r>
          </w:p>
        </w:tc>
        <w:tc>
          <w:tcPr>
            <w:tcW w:w="1495" w:type="dxa"/>
            <w:vAlign w:val="center"/>
          </w:tcPr>
          <w:p>
            <w:pPr>
              <w:tabs>
                <w:tab w:val="left" w:pos="1080"/>
              </w:tabs>
              <w:snapToGrid w:val="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提供《联合协议》原件的电子件</w:t>
            </w:r>
          </w:p>
          <w:p>
            <w:pPr>
              <w:tabs>
                <w:tab w:val="left" w:pos="1080"/>
              </w:tabs>
              <w:snapToGrid w:val="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格式见《投标文件格式》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3-2</w:t>
            </w:r>
          </w:p>
        </w:tc>
        <w:tc>
          <w:tcPr>
            <w:tcW w:w="1715" w:type="dxa"/>
            <w:vAlign w:val="center"/>
          </w:tcPr>
          <w:p>
            <w:pPr>
              <w:tabs>
                <w:tab w:val="left" w:pos="1080"/>
              </w:tabs>
              <w:snapToGrid w:val="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政府购买服务承接主体的要求</w:t>
            </w:r>
          </w:p>
        </w:tc>
        <w:tc>
          <w:tcPr>
            <w:tcW w:w="5232" w:type="dxa"/>
            <w:vAlign w:val="center"/>
          </w:tcPr>
          <w:p>
            <w:pPr>
              <w:tabs>
                <w:tab w:val="left" w:pos="1080"/>
              </w:tabs>
              <w:snapToGrid w:val="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如本项目属于政府购买服务，投标人不属于 公益一类事业单位、使用事业编制且由财政 拨款保障的群团组织。</w:t>
            </w:r>
          </w:p>
        </w:tc>
        <w:tc>
          <w:tcPr>
            <w:tcW w:w="1495" w:type="dxa"/>
            <w:vAlign w:val="center"/>
          </w:tcPr>
          <w:p>
            <w:pPr>
              <w:tabs>
                <w:tab w:val="left" w:pos="1080"/>
              </w:tabs>
              <w:snapToGrid w:val="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格式见《投标文件格式》“1-2投标人资格声明书”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3-3</w:t>
            </w:r>
          </w:p>
        </w:tc>
        <w:tc>
          <w:tcPr>
            <w:tcW w:w="1715" w:type="dxa"/>
            <w:vAlign w:val="center"/>
          </w:tcPr>
          <w:p>
            <w:pPr>
              <w:tabs>
                <w:tab w:val="left" w:pos="1080"/>
              </w:tabs>
              <w:snapToGrid w:val="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其他特定资格要求</w:t>
            </w:r>
          </w:p>
        </w:tc>
        <w:tc>
          <w:tcPr>
            <w:tcW w:w="5232" w:type="dxa"/>
            <w:vAlign w:val="center"/>
          </w:tcPr>
          <w:p>
            <w:pPr>
              <w:tabs>
                <w:tab w:val="left" w:pos="1080"/>
              </w:tabs>
              <w:snapToGrid w:val="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如有，见第一章《投标邀请》</w:t>
            </w:r>
          </w:p>
          <w:p>
            <w:pPr>
              <w:tabs>
                <w:tab w:val="left" w:pos="1080"/>
              </w:tabs>
              <w:snapToGrid w:val="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 ：如联合体中有同类资质的供应商按照联合体分工承担相同工作的，均应当提供资质证书电子件或电子证照。</w:t>
            </w:r>
          </w:p>
        </w:tc>
        <w:tc>
          <w:tcPr>
            <w:tcW w:w="1495" w:type="dxa"/>
            <w:vAlign w:val="center"/>
          </w:tcPr>
          <w:p>
            <w:pPr>
              <w:tabs>
                <w:tab w:val="left" w:pos="1080"/>
              </w:tabs>
              <w:snapToGrid w:val="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提供证明文件的电子件或电子证照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p>
        </w:tc>
        <w:tc>
          <w:tcPr>
            <w:tcW w:w="1715" w:type="dxa"/>
            <w:vAlign w:val="center"/>
          </w:tcPr>
          <w:p>
            <w:pPr>
              <w:tabs>
                <w:tab w:val="left" w:pos="1080"/>
              </w:tabs>
              <w:snapToGrid w:val="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投标保证金</w:t>
            </w:r>
          </w:p>
        </w:tc>
        <w:tc>
          <w:tcPr>
            <w:tcW w:w="5232" w:type="dxa"/>
            <w:vAlign w:val="center"/>
          </w:tcPr>
          <w:p>
            <w:pPr>
              <w:tabs>
                <w:tab w:val="left" w:pos="1080"/>
              </w:tabs>
              <w:snapToGrid w:val="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按照招标文件的规定提交投标保证金。</w:t>
            </w:r>
          </w:p>
        </w:tc>
        <w:tc>
          <w:tcPr>
            <w:tcW w:w="1495" w:type="dxa"/>
            <w:vAlign w:val="center"/>
          </w:tcPr>
          <w:p>
            <w:pPr>
              <w:tabs>
                <w:tab w:val="left" w:pos="1080"/>
              </w:tabs>
              <w:snapToGrid w:val="0"/>
              <w:rPr>
                <w:rFonts w:hint="eastAsia" w:ascii="宋体" w:hAnsi="宋体" w:cs="宋体"/>
                <w:color w:val="000000" w:themeColor="text1"/>
                <w:sz w:val="24"/>
                <w14:textFill>
                  <w14:solidFill>
                    <w14:schemeClr w14:val="tx1"/>
                  </w14:solidFill>
                </w14:textFill>
              </w:rPr>
            </w:pPr>
          </w:p>
        </w:tc>
        <w:bookmarkStart w:id="766" w:name="_Hlt487900425"/>
        <w:bookmarkStart w:id="767" w:name="_Hlt522424701"/>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w:t>
            </w:r>
          </w:p>
        </w:tc>
        <w:tc>
          <w:tcPr>
            <w:tcW w:w="1715" w:type="dxa"/>
            <w:vAlign w:val="center"/>
          </w:tcPr>
          <w:p>
            <w:pPr>
              <w:tabs>
                <w:tab w:val="left" w:pos="1080"/>
              </w:tabs>
              <w:snapToGrid w:val="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获取招标文件</w:t>
            </w:r>
          </w:p>
        </w:tc>
        <w:tc>
          <w:tcPr>
            <w:tcW w:w="5232" w:type="dxa"/>
            <w:vAlign w:val="center"/>
          </w:tcPr>
          <w:p>
            <w:pPr>
              <w:tabs>
                <w:tab w:val="left" w:pos="1080"/>
              </w:tabs>
              <w:snapToGrid w:val="0"/>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在规定期限内通过北京市政府采购电子交易平台获取所参与包的招标文件。</w:t>
            </w:r>
          </w:p>
          <w:p>
            <w:pPr>
              <w:tabs>
                <w:tab w:val="left" w:pos="1080"/>
              </w:tabs>
              <w:snapToGrid w:val="0"/>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注：如本项目接受联合体，且供应商为联合体时，联合体中任一成员获取文件即视为满足要求。</w:t>
            </w:r>
          </w:p>
        </w:tc>
        <w:tc>
          <w:tcPr>
            <w:tcW w:w="1495" w:type="dxa"/>
            <w:vAlign w:val="center"/>
          </w:tcPr>
          <w:p>
            <w:pPr>
              <w:tabs>
                <w:tab w:val="left" w:pos="1080"/>
              </w:tabs>
              <w:snapToGrid w:val="0"/>
              <w:rPr>
                <w:rFonts w:hint="eastAsia" w:ascii="宋体" w:hAnsi="宋体" w:cs="宋体"/>
                <w:color w:val="000000" w:themeColor="text1"/>
                <w:sz w:val="24"/>
                <w14:textFill>
                  <w14:solidFill>
                    <w14:schemeClr w14:val="tx1"/>
                  </w14:solidFill>
                </w14:textFill>
              </w:rPr>
            </w:pPr>
          </w:p>
        </w:tc>
      </w:t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761"/>
      <w:bookmarkEnd w:id="766"/>
      <w:bookmarkEnd w:id="767"/>
    </w:tbl>
    <w:p>
      <w:pPr>
        <w:spacing w:line="360" w:lineRule="auto"/>
        <w:jc w:val="center"/>
        <w:outlineLvl w:val="0"/>
        <w:rPr>
          <w:rFonts w:hint="eastAsia" w:ascii="宋体" w:hAnsi="宋体" w:cs="宋体"/>
          <w:b/>
          <w:color w:val="000000" w:themeColor="text1"/>
          <w:sz w:val="36"/>
          <w:szCs w:val="36"/>
          <w14:textFill>
            <w14:solidFill>
              <w14:schemeClr w14:val="tx1"/>
            </w14:solidFill>
          </w14:textFill>
        </w:rPr>
      </w:pPr>
      <w:bookmarkStart w:id="768" w:name="_Toc127151779"/>
      <w:bookmarkStart w:id="769" w:name="_Toc127161490"/>
      <w:bookmarkStart w:id="770" w:name="_Toc226965858"/>
      <w:bookmarkStart w:id="771" w:name="_Toc353825550"/>
      <w:bookmarkStart w:id="772" w:name="_Toc353873940"/>
      <w:bookmarkStart w:id="773" w:name="_Toc99301423"/>
      <w:r>
        <w:rPr>
          <w:rFonts w:hint="eastAsia" w:ascii="宋体" w:hAnsi="宋体" w:cs="宋体"/>
          <w:b/>
          <w:color w:val="000000" w:themeColor="text1"/>
          <w:sz w:val="36"/>
          <w:szCs w:val="36"/>
          <w14:textFill>
            <w14:solidFill>
              <w14:schemeClr w14:val="tx1"/>
            </w14:solidFill>
          </w14:textFill>
        </w:rPr>
        <w:br w:type="page"/>
      </w:r>
      <w:bookmarkStart w:id="774" w:name="_Toc218620569"/>
      <w:r>
        <w:rPr>
          <w:rFonts w:hint="eastAsia" w:ascii="宋体" w:hAnsi="宋体" w:cs="宋体"/>
          <w:b/>
          <w:color w:val="000000" w:themeColor="text1"/>
          <w:sz w:val="36"/>
          <w:szCs w:val="36"/>
          <w14:textFill>
            <w14:solidFill>
              <w14:schemeClr w14:val="tx1"/>
            </w14:solidFill>
          </w14:textFill>
        </w:rPr>
        <w:t xml:space="preserve">第四章   </w:t>
      </w:r>
      <w:bookmarkEnd w:id="768"/>
      <w:bookmarkEnd w:id="769"/>
      <w:bookmarkEnd w:id="770"/>
      <w:bookmarkEnd w:id="771"/>
      <w:bookmarkEnd w:id="772"/>
      <w:bookmarkStart w:id="775" w:name="_Hlt164229061"/>
      <w:bookmarkEnd w:id="775"/>
      <w:r>
        <w:rPr>
          <w:rFonts w:hint="eastAsia" w:ascii="宋体" w:hAnsi="宋体" w:cs="宋体"/>
          <w:b/>
          <w:color w:val="000000" w:themeColor="text1"/>
          <w:sz w:val="36"/>
          <w:szCs w:val="36"/>
          <w14:textFill>
            <w14:solidFill>
              <w14:schemeClr w14:val="tx1"/>
            </w14:solidFill>
          </w14:textFill>
        </w:rPr>
        <w:t>评标程序、评标方法和评标标准</w:t>
      </w:r>
      <w:bookmarkEnd w:id="773"/>
      <w:bookmarkEnd w:id="774"/>
    </w:p>
    <w:p>
      <w:pPr>
        <w:tabs>
          <w:tab w:val="left" w:pos="360"/>
          <w:tab w:val="left" w:pos="900"/>
        </w:tabs>
        <w:snapToGrid w:val="0"/>
        <w:spacing w:line="360" w:lineRule="auto"/>
        <w:jc w:val="center"/>
        <w:rPr>
          <w:rFonts w:hint="eastAsia" w:ascii="宋体" w:hAnsi="宋体" w:cs="宋体"/>
          <w:b/>
          <w:color w:val="000000" w:themeColor="text1"/>
          <w14:textFill>
            <w14:solidFill>
              <w14:schemeClr w14:val="tx1"/>
            </w14:solidFill>
          </w14:textFill>
        </w:rPr>
      </w:pPr>
      <w:r>
        <w:rPr>
          <w:rFonts w:hint="eastAsia" w:ascii="宋体" w:hAnsi="宋体" w:cs="宋体"/>
          <w:b/>
          <w:color w:val="000000" w:themeColor="text1"/>
          <w:sz w:val="24"/>
          <w14:textFill>
            <w14:solidFill>
              <w14:schemeClr w14:val="tx1"/>
            </w14:solidFill>
          </w14:textFill>
        </w:rPr>
        <w:t>一、评标方法</w:t>
      </w:r>
    </w:p>
    <w:p>
      <w:pPr>
        <w:numPr>
          <w:ilvl w:val="0"/>
          <w:numId w:val="13"/>
        </w:numPr>
        <w:tabs>
          <w:tab w:val="left" w:pos="360"/>
        </w:tabs>
        <w:snapToGrid w:val="0"/>
        <w:spacing w:line="360" w:lineRule="auto"/>
        <w:rPr>
          <w:rFonts w:hint="eastAsia" w:ascii="宋体" w:hAnsi="宋体" w:cs="宋体"/>
          <w:color w:val="000000" w:themeColor="text1"/>
          <w:sz w:val="24"/>
          <w14:textFill>
            <w14:solidFill>
              <w14:schemeClr w14:val="tx1"/>
            </w14:solidFill>
          </w14:textFill>
        </w:rPr>
      </w:pPr>
      <w:bookmarkStart w:id="776" w:name="_Toc150509292"/>
      <w:bookmarkStart w:id="777" w:name="_Toc195842906"/>
      <w:bookmarkStart w:id="778" w:name="_Toc226309785"/>
      <w:bookmarkStart w:id="779" w:name="_Toc150774746"/>
      <w:bookmarkStart w:id="780" w:name="_Toc151193855"/>
      <w:bookmarkStart w:id="781" w:name="_Toc149720834"/>
      <w:bookmarkStart w:id="782" w:name="_Toc151193639"/>
      <w:bookmarkStart w:id="783" w:name="_Toc127161455"/>
      <w:bookmarkStart w:id="784" w:name="_Toc142311043"/>
      <w:bookmarkStart w:id="785" w:name="_Toc305158809"/>
      <w:bookmarkStart w:id="786" w:name="_Toc305158883"/>
      <w:bookmarkStart w:id="787" w:name="_Toc164608810"/>
      <w:bookmarkStart w:id="788" w:name="_Toc265228379"/>
      <w:bookmarkStart w:id="789" w:name="_Toc226965731"/>
      <w:bookmarkStart w:id="790" w:name="_Toc151193711"/>
      <w:bookmarkStart w:id="791" w:name="_Toc164229382"/>
      <w:bookmarkStart w:id="792" w:name="_Toc150480779"/>
      <w:bookmarkStart w:id="793" w:name="_Toc150774641"/>
      <w:bookmarkStart w:id="794" w:name="_Toc127151541"/>
      <w:bookmarkStart w:id="795" w:name="_Toc264969231"/>
      <w:bookmarkStart w:id="796" w:name="_Toc226337237"/>
      <w:bookmarkStart w:id="797" w:name="_Toc151193783"/>
      <w:bookmarkStart w:id="798" w:name="_Toc164229236"/>
      <w:bookmarkStart w:id="799" w:name="_Toc164608655"/>
      <w:bookmarkStart w:id="800" w:name="_Toc127151742"/>
      <w:bookmarkStart w:id="801" w:name="_Toc164351635"/>
      <w:bookmarkStart w:id="802" w:name="_Toc151190168"/>
      <w:bookmarkStart w:id="803" w:name="_Toc151193929"/>
      <w:bookmarkStart w:id="804" w:name="_Toc226965814"/>
      <w:bookmarkStart w:id="805" w:name="_Toc353825551"/>
      <w:bookmarkStart w:id="806" w:name="_Toc353873941"/>
      <w:bookmarkStart w:id="807" w:name="_Toc305158897"/>
      <w:bookmarkStart w:id="808" w:name="_Toc353873665"/>
      <w:bookmarkStart w:id="809" w:name="_Toc226337251"/>
      <w:bookmarkStart w:id="810" w:name="_Toc150480793"/>
      <w:bookmarkStart w:id="811" w:name="_Toc195842920"/>
      <w:bookmarkStart w:id="812" w:name="_Toc127151555"/>
      <w:bookmarkStart w:id="813" w:name="_Toc265228393"/>
      <w:bookmarkStart w:id="814" w:name="_Toc142311057"/>
      <w:bookmarkStart w:id="815" w:name="_Toc264969245"/>
      <w:bookmarkStart w:id="816" w:name="_Toc305158823"/>
      <w:bookmarkStart w:id="817" w:name="_Toc226965828"/>
      <w:bookmarkStart w:id="818" w:name="_Toc150774760"/>
      <w:bookmarkStart w:id="819" w:name="_Toc353825545"/>
      <w:bookmarkStart w:id="820" w:name="_Toc353873935"/>
      <w:r>
        <w:rPr>
          <w:rFonts w:hint="eastAsia" w:ascii="宋体" w:hAnsi="宋体" w:cs="宋体"/>
          <w:color w:val="000000" w:themeColor="text1"/>
          <w:sz w:val="24"/>
          <w14:textFill>
            <w14:solidFill>
              <w14:schemeClr w14:val="tx1"/>
            </w14:solidFill>
          </w14:textFill>
        </w:rPr>
        <w:t>投标文件的符合性审查</w:t>
      </w:r>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p>
    <w:p>
      <w:pPr>
        <w:numPr>
          <w:ilvl w:val="1"/>
          <w:numId w:val="13"/>
        </w:numPr>
        <w:tabs>
          <w:tab w:val="left" w:pos="1080"/>
        </w:tabs>
        <w:snapToGrid w:val="0"/>
        <w:spacing w:line="360" w:lineRule="auto"/>
        <w:ind w:left="1077"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评标委员会对资格审查合格的投标人的投标文件进行符合性审查，以确定其是否满足招标文件的实质性要求。</w:t>
      </w:r>
      <w:bookmarkStart w:id="821" w:name="_Toc520356167"/>
    </w:p>
    <w:p>
      <w:pPr>
        <w:numPr>
          <w:ilvl w:val="1"/>
          <w:numId w:val="13"/>
        </w:numPr>
        <w:tabs>
          <w:tab w:val="left" w:pos="1080"/>
        </w:tabs>
        <w:snapToGrid w:val="0"/>
        <w:spacing w:line="360" w:lineRule="auto"/>
        <w:ind w:left="1077"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根据《符合性审查要求》中规定的审查因素和审查内容，对投标人的投标文件是否实质上响应招标文件进行符合性审查，并形成符合性审查评审结果。投标人《商务技术文件》有任何一项不符合《符合性审查要求》</w:t>
      </w:r>
      <w:bookmarkEnd w:id="821"/>
      <w:r>
        <w:rPr>
          <w:rFonts w:hint="eastAsia" w:ascii="宋体" w:hAnsi="宋体" w:cs="宋体"/>
          <w:color w:val="000000" w:themeColor="text1"/>
          <w:sz w:val="24"/>
          <w14:textFill>
            <w14:solidFill>
              <w14:schemeClr w14:val="tx1"/>
            </w14:solidFill>
          </w14:textFill>
        </w:rPr>
        <w:t>要求的，</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tabs>
          <w:tab w:val="left" w:pos="900"/>
          <w:tab w:val="left" w:pos="1080"/>
          <w:tab w:val="left" w:pos="1589"/>
        </w:tabs>
        <w:snapToGrid w:val="0"/>
        <w:spacing w:line="360" w:lineRule="auto"/>
        <w:ind w:leftChars="-170" w:hanging="357" w:hangingChars="148"/>
        <w:jc w:val="center"/>
        <w:rPr>
          <w:rFonts w:hint="eastAsia"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符合性审查要求</w:t>
      </w:r>
    </w:p>
    <w:tbl>
      <w:tblPr>
        <w:tblStyle w:val="5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4"/>
        <w:gridCol w:w="1663"/>
        <w:gridCol w:w="6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01" w:type="pct"/>
            <w:vAlign w:val="center"/>
          </w:tcPr>
          <w:p>
            <w:pPr>
              <w:widowControl/>
              <w:jc w:val="center"/>
              <w:rPr>
                <w:rFonts w:hint="eastAsia" w:ascii="宋体" w:hAnsi="宋体" w:cs="宋体"/>
                <w:b/>
                <w:color w:val="000000" w:themeColor="text1"/>
                <w:kern w:val="0"/>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序号</w:t>
            </w:r>
          </w:p>
        </w:tc>
        <w:tc>
          <w:tcPr>
            <w:tcW w:w="975" w:type="pct"/>
            <w:vAlign w:val="center"/>
          </w:tcPr>
          <w:p>
            <w:pPr>
              <w:widowControl/>
              <w:jc w:val="center"/>
              <w:rPr>
                <w:rFonts w:hint="eastAsia" w:ascii="宋体" w:hAnsi="宋体" w:cs="宋体"/>
                <w:b/>
                <w:color w:val="000000" w:themeColor="text1"/>
                <w:kern w:val="0"/>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审查因素</w:t>
            </w:r>
          </w:p>
        </w:tc>
        <w:tc>
          <w:tcPr>
            <w:tcW w:w="3622" w:type="pct"/>
            <w:vAlign w:val="center"/>
          </w:tcPr>
          <w:p>
            <w:pPr>
              <w:widowControl/>
              <w:jc w:val="center"/>
              <w:rPr>
                <w:rFonts w:hint="eastAsia" w:ascii="宋体" w:hAnsi="宋体" w:cs="宋体"/>
                <w:b/>
                <w:color w:val="000000" w:themeColor="text1"/>
                <w:kern w:val="0"/>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审查内容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1" w:type="pct"/>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w:t>
            </w:r>
          </w:p>
        </w:tc>
        <w:tc>
          <w:tcPr>
            <w:tcW w:w="975" w:type="pct"/>
            <w:vAlign w:val="center"/>
          </w:tcPr>
          <w:p>
            <w:pPr>
              <w:widowControl/>
              <w:jc w:val="left"/>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授权委托书</w:t>
            </w:r>
          </w:p>
        </w:tc>
        <w:tc>
          <w:tcPr>
            <w:tcW w:w="3622" w:type="pct"/>
            <w:vAlign w:val="center"/>
          </w:tcPr>
          <w:p>
            <w:pPr>
              <w:widowControl/>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按招标文件要求提供授权委托书；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1" w:type="pct"/>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w:t>
            </w:r>
          </w:p>
        </w:tc>
        <w:tc>
          <w:tcPr>
            <w:tcW w:w="975" w:type="pct"/>
            <w:vAlign w:val="center"/>
          </w:tcPr>
          <w:p>
            <w:pPr>
              <w:widowControl/>
              <w:jc w:val="left"/>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投标完整性</w:t>
            </w:r>
          </w:p>
        </w:tc>
        <w:tc>
          <w:tcPr>
            <w:tcW w:w="3622" w:type="pct"/>
            <w:vAlign w:val="center"/>
          </w:tcPr>
          <w:p>
            <w:pPr>
              <w:widowControl/>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未将一个采购包中的内容拆分投标；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1" w:type="pct"/>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w:t>
            </w:r>
          </w:p>
        </w:tc>
        <w:tc>
          <w:tcPr>
            <w:tcW w:w="975" w:type="pct"/>
            <w:vAlign w:val="center"/>
          </w:tcPr>
          <w:p>
            <w:pPr>
              <w:widowControl/>
              <w:jc w:val="left"/>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投标报价</w:t>
            </w:r>
          </w:p>
        </w:tc>
        <w:tc>
          <w:tcPr>
            <w:tcW w:w="3622" w:type="pct"/>
            <w:vAlign w:val="center"/>
          </w:tcPr>
          <w:p>
            <w:pPr>
              <w:widowControl/>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投标报价未超过招标文件中规定的项目/采购包预算金额或者项目/采购包最高限价；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1" w:type="pct"/>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4</w:t>
            </w:r>
          </w:p>
        </w:tc>
        <w:tc>
          <w:tcPr>
            <w:tcW w:w="975" w:type="pct"/>
            <w:vAlign w:val="center"/>
          </w:tcPr>
          <w:p>
            <w:pPr>
              <w:widowControl/>
              <w:jc w:val="left"/>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报价唯一性</w:t>
            </w:r>
          </w:p>
        </w:tc>
        <w:tc>
          <w:tcPr>
            <w:tcW w:w="3622" w:type="pct"/>
            <w:vAlign w:val="center"/>
          </w:tcPr>
          <w:p>
            <w:pPr>
              <w:widowControl/>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投标文件未出现可选择性或可调整的报价（招标文件另有规定的除外）；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1" w:type="pct"/>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5</w:t>
            </w:r>
          </w:p>
        </w:tc>
        <w:tc>
          <w:tcPr>
            <w:tcW w:w="975" w:type="pct"/>
            <w:vAlign w:val="center"/>
          </w:tcPr>
          <w:p>
            <w:pPr>
              <w:widowControl/>
              <w:jc w:val="left"/>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投标有效期</w:t>
            </w:r>
          </w:p>
        </w:tc>
        <w:tc>
          <w:tcPr>
            <w:tcW w:w="3622" w:type="pct"/>
            <w:vAlign w:val="center"/>
          </w:tcPr>
          <w:p>
            <w:pPr>
              <w:widowControl/>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投标文件中承诺的投标有效期满足招标文件中载明的投标有效期的；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1" w:type="pct"/>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6</w:t>
            </w:r>
          </w:p>
        </w:tc>
        <w:tc>
          <w:tcPr>
            <w:tcW w:w="975" w:type="pct"/>
            <w:vAlign w:val="center"/>
          </w:tcPr>
          <w:p>
            <w:pPr>
              <w:widowControl/>
              <w:jc w:val="left"/>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实质性格式</w:t>
            </w:r>
          </w:p>
        </w:tc>
        <w:tc>
          <w:tcPr>
            <w:tcW w:w="3622" w:type="pct"/>
            <w:vAlign w:val="center"/>
          </w:tcPr>
          <w:p>
            <w:pPr>
              <w:widowControl/>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标记为“实质性格式”的文件均按招标文件要求提供且签署、盖章的；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1" w:type="pct"/>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7</w:t>
            </w:r>
          </w:p>
        </w:tc>
        <w:tc>
          <w:tcPr>
            <w:tcW w:w="975" w:type="pct"/>
            <w:vAlign w:val="center"/>
          </w:tcPr>
          <w:p>
            <w:pPr>
              <w:widowControl/>
              <w:jc w:val="left"/>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★号条款响应（如有）</w:t>
            </w:r>
          </w:p>
        </w:tc>
        <w:tc>
          <w:tcPr>
            <w:tcW w:w="3622" w:type="pct"/>
            <w:vAlign w:val="center"/>
          </w:tcPr>
          <w:p>
            <w:pPr>
              <w:widowControl/>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投标文件满足招标文件第五章《采购需求》中★号条款要求的；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1" w:type="pct"/>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8</w:t>
            </w:r>
          </w:p>
        </w:tc>
        <w:tc>
          <w:tcPr>
            <w:tcW w:w="975" w:type="pct"/>
            <w:vAlign w:val="center"/>
          </w:tcPr>
          <w:p>
            <w:pPr>
              <w:widowControl/>
              <w:jc w:val="left"/>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拟分包情况说</w:t>
            </w:r>
            <w:r>
              <w:rPr>
                <w:rFonts w:hint="eastAsia" w:ascii="宋体" w:hAnsi="宋体" w:cs="宋体"/>
                <w:color w:val="000000" w:themeColor="text1"/>
                <w:spacing w:val="-3"/>
                <w:sz w:val="24"/>
                <w14:textFill>
                  <w14:solidFill>
                    <w14:schemeClr w14:val="tx1"/>
                  </w14:solidFill>
                </w14:textFill>
              </w:rPr>
              <w:t>明（如有）</w:t>
            </w:r>
          </w:p>
        </w:tc>
        <w:tc>
          <w:tcPr>
            <w:tcW w:w="3622" w:type="pct"/>
            <w:vAlign w:val="center"/>
          </w:tcPr>
          <w:p>
            <w:pPr>
              <w:widowControl/>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如本项目（包）非因“落实政府采购政策”亦允许分包，且供应商拟进行分包时，必须提供；否则无须提供；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1" w:type="pct"/>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9</w:t>
            </w:r>
          </w:p>
        </w:tc>
        <w:tc>
          <w:tcPr>
            <w:tcW w:w="975" w:type="pct"/>
            <w:vAlign w:val="center"/>
          </w:tcPr>
          <w:p>
            <w:pPr>
              <w:widowControl/>
              <w:jc w:val="left"/>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分包其他要求</w:t>
            </w:r>
            <w:r>
              <w:rPr>
                <w:rFonts w:hint="eastAsia" w:ascii="宋体" w:hAnsi="宋体" w:cs="宋体"/>
                <w:color w:val="000000" w:themeColor="text1"/>
                <w:spacing w:val="3"/>
                <w:sz w:val="24"/>
                <w14:textFill>
                  <w14:solidFill>
                    <w14:schemeClr w14:val="tx1"/>
                  </w14:solidFill>
                </w14:textFill>
              </w:rPr>
              <w:t>（如有）</w:t>
            </w:r>
          </w:p>
        </w:tc>
        <w:tc>
          <w:tcPr>
            <w:tcW w:w="3622" w:type="pct"/>
            <w:vAlign w:val="center"/>
          </w:tcPr>
          <w:p>
            <w:pPr>
              <w:widowControl/>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分包履行的内容、金额或者比例未超出《投标人须知资料表》中的规定；</w:t>
            </w:r>
          </w:p>
          <w:p>
            <w:pPr>
              <w:widowControl/>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分包承担主体具备《投标人须知资料表》载明的资质条件且提供了资质证书电子件（如有）；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1" w:type="pct"/>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10</w:t>
            </w:r>
          </w:p>
        </w:tc>
        <w:tc>
          <w:tcPr>
            <w:tcW w:w="975" w:type="pct"/>
            <w:vAlign w:val="center"/>
          </w:tcPr>
          <w:p>
            <w:pPr>
              <w:widowControl/>
              <w:jc w:val="left"/>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报价的修正（如有）</w:t>
            </w:r>
          </w:p>
        </w:tc>
        <w:tc>
          <w:tcPr>
            <w:tcW w:w="3622" w:type="pct"/>
            <w:vAlign w:val="center"/>
          </w:tcPr>
          <w:p>
            <w:pPr>
              <w:widowControl/>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不涉及报价修正，或投标文件报价出现前后不一致时，投标人对修正后的报价予以确认；（如有）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1" w:type="pct"/>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11</w:t>
            </w:r>
          </w:p>
        </w:tc>
        <w:tc>
          <w:tcPr>
            <w:tcW w:w="975" w:type="pct"/>
            <w:vAlign w:val="center"/>
          </w:tcPr>
          <w:p>
            <w:pPr>
              <w:widowControl/>
              <w:jc w:val="left"/>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报价合理性</w:t>
            </w:r>
          </w:p>
        </w:tc>
        <w:tc>
          <w:tcPr>
            <w:tcW w:w="3622" w:type="pct"/>
            <w:vAlign w:val="center"/>
          </w:tcPr>
          <w:p>
            <w:pPr>
              <w:widowControl/>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报价合理，或投标人的报价明显低于其他通过符合性审查投标人的报价，有可能影响产品质量或者不能诚信履约的 ，能够应评标委员会要求在规定时间内证明其报价合理性的；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1" w:type="pct"/>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12</w:t>
            </w:r>
          </w:p>
        </w:tc>
        <w:tc>
          <w:tcPr>
            <w:tcW w:w="975" w:type="pct"/>
            <w:vAlign w:val="center"/>
          </w:tcPr>
          <w:p>
            <w:pPr>
              <w:widowControl/>
              <w:jc w:val="left"/>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进口产品</w:t>
            </w:r>
          </w:p>
          <w:p>
            <w:pPr>
              <w:widowControl/>
              <w:jc w:val="left"/>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（如有）</w:t>
            </w:r>
          </w:p>
        </w:tc>
        <w:tc>
          <w:tcPr>
            <w:tcW w:w="3622" w:type="pct"/>
            <w:vAlign w:val="center"/>
          </w:tcPr>
          <w:p>
            <w:pPr>
              <w:widowControl/>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招标文件不接受进口产品投标的内容时，投标人所投产品不含进口产品；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1" w:type="pct"/>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13</w:t>
            </w:r>
          </w:p>
        </w:tc>
        <w:tc>
          <w:tcPr>
            <w:tcW w:w="975" w:type="pct"/>
            <w:vAlign w:val="center"/>
          </w:tcPr>
          <w:p>
            <w:pPr>
              <w:widowControl/>
              <w:jc w:val="left"/>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国家有关部门对投标人的投标产品有强制性规定或要求的（如有）</w:t>
            </w:r>
          </w:p>
        </w:tc>
        <w:tc>
          <w:tcPr>
            <w:tcW w:w="3622" w:type="pct"/>
            <w:vAlign w:val="center"/>
          </w:tcPr>
          <w:p>
            <w:pPr>
              <w:widowControl/>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国家有关部门对投标人的投标产品有强制性规定或要求的（如相应技术、安全、节能和环保等），投标人的投标产品应符合相应规定或要求，并提供证明文件电子件：</w:t>
            </w:r>
          </w:p>
          <w:p>
            <w:pPr>
              <w:widowControl/>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1）采购的产品若属于《节能产品政府采购品目清单》范围中政府强制采购产品，则投标人所报产品必须获得国家确定的认证机构出具的、处于有效期之内的节能产品认证证书；</w:t>
            </w:r>
          </w:p>
          <w:p>
            <w:pPr>
              <w:widowControl/>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所投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如该产品已经获得公安部颁发的计算机信息系统安全专用产品销售许可证，且在有效期内，亦视为符合要求）</w:t>
            </w:r>
          </w:p>
          <w:p>
            <w:pPr>
              <w:widowControl/>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3）项目中涉及涂料、胶黏剂、油墨、清洗剂等挥发性有机物产品，且属于强制性标准的，供应商应执行符合本市和国家的VOCs含量限制标准。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1" w:type="pct"/>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14</w:t>
            </w:r>
          </w:p>
        </w:tc>
        <w:tc>
          <w:tcPr>
            <w:tcW w:w="975" w:type="pct"/>
            <w:vAlign w:val="center"/>
          </w:tcPr>
          <w:p>
            <w:pPr>
              <w:widowControl/>
              <w:jc w:val="left"/>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公平竞争</w:t>
            </w:r>
          </w:p>
        </w:tc>
        <w:tc>
          <w:tcPr>
            <w:tcW w:w="3622" w:type="pct"/>
            <w:vAlign w:val="center"/>
          </w:tcPr>
          <w:p>
            <w:pPr>
              <w:widowControl/>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投标人遵循公平竞争的原则，不存在恶意串通，妨碍其他投标人的竞争行为，不存在损害采购人或者其他投标人的合法权益情形的；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1" w:type="pct"/>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15</w:t>
            </w:r>
          </w:p>
        </w:tc>
        <w:tc>
          <w:tcPr>
            <w:tcW w:w="975" w:type="pct"/>
            <w:vAlign w:val="center"/>
          </w:tcPr>
          <w:p>
            <w:pPr>
              <w:widowControl/>
              <w:jc w:val="left"/>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串通投标</w:t>
            </w:r>
          </w:p>
        </w:tc>
        <w:tc>
          <w:tcPr>
            <w:tcW w:w="3622" w:type="pct"/>
            <w:vAlign w:val="center"/>
          </w:tcPr>
          <w:p>
            <w:pPr>
              <w:widowControl/>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不存在《政府采购货物和服务招标投标管理办法》视为投标人串通投标的情形：（一）不同投标人的投标文件由同一单位或者   个人编制；（二）不同投标人委托同一单位或者个人办理投标事宜；（三）不同投标人的投标文件载明的项目管理成员或者联系人员为同一人；（四）不同投标人的投标文件异常一致或者投标报价呈规律性差异；（五）不同投标人的投标文件相互混装；（六）不同投标人的投标保证金从同一单位或者个人的账户转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1" w:type="pct"/>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16</w:t>
            </w:r>
          </w:p>
        </w:tc>
        <w:tc>
          <w:tcPr>
            <w:tcW w:w="975" w:type="pct"/>
            <w:vAlign w:val="center"/>
          </w:tcPr>
          <w:p>
            <w:pPr>
              <w:widowControl/>
              <w:jc w:val="left"/>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附加条件</w:t>
            </w:r>
          </w:p>
        </w:tc>
        <w:tc>
          <w:tcPr>
            <w:tcW w:w="3622" w:type="pct"/>
            <w:vAlign w:val="center"/>
          </w:tcPr>
          <w:p>
            <w:pPr>
              <w:widowControl/>
              <w:jc w:val="left"/>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投标文件未含有采购人不能接受的附加条件的；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1" w:type="pct"/>
            <w:vAlign w:val="center"/>
          </w:tcPr>
          <w:p>
            <w:pPr>
              <w:widowControl/>
              <w:jc w:val="center"/>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17</w:t>
            </w:r>
          </w:p>
        </w:tc>
        <w:tc>
          <w:tcPr>
            <w:tcW w:w="975" w:type="pct"/>
            <w:vAlign w:val="center"/>
          </w:tcPr>
          <w:p>
            <w:pPr>
              <w:widowControl/>
              <w:jc w:val="left"/>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其他无效情形</w:t>
            </w:r>
          </w:p>
        </w:tc>
        <w:tc>
          <w:tcPr>
            <w:tcW w:w="3622" w:type="pct"/>
            <w:vAlign w:val="center"/>
          </w:tcPr>
          <w:p>
            <w:pPr>
              <w:widowControl/>
              <w:jc w:val="left"/>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投标人、投标文件不存在不符合法律、法规和招标文件规定的其他无效情形。</w:t>
            </w:r>
          </w:p>
        </w:tc>
      </w:tr>
    </w:tbl>
    <w:p>
      <w:pPr>
        <w:numPr>
          <w:ilvl w:val="0"/>
          <w:numId w:val="13"/>
        </w:numPr>
        <w:tabs>
          <w:tab w:val="left" w:pos="360"/>
        </w:tabs>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投标文件有关事项的澄清或者说明</w:t>
      </w:r>
    </w:p>
    <w:p>
      <w:pPr>
        <w:numPr>
          <w:ilvl w:val="1"/>
          <w:numId w:val="13"/>
        </w:numPr>
        <w:tabs>
          <w:tab w:val="left" w:pos="1080"/>
        </w:tabs>
        <w:snapToGrid w:val="0"/>
        <w:spacing w:line="360" w:lineRule="auto"/>
        <w:ind w:left="1077"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过程中，评标委员会将以书面形式要求投标人对其投标文件中含义不明确、同类问题表述不一致或者有明显文字和计算错误的内容，作出必要的澄清、说明或者补正。投标人的澄清、说明或者补正应当采用书面形式，并加盖公章，或者由法定代表人</w:t>
      </w:r>
      <w:r>
        <w:rPr>
          <w:rFonts w:hint="eastAsia" w:ascii="宋体" w:hAnsi="宋体" w:cs="宋体"/>
          <w:color w:val="000000" w:themeColor="text1"/>
          <w:spacing w:val="1"/>
          <w:sz w:val="24"/>
          <w14:textFill>
            <w14:solidFill>
              <w14:schemeClr w14:val="tx1"/>
            </w14:solidFill>
          </w14:textFill>
        </w:rPr>
        <w:t>（若投标人为事业单位或</w:t>
      </w:r>
      <w:r>
        <w:rPr>
          <w:rFonts w:hint="eastAsia" w:ascii="宋体" w:hAnsi="宋体" w:cs="宋体"/>
          <w:color w:val="000000" w:themeColor="text1"/>
          <w:sz w:val="24"/>
          <w14:textFill>
            <w14:solidFill>
              <w14:schemeClr w14:val="tx1"/>
            </w14:solidFill>
          </w14:textFill>
        </w:rPr>
        <w:t>其他组织或分支机构，可为单位负责人）或其授权的代表签字。投标人的澄清、说明或者补正不得超出投标文件的范围或者改变投标文件的实质性内容。澄清文件将作为投标文件内容的一部分。</w:t>
      </w:r>
    </w:p>
    <w:p>
      <w:pPr>
        <w:numPr>
          <w:ilvl w:val="1"/>
          <w:numId w:val="13"/>
        </w:numPr>
        <w:tabs>
          <w:tab w:val="left" w:pos="1080"/>
        </w:tabs>
        <w:snapToGrid w:val="0"/>
        <w:spacing w:line="360" w:lineRule="auto"/>
        <w:ind w:left="1077"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Pr>
          <w:rFonts w:hint="eastAsia" w:ascii="宋体" w:hAnsi="宋体" w:cs="宋体"/>
          <w:b/>
          <w:color w:val="000000" w:themeColor="text1"/>
          <w:sz w:val="24"/>
          <w14:textFill>
            <w14:solidFill>
              <w14:schemeClr w14:val="tx1"/>
            </w14:solidFill>
          </w14:textFill>
        </w:rPr>
        <w:t>无效投标处理</w:t>
      </w:r>
      <w:r>
        <w:rPr>
          <w:rFonts w:hint="eastAsia" w:ascii="宋体" w:hAnsi="宋体" w:cs="宋体"/>
          <w:color w:val="000000" w:themeColor="text1"/>
          <w:sz w:val="24"/>
          <w14:textFill>
            <w14:solidFill>
              <w14:schemeClr w14:val="tx1"/>
            </w14:solidFill>
          </w14:textFill>
        </w:rPr>
        <w:t>。</w:t>
      </w:r>
    </w:p>
    <w:p>
      <w:pPr>
        <w:numPr>
          <w:ilvl w:val="1"/>
          <w:numId w:val="13"/>
        </w:numPr>
        <w:tabs>
          <w:tab w:val="left" w:pos="1080"/>
        </w:tabs>
        <w:snapToGrid w:val="0"/>
        <w:spacing w:line="360" w:lineRule="auto"/>
        <w:ind w:left="1077" w:hanging="720"/>
        <w:rPr>
          <w:rFonts w:hint="eastAsia" w:ascii="宋体" w:hAnsi="宋体" w:cs="宋体"/>
          <w:color w:val="000000" w:themeColor="text1"/>
          <w:sz w:val="24"/>
          <w14:textFill>
            <w14:solidFill>
              <w14:schemeClr w14:val="tx1"/>
            </w14:solidFill>
          </w14:textFill>
        </w:rPr>
      </w:pPr>
      <w:r>
        <w:rPr>
          <w:rFonts w:hint="eastAsia" w:ascii="宋体" w:hAnsi="宋体" w:cs="仿宋"/>
          <w:sz w:val="24"/>
        </w:rPr>
        <w:t>根据财政部《关于推动解决异常低价问题的通知》（财库〔2026〕2号）要求，政府采购评审中出现下列情形之一的，评标委员会应当启动异常低价投标（响应）审查程序：</w:t>
      </w:r>
    </w:p>
    <w:p>
      <w:pPr>
        <w:numPr>
          <w:ilvl w:val="2"/>
          <w:numId w:val="13"/>
        </w:numPr>
        <w:tabs>
          <w:tab w:val="left" w:pos="1080"/>
          <w:tab w:val="left" w:pos="1589"/>
        </w:tabs>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仿宋"/>
          <w:sz w:val="24"/>
        </w:rPr>
        <w:t>投标（响应）报价低于全部通过符合性审查投标人投标（响应）报价平均值50%的，即投标（响应）报价&lt;全部通过符合性审查投标人投标（响应）报价平均值×50%；</w:t>
      </w:r>
    </w:p>
    <w:p>
      <w:pPr>
        <w:numPr>
          <w:ilvl w:val="2"/>
          <w:numId w:val="13"/>
        </w:numPr>
        <w:tabs>
          <w:tab w:val="left" w:pos="1080"/>
          <w:tab w:val="left" w:pos="1589"/>
        </w:tabs>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仿宋"/>
          <w:sz w:val="24"/>
        </w:rPr>
        <w:t>投标（响应）报价低于通过符合性审查的次低报价投标人投标（响应）报价50%的，即投标（响应）报价&lt;通过符合性审查的次低报价投标人投标（响应）报价×50%；</w:t>
      </w:r>
    </w:p>
    <w:p>
      <w:pPr>
        <w:numPr>
          <w:ilvl w:val="2"/>
          <w:numId w:val="13"/>
        </w:numPr>
        <w:tabs>
          <w:tab w:val="left" w:pos="1080"/>
          <w:tab w:val="left" w:pos="1589"/>
        </w:tabs>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仿宋"/>
          <w:sz w:val="24"/>
        </w:rPr>
        <w:t>投标（响应）报价低于采购项目最高限价45%的，即投标（响应）报价&lt;采购项目最高限价×45%；</w:t>
      </w:r>
    </w:p>
    <w:p>
      <w:pPr>
        <w:numPr>
          <w:ilvl w:val="2"/>
          <w:numId w:val="13"/>
        </w:numPr>
        <w:tabs>
          <w:tab w:val="left" w:pos="1080"/>
          <w:tab w:val="left" w:pos="1589"/>
        </w:tabs>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仿宋"/>
          <w:sz w:val="24"/>
        </w:rPr>
        <w:t>评标委员会基于专业判断，认为投标人报价过低，有可能影响产品质量或者不能诚信履约的其他情形。采购人可以结合具体项目实际情况，提高上述第1项至第3项中启动异常低价投标（响应）审查的数值标准，但是最高不得超过65%。相关法律法规对投标人报价有规定的，从其规定。</w:t>
      </w:r>
    </w:p>
    <w:p>
      <w:pPr>
        <w:numPr>
          <w:ilvl w:val="1"/>
          <w:numId w:val="13"/>
        </w:numPr>
        <w:tabs>
          <w:tab w:val="left" w:pos="1080"/>
        </w:tabs>
        <w:snapToGrid w:val="0"/>
        <w:spacing w:line="360" w:lineRule="auto"/>
        <w:ind w:left="1077"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评标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为30分钟。其中，属于第3项情形，供应商已随投标（响应）文件一并提交相关书面说明及必要的证明材料的，在评审现场可不再重复提交。 </w:t>
      </w:r>
    </w:p>
    <w:p>
      <w:pPr>
        <w:numPr>
          <w:ilvl w:val="1"/>
          <w:numId w:val="13"/>
        </w:numPr>
        <w:tabs>
          <w:tab w:val="left" w:pos="1080"/>
        </w:tabs>
        <w:snapToGrid w:val="0"/>
        <w:spacing w:line="360" w:lineRule="auto"/>
        <w:ind w:left="1077" w:hanging="720"/>
        <w:rPr>
          <w:rFonts w:hint="eastAsia"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标委员会应当将其作为</w:t>
      </w:r>
      <w:r>
        <w:rPr>
          <w:rFonts w:hint="eastAsia" w:ascii="宋体" w:hAnsi="宋体" w:cs="宋体"/>
          <w:b/>
          <w:color w:val="000000" w:themeColor="text1"/>
          <w:sz w:val="24"/>
          <w14:textFill>
            <w14:solidFill>
              <w14:schemeClr w14:val="tx1"/>
            </w14:solidFill>
          </w14:textFill>
        </w:rPr>
        <w:t>无效投标（响应）处理。</w:t>
      </w:r>
    </w:p>
    <w:p>
      <w:pPr>
        <w:numPr>
          <w:ilvl w:val="1"/>
          <w:numId w:val="13"/>
        </w:numPr>
        <w:tabs>
          <w:tab w:val="left" w:pos="1080"/>
        </w:tabs>
        <w:snapToGrid w:val="0"/>
        <w:spacing w:line="360" w:lineRule="auto"/>
        <w:ind w:left="1077"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采购代理机构应当为评标委员会在评审现场及时获取同类项目中标（成交）价格、类似产品市场价格水平、行业人工费用标准、国家有关部门指导行业协会发布的行业平均成本等相关信息资料提供便利。评标委员会借助互联网等渠道查询相关信息的，应当严格遵守评审工作纪律，不得实施影响评审公正的行为。</w:t>
      </w:r>
    </w:p>
    <w:p>
      <w:pPr>
        <w:numPr>
          <w:ilvl w:val="1"/>
          <w:numId w:val="13"/>
        </w:numPr>
        <w:tabs>
          <w:tab w:val="left" w:pos="1080"/>
        </w:tabs>
        <w:snapToGrid w:val="0"/>
        <w:spacing w:line="360" w:lineRule="auto"/>
        <w:ind w:left="1077"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1"/>
          <w:numId w:val="13"/>
        </w:numPr>
        <w:tabs>
          <w:tab w:val="left" w:pos="1080"/>
        </w:tabs>
        <w:snapToGrid w:val="0"/>
        <w:spacing w:line="360" w:lineRule="auto"/>
        <w:ind w:left="1077"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投标文件报价出现前后不一致的，按照下列规定修正：</w:t>
      </w:r>
    </w:p>
    <w:p>
      <w:pPr>
        <w:numPr>
          <w:ilvl w:val="2"/>
          <w:numId w:val="13"/>
        </w:numPr>
        <w:tabs>
          <w:tab w:val="left" w:pos="1080"/>
          <w:tab w:val="left" w:pos="1589"/>
          <w:tab w:val="left" w:pos="2035"/>
          <w:tab w:val="left" w:pos="2114"/>
        </w:tabs>
        <w:snapToGrid w:val="0"/>
        <w:spacing w:line="360" w:lineRule="auto"/>
        <w:ind w:left="203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招标文件对于报价修正是否另有规定：</w:t>
      </w:r>
    </w:p>
    <w:p>
      <w:pPr>
        <w:tabs>
          <w:tab w:val="left" w:pos="1080"/>
          <w:tab w:val="left" w:pos="1589"/>
          <w:tab w:val="left" w:pos="2035"/>
          <w:tab w:val="left" w:pos="2114"/>
        </w:tabs>
        <w:snapToGrid w:val="0"/>
        <w:spacing w:line="360" w:lineRule="auto"/>
        <w:ind w:left="2035"/>
        <w:rPr>
          <w:rFonts w:hint="eastAsia"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□有，具体规定为：______________</w:t>
      </w:r>
    </w:p>
    <w:p>
      <w:pPr>
        <w:tabs>
          <w:tab w:val="left" w:pos="1080"/>
          <w:tab w:val="left" w:pos="1589"/>
          <w:tab w:val="left" w:pos="2035"/>
          <w:tab w:val="left" w:pos="2114"/>
        </w:tabs>
        <w:snapToGrid w:val="0"/>
        <w:spacing w:line="360" w:lineRule="auto"/>
        <w:ind w:left="203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■无，按下述2.4.2-2.4.8项规定修正。</w:t>
      </w:r>
    </w:p>
    <w:p>
      <w:pPr>
        <w:numPr>
          <w:ilvl w:val="2"/>
          <w:numId w:val="13"/>
        </w:numPr>
        <w:tabs>
          <w:tab w:val="left" w:pos="2035"/>
          <w:tab w:val="left" w:pos="2114"/>
          <w:tab w:val="left" w:pos="2977"/>
        </w:tabs>
        <w:snapToGrid w:val="0"/>
        <w:spacing w:line="360" w:lineRule="auto"/>
        <w:ind w:left="203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单独递交的开标一览表（报价表）与投标文件中开标一览表（报价表）内容不一致的，以单独递交的开标一览表（报价表）为准；</w:t>
      </w:r>
    </w:p>
    <w:p>
      <w:pPr>
        <w:numPr>
          <w:ilvl w:val="2"/>
          <w:numId w:val="13"/>
        </w:numPr>
        <w:tabs>
          <w:tab w:val="left" w:pos="2035"/>
          <w:tab w:val="left" w:pos="2114"/>
          <w:tab w:val="left" w:pos="2977"/>
        </w:tabs>
        <w:snapToGrid w:val="0"/>
        <w:spacing w:line="360" w:lineRule="auto"/>
        <w:ind w:left="203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投标文件中开标一览表（报价表）内容与投标文件中相应内容不一致的，以开标一览表（报价表）为准；</w:t>
      </w:r>
    </w:p>
    <w:p>
      <w:pPr>
        <w:numPr>
          <w:ilvl w:val="2"/>
          <w:numId w:val="13"/>
        </w:numPr>
        <w:tabs>
          <w:tab w:val="left" w:pos="2035"/>
          <w:tab w:val="left" w:pos="2114"/>
          <w:tab w:val="left" w:pos="2977"/>
        </w:tabs>
        <w:snapToGrid w:val="0"/>
        <w:spacing w:line="360" w:lineRule="auto"/>
        <w:ind w:left="203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大写金额和小写金额不一致的，以大写金额为准；</w:t>
      </w:r>
    </w:p>
    <w:p>
      <w:pPr>
        <w:numPr>
          <w:ilvl w:val="2"/>
          <w:numId w:val="13"/>
        </w:numPr>
        <w:tabs>
          <w:tab w:val="left" w:pos="2035"/>
          <w:tab w:val="left" w:pos="2114"/>
          <w:tab w:val="left" w:pos="2977"/>
        </w:tabs>
        <w:snapToGrid w:val="0"/>
        <w:spacing w:line="360" w:lineRule="auto"/>
        <w:ind w:left="203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单价金额小数点或者百分比有明显错位的，以开标一览表的总价为准，并修改单价；</w:t>
      </w:r>
    </w:p>
    <w:p>
      <w:pPr>
        <w:numPr>
          <w:ilvl w:val="2"/>
          <w:numId w:val="13"/>
        </w:numPr>
        <w:tabs>
          <w:tab w:val="left" w:pos="2035"/>
          <w:tab w:val="left" w:pos="2114"/>
          <w:tab w:val="left" w:pos="2977"/>
        </w:tabs>
        <w:snapToGrid w:val="0"/>
        <w:spacing w:line="360" w:lineRule="auto"/>
        <w:ind w:left="203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总价金额与按单价汇总金额不一致的，以单价金额计算结果为准。</w:t>
      </w:r>
    </w:p>
    <w:p>
      <w:pPr>
        <w:numPr>
          <w:ilvl w:val="2"/>
          <w:numId w:val="13"/>
        </w:numPr>
        <w:tabs>
          <w:tab w:val="left" w:pos="1080"/>
          <w:tab w:val="left" w:pos="1589"/>
          <w:tab w:val="left" w:pos="2035"/>
          <w:tab w:val="left" w:pos="2114"/>
        </w:tabs>
        <w:snapToGrid w:val="0"/>
        <w:spacing w:line="360" w:lineRule="auto"/>
        <w:ind w:left="203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同时出现两种以上不一致的，按照前款规定的顺序修正。</w:t>
      </w:r>
    </w:p>
    <w:p>
      <w:pPr>
        <w:numPr>
          <w:ilvl w:val="2"/>
          <w:numId w:val="13"/>
        </w:numPr>
        <w:tabs>
          <w:tab w:val="left" w:pos="1080"/>
          <w:tab w:val="left" w:pos="1589"/>
          <w:tab w:val="left" w:pos="2035"/>
          <w:tab w:val="left" w:pos="2114"/>
        </w:tabs>
        <w:snapToGrid w:val="0"/>
        <w:spacing w:line="360" w:lineRule="auto"/>
        <w:ind w:left="203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修正后的报价经投标人书面确认后产生约束力，投标人不确认的，其</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1"/>
          <w:numId w:val="13"/>
        </w:numPr>
        <w:tabs>
          <w:tab w:val="left" w:pos="1080"/>
        </w:tabs>
        <w:snapToGrid w:val="0"/>
        <w:spacing w:line="360" w:lineRule="auto"/>
        <w:ind w:left="1077"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落实政府采购政策的价格调整：只有符合第二章《投标人须知》5.2条规定情形的，可以享受中小企业扶持政策，用扣除后的价格参加评审；否则，评标时价格不予扣除。</w:t>
      </w:r>
    </w:p>
    <w:p>
      <w:pPr>
        <w:numPr>
          <w:ilvl w:val="2"/>
          <w:numId w:val="13"/>
        </w:numPr>
        <w:tabs>
          <w:tab w:val="left" w:pos="1080"/>
          <w:tab w:val="left" w:pos="1589"/>
          <w:tab w:val="left" w:pos="2035"/>
        </w:tabs>
        <w:snapToGrid w:val="0"/>
        <w:spacing w:line="360" w:lineRule="auto"/>
        <w:ind w:left="203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对于未预留份额专门面向中小企业采购的采购项目，以及预留份额项目中的非预留部分采购包，对小微企业报价给予</w:t>
      </w:r>
      <w:r>
        <w:rPr>
          <w:rFonts w:hint="eastAsia" w:ascii="宋体" w:hAnsi="宋体" w:cs="宋体"/>
          <w:color w:val="000000" w:themeColor="text1"/>
          <w:sz w:val="24"/>
          <w:u w:val="single"/>
          <w14:textFill>
            <w14:solidFill>
              <w14:schemeClr w14:val="tx1"/>
            </w14:solidFill>
          </w14:textFill>
        </w:rPr>
        <w:t>10</w:t>
      </w:r>
      <w:r>
        <w:rPr>
          <w:rFonts w:hint="eastAsia" w:ascii="宋体" w:hAnsi="宋体" w:cs="宋体"/>
          <w:color w:val="000000" w:themeColor="text1"/>
          <w:sz w:val="24"/>
          <w14:textFill>
            <w14:solidFill>
              <w14:schemeClr w14:val="tx1"/>
            </w14:solidFill>
          </w14:textFill>
        </w:rPr>
        <w:t>%的扣除，用扣除后的价格参加评审。</w:t>
      </w:r>
    </w:p>
    <w:p>
      <w:pPr>
        <w:numPr>
          <w:ilvl w:val="2"/>
          <w:numId w:val="13"/>
        </w:numPr>
        <w:tabs>
          <w:tab w:val="left" w:pos="1080"/>
          <w:tab w:val="left" w:pos="1589"/>
          <w:tab w:val="left" w:pos="2035"/>
        </w:tabs>
        <w:snapToGrid w:val="0"/>
        <w:spacing w:line="360" w:lineRule="auto"/>
        <w:ind w:left="203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 30%以上的联合体或者大中型企业的报价给予</w:t>
      </w:r>
      <w:r>
        <w:rPr>
          <w:rFonts w:hint="eastAsia" w:ascii="宋体" w:hAnsi="宋体" w:cs="宋体"/>
          <w:color w:val="000000" w:themeColor="text1"/>
          <w:sz w:val="24"/>
          <w:u w:val="single"/>
          <w14:textFill>
            <w14:solidFill>
              <w14:schemeClr w14:val="tx1"/>
            </w14:solidFill>
          </w14:textFill>
        </w:rPr>
        <w:t xml:space="preserve">  /  </w:t>
      </w:r>
      <w:r>
        <w:rPr>
          <w:rFonts w:hint="eastAsia" w:ascii="宋体" w:hAnsi="宋体" w:cs="宋体"/>
          <w:color w:val="000000" w:themeColor="text1"/>
          <w:sz w:val="24"/>
          <w14:textFill>
            <w14:solidFill>
              <w14:schemeClr w14:val="tx1"/>
            </w14:solidFill>
          </w14:textFill>
        </w:rPr>
        <w:t>%的扣除，用扣除后的价格参加评审。</w:t>
      </w:r>
    </w:p>
    <w:p>
      <w:pPr>
        <w:numPr>
          <w:ilvl w:val="2"/>
          <w:numId w:val="13"/>
        </w:numPr>
        <w:tabs>
          <w:tab w:val="left" w:pos="1080"/>
          <w:tab w:val="left" w:pos="1589"/>
          <w:tab w:val="left" w:pos="2035"/>
        </w:tabs>
        <w:snapToGrid w:val="0"/>
        <w:spacing w:line="360" w:lineRule="auto"/>
        <w:ind w:left="203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组成联合体或者接受分包的小微企业与联合体内其他企业、分包企业之间存在直接控股、管理关系的，不享受价格扣除优惠政策。</w:t>
      </w:r>
    </w:p>
    <w:p>
      <w:pPr>
        <w:numPr>
          <w:ilvl w:val="2"/>
          <w:numId w:val="13"/>
        </w:numPr>
        <w:tabs>
          <w:tab w:val="left" w:pos="1080"/>
          <w:tab w:val="left" w:pos="1589"/>
          <w:tab w:val="left" w:pos="2035"/>
        </w:tabs>
        <w:snapToGrid w:val="0"/>
        <w:spacing w:line="360" w:lineRule="auto"/>
        <w:ind w:left="203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价格扣除比例对小型企业和微型企业同等对待，不作区分。</w:t>
      </w:r>
    </w:p>
    <w:p>
      <w:pPr>
        <w:numPr>
          <w:ilvl w:val="2"/>
          <w:numId w:val="13"/>
        </w:numPr>
        <w:tabs>
          <w:tab w:val="left" w:pos="1080"/>
          <w:tab w:val="left" w:pos="1589"/>
          <w:tab w:val="left" w:pos="2035"/>
        </w:tabs>
        <w:snapToGrid w:val="0"/>
        <w:spacing w:line="360" w:lineRule="auto"/>
        <w:ind w:left="203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中小企业参加政府采购活动，</w:t>
      </w:r>
      <w:bookmarkStart w:id="822" w:name="OLE_LINK3"/>
      <w:bookmarkStart w:id="823" w:name="OLE_LINK4"/>
      <w:r>
        <w:rPr>
          <w:rFonts w:hint="eastAsia" w:ascii="宋体" w:hAnsi="宋体" w:cs="宋体"/>
          <w:color w:val="000000" w:themeColor="text1"/>
          <w:sz w:val="24"/>
          <w14:textFill>
            <w14:solidFill>
              <w14:schemeClr w14:val="tx1"/>
            </w14:solidFill>
          </w14:textFill>
        </w:rPr>
        <w:t>应当按照招标文件给定的格式出具</w:t>
      </w:r>
      <w:bookmarkEnd w:id="822"/>
      <w:bookmarkEnd w:id="823"/>
      <w:r>
        <w:rPr>
          <w:rFonts w:hint="eastAsia" w:ascii="宋体" w:hAnsi="宋体" w:cs="宋体"/>
          <w:color w:val="000000" w:themeColor="text1"/>
          <w:sz w:val="24"/>
          <w14:textFill>
            <w14:solidFill>
              <w14:schemeClr w14:val="tx1"/>
            </w14:solidFill>
          </w14:textFill>
        </w:rPr>
        <w:t>《中小企业声明函》，否则不得享受相关中小企业扶持政策。</w:t>
      </w:r>
    </w:p>
    <w:p>
      <w:pPr>
        <w:numPr>
          <w:ilvl w:val="2"/>
          <w:numId w:val="13"/>
        </w:numPr>
        <w:tabs>
          <w:tab w:val="left" w:pos="1080"/>
          <w:tab w:val="left" w:pos="1589"/>
          <w:tab w:val="left" w:pos="2035"/>
        </w:tabs>
        <w:snapToGrid w:val="0"/>
        <w:spacing w:line="360" w:lineRule="auto"/>
        <w:ind w:left="203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监狱企业提供了由省级以上监狱</w:t>
      </w:r>
      <w:r>
        <w:rPr>
          <w:rFonts w:hint="eastAsia" w:ascii="宋体" w:hAnsi="宋体" w:cs="宋体"/>
          <w:color w:val="000000" w:themeColor="text1"/>
          <w:spacing w:val="-1"/>
          <w:sz w:val="24"/>
          <w14:textFill>
            <w14:solidFill>
              <w14:schemeClr w14:val="tx1"/>
            </w14:solidFill>
          </w14:textFill>
        </w:rPr>
        <w:t>管理局、戒毒管理局</w:t>
      </w:r>
      <w:r>
        <w:rPr>
          <w:rFonts w:hint="eastAsia" w:ascii="宋体" w:hAnsi="宋体" w:cs="宋体"/>
          <w:color w:val="000000" w:themeColor="text1"/>
          <w:sz w:val="24"/>
          <w14:textFill>
            <w14:solidFill>
              <w14:schemeClr w14:val="tx1"/>
            </w14:solidFill>
          </w14:textFill>
        </w:rPr>
        <w:t>（含新疆生产建设兵团）出具的属于监狱企业的证明文件的，视同小微企业。</w:t>
      </w:r>
    </w:p>
    <w:p>
      <w:pPr>
        <w:numPr>
          <w:ilvl w:val="2"/>
          <w:numId w:val="13"/>
        </w:numPr>
        <w:tabs>
          <w:tab w:val="left" w:pos="1080"/>
          <w:tab w:val="left" w:pos="1589"/>
          <w:tab w:val="left" w:pos="2035"/>
        </w:tabs>
        <w:snapToGrid w:val="0"/>
        <w:spacing w:line="360" w:lineRule="auto"/>
        <w:ind w:left="203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残疾人福利性单位按招标文件要求提供了《残疾人福利性单位声明函》的，视同小微企业。</w:t>
      </w:r>
    </w:p>
    <w:p>
      <w:pPr>
        <w:numPr>
          <w:ilvl w:val="2"/>
          <w:numId w:val="13"/>
        </w:numPr>
        <w:tabs>
          <w:tab w:val="left" w:pos="1080"/>
          <w:tab w:val="left" w:pos="1589"/>
          <w:tab w:val="left" w:pos="2014"/>
          <w:tab w:val="clear" w:pos="1980"/>
        </w:tabs>
        <w:snapToGrid w:val="0"/>
        <w:spacing w:line="360" w:lineRule="auto"/>
        <w:ind w:left="203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若投标人同时属于小型或微型企业、监狱企业、残疾人福利性单位中的两种及以上，将不重复享受小微企业价格扣减的优惠政策。</w:t>
      </w:r>
    </w:p>
    <w:p>
      <w:pPr>
        <w:numPr>
          <w:ilvl w:val="1"/>
          <w:numId w:val="13"/>
        </w:numPr>
        <w:tabs>
          <w:tab w:val="left" w:pos="1080"/>
        </w:tabs>
        <w:snapToGrid w:val="0"/>
        <w:spacing w:line="360" w:lineRule="auto"/>
        <w:ind w:left="1077" w:hanging="720"/>
        <w:rPr>
          <w:rFonts w:hint="eastAsia" w:ascii="宋体" w:hAnsi="宋体" w:cs="宋体"/>
          <w:color w:val="000000" w:themeColor="text1"/>
          <w:sz w:val="24"/>
          <w14:textFill>
            <w14:solidFill>
              <w14:schemeClr w14:val="tx1"/>
            </w14:solidFill>
          </w14:textFill>
        </w:rPr>
      </w:pPr>
      <w:r>
        <w:rPr>
          <w:rFonts w:hint="eastAsia" w:ascii="宋体" w:hAnsi="宋体"/>
          <w:sz w:val="24"/>
        </w:rPr>
        <w:t>支持本国产品政府采购政策</w:t>
      </w:r>
      <w:r>
        <w:rPr>
          <w:rFonts w:ascii="宋体" w:hAnsi="宋体"/>
          <w:sz w:val="24"/>
        </w:rPr>
        <w:t>的价格调整</w:t>
      </w:r>
      <w:r>
        <w:rPr>
          <w:rFonts w:hint="eastAsia" w:ascii="宋体" w:hAnsi="宋体" w:cs="宋体"/>
          <w:color w:val="000000" w:themeColor="text1"/>
          <w:sz w:val="24"/>
          <w14:textFill>
            <w14:solidFill>
              <w14:schemeClr w14:val="tx1"/>
            </w14:solidFill>
          </w14:textFill>
        </w:rPr>
        <w:t>：只有符合第二章《投标人须知》5.</w:t>
      </w:r>
      <w:r>
        <w:rPr>
          <w:rFonts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14:textFill>
            <w14:solidFill>
              <w14:schemeClr w14:val="tx1"/>
            </w14:solidFill>
          </w14:textFill>
        </w:rPr>
        <w:t>条规定情形的，可以享受本国产品价格评审优惠政策，用扣除后的价格参加评审；否则，评标时价格不予扣除。</w:t>
      </w:r>
    </w:p>
    <w:p>
      <w:pPr>
        <w:numPr>
          <w:ilvl w:val="2"/>
          <w:numId w:val="13"/>
        </w:numPr>
        <w:tabs>
          <w:tab w:val="left" w:pos="1080"/>
          <w:tab w:val="left" w:pos="1589"/>
          <w:tab w:val="left" w:pos="2014"/>
          <w:tab w:val="clear" w:pos="1980"/>
        </w:tabs>
        <w:snapToGrid w:val="0"/>
        <w:spacing w:line="360" w:lineRule="auto"/>
        <w:ind w:left="2035"/>
        <w:rPr>
          <w:rFonts w:hint="eastAsia" w:ascii="宋体" w:hAnsi="宋体"/>
          <w:sz w:val="24"/>
        </w:rPr>
      </w:pPr>
      <w:r>
        <w:rPr>
          <w:rFonts w:hint="eastAsia" w:ascii="宋体" w:hAnsi="宋体"/>
          <w:sz w:val="24"/>
        </w:rPr>
        <w:t>本项目既有本国产品又有非本国产品参与竞争的，依法对本国产品给予价格评审优惠，对本国产品的报价给予20%的价格扣除，用扣除后的价格参与评审。</w:t>
      </w:r>
    </w:p>
    <w:p>
      <w:pPr>
        <w:numPr>
          <w:ilvl w:val="2"/>
          <w:numId w:val="13"/>
        </w:numPr>
        <w:tabs>
          <w:tab w:val="left" w:pos="1080"/>
          <w:tab w:val="left" w:pos="1589"/>
          <w:tab w:val="left" w:pos="2014"/>
          <w:tab w:val="clear" w:pos="1980"/>
        </w:tabs>
        <w:snapToGrid w:val="0"/>
        <w:spacing w:line="360" w:lineRule="auto"/>
        <w:ind w:left="2035"/>
        <w:rPr>
          <w:rFonts w:hint="eastAsia" w:ascii="宋体" w:hAnsi="宋体" w:cs="宋体"/>
          <w:color w:val="000000" w:themeColor="text1"/>
          <w:sz w:val="24"/>
          <w14:textFill>
            <w14:solidFill>
              <w14:schemeClr w14:val="tx1"/>
            </w14:solidFill>
          </w14:textFill>
        </w:rPr>
      </w:pPr>
      <w:r>
        <w:rPr>
          <w:rFonts w:hint="eastAsia" w:ascii="宋体" w:hAnsi="宋体"/>
          <w:sz w:val="24"/>
        </w:rPr>
        <w:t>当采购项目或者采购包中含有多种产品，投标人为该采购项目或者采购包提供的符合本国产品标准的产品成本之和占该投标人提供的全部产品成本之和的比例达到80%以上时，依法对该投标人提供的全部产品给予价格评审优惠，即对该投标人提供的全部产品的总报价给予20%的价格扣除，用扣除后的价格参与评审。</w:t>
      </w:r>
    </w:p>
    <w:p>
      <w:pPr>
        <w:numPr>
          <w:ilvl w:val="2"/>
          <w:numId w:val="13"/>
        </w:numPr>
        <w:tabs>
          <w:tab w:val="left" w:pos="1080"/>
          <w:tab w:val="left" w:pos="1589"/>
          <w:tab w:val="left" w:pos="2014"/>
        </w:tabs>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w:t>
      </w:r>
      <w:r>
        <w:rPr>
          <w:rFonts w:hint="eastAsia" w:ascii="宋体" w:hAnsi="宋体"/>
          <w:sz w:val="24"/>
        </w:rPr>
        <w:t>提供本国产品参加政府采购活动的，</w:t>
      </w:r>
      <w:r>
        <w:rPr>
          <w:rFonts w:hint="eastAsia" w:ascii="宋体" w:hAnsi="宋体" w:cs="宋体"/>
          <w:color w:val="000000" w:themeColor="text1"/>
          <w:sz w:val="24"/>
          <w14:textFill>
            <w14:solidFill>
              <w14:schemeClr w14:val="tx1"/>
            </w14:solidFill>
          </w14:textFill>
        </w:rPr>
        <w:t>应当按照招标文件给定的格式出具《关于符合本国产品标准的声明函》，以下简称《声明函》）或财政部会同有关部门规定的有关证明文件。出具符合要求的《声明函》或有关证明文件的，该产品视为本国产品。提供的符合本国产品标准的产品成本之和占该供应商提供的全部产品成本之和的比例达到80%以上时享受本国产品价格评审优惠政策。</w:t>
      </w:r>
    </w:p>
    <w:p>
      <w:pPr>
        <w:numPr>
          <w:ilvl w:val="2"/>
          <w:numId w:val="13"/>
        </w:numPr>
        <w:tabs>
          <w:tab w:val="left" w:pos="1080"/>
          <w:tab w:val="left" w:pos="1589"/>
          <w:tab w:val="left" w:pos="2014"/>
          <w:tab w:val="clear" w:pos="1980"/>
        </w:tabs>
        <w:snapToGrid w:val="0"/>
        <w:spacing w:line="360" w:lineRule="auto"/>
        <w:ind w:left="2035"/>
        <w:rPr>
          <w:rFonts w:hint="eastAsia" w:ascii="宋体" w:hAnsi="宋体" w:cs="宋体"/>
          <w:color w:val="000000" w:themeColor="text1"/>
          <w:sz w:val="24"/>
          <w14:textFill>
            <w14:solidFill>
              <w14:schemeClr w14:val="tx1"/>
            </w14:solidFill>
          </w14:textFill>
        </w:rPr>
      </w:pPr>
      <w:r>
        <w:rPr>
          <w:rFonts w:hint="eastAsia" w:ascii="宋体" w:hAnsi="宋体"/>
          <w:sz w:val="24"/>
        </w:rPr>
        <w:t>评标委员会应对《关于符合本国产品标准的声明函》的完整性、准确性进行审查。评审中发现《关于符合本国产品标准的声明函》内容含义不明确、同类问题表述不一致或者有明显文字和计算错误的内容，应当以书面形式要求投标人作出必要的澄清、说明或者补正。</w:t>
      </w:r>
      <w:r>
        <w:rPr>
          <w:rFonts w:hint="eastAsia" w:ascii="宋体" w:hAnsi="宋体" w:cs="宋体"/>
          <w:color w:val="000000" w:themeColor="text1"/>
          <w:sz w:val="24"/>
          <w14:textFill>
            <w14:solidFill>
              <w14:schemeClr w14:val="tx1"/>
            </w14:solidFill>
          </w14:textFill>
        </w:rPr>
        <w:t>投标人的澄清、说明或者补正应当采用书面形式，并加盖公章，或者由法定代表人</w:t>
      </w:r>
      <w:r>
        <w:rPr>
          <w:rFonts w:hint="eastAsia" w:ascii="宋体" w:hAnsi="宋体" w:cs="宋体"/>
          <w:color w:val="000000" w:themeColor="text1"/>
          <w:spacing w:val="1"/>
          <w:sz w:val="24"/>
          <w14:textFill>
            <w14:solidFill>
              <w14:schemeClr w14:val="tx1"/>
            </w14:solidFill>
          </w14:textFill>
        </w:rPr>
        <w:t>（若投标人为事业单位或</w:t>
      </w:r>
      <w:r>
        <w:rPr>
          <w:rFonts w:hint="eastAsia" w:ascii="宋体" w:hAnsi="宋体" w:cs="宋体"/>
          <w:color w:val="000000" w:themeColor="text1"/>
          <w:sz w:val="24"/>
          <w14:textFill>
            <w14:solidFill>
              <w14:schemeClr w14:val="tx1"/>
            </w14:solidFill>
          </w14:textFill>
        </w:rPr>
        <w:t>其他组织或分支机构，可为单位负责人）或其授权的代表签字。投标人的澄清、说明或者补正不得超出投标文件的范围或者改变投标文件的实质性内容。</w:t>
      </w:r>
      <w:r>
        <w:rPr>
          <w:rFonts w:hint="eastAsia" w:ascii="宋体" w:hAnsi="宋体"/>
          <w:sz w:val="24"/>
        </w:rPr>
        <w:t>经澄清、说明或者补正的《关于符合本国产品标准的声明函》仍然不符合要求的，视为未出具符合要求的《声明函》或有关证明文件。</w:t>
      </w:r>
    </w:p>
    <w:p>
      <w:pPr>
        <w:numPr>
          <w:ilvl w:val="2"/>
          <w:numId w:val="13"/>
        </w:numPr>
        <w:tabs>
          <w:tab w:val="left" w:pos="1080"/>
          <w:tab w:val="left" w:pos="1589"/>
          <w:tab w:val="left" w:pos="2014"/>
          <w:tab w:val="clear" w:pos="1980"/>
        </w:tabs>
        <w:snapToGrid w:val="0"/>
        <w:spacing w:line="360" w:lineRule="auto"/>
        <w:ind w:left="2035"/>
        <w:rPr>
          <w:rFonts w:hint="eastAsia" w:ascii="宋体" w:hAnsi="宋体" w:cs="宋体"/>
          <w:color w:val="000000" w:themeColor="text1"/>
          <w:sz w:val="24"/>
          <w14:textFill>
            <w14:solidFill>
              <w14:schemeClr w14:val="tx1"/>
            </w14:solidFill>
          </w14:textFill>
        </w:rPr>
      </w:pPr>
      <w:r>
        <w:rPr>
          <w:rFonts w:hint="eastAsia" w:ascii="宋体" w:hAnsi="宋体"/>
          <w:sz w:val="24"/>
        </w:rPr>
        <w:t>投标人提供虚假《关于符合本国产品标准的声明函》、虚假证明文件谋取中标、成交的，依照《中华人民共和国政府采购法》等法律法规规定追究相应责任。</w:t>
      </w:r>
    </w:p>
    <w:p>
      <w:pPr>
        <w:numPr>
          <w:ilvl w:val="1"/>
          <w:numId w:val="13"/>
        </w:numPr>
        <w:tabs>
          <w:tab w:val="left" w:pos="1080"/>
        </w:tabs>
        <w:snapToGrid w:val="0"/>
        <w:spacing w:line="360" w:lineRule="auto"/>
        <w:ind w:left="1077" w:hanging="720"/>
        <w:rPr>
          <w:rFonts w:hint="eastAsia" w:ascii="宋体" w:hAnsi="宋体"/>
          <w:sz w:val="24"/>
        </w:rPr>
      </w:pPr>
      <w:bookmarkStart w:id="824" w:name="_Hlk217989284"/>
      <w:r>
        <w:rPr>
          <w:rFonts w:hint="eastAsia" w:ascii="宋体" w:hAnsi="宋体"/>
          <w:sz w:val="24"/>
        </w:rPr>
        <w:t>对于非专门面向中小企业的采购项目，既有本国产品也有非本国产品参与竞争，且提供本国产品的投标人同时为小微企业的，应按2.</w:t>
      </w:r>
      <w:r>
        <w:rPr>
          <w:rFonts w:ascii="宋体" w:hAnsi="宋体"/>
          <w:sz w:val="24"/>
        </w:rPr>
        <w:t>8</w:t>
      </w:r>
      <w:r>
        <w:rPr>
          <w:rFonts w:hint="eastAsia" w:ascii="宋体" w:hAnsi="宋体"/>
          <w:sz w:val="24"/>
        </w:rPr>
        <w:t>条修正后的投标（响应）报价的基础上同时给予支持本国产品和小微企业产品的价格评审优惠，用扣除后的价格参与评审。</w:t>
      </w:r>
      <w:bookmarkEnd w:id="824"/>
    </w:p>
    <w:p>
      <w:pPr>
        <w:numPr>
          <w:ilvl w:val="0"/>
          <w:numId w:val="13"/>
        </w:numPr>
        <w:tabs>
          <w:tab w:val="left" w:pos="360"/>
        </w:tabs>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投标文件的比较和评价</w:t>
      </w:r>
      <w:bookmarkEnd w:id="805"/>
      <w:bookmarkEnd w:id="806"/>
    </w:p>
    <w:p>
      <w:pPr>
        <w:numPr>
          <w:ilvl w:val="1"/>
          <w:numId w:val="13"/>
        </w:numPr>
        <w:tabs>
          <w:tab w:val="left" w:pos="1080"/>
        </w:tabs>
        <w:snapToGrid w:val="0"/>
        <w:spacing w:line="360" w:lineRule="auto"/>
        <w:ind w:left="1077"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评标委员会将按照招标文件中规定的评标方法和标准，对符合性审查合格的投标文件进行商务和技术评估，综合比较与评价；未通过符合性审查的投标文件不得进入比较与评价。</w:t>
      </w:r>
    </w:p>
    <w:p>
      <w:pPr>
        <w:numPr>
          <w:ilvl w:val="1"/>
          <w:numId w:val="13"/>
        </w:numPr>
        <w:tabs>
          <w:tab w:val="left" w:pos="1080"/>
        </w:tabs>
        <w:snapToGrid w:val="0"/>
        <w:spacing w:line="360" w:lineRule="auto"/>
        <w:ind w:left="1077"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评标方法和评标标准</w:t>
      </w:r>
    </w:p>
    <w:p>
      <w:pPr>
        <w:numPr>
          <w:ilvl w:val="2"/>
          <w:numId w:val="13"/>
        </w:numPr>
        <w:tabs>
          <w:tab w:val="left" w:pos="1080"/>
          <w:tab w:val="left" w:pos="1589"/>
          <w:tab w:val="left" w:pos="2035"/>
        </w:tabs>
        <w:snapToGrid w:val="0"/>
        <w:spacing w:line="360" w:lineRule="auto"/>
        <w:ind w:left="203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本项目采用的评标方法为：</w:t>
      </w:r>
    </w:p>
    <w:p>
      <w:pPr>
        <w:tabs>
          <w:tab w:val="left" w:pos="900"/>
          <w:tab w:val="left" w:pos="1589"/>
          <w:tab w:val="left" w:pos="1701"/>
        </w:tabs>
        <w:snapToGrid w:val="0"/>
        <w:spacing w:line="360" w:lineRule="auto"/>
        <w:ind w:left="198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■综合评分法，指投标文件满足招标文件全部实质性要求，且按照评审因素的量化指标评审得分最高的投标人为中标候选人的评标方法，见《评标标准》，招标文件中没有规定的评标标准不得作为评审的依据。</w:t>
      </w:r>
    </w:p>
    <w:p>
      <w:pPr>
        <w:tabs>
          <w:tab w:val="left" w:pos="900"/>
          <w:tab w:val="left" w:pos="1589"/>
          <w:tab w:val="left" w:pos="1701"/>
        </w:tabs>
        <w:snapToGrid w:val="0"/>
        <w:spacing w:line="360" w:lineRule="auto"/>
        <w:ind w:left="198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□最低评标价法，指投标文件满足招标文件全部实质性要求，且投标报价最低的投标人为中标候选人的评标方法。</w:t>
      </w:r>
    </w:p>
    <w:p>
      <w:pPr>
        <w:numPr>
          <w:ilvl w:val="2"/>
          <w:numId w:val="13"/>
        </w:numPr>
        <w:tabs>
          <w:tab w:val="left" w:pos="1080"/>
          <w:tab w:val="left" w:pos="1589"/>
          <w:tab w:val="left" w:pos="2035"/>
        </w:tabs>
        <w:snapToGrid w:val="0"/>
        <w:spacing w:line="360" w:lineRule="auto"/>
        <w:ind w:left="203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其他</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tabs>
          <w:tab w:val="left" w:pos="1080"/>
          <w:tab w:val="left" w:pos="1589"/>
          <w:tab w:val="left" w:pos="2035"/>
        </w:tabs>
        <w:snapToGrid w:val="0"/>
        <w:spacing w:line="360" w:lineRule="auto"/>
        <w:ind w:left="203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□随机抽取</w:t>
      </w:r>
    </w:p>
    <w:p>
      <w:pPr>
        <w:tabs>
          <w:tab w:val="left" w:pos="1080"/>
          <w:tab w:val="left" w:pos="1589"/>
          <w:tab w:val="left" w:pos="2035"/>
        </w:tabs>
        <w:snapToGrid w:val="0"/>
        <w:spacing w:line="360" w:lineRule="auto"/>
        <w:ind w:left="2035"/>
        <w:rPr>
          <w:rFonts w:hint="eastAsia"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□其他方式，具体要求：_____</w:t>
      </w:r>
    </w:p>
    <w:p>
      <w:pPr>
        <w:numPr>
          <w:ilvl w:val="2"/>
          <w:numId w:val="13"/>
        </w:numPr>
        <w:tabs>
          <w:tab w:val="left" w:pos="1080"/>
          <w:tab w:val="left" w:pos="1589"/>
          <w:tab w:val="left" w:pos="2035"/>
        </w:tabs>
        <w:snapToGrid w:val="0"/>
        <w:spacing w:line="360" w:lineRule="auto"/>
        <w:ind w:left="203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非政府强制采购的节能产品或环境标志产品，依据品目清单和认证证书实施政府优先采购。优先采购的具体规定（如涉及）</w:t>
      </w:r>
      <w:r>
        <w:rPr>
          <w:rFonts w:hint="eastAsia" w:ascii="宋体" w:hAnsi="宋体" w:cs="宋体"/>
          <w:color w:val="000000" w:themeColor="text1"/>
          <w:sz w:val="24"/>
          <w:u w:val="single"/>
          <w14:textFill>
            <w14:solidFill>
              <w14:schemeClr w14:val="tx1"/>
            </w14:solidFill>
          </w14:textFill>
        </w:rPr>
        <w:t xml:space="preserve"> / </w:t>
      </w:r>
      <w:r>
        <w:rPr>
          <w:rFonts w:hint="eastAsia" w:ascii="宋体" w:hAnsi="宋体" w:cs="宋体"/>
          <w:color w:val="000000" w:themeColor="text1"/>
          <w:sz w:val="24"/>
          <w14:textFill>
            <w14:solidFill>
              <w14:schemeClr w14:val="tx1"/>
            </w14:solidFill>
          </w14:textFill>
        </w:rPr>
        <w:t>。</w:t>
      </w:r>
    </w:p>
    <w:p>
      <w:pPr>
        <w:numPr>
          <w:ilvl w:val="0"/>
          <w:numId w:val="13"/>
        </w:numPr>
        <w:tabs>
          <w:tab w:val="left" w:pos="360"/>
        </w:tabs>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确定</w:t>
      </w:r>
      <w:bookmarkStart w:id="825" w:name="_Toc127151546"/>
      <w:bookmarkStart w:id="826" w:name="_Toc127151747"/>
      <w:bookmarkStart w:id="827" w:name="_Toc151193644"/>
      <w:bookmarkStart w:id="828" w:name="_Toc520356170"/>
      <w:bookmarkStart w:id="829" w:name="_Toc305158888"/>
      <w:bookmarkStart w:id="830" w:name="_Toc164608815"/>
      <w:bookmarkStart w:id="831" w:name="_Toc264969236"/>
      <w:bookmarkStart w:id="832" w:name="_Toc226309790"/>
      <w:bookmarkStart w:id="833" w:name="_Toc150480784"/>
      <w:bookmarkStart w:id="834" w:name="_Toc226337242"/>
      <w:bookmarkStart w:id="835" w:name="_Toc151193716"/>
      <w:bookmarkStart w:id="836" w:name="_Toc127161460"/>
      <w:bookmarkStart w:id="837" w:name="_Toc164608660"/>
      <w:bookmarkStart w:id="838" w:name="_Ref467307010"/>
      <w:bookmarkStart w:id="839" w:name="_Toc151190173"/>
      <w:bookmarkStart w:id="840" w:name="_Toc195842911"/>
      <w:bookmarkStart w:id="841" w:name="_Toc142311048"/>
      <w:bookmarkStart w:id="842" w:name="_Toc226965736"/>
      <w:bookmarkStart w:id="843" w:name="_Toc151193860"/>
      <w:bookmarkStart w:id="844" w:name="_Toc150774646"/>
      <w:bookmarkStart w:id="845" w:name="_Toc164351640"/>
      <w:bookmarkStart w:id="846" w:name="_Toc226965819"/>
      <w:bookmarkStart w:id="847" w:name="_Toc265228384"/>
      <w:bookmarkStart w:id="848" w:name="_Toc150509297"/>
      <w:bookmarkStart w:id="849" w:name="_Toc151193934"/>
      <w:bookmarkStart w:id="850" w:name="_Toc164229241"/>
      <w:bookmarkStart w:id="851" w:name="_Toc149720839"/>
      <w:bookmarkStart w:id="852" w:name="_Toc164229387"/>
      <w:bookmarkStart w:id="853" w:name="_Toc150774751"/>
      <w:bookmarkStart w:id="854" w:name="_Toc151193788"/>
      <w:bookmarkStart w:id="855" w:name="_Toc305158814"/>
      <w:r>
        <w:rPr>
          <w:rFonts w:hint="eastAsia" w:ascii="宋体" w:hAnsi="宋体" w:cs="宋体"/>
          <w:color w:val="000000" w:themeColor="text1"/>
          <w:sz w:val="24"/>
          <w14:textFill>
            <w14:solidFill>
              <w14:schemeClr w14:val="tx1"/>
            </w14:solidFill>
          </w14:textFill>
        </w:rPr>
        <w:t>中标候选人名单</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p>
    <w:p>
      <w:pPr>
        <w:numPr>
          <w:ilvl w:val="1"/>
          <w:numId w:val="13"/>
        </w:numPr>
        <w:tabs>
          <w:tab w:val="left" w:pos="1080"/>
        </w:tabs>
        <w:snapToGrid w:val="0"/>
        <w:spacing w:line="360" w:lineRule="auto"/>
        <w:ind w:left="1077"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pPr>
        <w:pStyle w:val="28"/>
        <w:tabs>
          <w:tab w:val="left" w:pos="900"/>
          <w:tab w:val="left" w:pos="2127"/>
        </w:tabs>
        <w:adjustRightInd w:val="0"/>
        <w:snapToGrid w:val="0"/>
        <w:spacing w:line="360" w:lineRule="auto"/>
        <w:ind w:left="993" w:firstLine="136" w:firstLineChars="57"/>
        <w:rPr>
          <w:rFonts w:hAnsi="宋体" w:cs="宋体"/>
          <w:color w:val="000000" w:themeColor="text1"/>
          <w:sz w:val="24"/>
          <w:szCs w:val="24"/>
          <w14:textFill>
            <w14:solidFill>
              <w14:schemeClr w14:val="tx1"/>
            </w14:solidFill>
          </w14:textFill>
        </w:rPr>
      </w:pPr>
      <w:r>
        <w:rPr>
          <w:rFonts w:hAnsi="宋体" w:cs="宋体"/>
          <w:color w:val="000000" w:themeColor="text1"/>
          <w:sz w:val="24"/>
          <w:szCs w:val="24"/>
          <w14:textFill>
            <w14:solidFill>
              <w14:schemeClr w14:val="tx1"/>
            </w14:solidFill>
          </w14:textFill>
        </w:rPr>
        <w:t>□随机抽取</w:t>
      </w:r>
    </w:p>
    <w:p>
      <w:pPr>
        <w:pStyle w:val="28"/>
        <w:tabs>
          <w:tab w:val="left" w:pos="900"/>
          <w:tab w:val="left" w:pos="2127"/>
        </w:tabs>
        <w:adjustRightInd w:val="0"/>
        <w:snapToGrid w:val="0"/>
        <w:spacing w:line="360" w:lineRule="auto"/>
        <w:ind w:left="993" w:firstLine="136" w:firstLineChars="57"/>
        <w:rPr>
          <w:rFonts w:hAnsi="宋体" w:cs="宋体"/>
          <w:color w:val="000000" w:themeColor="text1"/>
          <w:sz w:val="24"/>
          <w:szCs w:val="24"/>
          <w:u w:val="single"/>
          <w14:textFill>
            <w14:solidFill>
              <w14:schemeClr w14:val="tx1"/>
            </w14:solidFill>
          </w14:textFill>
        </w:rPr>
      </w:pPr>
      <w:r>
        <w:rPr>
          <w:rFonts w:hAnsi="宋体" w:cs="宋体"/>
          <w:color w:val="000000" w:themeColor="text1"/>
          <w:sz w:val="24"/>
          <w14:textFill>
            <w14:solidFill>
              <w14:schemeClr w14:val="tx1"/>
            </w14:solidFill>
          </w14:textFill>
        </w:rPr>
        <w:t>■</w:t>
      </w:r>
      <w:r>
        <w:rPr>
          <w:rFonts w:hAnsi="宋体" w:cs="宋体"/>
          <w:color w:val="000000" w:themeColor="text1"/>
          <w:sz w:val="24"/>
          <w:szCs w:val="24"/>
          <w14:textFill>
            <w14:solidFill>
              <w14:schemeClr w14:val="tx1"/>
            </w14:solidFill>
          </w14:textFill>
        </w:rPr>
        <w:t>其他方式，具体要求：</w:t>
      </w:r>
      <w:r>
        <w:rPr>
          <w:rFonts w:hAnsi="宋体" w:cs="宋体"/>
          <w:color w:val="000000" w:themeColor="text1"/>
          <w:sz w:val="24"/>
          <w:szCs w:val="24"/>
          <w:u w:val="single"/>
          <w14:textFill>
            <w14:solidFill>
              <w14:schemeClr w14:val="tx1"/>
            </w14:solidFill>
          </w14:textFill>
        </w:rPr>
        <w:t>如果是得分相同的情况，以投标报价最低的获得中标人推荐资格。得分且投标报价均相同的 ，以技术部分得分高者为中标人推荐资格。</w:t>
      </w:r>
    </w:p>
    <w:p>
      <w:pPr>
        <w:numPr>
          <w:ilvl w:val="1"/>
          <w:numId w:val="13"/>
        </w:numPr>
        <w:tabs>
          <w:tab w:val="left" w:pos="1080"/>
        </w:tabs>
        <w:snapToGrid w:val="0"/>
        <w:spacing w:line="360" w:lineRule="auto"/>
        <w:ind w:left="1077"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用综合评分法时，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pPr>
        <w:numPr>
          <w:ilvl w:val="1"/>
          <w:numId w:val="13"/>
        </w:numPr>
        <w:tabs>
          <w:tab w:val="left" w:pos="1080"/>
        </w:tabs>
        <w:snapToGrid w:val="0"/>
        <w:spacing w:line="360" w:lineRule="auto"/>
        <w:ind w:left="1077"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采用最低评标价法时，评标结果按本章2.4、2.5调整后的投标报价由低到高顺序排列。投标报价相同的并列。投标文件满足招标文件全部实质性要求且投标报价最低的投标人为排名第一的中标候选人。</w:t>
      </w:r>
    </w:p>
    <w:p>
      <w:pPr>
        <w:numPr>
          <w:ilvl w:val="1"/>
          <w:numId w:val="13"/>
        </w:numPr>
        <w:tabs>
          <w:tab w:val="left" w:pos="1080"/>
        </w:tabs>
        <w:snapToGrid w:val="0"/>
        <w:spacing w:line="360" w:lineRule="auto"/>
        <w:ind w:left="1077"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评标委员会要对评分汇总情况进行复核，特别是对排名第一的、报价最低的、投标或投标文件被认定为无效的情形进行重点复核。</w:t>
      </w:r>
    </w:p>
    <w:p>
      <w:pPr>
        <w:numPr>
          <w:ilvl w:val="1"/>
          <w:numId w:val="13"/>
        </w:numPr>
        <w:tabs>
          <w:tab w:val="left" w:pos="1080"/>
        </w:tabs>
        <w:snapToGrid w:val="0"/>
        <w:spacing w:line="360" w:lineRule="auto"/>
        <w:ind w:left="1077"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评标委员会将根据各投标人的评标排序，依次推荐本项目（各采购包）的中标候选人，起草并签署评标报告。本项目（各采购包）评标委员会共（各）推荐</w:t>
      </w:r>
      <w:r>
        <w:rPr>
          <w:rFonts w:hint="eastAsia" w:ascii="宋体" w:hAnsi="宋体" w:cs="宋体"/>
          <w:color w:val="000000" w:themeColor="text1"/>
          <w:sz w:val="24"/>
          <w:u w:val="single"/>
          <w14:textFill>
            <w14:solidFill>
              <w14:schemeClr w14:val="tx1"/>
            </w14:solidFill>
          </w14:textFill>
        </w:rPr>
        <w:t xml:space="preserve">  3 </w:t>
      </w:r>
      <w:r>
        <w:rPr>
          <w:rFonts w:hint="eastAsia" w:ascii="宋体" w:hAnsi="宋体" w:cs="宋体"/>
          <w:color w:val="000000" w:themeColor="text1"/>
          <w:sz w:val="24"/>
          <w14:textFill>
            <w14:solidFill>
              <w14:schemeClr w14:val="tx1"/>
            </w14:solidFill>
          </w14:textFill>
        </w:rPr>
        <w:t>名中标候选人。</w:t>
      </w:r>
    </w:p>
    <w:p>
      <w:pPr>
        <w:numPr>
          <w:ilvl w:val="0"/>
          <w:numId w:val="13"/>
        </w:numPr>
        <w:tabs>
          <w:tab w:val="left" w:pos="360"/>
        </w:tabs>
        <w:snapToGrid w:val="0"/>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报告违法行为</w:t>
      </w:r>
    </w:p>
    <w:p>
      <w:pPr>
        <w:numPr>
          <w:ilvl w:val="1"/>
          <w:numId w:val="13"/>
        </w:numPr>
        <w:tabs>
          <w:tab w:val="left" w:pos="1080"/>
        </w:tabs>
        <w:snapToGrid w:val="0"/>
        <w:spacing w:line="360" w:lineRule="auto"/>
        <w:ind w:left="1077" w:hanging="7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评标委员会在评标过程中发现投标人有行贿、提供虚假材料或者串通等违法行为时，</w:t>
      </w:r>
      <w:r>
        <w:rPr>
          <w:rFonts w:hint="eastAsia" w:ascii="宋体" w:hAnsi="宋体" w:cs="宋体"/>
          <w:color w:val="000000" w:themeColor="text1"/>
          <w:spacing w:val="-1"/>
          <w:sz w:val="24"/>
          <w14:textFill>
            <w14:solidFill>
              <w14:schemeClr w14:val="tx1"/>
            </w14:solidFill>
          </w14:textFill>
        </w:rPr>
        <w:t>应当及时向财政部门报告</w:t>
      </w:r>
      <w:r>
        <w:rPr>
          <w:rFonts w:hint="eastAsia" w:ascii="宋体" w:hAnsi="宋体" w:cs="宋体"/>
          <w:color w:val="000000" w:themeColor="text1"/>
          <w:sz w:val="24"/>
          <w14:textFill>
            <w14:solidFill>
              <w14:schemeClr w14:val="tx1"/>
            </w14:solidFill>
          </w14:textFill>
        </w:rPr>
        <w:t>。</w:t>
      </w:r>
    </w:p>
    <w:p>
      <w:pPr>
        <w:widowControl/>
        <w:jc w:val="left"/>
        <w:rPr>
          <w:rFonts w:hint="eastAsia"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br w:type="page"/>
      </w:r>
    </w:p>
    <w:p>
      <w:pPr>
        <w:numPr>
          <w:ilvl w:val="0"/>
          <w:numId w:val="14"/>
        </w:numPr>
        <w:tabs>
          <w:tab w:val="left" w:pos="360"/>
          <w:tab w:val="left" w:pos="900"/>
        </w:tabs>
        <w:snapToGrid w:val="0"/>
        <w:spacing w:line="360" w:lineRule="auto"/>
        <w:jc w:val="center"/>
      </w:pPr>
      <w:r>
        <w:rPr>
          <w:rFonts w:hint="eastAsia" w:ascii="宋体" w:hAnsi="宋体" w:cs="宋体"/>
          <w:b/>
          <w:color w:val="000000" w:themeColor="text1"/>
          <w:sz w:val="24"/>
          <w14:textFill>
            <w14:solidFill>
              <w14:schemeClr w14:val="tx1"/>
            </w14:solidFill>
          </w14:textFill>
        </w:rPr>
        <w:t>评标标准</w:t>
      </w:r>
    </w:p>
    <w:p>
      <w:pPr>
        <w:pStyle w:val="21"/>
        <w:ind w:firstLine="480"/>
        <w:rPr>
          <w:rFonts w:hint="eastAsia"/>
        </w:rPr>
      </w:pPr>
      <w:r>
        <w:rPr>
          <w:rFonts w:hint="eastAsia"/>
        </w:rPr>
        <w:t>1包：</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636"/>
        <w:gridCol w:w="1047"/>
        <w:gridCol w:w="6062"/>
        <w:gridCol w:w="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72" w:hRule="atLeast"/>
          <w:jc w:val="center"/>
        </w:trPr>
        <w:tc>
          <w:tcPr>
            <w:tcW w:w="0" w:type="auto"/>
            <w:vMerge w:val="restart"/>
            <w:shd w:val="clear" w:color="auto" w:fill="FFFFFF"/>
            <w:vAlign w:val="center"/>
          </w:tcPr>
          <w:p>
            <w:pPr>
              <w:jc w:val="center"/>
              <w:rPr>
                <w:rFonts w:hint="eastAsia" w:ascii="宋体" w:hAnsi="宋体"/>
                <w:snapToGrid w:val="0"/>
                <w:kern w:val="0"/>
                <w:szCs w:val="21"/>
              </w:rPr>
            </w:pPr>
            <w:bookmarkStart w:id="856" w:name="_Toc218620570"/>
            <w:bookmarkStart w:id="857" w:name="_Toc209958496"/>
            <w:bookmarkStart w:id="858" w:name="_Toc99301425"/>
            <w:r>
              <w:rPr>
                <w:rFonts w:hint="eastAsia" w:ascii="宋体" w:hAnsi="宋体" w:cs="宋体"/>
                <w:snapToGrid w:val="0"/>
                <w:kern w:val="0"/>
                <w:szCs w:val="21"/>
              </w:rPr>
              <w:t>评审</w:t>
            </w:r>
          </w:p>
          <w:p>
            <w:pPr>
              <w:jc w:val="center"/>
              <w:rPr>
                <w:rFonts w:hint="eastAsia" w:ascii="宋体" w:hAnsi="宋体"/>
                <w:snapToGrid w:val="0"/>
                <w:kern w:val="0"/>
                <w:szCs w:val="21"/>
              </w:rPr>
            </w:pPr>
            <w:r>
              <w:rPr>
                <w:rFonts w:hint="eastAsia" w:ascii="宋体" w:hAnsi="宋体" w:cs="宋体"/>
                <w:snapToGrid w:val="0"/>
                <w:kern w:val="0"/>
                <w:szCs w:val="21"/>
              </w:rPr>
              <w:t>项目</w:t>
            </w:r>
          </w:p>
        </w:tc>
        <w:tc>
          <w:tcPr>
            <w:tcW w:w="972" w:type="dxa"/>
            <w:vMerge w:val="restart"/>
            <w:shd w:val="clear" w:color="auto" w:fill="FFFFFF"/>
            <w:vAlign w:val="center"/>
          </w:tcPr>
          <w:p>
            <w:pPr>
              <w:jc w:val="center"/>
              <w:rPr>
                <w:rFonts w:hint="eastAsia" w:ascii="宋体" w:hAnsi="宋体"/>
                <w:snapToGrid w:val="0"/>
                <w:kern w:val="0"/>
                <w:szCs w:val="21"/>
              </w:rPr>
            </w:pPr>
            <w:r>
              <w:rPr>
                <w:rFonts w:hint="eastAsia" w:ascii="宋体" w:hAnsi="宋体" w:cs="宋体"/>
                <w:snapToGrid w:val="0"/>
                <w:kern w:val="0"/>
                <w:szCs w:val="21"/>
              </w:rPr>
              <w:t>评审内容</w:t>
            </w:r>
          </w:p>
        </w:tc>
        <w:tc>
          <w:tcPr>
            <w:tcW w:w="6240" w:type="dxa"/>
            <w:vMerge w:val="restart"/>
            <w:shd w:val="clear" w:color="auto" w:fill="FFFFFF"/>
            <w:vAlign w:val="center"/>
          </w:tcPr>
          <w:p>
            <w:pPr>
              <w:jc w:val="center"/>
              <w:rPr>
                <w:rFonts w:hint="eastAsia" w:ascii="宋体" w:hAnsi="宋体"/>
                <w:snapToGrid w:val="0"/>
                <w:kern w:val="0"/>
                <w:szCs w:val="21"/>
              </w:rPr>
            </w:pPr>
            <w:r>
              <w:rPr>
                <w:rFonts w:hint="eastAsia" w:ascii="宋体" w:hAnsi="宋体" w:cs="宋体"/>
                <w:snapToGrid w:val="0"/>
                <w:kern w:val="0"/>
                <w:szCs w:val="21"/>
              </w:rPr>
              <w:t>评审标准</w:t>
            </w:r>
          </w:p>
        </w:tc>
        <w:tc>
          <w:tcPr>
            <w:tcW w:w="675" w:type="dxa"/>
            <w:vMerge w:val="restart"/>
            <w:shd w:val="clear" w:color="auto" w:fill="FFFFFF"/>
            <w:vAlign w:val="center"/>
          </w:tcPr>
          <w:p>
            <w:pPr>
              <w:jc w:val="center"/>
              <w:rPr>
                <w:rFonts w:hint="eastAsia" w:ascii="宋体" w:hAnsi="宋体"/>
                <w:snapToGrid w:val="0"/>
                <w:kern w:val="0"/>
                <w:szCs w:val="21"/>
              </w:rPr>
            </w:pPr>
            <w:r>
              <w:rPr>
                <w:rFonts w:hint="eastAsia" w:ascii="宋体" w:hAnsi="宋体" w:cs="宋体"/>
                <w:snapToGrid w:val="0"/>
                <w:kern w:val="0"/>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72" w:hRule="atLeast"/>
          <w:jc w:val="center"/>
        </w:trPr>
        <w:tc>
          <w:tcPr>
            <w:tcW w:w="0" w:type="auto"/>
            <w:vMerge w:val="continue"/>
            <w:shd w:val="clear" w:color="auto" w:fill="FFFFFF"/>
            <w:vAlign w:val="center"/>
          </w:tcPr>
          <w:p>
            <w:pPr>
              <w:jc w:val="left"/>
              <w:rPr>
                <w:rFonts w:hint="eastAsia" w:ascii="宋体" w:hAnsi="宋体"/>
                <w:snapToGrid w:val="0"/>
                <w:kern w:val="0"/>
                <w:szCs w:val="21"/>
              </w:rPr>
            </w:pPr>
          </w:p>
        </w:tc>
        <w:tc>
          <w:tcPr>
            <w:tcW w:w="972" w:type="dxa"/>
            <w:vMerge w:val="continue"/>
            <w:shd w:val="clear" w:color="auto" w:fill="FFFFFF"/>
            <w:vAlign w:val="center"/>
          </w:tcPr>
          <w:p>
            <w:pPr>
              <w:jc w:val="center"/>
              <w:rPr>
                <w:rFonts w:hint="eastAsia" w:ascii="宋体" w:hAnsi="宋体"/>
                <w:snapToGrid w:val="0"/>
                <w:kern w:val="0"/>
                <w:szCs w:val="21"/>
              </w:rPr>
            </w:pPr>
          </w:p>
        </w:tc>
        <w:tc>
          <w:tcPr>
            <w:tcW w:w="6240" w:type="dxa"/>
            <w:vMerge w:val="continue"/>
            <w:shd w:val="clear" w:color="auto" w:fill="FFFFFF"/>
            <w:vAlign w:val="center"/>
          </w:tcPr>
          <w:p>
            <w:pPr>
              <w:jc w:val="left"/>
              <w:rPr>
                <w:rFonts w:hint="eastAsia" w:ascii="宋体" w:hAnsi="宋体"/>
                <w:snapToGrid w:val="0"/>
                <w:kern w:val="0"/>
                <w:szCs w:val="21"/>
              </w:rPr>
            </w:pPr>
          </w:p>
        </w:tc>
        <w:tc>
          <w:tcPr>
            <w:tcW w:w="675" w:type="dxa"/>
            <w:vMerge w:val="continue"/>
            <w:shd w:val="clear" w:color="auto" w:fill="FFFFFF"/>
            <w:vAlign w:val="center"/>
          </w:tcPr>
          <w:p>
            <w:pPr>
              <w:jc w:val="center"/>
              <w:rPr>
                <w:rFonts w:hint="eastAsia" w:ascii="宋体" w:hAnsi="宋体"/>
                <w:snapToGrid w:val="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1396" w:hRule="atLeast"/>
          <w:jc w:val="center"/>
        </w:trPr>
        <w:tc>
          <w:tcPr>
            <w:tcW w:w="0" w:type="auto"/>
            <w:vMerge w:val="restart"/>
            <w:shd w:val="clear" w:color="auto" w:fill="FFFFFF"/>
            <w:vAlign w:val="center"/>
          </w:tcPr>
          <w:p>
            <w:pPr>
              <w:jc w:val="center"/>
              <w:rPr>
                <w:rFonts w:hint="eastAsia" w:ascii="宋体" w:hAnsi="宋体" w:cs="宋体"/>
                <w:snapToGrid w:val="0"/>
                <w:kern w:val="0"/>
                <w:szCs w:val="21"/>
              </w:rPr>
            </w:pPr>
            <w:r>
              <w:rPr>
                <w:rFonts w:hint="eastAsia" w:ascii="宋体" w:hAnsi="宋体" w:cs="宋体"/>
                <w:snapToGrid w:val="0"/>
                <w:kern w:val="0"/>
                <w:szCs w:val="21"/>
              </w:rPr>
              <w:t>商务部分（15分）</w:t>
            </w:r>
          </w:p>
        </w:tc>
        <w:tc>
          <w:tcPr>
            <w:tcW w:w="972" w:type="dxa"/>
            <w:vMerge w:val="restart"/>
            <w:shd w:val="clear" w:color="auto" w:fill="FFFFFF"/>
            <w:vAlign w:val="center"/>
          </w:tcPr>
          <w:p>
            <w:pPr>
              <w:snapToGrid w:val="0"/>
              <w:jc w:val="center"/>
              <w:rPr>
                <w:rFonts w:hint="eastAsia" w:ascii="宋体" w:hAnsi="宋体"/>
                <w:szCs w:val="21"/>
              </w:rPr>
            </w:pPr>
            <w:r>
              <w:rPr>
                <w:rFonts w:hint="eastAsia" w:ascii="宋体" w:hAnsi="宋体"/>
                <w:szCs w:val="21"/>
              </w:rPr>
              <w:t>拟组建项目执行团队人员配备</w:t>
            </w:r>
          </w:p>
        </w:tc>
        <w:tc>
          <w:tcPr>
            <w:tcW w:w="6240" w:type="dxa"/>
            <w:shd w:val="clear" w:color="auto" w:fill="FFFFFF"/>
            <w:vAlign w:val="center"/>
          </w:tcPr>
          <w:p>
            <w:pPr>
              <w:snapToGrid w:val="0"/>
              <w:rPr>
                <w:rFonts w:hint="eastAsia" w:ascii="宋体" w:hAnsi="宋体"/>
                <w:szCs w:val="21"/>
              </w:rPr>
            </w:pPr>
            <w:r>
              <w:rPr>
                <w:rFonts w:hint="eastAsia" w:ascii="宋体" w:hAnsi="宋体"/>
                <w:szCs w:val="21"/>
              </w:rPr>
              <w:t>项目经理工作经验：</w:t>
            </w:r>
          </w:p>
          <w:p>
            <w:pPr>
              <w:snapToGrid w:val="0"/>
              <w:rPr>
                <w:rFonts w:hint="eastAsia" w:ascii="宋体" w:hAnsi="宋体"/>
                <w:szCs w:val="21"/>
              </w:rPr>
            </w:pPr>
            <w:r>
              <w:rPr>
                <w:rFonts w:hint="eastAsia" w:ascii="宋体" w:hAnsi="宋体"/>
                <w:szCs w:val="21"/>
              </w:rPr>
              <w:t>拟派项目经理工作年限8年（含）以上，并有成功执行相关项目经验（5分）</w:t>
            </w:r>
          </w:p>
          <w:p>
            <w:pPr>
              <w:snapToGrid w:val="0"/>
              <w:rPr>
                <w:rFonts w:hint="eastAsia" w:ascii="宋体" w:hAnsi="宋体"/>
                <w:szCs w:val="21"/>
              </w:rPr>
            </w:pPr>
            <w:r>
              <w:rPr>
                <w:rFonts w:hint="eastAsia" w:ascii="宋体" w:hAnsi="宋体"/>
                <w:szCs w:val="21"/>
              </w:rPr>
              <w:t>拟派项目经理工作年限5年（含）-8年（不含），并有成功执行相关项目经验（2分）</w:t>
            </w:r>
          </w:p>
          <w:p>
            <w:pPr>
              <w:snapToGrid w:val="0"/>
              <w:rPr>
                <w:rFonts w:hint="eastAsia" w:ascii="宋体" w:hAnsi="宋体"/>
                <w:szCs w:val="21"/>
              </w:rPr>
            </w:pPr>
            <w:r>
              <w:rPr>
                <w:rFonts w:hint="eastAsia" w:ascii="宋体" w:hAnsi="宋体"/>
                <w:szCs w:val="21"/>
              </w:rPr>
              <w:t>提供相关经验承诺书并加盖企业公章。</w:t>
            </w:r>
          </w:p>
        </w:tc>
        <w:tc>
          <w:tcPr>
            <w:tcW w:w="675" w:type="dxa"/>
            <w:shd w:val="clear" w:color="auto" w:fill="FFFFFF"/>
            <w:vAlign w:val="center"/>
          </w:tcPr>
          <w:p>
            <w:pPr>
              <w:snapToGrid w:val="0"/>
              <w:jc w:val="center"/>
              <w:rPr>
                <w:rFonts w:hint="eastAsia" w:ascii="宋体" w:hAnsi="宋体"/>
                <w:szCs w:val="21"/>
              </w:rPr>
            </w:pPr>
            <w:r>
              <w:rPr>
                <w:rFonts w:hint="eastAsia" w:ascii="宋体" w:hAnsi="宋体"/>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49" w:hRule="atLeast"/>
          <w:jc w:val="center"/>
        </w:trPr>
        <w:tc>
          <w:tcPr>
            <w:tcW w:w="0" w:type="auto"/>
            <w:vMerge w:val="continue"/>
            <w:shd w:val="clear" w:color="auto" w:fill="FFFFFF"/>
            <w:vAlign w:val="center"/>
          </w:tcPr>
          <w:p>
            <w:pPr>
              <w:jc w:val="center"/>
              <w:rPr>
                <w:rFonts w:hint="eastAsia" w:ascii="宋体" w:hAnsi="宋体" w:cs="宋体"/>
                <w:snapToGrid w:val="0"/>
                <w:kern w:val="0"/>
                <w:szCs w:val="21"/>
              </w:rPr>
            </w:pPr>
          </w:p>
        </w:tc>
        <w:tc>
          <w:tcPr>
            <w:tcW w:w="972" w:type="dxa"/>
            <w:vMerge w:val="continue"/>
            <w:shd w:val="clear" w:color="auto" w:fill="FFFFFF"/>
            <w:vAlign w:val="center"/>
          </w:tcPr>
          <w:p>
            <w:pPr>
              <w:snapToGrid w:val="0"/>
              <w:jc w:val="center"/>
              <w:rPr>
                <w:rFonts w:hint="eastAsia" w:ascii="宋体" w:hAnsi="宋体"/>
                <w:szCs w:val="21"/>
              </w:rPr>
            </w:pPr>
          </w:p>
        </w:tc>
        <w:tc>
          <w:tcPr>
            <w:tcW w:w="6240" w:type="dxa"/>
            <w:shd w:val="clear" w:color="auto" w:fill="FFFFFF"/>
            <w:vAlign w:val="center"/>
          </w:tcPr>
          <w:p>
            <w:pPr>
              <w:snapToGrid w:val="0"/>
              <w:rPr>
                <w:rFonts w:hint="eastAsia" w:ascii="宋体" w:hAnsi="宋体"/>
                <w:szCs w:val="21"/>
              </w:rPr>
            </w:pPr>
            <w:r>
              <w:rPr>
                <w:rFonts w:hint="eastAsia" w:ascii="宋体" w:hAnsi="宋体"/>
                <w:szCs w:val="21"/>
              </w:rPr>
              <w:t>拟组建项目执行团队人员配备完整且不低于30人（含）、可行性强、合理度高：7分；</w:t>
            </w:r>
          </w:p>
          <w:p>
            <w:pPr>
              <w:snapToGrid w:val="0"/>
              <w:rPr>
                <w:rFonts w:hint="eastAsia" w:ascii="宋体" w:hAnsi="宋体"/>
                <w:szCs w:val="21"/>
              </w:rPr>
            </w:pPr>
            <w:r>
              <w:rPr>
                <w:rFonts w:hint="eastAsia" w:ascii="宋体" w:hAnsi="宋体"/>
                <w:szCs w:val="21"/>
              </w:rPr>
              <w:t>项目执行团队人员配备完整度一般且不低于20人少于30人（不含）、可行性较强、合理度较高：3分；</w:t>
            </w:r>
          </w:p>
          <w:p>
            <w:pPr>
              <w:snapToGrid w:val="0"/>
              <w:rPr>
                <w:rFonts w:hint="eastAsia" w:ascii="宋体" w:hAnsi="宋体"/>
                <w:szCs w:val="21"/>
              </w:rPr>
            </w:pPr>
            <w:r>
              <w:rPr>
                <w:rFonts w:hint="eastAsia" w:ascii="宋体" w:hAnsi="宋体"/>
                <w:szCs w:val="21"/>
              </w:rPr>
              <w:t>项目执行团队人员配备不完整、可行性较差、合理度较低：1分；</w:t>
            </w:r>
          </w:p>
          <w:p>
            <w:pPr>
              <w:snapToGrid w:val="0"/>
              <w:rPr>
                <w:rFonts w:hint="eastAsia" w:ascii="宋体" w:hAnsi="宋体"/>
                <w:szCs w:val="21"/>
              </w:rPr>
            </w:pPr>
            <w:r>
              <w:rPr>
                <w:rFonts w:hint="eastAsia" w:ascii="宋体" w:hAnsi="宋体"/>
                <w:szCs w:val="21"/>
              </w:rPr>
              <w:t>以上均需提供人员身份证、学历证及社保证明；</w:t>
            </w:r>
          </w:p>
        </w:tc>
        <w:tc>
          <w:tcPr>
            <w:tcW w:w="675" w:type="dxa"/>
            <w:shd w:val="clear" w:color="auto" w:fill="FFFFFF"/>
            <w:vAlign w:val="center"/>
          </w:tcPr>
          <w:p>
            <w:pPr>
              <w:snapToGrid w:val="0"/>
              <w:jc w:val="center"/>
              <w:rPr>
                <w:rFonts w:hint="eastAsia" w:ascii="宋体" w:hAnsi="宋体"/>
                <w:szCs w:val="21"/>
              </w:rPr>
            </w:pPr>
            <w:r>
              <w:rPr>
                <w:rFonts w:hint="eastAsia" w:ascii="宋体" w:hAnsi="宋体"/>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512" w:hRule="atLeast"/>
          <w:jc w:val="center"/>
        </w:trPr>
        <w:tc>
          <w:tcPr>
            <w:tcW w:w="0" w:type="auto"/>
            <w:vMerge w:val="continue"/>
            <w:shd w:val="clear" w:color="auto" w:fill="FFFFFF"/>
            <w:vAlign w:val="center"/>
          </w:tcPr>
          <w:p>
            <w:pPr>
              <w:jc w:val="center"/>
              <w:rPr>
                <w:rFonts w:hint="eastAsia" w:ascii="宋体" w:hAnsi="宋体" w:cs="宋体"/>
                <w:snapToGrid w:val="0"/>
                <w:kern w:val="0"/>
                <w:szCs w:val="21"/>
              </w:rPr>
            </w:pPr>
          </w:p>
        </w:tc>
        <w:tc>
          <w:tcPr>
            <w:tcW w:w="972" w:type="dxa"/>
            <w:vMerge w:val="restart"/>
            <w:shd w:val="clear" w:color="auto" w:fill="FFFFFF"/>
            <w:vAlign w:val="center"/>
          </w:tcPr>
          <w:p>
            <w:pPr>
              <w:snapToGrid w:val="0"/>
              <w:jc w:val="center"/>
              <w:rPr>
                <w:rFonts w:hint="eastAsia" w:ascii="宋体" w:hAnsi="宋体"/>
                <w:szCs w:val="21"/>
              </w:rPr>
            </w:pPr>
            <w:r>
              <w:rPr>
                <w:rFonts w:hint="eastAsia" w:ascii="宋体" w:hAnsi="宋体"/>
                <w:szCs w:val="21"/>
              </w:rPr>
              <w:t>投标文件编制情况</w:t>
            </w:r>
          </w:p>
        </w:tc>
        <w:tc>
          <w:tcPr>
            <w:tcW w:w="6240" w:type="dxa"/>
            <w:shd w:val="clear" w:color="auto" w:fill="FFFFFF"/>
            <w:vAlign w:val="center"/>
          </w:tcPr>
          <w:p>
            <w:pPr>
              <w:snapToGrid w:val="0"/>
              <w:rPr>
                <w:rFonts w:hint="eastAsia" w:ascii="宋体" w:hAnsi="宋体"/>
                <w:szCs w:val="21"/>
              </w:rPr>
            </w:pPr>
            <w:r>
              <w:rPr>
                <w:rFonts w:hint="eastAsia" w:ascii="宋体" w:hAnsi="宋体"/>
                <w:szCs w:val="21"/>
              </w:rPr>
              <w:t>内容充实、完整性、响应性好、针对性强得3分；</w:t>
            </w:r>
          </w:p>
        </w:tc>
        <w:tc>
          <w:tcPr>
            <w:tcW w:w="675" w:type="dxa"/>
            <w:vMerge w:val="restart"/>
            <w:shd w:val="clear" w:color="auto" w:fill="FFFFFF"/>
            <w:vAlign w:val="center"/>
          </w:tcPr>
          <w:p>
            <w:pPr>
              <w:snapToGrid w:val="0"/>
              <w:jc w:val="center"/>
              <w:rPr>
                <w:rFonts w:hint="eastAsia" w:ascii="宋体" w:hAnsi="宋体"/>
                <w:szCs w:val="21"/>
              </w:rPr>
            </w:pPr>
            <w:r>
              <w:rPr>
                <w:rFonts w:hint="eastAsia" w:ascii="宋体" w:hAnsi="宋体"/>
                <w:szCs w:val="21"/>
              </w:rPr>
              <w:t>3</w:t>
            </w:r>
          </w:p>
          <w:p>
            <w:pPr>
              <w:snapToGrid w:val="0"/>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9" w:hRule="atLeast"/>
          <w:jc w:val="center"/>
        </w:trPr>
        <w:tc>
          <w:tcPr>
            <w:tcW w:w="0" w:type="auto"/>
            <w:vMerge w:val="continue"/>
            <w:shd w:val="clear" w:color="auto" w:fill="FFFFFF"/>
            <w:vAlign w:val="center"/>
          </w:tcPr>
          <w:p>
            <w:pPr>
              <w:jc w:val="left"/>
              <w:rPr>
                <w:rFonts w:hint="eastAsia" w:ascii="宋体" w:hAnsi="宋体"/>
                <w:snapToGrid w:val="0"/>
                <w:kern w:val="0"/>
                <w:szCs w:val="21"/>
              </w:rPr>
            </w:pPr>
          </w:p>
        </w:tc>
        <w:tc>
          <w:tcPr>
            <w:tcW w:w="972" w:type="dxa"/>
            <w:vMerge w:val="continue"/>
            <w:shd w:val="clear" w:color="auto" w:fill="FFFFFF"/>
            <w:vAlign w:val="center"/>
          </w:tcPr>
          <w:p>
            <w:pPr>
              <w:snapToGrid w:val="0"/>
              <w:jc w:val="center"/>
              <w:rPr>
                <w:rFonts w:hint="eastAsia" w:ascii="宋体" w:hAnsi="宋体"/>
                <w:szCs w:val="21"/>
              </w:rPr>
            </w:pPr>
          </w:p>
        </w:tc>
        <w:tc>
          <w:tcPr>
            <w:tcW w:w="6240" w:type="dxa"/>
            <w:shd w:val="clear" w:color="auto" w:fill="FFFFFF"/>
            <w:vAlign w:val="center"/>
          </w:tcPr>
          <w:p>
            <w:pPr>
              <w:snapToGrid w:val="0"/>
              <w:rPr>
                <w:rFonts w:hint="eastAsia" w:ascii="宋体" w:hAnsi="宋体"/>
                <w:szCs w:val="21"/>
              </w:rPr>
            </w:pPr>
            <w:r>
              <w:rPr>
                <w:rFonts w:hint="eastAsia" w:ascii="宋体" w:hAnsi="宋体"/>
                <w:szCs w:val="21"/>
              </w:rPr>
              <w:t>内容欠缺、不完整或响应性较差、针对性一般得</w:t>
            </w:r>
            <w:r>
              <w:rPr>
                <w:rFonts w:ascii="宋体" w:hAnsi="宋体"/>
                <w:szCs w:val="21"/>
              </w:rPr>
              <w:t>1</w:t>
            </w:r>
            <w:r>
              <w:rPr>
                <w:rFonts w:hint="eastAsia" w:ascii="宋体" w:hAnsi="宋体"/>
                <w:szCs w:val="21"/>
              </w:rPr>
              <w:t>分。</w:t>
            </w:r>
          </w:p>
        </w:tc>
        <w:tc>
          <w:tcPr>
            <w:tcW w:w="675" w:type="dxa"/>
            <w:vMerge w:val="continue"/>
            <w:shd w:val="clear" w:color="auto" w:fill="FFFFFF"/>
            <w:vAlign w:val="center"/>
          </w:tcPr>
          <w:p>
            <w:pPr>
              <w:snapToGrid w:val="0"/>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0" w:hRule="atLeast"/>
          <w:jc w:val="center"/>
        </w:trPr>
        <w:tc>
          <w:tcPr>
            <w:tcW w:w="0" w:type="auto"/>
            <w:vMerge w:val="restart"/>
            <w:shd w:val="clear" w:color="auto" w:fill="FFFFFF"/>
            <w:vAlign w:val="center"/>
          </w:tcPr>
          <w:p>
            <w:pPr>
              <w:jc w:val="center"/>
              <w:rPr>
                <w:rFonts w:hint="eastAsia" w:ascii="宋体" w:hAnsi="宋体"/>
                <w:snapToGrid w:val="0"/>
                <w:kern w:val="0"/>
                <w:szCs w:val="21"/>
              </w:rPr>
            </w:pPr>
            <w:r>
              <w:rPr>
                <w:rFonts w:hint="eastAsia" w:ascii="宋体" w:hAnsi="宋体" w:cs="宋体"/>
                <w:snapToGrid w:val="0"/>
                <w:kern w:val="0"/>
                <w:szCs w:val="21"/>
              </w:rPr>
              <w:t>技术部分(75分)</w:t>
            </w:r>
          </w:p>
        </w:tc>
        <w:tc>
          <w:tcPr>
            <w:tcW w:w="972" w:type="dxa"/>
            <w:shd w:val="clear" w:color="auto" w:fill="FFFFFF"/>
            <w:vAlign w:val="center"/>
          </w:tcPr>
          <w:p>
            <w:pPr>
              <w:snapToGrid w:val="0"/>
              <w:jc w:val="center"/>
              <w:rPr>
                <w:rFonts w:hint="eastAsia" w:ascii="宋体" w:hAnsi="宋体"/>
                <w:szCs w:val="21"/>
              </w:rPr>
            </w:pPr>
            <w:r>
              <w:rPr>
                <w:rFonts w:hint="eastAsia" w:ascii="宋体" w:hAnsi="宋体"/>
                <w:szCs w:val="21"/>
              </w:rPr>
              <w:t>项目分析</w:t>
            </w:r>
          </w:p>
        </w:tc>
        <w:tc>
          <w:tcPr>
            <w:tcW w:w="6240" w:type="dxa"/>
            <w:shd w:val="clear" w:color="auto" w:fill="FFFFFF"/>
            <w:vAlign w:val="center"/>
          </w:tcPr>
          <w:p>
            <w:pPr>
              <w:rPr>
                <w:rFonts w:hint="eastAsia" w:ascii="宋体" w:hAnsi="宋体"/>
                <w:szCs w:val="21"/>
              </w:rPr>
            </w:pPr>
            <w:r>
              <w:rPr>
                <w:rFonts w:hint="eastAsia" w:ascii="宋体" w:hAnsi="宋体"/>
                <w:szCs w:val="21"/>
              </w:rPr>
              <w:t>综合考虑投标人针对采购需求所提供的项目分析，项目分析包括但不限于项目背景、项目重难点等。项目分析具有针对性、对需求理解深入、重难点分析全面到位：15分；</w:t>
            </w:r>
          </w:p>
          <w:p>
            <w:pPr>
              <w:rPr>
                <w:rFonts w:hint="eastAsia" w:ascii="宋体" w:hAnsi="宋体"/>
                <w:szCs w:val="21"/>
              </w:rPr>
            </w:pPr>
            <w:r>
              <w:rPr>
                <w:rFonts w:hint="eastAsia" w:ascii="宋体" w:hAnsi="宋体"/>
                <w:szCs w:val="21"/>
              </w:rPr>
              <w:t>项目分析针对性较强、对需求理解有一定理解、重难点分析较强：10分；</w:t>
            </w:r>
          </w:p>
          <w:p>
            <w:pPr>
              <w:rPr>
                <w:rFonts w:hint="eastAsia" w:ascii="宋体" w:hAnsi="宋体"/>
                <w:szCs w:val="21"/>
              </w:rPr>
            </w:pPr>
            <w:r>
              <w:rPr>
                <w:rFonts w:hint="eastAsia" w:ascii="宋体" w:hAnsi="宋体"/>
                <w:szCs w:val="21"/>
              </w:rPr>
              <w:t>项目分析针对性一般、对需求理解稍有偏差、重难点分析不够透彻：5分；</w:t>
            </w:r>
          </w:p>
          <w:p>
            <w:pPr>
              <w:rPr>
                <w:rFonts w:hint="eastAsia" w:ascii="宋体" w:hAnsi="宋体"/>
                <w:szCs w:val="21"/>
              </w:rPr>
            </w:pPr>
            <w:r>
              <w:rPr>
                <w:rFonts w:hint="eastAsia" w:ascii="宋体" w:hAnsi="宋体"/>
                <w:szCs w:val="21"/>
              </w:rPr>
              <w:t>项目分析无针对性、对需求理解偏差大、重难点分析不到位：3分；</w:t>
            </w:r>
          </w:p>
          <w:p>
            <w:pPr>
              <w:rPr>
                <w:rFonts w:hint="eastAsia" w:ascii="宋体" w:hAnsi="宋体"/>
                <w:szCs w:val="21"/>
              </w:rPr>
            </w:pPr>
            <w:r>
              <w:rPr>
                <w:rFonts w:hint="eastAsia" w:ascii="宋体" w:hAnsi="宋体"/>
                <w:szCs w:val="21"/>
              </w:rPr>
              <w:t>未提供任何材料：0分。</w:t>
            </w:r>
          </w:p>
        </w:tc>
        <w:tc>
          <w:tcPr>
            <w:tcW w:w="675" w:type="dxa"/>
            <w:shd w:val="clear" w:color="auto" w:fill="FFFFFF"/>
            <w:vAlign w:val="center"/>
          </w:tcPr>
          <w:p>
            <w:pPr>
              <w:snapToGrid w:val="0"/>
              <w:jc w:val="center"/>
              <w:rPr>
                <w:rFonts w:hint="eastAsia" w:ascii="宋体" w:hAnsi="宋体"/>
                <w:szCs w:val="21"/>
              </w:rPr>
            </w:pPr>
            <w:r>
              <w:rPr>
                <w:rFonts w:hint="eastAsia" w:ascii="宋体" w:hAnsi="宋体"/>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786" w:hRule="atLeast"/>
          <w:jc w:val="center"/>
        </w:trPr>
        <w:tc>
          <w:tcPr>
            <w:tcW w:w="0" w:type="auto"/>
            <w:vMerge w:val="continue"/>
            <w:shd w:val="clear" w:color="auto" w:fill="FFFFFF"/>
            <w:vAlign w:val="center"/>
          </w:tcPr>
          <w:p>
            <w:pPr>
              <w:jc w:val="left"/>
              <w:rPr>
                <w:rFonts w:hint="eastAsia" w:ascii="宋体" w:hAnsi="宋体"/>
                <w:snapToGrid w:val="0"/>
                <w:kern w:val="0"/>
                <w:szCs w:val="21"/>
              </w:rPr>
            </w:pPr>
          </w:p>
        </w:tc>
        <w:tc>
          <w:tcPr>
            <w:tcW w:w="972" w:type="dxa"/>
            <w:shd w:val="clear" w:color="auto" w:fill="FFFFFF"/>
            <w:vAlign w:val="center"/>
          </w:tcPr>
          <w:p>
            <w:pPr>
              <w:snapToGrid w:val="0"/>
              <w:jc w:val="center"/>
              <w:rPr>
                <w:rFonts w:hint="eastAsia" w:ascii="宋体" w:hAnsi="宋体"/>
                <w:szCs w:val="21"/>
              </w:rPr>
            </w:pPr>
            <w:r>
              <w:rPr>
                <w:rFonts w:hint="eastAsia" w:ascii="宋体" w:hAnsi="宋体"/>
                <w:szCs w:val="21"/>
              </w:rPr>
              <w:t>项目方案</w:t>
            </w:r>
          </w:p>
        </w:tc>
        <w:tc>
          <w:tcPr>
            <w:tcW w:w="6240" w:type="dxa"/>
            <w:shd w:val="clear" w:color="auto" w:fill="FFFFFF"/>
            <w:vAlign w:val="center"/>
          </w:tcPr>
          <w:p>
            <w:pPr>
              <w:snapToGrid w:val="0"/>
              <w:rPr>
                <w:rFonts w:hint="eastAsia" w:ascii="宋体" w:hAnsi="宋体"/>
                <w:szCs w:val="21"/>
              </w:rPr>
            </w:pPr>
            <w:r>
              <w:rPr>
                <w:rFonts w:hint="eastAsia" w:ascii="宋体" w:hAnsi="宋体"/>
                <w:szCs w:val="21"/>
              </w:rPr>
              <w:t>综合考虑项目整体方案的完整性、可操作性、创新性及对采购需求的满足程度等（项目整体方案包含但不限于：项目具体规划、执行内容及方式等）。</w:t>
            </w:r>
          </w:p>
          <w:p>
            <w:pPr>
              <w:snapToGrid w:val="0"/>
              <w:rPr>
                <w:rFonts w:hint="eastAsia" w:ascii="宋体" w:hAnsi="宋体"/>
                <w:szCs w:val="21"/>
              </w:rPr>
            </w:pPr>
            <w:r>
              <w:rPr>
                <w:rFonts w:hint="eastAsia" w:ascii="宋体" w:hAnsi="宋体"/>
                <w:szCs w:val="21"/>
              </w:rPr>
              <w:t>方案完整度高，详细、专业、合理，可执行性强：25分；</w:t>
            </w:r>
          </w:p>
          <w:p>
            <w:pPr>
              <w:snapToGrid w:val="0"/>
              <w:rPr>
                <w:rFonts w:hint="eastAsia" w:ascii="宋体" w:hAnsi="宋体"/>
                <w:szCs w:val="21"/>
              </w:rPr>
            </w:pPr>
            <w:r>
              <w:rPr>
                <w:rFonts w:hint="eastAsia" w:ascii="宋体" w:hAnsi="宋体"/>
                <w:szCs w:val="21"/>
              </w:rPr>
              <w:t>方案完整度较高，专业、合理，可执行性较强：20分；</w:t>
            </w:r>
          </w:p>
          <w:p>
            <w:pPr>
              <w:snapToGrid w:val="0"/>
              <w:rPr>
                <w:rFonts w:hint="eastAsia" w:ascii="宋体" w:hAnsi="宋体"/>
                <w:szCs w:val="21"/>
              </w:rPr>
            </w:pPr>
            <w:r>
              <w:rPr>
                <w:rFonts w:hint="eastAsia" w:ascii="宋体" w:hAnsi="宋体"/>
                <w:szCs w:val="21"/>
              </w:rPr>
              <w:t>方案完整度一般，具有一定的专业性、合理性，具有一定的可执行性：15分；</w:t>
            </w:r>
          </w:p>
          <w:p>
            <w:pPr>
              <w:snapToGrid w:val="0"/>
              <w:rPr>
                <w:rFonts w:hint="eastAsia" w:ascii="宋体" w:hAnsi="宋体"/>
                <w:szCs w:val="21"/>
              </w:rPr>
            </w:pPr>
            <w:r>
              <w:rPr>
                <w:rFonts w:hint="eastAsia" w:ascii="宋体" w:hAnsi="宋体"/>
                <w:szCs w:val="21"/>
              </w:rPr>
              <w:t>方案不完整，专业性、合理性、可执行性不高，10分；</w:t>
            </w:r>
          </w:p>
          <w:p>
            <w:pPr>
              <w:snapToGrid w:val="0"/>
              <w:rPr>
                <w:rFonts w:hint="eastAsia" w:ascii="宋体" w:hAnsi="宋体"/>
                <w:szCs w:val="21"/>
              </w:rPr>
            </w:pPr>
            <w:r>
              <w:rPr>
                <w:rFonts w:hint="eastAsia" w:ascii="宋体" w:hAnsi="宋体"/>
                <w:szCs w:val="21"/>
              </w:rPr>
              <w:t>方案极不完整，不具备专业性、合理性、可执行性，得5分；</w:t>
            </w:r>
          </w:p>
          <w:p>
            <w:pPr>
              <w:snapToGrid w:val="0"/>
              <w:rPr>
                <w:rFonts w:hint="eastAsia" w:ascii="宋体" w:hAnsi="宋体"/>
                <w:szCs w:val="21"/>
              </w:rPr>
            </w:pPr>
            <w:r>
              <w:rPr>
                <w:rFonts w:hint="eastAsia" w:ascii="宋体" w:hAnsi="宋体"/>
                <w:szCs w:val="21"/>
              </w:rPr>
              <w:t>未提供该方案：0分。</w:t>
            </w:r>
          </w:p>
        </w:tc>
        <w:tc>
          <w:tcPr>
            <w:tcW w:w="675" w:type="dxa"/>
            <w:shd w:val="clear" w:color="auto" w:fill="FFFFFF"/>
            <w:vAlign w:val="center"/>
          </w:tcPr>
          <w:p>
            <w:pPr>
              <w:snapToGrid w:val="0"/>
              <w:jc w:val="center"/>
              <w:rPr>
                <w:rFonts w:hint="eastAsia" w:ascii="宋体" w:hAnsi="宋体"/>
                <w:szCs w:val="21"/>
              </w:rPr>
            </w:pPr>
            <w:r>
              <w:rPr>
                <w:rFonts w:hint="eastAsia" w:ascii="宋体" w:hAnsi="宋体"/>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934" w:hRule="atLeast"/>
          <w:jc w:val="center"/>
        </w:trPr>
        <w:tc>
          <w:tcPr>
            <w:tcW w:w="0" w:type="auto"/>
            <w:vMerge w:val="continue"/>
            <w:shd w:val="clear" w:color="auto" w:fill="FFFFFF"/>
            <w:vAlign w:val="center"/>
          </w:tcPr>
          <w:p>
            <w:pPr>
              <w:jc w:val="left"/>
              <w:rPr>
                <w:rFonts w:hint="eastAsia" w:ascii="宋体" w:hAnsi="宋体"/>
                <w:snapToGrid w:val="0"/>
                <w:kern w:val="0"/>
                <w:szCs w:val="21"/>
              </w:rPr>
            </w:pPr>
          </w:p>
        </w:tc>
        <w:tc>
          <w:tcPr>
            <w:tcW w:w="972" w:type="dxa"/>
            <w:shd w:val="clear" w:color="auto" w:fill="FFFFFF"/>
            <w:vAlign w:val="center"/>
          </w:tcPr>
          <w:p>
            <w:pPr>
              <w:snapToGrid w:val="0"/>
              <w:jc w:val="center"/>
              <w:rPr>
                <w:rFonts w:hint="eastAsia" w:ascii="宋体" w:hAnsi="宋体"/>
                <w:szCs w:val="21"/>
              </w:rPr>
            </w:pPr>
            <w:r>
              <w:rPr>
                <w:rFonts w:hint="eastAsia" w:ascii="宋体" w:hAnsi="宋体"/>
                <w:szCs w:val="21"/>
              </w:rPr>
              <w:t>质量保障方案</w:t>
            </w:r>
          </w:p>
        </w:tc>
        <w:tc>
          <w:tcPr>
            <w:tcW w:w="6240" w:type="dxa"/>
            <w:shd w:val="clear" w:color="auto" w:fill="FFFFFF"/>
            <w:vAlign w:val="center"/>
          </w:tcPr>
          <w:p>
            <w:pPr>
              <w:snapToGrid w:val="0"/>
              <w:rPr>
                <w:rFonts w:hint="eastAsia" w:ascii="宋体" w:hAnsi="宋体"/>
                <w:szCs w:val="21"/>
              </w:rPr>
            </w:pPr>
            <w:r>
              <w:rPr>
                <w:rFonts w:hint="eastAsia" w:ascii="宋体" w:hAnsi="宋体"/>
                <w:szCs w:val="21"/>
              </w:rPr>
              <w:t>方案全面完整、可操作性强、重点突出、亮点明确：10分；</w:t>
            </w:r>
          </w:p>
          <w:p>
            <w:pPr>
              <w:snapToGrid w:val="0"/>
              <w:rPr>
                <w:rFonts w:hint="eastAsia" w:ascii="宋体" w:hAnsi="宋体"/>
                <w:szCs w:val="21"/>
              </w:rPr>
            </w:pPr>
            <w:r>
              <w:rPr>
                <w:rFonts w:hint="eastAsia" w:ascii="宋体" w:hAnsi="宋体"/>
                <w:szCs w:val="21"/>
              </w:rPr>
              <w:t>方案较为全面、可操作性较强、重点较为突出、亮点较为明确：5分；</w:t>
            </w:r>
          </w:p>
          <w:p>
            <w:pPr>
              <w:snapToGrid w:val="0"/>
              <w:rPr>
                <w:rFonts w:hint="eastAsia" w:ascii="宋体" w:hAnsi="宋体"/>
                <w:szCs w:val="21"/>
              </w:rPr>
            </w:pPr>
            <w:r>
              <w:rPr>
                <w:rFonts w:hint="eastAsia" w:ascii="宋体" w:hAnsi="宋体"/>
                <w:szCs w:val="21"/>
              </w:rPr>
              <w:t>方案不够完整、可操作性不强、重点不够突出、亮点不明确：1分；</w:t>
            </w:r>
          </w:p>
          <w:p>
            <w:pPr>
              <w:snapToGrid w:val="0"/>
              <w:rPr>
                <w:rFonts w:hint="eastAsia" w:ascii="宋体" w:hAnsi="宋体"/>
                <w:szCs w:val="21"/>
              </w:rPr>
            </w:pPr>
            <w:r>
              <w:rPr>
                <w:rFonts w:hint="eastAsia" w:ascii="宋体" w:hAnsi="宋体"/>
                <w:szCs w:val="21"/>
              </w:rPr>
              <w:t>未提供该方案：0分。</w:t>
            </w:r>
          </w:p>
        </w:tc>
        <w:tc>
          <w:tcPr>
            <w:tcW w:w="675" w:type="dxa"/>
            <w:shd w:val="clear" w:color="auto" w:fill="FFFFFF"/>
            <w:vAlign w:val="center"/>
          </w:tcPr>
          <w:p>
            <w:pPr>
              <w:snapToGrid w:val="0"/>
              <w:jc w:val="center"/>
              <w:rPr>
                <w:rFonts w:hint="eastAsia" w:ascii="宋体" w:hAnsi="宋体"/>
                <w:szCs w:val="21"/>
              </w:rPr>
            </w:pPr>
            <w:r>
              <w:rPr>
                <w:rFonts w:hint="eastAsia" w:ascii="宋体"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1521" w:hRule="atLeast"/>
          <w:jc w:val="center"/>
        </w:trPr>
        <w:tc>
          <w:tcPr>
            <w:tcW w:w="0" w:type="auto"/>
            <w:vMerge w:val="continue"/>
            <w:shd w:val="clear" w:color="auto" w:fill="FFFFFF"/>
            <w:vAlign w:val="center"/>
          </w:tcPr>
          <w:p>
            <w:pPr>
              <w:jc w:val="left"/>
              <w:rPr>
                <w:rFonts w:hint="eastAsia" w:ascii="宋体" w:hAnsi="宋体"/>
                <w:snapToGrid w:val="0"/>
                <w:kern w:val="0"/>
                <w:szCs w:val="21"/>
              </w:rPr>
            </w:pPr>
          </w:p>
        </w:tc>
        <w:tc>
          <w:tcPr>
            <w:tcW w:w="972" w:type="dxa"/>
            <w:shd w:val="clear" w:color="auto" w:fill="FFFFFF"/>
            <w:vAlign w:val="center"/>
          </w:tcPr>
          <w:p>
            <w:pPr>
              <w:snapToGrid w:val="0"/>
              <w:jc w:val="center"/>
              <w:rPr>
                <w:rFonts w:hint="eastAsia" w:ascii="宋体" w:hAnsi="宋体"/>
                <w:szCs w:val="21"/>
              </w:rPr>
            </w:pPr>
            <w:r>
              <w:rPr>
                <w:rFonts w:hint="eastAsia" w:ascii="宋体" w:hAnsi="宋体"/>
                <w:szCs w:val="21"/>
              </w:rPr>
              <w:t>时间进度安排</w:t>
            </w:r>
          </w:p>
        </w:tc>
        <w:tc>
          <w:tcPr>
            <w:tcW w:w="6240" w:type="dxa"/>
            <w:shd w:val="clear" w:color="auto" w:fill="FFFFFF"/>
            <w:vAlign w:val="center"/>
          </w:tcPr>
          <w:p>
            <w:pPr>
              <w:snapToGrid w:val="0"/>
              <w:rPr>
                <w:rFonts w:hint="eastAsia" w:ascii="宋体" w:hAnsi="宋体"/>
                <w:szCs w:val="21"/>
              </w:rPr>
            </w:pPr>
            <w:r>
              <w:rPr>
                <w:rFonts w:hint="eastAsia" w:ascii="宋体" w:hAnsi="宋体"/>
                <w:szCs w:val="21"/>
              </w:rPr>
              <w:t>综合考虑投标人提供的本项目各项服务时间进度安排对采购需求的响应程度。时间安排科学合理、利用率高，完全满足采购需求：10分；</w:t>
            </w:r>
          </w:p>
          <w:p>
            <w:pPr>
              <w:snapToGrid w:val="0"/>
              <w:rPr>
                <w:rFonts w:hint="eastAsia" w:ascii="宋体" w:hAnsi="宋体"/>
                <w:szCs w:val="21"/>
              </w:rPr>
            </w:pPr>
            <w:r>
              <w:rPr>
                <w:rFonts w:hint="eastAsia" w:ascii="宋体" w:hAnsi="宋体"/>
                <w:szCs w:val="21"/>
              </w:rPr>
              <w:t>时间安排较松散、利用率一般，基本满足采购需求：5分；</w:t>
            </w:r>
          </w:p>
          <w:p>
            <w:pPr>
              <w:snapToGrid w:val="0"/>
              <w:rPr>
                <w:rFonts w:hint="eastAsia" w:ascii="宋体" w:hAnsi="宋体"/>
                <w:szCs w:val="21"/>
              </w:rPr>
            </w:pPr>
            <w:r>
              <w:rPr>
                <w:rFonts w:hint="eastAsia" w:ascii="宋体" w:hAnsi="宋体"/>
                <w:szCs w:val="21"/>
              </w:rPr>
              <w:t>时间安排混乱无序、利用率较低，无法完全满足采购需求：1分；</w:t>
            </w:r>
          </w:p>
          <w:p>
            <w:pPr>
              <w:snapToGrid w:val="0"/>
              <w:rPr>
                <w:rFonts w:hint="eastAsia" w:ascii="宋体" w:hAnsi="宋体"/>
                <w:szCs w:val="21"/>
              </w:rPr>
            </w:pPr>
            <w:r>
              <w:rPr>
                <w:rFonts w:hint="eastAsia" w:ascii="宋体" w:hAnsi="宋体"/>
                <w:szCs w:val="21"/>
              </w:rPr>
              <w:t>未提供任何材料：0分。</w:t>
            </w:r>
          </w:p>
        </w:tc>
        <w:tc>
          <w:tcPr>
            <w:tcW w:w="675" w:type="dxa"/>
            <w:shd w:val="clear" w:color="auto" w:fill="FFFFFF"/>
            <w:vAlign w:val="center"/>
          </w:tcPr>
          <w:p>
            <w:pPr>
              <w:snapToGrid w:val="0"/>
              <w:jc w:val="center"/>
              <w:rPr>
                <w:rFonts w:hint="eastAsia" w:ascii="宋体" w:hAnsi="宋体"/>
                <w:szCs w:val="21"/>
              </w:rPr>
            </w:pPr>
            <w:r>
              <w:rPr>
                <w:rFonts w:hint="eastAsia" w:ascii="宋体"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0" w:type="auto"/>
            <w:vMerge w:val="continue"/>
            <w:shd w:val="clear" w:color="auto" w:fill="FFFFFF"/>
            <w:vAlign w:val="center"/>
          </w:tcPr>
          <w:p>
            <w:pPr>
              <w:jc w:val="left"/>
              <w:rPr>
                <w:rFonts w:hint="eastAsia" w:ascii="宋体" w:hAnsi="宋体"/>
                <w:snapToGrid w:val="0"/>
                <w:kern w:val="0"/>
                <w:szCs w:val="21"/>
              </w:rPr>
            </w:pPr>
          </w:p>
        </w:tc>
        <w:tc>
          <w:tcPr>
            <w:tcW w:w="972" w:type="dxa"/>
            <w:shd w:val="clear" w:color="auto" w:fill="FFFFFF"/>
            <w:vAlign w:val="center"/>
          </w:tcPr>
          <w:p>
            <w:pPr>
              <w:snapToGrid w:val="0"/>
              <w:jc w:val="center"/>
              <w:rPr>
                <w:rFonts w:hint="eastAsia" w:ascii="宋体" w:hAnsi="宋体"/>
                <w:szCs w:val="21"/>
              </w:rPr>
            </w:pPr>
            <w:r>
              <w:rPr>
                <w:rFonts w:hint="eastAsia" w:ascii="宋体" w:hAnsi="宋体"/>
                <w:szCs w:val="21"/>
              </w:rPr>
              <w:t>售后服务承诺</w:t>
            </w:r>
          </w:p>
        </w:tc>
        <w:tc>
          <w:tcPr>
            <w:tcW w:w="6240" w:type="dxa"/>
            <w:shd w:val="clear" w:color="auto" w:fill="FFFFFF"/>
            <w:vAlign w:val="center"/>
          </w:tcPr>
          <w:p>
            <w:pPr>
              <w:snapToGrid w:val="0"/>
              <w:rPr>
                <w:rFonts w:hint="eastAsia" w:ascii="宋体" w:hAnsi="宋体"/>
                <w:szCs w:val="21"/>
              </w:rPr>
            </w:pPr>
            <w:r>
              <w:rPr>
                <w:rFonts w:hint="eastAsia" w:ascii="宋体" w:hAnsi="宋体"/>
                <w:szCs w:val="21"/>
              </w:rPr>
              <w:t>售后服务承诺：提供售后服务承诺，全面，完整，且能满足项目需求：10分；提供售后服务承诺，基本满足项目需求：5分；提供售后服务承诺，无法满足项目需求：1分；未提供售后服务承诺：0分。</w:t>
            </w:r>
          </w:p>
        </w:tc>
        <w:tc>
          <w:tcPr>
            <w:tcW w:w="675" w:type="dxa"/>
            <w:shd w:val="clear" w:color="auto" w:fill="FFFFFF"/>
            <w:vAlign w:val="center"/>
          </w:tcPr>
          <w:p>
            <w:pPr>
              <w:snapToGrid w:val="0"/>
              <w:jc w:val="center"/>
              <w:rPr>
                <w:rFonts w:hint="eastAsia" w:ascii="宋体" w:hAnsi="宋体"/>
                <w:szCs w:val="21"/>
              </w:rPr>
            </w:pPr>
            <w:r>
              <w:rPr>
                <w:rFonts w:hint="eastAsia" w:ascii="宋体"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94" w:hRule="atLeast"/>
          <w:jc w:val="center"/>
        </w:trPr>
        <w:tc>
          <w:tcPr>
            <w:tcW w:w="0" w:type="auto"/>
            <w:vMerge w:val="continue"/>
            <w:shd w:val="clear" w:color="auto" w:fill="FFFFFF"/>
            <w:vAlign w:val="center"/>
          </w:tcPr>
          <w:p>
            <w:pPr>
              <w:jc w:val="left"/>
              <w:rPr>
                <w:rFonts w:hint="eastAsia" w:ascii="宋体" w:hAnsi="宋体"/>
                <w:snapToGrid w:val="0"/>
                <w:kern w:val="0"/>
                <w:szCs w:val="21"/>
              </w:rPr>
            </w:pPr>
          </w:p>
        </w:tc>
        <w:tc>
          <w:tcPr>
            <w:tcW w:w="972" w:type="dxa"/>
            <w:shd w:val="clear" w:color="auto" w:fill="FFFFFF"/>
            <w:vAlign w:val="center"/>
          </w:tcPr>
          <w:p>
            <w:pPr>
              <w:snapToGrid w:val="0"/>
              <w:jc w:val="center"/>
              <w:rPr>
                <w:rFonts w:hint="eastAsia" w:ascii="宋体" w:hAnsi="宋体"/>
                <w:szCs w:val="21"/>
              </w:rPr>
            </w:pPr>
            <w:r>
              <w:rPr>
                <w:rFonts w:hint="eastAsia" w:ascii="宋体" w:hAnsi="宋体"/>
                <w:szCs w:val="21"/>
              </w:rPr>
              <w:t>应急预案</w:t>
            </w:r>
          </w:p>
        </w:tc>
        <w:tc>
          <w:tcPr>
            <w:tcW w:w="6240" w:type="dxa"/>
            <w:shd w:val="clear" w:color="auto" w:fill="FFFFFF"/>
            <w:vAlign w:val="center"/>
          </w:tcPr>
          <w:p>
            <w:pPr>
              <w:snapToGrid w:val="0"/>
              <w:rPr>
                <w:rFonts w:hint="eastAsia" w:ascii="宋体" w:hAnsi="宋体"/>
                <w:szCs w:val="21"/>
              </w:rPr>
            </w:pPr>
            <w:r>
              <w:rPr>
                <w:rFonts w:hint="eastAsia" w:ascii="宋体" w:hAnsi="宋体"/>
                <w:szCs w:val="21"/>
              </w:rPr>
              <w:t>根据投标人针对“第五章采购需求”中的工作内容制定的应急预案，（内容包括但不限于对突发状况的应急预案、人员保障等各类潜在突发情况的应急保障措施）进行综合评审。方案完整度高、风险分析科学、合理，保障措施完善有效，具有预见、应对各类情况和因素的能力，人员分派合理：5分；方案完整度较高、风险分析科学性、合理性较强，保障措施较多，预见各类情况和因素的能力欠缺，人员分派较合理：3分；方案内容不完整，存在缺漏、合理性较差，保障措施较少、人员分派存在欠缺：1分；未提供任何材料：0分。</w:t>
            </w:r>
          </w:p>
        </w:tc>
        <w:tc>
          <w:tcPr>
            <w:tcW w:w="675" w:type="dxa"/>
            <w:shd w:val="clear" w:color="auto" w:fill="FFFFFF"/>
            <w:vAlign w:val="center"/>
          </w:tcPr>
          <w:p>
            <w:pPr>
              <w:snapToGrid w:val="0"/>
              <w:jc w:val="center"/>
              <w:rPr>
                <w:rFonts w:hint="eastAsia" w:ascii="宋体" w:hAnsi="宋体"/>
                <w:szCs w:val="21"/>
              </w:rPr>
            </w:pPr>
            <w:r>
              <w:rPr>
                <w:rFonts w:hint="eastAsia" w:ascii="宋体" w:hAnsi="宋体"/>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FFFFFF"/>
            <w:vAlign w:val="center"/>
          </w:tcPr>
          <w:p>
            <w:pPr>
              <w:jc w:val="center"/>
              <w:rPr>
                <w:rFonts w:hint="eastAsia" w:ascii="宋体" w:hAnsi="宋体"/>
                <w:snapToGrid w:val="0"/>
                <w:kern w:val="0"/>
                <w:szCs w:val="21"/>
              </w:rPr>
            </w:pPr>
            <w:r>
              <w:rPr>
                <w:rFonts w:hint="eastAsia" w:ascii="宋体" w:hAnsi="宋体" w:cs="宋体"/>
                <w:snapToGrid w:val="0"/>
                <w:kern w:val="0"/>
                <w:szCs w:val="21"/>
              </w:rPr>
              <w:t>报价</w:t>
            </w:r>
          </w:p>
          <w:p>
            <w:pPr>
              <w:jc w:val="center"/>
              <w:rPr>
                <w:rFonts w:hint="eastAsia" w:ascii="宋体" w:hAnsi="宋体"/>
                <w:snapToGrid w:val="0"/>
                <w:kern w:val="0"/>
                <w:szCs w:val="21"/>
              </w:rPr>
            </w:pPr>
            <w:r>
              <w:rPr>
                <w:rFonts w:hint="eastAsia" w:ascii="宋体" w:hAnsi="宋体" w:cs="宋体"/>
                <w:snapToGrid w:val="0"/>
                <w:kern w:val="0"/>
                <w:szCs w:val="21"/>
              </w:rPr>
              <w:t>部分</w:t>
            </w:r>
          </w:p>
          <w:p>
            <w:pPr>
              <w:jc w:val="center"/>
              <w:rPr>
                <w:rFonts w:hint="eastAsia" w:ascii="宋体" w:hAnsi="宋体"/>
                <w:snapToGrid w:val="0"/>
                <w:kern w:val="0"/>
                <w:szCs w:val="21"/>
              </w:rPr>
            </w:pPr>
            <w:r>
              <w:rPr>
                <w:rFonts w:hint="eastAsia" w:ascii="宋体" w:hAnsi="宋体" w:cs="宋体"/>
                <w:snapToGrid w:val="0"/>
                <w:kern w:val="0"/>
                <w:szCs w:val="21"/>
              </w:rPr>
              <w:t>(10分)</w:t>
            </w:r>
          </w:p>
        </w:tc>
        <w:tc>
          <w:tcPr>
            <w:tcW w:w="0" w:type="auto"/>
            <w:gridSpan w:val="3"/>
            <w:shd w:val="clear" w:color="auto" w:fill="FFFFFF"/>
            <w:vAlign w:val="center"/>
          </w:tcPr>
          <w:p>
            <w:pPr>
              <w:snapToGrid w:val="0"/>
              <w:rPr>
                <w:rFonts w:hint="eastAsia" w:ascii="宋体" w:hAnsi="宋体"/>
                <w:szCs w:val="21"/>
              </w:rPr>
            </w:pPr>
            <w:r>
              <w:rPr>
                <w:rFonts w:hint="eastAsia" w:ascii="宋体" w:hAnsi="宋体"/>
                <w:szCs w:val="21"/>
              </w:rPr>
              <w:t>满足招标文件要求且投标价格最低的投标报价为评审基准价，其价格分为满分。其他投标人的价格分统一按照下列公式计算：</w:t>
            </w:r>
          </w:p>
          <w:p>
            <w:pPr>
              <w:snapToGrid w:val="0"/>
              <w:rPr>
                <w:rFonts w:hint="eastAsia" w:ascii="宋体" w:hAnsi="宋体"/>
                <w:szCs w:val="21"/>
              </w:rPr>
            </w:pPr>
            <w:r>
              <w:rPr>
                <w:rFonts w:hint="eastAsia" w:ascii="宋体" w:hAnsi="宋体"/>
                <w:szCs w:val="21"/>
              </w:rPr>
              <w:t>价格得分=（评审基准价/投标报价）×10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36" w:type="dxa"/>
            <w:shd w:val="clear" w:color="auto" w:fill="FFFFFF"/>
            <w:vAlign w:val="center"/>
          </w:tcPr>
          <w:p>
            <w:pPr>
              <w:jc w:val="center"/>
              <w:rPr>
                <w:rFonts w:hint="eastAsia" w:ascii="宋体" w:hAnsi="宋体"/>
                <w:snapToGrid w:val="0"/>
                <w:kern w:val="0"/>
                <w:szCs w:val="21"/>
              </w:rPr>
            </w:pPr>
            <w:r>
              <w:rPr>
                <w:rFonts w:hint="eastAsia" w:ascii="宋体" w:hAnsi="宋体" w:cs="宋体"/>
                <w:snapToGrid w:val="0"/>
                <w:kern w:val="0"/>
                <w:szCs w:val="21"/>
              </w:rPr>
              <w:t>合计</w:t>
            </w:r>
          </w:p>
        </w:tc>
        <w:tc>
          <w:tcPr>
            <w:tcW w:w="7887" w:type="dxa"/>
            <w:gridSpan w:val="3"/>
            <w:shd w:val="clear" w:color="auto" w:fill="FFFFFF"/>
            <w:vAlign w:val="center"/>
          </w:tcPr>
          <w:p>
            <w:pPr>
              <w:jc w:val="center"/>
              <w:rPr>
                <w:rFonts w:hint="eastAsia" w:ascii="宋体" w:hAnsi="宋体"/>
                <w:snapToGrid w:val="0"/>
                <w:kern w:val="0"/>
                <w:szCs w:val="21"/>
              </w:rPr>
            </w:pPr>
            <w:r>
              <w:rPr>
                <w:rFonts w:hint="eastAsia" w:ascii="宋体" w:hAnsi="宋体" w:cs="宋体"/>
                <w:snapToGrid w:val="0"/>
                <w:kern w:val="0"/>
                <w:szCs w:val="21"/>
              </w:rPr>
              <w:t>满分100分</w:t>
            </w:r>
          </w:p>
        </w:tc>
      </w:tr>
    </w:tbl>
    <w:p>
      <w:pPr>
        <w:rPr>
          <w:rFonts w:hint="eastAsia" w:ascii="宋体" w:hAnsi="宋体" w:cs="宋体"/>
          <w:b/>
          <w:sz w:val="36"/>
          <w:szCs w:val="36"/>
        </w:rPr>
      </w:pPr>
    </w:p>
    <w:p>
      <w:pPr>
        <w:rPr>
          <w:rFonts w:hint="eastAsia" w:ascii="宋体" w:hAnsi="宋体" w:cs="宋体"/>
          <w:b/>
          <w:sz w:val="36"/>
          <w:szCs w:val="36"/>
        </w:rPr>
      </w:pPr>
      <w:r>
        <w:rPr>
          <w:rFonts w:hint="eastAsia" w:ascii="宋体" w:hAnsi="宋体" w:cs="宋体"/>
          <w:b/>
          <w:sz w:val="36"/>
          <w:szCs w:val="36"/>
        </w:rPr>
        <w:br w:type="page"/>
      </w:r>
    </w:p>
    <w:p>
      <w:pPr>
        <w:pStyle w:val="21"/>
        <w:ind w:firstLine="480"/>
        <w:rPr>
          <w:rFonts w:hint="eastAsia"/>
        </w:rPr>
      </w:pPr>
      <w:r>
        <w:rPr>
          <w:rFonts w:hint="eastAsia"/>
        </w:rPr>
        <w:t>2包：</w:t>
      </w:r>
    </w:p>
    <w:tbl>
      <w:tblPr>
        <w:tblStyle w:val="52"/>
        <w:tblW w:w="8378"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1057"/>
        <w:gridCol w:w="1191"/>
        <w:gridCol w:w="5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trPr>
        <w:tc>
          <w:tcPr>
            <w:tcW w:w="657" w:type="dxa"/>
            <w:tcBorders>
              <w:top w:val="single" w:color="auto" w:sz="4" w:space="0"/>
              <w:left w:val="single" w:color="auto" w:sz="4" w:space="0"/>
              <w:bottom w:val="single" w:color="auto" w:sz="4" w:space="0"/>
              <w:right w:val="single" w:color="auto" w:sz="4" w:space="0"/>
            </w:tcBorders>
            <w:vAlign w:val="center"/>
          </w:tcPr>
          <w:p>
            <w:pPr>
              <w:pStyle w:val="5"/>
              <w:ind w:firstLine="0"/>
              <w:rPr>
                <w:rFonts w:hint="eastAsia" w:hAnsi="宋体" w:cs="宋体"/>
                <w:b/>
                <w:sz w:val="21"/>
                <w:szCs w:val="21"/>
              </w:rPr>
            </w:pPr>
            <w:r>
              <w:rPr>
                <w:rFonts w:hint="eastAsia" w:hAnsi="宋体" w:cs="宋体"/>
                <w:b/>
                <w:sz w:val="21"/>
                <w:szCs w:val="21"/>
              </w:rPr>
              <w:t>序号</w:t>
            </w:r>
          </w:p>
        </w:tc>
        <w:tc>
          <w:tcPr>
            <w:tcW w:w="1057" w:type="dxa"/>
            <w:tcBorders>
              <w:top w:val="single" w:color="auto" w:sz="4" w:space="0"/>
              <w:left w:val="single" w:color="auto" w:sz="4" w:space="0"/>
              <w:bottom w:val="single" w:color="auto" w:sz="4" w:space="0"/>
              <w:right w:val="single" w:color="auto" w:sz="4" w:space="0"/>
            </w:tcBorders>
            <w:vAlign w:val="center"/>
          </w:tcPr>
          <w:p>
            <w:pPr>
              <w:pStyle w:val="5"/>
              <w:ind w:firstLine="0"/>
              <w:jc w:val="center"/>
              <w:rPr>
                <w:rFonts w:hint="eastAsia" w:hAnsi="宋体" w:cs="宋体"/>
                <w:b/>
                <w:sz w:val="21"/>
                <w:szCs w:val="21"/>
              </w:rPr>
            </w:pPr>
            <w:r>
              <w:rPr>
                <w:rFonts w:hint="eastAsia" w:hAnsi="宋体" w:cs="宋体"/>
                <w:b/>
                <w:sz w:val="21"/>
                <w:szCs w:val="21"/>
              </w:rPr>
              <w:t>评分</w:t>
            </w:r>
          </w:p>
          <w:p>
            <w:pPr>
              <w:pStyle w:val="5"/>
              <w:ind w:firstLine="0"/>
              <w:jc w:val="center"/>
              <w:rPr>
                <w:rFonts w:hint="eastAsia" w:hAnsi="宋体" w:cs="宋体"/>
                <w:b/>
                <w:sz w:val="21"/>
                <w:szCs w:val="21"/>
              </w:rPr>
            </w:pPr>
            <w:r>
              <w:rPr>
                <w:rFonts w:hint="eastAsia" w:hAnsi="宋体" w:cs="宋体"/>
                <w:b/>
                <w:sz w:val="21"/>
                <w:szCs w:val="21"/>
              </w:rPr>
              <w:t>因素</w:t>
            </w:r>
          </w:p>
        </w:tc>
        <w:tc>
          <w:tcPr>
            <w:tcW w:w="6664" w:type="dxa"/>
            <w:gridSpan w:val="2"/>
            <w:tcBorders>
              <w:top w:val="single" w:color="auto" w:sz="4" w:space="0"/>
              <w:left w:val="single" w:color="auto" w:sz="4" w:space="0"/>
              <w:bottom w:val="single" w:color="auto" w:sz="4" w:space="0"/>
              <w:right w:val="single" w:color="auto" w:sz="4" w:space="0"/>
            </w:tcBorders>
            <w:vAlign w:val="center"/>
          </w:tcPr>
          <w:p>
            <w:pPr>
              <w:pStyle w:val="5"/>
              <w:ind w:firstLine="482"/>
              <w:jc w:val="center"/>
              <w:rPr>
                <w:rFonts w:hint="eastAsia" w:hAnsi="宋体" w:cs="宋体"/>
                <w:b/>
                <w:sz w:val="21"/>
                <w:szCs w:val="21"/>
              </w:rPr>
            </w:pPr>
            <w:r>
              <w:rPr>
                <w:rFonts w:hint="eastAsia" w:hAnsi="宋体" w:cs="宋体"/>
                <w:b/>
                <w:sz w:val="21"/>
                <w:szCs w:val="21"/>
              </w:rPr>
              <w:t>评价指标和分值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7" w:type="dxa"/>
            <w:tcBorders>
              <w:top w:val="single" w:color="auto" w:sz="4" w:space="0"/>
              <w:left w:val="single" w:color="auto" w:sz="4" w:space="0"/>
              <w:right w:val="single" w:color="auto" w:sz="4" w:space="0"/>
            </w:tcBorders>
            <w:vAlign w:val="center"/>
          </w:tcPr>
          <w:p>
            <w:pPr>
              <w:pStyle w:val="5"/>
              <w:ind w:firstLine="105" w:firstLineChars="50"/>
              <w:rPr>
                <w:rFonts w:hint="eastAsia" w:hAnsi="宋体" w:cs="宋体"/>
                <w:sz w:val="21"/>
                <w:szCs w:val="21"/>
              </w:rPr>
            </w:pPr>
            <w:r>
              <w:rPr>
                <w:rFonts w:hint="eastAsia" w:hAnsi="宋体" w:cs="宋体"/>
                <w:sz w:val="21"/>
                <w:szCs w:val="21"/>
              </w:rPr>
              <w:t>1</w:t>
            </w:r>
          </w:p>
        </w:tc>
        <w:tc>
          <w:tcPr>
            <w:tcW w:w="1057" w:type="dxa"/>
            <w:tcBorders>
              <w:top w:val="single" w:color="auto" w:sz="4" w:space="0"/>
              <w:left w:val="single" w:color="auto" w:sz="4" w:space="0"/>
              <w:right w:val="single" w:color="auto" w:sz="4" w:space="0"/>
            </w:tcBorders>
            <w:vAlign w:val="center"/>
          </w:tcPr>
          <w:p>
            <w:pPr>
              <w:pStyle w:val="5"/>
              <w:ind w:firstLine="0"/>
              <w:jc w:val="center"/>
              <w:rPr>
                <w:rFonts w:hint="eastAsia" w:hAnsi="宋体" w:cs="宋体"/>
                <w:sz w:val="21"/>
                <w:szCs w:val="21"/>
              </w:rPr>
            </w:pPr>
            <w:r>
              <w:rPr>
                <w:rFonts w:hint="eastAsia" w:hAnsi="宋体" w:cs="宋体"/>
                <w:sz w:val="21"/>
                <w:szCs w:val="21"/>
              </w:rPr>
              <w:t>商务</w:t>
            </w:r>
          </w:p>
          <w:p>
            <w:pPr>
              <w:pStyle w:val="5"/>
              <w:ind w:firstLine="0"/>
              <w:rPr>
                <w:rFonts w:hint="eastAsia" w:hAnsi="宋体" w:cs="宋体"/>
                <w:kern w:val="0"/>
                <w:sz w:val="21"/>
                <w:szCs w:val="21"/>
              </w:rPr>
            </w:pPr>
            <w:r>
              <w:rPr>
                <w:rFonts w:hint="eastAsia" w:hAnsi="宋体" w:cs="宋体"/>
                <w:kern w:val="0"/>
                <w:sz w:val="21"/>
                <w:szCs w:val="21"/>
              </w:rPr>
              <w:t>（</w:t>
            </w:r>
            <w:r>
              <w:rPr>
                <w:rFonts w:hint="eastAsia" w:hAnsi="宋体" w:cs="宋体"/>
                <w:sz w:val="21"/>
                <w:szCs w:val="21"/>
              </w:rPr>
              <w:t>15分</w:t>
            </w:r>
            <w:r>
              <w:rPr>
                <w:rFonts w:hint="eastAsia" w:hAnsi="宋体" w:cs="宋体"/>
                <w:kern w:val="0"/>
                <w:sz w:val="21"/>
                <w:szCs w:val="21"/>
              </w:rPr>
              <w:t>）</w:t>
            </w:r>
          </w:p>
        </w:tc>
        <w:tc>
          <w:tcPr>
            <w:tcW w:w="1191" w:type="dxa"/>
            <w:tcBorders>
              <w:top w:val="single" w:color="auto" w:sz="4" w:space="0"/>
              <w:left w:val="single" w:color="auto" w:sz="4" w:space="0"/>
              <w:right w:val="single" w:color="auto" w:sz="4" w:space="0"/>
            </w:tcBorders>
            <w:vAlign w:val="center"/>
          </w:tcPr>
          <w:p>
            <w:pPr>
              <w:pStyle w:val="5"/>
              <w:ind w:firstLine="0"/>
              <w:jc w:val="center"/>
              <w:rPr>
                <w:rFonts w:hint="eastAsia" w:hAnsi="宋体" w:cs="宋体"/>
                <w:sz w:val="21"/>
                <w:szCs w:val="21"/>
              </w:rPr>
            </w:pPr>
            <w:r>
              <w:rPr>
                <w:rFonts w:hint="eastAsia" w:hAnsi="宋体" w:cs="宋体"/>
                <w:sz w:val="21"/>
                <w:szCs w:val="21"/>
              </w:rPr>
              <w:t>企业业绩</w:t>
            </w:r>
          </w:p>
          <w:p>
            <w:pPr>
              <w:pStyle w:val="5"/>
              <w:ind w:firstLine="0"/>
              <w:jc w:val="center"/>
              <w:rPr>
                <w:rFonts w:hint="eastAsia" w:hAnsi="宋体" w:cs="宋体"/>
                <w:sz w:val="21"/>
                <w:szCs w:val="21"/>
              </w:rPr>
            </w:pPr>
            <w:r>
              <w:rPr>
                <w:rFonts w:hint="eastAsia" w:hAnsi="宋体" w:cs="宋体"/>
                <w:sz w:val="21"/>
                <w:szCs w:val="21"/>
              </w:rPr>
              <w:t>（15分）</w:t>
            </w:r>
          </w:p>
        </w:tc>
        <w:tc>
          <w:tcPr>
            <w:tcW w:w="5473" w:type="dxa"/>
            <w:tcBorders>
              <w:top w:val="single" w:color="auto" w:sz="4" w:space="0"/>
              <w:left w:val="single" w:color="auto" w:sz="4" w:space="0"/>
              <w:bottom w:val="single" w:color="auto" w:sz="4" w:space="0"/>
              <w:right w:val="single" w:color="auto" w:sz="4" w:space="0"/>
            </w:tcBorders>
            <w:vAlign w:val="center"/>
          </w:tcPr>
          <w:p>
            <w:pPr>
              <w:pStyle w:val="5"/>
              <w:ind w:firstLine="0"/>
              <w:rPr>
                <w:rFonts w:hint="eastAsia" w:hAnsi="宋体" w:cs="宋体"/>
                <w:sz w:val="21"/>
                <w:szCs w:val="21"/>
              </w:rPr>
            </w:pPr>
            <w:r>
              <w:rPr>
                <w:rFonts w:hint="eastAsia" w:hAnsi="宋体" w:cs="宋体"/>
                <w:sz w:val="21"/>
                <w:szCs w:val="21"/>
              </w:rPr>
              <w:t>综合考虑投标人自2021年1月1日起至今承担的相同或类似项目的业绩，每个业绩得3分，该项最高得15分（须提供合同复印件，合同首页、关键内容页、签字盖章页复印件加盖投标人公章）。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4" w:hRule="atLeast"/>
        </w:trPr>
        <w:tc>
          <w:tcPr>
            <w:tcW w:w="657" w:type="dxa"/>
            <w:vMerge w:val="restart"/>
            <w:tcBorders>
              <w:top w:val="single" w:color="auto" w:sz="4" w:space="0"/>
              <w:left w:val="single" w:color="auto" w:sz="4" w:space="0"/>
              <w:right w:val="single" w:color="auto" w:sz="4" w:space="0"/>
            </w:tcBorders>
            <w:vAlign w:val="center"/>
          </w:tcPr>
          <w:p>
            <w:pPr>
              <w:pStyle w:val="5"/>
              <w:ind w:firstLine="0"/>
              <w:jc w:val="center"/>
              <w:rPr>
                <w:rFonts w:hint="eastAsia" w:hAnsi="宋体" w:cs="宋体"/>
                <w:sz w:val="21"/>
                <w:szCs w:val="21"/>
              </w:rPr>
            </w:pPr>
            <w:r>
              <w:rPr>
                <w:rFonts w:hint="eastAsia" w:hAnsi="宋体" w:cs="宋体"/>
                <w:sz w:val="21"/>
                <w:szCs w:val="21"/>
              </w:rPr>
              <w:t>2</w:t>
            </w:r>
          </w:p>
        </w:tc>
        <w:tc>
          <w:tcPr>
            <w:tcW w:w="1057" w:type="dxa"/>
            <w:vMerge w:val="restart"/>
            <w:tcBorders>
              <w:top w:val="single" w:color="auto" w:sz="4" w:space="0"/>
              <w:left w:val="single" w:color="auto" w:sz="4" w:space="0"/>
              <w:right w:val="single" w:color="auto" w:sz="4" w:space="0"/>
            </w:tcBorders>
            <w:vAlign w:val="center"/>
          </w:tcPr>
          <w:p>
            <w:pPr>
              <w:pStyle w:val="5"/>
              <w:ind w:firstLine="0"/>
              <w:jc w:val="center"/>
              <w:rPr>
                <w:rFonts w:hint="eastAsia" w:hAnsi="宋体" w:cs="宋体"/>
                <w:kern w:val="0"/>
                <w:sz w:val="21"/>
                <w:szCs w:val="21"/>
              </w:rPr>
            </w:pPr>
            <w:r>
              <w:rPr>
                <w:rFonts w:hint="eastAsia" w:hAnsi="宋体" w:cs="宋体"/>
                <w:sz w:val="21"/>
                <w:szCs w:val="21"/>
              </w:rPr>
              <w:t>服务</w:t>
            </w:r>
          </w:p>
          <w:p>
            <w:pPr>
              <w:pStyle w:val="5"/>
              <w:ind w:firstLine="0"/>
              <w:jc w:val="center"/>
              <w:rPr>
                <w:rFonts w:hint="eastAsia" w:hAnsi="宋体" w:cs="宋体"/>
                <w:sz w:val="21"/>
                <w:szCs w:val="21"/>
              </w:rPr>
            </w:pPr>
            <w:r>
              <w:rPr>
                <w:rFonts w:hint="eastAsia" w:hAnsi="宋体" w:cs="宋体"/>
                <w:sz w:val="21"/>
                <w:szCs w:val="21"/>
              </w:rPr>
              <w:t>（</w:t>
            </w:r>
            <w:r>
              <w:rPr>
                <w:rFonts w:hint="eastAsia" w:hAnsi="宋体" w:cs="宋体"/>
                <w:sz w:val="21"/>
                <w:szCs w:val="21"/>
                <w:lang w:val="en-US" w:eastAsia="zh-CN"/>
              </w:rPr>
              <w:t>75</w:t>
            </w:r>
            <w:r>
              <w:rPr>
                <w:rFonts w:hint="eastAsia" w:hAnsi="宋体" w:cs="宋体"/>
                <w:sz w:val="21"/>
                <w:szCs w:val="21"/>
              </w:rPr>
              <w:t>分）</w:t>
            </w:r>
          </w:p>
        </w:tc>
        <w:tc>
          <w:tcPr>
            <w:tcW w:w="1191" w:type="dxa"/>
            <w:tcBorders>
              <w:top w:val="single" w:color="auto" w:sz="4" w:space="0"/>
              <w:left w:val="single" w:color="auto" w:sz="4" w:space="0"/>
              <w:right w:val="single" w:color="auto" w:sz="4" w:space="0"/>
            </w:tcBorders>
            <w:vAlign w:val="center"/>
          </w:tcPr>
          <w:p>
            <w:pPr>
              <w:pStyle w:val="5"/>
              <w:ind w:firstLine="0"/>
              <w:jc w:val="center"/>
              <w:rPr>
                <w:rFonts w:hint="eastAsia" w:hAnsi="宋体" w:cs="宋体"/>
                <w:kern w:val="0"/>
                <w:sz w:val="21"/>
                <w:szCs w:val="21"/>
              </w:rPr>
            </w:pPr>
            <w:r>
              <w:rPr>
                <w:rFonts w:hint="eastAsia" w:hAnsi="宋体" w:cs="宋体"/>
                <w:sz w:val="21"/>
                <w:szCs w:val="21"/>
              </w:rPr>
              <w:t>需求分析（10分）</w:t>
            </w:r>
          </w:p>
        </w:tc>
        <w:tc>
          <w:tcPr>
            <w:tcW w:w="5473" w:type="dxa"/>
            <w:tcBorders>
              <w:top w:val="single" w:color="auto" w:sz="4" w:space="0"/>
              <w:left w:val="single" w:color="auto" w:sz="4" w:space="0"/>
            </w:tcBorders>
            <w:vAlign w:val="center"/>
          </w:tcPr>
          <w:p>
            <w:pPr>
              <w:pStyle w:val="5"/>
              <w:ind w:firstLine="0"/>
              <w:jc w:val="both"/>
              <w:rPr>
                <w:rFonts w:hint="eastAsia" w:hAnsi="宋体" w:cs="宋体"/>
                <w:sz w:val="21"/>
                <w:szCs w:val="21"/>
              </w:rPr>
            </w:pPr>
            <w:r>
              <w:rPr>
                <w:rFonts w:hint="eastAsia" w:hAnsi="宋体" w:cs="宋体"/>
                <w:sz w:val="21"/>
                <w:szCs w:val="21"/>
              </w:rPr>
              <w:t>综合考虑投标人围绕以下两项内容提供的采购需求分</w:t>
            </w:r>
          </w:p>
          <w:p>
            <w:pPr>
              <w:pStyle w:val="5"/>
              <w:ind w:firstLine="0"/>
              <w:jc w:val="both"/>
              <w:rPr>
                <w:rFonts w:hint="eastAsia" w:hAnsi="宋体" w:cs="宋体"/>
                <w:b/>
                <w:bCs/>
                <w:sz w:val="21"/>
                <w:szCs w:val="21"/>
              </w:rPr>
            </w:pPr>
            <w:r>
              <w:rPr>
                <w:rFonts w:hint="eastAsia" w:hAnsi="宋体" w:cs="宋体"/>
                <w:sz w:val="21"/>
                <w:szCs w:val="21"/>
              </w:rPr>
              <w:t>析：</w:t>
            </w:r>
            <w:r>
              <w:rPr>
                <w:rFonts w:hint="eastAsia" w:hAnsi="宋体" w:cs="宋体"/>
                <w:b/>
                <w:bCs/>
                <w:sz w:val="21"/>
                <w:szCs w:val="21"/>
              </w:rPr>
              <w:t>①结合工作技能及经验对项目背景及项目现状的分</w:t>
            </w:r>
          </w:p>
          <w:p>
            <w:pPr>
              <w:pStyle w:val="5"/>
              <w:ind w:firstLine="0"/>
              <w:jc w:val="both"/>
              <w:rPr>
                <w:rFonts w:hint="eastAsia" w:hAnsi="宋体" w:cs="宋体"/>
                <w:sz w:val="21"/>
                <w:szCs w:val="21"/>
              </w:rPr>
            </w:pPr>
            <w:r>
              <w:rPr>
                <w:rFonts w:hint="eastAsia" w:hAnsi="宋体" w:cs="宋体"/>
                <w:b/>
                <w:bCs/>
                <w:sz w:val="21"/>
                <w:szCs w:val="21"/>
              </w:rPr>
              <w:t>析；②项目实施技术及组织难点及解决思路。</w:t>
            </w:r>
            <w:r>
              <w:rPr>
                <w:rFonts w:hint="eastAsia" w:hAnsi="宋体" w:cs="宋体"/>
                <w:sz w:val="21"/>
                <w:szCs w:val="21"/>
              </w:rPr>
              <w:t>每项内容</w:t>
            </w:r>
          </w:p>
          <w:p>
            <w:pPr>
              <w:pStyle w:val="5"/>
              <w:ind w:firstLine="0"/>
              <w:jc w:val="both"/>
              <w:rPr>
                <w:rFonts w:hint="eastAsia" w:hAnsi="宋体" w:cs="宋体"/>
                <w:sz w:val="21"/>
                <w:szCs w:val="21"/>
              </w:rPr>
            </w:pPr>
            <w:r>
              <w:rPr>
                <w:rFonts w:hint="eastAsia" w:hAnsi="宋体" w:cs="宋体"/>
                <w:sz w:val="21"/>
                <w:szCs w:val="21"/>
              </w:rPr>
              <w:t>的评分标准如下：</w:t>
            </w:r>
          </w:p>
          <w:p>
            <w:pPr>
              <w:pStyle w:val="5"/>
              <w:ind w:firstLine="0"/>
              <w:jc w:val="both"/>
              <w:rPr>
                <w:rFonts w:hint="eastAsia" w:hAnsi="宋体" w:cs="宋体"/>
                <w:sz w:val="21"/>
                <w:szCs w:val="21"/>
              </w:rPr>
            </w:pPr>
            <w:r>
              <w:rPr>
                <w:rFonts w:hint="eastAsia" w:hAnsi="宋体" w:cs="宋体"/>
                <w:sz w:val="21"/>
                <w:szCs w:val="21"/>
              </w:rPr>
              <w:t>（1）论述完整，不存在内容缺失，技术支撑充分，得5</w:t>
            </w:r>
          </w:p>
          <w:p>
            <w:pPr>
              <w:pStyle w:val="5"/>
              <w:ind w:firstLine="0"/>
              <w:jc w:val="both"/>
              <w:rPr>
                <w:rFonts w:hint="eastAsia" w:hAnsi="宋体" w:cs="宋体"/>
                <w:sz w:val="21"/>
                <w:szCs w:val="21"/>
              </w:rPr>
            </w:pPr>
            <w:r>
              <w:rPr>
                <w:rFonts w:hint="eastAsia" w:hAnsi="宋体" w:cs="宋体"/>
                <w:sz w:val="21"/>
                <w:szCs w:val="21"/>
              </w:rPr>
              <w:t>分；</w:t>
            </w:r>
          </w:p>
          <w:p>
            <w:pPr>
              <w:pStyle w:val="5"/>
              <w:ind w:firstLine="0"/>
              <w:jc w:val="both"/>
              <w:rPr>
                <w:rFonts w:hint="eastAsia" w:hAnsi="宋体" w:cs="宋体"/>
                <w:sz w:val="21"/>
                <w:szCs w:val="21"/>
              </w:rPr>
            </w:pPr>
            <w:r>
              <w:rPr>
                <w:rFonts w:hint="eastAsia" w:hAnsi="宋体" w:cs="宋体"/>
                <w:sz w:val="21"/>
                <w:szCs w:val="21"/>
              </w:rPr>
              <w:t>（2）论述完整，不存在内容缺失，但存在技术支撑缺陷，</w:t>
            </w:r>
          </w:p>
          <w:p>
            <w:pPr>
              <w:pStyle w:val="5"/>
              <w:ind w:firstLine="0"/>
              <w:jc w:val="both"/>
              <w:rPr>
                <w:rFonts w:hint="eastAsia" w:hAnsi="宋体" w:cs="宋体"/>
                <w:sz w:val="21"/>
                <w:szCs w:val="21"/>
              </w:rPr>
            </w:pPr>
            <w:r>
              <w:rPr>
                <w:rFonts w:hint="eastAsia" w:hAnsi="宋体" w:cs="宋体"/>
                <w:sz w:val="21"/>
                <w:szCs w:val="21"/>
              </w:rPr>
              <w:t>得3分；</w:t>
            </w:r>
          </w:p>
          <w:p>
            <w:pPr>
              <w:pStyle w:val="5"/>
              <w:ind w:firstLine="0"/>
              <w:jc w:val="both"/>
              <w:rPr>
                <w:rFonts w:hint="eastAsia" w:hAnsi="宋体" w:cs="宋体"/>
                <w:sz w:val="21"/>
                <w:szCs w:val="21"/>
              </w:rPr>
            </w:pPr>
            <w:r>
              <w:rPr>
                <w:rFonts w:hint="eastAsia" w:hAnsi="宋体" w:cs="宋体"/>
                <w:sz w:val="21"/>
                <w:szCs w:val="21"/>
              </w:rPr>
              <w:t>（3）论述存在缺失及技术支撑缺陷，得1分；</w:t>
            </w:r>
          </w:p>
          <w:p>
            <w:pPr>
              <w:pStyle w:val="5"/>
              <w:ind w:firstLine="0"/>
              <w:jc w:val="both"/>
              <w:rPr>
                <w:rFonts w:hint="eastAsia" w:hAnsi="宋体" w:cs="宋体"/>
                <w:sz w:val="21"/>
                <w:szCs w:val="21"/>
              </w:rPr>
            </w:pPr>
            <w:r>
              <w:rPr>
                <w:rFonts w:hint="eastAsia" w:hAnsi="宋体" w:cs="宋体"/>
                <w:sz w:val="21"/>
                <w:szCs w:val="21"/>
              </w:rPr>
              <w:t>（4）未提供，得0分。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4" w:hRule="atLeast"/>
        </w:trPr>
        <w:tc>
          <w:tcPr>
            <w:tcW w:w="657" w:type="dxa"/>
            <w:vMerge w:val="continue"/>
            <w:tcBorders>
              <w:left w:val="single" w:color="auto" w:sz="4" w:space="0"/>
              <w:right w:val="single" w:color="auto" w:sz="4" w:space="0"/>
            </w:tcBorders>
            <w:vAlign w:val="center"/>
          </w:tcPr>
          <w:p>
            <w:pPr>
              <w:pStyle w:val="5"/>
              <w:ind w:firstLine="0"/>
              <w:jc w:val="center"/>
              <w:rPr>
                <w:rFonts w:hint="eastAsia" w:hAnsi="宋体" w:cs="宋体"/>
                <w:sz w:val="21"/>
                <w:szCs w:val="21"/>
              </w:rPr>
            </w:pPr>
          </w:p>
        </w:tc>
        <w:tc>
          <w:tcPr>
            <w:tcW w:w="1057" w:type="dxa"/>
            <w:vMerge w:val="continue"/>
            <w:tcBorders>
              <w:left w:val="single" w:color="auto" w:sz="4" w:space="0"/>
              <w:right w:val="single" w:color="auto" w:sz="4" w:space="0"/>
            </w:tcBorders>
            <w:vAlign w:val="center"/>
          </w:tcPr>
          <w:p>
            <w:pPr>
              <w:pStyle w:val="5"/>
              <w:ind w:firstLine="0"/>
              <w:jc w:val="center"/>
              <w:rPr>
                <w:rFonts w:hint="eastAsia" w:hAnsi="宋体" w:cs="宋体"/>
                <w:sz w:val="21"/>
                <w:szCs w:val="21"/>
              </w:rPr>
            </w:pPr>
          </w:p>
        </w:tc>
        <w:tc>
          <w:tcPr>
            <w:tcW w:w="1191" w:type="dxa"/>
            <w:tcBorders>
              <w:left w:val="single" w:color="auto" w:sz="4" w:space="0"/>
              <w:right w:val="single" w:color="auto" w:sz="4" w:space="0"/>
            </w:tcBorders>
            <w:vAlign w:val="center"/>
          </w:tcPr>
          <w:p>
            <w:pPr>
              <w:pStyle w:val="5"/>
              <w:ind w:firstLine="0"/>
              <w:jc w:val="center"/>
              <w:rPr>
                <w:rFonts w:hint="eastAsia" w:hAnsi="宋体" w:cs="宋体"/>
                <w:kern w:val="0"/>
                <w:sz w:val="21"/>
                <w:szCs w:val="21"/>
              </w:rPr>
            </w:pPr>
            <w:r>
              <w:rPr>
                <w:rFonts w:hint="eastAsia" w:hAnsi="宋体" w:cs="宋体"/>
                <w:kern w:val="0"/>
                <w:sz w:val="21"/>
                <w:szCs w:val="21"/>
              </w:rPr>
              <w:t>服务方案（26分）</w:t>
            </w:r>
          </w:p>
        </w:tc>
        <w:tc>
          <w:tcPr>
            <w:tcW w:w="5473" w:type="dxa"/>
            <w:tcBorders>
              <w:top w:val="single" w:color="auto" w:sz="4" w:space="0"/>
              <w:left w:val="single" w:color="auto" w:sz="4" w:space="0"/>
            </w:tcBorders>
            <w:vAlign w:val="center"/>
          </w:tcPr>
          <w:p>
            <w:pPr>
              <w:snapToGrid w:val="0"/>
              <w:rPr>
                <w:rFonts w:hint="eastAsia" w:ascii="宋体" w:hAnsi="宋体"/>
                <w:szCs w:val="21"/>
              </w:rPr>
            </w:pPr>
            <w:r>
              <w:rPr>
                <w:rFonts w:hint="eastAsia" w:ascii="宋体" w:hAnsi="宋体"/>
                <w:szCs w:val="21"/>
              </w:rPr>
              <w:t>综合考虑项目整体方案的完整性、可操作性、创新性及对采购需求的满足程度等（项目整体方案包含但不限于：项目具体规划、执行内容及方式等）。</w:t>
            </w:r>
          </w:p>
          <w:p>
            <w:pPr>
              <w:snapToGrid w:val="0"/>
              <w:rPr>
                <w:rFonts w:hint="eastAsia" w:ascii="宋体" w:hAnsi="宋体"/>
                <w:szCs w:val="21"/>
              </w:rPr>
            </w:pPr>
            <w:r>
              <w:rPr>
                <w:rFonts w:hint="eastAsia" w:ascii="宋体" w:hAnsi="宋体"/>
                <w:szCs w:val="21"/>
              </w:rPr>
              <w:t>方案完整度高，详细、专业、合理，可执行性强：26分；</w:t>
            </w:r>
          </w:p>
          <w:p>
            <w:pPr>
              <w:snapToGrid w:val="0"/>
              <w:rPr>
                <w:rFonts w:hint="eastAsia" w:ascii="宋体" w:hAnsi="宋体"/>
                <w:szCs w:val="21"/>
              </w:rPr>
            </w:pPr>
            <w:r>
              <w:rPr>
                <w:rFonts w:hint="eastAsia" w:ascii="宋体" w:hAnsi="宋体"/>
                <w:szCs w:val="21"/>
              </w:rPr>
              <w:t>方案完整度较高，专业、合理，可执行性较强：20分；</w:t>
            </w:r>
          </w:p>
          <w:p>
            <w:pPr>
              <w:snapToGrid w:val="0"/>
              <w:rPr>
                <w:rFonts w:hint="eastAsia" w:ascii="宋体" w:hAnsi="宋体"/>
                <w:szCs w:val="21"/>
              </w:rPr>
            </w:pPr>
            <w:r>
              <w:rPr>
                <w:rFonts w:hint="eastAsia" w:ascii="宋体" w:hAnsi="宋体"/>
                <w:szCs w:val="21"/>
              </w:rPr>
              <w:t>方案完整度一般，具有一定的专业性、合理性，具有一定的可执行性：15分；</w:t>
            </w:r>
          </w:p>
          <w:p>
            <w:pPr>
              <w:snapToGrid w:val="0"/>
              <w:rPr>
                <w:rFonts w:hint="eastAsia" w:ascii="宋体" w:hAnsi="宋体"/>
                <w:szCs w:val="21"/>
              </w:rPr>
            </w:pPr>
            <w:r>
              <w:rPr>
                <w:rFonts w:hint="eastAsia" w:ascii="宋体" w:hAnsi="宋体"/>
                <w:szCs w:val="21"/>
              </w:rPr>
              <w:t>方案不完整，专业性、合理性、可执行性不高，10分；</w:t>
            </w:r>
          </w:p>
          <w:p>
            <w:pPr>
              <w:snapToGrid w:val="0"/>
              <w:rPr>
                <w:rFonts w:hint="eastAsia" w:ascii="宋体" w:hAnsi="宋体"/>
                <w:szCs w:val="21"/>
              </w:rPr>
            </w:pPr>
            <w:r>
              <w:rPr>
                <w:rFonts w:hint="eastAsia" w:ascii="宋体" w:hAnsi="宋体"/>
                <w:szCs w:val="21"/>
              </w:rPr>
              <w:t>方案极不完整，不具备专业性、合理性、可执行性，得5分；</w:t>
            </w:r>
          </w:p>
          <w:p>
            <w:pPr>
              <w:pStyle w:val="5"/>
              <w:ind w:firstLine="0"/>
              <w:jc w:val="both"/>
              <w:rPr>
                <w:rFonts w:hint="eastAsia" w:hAnsi="宋体" w:cs="宋体"/>
                <w:sz w:val="21"/>
                <w:szCs w:val="21"/>
              </w:rPr>
            </w:pPr>
            <w:r>
              <w:rPr>
                <w:rFonts w:hint="eastAsia" w:hAnsi="宋体"/>
                <w:szCs w:val="21"/>
              </w:rPr>
              <w:t>未提供该方案：0分。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4" w:hRule="atLeast"/>
        </w:trPr>
        <w:tc>
          <w:tcPr>
            <w:tcW w:w="657" w:type="dxa"/>
            <w:vMerge w:val="continue"/>
            <w:tcBorders>
              <w:left w:val="single" w:color="auto" w:sz="4" w:space="0"/>
              <w:right w:val="single" w:color="auto" w:sz="4" w:space="0"/>
            </w:tcBorders>
            <w:vAlign w:val="center"/>
          </w:tcPr>
          <w:p>
            <w:pPr>
              <w:pStyle w:val="5"/>
              <w:ind w:firstLine="0"/>
              <w:jc w:val="center"/>
              <w:rPr>
                <w:rFonts w:hint="eastAsia" w:hAnsi="宋体" w:cs="宋体"/>
                <w:sz w:val="21"/>
                <w:szCs w:val="21"/>
              </w:rPr>
            </w:pPr>
          </w:p>
        </w:tc>
        <w:tc>
          <w:tcPr>
            <w:tcW w:w="1057" w:type="dxa"/>
            <w:vMerge w:val="continue"/>
            <w:tcBorders>
              <w:left w:val="single" w:color="auto" w:sz="4" w:space="0"/>
              <w:right w:val="single" w:color="auto" w:sz="4" w:space="0"/>
            </w:tcBorders>
            <w:vAlign w:val="center"/>
          </w:tcPr>
          <w:p>
            <w:pPr>
              <w:pStyle w:val="5"/>
              <w:ind w:firstLine="0"/>
              <w:jc w:val="center"/>
              <w:rPr>
                <w:rFonts w:hint="eastAsia" w:hAnsi="宋体" w:cs="宋体"/>
                <w:sz w:val="21"/>
                <w:szCs w:val="21"/>
              </w:rPr>
            </w:pPr>
          </w:p>
        </w:tc>
        <w:tc>
          <w:tcPr>
            <w:tcW w:w="1191" w:type="dxa"/>
            <w:tcBorders>
              <w:left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质量保障解决方案（12分）</w:t>
            </w:r>
          </w:p>
        </w:tc>
        <w:tc>
          <w:tcPr>
            <w:tcW w:w="5473" w:type="dxa"/>
            <w:tcBorders>
              <w:top w:val="single" w:color="auto" w:sz="4" w:space="0"/>
              <w:left w:val="single" w:color="auto" w:sz="4" w:space="0"/>
            </w:tcBorders>
            <w:vAlign w:val="center"/>
          </w:tcPr>
          <w:p>
            <w:pPr>
              <w:pStyle w:val="5"/>
              <w:ind w:firstLine="0"/>
              <w:jc w:val="both"/>
              <w:rPr>
                <w:rFonts w:hint="eastAsia" w:hAnsi="宋体" w:cs="宋体"/>
                <w:bCs/>
                <w:sz w:val="21"/>
                <w:szCs w:val="21"/>
              </w:rPr>
            </w:pPr>
            <w:r>
              <w:rPr>
                <w:rFonts w:hint="eastAsia" w:hAnsi="宋体" w:cs="宋体"/>
                <w:bCs/>
                <w:sz w:val="21"/>
                <w:szCs w:val="21"/>
              </w:rPr>
              <w:t>综合考虑投标人围绕以下两项内容提供的质量保障方</w:t>
            </w:r>
          </w:p>
          <w:p>
            <w:pPr>
              <w:pStyle w:val="5"/>
              <w:ind w:firstLine="0"/>
              <w:jc w:val="both"/>
              <w:rPr>
                <w:rFonts w:hint="eastAsia" w:hAnsi="宋体" w:cs="宋体"/>
                <w:bCs/>
                <w:sz w:val="21"/>
                <w:szCs w:val="21"/>
              </w:rPr>
            </w:pPr>
            <w:r>
              <w:rPr>
                <w:rFonts w:hint="eastAsia" w:hAnsi="宋体" w:cs="宋体"/>
                <w:bCs/>
                <w:sz w:val="21"/>
                <w:szCs w:val="21"/>
              </w:rPr>
              <w:t>案：</w:t>
            </w:r>
            <w:r>
              <w:rPr>
                <w:rFonts w:hint="eastAsia" w:hAnsi="宋体" w:cs="宋体"/>
                <w:b/>
                <w:sz w:val="21"/>
                <w:szCs w:val="21"/>
              </w:rPr>
              <w:t>①质量保障措施；②质量控制措施。</w:t>
            </w:r>
            <w:r>
              <w:rPr>
                <w:rFonts w:hint="eastAsia" w:hAnsi="宋体" w:cs="宋体"/>
                <w:bCs/>
                <w:sz w:val="21"/>
                <w:szCs w:val="21"/>
              </w:rPr>
              <w:t>每项内容的评</w:t>
            </w:r>
          </w:p>
          <w:p>
            <w:pPr>
              <w:pStyle w:val="5"/>
              <w:ind w:firstLine="0"/>
              <w:jc w:val="both"/>
              <w:rPr>
                <w:rFonts w:hint="eastAsia" w:hAnsi="宋体" w:cs="宋体"/>
                <w:bCs/>
                <w:sz w:val="21"/>
                <w:szCs w:val="21"/>
              </w:rPr>
            </w:pPr>
            <w:r>
              <w:rPr>
                <w:rFonts w:hint="eastAsia" w:hAnsi="宋体" w:cs="宋体"/>
                <w:bCs/>
                <w:sz w:val="21"/>
                <w:szCs w:val="21"/>
              </w:rPr>
              <w:t>分标准如下：</w:t>
            </w:r>
          </w:p>
          <w:p>
            <w:pPr>
              <w:pStyle w:val="5"/>
              <w:ind w:firstLine="0"/>
              <w:jc w:val="both"/>
              <w:rPr>
                <w:rFonts w:hint="eastAsia" w:hAnsi="宋体" w:cs="宋体"/>
                <w:bCs/>
                <w:sz w:val="21"/>
                <w:szCs w:val="21"/>
              </w:rPr>
            </w:pPr>
            <w:r>
              <w:rPr>
                <w:rFonts w:hint="eastAsia" w:hAnsi="宋体" w:cs="宋体"/>
                <w:bCs/>
                <w:sz w:val="21"/>
                <w:szCs w:val="21"/>
              </w:rPr>
              <w:t>（1）论述完整，不存在内容缺失，技术支撑充分，得6</w:t>
            </w:r>
          </w:p>
          <w:p>
            <w:pPr>
              <w:pStyle w:val="5"/>
              <w:ind w:firstLine="0"/>
              <w:jc w:val="both"/>
              <w:rPr>
                <w:rFonts w:hint="eastAsia" w:hAnsi="宋体" w:cs="宋体"/>
                <w:bCs/>
                <w:sz w:val="21"/>
                <w:szCs w:val="21"/>
              </w:rPr>
            </w:pPr>
            <w:r>
              <w:rPr>
                <w:rFonts w:hint="eastAsia" w:hAnsi="宋体" w:cs="宋体"/>
                <w:bCs/>
                <w:sz w:val="21"/>
                <w:szCs w:val="21"/>
              </w:rPr>
              <w:t>分；</w:t>
            </w:r>
          </w:p>
          <w:p>
            <w:pPr>
              <w:pStyle w:val="5"/>
              <w:ind w:firstLine="0"/>
              <w:jc w:val="both"/>
              <w:rPr>
                <w:rFonts w:hint="eastAsia" w:hAnsi="宋体" w:cs="宋体"/>
                <w:bCs/>
                <w:sz w:val="21"/>
                <w:szCs w:val="21"/>
              </w:rPr>
            </w:pPr>
            <w:r>
              <w:rPr>
                <w:rFonts w:hint="eastAsia" w:hAnsi="宋体" w:cs="宋体"/>
                <w:bCs/>
                <w:sz w:val="21"/>
                <w:szCs w:val="21"/>
              </w:rPr>
              <w:t>（2）论述完整，不存在内容缺失，但存在技术支撑缺陷，</w:t>
            </w:r>
          </w:p>
          <w:p>
            <w:pPr>
              <w:pStyle w:val="5"/>
              <w:ind w:firstLine="0"/>
              <w:jc w:val="both"/>
              <w:rPr>
                <w:rFonts w:hint="eastAsia" w:hAnsi="宋体" w:cs="宋体"/>
                <w:bCs/>
                <w:sz w:val="21"/>
                <w:szCs w:val="21"/>
              </w:rPr>
            </w:pPr>
            <w:r>
              <w:rPr>
                <w:rFonts w:hint="eastAsia" w:hAnsi="宋体" w:cs="宋体"/>
                <w:bCs/>
                <w:sz w:val="21"/>
                <w:szCs w:val="21"/>
              </w:rPr>
              <w:t>得3分；</w:t>
            </w:r>
          </w:p>
          <w:p>
            <w:pPr>
              <w:pStyle w:val="5"/>
              <w:ind w:firstLine="0"/>
              <w:jc w:val="both"/>
              <w:rPr>
                <w:rFonts w:hint="eastAsia" w:hAnsi="宋体" w:cs="宋体"/>
                <w:bCs/>
                <w:sz w:val="21"/>
                <w:szCs w:val="21"/>
              </w:rPr>
            </w:pPr>
            <w:r>
              <w:rPr>
                <w:rFonts w:hint="eastAsia" w:hAnsi="宋体" w:cs="宋体"/>
                <w:bCs/>
                <w:sz w:val="21"/>
                <w:szCs w:val="21"/>
              </w:rPr>
              <w:t>（3）论述存在缺失及技术支撑缺陷，得1分；</w:t>
            </w:r>
          </w:p>
          <w:p>
            <w:pPr>
              <w:pStyle w:val="5"/>
              <w:ind w:firstLine="0"/>
              <w:jc w:val="both"/>
              <w:rPr>
                <w:rFonts w:hint="eastAsia" w:hAnsi="宋体" w:cs="宋体"/>
                <w:bCs/>
                <w:sz w:val="21"/>
                <w:szCs w:val="21"/>
              </w:rPr>
            </w:pPr>
            <w:r>
              <w:rPr>
                <w:rFonts w:hint="eastAsia" w:hAnsi="宋体" w:cs="宋体"/>
                <w:bCs/>
                <w:sz w:val="21"/>
                <w:szCs w:val="21"/>
              </w:rPr>
              <w:t>（4）未提供，得0分。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4" w:hRule="atLeast"/>
        </w:trPr>
        <w:tc>
          <w:tcPr>
            <w:tcW w:w="657" w:type="dxa"/>
            <w:vMerge w:val="continue"/>
            <w:tcBorders>
              <w:left w:val="single" w:color="auto" w:sz="4" w:space="0"/>
              <w:right w:val="single" w:color="auto" w:sz="4" w:space="0"/>
            </w:tcBorders>
            <w:vAlign w:val="center"/>
          </w:tcPr>
          <w:p>
            <w:pPr>
              <w:pStyle w:val="5"/>
              <w:ind w:firstLine="0"/>
              <w:jc w:val="center"/>
              <w:rPr>
                <w:rFonts w:hint="eastAsia" w:hAnsi="宋体" w:cs="宋体"/>
                <w:sz w:val="21"/>
                <w:szCs w:val="21"/>
              </w:rPr>
            </w:pPr>
          </w:p>
        </w:tc>
        <w:tc>
          <w:tcPr>
            <w:tcW w:w="1057" w:type="dxa"/>
            <w:vMerge w:val="continue"/>
            <w:tcBorders>
              <w:left w:val="single" w:color="auto" w:sz="4" w:space="0"/>
              <w:right w:val="single" w:color="auto" w:sz="4" w:space="0"/>
            </w:tcBorders>
            <w:vAlign w:val="center"/>
          </w:tcPr>
          <w:p>
            <w:pPr>
              <w:pStyle w:val="5"/>
              <w:ind w:firstLine="0"/>
              <w:jc w:val="center"/>
              <w:rPr>
                <w:rFonts w:hint="eastAsia" w:hAnsi="宋体" w:cs="宋体"/>
                <w:sz w:val="21"/>
                <w:szCs w:val="21"/>
              </w:rPr>
            </w:pPr>
          </w:p>
        </w:tc>
        <w:tc>
          <w:tcPr>
            <w:tcW w:w="1191" w:type="dxa"/>
            <w:tcBorders>
              <w:left w:val="single" w:color="auto" w:sz="4" w:space="0"/>
              <w:right w:val="single" w:color="auto" w:sz="4" w:space="0"/>
            </w:tcBorders>
            <w:vAlign w:val="center"/>
          </w:tcPr>
          <w:p>
            <w:pPr>
              <w:widowControl/>
              <w:jc w:val="center"/>
              <w:rPr>
                <w:rFonts w:hint="eastAsia" w:ascii="宋体" w:hAnsi="宋体" w:cs="宋体"/>
                <w:kern w:val="0"/>
                <w:szCs w:val="21"/>
              </w:rPr>
            </w:pPr>
            <w:r>
              <w:rPr>
                <w:rFonts w:hint="eastAsia" w:ascii="宋体" w:hAnsi="宋体" w:cs="宋体"/>
                <w:kern w:val="0"/>
                <w:szCs w:val="21"/>
              </w:rPr>
              <w:t>进度保障组织方案（12分）</w:t>
            </w:r>
          </w:p>
        </w:tc>
        <w:tc>
          <w:tcPr>
            <w:tcW w:w="5473" w:type="dxa"/>
            <w:tcBorders>
              <w:top w:val="single" w:color="auto" w:sz="4" w:space="0"/>
              <w:left w:val="single" w:color="auto" w:sz="4" w:space="0"/>
            </w:tcBorders>
            <w:vAlign w:val="center"/>
          </w:tcPr>
          <w:p>
            <w:pPr>
              <w:pStyle w:val="5"/>
              <w:ind w:firstLine="0"/>
              <w:rPr>
                <w:rFonts w:hint="eastAsia" w:hAnsi="宋体" w:cs="宋体"/>
                <w:kern w:val="0"/>
                <w:sz w:val="21"/>
                <w:szCs w:val="21"/>
              </w:rPr>
            </w:pPr>
            <w:r>
              <w:rPr>
                <w:rFonts w:hint="eastAsia" w:hAnsi="宋体" w:cs="宋体"/>
                <w:kern w:val="0"/>
                <w:sz w:val="21"/>
                <w:szCs w:val="21"/>
              </w:rPr>
              <w:t>综合考虑投标人围绕以下两项内容提供的进度保障组织</w:t>
            </w:r>
          </w:p>
          <w:p>
            <w:pPr>
              <w:pStyle w:val="5"/>
              <w:ind w:firstLine="0"/>
              <w:rPr>
                <w:rFonts w:hint="eastAsia" w:hAnsi="宋体" w:cs="宋体"/>
                <w:kern w:val="0"/>
                <w:sz w:val="21"/>
                <w:szCs w:val="21"/>
              </w:rPr>
            </w:pPr>
            <w:r>
              <w:rPr>
                <w:rFonts w:hint="eastAsia" w:hAnsi="宋体" w:cs="宋体"/>
                <w:kern w:val="0"/>
                <w:sz w:val="21"/>
                <w:szCs w:val="21"/>
              </w:rPr>
              <w:t>方案：</w:t>
            </w:r>
            <w:r>
              <w:rPr>
                <w:rFonts w:hint="eastAsia" w:hAnsi="宋体" w:cs="宋体"/>
                <w:b/>
                <w:bCs/>
                <w:kern w:val="0"/>
                <w:sz w:val="21"/>
                <w:szCs w:val="21"/>
              </w:rPr>
              <w:t>①进度计划；②应急预案。</w:t>
            </w:r>
            <w:r>
              <w:rPr>
                <w:rFonts w:hint="eastAsia" w:hAnsi="宋体" w:cs="宋体"/>
                <w:kern w:val="0"/>
                <w:sz w:val="21"/>
                <w:szCs w:val="21"/>
              </w:rPr>
              <w:t>每项内容的评分标准</w:t>
            </w:r>
          </w:p>
          <w:p>
            <w:pPr>
              <w:pStyle w:val="5"/>
              <w:ind w:firstLine="0"/>
              <w:rPr>
                <w:rFonts w:hint="eastAsia" w:hAnsi="宋体" w:cs="宋体"/>
                <w:kern w:val="0"/>
                <w:sz w:val="21"/>
                <w:szCs w:val="21"/>
              </w:rPr>
            </w:pPr>
            <w:r>
              <w:rPr>
                <w:rFonts w:hint="eastAsia" w:hAnsi="宋体" w:cs="宋体"/>
                <w:kern w:val="0"/>
                <w:sz w:val="21"/>
                <w:szCs w:val="21"/>
              </w:rPr>
              <w:t>如下：</w:t>
            </w:r>
          </w:p>
          <w:p>
            <w:pPr>
              <w:pStyle w:val="5"/>
              <w:ind w:firstLine="0"/>
              <w:rPr>
                <w:rFonts w:hint="eastAsia" w:hAnsi="宋体" w:cs="宋体"/>
                <w:kern w:val="0"/>
                <w:sz w:val="21"/>
                <w:szCs w:val="21"/>
              </w:rPr>
            </w:pPr>
            <w:r>
              <w:rPr>
                <w:rFonts w:hint="eastAsia" w:hAnsi="宋体" w:cs="宋体"/>
                <w:kern w:val="0"/>
                <w:sz w:val="21"/>
                <w:szCs w:val="21"/>
              </w:rPr>
              <w:t>（1）论述完整，不存在内容缺失，技术支撑充分，得6</w:t>
            </w:r>
          </w:p>
          <w:p>
            <w:pPr>
              <w:pStyle w:val="5"/>
              <w:ind w:firstLine="0"/>
              <w:rPr>
                <w:rFonts w:hint="eastAsia" w:hAnsi="宋体" w:cs="宋体"/>
                <w:kern w:val="0"/>
                <w:sz w:val="21"/>
                <w:szCs w:val="21"/>
              </w:rPr>
            </w:pPr>
            <w:r>
              <w:rPr>
                <w:rFonts w:hint="eastAsia" w:hAnsi="宋体" w:cs="宋体"/>
                <w:kern w:val="0"/>
                <w:sz w:val="21"/>
                <w:szCs w:val="21"/>
              </w:rPr>
              <w:t>分；</w:t>
            </w:r>
          </w:p>
          <w:p>
            <w:pPr>
              <w:pStyle w:val="5"/>
              <w:ind w:firstLine="0"/>
              <w:rPr>
                <w:rFonts w:hint="eastAsia" w:hAnsi="宋体" w:cs="宋体"/>
                <w:kern w:val="0"/>
                <w:sz w:val="21"/>
                <w:szCs w:val="21"/>
              </w:rPr>
            </w:pPr>
            <w:r>
              <w:rPr>
                <w:rFonts w:hint="eastAsia" w:hAnsi="宋体" w:cs="宋体"/>
                <w:kern w:val="0"/>
                <w:sz w:val="21"/>
                <w:szCs w:val="21"/>
              </w:rPr>
              <w:t>（2）论述完整，不存在内容缺失，但存在技术支撑缺陷，</w:t>
            </w:r>
          </w:p>
          <w:p>
            <w:pPr>
              <w:pStyle w:val="5"/>
              <w:ind w:firstLine="0"/>
              <w:rPr>
                <w:rFonts w:hint="eastAsia" w:hAnsi="宋体" w:cs="宋体"/>
                <w:kern w:val="0"/>
                <w:sz w:val="21"/>
                <w:szCs w:val="21"/>
              </w:rPr>
            </w:pPr>
            <w:r>
              <w:rPr>
                <w:rFonts w:hint="eastAsia" w:hAnsi="宋体" w:cs="宋体"/>
                <w:kern w:val="0"/>
                <w:sz w:val="21"/>
                <w:szCs w:val="21"/>
              </w:rPr>
              <w:t>得3分；</w:t>
            </w:r>
          </w:p>
          <w:p>
            <w:pPr>
              <w:pStyle w:val="5"/>
              <w:ind w:firstLine="0"/>
              <w:rPr>
                <w:rFonts w:hint="eastAsia" w:hAnsi="宋体" w:cs="宋体"/>
                <w:kern w:val="0"/>
                <w:sz w:val="21"/>
                <w:szCs w:val="21"/>
              </w:rPr>
            </w:pPr>
            <w:r>
              <w:rPr>
                <w:rFonts w:hint="eastAsia" w:hAnsi="宋体" w:cs="宋体"/>
                <w:kern w:val="0"/>
                <w:sz w:val="21"/>
                <w:szCs w:val="21"/>
              </w:rPr>
              <w:t>（3）论述存在缺失及技术支撑缺陷，得1分；</w:t>
            </w:r>
          </w:p>
          <w:p>
            <w:pPr>
              <w:pStyle w:val="5"/>
              <w:ind w:firstLine="0"/>
              <w:rPr>
                <w:rFonts w:hint="eastAsia" w:hAnsi="宋体" w:cs="宋体"/>
                <w:kern w:val="0"/>
                <w:sz w:val="21"/>
                <w:szCs w:val="21"/>
              </w:rPr>
            </w:pPr>
            <w:r>
              <w:rPr>
                <w:rFonts w:hint="eastAsia" w:hAnsi="宋体" w:cs="宋体"/>
                <w:kern w:val="0"/>
                <w:sz w:val="21"/>
                <w:szCs w:val="21"/>
              </w:rPr>
              <w:t>（4）未提供，得0分。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657" w:type="dxa"/>
            <w:vMerge w:val="continue"/>
            <w:tcBorders>
              <w:left w:val="single" w:color="auto" w:sz="4" w:space="0"/>
              <w:right w:val="single" w:color="auto" w:sz="4" w:space="0"/>
            </w:tcBorders>
            <w:vAlign w:val="center"/>
          </w:tcPr>
          <w:p>
            <w:pPr>
              <w:keepNext/>
              <w:keepLines/>
              <w:widowControl/>
              <w:spacing w:before="260" w:after="260" w:line="416" w:lineRule="auto"/>
              <w:jc w:val="left"/>
              <w:outlineLvl w:val="2"/>
              <w:rPr>
                <w:rFonts w:hint="eastAsia" w:ascii="宋体" w:hAnsi="宋体" w:cs="宋体"/>
                <w:kern w:val="0"/>
                <w:szCs w:val="21"/>
              </w:rPr>
            </w:pPr>
          </w:p>
        </w:tc>
        <w:tc>
          <w:tcPr>
            <w:tcW w:w="1057" w:type="dxa"/>
            <w:vMerge w:val="continue"/>
            <w:tcBorders>
              <w:left w:val="single" w:color="auto" w:sz="4" w:space="0"/>
              <w:right w:val="single" w:color="auto" w:sz="4" w:space="0"/>
            </w:tcBorders>
            <w:vAlign w:val="center"/>
          </w:tcPr>
          <w:p>
            <w:pPr>
              <w:keepNext/>
              <w:keepLines/>
              <w:widowControl/>
              <w:spacing w:before="260" w:after="260" w:line="416" w:lineRule="auto"/>
              <w:jc w:val="left"/>
              <w:outlineLvl w:val="2"/>
              <w:rPr>
                <w:rFonts w:hint="eastAsia" w:ascii="宋体" w:hAnsi="宋体" w:cs="宋体"/>
                <w:kern w:val="0"/>
                <w:szCs w:val="21"/>
              </w:rPr>
            </w:pPr>
          </w:p>
        </w:tc>
        <w:tc>
          <w:tcPr>
            <w:tcW w:w="1191" w:type="dxa"/>
            <w:vMerge w:val="restart"/>
            <w:tcBorders>
              <w:left w:val="single" w:color="auto" w:sz="4" w:space="0"/>
              <w:right w:val="single" w:color="auto" w:sz="4" w:space="0"/>
            </w:tcBorders>
            <w:vAlign w:val="center"/>
          </w:tcPr>
          <w:p>
            <w:pPr>
              <w:widowControl/>
              <w:jc w:val="center"/>
              <w:rPr>
                <w:rFonts w:hint="eastAsia" w:ascii="宋体" w:hAnsi="宋体" w:cs="宋体"/>
                <w:kern w:val="0"/>
                <w:szCs w:val="21"/>
              </w:rPr>
            </w:pPr>
            <w:r>
              <w:rPr>
                <w:rFonts w:hint="eastAsia" w:ascii="宋体" w:hAnsi="宋体" w:cs="宋体"/>
                <w:kern w:val="0"/>
                <w:szCs w:val="21"/>
              </w:rPr>
              <w:t>项目团队</w:t>
            </w:r>
          </w:p>
          <w:p>
            <w:pPr>
              <w:widowControl/>
              <w:jc w:val="center"/>
              <w:rPr>
                <w:rFonts w:hint="eastAsia" w:ascii="宋体" w:hAnsi="宋体" w:cs="宋体"/>
                <w:kern w:val="0"/>
                <w:szCs w:val="21"/>
              </w:rPr>
            </w:pPr>
            <w:r>
              <w:rPr>
                <w:rFonts w:hint="eastAsia" w:ascii="宋体" w:hAnsi="宋体" w:cs="宋体"/>
                <w:kern w:val="0"/>
                <w:szCs w:val="21"/>
              </w:rPr>
              <w:t>（15分）</w:t>
            </w:r>
          </w:p>
        </w:tc>
        <w:tc>
          <w:tcPr>
            <w:tcW w:w="5473" w:type="dxa"/>
            <w:tcBorders>
              <w:top w:val="single" w:color="auto" w:sz="4" w:space="0"/>
              <w:left w:val="single" w:color="auto" w:sz="4" w:space="0"/>
              <w:right w:val="single" w:color="auto" w:sz="4" w:space="0"/>
            </w:tcBorders>
            <w:vAlign w:val="center"/>
          </w:tcPr>
          <w:p>
            <w:pPr>
              <w:pStyle w:val="5"/>
              <w:ind w:firstLine="0"/>
              <w:rPr>
                <w:rFonts w:hint="eastAsia" w:hAnsi="宋体" w:cs="宋体"/>
                <w:kern w:val="0"/>
                <w:sz w:val="21"/>
                <w:szCs w:val="21"/>
              </w:rPr>
            </w:pPr>
            <w:r>
              <w:rPr>
                <w:rFonts w:hAnsi="宋体" w:cs="宋体"/>
                <w:sz w:val="21"/>
                <w:szCs w:val="21"/>
              </w:rPr>
              <w:t>人员配备专业、合理，满足采购需求。包括但不限于专业印刷技师、质检人员、</w:t>
            </w:r>
            <w:r>
              <w:rPr>
                <w:rFonts w:hint="eastAsia" w:hAnsi="宋体" w:cs="宋体"/>
                <w:sz w:val="21"/>
                <w:szCs w:val="21"/>
              </w:rPr>
              <w:t>设计人员、配送人员、</w:t>
            </w:r>
            <w:r>
              <w:rPr>
                <w:rFonts w:hAnsi="宋体" w:cs="宋体"/>
                <w:sz w:val="21"/>
                <w:szCs w:val="21"/>
              </w:rPr>
              <w:t>业务对接人员</w:t>
            </w:r>
            <w:r>
              <w:rPr>
                <w:rFonts w:hint="eastAsia" w:hAnsi="宋体" w:cs="宋体"/>
                <w:sz w:val="21"/>
                <w:szCs w:val="21"/>
              </w:rPr>
              <w:t>等</w:t>
            </w:r>
            <w:r>
              <w:rPr>
                <w:rFonts w:hAnsi="宋体" w:cs="宋体"/>
                <w:sz w:val="21"/>
                <w:szCs w:val="21"/>
              </w:rPr>
              <w:t>（提供相关证明或说明材料），是：</w:t>
            </w:r>
            <w:r>
              <w:rPr>
                <w:rFonts w:hint="eastAsia" w:hAnsi="宋体" w:cs="宋体"/>
                <w:sz w:val="21"/>
                <w:szCs w:val="21"/>
              </w:rPr>
              <w:t>3</w:t>
            </w:r>
            <w:r>
              <w:rPr>
                <w:rFonts w:hAnsi="宋体" w:cs="宋体"/>
                <w:sz w:val="21"/>
                <w:szCs w:val="21"/>
              </w:rPr>
              <w:t>分，否：0分。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3" w:hRule="atLeast"/>
        </w:trPr>
        <w:tc>
          <w:tcPr>
            <w:tcW w:w="657" w:type="dxa"/>
            <w:vMerge w:val="continue"/>
            <w:tcBorders>
              <w:left w:val="single" w:color="auto" w:sz="4" w:space="0"/>
              <w:right w:val="single" w:color="auto" w:sz="4" w:space="0"/>
            </w:tcBorders>
            <w:vAlign w:val="center"/>
          </w:tcPr>
          <w:p>
            <w:pPr>
              <w:widowControl/>
              <w:jc w:val="left"/>
              <w:rPr>
                <w:rFonts w:hint="eastAsia" w:ascii="宋体" w:hAnsi="宋体" w:cs="宋体"/>
                <w:kern w:val="0"/>
                <w:szCs w:val="21"/>
              </w:rPr>
            </w:pPr>
          </w:p>
        </w:tc>
        <w:tc>
          <w:tcPr>
            <w:tcW w:w="1057" w:type="dxa"/>
            <w:vMerge w:val="continue"/>
            <w:tcBorders>
              <w:left w:val="single" w:color="auto" w:sz="4" w:space="0"/>
              <w:right w:val="single" w:color="auto" w:sz="4" w:space="0"/>
            </w:tcBorders>
            <w:vAlign w:val="center"/>
          </w:tcPr>
          <w:p>
            <w:pPr>
              <w:widowControl/>
              <w:jc w:val="left"/>
              <w:rPr>
                <w:rFonts w:hint="eastAsia" w:ascii="宋体" w:hAnsi="宋体" w:cs="宋体"/>
                <w:kern w:val="0"/>
                <w:szCs w:val="21"/>
              </w:rPr>
            </w:pPr>
          </w:p>
        </w:tc>
        <w:tc>
          <w:tcPr>
            <w:tcW w:w="1191" w:type="dxa"/>
            <w:vMerge w:val="continue"/>
            <w:tcBorders>
              <w:left w:val="single" w:color="auto" w:sz="4" w:space="0"/>
              <w:right w:val="single" w:color="auto" w:sz="4" w:space="0"/>
            </w:tcBorders>
            <w:vAlign w:val="center"/>
          </w:tcPr>
          <w:p>
            <w:pPr>
              <w:widowControl/>
              <w:jc w:val="center"/>
              <w:rPr>
                <w:rFonts w:hint="eastAsia" w:ascii="宋体" w:hAnsi="宋体" w:cs="宋体"/>
                <w:kern w:val="0"/>
                <w:szCs w:val="21"/>
              </w:rPr>
            </w:pPr>
          </w:p>
        </w:tc>
        <w:tc>
          <w:tcPr>
            <w:tcW w:w="5473" w:type="dxa"/>
            <w:tcBorders>
              <w:top w:val="single" w:color="auto" w:sz="4" w:space="0"/>
              <w:left w:val="single" w:color="auto" w:sz="4" w:space="0"/>
              <w:right w:val="single" w:color="auto" w:sz="4" w:space="0"/>
            </w:tcBorders>
            <w:vAlign w:val="center"/>
          </w:tcPr>
          <w:p>
            <w:pPr>
              <w:pStyle w:val="5"/>
              <w:ind w:firstLine="0"/>
              <w:rPr>
                <w:rFonts w:hint="eastAsia" w:hAnsi="宋体" w:cs="宋体"/>
                <w:kern w:val="0"/>
                <w:sz w:val="21"/>
                <w:szCs w:val="21"/>
              </w:rPr>
            </w:pPr>
            <w:r>
              <w:rPr>
                <w:rFonts w:hint="eastAsia" w:hAnsi="宋体" w:cs="宋体"/>
                <w:kern w:val="0"/>
                <w:sz w:val="21"/>
                <w:szCs w:val="21"/>
              </w:rPr>
              <w:t>综合考虑投标人围绕以下三项内容提供的团队管理方</w:t>
            </w:r>
          </w:p>
          <w:p>
            <w:pPr>
              <w:pStyle w:val="5"/>
              <w:ind w:firstLine="0"/>
              <w:rPr>
                <w:rFonts w:hint="eastAsia" w:hAnsi="宋体" w:cs="宋体"/>
                <w:kern w:val="0"/>
                <w:sz w:val="21"/>
                <w:szCs w:val="21"/>
              </w:rPr>
            </w:pPr>
            <w:r>
              <w:rPr>
                <w:rFonts w:hint="eastAsia" w:hAnsi="宋体" w:cs="宋体"/>
                <w:kern w:val="0"/>
                <w:sz w:val="21"/>
                <w:szCs w:val="21"/>
              </w:rPr>
              <w:t>案：</w:t>
            </w:r>
            <w:r>
              <w:rPr>
                <w:rFonts w:hint="eastAsia" w:hAnsi="宋体" w:cs="宋体"/>
                <w:b/>
                <w:bCs/>
                <w:kern w:val="0"/>
                <w:sz w:val="21"/>
                <w:szCs w:val="21"/>
              </w:rPr>
              <w:t>①组织架构；②工作流程；③管理措施</w:t>
            </w:r>
            <w:r>
              <w:rPr>
                <w:rFonts w:hint="eastAsia" w:hAnsi="宋体" w:cs="宋体"/>
                <w:kern w:val="0"/>
                <w:sz w:val="21"/>
                <w:szCs w:val="21"/>
              </w:rPr>
              <w:t>。每项内容</w:t>
            </w:r>
          </w:p>
          <w:p>
            <w:pPr>
              <w:pStyle w:val="5"/>
              <w:ind w:firstLine="0"/>
              <w:rPr>
                <w:rFonts w:hint="eastAsia" w:hAnsi="宋体" w:cs="宋体"/>
                <w:kern w:val="0"/>
                <w:sz w:val="21"/>
                <w:szCs w:val="21"/>
              </w:rPr>
            </w:pPr>
            <w:r>
              <w:rPr>
                <w:rFonts w:hint="eastAsia" w:hAnsi="宋体" w:cs="宋体"/>
                <w:kern w:val="0"/>
                <w:sz w:val="21"/>
                <w:szCs w:val="21"/>
              </w:rPr>
              <w:t>的评分标准如下：</w:t>
            </w:r>
          </w:p>
          <w:p>
            <w:pPr>
              <w:pStyle w:val="5"/>
              <w:ind w:firstLine="0"/>
              <w:rPr>
                <w:rFonts w:hint="eastAsia" w:hAnsi="宋体" w:cs="宋体"/>
                <w:kern w:val="0"/>
                <w:sz w:val="21"/>
                <w:szCs w:val="21"/>
              </w:rPr>
            </w:pPr>
            <w:r>
              <w:rPr>
                <w:rFonts w:hint="eastAsia" w:hAnsi="宋体" w:cs="宋体"/>
                <w:kern w:val="0"/>
                <w:sz w:val="21"/>
                <w:szCs w:val="21"/>
              </w:rPr>
              <w:t>（1）论述完整，不存在内容缺失，技术支撑充分，得4</w:t>
            </w:r>
          </w:p>
          <w:p>
            <w:pPr>
              <w:pStyle w:val="5"/>
              <w:ind w:firstLine="0"/>
              <w:rPr>
                <w:rFonts w:hint="eastAsia" w:hAnsi="宋体" w:cs="宋体"/>
                <w:kern w:val="0"/>
                <w:sz w:val="21"/>
                <w:szCs w:val="21"/>
              </w:rPr>
            </w:pPr>
            <w:r>
              <w:rPr>
                <w:rFonts w:hint="eastAsia" w:hAnsi="宋体" w:cs="宋体"/>
                <w:kern w:val="0"/>
                <w:sz w:val="21"/>
                <w:szCs w:val="21"/>
              </w:rPr>
              <w:t>分；</w:t>
            </w:r>
          </w:p>
          <w:p>
            <w:pPr>
              <w:pStyle w:val="5"/>
              <w:ind w:firstLine="0"/>
              <w:rPr>
                <w:rFonts w:hint="eastAsia" w:hAnsi="宋体" w:cs="宋体"/>
                <w:kern w:val="0"/>
                <w:sz w:val="21"/>
                <w:szCs w:val="21"/>
              </w:rPr>
            </w:pPr>
            <w:r>
              <w:rPr>
                <w:rFonts w:hint="eastAsia" w:hAnsi="宋体" w:cs="宋体"/>
                <w:kern w:val="0"/>
                <w:sz w:val="21"/>
                <w:szCs w:val="21"/>
              </w:rPr>
              <w:t>（2）论述存在缺失或技术支撑存在缺陷，得1分；</w:t>
            </w:r>
          </w:p>
          <w:p>
            <w:pPr>
              <w:pStyle w:val="5"/>
              <w:ind w:firstLine="0"/>
              <w:rPr>
                <w:rFonts w:hint="eastAsia" w:hAnsi="宋体" w:cs="宋体"/>
                <w:kern w:val="0"/>
                <w:sz w:val="21"/>
                <w:szCs w:val="21"/>
              </w:rPr>
            </w:pPr>
            <w:r>
              <w:rPr>
                <w:rFonts w:hint="eastAsia" w:hAnsi="宋体" w:cs="宋体"/>
                <w:kern w:val="0"/>
                <w:sz w:val="21"/>
                <w:szCs w:val="21"/>
              </w:rPr>
              <w:t>（3）未提供，得0分。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trPr>
        <w:tc>
          <w:tcPr>
            <w:tcW w:w="657" w:type="dxa"/>
            <w:tcBorders>
              <w:top w:val="single" w:color="auto" w:sz="4" w:space="0"/>
              <w:left w:val="single" w:color="auto" w:sz="4" w:space="0"/>
              <w:bottom w:val="single" w:color="auto" w:sz="4" w:space="0"/>
              <w:right w:val="single" w:color="auto" w:sz="4" w:space="0"/>
            </w:tcBorders>
            <w:vAlign w:val="center"/>
          </w:tcPr>
          <w:p>
            <w:pPr>
              <w:pStyle w:val="5"/>
              <w:ind w:firstLine="0"/>
              <w:jc w:val="center"/>
              <w:rPr>
                <w:rFonts w:hint="eastAsia" w:hAnsi="宋体" w:cs="宋体"/>
                <w:sz w:val="21"/>
                <w:szCs w:val="21"/>
              </w:rPr>
            </w:pPr>
            <w:r>
              <w:rPr>
                <w:rFonts w:hint="eastAsia" w:hAnsi="宋体" w:cs="宋体"/>
                <w:sz w:val="21"/>
                <w:szCs w:val="21"/>
              </w:rPr>
              <w:t>3</w:t>
            </w:r>
          </w:p>
        </w:tc>
        <w:tc>
          <w:tcPr>
            <w:tcW w:w="105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价格</w:t>
            </w:r>
          </w:p>
          <w:p>
            <w:pPr>
              <w:jc w:val="center"/>
              <w:rPr>
                <w:rFonts w:hint="eastAsia" w:ascii="宋体" w:hAnsi="宋体" w:cs="宋体"/>
                <w:szCs w:val="21"/>
              </w:rPr>
            </w:pPr>
            <w:r>
              <w:rPr>
                <w:rFonts w:hint="eastAsia" w:ascii="宋体" w:hAnsi="宋体" w:cs="宋体"/>
                <w:szCs w:val="21"/>
              </w:rPr>
              <w:t>（10分）</w:t>
            </w:r>
          </w:p>
        </w:tc>
        <w:tc>
          <w:tcPr>
            <w:tcW w:w="6664" w:type="dxa"/>
            <w:gridSpan w:val="2"/>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cs="宋体"/>
                <w:szCs w:val="21"/>
              </w:rPr>
            </w:pPr>
            <w:r>
              <w:rPr>
                <w:rFonts w:hint="eastAsia" w:ascii="宋体" w:hAnsi="宋体" w:cs="宋体"/>
                <w:szCs w:val="21"/>
              </w:rPr>
              <w:t>满足招标文件要求且投标价格最低的投标报价为评标基准价，其价格分为满分。其他投标人的价格分统一按照下列公式计算：</w:t>
            </w:r>
          </w:p>
          <w:p>
            <w:pPr>
              <w:jc w:val="left"/>
              <w:rPr>
                <w:rFonts w:hint="eastAsia" w:ascii="宋体" w:hAnsi="宋体" w:cs="宋体"/>
                <w:szCs w:val="21"/>
              </w:rPr>
            </w:pPr>
            <w:r>
              <w:rPr>
                <w:rFonts w:hint="eastAsia" w:ascii="宋体" w:hAnsi="宋体" w:cs="宋体"/>
                <w:szCs w:val="21"/>
              </w:rPr>
              <w:t>投标报价得分＝（评标基准价/投标报价）×10分。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8378" w:type="dxa"/>
            <w:gridSpan w:val="4"/>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cs="宋体"/>
                <w:szCs w:val="21"/>
              </w:rPr>
            </w:pPr>
            <w:r>
              <w:rPr>
                <w:rFonts w:hint="eastAsia" w:ascii="宋体" w:hAnsi="宋体" w:cs="宋体"/>
                <w:szCs w:val="21"/>
              </w:rPr>
              <w:t>合计：100分</w:t>
            </w:r>
          </w:p>
        </w:tc>
      </w:tr>
    </w:tbl>
    <w:p>
      <w:pPr>
        <w:rPr>
          <w:rFonts w:hint="eastAsia" w:ascii="宋体" w:hAnsi="宋体" w:cs="宋体"/>
          <w:b/>
          <w:sz w:val="36"/>
          <w:szCs w:val="36"/>
        </w:rPr>
      </w:pPr>
      <w:r>
        <w:rPr>
          <w:rFonts w:hint="eastAsia" w:ascii="宋体" w:hAnsi="宋体" w:cs="宋体"/>
          <w:b/>
          <w:sz w:val="36"/>
          <w:szCs w:val="36"/>
        </w:rPr>
        <w:br w:type="page"/>
      </w:r>
    </w:p>
    <w:p>
      <w:pPr>
        <w:spacing w:line="360" w:lineRule="auto"/>
        <w:jc w:val="center"/>
        <w:outlineLvl w:val="0"/>
        <w:rPr>
          <w:rFonts w:hint="eastAsia" w:ascii="宋体" w:hAnsi="宋体" w:cs="宋体"/>
          <w:sz w:val="24"/>
        </w:rPr>
      </w:pPr>
      <w:r>
        <w:rPr>
          <w:rFonts w:hint="eastAsia" w:ascii="宋体" w:hAnsi="宋体" w:cs="宋体"/>
          <w:b/>
          <w:sz w:val="36"/>
          <w:szCs w:val="36"/>
        </w:rPr>
        <w:t>第五章  采购需求</w:t>
      </w:r>
      <w:bookmarkEnd w:id="856"/>
      <w:bookmarkEnd w:id="857"/>
    </w:p>
    <w:p>
      <w:pPr>
        <w:pStyle w:val="3"/>
        <w:numPr>
          <w:ilvl w:val="0"/>
          <w:numId w:val="15"/>
        </w:numPr>
        <w:jc w:val="left"/>
        <w:rPr>
          <w:rFonts w:hint="eastAsia" w:hAnsi="宋体"/>
          <w:sz w:val="24"/>
          <w:szCs w:val="24"/>
        </w:rPr>
      </w:pPr>
      <w:bookmarkStart w:id="859" w:name="_Toc209958497"/>
      <w:bookmarkStart w:id="860" w:name="_Toc218620571"/>
      <w:r>
        <w:rPr>
          <w:rFonts w:hint="eastAsia" w:hAnsi="宋体"/>
          <w:sz w:val="24"/>
          <w:szCs w:val="24"/>
        </w:rPr>
        <w:t>采购标的</w:t>
      </w:r>
      <w:bookmarkEnd w:id="859"/>
      <w:bookmarkEnd w:id="860"/>
    </w:p>
    <w:p>
      <w:pPr>
        <w:spacing w:line="360" w:lineRule="auto"/>
        <w:contextualSpacing/>
        <w:rPr>
          <w:rFonts w:hint="eastAsia" w:ascii="宋体" w:hAnsi="宋体" w:cs="宋体"/>
          <w:bCs/>
          <w:sz w:val="24"/>
        </w:rPr>
      </w:pPr>
      <w:r>
        <w:rPr>
          <w:rFonts w:hint="eastAsia" w:ascii="宋体" w:hAnsi="宋体" w:cs="宋体"/>
          <w:bCs/>
          <w:sz w:val="24"/>
        </w:rPr>
        <w:t>1.采购标的</w:t>
      </w:r>
    </w:p>
    <w:p>
      <w:pPr>
        <w:spacing w:line="360" w:lineRule="auto"/>
        <w:ind w:firstLine="480" w:firstLineChars="200"/>
        <w:rPr>
          <w:rFonts w:hint="eastAsia" w:ascii="宋体" w:hAnsi="宋体" w:cs="宋体"/>
          <w:sz w:val="24"/>
        </w:rPr>
      </w:pPr>
      <w:r>
        <w:rPr>
          <w:rFonts w:hint="eastAsia" w:ascii="宋体" w:hAnsi="宋体" w:cs="宋体"/>
          <w:sz w:val="24"/>
        </w:rPr>
        <w:t>该项目共分2个包，要求投标人需对整包进行投标，中标后不得分包</w:t>
      </w:r>
    </w:p>
    <w:tbl>
      <w:tblPr>
        <w:tblStyle w:val="52"/>
        <w:tblW w:w="88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9"/>
        <w:gridCol w:w="1956"/>
        <w:gridCol w:w="2111"/>
        <w:gridCol w:w="493"/>
        <w:gridCol w:w="1563"/>
        <w:gridCol w:w="1303"/>
        <w:gridCol w:w="7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10" w:hRule="atLeast"/>
        </w:trPr>
        <w:tc>
          <w:tcPr>
            <w:tcW w:w="649" w:type="dxa"/>
            <w:vAlign w:val="center"/>
          </w:tcPr>
          <w:p>
            <w:pPr>
              <w:autoSpaceDE w:val="0"/>
              <w:autoSpaceDN w:val="0"/>
              <w:spacing w:before="86" w:line="211" w:lineRule="auto"/>
              <w:ind w:firstLine="1"/>
              <w:jc w:val="center"/>
              <w:rPr>
                <w:rFonts w:hint="eastAsia" w:ascii="宋体" w:hAnsi="宋体" w:cs="宋体"/>
                <w:sz w:val="24"/>
              </w:rPr>
            </w:pPr>
            <w:bookmarkStart w:id="861" w:name="OLE_LINK136"/>
            <w:bookmarkStart w:id="862" w:name="OLE_LINK137"/>
            <w:r>
              <w:rPr>
                <w:rFonts w:hint="eastAsia" w:ascii="宋体" w:hAnsi="宋体" w:cs="宋体"/>
                <w:sz w:val="24"/>
              </w:rPr>
              <w:t>包号</w:t>
            </w:r>
          </w:p>
        </w:tc>
        <w:tc>
          <w:tcPr>
            <w:tcW w:w="1956" w:type="dxa"/>
            <w:vAlign w:val="center"/>
          </w:tcPr>
          <w:p>
            <w:pPr>
              <w:autoSpaceDE w:val="0"/>
              <w:autoSpaceDN w:val="0"/>
              <w:spacing w:before="85" w:line="208" w:lineRule="auto"/>
              <w:ind w:firstLine="128"/>
              <w:jc w:val="center"/>
              <w:rPr>
                <w:rFonts w:hint="eastAsia" w:ascii="宋体" w:hAnsi="宋体" w:cs="宋体"/>
                <w:sz w:val="24"/>
              </w:rPr>
            </w:pPr>
            <w:r>
              <w:rPr>
                <w:rFonts w:hint="eastAsia" w:ascii="宋体" w:hAnsi="宋体" w:cs="宋体"/>
                <w:sz w:val="24"/>
              </w:rPr>
              <w:t>项目名称</w:t>
            </w:r>
          </w:p>
        </w:tc>
        <w:tc>
          <w:tcPr>
            <w:tcW w:w="2111" w:type="dxa"/>
            <w:vAlign w:val="center"/>
          </w:tcPr>
          <w:p>
            <w:pPr>
              <w:autoSpaceDE w:val="0"/>
              <w:autoSpaceDN w:val="0"/>
              <w:spacing w:before="86" w:line="207" w:lineRule="auto"/>
              <w:jc w:val="center"/>
              <w:rPr>
                <w:rFonts w:hint="eastAsia" w:ascii="宋体" w:hAnsi="宋体" w:cs="宋体"/>
                <w:spacing w:val="6"/>
                <w:sz w:val="24"/>
              </w:rPr>
            </w:pPr>
            <w:r>
              <w:rPr>
                <w:rFonts w:hint="eastAsia" w:ascii="宋体" w:hAnsi="宋体" w:cs="宋体"/>
                <w:spacing w:val="6"/>
                <w:sz w:val="24"/>
              </w:rPr>
              <w:t>标的名称</w:t>
            </w:r>
          </w:p>
        </w:tc>
        <w:tc>
          <w:tcPr>
            <w:tcW w:w="493" w:type="dxa"/>
            <w:vAlign w:val="center"/>
          </w:tcPr>
          <w:p>
            <w:pPr>
              <w:autoSpaceDE w:val="0"/>
              <w:autoSpaceDN w:val="0"/>
              <w:spacing w:before="86" w:line="207" w:lineRule="auto"/>
              <w:jc w:val="center"/>
              <w:rPr>
                <w:rFonts w:hint="eastAsia" w:ascii="宋体" w:hAnsi="宋体" w:cs="宋体"/>
                <w:sz w:val="24"/>
              </w:rPr>
            </w:pPr>
            <w:r>
              <w:rPr>
                <w:rFonts w:hint="eastAsia" w:ascii="宋体" w:hAnsi="宋体" w:cs="宋体"/>
                <w:spacing w:val="6"/>
                <w:sz w:val="24"/>
              </w:rPr>
              <w:t>数量</w:t>
            </w:r>
          </w:p>
        </w:tc>
        <w:tc>
          <w:tcPr>
            <w:tcW w:w="1563" w:type="dxa"/>
            <w:vAlign w:val="center"/>
          </w:tcPr>
          <w:p>
            <w:pPr>
              <w:autoSpaceDE w:val="0"/>
              <w:autoSpaceDN w:val="0"/>
              <w:spacing w:before="86" w:line="207" w:lineRule="auto"/>
              <w:jc w:val="center"/>
              <w:rPr>
                <w:rFonts w:hint="eastAsia" w:ascii="宋体" w:hAnsi="宋体" w:cs="宋体"/>
                <w:sz w:val="24"/>
              </w:rPr>
            </w:pPr>
            <w:r>
              <w:rPr>
                <w:rFonts w:hint="eastAsia" w:ascii="宋体" w:hAnsi="宋体" w:cs="宋体"/>
                <w:spacing w:val="9"/>
                <w:sz w:val="24"/>
              </w:rPr>
              <w:t>简要技术需求或服务要求</w:t>
            </w:r>
          </w:p>
        </w:tc>
        <w:tc>
          <w:tcPr>
            <w:tcW w:w="1303" w:type="dxa"/>
            <w:vAlign w:val="center"/>
          </w:tcPr>
          <w:p>
            <w:pPr>
              <w:autoSpaceDE w:val="0"/>
              <w:autoSpaceDN w:val="0"/>
              <w:spacing w:before="40" w:line="203" w:lineRule="auto"/>
              <w:ind w:right="-5"/>
              <w:rPr>
                <w:rFonts w:hint="eastAsia" w:ascii="宋体" w:hAnsi="宋体" w:cs="宋体"/>
                <w:sz w:val="24"/>
              </w:rPr>
            </w:pPr>
            <w:r>
              <w:rPr>
                <w:rFonts w:hint="eastAsia" w:ascii="宋体" w:hAnsi="宋体" w:cs="宋体"/>
                <w:spacing w:val="1"/>
                <w:sz w:val="24"/>
              </w:rPr>
              <w:t>采购包预算金额</w:t>
            </w:r>
            <w:r>
              <w:rPr>
                <w:rFonts w:hint="eastAsia" w:ascii="宋体" w:hAnsi="宋体" w:cs="宋体"/>
                <w:spacing w:val="11"/>
                <w:sz w:val="24"/>
              </w:rPr>
              <w:t>（万元）</w:t>
            </w:r>
          </w:p>
        </w:tc>
        <w:tc>
          <w:tcPr>
            <w:tcW w:w="781" w:type="dxa"/>
            <w:vAlign w:val="center"/>
          </w:tcPr>
          <w:p>
            <w:pPr>
              <w:autoSpaceDE w:val="0"/>
              <w:autoSpaceDN w:val="0"/>
              <w:spacing w:before="86" w:line="207" w:lineRule="auto"/>
              <w:jc w:val="center"/>
              <w:rPr>
                <w:rFonts w:hint="eastAsia" w:ascii="宋体" w:hAnsi="宋体" w:cs="宋体"/>
                <w:spacing w:val="9"/>
                <w:sz w:val="24"/>
              </w:rPr>
            </w:pPr>
            <w:r>
              <w:rPr>
                <w:rFonts w:hint="eastAsia" w:ascii="宋体" w:hAnsi="宋体" w:cs="宋体"/>
                <w:spacing w:val="9"/>
                <w:sz w:val="24"/>
              </w:rPr>
              <w:t>是否接受进口产品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7" w:hRule="atLeast"/>
        </w:trPr>
        <w:tc>
          <w:tcPr>
            <w:tcW w:w="649" w:type="dxa"/>
            <w:vAlign w:val="center"/>
          </w:tcPr>
          <w:p>
            <w:pPr>
              <w:autoSpaceDE w:val="0"/>
              <w:autoSpaceDN w:val="0"/>
              <w:spacing w:before="86" w:line="211" w:lineRule="auto"/>
              <w:ind w:firstLine="1"/>
              <w:jc w:val="center"/>
              <w:rPr>
                <w:rFonts w:hint="eastAsia" w:ascii="宋体" w:hAnsi="宋体" w:cs="宋体"/>
                <w:spacing w:val="7"/>
                <w:sz w:val="24"/>
              </w:rPr>
            </w:pPr>
            <w:r>
              <w:rPr>
                <w:rFonts w:ascii="宋体" w:hAnsi="宋体" w:cs="宋体"/>
                <w:spacing w:val="7"/>
                <w:sz w:val="24"/>
              </w:rPr>
              <w:t>1</w:t>
            </w:r>
          </w:p>
        </w:tc>
        <w:tc>
          <w:tcPr>
            <w:tcW w:w="1956" w:type="dxa"/>
            <w:vMerge w:val="restart"/>
            <w:vAlign w:val="center"/>
          </w:tcPr>
          <w:p>
            <w:pPr>
              <w:autoSpaceDE w:val="0"/>
              <w:autoSpaceDN w:val="0"/>
              <w:spacing w:before="86" w:line="211" w:lineRule="auto"/>
              <w:ind w:firstLine="1"/>
              <w:jc w:val="center"/>
              <w:rPr>
                <w:rFonts w:hint="eastAsia" w:ascii="宋体" w:hAnsi="宋体" w:cs="宋体"/>
                <w:spacing w:val="7"/>
                <w:sz w:val="24"/>
              </w:rPr>
            </w:pPr>
            <w:r>
              <w:rPr>
                <w:rFonts w:hint="eastAsia" w:ascii="宋体" w:hAnsi="宋体" w:cs="宋体"/>
                <w:spacing w:val="7"/>
                <w:sz w:val="24"/>
              </w:rPr>
              <w:t>中央补助乡村旅游品牌培育与消费促进项目</w:t>
            </w:r>
          </w:p>
        </w:tc>
        <w:tc>
          <w:tcPr>
            <w:tcW w:w="2111" w:type="dxa"/>
            <w:vAlign w:val="center"/>
          </w:tcPr>
          <w:p>
            <w:pPr>
              <w:pStyle w:val="260"/>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乡村旅游消费促进</w:t>
            </w:r>
          </w:p>
        </w:tc>
        <w:tc>
          <w:tcPr>
            <w:tcW w:w="493" w:type="dxa"/>
            <w:vAlign w:val="center"/>
          </w:tcPr>
          <w:p>
            <w:pPr>
              <w:pStyle w:val="260"/>
              <w:jc w:val="center"/>
              <w:rPr>
                <w:rFonts w:hint="eastAsia" w:ascii="宋体" w:hAnsi="宋体" w:eastAsia="宋体" w:cs="宋体"/>
                <w:color w:val="auto"/>
                <w:sz w:val="24"/>
                <w:szCs w:val="24"/>
                <w:lang w:eastAsia="zh-CN"/>
              </w:rPr>
            </w:pPr>
            <w:r>
              <w:rPr>
                <w:rFonts w:hint="eastAsia" w:ascii="宋体" w:hAnsi="宋体" w:eastAsia="宋体" w:cs="宋体"/>
                <w:color w:val="auto"/>
                <w:sz w:val="24"/>
                <w:lang w:eastAsia="zh-CN"/>
              </w:rPr>
              <w:t>1</w:t>
            </w:r>
          </w:p>
        </w:tc>
        <w:tc>
          <w:tcPr>
            <w:tcW w:w="1563" w:type="dxa"/>
            <w:vAlign w:val="center"/>
          </w:tcPr>
          <w:p>
            <w:pPr>
              <w:pStyle w:val="260"/>
              <w:jc w:val="center"/>
              <w:rPr>
                <w:rFonts w:hint="eastAsia" w:ascii="宋体" w:hAnsi="宋体" w:eastAsia="宋体" w:cs="宋体"/>
                <w:color w:val="auto"/>
                <w:sz w:val="24"/>
                <w:szCs w:val="24"/>
                <w:lang w:eastAsia="zh-CN"/>
              </w:rPr>
            </w:pPr>
            <w:r>
              <w:rPr>
                <w:rFonts w:hint="eastAsia" w:ascii="宋体" w:hAnsi="宋体" w:eastAsia="宋体" w:cs="宋体"/>
                <w:color w:val="auto"/>
                <w:sz w:val="24"/>
                <w:lang w:eastAsia="zh-CN"/>
              </w:rPr>
              <w:t>详见招标文件第五章 采购需求</w:t>
            </w:r>
          </w:p>
        </w:tc>
        <w:tc>
          <w:tcPr>
            <w:tcW w:w="1303" w:type="dxa"/>
            <w:vAlign w:val="center"/>
          </w:tcPr>
          <w:p>
            <w:pPr>
              <w:pStyle w:val="260"/>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150</w:t>
            </w:r>
          </w:p>
        </w:tc>
        <w:tc>
          <w:tcPr>
            <w:tcW w:w="781" w:type="dxa"/>
            <w:vAlign w:val="center"/>
          </w:tcPr>
          <w:p>
            <w:pPr>
              <w:autoSpaceDE w:val="0"/>
              <w:autoSpaceDN w:val="0"/>
              <w:spacing w:before="86" w:line="211" w:lineRule="auto"/>
              <w:jc w:val="center"/>
              <w:rPr>
                <w:rFonts w:hint="eastAsia" w:ascii="宋体" w:hAnsi="宋体" w:cs="宋体"/>
                <w:spacing w:val="7"/>
                <w:sz w:val="24"/>
              </w:rPr>
            </w:pPr>
            <w:r>
              <w:rPr>
                <w:rFonts w:hint="eastAsia" w:ascii="宋体" w:hAnsi="宋体" w:cs="宋体"/>
                <w:spacing w:val="7"/>
                <w:sz w:val="24"/>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7" w:hRule="atLeast"/>
        </w:trPr>
        <w:tc>
          <w:tcPr>
            <w:tcW w:w="649" w:type="dxa"/>
            <w:vAlign w:val="center"/>
          </w:tcPr>
          <w:p>
            <w:pPr>
              <w:autoSpaceDE w:val="0"/>
              <w:autoSpaceDN w:val="0"/>
              <w:spacing w:before="86" w:line="211" w:lineRule="auto"/>
              <w:ind w:firstLine="1"/>
              <w:jc w:val="center"/>
              <w:rPr>
                <w:rFonts w:hint="eastAsia" w:ascii="宋体" w:hAnsi="宋体" w:cs="宋体"/>
                <w:spacing w:val="7"/>
                <w:sz w:val="24"/>
              </w:rPr>
            </w:pPr>
            <w:r>
              <w:rPr>
                <w:rFonts w:hint="eastAsia" w:ascii="宋体" w:hAnsi="宋体" w:cs="宋体"/>
                <w:spacing w:val="7"/>
                <w:sz w:val="24"/>
              </w:rPr>
              <w:t>2</w:t>
            </w:r>
          </w:p>
        </w:tc>
        <w:tc>
          <w:tcPr>
            <w:tcW w:w="1956" w:type="dxa"/>
            <w:vMerge w:val="continue"/>
            <w:vAlign w:val="center"/>
          </w:tcPr>
          <w:p>
            <w:pPr>
              <w:autoSpaceDE w:val="0"/>
              <w:autoSpaceDN w:val="0"/>
              <w:spacing w:before="86" w:line="211" w:lineRule="auto"/>
              <w:ind w:firstLine="1"/>
              <w:jc w:val="center"/>
              <w:rPr>
                <w:rFonts w:hint="eastAsia" w:ascii="宋体" w:hAnsi="宋体" w:cs="宋体"/>
                <w:spacing w:val="7"/>
                <w:sz w:val="24"/>
              </w:rPr>
            </w:pPr>
          </w:p>
        </w:tc>
        <w:tc>
          <w:tcPr>
            <w:tcW w:w="2111" w:type="dxa"/>
            <w:vAlign w:val="center"/>
          </w:tcPr>
          <w:p>
            <w:pPr>
              <w:pStyle w:val="260"/>
              <w:jc w:val="center"/>
              <w:rPr>
                <w:rFonts w:ascii="宋体" w:hAnsi="宋体" w:cs="宋体"/>
                <w:spacing w:val="7"/>
                <w:sz w:val="24"/>
                <w:lang w:eastAsia="zh-CN"/>
              </w:rPr>
            </w:pPr>
            <w:r>
              <w:rPr>
                <w:rFonts w:hint="eastAsia" w:ascii="宋体" w:hAnsi="宋体" w:cs="宋体"/>
                <w:spacing w:val="7"/>
                <w:sz w:val="24"/>
                <w:lang w:eastAsia="zh-CN"/>
              </w:rPr>
              <w:t>乡村旅游品牌设计及推广</w:t>
            </w:r>
          </w:p>
        </w:tc>
        <w:tc>
          <w:tcPr>
            <w:tcW w:w="493" w:type="dxa"/>
            <w:vAlign w:val="center"/>
          </w:tcPr>
          <w:p>
            <w:pPr>
              <w:pStyle w:val="260"/>
              <w:jc w:val="center"/>
              <w:rPr>
                <w:rFonts w:hint="eastAsia" w:ascii="宋体" w:hAnsi="宋体" w:eastAsia="宋体" w:cs="宋体"/>
                <w:color w:val="auto"/>
                <w:sz w:val="24"/>
                <w:lang w:eastAsia="zh-CN"/>
              </w:rPr>
            </w:pPr>
            <w:r>
              <w:rPr>
                <w:rFonts w:hint="eastAsia" w:ascii="宋体" w:hAnsi="宋体" w:eastAsia="宋体" w:cs="宋体"/>
                <w:color w:val="auto"/>
                <w:sz w:val="24"/>
                <w:lang w:eastAsia="zh-CN"/>
              </w:rPr>
              <w:t>1</w:t>
            </w:r>
          </w:p>
        </w:tc>
        <w:tc>
          <w:tcPr>
            <w:tcW w:w="1563" w:type="dxa"/>
            <w:vAlign w:val="center"/>
          </w:tcPr>
          <w:p>
            <w:pPr>
              <w:pStyle w:val="260"/>
              <w:jc w:val="center"/>
              <w:rPr>
                <w:rFonts w:hint="eastAsia" w:ascii="宋体" w:hAnsi="宋体" w:eastAsia="宋体" w:cs="宋体"/>
                <w:color w:val="auto"/>
                <w:sz w:val="24"/>
                <w:lang w:eastAsia="zh-CN"/>
              </w:rPr>
            </w:pPr>
            <w:r>
              <w:rPr>
                <w:rFonts w:hint="eastAsia" w:ascii="宋体" w:hAnsi="宋体" w:eastAsia="宋体" w:cs="宋体"/>
                <w:color w:val="auto"/>
                <w:sz w:val="24"/>
                <w:lang w:eastAsia="zh-CN"/>
              </w:rPr>
              <w:t>详见招标文件第五章 采购需求</w:t>
            </w:r>
          </w:p>
        </w:tc>
        <w:tc>
          <w:tcPr>
            <w:tcW w:w="1303" w:type="dxa"/>
            <w:vAlign w:val="center"/>
          </w:tcPr>
          <w:p>
            <w:pPr>
              <w:pStyle w:val="260"/>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47</w:t>
            </w:r>
          </w:p>
        </w:tc>
        <w:tc>
          <w:tcPr>
            <w:tcW w:w="781" w:type="dxa"/>
            <w:vAlign w:val="center"/>
          </w:tcPr>
          <w:p>
            <w:pPr>
              <w:autoSpaceDE w:val="0"/>
              <w:autoSpaceDN w:val="0"/>
              <w:spacing w:before="86" w:line="211" w:lineRule="auto"/>
              <w:jc w:val="center"/>
              <w:rPr>
                <w:rFonts w:hint="eastAsia" w:ascii="宋体" w:hAnsi="宋体" w:cs="宋体"/>
                <w:spacing w:val="7"/>
                <w:sz w:val="24"/>
              </w:rPr>
            </w:pPr>
            <w:r>
              <w:rPr>
                <w:rFonts w:hint="eastAsia" w:ascii="宋体" w:hAnsi="宋体" w:cs="宋体"/>
                <w:spacing w:val="7"/>
                <w:sz w:val="24"/>
              </w:rPr>
              <w:t>否</w:t>
            </w:r>
          </w:p>
        </w:tc>
      </w:tr>
    </w:tbl>
    <w:p>
      <w:pPr>
        <w:spacing w:line="360" w:lineRule="auto"/>
        <w:contextualSpacing/>
        <w:rPr>
          <w:rFonts w:hint="eastAsia" w:ascii="宋体" w:hAnsi="宋体" w:cs="宋体"/>
          <w:bCs/>
          <w:sz w:val="24"/>
        </w:rPr>
      </w:pPr>
      <w:r>
        <w:rPr>
          <w:rFonts w:hint="eastAsia" w:ascii="宋体" w:hAnsi="宋体" w:cs="宋体"/>
          <w:b/>
          <w:bCs/>
          <w:sz w:val="24"/>
        </w:rPr>
        <w:t>注：如满足中小企业政策要求，则投标人应在中小企业声明函中对“所有标的”即“标的名称”项下的所有产品进行声明，对产品的制造商信息进行填报。</w:t>
      </w:r>
    </w:p>
    <w:bookmarkEnd w:id="861"/>
    <w:bookmarkEnd w:id="862"/>
    <w:p>
      <w:pPr>
        <w:spacing w:line="360" w:lineRule="auto"/>
        <w:contextualSpacing/>
        <w:rPr>
          <w:rFonts w:hint="eastAsia" w:ascii="宋体" w:hAnsi="宋体" w:cs="宋体"/>
          <w:bCs/>
          <w:sz w:val="24"/>
        </w:rPr>
      </w:pPr>
      <w:r>
        <w:rPr>
          <w:rFonts w:hint="eastAsia" w:ascii="宋体" w:hAnsi="宋体" w:cs="宋体"/>
          <w:bCs/>
          <w:sz w:val="24"/>
        </w:rPr>
        <w:t>2.项目背景/项目概述</w:t>
      </w:r>
    </w:p>
    <w:p>
      <w:pPr>
        <w:snapToGrid w:val="0"/>
        <w:spacing w:line="360" w:lineRule="auto"/>
        <w:ind w:firstLine="480" w:firstLineChars="200"/>
        <w:rPr>
          <w:rFonts w:hint="eastAsia" w:ascii="宋体" w:hAnsi="宋体" w:cs="宋体"/>
          <w:sz w:val="24"/>
        </w:rPr>
      </w:pPr>
      <w:r>
        <w:rPr>
          <w:rFonts w:ascii="宋体" w:hAnsi="宋体" w:cs="宋体"/>
          <w:sz w:val="24"/>
        </w:rPr>
        <w:t>目前，</w:t>
      </w:r>
      <w:r>
        <w:rPr>
          <w:rFonts w:hint="eastAsia" w:ascii="宋体" w:hAnsi="宋体" w:cs="宋体"/>
          <w:sz w:val="24"/>
        </w:rPr>
        <w:t>北京乡村旅游存在资源分散化、品牌碎片化、营销同质化等共性问题</w:t>
      </w:r>
      <w:r>
        <w:rPr>
          <w:rFonts w:ascii="宋体" w:hAnsi="宋体" w:cs="宋体"/>
          <w:sz w:val="24"/>
        </w:rPr>
        <w:t>，</w:t>
      </w:r>
      <w:r>
        <w:rPr>
          <w:rFonts w:hint="eastAsia" w:ascii="宋体" w:hAnsi="宋体" w:cs="宋体"/>
          <w:sz w:val="24"/>
        </w:rPr>
        <w:t>各区乡村旅游活动各自为战，缺乏统一品牌体系和数字化营销手段，难以形成规模效应。亟须通过数字化平台整合全域资源，构建具有北京特色的乡村旅游品牌体系，</w:t>
      </w:r>
      <w:r>
        <w:rPr>
          <w:rFonts w:ascii="宋体" w:hAnsi="宋体" w:cs="宋体"/>
          <w:sz w:val="24"/>
        </w:rPr>
        <w:t>并设计</w:t>
      </w:r>
      <w:r>
        <w:rPr>
          <w:rFonts w:hint="eastAsia" w:ascii="宋体" w:hAnsi="宋体" w:cs="宋体"/>
          <w:sz w:val="24"/>
        </w:rPr>
        <w:t>制作</w:t>
      </w:r>
      <w:r>
        <w:rPr>
          <w:rFonts w:ascii="宋体" w:hAnsi="宋体" w:cs="宋体"/>
          <w:sz w:val="24"/>
        </w:rPr>
        <w:t>乡村旅游的统一视觉体系，</w:t>
      </w:r>
      <w:r>
        <w:rPr>
          <w:rFonts w:hint="eastAsia" w:ascii="宋体" w:hAnsi="宋体" w:cs="宋体"/>
          <w:sz w:val="24"/>
        </w:rPr>
        <w:t>推动乡村旅游从“单点活动”向“品牌生态”升级，</w:t>
      </w:r>
      <w:r>
        <w:rPr>
          <w:rFonts w:ascii="宋体" w:hAnsi="宋体" w:cs="宋体"/>
          <w:sz w:val="24"/>
        </w:rPr>
        <w:t>扩大乡村旅游宣传力度，引导游客在京郊“留得下、玩得好、能消费、愿再来”，</w:t>
      </w:r>
      <w:r>
        <w:rPr>
          <w:rFonts w:hint="eastAsia" w:ascii="宋体" w:hAnsi="宋体" w:cs="宋体"/>
          <w:sz w:val="24"/>
        </w:rPr>
        <w:t>打造京郊度假生活新体验。</w:t>
      </w:r>
    </w:p>
    <w:p>
      <w:pPr>
        <w:snapToGrid w:val="0"/>
        <w:spacing w:line="360" w:lineRule="auto"/>
        <w:ind w:firstLine="480" w:firstLineChars="200"/>
        <w:rPr>
          <w:rFonts w:hint="eastAsia" w:ascii="宋体" w:hAnsi="宋体" w:cs="宋体"/>
          <w:sz w:val="24"/>
        </w:rPr>
      </w:pPr>
    </w:p>
    <w:p>
      <w:pPr>
        <w:pStyle w:val="3"/>
        <w:numPr>
          <w:ilvl w:val="0"/>
          <w:numId w:val="15"/>
        </w:numPr>
        <w:jc w:val="left"/>
        <w:rPr>
          <w:rFonts w:hint="eastAsia" w:hAnsi="宋体"/>
          <w:sz w:val="24"/>
          <w:szCs w:val="24"/>
        </w:rPr>
      </w:pPr>
      <w:r>
        <w:rPr>
          <w:rFonts w:hint="eastAsia" w:hAnsi="宋体"/>
          <w:sz w:val="24"/>
          <w:szCs w:val="24"/>
        </w:rPr>
        <w:t>商务要求</w:t>
      </w:r>
    </w:p>
    <w:p>
      <w:pPr>
        <w:spacing w:line="360" w:lineRule="auto"/>
        <w:contextualSpacing/>
        <w:rPr>
          <w:rFonts w:hint="eastAsia" w:ascii="宋体" w:hAnsi="宋体" w:cs="宋体"/>
          <w:bCs/>
          <w:sz w:val="24"/>
        </w:rPr>
      </w:pPr>
      <w:r>
        <w:rPr>
          <w:rFonts w:hint="eastAsia" w:ascii="宋体" w:hAnsi="宋体" w:cs="宋体"/>
          <w:bCs/>
          <w:sz w:val="24"/>
        </w:rPr>
        <w:t>1.交付（实施）的时间（期限）和地点（范围）</w:t>
      </w:r>
    </w:p>
    <w:p>
      <w:pPr>
        <w:spacing w:line="360" w:lineRule="auto"/>
        <w:ind w:firstLine="480" w:firstLineChars="200"/>
        <w:contextualSpacing/>
        <w:rPr>
          <w:sz w:val="24"/>
        </w:rPr>
      </w:pPr>
      <w:r>
        <w:rPr>
          <w:rFonts w:ascii="宋体" w:hAnsi="宋体" w:cs="宋体"/>
          <w:sz w:val="24"/>
        </w:rPr>
        <w:t>自合同签订之日起至 202</w:t>
      </w:r>
      <w:r>
        <w:rPr>
          <w:rFonts w:hint="eastAsia" w:ascii="宋体" w:hAnsi="宋体" w:cs="宋体"/>
          <w:sz w:val="24"/>
          <w:lang w:val="en-US" w:eastAsia="zh-CN"/>
        </w:rPr>
        <w:t>6</w:t>
      </w:r>
      <w:r>
        <w:rPr>
          <w:rFonts w:ascii="宋体" w:hAnsi="宋体" w:cs="宋体"/>
          <w:sz w:val="24"/>
        </w:rPr>
        <w:t xml:space="preserve"> 年 1</w:t>
      </w:r>
      <w:r>
        <w:rPr>
          <w:rFonts w:hint="eastAsia" w:ascii="宋体" w:hAnsi="宋体" w:cs="宋体"/>
          <w:sz w:val="24"/>
        </w:rPr>
        <w:t>1</w:t>
      </w:r>
      <w:r>
        <w:rPr>
          <w:rFonts w:ascii="宋体" w:hAnsi="宋体" w:cs="宋体"/>
          <w:sz w:val="24"/>
        </w:rPr>
        <w:t xml:space="preserve"> 月</w:t>
      </w:r>
      <w:r>
        <w:rPr>
          <w:rFonts w:hint="eastAsia" w:ascii="宋体" w:hAnsi="宋体" w:cs="宋体"/>
          <w:sz w:val="24"/>
        </w:rPr>
        <w:t>30日</w:t>
      </w:r>
      <w:r>
        <w:rPr>
          <w:rFonts w:ascii="宋体" w:hAnsi="宋体" w:cs="宋体"/>
          <w:sz w:val="24"/>
        </w:rPr>
        <w:t>。 北京市。</w:t>
      </w:r>
    </w:p>
    <w:p>
      <w:pPr>
        <w:spacing w:line="360" w:lineRule="auto"/>
        <w:contextualSpacing/>
        <w:rPr>
          <w:rFonts w:hint="eastAsia" w:ascii="宋体" w:hAnsi="宋体" w:cs="宋体"/>
          <w:bCs/>
          <w:sz w:val="24"/>
        </w:rPr>
      </w:pPr>
      <w:r>
        <w:rPr>
          <w:rFonts w:hint="eastAsia" w:ascii="宋体" w:hAnsi="宋体" w:cs="宋体"/>
          <w:bCs/>
          <w:sz w:val="24"/>
        </w:rPr>
        <w:t>2. 付款条件（进度和方式）</w:t>
      </w:r>
    </w:p>
    <w:p>
      <w:pPr>
        <w:adjustRightInd w:val="0"/>
        <w:snapToGrid w:val="0"/>
        <w:spacing w:line="360" w:lineRule="auto"/>
        <w:ind w:firstLine="480"/>
        <w:rPr>
          <w:rFonts w:hint="eastAsia" w:ascii="宋体" w:hAnsi="宋体" w:cs="宋体"/>
          <w:sz w:val="24"/>
        </w:rPr>
      </w:pPr>
      <w:r>
        <w:rPr>
          <w:rFonts w:hint="eastAsia" w:ascii="宋体" w:hAnsi="宋体" w:cs="宋体"/>
          <w:sz w:val="24"/>
        </w:rPr>
        <w:t>1包：</w:t>
      </w:r>
    </w:p>
    <w:p>
      <w:pPr>
        <w:adjustRightInd w:val="0"/>
        <w:snapToGrid w:val="0"/>
        <w:spacing w:line="360" w:lineRule="auto"/>
        <w:ind w:firstLine="480"/>
        <w:rPr>
          <w:rFonts w:hint="eastAsia" w:ascii="宋体" w:hAnsi="宋体" w:cs="宋体"/>
          <w:sz w:val="24"/>
        </w:rPr>
      </w:pPr>
      <w:r>
        <w:rPr>
          <w:rFonts w:hint="eastAsia" w:ascii="宋体" w:hAnsi="宋体" w:cs="宋体"/>
          <w:sz w:val="24"/>
        </w:rPr>
        <w:t>2.1 合同签订后</w:t>
      </w:r>
      <w:r>
        <w:rPr>
          <w:rFonts w:hint="eastAsia" w:ascii="宋体" w:hAnsi="宋体" w:cs="宋体"/>
          <w:sz w:val="24"/>
          <w:u w:val="single"/>
        </w:rPr>
        <w:t xml:space="preserve"> 7 </w:t>
      </w:r>
      <w:r>
        <w:rPr>
          <w:rFonts w:hint="eastAsia" w:ascii="宋体" w:hAnsi="宋体" w:cs="宋体"/>
          <w:sz w:val="24"/>
        </w:rPr>
        <w:t>日内，甲方向乙方支付合同总价格的</w:t>
      </w:r>
      <w:r>
        <w:rPr>
          <w:rFonts w:hint="eastAsia" w:ascii="宋体" w:hAnsi="宋体" w:cs="宋体"/>
          <w:sz w:val="24"/>
          <w:u w:val="single"/>
        </w:rPr>
        <w:t>50</w:t>
      </w:r>
      <w:r>
        <w:rPr>
          <w:rFonts w:hint="eastAsia" w:ascii="宋体" w:hAnsi="宋体" w:cs="宋体"/>
          <w:sz w:val="24"/>
        </w:rPr>
        <w:t xml:space="preserve"> %。即人民币 大写 元整，乙方向甲方出具等额增值税发票；</w:t>
      </w:r>
    </w:p>
    <w:p>
      <w:pPr>
        <w:adjustRightInd w:val="0"/>
        <w:snapToGrid w:val="0"/>
        <w:spacing w:line="360" w:lineRule="auto"/>
        <w:ind w:firstLine="480"/>
        <w:rPr>
          <w:rFonts w:hint="eastAsia" w:ascii="宋体" w:hAnsi="宋体" w:cs="宋体"/>
          <w:sz w:val="24"/>
        </w:rPr>
      </w:pPr>
      <w:r>
        <w:rPr>
          <w:rFonts w:hint="eastAsia" w:ascii="宋体" w:hAnsi="宋体" w:cs="宋体"/>
          <w:sz w:val="24"/>
        </w:rPr>
        <w:t>2.2 首付款后3个月内，甲方向乙方支付合同总价格的</w:t>
      </w:r>
      <w:r>
        <w:rPr>
          <w:rFonts w:hint="eastAsia" w:ascii="宋体" w:hAnsi="宋体" w:cs="宋体"/>
          <w:sz w:val="24"/>
          <w:u w:val="single"/>
        </w:rPr>
        <w:t>20</w:t>
      </w:r>
      <w:r>
        <w:rPr>
          <w:rFonts w:hint="eastAsia" w:ascii="宋体" w:hAnsi="宋体" w:cs="宋体"/>
          <w:sz w:val="24"/>
        </w:rPr>
        <w:t xml:space="preserve"> %。即人民币大写</w:t>
      </w:r>
      <w:r>
        <w:rPr>
          <w:rFonts w:hint="eastAsia" w:ascii="宋体" w:hAnsi="宋体" w:cs="宋体"/>
          <w:sz w:val="24"/>
          <w:u w:val="single"/>
        </w:rPr>
        <w:t xml:space="preserve">    </w:t>
      </w:r>
      <w:r>
        <w:rPr>
          <w:rFonts w:hint="eastAsia" w:ascii="宋体" w:hAnsi="宋体" w:cs="宋体"/>
          <w:sz w:val="24"/>
        </w:rPr>
        <w:t>元整，乙方向甲方出具等额增值税发票；</w:t>
      </w:r>
    </w:p>
    <w:p>
      <w:pPr>
        <w:adjustRightInd w:val="0"/>
        <w:snapToGrid w:val="0"/>
        <w:spacing w:line="360" w:lineRule="auto"/>
        <w:ind w:firstLine="480"/>
        <w:rPr>
          <w:rFonts w:hint="eastAsia" w:ascii="宋体" w:hAnsi="宋体" w:cs="宋体"/>
          <w:sz w:val="24"/>
        </w:rPr>
      </w:pPr>
      <w:r>
        <w:rPr>
          <w:rFonts w:hint="eastAsia" w:ascii="宋体" w:hAnsi="宋体" w:cs="宋体"/>
          <w:sz w:val="24"/>
        </w:rPr>
        <w:t>2.3 项目全部验收合格后</w:t>
      </w:r>
      <w:r>
        <w:rPr>
          <w:rFonts w:hint="eastAsia" w:ascii="宋体" w:hAnsi="宋体" w:cs="宋体"/>
          <w:sz w:val="24"/>
          <w:u w:val="single"/>
        </w:rPr>
        <w:t xml:space="preserve"> 10 </w:t>
      </w:r>
      <w:r>
        <w:rPr>
          <w:rFonts w:hint="eastAsia" w:ascii="宋体" w:hAnsi="宋体" w:cs="宋体"/>
          <w:sz w:val="24"/>
        </w:rPr>
        <w:t>日内，甲方向乙方支付合同总价的</w:t>
      </w:r>
      <w:r>
        <w:rPr>
          <w:rFonts w:hint="eastAsia" w:ascii="宋体" w:hAnsi="宋体" w:cs="宋体"/>
          <w:sz w:val="24"/>
          <w:u w:val="single"/>
        </w:rPr>
        <w:t xml:space="preserve">30 </w:t>
      </w:r>
      <w:r>
        <w:rPr>
          <w:rFonts w:hint="eastAsia" w:ascii="宋体" w:hAnsi="宋体" w:cs="宋体"/>
          <w:sz w:val="24"/>
        </w:rPr>
        <w:t>%，即人民币大写 元整，乙方向甲方出具等额增值税发票；</w:t>
      </w:r>
    </w:p>
    <w:p>
      <w:pPr>
        <w:spacing w:line="360" w:lineRule="auto"/>
        <w:ind w:firstLine="480" w:firstLineChars="200"/>
        <w:contextualSpacing/>
        <w:rPr>
          <w:bCs/>
          <w:sz w:val="24"/>
        </w:rPr>
      </w:pPr>
      <w:r>
        <w:rPr>
          <w:rFonts w:hint="eastAsia" w:ascii="宋体" w:hAnsi="宋体" w:cs="宋体"/>
          <w:sz w:val="24"/>
        </w:rPr>
        <w:t>2.4 乙方负责支付本合同约定应由乙方承担的相关税费，直至合同执行完成。一切税费已由乙方计入合同总价之中。</w:t>
      </w:r>
    </w:p>
    <w:p>
      <w:pPr>
        <w:adjustRightInd w:val="0"/>
        <w:snapToGrid w:val="0"/>
        <w:spacing w:line="360" w:lineRule="auto"/>
        <w:ind w:firstLine="480"/>
        <w:rPr>
          <w:rFonts w:hint="eastAsia" w:ascii="宋体" w:hAnsi="宋体" w:cs="宋体"/>
          <w:sz w:val="24"/>
        </w:rPr>
      </w:pPr>
    </w:p>
    <w:p>
      <w:pPr>
        <w:adjustRightInd w:val="0"/>
        <w:snapToGrid w:val="0"/>
        <w:spacing w:line="360" w:lineRule="auto"/>
        <w:ind w:firstLine="480"/>
        <w:rPr>
          <w:rFonts w:hint="eastAsia" w:ascii="宋体" w:hAnsi="宋体" w:cs="宋体"/>
          <w:sz w:val="24"/>
        </w:rPr>
      </w:pPr>
      <w:r>
        <w:rPr>
          <w:rFonts w:hint="eastAsia" w:ascii="宋体" w:hAnsi="宋体" w:cs="宋体"/>
          <w:sz w:val="24"/>
        </w:rPr>
        <w:t>2包：</w:t>
      </w:r>
    </w:p>
    <w:p>
      <w:pPr>
        <w:adjustRightInd w:val="0"/>
        <w:snapToGrid w:val="0"/>
        <w:spacing w:line="360" w:lineRule="auto"/>
        <w:ind w:firstLine="480"/>
        <w:rPr>
          <w:rFonts w:hint="eastAsia" w:ascii="宋体" w:hAnsi="宋体" w:cs="宋体"/>
          <w:sz w:val="24"/>
        </w:rPr>
      </w:pPr>
      <w:r>
        <w:rPr>
          <w:rFonts w:hint="eastAsia" w:ascii="宋体" w:hAnsi="宋体" w:cs="宋体"/>
          <w:sz w:val="24"/>
        </w:rPr>
        <w:t>2.1 合同签订后</w:t>
      </w:r>
      <w:r>
        <w:rPr>
          <w:rFonts w:hint="eastAsia" w:ascii="宋体" w:hAnsi="宋体" w:cs="宋体"/>
          <w:sz w:val="24"/>
          <w:u w:val="single"/>
        </w:rPr>
        <w:t xml:space="preserve"> 7 </w:t>
      </w:r>
      <w:r>
        <w:rPr>
          <w:rFonts w:hint="eastAsia" w:ascii="宋体" w:hAnsi="宋体" w:cs="宋体"/>
          <w:sz w:val="24"/>
        </w:rPr>
        <w:t>日内，甲方向乙方支付合同总价格的</w:t>
      </w:r>
      <w:r>
        <w:rPr>
          <w:rFonts w:hint="eastAsia" w:ascii="宋体" w:hAnsi="宋体" w:cs="宋体"/>
          <w:sz w:val="24"/>
          <w:u w:val="single"/>
        </w:rPr>
        <w:t>70</w:t>
      </w:r>
      <w:r>
        <w:rPr>
          <w:rFonts w:hint="eastAsia" w:ascii="宋体" w:hAnsi="宋体" w:cs="宋体"/>
          <w:sz w:val="24"/>
        </w:rPr>
        <w:t xml:space="preserve"> %。即人民币 大写 元整，乙方向甲方出具等额增值税发票；</w:t>
      </w:r>
    </w:p>
    <w:p>
      <w:pPr>
        <w:adjustRightInd w:val="0"/>
        <w:snapToGrid w:val="0"/>
        <w:spacing w:line="360" w:lineRule="auto"/>
        <w:ind w:firstLine="480"/>
        <w:rPr>
          <w:rFonts w:hint="eastAsia" w:ascii="宋体" w:hAnsi="宋体" w:cs="宋体"/>
          <w:sz w:val="24"/>
        </w:rPr>
      </w:pPr>
      <w:r>
        <w:rPr>
          <w:rFonts w:hint="eastAsia" w:ascii="宋体" w:hAnsi="宋体" w:cs="宋体"/>
          <w:sz w:val="24"/>
        </w:rPr>
        <w:t>2.2 项目全部验收合格后</w:t>
      </w:r>
      <w:r>
        <w:rPr>
          <w:rFonts w:hint="eastAsia" w:ascii="宋体" w:hAnsi="宋体" w:cs="宋体"/>
          <w:sz w:val="24"/>
          <w:u w:val="single"/>
        </w:rPr>
        <w:t xml:space="preserve"> 10 </w:t>
      </w:r>
      <w:r>
        <w:rPr>
          <w:rFonts w:hint="eastAsia" w:ascii="宋体" w:hAnsi="宋体" w:cs="宋体"/>
          <w:sz w:val="24"/>
        </w:rPr>
        <w:t>日内，甲方向乙方支付合同总价的</w:t>
      </w:r>
      <w:r>
        <w:rPr>
          <w:rFonts w:hint="eastAsia" w:ascii="宋体" w:hAnsi="宋体" w:cs="宋体"/>
          <w:sz w:val="24"/>
          <w:u w:val="single"/>
        </w:rPr>
        <w:t xml:space="preserve">30 </w:t>
      </w:r>
      <w:r>
        <w:rPr>
          <w:rFonts w:hint="eastAsia" w:ascii="宋体" w:hAnsi="宋体" w:cs="宋体"/>
          <w:sz w:val="24"/>
        </w:rPr>
        <w:t>%，即人民币大写</w:t>
      </w:r>
      <w:r>
        <w:rPr>
          <w:rFonts w:hint="eastAsia" w:ascii="宋体" w:hAnsi="宋体" w:cs="宋体"/>
          <w:sz w:val="24"/>
          <w:u w:val="single"/>
        </w:rPr>
        <w:t xml:space="preserve">  </w:t>
      </w:r>
      <w:r>
        <w:rPr>
          <w:rFonts w:hint="eastAsia" w:ascii="宋体" w:hAnsi="宋体" w:cs="宋体"/>
          <w:sz w:val="24"/>
        </w:rPr>
        <w:t>元整，乙方向甲方出具等额增值税发票；</w:t>
      </w:r>
    </w:p>
    <w:p>
      <w:pPr>
        <w:spacing w:line="360" w:lineRule="auto"/>
        <w:ind w:firstLine="480" w:firstLineChars="200"/>
        <w:contextualSpacing/>
        <w:rPr>
          <w:rFonts w:hint="eastAsia" w:ascii="宋体" w:hAnsi="宋体" w:cs="宋体"/>
          <w:sz w:val="24"/>
        </w:rPr>
      </w:pPr>
      <w:r>
        <w:rPr>
          <w:rFonts w:hint="eastAsia" w:ascii="宋体" w:hAnsi="宋体" w:cs="宋体"/>
          <w:sz w:val="24"/>
        </w:rPr>
        <w:t>2.3 乙方负责支付本合同约定应由乙方承担的相关税费，直至合同执行完成。一切税费已由乙方计入合同总价之中。</w:t>
      </w:r>
    </w:p>
    <w:p>
      <w:pPr>
        <w:spacing w:line="360" w:lineRule="auto"/>
        <w:contextualSpacing/>
        <w:rPr>
          <w:rFonts w:hint="eastAsia" w:ascii="宋体" w:hAnsi="宋体" w:cs="宋体"/>
          <w:sz w:val="24"/>
        </w:rPr>
      </w:pPr>
    </w:p>
    <w:p>
      <w:pPr>
        <w:pStyle w:val="3"/>
        <w:numPr>
          <w:ilvl w:val="0"/>
          <w:numId w:val="15"/>
        </w:numPr>
        <w:jc w:val="left"/>
        <w:rPr>
          <w:rFonts w:hint="eastAsia" w:hAnsi="宋体"/>
          <w:sz w:val="24"/>
          <w:szCs w:val="24"/>
        </w:rPr>
      </w:pPr>
      <w:r>
        <w:rPr>
          <w:rFonts w:hint="eastAsia" w:hAnsi="宋体"/>
          <w:sz w:val="24"/>
          <w:szCs w:val="24"/>
        </w:rPr>
        <w:t>技术要求</w:t>
      </w:r>
    </w:p>
    <w:p>
      <w:pPr>
        <w:snapToGrid w:val="0"/>
        <w:spacing w:line="360" w:lineRule="auto"/>
        <w:rPr>
          <w:rFonts w:hint="eastAsia" w:ascii="宋体" w:hAnsi="宋体" w:cs="宋体"/>
          <w:sz w:val="24"/>
        </w:rPr>
      </w:pPr>
      <w:r>
        <w:rPr>
          <w:rFonts w:hint="eastAsia" w:ascii="宋体" w:hAnsi="宋体" w:cs="宋体"/>
          <w:sz w:val="24"/>
        </w:rPr>
        <w:t>1、本项目项目内容：</w:t>
      </w:r>
    </w:p>
    <w:p>
      <w:pPr>
        <w:pStyle w:val="15"/>
        <w:adjustRightInd w:val="0"/>
        <w:spacing w:line="360" w:lineRule="auto"/>
        <w:ind w:firstLine="424" w:firstLineChars="177"/>
        <w:contextualSpacing/>
        <w:jc w:val="left"/>
        <w:rPr>
          <w:rFonts w:ascii="Times New Roman" w:hAnsi="Times New Roman"/>
          <w:sz w:val="24"/>
          <w:szCs w:val="24"/>
        </w:rPr>
      </w:pPr>
      <w:r>
        <w:rPr>
          <w:rFonts w:hint="eastAsia" w:ascii="Times New Roman" w:hAnsi="Times New Roman"/>
          <w:sz w:val="24"/>
          <w:szCs w:val="24"/>
        </w:rPr>
        <w:t>本项目由2个包构成</w:t>
      </w:r>
      <w:r>
        <w:rPr>
          <w:rFonts w:ascii="Times New Roman" w:hAnsi="Times New Roman"/>
          <w:sz w:val="24"/>
          <w:szCs w:val="24"/>
        </w:rPr>
        <w:t>，分别为乡村旅游消费促进、乡村旅游品牌设计及推广。</w:t>
      </w:r>
    </w:p>
    <w:p>
      <w:pPr>
        <w:pStyle w:val="15"/>
        <w:adjustRightInd w:val="0"/>
        <w:spacing w:line="360" w:lineRule="auto"/>
        <w:ind w:firstLine="426" w:firstLineChars="177"/>
        <w:contextualSpacing/>
        <w:jc w:val="left"/>
        <w:rPr>
          <w:rFonts w:ascii="Times New Roman" w:hAnsi="Times New Roman"/>
          <w:b/>
          <w:bCs/>
          <w:sz w:val="24"/>
          <w:szCs w:val="24"/>
        </w:rPr>
      </w:pPr>
      <w:r>
        <w:rPr>
          <w:rFonts w:hint="eastAsia" w:ascii="Times New Roman" w:hAnsi="Times New Roman"/>
          <w:b/>
          <w:bCs/>
          <w:sz w:val="24"/>
          <w:szCs w:val="24"/>
        </w:rPr>
        <w:t>1包：乡村旅游消费促进</w:t>
      </w:r>
    </w:p>
    <w:p>
      <w:pPr>
        <w:pStyle w:val="15"/>
        <w:adjustRightInd w:val="0"/>
        <w:spacing w:line="360" w:lineRule="auto"/>
        <w:ind w:firstLine="424" w:firstLineChars="177"/>
        <w:contextualSpacing/>
        <w:jc w:val="left"/>
        <w:rPr>
          <w:rFonts w:ascii="Times New Roman" w:hAnsi="Times New Roman"/>
          <w:sz w:val="24"/>
          <w:szCs w:val="24"/>
        </w:rPr>
      </w:pPr>
      <w:r>
        <w:rPr>
          <w:rFonts w:hint="eastAsia" w:ascii="Times New Roman" w:hAnsi="Times New Roman"/>
          <w:sz w:val="24"/>
          <w:szCs w:val="24"/>
        </w:rPr>
        <w:t>1.全域资源整合</w:t>
      </w:r>
    </w:p>
    <w:p>
      <w:pPr>
        <w:pStyle w:val="15"/>
        <w:adjustRightInd w:val="0"/>
        <w:spacing w:line="360" w:lineRule="auto"/>
        <w:ind w:firstLine="424" w:firstLineChars="177"/>
        <w:contextualSpacing/>
        <w:jc w:val="left"/>
        <w:rPr>
          <w:rFonts w:ascii="Times New Roman" w:hAnsi="Times New Roman"/>
          <w:sz w:val="24"/>
          <w:szCs w:val="24"/>
        </w:rPr>
      </w:pPr>
      <w:r>
        <w:rPr>
          <w:rFonts w:hint="eastAsia" w:ascii="Times New Roman" w:hAnsi="Times New Roman"/>
          <w:sz w:val="24"/>
          <w:szCs w:val="24"/>
        </w:rPr>
        <w:t>整合全市近百个乡村、数千家乡村景区、民宿、餐饮、非遗工坊等资源，确保资源上线质量与服务规范。</w:t>
      </w:r>
    </w:p>
    <w:p>
      <w:pPr>
        <w:pStyle w:val="15"/>
        <w:adjustRightInd w:val="0"/>
        <w:spacing w:line="360" w:lineRule="auto"/>
        <w:ind w:firstLine="424" w:firstLineChars="177"/>
        <w:contextualSpacing/>
        <w:jc w:val="left"/>
        <w:rPr>
          <w:rFonts w:ascii="Times New Roman" w:hAnsi="Times New Roman"/>
          <w:sz w:val="24"/>
          <w:szCs w:val="24"/>
        </w:rPr>
      </w:pPr>
      <w:r>
        <w:rPr>
          <w:rFonts w:hint="eastAsia" w:ascii="Times New Roman" w:hAnsi="Times New Roman"/>
          <w:sz w:val="24"/>
          <w:szCs w:val="24"/>
        </w:rPr>
        <w:t>2.全域达人矩阵搭建</w:t>
      </w:r>
    </w:p>
    <w:p>
      <w:pPr>
        <w:pStyle w:val="15"/>
        <w:adjustRightInd w:val="0"/>
        <w:spacing w:line="360" w:lineRule="auto"/>
        <w:ind w:firstLine="424" w:firstLineChars="177"/>
        <w:contextualSpacing/>
        <w:jc w:val="left"/>
        <w:rPr>
          <w:rFonts w:ascii="Times New Roman" w:hAnsi="Times New Roman"/>
          <w:sz w:val="24"/>
          <w:szCs w:val="24"/>
        </w:rPr>
      </w:pPr>
      <w:r>
        <w:rPr>
          <w:rFonts w:hint="eastAsia" w:ascii="Times New Roman" w:hAnsi="Times New Roman"/>
          <w:sz w:val="24"/>
          <w:szCs w:val="24"/>
        </w:rPr>
        <w:t>组建分层级达人矩阵，覆盖抖音、小红书等核心平台，开展达人内容策划与创作，形成“头部破圈+中腰部深耕+本地渗透”的传播格局，建立达人运营机制，提升品牌种草效率。</w:t>
      </w:r>
    </w:p>
    <w:p>
      <w:pPr>
        <w:pStyle w:val="15"/>
        <w:adjustRightInd w:val="0"/>
        <w:spacing w:line="360" w:lineRule="auto"/>
        <w:ind w:firstLine="424" w:firstLineChars="177"/>
        <w:contextualSpacing/>
        <w:jc w:val="left"/>
        <w:rPr>
          <w:rFonts w:ascii="Times New Roman" w:hAnsi="Times New Roman"/>
          <w:sz w:val="24"/>
          <w:szCs w:val="24"/>
        </w:rPr>
      </w:pPr>
      <w:r>
        <w:rPr>
          <w:rFonts w:hint="eastAsia" w:ascii="Times New Roman" w:hAnsi="Times New Roman"/>
          <w:sz w:val="24"/>
          <w:szCs w:val="24"/>
        </w:rPr>
        <w:t>3.多平台流量投放</w:t>
      </w:r>
    </w:p>
    <w:p>
      <w:pPr>
        <w:pStyle w:val="15"/>
        <w:adjustRightInd w:val="0"/>
        <w:spacing w:line="360" w:lineRule="auto"/>
        <w:ind w:firstLine="424" w:firstLineChars="177"/>
        <w:contextualSpacing/>
        <w:jc w:val="left"/>
        <w:rPr>
          <w:rFonts w:ascii="Times New Roman" w:hAnsi="Times New Roman"/>
          <w:sz w:val="24"/>
          <w:szCs w:val="24"/>
        </w:rPr>
      </w:pPr>
      <w:r>
        <w:rPr>
          <w:rFonts w:hint="eastAsia" w:ascii="Times New Roman" w:hAnsi="Times New Roman"/>
          <w:sz w:val="24"/>
          <w:szCs w:val="24"/>
        </w:rPr>
        <w:t>制定全域广告投放策略，在抖音、小红书等核心平台，投放开屏广告、商业话题、AD信息流广告，开展主题话题运营，提升品牌声量与用户参与度。</w:t>
      </w:r>
    </w:p>
    <w:p>
      <w:pPr>
        <w:pStyle w:val="15"/>
        <w:adjustRightInd w:val="0"/>
        <w:spacing w:line="360" w:lineRule="auto"/>
        <w:ind w:firstLine="424" w:firstLineChars="177"/>
        <w:contextualSpacing/>
        <w:jc w:val="left"/>
        <w:rPr>
          <w:rFonts w:ascii="Times New Roman" w:hAnsi="Times New Roman"/>
          <w:sz w:val="24"/>
          <w:szCs w:val="24"/>
        </w:rPr>
      </w:pPr>
      <w:r>
        <w:rPr>
          <w:rFonts w:hint="eastAsia" w:ascii="Times New Roman" w:hAnsi="Times New Roman"/>
          <w:sz w:val="24"/>
          <w:szCs w:val="24"/>
        </w:rPr>
        <w:t>4.长效运营体系搭建</w:t>
      </w:r>
    </w:p>
    <w:p>
      <w:pPr>
        <w:pStyle w:val="15"/>
        <w:adjustRightInd w:val="0"/>
        <w:spacing w:line="360" w:lineRule="auto"/>
        <w:ind w:firstLine="424" w:firstLineChars="177"/>
        <w:contextualSpacing/>
        <w:jc w:val="left"/>
        <w:rPr>
          <w:rFonts w:ascii="Times New Roman" w:hAnsi="Times New Roman"/>
          <w:sz w:val="24"/>
          <w:szCs w:val="24"/>
        </w:rPr>
      </w:pPr>
      <w:r>
        <w:rPr>
          <w:rFonts w:hint="eastAsia" w:ascii="Times New Roman" w:hAnsi="Times New Roman"/>
          <w:sz w:val="24"/>
          <w:szCs w:val="24"/>
        </w:rPr>
        <w:t>推进平台资源全周期运营，配套本地推商业流量投放，快速积累精准粉丝；搭建常态化运营团队，优化运营策略，策划节点性主题活动。</w:t>
      </w:r>
    </w:p>
    <w:p>
      <w:pPr>
        <w:pStyle w:val="15"/>
        <w:adjustRightInd w:val="0"/>
        <w:spacing w:line="360" w:lineRule="auto"/>
        <w:ind w:firstLine="426" w:firstLineChars="177"/>
        <w:contextualSpacing/>
        <w:jc w:val="left"/>
        <w:rPr>
          <w:rFonts w:ascii="Times New Roman" w:hAnsi="Times New Roman"/>
          <w:b/>
          <w:bCs/>
          <w:sz w:val="24"/>
          <w:szCs w:val="24"/>
        </w:rPr>
      </w:pPr>
      <w:r>
        <w:rPr>
          <w:rFonts w:hint="eastAsia" w:ascii="Times New Roman" w:hAnsi="Times New Roman"/>
          <w:b/>
          <w:bCs/>
          <w:sz w:val="24"/>
          <w:szCs w:val="24"/>
        </w:rPr>
        <w:t>2包：乡村旅游品牌设计及推广项目</w:t>
      </w:r>
    </w:p>
    <w:p>
      <w:pPr>
        <w:pStyle w:val="15"/>
        <w:adjustRightInd w:val="0"/>
        <w:spacing w:line="360" w:lineRule="auto"/>
        <w:ind w:firstLine="424" w:firstLineChars="177"/>
        <w:contextualSpacing/>
        <w:jc w:val="left"/>
        <w:rPr>
          <w:rFonts w:ascii="Times New Roman" w:hAnsi="Times New Roman"/>
          <w:sz w:val="24"/>
          <w:szCs w:val="24"/>
        </w:rPr>
      </w:pPr>
      <w:r>
        <w:rPr>
          <w:rFonts w:hint="eastAsia" w:ascii="Times New Roman" w:hAnsi="Times New Roman"/>
          <w:sz w:val="24"/>
          <w:szCs w:val="24"/>
        </w:rPr>
        <w:t>（1）打造“漫游京郊”核心品牌 IP，包括品牌调性定位等、品牌VI设计，形成统一鲜明的品牌形象；</w:t>
      </w:r>
    </w:p>
    <w:p>
      <w:pPr>
        <w:pStyle w:val="15"/>
        <w:adjustRightInd w:val="0"/>
        <w:spacing w:line="360" w:lineRule="auto"/>
        <w:ind w:firstLine="424" w:firstLineChars="177"/>
        <w:contextualSpacing/>
        <w:jc w:val="left"/>
        <w:rPr>
          <w:rFonts w:ascii="Times New Roman" w:hAnsi="Times New Roman"/>
          <w:sz w:val="24"/>
          <w:szCs w:val="24"/>
        </w:rPr>
      </w:pPr>
      <w:r>
        <w:rPr>
          <w:rFonts w:hint="eastAsia" w:ascii="Times New Roman" w:hAnsi="Times New Roman"/>
          <w:sz w:val="24"/>
          <w:szCs w:val="24"/>
        </w:rPr>
        <w:t>（2）编制标识系统应用手册；</w:t>
      </w:r>
    </w:p>
    <w:p>
      <w:pPr>
        <w:pStyle w:val="15"/>
        <w:adjustRightInd w:val="0"/>
        <w:spacing w:line="360" w:lineRule="auto"/>
        <w:ind w:firstLine="424" w:firstLineChars="177"/>
        <w:contextualSpacing/>
        <w:jc w:val="left"/>
        <w:rPr>
          <w:rFonts w:ascii="Times New Roman" w:hAnsi="Times New Roman"/>
          <w:sz w:val="24"/>
          <w:szCs w:val="24"/>
        </w:rPr>
      </w:pPr>
      <w:r>
        <w:rPr>
          <w:rFonts w:hint="eastAsia" w:ascii="Times New Roman" w:hAnsi="Times New Roman"/>
          <w:sz w:val="24"/>
          <w:szCs w:val="24"/>
        </w:rPr>
        <w:t>（3）物料设计及制作。设计、制作多元化宣传物料，涵盖样品打板、产品类物料制作、纸张类物料制作等，全方位诠释 “京郊度假生活” 品牌理念。</w:t>
      </w:r>
    </w:p>
    <w:p>
      <w:pPr>
        <w:spacing w:line="360" w:lineRule="auto"/>
        <w:contextualSpacing/>
        <w:rPr>
          <w:i/>
          <w:iCs/>
          <w:sz w:val="24"/>
        </w:rPr>
      </w:pPr>
      <w:r>
        <w:rPr>
          <w:rFonts w:hint="eastAsia"/>
          <w:sz w:val="24"/>
        </w:rPr>
        <w:t>2、</w:t>
      </w:r>
      <w:r>
        <w:rPr>
          <w:sz w:val="24"/>
        </w:rPr>
        <w:t>验收标准</w:t>
      </w:r>
    </w:p>
    <w:p>
      <w:pPr>
        <w:widowControl/>
        <w:spacing w:line="360" w:lineRule="auto"/>
        <w:ind w:firstLine="482"/>
        <w:contextualSpacing/>
        <w:rPr>
          <w:rFonts w:hint="eastAsia" w:ascii="宋体" w:hAnsi="宋体" w:cs="宋体"/>
          <w:sz w:val="24"/>
          <w:szCs w:val="22"/>
        </w:rPr>
      </w:pPr>
      <w:r>
        <w:rPr>
          <w:rFonts w:hint="eastAsia" w:ascii="宋体" w:hAnsi="宋体" w:cs="宋体"/>
          <w:sz w:val="24"/>
          <w:szCs w:val="22"/>
        </w:rPr>
        <w:t>按照甲方要求提交项目资料、做好项目总结、提交成果亮点等相关资料。</w:t>
      </w:r>
    </w:p>
    <w:p>
      <w:pPr>
        <w:pStyle w:val="3"/>
        <w:numPr>
          <w:ilvl w:val="0"/>
          <w:numId w:val="15"/>
        </w:numPr>
        <w:jc w:val="left"/>
        <w:rPr>
          <w:rFonts w:hint="eastAsia" w:hAnsi="宋体"/>
          <w:sz w:val="24"/>
          <w:szCs w:val="24"/>
        </w:rPr>
      </w:pPr>
      <w:r>
        <w:rPr>
          <w:rFonts w:hint="eastAsia" w:hAnsi="宋体"/>
          <w:sz w:val="24"/>
          <w:szCs w:val="24"/>
        </w:rPr>
        <w:t>为落实政府采购政策需满足的要求</w:t>
      </w:r>
    </w:p>
    <w:p>
      <w:pPr>
        <w:snapToGrid w:val="0"/>
        <w:spacing w:line="360" w:lineRule="auto"/>
        <w:ind w:firstLine="480" w:firstLineChars="200"/>
        <w:rPr>
          <w:rFonts w:hint="eastAsia" w:ascii="宋体" w:hAnsi="宋体" w:cs="宋体"/>
          <w:sz w:val="24"/>
        </w:rPr>
      </w:pPr>
      <w:r>
        <w:rPr>
          <w:rFonts w:hint="eastAsia" w:ascii="宋体" w:hAnsi="宋体" w:cs="宋体"/>
          <w:sz w:val="24"/>
        </w:rPr>
        <w:t>本项目专门面向中小企业采购。</w:t>
      </w:r>
    </w:p>
    <w:p>
      <w:pPr>
        <w:spacing w:line="360" w:lineRule="auto"/>
        <w:ind w:firstLine="723" w:firstLineChars="200"/>
        <w:rPr>
          <w:rFonts w:hint="eastAsia" w:ascii="宋体" w:hAnsi="宋体"/>
          <w:color w:val="000000"/>
          <w:sz w:val="24"/>
        </w:rPr>
      </w:pPr>
      <w:r>
        <w:rPr>
          <w:rFonts w:ascii="宋体" w:hAnsi="宋体" w:cs="宋体"/>
          <w:b/>
          <w:color w:val="000000" w:themeColor="text1"/>
          <w:sz w:val="36"/>
          <w:szCs w:val="36"/>
          <w14:textFill>
            <w14:solidFill>
              <w14:schemeClr w14:val="tx1"/>
            </w14:solidFill>
          </w14:textFill>
        </w:rPr>
        <w:br w:type="page"/>
      </w:r>
    </w:p>
    <w:p>
      <w:pPr>
        <w:spacing w:line="360" w:lineRule="auto"/>
        <w:jc w:val="center"/>
        <w:outlineLvl w:val="0"/>
        <w:rPr>
          <w:rFonts w:hint="eastAsia" w:ascii="宋体" w:hAnsi="宋体" w:cs="宋体"/>
          <w:b/>
          <w:color w:val="000000" w:themeColor="text1"/>
          <w:sz w:val="36"/>
          <w:szCs w:val="36"/>
          <w14:textFill>
            <w14:solidFill>
              <w14:schemeClr w14:val="tx1"/>
            </w14:solidFill>
          </w14:textFill>
        </w:rPr>
      </w:pPr>
      <w:bookmarkStart w:id="863" w:name="_Toc218620574"/>
      <w:r>
        <w:rPr>
          <w:rFonts w:hint="eastAsia" w:ascii="宋体" w:hAnsi="宋体" w:cs="宋体"/>
          <w:b/>
          <w:color w:val="000000" w:themeColor="text1"/>
          <w:sz w:val="36"/>
          <w:szCs w:val="36"/>
          <w14:textFill>
            <w14:solidFill>
              <w14:schemeClr w14:val="tx1"/>
            </w14:solidFill>
          </w14:textFill>
        </w:rPr>
        <w:t>第六章   拟签订的合同文本</w:t>
      </w:r>
      <w:bookmarkEnd w:id="858"/>
      <w:bookmarkEnd w:id="863"/>
    </w:p>
    <w:p>
      <w:pPr>
        <w:rPr>
          <w:rFonts w:eastAsia="仿宋_GB2312"/>
          <w:b/>
          <w:bCs/>
          <w:smallCaps/>
          <w:sz w:val="44"/>
          <w:szCs w:val="44"/>
        </w:rPr>
      </w:pPr>
      <w:r>
        <w:rPr>
          <w:rFonts w:hint="eastAsia" w:eastAsia="仿宋_GB2312"/>
          <w:b/>
          <w:bCs/>
          <w:smallCaps/>
          <w:sz w:val="44"/>
          <w:szCs w:val="44"/>
        </w:rPr>
        <w:br w:type="page"/>
      </w:r>
    </w:p>
    <w:p>
      <w:pPr>
        <w:tabs>
          <w:tab w:val="left" w:pos="248"/>
        </w:tabs>
        <w:autoSpaceDN w:val="0"/>
        <w:spacing w:line="460" w:lineRule="exact"/>
        <w:jc w:val="left"/>
        <w:rPr>
          <w:rFonts w:eastAsia="仿宋_GB2312"/>
          <w:b/>
          <w:bCs/>
          <w:smallCaps/>
          <w:sz w:val="36"/>
          <w:szCs w:val="36"/>
        </w:rPr>
      </w:pPr>
      <w:r>
        <w:rPr>
          <w:rFonts w:hint="eastAsia" w:eastAsia="仿宋_GB2312"/>
          <w:b/>
          <w:bCs/>
          <w:smallCaps/>
          <w:sz w:val="36"/>
          <w:szCs w:val="36"/>
        </w:rPr>
        <w:tab/>
      </w:r>
      <w:r>
        <w:rPr>
          <w:rFonts w:hint="eastAsia" w:eastAsia="仿宋_GB2312"/>
          <w:b/>
          <w:bCs/>
          <w:smallCaps/>
          <w:sz w:val="36"/>
          <w:szCs w:val="36"/>
        </w:rPr>
        <w:t>1包：</w:t>
      </w:r>
    </w:p>
    <w:p>
      <w:pPr>
        <w:autoSpaceDN w:val="0"/>
        <w:spacing w:line="460" w:lineRule="exact"/>
        <w:jc w:val="center"/>
        <w:rPr>
          <w:rFonts w:eastAsia="仿宋_GB2312"/>
          <w:b/>
          <w:bCs/>
          <w:smallCaps/>
          <w:sz w:val="36"/>
          <w:szCs w:val="36"/>
        </w:rPr>
      </w:pPr>
    </w:p>
    <w:p>
      <w:pPr>
        <w:autoSpaceDN w:val="0"/>
        <w:spacing w:line="460" w:lineRule="exact"/>
        <w:jc w:val="center"/>
        <w:rPr>
          <w:rFonts w:eastAsia="仿宋_GB2312"/>
          <w:b/>
          <w:bCs/>
          <w:smallCaps/>
          <w:sz w:val="36"/>
          <w:szCs w:val="36"/>
        </w:rPr>
      </w:pPr>
    </w:p>
    <w:p>
      <w:pPr>
        <w:autoSpaceDN w:val="0"/>
        <w:spacing w:line="460" w:lineRule="exact"/>
        <w:jc w:val="center"/>
        <w:rPr>
          <w:rFonts w:eastAsia="仿宋_GB2312"/>
          <w:b/>
          <w:bCs/>
          <w:smallCaps/>
          <w:sz w:val="36"/>
          <w:szCs w:val="36"/>
        </w:rPr>
      </w:pPr>
    </w:p>
    <w:p>
      <w:pPr>
        <w:autoSpaceDN w:val="0"/>
        <w:spacing w:line="460" w:lineRule="exact"/>
        <w:jc w:val="center"/>
        <w:rPr>
          <w:rFonts w:eastAsia="仿宋_GB2312"/>
          <w:b/>
          <w:bCs/>
          <w:smallCaps/>
          <w:sz w:val="36"/>
          <w:szCs w:val="36"/>
        </w:rPr>
      </w:pPr>
      <w:r>
        <w:rPr>
          <w:rFonts w:hint="eastAsia" w:eastAsia="仿宋_GB2312"/>
          <w:b/>
          <w:bCs/>
          <w:smallCaps/>
          <w:sz w:val="36"/>
          <w:szCs w:val="36"/>
        </w:rPr>
        <w:t>乡村旅游消费促进项目</w:t>
      </w:r>
      <w:r>
        <w:rPr>
          <w:rFonts w:eastAsia="仿宋_GB2312"/>
          <w:b/>
          <w:bCs/>
          <w:smallCaps/>
          <w:sz w:val="36"/>
          <w:szCs w:val="36"/>
        </w:rPr>
        <w:t>合同</w:t>
      </w:r>
    </w:p>
    <w:p>
      <w:pPr>
        <w:snapToGrid w:val="0"/>
        <w:spacing w:before="119" w:line="460" w:lineRule="exact"/>
        <w:ind w:firstLine="1446" w:firstLineChars="600"/>
        <w:rPr>
          <w:rFonts w:eastAsia="仿宋_GB2312"/>
          <w:b/>
          <w:sz w:val="24"/>
        </w:rPr>
      </w:pPr>
    </w:p>
    <w:p>
      <w:pPr>
        <w:snapToGrid w:val="0"/>
        <w:spacing w:before="119" w:line="460" w:lineRule="exact"/>
        <w:ind w:left="958"/>
        <w:rPr>
          <w:rFonts w:eastAsia="仿宋_GB2312"/>
          <w:sz w:val="24"/>
        </w:rPr>
      </w:pPr>
    </w:p>
    <w:p>
      <w:pPr>
        <w:snapToGrid w:val="0"/>
        <w:spacing w:before="119" w:line="460" w:lineRule="exact"/>
        <w:ind w:left="958"/>
        <w:rPr>
          <w:rFonts w:eastAsia="仿宋_GB2312"/>
          <w:sz w:val="24"/>
        </w:rPr>
      </w:pPr>
    </w:p>
    <w:p>
      <w:pPr>
        <w:snapToGrid w:val="0"/>
        <w:spacing w:before="119" w:line="460" w:lineRule="exact"/>
        <w:ind w:left="958"/>
        <w:rPr>
          <w:rFonts w:eastAsia="仿宋_GB2312"/>
          <w:sz w:val="24"/>
        </w:rPr>
      </w:pPr>
    </w:p>
    <w:p>
      <w:pPr>
        <w:snapToGrid w:val="0"/>
        <w:spacing w:before="119" w:line="460" w:lineRule="exact"/>
        <w:ind w:left="958"/>
        <w:rPr>
          <w:rFonts w:eastAsia="仿宋_GB2312"/>
          <w:sz w:val="24"/>
        </w:rPr>
      </w:pPr>
    </w:p>
    <w:p>
      <w:pPr>
        <w:snapToGrid w:val="0"/>
        <w:spacing w:before="119" w:line="460" w:lineRule="exact"/>
        <w:ind w:left="958"/>
        <w:rPr>
          <w:rFonts w:eastAsia="仿宋_GB2312"/>
          <w:sz w:val="24"/>
        </w:rPr>
      </w:pPr>
    </w:p>
    <w:p>
      <w:pPr>
        <w:snapToGrid w:val="0"/>
        <w:spacing w:before="119" w:line="460" w:lineRule="exact"/>
        <w:rPr>
          <w:rFonts w:hint="eastAsia" w:ascii="宋体" w:hAnsi="宋体" w:cs="宋体"/>
          <w:sz w:val="24"/>
        </w:rPr>
      </w:pPr>
      <w:r>
        <w:rPr>
          <w:rFonts w:hint="eastAsia" w:ascii="宋体" w:hAnsi="宋体" w:cs="宋体"/>
          <w:sz w:val="24"/>
        </w:rPr>
        <w:t xml:space="preserve">       项目名称：</w:t>
      </w:r>
      <w:r>
        <w:rPr>
          <w:rFonts w:hint="eastAsia" w:ascii="宋体" w:hAnsi="宋体" w:cs="宋体"/>
          <w:sz w:val="24"/>
          <w:u w:val="single"/>
        </w:rPr>
        <w:t xml:space="preserve">                                     </w:t>
      </w:r>
    </w:p>
    <w:p>
      <w:pPr>
        <w:snapToGrid w:val="0"/>
        <w:spacing w:before="119" w:line="460" w:lineRule="exact"/>
        <w:rPr>
          <w:rFonts w:hint="eastAsia" w:ascii="宋体" w:hAnsi="宋体" w:cs="宋体"/>
          <w:sz w:val="24"/>
          <w:u w:val="single"/>
        </w:rPr>
      </w:pPr>
      <w:r>
        <w:rPr>
          <w:rFonts w:hint="eastAsia" w:ascii="宋体" w:hAnsi="宋体" w:cs="宋体"/>
          <w:sz w:val="24"/>
        </w:rPr>
        <w:t xml:space="preserve">       甲方（委托方）：</w:t>
      </w:r>
      <w:r>
        <w:rPr>
          <w:rFonts w:hint="eastAsia" w:ascii="宋体" w:hAnsi="宋体" w:cs="宋体"/>
          <w:sz w:val="24"/>
          <w:u w:val="single"/>
        </w:rPr>
        <w:t xml:space="preserve">                                </w:t>
      </w:r>
    </w:p>
    <w:p>
      <w:pPr>
        <w:snapToGrid w:val="0"/>
        <w:spacing w:before="119" w:line="460" w:lineRule="exact"/>
        <w:ind w:left="851"/>
        <w:rPr>
          <w:rFonts w:hint="eastAsia" w:ascii="宋体" w:hAnsi="宋体" w:cs="宋体"/>
          <w:sz w:val="24"/>
        </w:rPr>
      </w:pPr>
      <w:r>
        <w:rPr>
          <w:rFonts w:hint="eastAsia" w:ascii="宋体" w:hAnsi="宋体" w:cs="宋体"/>
          <w:sz w:val="24"/>
        </w:rPr>
        <w:t>乙方（受托方）：</w:t>
      </w:r>
      <w:r>
        <w:rPr>
          <w:rFonts w:hint="eastAsia" w:ascii="宋体" w:hAnsi="宋体" w:cs="宋体"/>
          <w:sz w:val="24"/>
          <w:u w:val="single"/>
        </w:rPr>
        <w:t xml:space="preserve">                                </w:t>
      </w:r>
    </w:p>
    <w:p>
      <w:pPr>
        <w:snapToGrid w:val="0"/>
        <w:spacing w:before="119" w:line="460" w:lineRule="exact"/>
        <w:rPr>
          <w:rFonts w:eastAsia="仿宋_GB2312"/>
          <w:sz w:val="24"/>
        </w:rPr>
      </w:pPr>
    </w:p>
    <w:p>
      <w:pPr>
        <w:snapToGrid w:val="0"/>
        <w:spacing w:before="119" w:line="460" w:lineRule="exact"/>
        <w:rPr>
          <w:rFonts w:eastAsia="仿宋_GB2312"/>
          <w:sz w:val="24"/>
        </w:rPr>
      </w:pPr>
    </w:p>
    <w:p>
      <w:pPr>
        <w:snapToGrid w:val="0"/>
        <w:spacing w:before="119" w:line="460" w:lineRule="exact"/>
        <w:jc w:val="center"/>
        <w:rPr>
          <w:rFonts w:eastAsia="仿宋_GB2312"/>
          <w:sz w:val="24"/>
        </w:rPr>
      </w:pPr>
    </w:p>
    <w:p>
      <w:pPr>
        <w:snapToGrid w:val="0"/>
        <w:spacing w:before="119" w:line="460" w:lineRule="exact"/>
        <w:ind w:left="958"/>
        <w:jc w:val="center"/>
        <w:rPr>
          <w:rFonts w:eastAsia="仿宋_GB2312"/>
          <w:sz w:val="24"/>
        </w:rPr>
      </w:pPr>
    </w:p>
    <w:p>
      <w:pPr>
        <w:autoSpaceDN w:val="0"/>
        <w:spacing w:line="460" w:lineRule="exact"/>
        <w:jc w:val="center"/>
        <w:rPr>
          <w:rFonts w:eastAsia="仿宋_GB2312"/>
          <w:sz w:val="24"/>
        </w:rPr>
      </w:pPr>
    </w:p>
    <w:p>
      <w:pPr>
        <w:autoSpaceDN w:val="0"/>
        <w:spacing w:line="460" w:lineRule="exact"/>
        <w:jc w:val="center"/>
        <w:rPr>
          <w:rFonts w:eastAsia="仿宋_GB2312"/>
          <w:sz w:val="24"/>
        </w:rPr>
      </w:pPr>
    </w:p>
    <w:p>
      <w:pPr>
        <w:rPr>
          <w:rFonts w:eastAsia="仿宋_GB2312"/>
          <w:sz w:val="24"/>
        </w:rPr>
      </w:pPr>
    </w:p>
    <w:p>
      <w:pPr>
        <w:rPr>
          <w:rFonts w:eastAsia="仿宋_GB2312"/>
          <w:sz w:val="24"/>
        </w:rPr>
      </w:pPr>
    </w:p>
    <w:p>
      <w:pPr>
        <w:rPr>
          <w:rFonts w:eastAsia="仿宋_GB2312"/>
          <w:sz w:val="24"/>
        </w:rPr>
      </w:pPr>
    </w:p>
    <w:p>
      <w:pPr>
        <w:rPr>
          <w:rFonts w:eastAsia="仿宋_GB2312"/>
          <w:sz w:val="24"/>
        </w:rPr>
      </w:pPr>
    </w:p>
    <w:p>
      <w:pPr>
        <w:rPr>
          <w:rFonts w:eastAsia="仿宋_GB2312"/>
          <w:sz w:val="24"/>
        </w:rPr>
      </w:pPr>
    </w:p>
    <w:p>
      <w:pPr>
        <w:rPr>
          <w:rFonts w:eastAsia="仿宋_GB2312"/>
          <w:sz w:val="24"/>
        </w:rPr>
      </w:pPr>
    </w:p>
    <w:p>
      <w:pPr>
        <w:rPr>
          <w:rFonts w:eastAsia="仿宋_GB2312"/>
          <w:sz w:val="24"/>
        </w:rPr>
      </w:pPr>
    </w:p>
    <w:p>
      <w:pPr>
        <w:rPr>
          <w:rFonts w:eastAsia="仿宋_GB2312"/>
          <w:sz w:val="24"/>
        </w:rPr>
      </w:pPr>
    </w:p>
    <w:p>
      <w:pPr>
        <w:rPr>
          <w:rFonts w:eastAsia="仿宋_GB2312"/>
          <w:sz w:val="24"/>
        </w:rPr>
      </w:pPr>
    </w:p>
    <w:p>
      <w:pPr>
        <w:rPr>
          <w:rFonts w:eastAsia="仿宋_GB2312"/>
          <w:sz w:val="24"/>
        </w:rPr>
      </w:pPr>
    </w:p>
    <w:p>
      <w:bookmarkStart w:id="864" w:name="_Toc320508814"/>
      <w:bookmarkStart w:id="865" w:name="_Toc312741214"/>
      <w:bookmarkStart w:id="866" w:name="_Toc317593259"/>
    </w:p>
    <w:p>
      <w:pPr>
        <w:widowControl/>
        <w:jc w:val="left"/>
        <w:rPr>
          <w:rFonts w:hint="eastAsia" w:ascii="宋体" w:hAnsi="宋体" w:cs="宋体"/>
          <w:sz w:val="24"/>
        </w:rPr>
      </w:pPr>
      <w:r>
        <w:rPr>
          <w:rFonts w:ascii="宋体" w:hAnsi="宋体" w:cs="宋体"/>
          <w:sz w:val="24"/>
        </w:rPr>
        <w:br w:type="page"/>
      </w:r>
    </w:p>
    <w:p>
      <w:pPr>
        <w:adjustRightInd w:val="0"/>
        <w:snapToGrid w:val="0"/>
        <w:spacing w:line="360" w:lineRule="auto"/>
        <w:ind w:firstLine="600" w:firstLineChars="250"/>
        <w:rPr>
          <w:rFonts w:hint="eastAsia" w:ascii="宋体" w:hAnsi="宋体" w:cs="宋体"/>
          <w:sz w:val="24"/>
        </w:rPr>
      </w:pPr>
      <w:r>
        <w:rPr>
          <w:rFonts w:hint="eastAsia" w:ascii="宋体" w:hAnsi="宋体" w:cs="宋体"/>
          <w:sz w:val="24"/>
        </w:rPr>
        <w:t>鉴于</w:t>
      </w:r>
      <w:r>
        <w:rPr>
          <w:rFonts w:hint="eastAsia" w:ascii="宋体" w:hAnsi="宋体" w:cs="宋体"/>
          <w:sz w:val="24"/>
          <w:u w:val="single"/>
        </w:rPr>
        <w:t xml:space="preserve">             </w:t>
      </w:r>
      <w:r>
        <w:rPr>
          <w:rFonts w:hint="eastAsia" w:ascii="宋体" w:hAnsi="宋体" w:cs="宋体"/>
          <w:sz w:val="24"/>
        </w:rPr>
        <w:t>政府采购项目通过公开招标方式，确定乙方为本项目中标人，甲乙双方依据《中华人民共和国民法典》等法律法规，本着友好合作、平等互利的原则，经协商一致，特签订本合同，双方共同信守。</w:t>
      </w:r>
    </w:p>
    <w:p>
      <w:pPr>
        <w:adjustRightInd w:val="0"/>
        <w:snapToGrid w:val="0"/>
        <w:spacing w:line="360" w:lineRule="auto"/>
        <w:rPr>
          <w:rFonts w:hint="eastAsia" w:ascii="宋体" w:hAnsi="宋体" w:cs="宋体"/>
          <w:b/>
          <w:sz w:val="24"/>
        </w:rPr>
      </w:pPr>
      <w:r>
        <w:rPr>
          <w:rFonts w:hint="eastAsia" w:ascii="宋体" w:hAnsi="宋体" w:cs="宋体"/>
          <w:b/>
          <w:sz w:val="24"/>
        </w:rPr>
        <w:t>一、合同名词术语定义</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1.“合同”：系指甲乙双方就本项目建设达成并签署的协议，包括所有的附表、附件以及下面指出的构成合同的所有文件。双方同意下列文件作为本合同不可分割的组成部分,彼此相互解释，相互补充：</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(1)本合同正文及附件；</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(2)中标人中标文件及书面承诺；</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(3)采购人招标文件及附件；</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(4)在合同实施过程中双方共同签署的补充与修正文件。甲乙双方同意在出现合同理解上的歧义时，按照补充与修正文件、本合同正文及其附件、中标文件及书面承诺、招标文件及附件次序优先执行。2.“合同价款”：系指根据本合同规定乙方在正确、全面地履行合同义务后，甲方应支付给乙方的费用金额。</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3. “服务”：系指任何由乙方按合同项下的要求进行的调研、踏勘、监督、检查、编写报告、验收、提供专业管理和咨询服务等必要服务。</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4. “验收” 是指在本项目结束，并具备验收条件后，甲方根据甲方验收程序，对本合同项下服务，组织对项目进行的验收。</w:t>
      </w:r>
    </w:p>
    <w:p>
      <w:pPr>
        <w:adjustRightInd w:val="0"/>
        <w:snapToGrid w:val="0"/>
        <w:spacing w:line="360" w:lineRule="auto"/>
        <w:rPr>
          <w:rFonts w:hint="eastAsia" w:ascii="宋体" w:hAnsi="宋体" w:cs="宋体"/>
          <w:b/>
          <w:sz w:val="24"/>
        </w:rPr>
      </w:pPr>
      <w:r>
        <w:rPr>
          <w:rFonts w:hint="eastAsia" w:ascii="宋体" w:hAnsi="宋体" w:cs="宋体"/>
          <w:b/>
          <w:sz w:val="24"/>
        </w:rPr>
        <w:t>二、服务对象、目的和期限</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1．乙方为甲方提供</w:t>
      </w:r>
      <w:r>
        <w:rPr>
          <w:rFonts w:hint="eastAsia" w:ascii="宋体" w:hAnsi="宋体" w:cs="宋体"/>
          <w:sz w:val="24"/>
          <w:u w:val="single"/>
        </w:rPr>
        <w:t xml:space="preserve">             </w:t>
      </w:r>
      <w:r>
        <w:rPr>
          <w:rFonts w:hint="eastAsia" w:ascii="宋体" w:hAnsi="宋体" w:cs="宋体"/>
          <w:sz w:val="24"/>
        </w:rPr>
        <w:t>的管理咨询服务（以下简称管理咨询）。</w:t>
      </w:r>
    </w:p>
    <w:p>
      <w:pPr>
        <w:adjustRightInd w:val="0"/>
        <w:snapToGrid w:val="0"/>
        <w:spacing w:line="360" w:lineRule="auto"/>
        <w:ind w:firstLine="480" w:firstLineChars="200"/>
        <w:jc w:val="left"/>
        <w:rPr>
          <w:rFonts w:hint="eastAsia" w:ascii="宋体" w:hAnsi="宋体" w:cs="宋体"/>
          <w:sz w:val="24"/>
        </w:rPr>
      </w:pPr>
      <w:r>
        <w:rPr>
          <w:rFonts w:hint="eastAsia" w:ascii="宋体" w:hAnsi="宋体" w:cs="宋体"/>
          <w:sz w:val="24"/>
        </w:rPr>
        <w:t>2．服务目的：乙方为甲方</w:t>
      </w:r>
      <w:r>
        <w:rPr>
          <w:rFonts w:hint="eastAsia" w:ascii="宋体" w:hAnsi="宋体" w:cs="宋体"/>
          <w:sz w:val="24"/>
          <w:u w:val="single"/>
        </w:rPr>
        <w:t xml:space="preserve">             </w:t>
      </w:r>
      <w:r>
        <w:rPr>
          <w:rFonts w:hint="eastAsia" w:ascii="宋体" w:hAnsi="宋体" w:cs="宋体"/>
          <w:sz w:val="24"/>
        </w:rPr>
        <w:t>项目提供全过程服务，确保甲方</w:t>
      </w:r>
      <w:r>
        <w:rPr>
          <w:rFonts w:hint="eastAsia" w:ascii="宋体" w:hAnsi="宋体" w:cs="宋体"/>
          <w:sz w:val="24"/>
          <w:u w:val="single"/>
        </w:rPr>
        <w:t xml:space="preserve">             </w:t>
      </w:r>
      <w:r>
        <w:rPr>
          <w:rFonts w:hint="eastAsia" w:ascii="宋体" w:hAnsi="宋体" w:cs="宋体"/>
          <w:sz w:val="24"/>
        </w:rPr>
        <w:t>项目顺利完成。</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3．合同服务期限为：自合同签订之日起至 2026 年11 月30日。</w:t>
      </w:r>
    </w:p>
    <w:p>
      <w:pPr>
        <w:adjustRightInd w:val="0"/>
        <w:snapToGrid w:val="0"/>
        <w:spacing w:line="360" w:lineRule="auto"/>
        <w:rPr>
          <w:rFonts w:hint="eastAsia" w:ascii="宋体" w:hAnsi="宋体" w:cs="宋体"/>
          <w:b/>
          <w:sz w:val="24"/>
        </w:rPr>
      </w:pPr>
      <w:r>
        <w:rPr>
          <w:rFonts w:ascii="宋体" w:hAnsi="宋体" w:cs="宋体"/>
          <w:b/>
          <w:sz w:val="24"/>
        </w:rPr>
        <w:t>三、合同金额及付款方式</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1．合同金额</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合同总金额为人民币：￥</w:t>
      </w:r>
      <w:r>
        <w:rPr>
          <w:rFonts w:hint="eastAsia" w:ascii="宋体" w:hAnsi="宋体" w:cs="宋体"/>
          <w:sz w:val="24"/>
          <w:u w:val="single"/>
        </w:rPr>
        <w:t xml:space="preserve">             </w:t>
      </w:r>
      <w:r>
        <w:rPr>
          <w:rFonts w:hint="eastAsia" w:ascii="宋体" w:hAnsi="宋体" w:cs="宋体"/>
          <w:sz w:val="24"/>
        </w:rPr>
        <w:t xml:space="preserve"> 大写</w:t>
      </w:r>
      <w:r>
        <w:rPr>
          <w:rFonts w:hint="eastAsia" w:ascii="宋体" w:hAnsi="宋体" w:cs="宋体"/>
          <w:sz w:val="24"/>
          <w:u w:val="single"/>
        </w:rPr>
        <w:t xml:space="preserve">             </w:t>
      </w:r>
      <w:r>
        <w:rPr>
          <w:rFonts w:hint="eastAsia" w:ascii="宋体" w:hAnsi="宋体" w:cs="宋体"/>
          <w:sz w:val="24"/>
        </w:rPr>
        <w:t xml:space="preserve"> 。需要进行财政投资评审/委内部评审的，按照甲方财务规定执行。</w:t>
      </w:r>
    </w:p>
    <w:p>
      <w:pPr>
        <w:numPr>
          <w:ilvl w:val="0"/>
          <w:numId w:val="16"/>
        </w:num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支付和结算方式</w:t>
      </w:r>
    </w:p>
    <w:p>
      <w:pPr>
        <w:adjustRightInd w:val="0"/>
        <w:snapToGrid w:val="0"/>
        <w:spacing w:line="360" w:lineRule="auto"/>
        <w:ind w:firstLine="480"/>
        <w:rPr>
          <w:rFonts w:hint="eastAsia" w:ascii="宋体" w:hAnsi="宋体" w:cs="宋体"/>
          <w:sz w:val="24"/>
        </w:rPr>
      </w:pPr>
      <w:r>
        <w:rPr>
          <w:rFonts w:hint="eastAsia" w:ascii="宋体" w:hAnsi="宋体" w:cs="宋体"/>
          <w:sz w:val="24"/>
        </w:rPr>
        <w:t>双方因本合同发生的一切费用均已包含在合同总金额中，并以人民币结算及支付。双方的帐户名称、开户银行及帐号以本合同提供的为准。</w:t>
      </w:r>
    </w:p>
    <w:p>
      <w:pPr>
        <w:adjustRightInd w:val="0"/>
        <w:snapToGrid w:val="0"/>
        <w:spacing w:line="360" w:lineRule="auto"/>
        <w:ind w:firstLine="480"/>
        <w:rPr>
          <w:rFonts w:hint="eastAsia" w:ascii="宋体" w:hAnsi="宋体" w:cs="宋体"/>
          <w:sz w:val="24"/>
        </w:rPr>
      </w:pPr>
      <w:r>
        <w:rPr>
          <w:rFonts w:hint="eastAsia" w:ascii="宋体" w:hAnsi="宋体" w:cs="宋体"/>
          <w:sz w:val="24"/>
        </w:rPr>
        <w:t>3．价款支付方式</w:t>
      </w:r>
    </w:p>
    <w:p>
      <w:pPr>
        <w:adjustRightInd w:val="0"/>
        <w:snapToGrid w:val="0"/>
        <w:spacing w:line="360" w:lineRule="auto"/>
        <w:ind w:firstLine="480"/>
        <w:rPr>
          <w:rFonts w:hint="eastAsia" w:ascii="宋体" w:hAnsi="宋体" w:cs="宋体"/>
          <w:sz w:val="24"/>
        </w:rPr>
      </w:pPr>
      <w:r>
        <w:rPr>
          <w:rFonts w:hint="eastAsia" w:ascii="宋体" w:hAnsi="宋体" w:cs="宋体"/>
          <w:sz w:val="24"/>
        </w:rPr>
        <w:t>3.1 合同签订后</w:t>
      </w:r>
      <w:r>
        <w:rPr>
          <w:rFonts w:hint="eastAsia" w:ascii="宋体" w:hAnsi="宋体" w:cs="宋体"/>
          <w:sz w:val="24"/>
          <w:u w:val="single"/>
        </w:rPr>
        <w:t xml:space="preserve"> 7 </w:t>
      </w:r>
      <w:r>
        <w:rPr>
          <w:rFonts w:hint="eastAsia" w:ascii="宋体" w:hAnsi="宋体" w:cs="宋体"/>
          <w:sz w:val="24"/>
        </w:rPr>
        <w:t>日内，甲方向乙方支付合同总价格的</w:t>
      </w:r>
      <w:r>
        <w:rPr>
          <w:rFonts w:hint="eastAsia" w:ascii="宋体" w:hAnsi="宋体" w:cs="宋体"/>
          <w:sz w:val="24"/>
          <w:u w:val="single"/>
        </w:rPr>
        <w:t>50</w:t>
      </w:r>
      <w:r>
        <w:rPr>
          <w:rFonts w:hint="eastAsia" w:ascii="宋体" w:hAnsi="宋体" w:cs="宋体"/>
          <w:sz w:val="24"/>
        </w:rPr>
        <w:t xml:space="preserve"> %。即人民币 大写 元整，乙方向甲方出具等额增值税发票；</w:t>
      </w:r>
    </w:p>
    <w:p>
      <w:pPr>
        <w:adjustRightInd w:val="0"/>
        <w:snapToGrid w:val="0"/>
        <w:spacing w:line="360" w:lineRule="auto"/>
        <w:ind w:firstLine="480"/>
        <w:rPr>
          <w:rFonts w:hint="eastAsia" w:ascii="宋体" w:hAnsi="宋体" w:cs="宋体"/>
          <w:sz w:val="24"/>
        </w:rPr>
      </w:pPr>
      <w:r>
        <w:rPr>
          <w:rFonts w:hint="eastAsia" w:ascii="宋体" w:hAnsi="宋体" w:cs="宋体"/>
          <w:sz w:val="24"/>
        </w:rPr>
        <w:t>3.2 首付款后3个月内，甲方向乙方支付合同总价格的</w:t>
      </w:r>
      <w:r>
        <w:rPr>
          <w:rFonts w:hint="eastAsia" w:ascii="宋体" w:hAnsi="宋体" w:cs="宋体"/>
          <w:sz w:val="24"/>
          <w:u w:val="single"/>
        </w:rPr>
        <w:t>20</w:t>
      </w:r>
      <w:r>
        <w:rPr>
          <w:rFonts w:hint="eastAsia" w:ascii="宋体" w:hAnsi="宋体" w:cs="宋体"/>
          <w:sz w:val="24"/>
        </w:rPr>
        <w:t xml:space="preserve"> %。即人民币大写</w:t>
      </w:r>
      <w:r>
        <w:rPr>
          <w:rFonts w:hint="eastAsia" w:ascii="宋体" w:hAnsi="宋体" w:cs="宋体"/>
          <w:sz w:val="24"/>
          <w:u w:val="single"/>
        </w:rPr>
        <w:t xml:space="preserve">    </w:t>
      </w:r>
      <w:r>
        <w:rPr>
          <w:rFonts w:hint="eastAsia" w:ascii="宋体" w:hAnsi="宋体" w:cs="宋体"/>
          <w:sz w:val="24"/>
        </w:rPr>
        <w:t>元整，乙方向甲方出具等额增值税发票；</w:t>
      </w:r>
    </w:p>
    <w:p>
      <w:pPr>
        <w:adjustRightInd w:val="0"/>
        <w:snapToGrid w:val="0"/>
        <w:spacing w:line="360" w:lineRule="auto"/>
        <w:ind w:firstLine="480"/>
        <w:rPr>
          <w:rFonts w:hint="eastAsia" w:ascii="宋体" w:hAnsi="宋体" w:cs="宋体"/>
          <w:sz w:val="24"/>
        </w:rPr>
      </w:pPr>
      <w:r>
        <w:rPr>
          <w:rFonts w:hint="eastAsia" w:ascii="宋体" w:hAnsi="宋体" w:cs="宋体"/>
          <w:sz w:val="24"/>
        </w:rPr>
        <w:t>3.3 项目全部验收合格后</w:t>
      </w:r>
      <w:r>
        <w:rPr>
          <w:rFonts w:hint="eastAsia" w:ascii="宋体" w:hAnsi="宋体" w:cs="宋体"/>
          <w:sz w:val="24"/>
          <w:u w:val="single"/>
        </w:rPr>
        <w:t xml:space="preserve"> 10 </w:t>
      </w:r>
      <w:r>
        <w:rPr>
          <w:rFonts w:hint="eastAsia" w:ascii="宋体" w:hAnsi="宋体" w:cs="宋体"/>
          <w:sz w:val="24"/>
        </w:rPr>
        <w:t>日内，甲方向乙方支付合同总价的</w:t>
      </w:r>
      <w:r>
        <w:rPr>
          <w:rFonts w:hint="eastAsia" w:ascii="宋体" w:hAnsi="宋体" w:cs="宋体"/>
          <w:sz w:val="24"/>
          <w:u w:val="single"/>
        </w:rPr>
        <w:t xml:space="preserve">30 </w:t>
      </w:r>
      <w:r>
        <w:rPr>
          <w:rFonts w:hint="eastAsia" w:ascii="宋体" w:hAnsi="宋体" w:cs="宋体"/>
          <w:sz w:val="24"/>
        </w:rPr>
        <w:t>%，即人民币大写 元整，乙方向甲方出具等额增值税发票；</w:t>
      </w:r>
    </w:p>
    <w:p>
      <w:pPr>
        <w:adjustRightInd w:val="0"/>
        <w:snapToGrid w:val="0"/>
        <w:spacing w:line="360" w:lineRule="auto"/>
        <w:ind w:firstLine="480"/>
        <w:rPr>
          <w:rFonts w:hint="eastAsia" w:ascii="宋体" w:hAnsi="宋体" w:cs="宋体"/>
          <w:sz w:val="24"/>
        </w:rPr>
      </w:pPr>
      <w:r>
        <w:rPr>
          <w:rFonts w:hint="eastAsia" w:ascii="宋体" w:hAnsi="宋体" w:cs="宋体"/>
          <w:sz w:val="24"/>
        </w:rPr>
        <w:t>3.4 乙方负责支付本合同约定应由乙方承担的相关税费，直至合同执行完成。一切税费已由乙方计入合同总价之中。</w:t>
      </w:r>
    </w:p>
    <w:p>
      <w:pPr>
        <w:adjustRightInd w:val="0"/>
        <w:snapToGrid w:val="0"/>
        <w:spacing w:line="360" w:lineRule="auto"/>
        <w:rPr>
          <w:rFonts w:hint="eastAsia" w:ascii="宋体" w:hAnsi="宋体" w:cs="宋体"/>
          <w:b/>
          <w:sz w:val="24"/>
        </w:rPr>
      </w:pPr>
      <w:r>
        <w:rPr>
          <w:rFonts w:ascii="宋体" w:hAnsi="宋体" w:cs="宋体"/>
          <w:b/>
          <w:sz w:val="24"/>
        </w:rPr>
        <w:t>四、服务内容</w:t>
      </w:r>
    </w:p>
    <w:p>
      <w:pPr>
        <w:adjustRightInd w:val="0"/>
        <w:snapToGrid w:val="0"/>
        <w:spacing w:line="360" w:lineRule="auto"/>
        <w:ind w:firstLine="480" w:firstLineChars="200"/>
        <w:rPr>
          <w:rFonts w:hint="eastAsia" w:ascii="宋体" w:hAnsi="宋体" w:cs="宋体"/>
          <w:bCs/>
          <w:sz w:val="24"/>
        </w:rPr>
      </w:pPr>
      <w:r>
        <w:rPr>
          <w:rFonts w:hint="eastAsia" w:ascii="宋体" w:hAnsi="宋体" w:cs="宋体"/>
          <w:bCs/>
          <w:sz w:val="24"/>
          <w:u w:val="single"/>
        </w:rPr>
        <w:t xml:space="preserve">                          </w:t>
      </w:r>
      <w:r>
        <w:rPr>
          <w:rFonts w:hint="eastAsia" w:ascii="宋体" w:hAnsi="宋体" w:cs="宋体"/>
          <w:bCs/>
          <w:sz w:val="24"/>
        </w:rPr>
        <w:t xml:space="preserve">  </w:t>
      </w:r>
    </w:p>
    <w:p>
      <w:pPr>
        <w:adjustRightInd w:val="0"/>
        <w:snapToGrid w:val="0"/>
        <w:spacing w:line="360" w:lineRule="auto"/>
        <w:rPr>
          <w:rFonts w:hint="eastAsia" w:ascii="宋体" w:hAnsi="宋体" w:cs="宋体"/>
          <w:b/>
          <w:sz w:val="24"/>
        </w:rPr>
      </w:pPr>
      <w:r>
        <w:rPr>
          <w:rFonts w:ascii="宋体" w:hAnsi="宋体" w:cs="宋体"/>
          <w:b/>
          <w:sz w:val="24"/>
        </w:rPr>
        <w:t>五、双方责任</w:t>
      </w:r>
    </w:p>
    <w:p>
      <w:pPr>
        <w:adjustRightInd w:val="0"/>
        <w:snapToGrid w:val="0"/>
        <w:spacing w:line="360" w:lineRule="auto"/>
        <w:ind w:firstLine="480" w:firstLineChars="200"/>
        <w:rPr>
          <w:rFonts w:hint="eastAsia" w:ascii="宋体" w:hAnsi="宋体" w:cs="宋体"/>
          <w:bCs/>
          <w:sz w:val="24"/>
        </w:rPr>
      </w:pPr>
      <w:r>
        <w:rPr>
          <w:rFonts w:hint="eastAsia" w:ascii="宋体" w:hAnsi="宋体" w:cs="宋体"/>
          <w:bCs/>
          <w:sz w:val="24"/>
        </w:rPr>
        <w:t>1.甲方责任</w:t>
      </w:r>
    </w:p>
    <w:p>
      <w:pPr>
        <w:adjustRightInd w:val="0"/>
        <w:snapToGrid w:val="0"/>
        <w:spacing w:line="360" w:lineRule="auto"/>
        <w:ind w:firstLine="480" w:firstLineChars="200"/>
        <w:rPr>
          <w:rFonts w:hint="eastAsia" w:ascii="宋体" w:hAnsi="宋体" w:cs="宋体"/>
          <w:bCs/>
          <w:sz w:val="24"/>
        </w:rPr>
      </w:pPr>
      <w:r>
        <w:rPr>
          <w:rFonts w:hint="eastAsia" w:ascii="宋体" w:hAnsi="宋体" w:cs="宋体"/>
          <w:bCs/>
          <w:sz w:val="24"/>
        </w:rPr>
        <w:t>(1)在项目实施过程中，甲方指派项目负责人，并组织有关人员参与本项目的组织管理。</w:t>
      </w:r>
    </w:p>
    <w:p>
      <w:pPr>
        <w:adjustRightInd w:val="0"/>
        <w:snapToGrid w:val="0"/>
        <w:spacing w:line="360" w:lineRule="auto"/>
        <w:ind w:firstLine="480" w:firstLineChars="200"/>
        <w:rPr>
          <w:rFonts w:hint="eastAsia" w:ascii="宋体" w:hAnsi="宋体" w:cs="宋体"/>
          <w:bCs/>
          <w:sz w:val="24"/>
        </w:rPr>
      </w:pPr>
      <w:r>
        <w:rPr>
          <w:rFonts w:hint="eastAsia" w:ascii="宋体" w:hAnsi="宋体" w:cs="宋体"/>
          <w:bCs/>
          <w:sz w:val="24"/>
        </w:rPr>
        <w:t>(2)负责协调乙方在甲方开展工作所需的办公条件。(3)在人员条件允许情况下，甲方派技术人员跟随乙方管理咨询服务人员一起参与，接受乙方技术人员的现场指导，了解可能遇到的问题及处理故障的方法。(4)严格按照合同规定的付款方式向乙方支付合同款项。(5)乙方向甲方提供的内部资料，甲方予以保密，甲方不向任何第三方泄露乙方的商业机密和技术机密。</w:t>
      </w:r>
    </w:p>
    <w:p>
      <w:pPr>
        <w:adjustRightInd w:val="0"/>
        <w:snapToGrid w:val="0"/>
        <w:spacing w:line="360" w:lineRule="auto"/>
        <w:ind w:firstLine="480" w:firstLineChars="200"/>
        <w:rPr>
          <w:rFonts w:hint="eastAsia" w:ascii="宋体" w:hAnsi="宋体" w:cs="宋体"/>
          <w:bCs/>
          <w:sz w:val="24"/>
        </w:rPr>
      </w:pPr>
      <w:r>
        <w:rPr>
          <w:rFonts w:hint="eastAsia" w:ascii="宋体" w:hAnsi="宋体" w:cs="宋体"/>
          <w:bCs/>
          <w:sz w:val="24"/>
        </w:rPr>
        <w:t>2.乙方责任</w:t>
      </w:r>
    </w:p>
    <w:p>
      <w:pPr>
        <w:adjustRightInd w:val="0"/>
        <w:snapToGrid w:val="0"/>
        <w:spacing w:line="360" w:lineRule="auto"/>
        <w:ind w:firstLine="480" w:firstLineChars="200"/>
        <w:rPr>
          <w:rFonts w:hint="eastAsia" w:ascii="宋体" w:hAnsi="宋体" w:cs="宋体"/>
          <w:bCs/>
          <w:sz w:val="24"/>
        </w:rPr>
      </w:pPr>
      <w:r>
        <w:rPr>
          <w:rFonts w:hint="eastAsia" w:ascii="宋体" w:hAnsi="宋体" w:cs="宋体"/>
          <w:bCs/>
          <w:sz w:val="24"/>
        </w:rPr>
        <w:t>(1) 乙方在履行本合同义务期间，应遵守国家有关法律、法规，维护委托人的合法权益。</w:t>
      </w:r>
    </w:p>
    <w:p>
      <w:pPr>
        <w:adjustRightInd w:val="0"/>
        <w:snapToGrid w:val="0"/>
        <w:spacing w:line="360" w:lineRule="auto"/>
        <w:ind w:firstLine="480" w:firstLineChars="200"/>
        <w:rPr>
          <w:rFonts w:hint="eastAsia" w:ascii="宋体" w:hAnsi="宋体" w:cs="宋体"/>
          <w:bCs/>
          <w:sz w:val="24"/>
        </w:rPr>
      </w:pPr>
      <w:r>
        <w:rPr>
          <w:rFonts w:hint="eastAsia" w:ascii="宋体" w:hAnsi="宋体" w:cs="宋体"/>
          <w:bCs/>
          <w:sz w:val="24"/>
        </w:rPr>
        <w:t>(2) 乙方应组建能够满足本项目委托管理咨询服务需要的项目部，并指定一名项目负责人，按照委托管理咨询工作范围和内容完成管理咨询工作。(3) 乙方应按批准的建设内容、建设资金、建设规模和建设标准实施组织管理。受托人应对项目的质量、进度、验收、保修维修进行监督管理。(4)甲方向乙方提供的内部资料乙方应予以保密，乙方承诺不向任何第三方泄露甲方的业务机密。</w:t>
      </w:r>
    </w:p>
    <w:p>
      <w:pPr>
        <w:adjustRightInd w:val="0"/>
        <w:snapToGrid w:val="0"/>
        <w:spacing w:line="360" w:lineRule="auto"/>
        <w:ind w:firstLine="480" w:firstLineChars="200"/>
        <w:rPr>
          <w:rFonts w:hint="eastAsia" w:ascii="宋体" w:hAnsi="宋体" w:cs="宋体"/>
          <w:bCs/>
          <w:sz w:val="24"/>
        </w:rPr>
      </w:pPr>
      <w:r>
        <w:rPr>
          <w:rFonts w:hint="eastAsia" w:ascii="宋体" w:hAnsi="宋体" w:cs="宋体"/>
          <w:bCs/>
          <w:sz w:val="24"/>
        </w:rPr>
        <w:t>(5)乙方应按合同规定时间提交相关的技术服务及实施文件，并积极配合甲方对服务项目进行验收评估。本合同验收由双方共同进行或按相关规定进行。(6) 乙方应充分了解甲方的需求，并有责任向甲方阐述对业务需求的理解，以求达成理解一致。</w:t>
      </w:r>
    </w:p>
    <w:p>
      <w:pPr>
        <w:adjustRightInd w:val="0"/>
        <w:snapToGrid w:val="0"/>
        <w:spacing w:line="360" w:lineRule="auto"/>
        <w:ind w:firstLine="480" w:firstLineChars="200"/>
        <w:rPr>
          <w:rFonts w:hint="eastAsia" w:ascii="宋体" w:hAnsi="宋体" w:cs="宋体"/>
          <w:bCs/>
          <w:sz w:val="24"/>
        </w:rPr>
      </w:pPr>
      <w:r>
        <w:rPr>
          <w:rFonts w:hint="eastAsia" w:ascii="宋体" w:hAnsi="宋体" w:cs="宋体"/>
          <w:bCs/>
          <w:sz w:val="24"/>
        </w:rPr>
        <w:t>（7）乙方应按有关规定建立项目建设档案，在委托管理咨询项目完成后将工程档案、财务档案及相关资料向委托人和有关部门移交。乙方若不能完整交付管理咨询服务需提交或约定应当提交的文件和文档，必须负责补齐，否则视为未按合同约定提供服务或验收不合格。</w:t>
      </w:r>
    </w:p>
    <w:p>
      <w:pPr>
        <w:adjustRightInd w:val="0"/>
        <w:snapToGrid w:val="0"/>
        <w:spacing w:line="360" w:lineRule="auto"/>
        <w:ind w:firstLine="480" w:firstLineChars="200"/>
        <w:rPr>
          <w:rFonts w:hint="eastAsia" w:ascii="宋体" w:hAnsi="宋体" w:cs="宋体"/>
          <w:bCs/>
          <w:sz w:val="24"/>
        </w:rPr>
      </w:pPr>
      <w:r>
        <w:rPr>
          <w:rFonts w:hint="eastAsia" w:ascii="宋体" w:hAnsi="宋体" w:cs="宋体"/>
          <w:bCs/>
          <w:sz w:val="24"/>
        </w:rPr>
        <w:t>（8）乙方应对项目资金进行独立建账，并按照相关内容使用。</w:t>
      </w:r>
    </w:p>
    <w:p>
      <w:pPr>
        <w:adjustRightInd w:val="0"/>
        <w:snapToGrid w:val="0"/>
        <w:spacing w:line="360" w:lineRule="auto"/>
        <w:ind w:firstLine="480" w:firstLineChars="200"/>
        <w:rPr>
          <w:rFonts w:hint="eastAsia" w:ascii="宋体" w:hAnsi="宋体" w:cs="宋体"/>
          <w:bCs/>
          <w:sz w:val="24"/>
        </w:rPr>
      </w:pPr>
      <w:r>
        <w:rPr>
          <w:rFonts w:hint="eastAsia" w:ascii="宋体" w:hAnsi="宋体" w:cs="宋体"/>
          <w:bCs/>
          <w:sz w:val="24"/>
        </w:rPr>
        <w:t>（9）乙方完全遵守《中华人民共和国妇女权益保障法》中关于“劳动和社会保障权益”的有关要求。</w:t>
      </w:r>
    </w:p>
    <w:p>
      <w:pPr>
        <w:adjustRightInd w:val="0"/>
        <w:snapToGrid w:val="0"/>
        <w:spacing w:line="360" w:lineRule="auto"/>
        <w:rPr>
          <w:rFonts w:hint="eastAsia" w:ascii="宋体" w:hAnsi="宋体" w:cs="宋体"/>
          <w:b/>
          <w:sz w:val="24"/>
        </w:rPr>
      </w:pPr>
      <w:r>
        <w:rPr>
          <w:rFonts w:ascii="宋体" w:hAnsi="宋体" w:cs="宋体"/>
          <w:b/>
          <w:sz w:val="24"/>
        </w:rPr>
        <w:t>六、不可抗力</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由于不可抗力的原因，阻止、限制、延迟或干扰双方履行本合同，则应免除双方因不可抗力所延迟或阻止的部分合同的履行责任，但是，双方应采取合理的措施避免或消除该等造成不履行的原因，并且一旦该等原因被消除，则双方应继续履行原受消除原因影响的条款。不可抗力事件系指买卖双方在缔结合同时所不能预见的、并且它的发生及其后果是无法避免和无法克服的事件，诸如战争、严重火灾、水灾、洪水、台风、地震等。</w:t>
      </w:r>
    </w:p>
    <w:p>
      <w:pPr>
        <w:adjustRightInd w:val="0"/>
        <w:snapToGrid w:val="0"/>
        <w:spacing w:line="360" w:lineRule="auto"/>
        <w:rPr>
          <w:rFonts w:hint="eastAsia" w:ascii="宋体" w:hAnsi="宋体" w:cs="宋体"/>
          <w:b/>
          <w:sz w:val="24"/>
        </w:rPr>
      </w:pPr>
      <w:r>
        <w:rPr>
          <w:rFonts w:hint="eastAsia" w:ascii="宋体" w:hAnsi="宋体" w:cs="宋体"/>
          <w:b/>
          <w:sz w:val="24"/>
        </w:rPr>
        <w:t>七、违约合同终止</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若合同一方有足够证据证明合同另一方未在规定时间或规定的内容履行本合同项下规定义务导致合同目的无法实现的，可向对方提出书面违约通知，提出解除部分或全部合同，合同中未解除的部分应继续履行。</w:t>
      </w:r>
    </w:p>
    <w:p>
      <w:pPr>
        <w:adjustRightInd w:val="0"/>
        <w:snapToGrid w:val="0"/>
        <w:spacing w:line="360" w:lineRule="auto"/>
        <w:rPr>
          <w:rFonts w:hint="eastAsia" w:ascii="宋体" w:hAnsi="宋体" w:cs="宋体"/>
          <w:b/>
          <w:bCs/>
          <w:sz w:val="24"/>
        </w:rPr>
      </w:pPr>
      <w:r>
        <w:rPr>
          <w:rFonts w:hint="eastAsia" w:ascii="宋体" w:hAnsi="宋体" w:cs="宋体"/>
          <w:b/>
          <w:bCs/>
          <w:sz w:val="24"/>
        </w:rPr>
        <w:t>八、破产合同终止</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如合同一方破产或有证据证明其无清偿能力，另一方可在任何时候以书面形式通知对方，提出终止合同而不给对方补偿。或要求资产保全防止损失扩大。本合同的终止将不影响乙方采取或将要采取的任何行动或补救措施的权力。</w:t>
      </w:r>
    </w:p>
    <w:p>
      <w:pPr>
        <w:adjustRightInd w:val="0"/>
        <w:snapToGrid w:val="0"/>
        <w:spacing w:line="360" w:lineRule="auto"/>
        <w:rPr>
          <w:rFonts w:hint="eastAsia" w:ascii="宋体" w:hAnsi="宋体" w:cs="宋体"/>
          <w:b/>
          <w:bCs/>
          <w:sz w:val="24"/>
        </w:rPr>
      </w:pPr>
      <w:r>
        <w:rPr>
          <w:rFonts w:hint="eastAsia" w:ascii="宋体" w:hAnsi="宋体" w:cs="宋体"/>
          <w:b/>
          <w:bCs/>
          <w:sz w:val="24"/>
        </w:rPr>
        <w:t>九、合同修改</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任何对合同条款的变更或修改均须甲乙双方签订书面补充协议。</w:t>
      </w:r>
    </w:p>
    <w:p>
      <w:pPr>
        <w:adjustRightInd w:val="0"/>
        <w:snapToGrid w:val="0"/>
        <w:spacing w:line="360" w:lineRule="auto"/>
        <w:rPr>
          <w:rFonts w:hint="eastAsia" w:ascii="宋体" w:hAnsi="宋体" w:cs="宋体"/>
          <w:b/>
          <w:bCs/>
          <w:sz w:val="24"/>
        </w:rPr>
      </w:pPr>
      <w:r>
        <w:rPr>
          <w:rFonts w:hint="eastAsia" w:ascii="宋体" w:hAnsi="宋体" w:cs="宋体"/>
          <w:b/>
          <w:bCs/>
          <w:sz w:val="24"/>
        </w:rPr>
        <w:t>十、转让与分包</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本合同主体部分不得分包。甲方保留对技术上有特殊要求的部分合同内容采用指定分包的权利。除非甲方同意，乙方不得转让其应履行的合同项下的义务。</w:t>
      </w:r>
    </w:p>
    <w:p>
      <w:pPr>
        <w:adjustRightInd w:val="0"/>
        <w:snapToGrid w:val="0"/>
        <w:spacing w:line="360" w:lineRule="auto"/>
        <w:rPr>
          <w:rFonts w:hint="eastAsia" w:ascii="宋体" w:hAnsi="宋体" w:cs="宋体"/>
          <w:b/>
          <w:bCs/>
          <w:sz w:val="24"/>
        </w:rPr>
      </w:pPr>
      <w:r>
        <w:rPr>
          <w:rFonts w:hint="eastAsia" w:ascii="宋体" w:hAnsi="宋体" w:cs="宋体"/>
          <w:b/>
          <w:bCs/>
          <w:sz w:val="24"/>
        </w:rPr>
        <w:t>十一、适用法律</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本合同适用中华人民共和国法律。</w:t>
      </w:r>
    </w:p>
    <w:p>
      <w:pPr>
        <w:adjustRightInd w:val="0"/>
        <w:snapToGrid w:val="0"/>
        <w:spacing w:line="360" w:lineRule="auto"/>
        <w:rPr>
          <w:rFonts w:hint="eastAsia" w:ascii="宋体" w:hAnsi="宋体" w:cs="宋体"/>
          <w:b/>
          <w:bCs/>
          <w:sz w:val="24"/>
        </w:rPr>
      </w:pPr>
      <w:r>
        <w:rPr>
          <w:rFonts w:hint="eastAsia" w:ascii="宋体" w:hAnsi="宋体" w:cs="宋体"/>
          <w:b/>
          <w:bCs/>
          <w:sz w:val="24"/>
        </w:rPr>
        <w:t>十二、违约金及损失赔偿</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1.违反本合同约定，违约方应按照《中华人民共和国民法典》有关条款的规定承担违约责任。</w:t>
      </w:r>
    </w:p>
    <w:p>
      <w:pPr>
        <w:adjustRightInd w:val="0"/>
        <w:snapToGrid w:val="0"/>
        <w:spacing w:line="360" w:lineRule="auto"/>
        <w:ind w:firstLine="480" w:firstLineChars="200"/>
        <w:rPr>
          <w:rFonts w:hint="eastAsia" w:ascii="宋体" w:hAnsi="宋体" w:cs="宋体"/>
          <w:b/>
          <w:bCs/>
          <w:sz w:val="24"/>
        </w:rPr>
      </w:pPr>
      <w:r>
        <w:rPr>
          <w:rFonts w:hint="eastAsia" w:ascii="宋体" w:hAnsi="宋体" w:cs="宋体"/>
          <w:sz w:val="24"/>
        </w:rPr>
        <w:t>2.由乙方的过错造成工作延误，每延误</w:t>
      </w:r>
      <w:r>
        <w:rPr>
          <w:rFonts w:hint="eastAsia" w:ascii="宋体" w:hAnsi="宋体" w:cs="宋体"/>
          <w:sz w:val="24"/>
          <w:u w:val="single"/>
        </w:rPr>
        <w:t xml:space="preserve"> 5 </w:t>
      </w:r>
      <w:r>
        <w:rPr>
          <w:rFonts w:hint="eastAsia" w:ascii="宋体" w:hAnsi="宋体" w:cs="宋体"/>
          <w:sz w:val="24"/>
        </w:rPr>
        <w:t>个工作日，乙方同意甲方扣除合同金额的</w:t>
      </w:r>
      <w:r>
        <w:rPr>
          <w:rFonts w:hint="eastAsia" w:ascii="宋体" w:hAnsi="宋体" w:cs="宋体"/>
          <w:sz w:val="24"/>
          <w:u w:val="single"/>
        </w:rPr>
        <w:t xml:space="preserve">1 </w:t>
      </w:r>
      <w:r>
        <w:rPr>
          <w:rFonts w:hint="eastAsia" w:ascii="宋体" w:hAnsi="宋体" w:cs="宋体"/>
          <w:sz w:val="24"/>
        </w:rPr>
        <w:t>‰违约金，不满</w:t>
      </w:r>
      <w:r>
        <w:rPr>
          <w:rFonts w:hint="eastAsia" w:ascii="宋体" w:hAnsi="宋体" w:cs="宋体"/>
          <w:sz w:val="24"/>
          <w:u w:val="single"/>
        </w:rPr>
        <w:t xml:space="preserve"> 5 </w:t>
      </w:r>
      <w:r>
        <w:rPr>
          <w:rFonts w:hint="eastAsia" w:ascii="宋体" w:hAnsi="宋体" w:cs="宋体"/>
          <w:sz w:val="24"/>
        </w:rPr>
        <w:t>个工作日按</w:t>
      </w:r>
      <w:r>
        <w:rPr>
          <w:rFonts w:hint="eastAsia" w:ascii="宋体" w:hAnsi="宋体" w:cs="宋体"/>
          <w:sz w:val="24"/>
          <w:u w:val="single"/>
        </w:rPr>
        <w:t xml:space="preserve"> 5 </w:t>
      </w:r>
      <w:r>
        <w:rPr>
          <w:rFonts w:hint="eastAsia" w:ascii="宋体" w:hAnsi="宋体" w:cs="宋体"/>
          <w:sz w:val="24"/>
        </w:rPr>
        <w:t>个工作日计算，就乙方过错造成工作延误而言，违约赔偿总额不超过合同总额的</w:t>
      </w:r>
      <w:r>
        <w:rPr>
          <w:rFonts w:hint="eastAsia" w:ascii="宋体" w:hAnsi="宋体" w:cs="宋体"/>
          <w:sz w:val="24"/>
          <w:u w:val="single"/>
        </w:rPr>
        <w:t xml:space="preserve"> 5 </w:t>
      </w:r>
      <w:r>
        <w:rPr>
          <w:rFonts w:hint="eastAsia" w:ascii="宋体" w:hAnsi="宋体" w:cs="宋体"/>
          <w:sz w:val="24"/>
        </w:rPr>
        <w:t>％。</w:t>
      </w:r>
      <w:r>
        <w:rPr>
          <w:rFonts w:hint="eastAsia" w:ascii="宋体" w:hAnsi="宋体" w:cs="宋体"/>
          <w:sz w:val="24"/>
        </w:rPr>
        <w:br w:type="textWrapping"/>
      </w:r>
      <w:r>
        <w:rPr>
          <w:rFonts w:ascii="宋体" w:hAnsi="宋体" w:cs="宋体"/>
          <w:b/>
          <w:bCs/>
          <w:sz w:val="24"/>
        </w:rPr>
        <w:t>十三、解决合同纠纷的方式</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1.甲、乙双方在合同履行过程中发生的一切争议，均应通过双方友好协商解决。如果协商开始后</w:t>
      </w:r>
      <w:r>
        <w:rPr>
          <w:rFonts w:hint="eastAsia" w:ascii="宋体" w:hAnsi="宋体" w:cs="宋体"/>
          <w:sz w:val="24"/>
          <w:u w:val="single"/>
        </w:rPr>
        <w:t xml:space="preserve"> 30 </w:t>
      </w:r>
      <w:r>
        <w:rPr>
          <w:rFonts w:hint="eastAsia" w:ascii="宋体" w:hAnsi="宋体" w:cs="宋体"/>
          <w:sz w:val="24"/>
        </w:rPr>
        <w:t>天还未解决，双方同意选择第 2 种方式解决纠纷：</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（1）由甲方所在地有管辖权的人民法院判决。</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（2）由北京仲裁委员会仲裁。</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仲裁由北京仲裁委员会按其仲裁规则和程序在北京进行。除非双方另行同意，仲裁的官方语言应为中文。仲裁裁决应为最终裁决，对双方均具有约束力。除另有裁决外，仲裁费由败诉方负担。</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2.诉讼、仲裁期间，除正在进行的诉讼、仲裁部分外，合同其它部分继续执行。</w:t>
      </w:r>
    </w:p>
    <w:p>
      <w:pPr>
        <w:adjustRightInd w:val="0"/>
        <w:snapToGrid w:val="0"/>
        <w:spacing w:line="360" w:lineRule="auto"/>
        <w:rPr>
          <w:rFonts w:hint="eastAsia" w:ascii="宋体" w:hAnsi="宋体" w:cs="宋体"/>
          <w:b/>
          <w:bCs/>
          <w:sz w:val="24"/>
        </w:rPr>
      </w:pPr>
      <w:r>
        <w:rPr>
          <w:rFonts w:ascii="宋体" w:hAnsi="宋体" w:cs="宋体"/>
          <w:b/>
          <w:bCs/>
          <w:sz w:val="24"/>
        </w:rPr>
        <w:t>十四、合同生效及其他</w:t>
      </w:r>
    </w:p>
    <w:bookmarkEnd w:id="864"/>
    <w:bookmarkEnd w:id="865"/>
    <w:bookmarkEnd w:id="866"/>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1. 下列条件全部符合后，合同生效：</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双方法定代表人或授权代表签章并加盖单位公章或合同专用章。</w:t>
      </w:r>
    </w:p>
    <w:p>
      <w:pPr>
        <w:numPr>
          <w:ilvl w:val="0"/>
          <w:numId w:val="16"/>
        </w:num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下述合同附件为本合同不可分割的部分并与本合同具有同等效力：</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（1）招标文件</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（2）投标文件（如被甲方接受）</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（3）中标/成交通知书</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3. 本合同一式</w:t>
      </w:r>
      <w:r>
        <w:rPr>
          <w:rFonts w:hint="eastAsia" w:ascii="宋体" w:hAnsi="宋体" w:cs="宋体"/>
          <w:sz w:val="24"/>
          <w:u w:val="single"/>
        </w:rPr>
        <w:t xml:space="preserve"> 陆 </w:t>
      </w:r>
      <w:r>
        <w:rPr>
          <w:rFonts w:hint="eastAsia" w:ascii="宋体" w:hAnsi="宋体" w:cs="宋体"/>
          <w:sz w:val="24"/>
        </w:rPr>
        <w:t>份，具有同等法律效力。甲方</w:t>
      </w:r>
      <w:r>
        <w:rPr>
          <w:rFonts w:hint="eastAsia" w:ascii="宋体" w:hAnsi="宋体" w:cs="宋体"/>
          <w:sz w:val="24"/>
          <w:u w:val="single"/>
        </w:rPr>
        <w:t>叁</w:t>
      </w:r>
      <w:r>
        <w:rPr>
          <w:rFonts w:hint="eastAsia" w:ascii="宋体" w:hAnsi="宋体" w:cs="宋体"/>
          <w:sz w:val="24"/>
        </w:rPr>
        <w:t>份，乙方</w:t>
      </w:r>
      <w:r>
        <w:rPr>
          <w:rFonts w:hint="eastAsia" w:ascii="宋体" w:hAnsi="宋体" w:cs="宋体"/>
          <w:sz w:val="24"/>
          <w:u w:val="single"/>
        </w:rPr>
        <w:t>叁</w:t>
      </w:r>
      <w:r>
        <w:rPr>
          <w:rFonts w:hint="eastAsia" w:ascii="宋体" w:hAnsi="宋体" w:cs="宋体"/>
          <w:sz w:val="24"/>
        </w:rPr>
        <w:t>份，均具有同等法律效力。</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4. 本合同满足条款规定的生效条件后即生效，至双方均履行完各自的合同义务后终止。但有关违约、索赔及争端解决的条款除外。</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5.合同之未尽事宜，双方本着相互信任和谅解的原则，友好协商解决并签订补充协议。</w:t>
      </w:r>
    </w:p>
    <w:p>
      <w:pPr>
        <w:widowControl/>
        <w:spacing w:line="460" w:lineRule="exact"/>
        <w:rPr>
          <w:rFonts w:hint="eastAsia" w:ascii="宋体" w:hAnsi="宋体" w:cs="宋体"/>
          <w:sz w:val="24"/>
        </w:rPr>
      </w:pPr>
    </w:p>
    <w:p>
      <w:pPr>
        <w:widowControl/>
        <w:spacing w:line="460" w:lineRule="exact"/>
        <w:rPr>
          <w:rFonts w:hint="eastAsia" w:ascii="宋体" w:hAnsi="宋体" w:cs="宋体"/>
          <w:sz w:val="24"/>
        </w:rPr>
      </w:pPr>
      <w:r>
        <w:rPr>
          <w:rFonts w:hint="eastAsia" w:ascii="宋体" w:hAnsi="宋体" w:cs="宋体"/>
          <w:sz w:val="24"/>
        </w:rPr>
        <w:t>甲方：</w:t>
      </w:r>
      <w:r>
        <w:rPr>
          <w:rFonts w:hint="eastAsia" w:ascii="宋体" w:hAnsi="宋体" w:cs="宋体"/>
          <w:sz w:val="24"/>
          <w:u w:val="single"/>
        </w:rPr>
        <w:t xml:space="preserve">  北京市文化和旅游局  </w:t>
      </w:r>
      <w:r>
        <w:rPr>
          <w:rFonts w:hint="eastAsia" w:ascii="宋体" w:hAnsi="宋体" w:cs="宋体"/>
          <w:sz w:val="24"/>
        </w:rPr>
        <w:t xml:space="preserve">     乙方：</w:t>
      </w:r>
      <w:r>
        <w:rPr>
          <w:rFonts w:hint="eastAsia" w:ascii="宋体" w:hAnsi="宋体" w:cs="宋体"/>
          <w:sz w:val="24"/>
          <w:u w:val="single"/>
        </w:rPr>
        <w:t xml:space="preserve">                        </w:t>
      </w:r>
      <w:r>
        <w:rPr>
          <w:rFonts w:hint="eastAsia" w:ascii="宋体" w:hAnsi="宋体" w:cs="宋体"/>
          <w:sz w:val="24"/>
        </w:rPr>
        <w:t xml:space="preserve">             </w:t>
      </w:r>
    </w:p>
    <w:p>
      <w:pPr>
        <w:widowControl/>
        <w:spacing w:line="460" w:lineRule="exact"/>
        <w:jc w:val="center"/>
        <w:rPr>
          <w:rFonts w:hint="eastAsia" w:ascii="宋体" w:hAnsi="宋体" w:cs="宋体"/>
          <w:sz w:val="24"/>
        </w:rPr>
      </w:pPr>
      <w:r>
        <w:rPr>
          <w:rFonts w:hint="eastAsia" w:ascii="宋体" w:hAnsi="宋体" w:cs="宋体"/>
          <w:sz w:val="24"/>
        </w:rPr>
        <w:t>（加盖公章）                     （加盖公章）</w:t>
      </w:r>
    </w:p>
    <w:p>
      <w:pPr>
        <w:widowControl/>
        <w:spacing w:line="460" w:lineRule="exact"/>
        <w:rPr>
          <w:rFonts w:hint="eastAsia" w:ascii="宋体" w:hAnsi="宋体" w:cs="宋体"/>
          <w:sz w:val="24"/>
        </w:rPr>
      </w:pPr>
      <w:r>
        <w:rPr>
          <w:rFonts w:hint="eastAsia" w:ascii="宋体" w:hAnsi="宋体" w:cs="宋体"/>
          <w:sz w:val="24"/>
        </w:rPr>
        <w:t>法定代表人或委托代理人：          法定代表人或委托代理人：</w:t>
      </w:r>
    </w:p>
    <w:p>
      <w:pPr>
        <w:widowControl/>
        <w:spacing w:line="460" w:lineRule="exact"/>
        <w:jc w:val="center"/>
        <w:rPr>
          <w:rFonts w:hint="eastAsia" w:ascii="宋体" w:hAnsi="宋体" w:cs="宋体"/>
          <w:sz w:val="24"/>
        </w:rPr>
      </w:pPr>
      <w:r>
        <w:rPr>
          <w:rFonts w:hint="eastAsia" w:ascii="宋体" w:hAnsi="宋体" w:cs="宋体"/>
          <w:sz w:val="24"/>
        </w:rPr>
        <w:t>（签字或签章）                   （签字或签章）</w:t>
      </w:r>
    </w:p>
    <w:p>
      <w:pPr>
        <w:widowControl/>
        <w:spacing w:line="460" w:lineRule="exact"/>
        <w:rPr>
          <w:rFonts w:hint="eastAsia" w:ascii="宋体" w:hAnsi="宋体" w:cs="宋体"/>
          <w:sz w:val="24"/>
        </w:rPr>
      </w:pPr>
    </w:p>
    <w:p>
      <w:pPr>
        <w:widowControl/>
        <w:spacing w:line="460" w:lineRule="exact"/>
        <w:rPr>
          <w:rFonts w:hint="eastAsia" w:ascii="宋体" w:hAnsi="宋体" w:cs="宋体"/>
          <w:sz w:val="24"/>
        </w:rPr>
      </w:pPr>
    </w:p>
    <w:p>
      <w:pPr>
        <w:widowControl/>
        <w:spacing w:line="460" w:lineRule="exact"/>
        <w:rPr>
          <w:rFonts w:hint="eastAsia" w:ascii="宋体" w:hAnsi="宋体" w:cs="宋体"/>
          <w:sz w:val="24"/>
        </w:rPr>
      </w:pPr>
      <w:r>
        <w:rPr>
          <w:rFonts w:hint="eastAsia" w:ascii="宋体" w:hAnsi="宋体" w:cs="宋体"/>
          <w:sz w:val="24"/>
        </w:rPr>
        <w:t xml:space="preserve"> </w:t>
      </w:r>
      <w:r>
        <w:rPr>
          <w:rFonts w:hint="eastAsia" w:ascii="宋体" w:hAnsi="宋体" w:cs="宋体"/>
          <w:sz w:val="24"/>
          <w:u w:val="single"/>
        </w:rPr>
        <w:t xml:space="preserve">                           </w:t>
      </w:r>
      <w:r>
        <w:rPr>
          <w:rFonts w:hint="eastAsia" w:ascii="宋体" w:hAnsi="宋体" w:cs="宋体"/>
          <w:sz w:val="24"/>
        </w:rPr>
        <w:t xml:space="preserve">       </w:t>
      </w:r>
      <w:r>
        <w:rPr>
          <w:rFonts w:hint="eastAsia" w:ascii="宋体" w:hAnsi="宋体" w:cs="宋体"/>
          <w:sz w:val="24"/>
          <w:u w:val="single"/>
        </w:rPr>
        <w:t xml:space="preserve">                            </w:t>
      </w:r>
      <w:r>
        <w:rPr>
          <w:rFonts w:hint="eastAsia" w:ascii="宋体" w:hAnsi="宋体" w:cs="宋体"/>
          <w:sz w:val="24"/>
        </w:rPr>
        <w:t xml:space="preserve"> </w:t>
      </w:r>
    </w:p>
    <w:p>
      <w:pPr>
        <w:widowControl/>
        <w:spacing w:line="460" w:lineRule="exact"/>
        <w:rPr>
          <w:rFonts w:hint="eastAsia" w:ascii="宋体" w:hAnsi="宋体" w:cs="宋体"/>
          <w:sz w:val="24"/>
        </w:rPr>
      </w:pPr>
      <w:r>
        <w:rPr>
          <w:rFonts w:hint="eastAsia" w:ascii="宋体" w:hAnsi="宋体" w:cs="宋体"/>
          <w:sz w:val="24"/>
        </w:rPr>
        <w:t>地址：</w:t>
      </w:r>
      <w:r>
        <w:rPr>
          <w:rFonts w:hint="eastAsia" w:ascii="宋体" w:hAnsi="宋体" w:cs="宋体"/>
          <w:sz w:val="24"/>
          <w:u w:val="single"/>
        </w:rPr>
        <w:t xml:space="preserve">                      </w:t>
      </w:r>
      <w:r>
        <w:rPr>
          <w:rFonts w:hint="eastAsia" w:ascii="宋体" w:hAnsi="宋体" w:cs="宋体"/>
          <w:sz w:val="24"/>
        </w:rPr>
        <w:t xml:space="preserve">       地址：</w:t>
      </w:r>
      <w:r>
        <w:rPr>
          <w:rFonts w:hint="eastAsia" w:ascii="宋体" w:hAnsi="宋体" w:cs="宋体"/>
          <w:sz w:val="24"/>
          <w:u w:val="single"/>
        </w:rPr>
        <w:t xml:space="preserve">                      </w:t>
      </w:r>
    </w:p>
    <w:p>
      <w:pPr>
        <w:widowControl/>
        <w:spacing w:line="460" w:lineRule="exact"/>
        <w:rPr>
          <w:rFonts w:hint="eastAsia" w:ascii="宋体" w:hAnsi="宋体" w:cs="宋体"/>
          <w:sz w:val="24"/>
          <w:u w:val="single"/>
        </w:rPr>
      </w:pPr>
      <w:r>
        <w:rPr>
          <w:rFonts w:hint="eastAsia" w:ascii="宋体" w:hAnsi="宋体" w:cs="宋体"/>
          <w:sz w:val="24"/>
        </w:rPr>
        <w:t>开户行：</w:t>
      </w:r>
      <w:r>
        <w:rPr>
          <w:rFonts w:hint="eastAsia" w:ascii="宋体" w:hAnsi="宋体" w:cs="宋体"/>
          <w:sz w:val="24"/>
          <w:u w:val="single"/>
        </w:rPr>
        <w:t xml:space="preserve">                    </w:t>
      </w:r>
      <w:r>
        <w:rPr>
          <w:rFonts w:hint="eastAsia" w:ascii="宋体" w:hAnsi="宋体" w:cs="宋体"/>
          <w:sz w:val="24"/>
        </w:rPr>
        <w:t xml:space="preserve">       开户行：</w:t>
      </w:r>
      <w:r>
        <w:rPr>
          <w:rFonts w:hint="eastAsia" w:ascii="宋体" w:hAnsi="宋体" w:cs="宋体"/>
          <w:sz w:val="24"/>
          <w:u w:val="single"/>
        </w:rPr>
        <w:t xml:space="preserve">                    </w:t>
      </w:r>
    </w:p>
    <w:p>
      <w:pPr>
        <w:widowControl/>
        <w:spacing w:line="460" w:lineRule="exact"/>
        <w:rPr>
          <w:rFonts w:hint="eastAsia" w:ascii="宋体" w:hAnsi="宋体" w:cs="宋体"/>
          <w:sz w:val="24"/>
          <w:u w:val="single"/>
        </w:rPr>
      </w:pPr>
      <w:r>
        <w:rPr>
          <w:rFonts w:hint="eastAsia" w:ascii="宋体" w:hAnsi="宋体" w:cs="宋体"/>
          <w:sz w:val="24"/>
        </w:rPr>
        <w:t>银行地址：</w:t>
      </w:r>
      <w:r>
        <w:rPr>
          <w:rFonts w:hint="eastAsia" w:ascii="宋体" w:hAnsi="宋体" w:cs="宋体"/>
          <w:sz w:val="24"/>
          <w:u w:val="single"/>
        </w:rPr>
        <w:t xml:space="preserve">                  </w:t>
      </w:r>
      <w:r>
        <w:rPr>
          <w:rFonts w:hint="eastAsia" w:ascii="宋体" w:hAnsi="宋体" w:cs="宋体"/>
          <w:sz w:val="24"/>
        </w:rPr>
        <w:t xml:space="preserve">       银行地址：</w:t>
      </w:r>
      <w:r>
        <w:rPr>
          <w:rFonts w:hint="eastAsia" w:ascii="宋体" w:hAnsi="宋体" w:cs="宋体"/>
          <w:sz w:val="24"/>
          <w:u w:val="single"/>
        </w:rPr>
        <w:t xml:space="preserve">                  </w:t>
      </w:r>
    </w:p>
    <w:p>
      <w:pPr>
        <w:widowControl/>
        <w:spacing w:line="460" w:lineRule="exact"/>
        <w:rPr>
          <w:rFonts w:hint="eastAsia" w:ascii="宋体" w:hAnsi="宋体" w:cs="宋体"/>
          <w:sz w:val="24"/>
          <w:u w:val="single"/>
        </w:rPr>
      </w:pPr>
      <w:r>
        <w:rPr>
          <w:rFonts w:hint="eastAsia" w:ascii="宋体" w:hAnsi="宋体" w:cs="宋体"/>
          <w:sz w:val="24"/>
        </w:rPr>
        <w:t>户名：</w:t>
      </w:r>
      <w:r>
        <w:rPr>
          <w:rFonts w:hint="eastAsia" w:ascii="宋体" w:hAnsi="宋体" w:cs="宋体"/>
          <w:sz w:val="24"/>
          <w:u w:val="single"/>
        </w:rPr>
        <w:t xml:space="preserve">                       </w:t>
      </w:r>
      <w:r>
        <w:rPr>
          <w:rFonts w:hint="eastAsia" w:ascii="宋体" w:hAnsi="宋体" w:cs="宋体"/>
          <w:sz w:val="24"/>
        </w:rPr>
        <w:t xml:space="preserve">      户名：</w:t>
      </w:r>
      <w:r>
        <w:rPr>
          <w:rFonts w:hint="eastAsia" w:ascii="宋体" w:hAnsi="宋体" w:cs="宋体"/>
          <w:sz w:val="24"/>
          <w:u w:val="single"/>
        </w:rPr>
        <w:t xml:space="preserve">                      </w:t>
      </w:r>
    </w:p>
    <w:p>
      <w:pPr>
        <w:widowControl/>
        <w:spacing w:line="460" w:lineRule="exact"/>
        <w:rPr>
          <w:rFonts w:hint="eastAsia" w:ascii="宋体" w:hAnsi="宋体" w:cs="宋体"/>
          <w:sz w:val="24"/>
        </w:rPr>
      </w:pPr>
      <w:r>
        <w:rPr>
          <w:rFonts w:hint="eastAsia" w:ascii="宋体" w:hAnsi="宋体" w:cs="宋体"/>
          <w:sz w:val="24"/>
        </w:rPr>
        <w:t>帐号：</w:t>
      </w:r>
      <w:r>
        <w:rPr>
          <w:rFonts w:hint="eastAsia" w:ascii="宋体" w:hAnsi="宋体" w:cs="宋体"/>
          <w:sz w:val="24"/>
          <w:u w:val="single"/>
        </w:rPr>
        <w:t xml:space="preserve">                      </w:t>
      </w:r>
      <w:r>
        <w:rPr>
          <w:rFonts w:hint="eastAsia" w:ascii="宋体" w:hAnsi="宋体" w:cs="宋体"/>
          <w:sz w:val="24"/>
        </w:rPr>
        <w:t xml:space="preserve">       帐号：</w:t>
      </w:r>
      <w:r>
        <w:rPr>
          <w:rFonts w:hint="eastAsia" w:ascii="宋体" w:hAnsi="宋体" w:cs="宋体"/>
          <w:sz w:val="24"/>
          <w:u w:val="single"/>
        </w:rPr>
        <w:t xml:space="preserve">                      </w:t>
      </w:r>
    </w:p>
    <w:p>
      <w:pPr>
        <w:widowControl/>
        <w:spacing w:line="460" w:lineRule="exact"/>
        <w:rPr>
          <w:rFonts w:hint="eastAsia" w:ascii="宋体" w:hAnsi="宋体" w:cs="宋体"/>
          <w:sz w:val="24"/>
        </w:rPr>
      </w:pPr>
      <w:r>
        <w:rPr>
          <w:rFonts w:hint="eastAsia" w:ascii="宋体" w:hAnsi="宋体" w:cs="宋体"/>
          <w:sz w:val="24"/>
        </w:rPr>
        <w:t>邮编：</w:t>
      </w:r>
      <w:r>
        <w:rPr>
          <w:rFonts w:hint="eastAsia" w:ascii="宋体" w:hAnsi="宋体" w:cs="宋体"/>
          <w:sz w:val="24"/>
          <w:u w:val="single"/>
        </w:rPr>
        <w:t xml:space="preserve">                      </w:t>
      </w:r>
      <w:r>
        <w:rPr>
          <w:rFonts w:hint="eastAsia" w:ascii="宋体" w:hAnsi="宋体" w:cs="宋体"/>
          <w:sz w:val="24"/>
        </w:rPr>
        <w:t xml:space="preserve">       邮编：</w:t>
      </w:r>
      <w:r>
        <w:rPr>
          <w:rFonts w:hint="eastAsia" w:ascii="宋体" w:hAnsi="宋体" w:cs="宋体"/>
          <w:sz w:val="24"/>
          <w:u w:val="single"/>
        </w:rPr>
        <w:t xml:space="preserve">                      </w:t>
      </w:r>
      <w:r>
        <w:rPr>
          <w:rFonts w:hint="eastAsia" w:ascii="宋体" w:hAnsi="宋体" w:cs="宋体"/>
          <w:sz w:val="24"/>
        </w:rPr>
        <w:t xml:space="preserve">  </w:t>
      </w:r>
    </w:p>
    <w:p>
      <w:pPr>
        <w:widowControl/>
        <w:spacing w:line="460" w:lineRule="exact"/>
        <w:rPr>
          <w:rFonts w:hint="eastAsia" w:ascii="宋体" w:hAnsi="宋体" w:cs="宋体"/>
          <w:sz w:val="24"/>
        </w:rPr>
      </w:pPr>
      <w:r>
        <w:rPr>
          <w:rFonts w:hint="eastAsia" w:ascii="宋体" w:hAnsi="宋体" w:cs="宋体"/>
          <w:sz w:val="24"/>
        </w:rPr>
        <w:t>电话：</w:t>
      </w:r>
      <w:r>
        <w:rPr>
          <w:rFonts w:hint="eastAsia" w:ascii="宋体" w:hAnsi="宋体" w:cs="宋体"/>
          <w:sz w:val="24"/>
          <w:u w:val="single"/>
        </w:rPr>
        <w:t xml:space="preserve">                      </w:t>
      </w:r>
      <w:r>
        <w:rPr>
          <w:rFonts w:hint="eastAsia" w:ascii="宋体" w:hAnsi="宋体" w:cs="宋体"/>
          <w:sz w:val="24"/>
        </w:rPr>
        <w:t xml:space="preserve">       电话：</w:t>
      </w:r>
      <w:r>
        <w:rPr>
          <w:rFonts w:hint="eastAsia" w:ascii="宋体" w:hAnsi="宋体" w:cs="宋体"/>
          <w:sz w:val="24"/>
          <w:u w:val="single"/>
        </w:rPr>
        <w:t xml:space="preserve">                      </w:t>
      </w:r>
    </w:p>
    <w:p>
      <w:pPr>
        <w:widowControl/>
        <w:spacing w:line="460" w:lineRule="exact"/>
        <w:rPr>
          <w:rFonts w:hint="eastAsia" w:ascii="宋体" w:hAnsi="宋体" w:cs="宋体"/>
          <w:sz w:val="24"/>
        </w:rPr>
      </w:pPr>
      <w:r>
        <w:rPr>
          <w:rFonts w:hint="eastAsia" w:ascii="宋体" w:hAnsi="宋体" w:cs="宋体"/>
          <w:sz w:val="24"/>
        </w:rPr>
        <w:t>传真：</w:t>
      </w:r>
      <w:r>
        <w:rPr>
          <w:rFonts w:hint="eastAsia" w:ascii="宋体" w:hAnsi="宋体" w:cs="宋体"/>
          <w:sz w:val="24"/>
          <w:u w:val="single"/>
        </w:rPr>
        <w:t xml:space="preserve">                      </w:t>
      </w:r>
      <w:r>
        <w:rPr>
          <w:rFonts w:hint="eastAsia" w:ascii="宋体" w:hAnsi="宋体" w:cs="宋体"/>
          <w:sz w:val="24"/>
        </w:rPr>
        <w:t xml:space="preserve">       传真：</w:t>
      </w:r>
      <w:r>
        <w:rPr>
          <w:rFonts w:hint="eastAsia" w:ascii="宋体" w:hAnsi="宋体" w:cs="宋体"/>
          <w:sz w:val="24"/>
          <w:u w:val="single"/>
        </w:rPr>
        <w:t xml:space="preserve">                      </w:t>
      </w:r>
    </w:p>
    <w:p>
      <w:pPr>
        <w:widowControl/>
        <w:spacing w:line="460" w:lineRule="exact"/>
        <w:rPr>
          <w:rFonts w:hint="eastAsia" w:ascii="宋体" w:hAnsi="宋体" w:cs="宋体"/>
          <w:sz w:val="24"/>
        </w:rPr>
      </w:pPr>
      <w:r>
        <w:rPr>
          <w:rFonts w:hint="eastAsia" w:ascii="宋体" w:hAnsi="宋体" w:cs="宋体"/>
          <w:sz w:val="24"/>
        </w:rPr>
        <w:t>电子邮箱：</w:t>
      </w:r>
      <w:r>
        <w:rPr>
          <w:rFonts w:hint="eastAsia" w:ascii="宋体" w:hAnsi="宋体" w:cs="宋体"/>
          <w:sz w:val="24"/>
          <w:u w:val="single"/>
        </w:rPr>
        <w:t xml:space="preserve">           </w:t>
      </w:r>
      <w:r>
        <w:rPr>
          <w:rFonts w:hint="eastAsia" w:ascii="宋体" w:hAnsi="宋体" w:cs="宋体"/>
          <w:sz w:val="24"/>
          <w:u w:val="single"/>
        </w:rPr>
        <w:tab/>
      </w:r>
      <w:r>
        <w:rPr>
          <w:rFonts w:hint="eastAsia" w:ascii="宋体" w:hAnsi="宋体" w:cs="宋体"/>
          <w:sz w:val="24"/>
          <w:u w:val="single"/>
        </w:rPr>
        <w:t xml:space="preserve">    </w:t>
      </w:r>
      <w:r>
        <w:rPr>
          <w:rFonts w:hint="eastAsia" w:ascii="宋体" w:hAnsi="宋体" w:cs="宋体"/>
          <w:sz w:val="24"/>
        </w:rPr>
        <w:t xml:space="preserve">       电子邮箱：</w:t>
      </w:r>
      <w:r>
        <w:rPr>
          <w:rFonts w:hint="eastAsia" w:ascii="宋体" w:hAnsi="宋体" w:cs="宋体"/>
          <w:sz w:val="24"/>
          <w:u w:val="single"/>
        </w:rPr>
        <w:t xml:space="preserve">           </w:t>
      </w:r>
      <w:r>
        <w:rPr>
          <w:rFonts w:hint="eastAsia" w:ascii="宋体" w:hAnsi="宋体" w:cs="宋体"/>
          <w:sz w:val="24"/>
          <w:u w:val="single"/>
        </w:rPr>
        <w:tab/>
      </w:r>
      <w:r>
        <w:rPr>
          <w:rFonts w:hint="eastAsia" w:ascii="宋体" w:hAnsi="宋体" w:cs="宋体"/>
          <w:sz w:val="24"/>
          <w:u w:val="single"/>
        </w:rPr>
        <w:t xml:space="preserve">    </w:t>
      </w:r>
    </w:p>
    <w:p>
      <w:pPr>
        <w:spacing w:line="460" w:lineRule="exact"/>
        <w:rPr>
          <w:rFonts w:hint="eastAsia" w:ascii="宋体" w:hAnsi="宋体"/>
          <w:sz w:val="28"/>
        </w:rPr>
      </w:pPr>
      <w:r>
        <w:rPr>
          <w:rFonts w:hint="eastAsia" w:ascii="宋体" w:hAnsi="宋体" w:cs="宋体"/>
          <w:sz w:val="24"/>
        </w:rPr>
        <w:t xml:space="preserve">  </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r>
        <w:rPr>
          <w:rFonts w:hint="eastAsia" w:ascii="宋体" w:hAnsi="宋体" w:cs="宋体"/>
          <w:sz w:val="24"/>
        </w:rPr>
        <w:tab/>
      </w:r>
      <w:r>
        <w:rPr>
          <w:rFonts w:hint="eastAsia" w:ascii="宋体" w:hAnsi="宋体" w:cs="宋体"/>
          <w:sz w:val="24"/>
        </w:rPr>
        <w:tab/>
      </w:r>
      <w:r>
        <w:rPr>
          <w:rFonts w:hint="eastAsia" w:ascii="宋体" w:hAnsi="宋体" w:cs="宋体"/>
          <w:sz w:val="24"/>
        </w:rPr>
        <w:t xml:space="preserve">    </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autoSpaceDN w:val="0"/>
        <w:spacing w:line="460" w:lineRule="exact"/>
        <w:rPr>
          <w:rFonts w:hint="eastAsia" w:ascii="宋体" w:hAnsi="宋体"/>
        </w:rPr>
      </w:pPr>
    </w:p>
    <w:p>
      <w:pPr>
        <w:rPr>
          <w:rFonts w:hint="eastAsia" w:ascii="宋体" w:hAnsi="宋体"/>
          <w:sz w:val="28"/>
        </w:rPr>
      </w:pPr>
      <w:r>
        <w:rPr>
          <w:rFonts w:ascii="宋体" w:hAnsi="宋体"/>
          <w:sz w:val="28"/>
        </w:rPr>
        <w:br w:type="page"/>
      </w:r>
    </w:p>
    <w:p>
      <w:pPr>
        <w:tabs>
          <w:tab w:val="left" w:pos="248"/>
        </w:tabs>
        <w:autoSpaceDN w:val="0"/>
        <w:spacing w:line="460" w:lineRule="exact"/>
        <w:jc w:val="left"/>
        <w:rPr>
          <w:rFonts w:eastAsia="仿宋_GB2312"/>
          <w:b/>
          <w:bCs/>
          <w:smallCaps/>
          <w:sz w:val="36"/>
          <w:szCs w:val="36"/>
        </w:rPr>
      </w:pPr>
      <w:r>
        <w:rPr>
          <w:rFonts w:hint="eastAsia" w:eastAsia="仿宋_GB2312"/>
          <w:b/>
          <w:bCs/>
          <w:smallCaps/>
          <w:sz w:val="36"/>
          <w:szCs w:val="36"/>
        </w:rPr>
        <w:tab/>
      </w:r>
      <w:r>
        <w:rPr>
          <w:rFonts w:hint="eastAsia" w:eastAsia="仿宋_GB2312"/>
          <w:b/>
          <w:bCs/>
          <w:smallCaps/>
          <w:sz w:val="36"/>
          <w:szCs w:val="36"/>
        </w:rPr>
        <w:t>2包：</w:t>
      </w:r>
    </w:p>
    <w:p>
      <w:pPr>
        <w:autoSpaceDN w:val="0"/>
        <w:spacing w:line="460" w:lineRule="exact"/>
        <w:jc w:val="center"/>
        <w:rPr>
          <w:rFonts w:eastAsia="仿宋_GB2312"/>
          <w:b/>
          <w:bCs/>
          <w:smallCaps/>
          <w:sz w:val="36"/>
          <w:szCs w:val="36"/>
        </w:rPr>
      </w:pPr>
    </w:p>
    <w:p>
      <w:pPr>
        <w:autoSpaceDN w:val="0"/>
        <w:spacing w:line="460" w:lineRule="exact"/>
        <w:jc w:val="center"/>
        <w:rPr>
          <w:rFonts w:eastAsia="仿宋_GB2312"/>
          <w:b/>
          <w:bCs/>
          <w:smallCaps/>
          <w:sz w:val="36"/>
          <w:szCs w:val="36"/>
        </w:rPr>
      </w:pPr>
    </w:p>
    <w:p>
      <w:pPr>
        <w:autoSpaceDN w:val="0"/>
        <w:spacing w:line="460" w:lineRule="exact"/>
        <w:jc w:val="center"/>
        <w:rPr>
          <w:rFonts w:eastAsia="仿宋_GB2312"/>
          <w:b/>
          <w:bCs/>
          <w:smallCaps/>
          <w:sz w:val="36"/>
          <w:szCs w:val="36"/>
        </w:rPr>
      </w:pPr>
    </w:p>
    <w:p>
      <w:pPr>
        <w:autoSpaceDN w:val="0"/>
        <w:spacing w:line="460" w:lineRule="exact"/>
        <w:jc w:val="center"/>
        <w:rPr>
          <w:rFonts w:eastAsia="仿宋_GB2312"/>
          <w:b/>
          <w:bCs/>
          <w:smallCaps/>
          <w:sz w:val="36"/>
          <w:szCs w:val="36"/>
        </w:rPr>
      </w:pPr>
      <w:r>
        <w:rPr>
          <w:rFonts w:hint="eastAsia" w:eastAsia="仿宋_GB2312"/>
          <w:b/>
          <w:bCs/>
          <w:smallCaps/>
          <w:sz w:val="36"/>
          <w:szCs w:val="36"/>
        </w:rPr>
        <w:t>乡村旅游品牌设计及推广项目</w:t>
      </w:r>
      <w:r>
        <w:rPr>
          <w:rFonts w:eastAsia="仿宋_GB2312"/>
          <w:b/>
          <w:bCs/>
          <w:smallCaps/>
          <w:sz w:val="36"/>
          <w:szCs w:val="36"/>
        </w:rPr>
        <w:t>合同</w:t>
      </w:r>
    </w:p>
    <w:p>
      <w:pPr>
        <w:snapToGrid w:val="0"/>
        <w:spacing w:before="119" w:line="460" w:lineRule="exact"/>
        <w:ind w:firstLine="1446" w:firstLineChars="600"/>
        <w:rPr>
          <w:rFonts w:eastAsia="仿宋_GB2312"/>
          <w:b/>
          <w:sz w:val="24"/>
        </w:rPr>
      </w:pPr>
    </w:p>
    <w:p>
      <w:pPr>
        <w:snapToGrid w:val="0"/>
        <w:spacing w:before="119" w:line="460" w:lineRule="exact"/>
        <w:ind w:left="958"/>
        <w:rPr>
          <w:rFonts w:eastAsia="仿宋_GB2312"/>
          <w:sz w:val="24"/>
        </w:rPr>
      </w:pPr>
    </w:p>
    <w:p>
      <w:pPr>
        <w:snapToGrid w:val="0"/>
        <w:spacing w:before="119" w:line="460" w:lineRule="exact"/>
        <w:ind w:left="958"/>
        <w:rPr>
          <w:rFonts w:eastAsia="仿宋_GB2312"/>
          <w:sz w:val="24"/>
        </w:rPr>
      </w:pPr>
    </w:p>
    <w:p>
      <w:pPr>
        <w:snapToGrid w:val="0"/>
        <w:spacing w:before="119" w:line="460" w:lineRule="exact"/>
        <w:ind w:left="958"/>
        <w:rPr>
          <w:rFonts w:eastAsia="仿宋_GB2312"/>
          <w:sz w:val="24"/>
        </w:rPr>
      </w:pPr>
    </w:p>
    <w:p>
      <w:pPr>
        <w:snapToGrid w:val="0"/>
        <w:spacing w:before="119" w:line="460" w:lineRule="exact"/>
        <w:ind w:left="958"/>
        <w:rPr>
          <w:rFonts w:eastAsia="仿宋_GB2312"/>
          <w:sz w:val="24"/>
        </w:rPr>
      </w:pPr>
    </w:p>
    <w:p>
      <w:pPr>
        <w:snapToGrid w:val="0"/>
        <w:spacing w:before="119" w:line="460" w:lineRule="exact"/>
        <w:ind w:left="958"/>
        <w:rPr>
          <w:rFonts w:eastAsia="仿宋_GB2312"/>
          <w:sz w:val="24"/>
        </w:rPr>
      </w:pPr>
    </w:p>
    <w:p>
      <w:pPr>
        <w:snapToGrid w:val="0"/>
        <w:spacing w:before="119" w:line="460" w:lineRule="exact"/>
        <w:rPr>
          <w:rFonts w:hint="eastAsia" w:ascii="宋体" w:hAnsi="宋体" w:cs="宋体"/>
          <w:sz w:val="24"/>
        </w:rPr>
      </w:pPr>
      <w:r>
        <w:rPr>
          <w:rFonts w:hint="eastAsia" w:ascii="宋体" w:hAnsi="宋体" w:cs="宋体"/>
          <w:sz w:val="24"/>
        </w:rPr>
        <w:t xml:space="preserve">       项目名称：</w:t>
      </w:r>
      <w:r>
        <w:rPr>
          <w:rFonts w:hint="eastAsia" w:ascii="宋体" w:hAnsi="宋体" w:cs="宋体"/>
          <w:sz w:val="24"/>
          <w:u w:val="single"/>
        </w:rPr>
        <w:t xml:space="preserve">                                     </w:t>
      </w:r>
    </w:p>
    <w:p>
      <w:pPr>
        <w:snapToGrid w:val="0"/>
        <w:spacing w:before="119" w:line="460" w:lineRule="exact"/>
        <w:rPr>
          <w:rFonts w:hint="eastAsia" w:ascii="宋体" w:hAnsi="宋体" w:cs="宋体"/>
          <w:sz w:val="24"/>
          <w:u w:val="single"/>
        </w:rPr>
      </w:pPr>
      <w:r>
        <w:rPr>
          <w:rFonts w:hint="eastAsia" w:ascii="宋体" w:hAnsi="宋体" w:cs="宋体"/>
          <w:sz w:val="24"/>
        </w:rPr>
        <w:t xml:space="preserve">       甲方（委托方）：</w:t>
      </w:r>
      <w:r>
        <w:rPr>
          <w:rFonts w:hint="eastAsia" w:ascii="宋体" w:hAnsi="宋体" w:cs="宋体"/>
          <w:sz w:val="24"/>
          <w:u w:val="single"/>
        </w:rPr>
        <w:t xml:space="preserve">                                </w:t>
      </w:r>
    </w:p>
    <w:p>
      <w:pPr>
        <w:snapToGrid w:val="0"/>
        <w:spacing w:before="119" w:line="460" w:lineRule="exact"/>
        <w:ind w:left="851"/>
        <w:rPr>
          <w:rFonts w:hint="eastAsia" w:ascii="宋体" w:hAnsi="宋体" w:cs="宋体"/>
          <w:sz w:val="24"/>
        </w:rPr>
      </w:pPr>
      <w:r>
        <w:rPr>
          <w:rFonts w:hint="eastAsia" w:ascii="宋体" w:hAnsi="宋体" w:cs="宋体"/>
          <w:sz w:val="24"/>
        </w:rPr>
        <w:t>乙方（受托方）：</w:t>
      </w:r>
      <w:r>
        <w:rPr>
          <w:rFonts w:hint="eastAsia" w:ascii="宋体" w:hAnsi="宋体" w:cs="宋体"/>
          <w:sz w:val="24"/>
          <w:u w:val="single"/>
        </w:rPr>
        <w:t xml:space="preserve">                                </w:t>
      </w:r>
    </w:p>
    <w:p>
      <w:pPr>
        <w:snapToGrid w:val="0"/>
        <w:spacing w:before="119" w:line="460" w:lineRule="exact"/>
        <w:rPr>
          <w:rFonts w:eastAsia="仿宋_GB2312"/>
          <w:sz w:val="24"/>
        </w:rPr>
      </w:pPr>
    </w:p>
    <w:p>
      <w:pPr>
        <w:snapToGrid w:val="0"/>
        <w:spacing w:before="119" w:line="460" w:lineRule="exact"/>
        <w:rPr>
          <w:rFonts w:eastAsia="仿宋_GB2312"/>
          <w:sz w:val="24"/>
        </w:rPr>
      </w:pPr>
    </w:p>
    <w:p>
      <w:pPr>
        <w:snapToGrid w:val="0"/>
        <w:spacing w:before="119" w:line="460" w:lineRule="exact"/>
        <w:jc w:val="center"/>
        <w:rPr>
          <w:rFonts w:eastAsia="仿宋_GB2312"/>
          <w:sz w:val="24"/>
        </w:rPr>
      </w:pPr>
    </w:p>
    <w:p>
      <w:pPr>
        <w:snapToGrid w:val="0"/>
        <w:spacing w:before="119" w:line="460" w:lineRule="exact"/>
        <w:ind w:left="958"/>
        <w:jc w:val="center"/>
        <w:rPr>
          <w:rFonts w:eastAsia="仿宋_GB2312"/>
          <w:sz w:val="24"/>
        </w:rPr>
      </w:pPr>
    </w:p>
    <w:p>
      <w:pPr>
        <w:autoSpaceDN w:val="0"/>
        <w:spacing w:line="460" w:lineRule="exact"/>
        <w:jc w:val="center"/>
        <w:rPr>
          <w:rFonts w:eastAsia="仿宋_GB2312"/>
          <w:sz w:val="24"/>
        </w:rPr>
      </w:pPr>
    </w:p>
    <w:p>
      <w:pPr>
        <w:autoSpaceDN w:val="0"/>
        <w:spacing w:line="460" w:lineRule="exact"/>
        <w:jc w:val="center"/>
        <w:rPr>
          <w:rFonts w:eastAsia="仿宋_GB2312"/>
          <w:sz w:val="24"/>
        </w:rPr>
      </w:pPr>
    </w:p>
    <w:p>
      <w:pPr>
        <w:rPr>
          <w:rFonts w:eastAsia="仿宋_GB2312"/>
          <w:sz w:val="24"/>
        </w:rPr>
      </w:pPr>
    </w:p>
    <w:p>
      <w:pPr>
        <w:rPr>
          <w:rFonts w:eastAsia="仿宋_GB2312"/>
          <w:sz w:val="24"/>
        </w:rPr>
      </w:pPr>
    </w:p>
    <w:p>
      <w:pPr>
        <w:rPr>
          <w:rFonts w:eastAsia="仿宋_GB2312"/>
          <w:sz w:val="24"/>
        </w:rPr>
      </w:pPr>
    </w:p>
    <w:p>
      <w:pPr>
        <w:rPr>
          <w:rFonts w:eastAsia="仿宋_GB2312"/>
          <w:sz w:val="24"/>
        </w:rPr>
      </w:pPr>
    </w:p>
    <w:p>
      <w:pPr>
        <w:rPr>
          <w:rFonts w:eastAsia="仿宋_GB2312"/>
          <w:sz w:val="24"/>
        </w:rPr>
      </w:pPr>
    </w:p>
    <w:p>
      <w:pPr>
        <w:rPr>
          <w:rFonts w:eastAsia="仿宋_GB2312"/>
          <w:sz w:val="24"/>
        </w:rPr>
      </w:pPr>
    </w:p>
    <w:p>
      <w:pPr>
        <w:rPr>
          <w:rFonts w:eastAsia="仿宋_GB2312"/>
          <w:sz w:val="24"/>
        </w:rPr>
      </w:pPr>
    </w:p>
    <w:p>
      <w:pPr>
        <w:rPr>
          <w:rFonts w:eastAsia="仿宋_GB2312"/>
          <w:sz w:val="24"/>
        </w:rPr>
      </w:pPr>
    </w:p>
    <w:p>
      <w:pPr>
        <w:rPr>
          <w:rFonts w:eastAsia="仿宋_GB2312"/>
          <w:sz w:val="24"/>
        </w:rPr>
      </w:pPr>
    </w:p>
    <w:p>
      <w:pPr>
        <w:rPr>
          <w:rFonts w:eastAsia="仿宋_GB2312"/>
          <w:sz w:val="24"/>
        </w:rPr>
      </w:pPr>
    </w:p>
    <w:p/>
    <w:p>
      <w:pPr>
        <w:widowControl/>
        <w:jc w:val="left"/>
        <w:rPr>
          <w:rFonts w:hint="eastAsia" w:ascii="宋体" w:hAnsi="宋体" w:cs="宋体"/>
          <w:sz w:val="24"/>
        </w:rPr>
      </w:pPr>
      <w:r>
        <w:rPr>
          <w:rFonts w:ascii="宋体" w:hAnsi="宋体" w:cs="宋体"/>
          <w:sz w:val="24"/>
        </w:rPr>
        <w:br w:type="page"/>
      </w:r>
    </w:p>
    <w:p>
      <w:pPr>
        <w:adjustRightInd w:val="0"/>
        <w:snapToGrid w:val="0"/>
        <w:spacing w:line="360" w:lineRule="auto"/>
        <w:ind w:firstLine="600" w:firstLineChars="250"/>
        <w:rPr>
          <w:rFonts w:hint="eastAsia" w:ascii="宋体" w:hAnsi="宋体" w:cs="宋体"/>
          <w:sz w:val="24"/>
        </w:rPr>
      </w:pPr>
      <w:r>
        <w:rPr>
          <w:rFonts w:hint="eastAsia" w:ascii="宋体" w:hAnsi="宋体" w:cs="宋体"/>
          <w:sz w:val="24"/>
        </w:rPr>
        <w:t>鉴于</w:t>
      </w:r>
      <w:r>
        <w:rPr>
          <w:rFonts w:hint="eastAsia" w:ascii="宋体" w:hAnsi="宋体" w:cs="宋体"/>
          <w:sz w:val="24"/>
          <w:u w:val="single"/>
        </w:rPr>
        <w:t xml:space="preserve">             </w:t>
      </w:r>
      <w:r>
        <w:rPr>
          <w:rFonts w:hint="eastAsia" w:ascii="宋体" w:hAnsi="宋体" w:cs="宋体"/>
          <w:sz w:val="24"/>
        </w:rPr>
        <w:t>政府采购项目通过公开招标方式，确定乙方为本项目中标人，甲乙双方依据《中华人民共和国民法典》等法律法规，本着友好合作、平等互利的原则，经协商一致，特签订本合同，双方共同信守。</w:t>
      </w:r>
    </w:p>
    <w:p>
      <w:pPr>
        <w:adjustRightInd w:val="0"/>
        <w:snapToGrid w:val="0"/>
        <w:spacing w:line="360" w:lineRule="auto"/>
        <w:rPr>
          <w:rFonts w:hint="eastAsia" w:ascii="宋体" w:hAnsi="宋体" w:cs="宋体"/>
          <w:b/>
          <w:sz w:val="24"/>
        </w:rPr>
      </w:pPr>
      <w:r>
        <w:rPr>
          <w:rFonts w:hint="eastAsia" w:ascii="宋体" w:hAnsi="宋体" w:cs="宋体"/>
          <w:b/>
          <w:sz w:val="24"/>
        </w:rPr>
        <w:t>一、合同名词术语定义</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1.“合同”：系指甲乙双方就本项目建设达成并签署的协议，包括所有的附表、附件以及下面指出的构成合同的所有文件。双方同意下列文件作为本合同不可分割的组成部分,彼此相互解释，相互补充：</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(1)本合同正文及附件；</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(2)中标人中标文件及书面承诺；</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(3)采购人招标文件及附件；</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(4)在合同实施过程中双方共同签署的补充与修正文件。甲乙双方同意在出现合同理解上的歧义时，按照补充与修正文件、本合同正文及其附件、中标文件及书面承诺、招标文件及附件次序优先执行。2.“合同价款”：系指根据本合同规定乙方在正确、全面地履行合同义务后，甲方应支付给乙方的费用金额。</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3. “服务”：系指任何由乙方按合同项下的要求进行的调研、踏勘、监督、检查、编写报告、验收、提供专业管理和咨询服务等必要服务。</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4. “验收” 是指在本项目结束，并具备验收条件后，甲方根据甲方验收程序，对本合同项下服务，组织对项目进行的验收。</w:t>
      </w:r>
    </w:p>
    <w:p>
      <w:pPr>
        <w:adjustRightInd w:val="0"/>
        <w:snapToGrid w:val="0"/>
        <w:spacing w:line="360" w:lineRule="auto"/>
        <w:rPr>
          <w:rFonts w:hint="eastAsia" w:ascii="宋体" w:hAnsi="宋体" w:cs="宋体"/>
          <w:b/>
          <w:sz w:val="24"/>
        </w:rPr>
      </w:pPr>
      <w:r>
        <w:rPr>
          <w:rFonts w:hint="eastAsia" w:ascii="宋体" w:hAnsi="宋体" w:cs="宋体"/>
          <w:b/>
          <w:sz w:val="24"/>
        </w:rPr>
        <w:t>二、服务对象、目的和期限</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1．乙方为甲方提供</w:t>
      </w:r>
      <w:r>
        <w:rPr>
          <w:rFonts w:hint="eastAsia" w:ascii="宋体" w:hAnsi="宋体" w:cs="宋体"/>
          <w:sz w:val="24"/>
          <w:u w:val="single"/>
        </w:rPr>
        <w:t xml:space="preserve">             </w:t>
      </w:r>
      <w:r>
        <w:rPr>
          <w:rFonts w:hint="eastAsia" w:ascii="宋体" w:hAnsi="宋体" w:cs="宋体"/>
          <w:sz w:val="24"/>
        </w:rPr>
        <w:t>的管理咨询服务（以下简称管理咨询）。</w:t>
      </w:r>
    </w:p>
    <w:p>
      <w:pPr>
        <w:adjustRightInd w:val="0"/>
        <w:snapToGrid w:val="0"/>
        <w:spacing w:line="360" w:lineRule="auto"/>
        <w:ind w:firstLine="480" w:firstLineChars="200"/>
        <w:jc w:val="left"/>
        <w:rPr>
          <w:rFonts w:hint="eastAsia" w:ascii="宋体" w:hAnsi="宋体" w:cs="宋体"/>
          <w:sz w:val="24"/>
        </w:rPr>
      </w:pPr>
      <w:r>
        <w:rPr>
          <w:rFonts w:hint="eastAsia" w:ascii="宋体" w:hAnsi="宋体" w:cs="宋体"/>
          <w:sz w:val="24"/>
        </w:rPr>
        <w:t>2．服务目的：乙方为甲方</w:t>
      </w:r>
      <w:r>
        <w:rPr>
          <w:rFonts w:hint="eastAsia" w:ascii="宋体" w:hAnsi="宋体" w:cs="宋体"/>
          <w:sz w:val="24"/>
          <w:u w:val="single"/>
        </w:rPr>
        <w:t xml:space="preserve">             </w:t>
      </w:r>
      <w:r>
        <w:rPr>
          <w:rFonts w:hint="eastAsia" w:ascii="宋体" w:hAnsi="宋体" w:cs="宋体"/>
          <w:sz w:val="24"/>
        </w:rPr>
        <w:t>项目提供全过程服务，确保甲方</w:t>
      </w:r>
      <w:r>
        <w:rPr>
          <w:rFonts w:hint="eastAsia" w:ascii="宋体" w:hAnsi="宋体" w:cs="宋体"/>
          <w:sz w:val="24"/>
          <w:u w:val="single"/>
        </w:rPr>
        <w:t xml:space="preserve">             </w:t>
      </w:r>
      <w:r>
        <w:rPr>
          <w:rFonts w:hint="eastAsia" w:ascii="宋体" w:hAnsi="宋体" w:cs="宋体"/>
          <w:sz w:val="24"/>
        </w:rPr>
        <w:t>项目顺利完成。</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3．合同服务期限为：自合同签订之日起至 2026 年11 月30日。</w:t>
      </w:r>
    </w:p>
    <w:p>
      <w:pPr>
        <w:adjustRightInd w:val="0"/>
        <w:snapToGrid w:val="0"/>
        <w:spacing w:line="360" w:lineRule="auto"/>
        <w:rPr>
          <w:rFonts w:hint="eastAsia" w:ascii="宋体" w:hAnsi="宋体" w:cs="宋体"/>
          <w:b/>
          <w:sz w:val="24"/>
        </w:rPr>
      </w:pPr>
      <w:r>
        <w:rPr>
          <w:rFonts w:ascii="宋体" w:hAnsi="宋体" w:cs="宋体"/>
          <w:b/>
          <w:sz w:val="24"/>
        </w:rPr>
        <w:t>三、合同金额及付款方式</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1．合同金额</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合同总金额为人民币：￥</w:t>
      </w:r>
      <w:r>
        <w:rPr>
          <w:rFonts w:hint="eastAsia" w:ascii="宋体" w:hAnsi="宋体" w:cs="宋体"/>
          <w:sz w:val="24"/>
          <w:u w:val="single"/>
        </w:rPr>
        <w:t xml:space="preserve">             </w:t>
      </w:r>
      <w:r>
        <w:rPr>
          <w:rFonts w:hint="eastAsia" w:ascii="宋体" w:hAnsi="宋体" w:cs="宋体"/>
          <w:sz w:val="24"/>
        </w:rPr>
        <w:t xml:space="preserve"> 大写</w:t>
      </w:r>
      <w:r>
        <w:rPr>
          <w:rFonts w:hint="eastAsia" w:ascii="宋体" w:hAnsi="宋体" w:cs="宋体"/>
          <w:sz w:val="24"/>
          <w:u w:val="single"/>
        </w:rPr>
        <w:t xml:space="preserve">             </w:t>
      </w:r>
      <w:r>
        <w:rPr>
          <w:rFonts w:hint="eastAsia" w:ascii="宋体" w:hAnsi="宋体" w:cs="宋体"/>
          <w:sz w:val="24"/>
        </w:rPr>
        <w:t xml:space="preserve"> 。需要进行财政投资评审/委内部评审的，按照甲方财务规定执行。</w:t>
      </w:r>
    </w:p>
    <w:p>
      <w:pPr>
        <w:numPr>
          <w:ilvl w:val="0"/>
          <w:numId w:val="16"/>
        </w:num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支付和结算方式</w:t>
      </w:r>
    </w:p>
    <w:p>
      <w:pPr>
        <w:adjustRightInd w:val="0"/>
        <w:snapToGrid w:val="0"/>
        <w:spacing w:line="360" w:lineRule="auto"/>
        <w:ind w:firstLine="480"/>
        <w:rPr>
          <w:rFonts w:hint="eastAsia" w:ascii="宋体" w:hAnsi="宋体" w:cs="宋体"/>
          <w:sz w:val="24"/>
        </w:rPr>
      </w:pPr>
      <w:r>
        <w:rPr>
          <w:rFonts w:hint="eastAsia" w:ascii="宋体" w:hAnsi="宋体" w:cs="宋体"/>
          <w:sz w:val="24"/>
        </w:rPr>
        <w:t>双方因本合同发生的一切费用均已包含在合同总金额中，并以人民币结算及支付。双方的帐户名称、开户银行及帐号以本合同提供的为准。</w:t>
      </w:r>
    </w:p>
    <w:p>
      <w:pPr>
        <w:adjustRightInd w:val="0"/>
        <w:snapToGrid w:val="0"/>
        <w:spacing w:line="360" w:lineRule="auto"/>
        <w:ind w:firstLine="480"/>
        <w:rPr>
          <w:rFonts w:hint="eastAsia" w:ascii="宋体" w:hAnsi="宋体" w:cs="宋体"/>
          <w:sz w:val="24"/>
        </w:rPr>
      </w:pPr>
      <w:r>
        <w:rPr>
          <w:rFonts w:hint="eastAsia" w:ascii="宋体" w:hAnsi="宋体" w:cs="宋体"/>
          <w:sz w:val="24"/>
        </w:rPr>
        <w:t>3．价款支付方式</w:t>
      </w:r>
    </w:p>
    <w:p>
      <w:pPr>
        <w:adjustRightInd w:val="0"/>
        <w:snapToGrid w:val="0"/>
        <w:spacing w:line="360" w:lineRule="auto"/>
        <w:ind w:firstLine="480"/>
        <w:rPr>
          <w:rFonts w:hint="eastAsia" w:ascii="宋体" w:hAnsi="宋体" w:cs="宋体"/>
          <w:sz w:val="24"/>
        </w:rPr>
      </w:pPr>
      <w:r>
        <w:rPr>
          <w:rFonts w:hint="eastAsia" w:ascii="宋体" w:hAnsi="宋体" w:cs="宋体"/>
          <w:sz w:val="24"/>
        </w:rPr>
        <w:t>3.1 合同签订后</w:t>
      </w:r>
      <w:r>
        <w:rPr>
          <w:rFonts w:hint="eastAsia" w:ascii="宋体" w:hAnsi="宋体" w:cs="宋体"/>
          <w:sz w:val="24"/>
          <w:u w:val="single"/>
        </w:rPr>
        <w:t xml:space="preserve"> 7 </w:t>
      </w:r>
      <w:r>
        <w:rPr>
          <w:rFonts w:hint="eastAsia" w:ascii="宋体" w:hAnsi="宋体" w:cs="宋体"/>
          <w:sz w:val="24"/>
        </w:rPr>
        <w:t>日内，甲方向乙方支付合同总价格的</w:t>
      </w:r>
      <w:r>
        <w:rPr>
          <w:rFonts w:hint="eastAsia" w:ascii="宋体" w:hAnsi="宋体" w:cs="宋体"/>
          <w:sz w:val="24"/>
          <w:u w:val="single"/>
        </w:rPr>
        <w:t>70</w:t>
      </w:r>
      <w:r>
        <w:rPr>
          <w:rFonts w:hint="eastAsia" w:ascii="宋体" w:hAnsi="宋体" w:cs="宋体"/>
          <w:sz w:val="24"/>
        </w:rPr>
        <w:t xml:space="preserve"> %。即人民币 大写 元整，乙方向甲方出具等额增值税发票；</w:t>
      </w:r>
    </w:p>
    <w:p>
      <w:pPr>
        <w:adjustRightInd w:val="0"/>
        <w:snapToGrid w:val="0"/>
        <w:spacing w:line="360" w:lineRule="auto"/>
        <w:ind w:firstLine="480"/>
        <w:rPr>
          <w:rFonts w:hint="eastAsia" w:ascii="宋体" w:hAnsi="宋体" w:cs="宋体"/>
          <w:sz w:val="24"/>
        </w:rPr>
      </w:pPr>
      <w:r>
        <w:rPr>
          <w:rFonts w:hint="eastAsia" w:ascii="宋体" w:hAnsi="宋体" w:cs="宋体"/>
          <w:sz w:val="24"/>
        </w:rPr>
        <w:t>3.2 项目全部验收合格后</w:t>
      </w:r>
      <w:r>
        <w:rPr>
          <w:rFonts w:hint="eastAsia" w:ascii="宋体" w:hAnsi="宋体" w:cs="宋体"/>
          <w:sz w:val="24"/>
          <w:u w:val="single"/>
        </w:rPr>
        <w:t xml:space="preserve"> 10 </w:t>
      </w:r>
      <w:r>
        <w:rPr>
          <w:rFonts w:hint="eastAsia" w:ascii="宋体" w:hAnsi="宋体" w:cs="宋体"/>
          <w:sz w:val="24"/>
        </w:rPr>
        <w:t>日内，甲方向乙方支付合同总价的</w:t>
      </w:r>
      <w:r>
        <w:rPr>
          <w:rFonts w:hint="eastAsia" w:ascii="宋体" w:hAnsi="宋体" w:cs="宋体"/>
          <w:sz w:val="24"/>
          <w:u w:val="single"/>
        </w:rPr>
        <w:t xml:space="preserve">30 </w:t>
      </w:r>
      <w:r>
        <w:rPr>
          <w:rFonts w:hint="eastAsia" w:ascii="宋体" w:hAnsi="宋体" w:cs="宋体"/>
          <w:sz w:val="24"/>
        </w:rPr>
        <w:t>%，即人民币大写 元整，乙方向甲方出具等额增值税发票；</w:t>
      </w:r>
    </w:p>
    <w:p>
      <w:pPr>
        <w:adjustRightInd w:val="0"/>
        <w:snapToGrid w:val="0"/>
        <w:spacing w:line="360" w:lineRule="auto"/>
        <w:ind w:firstLine="480"/>
        <w:rPr>
          <w:rFonts w:hint="eastAsia" w:ascii="宋体" w:hAnsi="宋体" w:cs="宋体"/>
          <w:sz w:val="24"/>
        </w:rPr>
      </w:pPr>
      <w:r>
        <w:rPr>
          <w:rFonts w:hint="eastAsia" w:ascii="宋体" w:hAnsi="宋体" w:cs="宋体"/>
          <w:sz w:val="24"/>
        </w:rPr>
        <w:t>3.3 乙方负责支付本合同约定应由乙方承担的相关税费，直至合同执行完成。一切税费已由乙方计入合同总价之中。</w:t>
      </w:r>
    </w:p>
    <w:p>
      <w:pPr>
        <w:adjustRightInd w:val="0"/>
        <w:snapToGrid w:val="0"/>
        <w:spacing w:line="360" w:lineRule="auto"/>
        <w:rPr>
          <w:rFonts w:hint="eastAsia" w:ascii="宋体" w:hAnsi="宋体" w:cs="宋体"/>
          <w:b/>
          <w:sz w:val="24"/>
        </w:rPr>
      </w:pPr>
      <w:r>
        <w:rPr>
          <w:rFonts w:ascii="宋体" w:hAnsi="宋体" w:cs="宋体"/>
          <w:b/>
          <w:sz w:val="24"/>
        </w:rPr>
        <w:t>四、服务内容</w:t>
      </w:r>
    </w:p>
    <w:p>
      <w:pPr>
        <w:adjustRightInd w:val="0"/>
        <w:snapToGrid w:val="0"/>
        <w:spacing w:line="360" w:lineRule="auto"/>
        <w:ind w:firstLine="480" w:firstLineChars="200"/>
        <w:rPr>
          <w:rFonts w:hint="eastAsia" w:ascii="宋体" w:hAnsi="宋体" w:cs="宋体"/>
          <w:bCs/>
          <w:sz w:val="24"/>
        </w:rPr>
      </w:pPr>
      <w:r>
        <w:rPr>
          <w:rFonts w:hint="eastAsia" w:ascii="宋体" w:hAnsi="宋体" w:cs="宋体"/>
          <w:bCs/>
          <w:sz w:val="24"/>
          <w:u w:val="single"/>
        </w:rPr>
        <w:t xml:space="preserve">                          </w:t>
      </w:r>
      <w:r>
        <w:rPr>
          <w:rFonts w:hint="eastAsia" w:ascii="宋体" w:hAnsi="宋体" w:cs="宋体"/>
          <w:bCs/>
          <w:sz w:val="24"/>
        </w:rPr>
        <w:t xml:space="preserve">  </w:t>
      </w:r>
    </w:p>
    <w:p>
      <w:pPr>
        <w:adjustRightInd w:val="0"/>
        <w:snapToGrid w:val="0"/>
        <w:spacing w:line="360" w:lineRule="auto"/>
        <w:rPr>
          <w:rFonts w:hint="eastAsia" w:ascii="宋体" w:hAnsi="宋体" w:cs="宋体"/>
          <w:b/>
          <w:sz w:val="24"/>
        </w:rPr>
      </w:pPr>
      <w:r>
        <w:rPr>
          <w:rFonts w:ascii="宋体" w:hAnsi="宋体" w:cs="宋体"/>
          <w:b/>
          <w:sz w:val="24"/>
        </w:rPr>
        <w:t>五、双方责任</w:t>
      </w:r>
    </w:p>
    <w:p>
      <w:pPr>
        <w:adjustRightInd w:val="0"/>
        <w:snapToGrid w:val="0"/>
        <w:spacing w:line="360" w:lineRule="auto"/>
        <w:ind w:firstLine="480" w:firstLineChars="200"/>
        <w:rPr>
          <w:rFonts w:hint="eastAsia" w:ascii="宋体" w:hAnsi="宋体" w:cs="宋体"/>
          <w:bCs/>
          <w:sz w:val="24"/>
        </w:rPr>
      </w:pPr>
      <w:r>
        <w:rPr>
          <w:rFonts w:hint="eastAsia" w:ascii="宋体" w:hAnsi="宋体" w:cs="宋体"/>
          <w:bCs/>
          <w:sz w:val="24"/>
        </w:rPr>
        <w:t>1.甲方责任</w:t>
      </w:r>
    </w:p>
    <w:p>
      <w:pPr>
        <w:adjustRightInd w:val="0"/>
        <w:snapToGrid w:val="0"/>
        <w:spacing w:line="360" w:lineRule="auto"/>
        <w:ind w:firstLine="480" w:firstLineChars="200"/>
        <w:rPr>
          <w:rFonts w:hint="eastAsia" w:ascii="宋体" w:hAnsi="宋体" w:cs="宋体"/>
          <w:bCs/>
          <w:sz w:val="24"/>
        </w:rPr>
      </w:pPr>
      <w:r>
        <w:rPr>
          <w:rFonts w:hint="eastAsia" w:ascii="宋体" w:hAnsi="宋体" w:cs="宋体"/>
          <w:bCs/>
          <w:sz w:val="24"/>
        </w:rPr>
        <w:t>(1)在项目实施过程中，甲方指派项目负责人，并组织有关人员参与本项目的组织管理。</w:t>
      </w:r>
    </w:p>
    <w:p>
      <w:pPr>
        <w:adjustRightInd w:val="0"/>
        <w:snapToGrid w:val="0"/>
        <w:spacing w:line="360" w:lineRule="auto"/>
        <w:ind w:firstLine="480" w:firstLineChars="200"/>
        <w:rPr>
          <w:rFonts w:hint="eastAsia" w:ascii="宋体" w:hAnsi="宋体" w:cs="宋体"/>
          <w:bCs/>
          <w:sz w:val="24"/>
        </w:rPr>
      </w:pPr>
      <w:r>
        <w:rPr>
          <w:rFonts w:hint="eastAsia" w:ascii="宋体" w:hAnsi="宋体" w:cs="宋体"/>
          <w:bCs/>
          <w:sz w:val="24"/>
        </w:rPr>
        <w:t>(2)负责协调乙方在甲方开展工作所需的办公条件。(3)在人员条件允许情况下，甲方派技术人员跟随乙方管理咨询服务人员一起参与，接受乙方技术人员的现场指导，了解可能遇到的问题及处理故障的方法。(4)严格按照合同规定的付款方式向乙方支付合同款项。(5)乙方向甲方提供的内部资料，甲方予以保密，甲方不向任何第三方泄露乙方的商业机密和技术机密。</w:t>
      </w:r>
    </w:p>
    <w:p>
      <w:pPr>
        <w:adjustRightInd w:val="0"/>
        <w:snapToGrid w:val="0"/>
        <w:spacing w:line="360" w:lineRule="auto"/>
        <w:ind w:firstLine="480" w:firstLineChars="200"/>
        <w:rPr>
          <w:rFonts w:hint="eastAsia" w:ascii="宋体" w:hAnsi="宋体" w:cs="宋体"/>
          <w:bCs/>
          <w:sz w:val="24"/>
        </w:rPr>
      </w:pPr>
      <w:r>
        <w:rPr>
          <w:rFonts w:hint="eastAsia" w:ascii="宋体" w:hAnsi="宋体" w:cs="宋体"/>
          <w:bCs/>
          <w:sz w:val="24"/>
        </w:rPr>
        <w:t>2.乙方责任</w:t>
      </w:r>
    </w:p>
    <w:p>
      <w:pPr>
        <w:adjustRightInd w:val="0"/>
        <w:snapToGrid w:val="0"/>
        <w:spacing w:line="360" w:lineRule="auto"/>
        <w:ind w:firstLine="480" w:firstLineChars="200"/>
        <w:rPr>
          <w:rFonts w:hint="eastAsia" w:ascii="宋体" w:hAnsi="宋体" w:cs="宋体"/>
          <w:bCs/>
          <w:sz w:val="24"/>
        </w:rPr>
      </w:pPr>
      <w:r>
        <w:rPr>
          <w:rFonts w:hint="eastAsia" w:ascii="宋体" w:hAnsi="宋体" w:cs="宋体"/>
          <w:bCs/>
          <w:sz w:val="24"/>
        </w:rPr>
        <w:t>(1) 乙方在履行本合同义务期间，应遵守国家有关法律、法规，维护委托人的合法权益。</w:t>
      </w:r>
    </w:p>
    <w:p>
      <w:pPr>
        <w:adjustRightInd w:val="0"/>
        <w:snapToGrid w:val="0"/>
        <w:spacing w:line="360" w:lineRule="auto"/>
        <w:ind w:firstLine="480" w:firstLineChars="200"/>
        <w:rPr>
          <w:rFonts w:hint="eastAsia" w:ascii="宋体" w:hAnsi="宋体" w:cs="宋体"/>
          <w:bCs/>
          <w:sz w:val="24"/>
        </w:rPr>
      </w:pPr>
      <w:r>
        <w:rPr>
          <w:rFonts w:hint="eastAsia" w:ascii="宋体" w:hAnsi="宋体" w:cs="宋体"/>
          <w:bCs/>
          <w:sz w:val="24"/>
        </w:rPr>
        <w:t>(2) 乙方应组建能够满足本项目委托管理咨询服务需要的项目部，并指定一名项目负责人，按照委托管理咨询工作范围和内容完成管理咨询工作。(3) 乙方应按批准的建设内容、建设资金、建设规模和建设标准实施组织管理。受托人应对项目的质量、进度、验收、保修维修进行监督管理。(4)甲方向乙方提供的内部资料乙方应予以保密，乙方承诺不向任何第三方泄露甲方的业务机密。</w:t>
      </w:r>
    </w:p>
    <w:p>
      <w:pPr>
        <w:adjustRightInd w:val="0"/>
        <w:snapToGrid w:val="0"/>
        <w:spacing w:line="360" w:lineRule="auto"/>
        <w:ind w:firstLine="480" w:firstLineChars="200"/>
        <w:rPr>
          <w:rFonts w:hint="eastAsia" w:ascii="宋体" w:hAnsi="宋体" w:cs="宋体"/>
          <w:bCs/>
          <w:sz w:val="24"/>
        </w:rPr>
      </w:pPr>
      <w:r>
        <w:rPr>
          <w:rFonts w:hint="eastAsia" w:ascii="宋体" w:hAnsi="宋体" w:cs="宋体"/>
          <w:bCs/>
          <w:sz w:val="24"/>
        </w:rPr>
        <w:t>(5)乙方应按合同规定时间提交相关的技术服务及实施文件，并积极配合甲方对服务项目进行验收评估。本合同验收由双方共同进行或按相关规定进行。(6) 乙方应充分了解甲方的需求，并有责任向甲方阐述对业务需求的理解，以求达成理解一致。</w:t>
      </w:r>
    </w:p>
    <w:p>
      <w:pPr>
        <w:adjustRightInd w:val="0"/>
        <w:snapToGrid w:val="0"/>
        <w:spacing w:line="360" w:lineRule="auto"/>
        <w:ind w:firstLine="480" w:firstLineChars="200"/>
        <w:rPr>
          <w:rFonts w:hint="eastAsia" w:ascii="宋体" w:hAnsi="宋体" w:cs="宋体"/>
          <w:bCs/>
          <w:sz w:val="24"/>
        </w:rPr>
      </w:pPr>
      <w:r>
        <w:rPr>
          <w:rFonts w:hint="eastAsia" w:ascii="宋体" w:hAnsi="宋体" w:cs="宋体"/>
          <w:bCs/>
          <w:sz w:val="24"/>
        </w:rPr>
        <w:t>（7）乙方应按有关规定建立项目建设档案，在委托管理咨询项目完成后将工程档案、财务档案及相关资料向委托人和有关部门移交。乙方若不能完整交付管理咨询服务需提交或约定应当提交的文件和文档，必须负责补齐，否则视为未按合同约定提供服务或验收不合格。</w:t>
      </w:r>
    </w:p>
    <w:p>
      <w:pPr>
        <w:adjustRightInd w:val="0"/>
        <w:snapToGrid w:val="0"/>
        <w:spacing w:line="360" w:lineRule="auto"/>
        <w:ind w:firstLine="480" w:firstLineChars="200"/>
        <w:rPr>
          <w:rFonts w:hint="eastAsia" w:ascii="宋体" w:hAnsi="宋体" w:cs="宋体"/>
          <w:bCs/>
          <w:sz w:val="24"/>
        </w:rPr>
      </w:pPr>
      <w:r>
        <w:rPr>
          <w:rFonts w:hint="eastAsia" w:ascii="宋体" w:hAnsi="宋体" w:cs="宋体"/>
          <w:bCs/>
          <w:sz w:val="24"/>
        </w:rPr>
        <w:t>（8）乙方应对项目资金进行独立建账，并按照相关内容使用。</w:t>
      </w:r>
    </w:p>
    <w:p>
      <w:pPr>
        <w:adjustRightInd w:val="0"/>
        <w:snapToGrid w:val="0"/>
        <w:spacing w:line="360" w:lineRule="auto"/>
        <w:ind w:firstLine="480" w:firstLineChars="200"/>
        <w:rPr>
          <w:rFonts w:hint="eastAsia" w:ascii="宋体" w:hAnsi="宋体" w:cs="宋体"/>
          <w:bCs/>
          <w:sz w:val="24"/>
        </w:rPr>
      </w:pPr>
      <w:r>
        <w:rPr>
          <w:rFonts w:hint="eastAsia" w:ascii="宋体" w:hAnsi="宋体" w:cs="宋体"/>
          <w:bCs/>
          <w:sz w:val="24"/>
        </w:rPr>
        <w:t>（9）乙方完全遵守《中华人民共和国妇女权益保障法》中关于“劳动和社会保障权益”的有关要求。</w:t>
      </w:r>
    </w:p>
    <w:p>
      <w:pPr>
        <w:adjustRightInd w:val="0"/>
        <w:snapToGrid w:val="0"/>
        <w:spacing w:line="360" w:lineRule="auto"/>
        <w:rPr>
          <w:rFonts w:hint="eastAsia" w:ascii="宋体" w:hAnsi="宋体" w:cs="宋体"/>
          <w:b/>
          <w:sz w:val="24"/>
        </w:rPr>
      </w:pPr>
      <w:r>
        <w:rPr>
          <w:rFonts w:ascii="宋体" w:hAnsi="宋体" w:cs="宋体"/>
          <w:b/>
          <w:sz w:val="24"/>
        </w:rPr>
        <w:t>六、不可抗力</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由于不可抗力的原因，阻止、限制、延迟或干扰双方履行本合同，则应免除双方因不可抗力所延迟或阻止的部分合同的履行责任，但是，双方应采取合理的措施避免或消除该等造成不履行的原因，并且一旦该等原因被消除，则双方应继续履行原受消除原因影响的条款。不可抗力事件系指买卖双方在缔结合同时所不能预见的、并且它的发生及其后果是无法避免和无法克服的事件，诸如战争、严重火灾、水灾、洪水、台风、地震等。</w:t>
      </w:r>
    </w:p>
    <w:p>
      <w:pPr>
        <w:adjustRightInd w:val="0"/>
        <w:snapToGrid w:val="0"/>
        <w:spacing w:line="360" w:lineRule="auto"/>
        <w:rPr>
          <w:rFonts w:hint="eastAsia" w:ascii="宋体" w:hAnsi="宋体" w:cs="宋体"/>
          <w:b/>
          <w:sz w:val="24"/>
        </w:rPr>
      </w:pPr>
      <w:r>
        <w:rPr>
          <w:rFonts w:hint="eastAsia" w:ascii="宋体" w:hAnsi="宋体" w:cs="宋体"/>
          <w:b/>
          <w:sz w:val="24"/>
        </w:rPr>
        <w:t>七、违约合同终止</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若合同一方有足够证据证明合同另一方未在规定时间或规定的内容履行本合同项下规定义务导致合同目的无法实现的，可向对方提出书面违约通知，提出解除部分或全部合同，合同中未解除的部分应继续履行。</w:t>
      </w:r>
    </w:p>
    <w:p>
      <w:pPr>
        <w:adjustRightInd w:val="0"/>
        <w:snapToGrid w:val="0"/>
        <w:spacing w:line="360" w:lineRule="auto"/>
        <w:rPr>
          <w:rFonts w:hint="eastAsia" w:ascii="宋体" w:hAnsi="宋体" w:cs="宋体"/>
          <w:b/>
          <w:bCs/>
          <w:sz w:val="24"/>
        </w:rPr>
      </w:pPr>
      <w:r>
        <w:rPr>
          <w:rFonts w:hint="eastAsia" w:ascii="宋体" w:hAnsi="宋体" w:cs="宋体"/>
          <w:b/>
          <w:bCs/>
          <w:sz w:val="24"/>
        </w:rPr>
        <w:t>八、破产合同终止</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如合同一方破产或有证据证明其无清偿能力，另一方可在任何时候以书面形式通知对方，提出终止合同而不给对方补偿。或要求资产保全防止损失扩大。本合同的终止将不影响乙方采取或将要采取的任何行动或补救措施的权力。</w:t>
      </w:r>
    </w:p>
    <w:p>
      <w:pPr>
        <w:adjustRightInd w:val="0"/>
        <w:snapToGrid w:val="0"/>
        <w:spacing w:line="360" w:lineRule="auto"/>
        <w:rPr>
          <w:rFonts w:hint="eastAsia" w:ascii="宋体" w:hAnsi="宋体" w:cs="宋体"/>
          <w:b/>
          <w:bCs/>
          <w:sz w:val="24"/>
        </w:rPr>
      </w:pPr>
      <w:r>
        <w:rPr>
          <w:rFonts w:hint="eastAsia" w:ascii="宋体" w:hAnsi="宋体" w:cs="宋体"/>
          <w:b/>
          <w:bCs/>
          <w:sz w:val="24"/>
        </w:rPr>
        <w:t>九、合同修改</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任何对合同条款的变更或修改均须甲乙双方签订书面补充协议。</w:t>
      </w:r>
    </w:p>
    <w:p>
      <w:pPr>
        <w:adjustRightInd w:val="0"/>
        <w:snapToGrid w:val="0"/>
        <w:spacing w:line="360" w:lineRule="auto"/>
        <w:rPr>
          <w:rFonts w:hint="eastAsia" w:ascii="宋体" w:hAnsi="宋体" w:cs="宋体"/>
          <w:b/>
          <w:bCs/>
          <w:sz w:val="24"/>
        </w:rPr>
      </w:pPr>
      <w:r>
        <w:rPr>
          <w:rFonts w:hint="eastAsia" w:ascii="宋体" w:hAnsi="宋体" w:cs="宋体"/>
          <w:b/>
          <w:bCs/>
          <w:sz w:val="24"/>
        </w:rPr>
        <w:t>十、转让与分包</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本合同主体部分不得分包。甲方保留对技术上有特殊要求的部分合同内容采用指定分包的权利。除非甲方同意，乙方不得转让其应履行的合同项下的义务。</w:t>
      </w:r>
    </w:p>
    <w:p>
      <w:pPr>
        <w:adjustRightInd w:val="0"/>
        <w:snapToGrid w:val="0"/>
        <w:spacing w:line="360" w:lineRule="auto"/>
        <w:rPr>
          <w:rFonts w:hint="eastAsia" w:ascii="宋体" w:hAnsi="宋体" w:cs="宋体"/>
          <w:b/>
          <w:bCs/>
          <w:sz w:val="24"/>
        </w:rPr>
      </w:pPr>
      <w:r>
        <w:rPr>
          <w:rFonts w:hint="eastAsia" w:ascii="宋体" w:hAnsi="宋体" w:cs="宋体"/>
          <w:b/>
          <w:bCs/>
          <w:sz w:val="24"/>
        </w:rPr>
        <w:t>十一、适用法律</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本合同适用中华人民共和国法律。</w:t>
      </w:r>
    </w:p>
    <w:p>
      <w:pPr>
        <w:adjustRightInd w:val="0"/>
        <w:snapToGrid w:val="0"/>
        <w:spacing w:line="360" w:lineRule="auto"/>
        <w:rPr>
          <w:rFonts w:hint="eastAsia" w:ascii="宋体" w:hAnsi="宋体" w:cs="宋体"/>
          <w:b/>
          <w:bCs/>
          <w:sz w:val="24"/>
        </w:rPr>
      </w:pPr>
      <w:r>
        <w:rPr>
          <w:rFonts w:hint="eastAsia" w:ascii="宋体" w:hAnsi="宋体" w:cs="宋体"/>
          <w:b/>
          <w:bCs/>
          <w:sz w:val="24"/>
        </w:rPr>
        <w:t>十二、违约金及损失赔偿</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1.违反本合同约定，违约方应按照《中华人民共和国民法典》有关条款的规定承担违约责任。</w:t>
      </w:r>
    </w:p>
    <w:p>
      <w:pPr>
        <w:adjustRightInd w:val="0"/>
        <w:snapToGrid w:val="0"/>
        <w:spacing w:line="360" w:lineRule="auto"/>
        <w:ind w:firstLine="480" w:firstLineChars="200"/>
        <w:rPr>
          <w:rFonts w:hint="eastAsia" w:ascii="宋体" w:hAnsi="宋体" w:cs="宋体"/>
          <w:b/>
          <w:bCs/>
          <w:sz w:val="24"/>
        </w:rPr>
      </w:pPr>
      <w:r>
        <w:rPr>
          <w:rFonts w:hint="eastAsia" w:ascii="宋体" w:hAnsi="宋体" w:cs="宋体"/>
          <w:sz w:val="24"/>
        </w:rPr>
        <w:t>2.由乙方的过错造成工作延误，每延误</w:t>
      </w:r>
      <w:r>
        <w:rPr>
          <w:rFonts w:hint="eastAsia" w:ascii="宋体" w:hAnsi="宋体" w:cs="宋体"/>
          <w:sz w:val="24"/>
          <w:u w:val="single"/>
        </w:rPr>
        <w:t xml:space="preserve"> 5 </w:t>
      </w:r>
      <w:r>
        <w:rPr>
          <w:rFonts w:hint="eastAsia" w:ascii="宋体" w:hAnsi="宋体" w:cs="宋体"/>
          <w:sz w:val="24"/>
        </w:rPr>
        <w:t>个工作日，乙方同意甲方扣除合同金额的</w:t>
      </w:r>
      <w:r>
        <w:rPr>
          <w:rFonts w:hint="eastAsia" w:ascii="宋体" w:hAnsi="宋体" w:cs="宋体"/>
          <w:sz w:val="24"/>
          <w:u w:val="single"/>
        </w:rPr>
        <w:t xml:space="preserve">1 </w:t>
      </w:r>
      <w:r>
        <w:rPr>
          <w:rFonts w:hint="eastAsia" w:ascii="宋体" w:hAnsi="宋体" w:cs="宋体"/>
          <w:sz w:val="24"/>
        </w:rPr>
        <w:t>‰违约金，不满</w:t>
      </w:r>
      <w:r>
        <w:rPr>
          <w:rFonts w:hint="eastAsia" w:ascii="宋体" w:hAnsi="宋体" w:cs="宋体"/>
          <w:sz w:val="24"/>
          <w:u w:val="single"/>
        </w:rPr>
        <w:t xml:space="preserve"> 5 </w:t>
      </w:r>
      <w:r>
        <w:rPr>
          <w:rFonts w:hint="eastAsia" w:ascii="宋体" w:hAnsi="宋体" w:cs="宋体"/>
          <w:sz w:val="24"/>
        </w:rPr>
        <w:t>个工作日按</w:t>
      </w:r>
      <w:r>
        <w:rPr>
          <w:rFonts w:hint="eastAsia" w:ascii="宋体" w:hAnsi="宋体" w:cs="宋体"/>
          <w:sz w:val="24"/>
          <w:u w:val="single"/>
        </w:rPr>
        <w:t xml:space="preserve"> 5 </w:t>
      </w:r>
      <w:r>
        <w:rPr>
          <w:rFonts w:hint="eastAsia" w:ascii="宋体" w:hAnsi="宋体" w:cs="宋体"/>
          <w:sz w:val="24"/>
        </w:rPr>
        <w:t>个工作日计算，就乙方过错造成工作延误而言，违约赔偿总额不超过合同总额的</w:t>
      </w:r>
      <w:r>
        <w:rPr>
          <w:rFonts w:hint="eastAsia" w:ascii="宋体" w:hAnsi="宋体" w:cs="宋体"/>
          <w:sz w:val="24"/>
          <w:u w:val="single"/>
        </w:rPr>
        <w:t xml:space="preserve"> 5 </w:t>
      </w:r>
      <w:r>
        <w:rPr>
          <w:rFonts w:hint="eastAsia" w:ascii="宋体" w:hAnsi="宋体" w:cs="宋体"/>
          <w:sz w:val="24"/>
        </w:rPr>
        <w:t>％。</w:t>
      </w:r>
      <w:r>
        <w:rPr>
          <w:rFonts w:hint="eastAsia" w:ascii="宋体" w:hAnsi="宋体" w:cs="宋体"/>
          <w:sz w:val="24"/>
        </w:rPr>
        <w:br w:type="textWrapping"/>
      </w:r>
      <w:r>
        <w:rPr>
          <w:rFonts w:ascii="宋体" w:hAnsi="宋体" w:cs="宋体"/>
          <w:b/>
          <w:bCs/>
          <w:sz w:val="24"/>
        </w:rPr>
        <w:t>十三、解决合同纠纷的方式</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1.甲、乙双方在合同履行过程中发生的一切争议，均应通过双方友好协商解决。如果协商开始后</w:t>
      </w:r>
      <w:r>
        <w:rPr>
          <w:rFonts w:hint="eastAsia" w:ascii="宋体" w:hAnsi="宋体" w:cs="宋体"/>
          <w:sz w:val="24"/>
          <w:u w:val="single"/>
        </w:rPr>
        <w:t xml:space="preserve"> 30 </w:t>
      </w:r>
      <w:r>
        <w:rPr>
          <w:rFonts w:hint="eastAsia" w:ascii="宋体" w:hAnsi="宋体" w:cs="宋体"/>
          <w:sz w:val="24"/>
        </w:rPr>
        <w:t>天还未解决，双方同意选择第 2 种方式解决纠纷：</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（1）由甲方所在地有管辖权的人民法院判决。</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（2）由北京仲裁委员会仲裁。</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仲裁由北京仲裁委员会按其仲裁规则和程序在北京进行。除非双方另行同意，仲裁的官方语言应为中文。仲裁裁决应为最终裁决，对双方均具有约束力。除另有裁决外，仲裁费由败诉方负担。</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2.诉讼、仲裁期间，除正在进行的诉讼、仲裁部分外，合同其它部分继续执行。</w:t>
      </w:r>
    </w:p>
    <w:p>
      <w:pPr>
        <w:adjustRightInd w:val="0"/>
        <w:snapToGrid w:val="0"/>
        <w:spacing w:line="360" w:lineRule="auto"/>
        <w:rPr>
          <w:rFonts w:hint="eastAsia" w:ascii="宋体" w:hAnsi="宋体" w:cs="宋体"/>
          <w:b/>
          <w:bCs/>
          <w:sz w:val="24"/>
        </w:rPr>
      </w:pPr>
      <w:r>
        <w:rPr>
          <w:rFonts w:ascii="宋体" w:hAnsi="宋体" w:cs="宋体"/>
          <w:b/>
          <w:bCs/>
          <w:sz w:val="24"/>
        </w:rPr>
        <w:t>十四、合同生效及其他</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1. 下列条件全部符合后，合同生效：</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双方法定代表人或授权代表签章并加盖单位公章或合同专用章。</w:t>
      </w:r>
    </w:p>
    <w:p>
      <w:pPr>
        <w:numPr>
          <w:ilvl w:val="0"/>
          <w:numId w:val="16"/>
        </w:num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下述合同附件为本合同不可分割的部分并与本合同具有同等效力：</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（1）招标文件</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（2）投标文件（如被甲方接受）</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（3）中标/成交通知书</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3. 本合同一式</w:t>
      </w:r>
      <w:r>
        <w:rPr>
          <w:rFonts w:hint="eastAsia" w:ascii="宋体" w:hAnsi="宋体" w:cs="宋体"/>
          <w:sz w:val="24"/>
          <w:u w:val="single"/>
        </w:rPr>
        <w:t xml:space="preserve"> 陆 </w:t>
      </w:r>
      <w:r>
        <w:rPr>
          <w:rFonts w:hint="eastAsia" w:ascii="宋体" w:hAnsi="宋体" w:cs="宋体"/>
          <w:sz w:val="24"/>
        </w:rPr>
        <w:t>份，具有同等法律效力。甲方</w:t>
      </w:r>
      <w:r>
        <w:rPr>
          <w:rFonts w:hint="eastAsia" w:ascii="宋体" w:hAnsi="宋体" w:cs="宋体"/>
          <w:sz w:val="24"/>
          <w:u w:val="single"/>
        </w:rPr>
        <w:t>叁</w:t>
      </w:r>
      <w:r>
        <w:rPr>
          <w:rFonts w:hint="eastAsia" w:ascii="宋体" w:hAnsi="宋体" w:cs="宋体"/>
          <w:sz w:val="24"/>
        </w:rPr>
        <w:t>份，乙方</w:t>
      </w:r>
      <w:r>
        <w:rPr>
          <w:rFonts w:hint="eastAsia" w:ascii="宋体" w:hAnsi="宋体" w:cs="宋体"/>
          <w:sz w:val="24"/>
          <w:u w:val="single"/>
        </w:rPr>
        <w:t>叁</w:t>
      </w:r>
      <w:r>
        <w:rPr>
          <w:rFonts w:hint="eastAsia" w:ascii="宋体" w:hAnsi="宋体" w:cs="宋体"/>
          <w:sz w:val="24"/>
        </w:rPr>
        <w:t>份，均具有同等法律效力。</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4. 本合同满足条款规定的生效条件后即生效，至双方均履行完各自的合同义务后终止。但有关违约、索赔及争端解决的条款除外。</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5.合同之未尽事宜，双方本着相互信任和谅解的原则，友好协商解决并签订补充协议。</w:t>
      </w:r>
    </w:p>
    <w:p>
      <w:pPr>
        <w:widowControl/>
        <w:spacing w:line="460" w:lineRule="exact"/>
        <w:rPr>
          <w:rFonts w:hint="eastAsia" w:ascii="宋体" w:hAnsi="宋体" w:cs="宋体"/>
          <w:sz w:val="24"/>
        </w:rPr>
      </w:pPr>
    </w:p>
    <w:p>
      <w:pPr>
        <w:widowControl/>
        <w:spacing w:line="460" w:lineRule="exact"/>
        <w:rPr>
          <w:rFonts w:hint="eastAsia" w:ascii="宋体" w:hAnsi="宋体" w:cs="宋体"/>
          <w:sz w:val="24"/>
        </w:rPr>
      </w:pPr>
      <w:r>
        <w:rPr>
          <w:rFonts w:hint="eastAsia" w:ascii="宋体" w:hAnsi="宋体" w:cs="宋体"/>
          <w:sz w:val="24"/>
        </w:rPr>
        <w:t>甲方：</w:t>
      </w:r>
      <w:r>
        <w:rPr>
          <w:rFonts w:hint="eastAsia" w:ascii="宋体" w:hAnsi="宋体" w:cs="宋体"/>
          <w:sz w:val="24"/>
          <w:u w:val="single"/>
        </w:rPr>
        <w:t xml:space="preserve">  北京市文化和旅游局  </w:t>
      </w:r>
      <w:r>
        <w:rPr>
          <w:rFonts w:hint="eastAsia" w:ascii="宋体" w:hAnsi="宋体" w:cs="宋体"/>
          <w:sz w:val="24"/>
        </w:rPr>
        <w:t xml:space="preserve">     乙方：</w:t>
      </w:r>
      <w:r>
        <w:rPr>
          <w:rFonts w:hint="eastAsia" w:ascii="宋体" w:hAnsi="宋体" w:cs="宋体"/>
          <w:sz w:val="24"/>
          <w:u w:val="single"/>
        </w:rPr>
        <w:t xml:space="preserve">                        </w:t>
      </w:r>
      <w:r>
        <w:rPr>
          <w:rFonts w:hint="eastAsia" w:ascii="宋体" w:hAnsi="宋体" w:cs="宋体"/>
          <w:sz w:val="24"/>
        </w:rPr>
        <w:t xml:space="preserve">             </w:t>
      </w:r>
    </w:p>
    <w:p>
      <w:pPr>
        <w:widowControl/>
        <w:spacing w:line="460" w:lineRule="exact"/>
        <w:jc w:val="center"/>
        <w:rPr>
          <w:rFonts w:hint="eastAsia" w:ascii="宋体" w:hAnsi="宋体" w:cs="宋体"/>
          <w:sz w:val="24"/>
        </w:rPr>
      </w:pPr>
      <w:r>
        <w:rPr>
          <w:rFonts w:hint="eastAsia" w:ascii="宋体" w:hAnsi="宋体" w:cs="宋体"/>
          <w:sz w:val="24"/>
        </w:rPr>
        <w:t>（加盖公章）                     （加盖公章）</w:t>
      </w:r>
    </w:p>
    <w:p>
      <w:pPr>
        <w:widowControl/>
        <w:spacing w:line="460" w:lineRule="exact"/>
        <w:rPr>
          <w:rFonts w:hint="eastAsia" w:ascii="宋体" w:hAnsi="宋体" w:cs="宋体"/>
          <w:sz w:val="24"/>
        </w:rPr>
      </w:pPr>
      <w:r>
        <w:rPr>
          <w:rFonts w:hint="eastAsia" w:ascii="宋体" w:hAnsi="宋体" w:cs="宋体"/>
          <w:sz w:val="24"/>
        </w:rPr>
        <w:t>法定代表人或委托代理人：          法定代表人或委托代理人：</w:t>
      </w:r>
    </w:p>
    <w:p>
      <w:pPr>
        <w:widowControl/>
        <w:spacing w:line="460" w:lineRule="exact"/>
        <w:jc w:val="center"/>
        <w:rPr>
          <w:rFonts w:hint="eastAsia" w:ascii="宋体" w:hAnsi="宋体" w:cs="宋体"/>
          <w:sz w:val="24"/>
        </w:rPr>
      </w:pPr>
      <w:r>
        <w:rPr>
          <w:rFonts w:hint="eastAsia" w:ascii="宋体" w:hAnsi="宋体" w:cs="宋体"/>
          <w:sz w:val="24"/>
        </w:rPr>
        <w:t>（签字或签章）                   （签字或签章）</w:t>
      </w:r>
    </w:p>
    <w:p>
      <w:pPr>
        <w:widowControl/>
        <w:spacing w:line="460" w:lineRule="exact"/>
        <w:rPr>
          <w:rFonts w:hint="eastAsia" w:ascii="宋体" w:hAnsi="宋体" w:cs="宋体"/>
          <w:sz w:val="24"/>
        </w:rPr>
      </w:pPr>
    </w:p>
    <w:p>
      <w:pPr>
        <w:widowControl/>
        <w:spacing w:line="460" w:lineRule="exact"/>
        <w:rPr>
          <w:rFonts w:hint="eastAsia" w:ascii="宋体" w:hAnsi="宋体" w:cs="宋体"/>
          <w:sz w:val="24"/>
        </w:rPr>
      </w:pPr>
    </w:p>
    <w:p>
      <w:pPr>
        <w:widowControl/>
        <w:spacing w:line="460" w:lineRule="exact"/>
        <w:rPr>
          <w:rFonts w:hint="eastAsia" w:ascii="宋体" w:hAnsi="宋体" w:cs="宋体"/>
          <w:sz w:val="24"/>
        </w:rPr>
      </w:pPr>
      <w:r>
        <w:rPr>
          <w:rFonts w:hint="eastAsia" w:ascii="宋体" w:hAnsi="宋体" w:cs="宋体"/>
          <w:sz w:val="24"/>
        </w:rPr>
        <w:t xml:space="preserve"> </w:t>
      </w:r>
      <w:r>
        <w:rPr>
          <w:rFonts w:hint="eastAsia" w:ascii="宋体" w:hAnsi="宋体" w:cs="宋体"/>
          <w:sz w:val="24"/>
          <w:u w:val="single"/>
        </w:rPr>
        <w:t xml:space="preserve">                           </w:t>
      </w:r>
      <w:r>
        <w:rPr>
          <w:rFonts w:hint="eastAsia" w:ascii="宋体" w:hAnsi="宋体" w:cs="宋体"/>
          <w:sz w:val="24"/>
        </w:rPr>
        <w:t xml:space="preserve">       </w:t>
      </w:r>
      <w:r>
        <w:rPr>
          <w:rFonts w:hint="eastAsia" w:ascii="宋体" w:hAnsi="宋体" w:cs="宋体"/>
          <w:sz w:val="24"/>
          <w:u w:val="single"/>
        </w:rPr>
        <w:t xml:space="preserve">                            </w:t>
      </w:r>
      <w:r>
        <w:rPr>
          <w:rFonts w:hint="eastAsia" w:ascii="宋体" w:hAnsi="宋体" w:cs="宋体"/>
          <w:sz w:val="24"/>
        </w:rPr>
        <w:t xml:space="preserve"> </w:t>
      </w:r>
    </w:p>
    <w:p>
      <w:pPr>
        <w:widowControl/>
        <w:spacing w:line="460" w:lineRule="exact"/>
        <w:rPr>
          <w:rFonts w:hint="eastAsia" w:ascii="宋体" w:hAnsi="宋体" w:cs="宋体"/>
          <w:sz w:val="24"/>
        </w:rPr>
      </w:pPr>
      <w:r>
        <w:rPr>
          <w:rFonts w:hint="eastAsia" w:ascii="宋体" w:hAnsi="宋体" w:cs="宋体"/>
          <w:sz w:val="24"/>
        </w:rPr>
        <w:t>地址：</w:t>
      </w:r>
      <w:r>
        <w:rPr>
          <w:rFonts w:hint="eastAsia" w:ascii="宋体" w:hAnsi="宋体" w:cs="宋体"/>
          <w:sz w:val="24"/>
          <w:u w:val="single"/>
        </w:rPr>
        <w:t xml:space="preserve">                      </w:t>
      </w:r>
      <w:r>
        <w:rPr>
          <w:rFonts w:hint="eastAsia" w:ascii="宋体" w:hAnsi="宋体" w:cs="宋体"/>
          <w:sz w:val="24"/>
        </w:rPr>
        <w:t xml:space="preserve">       地址：</w:t>
      </w:r>
      <w:r>
        <w:rPr>
          <w:rFonts w:hint="eastAsia" w:ascii="宋体" w:hAnsi="宋体" w:cs="宋体"/>
          <w:sz w:val="24"/>
          <w:u w:val="single"/>
        </w:rPr>
        <w:t xml:space="preserve">                      </w:t>
      </w:r>
    </w:p>
    <w:p>
      <w:pPr>
        <w:widowControl/>
        <w:spacing w:line="460" w:lineRule="exact"/>
        <w:rPr>
          <w:rFonts w:hint="eastAsia" w:ascii="宋体" w:hAnsi="宋体" w:cs="宋体"/>
          <w:sz w:val="24"/>
          <w:u w:val="single"/>
        </w:rPr>
      </w:pPr>
      <w:r>
        <w:rPr>
          <w:rFonts w:hint="eastAsia" w:ascii="宋体" w:hAnsi="宋体" w:cs="宋体"/>
          <w:sz w:val="24"/>
        </w:rPr>
        <w:t>开户行：</w:t>
      </w:r>
      <w:r>
        <w:rPr>
          <w:rFonts w:hint="eastAsia" w:ascii="宋体" w:hAnsi="宋体" w:cs="宋体"/>
          <w:sz w:val="24"/>
          <w:u w:val="single"/>
        </w:rPr>
        <w:t xml:space="preserve">                    </w:t>
      </w:r>
      <w:r>
        <w:rPr>
          <w:rFonts w:hint="eastAsia" w:ascii="宋体" w:hAnsi="宋体" w:cs="宋体"/>
          <w:sz w:val="24"/>
        </w:rPr>
        <w:t xml:space="preserve">       开户行：</w:t>
      </w:r>
      <w:r>
        <w:rPr>
          <w:rFonts w:hint="eastAsia" w:ascii="宋体" w:hAnsi="宋体" w:cs="宋体"/>
          <w:sz w:val="24"/>
          <w:u w:val="single"/>
        </w:rPr>
        <w:t xml:space="preserve">                    </w:t>
      </w:r>
    </w:p>
    <w:p>
      <w:pPr>
        <w:widowControl/>
        <w:spacing w:line="460" w:lineRule="exact"/>
        <w:rPr>
          <w:rFonts w:hint="eastAsia" w:ascii="宋体" w:hAnsi="宋体" w:cs="宋体"/>
          <w:sz w:val="24"/>
          <w:u w:val="single"/>
        </w:rPr>
      </w:pPr>
      <w:r>
        <w:rPr>
          <w:rFonts w:hint="eastAsia" w:ascii="宋体" w:hAnsi="宋体" w:cs="宋体"/>
          <w:sz w:val="24"/>
        </w:rPr>
        <w:t>银行地址：</w:t>
      </w:r>
      <w:r>
        <w:rPr>
          <w:rFonts w:hint="eastAsia" w:ascii="宋体" w:hAnsi="宋体" w:cs="宋体"/>
          <w:sz w:val="24"/>
          <w:u w:val="single"/>
        </w:rPr>
        <w:t xml:space="preserve">                  </w:t>
      </w:r>
      <w:r>
        <w:rPr>
          <w:rFonts w:hint="eastAsia" w:ascii="宋体" w:hAnsi="宋体" w:cs="宋体"/>
          <w:sz w:val="24"/>
        </w:rPr>
        <w:t xml:space="preserve">       银行地址：</w:t>
      </w:r>
      <w:r>
        <w:rPr>
          <w:rFonts w:hint="eastAsia" w:ascii="宋体" w:hAnsi="宋体" w:cs="宋体"/>
          <w:sz w:val="24"/>
          <w:u w:val="single"/>
        </w:rPr>
        <w:t xml:space="preserve">                  </w:t>
      </w:r>
    </w:p>
    <w:p>
      <w:pPr>
        <w:widowControl/>
        <w:spacing w:line="460" w:lineRule="exact"/>
        <w:rPr>
          <w:rFonts w:hint="eastAsia" w:ascii="宋体" w:hAnsi="宋体" w:cs="宋体"/>
          <w:sz w:val="24"/>
          <w:u w:val="single"/>
        </w:rPr>
      </w:pPr>
      <w:r>
        <w:rPr>
          <w:rFonts w:hint="eastAsia" w:ascii="宋体" w:hAnsi="宋体" w:cs="宋体"/>
          <w:sz w:val="24"/>
        </w:rPr>
        <w:t>户名：</w:t>
      </w:r>
      <w:r>
        <w:rPr>
          <w:rFonts w:hint="eastAsia" w:ascii="宋体" w:hAnsi="宋体" w:cs="宋体"/>
          <w:sz w:val="24"/>
          <w:u w:val="single"/>
        </w:rPr>
        <w:t xml:space="preserve">                       </w:t>
      </w:r>
      <w:r>
        <w:rPr>
          <w:rFonts w:hint="eastAsia" w:ascii="宋体" w:hAnsi="宋体" w:cs="宋体"/>
          <w:sz w:val="24"/>
        </w:rPr>
        <w:t xml:space="preserve">      户名：</w:t>
      </w:r>
      <w:r>
        <w:rPr>
          <w:rFonts w:hint="eastAsia" w:ascii="宋体" w:hAnsi="宋体" w:cs="宋体"/>
          <w:sz w:val="24"/>
          <w:u w:val="single"/>
        </w:rPr>
        <w:t xml:space="preserve">                      </w:t>
      </w:r>
    </w:p>
    <w:p>
      <w:pPr>
        <w:widowControl/>
        <w:spacing w:line="460" w:lineRule="exact"/>
        <w:rPr>
          <w:rFonts w:hint="eastAsia" w:ascii="宋体" w:hAnsi="宋体" w:cs="宋体"/>
          <w:sz w:val="24"/>
        </w:rPr>
      </w:pPr>
      <w:r>
        <w:rPr>
          <w:rFonts w:hint="eastAsia" w:ascii="宋体" w:hAnsi="宋体" w:cs="宋体"/>
          <w:sz w:val="24"/>
        </w:rPr>
        <w:t>帐号：</w:t>
      </w:r>
      <w:r>
        <w:rPr>
          <w:rFonts w:hint="eastAsia" w:ascii="宋体" w:hAnsi="宋体" w:cs="宋体"/>
          <w:sz w:val="24"/>
          <w:u w:val="single"/>
        </w:rPr>
        <w:t xml:space="preserve">                      </w:t>
      </w:r>
      <w:r>
        <w:rPr>
          <w:rFonts w:hint="eastAsia" w:ascii="宋体" w:hAnsi="宋体" w:cs="宋体"/>
          <w:sz w:val="24"/>
        </w:rPr>
        <w:t xml:space="preserve">       帐号：</w:t>
      </w:r>
      <w:r>
        <w:rPr>
          <w:rFonts w:hint="eastAsia" w:ascii="宋体" w:hAnsi="宋体" w:cs="宋体"/>
          <w:sz w:val="24"/>
          <w:u w:val="single"/>
        </w:rPr>
        <w:t xml:space="preserve">                      </w:t>
      </w:r>
    </w:p>
    <w:p>
      <w:pPr>
        <w:widowControl/>
        <w:spacing w:line="460" w:lineRule="exact"/>
        <w:rPr>
          <w:rFonts w:hint="eastAsia" w:ascii="宋体" w:hAnsi="宋体" w:cs="宋体"/>
          <w:sz w:val="24"/>
        </w:rPr>
      </w:pPr>
      <w:r>
        <w:rPr>
          <w:rFonts w:hint="eastAsia" w:ascii="宋体" w:hAnsi="宋体" w:cs="宋体"/>
          <w:sz w:val="24"/>
        </w:rPr>
        <w:t>邮编：</w:t>
      </w:r>
      <w:r>
        <w:rPr>
          <w:rFonts w:hint="eastAsia" w:ascii="宋体" w:hAnsi="宋体" w:cs="宋体"/>
          <w:sz w:val="24"/>
          <w:u w:val="single"/>
        </w:rPr>
        <w:t xml:space="preserve">                      </w:t>
      </w:r>
      <w:r>
        <w:rPr>
          <w:rFonts w:hint="eastAsia" w:ascii="宋体" w:hAnsi="宋体" w:cs="宋体"/>
          <w:sz w:val="24"/>
        </w:rPr>
        <w:t xml:space="preserve">       邮编：</w:t>
      </w:r>
      <w:r>
        <w:rPr>
          <w:rFonts w:hint="eastAsia" w:ascii="宋体" w:hAnsi="宋体" w:cs="宋体"/>
          <w:sz w:val="24"/>
          <w:u w:val="single"/>
        </w:rPr>
        <w:t xml:space="preserve">                      </w:t>
      </w:r>
      <w:r>
        <w:rPr>
          <w:rFonts w:hint="eastAsia" w:ascii="宋体" w:hAnsi="宋体" w:cs="宋体"/>
          <w:sz w:val="24"/>
        </w:rPr>
        <w:t xml:space="preserve">  </w:t>
      </w:r>
    </w:p>
    <w:p>
      <w:pPr>
        <w:widowControl/>
        <w:spacing w:line="460" w:lineRule="exact"/>
        <w:rPr>
          <w:rFonts w:hint="eastAsia" w:ascii="宋体" w:hAnsi="宋体" w:cs="宋体"/>
          <w:sz w:val="24"/>
        </w:rPr>
      </w:pPr>
      <w:r>
        <w:rPr>
          <w:rFonts w:hint="eastAsia" w:ascii="宋体" w:hAnsi="宋体" w:cs="宋体"/>
          <w:sz w:val="24"/>
        </w:rPr>
        <w:t>电话：</w:t>
      </w:r>
      <w:r>
        <w:rPr>
          <w:rFonts w:hint="eastAsia" w:ascii="宋体" w:hAnsi="宋体" w:cs="宋体"/>
          <w:sz w:val="24"/>
          <w:u w:val="single"/>
        </w:rPr>
        <w:t xml:space="preserve">                      </w:t>
      </w:r>
      <w:r>
        <w:rPr>
          <w:rFonts w:hint="eastAsia" w:ascii="宋体" w:hAnsi="宋体" w:cs="宋体"/>
          <w:sz w:val="24"/>
        </w:rPr>
        <w:t xml:space="preserve">       电话：</w:t>
      </w:r>
      <w:r>
        <w:rPr>
          <w:rFonts w:hint="eastAsia" w:ascii="宋体" w:hAnsi="宋体" w:cs="宋体"/>
          <w:sz w:val="24"/>
          <w:u w:val="single"/>
        </w:rPr>
        <w:t xml:space="preserve">                      </w:t>
      </w:r>
    </w:p>
    <w:p>
      <w:pPr>
        <w:widowControl/>
        <w:spacing w:line="460" w:lineRule="exact"/>
        <w:rPr>
          <w:rFonts w:hint="eastAsia" w:ascii="宋体" w:hAnsi="宋体" w:cs="宋体"/>
          <w:sz w:val="24"/>
        </w:rPr>
      </w:pPr>
      <w:r>
        <w:rPr>
          <w:rFonts w:hint="eastAsia" w:ascii="宋体" w:hAnsi="宋体" w:cs="宋体"/>
          <w:sz w:val="24"/>
        </w:rPr>
        <w:t>传真：</w:t>
      </w:r>
      <w:r>
        <w:rPr>
          <w:rFonts w:hint="eastAsia" w:ascii="宋体" w:hAnsi="宋体" w:cs="宋体"/>
          <w:sz w:val="24"/>
          <w:u w:val="single"/>
        </w:rPr>
        <w:t xml:space="preserve">                      </w:t>
      </w:r>
      <w:r>
        <w:rPr>
          <w:rFonts w:hint="eastAsia" w:ascii="宋体" w:hAnsi="宋体" w:cs="宋体"/>
          <w:sz w:val="24"/>
        </w:rPr>
        <w:t xml:space="preserve">       传真：</w:t>
      </w:r>
      <w:r>
        <w:rPr>
          <w:rFonts w:hint="eastAsia" w:ascii="宋体" w:hAnsi="宋体" w:cs="宋体"/>
          <w:sz w:val="24"/>
          <w:u w:val="single"/>
        </w:rPr>
        <w:t xml:space="preserve">                      </w:t>
      </w:r>
    </w:p>
    <w:p>
      <w:pPr>
        <w:widowControl/>
        <w:spacing w:line="460" w:lineRule="exact"/>
        <w:rPr>
          <w:rFonts w:hint="eastAsia" w:ascii="宋体" w:hAnsi="宋体" w:cs="宋体"/>
          <w:sz w:val="24"/>
        </w:rPr>
      </w:pPr>
      <w:r>
        <w:rPr>
          <w:rFonts w:hint="eastAsia" w:ascii="宋体" w:hAnsi="宋体" w:cs="宋体"/>
          <w:sz w:val="24"/>
        </w:rPr>
        <w:t>电子邮箱：</w:t>
      </w:r>
      <w:r>
        <w:rPr>
          <w:rFonts w:hint="eastAsia" w:ascii="宋体" w:hAnsi="宋体" w:cs="宋体"/>
          <w:sz w:val="24"/>
          <w:u w:val="single"/>
        </w:rPr>
        <w:t xml:space="preserve">           </w:t>
      </w:r>
      <w:r>
        <w:rPr>
          <w:rFonts w:hint="eastAsia" w:ascii="宋体" w:hAnsi="宋体" w:cs="宋体"/>
          <w:sz w:val="24"/>
          <w:u w:val="single"/>
        </w:rPr>
        <w:tab/>
      </w:r>
      <w:r>
        <w:rPr>
          <w:rFonts w:hint="eastAsia" w:ascii="宋体" w:hAnsi="宋体" w:cs="宋体"/>
          <w:sz w:val="24"/>
          <w:u w:val="single"/>
        </w:rPr>
        <w:t xml:space="preserve">    </w:t>
      </w:r>
      <w:r>
        <w:rPr>
          <w:rFonts w:hint="eastAsia" w:ascii="宋体" w:hAnsi="宋体" w:cs="宋体"/>
          <w:sz w:val="24"/>
        </w:rPr>
        <w:t xml:space="preserve">       电子邮箱：</w:t>
      </w:r>
      <w:r>
        <w:rPr>
          <w:rFonts w:hint="eastAsia" w:ascii="宋体" w:hAnsi="宋体" w:cs="宋体"/>
          <w:sz w:val="24"/>
          <w:u w:val="single"/>
        </w:rPr>
        <w:t xml:space="preserve">           </w:t>
      </w:r>
      <w:r>
        <w:rPr>
          <w:rFonts w:hint="eastAsia" w:ascii="宋体" w:hAnsi="宋体" w:cs="宋体"/>
          <w:sz w:val="24"/>
          <w:u w:val="single"/>
        </w:rPr>
        <w:tab/>
      </w:r>
      <w:r>
        <w:rPr>
          <w:rFonts w:hint="eastAsia" w:ascii="宋体" w:hAnsi="宋体" w:cs="宋体"/>
          <w:sz w:val="24"/>
          <w:u w:val="single"/>
        </w:rPr>
        <w:t xml:space="preserve">    </w:t>
      </w:r>
    </w:p>
    <w:p>
      <w:pPr>
        <w:autoSpaceDN w:val="0"/>
        <w:spacing w:line="460" w:lineRule="exact"/>
        <w:ind w:firstLine="480" w:firstLineChars="200"/>
        <w:rPr>
          <w:rFonts w:hint="eastAsia" w:ascii="宋体" w:hAnsi="宋体"/>
          <w:sz w:val="28"/>
        </w:rPr>
      </w:pPr>
      <w:r>
        <w:rPr>
          <w:rFonts w:hint="eastAsia" w:ascii="宋体" w:hAnsi="宋体" w:cs="宋体"/>
          <w:sz w:val="24"/>
        </w:rPr>
        <w:t xml:space="preserve">  </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r>
        <w:rPr>
          <w:rFonts w:hint="eastAsia" w:ascii="宋体" w:hAnsi="宋体" w:cs="宋体"/>
          <w:sz w:val="24"/>
        </w:rPr>
        <w:tab/>
      </w:r>
      <w:r>
        <w:rPr>
          <w:rFonts w:hint="eastAsia" w:ascii="宋体" w:hAnsi="宋体" w:cs="宋体"/>
          <w:sz w:val="24"/>
        </w:rPr>
        <w:tab/>
      </w:r>
      <w:r>
        <w:rPr>
          <w:rFonts w:hint="eastAsia" w:ascii="宋体" w:hAnsi="宋体" w:cs="宋体"/>
          <w:sz w:val="24"/>
        </w:rPr>
        <w:t xml:space="preserve">    </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tabs>
          <w:tab w:val="left" w:pos="2400"/>
          <w:tab w:val="left" w:pos="2700"/>
          <w:tab w:val="left" w:pos="3000"/>
          <w:tab w:val="left" w:pos="3300"/>
          <w:tab w:val="left" w:pos="3600"/>
        </w:tabs>
        <w:spacing w:line="360" w:lineRule="auto"/>
        <w:ind w:firstLine="480" w:firstLineChars="200"/>
        <w:jc w:val="center"/>
        <w:rPr>
          <w:rFonts w:hint="eastAsia" w:ascii="宋体" w:hAnsi="宋体"/>
          <w:b/>
          <w:sz w:val="44"/>
          <w:szCs w:val="44"/>
        </w:rPr>
      </w:pPr>
      <w:r>
        <w:rPr>
          <w:rFonts w:ascii="宋体" w:hAnsi="宋体"/>
          <w:sz w:val="24"/>
        </w:rPr>
        <w:br w:type="page"/>
      </w:r>
      <w:r>
        <w:rPr>
          <w:rFonts w:hint="eastAsia" w:ascii="宋体" w:hAnsi="宋体"/>
          <w:b/>
          <w:bCs/>
          <w:sz w:val="44"/>
          <w:szCs w:val="44"/>
        </w:rPr>
        <w:t>廉 洁 合 同</w:t>
      </w:r>
    </w:p>
    <w:p>
      <w:pPr>
        <w:tabs>
          <w:tab w:val="left" w:pos="2400"/>
          <w:tab w:val="left" w:pos="2700"/>
          <w:tab w:val="left" w:pos="3000"/>
          <w:tab w:val="left" w:pos="3300"/>
          <w:tab w:val="left" w:pos="3600"/>
        </w:tabs>
        <w:spacing w:line="360" w:lineRule="auto"/>
        <w:ind w:firstLine="482" w:firstLineChars="200"/>
        <w:rPr>
          <w:rFonts w:hint="eastAsia" w:ascii="宋体" w:hAnsi="宋体"/>
          <w:sz w:val="24"/>
        </w:rPr>
      </w:pPr>
      <w:r>
        <w:rPr>
          <w:rFonts w:hint="eastAsia" w:ascii="宋体" w:hAnsi="宋体"/>
          <w:b/>
          <w:sz w:val="24"/>
        </w:rPr>
        <w:t>（注：本廉洁合同须投标人加盖好本单位公章后于开标前快递，无需密封，一式三份，快递信息：北京市东城区崇文门外大街90号7层705室，张超收，010-67169727）</w:t>
      </w:r>
    </w:p>
    <w:p>
      <w:pPr>
        <w:spacing w:line="520" w:lineRule="exact"/>
        <w:rPr>
          <w:rFonts w:hint="eastAsia" w:ascii="宋体" w:hAnsi="宋体" w:cs="宋体"/>
          <w:b/>
          <w:bCs/>
          <w:sz w:val="24"/>
        </w:rPr>
      </w:pPr>
      <w:r>
        <w:rPr>
          <w:rFonts w:hint="eastAsia" w:ascii="宋体" w:hAnsi="宋体" w:cs="宋体"/>
          <w:b/>
          <w:bCs/>
          <w:sz w:val="24"/>
        </w:rPr>
        <w:t>项目名称：</w:t>
      </w:r>
      <w:r>
        <w:rPr>
          <w:rFonts w:hint="eastAsia" w:ascii="宋体" w:hAnsi="宋体" w:cs="宋体"/>
          <w:b/>
          <w:bCs/>
          <w:sz w:val="24"/>
          <w:u w:val="single"/>
        </w:rPr>
        <w:t>中央补助乡村旅游品牌培育与消费促进项目</w:t>
      </w:r>
    </w:p>
    <w:p>
      <w:pPr>
        <w:spacing w:line="520" w:lineRule="exact"/>
        <w:rPr>
          <w:rFonts w:hint="eastAsia" w:ascii="宋体" w:hAnsi="宋体" w:cs="宋体"/>
          <w:b/>
          <w:bCs/>
          <w:sz w:val="24"/>
        </w:rPr>
      </w:pPr>
      <w:r>
        <w:rPr>
          <w:rFonts w:hint="eastAsia" w:ascii="宋体" w:hAnsi="宋体" w:cs="宋体"/>
          <w:b/>
          <w:bCs/>
          <w:sz w:val="24"/>
        </w:rPr>
        <w:t>招标（合同）编号：</w:t>
      </w:r>
      <w:r>
        <w:rPr>
          <w:rFonts w:hint="eastAsia" w:ascii="宋体" w:hAnsi="宋体" w:cs="宋体"/>
          <w:b/>
          <w:bCs/>
          <w:sz w:val="24"/>
          <w:u w:val="single"/>
        </w:rPr>
        <w:t xml:space="preserve">                    </w:t>
      </w:r>
    </w:p>
    <w:p>
      <w:pPr>
        <w:spacing w:line="520" w:lineRule="exact"/>
        <w:rPr>
          <w:rFonts w:hint="eastAsia" w:ascii="宋体" w:hAnsi="宋体" w:cs="宋体"/>
          <w:b/>
          <w:bCs/>
          <w:sz w:val="24"/>
        </w:rPr>
      </w:pPr>
      <w:r>
        <w:rPr>
          <w:rFonts w:hint="eastAsia" w:ascii="宋体" w:hAnsi="宋体" w:cs="宋体"/>
          <w:b/>
          <w:bCs/>
          <w:sz w:val="24"/>
        </w:rPr>
        <w:t>甲方（项目采购方）：</w:t>
      </w:r>
      <w:r>
        <w:rPr>
          <w:rFonts w:hint="eastAsia" w:ascii="宋体" w:hAnsi="宋体" w:cs="宋体"/>
          <w:b/>
          <w:bCs/>
          <w:sz w:val="24"/>
          <w:u w:val="single"/>
        </w:rPr>
        <w:t>北京市文化和旅游局</w:t>
      </w:r>
    </w:p>
    <w:p>
      <w:pPr>
        <w:spacing w:line="520" w:lineRule="exact"/>
        <w:rPr>
          <w:rFonts w:hint="eastAsia" w:ascii="宋体" w:hAnsi="宋体" w:cs="宋体"/>
          <w:b/>
          <w:bCs/>
          <w:sz w:val="24"/>
          <w:u w:val="single"/>
        </w:rPr>
      </w:pPr>
      <w:r>
        <w:rPr>
          <w:rFonts w:hint="eastAsia" w:ascii="宋体" w:hAnsi="宋体" w:cs="宋体"/>
          <w:b/>
          <w:bCs/>
          <w:sz w:val="24"/>
        </w:rPr>
        <w:t>乙方（投标方）：</w:t>
      </w:r>
      <w:r>
        <w:rPr>
          <w:rFonts w:hint="eastAsia" w:ascii="宋体" w:hAnsi="宋体" w:cs="宋体"/>
          <w:b/>
          <w:bCs/>
          <w:sz w:val="24"/>
          <w:u w:val="single"/>
        </w:rPr>
        <w:t xml:space="preserve">                           </w:t>
      </w:r>
    </w:p>
    <w:p>
      <w:pPr>
        <w:spacing w:line="520" w:lineRule="exact"/>
        <w:rPr>
          <w:rFonts w:hint="eastAsia" w:ascii="宋体" w:hAnsi="宋体" w:cs="宋体"/>
          <w:b/>
          <w:bCs/>
          <w:sz w:val="24"/>
        </w:rPr>
      </w:pPr>
      <w:r>
        <w:rPr>
          <w:rFonts w:hint="eastAsia" w:ascii="宋体" w:hAnsi="宋体" w:cs="宋体"/>
          <w:b/>
          <w:bCs/>
          <w:sz w:val="24"/>
        </w:rPr>
        <w:t>丙方（招标代理机构）：</w:t>
      </w:r>
      <w:r>
        <w:rPr>
          <w:rFonts w:hint="eastAsia" w:ascii="宋体" w:hAnsi="宋体" w:cs="宋体"/>
          <w:b/>
          <w:bCs/>
          <w:sz w:val="24"/>
          <w:u w:val="single"/>
        </w:rPr>
        <w:t xml:space="preserve">                           </w:t>
      </w:r>
    </w:p>
    <w:p>
      <w:pPr>
        <w:spacing w:line="520" w:lineRule="exact"/>
        <w:rPr>
          <w:rFonts w:hint="eastAsia" w:ascii="宋体" w:hAnsi="宋体" w:cs="宋体"/>
          <w:sz w:val="24"/>
        </w:rPr>
      </w:pPr>
    </w:p>
    <w:p>
      <w:pPr>
        <w:spacing w:line="520" w:lineRule="exact"/>
        <w:rPr>
          <w:rFonts w:hint="eastAsia" w:ascii="宋体" w:hAnsi="宋体" w:cs="宋体"/>
          <w:sz w:val="24"/>
        </w:rPr>
      </w:pPr>
      <w:r>
        <w:rPr>
          <w:rFonts w:hint="eastAsia" w:ascii="宋体" w:hAnsi="宋体" w:cs="宋体"/>
          <w:sz w:val="24"/>
        </w:rPr>
        <w:t xml:space="preserve">    为了规范北京市文化和旅游局的招、投标工作，防止违纪违法行为的发生，经甲方、乙方和丙方协商同意，三方将严格执行以下条件：</w:t>
      </w:r>
    </w:p>
    <w:p>
      <w:pPr>
        <w:spacing w:line="520" w:lineRule="exact"/>
        <w:ind w:firstLine="482" w:firstLineChars="200"/>
        <w:rPr>
          <w:rFonts w:hint="eastAsia" w:ascii="宋体" w:hAnsi="宋体" w:cs="宋体"/>
          <w:b/>
          <w:bCs/>
          <w:sz w:val="24"/>
        </w:rPr>
      </w:pPr>
      <w:r>
        <w:rPr>
          <w:rFonts w:hint="eastAsia" w:ascii="宋体" w:hAnsi="宋体" w:cs="宋体"/>
          <w:b/>
          <w:bCs/>
          <w:sz w:val="24"/>
        </w:rPr>
        <w:t>一、甲方的权利和义务</w:t>
      </w:r>
    </w:p>
    <w:p>
      <w:pPr>
        <w:spacing w:line="520" w:lineRule="exact"/>
        <w:rPr>
          <w:rFonts w:hint="eastAsia" w:ascii="宋体" w:hAnsi="宋体" w:cs="宋体"/>
          <w:sz w:val="24"/>
        </w:rPr>
      </w:pPr>
      <w:r>
        <w:rPr>
          <w:rFonts w:hint="eastAsia" w:ascii="宋体" w:hAnsi="宋体" w:cs="宋体"/>
          <w:sz w:val="24"/>
        </w:rPr>
        <w:t xml:space="preserve">   （一）甲方工作人员有责任向乙方和丙方介绍本单位有关廉洁从业的制度、规定。甲方的纪检监督人员有权对三方在招、投标及合同执行过程中的廉洁情况进行监督。</w:t>
      </w:r>
    </w:p>
    <w:p>
      <w:pPr>
        <w:spacing w:line="520" w:lineRule="exact"/>
        <w:rPr>
          <w:rFonts w:hint="eastAsia" w:ascii="宋体" w:hAnsi="宋体" w:cs="宋体"/>
          <w:sz w:val="24"/>
        </w:rPr>
      </w:pPr>
      <w:r>
        <w:rPr>
          <w:rFonts w:hint="eastAsia" w:ascii="宋体" w:hAnsi="宋体" w:cs="宋体"/>
          <w:sz w:val="24"/>
        </w:rPr>
        <w:t xml:space="preserve">   （二）甲方工作人员不得向乙方泄露招、投标中的商业秘密。</w:t>
      </w:r>
    </w:p>
    <w:p>
      <w:pPr>
        <w:spacing w:line="520" w:lineRule="exact"/>
        <w:rPr>
          <w:rFonts w:hint="eastAsia" w:ascii="宋体" w:hAnsi="宋体" w:cs="宋体"/>
          <w:sz w:val="24"/>
        </w:rPr>
      </w:pPr>
      <w:r>
        <w:rPr>
          <w:rFonts w:hint="eastAsia" w:ascii="宋体" w:hAnsi="宋体" w:cs="宋体"/>
          <w:sz w:val="24"/>
        </w:rPr>
        <w:t xml:space="preserve">   （三）甲方工作人员在招、投标以及合同执行过程中，不得以任何形式向乙方索取贿赂，收受回扣及好处费等；不得接受乙方馈赠的有价证券和贵重物品；不得让乙方报销任何费用；不得参加对执行公务有影响的娱乐活动和宴请；不得向乙方介绍亲属或亲友从事与该项目有关的材料、设备供应和项目分包等经济活动；不得要求乙方为亲属安排出境和国内旅游等；不得借婚丧嫁娶之机收受乙方的钱（含有价证券）、物。</w:t>
      </w:r>
    </w:p>
    <w:p>
      <w:pPr>
        <w:spacing w:line="520" w:lineRule="exact"/>
        <w:rPr>
          <w:rFonts w:hint="eastAsia" w:ascii="宋体" w:hAnsi="宋体" w:cs="宋体"/>
          <w:sz w:val="24"/>
        </w:rPr>
      </w:pPr>
      <w:r>
        <w:rPr>
          <w:rFonts w:hint="eastAsia" w:ascii="宋体" w:hAnsi="宋体" w:cs="宋体"/>
          <w:sz w:val="24"/>
        </w:rPr>
        <w:t xml:space="preserve">   （四）对乙方主动给予的钱（含有价证券）、物，甲方的工作人员要坚决谢绝，无法拒绝的要在两周内上交甲方的机关纪委或上级纪检监察部门。</w:t>
      </w:r>
    </w:p>
    <w:p>
      <w:pPr>
        <w:spacing w:line="520" w:lineRule="exact"/>
        <w:rPr>
          <w:rFonts w:hint="eastAsia" w:ascii="宋体" w:hAnsi="宋体" w:cs="宋体"/>
          <w:sz w:val="24"/>
        </w:rPr>
      </w:pPr>
      <w:r>
        <w:rPr>
          <w:rFonts w:hint="eastAsia" w:ascii="宋体" w:hAnsi="宋体" w:cs="宋体"/>
          <w:sz w:val="24"/>
        </w:rPr>
        <w:t xml:space="preserve">   （五）甲方工作人员在招标及执行合同过程中，必须遵守廉洁自律的其他有关规定。</w:t>
      </w:r>
    </w:p>
    <w:p>
      <w:pPr>
        <w:spacing w:line="520" w:lineRule="exact"/>
        <w:rPr>
          <w:rFonts w:hint="eastAsia" w:ascii="宋体" w:hAnsi="宋体" w:cs="宋体"/>
          <w:b/>
          <w:bCs/>
          <w:sz w:val="24"/>
        </w:rPr>
      </w:pPr>
      <w:r>
        <w:rPr>
          <w:rFonts w:hint="eastAsia" w:ascii="宋体" w:hAnsi="宋体" w:cs="宋体"/>
          <w:b/>
          <w:bCs/>
          <w:sz w:val="24"/>
        </w:rPr>
        <w:t xml:space="preserve">    二、乙方的权利和义务</w:t>
      </w:r>
    </w:p>
    <w:p>
      <w:pPr>
        <w:spacing w:line="520" w:lineRule="exact"/>
        <w:rPr>
          <w:rFonts w:hint="eastAsia" w:ascii="宋体" w:hAnsi="宋体" w:cs="宋体"/>
          <w:sz w:val="24"/>
        </w:rPr>
      </w:pPr>
      <w:r>
        <w:rPr>
          <w:rFonts w:hint="eastAsia" w:ascii="宋体" w:hAnsi="宋体" w:cs="宋体"/>
          <w:sz w:val="24"/>
        </w:rPr>
        <w:t xml:space="preserve">   （一）乙方的纪检监督人员有权对三方在招、投标及合同执行过程中廉洁从业情况进行监督，并积极配合甲方纪检监察工作人员就有关违纪问题进行调查取证。</w:t>
      </w:r>
    </w:p>
    <w:p>
      <w:pPr>
        <w:spacing w:line="520" w:lineRule="exact"/>
        <w:rPr>
          <w:rFonts w:hint="eastAsia" w:ascii="宋体" w:hAnsi="宋体" w:cs="宋体"/>
          <w:sz w:val="24"/>
        </w:rPr>
      </w:pPr>
      <w:r>
        <w:rPr>
          <w:rFonts w:hint="eastAsia" w:ascii="宋体" w:hAnsi="宋体" w:cs="宋体"/>
          <w:sz w:val="24"/>
        </w:rPr>
        <w:t xml:space="preserve">   （二）乙方有权了解甲方、丙方在廉洁从业方面的各项制度和规定，并主动配合甲方、丙方遵守执行。</w:t>
      </w:r>
    </w:p>
    <w:p>
      <w:pPr>
        <w:spacing w:line="520" w:lineRule="exact"/>
        <w:rPr>
          <w:rFonts w:hint="eastAsia" w:ascii="宋体" w:hAnsi="宋体" w:cs="宋体"/>
          <w:sz w:val="24"/>
        </w:rPr>
      </w:pPr>
      <w:r>
        <w:rPr>
          <w:rFonts w:hint="eastAsia" w:ascii="宋体" w:hAnsi="宋体" w:cs="宋体"/>
          <w:sz w:val="24"/>
        </w:rPr>
        <w:t xml:space="preserve">   （三）乙方的工作人员不得以任何方式向甲方、丙方的工作人员了解招投标中的商业秘密。</w:t>
      </w:r>
    </w:p>
    <w:p>
      <w:pPr>
        <w:spacing w:line="520" w:lineRule="exact"/>
        <w:rPr>
          <w:rFonts w:hint="eastAsia" w:ascii="宋体" w:hAnsi="宋体" w:cs="宋体"/>
          <w:sz w:val="24"/>
        </w:rPr>
      </w:pPr>
      <w:r>
        <w:rPr>
          <w:rFonts w:hint="eastAsia" w:ascii="宋体" w:hAnsi="宋体" w:cs="宋体"/>
          <w:sz w:val="24"/>
        </w:rPr>
        <w:t xml:space="preserve">   （四）乙方的工作人员在投标及中标后的合同执行过程中，不得向甲方、丙方工作人员行贿、提供回扣或其他好处费等；不得向甲方、丙方的工作人员馈赠有价证券和贵重物品；不得给甲方、丙方的工作人员报销任何费用；不得为甲方、丙方的工作人员购置交通工具、通讯工具、家电、办公用品等；不得邀请甲方、丙方的工作人员参加对执行公务有影响的娱乐活动和宴请；不得接受甲方、丙方的工作人员介绍的亲属或亲友从事与该项目有关的材料、设备供应或该项目分包等经济活动；不得为甲方、丙方工作人员的亲属安排出境或国内旅游等；不得借婚丧嫁娶之机向甲方、丙方工作人员赠送钱（含有价证券）、物。</w:t>
      </w:r>
    </w:p>
    <w:p>
      <w:pPr>
        <w:spacing w:line="520" w:lineRule="exact"/>
        <w:rPr>
          <w:rFonts w:hint="eastAsia" w:ascii="宋体" w:hAnsi="宋体" w:cs="宋体"/>
          <w:sz w:val="24"/>
        </w:rPr>
      </w:pPr>
      <w:r>
        <w:rPr>
          <w:rFonts w:hint="eastAsia" w:ascii="宋体" w:hAnsi="宋体" w:cs="宋体"/>
          <w:sz w:val="24"/>
        </w:rPr>
        <w:t xml:space="preserve">   （五）乙方发现甲方、丙方的工作人员有不廉洁的行为，应在在48小时内署名报告甲方、丙方的纪检监督人员或有关领导。</w:t>
      </w:r>
    </w:p>
    <w:p>
      <w:pPr>
        <w:spacing w:line="520" w:lineRule="exact"/>
        <w:rPr>
          <w:rFonts w:hint="eastAsia" w:ascii="宋体" w:hAnsi="宋体" w:cs="宋体"/>
          <w:b/>
          <w:bCs/>
          <w:sz w:val="24"/>
        </w:rPr>
      </w:pPr>
      <w:r>
        <w:rPr>
          <w:rFonts w:hint="eastAsia" w:ascii="宋体" w:hAnsi="宋体" w:cs="宋体"/>
          <w:b/>
          <w:bCs/>
          <w:sz w:val="24"/>
        </w:rPr>
        <w:t xml:space="preserve">    三、丙方的权利和义务</w:t>
      </w:r>
    </w:p>
    <w:p>
      <w:pPr>
        <w:spacing w:line="520" w:lineRule="exact"/>
        <w:rPr>
          <w:rFonts w:hint="eastAsia" w:ascii="宋体" w:hAnsi="宋体" w:cs="宋体"/>
          <w:sz w:val="24"/>
        </w:rPr>
      </w:pPr>
      <w:r>
        <w:rPr>
          <w:rFonts w:hint="eastAsia" w:ascii="宋体" w:hAnsi="宋体" w:cs="宋体"/>
          <w:sz w:val="24"/>
        </w:rPr>
        <w:t xml:space="preserve">   （一）丙方的工作人员有责任向甲方、乙方介绍本单位有关廉洁从业的制度、规定。丙方的纪检监督人员有权对三方在招、投标过程中的廉洁情况进行监督。</w:t>
      </w:r>
    </w:p>
    <w:p>
      <w:pPr>
        <w:spacing w:line="520" w:lineRule="exact"/>
        <w:rPr>
          <w:rFonts w:hint="eastAsia" w:ascii="宋体" w:hAnsi="宋体" w:cs="宋体"/>
          <w:sz w:val="24"/>
        </w:rPr>
      </w:pPr>
      <w:r>
        <w:rPr>
          <w:rFonts w:hint="eastAsia" w:ascii="宋体" w:hAnsi="宋体" w:cs="宋体"/>
          <w:sz w:val="24"/>
        </w:rPr>
        <w:t xml:space="preserve">   （二）丙方的工作人员不得向乙方泄露招、投标中的商业秘密。</w:t>
      </w:r>
    </w:p>
    <w:p>
      <w:pPr>
        <w:spacing w:line="520" w:lineRule="exact"/>
        <w:rPr>
          <w:rFonts w:hint="eastAsia" w:ascii="宋体" w:hAnsi="宋体" w:cs="宋体"/>
          <w:sz w:val="24"/>
        </w:rPr>
      </w:pPr>
      <w:r>
        <w:rPr>
          <w:rFonts w:hint="eastAsia" w:ascii="宋体" w:hAnsi="宋体" w:cs="宋体"/>
          <w:sz w:val="24"/>
        </w:rPr>
        <w:t xml:space="preserve">   （三）丙方的工作人员在招、投标以及合同执行过程中，不得以任何形式向乙方索取贿赂、收受回扣及好处费等；不得接受乙方馈赠的有价证券和贵重物品；不得让乙方报销任何费用；不得参加对执行公务有影响的娱乐活动和宴请；不得向乙方介绍亲属或亲友从事与该项目有关的材料、设备供应和该项目分包等经济活动；不得要求乙方为亲属安排出境或国内旅游；不得借婚丧嫁娶之机收受乙方的钱（含有价证券）、物。</w:t>
      </w:r>
    </w:p>
    <w:p>
      <w:pPr>
        <w:spacing w:line="520" w:lineRule="exact"/>
        <w:rPr>
          <w:rFonts w:hint="eastAsia" w:ascii="宋体" w:hAnsi="宋体" w:cs="宋体"/>
          <w:sz w:val="24"/>
        </w:rPr>
      </w:pPr>
      <w:r>
        <w:rPr>
          <w:rFonts w:hint="eastAsia" w:ascii="宋体" w:hAnsi="宋体" w:cs="宋体"/>
          <w:sz w:val="24"/>
        </w:rPr>
        <w:t xml:space="preserve">   （四）对乙方主动给予的钱（含有价证券）、物，丙方的工作人员要坚决谢绝，无法拒绝的要在两周内上交丙方的纪检监察部门或上级纪检监察部门。</w:t>
      </w:r>
    </w:p>
    <w:p>
      <w:pPr>
        <w:spacing w:line="520" w:lineRule="exact"/>
        <w:rPr>
          <w:rFonts w:hint="eastAsia" w:ascii="宋体" w:hAnsi="宋体" w:cs="宋体"/>
          <w:sz w:val="24"/>
        </w:rPr>
      </w:pPr>
      <w:r>
        <w:rPr>
          <w:rFonts w:hint="eastAsia" w:ascii="宋体" w:hAnsi="宋体" w:cs="宋体"/>
          <w:sz w:val="24"/>
        </w:rPr>
        <w:t xml:space="preserve">   （五）丙方的工作人员在招标及执行合同过程中，必须遵守廉洁从业的其他有关规定。</w:t>
      </w:r>
    </w:p>
    <w:p>
      <w:pPr>
        <w:spacing w:line="520" w:lineRule="exact"/>
        <w:rPr>
          <w:rFonts w:hint="eastAsia" w:ascii="宋体" w:hAnsi="宋体" w:cs="宋体"/>
          <w:b/>
          <w:bCs/>
          <w:sz w:val="24"/>
        </w:rPr>
      </w:pPr>
      <w:r>
        <w:rPr>
          <w:rFonts w:hint="eastAsia" w:ascii="宋体" w:hAnsi="宋体" w:cs="宋体"/>
          <w:b/>
          <w:bCs/>
          <w:sz w:val="24"/>
        </w:rPr>
        <w:t xml:space="preserve">    四、违约责任</w:t>
      </w:r>
    </w:p>
    <w:p>
      <w:pPr>
        <w:spacing w:line="520" w:lineRule="exact"/>
        <w:rPr>
          <w:rFonts w:hint="eastAsia" w:ascii="宋体" w:hAnsi="宋体" w:cs="宋体"/>
          <w:sz w:val="24"/>
        </w:rPr>
      </w:pPr>
      <w:r>
        <w:rPr>
          <w:rFonts w:hint="eastAsia" w:ascii="宋体" w:hAnsi="宋体" w:cs="宋体"/>
          <w:sz w:val="24"/>
        </w:rPr>
        <w:t xml:space="preserve">   （一）甲方工作人员违反廉洁责任，经调查属实的，甲方将依据党纪、政纪对当事人进行严肃处理，对涉嫌犯罪人员移送司法机关。</w:t>
      </w:r>
    </w:p>
    <w:p>
      <w:pPr>
        <w:spacing w:line="520" w:lineRule="exact"/>
        <w:rPr>
          <w:rFonts w:hint="eastAsia" w:ascii="宋体" w:hAnsi="宋体" w:cs="宋体"/>
          <w:sz w:val="24"/>
        </w:rPr>
      </w:pPr>
      <w:r>
        <w:rPr>
          <w:rFonts w:hint="eastAsia" w:ascii="宋体" w:hAnsi="宋体" w:cs="宋体"/>
          <w:sz w:val="24"/>
        </w:rPr>
        <w:t xml:space="preserve">   （二）乙方工作人员违反廉洁责任，经调查属实的，甲方及其代理机构有权退回其投标；对中标的乙方，甲方及其代理机构有权撤销中标决定，或一次性扣罚与其签订合同总价款的0.5%——10%直至终止合同执行，由此造成的经济损失由乙方承担；在今后甲方的政府采购项目中不再考虑与乙方合作。</w:t>
      </w:r>
    </w:p>
    <w:p>
      <w:pPr>
        <w:spacing w:line="520" w:lineRule="exact"/>
        <w:rPr>
          <w:rFonts w:hint="eastAsia" w:ascii="宋体" w:hAnsi="宋体" w:cs="宋体"/>
          <w:sz w:val="24"/>
        </w:rPr>
      </w:pPr>
      <w:r>
        <w:rPr>
          <w:rFonts w:hint="eastAsia" w:ascii="宋体" w:hAnsi="宋体" w:cs="宋体"/>
          <w:sz w:val="24"/>
        </w:rPr>
        <w:t xml:space="preserve">   （三）丙方的工作人员违反廉洁责任，经调查属实的，丙方应依据党纪、政纪对当事人进行严肃处理，对涉嫌犯罪人员应移送司法机关；对情节严重或屡次违法违规操作的，今后甲方的政府采购项目不再考虑与丙方合作，并向其上级主管部门提出纪检监察建议。</w:t>
      </w:r>
    </w:p>
    <w:p>
      <w:pPr>
        <w:spacing w:line="520" w:lineRule="exact"/>
        <w:rPr>
          <w:rFonts w:hint="eastAsia" w:ascii="宋体" w:hAnsi="宋体" w:cs="宋体"/>
          <w:b/>
          <w:bCs/>
          <w:sz w:val="24"/>
        </w:rPr>
      </w:pPr>
      <w:r>
        <w:rPr>
          <w:rFonts w:hint="eastAsia" w:ascii="宋体" w:hAnsi="宋体" w:cs="宋体"/>
          <w:b/>
          <w:bCs/>
          <w:sz w:val="24"/>
        </w:rPr>
        <w:t xml:space="preserve">    五、合同的生效</w:t>
      </w:r>
    </w:p>
    <w:p>
      <w:pPr>
        <w:spacing w:line="520" w:lineRule="exact"/>
        <w:rPr>
          <w:rFonts w:hint="eastAsia" w:ascii="宋体" w:hAnsi="宋体" w:cs="宋体"/>
          <w:sz w:val="24"/>
        </w:rPr>
      </w:pPr>
      <w:r>
        <w:rPr>
          <w:rFonts w:hint="eastAsia" w:ascii="宋体" w:hAnsi="宋体" w:cs="宋体"/>
          <w:sz w:val="24"/>
        </w:rPr>
        <w:t xml:space="preserve">   （一）本合同在三方签字盖章后即生效。</w:t>
      </w:r>
    </w:p>
    <w:p>
      <w:pPr>
        <w:spacing w:line="520" w:lineRule="exact"/>
        <w:rPr>
          <w:rFonts w:hint="eastAsia" w:ascii="宋体" w:hAnsi="宋体" w:cs="宋体"/>
          <w:sz w:val="24"/>
        </w:rPr>
      </w:pPr>
      <w:r>
        <w:rPr>
          <w:rFonts w:hint="eastAsia" w:ascii="宋体" w:hAnsi="宋体" w:cs="宋体"/>
          <w:sz w:val="24"/>
        </w:rPr>
        <w:t xml:space="preserve">   （二）本合同一式三份，三方各执一份。</w:t>
      </w:r>
    </w:p>
    <w:p>
      <w:pPr>
        <w:spacing w:line="520" w:lineRule="exact"/>
        <w:rPr>
          <w:rFonts w:hint="eastAsia" w:ascii="宋体" w:hAnsi="宋体" w:cs="宋体"/>
          <w:sz w:val="24"/>
        </w:rPr>
      </w:pPr>
      <w:r>
        <w:rPr>
          <w:rFonts w:hint="eastAsia" w:ascii="宋体" w:hAnsi="宋体" w:cs="宋体"/>
          <w:sz w:val="24"/>
        </w:rPr>
        <w:t xml:space="preserve">   （三）本合同在主合同授予、履行的全过程有效，并作为主合同的附件。</w:t>
      </w:r>
    </w:p>
    <w:p>
      <w:pPr>
        <w:spacing w:line="520" w:lineRule="exact"/>
        <w:rPr>
          <w:rFonts w:hint="eastAsia" w:ascii="宋体" w:hAnsi="宋体" w:cs="宋体"/>
          <w:sz w:val="24"/>
        </w:rPr>
      </w:pPr>
    </w:p>
    <w:p>
      <w:pPr>
        <w:spacing w:line="520" w:lineRule="exact"/>
        <w:rPr>
          <w:rFonts w:hint="eastAsia" w:ascii="宋体" w:hAnsi="宋体" w:cs="宋体"/>
          <w:sz w:val="24"/>
          <w:u w:val="single"/>
        </w:rPr>
      </w:pPr>
      <w:r>
        <w:rPr>
          <w:rFonts w:hint="eastAsia" w:ascii="宋体" w:hAnsi="宋体" w:cs="宋体"/>
          <w:sz w:val="24"/>
        </w:rPr>
        <w:t>甲方：</w:t>
      </w:r>
      <w:r>
        <w:rPr>
          <w:rFonts w:hint="eastAsia" w:ascii="宋体" w:hAnsi="宋体" w:cs="宋体"/>
          <w:sz w:val="24"/>
          <w:u w:val="single"/>
        </w:rPr>
        <w:t xml:space="preserve"> 北京市文化和旅游局 </w:t>
      </w:r>
    </w:p>
    <w:p>
      <w:pPr>
        <w:spacing w:line="520" w:lineRule="exact"/>
        <w:rPr>
          <w:rFonts w:hint="eastAsia" w:ascii="宋体" w:hAnsi="宋体" w:cs="宋体"/>
          <w:sz w:val="24"/>
        </w:rPr>
      </w:pPr>
      <w:r>
        <w:rPr>
          <w:rFonts w:hint="eastAsia" w:ascii="宋体" w:hAnsi="宋体" w:cs="宋体"/>
          <w:sz w:val="24"/>
        </w:rPr>
        <w:t>法定代表人（或授权代表）签字：</w:t>
      </w:r>
      <w:r>
        <w:rPr>
          <w:rFonts w:hint="eastAsia" w:ascii="宋体" w:hAnsi="宋体" w:cs="宋体"/>
          <w:sz w:val="24"/>
          <w:u w:val="single"/>
        </w:rPr>
        <w:t xml:space="preserve">                        </w:t>
      </w:r>
    </w:p>
    <w:p>
      <w:pPr>
        <w:spacing w:line="520" w:lineRule="exact"/>
        <w:rPr>
          <w:rFonts w:hint="eastAsia" w:ascii="宋体" w:hAnsi="宋体" w:cs="宋体"/>
          <w:sz w:val="24"/>
        </w:rPr>
      </w:pPr>
      <w:r>
        <w:rPr>
          <w:rFonts w:hint="eastAsia" w:ascii="宋体" w:hAnsi="宋体" w:cs="宋体"/>
          <w:sz w:val="24"/>
        </w:rPr>
        <w:t>盖章：</w:t>
      </w:r>
      <w:r>
        <w:rPr>
          <w:rFonts w:hint="eastAsia" w:ascii="宋体" w:hAnsi="宋体" w:cs="宋体"/>
          <w:sz w:val="24"/>
          <w:u w:val="single"/>
        </w:rPr>
        <w:t xml:space="preserve">                        </w:t>
      </w:r>
    </w:p>
    <w:p>
      <w:pPr>
        <w:spacing w:line="520" w:lineRule="exact"/>
        <w:rPr>
          <w:rFonts w:hint="eastAsia" w:ascii="宋体" w:hAnsi="宋体" w:cs="宋体"/>
          <w:sz w:val="24"/>
        </w:rPr>
      </w:pPr>
      <w:r>
        <w:rPr>
          <w:rFonts w:hint="eastAsia" w:ascii="宋体" w:hAnsi="宋体" w:cs="宋体"/>
          <w:sz w:val="24"/>
        </w:rPr>
        <w:t>签字日期：</w:t>
      </w:r>
      <w:r>
        <w:rPr>
          <w:rFonts w:hint="eastAsia" w:ascii="宋体" w:hAnsi="宋体" w:cs="宋体"/>
          <w:sz w:val="24"/>
          <w:u w:val="single"/>
        </w:rPr>
        <w:t xml:space="preserve">                        </w:t>
      </w:r>
    </w:p>
    <w:p>
      <w:pPr>
        <w:spacing w:line="520" w:lineRule="exact"/>
        <w:rPr>
          <w:rFonts w:hint="eastAsia" w:ascii="宋体" w:hAnsi="宋体" w:cs="宋体"/>
          <w:sz w:val="24"/>
        </w:rPr>
      </w:pPr>
    </w:p>
    <w:p>
      <w:pPr>
        <w:spacing w:line="520" w:lineRule="exact"/>
        <w:rPr>
          <w:rFonts w:hint="eastAsia" w:ascii="宋体" w:hAnsi="宋体" w:cs="宋体"/>
          <w:sz w:val="24"/>
        </w:rPr>
      </w:pPr>
      <w:r>
        <w:rPr>
          <w:rFonts w:hint="eastAsia" w:ascii="宋体" w:hAnsi="宋体" w:cs="宋体"/>
          <w:sz w:val="24"/>
        </w:rPr>
        <w:t>乙方：</w:t>
      </w:r>
      <w:r>
        <w:rPr>
          <w:rFonts w:hint="eastAsia" w:ascii="宋体" w:hAnsi="宋体" w:cs="宋体"/>
          <w:sz w:val="24"/>
          <w:u w:val="single"/>
        </w:rPr>
        <w:t xml:space="preserve">                        </w:t>
      </w:r>
    </w:p>
    <w:p>
      <w:pPr>
        <w:spacing w:line="520" w:lineRule="exact"/>
        <w:rPr>
          <w:rFonts w:hint="eastAsia" w:ascii="宋体" w:hAnsi="宋体" w:cs="宋体"/>
          <w:sz w:val="24"/>
        </w:rPr>
      </w:pPr>
      <w:r>
        <w:rPr>
          <w:rFonts w:hint="eastAsia" w:ascii="宋体" w:hAnsi="宋体" w:cs="宋体"/>
          <w:sz w:val="24"/>
        </w:rPr>
        <w:t>法定代表人（或授权代表）签字：</w:t>
      </w:r>
      <w:r>
        <w:rPr>
          <w:rFonts w:hint="eastAsia" w:ascii="宋体" w:hAnsi="宋体" w:cs="宋体"/>
          <w:sz w:val="24"/>
          <w:u w:val="single"/>
        </w:rPr>
        <w:t xml:space="preserve">                        </w:t>
      </w:r>
    </w:p>
    <w:p>
      <w:pPr>
        <w:spacing w:line="520" w:lineRule="exact"/>
        <w:rPr>
          <w:rFonts w:hint="eastAsia" w:ascii="宋体" w:hAnsi="宋体" w:cs="宋体"/>
          <w:sz w:val="24"/>
        </w:rPr>
      </w:pPr>
      <w:r>
        <w:rPr>
          <w:rFonts w:hint="eastAsia" w:ascii="宋体" w:hAnsi="宋体" w:cs="宋体"/>
          <w:sz w:val="24"/>
        </w:rPr>
        <w:t>盖章：</w:t>
      </w:r>
      <w:r>
        <w:rPr>
          <w:rFonts w:hint="eastAsia" w:ascii="宋体" w:hAnsi="宋体" w:cs="宋体"/>
          <w:sz w:val="24"/>
          <w:u w:val="single"/>
        </w:rPr>
        <w:t xml:space="preserve">                        </w:t>
      </w:r>
    </w:p>
    <w:p>
      <w:pPr>
        <w:spacing w:line="520" w:lineRule="exact"/>
        <w:rPr>
          <w:rFonts w:hint="eastAsia" w:ascii="宋体" w:hAnsi="宋体" w:cs="宋体"/>
          <w:sz w:val="24"/>
        </w:rPr>
      </w:pPr>
      <w:r>
        <w:rPr>
          <w:rFonts w:hint="eastAsia" w:ascii="宋体" w:hAnsi="宋体" w:cs="宋体"/>
          <w:sz w:val="24"/>
        </w:rPr>
        <w:t>签字日期：</w:t>
      </w:r>
      <w:r>
        <w:rPr>
          <w:rFonts w:hint="eastAsia" w:ascii="宋体" w:hAnsi="宋体" w:cs="宋体"/>
          <w:sz w:val="24"/>
          <w:u w:val="single"/>
        </w:rPr>
        <w:t xml:space="preserve">                        </w:t>
      </w:r>
    </w:p>
    <w:p>
      <w:pPr>
        <w:spacing w:line="520" w:lineRule="exact"/>
        <w:rPr>
          <w:rFonts w:hint="eastAsia" w:ascii="宋体" w:hAnsi="宋体" w:cs="宋体"/>
          <w:sz w:val="24"/>
        </w:rPr>
      </w:pPr>
    </w:p>
    <w:p>
      <w:pPr>
        <w:spacing w:line="520" w:lineRule="exact"/>
        <w:rPr>
          <w:rFonts w:hint="eastAsia" w:ascii="宋体" w:hAnsi="宋体" w:cs="宋体"/>
          <w:sz w:val="24"/>
        </w:rPr>
      </w:pPr>
      <w:r>
        <w:rPr>
          <w:rFonts w:hint="eastAsia" w:ascii="宋体" w:hAnsi="宋体" w:cs="宋体"/>
          <w:sz w:val="24"/>
        </w:rPr>
        <w:t>丙方（招标代理机构）：</w:t>
      </w:r>
      <w:r>
        <w:rPr>
          <w:rFonts w:hint="eastAsia" w:ascii="宋体" w:hAnsi="宋体" w:cs="宋体"/>
          <w:sz w:val="24"/>
          <w:u w:val="single"/>
        </w:rPr>
        <w:t xml:space="preserve">                                 </w:t>
      </w:r>
    </w:p>
    <w:p>
      <w:pPr>
        <w:spacing w:line="520" w:lineRule="exact"/>
        <w:rPr>
          <w:rFonts w:hint="eastAsia" w:ascii="宋体" w:hAnsi="宋体" w:cs="宋体"/>
          <w:sz w:val="24"/>
        </w:rPr>
      </w:pPr>
      <w:r>
        <w:rPr>
          <w:rFonts w:hint="eastAsia" w:ascii="宋体" w:hAnsi="宋体" w:cs="宋体"/>
          <w:sz w:val="24"/>
        </w:rPr>
        <w:t>法定代表人（或授权代表）签字：</w:t>
      </w:r>
      <w:r>
        <w:rPr>
          <w:rFonts w:hint="eastAsia" w:ascii="宋体" w:hAnsi="宋体" w:cs="宋体"/>
          <w:sz w:val="24"/>
          <w:u w:val="single"/>
        </w:rPr>
        <w:t xml:space="preserve">                        </w:t>
      </w:r>
    </w:p>
    <w:p>
      <w:pPr>
        <w:spacing w:line="520" w:lineRule="exact"/>
        <w:rPr>
          <w:rFonts w:hint="eastAsia" w:ascii="宋体" w:hAnsi="宋体" w:cs="宋体"/>
          <w:sz w:val="24"/>
        </w:rPr>
      </w:pPr>
      <w:r>
        <w:rPr>
          <w:rFonts w:hint="eastAsia" w:ascii="宋体" w:hAnsi="宋体" w:cs="宋体"/>
          <w:sz w:val="24"/>
        </w:rPr>
        <w:t>盖章：</w:t>
      </w:r>
      <w:r>
        <w:rPr>
          <w:rFonts w:hint="eastAsia" w:ascii="宋体" w:hAnsi="宋体" w:cs="宋体"/>
          <w:sz w:val="24"/>
          <w:u w:val="single"/>
        </w:rPr>
        <w:t xml:space="preserve">                        </w:t>
      </w:r>
    </w:p>
    <w:p>
      <w:pPr>
        <w:spacing w:line="520" w:lineRule="exact"/>
        <w:rPr>
          <w:rFonts w:hint="eastAsia" w:ascii="宋体" w:hAnsi="宋体" w:cs="宋体"/>
          <w:sz w:val="24"/>
        </w:rPr>
      </w:pPr>
      <w:r>
        <w:rPr>
          <w:rFonts w:hint="eastAsia" w:ascii="宋体" w:hAnsi="宋体" w:cs="宋体"/>
          <w:sz w:val="24"/>
        </w:rPr>
        <w:t>签字日期：</w:t>
      </w:r>
      <w:r>
        <w:rPr>
          <w:rFonts w:hint="eastAsia" w:ascii="宋体" w:hAnsi="宋体" w:cs="宋体"/>
          <w:sz w:val="24"/>
          <w:u w:val="single"/>
        </w:rPr>
        <w:t xml:space="preserve">                      </w:t>
      </w:r>
      <w:r>
        <w:rPr>
          <w:rFonts w:hint="eastAsia" w:ascii="宋体" w:hAnsi="宋体" w:cs="宋体"/>
          <w:sz w:val="24"/>
        </w:rPr>
        <w:t xml:space="preserve">  </w:t>
      </w:r>
    </w:p>
    <w:p>
      <w:pPr>
        <w:widowControl/>
        <w:jc w:val="left"/>
        <w:rPr>
          <w:rFonts w:hint="eastAsia" w:ascii="宋体" w:hAnsi="宋体" w:cs="宋体"/>
          <w:b/>
          <w:bCs/>
          <w:color w:val="000000"/>
          <w:sz w:val="48"/>
          <w:szCs w:val="48"/>
        </w:rPr>
      </w:pPr>
      <w:r>
        <w:rPr>
          <w:rFonts w:ascii="宋体" w:hAnsi="宋体" w:cs="宋体"/>
          <w:b/>
          <w:bCs/>
          <w:color w:val="000000"/>
          <w:sz w:val="48"/>
          <w:szCs w:val="48"/>
        </w:rPr>
        <w:br w:type="page"/>
      </w:r>
    </w:p>
    <w:p>
      <w:pPr>
        <w:widowControl/>
        <w:shd w:val="clear" w:color="auto" w:fill="FFFFFF"/>
        <w:spacing w:line="360" w:lineRule="auto"/>
        <w:ind w:firstLine="723" w:firstLineChars="200"/>
        <w:jc w:val="center"/>
        <w:outlineLvl w:val="0"/>
        <w:rPr>
          <w:rFonts w:hint="eastAsia" w:ascii="宋体" w:hAnsi="宋体" w:cs="宋体"/>
          <w:b/>
          <w:color w:val="000000" w:themeColor="text1"/>
          <w:sz w:val="36"/>
          <w:szCs w:val="36"/>
          <w14:textFill>
            <w14:solidFill>
              <w14:schemeClr w14:val="tx1"/>
            </w14:solidFill>
          </w14:textFill>
        </w:rPr>
      </w:pPr>
      <w:bookmarkStart w:id="867" w:name="_Toc99301426"/>
      <w:bookmarkStart w:id="868" w:name="_Toc218620575"/>
      <w:r>
        <w:rPr>
          <w:rFonts w:hint="eastAsia" w:ascii="宋体" w:hAnsi="宋体" w:cs="宋体"/>
          <w:b/>
          <w:color w:val="000000" w:themeColor="text1"/>
          <w:sz w:val="36"/>
          <w:szCs w:val="36"/>
          <w14:textFill>
            <w14:solidFill>
              <w14:schemeClr w14:val="tx1"/>
            </w14:solidFill>
          </w14:textFill>
        </w:rPr>
        <w:t>第七章   投标文件格式</w:t>
      </w:r>
      <w:bookmarkEnd w:id="867"/>
      <w:bookmarkEnd w:id="868"/>
    </w:p>
    <w:p>
      <w:pPr>
        <w:tabs>
          <w:tab w:val="left" w:pos="900"/>
          <w:tab w:val="left" w:pos="1980"/>
        </w:tabs>
        <w:snapToGrid w:val="0"/>
        <w:spacing w:line="360" w:lineRule="auto"/>
        <w:ind w:left="142"/>
        <w:rPr>
          <w:rFonts w:hint="eastAsia" w:ascii="宋体" w:hAnsi="宋体" w:cs="宋体"/>
          <w:b/>
          <w:color w:val="000000" w:themeColor="text1"/>
          <w:sz w:val="24"/>
          <w14:textFill>
            <w14:solidFill>
              <w14:schemeClr w14:val="tx1"/>
            </w14:solidFill>
          </w14:textFill>
        </w:rPr>
      </w:pPr>
    </w:p>
    <w:p>
      <w:pPr>
        <w:tabs>
          <w:tab w:val="left" w:pos="900"/>
          <w:tab w:val="left" w:pos="1980"/>
        </w:tabs>
        <w:snapToGrid w:val="0"/>
        <w:spacing w:line="360" w:lineRule="auto"/>
        <w:ind w:left="142"/>
        <w:rPr>
          <w:rFonts w:hint="eastAsia" w:ascii="宋体" w:hAnsi="宋体" w:cs="宋体"/>
          <w:b/>
          <w:color w:val="000000" w:themeColor="text1"/>
          <w:sz w:val="24"/>
          <w14:textFill>
            <w14:solidFill>
              <w14:schemeClr w14:val="tx1"/>
            </w14:solidFill>
          </w14:textFill>
        </w:rPr>
      </w:pPr>
    </w:p>
    <w:p>
      <w:pPr>
        <w:tabs>
          <w:tab w:val="left" w:pos="900"/>
          <w:tab w:val="left" w:pos="1980"/>
        </w:tabs>
        <w:snapToGrid w:val="0"/>
        <w:spacing w:line="360" w:lineRule="auto"/>
        <w:ind w:left="142"/>
        <w:rPr>
          <w:rFonts w:hint="eastAsia" w:ascii="宋体" w:hAnsi="宋体" w:cs="宋体"/>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投标人编制文件须知</w:t>
      </w:r>
    </w:p>
    <w:p>
      <w:pPr>
        <w:tabs>
          <w:tab w:val="left" w:pos="900"/>
          <w:tab w:val="left" w:pos="1980"/>
        </w:tabs>
        <w:snapToGrid w:val="0"/>
        <w:spacing w:line="360" w:lineRule="auto"/>
        <w:ind w:left="142"/>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1、投标人按照本部分的顺序编制投标文件（资格证明文件）、投标文件（商务技术文件），编制中涉及格式资料的，应按照本部分提供的内容和格式（所有表格的格式可扩展）填写提交。</w:t>
      </w:r>
    </w:p>
    <w:p>
      <w:pPr>
        <w:tabs>
          <w:tab w:val="left" w:pos="900"/>
          <w:tab w:val="left" w:pos="1980"/>
        </w:tabs>
        <w:snapToGrid w:val="0"/>
        <w:spacing w:line="360" w:lineRule="auto"/>
        <w:ind w:left="142"/>
        <w:rPr>
          <w:rFonts w:hint="eastAsia"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color w:val="000000" w:themeColor="text1"/>
          <w:kern w:val="0"/>
          <w:sz w:val="24"/>
          <w14:textFill>
            <w14:solidFill>
              <w14:schemeClr w14:val="tx1"/>
            </w14:solidFill>
          </w14:textFill>
        </w:rPr>
        <w:t>对于招标文件中标记了“实质性格式”文件的，</w:t>
      </w:r>
      <w:r>
        <w:rPr>
          <w:rFonts w:hint="eastAsia" w:ascii="宋体" w:hAnsi="宋体" w:cs="宋体"/>
          <w:color w:val="000000" w:themeColor="text1"/>
          <w:sz w:val="24"/>
          <w14:textFill>
            <w14:solidFill>
              <w14:schemeClr w14:val="tx1"/>
            </w14:solidFill>
          </w14:textFill>
        </w:rPr>
        <w:t>投标人不得改变格式中给定的文字所表达的含义，不得删减格式中的实质性内容，不得自行添加与格式中给定的文字内容相矛盾的内容，不得对应当填写的空格不填写或不实质性响应，</w:t>
      </w:r>
      <w:r>
        <w:rPr>
          <w:rFonts w:hint="eastAsia" w:ascii="宋体" w:hAnsi="宋体" w:cs="宋体"/>
          <w:color w:val="000000" w:themeColor="text1"/>
          <w:kern w:val="0"/>
          <w:sz w:val="24"/>
          <w14:textFill>
            <w14:solidFill>
              <w14:schemeClr w14:val="tx1"/>
            </w14:solidFill>
          </w14:textFill>
        </w:rPr>
        <w:t>否则</w:t>
      </w:r>
      <w:r>
        <w:rPr>
          <w:rFonts w:hint="eastAsia" w:ascii="宋体" w:hAnsi="宋体" w:cs="宋体"/>
          <w:b/>
          <w:color w:val="000000" w:themeColor="text1"/>
          <w:kern w:val="0"/>
          <w:sz w:val="24"/>
          <w14:textFill>
            <w14:solidFill>
              <w14:schemeClr w14:val="tx1"/>
            </w14:solidFill>
          </w14:textFill>
        </w:rPr>
        <w:t>投标无效</w:t>
      </w:r>
      <w:r>
        <w:rPr>
          <w:rFonts w:hint="eastAsia" w:ascii="宋体" w:hAnsi="宋体" w:cs="宋体"/>
          <w:color w:val="000000" w:themeColor="text1"/>
          <w:kern w:val="0"/>
          <w:sz w:val="24"/>
          <w14:textFill>
            <w14:solidFill>
              <w14:schemeClr w14:val="tx1"/>
            </w14:solidFill>
          </w14:textFill>
        </w:rPr>
        <w:t>。未标记“实质性格式”的文件和招标文件未提供格式的内容，可由投标人自行编写。</w:t>
      </w:r>
    </w:p>
    <w:p>
      <w:pPr>
        <w:tabs>
          <w:tab w:val="left" w:pos="900"/>
          <w:tab w:val="left" w:pos="1980"/>
        </w:tabs>
        <w:snapToGrid w:val="0"/>
        <w:spacing w:line="360" w:lineRule="auto"/>
        <w:ind w:left="142"/>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3、全部声明和问题的回答及所附材料必须是真实的、准确的和完整的。</w:t>
      </w:r>
    </w:p>
    <w:p>
      <w:pPr>
        <w:widowControl/>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p>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p>
      <w:pPr>
        <w:pStyle w:val="4"/>
        <w:jc w:val="left"/>
        <w:rPr>
          <w:rFonts w:hint="eastAsia" w:ascii="宋体" w:hAnsi="宋体" w:eastAsia="宋体"/>
          <w:kern w:val="2"/>
          <w:sz w:val="24"/>
          <w:szCs w:val="24"/>
        </w:rPr>
      </w:pPr>
      <w:r>
        <w:rPr>
          <w:rFonts w:hint="eastAsia" w:ascii="宋体" w:hAnsi="宋体" w:eastAsia="宋体"/>
          <w:sz w:val="24"/>
          <w:szCs w:val="24"/>
        </w:rPr>
        <w:t>一、资格证明文件格式</w:t>
      </w:r>
    </w:p>
    <w:p>
      <w:pPr>
        <w:rPr>
          <w:rFonts w:hint="eastAsia" w:ascii="宋体" w:hAnsi="宋体" w:cs="宋体"/>
          <w:b/>
          <w:color w:val="000000" w:themeColor="text1"/>
          <w:spacing w:val="20"/>
          <w:szCs w:val="21"/>
          <w14:textFill>
            <w14:solidFill>
              <w14:schemeClr w14:val="tx1"/>
            </w14:solidFill>
          </w14:textFill>
        </w:rPr>
      </w:pPr>
    </w:p>
    <w:p>
      <w:pPr>
        <w:rPr>
          <w:rFonts w:hint="eastAsia" w:ascii="宋体" w:hAnsi="宋体" w:cs="宋体"/>
          <w:b/>
          <w:color w:val="000000" w:themeColor="text1"/>
          <w:sz w:val="24"/>
          <w14:textFill>
            <w14:solidFill>
              <w14:schemeClr w14:val="tx1"/>
            </w14:solidFill>
          </w14:textFill>
        </w:rPr>
      </w:pPr>
      <w:r>
        <w:rPr>
          <w:rFonts w:hint="eastAsia" w:ascii="宋体" w:hAnsi="宋体" w:cs="宋体"/>
          <w:b/>
          <w:color w:val="000000" w:themeColor="text1"/>
          <w:spacing w:val="20"/>
          <w:sz w:val="24"/>
          <w14:textFill>
            <w14:solidFill>
              <w14:schemeClr w14:val="tx1"/>
            </w14:solidFill>
          </w14:textFill>
        </w:rPr>
        <w:t>投标文件（资格证明文件）</w:t>
      </w:r>
      <w:r>
        <w:rPr>
          <w:rFonts w:hint="eastAsia" w:ascii="宋体" w:hAnsi="宋体" w:cs="宋体"/>
          <w:b/>
          <w:color w:val="000000" w:themeColor="text1"/>
          <w:sz w:val="24"/>
          <w14:textFill>
            <w14:solidFill>
              <w14:schemeClr w14:val="tx1"/>
            </w14:solidFill>
          </w14:textFill>
        </w:rPr>
        <w:t>封面（非实质性格式）</w:t>
      </w:r>
    </w:p>
    <w:p>
      <w:pPr>
        <w:jc w:val="center"/>
        <w:rPr>
          <w:rFonts w:hint="eastAsia" w:ascii="宋体" w:hAnsi="宋体" w:cs="宋体"/>
          <w:color w:val="000000" w:themeColor="text1"/>
          <w:szCs w:val="21"/>
          <w14:textFill>
            <w14:solidFill>
              <w14:schemeClr w14:val="tx1"/>
            </w14:solidFill>
          </w14:textFill>
        </w:rPr>
      </w:pPr>
    </w:p>
    <w:p>
      <w:pPr>
        <w:jc w:val="center"/>
        <w:rPr>
          <w:rFonts w:hint="eastAsia" w:ascii="宋体" w:hAnsi="宋体" w:cs="宋体"/>
          <w:b/>
          <w:color w:val="000000" w:themeColor="text1"/>
          <w:spacing w:val="60"/>
          <w:sz w:val="84"/>
          <w:szCs w:val="84"/>
          <w14:textFill>
            <w14:solidFill>
              <w14:schemeClr w14:val="tx1"/>
            </w14:solidFill>
          </w14:textFill>
        </w:rPr>
      </w:pPr>
    </w:p>
    <w:p>
      <w:pPr>
        <w:jc w:val="center"/>
        <w:rPr>
          <w:rFonts w:hint="eastAsia" w:ascii="宋体" w:hAnsi="宋体" w:cs="宋体"/>
          <w:b/>
          <w:color w:val="000000" w:themeColor="text1"/>
          <w:spacing w:val="60"/>
          <w:sz w:val="84"/>
          <w:szCs w:val="84"/>
          <w14:textFill>
            <w14:solidFill>
              <w14:schemeClr w14:val="tx1"/>
            </w14:solidFill>
          </w14:textFill>
        </w:rPr>
      </w:pPr>
    </w:p>
    <w:p>
      <w:pPr>
        <w:jc w:val="center"/>
        <w:rPr>
          <w:rFonts w:hint="eastAsia" w:ascii="宋体" w:hAnsi="宋体" w:cs="宋体"/>
          <w:b/>
          <w:color w:val="000000" w:themeColor="text1"/>
          <w:spacing w:val="60"/>
          <w:sz w:val="84"/>
          <w:szCs w:val="84"/>
          <w14:textFill>
            <w14:solidFill>
              <w14:schemeClr w14:val="tx1"/>
            </w14:solidFill>
          </w14:textFill>
        </w:rPr>
      </w:pPr>
      <w:r>
        <w:rPr>
          <w:rFonts w:hint="eastAsia" w:ascii="宋体" w:hAnsi="宋体" w:cs="宋体"/>
          <w:b/>
          <w:color w:val="000000" w:themeColor="text1"/>
          <w:spacing w:val="60"/>
          <w:sz w:val="84"/>
          <w:szCs w:val="84"/>
          <w14:textFill>
            <w14:solidFill>
              <w14:schemeClr w14:val="tx1"/>
            </w14:solidFill>
          </w14:textFill>
        </w:rPr>
        <w:t>投 标 文 件</w:t>
      </w:r>
    </w:p>
    <w:p>
      <w:pPr>
        <w:jc w:val="center"/>
        <w:rPr>
          <w:rFonts w:hint="eastAsia" w:ascii="宋体" w:hAnsi="宋体" w:cs="宋体"/>
          <w:b/>
          <w:color w:val="000000" w:themeColor="text1"/>
          <w:spacing w:val="60"/>
          <w:sz w:val="52"/>
          <w:szCs w:val="52"/>
          <w14:textFill>
            <w14:solidFill>
              <w14:schemeClr w14:val="tx1"/>
            </w14:solidFill>
          </w14:textFill>
        </w:rPr>
      </w:pPr>
      <w:r>
        <w:rPr>
          <w:rFonts w:hint="eastAsia" w:ascii="宋体" w:hAnsi="宋体" w:cs="宋体"/>
          <w:b/>
          <w:color w:val="000000" w:themeColor="text1"/>
          <w:spacing w:val="60"/>
          <w:sz w:val="52"/>
          <w:szCs w:val="52"/>
          <w14:textFill>
            <w14:solidFill>
              <w14:schemeClr w14:val="tx1"/>
            </w14:solidFill>
          </w14:textFill>
        </w:rPr>
        <w:t>（资格证明文件）</w:t>
      </w:r>
    </w:p>
    <w:p>
      <w:pPr>
        <w:ind w:firstLine="542" w:firstLineChars="150"/>
        <w:rPr>
          <w:rFonts w:hint="eastAsia" w:ascii="宋体" w:hAnsi="宋体" w:cs="宋体"/>
          <w:b/>
          <w:color w:val="000000" w:themeColor="text1"/>
          <w:spacing w:val="20"/>
          <w:sz w:val="32"/>
          <w:szCs w:val="32"/>
          <w14:textFill>
            <w14:solidFill>
              <w14:schemeClr w14:val="tx1"/>
            </w14:solidFill>
          </w14:textFill>
        </w:rPr>
      </w:pPr>
    </w:p>
    <w:p>
      <w:pPr>
        <w:ind w:firstLine="542" w:firstLineChars="150"/>
        <w:rPr>
          <w:rFonts w:hint="eastAsia" w:ascii="宋体" w:hAnsi="宋体" w:cs="宋体"/>
          <w:b/>
          <w:color w:val="000000" w:themeColor="text1"/>
          <w:spacing w:val="20"/>
          <w:sz w:val="32"/>
          <w:szCs w:val="32"/>
          <w14:textFill>
            <w14:solidFill>
              <w14:schemeClr w14:val="tx1"/>
            </w14:solidFill>
          </w14:textFill>
        </w:rPr>
      </w:pPr>
    </w:p>
    <w:p>
      <w:pPr>
        <w:spacing w:line="360" w:lineRule="auto"/>
        <w:ind w:firstLine="542" w:firstLineChars="150"/>
        <w:rPr>
          <w:rFonts w:hint="eastAsia" w:ascii="宋体" w:hAnsi="宋体" w:cs="宋体"/>
          <w:b/>
          <w:color w:val="000000" w:themeColor="text1"/>
          <w:spacing w:val="20"/>
          <w:sz w:val="32"/>
          <w:szCs w:val="32"/>
          <w14:textFill>
            <w14:solidFill>
              <w14:schemeClr w14:val="tx1"/>
            </w14:solidFill>
          </w14:textFill>
        </w:rPr>
      </w:pPr>
      <w:r>
        <w:rPr>
          <w:rFonts w:hint="eastAsia" w:ascii="宋体" w:hAnsi="宋体" w:cs="宋体"/>
          <w:b/>
          <w:color w:val="000000" w:themeColor="text1"/>
          <w:spacing w:val="20"/>
          <w:sz w:val="32"/>
          <w:szCs w:val="32"/>
          <w14:textFill>
            <w14:solidFill>
              <w14:schemeClr w14:val="tx1"/>
            </w14:solidFill>
          </w14:textFill>
        </w:rPr>
        <w:t>项目名称：</w:t>
      </w:r>
    </w:p>
    <w:p>
      <w:pPr>
        <w:spacing w:line="360" w:lineRule="auto"/>
        <w:ind w:firstLine="542" w:firstLineChars="150"/>
        <w:rPr>
          <w:rFonts w:hint="eastAsia" w:ascii="宋体" w:hAnsi="宋体" w:cs="宋体"/>
          <w:b/>
          <w:color w:val="000000" w:themeColor="text1"/>
          <w:spacing w:val="20"/>
          <w:sz w:val="32"/>
          <w:szCs w:val="32"/>
          <w14:textFill>
            <w14:solidFill>
              <w14:schemeClr w14:val="tx1"/>
            </w14:solidFill>
          </w14:textFill>
        </w:rPr>
      </w:pPr>
      <w:r>
        <w:rPr>
          <w:rFonts w:hint="eastAsia" w:ascii="宋体" w:hAnsi="宋体" w:cs="宋体"/>
          <w:b/>
          <w:spacing w:val="20"/>
          <w:sz w:val="32"/>
          <w:szCs w:val="32"/>
        </w:rPr>
        <w:t>项目编号/包号</w:t>
      </w:r>
      <w:r>
        <w:rPr>
          <w:rFonts w:hint="eastAsia" w:ascii="宋体" w:hAnsi="宋体" w:cs="宋体"/>
          <w:b/>
          <w:color w:val="000000" w:themeColor="text1"/>
          <w:spacing w:val="20"/>
          <w:sz w:val="32"/>
          <w:szCs w:val="32"/>
          <w14:textFill>
            <w14:solidFill>
              <w14:schemeClr w14:val="tx1"/>
            </w14:solidFill>
          </w14:textFill>
        </w:rPr>
        <w:t>：</w:t>
      </w:r>
    </w:p>
    <w:p>
      <w:pPr>
        <w:ind w:firstLine="542" w:firstLineChars="150"/>
        <w:rPr>
          <w:rFonts w:hint="eastAsia" w:ascii="宋体" w:hAnsi="宋体" w:cs="宋体"/>
          <w:b/>
          <w:color w:val="000000" w:themeColor="text1"/>
          <w:spacing w:val="20"/>
          <w:sz w:val="32"/>
          <w:szCs w:val="32"/>
          <w14:textFill>
            <w14:solidFill>
              <w14:schemeClr w14:val="tx1"/>
            </w14:solidFill>
          </w14:textFill>
        </w:rPr>
      </w:pPr>
    </w:p>
    <w:p>
      <w:pPr>
        <w:ind w:firstLine="542" w:firstLineChars="150"/>
        <w:rPr>
          <w:rFonts w:hint="eastAsia" w:ascii="宋体" w:hAnsi="宋体" w:cs="宋体"/>
          <w:b/>
          <w:color w:val="000000" w:themeColor="text1"/>
          <w:spacing w:val="20"/>
          <w:sz w:val="32"/>
          <w:szCs w:val="32"/>
          <w14:textFill>
            <w14:solidFill>
              <w14:schemeClr w14:val="tx1"/>
            </w14:solidFill>
          </w14:textFill>
        </w:rPr>
      </w:pPr>
    </w:p>
    <w:p>
      <w:pPr>
        <w:jc w:val="center"/>
        <w:rPr>
          <w:rFonts w:hint="eastAsia" w:ascii="宋体" w:hAnsi="宋体" w:cs="宋体"/>
          <w:b/>
          <w:color w:val="000000" w:themeColor="text1"/>
          <w:sz w:val="32"/>
          <w:szCs w:val="32"/>
          <w14:textFill>
            <w14:solidFill>
              <w14:schemeClr w14:val="tx1"/>
            </w14:solidFill>
          </w14:textFill>
        </w:rPr>
      </w:pPr>
    </w:p>
    <w:p>
      <w:pPr>
        <w:jc w:val="center"/>
        <w:rPr>
          <w:rFonts w:hint="eastAsia" w:ascii="宋体" w:hAnsi="宋体" w:cs="宋体"/>
          <w:b/>
          <w:color w:val="000000" w:themeColor="text1"/>
          <w:sz w:val="32"/>
          <w:szCs w:val="32"/>
          <w14:textFill>
            <w14:solidFill>
              <w14:schemeClr w14:val="tx1"/>
            </w14:solidFill>
          </w14:textFill>
        </w:rPr>
      </w:pPr>
    </w:p>
    <w:p>
      <w:pPr>
        <w:jc w:val="center"/>
        <w:rPr>
          <w:rFonts w:hint="eastAsia" w:ascii="宋体" w:hAnsi="宋体" w:cs="宋体"/>
          <w:b/>
          <w:color w:val="000000" w:themeColor="text1"/>
          <w:sz w:val="32"/>
          <w:szCs w:val="32"/>
          <w14:textFill>
            <w14:solidFill>
              <w14:schemeClr w14:val="tx1"/>
            </w14:solidFill>
          </w14:textFill>
        </w:rPr>
      </w:pPr>
    </w:p>
    <w:p>
      <w:pPr>
        <w:jc w:val="center"/>
        <w:rPr>
          <w:rFonts w:hint="eastAsia" w:ascii="宋体" w:hAnsi="宋体" w:cs="宋体"/>
          <w:b/>
          <w:color w:val="000000" w:themeColor="text1"/>
          <w:spacing w:val="20"/>
          <w:sz w:val="32"/>
          <w:szCs w:val="32"/>
          <w14:textFill>
            <w14:solidFill>
              <w14:schemeClr w14:val="tx1"/>
            </w14:solidFill>
          </w14:textFill>
        </w:rPr>
      </w:pPr>
    </w:p>
    <w:p>
      <w:pPr>
        <w:jc w:val="center"/>
        <w:rPr>
          <w:rFonts w:hint="eastAsia" w:ascii="宋体" w:hAnsi="宋体" w:cs="宋体"/>
          <w:b/>
          <w:color w:val="000000" w:themeColor="text1"/>
          <w:spacing w:val="20"/>
          <w:sz w:val="32"/>
          <w:szCs w:val="32"/>
          <w14:textFill>
            <w14:solidFill>
              <w14:schemeClr w14:val="tx1"/>
            </w14:solidFill>
          </w14:textFill>
        </w:rPr>
      </w:pPr>
    </w:p>
    <w:p>
      <w:pPr>
        <w:jc w:val="center"/>
        <w:rPr>
          <w:rFonts w:hint="eastAsia" w:ascii="宋体" w:hAnsi="宋体" w:cs="宋体"/>
          <w:b/>
          <w:color w:val="000000" w:themeColor="text1"/>
          <w:spacing w:val="20"/>
          <w:sz w:val="32"/>
          <w:szCs w:val="32"/>
          <w14:textFill>
            <w14:solidFill>
              <w14:schemeClr w14:val="tx1"/>
            </w14:solidFill>
          </w14:textFill>
        </w:rPr>
      </w:pPr>
    </w:p>
    <w:p>
      <w:pPr>
        <w:spacing w:line="360" w:lineRule="auto"/>
        <w:ind w:firstLine="1445" w:firstLineChars="400"/>
        <w:jc w:val="left"/>
        <w:rPr>
          <w:rFonts w:hint="eastAsia" w:ascii="宋体" w:hAnsi="宋体" w:cs="宋体"/>
          <w:b/>
          <w:color w:val="000000" w:themeColor="text1"/>
          <w:spacing w:val="20"/>
          <w:sz w:val="32"/>
          <w:szCs w:val="32"/>
          <w14:textFill>
            <w14:solidFill>
              <w14:schemeClr w14:val="tx1"/>
            </w14:solidFill>
          </w14:textFill>
        </w:rPr>
      </w:pPr>
      <w:r>
        <w:rPr>
          <w:rFonts w:hint="eastAsia" w:ascii="宋体" w:hAnsi="宋体" w:cs="宋体"/>
          <w:b/>
          <w:color w:val="000000" w:themeColor="text1"/>
          <w:spacing w:val="20"/>
          <w:sz w:val="32"/>
          <w:szCs w:val="32"/>
          <w14:textFill>
            <w14:solidFill>
              <w14:schemeClr w14:val="tx1"/>
            </w14:solidFill>
          </w14:textFill>
        </w:rPr>
        <w:t>投标人名称：</w:t>
      </w:r>
    </w:p>
    <w:p>
      <w:pPr>
        <w:jc w:val="center"/>
        <w:rPr>
          <w:rFonts w:hint="eastAsia" w:ascii="宋体" w:hAnsi="宋体" w:cs="宋体"/>
          <w:b/>
          <w:color w:val="000000" w:themeColor="text1"/>
          <w:sz w:val="32"/>
          <w:szCs w:val="32"/>
          <w14:textFill>
            <w14:solidFill>
              <w14:schemeClr w14:val="tx1"/>
            </w14:solidFill>
          </w14:textFill>
        </w:rPr>
      </w:pPr>
    </w:p>
    <w:p>
      <w:pPr>
        <w:rPr>
          <w:rFonts w:hint="eastAsia" w:ascii="宋体" w:hAnsi="宋体" w:cs="宋体"/>
          <w:b/>
          <w:color w:val="000000" w:themeColor="text1"/>
          <w14:textFill>
            <w14:solidFill>
              <w14:schemeClr w14:val="tx1"/>
            </w14:solidFill>
          </w14:textFill>
        </w:rPr>
      </w:pPr>
      <w:r>
        <w:rPr>
          <w:rFonts w:hint="eastAsia" w:ascii="宋体" w:hAnsi="宋体" w:cs="宋体"/>
          <w:b/>
          <w:color w:val="000000" w:themeColor="text1"/>
          <w:spacing w:val="20"/>
          <w:sz w:val="32"/>
          <w:szCs w:val="32"/>
          <w14:textFill>
            <w14:solidFill>
              <w14:schemeClr w14:val="tx1"/>
            </w14:solidFill>
          </w14:textFill>
        </w:rPr>
        <w:br w:type="page"/>
      </w:r>
    </w:p>
    <w:p>
      <w:pPr>
        <w:pStyle w:val="6"/>
        <w:rPr>
          <w:rStyle w:val="463"/>
          <w:rFonts w:hint="default" w:ascii="宋体" w:hAnsi="宋体"/>
          <w:b w:val="0"/>
          <w:sz w:val="24"/>
          <w:szCs w:val="24"/>
          <w:u w:val="none"/>
        </w:rPr>
      </w:pPr>
      <w:r>
        <w:rPr>
          <w:rStyle w:val="463"/>
          <w:rFonts w:hint="default" w:ascii="宋体" w:hAnsi="宋体"/>
          <w:b w:val="0"/>
          <w:sz w:val="24"/>
          <w:szCs w:val="24"/>
          <w:u w:val="none"/>
        </w:rPr>
        <w:t>1  满足《中华人民共和国政府采购法》第二十二条规定</w:t>
      </w:r>
    </w:p>
    <w:p>
      <w:pPr>
        <w:pStyle w:val="7"/>
        <w:jc w:val="left"/>
        <w:rPr>
          <w:rFonts w:hint="eastAsia" w:ascii="宋体" w:hAnsi="宋体" w:eastAsia="宋体"/>
          <w:b w:val="0"/>
          <w:sz w:val="24"/>
          <w:szCs w:val="24"/>
        </w:rPr>
      </w:pPr>
      <w:r>
        <w:rPr>
          <w:rFonts w:hint="eastAsia" w:ascii="宋体" w:hAnsi="宋体" w:eastAsia="宋体"/>
          <w:b w:val="0"/>
          <w:sz w:val="24"/>
          <w:szCs w:val="24"/>
        </w:rPr>
        <w:t>1-1</w:t>
      </w:r>
      <w:r>
        <w:rPr>
          <w:rFonts w:ascii="宋体" w:hAnsi="宋体" w:eastAsia="宋体"/>
          <w:b w:val="0"/>
          <w:sz w:val="24"/>
          <w:szCs w:val="24"/>
        </w:rPr>
        <w:t xml:space="preserve"> </w:t>
      </w:r>
      <w:r>
        <w:rPr>
          <w:rFonts w:hint="eastAsia" w:ascii="宋体" w:hAnsi="宋体" w:eastAsia="宋体"/>
          <w:b w:val="0"/>
          <w:sz w:val="24"/>
          <w:szCs w:val="24"/>
        </w:rPr>
        <w:t>营业执照等证明文件</w:t>
      </w:r>
    </w:p>
    <w:p>
      <w:pPr>
        <w:tabs>
          <w:tab w:val="left" w:pos="1080"/>
        </w:tabs>
        <w:snapToGrid w:val="0"/>
        <w:rPr>
          <w:rFonts w:hint="eastAsia" w:ascii="宋体" w:hAnsi="宋体" w:cs="宋体"/>
          <w:color w:val="000000" w:themeColor="text1"/>
          <w:sz w:val="24"/>
          <w14:textFill>
            <w14:solidFill>
              <w14:schemeClr w14:val="tx1"/>
            </w14:solidFill>
          </w14:textFill>
        </w:rPr>
      </w:pPr>
    </w:p>
    <w:p>
      <w:pPr>
        <w:widowControl/>
        <w:jc w:val="left"/>
        <w:rPr>
          <w:rFonts w:hint="eastAsia"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p>
    <w:p>
      <w:pPr>
        <w:pStyle w:val="7"/>
        <w:jc w:val="left"/>
        <w:rPr>
          <w:rFonts w:hint="eastAsia" w:ascii="宋体" w:hAnsi="宋体" w:eastAsia="宋体"/>
          <w:b w:val="0"/>
          <w:sz w:val="24"/>
          <w:szCs w:val="24"/>
        </w:rPr>
      </w:pPr>
      <w:r>
        <w:rPr>
          <w:rFonts w:hint="eastAsia" w:ascii="宋体" w:hAnsi="宋体" w:eastAsia="宋体"/>
          <w:b w:val="0"/>
          <w:sz w:val="24"/>
          <w:szCs w:val="24"/>
        </w:rPr>
        <w:t>1-2</w:t>
      </w:r>
      <w:r>
        <w:rPr>
          <w:rFonts w:ascii="宋体" w:hAnsi="宋体" w:eastAsia="宋体"/>
          <w:b w:val="0"/>
          <w:sz w:val="24"/>
          <w:szCs w:val="24"/>
        </w:rPr>
        <w:t xml:space="preserve"> </w:t>
      </w:r>
      <w:r>
        <w:rPr>
          <w:rFonts w:hint="eastAsia" w:ascii="宋体" w:hAnsi="宋体" w:eastAsia="宋体"/>
          <w:b w:val="0"/>
          <w:sz w:val="24"/>
          <w:szCs w:val="24"/>
        </w:rPr>
        <w:t>投标人资格声明书</w:t>
      </w:r>
    </w:p>
    <w:p>
      <w:pPr>
        <w:jc w:val="center"/>
        <w:rPr>
          <w:rFonts w:hint="eastAsia"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投标人资格声明书</w:t>
      </w:r>
    </w:p>
    <w:p>
      <w:pPr>
        <w:tabs>
          <w:tab w:val="left" w:pos="5580"/>
        </w:tabs>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致：</w:t>
      </w:r>
      <w:r>
        <w:rPr>
          <w:rFonts w:hint="eastAsia" w:ascii="宋体" w:hAnsi="宋体" w:cs="宋体"/>
          <w:color w:val="000000" w:themeColor="text1"/>
          <w:sz w:val="24"/>
          <w:u w:val="single"/>
          <w14:textFill>
            <w14:solidFill>
              <w14:schemeClr w14:val="tx1"/>
            </w14:solidFill>
          </w14:textFill>
        </w:rPr>
        <w:t>采购人或采购代理机构</w:t>
      </w:r>
    </w:p>
    <w:p>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在参与本次项目投标中，我单位承诺：</w:t>
      </w:r>
    </w:p>
    <w:p>
      <w:pPr>
        <w:numPr>
          <w:ilvl w:val="0"/>
          <w:numId w:val="17"/>
        </w:numPr>
        <w:spacing w:line="360" w:lineRule="auto"/>
        <w:ind w:left="1134"/>
        <w:rPr>
          <w:rFonts w:hint="eastAsia"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具有良好的商业信誉和健全的财务会计制度；</w:t>
      </w:r>
    </w:p>
    <w:p>
      <w:pPr>
        <w:numPr>
          <w:ilvl w:val="0"/>
          <w:numId w:val="17"/>
        </w:numPr>
        <w:spacing w:line="360" w:lineRule="auto"/>
        <w:ind w:left="1134"/>
        <w:rPr>
          <w:rFonts w:hint="eastAsia"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具有履行合同所必需的设备和专业技术能力；</w:t>
      </w:r>
    </w:p>
    <w:p>
      <w:pPr>
        <w:numPr>
          <w:ilvl w:val="0"/>
          <w:numId w:val="17"/>
        </w:numPr>
        <w:spacing w:line="360" w:lineRule="auto"/>
        <w:ind w:left="1134"/>
        <w:rPr>
          <w:rFonts w:hint="eastAsia"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有依法缴纳税收和社会保障资金的良好记录；</w:t>
      </w:r>
    </w:p>
    <w:p>
      <w:pPr>
        <w:numPr>
          <w:ilvl w:val="0"/>
          <w:numId w:val="17"/>
        </w:numPr>
        <w:spacing w:line="360" w:lineRule="auto"/>
        <w:ind w:left="1134"/>
        <w:rPr>
          <w:rFonts w:hint="eastAsia"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pPr>
        <w:numPr>
          <w:ilvl w:val="0"/>
          <w:numId w:val="17"/>
        </w:numPr>
        <w:spacing w:line="360" w:lineRule="auto"/>
        <w:ind w:left="1134"/>
        <w:rPr>
          <w:rFonts w:hint="eastAsia"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我单位不属于政府采购法律、行政法规规定的公益一类事业单位、或使用事业编制且由财政拨款保障的群团组织（仅适用于政府购买服务项目）；</w:t>
      </w:r>
    </w:p>
    <w:p>
      <w:pPr>
        <w:numPr>
          <w:ilvl w:val="0"/>
          <w:numId w:val="17"/>
        </w:numPr>
        <w:spacing w:line="360" w:lineRule="auto"/>
        <w:ind w:left="1134"/>
        <w:rPr>
          <w:rFonts w:hint="eastAsia"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我单位不存在为采购项目提供整体设计、规范编制或者项目管理、监理、检测等服务后，再参加该采购项目的其他采购活动的情形（单一来源采购项目除外）；</w:t>
      </w:r>
    </w:p>
    <w:p>
      <w:pPr>
        <w:numPr>
          <w:ilvl w:val="0"/>
          <w:numId w:val="17"/>
        </w:numPr>
        <w:spacing w:line="360" w:lineRule="auto"/>
        <w:ind w:left="1134"/>
        <w:rPr>
          <w:rFonts w:hint="eastAsia"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与我单位存在“单位负责人为同一人或者存在直接控股、管理关系”的其他法人单位信息如下（如有，不论其是否参加同一合同项下的政府采购活动均须填写）：</w:t>
      </w:r>
    </w:p>
    <w:tbl>
      <w:tblPr>
        <w:tblStyle w:val="5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0"/>
        <w:gridCol w:w="4574"/>
        <w:gridCol w:w="29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pPr>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序号</w:t>
            </w:r>
          </w:p>
        </w:tc>
        <w:tc>
          <w:tcPr>
            <w:tcW w:w="4574" w:type="dxa"/>
            <w:vAlign w:val="center"/>
          </w:tcPr>
          <w:p>
            <w:pPr>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单位名称</w:t>
            </w:r>
          </w:p>
        </w:tc>
        <w:tc>
          <w:tcPr>
            <w:tcW w:w="2976" w:type="dxa"/>
            <w:vAlign w:val="center"/>
          </w:tcPr>
          <w:p>
            <w:pPr>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相互关系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pPr>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p>
        </w:tc>
        <w:tc>
          <w:tcPr>
            <w:tcW w:w="4574" w:type="dxa"/>
            <w:vAlign w:val="center"/>
          </w:tcPr>
          <w:p>
            <w:pPr>
              <w:jc w:val="center"/>
              <w:rPr>
                <w:rFonts w:hint="eastAsia" w:ascii="宋体" w:hAnsi="宋体" w:cs="宋体"/>
                <w:color w:val="000000" w:themeColor="text1"/>
                <w:sz w:val="24"/>
                <w14:textFill>
                  <w14:solidFill>
                    <w14:schemeClr w14:val="tx1"/>
                  </w14:solidFill>
                </w14:textFill>
              </w:rPr>
            </w:pPr>
          </w:p>
        </w:tc>
        <w:tc>
          <w:tcPr>
            <w:tcW w:w="2976" w:type="dxa"/>
            <w:vAlign w:val="center"/>
          </w:tcPr>
          <w:p>
            <w:pPr>
              <w:jc w:val="center"/>
              <w:rPr>
                <w:rFonts w:hint="eastAsia"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pPr>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p>
        </w:tc>
        <w:tc>
          <w:tcPr>
            <w:tcW w:w="4574" w:type="dxa"/>
            <w:vAlign w:val="center"/>
          </w:tcPr>
          <w:p>
            <w:pPr>
              <w:jc w:val="center"/>
              <w:rPr>
                <w:rFonts w:hint="eastAsia" w:ascii="宋体" w:hAnsi="宋体" w:cs="宋体"/>
                <w:color w:val="000000" w:themeColor="text1"/>
                <w:sz w:val="24"/>
                <w14:textFill>
                  <w14:solidFill>
                    <w14:schemeClr w14:val="tx1"/>
                  </w14:solidFill>
                </w14:textFill>
              </w:rPr>
            </w:pPr>
          </w:p>
        </w:tc>
        <w:tc>
          <w:tcPr>
            <w:tcW w:w="2976" w:type="dxa"/>
            <w:vAlign w:val="center"/>
          </w:tcPr>
          <w:p>
            <w:pPr>
              <w:jc w:val="center"/>
              <w:rPr>
                <w:rFonts w:hint="eastAsia"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pPr>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w:t>
            </w:r>
          </w:p>
        </w:tc>
        <w:tc>
          <w:tcPr>
            <w:tcW w:w="4574" w:type="dxa"/>
            <w:vAlign w:val="center"/>
          </w:tcPr>
          <w:p>
            <w:pPr>
              <w:jc w:val="center"/>
              <w:rPr>
                <w:rFonts w:hint="eastAsia" w:ascii="宋体" w:hAnsi="宋体" w:cs="宋体"/>
                <w:color w:val="000000" w:themeColor="text1"/>
                <w:sz w:val="24"/>
                <w14:textFill>
                  <w14:solidFill>
                    <w14:schemeClr w14:val="tx1"/>
                  </w14:solidFill>
                </w14:textFill>
              </w:rPr>
            </w:pPr>
          </w:p>
        </w:tc>
        <w:tc>
          <w:tcPr>
            <w:tcW w:w="2976" w:type="dxa"/>
            <w:vAlign w:val="center"/>
          </w:tcPr>
          <w:p>
            <w:pPr>
              <w:jc w:val="center"/>
              <w:rPr>
                <w:rFonts w:hint="eastAsia" w:ascii="宋体" w:hAnsi="宋体" w:cs="宋体"/>
                <w:color w:val="000000" w:themeColor="text1"/>
                <w:sz w:val="24"/>
                <w14:textFill>
                  <w14:solidFill>
                    <w14:schemeClr w14:val="tx1"/>
                  </w14:solidFill>
                </w14:textFill>
              </w:rPr>
            </w:pPr>
          </w:p>
        </w:tc>
      </w:tr>
    </w:tbl>
    <w:p>
      <w:pPr>
        <w:ind w:firstLine="480" w:firstLineChars="200"/>
        <w:rPr>
          <w:rFonts w:hint="eastAsia"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14:textFill>
            <w14:solidFill>
              <w14:schemeClr w14:val="tx1"/>
            </w14:solidFill>
          </w14:textFill>
        </w:rPr>
        <w:t>上述声明真实有效，否则我方负全部责任。</w:t>
      </w:r>
    </w:p>
    <w:p>
      <w:pPr>
        <w:autoSpaceDE w:val="0"/>
        <w:autoSpaceDN w:val="0"/>
        <w:adjustRightInd w:val="0"/>
        <w:snapToGrid w:val="0"/>
        <w:spacing w:before="25" w:after="25" w:line="360" w:lineRule="auto"/>
        <w:jc w:val="right"/>
        <w:rPr>
          <w:rFonts w:hint="eastAsia" w:ascii="宋体" w:hAnsi="宋体" w:cs="宋体"/>
          <w:color w:val="000000" w:themeColor="text1"/>
          <w:sz w:val="24"/>
          <w14:textFill>
            <w14:solidFill>
              <w14:schemeClr w14:val="tx1"/>
            </w14:solidFill>
          </w14:textFill>
        </w:rPr>
      </w:pPr>
    </w:p>
    <w:p>
      <w:pPr>
        <w:autoSpaceDE w:val="0"/>
        <w:autoSpaceDN w:val="0"/>
        <w:adjustRightInd w:val="0"/>
        <w:snapToGrid w:val="0"/>
        <w:spacing w:before="25" w:after="25" w:line="360" w:lineRule="auto"/>
        <w:jc w:val="right"/>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w:t>
      </w:r>
    </w:p>
    <w:p>
      <w:pPr>
        <w:spacing w:line="360" w:lineRule="auto"/>
        <w:ind w:right="360" w:firstLine="480"/>
        <w:jc w:val="righ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日期：_____年______月______日   </w:t>
      </w:r>
    </w:p>
    <w:p>
      <w:p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说明：供应商承诺不实的，依据《政府采购法》第七十七条“提供虚假材料谋取中标、成交的”有关规定予以处理。</w:t>
      </w:r>
    </w:p>
    <w:p>
      <w:pPr>
        <w:pStyle w:val="6"/>
        <w:rPr>
          <w:rStyle w:val="463"/>
          <w:rFonts w:hint="default" w:ascii="宋体" w:hAnsi="宋体"/>
          <w:b w:val="0"/>
          <w:sz w:val="24"/>
          <w:u w:val="none"/>
        </w:rPr>
      </w:pPr>
      <w:r>
        <w:rPr>
          <w:rStyle w:val="463"/>
          <w:rFonts w:hint="default" w:ascii="宋体" w:hAnsi="宋体"/>
          <w:b w:val="0"/>
          <w:sz w:val="24"/>
          <w:u w:val="none"/>
        </w:rPr>
        <w:t xml:space="preserve">2 </w:t>
      </w:r>
      <w:r>
        <w:rPr>
          <w:rStyle w:val="463"/>
          <w:rFonts w:hint="default" w:ascii="宋体" w:hAnsi="宋体"/>
          <w:b w:val="0"/>
          <w:sz w:val="24"/>
          <w:szCs w:val="24"/>
          <w:u w:val="none"/>
        </w:rPr>
        <w:t xml:space="preserve"> </w:t>
      </w:r>
      <w:r>
        <w:rPr>
          <w:rStyle w:val="463"/>
          <w:rFonts w:hint="default" w:ascii="宋体" w:hAnsi="宋体"/>
          <w:b w:val="0"/>
          <w:sz w:val="24"/>
          <w:u w:val="none"/>
        </w:rPr>
        <w:t>落实政府采购政策需满足的资格要求</w:t>
      </w:r>
    </w:p>
    <w:p>
      <w:pPr>
        <w:pStyle w:val="7"/>
        <w:jc w:val="left"/>
        <w:rPr>
          <w:rFonts w:hint="eastAsia" w:ascii="宋体" w:hAnsi="宋体" w:cs="宋体"/>
          <w:color w:val="000000" w:themeColor="text1"/>
          <w:sz w:val="24"/>
          <w14:textFill>
            <w14:solidFill>
              <w14:schemeClr w14:val="tx1"/>
            </w14:solidFill>
          </w14:textFill>
        </w:rPr>
      </w:pPr>
      <w:r>
        <w:rPr>
          <w:rFonts w:hint="eastAsia" w:ascii="宋体" w:hAnsi="宋体" w:eastAsia="宋体"/>
          <w:b w:val="0"/>
          <w:sz w:val="24"/>
          <w:szCs w:val="24"/>
        </w:rPr>
        <w:t>2-1</w:t>
      </w:r>
      <w:r>
        <w:rPr>
          <w:rFonts w:ascii="宋体" w:hAnsi="宋体" w:eastAsia="宋体"/>
          <w:b w:val="0"/>
          <w:sz w:val="24"/>
          <w:szCs w:val="24"/>
        </w:rPr>
        <w:t xml:space="preserve"> </w:t>
      </w:r>
      <w:r>
        <w:rPr>
          <w:rFonts w:hint="eastAsia" w:ascii="宋体" w:hAnsi="宋体" w:eastAsia="宋体"/>
          <w:b w:val="0"/>
          <w:sz w:val="24"/>
          <w:szCs w:val="24"/>
        </w:rPr>
        <w:t>中小企业政策证明文件（本项目适用）</w:t>
      </w:r>
    </w:p>
    <w:p>
      <w:pPr>
        <w:tabs>
          <w:tab w:val="left" w:pos="5580"/>
        </w:tabs>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说明：</w:t>
      </w:r>
    </w:p>
    <w:p>
      <w:pPr>
        <w:tabs>
          <w:tab w:val="left" w:pos="5580"/>
        </w:tabs>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如本项目（包）不专门面向中小企业预留采购份额，资格证明文件部分无需提供《中小企业声明函》或《残疾人福利性单位声明函》或由省级以上监狱管理局、戒毒管理局（含新疆生产建设兵团）出具的属于监狱企业的证明文件；供应商如具有上述证明 文件，建议在商务技术文件中提供。</w:t>
      </w:r>
    </w:p>
    <w:p>
      <w:pPr>
        <w:tabs>
          <w:tab w:val="left" w:pos="5580"/>
        </w:tabs>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（2）如本项目（包）专门面向中小企业采购，投标文件中须提供《中小企业声明函》 或《残疾人福利性单位声明函》或由省级以上监狱管理局、戒毒管理局（含新疆生产建设兵团）出具的属于监狱企业的证明文件，且建议在资格证明文件部分提供。</w:t>
      </w:r>
    </w:p>
    <w:p>
      <w:pPr>
        <w:tabs>
          <w:tab w:val="left" w:pos="5580"/>
        </w:tabs>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如本项目（包）预留部分采购项目预算专门面向中小企业采购，且要求获得采购合同的供应商将采购项目中的一定比例分包给一家或者多家中小企业的，如供应商因落实政府采购政策拟进行分包的，投标文件中除须提供《中小企业声明函》或《残疾人福 利性单位声明函》或由省级以上监狱管理局、戒毒管理局（含新疆生产建设兵团）出具的属于监狱企业的证明文件，还须同时提供《拟分包情况说明》及《分包意向协议》，且建议在资格证明文件部分提供。</w:t>
      </w:r>
    </w:p>
    <w:p>
      <w:pPr>
        <w:tabs>
          <w:tab w:val="left" w:pos="5580"/>
        </w:tabs>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（4）如本项目（包）预留部分采购项目预算专门面向中小企业采购，且要求供应商以联合体形式参加采购活动，如供应商为联合体的，投标文件中除须提供《中小企业声明 函》或《残疾人福利性单位声明函》或由省级以上监狱管理局、戒毒管理局（含新疆生产建设兵团）出具的属于监狱企业的证明文件，还须同时提供《联合协议》；上述文件建议在资格证明文件部分提供。</w:t>
      </w:r>
    </w:p>
    <w:p>
      <w:pPr>
        <w:tabs>
          <w:tab w:val="left" w:pos="5580"/>
        </w:tabs>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（5）中小企业声明函填写注意事项</w:t>
      </w:r>
    </w:p>
    <w:p>
      <w:pPr>
        <w:tabs>
          <w:tab w:val="left" w:pos="5580"/>
        </w:tabs>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1）《中小企业声明函》由参加政府采购活动的投标人出具。联合体投标的，《中小企业声明函》可由牵头人出具。</w:t>
      </w:r>
    </w:p>
    <w:p>
      <w:pPr>
        <w:tabs>
          <w:tab w:val="left" w:pos="5580"/>
        </w:tabs>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2）对于联合体中由中小企业承担的部分，或者分包给中小企业的部分，必须全部由中小企业制造、承建或者承接。供应商应当在声明函“标的名称”部分标明联合体中中小企 业承担的具体内容或者中小企业的具体分包内容。</w:t>
      </w:r>
    </w:p>
    <w:p>
      <w:pPr>
        <w:tabs>
          <w:tab w:val="left" w:pos="5580"/>
        </w:tabs>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3）对于多标的采购项目，投标人应充分、准确地了解所提供货物的制造企业、提供服 务的承接企业信息。对相关情况了解不清楚的，不建议填报本声明函。</w:t>
      </w:r>
    </w:p>
    <w:p>
      <w:pPr>
        <w:tabs>
          <w:tab w:val="left" w:pos="5580"/>
        </w:tabs>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（6）温馨提示</w:t>
      </w:r>
      <w:r>
        <w:rPr>
          <w:rFonts w:hint="eastAsia" w:ascii="宋体" w:hAnsi="宋体" w:cs="宋体"/>
          <w:color w:val="000000" w:themeColor="text1"/>
          <w:spacing w:val="-13"/>
          <w:sz w:val="24"/>
          <w14:textFill>
            <w14:solidFill>
              <w14:schemeClr w14:val="tx1"/>
            </w14:solidFill>
          </w14:textFill>
        </w:rPr>
        <w:t>：</w:t>
      </w:r>
      <w:r>
        <w:rPr>
          <w:rFonts w:hint="eastAsia" w:ascii="宋体" w:hAnsi="宋体" w:cs="宋体"/>
          <w:color w:val="000000" w:themeColor="text1"/>
          <w:spacing w:val="-1"/>
          <w:sz w:val="24"/>
          <w14:textFill>
            <w14:solidFill>
              <w14:schemeClr w14:val="tx1"/>
            </w14:solidFill>
          </w14:textFill>
        </w:rPr>
        <w:t>为方便广大中小企业识别企业规模类型</w:t>
      </w:r>
      <w:r>
        <w:rPr>
          <w:rFonts w:hint="eastAsia" w:ascii="宋体" w:hAnsi="宋体" w:cs="宋体"/>
          <w:color w:val="000000" w:themeColor="text1"/>
          <w:spacing w:val="-29"/>
          <w:sz w:val="24"/>
          <w14:textFill>
            <w14:solidFill>
              <w14:schemeClr w14:val="tx1"/>
            </w14:solidFill>
          </w14:textFill>
        </w:rPr>
        <w:t>，</w:t>
      </w:r>
      <w:r>
        <w:rPr>
          <w:rFonts w:hint="eastAsia" w:ascii="宋体" w:hAnsi="宋体" w:cs="宋体"/>
          <w:color w:val="000000" w:themeColor="text1"/>
          <w:spacing w:val="-1"/>
          <w:sz w:val="24"/>
          <w14:textFill>
            <w14:solidFill>
              <w14:schemeClr w14:val="tx1"/>
            </w14:solidFill>
          </w14:textFill>
        </w:rPr>
        <w:t>工业和信息化部组织开发了中小企业规模类型自测小程序，在国务院客户端和工</w:t>
      </w:r>
      <w:r>
        <w:rPr>
          <w:rFonts w:hint="eastAsia" w:ascii="宋体" w:hAnsi="宋体" w:cs="宋体"/>
          <w:color w:val="000000" w:themeColor="text1"/>
          <w:spacing w:val="-2"/>
          <w:sz w:val="24"/>
          <w14:textFill>
            <w14:solidFill>
              <w14:schemeClr w14:val="tx1"/>
            </w14:solidFill>
          </w14:textFill>
        </w:rPr>
        <w:t>业和信息化部网站上均有链接，投</w:t>
      </w:r>
      <w:r>
        <w:rPr>
          <w:rFonts w:hint="eastAsia" w:ascii="宋体" w:hAnsi="宋体" w:cs="宋体"/>
          <w:color w:val="000000" w:themeColor="text1"/>
          <w:spacing w:val="-1"/>
          <w:sz w:val="24"/>
          <w14:textFill>
            <w14:solidFill>
              <w14:schemeClr w14:val="tx1"/>
            </w14:solidFill>
          </w14:textFill>
        </w:rPr>
        <w:t>标人填写所属的行业和指标数据可自动生成企业规模</w:t>
      </w:r>
      <w:r>
        <w:rPr>
          <w:rFonts w:hint="eastAsia" w:ascii="宋体" w:hAnsi="宋体" w:cs="宋体"/>
          <w:color w:val="000000" w:themeColor="text1"/>
          <w:spacing w:val="-2"/>
          <w:sz w:val="24"/>
          <w14:textFill>
            <w14:solidFill>
              <w14:schemeClr w14:val="tx1"/>
            </w14:solidFill>
          </w14:textFill>
        </w:rPr>
        <w:t>类型测试结果。本项目中小企业划</w:t>
      </w:r>
      <w:r>
        <w:rPr>
          <w:rFonts w:hint="eastAsia" w:ascii="宋体" w:hAnsi="宋体" w:cs="宋体"/>
          <w:color w:val="000000" w:themeColor="text1"/>
          <w:spacing w:val="-1"/>
          <w:sz w:val="24"/>
          <w14:textFill>
            <w14:solidFill>
              <w14:schemeClr w14:val="tx1"/>
            </w14:solidFill>
          </w14:textFill>
        </w:rPr>
        <w:t>分标准所属行业详见第二章《投标人须知资料</w:t>
      </w:r>
      <w:r>
        <w:rPr>
          <w:rFonts w:hint="eastAsia" w:ascii="宋体" w:hAnsi="宋体" w:cs="宋体"/>
          <w:color w:val="000000" w:themeColor="text1"/>
          <w:spacing w:val="-2"/>
          <w:sz w:val="24"/>
          <w14:textFill>
            <w14:solidFill>
              <w14:schemeClr w14:val="tx1"/>
            </w14:solidFill>
          </w14:textFill>
        </w:rPr>
        <w:t>表》，如在该程序中未找到本项目文件规</w:t>
      </w:r>
      <w:r>
        <w:rPr>
          <w:rFonts w:hint="eastAsia" w:ascii="宋体" w:hAnsi="宋体" w:cs="宋体"/>
          <w:color w:val="000000" w:themeColor="text1"/>
          <w:spacing w:val="-1"/>
          <w:sz w:val="24"/>
          <w14:textFill>
            <w14:solidFill>
              <w14:schemeClr w14:val="tx1"/>
            </w14:solidFill>
          </w14:textFill>
        </w:rPr>
        <w:t>定的中小企业划分标准所属行业，则按照《关于印发</w:t>
      </w:r>
      <w:r>
        <w:rPr>
          <w:rFonts w:hint="eastAsia" w:ascii="宋体" w:hAnsi="宋体" w:cs="宋体"/>
          <w:color w:val="000000" w:themeColor="text1"/>
          <w:spacing w:val="-2"/>
          <w:sz w:val="24"/>
          <w14:textFill>
            <w14:solidFill>
              <w14:schemeClr w14:val="tx1"/>
            </w14:solidFill>
          </w14:textFill>
        </w:rPr>
        <w:t>中小企业划型标准规定的通知（工</w:t>
      </w:r>
      <w:r>
        <w:rPr>
          <w:rFonts w:hint="eastAsia" w:ascii="宋体" w:hAnsi="宋体" w:cs="宋体"/>
          <w:color w:val="000000" w:themeColor="text1"/>
          <w:spacing w:val="-5"/>
          <w:sz w:val="24"/>
          <w14:textFill>
            <w14:solidFill>
              <w14:schemeClr w14:val="tx1"/>
            </w14:solidFill>
          </w14:textFill>
        </w:rPr>
        <w:t>信部联企业﹝2011﹞300 号）》及《金融业企业划型标准规定》（〔2015〕309号）等</w:t>
      </w:r>
      <w:r>
        <w:rPr>
          <w:rFonts w:hint="eastAsia" w:ascii="宋体" w:hAnsi="宋体" w:cs="宋体"/>
          <w:color w:val="000000" w:themeColor="text1"/>
          <w:spacing w:val="-1"/>
          <w:sz w:val="24"/>
          <w14:textFill>
            <w14:solidFill>
              <w14:schemeClr w14:val="tx1"/>
            </w14:solidFill>
          </w14:textFill>
        </w:rPr>
        <w:t>国务院批准的中小企业划分标准执行。</w:t>
      </w:r>
    </w:p>
    <w:p>
      <w:pPr>
        <w:pStyle w:val="8"/>
        <w:jc w:val="left"/>
        <w:rPr>
          <w:rStyle w:val="95"/>
          <w:rFonts w:hint="eastAsia" w:ascii="宋体" w:hAnsi="宋体" w:eastAsia="宋体"/>
          <w:b w:val="0"/>
          <w:sz w:val="24"/>
          <w:szCs w:val="24"/>
        </w:rPr>
      </w:pPr>
      <w:r>
        <w:rPr>
          <w:rFonts w:hint="eastAsia" w:ascii="宋体" w:hAnsi="宋体" w:cs="宋体"/>
          <w:color w:val="000000" w:themeColor="text1"/>
          <w:sz w:val="24"/>
          <w14:textFill>
            <w14:solidFill>
              <w14:schemeClr w14:val="tx1"/>
            </w14:solidFill>
          </w14:textFill>
        </w:rPr>
        <w:br w:type="page"/>
      </w:r>
      <w:r>
        <w:rPr>
          <w:rStyle w:val="95"/>
          <w:rFonts w:hint="eastAsia" w:ascii="宋体" w:hAnsi="宋体" w:eastAsia="宋体"/>
          <w:b w:val="0"/>
          <w:sz w:val="24"/>
          <w:szCs w:val="24"/>
        </w:rPr>
        <w:t>2-1-1中小企业证明文件</w:t>
      </w:r>
    </w:p>
    <w:p>
      <w:pPr>
        <w:spacing w:line="360" w:lineRule="auto"/>
        <w:ind w:firstLine="506" w:firstLineChars="200"/>
        <w:jc w:val="center"/>
        <w:rPr>
          <w:rFonts w:hint="eastAsia" w:ascii="宋体" w:hAnsi="宋体" w:cs="宋体"/>
          <w:color w:val="000000"/>
          <w:spacing w:val="6"/>
          <w:sz w:val="24"/>
        </w:rPr>
      </w:pPr>
      <w:r>
        <w:rPr>
          <w:rFonts w:hint="eastAsia" w:ascii="宋体" w:hAnsi="宋体" w:cs="宋体"/>
          <w:b/>
          <w:bCs/>
          <w:color w:val="000000"/>
          <w:spacing w:val="6"/>
          <w:sz w:val="24"/>
        </w:rPr>
        <w:t>中小企业声明函（服务）</w:t>
      </w:r>
    </w:p>
    <w:p>
      <w:pPr>
        <w:spacing w:line="360" w:lineRule="auto"/>
        <w:ind w:firstLine="504" w:firstLineChars="200"/>
        <w:jc w:val="center"/>
        <w:rPr>
          <w:rFonts w:hint="eastAsia" w:ascii="宋体" w:hAnsi="宋体" w:cs="宋体"/>
          <w:color w:val="000000"/>
          <w:spacing w:val="6"/>
          <w:sz w:val="24"/>
        </w:rPr>
      </w:pPr>
    </w:p>
    <w:p>
      <w:pPr>
        <w:spacing w:line="360" w:lineRule="auto"/>
        <w:ind w:firstLine="480" w:firstLineChars="200"/>
        <w:jc w:val="left"/>
        <w:rPr>
          <w:rFonts w:hint="eastAsia" w:ascii="宋体" w:hAnsi="宋体"/>
          <w:color w:val="000000"/>
          <w:kern w:val="0"/>
          <w:sz w:val="24"/>
        </w:rPr>
      </w:pPr>
      <w:r>
        <w:rPr>
          <w:rFonts w:hint="eastAsia" w:ascii="宋体" w:hAnsi="宋体"/>
          <w:color w:val="000000"/>
          <w:kern w:val="0"/>
          <w:sz w:val="24"/>
        </w:rPr>
        <w:t>本公司（联合体）郑重声明，根据《政府采购促进中小企业发展管理办法》（财库﹝2020﹞46 号）的规定，本公司（联合体）参加</w:t>
      </w:r>
      <w:r>
        <w:rPr>
          <w:rFonts w:hint="eastAsia" w:ascii="宋体" w:hAnsi="宋体"/>
          <w:color w:val="000000"/>
          <w:kern w:val="0"/>
          <w:sz w:val="24"/>
          <w:u w:val="single"/>
        </w:rPr>
        <w:t xml:space="preserve">    （单位名称）</w:t>
      </w:r>
      <w:r>
        <w:rPr>
          <w:rFonts w:hint="eastAsia" w:ascii="宋体" w:hAnsi="宋体"/>
          <w:color w:val="000000"/>
          <w:kern w:val="0"/>
          <w:sz w:val="24"/>
        </w:rPr>
        <w:t>的</w:t>
      </w:r>
      <w:r>
        <w:rPr>
          <w:rFonts w:hint="eastAsia" w:ascii="宋体" w:hAnsi="宋体"/>
          <w:color w:val="000000"/>
          <w:kern w:val="0"/>
          <w:sz w:val="24"/>
          <w:u w:val="single"/>
        </w:rPr>
        <w:t xml:space="preserve">    （项目名称）</w:t>
      </w:r>
      <w:r>
        <w:rPr>
          <w:rFonts w:hint="eastAsia" w:ascii="宋体" w:hAnsi="宋体"/>
          <w:color w:val="000000"/>
          <w:kern w:val="0"/>
          <w:sz w:val="24"/>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hint="eastAsia" w:ascii="宋体" w:hAnsi="宋体"/>
          <w:color w:val="000000"/>
          <w:kern w:val="0"/>
          <w:sz w:val="24"/>
        </w:rPr>
      </w:pPr>
      <w:r>
        <w:rPr>
          <w:rFonts w:hint="eastAsia" w:ascii="宋体" w:hAnsi="宋体"/>
          <w:color w:val="000000"/>
          <w:kern w:val="0"/>
          <w:sz w:val="24"/>
        </w:rPr>
        <w:t>1.</w:t>
      </w:r>
      <w:r>
        <w:rPr>
          <w:rFonts w:hint="eastAsia" w:ascii="宋体" w:hAnsi="宋体"/>
          <w:color w:val="000000"/>
          <w:kern w:val="0"/>
          <w:sz w:val="24"/>
          <w:u w:val="single"/>
        </w:rPr>
        <w:t xml:space="preserve">    （标的名称），属于    （采购文件中明确的所属行业）行业</w:t>
      </w:r>
      <w:r>
        <w:rPr>
          <w:rFonts w:hint="eastAsia" w:ascii="宋体" w:hAnsi="宋体"/>
          <w:color w:val="000000"/>
          <w:kern w:val="0"/>
          <w:sz w:val="24"/>
        </w:rPr>
        <w:t>；承接企业为</w:t>
      </w:r>
      <w:r>
        <w:rPr>
          <w:rFonts w:hint="eastAsia" w:ascii="宋体" w:hAnsi="宋体"/>
          <w:color w:val="000000"/>
          <w:kern w:val="0"/>
          <w:sz w:val="24"/>
          <w:u w:val="single"/>
        </w:rPr>
        <w:t>（企业名称）</w:t>
      </w:r>
      <w:r>
        <w:rPr>
          <w:rFonts w:hint="eastAsia" w:ascii="宋体" w:hAnsi="宋体"/>
          <w:color w:val="000000"/>
          <w:kern w:val="0"/>
          <w:sz w:val="24"/>
        </w:rPr>
        <w:t>，从业人员</w:t>
      </w:r>
      <w:r>
        <w:rPr>
          <w:rFonts w:hint="eastAsia" w:ascii="宋体" w:hAnsi="宋体"/>
          <w:color w:val="000000"/>
          <w:kern w:val="0"/>
          <w:sz w:val="24"/>
          <w:u w:val="single"/>
        </w:rPr>
        <w:t xml:space="preserve">    </w:t>
      </w:r>
      <w:r>
        <w:rPr>
          <w:rFonts w:hint="eastAsia" w:ascii="宋体" w:hAnsi="宋体"/>
          <w:color w:val="000000"/>
          <w:kern w:val="0"/>
          <w:sz w:val="24"/>
        </w:rPr>
        <w:t>人，营业收入为</w:t>
      </w:r>
      <w:r>
        <w:rPr>
          <w:rFonts w:hint="eastAsia" w:ascii="宋体" w:hAnsi="宋体"/>
          <w:color w:val="000000"/>
          <w:kern w:val="0"/>
          <w:sz w:val="24"/>
          <w:u w:val="single"/>
        </w:rPr>
        <w:t xml:space="preserve">    </w:t>
      </w:r>
      <w:r>
        <w:rPr>
          <w:rFonts w:hint="eastAsia" w:ascii="宋体" w:hAnsi="宋体"/>
          <w:color w:val="000000"/>
          <w:kern w:val="0"/>
          <w:sz w:val="24"/>
        </w:rPr>
        <w:t>万元，资产总额为</w:t>
      </w:r>
      <w:r>
        <w:rPr>
          <w:rFonts w:hint="eastAsia" w:ascii="宋体" w:hAnsi="宋体"/>
          <w:color w:val="000000"/>
          <w:kern w:val="0"/>
          <w:sz w:val="24"/>
          <w:u w:val="single"/>
        </w:rPr>
        <w:t xml:space="preserve">    </w:t>
      </w:r>
      <w:r>
        <w:rPr>
          <w:rFonts w:hint="eastAsia" w:ascii="宋体" w:hAnsi="宋体"/>
          <w:color w:val="000000"/>
          <w:kern w:val="0"/>
          <w:sz w:val="24"/>
        </w:rPr>
        <w:t>万元</w:t>
      </w:r>
      <w:r>
        <w:rPr>
          <w:rFonts w:hint="eastAsia" w:ascii="宋体" w:hAnsi="宋体"/>
          <w:color w:val="000000"/>
          <w:kern w:val="0"/>
          <w:sz w:val="24"/>
          <w:vertAlign w:val="superscript"/>
        </w:rPr>
        <w:t>1</w:t>
      </w:r>
      <w:r>
        <w:rPr>
          <w:rFonts w:hint="eastAsia" w:ascii="宋体" w:hAnsi="宋体"/>
          <w:color w:val="000000"/>
          <w:kern w:val="0"/>
          <w:sz w:val="24"/>
        </w:rPr>
        <w:t>，属于</w:t>
      </w:r>
      <w:r>
        <w:rPr>
          <w:rFonts w:hint="eastAsia" w:ascii="宋体" w:hAnsi="宋体"/>
          <w:color w:val="000000"/>
          <w:kern w:val="0"/>
          <w:sz w:val="24"/>
          <w:u w:val="single"/>
        </w:rPr>
        <w:t xml:space="preserve">    </w:t>
      </w:r>
      <w:r>
        <w:rPr>
          <w:rFonts w:hint="eastAsia" w:ascii="宋体" w:hAnsi="宋体"/>
          <w:color w:val="000000"/>
          <w:kern w:val="0"/>
          <w:sz w:val="24"/>
        </w:rPr>
        <w:t>（</w:t>
      </w:r>
      <w:r>
        <w:rPr>
          <w:rFonts w:hint="eastAsia" w:ascii="宋体" w:hAnsi="宋体"/>
          <w:color w:val="000000"/>
          <w:kern w:val="0"/>
          <w:sz w:val="24"/>
          <w:u w:val="single"/>
        </w:rPr>
        <w:t>中型企业、小型企业、微型企业</w:t>
      </w:r>
      <w:r>
        <w:rPr>
          <w:rFonts w:hint="eastAsia" w:ascii="宋体" w:hAnsi="宋体"/>
          <w:color w:val="000000"/>
          <w:kern w:val="0"/>
          <w:sz w:val="24"/>
        </w:rPr>
        <w:t>）；</w:t>
      </w:r>
    </w:p>
    <w:p>
      <w:pPr>
        <w:spacing w:line="360" w:lineRule="auto"/>
        <w:ind w:firstLine="480" w:firstLineChars="200"/>
        <w:jc w:val="left"/>
        <w:rPr>
          <w:rFonts w:hint="eastAsia" w:ascii="宋体" w:hAnsi="宋体"/>
          <w:color w:val="000000"/>
          <w:kern w:val="0"/>
          <w:sz w:val="24"/>
        </w:rPr>
      </w:pPr>
      <w:r>
        <w:rPr>
          <w:rFonts w:hint="eastAsia" w:ascii="宋体" w:hAnsi="宋体"/>
          <w:color w:val="000000"/>
          <w:kern w:val="0"/>
          <w:sz w:val="24"/>
        </w:rPr>
        <w:t>2.</w:t>
      </w:r>
      <w:r>
        <w:rPr>
          <w:rFonts w:hint="eastAsia" w:ascii="宋体" w:hAnsi="宋体"/>
          <w:color w:val="000000"/>
          <w:kern w:val="0"/>
          <w:sz w:val="24"/>
          <w:u w:val="single"/>
        </w:rPr>
        <w:t>（标的名称），属于（采购文件中明确的所属行业）行业</w:t>
      </w:r>
      <w:r>
        <w:rPr>
          <w:rFonts w:hint="eastAsia" w:ascii="宋体" w:hAnsi="宋体"/>
          <w:color w:val="000000"/>
          <w:kern w:val="0"/>
          <w:sz w:val="24"/>
        </w:rPr>
        <w:t>；承接企业为</w:t>
      </w:r>
      <w:r>
        <w:rPr>
          <w:rFonts w:hint="eastAsia" w:ascii="宋体" w:hAnsi="宋体"/>
          <w:color w:val="000000"/>
          <w:kern w:val="0"/>
          <w:sz w:val="24"/>
          <w:u w:val="single"/>
        </w:rPr>
        <w:t>（企业名称）</w:t>
      </w:r>
      <w:r>
        <w:rPr>
          <w:rFonts w:hint="eastAsia" w:ascii="宋体" w:hAnsi="宋体"/>
          <w:color w:val="000000"/>
          <w:kern w:val="0"/>
          <w:sz w:val="24"/>
        </w:rPr>
        <w:t>，从业人员</w:t>
      </w:r>
      <w:r>
        <w:rPr>
          <w:rFonts w:hint="eastAsia" w:ascii="宋体" w:hAnsi="宋体"/>
          <w:color w:val="000000"/>
          <w:kern w:val="0"/>
          <w:sz w:val="24"/>
          <w:u w:val="single"/>
        </w:rPr>
        <w:t xml:space="preserve">    </w:t>
      </w:r>
      <w:r>
        <w:rPr>
          <w:rFonts w:hint="eastAsia" w:ascii="宋体" w:hAnsi="宋体"/>
          <w:color w:val="000000"/>
          <w:kern w:val="0"/>
          <w:sz w:val="24"/>
        </w:rPr>
        <w:t>人，营业收入为</w:t>
      </w:r>
      <w:r>
        <w:rPr>
          <w:rFonts w:hint="eastAsia" w:ascii="宋体" w:hAnsi="宋体"/>
          <w:color w:val="000000"/>
          <w:kern w:val="0"/>
          <w:sz w:val="24"/>
          <w:u w:val="single"/>
        </w:rPr>
        <w:t xml:space="preserve">    </w:t>
      </w:r>
      <w:r>
        <w:rPr>
          <w:rFonts w:hint="eastAsia" w:ascii="宋体" w:hAnsi="宋体"/>
          <w:color w:val="000000"/>
          <w:kern w:val="0"/>
          <w:sz w:val="24"/>
        </w:rPr>
        <w:t>万元，资产总额为</w:t>
      </w:r>
      <w:r>
        <w:rPr>
          <w:rFonts w:hint="eastAsia" w:ascii="宋体" w:hAnsi="宋体"/>
          <w:color w:val="000000"/>
          <w:kern w:val="0"/>
          <w:sz w:val="24"/>
          <w:u w:val="single"/>
        </w:rPr>
        <w:t xml:space="preserve">    </w:t>
      </w:r>
      <w:r>
        <w:rPr>
          <w:rFonts w:hint="eastAsia" w:ascii="宋体" w:hAnsi="宋体"/>
          <w:color w:val="000000"/>
          <w:kern w:val="0"/>
          <w:sz w:val="24"/>
        </w:rPr>
        <w:t>万元</w:t>
      </w:r>
      <w:r>
        <w:rPr>
          <w:rFonts w:hint="eastAsia" w:ascii="宋体" w:hAnsi="宋体"/>
          <w:color w:val="000000"/>
          <w:kern w:val="0"/>
          <w:sz w:val="24"/>
          <w:vertAlign w:val="superscript"/>
        </w:rPr>
        <w:t>1</w:t>
      </w:r>
      <w:r>
        <w:rPr>
          <w:rFonts w:hint="eastAsia" w:ascii="宋体" w:hAnsi="宋体"/>
          <w:color w:val="000000"/>
          <w:kern w:val="0"/>
          <w:sz w:val="24"/>
        </w:rPr>
        <w:t>，属于</w:t>
      </w:r>
      <w:r>
        <w:rPr>
          <w:rFonts w:hint="eastAsia" w:ascii="宋体" w:hAnsi="宋体"/>
          <w:color w:val="000000"/>
          <w:kern w:val="0"/>
          <w:sz w:val="24"/>
          <w:u w:val="single"/>
        </w:rPr>
        <w:t xml:space="preserve">    </w:t>
      </w:r>
      <w:r>
        <w:rPr>
          <w:rFonts w:hint="eastAsia" w:ascii="宋体" w:hAnsi="宋体"/>
          <w:color w:val="000000"/>
          <w:kern w:val="0"/>
          <w:sz w:val="24"/>
        </w:rPr>
        <w:t>（</w:t>
      </w:r>
      <w:r>
        <w:rPr>
          <w:rFonts w:hint="eastAsia" w:ascii="宋体" w:hAnsi="宋体"/>
          <w:color w:val="000000"/>
          <w:kern w:val="0"/>
          <w:sz w:val="24"/>
          <w:u w:val="single"/>
        </w:rPr>
        <w:t>中型企业、小型企业、微型企业</w:t>
      </w:r>
      <w:r>
        <w:rPr>
          <w:rFonts w:hint="eastAsia" w:ascii="宋体" w:hAnsi="宋体"/>
          <w:color w:val="000000"/>
          <w:kern w:val="0"/>
          <w:sz w:val="24"/>
        </w:rPr>
        <w:t>）；</w:t>
      </w:r>
    </w:p>
    <w:p>
      <w:pPr>
        <w:spacing w:line="360" w:lineRule="auto"/>
        <w:ind w:firstLine="480" w:firstLineChars="200"/>
        <w:jc w:val="left"/>
        <w:rPr>
          <w:rFonts w:hint="eastAsia" w:ascii="宋体" w:hAnsi="宋体"/>
          <w:color w:val="000000"/>
          <w:kern w:val="0"/>
          <w:sz w:val="24"/>
        </w:rPr>
      </w:pPr>
      <w:r>
        <w:rPr>
          <w:rFonts w:ascii="宋体" w:hAnsi="宋体"/>
          <w:color w:val="000000"/>
          <w:kern w:val="0"/>
          <w:sz w:val="24"/>
        </w:rPr>
        <w:t>……</w:t>
      </w:r>
    </w:p>
    <w:p>
      <w:pPr>
        <w:spacing w:line="360" w:lineRule="auto"/>
        <w:ind w:firstLine="480" w:firstLineChars="200"/>
        <w:jc w:val="left"/>
        <w:rPr>
          <w:rFonts w:hint="eastAsia" w:ascii="宋体" w:hAnsi="宋体"/>
          <w:color w:val="000000"/>
          <w:kern w:val="0"/>
          <w:sz w:val="24"/>
        </w:rPr>
      </w:pPr>
      <w:r>
        <w:rPr>
          <w:rFonts w:hint="eastAsia" w:ascii="宋体" w:hAnsi="宋体"/>
          <w:color w:val="000000"/>
          <w:kern w:val="0"/>
          <w:sz w:val="24"/>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宋体" w:hAnsi="宋体"/>
          <w:color w:val="000000"/>
          <w:kern w:val="0"/>
          <w:sz w:val="24"/>
          <w:vertAlign w:val="superscript"/>
        </w:rPr>
      </w:pPr>
      <w:r>
        <w:rPr>
          <w:rFonts w:hint="eastAsia" w:ascii="宋体" w:hAnsi="宋体"/>
          <w:color w:val="000000"/>
          <w:kern w:val="0"/>
          <w:sz w:val="24"/>
        </w:rPr>
        <w:t>本企业对上述声明内容的真实性负责。如有虚假，将依法承担相应责任。</w:t>
      </w:r>
    </w:p>
    <w:p>
      <w:pPr>
        <w:spacing w:line="360" w:lineRule="auto"/>
        <w:jc w:val="left"/>
        <w:rPr>
          <w:rFonts w:hint="eastAsia" w:ascii="宋体" w:hAnsi="宋体"/>
          <w:color w:val="000000"/>
          <w:kern w:val="0"/>
          <w:sz w:val="24"/>
        </w:rPr>
      </w:pPr>
    </w:p>
    <w:p>
      <w:pPr>
        <w:spacing w:line="360" w:lineRule="auto"/>
        <w:jc w:val="left"/>
        <w:rPr>
          <w:rFonts w:hint="eastAsia" w:ascii="宋体" w:hAnsi="宋体"/>
          <w:color w:val="000000"/>
          <w:kern w:val="0"/>
          <w:sz w:val="24"/>
        </w:rPr>
      </w:pPr>
      <w:r>
        <w:rPr>
          <w:rFonts w:hint="eastAsia" w:ascii="宋体" w:hAnsi="宋体"/>
          <w:color w:val="000000"/>
          <w:kern w:val="0"/>
          <w:sz w:val="24"/>
        </w:rPr>
        <w:t xml:space="preserve">                            企业名称（盖章）： </w:t>
      </w:r>
    </w:p>
    <w:p>
      <w:pPr>
        <w:spacing w:line="360" w:lineRule="auto"/>
        <w:ind w:firstLine="3360" w:firstLineChars="1400"/>
        <w:rPr>
          <w:rFonts w:hint="eastAsia" w:ascii="宋体" w:hAnsi="宋体" w:cs="宋体"/>
          <w:color w:val="000000"/>
          <w:spacing w:val="6"/>
          <w:sz w:val="24"/>
        </w:rPr>
      </w:pPr>
      <w:r>
        <w:rPr>
          <w:rFonts w:hint="eastAsia" w:ascii="宋体" w:hAnsi="宋体"/>
          <w:color w:val="000000"/>
          <w:kern w:val="0"/>
          <w:sz w:val="24"/>
        </w:rPr>
        <w:t>日  期：</w:t>
      </w:r>
    </w:p>
    <w:p>
      <w:pPr>
        <w:rPr>
          <w:rFonts w:hint="eastAsia" w:ascii="宋体" w:hAnsi="宋体"/>
          <w:color w:val="000000"/>
        </w:rPr>
      </w:pPr>
    </w:p>
    <w:p>
      <w:pPr>
        <w:rPr>
          <w:rFonts w:hint="eastAsia" w:ascii="宋体" w:hAnsi="宋体"/>
          <w:color w:val="000000"/>
        </w:rPr>
      </w:pPr>
    </w:p>
    <w:p>
      <w:pPr>
        <w:adjustRightInd w:val="0"/>
        <w:snapToGrid w:val="0"/>
        <w:jc w:val="left"/>
        <w:rPr>
          <w:rFonts w:hint="eastAsia" w:ascii="宋体" w:hAnsi="宋体"/>
          <w:color w:val="000000"/>
          <w:sz w:val="24"/>
          <w:szCs w:val="21"/>
        </w:rPr>
      </w:pPr>
    </w:p>
    <w:tbl>
      <w:tblPr>
        <w:tblStyle w:val="52"/>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3"/>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tcPr>
          <w:p>
            <w:pPr>
              <w:adjustRightInd w:val="0"/>
              <w:snapToGrid w:val="0"/>
              <w:jc w:val="left"/>
              <w:rPr>
                <w:rFonts w:hint="eastAsia" w:ascii="宋体" w:hAnsi="宋体"/>
                <w:color w:val="000000"/>
                <w:szCs w:val="21"/>
              </w:rPr>
            </w:pPr>
            <w:r>
              <w:rPr>
                <w:rFonts w:ascii="宋体" w:hAnsi="宋体"/>
                <w:color w:val="000000"/>
                <w:szCs w:val="21"/>
                <w:vertAlign w:val="superscript"/>
              </w:rPr>
              <w:t>1</w:t>
            </w:r>
            <w:r>
              <w:rPr>
                <w:rFonts w:ascii="宋体" w:hAnsi="宋体"/>
                <w:color w:val="000000"/>
                <w:szCs w:val="21"/>
              </w:rPr>
              <w:t>从业人员、营业收入、资产总额填报上一年度数据，无上一年度数据的新成立企业可不填报。</w:t>
            </w:r>
          </w:p>
        </w:tc>
      </w:tr>
    </w:tbl>
    <w:p>
      <w:pPr>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p>
    <w:p>
      <w:pPr>
        <w:spacing w:before="240" w:beforeLines="100" w:after="240" w:afterLines="100" w:line="360" w:lineRule="auto"/>
        <w:jc w:val="center"/>
        <w:rPr>
          <w:rFonts w:hint="eastAsia" w:ascii="宋体" w:hAnsi="宋体" w:cs="宋体"/>
          <w:b/>
          <w:color w:val="000000" w:themeColor="text1"/>
          <w:sz w:val="36"/>
          <w:szCs w:val="36"/>
          <w14:textFill>
            <w14:solidFill>
              <w14:schemeClr w14:val="tx1"/>
            </w14:solidFill>
          </w14:textFill>
        </w:rPr>
      </w:pPr>
      <w:r>
        <w:rPr>
          <w:rFonts w:hint="eastAsia" w:ascii="宋体" w:hAnsi="宋体" w:cs="宋体"/>
          <w:b/>
          <w:bCs/>
          <w:color w:val="000000" w:themeColor="text1"/>
          <w:sz w:val="36"/>
          <w:szCs w:val="36"/>
          <w14:textFill>
            <w14:solidFill>
              <w14:schemeClr w14:val="tx1"/>
            </w14:solidFill>
          </w14:textFill>
        </w:rPr>
        <w:t>残疾人福利性单位声明函格式</w:t>
      </w:r>
    </w:p>
    <w:p>
      <w:pPr>
        <w:spacing w:line="588" w:lineRule="exact"/>
        <w:ind w:firstLine="504"/>
        <w:rPr>
          <w:rFonts w:hint="eastAsia"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本单位郑重声明，根据《财政部 民政部 中国残疾人联合会关于促进残疾人就业政府采购政策的通知》（财库</w:t>
      </w:r>
      <w:r>
        <w:rPr>
          <w:rFonts w:hint="eastAsia" w:ascii="宋体" w:hAnsi="宋体" w:cs="宋体"/>
          <w:color w:val="000000" w:themeColor="text1"/>
          <w:sz w:val="24"/>
          <w14:textFill>
            <w14:solidFill>
              <w14:schemeClr w14:val="tx1"/>
            </w14:solidFill>
          </w14:textFill>
        </w:rPr>
        <w:t>〔2017〕 141</w:t>
      </w:r>
      <w:r>
        <w:rPr>
          <w:rFonts w:hint="eastAsia" w:ascii="宋体" w:hAnsi="宋体" w:cs="宋体"/>
          <w:color w:val="000000" w:themeColor="text1"/>
          <w:spacing w:val="6"/>
          <w:sz w:val="24"/>
          <w14:textFill>
            <w14:solidFill>
              <w14:schemeClr w14:val="tx1"/>
            </w14:solidFill>
          </w14:textFill>
        </w:rPr>
        <w:t>号）的规定，本单位</w:t>
      </w:r>
      <w:r>
        <w:rPr>
          <w:rFonts w:hint="eastAsia" w:ascii="宋体" w:hAnsi="宋体" w:cs="宋体"/>
          <w:b/>
          <w:color w:val="000000" w:themeColor="text1"/>
          <w:sz w:val="24"/>
          <w14:textFill>
            <w14:solidFill>
              <w14:schemeClr w14:val="tx1"/>
            </w14:solidFill>
          </w14:textFill>
        </w:rPr>
        <w:t>（请进行选择）</w:t>
      </w:r>
      <w:r>
        <w:rPr>
          <w:rFonts w:hint="eastAsia" w:ascii="宋体" w:hAnsi="宋体" w:cs="宋体"/>
          <w:color w:val="000000" w:themeColor="text1"/>
          <w:spacing w:val="6"/>
          <w:sz w:val="24"/>
          <w14:textFill>
            <w14:solidFill>
              <w14:schemeClr w14:val="tx1"/>
            </w14:solidFill>
          </w14:textFill>
        </w:rPr>
        <w:t>：</w:t>
      </w:r>
    </w:p>
    <w:p>
      <w:pPr>
        <w:spacing w:line="588" w:lineRule="exact"/>
        <w:ind w:firstLine="482"/>
        <w:rPr>
          <w:rFonts w:hint="eastAsia" w:ascii="宋体" w:hAnsi="宋体" w:cs="宋体"/>
          <w:b/>
          <w:color w:val="000000" w:themeColor="text1"/>
          <w:spacing w:val="6"/>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w:t>
      </w:r>
      <w:r>
        <w:rPr>
          <w:rFonts w:hint="eastAsia" w:ascii="宋体" w:hAnsi="宋体" w:cs="宋体"/>
          <w:b/>
          <w:color w:val="000000" w:themeColor="text1"/>
          <w:spacing w:val="6"/>
          <w:sz w:val="24"/>
          <w14:textFill>
            <w14:solidFill>
              <w14:schemeClr w14:val="tx1"/>
            </w14:solidFill>
          </w14:textFill>
        </w:rPr>
        <w:t>不属于符合条件的残疾人福利性单位。</w:t>
      </w:r>
    </w:p>
    <w:p>
      <w:pPr>
        <w:spacing w:line="588" w:lineRule="exact"/>
        <w:ind w:firstLine="482"/>
        <w:rPr>
          <w:rFonts w:hint="eastAsia" w:ascii="宋体" w:hAnsi="宋体" w:cs="宋体"/>
          <w:color w:val="000000" w:themeColor="text1"/>
          <w:spacing w:val="6"/>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w:t>
      </w:r>
      <w:r>
        <w:rPr>
          <w:rFonts w:hint="eastAsia" w:ascii="宋体" w:hAnsi="宋体" w:cs="宋体"/>
          <w:b/>
          <w:color w:val="000000" w:themeColor="text1"/>
          <w:spacing w:val="6"/>
          <w:sz w:val="24"/>
          <w14:textFill>
            <w14:solidFill>
              <w14:schemeClr w14:val="tx1"/>
            </w14:solidFill>
          </w14:textFill>
        </w:rPr>
        <w:t>属于符合条件的残疾人福利性单位，</w:t>
      </w:r>
      <w:r>
        <w:rPr>
          <w:rFonts w:hint="eastAsia" w:ascii="宋体" w:hAnsi="宋体" w:cs="宋体"/>
          <w:color w:val="000000" w:themeColor="text1"/>
          <w:spacing w:val="6"/>
          <w:sz w:val="24"/>
          <w14:textFill>
            <w14:solidFill>
              <w14:schemeClr w14:val="tx1"/>
            </w14:solidFill>
          </w14:textFill>
        </w:rPr>
        <w:t>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506" w:firstLineChars="200"/>
        <w:rPr>
          <w:rFonts w:hint="eastAsia" w:ascii="宋体" w:hAnsi="宋体" w:cs="宋体"/>
          <w:color w:val="000000" w:themeColor="text1"/>
          <w:spacing w:val="6"/>
          <w:sz w:val="24"/>
          <w14:textFill>
            <w14:solidFill>
              <w14:schemeClr w14:val="tx1"/>
            </w14:solidFill>
          </w14:textFill>
        </w:rPr>
      </w:pPr>
      <w:r>
        <w:rPr>
          <w:rFonts w:hint="eastAsia" w:ascii="宋体" w:hAnsi="宋体" w:cs="宋体"/>
          <w:b/>
          <w:color w:val="000000" w:themeColor="text1"/>
          <w:spacing w:val="6"/>
          <w:sz w:val="24"/>
          <w14:textFill>
            <w14:solidFill>
              <w14:schemeClr w14:val="tx1"/>
            </w14:solidFill>
          </w14:textFill>
        </w:rPr>
        <w:t>本单位对上述声明的真实性负责。如有虚假，将依法承担相应责任。</w:t>
      </w:r>
    </w:p>
    <w:p>
      <w:pPr>
        <w:spacing w:line="588" w:lineRule="exact"/>
        <w:ind w:firstLine="504" w:firstLineChars="200"/>
        <w:rPr>
          <w:rFonts w:hint="eastAsia" w:ascii="宋体" w:hAnsi="宋体" w:cs="宋体"/>
          <w:color w:val="000000" w:themeColor="text1"/>
          <w:spacing w:val="6"/>
          <w:sz w:val="24"/>
          <w14:textFill>
            <w14:solidFill>
              <w14:schemeClr w14:val="tx1"/>
            </w14:solidFill>
          </w14:textFill>
        </w:rPr>
      </w:pPr>
    </w:p>
    <w:p>
      <w:pPr>
        <w:spacing w:line="588" w:lineRule="exact"/>
        <w:ind w:firstLine="504" w:firstLineChars="200"/>
        <w:rPr>
          <w:rFonts w:hint="eastAsia" w:ascii="宋体" w:hAnsi="宋体" w:cs="宋体"/>
          <w:color w:val="000000" w:themeColor="text1"/>
          <w:spacing w:val="6"/>
          <w:sz w:val="24"/>
          <w14:textFill>
            <w14:solidFill>
              <w14:schemeClr w14:val="tx1"/>
            </w14:solidFill>
          </w14:textFill>
        </w:rPr>
      </w:pPr>
    </w:p>
    <w:p>
      <w:pPr>
        <w:tabs>
          <w:tab w:val="left" w:pos="4860"/>
        </w:tabs>
        <w:spacing w:line="588" w:lineRule="exact"/>
        <w:ind w:right="1560" w:firstLine="504" w:firstLineChars="200"/>
        <w:jc w:val="center"/>
        <w:rPr>
          <w:rFonts w:hint="eastAsia"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 xml:space="preserve">               单位名称（盖章）：</w:t>
      </w:r>
    </w:p>
    <w:p>
      <w:pPr>
        <w:tabs>
          <w:tab w:val="left" w:pos="4860"/>
        </w:tabs>
        <w:spacing w:line="588" w:lineRule="exact"/>
        <w:ind w:right="1560" w:firstLine="504" w:firstLineChars="200"/>
        <w:jc w:val="center"/>
        <w:rPr>
          <w:rFonts w:hint="eastAsia"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 xml:space="preserve">      日  期：</w:t>
      </w:r>
    </w:p>
    <w:p>
      <w:pPr>
        <w:pStyle w:val="8"/>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r>
        <w:rPr>
          <w:rStyle w:val="95"/>
          <w:rFonts w:hint="eastAsia" w:ascii="宋体" w:hAnsi="宋体" w:eastAsia="宋体"/>
          <w:b w:val="0"/>
          <w:sz w:val="24"/>
          <w:szCs w:val="24"/>
        </w:rPr>
        <w:t>2-1-2 拟分包情况说明及分包意向协议（本项目不适用）</w:t>
      </w:r>
    </w:p>
    <w:p>
      <w:pPr>
        <w:autoSpaceDE w:val="0"/>
        <w:autoSpaceDN w:val="0"/>
        <w:adjustRightInd w:val="0"/>
        <w:jc w:val="center"/>
        <w:rPr>
          <w:rFonts w:hint="eastAsia" w:ascii="宋体" w:hAnsi="宋体" w:cs="宋体"/>
          <w:color w:val="000000" w:themeColor="text1"/>
          <w:sz w:val="30"/>
          <w:szCs w:val="30"/>
          <w14:textFill>
            <w14:solidFill>
              <w14:schemeClr w14:val="tx1"/>
            </w14:solidFill>
          </w14:textFill>
        </w:rPr>
      </w:pPr>
    </w:p>
    <w:p>
      <w:pPr>
        <w:autoSpaceDE w:val="0"/>
        <w:autoSpaceDN w:val="0"/>
        <w:adjustRightInd w:val="0"/>
        <w:spacing w:line="360" w:lineRule="auto"/>
        <w:jc w:val="center"/>
        <w:rPr>
          <w:rFonts w:hint="eastAsia"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拟分包情况说明</w:t>
      </w:r>
    </w:p>
    <w:p>
      <w:pPr>
        <w:tabs>
          <w:tab w:val="left" w:pos="5580"/>
        </w:tabs>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致：</w:t>
      </w:r>
      <w:r>
        <w:rPr>
          <w:rFonts w:hint="eastAsia" w:ascii="宋体" w:hAnsi="宋体" w:cs="宋体"/>
          <w:color w:val="000000" w:themeColor="text1"/>
          <w:sz w:val="24"/>
          <w:u w:val="single"/>
          <w14:textFill>
            <w14:solidFill>
              <w14:schemeClr w14:val="tx1"/>
            </w14:solidFill>
          </w14:textFill>
        </w:rPr>
        <w:t>（采购人或采购代理机构）</w:t>
      </w:r>
    </w:p>
    <w:p>
      <w:pPr>
        <w:adjustRightInd w:val="0"/>
        <w:snapToGrid w:val="0"/>
        <w:spacing w:line="360" w:lineRule="auto"/>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我单位参加贵单位组织采购的项目编号为_______的_________项目（填写采购项目名称）中___包（填写包号）的投标。拟签订分包合同的单位情况如下表所示，我单位承诺一旦在该项目中获得采购合同将按下表所列情况进行分包，同时承诺分包承担主体不再次分包。</w:t>
      </w:r>
    </w:p>
    <w:tbl>
      <w:tblPr>
        <w:tblStyle w:val="52"/>
        <w:tblW w:w="90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1287"/>
        <w:gridCol w:w="1513"/>
        <w:gridCol w:w="1125"/>
        <w:gridCol w:w="1561"/>
        <w:gridCol w:w="1498"/>
        <w:gridCol w:w="15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456" w:type="dxa"/>
            <w:vAlign w:val="center"/>
          </w:tcPr>
          <w:p>
            <w:pPr>
              <w:pStyle w:val="259"/>
              <w:jc w:val="cente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序号</w:t>
            </w:r>
          </w:p>
        </w:tc>
        <w:tc>
          <w:tcPr>
            <w:tcW w:w="1287" w:type="dxa"/>
            <w:vAlign w:val="center"/>
          </w:tcPr>
          <w:p>
            <w:pPr>
              <w:pStyle w:val="259"/>
              <w:jc w:val="cente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分包承担</w:t>
            </w:r>
          </w:p>
          <w:p>
            <w:pPr>
              <w:pStyle w:val="259"/>
              <w:jc w:val="cente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主体名称</w:t>
            </w:r>
          </w:p>
        </w:tc>
        <w:tc>
          <w:tcPr>
            <w:tcW w:w="1513" w:type="dxa"/>
            <w:vAlign w:val="center"/>
          </w:tcPr>
          <w:p>
            <w:pPr>
              <w:pStyle w:val="259"/>
              <w:jc w:val="center"/>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分包承担</w:t>
            </w:r>
          </w:p>
          <w:p>
            <w:pPr>
              <w:pStyle w:val="259"/>
              <w:jc w:val="center"/>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主体类型</w:t>
            </w:r>
          </w:p>
          <w:p>
            <w:pPr>
              <w:pStyle w:val="259"/>
              <w:jc w:val="center"/>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pacing w:val="2"/>
                <w:sz w:val="24"/>
                <w:szCs w:val="24"/>
                <w:lang w:eastAsia="zh-CN"/>
                <w14:textFill>
                  <w14:solidFill>
                    <w14:schemeClr w14:val="tx1"/>
                  </w14:solidFill>
                </w14:textFill>
              </w:rPr>
              <w:t>选择</w:t>
            </w:r>
            <w:r>
              <w:rPr>
                <w:rFonts w:hint="eastAsia"/>
                <w:color w:val="000000" w:themeColor="text1"/>
                <w:sz w:val="24"/>
                <w:lang w:eastAsia="zh-CN"/>
                <w14:textFill>
                  <w14:solidFill>
                    <w14:schemeClr w14:val="tx1"/>
                  </w14:solidFill>
                </w14:textFill>
              </w:rPr>
              <w:t>）</w:t>
            </w:r>
          </w:p>
        </w:tc>
        <w:tc>
          <w:tcPr>
            <w:tcW w:w="1125" w:type="dxa"/>
            <w:vAlign w:val="center"/>
          </w:tcPr>
          <w:p>
            <w:pPr>
              <w:pStyle w:val="259"/>
              <w:jc w:val="cente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资质等级</w:t>
            </w:r>
          </w:p>
        </w:tc>
        <w:tc>
          <w:tcPr>
            <w:tcW w:w="1558" w:type="dxa"/>
            <w:vAlign w:val="center"/>
          </w:tcPr>
          <w:p>
            <w:pPr>
              <w:pStyle w:val="259"/>
              <w:jc w:val="cente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拟分包</w:t>
            </w:r>
          </w:p>
          <w:p>
            <w:pPr>
              <w:pStyle w:val="259"/>
              <w:jc w:val="cente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合同内容</w:t>
            </w:r>
          </w:p>
        </w:tc>
        <w:tc>
          <w:tcPr>
            <w:tcW w:w="1498" w:type="dxa"/>
            <w:vAlign w:val="center"/>
          </w:tcPr>
          <w:p>
            <w:pPr>
              <w:pStyle w:val="259"/>
              <w:jc w:val="center"/>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拟分包</w:t>
            </w:r>
          </w:p>
          <w:p>
            <w:pPr>
              <w:pStyle w:val="259"/>
              <w:jc w:val="center"/>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合同金额</w:t>
            </w:r>
          </w:p>
          <w:p>
            <w:pPr>
              <w:pStyle w:val="259"/>
              <w:jc w:val="center"/>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（人民币元）</w:t>
            </w:r>
          </w:p>
        </w:tc>
        <w:tc>
          <w:tcPr>
            <w:tcW w:w="1564" w:type="dxa"/>
            <w:vAlign w:val="center"/>
          </w:tcPr>
          <w:p>
            <w:pPr>
              <w:pStyle w:val="259"/>
              <w:jc w:val="center"/>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占该采购包</w:t>
            </w:r>
          </w:p>
          <w:p>
            <w:pPr>
              <w:pStyle w:val="259"/>
              <w:jc w:val="center"/>
              <w:rPr>
                <w:rFonts w:hint="eastAsia"/>
                <w:color w:val="000000" w:themeColor="text1"/>
                <w:sz w:val="24"/>
                <w:lang w:eastAsia="zh-CN"/>
                <w14:textFill>
                  <w14:solidFill>
                    <w14:schemeClr w14:val="tx1"/>
                  </w14:solidFill>
                </w14:textFill>
              </w:rPr>
            </w:pPr>
            <w:r>
              <w:rPr>
                <w:rFonts w:hint="eastAsia"/>
                <w:b/>
                <w:bCs/>
                <w:color w:val="000000" w:themeColor="text1"/>
                <w:sz w:val="24"/>
                <w:lang w:eastAsia="zh-CN"/>
                <w14:textFill>
                  <w14:solidFill>
                    <w14:schemeClr w14:val="tx1"/>
                  </w14:solidFill>
                </w14:textFill>
              </w:rPr>
              <w:t>合同金额的</w:t>
            </w:r>
          </w:p>
          <w:p>
            <w:pPr>
              <w:pStyle w:val="259"/>
              <w:jc w:val="center"/>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pPr>
              <w:pStyle w:val="259"/>
              <w:jc w:val="cente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p>
        </w:tc>
        <w:tc>
          <w:tcPr>
            <w:tcW w:w="1287" w:type="dxa"/>
            <w:vAlign w:val="center"/>
          </w:tcPr>
          <w:p>
            <w:pPr>
              <w:pStyle w:val="259"/>
              <w:jc w:val="center"/>
              <w:rPr>
                <w:rFonts w:hint="eastAsia"/>
                <w:color w:val="000000" w:themeColor="text1"/>
                <w:sz w:val="30"/>
                <w14:textFill>
                  <w14:solidFill>
                    <w14:schemeClr w14:val="tx1"/>
                  </w14:solidFill>
                </w14:textFill>
              </w:rPr>
            </w:pPr>
          </w:p>
        </w:tc>
        <w:tc>
          <w:tcPr>
            <w:tcW w:w="1513" w:type="dxa"/>
            <w:vAlign w:val="center"/>
          </w:tcPr>
          <w:p>
            <w:pPr>
              <w:pStyle w:val="259"/>
              <w:tabs>
                <w:tab w:val="left" w:pos="235"/>
              </w:tabs>
              <w:ind w:left="-90" w:leftChars="-43" w:firstLine="240" w:firstLineChars="100"/>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□中型企业</w:t>
            </w:r>
          </w:p>
          <w:p>
            <w:pPr>
              <w:pStyle w:val="259"/>
              <w:tabs>
                <w:tab w:val="left" w:pos="235"/>
              </w:tabs>
              <w:ind w:left="-90" w:leftChars="-43" w:firstLine="240" w:firstLineChars="100"/>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 xml:space="preserve">□小微企业 </w:t>
            </w:r>
          </w:p>
          <w:p>
            <w:pPr>
              <w:pStyle w:val="259"/>
              <w:tabs>
                <w:tab w:val="left" w:pos="235"/>
              </w:tabs>
              <w:ind w:left="-90" w:leftChars="-43" w:firstLine="240" w:firstLineChars="100"/>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□其他</w:t>
            </w:r>
          </w:p>
        </w:tc>
        <w:tc>
          <w:tcPr>
            <w:tcW w:w="1125" w:type="dxa"/>
            <w:vAlign w:val="center"/>
          </w:tcPr>
          <w:p>
            <w:pPr>
              <w:pStyle w:val="259"/>
              <w:jc w:val="center"/>
              <w:rPr>
                <w:rFonts w:hint="eastAsia"/>
                <w:color w:val="000000" w:themeColor="text1"/>
                <w:sz w:val="30"/>
                <w:lang w:eastAsia="zh-CN"/>
                <w14:textFill>
                  <w14:solidFill>
                    <w14:schemeClr w14:val="tx1"/>
                  </w14:solidFill>
                </w14:textFill>
              </w:rPr>
            </w:pPr>
          </w:p>
        </w:tc>
        <w:tc>
          <w:tcPr>
            <w:tcW w:w="1558" w:type="dxa"/>
            <w:vAlign w:val="center"/>
          </w:tcPr>
          <w:p>
            <w:pPr>
              <w:pStyle w:val="259"/>
              <w:jc w:val="center"/>
              <w:rPr>
                <w:rFonts w:hint="eastAsia"/>
                <w:color w:val="000000" w:themeColor="text1"/>
                <w:sz w:val="30"/>
                <w:lang w:eastAsia="zh-CN"/>
                <w14:textFill>
                  <w14:solidFill>
                    <w14:schemeClr w14:val="tx1"/>
                  </w14:solidFill>
                </w14:textFill>
              </w:rPr>
            </w:pPr>
          </w:p>
        </w:tc>
        <w:tc>
          <w:tcPr>
            <w:tcW w:w="1498" w:type="dxa"/>
            <w:vAlign w:val="center"/>
          </w:tcPr>
          <w:p>
            <w:pPr>
              <w:pStyle w:val="259"/>
              <w:jc w:val="center"/>
              <w:rPr>
                <w:rFonts w:hint="eastAsia"/>
                <w:color w:val="000000" w:themeColor="text1"/>
                <w:sz w:val="30"/>
                <w:lang w:eastAsia="zh-CN"/>
                <w14:textFill>
                  <w14:solidFill>
                    <w14:schemeClr w14:val="tx1"/>
                  </w14:solidFill>
                </w14:textFill>
              </w:rPr>
            </w:pPr>
          </w:p>
        </w:tc>
        <w:tc>
          <w:tcPr>
            <w:tcW w:w="1564" w:type="dxa"/>
            <w:vAlign w:val="center"/>
          </w:tcPr>
          <w:p>
            <w:pPr>
              <w:pStyle w:val="259"/>
              <w:jc w:val="center"/>
              <w:rPr>
                <w:rFonts w:hint="eastAsia"/>
                <w:color w:val="000000" w:themeColor="text1"/>
                <w:sz w:val="30"/>
                <w:lang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pPr>
              <w:pStyle w:val="259"/>
              <w:jc w:val="center"/>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2</w:t>
            </w:r>
          </w:p>
        </w:tc>
        <w:tc>
          <w:tcPr>
            <w:tcW w:w="1287" w:type="dxa"/>
            <w:vAlign w:val="center"/>
          </w:tcPr>
          <w:p>
            <w:pPr>
              <w:pStyle w:val="259"/>
              <w:jc w:val="center"/>
              <w:rPr>
                <w:rFonts w:hint="eastAsia"/>
                <w:color w:val="000000" w:themeColor="text1"/>
                <w:sz w:val="30"/>
                <w14:textFill>
                  <w14:solidFill>
                    <w14:schemeClr w14:val="tx1"/>
                  </w14:solidFill>
                </w14:textFill>
              </w:rPr>
            </w:pPr>
          </w:p>
        </w:tc>
        <w:tc>
          <w:tcPr>
            <w:tcW w:w="1513" w:type="dxa"/>
            <w:vAlign w:val="center"/>
          </w:tcPr>
          <w:p>
            <w:pPr>
              <w:pStyle w:val="259"/>
              <w:tabs>
                <w:tab w:val="left" w:pos="235"/>
              </w:tabs>
              <w:ind w:left="-90" w:leftChars="-43" w:firstLine="240" w:firstLineChars="100"/>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□中型企业</w:t>
            </w:r>
          </w:p>
          <w:p>
            <w:pPr>
              <w:pStyle w:val="259"/>
              <w:tabs>
                <w:tab w:val="left" w:pos="235"/>
              </w:tabs>
              <w:ind w:left="-90" w:firstLine="240" w:firstLineChars="100"/>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 xml:space="preserve">□小微企业 </w:t>
            </w:r>
          </w:p>
          <w:p>
            <w:pPr>
              <w:pStyle w:val="259"/>
              <w:tabs>
                <w:tab w:val="left" w:pos="235"/>
              </w:tabs>
              <w:ind w:left="-90" w:leftChars="-43" w:firstLine="240" w:firstLineChars="100"/>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□其他</w:t>
            </w:r>
          </w:p>
        </w:tc>
        <w:tc>
          <w:tcPr>
            <w:tcW w:w="1125" w:type="dxa"/>
            <w:vAlign w:val="center"/>
          </w:tcPr>
          <w:p>
            <w:pPr>
              <w:pStyle w:val="259"/>
              <w:jc w:val="center"/>
              <w:rPr>
                <w:rFonts w:hint="eastAsia"/>
                <w:color w:val="000000" w:themeColor="text1"/>
                <w:sz w:val="30"/>
                <w:lang w:eastAsia="zh-CN"/>
                <w14:textFill>
                  <w14:solidFill>
                    <w14:schemeClr w14:val="tx1"/>
                  </w14:solidFill>
                </w14:textFill>
              </w:rPr>
            </w:pPr>
          </w:p>
        </w:tc>
        <w:tc>
          <w:tcPr>
            <w:tcW w:w="1558" w:type="dxa"/>
            <w:vAlign w:val="center"/>
          </w:tcPr>
          <w:p>
            <w:pPr>
              <w:pStyle w:val="259"/>
              <w:jc w:val="center"/>
              <w:rPr>
                <w:rFonts w:hint="eastAsia"/>
                <w:color w:val="000000" w:themeColor="text1"/>
                <w:sz w:val="30"/>
                <w:lang w:eastAsia="zh-CN"/>
                <w14:textFill>
                  <w14:solidFill>
                    <w14:schemeClr w14:val="tx1"/>
                  </w14:solidFill>
                </w14:textFill>
              </w:rPr>
            </w:pPr>
          </w:p>
        </w:tc>
        <w:tc>
          <w:tcPr>
            <w:tcW w:w="1498" w:type="dxa"/>
            <w:vAlign w:val="center"/>
          </w:tcPr>
          <w:p>
            <w:pPr>
              <w:pStyle w:val="259"/>
              <w:jc w:val="center"/>
              <w:rPr>
                <w:rFonts w:hint="eastAsia"/>
                <w:color w:val="000000" w:themeColor="text1"/>
                <w:sz w:val="30"/>
                <w:lang w:eastAsia="zh-CN"/>
                <w14:textFill>
                  <w14:solidFill>
                    <w14:schemeClr w14:val="tx1"/>
                  </w14:solidFill>
                </w14:textFill>
              </w:rPr>
            </w:pPr>
          </w:p>
        </w:tc>
        <w:tc>
          <w:tcPr>
            <w:tcW w:w="1564" w:type="dxa"/>
            <w:vAlign w:val="center"/>
          </w:tcPr>
          <w:p>
            <w:pPr>
              <w:pStyle w:val="259"/>
              <w:jc w:val="center"/>
              <w:rPr>
                <w:rFonts w:hint="eastAsia"/>
                <w:color w:val="000000" w:themeColor="text1"/>
                <w:sz w:val="30"/>
                <w:lang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pPr>
              <w:pStyle w:val="259"/>
              <w:jc w:val="center"/>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w:t>
            </w:r>
          </w:p>
        </w:tc>
        <w:tc>
          <w:tcPr>
            <w:tcW w:w="1287" w:type="dxa"/>
            <w:vAlign w:val="center"/>
          </w:tcPr>
          <w:p>
            <w:pPr>
              <w:pStyle w:val="259"/>
              <w:jc w:val="center"/>
              <w:rPr>
                <w:rFonts w:hint="eastAsia"/>
                <w:color w:val="000000" w:themeColor="text1"/>
                <w:sz w:val="30"/>
                <w14:textFill>
                  <w14:solidFill>
                    <w14:schemeClr w14:val="tx1"/>
                  </w14:solidFill>
                </w14:textFill>
              </w:rPr>
            </w:pPr>
          </w:p>
        </w:tc>
        <w:tc>
          <w:tcPr>
            <w:tcW w:w="1513" w:type="dxa"/>
            <w:vAlign w:val="center"/>
          </w:tcPr>
          <w:p>
            <w:pPr>
              <w:pStyle w:val="259"/>
              <w:tabs>
                <w:tab w:val="left" w:pos="235"/>
              </w:tabs>
              <w:jc w:val="center"/>
              <w:rPr>
                <w:rFonts w:hint="eastAsia"/>
                <w:color w:val="000000" w:themeColor="text1"/>
                <w:sz w:val="24"/>
                <w14:textFill>
                  <w14:solidFill>
                    <w14:schemeClr w14:val="tx1"/>
                  </w14:solidFill>
                </w14:textFill>
              </w:rPr>
            </w:pPr>
          </w:p>
        </w:tc>
        <w:tc>
          <w:tcPr>
            <w:tcW w:w="1125" w:type="dxa"/>
            <w:vAlign w:val="center"/>
          </w:tcPr>
          <w:p>
            <w:pPr>
              <w:pStyle w:val="259"/>
              <w:jc w:val="center"/>
              <w:rPr>
                <w:rFonts w:hint="eastAsia"/>
                <w:color w:val="000000" w:themeColor="text1"/>
                <w:sz w:val="30"/>
                <w14:textFill>
                  <w14:solidFill>
                    <w14:schemeClr w14:val="tx1"/>
                  </w14:solidFill>
                </w14:textFill>
              </w:rPr>
            </w:pPr>
          </w:p>
        </w:tc>
        <w:tc>
          <w:tcPr>
            <w:tcW w:w="1558" w:type="dxa"/>
            <w:vAlign w:val="center"/>
          </w:tcPr>
          <w:p>
            <w:pPr>
              <w:pStyle w:val="259"/>
              <w:jc w:val="center"/>
              <w:rPr>
                <w:rFonts w:hint="eastAsia"/>
                <w:color w:val="000000" w:themeColor="text1"/>
                <w:sz w:val="30"/>
                <w14:textFill>
                  <w14:solidFill>
                    <w14:schemeClr w14:val="tx1"/>
                  </w14:solidFill>
                </w14:textFill>
              </w:rPr>
            </w:pPr>
          </w:p>
        </w:tc>
        <w:tc>
          <w:tcPr>
            <w:tcW w:w="1498" w:type="dxa"/>
            <w:vAlign w:val="center"/>
          </w:tcPr>
          <w:p>
            <w:pPr>
              <w:pStyle w:val="259"/>
              <w:jc w:val="center"/>
              <w:rPr>
                <w:rFonts w:hint="eastAsia"/>
                <w:color w:val="000000" w:themeColor="text1"/>
                <w:sz w:val="30"/>
                <w14:textFill>
                  <w14:solidFill>
                    <w14:schemeClr w14:val="tx1"/>
                  </w14:solidFill>
                </w14:textFill>
              </w:rPr>
            </w:pPr>
          </w:p>
        </w:tc>
        <w:tc>
          <w:tcPr>
            <w:tcW w:w="1564" w:type="dxa"/>
            <w:vAlign w:val="center"/>
          </w:tcPr>
          <w:p>
            <w:pPr>
              <w:pStyle w:val="259"/>
              <w:jc w:val="center"/>
              <w:rPr>
                <w:rFonts w:hint="eastAsia"/>
                <w:color w:val="000000" w:themeColor="text1"/>
                <w:sz w:val="3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5942" w:type="dxa"/>
            <w:gridSpan w:val="5"/>
            <w:vAlign w:val="center"/>
          </w:tcPr>
          <w:p>
            <w:pPr>
              <w:pStyle w:val="259"/>
              <w:ind w:right="57" w:rightChars="27"/>
              <w:jc w:val="right"/>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合计：</w:t>
            </w:r>
          </w:p>
        </w:tc>
        <w:tc>
          <w:tcPr>
            <w:tcW w:w="1498" w:type="dxa"/>
            <w:vAlign w:val="center"/>
          </w:tcPr>
          <w:p>
            <w:pPr>
              <w:pStyle w:val="259"/>
              <w:jc w:val="center"/>
              <w:rPr>
                <w:rFonts w:hint="eastAsia"/>
                <w:color w:val="000000" w:themeColor="text1"/>
                <w:sz w:val="30"/>
                <w14:textFill>
                  <w14:solidFill>
                    <w14:schemeClr w14:val="tx1"/>
                  </w14:solidFill>
                </w14:textFill>
              </w:rPr>
            </w:pPr>
          </w:p>
        </w:tc>
        <w:tc>
          <w:tcPr>
            <w:tcW w:w="1564" w:type="dxa"/>
            <w:vAlign w:val="center"/>
          </w:tcPr>
          <w:p>
            <w:pPr>
              <w:pStyle w:val="259"/>
              <w:jc w:val="center"/>
              <w:rPr>
                <w:rFonts w:hint="eastAsia"/>
                <w:color w:val="000000" w:themeColor="text1"/>
                <w:sz w:val="30"/>
                <w14:textFill>
                  <w14:solidFill>
                    <w14:schemeClr w14:val="tx1"/>
                  </w14:solidFill>
                </w14:textFill>
              </w:rPr>
            </w:pPr>
          </w:p>
        </w:tc>
      </w:tr>
    </w:tbl>
    <w:p>
      <w:pPr>
        <w:adjustRightInd w:val="0"/>
        <w:snapToGrid w:val="0"/>
        <w:spacing w:line="360" w:lineRule="auto"/>
        <w:ind w:firstLine="480" w:firstLineChars="200"/>
        <w:jc w:val="left"/>
        <w:rPr>
          <w:rFonts w:hint="eastAsia" w:ascii="宋体" w:hAnsi="宋体" w:cs="宋体"/>
          <w:color w:val="000000" w:themeColor="text1"/>
          <w:sz w:val="24"/>
          <w14:textFill>
            <w14:solidFill>
              <w14:schemeClr w14:val="tx1"/>
            </w14:solidFill>
          </w14:textFill>
        </w:rPr>
      </w:pPr>
    </w:p>
    <w:p>
      <w:pPr>
        <w:adjustRightInd w:val="0"/>
        <w:snapToGrid w:val="0"/>
        <w:spacing w:line="360" w:lineRule="auto"/>
        <w:jc w:val="left"/>
        <w:rPr>
          <w:rFonts w:hint="eastAsia" w:ascii="宋体" w:hAnsi="宋体" w:cs="宋体"/>
          <w:color w:val="000000" w:themeColor="text1"/>
          <w:sz w:val="24"/>
          <w14:textFill>
            <w14:solidFill>
              <w14:schemeClr w14:val="tx1"/>
            </w14:solidFill>
          </w14:textFill>
        </w:rPr>
      </w:pPr>
    </w:p>
    <w:p>
      <w:pPr>
        <w:autoSpaceDE w:val="0"/>
        <w:autoSpaceDN w:val="0"/>
        <w:adjustRightInd w:val="0"/>
        <w:snapToGrid w:val="0"/>
        <w:spacing w:before="25" w:after="25" w:line="360" w:lineRule="auto"/>
        <w:jc w:val="right"/>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w:t>
      </w:r>
    </w:p>
    <w:p>
      <w:pPr>
        <w:spacing w:line="360" w:lineRule="auto"/>
        <w:ind w:right="-57" w:firstLine="480"/>
        <w:jc w:val="righ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日期：_____年______月______日</w:t>
      </w:r>
    </w:p>
    <w:p>
      <w:pPr>
        <w:adjustRightInd w:val="0"/>
        <w:snapToGrid w:val="0"/>
        <w:spacing w:line="360" w:lineRule="auto"/>
        <w:jc w:val="left"/>
        <w:rPr>
          <w:rFonts w:hint="eastAsia" w:ascii="宋体" w:hAnsi="宋体" w:cs="宋体"/>
          <w:color w:val="000000" w:themeColor="text1"/>
          <w:sz w:val="24"/>
          <w14:textFill>
            <w14:solidFill>
              <w14:schemeClr w14:val="tx1"/>
            </w14:solidFill>
          </w14:textFill>
        </w:rPr>
      </w:pPr>
    </w:p>
    <w:p>
      <w:pPr>
        <w:adjustRightInd w:val="0"/>
        <w:snapToGrid w:val="0"/>
        <w:spacing w:line="360" w:lineRule="auto"/>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w:t>
      </w:r>
    </w:p>
    <w:p>
      <w:pPr>
        <w:adjustRightInd w:val="0"/>
        <w:snapToGrid w:val="0"/>
        <w:spacing w:line="360" w:lineRule="auto"/>
        <w:jc w:val="left"/>
        <w:rPr>
          <w:rFonts w:hint="eastAsia" w:ascii="宋体" w:hAnsi="宋体" w:cs="宋体"/>
          <w:color w:val="000000" w:themeColor="text1"/>
          <w:sz w:val="30"/>
          <w:szCs w:val="30"/>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如本招标文件《投标人须知资料表》载明本项目分包承担主体应具备的相应资质条件，则投标人须在本表中列明分包承担主体的资质等级，并后附资质证书电子件</w:t>
      </w:r>
      <w:r>
        <w:rPr>
          <w:rFonts w:hint="eastAsia" w:ascii="宋体" w:hAnsi="宋体" w:cs="宋体"/>
          <w:color w:val="000000" w:themeColor="text1"/>
          <w:spacing w:val="-2"/>
          <w:sz w:val="24"/>
          <w14:textFill>
            <w14:solidFill>
              <w14:schemeClr w14:val="tx1"/>
            </w14:solidFill>
          </w14:textFill>
        </w:rPr>
        <w:t>，否则</w:t>
      </w:r>
      <w:r>
        <w:rPr>
          <w:rFonts w:hint="eastAsia" w:ascii="宋体" w:hAnsi="宋体" w:cs="宋体"/>
          <w:b/>
          <w:bCs/>
          <w:color w:val="000000" w:themeColor="text1"/>
          <w:spacing w:val="-2"/>
          <w:sz w:val="24"/>
          <w14:textFill>
            <w14:solidFill>
              <w14:schemeClr w14:val="tx1"/>
            </w14:solidFill>
          </w14:textFill>
        </w:rPr>
        <w:t>投标</w:t>
      </w:r>
      <w:r>
        <w:rPr>
          <w:rFonts w:hint="eastAsia" w:ascii="宋体" w:hAnsi="宋体" w:cs="宋体"/>
          <w:b/>
          <w:bCs/>
          <w:color w:val="000000" w:themeColor="text1"/>
          <w:spacing w:val="-1"/>
          <w:sz w:val="24"/>
          <w14:textFill>
            <w14:solidFill>
              <w14:schemeClr w14:val="tx1"/>
            </w14:solidFill>
          </w14:textFill>
        </w:rPr>
        <w:t>无效</w:t>
      </w:r>
      <w:r>
        <w:rPr>
          <w:rFonts w:hint="eastAsia" w:ascii="宋体" w:hAnsi="宋体" w:cs="宋体"/>
          <w:color w:val="000000" w:themeColor="text1"/>
          <w:spacing w:val="-1"/>
          <w:sz w:val="24"/>
          <w14:textFill>
            <w14:solidFill>
              <w14:schemeClr w14:val="tx1"/>
            </w14:solidFill>
          </w14:textFill>
        </w:rPr>
        <w:t>。</w:t>
      </w:r>
    </w:p>
    <w:p>
      <w:pPr>
        <w:autoSpaceDE w:val="0"/>
        <w:autoSpaceDN w:val="0"/>
        <w:adjustRightInd w:val="0"/>
        <w:spacing w:line="360" w:lineRule="auto"/>
        <w:jc w:val="center"/>
        <w:rPr>
          <w:rFonts w:hint="eastAsia" w:ascii="宋体" w:hAnsi="宋体" w:cs="宋体"/>
          <w:b/>
          <w:color w:val="000000" w:themeColor="text1"/>
          <w:sz w:val="36"/>
          <w:szCs w:val="36"/>
          <w14:textFill>
            <w14:solidFill>
              <w14:schemeClr w14:val="tx1"/>
            </w14:solidFill>
          </w14:textFill>
        </w:rPr>
      </w:pPr>
      <w:r>
        <w:rPr>
          <w:rFonts w:hint="eastAsia" w:ascii="宋体" w:hAnsi="宋体" w:cs="宋体"/>
          <w:color w:val="000000" w:themeColor="text1"/>
          <w:sz w:val="30"/>
          <w:szCs w:val="30"/>
          <w14:textFill>
            <w14:solidFill>
              <w14:schemeClr w14:val="tx1"/>
            </w14:solidFill>
          </w14:textFill>
        </w:rPr>
        <w:br w:type="page"/>
      </w:r>
      <w:r>
        <w:rPr>
          <w:rFonts w:hint="eastAsia" w:ascii="宋体" w:hAnsi="宋体" w:cs="宋体"/>
          <w:b/>
          <w:bCs/>
          <w:color w:val="000000" w:themeColor="text1"/>
          <w:sz w:val="36"/>
          <w:szCs w:val="36"/>
          <w14:textFill>
            <w14:solidFill>
              <w14:schemeClr w14:val="tx1"/>
            </w14:solidFill>
          </w14:textFill>
        </w:rPr>
        <w:t>分包意向协议</w:t>
      </w:r>
    </w:p>
    <w:p>
      <w:pPr>
        <w:adjustRightInd w:val="0"/>
        <w:snapToGrid w:val="0"/>
        <w:spacing w:line="360" w:lineRule="auto"/>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甲方（投标人）：________</w:t>
      </w:r>
    </w:p>
    <w:p>
      <w:pPr>
        <w:adjustRightInd w:val="0"/>
        <w:snapToGrid w:val="0"/>
        <w:spacing w:line="360" w:lineRule="auto"/>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乙方（拟分包单位）：________</w:t>
      </w:r>
    </w:p>
    <w:p>
      <w:pPr>
        <w:adjustRightInd w:val="0"/>
        <w:snapToGrid w:val="0"/>
        <w:spacing w:line="360" w:lineRule="auto"/>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甲方承诺，一旦在_________（采购项目名称）（项目编号/包号为：_______）招标采购项目中获得采购合同，将按照下述约定将合同项下部分内容分包给乙方：</w:t>
      </w:r>
    </w:p>
    <w:p>
      <w:pPr>
        <w:adjustRightInd w:val="0"/>
        <w:snapToGrid w:val="0"/>
        <w:spacing w:line="360" w:lineRule="auto"/>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1.分包内容：_____。</w:t>
      </w:r>
    </w:p>
    <w:p>
      <w:pPr>
        <w:adjustRightInd w:val="0"/>
        <w:snapToGrid w:val="0"/>
        <w:spacing w:line="360" w:lineRule="auto"/>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2.分包金额：_____，该金额占该采购包合同金额的比例为___%。</w:t>
      </w:r>
    </w:p>
    <w:p>
      <w:pPr>
        <w:adjustRightInd w:val="0"/>
        <w:snapToGrid w:val="0"/>
        <w:spacing w:line="360" w:lineRule="auto"/>
        <w:ind w:firstLine="480" w:firstLineChars="200"/>
        <w:jc w:val="left"/>
        <w:rPr>
          <w:rFonts w:hint="eastAsia" w:ascii="宋体" w:hAnsi="宋体" w:cs="宋体"/>
          <w:bCs/>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乙方承诺将在上述情况下与甲方签订分包合同。</w:t>
      </w:r>
    </w:p>
    <w:p>
      <w:pPr>
        <w:adjustRightInd w:val="0"/>
        <w:snapToGrid w:val="0"/>
        <w:spacing w:line="360" w:lineRule="auto"/>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本协议自各方盖章之日起生效，如甲方未在该项目（采购包）中标，本协议自动终止。</w:t>
      </w:r>
    </w:p>
    <w:p>
      <w:pPr>
        <w:spacing w:line="360" w:lineRule="auto"/>
        <w:ind w:firstLine="471"/>
        <w:rPr>
          <w:rFonts w:hint="eastAsia" w:ascii="宋体" w:hAnsi="宋体" w:cs="宋体"/>
          <w:b/>
          <w:color w:val="000000" w:themeColor="text1"/>
          <w:sz w:val="24"/>
          <w14:textFill>
            <w14:solidFill>
              <w14:schemeClr w14:val="tx1"/>
            </w14:solidFill>
          </w14:textFill>
        </w:rPr>
      </w:pPr>
    </w:p>
    <w:p>
      <w:pPr>
        <w:spacing w:line="360" w:lineRule="auto"/>
        <w:ind w:firstLine="471"/>
        <w:rPr>
          <w:rFonts w:hint="eastAsia"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甲方（盖章）：_________                 乙方（盖章）：_________</w:t>
      </w:r>
    </w:p>
    <w:p>
      <w:pPr>
        <w:spacing w:line="360" w:lineRule="auto"/>
        <w:ind w:left="480"/>
        <w:jc w:val="right"/>
        <w:rPr>
          <w:rFonts w:hint="eastAsia" w:ascii="宋体" w:hAnsi="宋体" w:cs="宋体"/>
          <w:color w:val="000000" w:themeColor="text1"/>
          <w:sz w:val="24"/>
          <w14:textFill>
            <w14:solidFill>
              <w14:schemeClr w14:val="tx1"/>
            </w14:solidFill>
          </w14:textFill>
        </w:rPr>
      </w:pPr>
    </w:p>
    <w:p>
      <w:pPr>
        <w:wordWrap w:val="0"/>
        <w:spacing w:line="360" w:lineRule="auto"/>
        <w:ind w:left="480"/>
        <w:jc w:val="right"/>
        <w:rPr>
          <w:rFonts w:hint="eastAsia"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日期：_____年______月______日   </w:t>
      </w:r>
    </w:p>
    <w:p>
      <w:pPr>
        <w:tabs>
          <w:tab w:val="left" w:pos="8280"/>
        </w:tabs>
        <w:spacing w:line="360" w:lineRule="auto"/>
        <w:ind w:firstLine="480"/>
        <w:rPr>
          <w:rFonts w:hint="eastAsia" w:ascii="宋体" w:hAnsi="宋体" w:cs="宋体"/>
          <w:color w:val="000000" w:themeColor="text1"/>
          <w:sz w:val="24"/>
          <w14:textFill>
            <w14:solidFill>
              <w14:schemeClr w14:val="tx1"/>
            </w14:solidFill>
          </w14:textFill>
        </w:rPr>
      </w:pPr>
    </w:p>
    <w:p>
      <w:pPr>
        <w:tabs>
          <w:tab w:val="left" w:pos="8280"/>
        </w:tabs>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w:t>
      </w:r>
    </w:p>
    <w:p>
      <w:pPr>
        <w:tabs>
          <w:tab w:val="left" w:pos="8280"/>
        </w:tabs>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本协议仅在投标人“为落实政府采购政策”而向中</w:t>
      </w:r>
      <w:r>
        <w:rPr>
          <w:rFonts w:hint="eastAsia" w:ascii="宋体" w:hAnsi="宋体" w:cs="宋体"/>
          <w:color w:val="000000" w:themeColor="text1"/>
          <w:spacing w:val="-2"/>
          <w:sz w:val="24"/>
          <w14:textFill>
            <w14:solidFill>
              <w14:schemeClr w14:val="tx1"/>
            </w14:solidFill>
          </w14:textFill>
        </w:rPr>
        <w:t>小企业分包时必须提供，否则</w:t>
      </w:r>
      <w:r>
        <w:rPr>
          <w:rFonts w:hint="eastAsia" w:ascii="宋体" w:hAnsi="宋体" w:cs="宋体"/>
          <w:b/>
          <w:bCs/>
          <w:color w:val="000000" w:themeColor="text1"/>
          <w:spacing w:val="-2"/>
          <w:sz w:val="24"/>
          <w14:textFill>
            <w14:solidFill>
              <w14:schemeClr w14:val="tx1"/>
            </w14:solidFill>
          </w14:textFill>
        </w:rPr>
        <w:t>投标无效</w:t>
      </w:r>
      <w:r>
        <w:rPr>
          <w:rFonts w:hint="eastAsia" w:ascii="宋体" w:hAnsi="宋体" w:cs="宋体"/>
          <w:color w:val="000000" w:themeColor="text1"/>
          <w:spacing w:val="-2"/>
          <w:sz w:val="24"/>
          <w14:textFill>
            <w14:solidFill>
              <w14:schemeClr w14:val="tx1"/>
            </w14:solidFill>
          </w14:textFill>
        </w:rPr>
        <w:t>；</w:t>
      </w:r>
      <w:r>
        <w:rPr>
          <w:rFonts w:hint="eastAsia" w:ascii="宋体" w:hAnsi="宋体" w:cs="宋体"/>
          <w:color w:val="000000" w:themeColor="text1"/>
          <w:spacing w:val="-1"/>
          <w:sz w:val="24"/>
          <w14:textFill>
            <w14:solidFill>
              <w14:schemeClr w14:val="tx1"/>
            </w14:solidFill>
          </w14:textFill>
        </w:rPr>
        <w:t>且投标人须与所有拟分包单位分别签订《分包意向协</w:t>
      </w:r>
      <w:r>
        <w:rPr>
          <w:rFonts w:hint="eastAsia" w:ascii="宋体" w:hAnsi="宋体" w:cs="宋体"/>
          <w:color w:val="000000" w:themeColor="text1"/>
          <w:spacing w:val="-2"/>
          <w:sz w:val="24"/>
          <w14:textFill>
            <w14:solidFill>
              <w14:schemeClr w14:val="tx1"/>
            </w14:solidFill>
          </w14:textFill>
        </w:rPr>
        <w:t>议》，每单位签订一份，并在投标文件中提交全部协议原件的电子件，否则</w:t>
      </w:r>
      <w:r>
        <w:rPr>
          <w:rFonts w:hint="eastAsia" w:ascii="宋体" w:hAnsi="宋体" w:cs="宋体"/>
          <w:b/>
          <w:bCs/>
          <w:color w:val="000000" w:themeColor="text1"/>
          <w:spacing w:val="-2"/>
          <w:sz w:val="24"/>
          <w14:textFill>
            <w14:solidFill>
              <w14:schemeClr w14:val="tx1"/>
            </w14:solidFill>
          </w14:textFill>
        </w:rPr>
        <w:t>投标无效</w:t>
      </w:r>
      <w:r>
        <w:rPr>
          <w:rFonts w:hint="eastAsia" w:ascii="宋体" w:hAnsi="宋体" w:cs="宋体"/>
          <w:color w:val="000000" w:themeColor="text1"/>
          <w:spacing w:val="-2"/>
          <w:sz w:val="24"/>
          <w14:textFill>
            <w14:solidFill>
              <w14:schemeClr w14:val="tx1"/>
            </w14:solidFill>
          </w14:textFill>
        </w:rPr>
        <w:t>。</w:t>
      </w:r>
    </w:p>
    <w:p>
      <w:pPr>
        <w:widowControl/>
        <w:jc w:val="left"/>
        <w:rPr>
          <w:rFonts w:hint="eastAsia"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br w:type="page"/>
      </w:r>
    </w:p>
    <w:p>
      <w:pPr>
        <w:pStyle w:val="7"/>
        <w:jc w:val="left"/>
        <w:rPr>
          <w:rFonts w:hint="eastAsia" w:ascii="宋体" w:hAnsi="宋体" w:eastAsia="宋体"/>
          <w:b w:val="0"/>
          <w:sz w:val="24"/>
          <w:szCs w:val="24"/>
        </w:rPr>
      </w:pPr>
      <w:r>
        <w:rPr>
          <w:rFonts w:hint="eastAsia" w:ascii="宋体" w:hAnsi="宋体" w:eastAsia="宋体"/>
          <w:b w:val="0"/>
          <w:sz w:val="24"/>
          <w:szCs w:val="24"/>
        </w:rPr>
        <w:t>2-2 其它落实政府采购政策的资格要求（如有）</w:t>
      </w:r>
    </w:p>
    <w:p>
      <w:pPr>
        <w:widowControl/>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无。</w:t>
      </w:r>
    </w:p>
    <w:p>
      <w:pPr>
        <w:widowControl/>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p>
    <w:p>
      <w:pPr>
        <w:pStyle w:val="6"/>
        <w:rPr>
          <w:rFonts w:hint="eastAsia" w:hAnsi="宋体" w:cs="宋体"/>
          <w:b w:val="0"/>
          <w:color w:val="000000" w:themeColor="text1"/>
          <w:szCs w:val="24"/>
          <w:u w:val="none"/>
          <w14:textFill>
            <w14:solidFill>
              <w14:schemeClr w14:val="tx1"/>
            </w14:solidFill>
          </w14:textFill>
        </w:rPr>
      </w:pPr>
      <w:r>
        <w:rPr>
          <w:rFonts w:hint="eastAsia" w:hAnsi="宋体" w:cs="宋体"/>
          <w:b w:val="0"/>
          <w:color w:val="000000" w:themeColor="text1"/>
          <w:szCs w:val="24"/>
          <w:u w:val="none"/>
          <w14:textFill>
            <w14:solidFill>
              <w14:schemeClr w14:val="tx1"/>
            </w14:solidFill>
          </w14:textFill>
        </w:rPr>
        <w:t>3</w:t>
      </w:r>
      <w:r>
        <w:rPr>
          <w:rFonts w:hAnsi="宋体" w:cs="宋体"/>
          <w:b w:val="0"/>
          <w:color w:val="000000" w:themeColor="text1"/>
          <w:szCs w:val="24"/>
          <w:u w:val="none"/>
          <w14:textFill>
            <w14:solidFill>
              <w14:schemeClr w14:val="tx1"/>
            </w14:solidFill>
          </w14:textFill>
        </w:rPr>
        <w:t xml:space="preserve">  </w:t>
      </w:r>
      <w:r>
        <w:rPr>
          <w:rFonts w:hint="eastAsia" w:hAnsi="宋体" w:cs="宋体"/>
          <w:b w:val="0"/>
          <w:color w:val="000000" w:themeColor="text1"/>
          <w:szCs w:val="24"/>
          <w:u w:val="none"/>
          <w14:textFill>
            <w14:solidFill>
              <w14:schemeClr w14:val="tx1"/>
            </w14:solidFill>
          </w14:textFill>
        </w:rPr>
        <w:t>本项目的特定资格要求（本项目不适用）</w:t>
      </w:r>
    </w:p>
    <w:p>
      <w:pPr>
        <w:pStyle w:val="7"/>
        <w:jc w:val="left"/>
        <w:rPr>
          <w:rFonts w:hint="eastAsia" w:ascii="宋体" w:hAnsi="宋体" w:eastAsia="宋体"/>
          <w:b w:val="0"/>
          <w:sz w:val="24"/>
          <w:szCs w:val="24"/>
        </w:rPr>
      </w:pPr>
      <w:r>
        <w:rPr>
          <w:rFonts w:hint="eastAsia" w:ascii="宋体" w:hAnsi="宋体" w:eastAsia="宋体"/>
          <w:b w:val="0"/>
          <w:sz w:val="24"/>
          <w:szCs w:val="24"/>
        </w:rPr>
        <w:t>3-1</w:t>
      </w:r>
      <w:r>
        <w:rPr>
          <w:rFonts w:ascii="宋体" w:hAnsi="宋体" w:eastAsia="宋体"/>
          <w:b w:val="0"/>
          <w:sz w:val="24"/>
          <w:szCs w:val="24"/>
        </w:rPr>
        <w:t xml:space="preserve"> </w:t>
      </w:r>
      <w:r>
        <w:rPr>
          <w:rFonts w:hint="eastAsia" w:ascii="宋体" w:hAnsi="宋体" w:eastAsia="宋体"/>
          <w:b w:val="0"/>
          <w:sz w:val="24"/>
          <w:szCs w:val="24"/>
        </w:rPr>
        <w:t>联合协议（本项目不适用）</w:t>
      </w:r>
    </w:p>
    <w:p>
      <w:pPr>
        <w:autoSpaceDE w:val="0"/>
        <w:autoSpaceDN w:val="0"/>
        <w:adjustRightInd w:val="0"/>
        <w:spacing w:line="360" w:lineRule="auto"/>
        <w:jc w:val="center"/>
        <w:rPr>
          <w:rFonts w:hint="eastAsia"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联合协议</w:t>
      </w:r>
    </w:p>
    <w:p>
      <w:pPr>
        <w:spacing w:line="360" w:lineRule="auto"/>
        <w:ind w:firstLine="828" w:firstLineChars="345"/>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______、_____及_____就“________（项目名称）</w:t>
      </w:r>
      <w:r>
        <w:rPr>
          <w:rFonts w:hint="eastAsia" w:ascii="宋体" w:hAnsi="宋体" w:cs="宋体"/>
          <w:color w:val="000000" w:themeColor="text1"/>
          <w:sz w:val="24"/>
          <w14:textFill>
            <w14:solidFill>
              <w14:schemeClr w14:val="tx1"/>
            </w14:solidFill>
          </w14:textFill>
        </w:rPr>
        <w:t>”____包</w:t>
      </w:r>
      <w:r>
        <w:rPr>
          <w:rFonts w:hint="eastAsia" w:ascii="宋体" w:hAnsi="宋体" w:cs="宋体"/>
          <w:bCs/>
          <w:color w:val="000000" w:themeColor="text1"/>
          <w:sz w:val="24"/>
          <w14:textFill>
            <w14:solidFill>
              <w14:schemeClr w14:val="tx1"/>
            </w14:solidFill>
          </w14:textFill>
        </w:rPr>
        <w:t>招标项目的投标事宜，经各方充分协商一致，达成如下协议：</w:t>
      </w:r>
    </w:p>
    <w:p>
      <w:pPr>
        <w:numPr>
          <w:ilvl w:val="0"/>
          <w:numId w:val="18"/>
        </w:numPr>
        <w:spacing w:line="360" w:lineRule="auto"/>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由_________牵头，_________、__________参加，组成联合体共同进行招标项目的投标工作。</w:t>
      </w:r>
    </w:p>
    <w:p>
      <w:pPr>
        <w:numPr>
          <w:ilvl w:val="0"/>
          <w:numId w:val="18"/>
        </w:numPr>
        <w:spacing w:line="360" w:lineRule="auto"/>
        <w:rPr>
          <w:rFonts w:hint="eastAsia" w:ascii="宋体" w:hAnsi="宋体" w:cs="宋体"/>
          <w:bCs/>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联合体中标后，联合体各方共同与采购人签订合同，就采购合同约定的事项对采</w:t>
      </w:r>
      <w:r>
        <w:rPr>
          <w:rFonts w:hint="eastAsia" w:ascii="宋体" w:hAnsi="宋体" w:cs="宋体"/>
          <w:color w:val="000000" w:themeColor="text1"/>
          <w:spacing w:val="-1"/>
          <w:sz w:val="24"/>
          <w14:textFill>
            <w14:solidFill>
              <w14:schemeClr w14:val="tx1"/>
            </w14:solidFill>
          </w14:textFill>
        </w:rPr>
        <w:t>购人承担连带责任。</w:t>
      </w:r>
    </w:p>
    <w:p>
      <w:pPr>
        <w:numPr>
          <w:ilvl w:val="0"/>
          <w:numId w:val="18"/>
        </w:numPr>
        <w:spacing w:line="360" w:lineRule="auto"/>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联合体各方均同意由牵头人代表其他联合体成员单位按招标文件要求出具《授权委托书》。</w:t>
      </w:r>
    </w:p>
    <w:p>
      <w:pPr>
        <w:numPr>
          <w:ilvl w:val="0"/>
          <w:numId w:val="18"/>
        </w:numPr>
        <w:spacing w:line="360" w:lineRule="auto"/>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牵头人为项目的总负责单位；组织各参加方进行项目实施工作。</w:t>
      </w:r>
    </w:p>
    <w:p>
      <w:pPr>
        <w:numPr>
          <w:ilvl w:val="0"/>
          <w:numId w:val="18"/>
        </w:numPr>
        <w:spacing w:line="360" w:lineRule="auto"/>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______负责_____，具体工作范围、内容以投标文件及合同为准。</w:t>
      </w:r>
    </w:p>
    <w:p>
      <w:pPr>
        <w:numPr>
          <w:ilvl w:val="0"/>
          <w:numId w:val="18"/>
        </w:numPr>
        <w:spacing w:line="360" w:lineRule="auto"/>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______负责_____，具体工作范围、内容以投标文件及合同为准。</w:t>
      </w:r>
    </w:p>
    <w:p>
      <w:pPr>
        <w:numPr>
          <w:ilvl w:val="0"/>
          <w:numId w:val="18"/>
        </w:numPr>
        <w:spacing w:line="360" w:lineRule="auto"/>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______负责_____（如有），具体工作范围、内容以投标文件及合同为准。</w:t>
      </w:r>
    </w:p>
    <w:p>
      <w:pPr>
        <w:numPr>
          <w:ilvl w:val="0"/>
          <w:numId w:val="18"/>
        </w:numPr>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本项目联合协议合同总额为________元，联合体各成员按照如下比例分摊（按联合体成员分别列明）：</w:t>
      </w:r>
    </w:p>
    <w:p>
      <w:pPr>
        <w:tabs>
          <w:tab w:val="left" w:pos="720"/>
          <w:tab w:val="left" w:pos="900"/>
        </w:tabs>
        <w:spacing w:line="360" w:lineRule="auto"/>
        <w:ind w:left="851"/>
        <w:rPr>
          <w:rFonts w:hint="eastAsia"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（1）</w:t>
      </w:r>
      <w:r>
        <w:rPr>
          <w:rFonts w:hint="eastAsia" w:ascii="宋体" w:hAnsi="宋体" w:cs="宋体"/>
          <w:bCs/>
          <w:color w:val="000000" w:themeColor="text1"/>
          <w:sz w:val="24"/>
          <w:szCs w:val="20"/>
          <w14:textFill>
            <w14:solidFill>
              <w14:schemeClr w14:val="tx1"/>
            </w14:solidFill>
          </w14:textFill>
        </w:rPr>
        <w:t>______</w:t>
      </w:r>
      <w:r>
        <w:rPr>
          <w:rFonts w:hint="eastAsia" w:ascii="宋体" w:hAnsi="宋体" w:cs="宋体"/>
          <w:color w:val="000000" w:themeColor="text1"/>
          <w:sz w:val="24"/>
          <w:szCs w:val="20"/>
          <w14:textFill>
            <w14:solidFill>
              <w14:schemeClr w14:val="tx1"/>
            </w14:solidFill>
          </w14:textFill>
        </w:rPr>
        <w:t>为□大型企业□中型企业、□小微企业（包含监狱企业、残疾人福利性单位）、□其他，合同金额为_____元；</w:t>
      </w:r>
    </w:p>
    <w:p>
      <w:pPr>
        <w:tabs>
          <w:tab w:val="left" w:pos="720"/>
          <w:tab w:val="left" w:pos="900"/>
        </w:tabs>
        <w:spacing w:line="360" w:lineRule="auto"/>
        <w:ind w:left="851"/>
        <w:rPr>
          <w:rFonts w:hint="eastAsia"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（2）</w:t>
      </w:r>
      <w:r>
        <w:rPr>
          <w:rFonts w:hint="eastAsia" w:ascii="宋体" w:hAnsi="宋体" w:cs="宋体"/>
          <w:bCs/>
          <w:color w:val="000000" w:themeColor="text1"/>
          <w:sz w:val="24"/>
          <w:szCs w:val="20"/>
          <w14:textFill>
            <w14:solidFill>
              <w14:schemeClr w14:val="tx1"/>
            </w14:solidFill>
          </w14:textFill>
        </w:rPr>
        <w:t>______</w:t>
      </w:r>
      <w:r>
        <w:rPr>
          <w:rFonts w:hint="eastAsia" w:ascii="宋体" w:hAnsi="宋体" w:cs="宋体"/>
          <w:color w:val="000000" w:themeColor="text1"/>
          <w:sz w:val="24"/>
          <w:szCs w:val="20"/>
          <w14:textFill>
            <w14:solidFill>
              <w14:schemeClr w14:val="tx1"/>
            </w14:solidFill>
          </w14:textFill>
        </w:rPr>
        <w:t>为□大型企业□中型企业、□小微企业（包含监狱企业、残疾人福利性单位）、□其他，合同金额为_____元；</w:t>
      </w:r>
    </w:p>
    <w:p>
      <w:pPr>
        <w:tabs>
          <w:tab w:val="left" w:pos="720"/>
          <w:tab w:val="left" w:pos="900"/>
        </w:tabs>
        <w:spacing w:line="360" w:lineRule="auto"/>
        <w:ind w:left="851"/>
        <w:rPr>
          <w:rFonts w:hint="eastAsia"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w:t>
      </w:r>
      <w:r>
        <w:rPr>
          <w:rFonts w:hint="eastAsia" w:ascii="宋体" w:hAnsi="宋体" w:cs="宋体"/>
          <w:bCs/>
          <w:color w:val="000000" w:themeColor="text1"/>
          <w:sz w:val="24"/>
          <w:szCs w:val="20"/>
          <w14:textFill>
            <w14:solidFill>
              <w14:schemeClr w14:val="tx1"/>
            </w14:solidFill>
          </w14:textFill>
        </w:rPr>
        <w:t>______</w:t>
      </w:r>
      <w:r>
        <w:rPr>
          <w:rFonts w:hint="eastAsia" w:ascii="宋体" w:hAnsi="宋体" w:cs="宋体"/>
          <w:color w:val="000000" w:themeColor="text1"/>
          <w:sz w:val="24"/>
          <w:szCs w:val="20"/>
          <w14:textFill>
            <w14:solidFill>
              <w14:schemeClr w14:val="tx1"/>
            </w14:solidFill>
          </w14:textFill>
        </w:rPr>
        <w:t>为□大型企业□中型企业、□小微企业（包含监狱企业、残疾人福利性单位）、□其他，合同金额为_____元。</w:t>
      </w:r>
    </w:p>
    <w:p>
      <w:pPr>
        <w:numPr>
          <w:ilvl w:val="0"/>
          <w:numId w:val="18"/>
        </w:numPr>
        <w:tabs>
          <w:tab w:val="left" w:pos="993"/>
        </w:tabs>
        <w:spacing w:line="360" w:lineRule="auto"/>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以联合体形式参加政府采购活动的，联合体各方不得再单独参加或者与其他供应商另外组成联合体参加同一合同项下的政府采购活动。</w:t>
      </w:r>
    </w:p>
    <w:p>
      <w:pPr>
        <w:numPr>
          <w:ilvl w:val="0"/>
          <w:numId w:val="18"/>
        </w:numPr>
        <w:spacing w:line="360" w:lineRule="auto"/>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其他约定（如有）：_______。</w:t>
      </w:r>
    </w:p>
    <w:p>
      <w:pPr>
        <w:tabs>
          <w:tab w:val="left" w:pos="780"/>
        </w:tabs>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本协议自各方盖章后生效，采购合同履行完毕后自动失效。如未中标，本协议自动终止。</w:t>
      </w:r>
      <w:r>
        <w:rPr>
          <w:rFonts w:hint="eastAsia" w:ascii="宋体" w:hAnsi="宋体" w:cs="宋体"/>
          <w:color w:val="000000" w:themeColor="text1"/>
          <w:sz w:val="24"/>
          <w14:textFill>
            <w14:solidFill>
              <w14:schemeClr w14:val="tx1"/>
            </w14:solidFill>
          </w14:textFill>
        </w:rPr>
        <w:br w:type="page"/>
      </w:r>
    </w:p>
    <w:p>
      <w:pPr>
        <w:spacing w:line="360" w:lineRule="auto"/>
        <w:ind w:firstLine="471"/>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联合体牵头人名称：</w:t>
      </w:r>
      <w:r>
        <w:rPr>
          <w:rFonts w:hint="eastAsia" w:ascii="宋体" w:hAnsi="宋体" w:cs="宋体"/>
          <w:color w:val="000000" w:themeColor="text1"/>
          <w:sz w:val="24"/>
          <w:szCs w:val="20"/>
          <w14:textFill>
            <w14:solidFill>
              <w14:schemeClr w14:val="tx1"/>
            </w14:solidFill>
          </w14:textFill>
        </w:rPr>
        <w:t>______</w:t>
      </w:r>
      <w:r>
        <w:rPr>
          <w:rFonts w:hint="eastAsia" w:ascii="宋体" w:hAnsi="宋体" w:cs="宋体"/>
          <w:color w:val="000000" w:themeColor="text1"/>
          <w:sz w:val="24"/>
          <w14:textFill>
            <w14:solidFill>
              <w14:schemeClr w14:val="tx1"/>
            </w14:solidFill>
          </w14:textFill>
        </w:rPr>
        <w:tab/>
      </w:r>
      <w:r>
        <w:rPr>
          <w:rFonts w:hint="eastAsia" w:ascii="宋体" w:hAnsi="宋体" w:cs="宋体"/>
          <w:color w:val="000000" w:themeColor="text1"/>
          <w:sz w:val="24"/>
          <w14:textFill>
            <w14:solidFill>
              <w14:schemeClr w14:val="tx1"/>
            </w14:solidFill>
          </w14:textFill>
        </w:rPr>
        <w:tab/>
      </w:r>
      <w:r>
        <w:rPr>
          <w:rFonts w:hint="eastAsia" w:ascii="宋体" w:hAnsi="宋体" w:cs="宋体"/>
          <w:color w:val="000000" w:themeColor="text1"/>
          <w:sz w:val="24"/>
          <w14:textFill>
            <w14:solidFill>
              <w14:schemeClr w14:val="tx1"/>
            </w14:solidFill>
          </w14:textFill>
        </w:rPr>
        <w:tab/>
      </w:r>
      <w:r>
        <w:rPr>
          <w:rFonts w:hint="eastAsia" w:ascii="宋体" w:hAnsi="宋体" w:cs="宋体"/>
          <w:color w:val="000000" w:themeColor="text1"/>
          <w:sz w:val="24"/>
          <w14:textFill>
            <w14:solidFill>
              <w14:schemeClr w14:val="tx1"/>
            </w14:solidFill>
          </w14:textFill>
        </w:rPr>
        <w:tab/>
      </w:r>
      <w:r>
        <w:rPr>
          <w:rFonts w:hint="eastAsia" w:ascii="宋体" w:hAnsi="宋体" w:cs="宋体"/>
          <w:color w:val="000000" w:themeColor="text1"/>
          <w:sz w:val="24"/>
          <w14:textFill>
            <w14:solidFill>
              <w14:schemeClr w14:val="tx1"/>
            </w14:solidFill>
          </w14:textFill>
        </w:rPr>
        <w:tab/>
      </w:r>
      <w:r>
        <w:rPr>
          <w:rFonts w:hint="eastAsia" w:ascii="宋体" w:hAnsi="宋体" w:cs="宋体"/>
          <w:color w:val="000000" w:themeColor="text1"/>
          <w:sz w:val="24"/>
          <w14:textFill>
            <w14:solidFill>
              <w14:schemeClr w14:val="tx1"/>
            </w14:solidFill>
          </w14:textFill>
        </w:rPr>
        <w:t xml:space="preserve"> 联合体成员名称：</w:t>
      </w:r>
      <w:r>
        <w:rPr>
          <w:rFonts w:hint="eastAsia" w:ascii="宋体" w:hAnsi="宋体" w:cs="宋体"/>
          <w:color w:val="000000" w:themeColor="text1"/>
          <w:sz w:val="24"/>
          <w:szCs w:val="20"/>
          <w14:textFill>
            <w14:solidFill>
              <w14:schemeClr w14:val="tx1"/>
            </w14:solidFill>
          </w14:textFill>
        </w:rPr>
        <w:t>______</w:t>
      </w:r>
    </w:p>
    <w:p>
      <w:pPr>
        <w:spacing w:line="360" w:lineRule="auto"/>
        <w:ind w:firstLine="471"/>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盖章：</w:t>
      </w:r>
      <w:r>
        <w:rPr>
          <w:rFonts w:hint="eastAsia" w:ascii="宋体" w:hAnsi="宋体" w:cs="宋体"/>
          <w:color w:val="000000" w:themeColor="text1"/>
          <w:sz w:val="24"/>
          <w:szCs w:val="20"/>
          <w14:textFill>
            <w14:solidFill>
              <w14:schemeClr w14:val="tx1"/>
            </w14:solidFill>
          </w14:textFill>
        </w:rPr>
        <w:t>______</w:t>
      </w:r>
      <w:r>
        <w:rPr>
          <w:rFonts w:hint="eastAsia" w:ascii="宋体" w:hAnsi="宋体" w:cs="宋体"/>
          <w:color w:val="000000" w:themeColor="text1"/>
          <w:sz w:val="24"/>
          <w14:textFill>
            <w14:solidFill>
              <w14:schemeClr w14:val="tx1"/>
            </w14:solidFill>
          </w14:textFill>
        </w:rPr>
        <w:t xml:space="preserve">                           盖章：</w:t>
      </w:r>
      <w:r>
        <w:rPr>
          <w:rFonts w:hint="eastAsia" w:ascii="宋体" w:hAnsi="宋体" w:cs="宋体"/>
          <w:color w:val="000000" w:themeColor="text1"/>
          <w:sz w:val="24"/>
          <w:szCs w:val="20"/>
          <w14:textFill>
            <w14:solidFill>
              <w14:schemeClr w14:val="tx1"/>
            </w14:solidFill>
          </w14:textFill>
        </w:rPr>
        <w:t>______</w:t>
      </w:r>
    </w:p>
    <w:p>
      <w:pPr>
        <w:spacing w:line="360" w:lineRule="auto"/>
        <w:ind w:firstLine="471"/>
        <w:rPr>
          <w:rFonts w:hint="eastAsia" w:ascii="宋体" w:hAnsi="宋体" w:cs="宋体"/>
          <w:color w:val="000000" w:themeColor="text1"/>
          <w:sz w:val="24"/>
          <w14:textFill>
            <w14:solidFill>
              <w14:schemeClr w14:val="tx1"/>
            </w14:solidFill>
          </w14:textFill>
        </w:rPr>
      </w:pPr>
    </w:p>
    <w:p>
      <w:pPr>
        <w:spacing w:line="360" w:lineRule="auto"/>
        <w:ind w:firstLine="471"/>
        <w:rPr>
          <w:rFonts w:hint="eastAsia" w:ascii="宋体" w:hAnsi="宋体" w:cs="宋体"/>
          <w:color w:val="000000" w:themeColor="text1"/>
          <w:sz w:val="24"/>
          <w14:textFill>
            <w14:solidFill>
              <w14:schemeClr w14:val="tx1"/>
            </w14:solidFill>
          </w14:textFill>
        </w:rPr>
      </w:pPr>
    </w:p>
    <w:p>
      <w:pPr>
        <w:spacing w:line="360" w:lineRule="auto"/>
        <w:ind w:firstLine="471"/>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联合体成员名称：</w:t>
      </w:r>
      <w:r>
        <w:rPr>
          <w:rFonts w:hint="eastAsia" w:ascii="宋体" w:hAnsi="宋体" w:cs="宋体"/>
          <w:color w:val="000000" w:themeColor="text1"/>
          <w:sz w:val="24"/>
          <w:szCs w:val="20"/>
          <w14:textFill>
            <w14:solidFill>
              <w14:schemeClr w14:val="tx1"/>
            </w14:solidFill>
          </w14:textFill>
        </w:rPr>
        <w:t>______</w:t>
      </w:r>
    </w:p>
    <w:p>
      <w:pPr>
        <w:spacing w:line="360" w:lineRule="auto"/>
        <w:ind w:firstLine="471"/>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盖章：</w:t>
      </w:r>
      <w:r>
        <w:rPr>
          <w:rFonts w:hint="eastAsia" w:ascii="宋体" w:hAnsi="宋体" w:cs="宋体"/>
          <w:color w:val="000000" w:themeColor="text1"/>
          <w:sz w:val="24"/>
          <w:szCs w:val="20"/>
          <w14:textFill>
            <w14:solidFill>
              <w14:schemeClr w14:val="tx1"/>
            </w14:solidFill>
          </w14:textFill>
        </w:rPr>
        <w:t>______</w:t>
      </w:r>
    </w:p>
    <w:p>
      <w:pPr>
        <w:spacing w:line="360" w:lineRule="auto"/>
        <w:ind w:firstLine="471"/>
        <w:rPr>
          <w:rFonts w:hint="eastAsia" w:ascii="宋体" w:hAnsi="宋体" w:cs="宋体"/>
          <w:color w:val="000000" w:themeColor="text1"/>
          <w:sz w:val="24"/>
          <w14:textFill>
            <w14:solidFill>
              <w14:schemeClr w14:val="tx1"/>
            </w14:solidFill>
          </w14:textFill>
        </w:rPr>
      </w:pPr>
    </w:p>
    <w:p>
      <w:pPr>
        <w:spacing w:line="360" w:lineRule="auto"/>
        <w:ind w:firstLine="471"/>
        <w:rPr>
          <w:rFonts w:hint="eastAsia" w:ascii="宋体" w:hAnsi="宋体" w:cs="宋体"/>
          <w:color w:val="000000" w:themeColor="text1"/>
          <w:sz w:val="24"/>
          <w14:textFill>
            <w14:solidFill>
              <w14:schemeClr w14:val="tx1"/>
            </w14:solidFill>
          </w14:textFill>
        </w:rPr>
      </w:pPr>
    </w:p>
    <w:p>
      <w:pPr>
        <w:spacing w:line="360" w:lineRule="auto"/>
        <w:ind w:left="480"/>
        <w:jc w:val="right"/>
        <w:rPr>
          <w:rFonts w:hint="eastAsia" w:ascii="宋体" w:hAnsi="宋体" w:cs="宋体"/>
          <w:color w:val="000000" w:themeColor="text1"/>
          <w:sz w:val="24"/>
          <w14:textFill>
            <w14:solidFill>
              <w14:schemeClr w14:val="tx1"/>
            </w14:solidFill>
          </w14:textFill>
        </w:rPr>
      </w:pPr>
    </w:p>
    <w:p>
      <w:pPr>
        <w:spacing w:line="360" w:lineRule="auto"/>
        <w:ind w:left="480"/>
        <w:jc w:val="righ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日期：_____年______月______日</w:t>
      </w:r>
    </w:p>
    <w:p>
      <w:pPr>
        <w:spacing w:line="360" w:lineRule="auto"/>
        <w:ind w:left="480"/>
        <w:jc w:val="right"/>
        <w:rPr>
          <w:rFonts w:hint="eastAsia" w:ascii="宋体" w:hAnsi="宋体" w:cs="宋体"/>
          <w:b/>
          <w:color w:val="000000" w:themeColor="text1"/>
          <w:sz w:val="24"/>
          <w14:textFill>
            <w14:solidFill>
              <w14:schemeClr w14:val="tx1"/>
            </w14:solidFill>
          </w14:textFill>
        </w:rPr>
      </w:pPr>
    </w:p>
    <w:p>
      <w:pPr>
        <w:tabs>
          <w:tab w:val="left" w:pos="8280"/>
        </w:tabs>
        <w:spacing w:line="360" w:lineRule="auto"/>
        <w:ind w:firstLine="480"/>
        <w:rPr>
          <w:rFonts w:hint="eastAsia" w:ascii="宋体" w:hAnsi="宋体" w:cs="宋体"/>
          <w:color w:val="000000" w:themeColor="text1"/>
          <w:sz w:val="24"/>
          <w14:textFill>
            <w14:solidFill>
              <w14:schemeClr w14:val="tx1"/>
            </w14:solidFill>
          </w14:textFill>
        </w:rPr>
      </w:pPr>
    </w:p>
    <w:p>
      <w:pPr>
        <w:tabs>
          <w:tab w:val="left" w:pos="8280"/>
        </w:tabs>
        <w:spacing w:line="360" w:lineRule="auto"/>
        <w:ind w:firstLine="480"/>
        <w:rPr>
          <w:rFonts w:hint="eastAsia" w:ascii="宋体" w:hAnsi="宋体" w:cs="宋体"/>
          <w:color w:val="000000" w:themeColor="text1"/>
          <w:sz w:val="24"/>
          <w14:textFill>
            <w14:solidFill>
              <w14:schemeClr w14:val="tx1"/>
            </w14:solidFill>
          </w14:textFill>
        </w:rPr>
      </w:pPr>
    </w:p>
    <w:p>
      <w:pPr>
        <w:spacing w:line="360" w:lineRule="auto"/>
        <w:ind w:left="719" w:leftChars="228" w:hanging="240" w:hangingChars="1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w:t>
      </w:r>
    </w:p>
    <w:p>
      <w:pPr>
        <w:pStyle w:val="21"/>
        <w:ind w:firstLine="480"/>
        <w:rPr>
          <w:rFonts w:hint="eastAsia"/>
        </w:rPr>
      </w:pPr>
      <w:r>
        <w:rPr>
          <w:rFonts w:hint="eastAsia"/>
        </w:rPr>
        <w:t>1.如本项目（包）接受供应商以联合体形式参加采购活动，且供应商以联合体形</w:t>
      </w:r>
      <w:r>
        <w:rPr>
          <w:rFonts w:hint="eastAsia"/>
          <w:spacing w:val="-6"/>
        </w:rPr>
        <w:t>式参与时，须提供《联合协议》，否则</w:t>
      </w:r>
      <w:r>
        <w:rPr>
          <w:rFonts w:hint="eastAsia"/>
          <w:b/>
          <w:bCs/>
          <w:spacing w:val="-6"/>
        </w:rPr>
        <w:t>投标无效</w:t>
      </w:r>
      <w:r>
        <w:rPr>
          <w:rFonts w:hint="eastAsia"/>
          <w:spacing w:val="-6"/>
        </w:rPr>
        <w:t>。</w:t>
      </w:r>
    </w:p>
    <w:p>
      <w:pPr>
        <w:spacing w:line="360" w:lineRule="auto"/>
        <w:ind w:left="719" w:leftChars="228" w:hanging="240" w:hangingChars="1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2.联合体各方成员须在本协议上共同盖章。</w:t>
      </w:r>
    </w:p>
    <w:p>
      <w:pPr>
        <w:pStyle w:val="7"/>
        <w:jc w:val="lef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br w:type="page"/>
      </w:r>
      <w:r>
        <w:rPr>
          <w:rFonts w:hint="eastAsia" w:ascii="宋体" w:hAnsi="宋体" w:eastAsia="宋体"/>
          <w:b w:val="0"/>
          <w:sz w:val="24"/>
          <w:szCs w:val="24"/>
        </w:rPr>
        <w:t>3-2</w:t>
      </w:r>
      <w:r>
        <w:rPr>
          <w:rFonts w:ascii="宋体" w:hAnsi="宋体" w:eastAsia="宋体"/>
          <w:b w:val="0"/>
          <w:sz w:val="24"/>
          <w:szCs w:val="24"/>
        </w:rPr>
        <w:t xml:space="preserve"> </w:t>
      </w:r>
      <w:r>
        <w:rPr>
          <w:rFonts w:hint="eastAsia" w:ascii="宋体" w:hAnsi="宋体" w:eastAsia="宋体"/>
          <w:b w:val="0"/>
          <w:sz w:val="24"/>
          <w:szCs w:val="24"/>
        </w:rPr>
        <w:t>其他特定资格要求</w:t>
      </w:r>
    </w:p>
    <w:p>
      <w:pPr>
        <w:spacing w:line="360" w:lineRule="auto"/>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无。</w:t>
      </w:r>
    </w:p>
    <w:p>
      <w:pPr>
        <w:pStyle w:val="6"/>
        <w:rPr>
          <w:rFonts w:hint="eastAsia" w:hAnsi="宋体"/>
          <w:color w:val="000000" w:themeColor="text1"/>
          <w:u w:val="none"/>
          <w14:textFill>
            <w14:solidFill>
              <w14:schemeClr w14:val="tx1"/>
            </w14:solidFill>
          </w14:textFill>
        </w:rPr>
      </w:pPr>
      <w:r>
        <w:rPr>
          <w:rFonts w:hint="eastAsia" w:hAnsi="宋体"/>
          <w:color w:val="000000" w:themeColor="text1"/>
          <w14:textFill>
            <w14:solidFill>
              <w14:schemeClr w14:val="tx1"/>
            </w14:solidFill>
          </w14:textFill>
        </w:rPr>
        <w:br w:type="page"/>
      </w:r>
      <w:r>
        <w:rPr>
          <w:rFonts w:hint="eastAsia" w:hAnsi="宋体" w:cs="宋体"/>
          <w:b w:val="0"/>
          <w:color w:val="000000" w:themeColor="text1"/>
          <w:szCs w:val="24"/>
          <w:u w:val="none"/>
          <w14:textFill>
            <w14:solidFill>
              <w14:schemeClr w14:val="tx1"/>
            </w14:solidFill>
          </w14:textFill>
        </w:rPr>
        <w:t xml:space="preserve">4 </w:t>
      </w:r>
      <w:r>
        <w:rPr>
          <w:rFonts w:hAnsi="宋体" w:cs="宋体"/>
          <w:b w:val="0"/>
          <w:color w:val="000000" w:themeColor="text1"/>
          <w:szCs w:val="24"/>
          <w:u w:val="none"/>
          <w14:textFill>
            <w14:solidFill>
              <w14:schemeClr w14:val="tx1"/>
            </w14:solidFill>
          </w14:textFill>
        </w:rPr>
        <w:t xml:space="preserve"> </w:t>
      </w:r>
      <w:r>
        <w:rPr>
          <w:rFonts w:hint="eastAsia" w:hAnsi="宋体" w:cs="宋体"/>
          <w:b w:val="0"/>
          <w:color w:val="000000" w:themeColor="text1"/>
          <w:szCs w:val="24"/>
          <w:u w:val="none"/>
          <w14:textFill>
            <w14:solidFill>
              <w14:schemeClr w14:val="tx1"/>
            </w14:solidFill>
          </w14:textFill>
        </w:rPr>
        <w:t>投标保证金凭证/交款单据电子件</w:t>
      </w:r>
    </w:p>
    <w:p>
      <w:pPr>
        <w:spacing w:line="360" w:lineRule="auto"/>
        <w:rPr>
          <w:rFonts w:hint="eastAsia" w:ascii="宋体" w:hAnsi="宋体" w:cs="宋体"/>
          <w:color w:val="000000" w:themeColor="text1"/>
          <w:sz w:val="24"/>
          <w:szCs w:val="20"/>
          <w14:textFill>
            <w14:solidFill>
              <w14:schemeClr w14:val="tx1"/>
            </w14:solidFill>
          </w14:textFill>
        </w:rPr>
      </w:pPr>
    </w:p>
    <w:p>
      <w:pPr>
        <w:spacing w:line="360" w:lineRule="auto"/>
        <w:rPr>
          <w:rFonts w:hint="eastAsia" w:ascii="宋体" w:hAnsi="宋体" w:cs="宋体"/>
          <w:color w:val="000000" w:themeColor="text1"/>
          <w:sz w:val="24"/>
          <w:szCs w:val="20"/>
          <w14:textFill>
            <w14:solidFill>
              <w14:schemeClr w14:val="tx1"/>
            </w14:solidFill>
          </w14:textFill>
        </w:rPr>
      </w:pPr>
    </w:p>
    <w:p>
      <w:pPr>
        <w:widowControl/>
        <w:jc w:val="left"/>
        <w:rPr>
          <w:rFonts w:hint="eastAsia" w:ascii="宋体" w:hAnsi="宋体" w:cs="宋体"/>
          <w:color w:val="000000" w:themeColor="text1"/>
          <w:kern w:val="0"/>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br w:type="page"/>
      </w:r>
    </w:p>
    <w:p>
      <w:pPr>
        <w:pStyle w:val="4"/>
        <w:jc w:val="left"/>
        <w:rPr>
          <w:rFonts w:hint="eastAsia" w:ascii="宋体" w:hAnsi="宋体" w:eastAsia="宋体"/>
          <w:sz w:val="24"/>
          <w:szCs w:val="24"/>
        </w:rPr>
      </w:pPr>
      <w:r>
        <w:rPr>
          <w:rFonts w:hint="eastAsia" w:ascii="宋体" w:hAnsi="宋体" w:eastAsia="宋体"/>
          <w:sz w:val="24"/>
          <w:szCs w:val="24"/>
        </w:rPr>
        <w:t>二、商务技术文件格式</w:t>
      </w:r>
    </w:p>
    <w:p>
      <w:pPr>
        <w:rPr>
          <w:rFonts w:hint="eastAsia" w:ascii="宋体" w:hAnsi="宋体" w:cs="宋体"/>
          <w:b/>
          <w:color w:val="000000" w:themeColor="text1"/>
          <w:spacing w:val="20"/>
          <w:szCs w:val="21"/>
          <w14:textFill>
            <w14:solidFill>
              <w14:schemeClr w14:val="tx1"/>
            </w14:solidFill>
          </w14:textFill>
        </w:rPr>
      </w:pPr>
    </w:p>
    <w:p>
      <w:pPr>
        <w:rPr>
          <w:rFonts w:hint="eastAsia" w:ascii="宋体" w:hAnsi="宋体" w:cs="宋体"/>
          <w:b/>
          <w:color w:val="000000" w:themeColor="text1"/>
          <w:sz w:val="24"/>
          <w14:textFill>
            <w14:solidFill>
              <w14:schemeClr w14:val="tx1"/>
            </w14:solidFill>
          </w14:textFill>
        </w:rPr>
      </w:pPr>
      <w:r>
        <w:rPr>
          <w:rFonts w:hint="eastAsia" w:ascii="宋体" w:hAnsi="宋体" w:cs="宋体"/>
          <w:b/>
          <w:color w:val="000000" w:themeColor="text1"/>
          <w:spacing w:val="20"/>
          <w:sz w:val="24"/>
          <w14:textFill>
            <w14:solidFill>
              <w14:schemeClr w14:val="tx1"/>
            </w14:solidFill>
          </w14:textFill>
        </w:rPr>
        <w:t>投标文件（商务技术文件）</w:t>
      </w:r>
      <w:r>
        <w:rPr>
          <w:rFonts w:hint="eastAsia" w:ascii="宋体" w:hAnsi="宋体" w:cs="宋体"/>
          <w:b/>
          <w:color w:val="000000" w:themeColor="text1"/>
          <w:sz w:val="24"/>
          <w14:textFill>
            <w14:solidFill>
              <w14:schemeClr w14:val="tx1"/>
            </w14:solidFill>
          </w14:textFill>
        </w:rPr>
        <w:t>封面（非实质性格式）</w:t>
      </w:r>
    </w:p>
    <w:p>
      <w:pPr>
        <w:jc w:val="center"/>
        <w:rPr>
          <w:rFonts w:hint="eastAsia" w:ascii="宋体" w:hAnsi="宋体" w:cs="宋体"/>
          <w:color w:val="000000" w:themeColor="text1"/>
          <w:szCs w:val="21"/>
          <w14:textFill>
            <w14:solidFill>
              <w14:schemeClr w14:val="tx1"/>
            </w14:solidFill>
          </w14:textFill>
        </w:rPr>
      </w:pPr>
    </w:p>
    <w:p>
      <w:pPr>
        <w:jc w:val="center"/>
        <w:rPr>
          <w:rFonts w:hint="eastAsia" w:ascii="宋体" w:hAnsi="宋体" w:cs="宋体"/>
          <w:b/>
          <w:color w:val="000000" w:themeColor="text1"/>
          <w:spacing w:val="60"/>
          <w:sz w:val="84"/>
          <w:szCs w:val="84"/>
          <w14:textFill>
            <w14:solidFill>
              <w14:schemeClr w14:val="tx1"/>
            </w14:solidFill>
          </w14:textFill>
        </w:rPr>
      </w:pPr>
      <w:r>
        <w:rPr>
          <w:rFonts w:hint="eastAsia" w:ascii="宋体" w:hAnsi="宋体" w:cs="宋体"/>
          <w:b/>
          <w:color w:val="000000" w:themeColor="text1"/>
          <w:spacing w:val="60"/>
          <w:sz w:val="84"/>
          <w:szCs w:val="84"/>
          <w14:textFill>
            <w14:solidFill>
              <w14:schemeClr w14:val="tx1"/>
            </w14:solidFill>
          </w14:textFill>
        </w:rPr>
        <w:t>投 标 文 件</w:t>
      </w:r>
    </w:p>
    <w:p>
      <w:pPr>
        <w:jc w:val="center"/>
        <w:rPr>
          <w:rFonts w:hint="eastAsia" w:ascii="宋体" w:hAnsi="宋体" w:cs="宋体"/>
          <w:b/>
          <w:color w:val="000000" w:themeColor="text1"/>
          <w:spacing w:val="60"/>
          <w:sz w:val="52"/>
          <w:szCs w:val="52"/>
          <w14:textFill>
            <w14:solidFill>
              <w14:schemeClr w14:val="tx1"/>
            </w14:solidFill>
          </w14:textFill>
        </w:rPr>
      </w:pPr>
      <w:r>
        <w:rPr>
          <w:rFonts w:hint="eastAsia" w:ascii="宋体" w:hAnsi="宋体" w:cs="宋体"/>
          <w:b/>
          <w:color w:val="000000" w:themeColor="text1"/>
          <w:spacing w:val="60"/>
          <w:sz w:val="52"/>
          <w:szCs w:val="52"/>
          <w14:textFill>
            <w14:solidFill>
              <w14:schemeClr w14:val="tx1"/>
            </w14:solidFill>
          </w14:textFill>
        </w:rPr>
        <w:t>（商务技术文件）</w:t>
      </w:r>
    </w:p>
    <w:p>
      <w:pPr>
        <w:ind w:firstLine="542" w:firstLineChars="150"/>
        <w:rPr>
          <w:rFonts w:hint="eastAsia" w:ascii="宋体" w:hAnsi="宋体" w:cs="宋体"/>
          <w:b/>
          <w:color w:val="000000" w:themeColor="text1"/>
          <w:spacing w:val="20"/>
          <w:sz w:val="32"/>
          <w:szCs w:val="32"/>
          <w14:textFill>
            <w14:solidFill>
              <w14:schemeClr w14:val="tx1"/>
            </w14:solidFill>
          </w14:textFill>
        </w:rPr>
      </w:pPr>
    </w:p>
    <w:p>
      <w:pPr>
        <w:ind w:firstLine="542" w:firstLineChars="150"/>
        <w:rPr>
          <w:rFonts w:hint="eastAsia" w:ascii="宋体" w:hAnsi="宋体" w:cs="宋体"/>
          <w:b/>
          <w:color w:val="000000" w:themeColor="text1"/>
          <w:spacing w:val="20"/>
          <w:sz w:val="32"/>
          <w:szCs w:val="32"/>
          <w14:textFill>
            <w14:solidFill>
              <w14:schemeClr w14:val="tx1"/>
            </w14:solidFill>
          </w14:textFill>
        </w:rPr>
      </w:pPr>
    </w:p>
    <w:p>
      <w:pPr>
        <w:spacing w:line="360" w:lineRule="auto"/>
        <w:ind w:firstLine="542" w:firstLineChars="150"/>
        <w:rPr>
          <w:rFonts w:hint="eastAsia" w:ascii="宋体" w:hAnsi="宋体" w:cs="宋体"/>
          <w:b/>
          <w:color w:val="000000" w:themeColor="text1"/>
          <w:spacing w:val="20"/>
          <w:sz w:val="32"/>
          <w:szCs w:val="32"/>
          <w14:textFill>
            <w14:solidFill>
              <w14:schemeClr w14:val="tx1"/>
            </w14:solidFill>
          </w14:textFill>
        </w:rPr>
      </w:pPr>
      <w:r>
        <w:rPr>
          <w:rFonts w:hint="eastAsia" w:ascii="宋体" w:hAnsi="宋体" w:cs="宋体"/>
          <w:b/>
          <w:color w:val="000000" w:themeColor="text1"/>
          <w:spacing w:val="20"/>
          <w:sz w:val="32"/>
          <w:szCs w:val="32"/>
          <w14:textFill>
            <w14:solidFill>
              <w14:schemeClr w14:val="tx1"/>
            </w14:solidFill>
          </w14:textFill>
        </w:rPr>
        <w:t>项目名称：</w:t>
      </w:r>
    </w:p>
    <w:p>
      <w:pPr>
        <w:spacing w:line="360" w:lineRule="auto"/>
        <w:ind w:firstLine="542" w:firstLineChars="150"/>
        <w:rPr>
          <w:rFonts w:hint="eastAsia" w:ascii="宋体" w:hAnsi="宋体" w:cs="宋体"/>
          <w:b/>
          <w:color w:val="000000" w:themeColor="text1"/>
          <w:spacing w:val="20"/>
          <w:sz w:val="32"/>
          <w:szCs w:val="32"/>
          <w14:textFill>
            <w14:solidFill>
              <w14:schemeClr w14:val="tx1"/>
            </w14:solidFill>
          </w14:textFill>
        </w:rPr>
      </w:pPr>
      <w:r>
        <w:rPr>
          <w:rFonts w:hint="eastAsia" w:ascii="宋体" w:hAnsi="宋体" w:cs="宋体"/>
          <w:b/>
          <w:spacing w:val="20"/>
          <w:sz w:val="32"/>
          <w:szCs w:val="32"/>
        </w:rPr>
        <w:t>项目编号/包号</w:t>
      </w:r>
      <w:r>
        <w:rPr>
          <w:rFonts w:hint="eastAsia" w:ascii="宋体" w:hAnsi="宋体" w:cs="宋体"/>
          <w:b/>
          <w:color w:val="000000" w:themeColor="text1"/>
          <w:spacing w:val="20"/>
          <w:sz w:val="32"/>
          <w:szCs w:val="32"/>
          <w14:textFill>
            <w14:solidFill>
              <w14:schemeClr w14:val="tx1"/>
            </w14:solidFill>
          </w14:textFill>
        </w:rPr>
        <w:t>：</w:t>
      </w:r>
    </w:p>
    <w:p>
      <w:pPr>
        <w:ind w:firstLine="542" w:firstLineChars="150"/>
        <w:rPr>
          <w:rFonts w:hint="eastAsia" w:ascii="宋体" w:hAnsi="宋体" w:cs="宋体"/>
          <w:b/>
          <w:color w:val="000000" w:themeColor="text1"/>
          <w:spacing w:val="20"/>
          <w:sz w:val="32"/>
          <w:szCs w:val="32"/>
          <w14:textFill>
            <w14:solidFill>
              <w14:schemeClr w14:val="tx1"/>
            </w14:solidFill>
          </w14:textFill>
        </w:rPr>
      </w:pPr>
    </w:p>
    <w:p>
      <w:pPr>
        <w:ind w:firstLine="542" w:firstLineChars="150"/>
        <w:rPr>
          <w:rFonts w:hint="eastAsia" w:ascii="宋体" w:hAnsi="宋体" w:cs="宋体"/>
          <w:b/>
          <w:color w:val="000000" w:themeColor="text1"/>
          <w:spacing w:val="20"/>
          <w:sz w:val="32"/>
          <w:szCs w:val="32"/>
          <w14:textFill>
            <w14:solidFill>
              <w14:schemeClr w14:val="tx1"/>
            </w14:solidFill>
          </w14:textFill>
        </w:rPr>
      </w:pPr>
    </w:p>
    <w:p>
      <w:pPr>
        <w:jc w:val="center"/>
        <w:rPr>
          <w:rFonts w:hint="eastAsia" w:ascii="宋体" w:hAnsi="宋体" w:cs="宋体"/>
          <w:b/>
          <w:color w:val="000000" w:themeColor="text1"/>
          <w:sz w:val="32"/>
          <w:szCs w:val="32"/>
          <w14:textFill>
            <w14:solidFill>
              <w14:schemeClr w14:val="tx1"/>
            </w14:solidFill>
          </w14:textFill>
        </w:rPr>
      </w:pPr>
    </w:p>
    <w:p>
      <w:pPr>
        <w:jc w:val="center"/>
        <w:rPr>
          <w:rFonts w:hint="eastAsia" w:ascii="宋体" w:hAnsi="宋体" w:cs="宋体"/>
          <w:b/>
          <w:color w:val="000000" w:themeColor="text1"/>
          <w:sz w:val="32"/>
          <w:szCs w:val="32"/>
          <w14:textFill>
            <w14:solidFill>
              <w14:schemeClr w14:val="tx1"/>
            </w14:solidFill>
          </w14:textFill>
        </w:rPr>
      </w:pPr>
    </w:p>
    <w:p>
      <w:pPr>
        <w:jc w:val="center"/>
        <w:rPr>
          <w:rFonts w:hint="eastAsia" w:ascii="宋体" w:hAnsi="宋体" w:cs="宋体"/>
          <w:b/>
          <w:color w:val="000000" w:themeColor="text1"/>
          <w:sz w:val="32"/>
          <w:szCs w:val="32"/>
          <w14:textFill>
            <w14:solidFill>
              <w14:schemeClr w14:val="tx1"/>
            </w14:solidFill>
          </w14:textFill>
        </w:rPr>
      </w:pPr>
    </w:p>
    <w:p>
      <w:pPr>
        <w:jc w:val="center"/>
        <w:rPr>
          <w:rFonts w:hint="eastAsia" w:ascii="宋体" w:hAnsi="宋体" w:cs="宋体"/>
          <w:b/>
          <w:color w:val="000000" w:themeColor="text1"/>
          <w:spacing w:val="20"/>
          <w:sz w:val="32"/>
          <w:szCs w:val="32"/>
          <w14:textFill>
            <w14:solidFill>
              <w14:schemeClr w14:val="tx1"/>
            </w14:solidFill>
          </w14:textFill>
        </w:rPr>
      </w:pPr>
    </w:p>
    <w:p>
      <w:pPr>
        <w:jc w:val="center"/>
        <w:rPr>
          <w:rFonts w:hint="eastAsia" w:ascii="宋体" w:hAnsi="宋体" w:cs="宋体"/>
          <w:b/>
          <w:color w:val="000000" w:themeColor="text1"/>
          <w:spacing w:val="20"/>
          <w:sz w:val="32"/>
          <w:szCs w:val="32"/>
          <w14:textFill>
            <w14:solidFill>
              <w14:schemeClr w14:val="tx1"/>
            </w14:solidFill>
          </w14:textFill>
        </w:rPr>
      </w:pPr>
    </w:p>
    <w:p>
      <w:pPr>
        <w:jc w:val="center"/>
        <w:rPr>
          <w:rFonts w:hint="eastAsia" w:ascii="宋体" w:hAnsi="宋体" w:cs="宋体"/>
          <w:b/>
          <w:color w:val="000000" w:themeColor="text1"/>
          <w:spacing w:val="20"/>
          <w:sz w:val="32"/>
          <w:szCs w:val="32"/>
          <w14:textFill>
            <w14:solidFill>
              <w14:schemeClr w14:val="tx1"/>
            </w14:solidFill>
          </w14:textFill>
        </w:rPr>
      </w:pPr>
    </w:p>
    <w:p>
      <w:pPr>
        <w:spacing w:line="360" w:lineRule="auto"/>
        <w:ind w:firstLine="1445" w:firstLineChars="400"/>
        <w:jc w:val="left"/>
        <w:rPr>
          <w:rFonts w:hint="eastAsia" w:ascii="宋体" w:hAnsi="宋体" w:cs="宋体"/>
          <w:b/>
          <w:color w:val="000000" w:themeColor="text1"/>
          <w:spacing w:val="20"/>
          <w:sz w:val="32"/>
          <w:szCs w:val="32"/>
          <w14:textFill>
            <w14:solidFill>
              <w14:schemeClr w14:val="tx1"/>
            </w14:solidFill>
          </w14:textFill>
        </w:rPr>
      </w:pPr>
      <w:r>
        <w:rPr>
          <w:rFonts w:hint="eastAsia" w:ascii="宋体" w:hAnsi="宋体" w:cs="宋体"/>
          <w:b/>
          <w:color w:val="000000" w:themeColor="text1"/>
          <w:spacing w:val="20"/>
          <w:sz w:val="32"/>
          <w:szCs w:val="32"/>
          <w14:textFill>
            <w14:solidFill>
              <w14:schemeClr w14:val="tx1"/>
            </w14:solidFill>
          </w14:textFill>
        </w:rPr>
        <w:t>投标人名称：</w:t>
      </w:r>
    </w:p>
    <w:p>
      <w:pPr>
        <w:jc w:val="center"/>
        <w:rPr>
          <w:rFonts w:hint="eastAsia" w:ascii="宋体" w:hAnsi="宋体" w:cs="宋体"/>
          <w:b/>
          <w:color w:val="000000" w:themeColor="text1"/>
          <w:sz w:val="32"/>
          <w:szCs w:val="32"/>
          <w14:textFill>
            <w14:solidFill>
              <w14:schemeClr w14:val="tx1"/>
            </w14:solidFill>
          </w14:textFill>
        </w:rPr>
      </w:pPr>
    </w:p>
    <w:p>
      <w:pPr>
        <w:widowControl/>
        <w:jc w:val="left"/>
        <w:rPr>
          <w:rFonts w:hint="eastAsia"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br w:type="page"/>
      </w:r>
    </w:p>
    <w:p>
      <w:pPr>
        <w:pStyle w:val="6"/>
        <w:rPr>
          <w:rFonts w:hint="eastAsia" w:hAnsi="宋体" w:cs="宋体"/>
          <w:b w:val="0"/>
          <w:color w:val="000000" w:themeColor="text1"/>
          <w:szCs w:val="24"/>
          <w:u w:val="none"/>
          <w14:textFill>
            <w14:solidFill>
              <w14:schemeClr w14:val="tx1"/>
            </w14:solidFill>
          </w14:textFill>
        </w:rPr>
      </w:pPr>
      <w:bookmarkStart w:id="869" w:name="_Hlt520274393"/>
      <w:bookmarkEnd w:id="869"/>
      <w:bookmarkStart w:id="870" w:name="_Hlt520273711"/>
      <w:bookmarkEnd w:id="870"/>
      <w:bookmarkStart w:id="871" w:name="_Hlt520274407"/>
      <w:bookmarkEnd w:id="871"/>
      <w:bookmarkStart w:id="872" w:name="_Hlt520343392"/>
      <w:bookmarkEnd w:id="872"/>
      <w:bookmarkStart w:id="873" w:name="_Hlt520274065"/>
      <w:bookmarkEnd w:id="873"/>
      <w:bookmarkStart w:id="874" w:name="_Hlt520350918"/>
      <w:bookmarkEnd w:id="874"/>
      <w:bookmarkStart w:id="875" w:name="_Hlt520355504"/>
      <w:bookmarkEnd w:id="875"/>
      <w:bookmarkStart w:id="876" w:name="_Hlt520343000"/>
      <w:bookmarkEnd w:id="876"/>
      <w:bookmarkStart w:id="877" w:name="_Hlt520274121"/>
      <w:bookmarkEnd w:id="877"/>
      <w:bookmarkStart w:id="878" w:name="_Hlt520271212"/>
      <w:bookmarkEnd w:id="878"/>
      <w:bookmarkStart w:id="879" w:name="_Ref467988698"/>
      <w:bookmarkStart w:id="880" w:name="_Toc480942349"/>
      <w:bookmarkStart w:id="881" w:name="_Toc150480794"/>
      <w:bookmarkStart w:id="882" w:name="_Toc226965746"/>
      <w:bookmarkStart w:id="883" w:name="_Toc142311058"/>
      <w:bookmarkStart w:id="884" w:name="_Toc520356217"/>
      <w:bookmarkStart w:id="885" w:name="_Toc195842921"/>
      <w:bookmarkStart w:id="886" w:name="_Toc150774761"/>
      <w:bookmarkStart w:id="887" w:name="_Toc226965829"/>
      <w:bookmarkStart w:id="888" w:name="_Toc226309800"/>
      <w:bookmarkStart w:id="889" w:name="_Toc127151556"/>
      <w:bookmarkStart w:id="890" w:name="_Toc226337252"/>
      <w:r>
        <w:rPr>
          <w:rFonts w:hint="eastAsia" w:hAnsi="宋体" w:cs="宋体"/>
          <w:b w:val="0"/>
          <w:color w:val="000000" w:themeColor="text1"/>
          <w:szCs w:val="24"/>
          <w:u w:val="none"/>
          <w14:textFill>
            <w14:solidFill>
              <w14:schemeClr w14:val="tx1"/>
            </w14:solidFill>
          </w14:textFill>
        </w:rPr>
        <w:t>1</w:t>
      </w:r>
      <w:r>
        <w:rPr>
          <w:rFonts w:hAnsi="宋体" w:cs="宋体"/>
          <w:b w:val="0"/>
          <w:color w:val="000000" w:themeColor="text1"/>
          <w:szCs w:val="24"/>
          <w:u w:val="none"/>
          <w14:textFill>
            <w14:solidFill>
              <w14:schemeClr w14:val="tx1"/>
            </w14:solidFill>
          </w14:textFill>
        </w:rPr>
        <w:t xml:space="preserve">  </w:t>
      </w:r>
      <w:r>
        <w:rPr>
          <w:rFonts w:hint="eastAsia" w:hAnsi="宋体" w:cs="宋体"/>
          <w:b w:val="0"/>
          <w:color w:val="000000" w:themeColor="text1"/>
          <w:szCs w:val="24"/>
          <w:u w:val="none"/>
          <w14:textFill>
            <w14:solidFill>
              <w14:schemeClr w14:val="tx1"/>
            </w14:solidFill>
          </w14:textFill>
        </w:rPr>
        <w:t>投标</w:t>
      </w:r>
      <w:bookmarkEnd w:id="879"/>
      <w:bookmarkEnd w:id="880"/>
      <w:r>
        <w:rPr>
          <w:rFonts w:hint="eastAsia" w:hAnsi="宋体" w:cs="宋体"/>
          <w:b w:val="0"/>
          <w:color w:val="000000" w:themeColor="text1"/>
          <w:szCs w:val="24"/>
          <w:u w:val="none"/>
          <w14:textFill>
            <w14:solidFill>
              <w14:schemeClr w14:val="tx1"/>
            </w14:solidFill>
          </w14:textFill>
        </w:rPr>
        <w:t>书</w:t>
      </w:r>
      <w:bookmarkEnd w:id="881"/>
      <w:bookmarkEnd w:id="882"/>
      <w:bookmarkEnd w:id="883"/>
      <w:bookmarkEnd w:id="884"/>
      <w:bookmarkEnd w:id="885"/>
      <w:bookmarkEnd w:id="886"/>
      <w:bookmarkEnd w:id="887"/>
      <w:bookmarkEnd w:id="888"/>
      <w:bookmarkEnd w:id="889"/>
      <w:bookmarkEnd w:id="890"/>
      <w:r>
        <w:rPr>
          <w:rFonts w:hint="eastAsia" w:hAnsi="宋体" w:cs="宋体"/>
          <w:b w:val="0"/>
          <w:color w:val="000000" w:themeColor="text1"/>
          <w:szCs w:val="24"/>
          <w:u w:val="none"/>
          <w14:textFill>
            <w14:solidFill>
              <w14:schemeClr w14:val="tx1"/>
            </w14:solidFill>
          </w14:textFill>
        </w:rPr>
        <w:t>（实质性格式）</w:t>
      </w:r>
    </w:p>
    <w:p>
      <w:pPr>
        <w:tabs>
          <w:tab w:val="left" w:pos="5580"/>
        </w:tabs>
        <w:spacing w:line="360" w:lineRule="auto"/>
        <w:rPr>
          <w:rFonts w:hint="eastAsia" w:ascii="宋体" w:hAnsi="宋体" w:cs="宋体"/>
          <w:color w:val="000000" w:themeColor="text1"/>
          <w:sz w:val="24"/>
          <w14:textFill>
            <w14:solidFill>
              <w14:schemeClr w14:val="tx1"/>
            </w14:solidFill>
          </w14:textFill>
        </w:rPr>
      </w:pPr>
    </w:p>
    <w:p>
      <w:pPr>
        <w:spacing w:line="360" w:lineRule="auto"/>
        <w:jc w:val="center"/>
        <w:rPr>
          <w:rFonts w:hint="eastAsia"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投标书</w:t>
      </w:r>
    </w:p>
    <w:p>
      <w:pPr>
        <w:tabs>
          <w:tab w:val="left" w:pos="5580"/>
        </w:tabs>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致：</w:t>
      </w:r>
      <w:r>
        <w:rPr>
          <w:rFonts w:hint="eastAsia" w:ascii="宋体" w:hAnsi="宋体" w:cs="宋体"/>
          <w:color w:val="000000" w:themeColor="text1"/>
          <w:sz w:val="24"/>
          <w:u w:val="single"/>
          <w14:textFill>
            <w14:solidFill>
              <w14:schemeClr w14:val="tx1"/>
            </w14:solidFill>
          </w14:textFill>
        </w:rPr>
        <w:t>（采购人或采购代理机构）</w:t>
      </w:r>
    </w:p>
    <w:p>
      <w:pPr>
        <w:tabs>
          <w:tab w:val="left" w:pos="5580"/>
        </w:tabs>
        <w:spacing w:line="360" w:lineRule="auto"/>
        <w:rPr>
          <w:rFonts w:hint="eastAsia" w:ascii="宋体" w:hAnsi="宋体" w:cs="宋体"/>
          <w:color w:val="000000" w:themeColor="text1"/>
          <w:sz w:val="24"/>
          <w:szCs w:val="20"/>
          <w14:textFill>
            <w14:solidFill>
              <w14:schemeClr w14:val="tx1"/>
            </w14:solidFill>
          </w14:textFill>
        </w:rPr>
      </w:pPr>
    </w:p>
    <w:p>
      <w:pPr>
        <w:tabs>
          <w:tab w:val="left" w:pos="5580"/>
        </w:tabs>
        <w:spacing w:line="360" w:lineRule="auto"/>
        <w:ind w:firstLine="408"/>
        <w:rPr>
          <w:rFonts w:hint="eastAsia"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我方参加你方就___________（项目名称，</w:t>
      </w:r>
      <w:r>
        <w:rPr>
          <w:rFonts w:hint="eastAsia" w:ascii="宋体" w:hAnsi="宋体" w:cs="宋体"/>
          <w:sz w:val="24"/>
          <w:szCs w:val="20"/>
        </w:rPr>
        <w:t>项目编号/包号</w:t>
      </w:r>
      <w:r>
        <w:rPr>
          <w:rFonts w:hint="eastAsia" w:ascii="宋体" w:hAnsi="宋体" w:cs="宋体"/>
          <w:color w:val="000000" w:themeColor="text1"/>
          <w:sz w:val="24"/>
          <w:szCs w:val="20"/>
          <w14:textFill>
            <w14:solidFill>
              <w14:schemeClr w14:val="tx1"/>
            </w14:solidFill>
          </w14:textFill>
        </w:rPr>
        <w:t>）组织的招标活动，并对此项目进行投标。</w:t>
      </w:r>
    </w:p>
    <w:p>
      <w:pPr>
        <w:tabs>
          <w:tab w:val="left" w:pos="5580"/>
        </w:tabs>
        <w:spacing w:line="360" w:lineRule="auto"/>
        <w:ind w:firstLine="408"/>
        <w:rPr>
          <w:rFonts w:hint="eastAsia"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1. 我方</w:t>
      </w:r>
      <w:r>
        <w:rPr>
          <w:rFonts w:hint="eastAsia" w:ascii="宋体" w:hAnsi="宋体" w:cs="宋体"/>
          <w:color w:val="000000" w:themeColor="text1"/>
          <w:sz w:val="24"/>
          <w14:textFill>
            <w14:solidFill>
              <w14:schemeClr w14:val="tx1"/>
            </w14:solidFill>
          </w14:textFill>
        </w:rPr>
        <w:t>已详细审查全部招标文件</w:t>
      </w:r>
      <w:r>
        <w:rPr>
          <w:rFonts w:hint="eastAsia" w:ascii="宋体" w:hAnsi="宋体" w:cs="宋体"/>
          <w:color w:val="000000" w:themeColor="text1"/>
          <w:sz w:val="24"/>
          <w:szCs w:val="20"/>
          <w14:textFill>
            <w14:solidFill>
              <w14:schemeClr w14:val="tx1"/>
            </w14:solidFill>
          </w14:textFill>
        </w:rPr>
        <w:t>，自愿参与投标并承诺如下：</w:t>
      </w:r>
    </w:p>
    <w:p>
      <w:pPr>
        <w:tabs>
          <w:tab w:val="left" w:pos="720"/>
          <w:tab w:val="left" w:pos="900"/>
        </w:tabs>
        <w:spacing w:line="360" w:lineRule="auto"/>
        <w:ind w:left="360" w:firstLine="72" w:firstLineChars="30"/>
        <w:rPr>
          <w:rFonts w:hint="eastAsia"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（1）本投标有效期为自提交投标文件的截止之日起</w:t>
      </w:r>
      <w:r>
        <w:rPr>
          <w:rFonts w:hint="eastAsia" w:ascii="宋体" w:hAnsi="宋体" w:cs="宋体"/>
          <w:color w:val="000000" w:themeColor="text1"/>
          <w:sz w:val="24"/>
          <w14:textFill>
            <w14:solidFill>
              <w14:schemeClr w14:val="tx1"/>
            </w14:solidFill>
          </w14:textFill>
        </w:rPr>
        <w:t>_____</w:t>
      </w:r>
      <w:r>
        <w:rPr>
          <w:rFonts w:hint="eastAsia" w:ascii="宋体" w:hAnsi="宋体" w:cs="宋体"/>
          <w:color w:val="000000" w:themeColor="text1"/>
          <w:sz w:val="24"/>
          <w:szCs w:val="20"/>
          <w14:textFill>
            <w14:solidFill>
              <w14:schemeClr w14:val="tx1"/>
            </w14:solidFill>
          </w14:textFill>
        </w:rPr>
        <w:t>个日历日。</w:t>
      </w:r>
    </w:p>
    <w:p>
      <w:pPr>
        <w:tabs>
          <w:tab w:val="left" w:pos="720"/>
          <w:tab w:val="left" w:pos="900"/>
        </w:tabs>
        <w:spacing w:line="360" w:lineRule="auto"/>
        <w:ind w:left="360" w:firstLine="72" w:firstLineChars="30"/>
        <w:rPr>
          <w:rFonts w:hint="eastAsia"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（2）除合同条款及采购需求偏离表列出的偏离外，我方响应招标文件的全部要求。</w:t>
      </w:r>
    </w:p>
    <w:p>
      <w:pPr>
        <w:tabs>
          <w:tab w:val="left" w:pos="5580"/>
        </w:tabs>
        <w:spacing w:line="360" w:lineRule="auto"/>
        <w:ind w:firstLine="420" w:firstLineChars="175"/>
        <w:rPr>
          <w:rFonts w:hint="eastAsia"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（3）我方已提供的全部文件资料是真实、准确的，并对此承担一切法律后果。</w:t>
      </w:r>
    </w:p>
    <w:p>
      <w:pPr>
        <w:tabs>
          <w:tab w:val="left" w:pos="5580"/>
        </w:tabs>
        <w:spacing w:line="360" w:lineRule="auto"/>
        <w:ind w:firstLine="420" w:firstLineChars="175"/>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（4）如我方中标，我方将在法律规定的期限内与你方签订合同，按照招标文件要求提交履约保证金，并在合同约定的期限内完成合同规定的全部义务。</w:t>
      </w:r>
    </w:p>
    <w:p>
      <w:pPr>
        <w:spacing w:line="360" w:lineRule="auto"/>
        <w:ind w:left="4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 其他补充条款（如有）：</w:t>
      </w:r>
      <w:r>
        <w:rPr>
          <w:rFonts w:hint="eastAsia" w:ascii="宋体" w:hAnsi="宋体" w:cs="宋体"/>
          <w:color w:val="000000" w:themeColor="text1"/>
          <w:sz w:val="24"/>
          <w:szCs w:val="20"/>
          <w14:textFill>
            <w14:solidFill>
              <w14:schemeClr w14:val="tx1"/>
            </w14:solidFill>
          </w14:textFill>
        </w:rPr>
        <w:t>___________</w:t>
      </w:r>
      <w:r>
        <w:rPr>
          <w:rFonts w:hint="eastAsia" w:ascii="宋体" w:hAnsi="宋体" w:cs="宋体"/>
          <w:color w:val="000000" w:themeColor="text1"/>
          <w:sz w:val="24"/>
          <w14:textFill>
            <w14:solidFill>
              <w14:schemeClr w14:val="tx1"/>
            </w14:solidFill>
          </w14:textFill>
        </w:rPr>
        <w:t>。</w:t>
      </w:r>
    </w:p>
    <w:p>
      <w:pPr>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与本投标有关的一切正式往来信函请寄：</w:t>
      </w:r>
    </w:p>
    <w:p>
      <w:pPr>
        <w:tabs>
          <w:tab w:val="left" w:pos="5580"/>
        </w:tabs>
        <w:spacing w:line="360" w:lineRule="auto"/>
        <w:ind w:left="420"/>
        <w:rPr>
          <w:rFonts w:hint="eastAsia" w:ascii="宋体" w:hAnsi="宋体" w:cs="宋体"/>
          <w:color w:val="000000" w:themeColor="text1"/>
          <w:sz w:val="24"/>
          <w:szCs w:val="20"/>
          <w14:textFill>
            <w14:solidFill>
              <w14:schemeClr w14:val="tx1"/>
            </w14:solidFill>
          </w14:textFill>
        </w:rPr>
      </w:pPr>
    </w:p>
    <w:p>
      <w:pPr>
        <w:tabs>
          <w:tab w:val="left" w:pos="5580"/>
        </w:tabs>
        <w:spacing w:line="360" w:lineRule="auto"/>
        <w:ind w:left="420"/>
        <w:rPr>
          <w:rFonts w:hint="eastAsia"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地址_________________________   </w:t>
      </w:r>
      <w:r>
        <w:rPr>
          <w:rFonts w:ascii="宋体" w:hAnsi="宋体" w:cs="宋体"/>
          <w:color w:val="000000" w:themeColor="text1"/>
          <w:sz w:val="24"/>
          <w:szCs w:val="20"/>
          <w14:textFill>
            <w14:solidFill>
              <w14:schemeClr w14:val="tx1"/>
            </w14:solidFill>
          </w14:textFill>
        </w:rPr>
        <w:t xml:space="preserve"> </w:t>
      </w:r>
      <w:r>
        <w:rPr>
          <w:rFonts w:hint="eastAsia" w:ascii="宋体" w:hAnsi="宋体" w:cs="宋体"/>
          <w:color w:val="000000" w:themeColor="text1"/>
          <w:sz w:val="24"/>
          <w:szCs w:val="20"/>
          <w14:textFill>
            <w14:solidFill>
              <w14:schemeClr w14:val="tx1"/>
            </w14:solidFill>
          </w14:textFill>
        </w:rPr>
        <w:t>传真____________________________</w:t>
      </w:r>
    </w:p>
    <w:p>
      <w:pPr>
        <w:tabs>
          <w:tab w:val="left" w:pos="5580"/>
        </w:tabs>
        <w:spacing w:line="360" w:lineRule="auto"/>
        <w:ind w:left="420"/>
        <w:rPr>
          <w:rFonts w:hint="eastAsia"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电话_________________________</w:t>
      </w:r>
      <w:r>
        <w:rPr>
          <w:rFonts w:ascii="宋体" w:hAnsi="宋体" w:cs="宋体"/>
          <w:color w:val="000000" w:themeColor="text1"/>
          <w:sz w:val="24"/>
          <w:szCs w:val="20"/>
          <w14:textFill>
            <w14:solidFill>
              <w14:schemeClr w14:val="tx1"/>
            </w14:solidFill>
          </w14:textFill>
        </w:rPr>
        <w:t xml:space="preserve">    </w:t>
      </w:r>
      <w:r>
        <w:rPr>
          <w:rFonts w:hint="eastAsia" w:ascii="宋体" w:hAnsi="宋体" w:cs="宋体"/>
          <w:color w:val="000000" w:themeColor="text1"/>
          <w:sz w:val="24"/>
          <w:szCs w:val="20"/>
          <w14:textFill>
            <w14:solidFill>
              <w14:schemeClr w14:val="tx1"/>
            </w14:solidFill>
          </w14:textFill>
        </w:rPr>
        <w:t>电子函件________________________</w:t>
      </w:r>
    </w:p>
    <w:p>
      <w:pPr>
        <w:tabs>
          <w:tab w:val="left" w:pos="5580"/>
        </w:tabs>
        <w:spacing w:line="360" w:lineRule="auto"/>
        <w:ind w:left="420"/>
        <w:rPr>
          <w:rFonts w:hint="eastAsia" w:ascii="宋体" w:hAnsi="宋体" w:cs="宋体"/>
          <w:color w:val="000000" w:themeColor="text1"/>
          <w:sz w:val="24"/>
          <w:szCs w:val="20"/>
          <w14:textFill>
            <w14:solidFill>
              <w14:schemeClr w14:val="tx1"/>
            </w14:solidFill>
          </w14:textFill>
        </w:rPr>
      </w:pPr>
    </w:p>
    <w:p>
      <w:pPr>
        <w:tabs>
          <w:tab w:val="left" w:pos="5580"/>
        </w:tabs>
        <w:spacing w:line="360" w:lineRule="auto"/>
        <w:ind w:left="420"/>
        <w:rPr>
          <w:rFonts w:hint="eastAsia"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投标人名称（加盖公章） ___________</w:t>
      </w:r>
    </w:p>
    <w:p>
      <w:pPr>
        <w:tabs>
          <w:tab w:val="left" w:pos="5580"/>
        </w:tabs>
        <w:spacing w:line="360" w:lineRule="auto"/>
        <w:ind w:left="420"/>
        <w:rPr>
          <w:rFonts w:hint="eastAsia"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日期：_____年______月______日    </w:t>
      </w:r>
    </w:p>
    <w:p>
      <w:pPr>
        <w:tabs>
          <w:tab w:val="left" w:pos="5580"/>
        </w:tabs>
        <w:spacing w:line="360" w:lineRule="auto"/>
        <w:ind w:left="420"/>
        <w:rPr>
          <w:rFonts w:hint="eastAsia" w:ascii="宋体" w:hAnsi="宋体" w:cs="宋体"/>
          <w:color w:val="000000" w:themeColor="text1"/>
          <w:sz w:val="24"/>
          <w:szCs w:val="20"/>
          <w:u w:val="single"/>
          <w14:textFill>
            <w14:solidFill>
              <w14:schemeClr w14:val="tx1"/>
            </w14:solidFill>
          </w14:textFill>
        </w:rPr>
      </w:pPr>
    </w:p>
    <w:p>
      <w:pPr>
        <w:widowControl/>
        <w:jc w:val="left"/>
        <w:rPr>
          <w:rFonts w:hint="eastAsia" w:ascii="宋体" w:hAnsi="宋体" w:cs="宋体"/>
          <w:color w:val="000000" w:themeColor="text1"/>
          <w:sz w:val="24"/>
          <w14:textFill>
            <w14:solidFill>
              <w14:schemeClr w14:val="tx1"/>
            </w14:solidFill>
          </w14:textFill>
        </w:rPr>
      </w:pPr>
      <w:bookmarkStart w:id="891" w:name="_Hlt520356243"/>
      <w:bookmarkEnd w:id="891"/>
      <w:bookmarkStart w:id="892" w:name="_Hlt520355938"/>
      <w:bookmarkEnd w:id="892"/>
      <w:bookmarkStart w:id="893" w:name="_Toc520356218"/>
      <w:bookmarkStart w:id="894" w:name="_Toc226337253"/>
      <w:bookmarkStart w:id="895" w:name="_Toc226965747"/>
      <w:bookmarkStart w:id="896" w:name="_Toc226965830"/>
      <w:bookmarkStart w:id="897" w:name="_Toc150774762"/>
      <w:bookmarkStart w:id="898" w:name="_Toc480942350"/>
      <w:bookmarkStart w:id="899" w:name="_Toc195842922"/>
      <w:bookmarkStart w:id="900" w:name="_Ref467988705"/>
      <w:bookmarkStart w:id="901" w:name="_Toc305158825"/>
      <w:bookmarkStart w:id="902" w:name="_Toc226309801"/>
      <w:bookmarkStart w:id="903" w:name="_Toc264969247"/>
      <w:bookmarkStart w:id="904" w:name="_Toc265228395"/>
      <w:bookmarkStart w:id="905" w:name="_Toc127151557"/>
      <w:bookmarkStart w:id="906" w:name="_Toc150480795"/>
      <w:bookmarkStart w:id="907" w:name="_Toc142311059"/>
      <w:bookmarkStart w:id="908" w:name="_Toc305158899"/>
      <w:r>
        <w:rPr>
          <w:rFonts w:hint="eastAsia" w:ascii="宋体" w:hAnsi="宋体" w:cs="宋体"/>
          <w:color w:val="000000" w:themeColor="text1"/>
          <w:sz w:val="24"/>
          <w14:textFill>
            <w14:solidFill>
              <w14:schemeClr w14:val="tx1"/>
            </w14:solidFill>
          </w14:textFill>
        </w:rPr>
        <w:br w:type="page"/>
      </w:r>
    </w:p>
    <w:p>
      <w:pPr>
        <w:pStyle w:val="6"/>
        <w:rPr>
          <w:rFonts w:hint="eastAsia" w:hAnsi="宋体" w:cs="宋体"/>
          <w:b w:val="0"/>
          <w:color w:val="000000" w:themeColor="text1"/>
          <w:szCs w:val="24"/>
          <w:u w:val="none"/>
          <w14:textFill>
            <w14:solidFill>
              <w14:schemeClr w14:val="tx1"/>
            </w14:solidFill>
          </w14:textFill>
        </w:rPr>
      </w:pPr>
      <w:r>
        <w:rPr>
          <w:rFonts w:hint="eastAsia" w:hAnsi="宋体" w:cs="宋体"/>
          <w:b w:val="0"/>
          <w:color w:val="000000" w:themeColor="text1"/>
          <w:szCs w:val="24"/>
          <w:u w:val="none"/>
          <w14:textFill>
            <w14:solidFill>
              <w14:schemeClr w14:val="tx1"/>
            </w14:solidFill>
          </w14:textFill>
        </w:rPr>
        <w:t xml:space="preserve">2 </w:t>
      </w:r>
      <w:r>
        <w:rPr>
          <w:rFonts w:hAnsi="宋体" w:cs="宋体"/>
          <w:b w:val="0"/>
          <w:color w:val="000000" w:themeColor="text1"/>
          <w:szCs w:val="24"/>
          <w:u w:val="none"/>
          <w14:textFill>
            <w14:solidFill>
              <w14:schemeClr w14:val="tx1"/>
            </w14:solidFill>
          </w14:textFill>
        </w:rPr>
        <w:t xml:space="preserve"> </w:t>
      </w:r>
      <w:r>
        <w:rPr>
          <w:rFonts w:hint="eastAsia" w:hAnsi="宋体" w:cs="宋体"/>
          <w:b w:val="0"/>
          <w:color w:val="000000" w:themeColor="text1"/>
          <w:szCs w:val="24"/>
          <w:u w:val="none"/>
          <w14:textFill>
            <w14:solidFill>
              <w14:schemeClr w14:val="tx1"/>
            </w14:solidFill>
          </w14:textFill>
        </w:rPr>
        <w:t>授权委托书（实质性格式）</w:t>
      </w:r>
    </w:p>
    <w:p>
      <w:pPr>
        <w:spacing w:line="360" w:lineRule="exact"/>
        <w:jc w:val="center"/>
        <w:rPr>
          <w:rFonts w:hint="eastAsia"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授权委托书</w:t>
      </w:r>
    </w:p>
    <w:p>
      <w:pPr>
        <w:spacing w:line="360" w:lineRule="auto"/>
        <w:ind w:firstLine="420"/>
        <w:rPr>
          <w:rFonts w:hint="eastAsia" w:ascii="宋体" w:hAnsi="宋体" w:cs="宋体"/>
          <w:color w:val="000000" w:themeColor="text1"/>
          <w:sz w:val="24"/>
          <w:szCs w:val="20"/>
          <w14:textFill>
            <w14:solidFill>
              <w14:schemeClr w14:val="tx1"/>
            </w14:solidFill>
          </w14:textFill>
        </w:rPr>
      </w:pPr>
    </w:p>
    <w:p>
      <w:pPr>
        <w:spacing w:line="360" w:lineRule="auto"/>
        <w:ind w:firstLine="420"/>
        <w:rPr>
          <w:rFonts w:hint="eastAsia"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本人</w:t>
      </w:r>
      <w:r>
        <w:rPr>
          <w:rFonts w:hint="eastAsia" w:ascii="宋体" w:hAnsi="宋体" w:cs="宋体"/>
          <w:color w:val="000000" w:themeColor="text1"/>
          <w:sz w:val="24"/>
          <w:lang w:val="zh-CN"/>
          <w14:textFill>
            <w14:solidFill>
              <w14:schemeClr w14:val="tx1"/>
            </w14:solidFill>
          </w14:textFill>
        </w:rPr>
        <w:t>_______</w:t>
      </w:r>
      <w:r>
        <w:rPr>
          <w:rFonts w:hint="eastAsia" w:ascii="宋体" w:hAnsi="宋体" w:cs="宋体"/>
          <w:color w:val="000000" w:themeColor="text1"/>
          <w:sz w:val="24"/>
          <w:szCs w:val="20"/>
          <w14:textFill>
            <w14:solidFill>
              <w14:schemeClr w14:val="tx1"/>
            </w14:solidFill>
          </w14:textFill>
        </w:rPr>
        <w:t>（姓名）系</w:t>
      </w:r>
      <w:r>
        <w:rPr>
          <w:rFonts w:hint="eastAsia" w:ascii="宋体" w:hAnsi="宋体" w:cs="宋体"/>
          <w:color w:val="000000" w:themeColor="text1"/>
          <w:sz w:val="24"/>
          <w:lang w:val="zh-CN"/>
          <w14:textFill>
            <w14:solidFill>
              <w14:schemeClr w14:val="tx1"/>
            </w14:solidFill>
          </w14:textFill>
        </w:rPr>
        <w:t>________________</w:t>
      </w:r>
      <w:r>
        <w:rPr>
          <w:rFonts w:hint="eastAsia" w:ascii="宋体" w:hAnsi="宋体" w:cs="宋体"/>
          <w:color w:val="000000" w:themeColor="text1"/>
          <w:sz w:val="24"/>
          <w:szCs w:val="20"/>
          <w14:textFill>
            <w14:solidFill>
              <w14:schemeClr w14:val="tx1"/>
            </w14:solidFill>
          </w14:textFill>
        </w:rPr>
        <w:t>（投标人名称）的法定代表人（单位负责人），现委托</w:t>
      </w:r>
      <w:r>
        <w:rPr>
          <w:rFonts w:hint="eastAsia" w:ascii="宋体" w:hAnsi="宋体" w:cs="宋体"/>
          <w:color w:val="000000" w:themeColor="text1"/>
          <w:sz w:val="24"/>
          <w:lang w:val="zh-CN"/>
          <w14:textFill>
            <w14:solidFill>
              <w14:schemeClr w14:val="tx1"/>
            </w14:solidFill>
          </w14:textFill>
        </w:rPr>
        <w:t>_______</w:t>
      </w:r>
      <w:r>
        <w:rPr>
          <w:rFonts w:hint="eastAsia" w:ascii="宋体" w:hAnsi="宋体" w:cs="宋体"/>
          <w:color w:val="000000" w:themeColor="text1"/>
          <w:sz w:val="24"/>
          <w:szCs w:val="20"/>
          <w14:textFill>
            <w14:solidFill>
              <w14:schemeClr w14:val="tx1"/>
            </w14:solidFill>
          </w14:textFill>
        </w:rPr>
        <w:t>（姓名）为我方代理人。代理人根据授权，以我方名义签署、澄清确认、提交、撤回、修改</w:t>
      </w:r>
      <w:r>
        <w:rPr>
          <w:rFonts w:hint="eastAsia" w:ascii="宋体" w:hAnsi="宋体" w:cs="宋体"/>
          <w:color w:val="000000" w:themeColor="text1"/>
          <w:sz w:val="24"/>
          <w:lang w:val="zh-CN"/>
          <w14:textFill>
            <w14:solidFill>
              <w14:schemeClr w14:val="tx1"/>
            </w14:solidFill>
          </w14:textFill>
        </w:rPr>
        <w:t>________________</w:t>
      </w:r>
      <w:r>
        <w:rPr>
          <w:rFonts w:hint="eastAsia" w:ascii="宋体" w:hAnsi="宋体" w:cs="宋体"/>
          <w:color w:val="000000" w:themeColor="text1"/>
          <w:sz w:val="24"/>
          <w:szCs w:val="20"/>
          <w14:textFill>
            <w14:solidFill>
              <w14:schemeClr w14:val="tx1"/>
            </w14:solidFill>
          </w14:textFill>
        </w:rPr>
        <w:t>（项目名称）投标文件和处理有关事宜，其法律后果由我方承担。</w:t>
      </w:r>
    </w:p>
    <w:p>
      <w:pPr>
        <w:spacing w:line="360" w:lineRule="auto"/>
        <w:ind w:firstLine="420"/>
        <w:rPr>
          <w:rFonts w:hint="eastAsia"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委托期限：自本授权委托书签署之日起至投标有效期届满之日止。</w:t>
      </w:r>
    </w:p>
    <w:p>
      <w:pPr>
        <w:spacing w:line="360" w:lineRule="auto"/>
        <w:ind w:firstLine="420"/>
        <w:rPr>
          <w:rFonts w:hint="eastAsia"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代理人无转委托权。</w:t>
      </w:r>
      <w:r>
        <w:rPr>
          <w:rFonts w:hint="eastAsia" w:ascii="宋体" w:hAnsi="宋体" w:cs="宋体"/>
          <w:color w:val="000000" w:themeColor="text1"/>
          <w:sz w:val="24"/>
          <w:szCs w:val="20"/>
          <w14:textFill>
            <w14:solidFill>
              <w14:schemeClr w14:val="tx1"/>
            </w14:solidFill>
          </w14:textFill>
        </w:rPr>
        <w:cr/>
      </w:r>
    </w:p>
    <w:p>
      <w:pPr>
        <w:spacing w:line="360" w:lineRule="auto"/>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：________________</w:t>
      </w:r>
    </w:p>
    <w:p>
      <w:pPr>
        <w:spacing w:line="360" w:lineRule="auto"/>
        <w:rPr>
          <w:rFonts w:hint="eastAsia"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法定代表人（单位负责人）（签字或盖章）：</w:t>
      </w:r>
      <w:r>
        <w:rPr>
          <w:rFonts w:hint="eastAsia" w:ascii="宋体" w:hAnsi="宋体" w:cs="宋体"/>
          <w:color w:val="000000" w:themeColor="text1"/>
          <w:sz w:val="24"/>
          <w:lang w:val="zh-CN"/>
          <w14:textFill>
            <w14:solidFill>
              <w14:schemeClr w14:val="tx1"/>
            </w14:solidFill>
          </w14:textFill>
        </w:rPr>
        <w:t>________________</w:t>
      </w:r>
    </w:p>
    <w:p>
      <w:pPr>
        <w:autoSpaceDE w:val="0"/>
        <w:autoSpaceDN w:val="0"/>
        <w:adjustRightInd w:val="0"/>
        <w:snapToGrid w:val="0"/>
        <w:spacing w:line="360" w:lineRule="auto"/>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委托代理人（签字或盖章）：</w:t>
      </w:r>
      <w:r>
        <w:rPr>
          <w:rFonts w:hint="eastAsia" w:ascii="宋体" w:hAnsi="宋体" w:cs="宋体"/>
          <w:color w:val="000000" w:themeColor="text1"/>
          <w:sz w:val="24"/>
          <w:lang w:val="zh-CN"/>
          <w14:textFill>
            <w14:solidFill>
              <w14:schemeClr w14:val="tx1"/>
            </w14:solidFill>
          </w14:textFill>
        </w:rPr>
        <w:t>________________</w:t>
      </w:r>
    </w:p>
    <w:p>
      <w:pPr>
        <w:autoSpaceDE w:val="0"/>
        <w:autoSpaceDN w:val="0"/>
        <w:adjustRightInd w:val="0"/>
        <w:snapToGrid w:val="0"/>
        <w:spacing w:line="360" w:lineRule="auto"/>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日期：_____年______月______日</w:t>
      </w:r>
    </w:p>
    <w:p>
      <w:pPr>
        <w:tabs>
          <w:tab w:val="left" w:pos="5580"/>
        </w:tabs>
        <w:spacing w:line="360" w:lineRule="auto"/>
        <w:ind w:firstLine="480" w:firstLineChars="200"/>
        <w:rPr>
          <w:rFonts w:hint="eastAsia" w:ascii="宋体" w:hAnsi="宋体" w:cs="宋体"/>
          <w:color w:val="000000" w:themeColor="text1"/>
          <w:sz w:val="24"/>
          <w:szCs w:val="20"/>
          <w14:textFill>
            <w14:solidFill>
              <w14:schemeClr w14:val="tx1"/>
            </w14:solidFill>
          </w14:textFill>
        </w:rPr>
      </w:pPr>
    </w:p>
    <w:p>
      <w:pPr>
        <w:tabs>
          <w:tab w:val="left" w:pos="5580"/>
        </w:tabs>
        <w:spacing w:line="360" w:lineRule="auto"/>
        <w:jc w:val="left"/>
        <w:rPr>
          <w:rFonts w:hint="eastAsia"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附：</w:t>
      </w:r>
      <w:r>
        <w:rPr>
          <w:rFonts w:ascii="宋体" w:hAnsi="宋体"/>
          <w:spacing w:val="-1"/>
          <w:sz w:val="24"/>
        </w:rPr>
        <w:t>法定代表人（单位负责人）及委托代理人身份证明文件电子件</w:t>
      </w:r>
      <w:r>
        <w:rPr>
          <w:rFonts w:hint="eastAsia" w:ascii="宋体" w:hAnsi="宋体" w:cs="宋体"/>
          <w:color w:val="000000" w:themeColor="text1"/>
          <w:spacing w:val="-1"/>
          <w:sz w:val="24"/>
          <w14:textFill>
            <w14:solidFill>
              <w14:schemeClr w14:val="tx1"/>
            </w14:solidFill>
          </w14:textFill>
        </w:rPr>
        <w:t>：</w:t>
      </w:r>
    </w:p>
    <w:p>
      <w:pPr>
        <w:tabs>
          <w:tab w:val="left" w:pos="5580"/>
        </w:tabs>
        <w:spacing w:line="360" w:lineRule="auto"/>
        <w:jc w:val="left"/>
        <w:rPr>
          <w:rFonts w:hint="eastAsia" w:ascii="宋体" w:hAnsi="宋体" w:cs="宋体"/>
          <w:color w:val="000000" w:themeColor="text1"/>
          <w:sz w:val="24"/>
          <w:szCs w:val="20"/>
          <w14:textFill>
            <w14:solidFill>
              <w14:schemeClr w14:val="tx1"/>
            </w14:solidFill>
          </w14:textFill>
        </w:rPr>
      </w:pPr>
    </w:p>
    <w:p>
      <w:pPr>
        <w:tabs>
          <w:tab w:val="left" w:pos="5580"/>
        </w:tabs>
        <w:spacing w:line="360" w:lineRule="auto"/>
        <w:jc w:val="left"/>
        <w:rPr>
          <w:rFonts w:hint="eastAsia" w:ascii="宋体" w:hAnsi="宋体" w:cs="宋体"/>
          <w:color w:val="000000" w:themeColor="text1"/>
          <w:sz w:val="24"/>
          <w:szCs w:val="20"/>
          <w14:textFill>
            <w14:solidFill>
              <w14:schemeClr w14:val="tx1"/>
            </w14:solidFill>
          </w14:textFill>
        </w:rPr>
      </w:pPr>
    </w:p>
    <w:p>
      <w:pPr>
        <w:tabs>
          <w:tab w:val="left" w:pos="5580"/>
        </w:tabs>
        <w:spacing w:line="360" w:lineRule="auto"/>
        <w:jc w:val="left"/>
        <w:rPr>
          <w:rFonts w:hint="eastAsia"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说明：</w:t>
      </w:r>
    </w:p>
    <w:p>
      <w:pPr>
        <w:tabs>
          <w:tab w:val="left" w:pos="5580"/>
        </w:tabs>
        <w:spacing w:line="360" w:lineRule="auto"/>
        <w:jc w:val="left"/>
        <w:rPr>
          <w:rFonts w:hint="eastAsia"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1.若供应商为事业单位或其他组织或分支机构，则法定代表人（单位负责人）处的签署人可为单位负责人。</w:t>
      </w:r>
    </w:p>
    <w:p>
      <w:pPr>
        <w:tabs>
          <w:tab w:val="left" w:pos="5580"/>
        </w:tabs>
        <w:spacing w:line="360" w:lineRule="auto"/>
        <w:jc w:val="left"/>
        <w:rPr>
          <w:rFonts w:hint="eastAsia"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2.若投标文件中签字之处均为法定代表人（单位负责人）本人签署，则可不提供本《授权委托书》，但须提供《法定代表人（单位负责人）身份证明》；否则，不需要提供《法定代表人（单位负责人）身份证明》。</w:t>
      </w:r>
    </w:p>
    <w:p>
      <w:pPr>
        <w:tabs>
          <w:tab w:val="left" w:pos="5580"/>
        </w:tabs>
        <w:spacing w:line="360" w:lineRule="auto"/>
        <w:jc w:val="left"/>
        <w:rPr>
          <w:rFonts w:hint="eastAsia"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3.供应商为自然人的情形，可不提供本《授权委托书》。</w:t>
      </w:r>
    </w:p>
    <w:p>
      <w:pPr>
        <w:tabs>
          <w:tab w:val="left" w:pos="5580"/>
        </w:tabs>
        <w:spacing w:line="360" w:lineRule="auto"/>
        <w:jc w:val="left"/>
        <w:rPr>
          <w:rStyle w:val="61"/>
          <w:rFonts w:hint="eastAsia" w:ascii="宋体" w:hAnsi="宋体" w:cs="宋体"/>
          <w:color w:val="000000" w:themeColor="text1"/>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4.供应商应随本《授权委托书》同时提供法定代表人（单位负责人）及委托代理人的有效的身份证或护照等身份证明文件</w:t>
      </w:r>
      <w:r>
        <w:rPr>
          <w:rFonts w:ascii="宋体" w:hAnsi="宋体"/>
          <w:spacing w:val="-1"/>
          <w:sz w:val="24"/>
        </w:rPr>
        <w:t>电子件</w:t>
      </w:r>
      <w:r>
        <w:rPr>
          <w:rFonts w:hint="eastAsia" w:ascii="宋体" w:hAnsi="宋体" w:cs="宋体"/>
          <w:color w:val="000000" w:themeColor="text1"/>
          <w:sz w:val="24"/>
          <w:szCs w:val="20"/>
          <w14:textFill>
            <w14:solidFill>
              <w14:schemeClr w14:val="tx1"/>
            </w14:solidFill>
          </w14:textFill>
        </w:rPr>
        <w:t>。提供身份证的，应同时提供身份证</w:t>
      </w:r>
      <w:r>
        <w:rPr>
          <w:rFonts w:hint="eastAsia" w:ascii="宋体" w:hAnsi="宋体" w:cs="宋体"/>
          <w:b/>
          <w:bCs/>
          <w:color w:val="000000" w:themeColor="text1"/>
          <w:sz w:val="24"/>
          <w:szCs w:val="20"/>
          <w14:textFill>
            <w14:solidFill>
              <w14:schemeClr w14:val="tx1"/>
            </w14:solidFill>
          </w14:textFill>
        </w:rPr>
        <w:t>双面</w:t>
      </w:r>
      <w:r>
        <w:rPr>
          <w:rFonts w:hint="eastAsia" w:ascii="宋体" w:hAnsi="宋体" w:cs="宋体"/>
          <w:bCs/>
          <w:color w:val="000000" w:themeColor="text1"/>
          <w:sz w:val="24"/>
          <w:szCs w:val="20"/>
          <w14:textFill>
            <w14:solidFill>
              <w14:schemeClr w14:val="tx1"/>
            </w14:solidFill>
          </w14:textFill>
        </w:rPr>
        <w:t>电子件</w:t>
      </w:r>
      <w:r>
        <w:rPr>
          <w:rFonts w:hint="eastAsia" w:ascii="宋体" w:hAnsi="宋体" w:cs="宋体"/>
          <w:color w:val="000000" w:themeColor="text1"/>
          <w:sz w:val="24"/>
          <w:szCs w:val="20"/>
          <w14:textFill>
            <w14:solidFill>
              <w14:schemeClr w14:val="tx1"/>
            </w14:solidFill>
          </w14:textFill>
        </w:rPr>
        <w:t>。</w:t>
      </w:r>
    </w:p>
    <w:p>
      <w:pPr>
        <w:tabs>
          <w:tab w:val="left" w:pos="5580"/>
        </w:tabs>
        <w:spacing w:line="360" w:lineRule="auto"/>
        <w:jc w:val="center"/>
        <w:rPr>
          <w:rFonts w:hint="eastAsia" w:ascii="宋体" w:hAnsi="宋体" w:cs="宋体"/>
          <w:b/>
          <w:color w:val="000000" w:themeColor="text1"/>
          <w:sz w:val="36"/>
          <w:szCs w:val="36"/>
          <w14:textFill>
            <w14:solidFill>
              <w14:schemeClr w14:val="tx1"/>
            </w14:solidFill>
          </w14:textFill>
        </w:rPr>
      </w:pPr>
      <w:r>
        <w:rPr>
          <w:rFonts w:hint="eastAsia" w:ascii="宋体" w:hAnsi="宋体" w:cs="宋体"/>
          <w:color w:val="000000" w:themeColor="text1"/>
          <w:sz w:val="30"/>
          <w:szCs w:val="30"/>
          <w14:textFill>
            <w14:solidFill>
              <w14:schemeClr w14:val="tx1"/>
            </w14:solidFill>
          </w14:textFill>
        </w:rPr>
        <w:br w:type="page"/>
      </w:r>
      <w:r>
        <w:rPr>
          <w:rFonts w:hint="eastAsia" w:ascii="宋体" w:hAnsi="宋体" w:cs="宋体"/>
          <w:b/>
          <w:color w:val="000000" w:themeColor="text1"/>
          <w:sz w:val="36"/>
          <w:szCs w:val="36"/>
          <w14:textFill>
            <w14:solidFill>
              <w14:schemeClr w14:val="tx1"/>
            </w14:solidFill>
          </w14:textFill>
        </w:rPr>
        <w:t>法定代表人（单位负责人）身份证明</w:t>
      </w:r>
    </w:p>
    <w:p>
      <w:pPr>
        <w:kinsoku w:val="0"/>
        <w:overflowPunct w:val="0"/>
        <w:spacing w:line="200" w:lineRule="exact"/>
        <w:rPr>
          <w:rFonts w:hint="eastAsia" w:ascii="宋体" w:hAnsi="宋体" w:cs="宋体"/>
          <w:color w:val="000000" w:themeColor="text1"/>
          <w:sz w:val="20"/>
          <w:szCs w:val="20"/>
          <w14:textFill>
            <w14:solidFill>
              <w14:schemeClr w14:val="tx1"/>
            </w14:solidFill>
          </w14:textFill>
        </w:rPr>
      </w:pPr>
    </w:p>
    <w:p>
      <w:pPr>
        <w:tabs>
          <w:tab w:val="left" w:pos="5580"/>
        </w:tabs>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致：</w:t>
      </w:r>
      <w:r>
        <w:rPr>
          <w:rFonts w:hint="eastAsia" w:ascii="宋体" w:hAnsi="宋体" w:cs="宋体"/>
          <w:color w:val="000000" w:themeColor="text1"/>
          <w:sz w:val="24"/>
          <w:u w:val="single"/>
          <w14:textFill>
            <w14:solidFill>
              <w14:schemeClr w14:val="tx1"/>
            </w14:solidFill>
          </w14:textFill>
        </w:rPr>
        <w:t>（采购人或采购代理机构）</w:t>
      </w:r>
    </w:p>
    <w:p>
      <w:pPr>
        <w:pStyle w:val="21"/>
        <w:ind w:firstLine="480"/>
        <w:rPr>
          <w:rFonts w:hint="eastAsia"/>
        </w:rPr>
      </w:pPr>
      <w:r>
        <w:rPr>
          <w:rFonts w:hint="eastAsia"/>
        </w:rPr>
        <w:t>兹证明，</w:t>
      </w:r>
    </w:p>
    <w:p>
      <w:pPr>
        <w:pStyle w:val="21"/>
        <w:ind w:firstLine="480"/>
        <w:rPr>
          <w:rFonts w:hint="eastAsia"/>
        </w:rPr>
      </w:pPr>
      <w:r>
        <w:rPr>
          <w:rFonts w:hint="eastAsia"/>
        </w:rPr>
        <w:t>姓名：____性别：____年龄：____职务：____</w:t>
      </w:r>
    </w:p>
    <w:p>
      <w:pPr>
        <w:pStyle w:val="21"/>
        <w:ind w:firstLine="480"/>
        <w:rPr>
          <w:rFonts w:hint="eastAsia"/>
        </w:rPr>
      </w:pPr>
    </w:p>
    <w:p>
      <w:pPr>
        <w:pStyle w:val="21"/>
        <w:ind w:firstLine="480"/>
        <w:rPr>
          <w:rFonts w:hint="eastAsia"/>
        </w:rPr>
      </w:pPr>
      <w:r>
        <w:rPr>
          <w:rFonts w:hint="eastAsia"/>
        </w:rPr>
        <w:t>系</w:t>
      </w:r>
      <w:r>
        <w:rPr>
          <w:rFonts w:hint="eastAsia"/>
          <w:u w:val="single"/>
        </w:rPr>
        <w:tab/>
      </w:r>
      <w:r>
        <w:rPr>
          <w:rFonts w:hint="eastAsia"/>
        </w:rPr>
        <w:t>（投标人名称）的法定代表人（单位负责人）。</w:t>
      </w:r>
    </w:p>
    <w:p>
      <w:pPr>
        <w:pStyle w:val="21"/>
        <w:ind w:firstLine="480"/>
        <w:rPr>
          <w:rFonts w:hint="eastAsia"/>
        </w:rPr>
      </w:pPr>
    </w:p>
    <w:p>
      <w:pPr>
        <w:pStyle w:val="21"/>
        <w:ind w:firstLine="480"/>
        <w:rPr>
          <w:rFonts w:hint="eastAsia"/>
        </w:rPr>
      </w:pPr>
    </w:p>
    <w:p>
      <w:pPr>
        <w:pStyle w:val="21"/>
        <w:ind w:firstLine="480"/>
        <w:rPr>
          <w:rFonts w:hint="eastAsia"/>
        </w:rPr>
      </w:pPr>
    </w:p>
    <w:p>
      <w:pPr>
        <w:pStyle w:val="21"/>
        <w:ind w:firstLine="480"/>
        <w:rPr>
          <w:rFonts w:hint="eastAsia"/>
        </w:rPr>
      </w:pPr>
      <w:r>
        <w:rPr>
          <w:rFonts w:hint="eastAsia"/>
        </w:rPr>
        <w:t>附：法定代表人（单位负责人）身份证或护照等身份证明文件电子件。</w:t>
      </w:r>
    </w:p>
    <w:p>
      <w:pPr>
        <w:pStyle w:val="21"/>
        <w:ind w:firstLine="480"/>
        <w:rPr>
          <w:rFonts w:hint="eastAsia"/>
        </w:rPr>
      </w:pPr>
    </w:p>
    <w:p>
      <w:pPr>
        <w:pStyle w:val="21"/>
        <w:ind w:firstLine="480"/>
        <w:rPr>
          <w:rFonts w:hint="eastAsia"/>
        </w:rPr>
      </w:pPr>
    </w:p>
    <w:p>
      <w:pPr>
        <w:autoSpaceDE w:val="0"/>
        <w:autoSpaceDN w:val="0"/>
        <w:adjustRightInd w:val="0"/>
        <w:snapToGrid w:val="0"/>
        <w:spacing w:line="360" w:lineRule="auto"/>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：________________</w:t>
      </w:r>
    </w:p>
    <w:p>
      <w:pPr>
        <w:pStyle w:val="21"/>
        <w:ind w:firstLine="480"/>
        <w:rPr>
          <w:rFonts w:hint="eastAsia"/>
        </w:rPr>
      </w:pPr>
      <w:r>
        <w:rPr>
          <w:rFonts w:hint="eastAsia"/>
        </w:rPr>
        <w:t>法定代表人（单位负责人）（签字或盖章）：_______</w:t>
      </w:r>
    </w:p>
    <w:p>
      <w:pPr>
        <w:autoSpaceDE w:val="0"/>
        <w:autoSpaceDN w:val="0"/>
        <w:adjustRightInd w:val="0"/>
        <w:snapToGrid w:val="0"/>
        <w:spacing w:line="360" w:lineRule="auto"/>
        <w:rPr>
          <w:rFonts w:hint="eastAsia" w:ascii="宋体" w:hAnsi="宋体" w:cs="宋体"/>
          <w:color w:val="000000" w:themeColor="text1"/>
          <w:sz w:val="24"/>
          <w14:textFill>
            <w14:solidFill>
              <w14:schemeClr w14:val="tx1"/>
            </w14:solidFill>
          </w14:textFill>
        </w:rPr>
      </w:pPr>
    </w:p>
    <w:p>
      <w:pPr>
        <w:autoSpaceDE w:val="0"/>
        <w:autoSpaceDN w:val="0"/>
        <w:adjustRightInd w:val="0"/>
        <w:snapToGrid w:val="0"/>
        <w:spacing w:line="360" w:lineRule="auto"/>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日期：_____年______月______日</w:t>
      </w:r>
    </w:p>
    <w:p>
      <w:pPr>
        <w:widowControl/>
        <w:jc w:val="left"/>
        <w:rPr>
          <w:rFonts w:hint="eastAsia" w:ascii="宋体" w:hAnsi="宋体" w:cs="宋体"/>
          <w:i/>
          <w:color w:val="000000" w:themeColor="text1"/>
          <w:sz w:val="24"/>
          <w:szCs w:val="20"/>
          <w:u w:val="single"/>
          <w14:textFill>
            <w14:solidFill>
              <w14:schemeClr w14:val="tx1"/>
            </w14:solidFill>
          </w14:textFill>
        </w:rPr>
      </w:pPr>
    </w:p>
    <w:p>
      <w:pPr>
        <w:widowControl/>
        <w:jc w:val="left"/>
        <w:rPr>
          <w:rFonts w:hint="eastAsia"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br w:type="page"/>
      </w:r>
    </w:p>
    <w:p>
      <w:pPr>
        <w:pStyle w:val="6"/>
        <w:rPr>
          <w:rFonts w:hint="eastAsia" w:hAnsi="宋体" w:cs="宋体"/>
          <w:b w:val="0"/>
          <w:color w:val="000000" w:themeColor="text1"/>
          <w:szCs w:val="24"/>
          <w:u w:val="none"/>
          <w14:textFill>
            <w14:solidFill>
              <w14:schemeClr w14:val="tx1"/>
            </w14:solidFill>
          </w14:textFill>
        </w:rPr>
      </w:pPr>
      <w:r>
        <w:rPr>
          <w:rFonts w:hint="eastAsia" w:hAnsi="宋体" w:cs="宋体"/>
          <w:b w:val="0"/>
          <w:color w:val="000000" w:themeColor="text1"/>
          <w:szCs w:val="24"/>
          <w:u w:val="none"/>
          <w14:textFill>
            <w14:solidFill>
              <w14:schemeClr w14:val="tx1"/>
            </w14:solidFill>
          </w14:textFill>
        </w:rPr>
        <w:t>3  开标一览表</w:t>
      </w:r>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r>
        <w:rPr>
          <w:rFonts w:hint="eastAsia" w:hAnsi="宋体" w:cs="宋体"/>
          <w:b w:val="0"/>
          <w:color w:val="000000" w:themeColor="text1"/>
          <w:szCs w:val="24"/>
          <w:u w:val="none"/>
          <w14:textFill>
            <w14:solidFill>
              <w14:schemeClr w14:val="tx1"/>
            </w14:solidFill>
          </w14:textFill>
        </w:rPr>
        <w:t>（实质性格式）</w:t>
      </w:r>
    </w:p>
    <w:p>
      <w:pPr>
        <w:spacing w:line="360" w:lineRule="exact"/>
        <w:jc w:val="center"/>
        <w:rPr>
          <w:rFonts w:hint="eastAsia" w:ascii="宋体" w:hAnsi="宋体" w:cs="宋体"/>
          <w:b/>
          <w:color w:val="000000" w:themeColor="text1"/>
          <w:sz w:val="36"/>
          <w:szCs w:val="36"/>
          <w14:textFill>
            <w14:solidFill>
              <w14:schemeClr w14:val="tx1"/>
            </w14:solidFill>
          </w14:textFill>
        </w:rPr>
      </w:pPr>
      <w:bookmarkStart w:id="909" w:name="_Toc164608672"/>
      <w:bookmarkStart w:id="910" w:name="_Toc226965831"/>
      <w:bookmarkStart w:id="911" w:name="_Toc305158826"/>
      <w:bookmarkStart w:id="912" w:name="_Toc226309802"/>
      <w:bookmarkStart w:id="913" w:name="_Toc226337254"/>
      <w:bookmarkStart w:id="914" w:name="_Toc226965748"/>
      <w:bookmarkStart w:id="915" w:name="_Toc264969248"/>
      <w:bookmarkStart w:id="916" w:name="_Toc265228396"/>
      <w:bookmarkStart w:id="917" w:name="_Toc164608827"/>
      <w:bookmarkStart w:id="918" w:name="_Toc195842923"/>
      <w:bookmarkStart w:id="919" w:name="_Toc305158900"/>
      <w:r>
        <w:rPr>
          <w:rFonts w:hint="eastAsia" w:ascii="宋体" w:hAnsi="宋体" w:cs="宋体"/>
          <w:b/>
          <w:color w:val="000000" w:themeColor="text1"/>
          <w:sz w:val="36"/>
          <w:szCs w:val="36"/>
          <w14:textFill>
            <w14:solidFill>
              <w14:schemeClr w14:val="tx1"/>
            </w14:solidFill>
          </w14:textFill>
        </w:rPr>
        <w:t>开标一览表</w:t>
      </w:r>
      <w:bookmarkEnd w:id="909"/>
      <w:bookmarkEnd w:id="910"/>
      <w:bookmarkEnd w:id="911"/>
      <w:bookmarkEnd w:id="912"/>
      <w:bookmarkEnd w:id="913"/>
      <w:bookmarkEnd w:id="914"/>
      <w:bookmarkEnd w:id="915"/>
      <w:bookmarkEnd w:id="916"/>
      <w:bookmarkEnd w:id="917"/>
      <w:bookmarkEnd w:id="918"/>
      <w:bookmarkEnd w:id="919"/>
    </w:p>
    <w:p>
      <w:pPr>
        <w:tabs>
          <w:tab w:val="left" w:pos="1800"/>
          <w:tab w:val="left" w:pos="5580"/>
        </w:tabs>
        <w:spacing w:line="360" w:lineRule="auto"/>
        <w:jc w:val="left"/>
        <w:rPr>
          <w:rFonts w:hint="eastAsia" w:ascii="宋体" w:hAnsi="宋体" w:cs="宋体"/>
          <w:i/>
          <w:color w:val="000000" w:themeColor="text1"/>
          <w:sz w:val="24"/>
          <w14:textFill>
            <w14:solidFill>
              <w14:schemeClr w14:val="tx1"/>
            </w14:solidFill>
          </w14:textFill>
        </w:rPr>
      </w:pPr>
    </w:p>
    <w:p>
      <w:pPr>
        <w:tabs>
          <w:tab w:val="left" w:pos="1800"/>
          <w:tab w:val="left" w:pos="5580"/>
        </w:tabs>
        <w:spacing w:line="360" w:lineRule="auto"/>
        <w:ind w:firstLine="240" w:firstLineChars="100"/>
        <w:jc w:val="left"/>
        <w:rPr>
          <w:rFonts w:hint="eastAsia"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项目编号：_____________________     项目名称：____________</w:t>
      </w:r>
    </w:p>
    <w:tbl>
      <w:tblPr>
        <w:tblStyle w:val="52"/>
        <w:tblW w:w="46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32"/>
        <w:gridCol w:w="3396"/>
        <w:gridCol w:w="1822"/>
        <w:gridCol w:w="1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412" w:type="pct"/>
            <w:vMerge w:val="restart"/>
            <w:vAlign w:val="center"/>
          </w:tcPr>
          <w:p>
            <w:pPr>
              <w:tabs>
                <w:tab w:val="left" w:pos="5580"/>
              </w:tabs>
              <w:jc w:val="center"/>
              <w:rPr>
                <w:rFonts w:hint="eastAsia"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包号</w:t>
            </w:r>
          </w:p>
        </w:tc>
        <w:tc>
          <w:tcPr>
            <w:tcW w:w="2215" w:type="pct"/>
            <w:vMerge w:val="restart"/>
            <w:vAlign w:val="center"/>
          </w:tcPr>
          <w:p>
            <w:pPr>
              <w:tabs>
                <w:tab w:val="left" w:pos="5580"/>
              </w:tabs>
              <w:jc w:val="center"/>
              <w:rPr>
                <w:rFonts w:hint="eastAsia"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投标人名称</w:t>
            </w:r>
          </w:p>
        </w:tc>
        <w:tc>
          <w:tcPr>
            <w:tcW w:w="2373" w:type="pct"/>
            <w:gridSpan w:val="2"/>
            <w:vAlign w:val="center"/>
          </w:tcPr>
          <w:p>
            <w:pPr>
              <w:tabs>
                <w:tab w:val="left" w:pos="5580"/>
              </w:tabs>
              <w:jc w:val="center"/>
              <w:rPr>
                <w:rFonts w:hint="eastAsia"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投标报价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412" w:type="pct"/>
            <w:vMerge w:val="continue"/>
            <w:vAlign w:val="center"/>
          </w:tcPr>
          <w:p>
            <w:pPr>
              <w:tabs>
                <w:tab w:val="left" w:pos="5580"/>
              </w:tabs>
              <w:jc w:val="center"/>
              <w:rPr>
                <w:rFonts w:hint="eastAsia" w:ascii="宋体" w:hAnsi="宋体" w:cs="宋体"/>
                <w:color w:val="000000" w:themeColor="text1"/>
                <w:sz w:val="24"/>
                <w14:textFill>
                  <w14:solidFill>
                    <w14:schemeClr w14:val="tx1"/>
                  </w14:solidFill>
                </w14:textFill>
              </w:rPr>
            </w:pPr>
          </w:p>
        </w:tc>
        <w:tc>
          <w:tcPr>
            <w:tcW w:w="2215" w:type="pct"/>
            <w:vMerge w:val="continue"/>
            <w:vAlign w:val="center"/>
          </w:tcPr>
          <w:p>
            <w:pPr>
              <w:tabs>
                <w:tab w:val="left" w:pos="5580"/>
              </w:tabs>
              <w:jc w:val="center"/>
              <w:rPr>
                <w:rFonts w:hint="eastAsia" w:ascii="宋体" w:hAnsi="宋体" w:cs="宋体"/>
                <w:color w:val="000000" w:themeColor="text1"/>
                <w:sz w:val="24"/>
                <w14:textFill>
                  <w14:solidFill>
                    <w14:schemeClr w14:val="tx1"/>
                  </w14:solidFill>
                </w14:textFill>
              </w:rPr>
            </w:pPr>
          </w:p>
        </w:tc>
        <w:tc>
          <w:tcPr>
            <w:tcW w:w="1188" w:type="pct"/>
            <w:vAlign w:val="center"/>
          </w:tcPr>
          <w:p>
            <w:pPr>
              <w:tabs>
                <w:tab w:val="left" w:pos="5580"/>
              </w:tabs>
              <w:jc w:val="center"/>
              <w:rPr>
                <w:rFonts w:hint="eastAsia"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大写</w:t>
            </w:r>
          </w:p>
        </w:tc>
        <w:tc>
          <w:tcPr>
            <w:tcW w:w="1182" w:type="pct"/>
            <w:vAlign w:val="center"/>
          </w:tcPr>
          <w:p>
            <w:pPr>
              <w:tabs>
                <w:tab w:val="left" w:pos="5580"/>
              </w:tabs>
              <w:jc w:val="center"/>
              <w:rPr>
                <w:rFonts w:hint="eastAsia"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6" w:hRule="atLeast"/>
          <w:jc w:val="center"/>
        </w:trPr>
        <w:tc>
          <w:tcPr>
            <w:tcW w:w="412" w:type="pct"/>
            <w:vAlign w:val="center"/>
          </w:tcPr>
          <w:p>
            <w:pPr>
              <w:tabs>
                <w:tab w:val="left" w:pos="5580"/>
              </w:tabs>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p>
        </w:tc>
        <w:tc>
          <w:tcPr>
            <w:tcW w:w="2215" w:type="pct"/>
            <w:vAlign w:val="center"/>
          </w:tcPr>
          <w:p>
            <w:pPr>
              <w:tabs>
                <w:tab w:val="left" w:pos="5580"/>
              </w:tabs>
              <w:jc w:val="center"/>
              <w:rPr>
                <w:rFonts w:hint="eastAsia" w:ascii="宋体" w:hAnsi="宋体" w:cs="宋体"/>
                <w:color w:val="000000" w:themeColor="text1"/>
                <w:sz w:val="24"/>
                <w14:textFill>
                  <w14:solidFill>
                    <w14:schemeClr w14:val="tx1"/>
                  </w14:solidFill>
                </w14:textFill>
              </w:rPr>
            </w:pPr>
          </w:p>
        </w:tc>
        <w:tc>
          <w:tcPr>
            <w:tcW w:w="1188" w:type="pct"/>
            <w:vAlign w:val="center"/>
          </w:tcPr>
          <w:p>
            <w:pPr>
              <w:tabs>
                <w:tab w:val="left" w:pos="5580"/>
              </w:tabs>
              <w:jc w:val="center"/>
              <w:rPr>
                <w:rFonts w:hint="eastAsia" w:ascii="宋体" w:hAnsi="宋体" w:cs="宋体"/>
                <w:color w:val="000000" w:themeColor="text1"/>
                <w:sz w:val="24"/>
                <w14:textFill>
                  <w14:solidFill>
                    <w14:schemeClr w14:val="tx1"/>
                  </w14:solidFill>
                </w14:textFill>
              </w:rPr>
            </w:pPr>
          </w:p>
        </w:tc>
        <w:tc>
          <w:tcPr>
            <w:tcW w:w="1182" w:type="pct"/>
            <w:vAlign w:val="center"/>
          </w:tcPr>
          <w:p>
            <w:pPr>
              <w:tabs>
                <w:tab w:val="left" w:pos="5580"/>
              </w:tabs>
              <w:jc w:val="center"/>
              <w:rPr>
                <w:rFonts w:hint="eastAsia" w:ascii="宋体" w:hAnsi="宋体" w:cs="宋体"/>
                <w:color w:val="000000" w:themeColor="text1"/>
                <w:sz w:val="24"/>
                <w14:textFill>
                  <w14:solidFill>
                    <w14:schemeClr w14:val="tx1"/>
                  </w14:solidFill>
                </w14:textFill>
              </w:rPr>
            </w:pPr>
          </w:p>
        </w:tc>
      </w:tr>
    </w:tbl>
    <w:p>
      <w:pPr>
        <w:autoSpaceDE w:val="0"/>
        <w:autoSpaceDN w:val="0"/>
        <w:adjustRightInd w:val="0"/>
        <w:jc w:val="left"/>
        <w:rPr>
          <w:rFonts w:hint="eastAsia" w:ascii="宋体" w:hAnsi="宋体" w:cs="宋体"/>
          <w:color w:val="000000" w:themeColor="text1"/>
          <w:kern w:val="0"/>
          <w:sz w:val="24"/>
          <w14:textFill>
            <w14:solidFill>
              <w14:schemeClr w14:val="tx1"/>
            </w14:solidFill>
          </w14:textFill>
        </w:rPr>
      </w:pPr>
    </w:p>
    <w:p>
      <w:pPr>
        <w:autoSpaceDE w:val="0"/>
        <w:autoSpaceDN w:val="0"/>
        <w:adjustRightInd w:val="0"/>
        <w:spacing w:line="360" w:lineRule="auto"/>
        <w:jc w:val="left"/>
        <w:rPr>
          <w:rFonts w:hint="eastAsia"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注：1</w:t>
      </w:r>
      <w:r>
        <w:rPr>
          <w:rFonts w:hint="eastAsia" w:ascii="宋体" w:hAnsi="宋体" w:cs="宋体"/>
          <w:color w:val="000000" w:themeColor="text1"/>
          <w:sz w:val="24"/>
          <w:szCs w:val="20"/>
          <w14:textFill>
            <w14:solidFill>
              <w14:schemeClr w14:val="tx1"/>
            </w14:solidFill>
          </w14:textFill>
        </w:rPr>
        <w:t>.此表中，每包的投标报价应和《投标分项报价表》中的总价相一致。</w:t>
      </w:r>
    </w:p>
    <w:p>
      <w:pPr>
        <w:tabs>
          <w:tab w:val="left" w:pos="5580"/>
        </w:tabs>
        <w:spacing w:line="360" w:lineRule="auto"/>
        <w:ind w:firstLine="480" w:firstLineChars="200"/>
        <w:rPr>
          <w:rFonts w:hint="eastAsia"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2.本表必须按包分别填写。</w:t>
      </w:r>
    </w:p>
    <w:p>
      <w:pPr>
        <w:autoSpaceDE w:val="0"/>
        <w:autoSpaceDN w:val="0"/>
        <w:adjustRightInd w:val="0"/>
        <w:snapToGrid w:val="0"/>
        <w:spacing w:before="25" w:after="25" w:line="360" w:lineRule="auto"/>
        <w:rPr>
          <w:rFonts w:hint="eastAsia" w:ascii="宋体" w:hAnsi="宋体" w:cs="宋体"/>
          <w:color w:val="000000" w:themeColor="text1"/>
          <w:sz w:val="24"/>
          <w:lang w:val="zh-CN"/>
          <w14:textFill>
            <w14:solidFill>
              <w14:schemeClr w14:val="tx1"/>
            </w14:solidFill>
          </w14:textFill>
        </w:rPr>
      </w:pPr>
    </w:p>
    <w:p>
      <w:pPr>
        <w:autoSpaceDE w:val="0"/>
        <w:autoSpaceDN w:val="0"/>
        <w:adjustRightInd w:val="0"/>
        <w:snapToGrid w:val="0"/>
        <w:spacing w:before="25" w:after="25" w:line="360" w:lineRule="auto"/>
        <w:rPr>
          <w:rFonts w:hint="eastAsia" w:ascii="宋体" w:hAnsi="宋体" w:cs="宋体"/>
          <w:color w:val="000000" w:themeColor="text1"/>
          <w:sz w:val="24"/>
          <w:lang w:val="zh-CN"/>
          <w14:textFill>
            <w14:solidFill>
              <w14:schemeClr w14:val="tx1"/>
            </w14:solidFill>
          </w14:textFill>
        </w:rPr>
      </w:pPr>
    </w:p>
    <w:p>
      <w:pPr>
        <w:autoSpaceDE w:val="0"/>
        <w:autoSpaceDN w:val="0"/>
        <w:adjustRightInd w:val="0"/>
        <w:snapToGrid w:val="0"/>
        <w:spacing w:before="25" w:after="25" w:line="360" w:lineRule="auto"/>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w:t>
      </w:r>
    </w:p>
    <w:p>
      <w:pPr>
        <w:autoSpaceDE w:val="0"/>
        <w:autoSpaceDN w:val="0"/>
        <w:adjustRightInd w:val="0"/>
        <w:snapToGrid w:val="0"/>
        <w:spacing w:before="25" w:after="25" w:line="360" w:lineRule="auto"/>
        <w:rPr>
          <w:rFonts w:hint="eastAsia"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日期：_____年______月______日   </w:t>
      </w:r>
      <w:bookmarkStart w:id="920" w:name="_Toc142311060"/>
      <w:bookmarkStart w:id="921" w:name="_Toc195842924"/>
      <w:bookmarkStart w:id="922" w:name="_Toc305158827"/>
      <w:bookmarkStart w:id="923" w:name="_Toc305158901"/>
      <w:bookmarkStart w:id="924" w:name="_Toc226965832"/>
      <w:bookmarkStart w:id="925" w:name="_Toc150774763"/>
      <w:bookmarkStart w:id="926" w:name="_Toc127151558"/>
      <w:bookmarkStart w:id="927" w:name="_Toc265228397"/>
      <w:bookmarkStart w:id="928" w:name="_Toc226337255"/>
      <w:bookmarkStart w:id="929" w:name="_Toc226309803"/>
      <w:bookmarkStart w:id="930" w:name="_Toc150480796"/>
      <w:bookmarkStart w:id="931" w:name="_Toc226965749"/>
      <w:bookmarkStart w:id="932" w:name="_Toc264969249"/>
    </w:p>
    <w:p>
      <w:pPr>
        <w:widowControl/>
        <w:jc w:val="left"/>
        <w:rPr>
          <w:rFonts w:hint="eastAsia" w:ascii="宋体" w:hAnsi="宋体" w:cs="宋体"/>
          <w:color w:val="000000" w:themeColor="text1"/>
          <w:sz w:val="24"/>
          <w:szCs w:val="20"/>
          <w14:textFill>
            <w14:solidFill>
              <w14:schemeClr w14:val="tx1"/>
            </w14:solidFill>
          </w14:textFill>
        </w:rPr>
        <w:sectPr>
          <w:footerReference r:id="rId8" w:type="default"/>
          <w:pgSz w:w="11907" w:h="16840"/>
          <w:pgMar w:top="1440" w:right="1800" w:bottom="1440" w:left="1800" w:header="851" w:footer="851" w:gutter="0"/>
          <w:pgNumType w:start="1"/>
          <w:cols w:space="720" w:num="1"/>
          <w:docGrid w:linePitch="462" w:charSpace="0"/>
        </w:sectPr>
      </w:pPr>
    </w:p>
    <w:p>
      <w:pPr>
        <w:spacing w:line="360" w:lineRule="auto"/>
        <w:outlineLvl w:val="2"/>
        <w:rPr>
          <w:rFonts w:hint="eastAsia" w:ascii="宋体" w:hAnsi="宋体" w:cs="宋体"/>
          <w:sz w:val="24"/>
          <w:szCs w:val="20"/>
        </w:rPr>
      </w:pPr>
      <w:r>
        <w:rPr>
          <w:rFonts w:hint="eastAsia" w:ascii="宋体" w:hAnsi="宋体" w:cs="宋体"/>
          <w:sz w:val="24"/>
          <w:szCs w:val="20"/>
        </w:rPr>
        <w:t>4  投标分项报价表（实质性格式）</w:t>
      </w:r>
    </w:p>
    <w:p>
      <w:pPr>
        <w:spacing w:line="360" w:lineRule="exact"/>
        <w:jc w:val="center"/>
        <w:rPr>
          <w:rFonts w:hint="eastAsia" w:ascii="宋体" w:hAnsi="宋体" w:cs="宋体"/>
          <w:b/>
          <w:sz w:val="36"/>
          <w:szCs w:val="36"/>
        </w:rPr>
      </w:pPr>
      <w:r>
        <w:rPr>
          <w:rFonts w:hint="eastAsia" w:ascii="宋体" w:hAnsi="宋体" w:cs="宋体"/>
          <w:b/>
          <w:sz w:val="36"/>
          <w:szCs w:val="36"/>
        </w:rPr>
        <w:t>投标分项报价表</w:t>
      </w:r>
    </w:p>
    <w:bookmarkEnd w:id="920"/>
    <w:bookmarkEnd w:id="921"/>
    <w:bookmarkEnd w:id="922"/>
    <w:bookmarkEnd w:id="923"/>
    <w:bookmarkEnd w:id="924"/>
    <w:bookmarkEnd w:id="925"/>
    <w:bookmarkEnd w:id="926"/>
    <w:bookmarkEnd w:id="927"/>
    <w:bookmarkEnd w:id="928"/>
    <w:bookmarkEnd w:id="929"/>
    <w:bookmarkEnd w:id="930"/>
    <w:bookmarkEnd w:id="931"/>
    <w:bookmarkEnd w:id="932"/>
    <w:p>
      <w:pPr>
        <w:tabs>
          <w:tab w:val="left" w:pos="1800"/>
          <w:tab w:val="left" w:pos="5580"/>
        </w:tabs>
        <w:rPr>
          <w:color w:val="000000"/>
          <w:sz w:val="24"/>
        </w:rPr>
      </w:pPr>
      <w:bookmarkStart w:id="933" w:name="_Toc150480798"/>
      <w:bookmarkStart w:id="934" w:name="_Toc150774765"/>
      <w:bookmarkStart w:id="935" w:name="_Toc226965835"/>
      <w:bookmarkStart w:id="936" w:name="_Toc142311062"/>
      <w:bookmarkStart w:id="937" w:name="_Toc305158830"/>
      <w:bookmarkStart w:id="938" w:name="_Toc305158904"/>
      <w:bookmarkStart w:id="939" w:name="_Toc226965752"/>
      <w:bookmarkStart w:id="940" w:name="_Toc265228400"/>
      <w:bookmarkStart w:id="941" w:name="_Toc226337258"/>
      <w:bookmarkStart w:id="942" w:name="_Toc127151562"/>
      <w:bookmarkStart w:id="943" w:name="_Toc226309806"/>
      <w:bookmarkStart w:id="944" w:name="_Toc264969252"/>
      <w:bookmarkStart w:id="945" w:name="_Toc195842927"/>
      <w:bookmarkStart w:id="946" w:name="_Toc226337257"/>
      <w:bookmarkStart w:id="947" w:name="_Toc226309805"/>
      <w:bookmarkStart w:id="948" w:name="_Toc150480797"/>
      <w:bookmarkStart w:id="949" w:name="_Toc142311061"/>
      <w:bookmarkStart w:id="950" w:name="_Toc127151561"/>
      <w:bookmarkStart w:id="951" w:name="_Toc150774764"/>
      <w:bookmarkStart w:id="952" w:name="_Toc265228399"/>
      <w:bookmarkStart w:id="953" w:name="_Toc195842926"/>
      <w:bookmarkStart w:id="954" w:name="_Toc264969251"/>
      <w:bookmarkStart w:id="955" w:name="_Toc305158903"/>
      <w:bookmarkStart w:id="956" w:name="_Toc226965751"/>
      <w:bookmarkStart w:id="957" w:name="_Toc305158829"/>
      <w:bookmarkStart w:id="958" w:name="_Toc226965834"/>
      <w:r>
        <w:rPr>
          <w:color w:val="000000"/>
          <w:sz w:val="24"/>
        </w:rPr>
        <w:t>项目编号/包号：___________ 项目名称：__________报价单位：人民币元</w:t>
      </w:r>
    </w:p>
    <w:tbl>
      <w:tblPr>
        <w:tblStyle w:val="52"/>
        <w:tblW w:w="492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8"/>
        <w:gridCol w:w="2695"/>
        <w:gridCol w:w="1236"/>
        <w:gridCol w:w="1107"/>
        <w:gridCol w:w="1234"/>
        <w:gridCol w:w="1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vAlign w:val="center"/>
          </w:tcPr>
          <w:p>
            <w:pPr>
              <w:adjustRightInd w:val="0"/>
              <w:snapToGrid w:val="0"/>
              <w:jc w:val="left"/>
              <w:rPr>
                <w:b/>
                <w:color w:val="000000"/>
                <w:sz w:val="24"/>
              </w:rPr>
            </w:pPr>
            <w:r>
              <w:rPr>
                <w:b/>
                <w:color w:val="000000"/>
                <w:sz w:val="24"/>
              </w:rPr>
              <w:t>序号</w:t>
            </w:r>
          </w:p>
        </w:tc>
        <w:tc>
          <w:tcPr>
            <w:tcW w:w="1605" w:type="pct"/>
            <w:vAlign w:val="center"/>
          </w:tcPr>
          <w:p>
            <w:pPr>
              <w:adjustRightInd w:val="0"/>
              <w:snapToGrid w:val="0"/>
              <w:jc w:val="center"/>
              <w:rPr>
                <w:b/>
                <w:color w:val="000000"/>
                <w:sz w:val="24"/>
              </w:rPr>
            </w:pPr>
            <w:r>
              <w:rPr>
                <w:b/>
                <w:color w:val="000000"/>
                <w:sz w:val="24"/>
              </w:rPr>
              <w:t>分项名称</w:t>
            </w:r>
          </w:p>
        </w:tc>
        <w:tc>
          <w:tcPr>
            <w:tcW w:w="736" w:type="pct"/>
            <w:vAlign w:val="center"/>
          </w:tcPr>
          <w:p>
            <w:pPr>
              <w:adjustRightInd w:val="0"/>
              <w:snapToGrid w:val="0"/>
              <w:jc w:val="center"/>
              <w:rPr>
                <w:b/>
                <w:color w:val="000000"/>
                <w:sz w:val="24"/>
              </w:rPr>
            </w:pPr>
            <w:r>
              <w:rPr>
                <w:b/>
                <w:color w:val="000000"/>
                <w:sz w:val="24"/>
              </w:rPr>
              <w:t>单价（元）</w:t>
            </w:r>
          </w:p>
        </w:tc>
        <w:tc>
          <w:tcPr>
            <w:tcW w:w="659" w:type="pct"/>
            <w:vAlign w:val="center"/>
          </w:tcPr>
          <w:p>
            <w:pPr>
              <w:adjustRightInd w:val="0"/>
              <w:snapToGrid w:val="0"/>
              <w:jc w:val="center"/>
              <w:rPr>
                <w:b/>
                <w:color w:val="000000"/>
                <w:sz w:val="24"/>
              </w:rPr>
            </w:pPr>
            <w:r>
              <w:rPr>
                <w:b/>
                <w:color w:val="000000"/>
                <w:sz w:val="24"/>
              </w:rPr>
              <w:t>数量</w:t>
            </w:r>
          </w:p>
        </w:tc>
        <w:tc>
          <w:tcPr>
            <w:tcW w:w="735" w:type="pct"/>
            <w:vAlign w:val="center"/>
          </w:tcPr>
          <w:p>
            <w:pPr>
              <w:adjustRightInd w:val="0"/>
              <w:snapToGrid w:val="0"/>
              <w:jc w:val="center"/>
              <w:rPr>
                <w:b/>
                <w:color w:val="000000"/>
                <w:sz w:val="24"/>
              </w:rPr>
            </w:pPr>
            <w:r>
              <w:rPr>
                <w:b/>
                <w:color w:val="000000"/>
                <w:sz w:val="24"/>
              </w:rPr>
              <w:t>合价（元）</w:t>
            </w:r>
          </w:p>
        </w:tc>
        <w:tc>
          <w:tcPr>
            <w:tcW w:w="933" w:type="pct"/>
            <w:vAlign w:val="center"/>
          </w:tcPr>
          <w:p>
            <w:pPr>
              <w:adjustRightInd w:val="0"/>
              <w:snapToGrid w:val="0"/>
              <w:jc w:val="center"/>
              <w:rPr>
                <w:b/>
                <w:color w:val="000000"/>
                <w:sz w:val="24"/>
              </w:rPr>
            </w:pPr>
            <w:r>
              <w:rPr>
                <w:b/>
                <w:color w:val="000000"/>
                <w:sz w:val="24"/>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332" w:type="pct"/>
            <w:vAlign w:val="center"/>
          </w:tcPr>
          <w:p>
            <w:pPr>
              <w:adjustRightInd w:val="0"/>
              <w:snapToGrid w:val="0"/>
              <w:jc w:val="center"/>
              <w:rPr>
                <w:color w:val="000000"/>
                <w:sz w:val="24"/>
              </w:rPr>
            </w:pPr>
            <w:r>
              <w:rPr>
                <w:color w:val="000000"/>
                <w:sz w:val="24"/>
              </w:rPr>
              <w:t>1</w:t>
            </w:r>
          </w:p>
        </w:tc>
        <w:tc>
          <w:tcPr>
            <w:tcW w:w="1605" w:type="pct"/>
            <w:vAlign w:val="center"/>
          </w:tcPr>
          <w:p>
            <w:pPr>
              <w:adjustRightInd w:val="0"/>
              <w:snapToGrid w:val="0"/>
              <w:jc w:val="left"/>
              <w:rPr>
                <w:color w:val="000000"/>
                <w:sz w:val="24"/>
              </w:rPr>
            </w:pPr>
          </w:p>
        </w:tc>
        <w:tc>
          <w:tcPr>
            <w:tcW w:w="736" w:type="pct"/>
            <w:vAlign w:val="center"/>
          </w:tcPr>
          <w:p>
            <w:pPr>
              <w:adjustRightInd w:val="0"/>
              <w:snapToGrid w:val="0"/>
              <w:jc w:val="left"/>
              <w:rPr>
                <w:color w:val="000000"/>
                <w:sz w:val="24"/>
              </w:rPr>
            </w:pPr>
          </w:p>
        </w:tc>
        <w:tc>
          <w:tcPr>
            <w:tcW w:w="659" w:type="pct"/>
            <w:vAlign w:val="center"/>
          </w:tcPr>
          <w:p>
            <w:pPr>
              <w:adjustRightInd w:val="0"/>
              <w:snapToGrid w:val="0"/>
              <w:jc w:val="center"/>
              <w:rPr>
                <w:color w:val="000000"/>
                <w:sz w:val="24"/>
              </w:rPr>
            </w:pPr>
          </w:p>
        </w:tc>
        <w:tc>
          <w:tcPr>
            <w:tcW w:w="735" w:type="pct"/>
            <w:vAlign w:val="center"/>
          </w:tcPr>
          <w:p>
            <w:pPr>
              <w:adjustRightInd w:val="0"/>
              <w:snapToGrid w:val="0"/>
              <w:jc w:val="left"/>
              <w:rPr>
                <w:color w:val="000000"/>
                <w:sz w:val="24"/>
              </w:rPr>
            </w:pPr>
          </w:p>
        </w:tc>
        <w:tc>
          <w:tcPr>
            <w:tcW w:w="933" w:type="pct"/>
            <w:vAlign w:val="center"/>
          </w:tcPr>
          <w:p>
            <w:pPr>
              <w:adjustRightInd w:val="0"/>
              <w:snapToGrid w:val="0"/>
              <w:jc w:val="left"/>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32" w:type="pct"/>
            <w:vAlign w:val="center"/>
          </w:tcPr>
          <w:p>
            <w:pPr>
              <w:adjustRightInd w:val="0"/>
              <w:snapToGrid w:val="0"/>
              <w:jc w:val="center"/>
              <w:rPr>
                <w:color w:val="000000"/>
                <w:sz w:val="24"/>
              </w:rPr>
            </w:pPr>
            <w:r>
              <w:rPr>
                <w:color w:val="000000"/>
                <w:sz w:val="24"/>
              </w:rPr>
              <w:t>2</w:t>
            </w:r>
          </w:p>
        </w:tc>
        <w:tc>
          <w:tcPr>
            <w:tcW w:w="1605" w:type="pct"/>
            <w:vAlign w:val="center"/>
          </w:tcPr>
          <w:p>
            <w:pPr>
              <w:adjustRightInd w:val="0"/>
              <w:snapToGrid w:val="0"/>
              <w:jc w:val="left"/>
              <w:rPr>
                <w:color w:val="000000"/>
                <w:sz w:val="24"/>
              </w:rPr>
            </w:pPr>
          </w:p>
        </w:tc>
        <w:tc>
          <w:tcPr>
            <w:tcW w:w="736" w:type="pct"/>
            <w:vAlign w:val="center"/>
          </w:tcPr>
          <w:p>
            <w:pPr>
              <w:adjustRightInd w:val="0"/>
              <w:snapToGrid w:val="0"/>
              <w:jc w:val="left"/>
              <w:rPr>
                <w:color w:val="000000"/>
                <w:sz w:val="24"/>
              </w:rPr>
            </w:pPr>
          </w:p>
        </w:tc>
        <w:tc>
          <w:tcPr>
            <w:tcW w:w="659" w:type="pct"/>
            <w:vAlign w:val="center"/>
          </w:tcPr>
          <w:p>
            <w:pPr>
              <w:adjustRightInd w:val="0"/>
              <w:snapToGrid w:val="0"/>
              <w:jc w:val="center"/>
              <w:rPr>
                <w:color w:val="000000"/>
                <w:sz w:val="24"/>
              </w:rPr>
            </w:pPr>
          </w:p>
        </w:tc>
        <w:tc>
          <w:tcPr>
            <w:tcW w:w="735" w:type="pct"/>
            <w:vAlign w:val="center"/>
          </w:tcPr>
          <w:p>
            <w:pPr>
              <w:adjustRightInd w:val="0"/>
              <w:snapToGrid w:val="0"/>
              <w:jc w:val="left"/>
              <w:rPr>
                <w:color w:val="000000"/>
                <w:sz w:val="24"/>
              </w:rPr>
            </w:pPr>
          </w:p>
        </w:tc>
        <w:tc>
          <w:tcPr>
            <w:tcW w:w="933" w:type="pct"/>
            <w:vAlign w:val="center"/>
          </w:tcPr>
          <w:p>
            <w:pPr>
              <w:adjustRightInd w:val="0"/>
              <w:snapToGrid w:val="0"/>
              <w:jc w:val="left"/>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32" w:type="pct"/>
            <w:vAlign w:val="center"/>
          </w:tcPr>
          <w:p>
            <w:pPr>
              <w:adjustRightInd w:val="0"/>
              <w:snapToGrid w:val="0"/>
              <w:jc w:val="center"/>
              <w:rPr>
                <w:color w:val="000000"/>
                <w:sz w:val="24"/>
              </w:rPr>
            </w:pPr>
            <w:r>
              <w:rPr>
                <w:color w:val="000000"/>
                <w:sz w:val="24"/>
              </w:rPr>
              <w:t>3</w:t>
            </w:r>
          </w:p>
        </w:tc>
        <w:tc>
          <w:tcPr>
            <w:tcW w:w="1605" w:type="pct"/>
            <w:vAlign w:val="center"/>
          </w:tcPr>
          <w:p>
            <w:pPr>
              <w:adjustRightInd w:val="0"/>
              <w:snapToGrid w:val="0"/>
              <w:jc w:val="left"/>
              <w:rPr>
                <w:color w:val="000000"/>
                <w:sz w:val="24"/>
              </w:rPr>
            </w:pPr>
            <w:r>
              <w:rPr>
                <w:color w:val="000000"/>
                <w:sz w:val="24"/>
              </w:rPr>
              <w:t>…</w:t>
            </w:r>
          </w:p>
        </w:tc>
        <w:tc>
          <w:tcPr>
            <w:tcW w:w="736" w:type="pct"/>
            <w:vAlign w:val="center"/>
          </w:tcPr>
          <w:p>
            <w:pPr>
              <w:adjustRightInd w:val="0"/>
              <w:snapToGrid w:val="0"/>
              <w:jc w:val="left"/>
              <w:rPr>
                <w:color w:val="000000"/>
                <w:sz w:val="24"/>
              </w:rPr>
            </w:pPr>
          </w:p>
        </w:tc>
        <w:tc>
          <w:tcPr>
            <w:tcW w:w="659" w:type="pct"/>
            <w:vAlign w:val="center"/>
          </w:tcPr>
          <w:p>
            <w:pPr>
              <w:adjustRightInd w:val="0"/>
              <w:snapToGrid w:val="0"/>
              <w:jc w:val="center"/>
              <w:rPr>
                <w:color w:val="000000"/>
                <w:sz w:val="24"/>
              </w:rPr>
            </w:pPr>
          </w:p>
        </w:tc>
        <w:tc>
          <w:tcPr>
            <w:tcW w:w="735" w:type="pct"/>
            <w:vAlign w:val="center"/>
          </w:tcPr>
          <w:p>
            <w:pPr>
              <w:adjustRightInd w:val="0"/>
              <w:snapToGrid w:val="0"/>
              <w:jc w:val="left"/>
              <w:rPr>
                <w:color w:val="000000"/>
                <w:sz w:val="24"/>
              </w:rPr>
            </w:pPr>
          </w:p>
        </w:tc>
        <w:tc>
          <w:tcPr>
            <w:tcW w:w="933" w:type="pct"/>
            <w:vAlign w:val="center"/>
          </w:tcPr>
          <w:p>
            <w:pPr>
              <w:adjustRightInd w:val="0"/>
              <w:snapToGrid w:val="0"/>
              <w:jc w:val="left"/>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 w:type="pct"/>
            <w:gridSpan w:val="4"/>
            <w:vAlign w:val="center"/>
          </w:tcPr>
          <w:p>
            <w:pPr>
              <w:adjustRightInd w:val="0"/>
              <w:snapToGrid w:val="0"/>
              <w:jc w:val="right"/>
              <w:rPr>
                <w:color w:val="000000"/>
                <w:sz w:val="24"/>
              </w:rPr>
            </w:pPr>
            <w:r>
              <w:rPr>
                <w:b/>
                <w:color w:val="000000"/>
                <w:sz w:val="24"/>
              </w:rPr>
              <w:t>总价（元）</w:t>
            </w:r>
          </w:p>
        </w:tc>
        <w:tc>
          <w:tcPr>
            <w:tcW w:w="735" w:type="pct"/>
            <w:vAlign w:val="center"/>
          </w:tcPr>
          <w:p>
            <w:pPr>
              <w:adjustRightInd w:val="0"/>
              <w:snapToGrid w:val="0"/>
              <w:jc w:val="left"/>
              <w:rPr>
                <w:color w:val="000000"/>
                <w:sz w:val="24"/>
              </w:rPr>
            </w:pPr>
          </w:p>
        </w:tc>
        <w:tc>
          <w:tcPr>
            <w:tcW w:w="933" w:type="pct"/>
            <w:vAlign w:val="center"/>
          </w:tcPr>
          <w:p>
            <w:pPr>
              <w:adjustRightInd w:val="0"/>
              <w:snapToGrid w:val="0"/>
              <w:jc w:val="left"/>
              <w:rPr>
                <w:color w:val="000000"/>
                <w:sz w:val="24"/>
              </w:rPr>
            </w:pPr>
          </w:p>
        </w:tc>
      </w:tr>
    </w:tbl>
    <w:p>
      <w:pPr>
        <w:tabs>
          <w:tab w:val="left" w:pos="1800"/>
          <w:tab w:val="left" w:pos="5580"/>
        </w:tabs>
        <w:jc w:val="left"/>
        <w:rPr>
          <w:color w:val="000000"/>
          <w:sz w:val="24"/>
        </w:rPr>
      </w:pPr>
    </w:p>
    <w:p>
      <w:pPr>
        <w:tabs>
          <w:tab w:val="left" w:pos="1800"/>
          <w:tab w:val="left" w:pos="5580"/>
        </w:tabs>
        <w:jc w:val="left"/>
        <w:rPr>
          <w:color w:val="000000"/>
          <w:sz w:val="24"/>
        </w:rPr>
      </w:pPr>
    </w:p>
    <w:p>
      <w:pPr>
        <w:tabs>
          <w:tab w:val="left" w:pos="1800"/>
          <w:tab w:val="left" w:pos="5580"/>
        </w:tabs>
        <w:jc w:val="left"/>
        <w:rPr>
          <w:color w:val="000000"/>
          <w:sz w:val="24"/>
        </w:rPr>
      </w:pPr>
    </w:p>
    <w:p>
      <w:pPr>
        <w:tabs>
          <w:tab w:val="left" w:pos="1800"/>
          <w:tab w:val="left" w:pos="5580"/>
        </w:tabs>
        <w:jc w:val="left"/>
        <w:rPr>
          <w:color w:val="000000"/>
          <w:sz w:val="24"/>
        </w:rPr>
      </w:pPr>
    </w:p>
    <w:p>
      <w:pPr>
        <w:tabs>
          <w:tab w:val="left" w:pos="1800"/>
          <w:tab w:val="left" w:pos="5580"/>
        </w:tabs>
        <w:jc w:val="left"/>
        <w:rPr>
          <w:color w:val="000000"/>
          <w:sz w:val="24"/>
        </w:rPr>
      </w:pPr>
      <w:r>
        <w:rPr>
          <w:color w:val="000000"/>
          <w:sz w:val="24"/>
        </w:rPr>
        <w:t>注：1.本表应按包分别填写。</w:t>
      </w:r>
    </w:p>
    <w:p>
      <w:pPr>
        <w:tabs>
          <w:tab w:val="left" w:pos="1800"/>
          <w:tab w:val="left" w:pos="5580"/>
        </w:tabs>
        <w:ind w:firstLine="480" w:firstLineChars="200"/>
        <w:jc w:val="left"/>
        <w:rPr>
          <w:color w:val="000000"/>
          <w:sz w:val="24"/>
        </w:rPr>
      </w:pPr>
      <w:r>
        <w:rPr>
          <w:color w:val="000000"/>
          <w:sz w:val="24"/>
        </w:rPr>
        <w:t>2.如果不提供分项报价将视为没有实质性响应招标文件。</w:t>
      </w:r>
    </w:p>
    <w:p>
      <w:pPr>
        <w:tabs>
          <w:tab w:val="left" w:pos="1800"/>
          <w:tab w:val="left" w:pos="5580"/>
        </w:tabs>
        <w:ind w:firstLine="480" w:firstLineChars="200"/>
        <w:jc w:val="left"/>
        <w:rPr>
          <w:color w:val="000000"/>
          <w:sz w:val="24"/>
        </w:rPr>
      </w:pPr>
      <w:r>
        <w:rPr>
          <w:color w:val="000000"/>
          <w:sz w:val="24"/>
        </w:rPr>
        <w:t>3.上述各项的详细规格（如有），可另页描述。</w:t>
      </w:r>
    </w:p>
    <w:p>
      <w:pPr>
        <w:tabs>
          <w:tab w:val="left" w:pos="1800"/>
          <w:tab w:val="left" w:pos="5580"/>
        </w:tabs>
        <w:ind w:firstLine="480" w:firstLineChars="200"/>
        <w:jc w:val="left"/>
        <w:rPr>
          <w:color w:val="000000"/>
          <w:sz w:val="24"/>
        </w:rPr>
      </w:pPr>
    </w:p>
    <w:p>
      <w:pPr>
        <w:autoSpaceDE w:val="0"/>
        <w:autoSpaceDN w:val="0"/>
        <w:adjustRightInd w:val="0"/>
        <w:snapToGrid w:val="0"/>
        <w:spacing w:before="25" w:after="25" w:line="360" w:lineRule="auto"/>
        <w:rPr>
          <w:color w:val="000000"/>
          <w:sz w:val="24"/>
          <w:lang w:val="zh-CN"/>
        </w:rPr>
      </w:pPr>
      <w:r>
        <w:rPr>
          <w:color w:val="000000"/>
          <w:sz w:val="24"/>
          <w:lang w:val="zh-CN"/>
        </w:rPr>
        <w:t xml:space="preserve">                  </w:t>
      </w:r>
    </w:p>
    <w:p>
      <w:pPr>
        <w:autoSpaceDE w:val="0"/>
        <w:autoSpaceDN w:val="0"/>
        <w:adjustRightInd w:val="0"/>
        <w:snapToGrid w:val="0"/>
        <w:spacing w:before="25" w:after="25" w:line="360" w:lineRule="auto"/>
        <w:rPr>
          <w:color w:val="000000"/>
          <w:sz w:val="24"/>
          <w:lang w:val="zh-CN"/>
        </w:rPr>
      </w:pPr>
      <w:r>
        <w:rPr>
          <w:color w:val="000000"/>
          <w:sz w:val="24"/>
        </w:rPr>
        <w:t>投标人名称（加盖公章）</w:t>
      </w:r>
      <w:r>
        <w:rPr>
          <w:color w:val="000000"/>
          <w:sz w:val="24"/>
          <w:lang w:val="zh-CN"/>
        </w:rPr>
        <w:t>：____________</w:t>
      </w:r>
    </w:p>
    <w:p>
      <w:pPr>
        <w:autoSpaceDE w:val="0"/>
        <w:autoSpaceDN w:val="0"/>
        <w:adjustRightInd w:val="0"/>
        <w:snapToGrid w:val="0"/>
        <w:spacing w:before="25" w:after="25" w:line="360" w:lineRule="auto"/>
        <w:rPr>
          <w:color w:val="000000"/>
          <w:sz w:val="24"/>
          <w:lang w:val="zh-CN"/>
        </w:rPr>
      </w:pPr>
      <w:r>
        <w:rPr>
          <w:color w:val="000000"/>
          <w:sz w:val="24"/>
          <w:szCs w:val="20"/>
        </w:rPr>
        <w:t xml:space="preserve">日期：_____年______月______日   </w:t>
      </w:r>
    </w:p>
    <w:p>
      <w:pPr>
        <w:rPr>
          <w:rFonts w:hint="eastAsia"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br w:type="page"/>
      </w:r>
    </w:p>
    <w:p>
      <w:pPr>
        <w:pStyle w:val="6"/>
        <w:rPr>
          <w:rFonts w:hint="eastAsia" w:hAnsi="宋体" w:cs="宋体"/>
          <w:b w:val="0"/>
          <w:color w:val="000000" w:themeColor="text1"/>
          <w:szCs w:val="24"/>
          <w:u w:val="none"/>
          <w14:textFill>
            <w14:solidFill>
              <w14:schemeClr w14:val="tx1"/>
            </w14:solidFill>
          </w14:textFill>
        </w:rPr>
      </w:pPr>
      <w:r>
        <w:rPr>
          <w:rFonts w:hint="eastAsia" w:hAnsi="宋体" w:cs="宋体"/>
          <w:b w:val="0"/>
          <w:color w:val="000000" w:themeColor="text1"/>
          <w:szCs w:val="24"/>
          <w:u w:val="none"/>
          <w14:textFill>
            <w14:solidFill>
              <w14:schemeClr w14:val="tx1"/>
            </w14:solidFill>
          </w14:textFill>
        </w:rPr>
        <w:t>5  合同条款偏离表</w:t>
      </w:r>
      <w:bookmarkEnd w:id="933"/>
      <w:bookmarkEnd w:id="934"/>
      <w:bookmarkEnd w:id="935"/>
      <w:bookmarkEnd w:id="936"/>
      <w:bookmarkEnd w:id="937"/>
      <w:bookmarkEnd w:id="938"/>
      <w:bookmarkEnd w:id="939"/>
      <w:bookmarkEnd w:id="940"/>
      <w:bookmarkEnd w:id="941"/>
      <w:bookmarkEnd w:id="942"/>
      <w:bookmarkEnd w:id="943"/>
      <w:bookmarkEnd w:id="944"/>
      <w:bookmarkEnd w:id="945"/>
      <w:r>
        <w:rPr>
          <w:rFonts w:hint="eastAsia" w:hAnsi="宋体" w:cs="宋体"/>
          <w:b w:val="0"/>
          <w:color w:val="000000" w:themeColor="text1"/>
          <w:szCs w:val="24"/>
          <w:u w:val="none"/>
          <w14:textFill>
            <w14:solidFill>
              <w14:schemeClr w14:val="tx1"/>
            </w14:solidFill>
          </w14:textFill>
        </w:rPr>
        <w:t>（实质性格式）</w:t>
      </w:r>
    </w:p>
    <w:p>
      <w:pPr>
        <w:tabs>
          <w:tab w:val="left" w:pos="2775"/>
          <w:tab w:val="center" w:pos="4153"/>
        </w:tabs>
        <w:autoSpaceDE w:val="0"/>
        <w:autoSpaceDN w:val="0"/>
        <w:adjustRightInd w:val="0"/>
        <w:spacing w:line="360" w:lineRule="auto"/>
        <w:jc w:val="center"/>
        <w:rPr>
          <w:rFonts w:hint="eastAsia"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合同条款偏离表</w:t>
      </w:r>
    </w:p>
    <w:p>
      <w:pPr>
        <w:tabs>
          <w:tab w:val="left" w:pos="1800"/>
          <w:tab w:val="left" w:pos="5580"/>
        </w:tabs>
        <w:spacing w:line="360" w:lineRule="auto"/>
        <w:ind w:firstLine="360" w:firstLineChars="150"/>
        <w:jc w:val="left"/>
        <w:rPr>
          <w:rFonts w:hint="eastAsia" w:ascii="宋体" w:hAnsi="宋体" w:cs="宋体"/>
          <w:color w:val="000000" w:themeColor="text1"/>
          <w:sz w:val="24"/>
          <w14:textFill>
            <w14:solidFill>
              <w14:schemeClr w14:val="tx1"/>
            </w14:solidFill>
          </w14:textFill>
        </w:rPr>
      </w:pPr>
      <w:r>
        <w:rPr>
          <w:rFonts w:hint="eastAsia" w:ascii="宋体" w:hAnsi="宋体" w:cs="宋体"/>
          <w:sz w:val="24"/>
        </w:rPr>
        <w:t>项目编号/包号</w:t>
      </w:r>
      <w:r>
        <w:rPr>
          <w:rFonts w:hint="eastAsia" w:ascii="宋体" w:hAnsi="宋体" w:cs="宋体"/>
          <w:color w:val="000000" w:themeColor="text1"/>
          <w:sz w:val="24"/>
          <w14:textFill>
            <w14:solidFill>
              <w14:schemeClr w14:val="tx1"/>
            </w14:solidFill>
          </w14:textFill>
        </w:rPr>
        <w:t>：_____________________     项目名称：_____________</w:t>
      </w:r>
    </w:p>
    <w:tbl>
      <w:tblPr>
        <w:tblStyle w:val="52"/>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9"/>
        <w:gridCol w:w="1772"/>
        <w:gridCol w:w="1675"/>
        <w:gridCol w:w="1675"/>
        <w:gridCol w:w="1874"/>
        <w:gridCol w:w="11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159" w:type="dxa"/>
          </w:tcPr>
          <w:p>
            <w:pPr>
              <w:autoSpaceDE w:val="0"/>
              <w:autoSpaceDN w:val="0"/>
              <w:spacing w:before="336" w:line="201" w:lineRule="auto"/>
              <w:ind w:left="341"/>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序号</w:t>
            </w:r>
          </w:p>
        </w:tc>
        <w:tc>
          <w:tcPr>
            <w:tcW w:w="1772" w:type="dxa"/>
          </w:tcPr>
          <w:p>
            <w:pPr>
              <w:autoSpaceDE w:val="0"/>
              <w:autoSpaceDN w:val="0"/>
              <w:spacing w:before="163" w:line="199" w:lineRule="auto"/>
              <w:ind w:left="287" w:right="165" w:hanging="121"/>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招标文件条目</w:t>
            </w:r>
            <w:r>
              <w:rPr>
                <w:rFonts w:hint="eastAsia" w:ascii="宋体" w:hAnsi="宋体" w:cs="宋体"/>
                <w:color w:val="000000" w:themeColor="text1"/>
                <w:sz w:val="24"/>
                <w14:textFill>
                  <w14:solidFill>
                    <w14:schemeClr w14:val="tx1"/>
                  </w14:solidFill>
                </w14:textFill>
              </w:rPr>
              <w:t xml:space="preserve"> 号（页码）</w:t>
            </w:r>
          </w:p>
        </w:tc>
        <w:tc>
          <w:tcPr>
            <w:tcW w:w="1675" w:type="dxa"/>
          </w:tcPr>
          <w:p>
            <w:pPr>
              <w:autoSpaceDE w:val="0"/>
              <w:autoSpaceDN w:val="0"/>
              <w:spacing w:before="336" w:line="201" w:lineRule="auto"/>
              <w:ind w:left="119"/>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招标文件要求</w:t>
            </w:r>
          </w:p>
        </w:tc>
        <w:tc>
          <w:tcPr>
            <w:tcW w:w="1675" w:type="dxa"/>
          </w:tcPr>
          <w:p>
            <w:pPr>
              <w:autoSpaceDE w:val="0"/>
              <w:autoSpaceDN w:val="0"/>
              <w:spacing w:before="337" w:line="201" w:lineRule="auto"/>
              <w:ind w:left="12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投标文件内容</w:t>
            </w:r>
          </w:p>
        </w:tc>
        <w:tc>
          <w:tcPr>
            <w:tcW w:w="1874" w:type="dxa"/>
          </w:tcPr>
          <w:p>
            <w:pPr>
              <w:autoSpaceDE w:val="0"/>
              <w:autoSpaceDN w:val="0"/>
              <w:spacing w:before="337" w:line="201" w:lineRule="auto"/>
              <w:ind w:left="459"/>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偏离情况</w:t>
            </w:r>
          </w:p>
        </w:tc>
        <w:tc>
          <w:tcPr>
            <w:tcW w:w="1137" w:type="dxa"/>
          </w:tcPr>
          <w:p>
            <w:pPr>
              <w:autoSpaceDE w:val="0"/>
              <w:autoSpaceDN w:val="0"/>
              <w:spacing w:before="336" w:line="201" w:lineRule="auto"/>
              <w:ind w:left="327"/>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3" w:hRule="atLeast"/>
        </w:trPr>
        <w:tc>
          <w:tcPr>
            <w:tcW w:w="9292" w:type="dxa"/>
            <w:gridSpan w:val="6"/>
          </w:tcPr>
          <w:p>
            <w:pPr>
              <w:autoSpaceDE w:val="0"/>
              <w:autoSpaceDN w:val="0"/>
              <w:spacing w:before="40" w:line="360" w:lineRule="auto"/>
              <w:ind w:left="112"/>
              <w:rPr>
                <w:rFonts w:hint="eastAsia"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对本项目合同条款的偏离情况</w:t>
            </w:r>
            <w:r>
              <w:rPr>
                <w:rFonts w:hint="eastAsia" w:ascii="宋体" w:hAnsi="宋体" w:cs="宋体"/>
                <w:color w:val="000000" w:themeColor="text1"/>
                <w:sz w:val="24"/>
                <w14:textFill>
                  <w14:solidFill>
                    <w14:schemeClr w14:val="tx1"/>
                  </w14:solidFill>
                </w14:textFill>
              </w:rPr>
              <w:t>（应进行选择，未选择</w:t>
            </w:r>
            <w:r>
              <w:rPr>
                <w:rFonts w:hint="eastAsia" w:ascii="宋体" w:hAnsi="宋体" w:cs="宋体"/>
                <w:b/>
                <w:bCs/>
                <w:color w:val="000000" w:themeColor="text1"/>
                <w:sz w:val="24"/>
                <w14:textFill>
                  <w14:solidFill>
                    <w14:schemeClr w14:val="tx1"/>
                  </w14:solidFill>
                </w14:textFill>
              </w:rPr>
              <w:t>投标无效</w:t>
            </w:r>
            <w:r>
              <w:rPr>
                <w:rFonts w:hint="eastAsia" w:ascii="宋体" w:hAnsi="宋体" w:cs="宋体"/>
                <w:color w:val="000000" w:themeColor="text1"/>
                <w:spacing w:val="-51"/>
                <w:sz w:val="24"/>
                <w14:textFill>
                  <w14:solidFill>
                    <w14:schemeClr w14:val="tx1"/>
                  </w14:solidFill>
                </w14:textFill>
              </w:rPr>
              <w:t>）：</w:t>
            </w:r>
          </w:p>
          <w:p>
            <w:pPr>
              <w:pStyle w:val="260"/>
              <w:spacing w:before="13" w:line="360" w:lineRule="auto"/>
              <w:ind w:left="112" w:right="106" w:firstLine="18"/>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b/>
                <w:bCs/>
                <w:color w:val="000000" w:themeColor="text1"/>
                <w:spacing w:val="1"/>
                <w:sz w:val="24"/>
                <w:szCs w:val="24"/>
                <w:lang w:eastAsia="zh-CN"/>
                <w14:textFill>
                  <w14:solidFill>
                    <w14:schemeClr w14:val="tx1"/>
                  </w14:solidFill>
                </w14:textFill>
              </w:rPr>
              <w:t>□无偏离</w:t>
            </w:r>
            <w:r>
              <w:rPr>
                <w:rFonts w:hint="eastAsia" w:ascii="宋体" w:hAnsi="宋体" w:eastAsia="宋体" w:cs="宋体"/>
                <w:color w:val="000000" w:themeColor="text1"/>
                <w:spacing w:val="1"/>
                <w:sz w:val="24"/>
                <w:szCs w:val="24"/>
                <w:lang w:eastAsia="zh-CN"/>
                <w14:textFill>
                  <w14:solidFill>
                    <w14:schemeClr w14:val="tx1"/>
                  </w14:solidFill>
                </w14:textFill>
              </w:rPr>
              <w:t>（如无偏离，仅选择无偏离即可；无偏离即为</w:t>
            </w:r>
            <w:r>
              <w:rPr>
                <w:rFonts w:hint="eastAsia" w:ascii="宋体" w:hAnsi="宋体" w:eastAsia="宋体" w:cs="宋体"/>
                <w:color w:val="000000" w:themeColor="text1"/>
                <w:sz w:val="24"/>
                <w:szCs w:val="24"/>
                <w:lang w:eastAsia="zh-CN"/>
                <w14:textFill>
                  <w14:solidFill>
                    <w14:schemeClr w14:val="tx1"/>
                  </w14:solidFill>
                </w14:textFill>
              </w:rPr>
              <w:t xml:space="preserve">对合同条款中的所有要求，均视 </w:t>
            </w:r>
            <w:r>
              <w:rPr>
                <w:rFonts w:hint="eastAsia" w:ascii="宋体" w:hAnsi="宋体" w:eastAsia="宋体" w:cs="宋体"/>
                <w:color w:val="000000" w:themeColor="text1"/>
                <w:spacing w:val="-5"/>
                <w:sz w:val="24"/>
                <w:szCs w:val="24"/>
                <w:lang w:eastAsia="zh-CN"/>
                <w14:textFill>
                  <w14:solidFill>
                    <w14:schemeClr w14:val="tx1"/>
                  </w14:solidFill>
                </w14:textFill>
              </w:rPr>
              <w:t>作供应商已对之理解和响应。）</w:t>
            </w:r>
          </w:p>
          <w:p>
            <w:pPr>
              <w:pStyle w:val="260"/>
              <w:spacing w:before="11" w:line="360" w:lineRule="auto"/>
              <w:ind w:left="137" w:right="106" w:hanging="7"/>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bCs/>
                <w:color w:val="000000" w:themeColor="text1"/>
                <w:spacing w:val="1"/>
                <w:sz w:val="24"/>
                <w:szCs w:val="24"/>
                <w:lang w:eastAsia="zh-CN"/>
                <w14:textFill>
                  <w14:solidFill>
                    <w14:schemeClr w14:val="tx1"/>
                  </w14:solidFill>
                </w14:textFill>
              </w:rPr>
              <w:t>□有偏离</w:t>
            </w:r>
            <w:r>
              <w:rPr>
                <w:rFonts w:hint="eastAsia" w:ascii="宋体" w:hAnsi="宋体" w:eastAsia="宋体" w:cs="宋体"/>
                <w:color w:val="000000" w:themeColor="text1"/>
                <w:spacing w:val="1"/>
                <w:sz w:val="24"/>
                <w:szCs w:val="24"/>
                <w:lang w:eastAsia="zh-CN"/>
                <w14:textFill>
                  <w14:solidFill>
                    <w14:schemeClr w14:val="tx1"/>
                  </w14:solidFill>
                </w14:textFill>
              </w:rPr>
              <w:t>（如有偏离，则应在本表中对负偏离项逐一列</w:t>
            </w:r>
            <w:r>
              <w:rPr>
                <w:rFonts w:hint="eastAsia" w:ascii="宋体" w:hAnsi="宋体" w:eastAsia="宋体" w:cs="宋体"/>
                <w:color w:val="000000" w:themeColor="text1"/>
                <w:sz w:val="24"/>
                <w:szCs w:val="24"/>
                <w:lang w:eastAsia="zh-CN"/>
                <w14:textFill>
                  <w14:solidFill>
                    <w14:schemeClr w14:val="tx1"/>
                  </w14:solidFill>
                </w14:textFill>
              </w:rPr>
              <w:t>明，否则</w:t>
            </w:r>
            <w:r>
              <w:rPr>
                <w:rFonts w:hint="eastAsia" w:ascii="宋体" w:hAnsi="宋体" w:eastAsia="宋体" w:cs="宋体"/>
                <w:b/>
                <w:bCs/>
                <w:color w:val="000000" w:themeColor="text1"/>
                <w:sz w:val="24"/>
                <w:szCs w:val="24"/>
                <w:lang w:eastAsia="zh-CN"/>
                <w14:textFill>
                  <w14:solidFill>
                    <w14:schemeClr w14:val="tx1"/>
                  </w14:solidFill>
                </w14:textFill>
              </w:rPr>
              <w:t>投标无效</w:t>
            </w:r>
            <w:r>
              <w:rPr>
                <w:rFonts w:hint="eastAsia" w:ascii="宋体" w:hAnsi="宋体" w:eastAsia="宋体" w:cs="宋体"/>
                <w:color w:val="000000" w:themeColor="text1"/>
                <w:sz w:val="24"/>
                <w:szCs w:val="24"/>
                <w:lang w:eastAsia="zh-CN"/>
                <w14:textFill>
                  <w14:solidFill>
                    <w14:schemeClr w14:val="tx1"/>
                  </w14:solidFill>
                </w14:textFill>
              </w:rPr>
              <w:t xml:space="preserve">；对合同条款 </w:t>
            </w:r>
            <w:r>
              <w:rPr>
                <w:rFonts w:hint="eastAsia" w:ascii="宋体" w:hAnsi="宋体" w:eastAsia="宋体" w:cs="宋体"/>
                <w:color w:val="000000" w:themeColor="text1"/>
                <w:spacing w:val="-5"/>
                <w:sz w:val="24"/>
                <w:szCs w:val="24"/>
                <w:lang w:eastAsia="zh-CN"/>
                <w14:textFill>
                  <w14:solidFill>
                    <w14:schemeClr w14:val="tx1"/>
                  </w14:solidFill>
                </w14:textFill>
              </w:rPr>
              <w:t>中的所有要求，除本表列明的偏离外，均视作供应商已对之理解</w:t>
            </w:r>
            <w:r>
              <w:rPr>
                <w:rFonts w:hint="eastAsia" w:ascii="宋体" w:hAnsi="宋体" w:eastAsia="宋体" w:cs="宋体"/>
                <w:color w:val="000000" w:themeColor="text1"/>
                <w:spacing w:val="-6"/>
                <w:sz w:val="24"/>
                <w:szCs w:val="24"/>
                <w:lang w:eastAsia="zh-CN"/>
                <w14:textFill>
                  <w14:solidFill>
                    <w14:schemeClr w14:val="tx1"/>
                  </w14:solidFill>
                </w14:textFill>
              </w:rPr>
              <w:t>和响应。</w:t>
            </w:r>
            <w:r>
              <w:rPr>
                <w:rFonts w:hint="eastAsia" w:ascii="宋体" w:hAnsi="宋体" w:eastAsia="宋体" w:cs="宋体"/>
                <w:color w:val="000000" w:themeColor="text1"/>
                <w:spacing w:val="-6"/>
                <w:sz w:val="24"/>
                <w:szCs w:val="24"/>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1159" w:type="dxa"/>
          </w:tcPr>
          <w:p>
            <w:pPr>
              <w:pStyle w:val="260"/>
              <w:rPr>
                <w:rFonts w:hint="eastAsia" w:ascii="宋体" w:hAnsi="宋体" w:eastAsia="宋体" w:cs="宋体"/>
                <w:color w:val="000000" w:themeColor="text1"/>
                <w:sz w:val="22"/>
                <w14:textFill>
                  <w14:solidFill>
                    <w14:schemeClr w14:val="tx1"/>
                  </w14:solidFill>
                </w14:textFill>
              </w:rPr>
            </w:pPr>
          </w:p>
        </w:tc>
        <w:tc>
          <w:tcPr>
            <w:tcW w:w="1772" w:type="dxa"/>
          </w:tcPr>
          <w:p>
            <w:pPr>
              <w:pStyle w:val="260"/>
              <w:rPr>
                <w:rFonts w:hint="eastAsia" w:ascii="宋体" w:hAnsi="宋体" w:eastAsia="宋体" w:cs="宋体"/>
                <w:color w:val="000000" w:themeColor="text1"/>
                <w:sz w:val="22"/>
                <w14:textFill>
                  <w14:solidFill>
                    <w14:schemeClr w14:val="tx1"/>
                  </w14:solidFill>
                </w14:textFill>
              </w:rPr>
            </w:pPr>
          </w:p>
        </w:tc>
        <w:tc>
          <w:tcPr>
            <w:tcW w:w="1675" w:type="dxa"/>
          </w:tcPr>
          <w:p>
            <w:pPr>
              <w:pStyle w:val="260"/>
              <w:rPr>
                <w:rFonts w:hint="eastAsia" w:ascii="宋体" w:hAnsi="宋体" w:eastAsia="宋体" w:cs="宋体"/>
                <w:color w:val="000000" w:themeColor="text1"/>
                <w:sz w:val="22"/>
                <w14:textFill>
                  <w14:solidFill>
                    <w14:schemeClr w14:val="tx1"/>
                  </w14:solidFill>
                </w14:textFill>
              </w:rPr>
            </w:pPr>
          </w:p>
        </w:tc>
        <w:tc>
          <w:tcPr>
            <w:tcW w:w="1675" w:type="dxa"/>
          </w:tcPr>
          <w:p>
            <w:pPr>
              <w:pStyle w:val="260"/>
              <w:rPr>
                <w:rFonts w:hint="eastAsia" w:ascii="宋体" w:hAnsi="宋体" w:eastAsia="宋体" w:cs="宋体"/>
                <w:color w:val="000000" w:themeColor="text1"/>
                <w:sz w:val="22"/>
                <w14:textFill>
                  <w14:solidFill>
                    <w14:schemeClr w14:val="tx1"/>
                  </w14:solidFill>
                </w14:textFill>
              </w:rPr>
            </w:pPr>
          </w:p>
        </w:tc>
        <w:tc>
          <w:tcPr>
            <w:tcW w:w="1874" w:type="dxa"/>
          </w:tcPr>
          <w:p>
            <w:pPr>
              <w:pStyle w:val="260"/>
              <w:rPr>
                <w:rFonts w:hint="eastAsia" w:ascii="宋体" w:hAnsi="宋体" w:eastAsia="宋体" w:cs="宋体"/>
                <w:color w:val="000000" w:themeColor="text1"/>
                <w:sz w:val="22"/>
                <w14:textFill>
                  <w14:solidFill>
                    <w14:schemeClr w14:val="tx1"/>
                  </w14:solidFill>
                </w14:textFill>
              </w:rPr>
            </w:pPr>
          </w:p>
        </w:tc>
        <w:tc>
          <w:tcPr>
            <w:tcW w:w="1137" w:type="dxa"/>
          </w:tcPr>
          <w:p>
            <w:pPr>
              <w:pStyle w:val="260"/>
              <w:rPr>
                <w:rFonts w:hint="eastAsia" w:ascii="宋体" w:hAnsi="宋体" w:eastAsia="宋体" w:cs="宋体"/>
                <w:color w:val="000000" w:themeColor="text1"/>
                <w:sz w:val="22"/>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1159" w:type="dxa"/>
          </w:tcPr>
          <w:p>
            <w:pPr>
              <w:pStyle w:val="260"/>
              <w:rPr>
                <w:rFonts w:hint="eastAsia" w:ascii="宋体" w:hAnsi="宋体" w:eastAsia="宋体" w:cs="宋体"/>
                <w:color w:val="000000" w:themeColor="text1"/>
                <w:sz w:val="22"/>
                <w14:textFill>
                  <w14:solidFill>
                    <w14:schemeClr w14:val="tx1"/>
                  </w14:solidFill>
                </w14:textFill>
              </w:rPr>
            </w:pPr>
          </w:p>
        </w:tc>
        <w:tc>
          <w:tcPr>
            <w:tcW w:w="1772" w:type="dxa"/>
          </w:tcPr>
          <w:p>
            <w:pPr>
              <w:pStyle w:val="260"/>
              <w:rPr>
                <w:rFonts w:hint="eastAsia" w:ascii="宋体" w:hAnsi="宋体" w:eastAsia="宋体" w:cs="宋体"/>
                <w:color w:val="000000" w:themeColor="text1"/>
                <w:sz w:val="22"/>
                <w14:textFill>
                  <w14:solidFill>
                    <w14:schemeClr w14:val="tx1"/>
                  </w14:solidFill>
                </w14:textFill>
              </w:rPr>
            </w:pPr>
          </w:p>
        </w:tc>
        <w:tc>
          <w:tcPr>
            <w:tcW w:w="1675" w:type="dxa"/>
          </w:tcPr>
          <w:p>
            <w:pPr>
              <w:pStyle w:val="260"/>
              <w:rPr>
                <w:rFonts w:hint="eastAsia" w:ascii="宋体" w:hAnsi="宋体" w:eastAsia="宋体" w:cs="宋体"/>
                <w:color w:val="000000" w:themeColor="text1"/>
                <w:sz w:val="22"/>
                <w14:textFill>
                  <w14:solidFill>
                    <w14:schemeClr w14:val="tx1"/>
                  </w14:solidFill>
                </w14:textFill>
              </w:rPr>
            </w:pPr>
          </w:p>
        </w:tc>
        <w:tc>
          <w:tcPr>
            <w:tcW w:w="1675" w:type="dxa"/>
          </w:tcPr>
          <w:p>
            <w:pPr>
              <w:pStyle w:val="260"/>
              <w:rPr>
                <w:rFonts w:hint="eastAsia" w:ascii="宋体" w:hAnsi="宋体" w:eastAsia="宋体" w:cs="宋体"/>
                <w:color w:val="000000" w:themeColor="text1"/>
                <w:sz w:val="22"/>
                <w14:textFill>
                  <w14:solidFill>
                    <w14:schemeClr w14:val="tx1"/>
                  </w14:solidFill>
                </w14:textFill>
              </w:rPr>
            </w:pPr>
          </w:p>
        </w:tc>
        <w:tc>
          <w:tcPr>
            <w:tcW w:w="1874" w:type="dxa"/>
          </w:tcPr>
          <w:p>
            <w:pPr>
              <w:pStyle w:val="260"/>
              <w:rPr>
                <w:rFonts w:hint="eastAsia" w:ascii="宋体" w:hAnsi="宋体" w:eastAsia="宋体" w:cs="宋体"/>
                <w:color w:val="000000" w:themeColor="text1"/>
                <w:sz w:val="22"/>
                <w14:textFill>
                  <w14:solidFill>
                    <w14:schemeClr w14:val="tx1"/>
                  </w14:solidFill>
                </w14:textFill>
              </w:rPr>
            </w:pPr>
          </w:p>
        </w:tc>
        <w:tc>
          <w:tcPr>
            <w:tcW w:w="1137" w:type="dxa"/>
          </w:tcPr>
          <w:p>
            <w:pPr>
              <w:pStyle w:val="260"/>
              <w:rPr>
                <w:rFonts w:hint="eastAsia" w:ascii="宋体" w:hAnsi="宋体" w:eastAsia="宋体" w:cs="宋体"/>
                <w:color w:val="000000" w:themeColor="text1"/>
                <w:sz w:val="22"/>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1159" w:type="dxa"/>
          </w:tcPr>
          <w:p>
            <w:pPr>
              <w:pStyle w:val="260"/>
              <w:rPr>
                <w:rFonts w:hint="eastAsia" w:ascii="宋体" w:hAnsi="宋体" w:eastAsia="宋体" w:cs="宋体"/>
                <w:color w:val="000000" w:themeColor="text1"/>
                <w:sz w:val="22"/>
                <w14:textFill>
                  <w14:solidFill>
                    <w14:schemeClr w14:val="tx1"/>
                  </w14:solidFill>
                </w14:textFill>
              </w:rPr>
            </w:pPr>
          </w:p>
        </w:tc>
        <w:tc>
          <w:tcPr>
            <w:tcW w:w="1772" w:type="dxa"/>
          </w:tcPr>
          <w:p>
            <w:pPr>
              <w:pStyle w:val="260"/>
              <w:rPr>
                <w:rFonts w:hint="eastAsia" w:ascii="宋体" w:hAnsi="宋体" w:eastAsia="宋体" w:cs="宋体"/>
                <w:color w:val="000000" w:themeColor="text1"/>
                <w:sz w:val="22"/>
                <w14:textFill>
                  <w14:solidFill>
                    <w14:schemeClr w14:val="tx1"/>
                  </w14:solidFill>
                </w14:textFill>
              </w:rPr>
            </w:pPr>
          </w:p>
        </w:tc>
        <w:tc>
          <w:tcPr>
            <w:tcW w:w="1675" w:type="dxa"/>
          </w:tcPr>
          <w:p>
            <w:pPr>
              <w:pStyle w:val="260"/>
              <w:rPr>
                <w:rFonts w:hint="eastAsia" w:ascii="宋体" w:hAnsi="宋体" w:eastAsia="宋体" w:cs="宋体"/>
                <w:color w:val="000000" w:themeColor="text1"/>
                <w:sz w:val="22"/>
                <w14:textFill>
                  <w14:solidFill>
                    <w14:schemeClr w14:val="tx1"/>
                  </w14:solidFill>
                </w14:textFill>
              </w:rPr>
            </w:pPr>
          </w:p>
        </w:tc>
        <w:tc>
          <w:tcPr>
            <w:tcW w:w="1675" w:type="dxa"/>
          </w:tcPr>
          <w:p>
            <w:pPr>
              <w:pStyle w:val="260"/>
              <w:rPr>
                <w:rFonts w:hint="eastAsia" w:ascii="宋体" w:hAnsi="宋体" w:eastAsia="宋体" w:cs="宋体"/>
                <w:color w:val="000000" w:themeColor="text1"/>
                <w:sz w:val="22"/>
                <w14:textFill>
                  <w14:solidFill>
                    <w14:schemeClr w14:val="tx1"/>
                  </w14:solidFill>
                </w14:textFill>
              </w:rPr>
            </w:pPr>
          </w:p>
        </w:tc>
        <w:tc>
          <w:tcPr>
            <w:tcW w:w="1874" w:type="dxa"/>
          </w:tcPr>
          <w:p>
            <w:pPr>
              <w:pStyle w:val="260"/>
              <w:rPr>
                <w:rFonts w:hint="eastAsia" w:ascii="宋体" w:hAnsi="宋体" w:eastAsia="宋体" w:cs="宋体"/>
                <w:color w:val="000000" w:themeColor="text1"/>
                <w:sz w:val="22"/>
                <w14:textFill>
                  <w14:solidFill>
                    <w14:schemeClr w14:val="tx1"/>
                  </w14:solidFill>
                </w14:textFill>
              </w:rPr>
            </w:pPr>
          </w:p>
        </w:tc>
        <w:tc>
          <w:tcPr>
            <w:tcW w:w="1137" w:type="dxa"/>
          </w:tcPr>
          <w:p>
            <w:pPr>
              <w:pStyle w:val="260"/>
              <w:rPr>
                <w:rFonts w:hint="eastAsia" w:ascii="宋体" w:hAnsi="宋体" w:eastAsia="宋体" w:cs="宋体"/>
                <w:color w:val="000000" w:themeColor="text1"/>
                <w:sz w:val="22"/>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159" w:type="dxa"/>
          </w:tcPr>
          <w:p>
            <w:pPr>
              <w:pStyle w:val="260"/>
              <w:rPr>
                <w:rFonts w:hint="eastAsia" w:ascii="宋体" w:hAnsi="宋体" w:eastAsia="宋体" w:cs="宋体"/>
                <w:color w:val="000000" w:themeColor="text1"/>
                <w:sz w:val="22"/>
                <w14:textFill>
                  <w14:solidFill>
                    <w14:schemeClr w14:val="tx1"/>
                  </w14:solidFill>
                </w14:textFill>
              </w:rPr>
            </w:pPr>
          </w:p>
        </w:tc>
        <w:tc>
          <w:tcPr>
            <w:tcW w:w="1772" w:type="dxa"/>
          </w:tcPr>
          <w:p>
            <w:pPr>
              <w:pStyle w:val="260"/>
              <w:rPr>
                <w:rFonts w:hint="eastAsia" w:ascii="宋体" w:hAnsi="宋体" w:eastAsia="宋体" w:cs="宋体"/>
                <w:color w:val="000000" w:themeColor="text1"/>
                <w:sz w:val="22"/>
                <w14:textFill>
                  <w14:solidFill>
                    <w14:schemeClr w14:val="tx1"/>
                  </w14:solidFill>
                </w14:textFill>
              </w:rPr>
            </w:pPr>
          </w:p>
        </w:tc>
        <w:tc>
          <w:tcPr>
            <w:tcW w:w="1675" w:type="dxa"/>
          </w:tcPr>
          <w:p>
            <w:pPr>
              <w:pStyle w:val="260"/>
              <w:rPr>
                <w:rFonts w:hint="eastAsia" w:ascii="宋体" w:hAnsi="宋体" w:eastAsia="宋体" w:cs="宋体"/>
                <w:color w:val="000000" w:themeColor="text1"/>
                <w:sz w:val="22"/>
                <w14:textFill>
                  <w14:solidFill>
                    <w14:schemeClr w14:val="tx1"/>
                  </w14:solidFill>
                </w14:textFill>
              </w:rPr>
            </w:pPr>
          </w:p>
        </w:tc>
        <w:tc>
          <w:tcPr>
            <w:tcW w:w="1675" w:type="dxa"/>
          </w:tcPr>
          <w:p>
            <w:pPr>
              <w:pStyle w:val="260"/>
              <w:rPr>
                <w:rFonts w:hint="eastAsia" w:ascii="宋体" w:hAnsi="宋体" w:eastAsia="宋体" w:cs="宋体"/>
                <w:color w:val="000000" w:themeColor="text1"/>
                <w:sz w:val="22"/>
                <w14:textFill>
                  <w14:solidFill>
                    <w14:schemeClr w14:val="tx1"/>
                  </w14:solidFill>
                </w14:textFill>
              </w:rPr>
            </w:pPr>
          </w:p>
        </w:tc>
        <w:tc>
          <w:tcPr>
            <w:tcW w:w="1874" w:type="dxa"/>
          </w:tcPr>
          <w:p>
            <w:pPr>
              <w:pStyle w:val="260"/>
              <w:rPr>
                <w:rFonts w:hint="eastAsia" w:ascii="宋体" w:hAnsi="宋体" w:eastAsia="宋体" w:cs="宋体"/>
                <w:color w:val="000000" w:themeColor="text1"/>
                <w:sz w:val="22"/>
                <w14:textFill>
                  <w14:solidFill>
                    <w14:schemeClr w14:val="tx1"/>
                  </w14:solidFill>
                </w14:textFill>
              </w:rPr>
            </w:pPr>
          </w:p>
        </w:tc>
        <w:tc>
          <w:tcPr>
            <w:tcW w:w="1137" w:type="dxa"/>
          </w:tcPr>
          <w:p>
            <w:pPr>
              <w:pStyle w:val="260"/>
              <w:rPr>
                <w:rFonts w:hint="eastAsia" w:ascii="宋体" w:hAnsi="宋体" w:eastAsia="宋体" w:cs="宋体"/>
                <w:color w:val="000000" w:themeColor="text1"/>
                <w:sz w:val="22"/>
                <w14:textFill>
                  <w14:solidFill>
                    <w14:schemeClr w14:val="tx1"/>
                  </w14:solidFill>
                </w14:textFill>
              </w:rPr>
            </w:pPr>
          </w:p>
        </w:tc>
      </w:tr>
    </w:tbl>
    <w:p>
      <w:pPr>
        <w:tabs>
          <w:tab w:val="left" w:pos="1800"/>
          <w:tab w:val="left" w:pos="5580"/>
        </w:tabs>
        <w:jc w:val="left"/>
        <w:rPr>
          <w:rFonts w:hint="eastAsia" w:ascii="宋体" w:hAnsi="宋体" w:cs="宋体"/>
          <w:color w:val="000000" w:themeColor="text1"/>
          <w:sz w:val="24"/>
          <w14:textFill>
            <w14:solidFill>
              <w14:schemeClr w14:val="tx1"/>
            </w14:solidFill>
          </w14:textFill>
        </w:rPr>
      </w:pPr>
    </w:p>
    <w:p>
      <w:pPr>
        <w:tabs>
          <w:tab w:val="left" w:pos="1800"/>
          <w:tab w:val="left" w:pos="5580"/>
        </w:tabs>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w:t>
      </w:r>
      <w:r>
        <w:rPr>
          <w:rFonts w:hint="eastAsia" w:ascii="宋体" w:hAnsi="宋体" w:cs="宋体"/>
          <w:color w:val="000000" w:themeColor="text1"/>
          <w:spacing w:val="4"/>
          <w:sz w:val="24"/>
          <w14:textFill>
            <w14:solidFill>
              <w14:schemeClr w14:val="tx1"/>
            </w14:solidFill>
          </w14:textFill>
        </w:rPr>
        <w:t>“偏离情况”列应据实填写“正偏离”或“负偏离”。</w:t>
      </w:r>
    </w:p>
    <w:p>
      <w:pPr>
        <w:spacing w:line="360" w:lineRule="auto"/>
        <w:rPr>
          <w:rFonts w:hint="eastAsia" w:ascii="宋体" w:hAnsi="宋体" w:cs="宋体"/>
          <w:color w:val="000000" w:themeColor="text1"/>
          <w:sz w:val="24"/>
          <w:szCs w:val="20"/>
          <w14:textFill>
            <w14:solidFill>
              <w14:schemeClr w14:val="tx1"/>
            </w14:solidFill>
          </w14:textFill>
        </w:rPr>
      </w:pPr>
    </w:p>
    <w:p>
      <w:pPr>
        <w:autoSpaceDE w:val="0"/>
        <w:autoSpaceDN w:val="0"/>
        <w:adjustRightInd w:val="0"/>
        <w:snapToGrid w:val="0"/>
        <w:spacing w:before="25" w:after="25" w:line="360" w:lineRule="auto"/>
        <w:rPr>
          <w:rFonts w:hint="eastAsia" w:ascii="宋体" w:hAnsi="宋体" w:cs="宋体"/>
          <w:color w:val="000000" w:themeColor="text1"/>
          <w:sz w:val="24"/>
          <w:lang w:val="zh-CN"/>
          <w14:textFill>
            <w14:solidFill>
              <w14:schemeClr w14:val="tx1"/>
            </w14:solidFill>
          </w14:textFill>
        </w:rPr>
      </w:pPr>
    </w:p>
    <w:p>
      <w:pPr>
        <w:autoSpaceDE w:val="0"/>
        <w:autoSpaceDN w:val="0"/>
        <w:adjustRightInd w:val="0"/>
        <w:snapToGrid w:val="0"/>
        <w:spacing w:before="25" w:after="25" w:line="360" w:lineRule="auto"/>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w:t>
      </w:r>
    </w:p>
    <w:p>
      <w:pPr>
        <w:autoSpaceDE w:val="0"/>
        <w:autoSpaceDN w:val="0"/>
        <w:adjustRightInd w:val="0"/>
        <w:snapToGrid w:val="0"/>
        <w:spacing w:before="25" w:after="25" w:line="360" w:lineRule="auto"/>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日期：_____年______月______日   </w:t>
      </w:r>
    </w:p>
    <w:p>
      <w:pPr>
        <w:pStyle w:val="6"/>
        <w:rPr>
          <w:rFonts w:hint="eastAsia"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br w:type="page"/>
      </w:r>
      <w:r>
        <w:rPr>
          <w:rFonts w:hint="eastAsia" w:hAnsi="宋体" w:cs="宋体"/>
          <w:b w:val="0"/>
          <w:color w:val="000000" w:themeColor="text1"/>
          <w:szCs w:val="24"/>
          <w:u w:val="none"/>
          <w14:textFill>
            <w14:solidFill>
              <w14:schemeClr w14:val="tx1"/>
            </w14:solidFill>
          </w14:textFill>
        </w:rPr>
        <w:t xml:space="preserve">6  </w:t>
      </w:r>
      <w:bookmarkEnd w:id="946"/>
      <w:bookmarkEnd w:id="947"/>
      <w:bookmarkEnd w:id="948"/>
      <w:bookmarkEnd w:id="949"/>
      <w:bookmarkEnd w:id="950"/>
      <w:bookmarkEnd w:id="951"/>
      <w:bookmarkEnd w:id="952"/>
      <w:bookmarkEnd w:id="953"/>
      <w:bookmarkEnd w:id="954"/>
      <w:bookmarkEnd w:id="955"/>
      <w:bookmarkEnd w:id="956"/>
      <w:bookmarkEnd w:id="957"/>
      <w:bookmarkEnd w:id="958"/>
      <w:r>
        <w:rPr>
          <w:rFonts w:hint="eastAsia" w:hAnsi="宋体" w:cs="宋体"/>
          <w:b w:val="0"/>
          <w:color w:val="000000" w:themeColor="text1"/>
          <w:szCs w:val="24"/>
          <w:u w:val="none"/>
          <w14:textFill>
            <w14:solidFill>
              <w14:schemeClr w14:val="tx1"/>
            </w14:solidFill>
          </w14:textFill>
        </w:rPr>
        <w:t>采购需求偏离表（实质性格式）</w:t>
      </w:r>
    </w:p>
    <w:p>
      <w:pPr>
        <w:autoSpaceDE w:val="0"/>
        <w:autoSpaceDN w:val="0"/>
        <w:adjustRightInd w:val="0"/>
        <w:spacing w:line="360" w:lineRule="auto"/>
        <w:jc w:val="center"/>
        <w:rPr>
          <w:rFonts w:hint="eastAsia"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采购需求偏离表</w:t>
      </w:r>
    </w:p>
    <w:p>
      <w:pPr>
        <w:tabs>
          <w:tab w:val="left" w:pos="1800"/>
          <w:tab w:val="left" w:pos="5580"/>
        </w:tabs>
        <w:spacing w:line="360" w:lineRule="auto"/>
        <w:ind w:firstLine="360" w:firstLineChars="150"/>
        <w:jc w:val="left"/>
        <w:rPr>
          <w:rFonts w:hint="eastAsia" w:ascii="宋体" w:hAnsi="宋体" w:cs="宋体"/>
          <w:color w:val="000000" w:themeColor="text1"/>
          <w:sz w:val="24"/>
          <w:u w:val="single"/>
          <w14:textFill>
            <w14:solidFill>
              <w14:schemeClr w14:val="tx1"/>
            </w14:solidFill>
          </w14:textFill>
        </w:rPr>
      </w:pPr>
      <w:r>
        <w:rPr>
          <w:rFonts w:hint="eastAsia" w:ascii="宋体" w:hAnsi="宋体" w:cs="宋体"/>
          <w:sz w:val="24"/>
        </w:rPr>
        <w:t>项目编号/包号</w:t>
      </w:r>
      <w:r>
        <w:rPr>
          <w:rFonts w:hint="eastAsia" w:ascii="宋体" w:hAnsi="宋体" w:cs="宋体"/>
          <w:color w:val="000000" w:themeColor="text1"/>
          <w:sz w:val="24"/>
          <w14:textFill>
            <w14:solidFill>
              <w14:schemeClr w14:val="tx1"/>
            </w14:solidFill>
          </w14:textFill>
        </w:rPr>
        <w:t>：_____________________     项目名称：____________</w:t>
      </w:r>
    </w:p>
    <w:tbl>
      <w:tblPr>
        <w:tblStyle w:val="52"/>
        <w:tblW w:w="96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482"/>
        <w:gridCol w:w="2384"/>
        <w:gridCol w:w="2126"/>
        <w:gridCol w:w="1875"/>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775" w:type="dxa"/>
            <w:vAlign w:val="center"/>
          </w:tcPr>
          <w:p>
            <w:pPr>
              <w:spacing w:before="103" w:line="201"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序号</w:t>
            </w:r>
          </w:p>
        </w:tc>
        <w:tc>
          <w:tcPr>
            <w:tcW w:w="1482" w:type="dxa"/>
            <w:vAlign w:val="center"/>
          </w:tcPr>
          <w:p>
            <w:pPr>
              <w:pStyle w:val="260"/>
              <w:spacing w:before="221" w:line="197" w:lineRule="auto"/>
              <w:ind w:right="138"/>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
                <w:sz w:val="24"/>
                <w:szCs w:val="24"/>
                <w14:textFill>
                  <w14:solidFill>
                    <w14:schemeClr w14:val="tx1"/>
                  </w14:solidFill>
                </w14:textFill>
              </w:rPr>
              <w:t>招标文件条</w:t>
            </w:r>
            <w:r>
              <w:rPr>
                <w:rFonts w:hint="eastAsia" w:ascii="宋体" w:hAnsi="宋体" w:eastAsia="宋体" w:cs="宋体"/>
                <w:color w:val="000000" w:themeColor="text1"/>
                <w:spacing w:val="-4"/>
                <w:sz w:val="24"/>
                <w:szCs w:val="24"/>
                <w14:textFill>
                  <w14:solidFill>
                    <w14:schemeClr w14:val="tx1"/>
                  </w14:solidFill>
                </w14:textFill>
              </w:rPr>
              <w:t>目号(页码)</w:t>
            </w:r>
          </w:p>
        </w:tc>
        <w:tc>
          <w:tcPr>
            <w:tcW w:w="2384" w:type="dxa"/>
            <w:vAlign w:val="center"/>
          </w:tcPr>
          <w:p>
            <w:pPr>
              <w:spacing w:before="103" w:line="201"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招标文件要求</w:t>
            </w:r>
          </w:p>
        </w:tc>
        <w:tc>
          <w:tcPr>
            <w:tcW w:w="2126" w:type="dxa"/>
            <w:vAlign w:val="center"/>
          </w:tcPr>
          <w:p>
            <w:pPr>
              <w:spacing w:before="103" w:line="201"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投标响应内容</w:t>
            </w:r>
          </w:p>
        </w:tc>
        <w:tc>
          <w:tcPr>
            <w:tcW w:w="1875" w:type="dxa"/>
            <w:vAlign w:val="center"/>
          </w:tcPr>
          <w:p>
            <w:pPr>
              <w:spacing w:before="103" w:line="201"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偏离情况</w:t>
            </w:r>
          </w:p>
        </w:tc>
        <w:tc>
          <w:tcPr>
            <w:tcW w:w="1009" w:type="dxa"/>
            <w:vAlign w:val="center"/>
          </w:tcPr>
          <w:p>
            <w:pPr>
              <w:spacing w:before="103" w:line="201"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hint="eastAsia" w:ascii="宋体" w:hAnsi="宋体" w:cs="宋体"/>
                <w:color w:val="000000" w:themeColor="text1"/>
                <w:sz w:val="24"/>
                <w14:textFill>
                  <w14:solidFill>
                    <w14:schemeClr w14:val="tx1"/>
                  </w14:solidFill>
                </w14:textFill>
              </w:rPr>
            </w:pPr>
          </w:p>
        </w:tc>
        <w:tc>
          <w:tcPr>
            <w:tcW w:w="1482" w:type="dxa"/>
            <w:vAlign w:val="center"/>
          </w:tcPr>
          <w:p>
            <w:pPr>
              <w:adjustRightInd w:val="0"/>
              <w:snapToGrid w:val="0"/>
              <w:jc w:val="center"/>
              <w:rPr>
                <w:rFonts w:hint="eastAsia" w:ascii="宋体" w:hAnsi="宋体" w:cs="宋体"/>
                <w:color w:val="000000" w:themeColor="text1"/>
                <w:sz w:val="24"/>
                <w14:textFill>
                  <w14:solidFill>
                    <w14:schemeClr w14:val="tx1"/>
                  </w14:solidFill>
                </w14:textFill>
              </w:rPr>
            </w:pPr>
          </w:p>
        </w:tc>
        <w:tc>
          <w:tcPr>
            <w:tcW w:w="2384" w:type="dxa"/>
            <w:vAlign w:val="center"/>
          </w:tcPr>
          <w:p>
            <w:pPr>
              <w:adjustRightInd w:val="0"/>
              <w:snapToGrid w:val="0"/>
              <w:jc w:val="center"/>
              <w:rPr>
                <w:rFonts w:hint="eastAsia" w:ascii="宋体" w:hAnsi="宋体" w:cs="宋体"/>
                <w:color w:val="000000" w:themeColor="text1"/>
                <w:sz w:val="24"/>
                <w14:textFill>
                  <w14:solidFill>
                    <w14:schemeClr w14:val="tx1"/>
                  </w14:solidFill>
                </w14:textFill>
              </w:rPr>
            </w:pPr>
          </w:p>
        </w:tc>
        <w:tc>
          <w:tcPr>
            <w:tcW w:w="2126" w:type="dxa"/>
            <w:vAlign w:val="center"/>
          </w:tcPr>
          <w:p>
            <w:pPr>
              <w:adjustRightInd w:val="0"/>
              <w:snapToGrid w:val="0"/>
              <w:jc w:val="center"/>
              <w:rPr>
                <w:rFonts w:hint="eastAsia" w:ascii="宋体" w:hAnsi="宋体" w:cs="宋体"/>
                <w:color w:val="000000" w:themeColor="text1"/>
                <w:sz w:val="24"/>
                <w14:textFill>
                  <w14:solidFill>
                    <w14:schemeClr w14:val="tx1"/>
                  </w14:solidFill>
                </w14:textFill>
              </w:rPr>
            </w:pPr>
          </w:p>
        </w:tc>
        <w:tc>
          <w:tcPr>
            <w:tcW w:w="1875" w:type="dxa"/>
            <w:vAlign w:val="center"/>
          </w:tcPr>
          <w:p>
            <w:pPr>
              <w:adjustRightInd w:val="0"/>
              <w:snapToGrid w:val="0"/>
              <w:jc w:val="center"/>
              <w:rPr>
                <w:rFonts w:hint="eastAsia" w:ascii="宋体" w:hAnsi="宋体" w:cs="宋体"/>
                <w:color w:val="000000" w:themeColor="text1"/>
                <w:sz w:val="24"/>
                <w14:textFill>
                  <w14:solidFill>
                    <w14:schemeClr w14:val="tx1"/>
                  </w14:solidFill>
                </w14:textFill>
              </w:rPr>
            </w:pPr>
          </w:p>
        </w:tc>
        <w:tc>
          <w:tcPr>
            <w:tcW w:w="1009" w:type="dxa"/>
            <w:vAlign w:val="center"/>
          </w:tcPr>
          <w:p>
            <w:pPr>
              <w:adjustRightInd w:val="0"/>
              <w:snapToGrid w:val="0"/>
              <w:jc w:val="center"/>
              <w:rPr>
                <w:rFonts w:hint="eastAsia"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hint="eastAsia" w:ascii="宋体" w:hAnsi="宋体" w:cs="宋体"/>
                <w:color w:val="000000" w:themeColor="text1"/>
                <w:sz w:val="24"/>
                <w14:textFill>
                  <w14:solidFill>
                    <w14:schemeClr w14:val="tx1"/>
                  </w14:solidFill>
                </w14:textFill>
              </w:rPr>
            </w:pPr>
          </w:p>
        </w:tc>
        <w:tc>
          <w:tcPr>
            <w:tcW w:w="1482" w:type="dxa"/>
            <w:vAlign w:val="center"/>
          </w:tcPr>
          <w:p>
            <w:pPr>
              <w:adjustRightInd w:val="0"/>
              <w:snapToGrid w:val="0"/>
              <w:jc w:val="center"/>
              <w:rPr>
                <w:rFonts w:hint="eastAsia" w:ascii="宋体" w:hAnsi="宋体" w:cs="宋体"/>
                <w:color w:val="000000" w:themeColor="text1"/>
                <w:sz w:val="24"/>
                <w14:textFill>
                  <w14:solidFill>
                    <w14:schemeClr w14:val="tx1"/>
                  </w14:solidFill>
                </w14:textFill>
              </w:rPr>
            </w:pPr>
          </w:p>
        </w:tc>
        <w:tc>
          <w:tcPr>
            <w:tcW w:w="2384" w:type="dxa"/>
            <w:vAlign w:val="center"/>
          </w:tcPr>
          <w:p>
            <w:pPr>
              <w:adjustRightInd w:val="0"/>
              <w:snapToGrid w:val="0"/>
              <w:jc w:val="center"/>
              <w:rPr>
                <w:rFonts w:hint="eastAsia" w:ascii="宋体" w:hAnsi="宋体" w:cs="宋体"/>
                <w:color w:val="000000" w:themeColor="text1"/>
                <w:sz w:val="24"/>
                <w14:textFill>
                  <w14:solidFill>
                    <w14:schemeClr w14:val="tx1"/>
                  </w14:solidFill>
                </w14:textFill>
              </w:rPr>
            </w:pPr>
          </w:p>
        </w:tc>
        <w:tc>
          <w:tcPr>
            <w:tcW w:w="2126" w:type="dxa"/>
            <w:vAlign w:val="center"/>
          </w:tcPr>
          <w:p>
            <w:pPr>
              <w:adjustRightInd w:val="0"/>
              <w:snapToGrid w:val="0"/>
              <w:jc w:val="center"/>
              <w:rPr>
                <w:rFonts w:hint="eastAsia" w:ascii="宋体" w:hAnsi="宋体" w:cs="宋体"/>
                <w:color w:val="000000" w:themeColor="text1"/>
                <w:sz w:val="24"/>
                <w14:textFill>
                  <w14:solidFill>
                    <w14:schemeClr w14:val="tx1"/>
                  </w14:solidFill>
                </w14:textFill>
              </w:rPr>
            </w:pPr>
          </w:p>
        </w:tc>
        <w:tc>
          <w:tcPr>
            <w:tcW w:w="1875" w:type="dxa"/>
            <w:vAlign w:val="center"/>
          </w:tcPr>
          <w:p>
            <w:pPr>
              <w:adjustRightInd w:val="0"/>
              <w:snapToGrid w:val="0"/>
              <w:jc w:val="center"/>
              <w:rPr>
                <w:rFonts w:hint="eastAsia" w:ascii="宋体" w:hAnsi="宋体" w:cs="宋体"/>
                <w:color w:val="000000" w:themeColor="text1"/>
                <w:sz w:val="24"/>
                <w14:textFill>
                  <w14:solidFill>
                    <w14:schemeClr w14:val="tx1"/>
                  </w14:solidFill>
                </w14:textFill>
              </w:rPr>
            </w:pPr>
          </w:p>
        </w:tc>
        <w:tc>
          <w:tcPr>
            <w:tcW w:w="1009" w:type="dxa"/>
            <w:vAlign w:val="center"/>
          </w:tcPr>
          <w:p>
            <w:pPr>
              <w:adjustRightInd w:val="0"/>
              <w:snapToGrid w:val="0"/>
              <w:jc w:val="center"/>
              <w:rPr>
                <w:rFonts w:hint="eastAsia"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hint="eastAsia" w:ascii="宋体" w:hAnsi="宋体" w:cs="宋体"/>
                <w:color w:val="000000" w:themeColor="text1"/>
                <w:sz w:val="24"/>
                <w14:textFill>
                  <w14:solidFill>
                    <w14:schemeClr w14:val="tx1"/>
                  </w14:solidFill>
                </w14:textFill>
              </w:rPr>
            </w:pPr>
          </w:p>
        </w:tc>
        <w:tc>
          <w:tcPr>
            <w:tcW w:w="1482" w:type="dxa"/>
            <w:vAlign w:val="center"/>
          </w:tcPr>
          <w:p>
            <w:pPr>
              <w:adjustRightInd w:val="0"/>
              <w:snapToGrid w:val="0"/>
              <w:jc w:val="center"/>
              <w:rPr>
                <w:rFonts w:hint="eastAsia" w:ascii="宋体" w:hAnsi="宋体" w:cs="宋体"/>
                <w:color w:val="000000" w:themeColor="text1"/>
                <w:sz w:val="24"/>
                <w14:textFill>
                  <w14:solidFill>
                    <w14:schemeClr w14:val="tx1"/>
                  </w14:solidFill>
                </w14:textFill>
              </w:rPr>
            </w:pPr>
          </w:p>
        </w:tc>
        <w:tc>
          <w:tcPr>
            <w:tcW w:w="2384" w:type="dxa"/>
            <w:vAlign w:val="center"/>
          </w:tcPr>
          <w:p>
            <w:pPr>
              <w:adjustRightInd w:val="0"/>
              <w:snapToGrid w:val="0"/>
              <w:jc w:val="center"/>
              <w:rPr>
                <w:rFonts w:hint="eastAsia" w:ascii="宋体" w:hAnsi="宋体" w:cs="宋体"/>
                <w:color w:val="000000" w:themeColor="text1"/>
                <w:sz w:val="24"/>
                <w14:textFill>
                  <w14:solidFill>
                    <w14:schemeClr w14:val="tx1"/>
                  </w14:solidFill>
                </w14:textFill>
              </w:rPr>
            </w:pPr>
          </w:p>
        </w:tc>
        <w:tc>
          <w:tcPr>
            <w:tcW w:w="2126" w:type="dxa"/>
            <w:vAlign w:val="center"/>
          </w:tcPr>
          <w:p>
            <w:pPr>
              <w:adjustRightInd w:val="0"/>
              <w:snapToGrid w:val="0"/>
              <w:jc w:val="center"/>
              <w:rPr>
                <w:rFonts w:hint="eastAsia" w:ascii="宋体" w:hAnsi="宋体" w:cs="宋体"/>
                <w:color w:val="000000" w:themeColor="text1"/>
                <w:sz w:val="24"/>
                <w14:textFill>
                  <w14:solidFill>
                    <w14:schemeClr w14:val="tx1"/>
                  </w14:solidFill>
                </w14:textFill>
              </w:rPr>
            </w:pPr>
          </w:p>
        </w:tc>
        <w:tc>
          <w:tcPr>
            <w:tcW w:w="1875" w:type="dxa"/>
            <w:vAlign w:val="center"/>
          </w:tcPr>
          <w:p>
            <w:pPr>
              <w:adjustRightInd w:val="0"/>
              <w:snapToGrid w:val="0"/>
              <w:jc w:val="center"/>
              <w:rPr>
                <w:rFonts w:hint="eastAsia" w:ascii="宋体" w:hAnsi="宋体" w:cs="宋体"/>
                <w:color w:val="000000" w:themeColor="text1"/>
                <w:sz w:val="24"/>
                <w14:textFill>
                  <w14:solidFill>
                    <w14:schemeClr w14:val="tx1"/>
                  </w14:solidFill>
                </w14:textFill>
              </w:rPr>
            </w:pPr>
          </w:p>
        </w:tc>
        <w:tc>
          <w:tcPr>
            <w:tcW w:w="1009" w:type="dxa"/>
            <w:vAlign w:val="center"/>
          </w:tcPr>
          <w:p>
            <w:pPr>
              <w:adjustRightInd w:val="0"/>
              <w:snapToGrid w:val="0"/>
              <w:jc w:val="center"/>
              <w:rPr>
                <w:rFonts w:hint="eastAsia"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hint="eastAsia" w:ascii="宋体" w:hAnsi="宋体" w:cs="宋体"/>
                <w:color w:val="000000" w:themeColor="text1"/>
                <w:sz w:val="24"/>
                <w14:textFill>
                  <w14:solidFill>
                    <w14:schemeClr w14:val="tx1"/>
                  </w14:solidFill>
                </w14:textFill>
              </w:rPr>
            </w:pPr>
          </w:p>
        </w:tc>
        <w:tc>
          <w:tcPr>
            <w:tcW w:w="1482" w:type="dxa"/>
            <w:vAlign w:val="center"/>
          </w:tcPr>
          <w:p>
            <w:pPr>
              <w:adjustRightInd w:val="0"/>
              <w:snapToGrid w:val="0"/>
              <w:jc w:val="center"/>
              <w:rPr>
                <w:rFonts w:hint="eastAsia" w:ascii="宋体" w:hAnsi="宋体" w:cs="宋体"/>
                <w:color w:val="000000" w:themeColor="text1"/>
                <w:sz w:val="24"/>
                <w14:textFill>
                  <w14:solidFill>
                    <w14:schemeClr w14:val="tx1"/>
                  </w14:solidFill>
                </w14:textFill>
              </w:rPr>
            </w:pPr>
          </w:p>
        </w:tc>
        <w:tc>
          <w:tcPr>
            <w:tcW w:w="2384" w:type="dxa"/>
            <w:vAlign w:val="center"/>
          </w:tcPr>
          <w:p>
            <w:pPr>
              <w:adjustRightInd w:val="0"/>
              <w:snapToGrid w:val="0"/>
              <w:jc w:val="center"/>
              <w:rPr>
                <w:rFonts w:hint="eastAsia" w:ascii="宋体" w:hAnsi="宋体" w:cs="宋体"/>
                <w:color w:val="000000" w:themeColor="text1"/>
                <w:sz w:val="24"/>
                <w14:textFill>
                  <w14:solidFill>
                    <w14:schemeClr w14:val="tx1"/>
                  </w14:solidFill>
                </w14:textFill>
              </w:rPr>
            </w:pPr>
          </w:p>
        </w:tc>
        <w:tc>
          <w:tcPr>
            <w:tcW w:w="2126" w:type="dxa"/>
            <w:vAlign w:val="center"/>
          </w:tcPr>
          <w:p>
            <w:pPr>
              <w:adjustRightInd w:val="0"/>
              <w:snapToGrid w:val="0"/>
              <w:jc w:val="center"/>
              <w:rPr>
                <w:rFonts w:hint="eastAsia" w:ascii="宋体" w:hAnsi="宋体" w:cs="宋体"/>
                <w:color w:val="000000" w:themeColor="text1"/>
                <w:sz w:val="24"/>
                <w14:textFill>
                  <w14:solidFill>
                    <w14:schemeClr w14:val="tx1"/>
                  </w14:solidFill>
                </w14:textFill>
              </w:rPr>
            </w:pPr>
          </w:p>
        </w:tc>
        <w:tc>
          <w:tcPr>
            <w:tcW w:w="1875" w:type="dxa"/>
            <w:vAlign w:val="center"/>
          </w:tcPr>
          <w:p>
            <w:pPr>
              <w:adjustRightInd w:val="0"/>
              <w:snapToGrid w:val="0"/>
              <w:jc w:val="center"/>
              <w:rPr>
                <w:rFonts w:hint="eastAsia" w:ascii="宋体" w:hAnsi="宋体" w:cs="宋体"/>
                <w:color w:val="000000" w:themeColor="text1"/>
                <w:sz w:val="24"/>
                <w14:textFill>
                  <w14:solidFill>
                    <w14:schemeClr w14:val="tx1"/>
                  </w14:solidFill>
                </w14:textFill>
              </w:rPr>
            </w:pPr>
          </w:p>
        </w:tc>
        <w:tc>
          <w:tcPr>
            <w:tcW w:w="1009" w:type="dxa"/>
            <w:vAlign w:val="center"/>
          </w:tcPr>
          <w:p>
            <w:pPr>
              <w:adjustRightInd w:val="0"/>
              <w:snapToGrid w:val="0"/>
              <w:jc w:val="center"/>
              <w:rPr>
                <w:rFonts w:hint="eastAsia"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hint="eastAsia" w:ascii="宋体" w:hAnsi="宋体" w:cs="宋体"/>
                <w:color w:val="000000" w:themeColor="text1"/>
                <w:sz w:val="24"/>
                <w14:textFill>
                  <w14:solidFill>
                    <w14:schemeClr w14:val="tx1"/>
                  </w14:solidFill>
                </w14:textFill>
              </w:rPr>
            </w:pPr>
          </w:p>
        </w:tc>
        <w:tc>
          <w:tcPr>
            <w:tcW w:w="1482" w:type="dxa"/>
            <w:vAlign w:val="center"/>
          </w:tcPr>
          <w:p>
            <w:pPr>
              <w:adjustRightInd w:val="0"/>
              <w:snapToGrid w:val="0"/>
              <w:jc w:val="center"/>
              <w:rPr>
                <w:rFonts w:hint="eastAsia" w:ascii="宋体" w:hAnsi="宋体" w:cs="宋体"/>
                <w:color w:val="000000" w:themeColor="text1"/>
                <w:sz w:val="24"/>
                <w14:textFill>
                  <w14:solidFill>
                    <w14:schemeClr w14:val="tx1"/>
                  </w14:solidFill>
                </w14:textFill>
              </w:rPr>
            </w:pPr>
          </w:p>
        </w:tc>
        <w:tc>
          <w:tcPr>
            <w:tcW w:w="2384" w:type="dxa"/>
            <w:vAlign w:val="center"/>
          </w:tcPr>
          <w:p>
            <w:pPr>
              <w:adjustRightInd w:val="0"/>
              <w:snapToGrid w:val="0"/>
              <w:jc w:val="center"/>
              <w:rPr>
                <w:rFonts w:hint="eastAsia" w:ascii="宋体" w:hAnsi="宋体" w:cs="宋体"/>
                <w:color w:val="000000" w:themeColor="text1"/>
                <w:sz w:val="24"/>
                <w14:textFill>
                  <w14:solidFill>
                    <w14:schemeClr w14:val="tx1"/>
                  </w14:solidFill>
                </w14:textFill>
              </w:rPr>
            </w:pPr>
          </w:p>
        </w:tc>
        <w:tc>
          <w:tcPr>
            <w:tcW w:w="2126" w:type="dxa"/>
            <w:vAlign w:val="center"/>
          </w:tcPr>
          <w:p>
            <w:pPr>
              <w:adjustRightInd w:val="0"/>
              <w:snapToGrid w:val="0"/>
              <w:jc w:val="center"/>
              <w:rPr>
                <w:rFonts w:hint="eastAsia" w:ascii="宋体" w:hAnsi="宋体" w:cs="宋体"/>
                <w:color w:val="000000" w:themeColor="text1"/>
                <w:sz w:val="24"/>
                <w14:textFill>
                  <w14:solidFill>
                    <w14:schemeClr w14:val="tx1"/>
                  </w14:solidFill>
                </w14:textFill>
              </w:rPr>
            </w:pPr>
          </w:p>
        </w:tc>
        <w:tc>
          <w:tcPr>
            <w:tcW w:w="1875" w:type="dxa"/>
            <w:vAlign w:val="center"/>
          </w:tcPr>
          <w:p>
            <w:pPr>
              <w:adjustRightInd w:val="0"/>
              <w:snapToGrid w:val="0"/>
              <w:jc w:val="center"/>
              <w:rPr>
                <w:rFonts w:hint="eastAsia" w:ascii="宋体" w:hAnsi="宋体" w:cs="宋体"/>
                <w:color w:val="000000" w:themeColor="text1"/>
                <w:sz w:val="24"/>
                <w14:textFill>
                  <w14:solidFill>
                    <w14:schemeClr w14:val="tx1"/>
                  </w14:solidFill>
                </w14:textFill>
              </w:rPr>
            </w:pPr>
          </w:p>
        </w:tc>
        <w:tc>
          <w:tcPr>
            <w:tcW w:w="1009" w:type="dxa"/>
            <w:vAlign w:val="center"/>
          </w:tcPr>
          <w:p>
            <w:pPr>
              <w:adjustRightInd w:val="0"/>
              <w:snapToGrid w:val="0"/>
              <w:jc w:val="center"/>
              <w:rPr>
                <w:rFonts w:hint="eastAsia" w:ascii="宋体" w:hAnsi="宋体" w:cs="宋体"/>
                <w:color w:val="000000" w:themeColor="text1"/>
                <w:sz w:val="24"/>
                <w14:textFill>
                  <w14:solidFill>
                    <w14:schemeClr w14:val="tx1"/>
                  </w14:solidFill>
                </w14:textFill>
              </w:rPr>
            </w:pPr>
          </w:p>
        </w:tc>
      </w:tr>
    </w:tbl>
    <w:p>
      <w:pPr>
        <w:tabs>
          <w:tab w:val="left" w:pos="1800"/>
          <w:tab w:val="left" w:pos="5580"/>
        </w:tabs>
        <w:spacing w:line="360" w:lineRule="auto"/>
        <w:jc w:val="left"/>
        <w:rPr>
          <w:rFonts w:hint="eastAsia" w:ascii="宋体" w:hAnsi="宋体" w:cs="宋体"/>
          <w:sz w:val="24"/>
        </w:rPr>
      </w:pPr>
      <w:r>
        <w:rPr>
          <w:rFonts w:hint="eastAsia" w:ascii="宋体" w:hAnsi="宋体" w:cs="宋体"/>
          <w:sz w:val="24"/>
        </w:rPr>
        <w:t>注：</w:t>
      </w:r>
    </w:p>
    <w:p>
      <w:pPr>
        <w:spacing w:line="312" w:lineRule="auto"/>
        <w:rPr>
          <w:rFonts w:hint="eastAsia" w:ascii="宋体" w:hAnsi="宋体"/>
          <w:b/>
          <w:sz w:val="24"/>
        </w:rPr>
      </w:pPr>
      <w:r>
        <w:rPr>
          <w:rFonts w:hint="eastAsia" w:ascii="宋体" w:hAnsi="宋体"/>
          <w:sz w:val="24"/>
        </w:rPr>
        <w:t>1</w:t>
      </w:r>
      <w:r>
        <w:rPr>
          <w:rFonts w:ascii="宋体" w:hAnsi="宋体"/>
          <w:sz w:val="24"/>
        </w:rPr>
        <w:t>.</w:t>
      </w:r>
      <w:r>
        <w:rPr>
          <w:rFonts w:hint="eastAsia" w:ascii="宋体" w:hAnsi="宋体"/>
          <w:sz w:val="24"/>
        </w:rPr>
        <w:t>对招标文件中的所有商务、技术要求，除本表所列明的所有偏离外，均视作供应商已对之理解和响应。此表中若无任何文字说明，内容为空白的，</w:t>
      </w:r>
      <w:r>
        <w:rPr>
          <w:rFonts w:hint="eastAsia" w:ascii="宋体" w:hAnsi="宋体"/>
          <w:b/>
          <w:sz w:val="24"/>
        </w:rPr>
        <w:t>投标无效。</w:t>
      </w:r>
    </w:p>
    <w:p>
      <w:pPr>
        <w:widowControl/>
        <w:spacing w:line="312" w:lineRule="auto"/>
        <w:rPr>
          <w:rFonts w:hint="eastAsia" w:ascii="宋体" w:hAnsi="宋体"/>
          <w:b/>
          <w:sz w:val="24"/>
        </w:rPr>
      </w:pPr>
      <w:r>
        <w:rPr>
          <w:rFonts w:hint="eastAsia" w:ascii="宋体" w:hAnsi="宋体"/>
          <w:b/>
          <w:sz w:val="24"/>
        </w:rPr>
        <w:t>2</w:t>
      </w:r>
      <w:r>
        <w:rPr>
          <w:rFonts w:ascii="宋体" w:hAnsi="宋体"/>
          <w:b/>
          <w:sz w:val="24"/>
        </w:rPr>
        <w:t>.</w:t>
      </w:r>
      <w:r>
        <w:rPr>
          <w:rFonts w:hint="eastAsia" w:ascii="宋体" w:hAnsi="宋体" w:cs="宋体"/>
          <w:b/>
          <w:kern w:val="0"/>
          <w:sz w:val="24"/>
        </w:rPr>
        <w:t>招标文件有要求提供证明材料的，应按招标文件要求逐项提供证明材料。</w:t>
      </w:r>
      <w:r>
        <w:rPr>
          <w:rFonts w:hint="eastAsia" w:ascii="宋体" w:hAnsi="宋体"/>
          <w:b/>
          <w:sz w:val="24"/>
        </w:rPr>
        <w:t>并且所有证明材料均应在《采购需求偏离表》中“说明”列标明页码及具体位置。未提供或提供的证明材料无法支撑或漏报技术条款视为该项不满足。</w:t>
      </w:r>
    </w:p>
    <w:p>
      <w:pPr>
        <w:widowControl/>
        <w:spacing w:line="312" w:lineRule="auto"/>
        <w:rPr>
          <w:rFonts w:hint="eastAsia" w:ascii="宋体" w:hAnsi="宋体"/>
          <w:sz w:val="24"/>
        </w:rPr>
      </w:pPr>
      <w:r>
        <w:rPr>
          <w:rFonts w:hint="eastAsia" w:ascii="宋体" w:hAnsi="宋体"/>
          <w:sz w:val="24"/>
        </w:rPr>
        <w:t>3</w:t>
      </w:r>
      <w:r>
        <w:rPr>
          <w:rFonts w:ascii="宋体" w:hAnsi="宋体"/>
          <w:sz w:val="24"/>
        </w:rPr>
        <w:t>.</w:t>
      </w:r>
      <w:r>
        <w:rPr>
          <w:rFonts w:hint="eastAsia" w:ascii="宋体" w:hAnsi="宋体"/>
          <w:sz w:val="24"/>
        </w:rPr>
        <w:t>证明材料与《采购需求偏离表》表述不一致的以证明材料为准。</w:t>
      </w:r>
    </w:p>
    <w:p>
      <w:pPr>
        <w:tabs>
          <w:tab w:val="left" w:pos="1800"/>
          <w:tab w:val="left" w:pos="5580"/>
        </w:tabs>
        <w:spacing w:line="360" w:lineRule="auto"/>
        <w:jc w:val="left"/>
        <w:rPr>
          <w:rFonts w:hint="eastAsia" w:ascii="宋体" w:hAnsi="宋体" w:cs="宋体"/>
          <w:sz w:val="24"/>
        </w:rPr>
      </w:pPr>
      <w:r>
        <w:rPr>
          <w:rFonts w:hint="eastAsia" w:ascii="宋体" w:hAnsi="宋体"/>
          <w:sz w:val="24"/>
        </w:rPr>
        <w:t>4</w:t>
      </w:r>
      <w:r>
        <w:rPr>
          <w:rFonts w:ascii="宋体" w:hAnsi="宋体"/>
          <w:sz w:val="24"/>
        </w:rPr>
        <w:t>.</w:t>
      </w:r>
      <w:r>
        <w:rPr>
          <w:rFonts w:hint="eastAsia" w:ascii="宋体" w:hAnsi="宋体"/>
          <w:sz w:val="24"/>
        </w:rPr>
        <w:t>因未在《采购需求偏离表》注明证明资料具体位置或位置不准确（如页码或序号）导致评审不得分的，由投标人自行承担由此产生的一切后果。</w:t>
      </w:r>
    </w:p>
    <w:p>
      <w:pPr>
        <w:tabs>
          <w:tab w:val="left" w:pos="1800"/>
          <w:tab w:val="left" w:pos="5580"/>
        </w:tabs>
        <w:spacing w:line="360" w:lineRule="auto"/>
        <w:jc w:val="left"/>
        <w:rPr>
          <w:rFonts w:hint="eastAsia" w:ascii="宋体" w:hAnsi="宋体" w:cs="宋体"/>
          <w:color w:val="000000" w:themeColor="text1"/>
          <w:sz w:val="24"/>
          <w14:textFill>
            <w14:solidFill>
              <w14:schemeClr w14:val="tx1"/>
            </w14:solidFill>
          </w14:textFill>
        </w:rPr>
      </w:pPr>
      <w:r>
        <w:rPr>
          <w:rFonts w:ascii="宋体" w:hAnsi="宋体" w:cs="宋体"/>
          <w:b/>
          <w:sz w:val="24"/>
        </w:rPr>
        <w:t>5.</w:t>
      </w:r>
      <w:r>
        <w:rPr>
          <w:rFonts w:hint="eastAsia" w:ascii="宋体" w:hAnsi="宋体" w:cs="宋体"/>
          <w:b/>
          <w:sz w:val="24"/>
        </w:rPr>
        <w:t>“偏离情况”列应据实填写“无偏离”或“正偏离”或“负偏离”。</w:t>
      </w:r>
    </w:p>
    <w:p>
      <w:pPr>
        <w:tabs>
          <w:tab w:val="left" w:pos="1800"/>
          <w:tab w:val="left" w:pos="5580"/>
        </w:tabs>
        <w:jc w:val="left"/>
        <w:rPr>
          <w:rFonts w:hint="eastAsia" w:ascii="宋体" w:hAnsi="宋体" w:cs="宋体"/>
          <w:color w:val="000000" w:themeColor="text1"/>
          <w:sz w:val="24"/>
          <w14:textFill>
            <w14:solidFill>
              <w14:schemeClr w14:val="tx1"/>
            </w14:solidFill>
          </w14:textFill>
        </w:rPr>
      </w:pPr>
    </w:p>
    <w:p>
      <w:pPr>
        <w:autoSpaceDE w:val="0"/>
        <w:autoSpaceDN w:val="0"/>
        <w:adjustRightInd w:val="0"/>
        <w:snapToGrid w:val="0"/>
        <w:spacing w:before="25" w:after="25" w:line="360" w:lineRule="auto"/>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w:t>
      </w:r>
    </w:p>
    <w:p>
      <w:pPr>
        <w:autoSpaceDE w:val="0"/>
        <w:autoSpaceDN w:val="0"/>
        <w:adjustRightInd w:val="0"/>
        <w:snapToGrid w:val="0"/>
        <w:spacing w:before="25" w:after="25" w:line="360" w:lineRule="auto"/>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日期：_____年______月______日   </w:t>
      </w:r>
    </w:p>
    <w:p>
      <w:pPr>
        <w:pStyle w:val="6"/>
        <w:rPr>
          <w:rFonts w:hint="eastAsia"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br w:type="page"/>
      </w:r>
      <w:r>
        <w:rPr>
          <w:rFonts w:hint="eastAsia" w:hAnsi="宋体" w:cs="宋体"/>
          <w:b w:val="0"/>
          <w:color w:val="000000" w:themeColor="text1"/>
          <w:szCs w:val="24"/>
          <w:u w:val="none"/>
          <w14:textFill>
            <w14:solidFill>
              <w14:schemeClr w14:val="tx1"/>
            </w14:solidFill>
          </w14:textFill>
        </w:rPr>
        <w:t>7  中小企业证明文件（本项目不适用）</w:t>
      </w:r>
    </w:p>
    <w:p>
      <w:pPr>
        <w:tabs>
          <w:tab w:val="left" w:pos="5580"/>
        </w:tabs>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说明：</w:t>
      </w:r>
    </w:p>
    <w:p>
      <w:pPr>
        <w:tabs>
          <w:tab w:val="left" w:pos="5580"/>
        </w:tabs>
        <w:spacing w:line="360" w:lineRule="auto"/>
        <w:rPr>
          <w:rFonts w:hint="eastAsia" w:ascii="宋体" w:hAnsi="宋体" w:cs="宋体"/>
          <w:color w:val="000000" w:themeColor="text1"/>
          <w:spacing w:val="-4"/>
          <w:sz w:val="24"/>
          <w14:textFill>
            <w14:solidFill>
              <w14:schemeClr w14:val="tx1"/>
            </w14:solidFill>
          </w14:textFill>
        </w:rPr>
      </w:pPr>
      <w:r>
        <w:rPr>
          <w:rFonts w:hint="eastAsia" w:ascii="宋体" w:hAnsi="宋体" w:cs="宋体"/>
          <w:color w:val="000000" w:themeColor="text1"/>
          <w:spacing w:val="-4"/>
          <w:sz w:val="24"/>
          <w14:textFill>
            <w14:solidFill>
              <w14:schemeClr w14:val="tx1"/>
            </w14:solidFill>
          </w14:textFill>
        </w:rPr>
        <w:t>1）中小企业参加政府采购活动，应当出具《中小企业声明函》或《残疾人福利性单位 声明函》或由省级以上监狱管理局、戒毒管理局（含新疆生产建设兵团）出具的属于监狱企业的证明文件，以证明中小企业身份。《中小企业声明函》 由参加政府采购活动的投标人出具。联合体投标的，《中小企业声明函》可由牵头人出具。</w:t>
      </w:r>
    </w:p>
    <w:p>
      <w:pPr>
        <w:tabs>
          <w:tab w:val="left" w:pos="5580"/>
        </w:tabs>
        <w:spacing w:line="360" w:lineRule="auto"/>
        <w:rPr>
          <w:rFonts w:hint="eastAsia" w:ascii="宋体" w:hAnsi="宋体" w:cs="宋体"/>
          <w:color w:val="000000" w:themeColor="text1"/>
          <w:spacing w:val="-4"/>
          <w:sz w:val="24"/>
          <w14:textFill>
            <w14:solidFill>
              <w14:schemeClr w14:val="tx1"/>
            </w14:solidFill>
          </w14:textFill>
        </w:rPr>
      </w:pPr>
      <w:r>
        <w:rPr>
          <w:rFonts w:hint="eastAsia" w:ascii="宋体" w:hAnsi="宋体" w:cs="宋体"/>
          <w:color w:val="000000" w:themeColor="text1"/>
          <w:spacing w:val="-4"/>
          <w:sz w:val="24"/>
          <w14:textFill>
            <w14:solidFill>
              <w14:schemeClr w14:val="tx1"/>
            </w14:solidFill>
          </w14:textFill>
        </w:rPr>
        <w:t>2 ）对于联合体中由中小企业承担的部分，或者分包给中小企业的部分，必须全部由中小企业制造、承建或者承接。供应商应当在声明函“标的名称 ”部分标明联合体中中小企业承担的具体内容或者中小企业的具体分包内容。</w:t>
      </w:r>
    </w:p>
    <w:p>
      <w:pPr>
        <w:tabs>
          <w:tab w:val="left" w:pos="5580"/>
        </w:tabs>
        <w:spacing w:line="360" w:lineRule="auto"/>
        <w:rPr>
          <w:rFonts w:hint="eastAsia" w:ascii="宋体" w:hAnsi="宋体" w:cs="宋体"/>
          <w:color w:val="000000" w:themeColor="text1"/>
          <w:spacing w:val="-4"/>
          <w:sz w:val="24"/>
          <w14:textFill>
            <w14:solidFill>
              <w14:schemeClr w14:val="tx1"/>
            </w14:solidFill>
          </w14:textFill>
        </w:rPr>
      </w:pPr>
      <w:r>
        <w:rPr>
          <w:rFonts w:hint="eastAsia" w:ascii="宋体" w:hAnsi="宋体" w:cs="宋体"/>
          <w:color w:val="000000" w:themeColor="text1"/>
          <w:spacing w:val="-4"/>
          <w:sz w:val="24"/>
          <w14:textFill>
            <w14:solidFill>
              <w14:schemeClr w14:val="tx1"/>
            </w14:solidFill>
          </w14:textFill>
        </w:rPr>
        <w:t>3）对于多标的采购项目，投标人应充分、准确地了解所提供货物的制造企业 、提供服务的承接企业信息。对相关情况了解不清楚的，不建议填报本声明函。</w:t>
      </w:r>
    </w:p>
    <w:p>
      <w:pPr>
        <w:tabs>
          <w:tab w:val="left" w:pos="5580"/>
        </w:tabs>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4"/>
          <w:sz w:val="24"/>
          <w14:textFill>
            <w14:solidFill>
              <w14:schemeClr w14:val="tx1"/>
            </w14:solidFill>
          </w14:textFill>
        </w:rPr>
        <w:t>4）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2011﹞300号）》及本项目文件规定的中小企业划分标准所属行业执行。</w:t>
      </w:r>
    </w:p>
    <w:p>
      <w:pPr>
        <w:widowControl/>
        <w:jc w:val="left"/>
        <w:rPr>
          <w:rFonts w:hint="eastAsia"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br w:type="page"/>
      </w:r>
    </w:p>
    <w:p>
      <w:pPr>
        <w:spacing w:line="360" w:lineRule="auto"/>
        <w:ind w:firstLine="506" w:firstLineChars="200"/>
        <w:jc w:val="center"/>
        <w:rPr>
          <w:rFonts w:hint="eastAsia" w:ascii="宋体" w:hAnsi="宋体" w:cs="宋体"/>
          <w:color w:val="000000"/>
          <w:spacing w:val="6"/>
          <w:sz w:val="24"/>
        </w:rPr>
      </w:pPr>
      <w:bookmarkStart w:id="959" w:name="OLE_LINK192"/>
      <w:bookmarkStart w:id="960" w:name="OLE_LINK193"/>
      <w:r>
        <w:rPr>
          <w:rFonts w:hint="eastAsia" w:ascii="宋体" w:hAnsi="宋体" w:cs="宋体"/>
          <w:b/>
          <w:bCs/>
          <w:color w:val="000000"/>
          <w:spacing w:val="6"/>
          <w:sz w:val="24"/>
        </w:rPr>
        <w:t>中小企业声明函（服务）</w:t>
      </w:r>
    </w:p>
    <w:p>
      <w:pPr>
        <w:spacing w:line="360" w:lineRule="auto"/>
        <w:ind w:firstLine="504" w:firstLineChars="200"/>
        <w:jc w:val="center"/>
        <w:rPr>
          <w:rFonts w:hint="eastAsia" w:ascii="宋体" w:hAnsi="宋体" w:cs="宋体"/>
          <w:color w:val="000000"/>
          <w:spacing w:val="6"/>
          <w:sz w:val="24"/>
        </w:rPr>
      </w:pPr>
    </w:p>
    <w:p>
      <w:pPr>
        <w:spacing w:line="360" w:lineRule="auto"/>
        <w:ind w:firstLine="480" w:firstLineChars="200"/>
        <w:jc w:val="left"/>
        <w:rPr>
          <w:rFonts w:hint="eastAsia" w:ascii="宋体" w:hAnsi="宋体"/>
          <w:color w:val="000000"/>
          <w:kern w:val="0"/>
          <w:sz w:val="24"/>
        </w:rPr>
      </w:pPr>
      <w:r>
        <w:rPr>
          <w:rFonts w:hint="eastAsia" w:ascii="宋体" w:hAnsi="宋体"/>
          <w:color w:val="000000"/>
          <w:kern w:val="0"/>
          <w:sz w:val="24"/>
        </w:rPr>
        <w:t>本公司（联合体）郑重声明，根据《政府采购促进中小企业发展管理办法》（财库﹝2020﹞46 号）的规定，本公司（联合体）参加</w:t>
      </w:r>
      <w:r>
        <w:rPr>
          <w:rFonts w:hint="eastAsia" w:ascii="宋体" w:hAnsi="宋体"/>
          <w:color w:val="000000"/>
          <w:kern w:val="0"/>
          <w:sz w:val="24"/>
          <w:u w:val="single"/>
        </w:rPr>
        <w:t xml:space="preserve">    （单位名称）</w:t>
      </w:r>
      <w:r>
        <w:rPr>
          <w:rFonts w:hint="eastAsia" w:ascii="宋体" w:hAnsi="宋体"/>
          <w:color w:val="000000"/>
          <w:kern w:val="0"/>
          <w:sz w:val="24"/>
        </w:rPr>
        <w:t>的</w:t>
      </w:r>
      <w:r>
        <w:rPr>
          <w:rFonts w:hint="eastAsia" w:ascii="宋体" w:hAnsi="宋体"/>
          <w:color w:val="000000"/>
          <w:kern w:val="0"/>
          <w:sz w:val="24"/>
          <w:u w:val="single"/>
        </w:rPr>
        <w:t xml:space="preserve">    （项目名称）</w:t>
      </w:r>
      <w:r>
        <w:rPr>
          <w:rFonts w:hint="eastAsia" w:ascii="宋体" w:hAnsi="宋体"/>
          <w:color w:val="000000"/>
          <w:kern w:val="0"/>
          <w:sz w:val="24"/>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hint="eastAsia" w:ascii="宋体" w:hAnsi="宋体"/>
          <w:color w:val="000000"/>
          <w:kern w:val="0"/>
          <w:sz w:val="24"/>
        </w:rPr>
      </w:pPr>
      <w:r>
        <w:rPr>
          <w:rFonts w:hint="eastAsia" w:ascii="宋体" w:hAnsi="宋体"/>
          <w:color w:val="000000"/>
          <w:kern w:val="0"/>
          <w:sz w:val="24"/>
        </w:rPr>
        <w:t>1.</w:t>
      </w:r>
      <w:r>
        <w:rPr>
          <w:rFonts w:hint="eastAsia" w:ascii="宋体" w:hAnsi="宋体"/>
          <w:color w:val="000000"/>
          <w:kern w:val="0"/>
          <w:sz w:val="24"/>
          <w:u w:val="single"/>
        </w:rPr>
        <w:t xml:space="preserve">    （标的名称），属于    （采购文件中明确的所属行业）行业</w:t>
      </w:r>
      <w:r>
        <w:rPr>
          <w:rFonts w:hint="eastAsia" w:ascii="宋体" w:hAnsi="宋体"/>
          <w:color w:val="000000"/>
          <w:kern w:val="0"/>
          <w:sz w:val="24"/>
        </w:rPr>
        <w:t>；承接企业为</w:t>
      </w:r>
      <w:r>
        <w:rPr>
          <w:rFonts w:hint="eastAsia" w:ascii="宋体" w:hAnsi="宋体"/>
          <w:color w:val="000000"/>
          <w:kern w:val="0"/>
          <w:sz w:val="24"/>
          <w:u w:val="single"/>
        </w:rPr>
        <w:t>（企业名称）</w:t>
      </w:r>
      <w:r>
        <w:rPr>
          <w:rFonts w:hint="eastAsia" w:ascii="宋体" w:hAnsi="宋体"/>
          <w:color w:val="000000"/>
          <w:kern w:val="0"/>
          <w:sz w:val="24"/>
        </w:rPr>
        <w:t>，从业人员</w:t>
      </w:r>
      <w:r>
        <w:rPr>
          <w:rFonts w:hint="eastAsia" w:ascii="宋体" w:hAnsi="宋体"/>
          <w:color w:val="000000"/>
          <w:kern w:val="0"/>
          <w:sz w:val="24"/>
          <w:u w:val="single"/>
        </w:rPr>
        <w:t xml:space="preserve">    </w:t>
      </w:r>
      <w:r>
        <w:rPr>
          <w:rFonts w:hint="eastAsia" w:ascii="宋体" w:hAnsi="宋体"/>
          <w:color w:val="000000"/>
          <w:kern w:val="0"/>
          <w:sz w:val="24"/>
        </w:rPr>
        <w:t>人，营业收入为</w:t>
      </w:r>
      <w:r>
        <w:rPr>
          <w:rFonts w:hint="eastAsia" w:ascii="宋体" w:hAnsi="宋体"/>
          <w:color w:val="000000"/>
          <w:kern w:val="0"/>
          <w:sz w:val="24"/>
          <w:u w:val="single"/>
        </w:rPr>
        <w:t xml:space="preserve">    </w:t>
      </w:r>
      <w:r>
        <w:rPr>
          <w:rFonts w:hint="eastAsia" w:ascii="宋体" w:hAnsi="宋体"/>
          <w:color w:val="000000"/>
          <w:kern w:val="0"/>
          <w:sz w:val="24"/>
        </w:rPr>
        <w:t>万元，资产总额为</w:t>
      </w:r>
      <w:r>
        <w:rPr>
          <w:rFonts w:hint="eastAsia" w:ascii="宋体" w:hAnsi="宋体"/>
          <w:color w:val="000000"/>
          <w:kern w:val="0"/>
          <w:sz w:val="24"/>
          <w:u w:val="single"/>
        </w:rPr>
        <w:t xml:space="preserve">    </w:t>
      </w:r>
      <w:r>
        <w:rPr>
          <w:rFonts w:hint="eastAsia" w:ascii="宋体" w:hAnsi="宋体"/>
          <w:color w:val="000000"/>
          <w:kern w:val="0"/>
          <w:sz w:val="24"/>
        </w:rPr>
        <w:t>万元</w:t>
      </w:r>
      <w:r>
        <w:rPr>
          <w:rFonts w:hint="eastAsia" w:ascii="宋体" w:hAnsi="宋体"/>
          <w:color w:val="000000"/>
          <w:kern w:val="0"/>
          <w:sz w:val="24"/>
          <w:vertAlign w:val="superscript"/>
        </w:rPr>
        <w:t>1</w:t>
      </w:r>
      <w:r>
        <w:rPr>
          <w:rFonts w:hint="eastAsia" w:ascii="宋体" w:hAnsi="宋体"/>
          <w:color w:val="000000"/>
          <w:kern w:val="0"/>
          <w:sz w:val="24"/>
        </w:rPr>
        <w:t>，属于</w:t>
      </w:r>
      <w:r>
        <w:rPr>
          <w:rFonts w:hint="eastAsia" w:ascii="宋体" w:hAnsi="宋体"/>
          <w:color w:val="000000"/>
          <w:kern w:val="0"/>
          <w:sz w:val="24"/>
          <w:u w:val="single"/>
        </w:rPr>
        <w:t xml:space="preserve">    </w:t>
      </w:r>
      <w:r>
        <w:rPr>
          <w:rFonts w:hint="eastAsia" w:ascii="宋体" w:hAnsi="宋体"/>
          <w:color w:val="000000"/>
          <w:kern w:val="0"/>
          <w:sz w:val="24"/>
        </w:rPr>
        <w:t>（</w:t>
      </w:r>
      <w:r>
        <w:rPr>
          <w:rFonts w:hint="eastAsia" w:ascii="宋体" w:hAnsi="宋体"/>
          <w:color w:val="000000"/>
          <w:kern w:val="0"/>
          <w:sz w:val="24"/>
          <w:u w:val="single"/>
        </w:rPr>
        <w:t>中型企业、小型企业、微型企业</w:t>
      </w:r>
      <w:r>
        <w:rPr>
          <w:rFonts w:hint="eastAsia" w:ascii="宋体" w:hAnsi="宋体"/>
          <w:color w:val="000000"/>
          <w:kern w:val="0"/>
          <w:sz w:val="24"/>
        </w:rPr>
        <w:t>）；</w:t>
      </w:r>
    </w:p>
    <w:p>
      <w:pPr>
        <w:spacing w:line="360" w:lineRule="auto"/>
        <w:ind w:firstLine="480" w:firstLineChars="200"/>
        <w:jc w:val="left"/>
        <w:rPr>
          <w:rFonts w:hint="eastAsia" w:ascii="宋体" w:hAnsi="宋体"/>
          <w:color w:val="000000"/>
          <w:kern w:val="0"/>
          <w:sz w:val="24"/>
        </w:rPr>
      </w:pPr>
      <w:r>
        <w:rPr>
          <w:rFonts w:hint="eastAsia" w:ascii="宋体" w:hAnsi="宋体"/>
          <w:color w:val="000000"/>
          <w:kern w:val="0"/>
          <w:sz w:val="24"/>
        </w:rPr>
        <w:t>2.</w:t>
      </w:r>
      <w:r>
        <w:rPr>
          <w:rFonts w:hint="eastAsia" w:ascii="宋体" w:hAnsi="宋体"/>
          <w:color w:val="000000"/>
          <w:kern w:val="0"/>
          <w:sz w:val="24"/>
          <w:u w:val="single"/>
        </w:rPr>
        <w:t>（标的名称），属于（采购文件中明确的所属行业）行业</w:t>
      </w:r>
      <w:r>
        <w:rPr>
          <w:rFonts w:hint="eastAsia" w:ascii="宋体" w:hAnsi="宋体"/>
          <w:color w:val="000000"/>
          <w:kern w:val="0"/>
          <w:sz w:val="24"/>
        </w:rPr>
        <w:t>；承接企业为</w:t>
      </w:r>
      <w:r>
        <w:rPr>
          <w:rFonts w:hint="eastAsia" w:ascii="宋体" w:hAnsi="宋体"/>
          <w:color w:val="000000"/>
          <w:kern w:val="0"/>
          <w:sz w:val="24"/>
          <w:u w:val="single"/>
        </w:rPr>
        <w:t>（企业名称）</w:t>
      </w:r>
      <w:r>
        <w:rPr>
          <w:rFonts w:hint="eastAsia" w:ascii="宋体" w:hAnsi="宋体"/>
          <w:color w:val="000000"/>
          <w:kern w:val="0"/>
          <w:sz w:val="24"/>
        </w:rPr>
        <w:t>，从业人员</w:t>
      </w:r>
      <w:r>
        <w:rPr>
          <w:rFonts w:hint="eastAsia" w:ascii="宋体" w:hAnsi="宋体"/>
          <w:color w:val="000000"/>
          <w:kern w:val="0"/>
          <w:sz w:val="24"/>
          <w:u w:val="single"/>
        </w:rPr>
        <w:t xml:space="preserve">    </w:t>
      </w:r>
      <w:r>
        <w:rPr>
          <w:rFonts w:hint="eastAsia" w:ascii="宋体" w:hAnsi="宋体"/>
          <w:color w:val="000000"/>
          <w:kern w:val="0"/>
          <w:sz w:val="24"/>
        </w:rPr>
        <w:t>人，营业收入为</w:t>
      </w:r>
      <w:r>
        <w:rPr>
          <w:rFonts w:hint="eastAsia" w:ascii="宋体" w:hAnsi="宋体"/>
          <w:color w:val="000000"/>
          <w:kern w:val="0"/>
          <w:sz w:val="24"/>
          <w:u w:val="single"/>
        </w:rPr>
        <w:t xml:space="preserve">    </w:t>
      </w:r>
      <w:r>
        <w:rPr>
          <w:rFonts w:hint="eastAsia" w:ascii="宋体" w:hAnsi="宋体"/>
          <w:color w:val="000000"/>
          <w:kern w:val="0"/>
          <w:sz w:val="24"/>
        </w:rPr>
        <w:t>万元，资产总额为</w:t>
      </w:r>
      <w:r>
        <w:rPr>
          <w:rFonts w:hint="eastAsia" w:ascii="宋体" w:hAnsi="宋体"/>
          <w:color w:val="000000"/>
          <w:kern w:val="0"/>
          <w:sz w:val="24"/>
          <w:u w:val="single"/>
        </w:rPr>
        <w:t xml:space="preserve">    </w:t>
      </w:r>
      <w:r>
        <w:rPr>
          <w:rFonts w:hint="eastAsia" w:ascii="宋体" w:hAnsi="宋体"/>
          <w:color w:val="000000"/>
          <w:kern w:val="0"/>
          <w:sz w:val="24"/>
        </w:rPr>
        <w:t>万元</w:t>
      </w:r>
      <w:r>
        <w:rPr>
          <w:rFonts w:hint="eastAsia" w:ascii="宋体" w:hAnsi="宋体"/>
          <w:color w:val="000000"/>
          <w:kern w:val="0"/>
          <w:sz w:val="24"/>
          <w:vertAlign w:val="superscript"/>
        </w:rPr>
        <w:t>1</w:t>
      </w:r>
      <w:r>
        <w:rPr>
          <w:rFonts w:hint="eastAsia" w:ascii="宋体" w:hAnsi="宋体"/>
          <w:color w:val="000000"/>
          <w:kern w:val="0"/>
          <w:sz w:val="24"/>
        </w:rPr>
        <w:t>，属于</w:t>
      </w:r>
      <w:r>
        <w:rPr>
          <w:rFonts w:hint="eastAsia" w:ascii="宋体" w:hAnsi="宋体"/>
          <w:color w:val="000000"/>
          <w:kern w:val="0"/>
          <w:sz w:val="24"/>
          <w:u w:val="single"/>
        </w:rPr>
        <w:t xml:space="preserve">    </w:t>
      </w:r>
      <w:r>
        <w:rPr>
          <w:rFonts w:hint="eastAsia" w:ascii="宋体" w:hAnsi="宋体"/>
          <w:color w:val="000000"/>
          <w:kern w:val="0"/>
          <w:sz w:val="24"/>
        </w:rPr>
        <w:t>（</w:t>
      </w:r>
      <w:r>
        <w:rPr>
          <w:rFonts w:hint="eastAsia" w:ascii="宋体" w:hAnsi="宋体"/>
          <w:color w:val="000000"/>
          <w:kern w:val="0"/>
          <w:sz w:val="24"/>
          <w:u w:val="single"/>
        </w:rPr>
        <w:t>中型企业、小型企业、微型企业</w:t>
      </w:r>
      <w:r>
        <w:rPr>
          <w:rFonts w:hint="eastAsia" w:ascii="宋体" w:hAnsi="宋体"/>
          <w:color w:val="000000"/>
          <w:kern w:val="0"/>
          <w:sz w:val="24"/>
        </w:rPr>
        <w:t>）；</w:t>
      </w:r>
    </w:p>
    <w:p>
      <w:pPr>
        <w:spacing w:line="360" w:lineRule="auto"/>
        <w:ind w:firstLine="480" w:firstLineChars="200"/>
        <w:jc w:val="left"/>
        <w:rPr>
          <w:rFonts w:hint="eastAsia" w:ascii="宋体" w:hAnsi="宋体"/>
          <w:color w:val="000000"/>
          <w:kern w:val="0"/>
          <w:sz w:val="24"/>
        </w:rPr>
      </w:pPr>
      <w:r>
        <w:rPr>
          <w:rFonts w:ascii="宋体" w:hAnsi="宋体"/>
          <w:color w:val="000000"/>
          <w:kern w:val="0"/>
          <w:sz w:val="24"/>
        </w:rPr>
        <w:t>……</w:t>
      </w:r>
    </w:p>
    <w:p>
      <w:pPr>
        <w:spacing w:line="360" w:lineRule="auto"/>
        <w:ind w:firstLine="480" w:firstLineChars="200"/>
        <w:jc w:val="left"/>
        <w:rPr>
          <w:rFonts w:hint="eastAsia" w:ascii="宋体" w:hAnsi="宋体"/>
          <w:color w:val="000000"/>
          <w:kern w:val="0"/>
          <w:sz w:val="24"/>
        </w:rPr>
      </w:pPr>
      <w:r>
        <w:rPr>
          <w:rFonts w:hint="eastAsia" w:ascii="宋体" w:hAnsi="宋体"/>
          <w:color w:val="000000"/>
          <w:kern w:val="0"/>
          <w:sz w:val="24"/>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宋体" w:hAnsi="宋体"/>
          <w:color w:val="000000"/>
          <w:kern w:val="0"/>
          <w:sz w:val="24"/>
          <w:vertAlign w:val="superscript"/>
        </w:rPr>
      </w:pPr>
      <w:r>
        <w:rPr>
          <w:rFonts w:hint="eastAsia" w:ascii="宋体" w:hAnsi="宋体"/>
          <w:color w:val="000000"/>
          <w:kern w:val="0"/>
          <w:sz w:val="24"/>
        </w:rPr>
        <w:t>本企业对上述声明内容的真实性负责。如有虚假，将依法承担相应责任。</w:t>
      </w:r>
    </w:p>
    <w:p>
      <w:pPr>
        <w:spacing w:line="360" w:lineRule="auto"/>
        <w:jc w:val="left"/>
        <w:rPr>
          <w:rFonts w:hint="eastAsia" w:ascii="宋体" w:hAnsi="宋体"/>
          <w:color w:val="000000"/>
          <w:kern w:val="0"/>
          <w:sz w:val="24"/>
        </w:rPr>
      </w:pPr>
    </w:p>
    <w:p>
      <w:pPr>
        <w:spacing w:line="360" w:lineRule="auto"/>
        <w:jc w:val="left"/>
        <w:rPr>
          <w:rFonts w:hint="eastAsia" w:ascii="宋体" w:hAnsi="宋体"/>
          <w:color w:val="000000"/>
          <w:kern w:val="0"/>
          <w:sz w:val="24"/>
        </w:rPr>
      </w:pPr>
      <w:r>
        <w:rPr>
          <w:rFonts w:hint="eastAsia" w:ascii="宋体" w:hAnsi="宋体"/>
          <w:color w:val="000000"/>
          <w:kern w:val="0"/>
          <w:sz w:val="24"/>
        </w:rPr>
        <w:t xml:space="preserve">                            企业名称（盖章）： </w:t>
      </w:r>
    </w:p>
    <w:p>
      <w:pPr>
        <w:spacing w:line="360" w:lineRule="auto"/>
        <w:ind w:firstLine="3360" w:firstLineChars="1400"/>
        <w:rPr>
          <w:rFonts w:hint="eastAsia" w:ascii="宋体" w:hAnsi="宋体" w:cs="宋体"/>
          <w:color w:val="000000"/>
          <w:spacing w:val="6"/>
          <w:sz w:val="24"/>
        </w:rPr>
      </w:pPr>
      <w:r>
        <w:rPr>
          <w:rFonts w:hint="eastAsia" w:ascii="宋体" w:hAnsi="宋体"/>
          <w:color w:val="000000"/>
          <w:kern w:val="0"/>
          <w:sz w:val="24"/>
        </w:rPr>
        <w:t>日  期：</w:t>
      </w:r>
    </w:p>
    <w:p>
      <w:pPr>
        <w:rPr>
          <w:rFonts w:hint="eastAsia" w:ascii="宋体" w:hAnsi="宋体"/>
          <w:color w:val="000000"/>
        </w:rPr>
      </w:pPr>
    </w:p>
    <w:p>
      <w:pPr>
        <w:rPr>
          <w:rFonts w:hint="eastAsia" w:ascii="宋体" w:hAnsi="宋体"/>
          <w:color w:val="000000"/>
        </w:rPr>
      </w:pPr>
    </w:p>
    <w:p>
      <w:pPr>
        <w:adjustRightInd w:val="0"/>
        <w:snapToGrid w:val="0"/>
        <w:jc w:val="left"/>
        <w:rPr>
          <w:rFonts w:hint="eastAsia" w:ascii="宋体" w:hAnsi="宋体"/>
          <w:color w:val="000000"/>
          <w:sz w:val="24"/>
          <w:szCs w:val="21"/>
        </w:rPr>
      </w:pPr>
    </w:p>
    <w:tbl>
      <w:tblPr>
        <w:tblStyle w:val="52"/>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3"/>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tcPr>
          <w:p>
            <w:pPr>
              <w:adjustRightInd w:val="0"/>
              <w:snapToGrid w:val="0"/>
              <w:jc w:val="left"/>
              <w:rPr>
                <w:rFonts w:hint="eastAsia" w:ascii="宋体" w:hAnsi="宋体"/>
                <w:color w:val="000000"/>
                <w:szCs w:val="21"/>
              </w:rPr>
            </w:pPr>
            <w:r>
              <w:rPr>
                <w:rFonts w:ascii="宋体" w:hAnsi="宋体"/>
                <w:color w:val="000000"/>
                <w:szCs w:val="21"/>
                <w:vertAlign w:val="superscript"/>
              </w:rPr>
              <w:t>1</w:t>
            </w:r>
            <w:r>
              <w:rPr>
                <w:rFonts w:ascii="宋体" w:hAnsi="宋体"/>
                <w:color w:val="000000"/>
                <w:szCs w:val="21"/>
              </w:rPr>
              <w:t>从业人员、营业收入、资产总额填报上一年度数据，无上一年度数据的新成立企业可不填报。</w:t>
            </w:r>
          </w:p>
        </w:tc>
      </w:tr>
    </w:tbl>
    <w:p>
      <w:pPr>
        <w:rPr>
          <w:rFonts w:hint="eastAsia"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br w:type="page"/>
      </w:r>
    </w:p>
    <w:bookmarkEnd w:id="959"/>
    <w:bookmarkEnd w:id="960"/>
    <w:p>
      <w:pPr>
        <w:spacing w:before="240" w:beforeLines="100" w:after="240" w:afterLines="100" w:line="360" w:lineRule="auto"/>
        <w:jc w:val="center"/>
        <w:rPr>
          <w:rFonts w:hint="eastAsia" w:ascii="宋体" w:hAnsi="宋体" w:cs="宋体"/>
          <w:color w:val="000000" w:themeColor="text1"/>
          <w:sz w:val="36"/>
          <w:szCs w:val="36"/>
          <w14:textFill>
            <w14:solidFill>
              <w14:schemeClr w14:val="tx1"/>
            </w14:solidFill>
          </w14:textFill>
        </w:rPr>
      </w:pPr>
      <w:r>
        <w:rPr>
          <w:rFonts w:hint="eastAsia" w:ascii="宋体" w:hAnsi="宋体" w:cs="宋体"/>
          <w:b/>
          <w:bCs/>
          <w:color w:val="000000" w:themeColor="text1"/>
          <w:sz w:val="36"/>
          <w:szCs w:val="36"/>
          <w14:textFill>
            <w14:solidFill>
              <w14:schemeClr w14:val="tx1"/>
            </w14:solidFill>
          </w14:textFill>
        </w:rPr>
        <w:t>残疾人福利性单位声明函格式</w:t>
      </w:r>
    </w:p>
    <w:p>
      <w:pPr>
        <w:spacing w:line="588" w:lineRule="exact"/>
        <w:ind w:firstLine="504"/>
        <w:rPr>
          <w:rFonts w:hint="eastAsia"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本单位郑重声明，根据《财政部 民政部 中国残疾人联合会关于促进残疾人就业政府采购政策的通知》（财库</w:t>
      </w:r>
      <w:r>
        <w:rPr>
          <w:rFonts w:hint="eastAsia" w:ascii="宋体" w:hAnsi="宋体" w:cs="宋体"/>
          <w:color w:val="000000" w:themeColor="text1"/>
          <w:sz w:val="24"/>
          <w14:textFill>
            <w14:solidFill>
              <w14:schemeClr w14:val="tx1"/>
            </w14:solidFill>
          </w14:textFill>
        </w:rPr>
        <w:t>〔2017〕141</w:t>
      </w:r>
      <w:r>
        <w:rPr>
          <w:rFonts w:hint="eastAsia" w:ascii="宋体" w:hAnsi="宋体" w:cs="宋体"/>
          <w:color w:val="000000" w:themeColor="text1"/>
          <w:spacing w:val="6"/>
          <w:sz w:val="24"/>
          <w14:textFill>
            <w14:solidFill>
              <w14:schemeClr w14:val="tx1"/>
            </w14:solidFill>
          </w14:textFill>
        </w:rPr>
        <w:t>号）的规定，本单位</w:t>
      </w:r>
      <w:r>
        <w:rPr>
          <w:rFonts w:hint="eastAsia" w:ascii="宋体" w:hAnsi="宋体" w:cs="宋体"/>
          <w:b/>
          <w:color w:val="000000" w:themeColor="text1"/>
          <w:sz w:val="24"/>
          <w14:textFill>
            <w14:solidFill>
              <w14:schemeClr w14:val="tx1"/>
            </w14:solidFill>
          </w14:textFill>
        </w:rPr>
        <w:t>（请进行选择）</w:t>
      </w:r>
      <w:r>
        <w:rPr>
          <w:rFonts w:hint="eastAsia" w:ascii="宋体" w:hAnsi="宋体" w:cs="宋体"/>
          <w:color w:val="000000" w:themeColor="text1"/>
          <w:spacing w:val="6"/>
          <w:sz w:val="24"/>
          <w14:textFill>
            <w14:solidFill>
              <w14:schemeClr w14:val="tx1"/>
            </w14:solidFill>
          </w14:textFill>
        </w:rPr>
        <w:t>：</w:t>
      </w:r>
    </w:p>
    <w:p>
      <w:pPr>
        <w:spacing w:line="588" w:lineRule="exact"/>
        <w:ind w:firstLine="482"/>
        <w:rPr>
          <w:rFonts w:hint="eastAsia" w:ascii="宋体" w:hAnsi="宋体" w:cs="宋体"/>
          <w:b/>
          <w:color w:val="000000" w:themeColor="text1"/>
          <w:spacing w:val="6"/>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w:t>
      </w:r>
      <w:r>
        <w:rPr>
          <w:rFonts w:hint="eastAsia" w:ascii="宋体" w:hAnsi="宋体" w:cs="宋体"/>
          <w:b/>
          <w:color w:val="000000" w:themeColor="text1"/>
          <w:spacing w:val="6"/>
          <w:sz w:val="24"/>
          <w14:textFill>
            <w14:solidFill>
              <w14:schemeClr w14:val="tx1"/>
            </w14:solidFill>
          </w14:textFill>
        </w:rPr>
        <w:t>不属于符合条件的残疾人福利性单位。</w:t>
      </w:r>
    </w:p>
    <w:p>
      <w:pPr>
        <w:spacing w:line="588" w:lineRule="exact"/>
        <w:ind w:firstLine="482"/>
        <w:rPr>
          <w:rFonts w:hint="eastAsia" w:ascii="宋体" w:hAnsi="宋体" w:cs="宋体"/>
          <w:color w:val="000000" w:themeColor="text1"/>
          <w:spacing w:val="6"/>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w:t>
      </w:r>
      <w:r>
        <w:rPr>
          <w:rFonts w:hint="eastAsia" w:ascii="宋体" w:hAnsi="宋体" w:cs="宋体"/>
          <w:b/>
          <w:color w:val="000000" w:themeColor="text1"/>
          <w:spacing w:val="6"/>
          <w:sz w:val="24"/>
          <w14:textFill>
            <w14:solidFill>
              <w14:schemeClr w14:val="tx1"/>
            </w14:solidFill>
          </w14:textFill>
        </w:rPr>
        <w:t>属于符合条件的残疾人福利性单位，</w:t>
      </w:r>
      <w:r>
        <w:rPr>
          <w:rFonts w:hint="eastAsia" w:ascii="宋体" w:hAnsi="宋体" w:cs="宋体"/>
          <w:color w:val="000000" w:themeColor="text1"/>
          <w:spacing w:val="6"/>
          <w:sz w:val="24"/>
          <w14:textFill>
            <w14:solidFill>
              <w14:schemeClr w14:val="tx1"/>
            </w14:solidFill>
          </w14:textFill>
        </w:rPr>
        <w:t>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506" w:firstLineChars="200"/>
        <w:rPr>
          <w:rFonts w:hint="eastAsia" w:ascii="宋体" w:hAnsi="宋体" w:cs="宋体"/>
          <w:color w:val="000000" w:themeColor="text1"/>
          <w:spacing w:val="6"/>
          <w:sz w:val="24"/>
          <w14:textFill>
            <w14:solidFill>
              <w14:schemeClr w14:val="tx1"/>
            </w14:solidFill>
          </w14:textFill>
        </w:rPr>
      </w:pPr>
      <w:r>
        <w:rPr>
          <w:rFonts w:hint="eastAsia" w:ascii="宋体" w:hAnsi="宋体" w:cs="宋体"/>
          <w:b/>
          <w:color w:val="000000" w:themeColor="text1"/>
          <w:spacing w:val="6"/>
          <w:sz w:val="24"/>
          <w14:textFill>
            <w14:solidFill>
              <w14:schemeClr w14:val="tx1"/>
            </w14:solidFill>
          </w14:textFill>
        </w:rPr>
        <w:t>本单位对上述声明的真实性负责。如有虚假，将依法承担相应责任。</w:t>
      </w:r>
    </w:p>
    <w:p>
      <w:pPr>
        <w:spacing w:line="588" w:lineRule="exact"/>
        <w:ind w:firstLine="504" w:firstLineChars="200"/>
        <w:rPr>
          <w:rFonts w:hint="eastAsia" w:ascii="宋体" w:hAnsi="宋体" w:cs="宋体"/>
          <w:color w:val="000000" w:themeColor="text1"/>
          <w:spacing w:val="6"/>
          <w:sz w:val="24"/>
          <w14:textFill>
            <w14:solidFill>
              <w14:schemeClr w14:val="tx1"/>
            </w14:solidFill>
          </w14:textFill>
        </w:rPr>
      </w:pPr>
    </w:p>
    <w:p>
      <w:pPr>
        <w:spacing w:line="588" w:lineRule="exact"/>
        <w:ind w:firstLine="504" w:firstLineChars="200"/>
        <w:rPr>
          <w:rFonts w:hint="eastAsia" w:ascii="宋体" w:hAnsi="宋体" w:cs="宋体"/>
          <w:color w:val="000000" w:themeColor="text1"/>
          <w:spacing w:val="6"/>
          <w:sz w:val="24"/>
          <w14:textFill>
            <w14:solidFill>
              <w14:schemeClr w14:val="tx1"/>
            </w14:solidFill>
          </w14:textFill>
        </w:rPr>
      </w:pPr>
    </w:p>
    <w:p>
      <w:pPr>
        <w:tabs>
          <w:tab w:val="left" w:pos="4860"/>
        </w:tabs>
        <w:spacing w:line="588" w:lineRule="exact"/>
        <w:ind w:right="1560" w:firstLine="504" w:firstLineChars="200"/>
        <w:jc w:val="center"/>
        <w:rPr>
          <w:rFonts w:hint="eastAsia"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 xml:space="preserve">               单位名称（盖章）：</w:t>
      </w:r>
    </w:p>
    <w:p>
      <w:pPr>
        <w:tabs>
          <w:tab w:val="left" w:pos="4860"/>
        </w:tabs>
        <w:spacing w:line="588" w:lineRule="exact"/>
        <w:ind w:right="1560" w:firstLine="504" w:firstLineChars="200"/>
        <w:jc w:val="center"/>
        <w:rPr>
          <w:rFonts w:hint="eastAsia"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 xml:space="preserve">       日  期：</w:t>
      </w:r>
    </w:p>
    <w:p>
      <w:pPr>
        <w:pStyle w:val="6"/>
        <w:rPr>
          <w:rFonts w:hint="eastAsia" w:hAnsi="宋体" w:cs="宋体"/>
          <w:b w:val="0"/>
          <w:color w:val="000000" w:themeColor="text1"/>
          <w:szCs w:val="24"/>
          <w:u w:val="none"/>
          <w14:textFill>
            <w14:solidFill>
              <w14:schemeClr w14:val="tx1"/>
            </w14:solidFill>
          </w14:textFill>
        </w:rPr>
      </w:pPr>
      <w:r>
        <w:rPr>
          <w:rFonts w:hint="eastAsia" w:hAnsi="宋体" w:cs="宋体"/>
          <w:color w:val="000000" w:themeColor="text1"/>
          <w14:textFill>
            <w14:solidFill>
              <w14:schemeClr w14:val="tx1"/>
            </w14:solidFill>
          </w14:textFill>
        </w:rPr>
        <w:br w:type="page"/>
      </w:r>
      <w:r>
        <w:rPr>
          <w:rFonts w:hAnsi="宋体" w:cs="宋体"/>
          <w:b w:val="0"/>
          <w:color w:val="000000" w:themeColor="text1"/>
          <w:szCs w:val="24"/>
          <w:u w:val="none"/>
          <w14:textFill>
            <w14:solidFill>
              <w14:schemeClr w14:val="tx1"/>
            </w14:solidFill>
          </w14:textFill>
        </w:rPr>
        <w:t>8</w:t>
      </w:r>
      <w:r>
        <w:rPr>
          <w:rFonts w:hint="eastAsia" w:hAnsi="宋体" w:cs="宋体"/>
          <w:b w:val="0"/>
          <w:color w:val="000000" w:themeColor="text1"/>
          <w:szCs w:val="24"/>
          <w:u w:val="none"/>
          <w14:textFill>
            <w14:solidFill>
              <w14:schemeClr w14:val="tx1"/>
            </w14:solidFill>
          </w14:textFill>
        </w:rPr>
        <w:t xml:space="preserve">  关于符合本国产品标准的声明函（本项目不适用）</w:t>
      </w:r>
    </w:p>
    <w:p>
      <w:pPr>
        <w:pStyle w:val="46"/>
        <w:shd w:val="clear" w:color="auto" w:fill="FFFFFF"/>
        <w:spacing w:before="30" w:beforeAutospacing="0" w:after="30" w:afterAutospacing="0"/>
        <w:jc w:val="center"/>
        <w:rPr>
          <w:rFonts w:hint="eastAsia"/>
          <w:color w:val="333333"/>
          <w:sz w:val="36"/>
          <w:szCs w:val="36"/>
        </w:rPr>
      </w:pPr>
      <w:r>
        <w:rPr>
          <w:rStyle w:val="56"/>
          <w:rFonts w:hint="eastAsia"/>
          <w:color w:val="333333"/>
          <w:sz w:val="36"/>
          <w:szCs w:val="36"/>
          <w:shd w:val="clear" w:color="auto" w:fill="FFFFFF"/>
        </w:rPr>
        <w:t>关于符合本国产品标准的声明函</w:t>
      </w:r>
    </w:p>
    <w:p>
      <w:pPr>
        <w:pStyle w:val="46"/>
        <w:shd w:val="clear" w:color="auto" w:fill="FFFFFF"/>
        <w:spacing w:before="30" w:beforeAutospacing="0" w:after="30" w:afterAutospacing="0"/>
        <w:ind w:firstLine="420"/>
        <w:rPr>
          <w:rFonts w:hint="eastAsia"/>
          <w:color w:val="333333"/>
        </w:rPr>
      </w:pPr>
    </w:p>
    <w:p>
      <w:pPr>
        <w:pStyle w:val="46"/>
        <w:shd w:val="clear" w:color="auto" w:fill="FFFFFF"/>
        <w:spacing w:before="0" w:beforeAutospacing="0" w:after="0" w:afterAutospacing="0" w:line="360" w:lineRule="auto"/>
        <w:ind w:firstLine="480" w:firstLineChars="200"/>
        <w:rPr>
          <w:rFonts w:hint="eastAsia"/>
          <w:color w:val="333333"/>
        </w:rPr>
      </w:pPr>
      <w:r>
        <w:rPr>
          <w:rFonts w:hint="eastAsia"/>
          <w:color w:val="333333"/>
          <w:shd w:val="clear" w:color="auto" w:fill="FFFFFF"/>
        </w:rPr>
        <w:t>本公司（单位）郑重声明，根据《国务院办公厅关于在政府采购中实施本国产品标准及相关政策的通知》（国办发〔2025〕34号）的规定，本公司（单位）提供的以下产品属于本国产品。具体情况如下：</w:t>
      </w:r>
    </w:p>
    <w:p>
      <w:pPr>
        <w:pStyle w:val="46"/>
        <w:shd w:val="clear" w:color="auto" w:fill="FFFFFF"/>
        <w:spacing w:before="0" w:beforeAutospacing="0" w:after="0" w:afterAutospacing="0" w:line="360" w:lineRule="auto"/>
        <w:ind w:firstLine="480" w:firstLineChars="200"/>
        <w:rPr>
          <w:rFonts w:hint="eastAsia"/>
          <w:color w:val="333333"/>
        </w:rPr>
      </w:pPr>
      <w:r>
        <w:rPr>
          <w:rFonts w:hint="eastAsia"/>
          <w:color w:val="333333"/>
          <w:shd w:val="clear" w:color="auto" w:fill="FFFFFF"/>
        </w:rPr>
        <w:t>1.</w:t>
      </w:r>
      <w:r>
        <w:rPr>
          <w:rStyle w:val="59"/>
          <w:rFonts w:hint="eastAsia"/>
          <w:color w:val="333333"/>
          <w:u w:val="single"/>
          <w:shd w:val="clear" w:color="auto" w:fill="FFFFFF"/>
        </w:rPr>
        <w:t>（产品名称1）</w:t>
      </w:r>
      <w:r>
        <w:rPr>
          <w:rStyle w:val="59"/>
          <w:rFonts w:hint="eastAsia"/>
          <w:color w:val="333333"/>
          <w:shd w:val="clear" w:color="auto" w:fill="FFFFFF"/>
          <w:vertAlign w:val="superscript"/>
        </w:rPr>
        <w:t>1</w:t>
      </w:r>
      <w:r>
        <w:rPr>
          <w:rFonts w:hint="eastAsia"/>
          <w:color w:val="333333"/>
          <w:shd w:val="clear" w:color="auto" w:fill="FFFFFF"/>
        </w:rPr>
        <w:t>，生产厂为</w:t>
      </w:r>
      <w:r>
        <w:rPr>
          <w:rStyle w:val="59"/>
          <w:rFonts w:hint="eastAsia"/>
          <w:color w:val="333333"/>
          <w:u w:val="single"/>
          <w:shd w:val="clear" w:color="auto" w:fill="FFFFFF"/>
        </w:rPr>
        <w:t>（厂名）</w:t>
      </w:r>
      <w:r>
        <w:rPr>
          <w:rStyle w:val="59"/>
          <w:rFonts w:hint="eastAsia"/>
          <w:color w:val="333333"/>
          <w:shd w:val="clear" w:color="auto" w:fill="FFFFFF"/>
          <w:vertAlign w:val="superscript"/>
        </w:rPr>
        <w:t>2</w:t>
      </w:r>
      <w:r>
        <w:rPr>
          <w:rFonts w:hint="eastAsia"/>
          <w:color w:val="333333"/>
          <w:shd w:val="clear" w:color="auto" w:fill="FFFFFF"/>
        </w:rPr>
        <w:t>，厂址为</w:t>
      </w:r>
      <w:r>
        <w:rPr>
          <w:rStyle w:val="59"/>
          <w:rFonts w:hint="eastAsia"/>
          <w:color w:val="333333"/>
          <w:u w:val="single"/>
          <w:shd w:val="clear" w:color="auto" w:fill="FFFFFF"/>
        </w:rPr>
        <w:t>（生产厂址）</w:t>
      </w:r>
      <w:r>
        <w:rPr>
          <w:rFonts w:hint="eastAsia"/>
          <w:color w:val="333333"/>
          <w:shd w:val="clear" w:color="auto" w:fill="FFFFFF"/>
        </w:rPr>
        <w:t>。</w:t>
      </w:r>
      <w:r>
        <w:rPr>
          <w:rStyle w:val="59"/>
          <w:rFonts w:hint="eastAsia"/>
          <w:color w:val="333333"/>
          <w:u w:val="single"/>
          <w:shd w:val="clear" w:color="auto" w:fill="FFFFFF"/>
        </w:rPr>
        <w:t>（产品名称1）</w:t>
      </w:r>
      <w:r>
        <w:rPr>
          <w:rFonts w:hint="eastAsia"/>
          <w:color w:val="333333"/>
          <w:shd w:val="clear" w:color="auto" w:fill="FFFFFF"/>
        </w:rPr>
        <w:t>的中国境内生产的组件成本占比≥</w:t>
      </w:r>
      <w:r>
        <w:rPr>
          <w:rStyle w:val="59"/>
          <w:rFonts w:hint="eastAsia"/>
          <w:color w:val="333333"/>
          <w:u w:val="single"/>
          <w:shd w:val="clear" w:color="auto" w:fill="FFFFFF"/>
        </w:rPr>
        <w:t>（规定比例）</w:t>
      </w:r>
      <w:r>
        <w:rPr>
          <w:rStyle w:val="59"/>
          <w:rFonts w:hint="eastAsia"/>
          <w:color w:val="333333"/>
          <w:shd w:val="clear" w:color="auto" w:fill="FFFFFF"/>
          <w:vertAlign w:val="superscript"/>
        </w:rPr>
        <w:t>3</w:t>
      </w:r>
      <w:r>
        <w:rPr>
          <w:rFonts w:hint="eastAsia"/>
          <w:color w:val="333333"/>
          <w:shd w:val="clear" w:color="auto" w:fill="FFFFFF"/>
        </w:rPr>
        <w:t>。</w:t>
      </w:r>
      <w:r>
        <w:rPr>
          <w:rStyle w:val="59"/>
          <w:rFonts w:hint="eastAsia"/>
          <w:color w:val="333333"/>
          <w:u w:val="single"/>
          <w:shd w:val="clear" w:color="auto" w:fill="FFFFFF"/>
        </w:rPr>
        <w:t>（产品名称1）</w:t>
      </w:r>
      <w:r>
        <w:rPr>
          <w:rFonts w:hint="eastAsia"/>
          <w:color w:val="333333"/>
          <w:shd w:val="clear" w:color="auto" w:fill="FFFFFF"/>
        </w:rPr>
        <w:t>的</w:t>
      </w:r>
      <w:r>
        <w:rPr>
          <w:rStyle w:val="59"/>
          <w:rFonts w:hint="eastAsia"/>
          <w:color w:val="333333"/>
          <w:u w:val="single"/>
          <w:shd w:val="clear" w:color="auto" w:fill="FFFFFF"/>
        </w:rPr>
        <w:t>（关键组件）</w:t>
      </w:r>
      <w:r>
        <w:rPr>
          <w:rStyle w:val="59"/>
          <w:rFonts w:hint="eastAsia"/>
          <w:color w:val="333333"/>
          <w:shd w:val="clear" w:color="auto" w:fill="FFFFFF"/>
          <w:vertAlign w:val="superscript"/>
        </w:rPr>
        <w:t>4</w:t>
      </w:r>
      <w:r>
        <w:rPr>
          <w:rFonts w:hint="eastAsia"/>
          <w:color w:val="333333"/>
          <w:shd w:val="clear" w:color="auto" w:fill="FFFFFF"/>
        </w:rPr>
        <w:t>在中国境内生产。</w:t>
      </w:r>
      <w:r>
        <w:rPr>
          <w:rStyle w:val="59"/>
          <w:rFonts w:hint="eastAsia"/>
          <w:color w:val="333333"/>
          <w:u w:val="single"/>
          <w:shd w:val="clear" w:color="auto" w:fill="FFFFFF"/>
        </w:rPr>
        <w:t>（产品名称1）</w:t>
      </w:r>
      <w:r>
        <w:rPr>
          <w:rFonts w:hint="eastAsia"/>
          <w:color w:val="333333"/>
          <w:shd w:val="clear" w:color="auto" w:fill="FFFFFF"/>
        </w:rPr>
        <w:t>的</w:t>
      </w:r>
      <w:r>
        <w:rPr>
          <w:rStyle w:val="59"/>
          <w:rFonts w:hint="eastAsia"/>
          <w:color w:val="333333"/>
          <w:u w:val="single"/>
          <w:shd w:val="clear" w:color="auto" w:fill="FFFFFF"/>
        </w:rPr>
        <w:t>（关键工序）</w:t>
      </w:r>
      <w:r>
        <w:rPr>
          <w:rStyle w:val="59"/>
          <w:rFonts w:hint="eastAsia"/>
          <w:color w:val="333333"/>
          <w:shd w:val="clear" w:color="auto" w:fill="FFFFFF"/>
          <w:vertAlign w:val="superscript"/>
        </w:rPr>
        <w:t>5</w:t>
      </w:r>
      <w:r>
        <w:rPr>
          <w:rFonts w:hint="eastAsia"/>
          <w:color w:val="333333"/>
          <w:shd w:val="clear" w:color="auto" w:fill="FFFFFF"/>
        </w:rPr>
        <w:t>在中国境内完成。</w:t>
      </w:r>
    </w:p>
    <w:p>
      <w:pPr>
        <w:pStyle w:val="46"/>
        <w:shd w:val="clear" w:color="auto" w:fill="FFFFFF"/>
        <w:spacing w:before="0" w:beforeAutospacing="0" w:after="0" w:afterAutospacing="0" w:line="360" w:lineRule="auto"/>
        <w:ind w:firstLine="480" w:firstLineChars="200"/>
        <w:rPr>
          <w:rFonts w:hint="eastAsia"/>
          <w:color w:val="333333"/>
        </w:rPr>
      </w:pPr>
      <w:r>
        <w:rPr>
          <w:rFonts w:hint="eastAsia"/>
          <w:color w:val="333333"/>
          <w:shd w:val="clear" w:color="auto" w:fill="FFFFFF"/>
        </w:rPr>
        <w:t>2.</w:t>
      </w:r>
      <w:r>
        <w:rPr>
          <w:rStyle w:val="59"/>
          <w:rFonts w:hint="eastAsia"/>
          <w:color w:val="333333"/>
          <w:u w:val="single"/>
          <w:shd w:val="clear" w:color="auto" w:fill="FFFFFF"/>
        </w:rPr>
        <w:t>（产品名称2）</w:t>
      </w:r>
      <w:r>
        <w:rPr>
          <w:rFonts w:hint="eastAsia"/>
          <w:color w:val="333333"/>
          <w:shd w:val="clear" w:color="auto" w:fill="FFFFFF"/>
        </w:rPr>
        <w:t>，生产厂为</w:t>
      </w:r>
      <w:r>
        <w:rPr>
          <w:rStyle w:val="59"/>
          <w:rFonts w:hint="eastAsia"/>
          <w:color w:val="333333"/>
          <w:u w:val="single"/>
          <w:shd w:val="clear" w:color="auto" w:fill="FFFFFF"/>
        </w:rPr>
        <w:t>（厂名）</w:t>
      </w:r>
      <w:r>
        <w:rPr>
          <w:rFonts w:hint="eastAsia"/>
          <w:color w:val="333333"/>
          <w:shd w:val="clear" w:color="auto" w:fill="FFFFFF"/>
        </w:rPr>
        <w:t>，厂址为</w:t>
      </w:r>
      <w:r>
        <w:rPr>
          <w:rStyle w:val="59"/>
          <w:rFonts w:hint="eastAsia"/>
          <w:color w:val="333333"/>
          <w:u w:val="single"/>
          <w:shd w:val="clear" w:color="auto" w:fill="FFFFFF"/>
        </w:rPr>
        <w:t>（生产厂址）</w:t>
      </w:r>
      <w:r>
        <w:rPr>
          <w:rFonts w:hint="eastAsia"/>
          <w:color w:val="333333"/>
          <w:shd w:val="clear" w:color="auto" w:fill="FFFFFF"/>
        </w:rPr>
        <w:t>。</w:t>
      </w:r>
      <w:r>
        <w:rPr>
          <w:rStyle w:val="59"/>
          <w:rFonts w:hint="eastAsia"/>
          <w:color w:val="333333"/>
          <w:u w:val="single"/>
          <w:shd w:val="clear" w:color="auto" w:fill="FFFFFF"/>
        </w:rPr>
        <w:t>（产品名称2）</w:t>
      </w:r>
      <w:r>
        <w:rPr>
          <w:rFonts w:hint="eastAsia"/>
          <w:color w:val="333333"/>
          <w:shd w:val="clear" w:color="auto" w:fill="FFFFFF"/>
        </w:rPr>
        <w:t>的中国境内生产的组件成本占比≥</w:t>
      </w:r>
      <w:r>
        <w:rPr>
          <w:rStyle w:val="59"/>
          <w:rFonts w:hint="eastAsia"/>
          <w:color w:val="333333"/>
          <w:u w:val="single"/>
          <w:shd w:val="clear" w:color="auto" w:fill="FFFFFF"/>
        </w:rPr>
        <w:t>（规定比例）</w:t>
      </w:r>
      <w:r>
        <w:rPr>
          <w:rFonts w:hint="eastAsia"/>
          <w:color w:val="333333"/>
          <w:shd w:val="clear" w:color="auto" w:fill="FFFFFF"/>
        </w:rPr>
        <w:t>。</w:t>
      </w:r>
      <w:r>
        <w:rPr>
          <w:rStyle w:val="59"/>
          <w:rFonts w:hint="eastAsia"/>
          <w:color w:val="333333"/>
          <w:u w:val="single"/>
          <w:shd w:val="clear" w:color="auto" w:fill="FFFFFF"/>
        </w:rPr>
        <w:t>（产品名称2）</w:t>
      </w:r>
      <w:r>
        <w:rPr>
          <w:rFonts w:hint="eastAsia"/>
          <w:color w:val="333333"/>
          <w:shd w:val="clear" w:color="auto" w:fill="FFFFFF"/>
        </w:rPr>
        <w:t>的</w:t>
      </w:r>
      <w:r>
        <w:rPr>
          <w:rStyle w:val="59"/>
          <w:rFonts w:hint="eastAsia"/>
          <w:color w:val="333333"/>
          <w:u w:val="single"/>
          <w:shd w:val="clear" w:color="auto" w:fill="FFFFFF"/>
        </w:rPr>
        <w:t>（关键组件）</w:t>
      </w:r>
      <w:r>
        <w:rPr>
          <w:rFonts w:hint="eastAsia"/>
          <w:color w:val="333333"/>
          <w:shd w:val="clear" w:color="auto" w:fill="FFFFFF"/>
        </w:rPr>
        <w:t>在中国境内生产。</w:t>
      </w:r>
      <w:r>
        <w:rPr>
          <w:rStyle w:val="59"/>
          <w:rFonts w:hint="eastAsia"/>
          <w:color w:val="333333"/>
          <w:u w:val="single"/>
          <w:shd w:val="clear" w:color="auto" w:fill="FFFFFF"/>
        </w:rPr>
        <w:t>（产品名称2）</w:t>
      </w:r>
      <w:r>
        <w:rPr>
          <w:rFonts w:hint="eastAsia"/>
          <w:color w:val="333333"/>
          <w:shd w:val="clear" w:color="auto" w:fill="FFFFFF"/>
        </w:rPr>
        <w:t>的</w:t>
      </w:r>
      <w:r>
        <w:rPr>
          <w:rStyle w:val="59"/>
          <w:rFonts w:hint="eastAsia"/>
          <w:color w:val="333333"/>
          <w:u w:val="single"/>
          <w:shd w:val="clear" w:color="auto" w:fill="FFFFFF"/>
        </w:rPr>
        <w:t>（关键工序）</w:t>
      </w:r>
      <w:r>
        <w:rPr>
          <w:rFonts w:hint="eastAsia"/>
          <w:color w:val="333333"/>
          <w:shd w:val="clear" w:color="auto" w:fill="FFFFFF"/>
        </w:rPr>
        <w:t>在中国境内完成。</w:t>
      </w:r>
    </w:p>
    <w:p>
      <w:pPr>
        <w:pStyle w:val="46"/>
        <w:shd w:val="clear" w:color="auto" w:fill="FFFFFF"/>
        <w:spacing w:before="0" w:beforeAutospacing="0" w:after="0" w:afterAutospacing="0" w:line="360" w:lineRule="auto"/>
        <w:ind w:firstLine="480" w:firstLineChars="200"/>
        <w:rPr>
          <w:rFonts w:hint="eastAsia"/>
          <w:color w:val="333333"/>
        </w:rPr>
      </w:pPr>
      <w:r>
        <w:rPr>
          <w:rFonts w:hint="eastAsia"/>
          <w:color w:val="333333"/>
          <w:shd w:val="clear" w:color="auto" w:fill="FFFFFF"/>
        </w:rPr>
        <w:t>……</w:t>
      </w:r>
    </w:p>
    <w:p>
      <w:pPr>
        <w:pStyle w:val="46"/>
        <w:shd w:val="clear" w:color="auto" w:fill="FFFFFF"/>
        <w:spacing w:before="0" w:beforeAutospacing="0" w:after="0" w:afterAutospacing="0" w:line="360" w:lineRule="auto"/>
        <w:ind w:firstLine="480" w:firstLineChars="200"/>
        <w:rPr>
          <w:rFonts w:hint="eastAsia"/>
          <w:color w:val="333333"/>
        </w:rPr>
      </w:pPr>
      <w:r>
        <w:rPr>
          <w:rFonts w:hint="eastAsia"/>
          <w:color w:val="333333"/>
          <w:shd w:val="clear" w:color="auto" w:fill="FFFFFF"/>
        </w:rPr>
        <w:t>本公司（单位）对上述声明内容的真实性负责。如有虚假，愿承担相应法律责任。</w:t>
      </w:r>
    </w:p>
    <w:p>
      <w:pPr>
        <w:pStyle w:val="46"/>
        <w:shd w:val="clear" w:color="auto" w:fill="FFFFFF"/>
        <w:spacing w:before="0" w:beforeAutospacing="0" w:after="0" w:afterAutospacing="0" w:line="360" w:lineRule="auto"/>
        <w:rPr>
          <w:rFonts w:hint="eastAsia"/>
          <w:color w:val="333333"/>
        </w:rPr>
      </w:pPr>
    </w:p>
    <w:p>
      <w:pPr>
        <w:pStyle w:val="46"/>
        <w:shd w:val="clear" w:color="auto" w:fill="FFFFFF"/>
        <w:spacing w:before="0" w:beforeAutospacing="0" w:after="0" w:afterAutospacing="0" w:line="360" w:lineRule="auto"/>
        <w:jc w:val="right"/>
        <w:rPr>
          <w:rFonts w:hint="eastAsia"/>
          <w:color w:val="333333"/>
          <w:shd w:val="clear" w:color="auto" w:fill="FFFFFF"/>
        </w:rPr>
      </w:pPr>
    </w:p>
    <w:p>
      <w:pPr>
        <w:pStyle w:val="46"/>
        <w:shd w:val="clear" w:color="auto" w:fill="FFFFFF"/>
        <w:spacing w:before="0" w:beforeAutospacing="0" w:after="0" w:afterAutospacing="0" w:line="360" w:lineRule="auto"/>
        <w:ind w:right="480"/>
        <w:jc w:val="right"/>
        <w:rPr>
          <w:rFonts w:hint="eastAsia"/>
          <w:color w:val="333333"/>
        </w:rPr>
      </w:pPr>
      <w:r>
        <w:rPr>
          <w:rFonts w:hint="eastAsia"/>
          <w:color w:val="333333"/>
          <w:shd w:val="clear" w:color="auto" w:fill="FFFFFF"/>
        </w:rPr>
        <w:t>公司（单位）名称（盖章）：</w:t>
      </w:r>
      <w:r>
        <w:rPr>
          <w:color w:val="333333"/>
        </w:rPr>
        <w:t xml:space="preserve"> </w:t>
      </w:r>
    </w:p>
    <w:p>
      <w:pPr>
        <w:pStyle w:val="46"/>
        <w:shd w:val="clear" w:color="auto" w:fill="FFFFFF"/>
        <w:spacing w:before="0" w:beforeAutospacing="0" w:after="0" w:afterAutospacing="0" w:line="360" w:lineRule="auto"/>
        <w:ind w:right="480"/>
        <w:jc w:val="right"/>
        <w:rPr>
          <w:rFonts w:hint="eastAsia"/>
          <w:color w:val="333333"/>
        </w:rPr>
      </w:pPr>
      <w:r>
        <w:rPr>
          <w:rFonts w:hint="eastAsia"/>
          <w:color w:val="333333"/>
          <w:shd w:val="clear" w:color="auto" w:fill="FFFFFF"/>
        </w:rPr>
        <w:t xml:space="preserve">日期： </w:t>
      </w:r>
      <w:r>
        <w:rPr>
          <w:color w:val="333333"/>
          <w:shd w:val="clear" w:color="auto" w:fill="FFFFFF"/>
        </w:rPr>
        <w:t xml:space="preserve">   </w:t>
      </w:r>
      <w:r>
        <w:rPr>
          <w:rFonts w:hint="eastAsia"/>
          <w:color w:val="333333"/>
          <w:shd w:val="clear" w:color="auto" w:fill="FFFFFF"/>
        </w:rPr>
        <w:t xml:space="preserve">年 </w:t>
      </w:r>
      <w:r>
        <w:rPr>
          <w:color w:val="333333"/>
          <w:shd w:val="clear" w:color="auto" w:fill="FFFFFF"/>
        </w:rPr>
        <w:t xml:space="preserve">   </w:t>
      </w:r>
      <w:r>
        <w:rPr>
          <w:rFonts w:hint="eastAsia"/>
          <w:color w:val="333333"/>
          <w:shd w:val="clear" w:color="auto" w:fill="FFFFFF"/>
        </w:rPr>
        <w:t xml:space="preserve">月 </w:t>
      </w:r>
      <w:r>
        <w:rPr>
          <w:color w:val="333333"/>
          <w:shd w:val="clear" w:color="auto" w:fill="FFFFFF"/>
        </w:rPr>
        <w:t xml:space="preserve">    </w:t>
      </w:r>
      <w:r>
        <w:rPr>
          <w:rFonts w:hint="eastAsia"/>
          <w:color w:val="333333"/>
          <w:shd w:val="clear" w:color="auto" w:fill="FFFFFF"/>
        </w:rPr>
        <w:t>日</w:t>
      </w:r>
    </w:p>
    <w:p>
      <w:pPr>
        <w:pStyle w:val="46"/>
        <w:shd w:val="clear" w:color="auto" w:fill="FFFFFF"/>
        <w:spacing w:before="0" w:beforeAutospacing="0" w:after="0" w:afterAutospacing="0" w:line="360" w:lineRule="auto"/>
        <w:rPr>
          <w:rFonts w:hint="eastAsia"/>
          <w:color w:val="333333"/>
          <w:shd w:val="clear" w:color="auto" w:fill="FFFFFF"/>
        </w:rPr>
      </w:pPr>
    </w:p>
    <w:p>
      <w:pPr>
        <w:pStyle w:val="46"/>
        <w:shd w:val="clear" w:color="auto" w:fill="FFFFFF"/>
        <w:spacing w:before="0" w:beforeAutospacing="0" w:after="0" w:afterAutospacing="0" w:line="360" w:lineRule="auto"/>
        <w:rPr>
          <w:rFonts w:hint="eastAsia"/>
          <w:color w:val="333333"/>
          <w:shd w:val="clear" w:color="auto" w:fill="FFFFFF"/>
        </w:rPr>
      </w:pPr>
    </w:p>
    <w:p>
      <w:pPr>
        <w:spacing w:line="360" w:lineRule="auto"/>
        <w:ind w:left="424" w:leftChars="1" w:hanging="422" w:hangingChars="201"/>
        <w:rPr>
          <w:rFonts w:hint="eastAsia" w:ascii="宋体" w:hAnsi="宋体"/>
          <w:color w:val="333333"/>
          <w:shd w:val="clear" w:color="auto" w:fill="FFFFFF"/>
        </w:rPr>
      </w:pPr>
      <w:r>
        <w:rPr>
          <w:rFonts w:ascii="宋体" w:hAnsi="宋体"/>
          <w:color w:val="333333"/>
          <w:shd w:val="clear" w:color="auto" w:fill="FFFFFF"/>
        </w:rPr>
        <w:t>注：1.</w:t>
      </w:r>
      <w:r>
        <w:rPr>
          <w:rFonts w:hint="eastAsia" w:ascii="宋体" w:hAnsi="宋体"/>
          <w:color w:val="333333"/>
          <w:shd w:val="clear" w:color="auto" w:fill="FFFFFF"/>
        </w:rPr>
        <w:t>产品如有型号，请在“产品名称”栏一并填写</w:t>
      </w:r>
      <w:r>
        <w:rPr>
          <w:rFonts w:ascii="宋体" w:hAnsi="宋体"/>
          <w:color w:val="333333"/>
          <w:shd w:val="clear" w:color="auto" w:fill="FFFFFF"/>
        </w:rPr>
        <w:t>。</w:t>
      </w:r>
    </w:p>
    <w:p>
      <w:pPr>
        <w:spacing w:line="360" w:lineRule="auto"/>
        <w:ind w:left="420" w:leftChars="200"/>
        <w:rPr>
          <w:rFonts w:hint="eastAsia" w:ascii="宋体" w:hAnsi="宋体"/>
          <w:color w:val="333333"/>
          <w:shd w:val="clear" w:color="auto" w:fill="FFFFFF"/>
        </w:rPr>
      </w:pPr>
      <w:r>
        <w:rPr>
          <w:rFonts w:ascii="宋体" w:hAnsi="宋体"/>
          <w:color w:val="333333"/>
          <w:shd w:val="clear" w:color="auto" w:fill="FFFFFF"/>
        </w:rPr>
        <w:t>2.生产厂名与厂址应与生产厂营业执照载明的相关信息保持一致。</w:t>
      </w:r>
    </w:p>
    <w:p>
      <w:pPr>
        <w:spacing w:line="360" w:lineRule="auto"/>
        <w:ind w:left="420" w:leftChars="200"/>
        <w:rPr>
          <w:rFonts w:hint="eastAsia" w:ascii="宋体" w:hAnsi="宋体"/>
          <w:color w:val="333333"/>
          <w:shd w:val="clear" w:color="auto" w:fill="FFFFFF"/>
        </w:rPr>
      </w:pPr>
      <w:r>
        <w:rPr>
          <w:rFonts w:ascii="宋体" w:hAnsi="宋体"/>
          <w:color w:val="333333"/>
          <w:shd w:val="clear" w:color="auto" w:fill="FFFFFF"/>
        </w:rPr>
        <w:t>3.该产品的中国境内生产的组件成本占比相关要求实施前，“规定比例”栏可不填。</w:t>
      </w:r>
    </w:p>
    <w:p>
      <w:pPr>
        <w:spacing w:line="360" w:lineRule="auto"/>
        <w:ind w:left="420" w:leftChars="200"/>
        <w:rPr>
          <w:rFonts w:hint="eastAsia" w:ascii="宋体" w:hAnsi="宋体"/>
          <w:color w:val="333333"/>
          <w:shd w:val="clear" w:color="auto" w:fill="FFFFFF"/>
        </w:rPr>
      </w:pPr>
      <w:r>
        <w:rPr>
          <w:rFonts w:ascii="宋体" w:hAnsi="宋体"/>
          <w:color w:val="333333"/>
          <w:shd w:val="clear" w:color="auto" w:fill="FFFFFF"/>
        </w:rPr>
        <w:t>4.该产品的关键组件要求实施前，“关键组件”栏可不填。</w:t>
      </w:r>
    </w:p>
    <w:p>
      <w:pPr>
        <w:spacing w:line="360" w:lineRule="auto"/>
        <w:ind w:left="420" w:leftChars="200"/>
        <w:rPr>
          <w:rFonts w:hint="eastAsia" w:ascii="宋体" w:hAnsi="宋体"/>
          <w:color w:val="333333"/>
          <w:shd w:val="clear" w:color="auto" w:fill="FFFFFF"/>
        </w:rPr>
      </w:pPr>
      <w:r>
        <w:rPr>
          <w:rFonts w:ascii="宋体" w:hAnsi="宋体"/>
          <w:color w:val="333333"/>
          <w:shd w:val="clear" w:color="auto" w:fill="FFFFFF"/>
        </w:rPr>
        <w:t>5.该产品的关键工序要求实施前，“关键工序”栏可不填。</w:t>
      </w:r>
    </w:p>
    <w:p>
      <w:pPr>
        <w:spacing w:line="360" w:lineRule="auto"/>
        <w:ind w:left="420" w:leftChars="200"/>
        <w:rPr>
          <w:rFonts w:hint="eastAsia" w:ascii="宋体" w:hAnsi="宋体"/>
          <w:color w:val="333333"/>
          <w:shd w:val="clear" w:color="auto" w:fill="FFFFFF"/>
        </w:rPr>
      </w:pPr>
      <w:r>
        <w:rPr>
          <w:rFonts w:hint="eastAsia" w:ascii="宋体" w:hAnsi="宋体"/>
          <w:color w:val="333333"/>
          <w:shd w:val="clear" w:color="auto" w:fill="FFFFFF"/>
        </w:rPr>
        <w:t>6</w:t>
      </w:r>
      <w:r>
        <w:rPr>
          <w:rFonts w:ascii="宋体" w:hAnsi="宋体"/>
          <w:color w:val="333333"/>
          <w:shd w:val="clear" w:color="auto" w:fill="FFFFFF"/>
        </w:rPr>
        <w:t>.</w:t>
      </w:r>
      <w:r>
        <w:rPr>
          <w:rFonts w:hint="eastAsia" w:ascii="宋体" w:hAnsi="宋体"/>
          <w:color w:val="333333"/>
          <w:shd w:val="clear" w:color="auto" w:fill="FFFFFF"/>
        </w:rPr>
        <w:t>当单个采购包中含有多种产品，投标人还需在本函之后附上为采购包提供的全部产品的成本之和，以及符合本国产品标准的产品成本之和，以便评标委员会计算本国产品成本比例。（参考格式附后）</w:t>
      </w:r>
    </w:p>
    <w:p>
      <w:pPr>
        <w:rPr>
          <w:rFonts w:hint="eastAsia" w:ascii="宋体" w:hAnsi="宋体"/>
        </w:rPr>
      </w:pPr>
    </w:p>
    <w:p>
      <w:pPr>
        <w:pStyle w:val="46"/>
        <w:shd w:val="clear" w:color="auto" w:fill="FFFFFF"/>
        <w:spacing w:before="30" w:beforeAutospacing="0" w:after="30" w:afterAutospacing="0"/>
        <w:jc w:val="center"/>
        <w:rPr>
          <w:rStyle w:val="56"/>
          <w:rFonts w:hint="eastAsia"/>
          <w:sz w:val="36"/>
          <w:szCs w:val="36"/>
        </w:rPr>
      </w:pPr>
      <w:r>
        <w:rPr>
          <w:rStyle w:val="56"/>
          <w:rFonts w:hint="eastAsia"/>
          <w:sz w:val="36"/>
          <w:szCs w:val="36"/>
        </w:rPr>
        <w:t>所投产品成本汇总信息</w:t>
      </w:r>
    </w:p>
    <w:p>
      <w:pPr>
        <w:pStyle w:val="46"/>
        <w:shd w:val="clear" w:color="auto" w:fill="FFFFFF"/>
        <w:spacing w:before="30" w:beforeAutospacing="0" w:after="30" w:afterAutospacing="0"/>
        <w:rPr>
          <w:rStyle w:val="56"/>
          <w:rFonts w:hint="eastAsia"/>
          <w:sz w:val="36"/>
          <w:szCs w:val="36"/>
        </w:rPr>
      </w:pPr>
    </w:p>
    <w:p>
      <w:pPr>
        <w:spacing w:line="360" w:lineRule="auto"/>
        <w:ind w:firstLine="480" w:firstLineChars="200"/>
        <w:rPr>
          <w:rFonts w:hint="eastAsia" w:ascii="宋体" w:hAnsi="宋体"/>
          <w:color w:val="333333"/>
          <w:sz w:val="24"/>
          <w:shd w:val="clear" w:color="auto" w:fill="FFFFFF"/>
        </w:rPr>
      </w:pPr>
      <w:r>
        <w:rPr>
          <w:rFonts w:hint="eastAsia" w:ascii="宋体" w:hAnsi="宋体"/>
          <w:color w:val="333333"/>
          <w:sz w:val="24"/>
          <w:shd w:val="clear" w:color="auto" w:fill="FFFFFF"/>
        </w:rPr>
        <w:t>本公司（单位）郑重声明，我公司已阅读并理解《国务院办公厅关于在政府采购中实施本国产品标准及相关政策的通知》（国办发〔2025〕34号）的规定。据此声明如下：</w:t>
      </w:r>
    </w:p>
    <w:p>
      <w:pPr>
        <w:spacing w:line="360" w:lineRule="auto"/>
        <w:ind w:firstLine="480" w:firstLineChars="200"/>
        <w:rPr>
          <w:rFonts w:hint="eastAsia" w:ascii="宋体" w:hAnsi="宋体"/>
          <w:color w:val="333333"/>
          <w:sz w:val="24"/>
          <w:shd w:val="clear" w:color="auto" w:fill="FFFFFF"/>
        </w:rPr>
      </w:pPr>
      <w:r>
        <w:rPr>
          <w:rFonts w:hint="eastAsia" w:ascii="宋体" w:hAnsi="宋体"/>
          <w:color w:val="333333"/>
          <w:sz w:val="24"/>
          <w:shd w:val="clear" w:color="auto" w:fill="FFFFFF"/>
        </w:rPr>
        <w:t>本公司在本项目中提供的</w:t>
      </w:r>
    </w:p>
    <w:p>
      <w:pPr>
        <w:spacing w:line="360" w:lineRule="auto"/>
        <w:ind w:firstLine="480" w:firstLineChars="200"/>
        <w:rPr>
          <w:rFonts w:hint="eastAsia" w:ascii="宋体" w:hAnsi="宋体"/>
          <w:spacing w:val="6"/>
          <w:sz w:val="24"/>
        </w:rPr>
      </w:pPr>
      <w:r>
        <w:rPr>
          <w:rFonts w:hint="eastAsia" w:ascii="宋体" w:hAnsi="宋体"/>
          <w:color w:val="333333"/>
          <w:sz w:val="24"/>
          <w:shd w:val="clear" w:color="auto" w:fill="FFFFFF"/>
        </w:rPr>
        <w:t>（1）符合本国产品标准的产品成本之和为人民币</w:t>
      </w:r>
      <w:r>
        <w:rPr>
          <w:rFonts w:ascii="宋体" w:hAnsi="宋体"/>
          <w:spacing w:val="6"/>
          <w:sz w:val="24"/>
        </w:rPr>
        <w:t>______</w:t>
      </w:r>
      <w:r>
        <w:rPr>
          <w:rFonts w:hint="eastAsia" w:ascii="宋体" w:hAnsi="宋体"/>
          <w:spacing w:val="6"/>
          <w:sz w:val="24"/>
        </w:rPr>
        <w:t>元；</w:t>
      </w:r>
    </w:p>
    <w:p>
      <w:pPr>
        <w:spacing w:line="360" w:lineRule="auto"/>
        <w:ind w:firstLine="504" w:firstLineChars="200"/>
        <w:rPr>
          <w:rFonts w:hint="eastAsia" w:ascii="宋体" w:hAnsi="宋体"/>
          <w:spacing w:val="6"/>
          <w:sz w:val="24"/>
        </w:rPr>
      </w:pPr>
      <w:r>
        <w:rPr>
          <w:rFonts w:hint="eastAsia" w:ascii="宋体" w:hAnsi="宋体"/>
          <w:spacing w:val="6"/>
          <w:sz w:val="24"/>
        </w:rPr>
        <w:t>（2）全部产品成本之和</w:t>
      </w:r>
      <w:r>
        <w:rPr>
          <w:rFonts w:hint="eastAsia" w:ascii="宋体" w:hAnsi="宋体"/>
          <w:color w:val="333333"/>
          <w:sz w:val="24"/>
          <w:shd w:val="clear" w:color="auto" w:fill="FFFFFF"/>
        </w:rPr>
        <w:t>为人民币</w:t>
      </w:r>
      <w:r>
        <w:rPr>
          <w:rFonts w:ascii="宋体" w:hAnsi="宋体"/>
          <w:spacing w:val="6"/>
          <w:sz w:val="24"/>
        </w:rPr>
        <w:t>______</w:t>
      </w:r>
      <w:r>
        <w:rPr>
          <w:rFonts w:hint="eastAsia" w:ascii="宋体" w:hAnsi="宋体"/>
          <w:spacing w:val="6"/>
          <w:sz w:val="24"/>
        </w:rPr>
        <w:t>元。</w:t>
      </w:r>
    </w:p>
    <w:p>
      <w:pPr>
        <w:spacing w:line="360" w:lineRule="auto"/>
        <w:ind w:firstLine="504" w:firstLineChars="200"/>
        <w:rPr>
          <w:rFonts w:hint="eastAsia" w:ascii="宋体" w:hAnsi="宋体"/>
          <w:spacing w:val="6"/>
          <w:sz w:val="24"/>
        </w:rPr>
      </w:pPr>
      <w:r>
        <w:rPr>
          <w:rFonts w:hint="eastAsia" w:ascii="宋体" w:hAnsi="宋体"/>
          <w:spacing w:val="6"/>
          <w:sz w:val="24"/>
        </w:rPr>
        <w:t>（3）成本比例计算：（1）/（2）=</w:t>
      </w:r>
      <w:r>
        <w:rPr>
          <w:rFonts w:ascii="宋体" w:hAnsi="宋体"/>
          <w:spacing w:val="6"/>
          <w:sz w:val="24"/>
        </w:rPr>
        <w:t>______%</w:t>
      </w:r>
    </w:p>
    <w:p>
      <w:pPr>
        <w:spacing w:line="360" w:lineRule="auto"/>
        <w:ind w:firstLine="480" w:firstLineChars="200"/>
        <w:rPr>
          <w:rFonts w:hint="eastAsia" w:ascii="宋体" w:hAnsi="宋体"/>
          <w:sz w:val="24"/>
        </w:rPr>
      </w:pPr>
    </w:p>
    <w:p>
      <w:pPr>
        <w:pStyle w:val="46"/>
        <w:shd w:val="clear" w:color="auto" w:fill="FFFFFF"/>
        <w:spacing w:before="0" w:beforeAutospacing="0" w:after="0" w:afterAutospacing="0" w:line="360" w:lineRule="auto"/>
        <w:ind w:right="480"/>
        <w:jc w:val="right"/>
        <w:rPr>
          <w:rFonts w:hint="eastAsia"/>
          <w:color w:val="333333"/>
        </w:rPr>
      </w:pPr>
      <w:r>
        <w:rPr>
          <w:rFonts w:hint="eastAsia"/>
          <w:color w:val="333333"/>
          <w:shd w:val="clear" w:color="auto" w:fill="FFFFFF"/>
        </w:rPr>
        <w:t>公司（单位）名称（盖章）：</w:t>
      </w:r>
      <w:r>
        <w:rPr>
          <w:color w:val="333333"/>
        </w:rPr>
        <w:t xml:space="preserve"> </w:t>
      </w:r>
    </w:p>
    <w:p>
      <w:pPr>
        <w:pStyle w:val="46"/>
        <w:shd w:val="clear" w:color="auto" w:fill="FFFFFF"/>
        <w:spacing w:before="0" w:beforeAutospacing="0" w:after="0" w:afterAutospacing="0" w:line="360" w:lineRule="auto"/>
        <w:ind w:right="480"/>
        <w:jc w:val="right"/>
        <w:rPr>
          <w:rFonts w:hint="eastAsia"/>
          <w:szCs w:val="20"/>
          <w:u w:val="single"/>
        </w:rPr>
      </w:pPr>
      <w:r>
        <w:rPr>
          <w:rFonts w:hint="eastAsia"/>
          <w:color w:val="333333"/>
          <w:shd w:val="clear" w:color="auto" w:fill="FFFFFF"/>
        </w:rPr>
        <w:t xml:space="preserve">日期： </w:t>
      </w:r>
      <w:r>
        <w:rPr>
          <w:color w:val="333333"/>
          <w:shd w:val="clear" w:color="auto" w:fill="FFFFFF"/>
        </w:rPr>
        <w:t xml:space="preserve">   </w:t>
      </w:r>
      <w:r>
        <w:rPr>
          <w:rFonts w:hint="eastAsia"/>
          <w:color w:val="333333"/>
          <w:shd w:val="clear" w:color="auto" w:fill="FFFFFF"/>
        </w:rPr>
        <w:t xml:space="preserve">年 </w:t>
      </w:r>
      <w:r>
        <w:rPr>
          <w:color w:val="333333"/>
          <w:shd w:val="clear" w:color="auto" w:fill="FFFFFF"/>
        </w:rPr>
        <w:t xml:space="preserve">   </w:t>
      </w:r>
      <w:r>
        <w:rPr>
          <w:rFonts w:hint="eastAsia"/>
          <w:color w:val="333333"/>
          <w:shd w:val="clear" w:color="auto" w:fill="FFFFFF"/>
        </w:rPr>
        <w:t xml:space="preserve">月 </w:t>
      </w:r>
      <w:r>
        <w:rPr>
          <w:color w:val="333333"/>
          <w:shd w:val="clear" w:color="auto" w:fill="FFFFFF"/>
        </w:rPr>
        <w:t xml:space="preserve">    </w:t>
      </w:r>
      <w:r>
        <w:rPr>
          <w:rFonts w:hint="eastAsia"/>
          <w:color w:val="333333"/>
          <w:shd w:val="clear" w:color="auto" w:fill="FFFFFF"/>
        </w:rPr>
        <w:t>日</w:t>
      </w:r>
      <w:r>
        <w:br w:type="page"/>
      </w:r>
    </w:p>
    <w:p>
      <w:pPr>
        <w:pStyle w:val="6"/>
        <w:rPr>
          <w:rFonts w:hint="eastAsia" w:hAnsi="宋体" w:cs="宋体"/>
          <w:color w:val="000000" w:themeColor="text1"/>
          <w14:textFill>
            <w14:solidFill>
              <w14:schemeClr w14:val="tx1"/>
            </w14:solidFill>
          </w14:textFill>
        </w:rPr>
      </w:pPr>
      <w:r>
        <w:rPr>
          <w:rFonts w:hAnsi="宋体" w:cs="宋体"/>
          <w:b w:val="0"/>
          <w:color w:val="000000" w:themeColor="text1"/>
          <w:szCs w:val="24"/>
          <w:u w:val="none"/>
          <w14:textFill>
            <w14:solidFill>
              <w14:schemeClr w14:val="tx1"/>
            </w14:solidFill>
          </w14:textFill>
        </w:rPr>
        <w:t>9</w:t>
      </w:r>
      <w:r>
        <w:rPr>
          <w:rFonts w:hint="eastAsia" w:hAnsi="宋体" w:cs="宋体"/>
          <w:b w:val="0"/>
          <w:color w:val="000000" w:themeColor="text1"/>
          <w:szCs w:val="24"/>
          <w:u w:val="none"/>
          <w14:textFill>
            <w14:solidFill>
              <w14:schemeClr w14:val="tx1"/>
            </w14:solidFill>
          </w14:textFill>
        </w:rPr>
        <w:t xml:space="preserve">  拟分包情况说明（本项目不适用）</w:t>
      </w:r>
    </w:p>
    <w:p>
      <w:pPr>
        <w:autoSpaceDE w:val="0"/>
        <w:autoSpaceDN w:val="0"/>
        <w:adjustRightInd w:val="0"/>
        <w:spacing w:line="360" w:lineRule="auto"/>
        <w:jc w:val="center"/>
        <w:rPr>
          <w:rFonts w:hint="eastAsia"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拟分包情况说明</w:t>
      </w:r>
    </w:p>
    <w:p>
      <w:pPr>
        <w:tabs>
          <w:tab w:val="left" w:pos="5580"/>
        </w:tabs>
        <w:spacing w:line="360" w:lineRule="auto"/>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致：</w:t>
      </w:r>
      <w:r>
        <w:rPr>
          <w:rFonts w:hint="eastAsia" w:ascii="宋体" w:hAnsi="宋体" w:cs="宋体"/>
          <w:color w:val="000000" w:themeColor="text1"/>
          <w:sz w:val="24"/>
          <w:u w:val="single"/>
          <w14:textFill>
            <w14:solidFill>
              <w14:schemeClr w14:val="tx1"/>
            </w14:solidFill>
          </w14:textFill>
        </w:rPr>
        <w:t>（采购人或采购代理机构）</w:t>
      </w:r>
    </w:p>
    <w:p>
      <w:pPr>
        <w:adjustRightInd w:val="0"/>
        <w:snapToGrid w:val="0"/>
        <w:spacing w:line="360" w:lineRule="auto"/>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我单位参加贵单位组织采购的项目编号为_______的_________项目（填写采购项目名称）中___包（填写包号）的投标。拟签订分包合同的单位情况如下表所示，我单位承诺一旦在该项目中获得采购合同将按下表所列情况进行分包，同时承诺分包承担主体不再次分包。</w:t>
      </w:r>
    </w:p>
    <w:tbl>
      <w:tblPr>
        <w:tblStyle w:val="52"/>
        <w:tblW w:w="90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1287"/>
        <w:gridCol w:w="1513"/>
        <w:gridCol w:w="1125"/>
        <w:gridCol w:w="1561"/>
        <w:gridCol w:w="1498"/>
        <w:gridCol w:w="15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456" w:type="dxa"/>
            <w:vAlign w:val="center"/>
          </w:tcPr>
          <w:p>
            <w:pPr>
              <w:pStyle w:val="259"/>
              <w:jc w:val="cente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序号</w:t>
            </w:r>
          </w:p>
        </w:tc>
        <w:tc>
          <w:tcPr>
            <w:tcW w:w="1287" w:type="dxa"/>
            <w:vAlign w:val="center"/>
          </w:tcPr>
          <w:p>
            <w:pPr>
              <w:pStyle w:val="259"/>
              <w:jc w:val="cente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分包承担</w:t>
            </w:r>
          </w:p>
          <w:p>
            <w:pPr>
              <w:pStyle w:val="259"/>
              <w:jc w:val="cente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主体名称</w:t>
            </w:r>
          </w:p>
        </w:tc>
        <w:tc>
          <w:tcPr>
            <w:tcW w:w="1513" w:type="dxa"/>
            <w:vAlign w:val="center"/>
          </w:tcPr>
          <w:p>
            <w:pPr>
              <w:pStyle w:val="259"/>
              <w:jc w:val="center"/>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分包承担</w:t>
            </w:r>
          </w:p>
          <w:p>
            <w:pPr>
              <w:pStyle w:val="259"/>
              <w:jc w:val="center"/>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主体类型</w:t>
            </w:r>
          </w:p>
          <w:p>
            <w:pPr>
              <w:pStyle w:val="259"/>
              <w:jc w:val="center"/>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（勾选）</w:t>
            </w:r>
          </w:p>
        </w:tc>
        <w:tc>
          <w:tcPr>
            <w:tcW w:w="1125" w:type="dxa"/>
            <w:vAlign w:val="center"/>
          </w:tcPr>
          <w:p>
            <w:pPr>
              <w:pStyle w:val="259"/>
              <w:jc w:val="cente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资质等级</w:t>
            </w:r>
          </w:p>
        </w:tc>
        <w:tc>
          <w:tcPr>
            <w:tcW w:w="1561" w:type="dxa"/>
            <w:vAlign w:val="center"/>
          </w:tcPr>
          <w:p>
            <w:pPr>
              <w:pStyle w:val="259"/>
              <w:jc w:val="cente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拟分包</w:t>
            </w:r>
          </w:p>
          <w:p>
            <w:pPr>
              <w:pStyle w:val="259"/>
              <w:jc w:val="cente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合同内容</w:t>
            </w:r>
          </w:p>
        </w:tc>
        <w:tc>
          <w:tcPr>
            <w:tcW w:w="1498" w:type="dxa"/>
            <w:vAlign w:val="center"/>
          </w:tcPr>
          <w:p>
            <w:pPr>
              <w:pStyle w:val="259"/>
              <w:jc w:val="center"/>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拟分包</w:t>
            </w:r>
          </w:p>
          <w:p>
            <w:pPr>
              <w:pStyle w:val="259"/>
              <w:jc w:val="center"/>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合同金额</w:t>
            </w:r>
          </w:p>
          <w:p>
            <w:pPr>
              <w:pStyle w:val="259"/>
              <w:jc w:val="center"/>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（人民币元）</w:t>
            </w:r>
          </w:p>
        </w:tc>
        <w:tc>
          <w:tcPr>
            <w:tcW w:w="1564" w:type="dxa"/>
            <w:vAlign w:val="center"/>
          </w:tcPr>
          <w:p>
            <w:pPr>
              <w:pStyle w:val="259"/>
              <w:jc w:val="center"/>
              <w:rPr>
                <w:rFonts w:hint="eastAsia"/>
                <w:color w:val="000000" w:themeColor="text1"/>
                <w:sz w:val="24"/>
                <w:lang w:eastAsia="zh-CN"/>
                <w14:textFill>
                  <w14:solidFill>
                    <w14:schemeClr w14:val="tx1"/>
                  </w14:solidFill>
                </w14:textFill>
              </w:rPr>
            </w:pPr>
            <w:r>
              <w:rPr>
                <w:rFonts w:hint="eastAsia"/>
                <w:b/>
                <w:bCs/>
                <w:color w:val="000000" w:themeColor="text1"/>
                <w:spacing w:val="-7"/>
                <w:sz w:val="24"/>
                <w:szCs w:val="24"/>
                <w:lang w:eastAsia="zh-CN"/>
                <w14:textFill>
                  <w14:solidFill>
                    <w14:schemeClr w14:val="tx1"/>
                  </w14:solidFill>
                </w14:textFill>
              </w:rPr>
              <w:t>占合同金额</w:t>
            </w:r>
            <w:r>
              <w:rPr>
                <w:rFonts w:hint="eastAsia"/>
                <w:b/>
                <w:bCs/>
                <w:color w:val="000000" w:themeColor="text1"/>
                <w:spacing w:val="1"/>
                <w:sz w:val="24"/>
                <w:szCs w:val="24"/>
                <w:lang w:eastAsia="zh-CN"/>
                <w14:textFill>
                  <w14:solidFill>
                    <w14:schemeClr w14:val="tx1"/>
                  </w14:solidFill>
                </w14:textFill>
              </w:rPr>
              <w:t>的比例（%）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pPr>
              <w:pStyle w:val="259"/>
              <w:jc w:val="center"/>
              <w:rPr>
                <w:rFonts w:hint="eastAsia"/>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p>
        </w:tc>
        <w:tc>
          <w:tcPr>
            <w:tcW w:w="1287" w:type="dxa"/>
            <w:vAlign w:val="center"/>
          </w:tcPr>
          <w:p>
            <w:pPr>
              <w:pStyle w:val="259"/>
              <w:jc w:val="center"/>
              <w:rPr>
                <w:rFonts w:hint="eastAsia"/>
                <w:color w:val="000000" w:themeColor="text1"/>
                <w:sz w:val="30"/>
                <w14:textFill>
                  <w14:solidFill>
                    <w14:schemeClr w14:val="tx1"/>
                  </w14:solidFill>
                </w14:textFill>
              </w:rPr>
            </w:pPr>
          </w:p>
        </w:tc>
        <w:tc>
          <w:tcPr>
            <w:tcW w:w="1513" w:type="dxa"/>
            <w:vAlign w:val="center"/>
          </w:tcPr>
          <w:p>
            <w:pPr>
              <w:pStyle w:val="259"/>
              <w:tabs>
                <w:tab w:val="left" w:pos="235"/>
              </w:tabs>
              <w:ind w:left="-90" w:leftChars="-43" w:firstLine="240" w:firstLineChars="100"/>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□中型企业</w:t>
            </w:r>
          </w:p>
          <w:p>
            <w:pPr>
              <w:pStyle w:val="259"/>
              <w:tabs>
                <w:tab w:val="left" w:pos="235"/>
              </w:tabs>
              <w:ind w:left="-90" w:leftChars="-43" w:firstLine="240" w:firstLineChars="100"/>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 xml:space="preserve">□小微企业 </w:t>
            </w:r>
          </w:p>
          <w:p>
            <w:pPr>
              <w:pStyle w:val="259"/>
              <w:tabs>
                <w:tab w:val="left" w:pos="235"/>
              </w:tabs>
              <w:ind w:left="-90" w:leftChars="-43" w:firstLine="240" w:firstLineChars="100"/>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□其他</w:t>
            </w:r>
          </w:p>
        </w:tc>
        <w:tc>
          <w:tcPr>
            <w:tcW w:w="1125" w:type="dxa"/>
            <w:vAlign w:val="center"/>
          </w:tcPr>
          <w:p>
            <w:pPr>
              <w:pStyle w:val="259"/>
              <w:jc w:val="center"/>
              <w:rPr>
                <w:rFonts w:hint="eastAsia"/>
                <w:color w:val="000000" w:themeColor="text1"/>
                <w:sz w:val="30"/>
                <w:lang w:eastAsia="zh-CN"/>
                <w14:textFill>
                  <w14:solidFill>
                    <w14:schemeClr w14:val="tx1"/>
                  </w14:solidFill>
                </w14:textFill>
              </w:rPr>
            </w:pPr>
          </w:p>
        </w:tc>
        <w:tc>
          <w:tcPr>
            <w:tcW w:w="1561" w:type="dxa"/>
            <w:vAlign w:val="center"/>
          </w:tcPr>
          <w:p>
            <w:pPr>
              <w:pStyle w:val="259"/>
              <w:jc w:val="center"/>
              <w:rPr>
                <w:rFonts w:hint="eastAsia"/>
                <w:color w:val="000000" w:themeColor="text1"/>
                <w:sz w:val="30"/>
                <w:lang w:eastAsia="zh-CN"/>
                <w14:textFill>
                  <w14:solidFill>
                    <w14:schemeClr w14:val="tx1"/>
                  </w14:solidFill>
                </w14:textFill>
              </w:rPr>
            </w:pPr>
          </w:p>
        </w:tc>
        <w:tc>
          <w:tcPr>
            <w:tcW w:w="1498" w:type="dxa"/>
            <w:vAlign w:val="center"/>
          </w:tcPr>
          <w:p>
            <w:pPr>
              <w:pStyle w:val="259"/>
              <w:jc w:val="center"/>
              <w:rPr>
                <w:rFonts w:hint="eastAsia"/>
                <w:color w:val="000000" w:themeColor="text1"/>
                <w:sz w:val="30"/>
                <w:lang w:eastAsia="zh-CN"/>
                <w14:textFill>
                  <w14:solidFill>
                    <w14:schemeClr w14:val="tx1"/>
                  </w14:solidFill>
                </w14:textFill>
              </w:rPr>
            </w:pPr>
          </w:p>
        </w:tc>
        <w:tc>
          <w:tcPr>
            <w:tcW w:w="1564" w:type="dxa"/>
            <w:vAlign w:val="center"/>
          </w:tcPr>
          <w:p>
            <w:pPr>
              <w:pStyle w:val="259"/>
              <w:jc w:val="center"/>
              <w:rPr>
                <w:rFonts w:hint="eastAsia"/>
                <w:color w:val="000000" w:themeColor="text1"/>
                <w:sz w:val="30"/>
                <w:lang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pPr>
              <w:pStyle w:val="259"/>
              <w:jc w:val="center"/>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2</w:t>
            </w:r>
          </w:p>
        </w:tc>
        <w:tc>
          <w:tcPr>
            <w:tcW w:w="1287" w:type="dxa"/>
            <w:vAlign w:val="center"/>
          </w:tcPr>
          <w:p>
            <w:pPr>
              <w:pStyle w:val="259"/>
              <w:jc w:val="center"/>
              <w:rPr>
                <w:rFonts w:hint="eastAsia"/>
                <w:color w:val="000000" w:themeColor="text1"/>
                <w:sz w:val="30"/>
                <w14:textFill>
                  <w14:solidFill>
                    <w14:schemeClr w14:val="tx1"/>
                  </w14:solidFill>
                </w14:textFill>
              </w:rPr>
            </w:pPr>
          </w:p>
        </w:tc>
        <w:tc>
          <w:tcPr>
            <w:tcW w:w="1513" w:type="dxa"/>
            <w:vAlign w:val="center"/>
          </w:tcPr>
          <w:p>
            <w:pPr>
              <w:pStyle w:val="259"/>
              <w:tabs>
                <w:tab w:val="left" w:pos="235"/>
              </w:tabs>
              <w:ind w:left="-90" w:leftChars="-43" w:firstLine="240" w:firstLineChars="100"/>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□中型企业</w:t>
            </w:r>
          </w:p>
          <w:p>
            <w:pPr>
              <w:pStyle w:val="259"/>
              <w:tabs>
                <w:tab w:val="left" w:pos="235"/>
              </w:tabs>
              <w:ind w:left="-90" w:firstLine="240" w:firstLineChars="100"/>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 xml:space="preserve">□小微企业 </w:t>
            </w:r>
          </w:p>
          <w:p>
            <w:pPr>
              <w:pStyle w:val="259"/>
              <w:tabs>
                <w:tab w:val="left" w:pos="235"/>
              </w:tabs>
              <w:ind w:left="-90" w:leftChars="-43" w:firstLine="240" w:firstLineChars="100"/>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□其他</w:t>
            </w:r>
          </w:p>
        </w:tc>
        <w:tc>
          <w:tcPr>
            <w:tcW w:w="1125" w:type="dxa"/>
            <w:vAlign w:val="center"/>
          </w:tcPr>
          <w:p>
            <w:pPr>
              <w:pStyle w:val="259"/>
              <w:jc w:val="center"/>
              <w:rPr>
                <w:rFonts w:hint="eastAsia"/>
                <w:color w:val="000000" w:themeColor="text1"/>
                <w:sz w:val="30"/>
                <w:lang w:eastAsia="zh-CN"/>
                <w14:textFill>
                  <w14:solidFill>
                    <w14:schemeClr w14:val="tx1"/>
                  </w14:solidFill>
                </w14:textFill>
              </w:rPr>
            </w:pPr>
          </w:p>
        </w:tc>
        <w:tc>
          <w:tcPr>
            <w:tcW w:w="1561" w:type="dxa"/>
            <w:vAlign w:val="center"/>
          </w:tcPr>
          <w:p>
            <w:pPr>
              <w:pStyle w:val="259"/>
              <w:jc w:val="center"/>
              <w:rPr>
                <w:rFonts w:hint="eastAsia"/>
                <w:color w:val="000000" w:themeColor="text1"/>
                <w:sz w:val="30"/>
                <w:lang w:eastAsia="zh-CN"/>
                <w14:textFill>
                  <w14:solidFill>
                    <w14:schemeClr w14:val="tx1"/>
                  </w14:solidFill>
                </w14:textFill>
              </w:rPr>
            </w:pPr>
          </w:p>
        </w:tc>
        <w:tc>
          <w:tcPr>
            <w:tcW w:w="1498" w:type="dxa"/>
            <w:vAlign w:val="center"/>
          </w:tcPr>
          <w:p>
            <w:pPr>
              <w:pStyle w:val="259"/>
              <w:jc w:val="center"/>
              <w:rPr>
                <w:rFonts w:hint="eastAsia"/>
                <w:color w:val="000000" w:themeColor="text1"/>
                <w:sz w:val="30"/>
                <w:lang w:eastAsia="zh-CN"/>
                <w14:textFill>
                  <w14:solidFill>
                    <w14:schemeClr w14:val="tx1"/>
                  </w14:solidFill>
                </w14:textFill>
              </w:rPr>
            </w:pPr>
          </w:p>
        </w:tc>
        <w:tc>
          <w:tcPr>
            <w:tcW w:w="1564" w:type="dxa"/>
            <w:vAlign w:val="center"/>
          </w:tcPr>
          <w:p>
            <w:pPr>
              <w:pStyle w:val="259"/>
              <w:jc w:val="center"/>
              <w:rPr>
                <w:rFonts w:hint="eastAsia"/>
                <w:color w:val="000000" w:themeColor="text1"/>
                <w:sz w:val="30"/>
                <w:lang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0" w:hRule="atLeast"/>
          <w:jc w:val="center"/>
        </w:trPr>
        <w:tc>
          <w:tcPr>
            <w:tcW w:w="456" w:type="dxa"/>
            <w:vAlign w:val="center"/>
          </w:tcPr>
          <w:p>
            <w:pPr>
              <w:pStyle w:val="259"/>
              <w:jc w:val="center"/>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w:t>
            </w:r>
          </w:p>
        </w:tc>
        <w:tc>
          <w:tcPr>
            <w:tcW w:w="1287" w:type="dxa"/>
            <w:vAlign w:val="center"/>
          </w:tcPr>
          <w:p>
            <w:pPr>
              <w:pStyle w:val="259"/>
              <w:jc w:val="center"/>
              <w:rPr>
                <w:rFonts w:hint="eastAsia"/>
                <w:color w:val="000000" w:themeColor="text1"/>
                <w:sz w:val="30"/>
                <w14:textFill>
                  <w14:solidFill>
                    <w14:schemeClr w14:val="tx1"/>
                  </w14:solidFill>
                </w14:textFill>
              </w:rPr>
            </w:pPr>
          </w:p>
        </w:tc>
        <w:tc>
          <w:tcPr>
            <w:tcW w:w="1513" w:type="dxa"/>
            <w:vAlign w:val="center"/>
          </w:tcPr>
          <w:p>
            <w:pPr>
              <w:pStyle w:val="259"/>
              <w:tabs>
                <w:tab w:val="left" w:pos="235"/>
              </w:tabs>
              <w:jc w:val="center"/>
              <w:rPr>
                <w:rFonts w:hint="eastAsia"/>
                <w:color w:val="000000" w:themeColor="text1"/>
                <w:sz w:val="24"/>
                <w14:textFill>
                  <w14:solidFill>
                    <w14:schemeClr w14:val="tx1"/>
                  </w14:solidFill>
                </w14:textFill>
              </w:rPr>
            </w:pPr>
          </w:p>
        </w:tc>
        <w:tc>
          <w:tcPr>
            <w:tcW w:w="1125" w:type="dxa"/>
            <w:vAlign w:val="center"/>
          </w:tcPr>
          <w:p>
            <w:pPr>
              <w:pStyle w:val="259"/>
              <w:jc w:val="center"/>
              <w:rPr>
                <w:rFonts w:hint="eastAsia"/>
                <w:color w:val="000000" w:themeColor="text1"/>
                <w:sz w:val="30"/>
                <w14:textFill>
                  <w14:solidFill>
                    <w14:schemeClr w14:val="tx1"/>
                  </w14:solidFill>
                </w14:textFill>
              </w:rPr>
            </w:pPr>
          </w:p>
        </w:tc>
        <w:tc>
          <w:tcPr>
            <w:tcW w:w="1561" w:type="dxa"/>
            <w:vAlign w:val="center"/>
          </w:tcPr>
          <w:p>
            <w:pPr>
              <w:pStyle w:val="259"/>
              <w:jc w:val="center"/>
              <w:rPr>
                <w:rFonts w:hint="eastAsia"/>
                <w:color w:val="000000" w:themeColor="text1"/>
                <w:sz w:val="30"/>
                <w14:textFill>
                  <w14:solidFill>
                    <w14:schemeClr w14:val="tx1"/>
                  </w14:solidFill>
                </w14:textFill>
              </w:rPr>
            </w:pPr>
          </w:p>
        </w:tc>
        <w:tc>
          <w:tcPr>
            <w:tcW w:w="1498" w:type="dxa"/>
            <w:vAlign w:val="center"/>
          </w:tcPr>
          <w:p>
            <w:pPr>
              <w:pStyle w:val="259"/>
              <w:jc w:val="center"/>
              <w:rPr>
                <w:rFonts w:hint="eastAsia"/>
                <w:color w:val="000000" w:themeColor="text1"/>
                <w:sz w:val="30"/>
                <w14:textFill>
                  <w14:solidFill>
                    <w14:schemeClr w14:val="tx1"/>
                  </w14:solidFill>
                </w14:textFill>
              </w:rPr>
            </w:pPr>
          </w:p>
        </w:tc>
        <w:tc>
          <w:tcPr>
            <w:tcW w:w="1564" w:type="dxa"/>
            <w:vAlign w:val="center"/>
          </w:tcPr>
          <w:p>
            <w:pPr>
              <w:pStyle w:val="259"/>
              <w:jc w:val="center"/>
              <w:rPr>
                <w:rFonts w:hint="eastAsia"/>
                <w:color w:val="000000" w:themeColor="text1"/>
                <w:sz w:val="3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0" w:hRule="atLeast"/>
          <w:jc w:val="center"/>
        </w:trPr>
        <w:tc>
          <w:tcPr>
            <w:tcW w:w="5942" w:type="dxa"/>
            <w:gridSpan w:val="5"/>
            <w:vAlign w:val="center"/>
          </w:tcPr>
          <w:p>
            <w:pPr>
              <w:pStyle w:val="259"/>
              <w:ind w:right="57" w:rightChars="27"/>
              <w:jc w:val="right"/>
              <w:rPr>
                <w:rFonts w:hint="eastAsia"/>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合计：</w:t>
            </w:r>
          </w:p>
        </w:tc>
        <w:tc>
          <w:tcPr>
            <w:tcW w:w="1498" w:type="dxa"/>
            <w:vAlign w:val="center"/>
          </w:tcPr>
          <w:p>
            <w:pPr>
              <w:pStyle w:val="259"/>
              <w:jc w:val="center"/>
              <w:rPr>
                <w:rFonts w:hint="eastAsia"/>
                <w:color w:val="000000" w:themeColor="text1"/>
                <w:sz w:val="30"/>
                <w14:textFill>
                  <w14:solidFill>
                    <w14:schemeClr w14:val="tx1"/>
                  </w14:solidFill>
                </w14:textFill>
              </w:rPr>
            </w:pPr>
          </w:p>
        </w:tc>
        <w:tc>
          <w:tcPr>
            <w:tcW w:w="1564" w:type="dxa"/>
            <w:vAlign w:val="center"/>
          </w:tcPr>
          <w:p>
            <w:pPr>
              <w:pStyle w:val="259"/>
              <w:jc w:val="center"/>
              <w:rPr>
                <w:rFonts w:hint="eastAsia"/>
                <w:color w:val="000000" w:themeColor="text1"/>
                <w:sz w:val="30"/>
                <w14:textFill>
                  <w14:solidFill>
                    <w14:schemeClr w14:val="tx1"/>
                  </w14:solidFill>
                </w14:textFill>
              </w:rPr>
            </w:pPr>
          </w:p>
        </w:tc>
      </w:tr>
    </w:tbl>
    <w:p>
      <w:pPr>
        <w:adjustRightInd w:val="0"/>
        <w:snapToGrid w:val="0"/>
        <w:spacing w:line="360" w:lineRule="auto"/>
        <w:ind w:firstLine="480" w:firstLineChars="200"/>
        <w:jc w:val="left"/>
        <w:rPr>
          <w:rFonts w:hint="eastAsia" w:ascii="宋体" w:hAnsi="宋体" w:cs="宋体"/>
          <w:color w:val="000000" w:themeColor="text1"/>
          <w:sz w:val="24"/>
          <w14:textFill>
            <w14:solidFill>
              <w14:schemeClr w14:val="tx1"/>
            </w14:solidFill>
          </w14:textFill>
        </w:rPr>
      </w:pPr>
    </w:p>
    <w:p>
      <w:pPr>
        <w:adjustRightInd w:val="0"/>
        <w:snapToGrid w:val="0"/>
        <w:spacing w:line="360" w:lineRule="auto"/>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注： </w:t>
      </w:r>
    </w:p>
    <w:p>
      <w:pPr>
        <w:pStyle w:val="21"/>
        <w:ind w:firstLine="472"/>
        <w:rPr>
          <w:rFonts w:hint="eastAsia"/>
        </w:rPr>
      </w:pPr>
      <w:r>
        <w:rPr>
          <w:rFonts w:hint="eastAsia"/>
          <w:spacing w:val="-2"/>
        </w:rPr>
        <w:t>1.如本项目（包）允许分包，且投标人拟进行分</w:t>
      </w:r>
      <w:r>
        <w:rPr>
          <w:rFonts w:hint="eastAsia"/>
          <w:spacing w:val="-3"/>
        </w:rPr>
        <w:t>包时，必须提供；如未提供，或提供</w:t>
      </w:r>
      <w:r>
        <w:rPr>
          <w:rFonts w:hint="eastAsia"/>
        </w:rPr>
        <w:t>了但未填写分包承担主体名称、拟分包合同内容、拟分包合同金额，</w:t>
      </w:r>
      <w:r>
        <w:rPr>
          <w:rFonts w:hint="eastAsia"/>
          <w:b/>
          <w:bCs/>
        </w:rPr>
        <w:t>投标无效</w:t>
      </w:r>
      <w:r>
        <w:rPr>
          <w:rFonts w:hint="eastAsia"/>
        </w:rPr>
        <w:t>。</w:t>
      </w:r>
    </w:p>
    <w:p>
      <w:pPr>
        <w:pStyle w:val="21"/>
        <w:ind w:firstLine="480"/>
        <w:rPr>
          <w:rFonts w:hint="eastAsia"/>
        </w:rPr>
      </w:pPr>
      <w:r>
        <w:rPr>
          <w:rFonts w:hint="eastAsia"/>
        </w:rPr>
        <w:t>2. 如本招标文件《投标人须知资料表》载明本项目分包承担主体应具备的相应资质条件，则投标人须在本表中列明分包承担主体的资质等级，并后附资质证书电子件</w:t>
      </w:r>
      <w:r>
        <w:rPr>
          <w:rFonts w:hint="eastAsia"/>
          <w:spacing w:val="-2"/>
        </w:rPr>
        <w:t>，否则</w:t>
      </w:r>
      <w:r>
        <w:rPr>
          <w:rFonts w:hint="eastAsia"/>
          <w:b/>
          <w:bCs/>
          <w:spacing w:val="-2"/>
        </w:rPr>
        <w:t>投标</w:t>
      </w:r>
      <w:r>
        <w:rPr>
          <w:rFonts w:hint="eastAsia"/>
          <w:b/>
          <w:bCs/>
          <w:spacing w:val="-1"/>
        </w:rPr>
        <w:t>无效</w:t>
      </w:r>
      <w:r>
        <w:rPr>
          <w:rFonts w:hint="eastAsia"/>
          <w:spacing w:val="-1"/>
        </w:rPr>
        <w:t>。</w:t>
      </w:r>
    </w:p>
    <w:p>
      <w:pPr>
        <w:adjustRightInd w:val="0"/>
        <w:snapToGrid w:val="0"/>
        <w:spacing w:line="360" w:lineRule="auto"/>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3.投标人“为落实政府采购政策”而向中小企业分包时请仔细阅读资格证明文件格式</w:t>
      </w:r>
      <w:r>
        <w:rPr>
          <w:rFonts w:hint="eastAsia" w:ascii="宋体" w:hAnsi="宋体" w:cs="宋体"/>
          <w:color w:val="000000" w:themeColor="text1"/>
          <w:sz w:val="24"/>
          <w14:textFill>
            <w14:solidFill>
              <w14:schemeClr w14:val="tx1"/>
            </w14:solidFill>
          </w14:textFill>
        </w:rPr>
        <w:t xml:space="preserve">    2-1中说明，并建议按要求在资格证明文件中提供相关全部文件；投</w:t>
      </w:r>
      <w:r>
        <w:rPr>
          <w:rFonts w:hint="eastAsia" w:ascii="宋体" w:hAnsi="宋体" w:cs="宋体"/>
          <w:color w:val="000000" w:themeColor="text1"/>
          <w:spacing w:val="-1"/>
          <w:sz w:val="24"/>
          <w14:textFill>
            <w14:solidFill>
              <w14:schemeClr w14:val="tx1"/>
            </w14:solidFill>
          </w14:textFill>
        </w:rPr>
        <w:t>标人非“为落实政</w:t>
      </w:r>
      <w:r>
        <w:rPr>
          <w:rFonts w:hint="eastAsia" w:ascii="宋体" w:hAnsi="宋体" w:cs="宋体"/>
          <w:color w:val="000000" w:themeColor="text1"/>
          <w:sz w:val="24"/>
          <w14:textFill>
            <w14:solidFill>
              <w14:schemeClr w14:val="tx1"/>
            </w14:solidFill>
          </w14:textFill>
        </w:rPr>
        <w:t xml:space="preserve"> 府采购政策”而向中小企业分包时，建议在本册提供。</w:t>
      </w:r>
    </w:p>
    <w:p>
      <w:pPr>
        <w:adjustRightInd w:val="0"/>
        <w:snapToGrid w:val="0"/>
        <w:spacing w:line="360" w:lineRule="auto"/>
        <w:jc w:val="left"/>
        <w:rPr>
          <w:rFonts w:hint="eastAsia" w:ascii="宋体" w:hAnsi="宋体" w:cs="宋体"/>
          <w:color w:val="000000" w:themeColor="text1"/>
          <w:sz w:val="24"/>
          <w14:textFill>
            <w14:solidFill>
              <w14:schemeClr w14:val="tx1"/>
            </w14:solidFill>
          </w14:textFill>
        </w:rPr>
      </w:pPr>
    </w:p>
    <w:p>
      <w:pPr>
        <w:adjustRightInd w:val="0"/>
        <w:snapToGrid w:val="0"/>
        <w:spacing w:line="360" w:lineRule="auto"/>
        <w:ind w:right="480" w:firstLine="480" w:firstLineChars="200"/>
        <w:jc w:val="righ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投标人名称（盖章）：______</w:t>
      </w:r>
    </w:p>
    <w:p>
      <w:pPr>
        <w:adjustRightInd w:val="0"/>
        <w:snapToGrid w:val="0"/>
        <w:spacing w:line="360" w:lineRule="auto"/>
        <w:ind w:firstLine="480" w:firstLineChars="200"/>
        <w:jc w:val="right"/>
        <w:rPr>
          <w:rFonts w:hint="eastAsia"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日期：_____年______月______日</w:t>
      </w:r>
    </w:p>
    <w:p>
      <w:pPr>
        <w:pStyle w:val="21"/>
        <w:ind w:firstLine="480"/>
        <w:rPr>
          <w:rFonts w:hint="eastAsia"/>
        </w:rPr>
      </w:pPr>
      <w:r>
        <w:rPr>
          <w:rFonts w:hint="eastAsia"/>
        </w:rPr>
        <w:t>分包意向协议</w:t>
      </w:r>
    </w:p>
    <w:p>
      <w:pPr>
        <w:adjustRightInd w:val="0"/>
        <w:snapToGrid w:val="0"/>
        <w:spacing w:line="360" w:lineRule="auto"/>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甲方（投标人）：________</w:t>
      </w:r>
    </w:p>
    <w:p>
      <w:pPr>
        <w:adjustRightInd w:val="0"/>
        <w:snapToGrid w:val="0"/>
        <w:spacing w:line="360" w:lineRule="auto"/>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乙方（拟分包单位）：________</w:t>
      </w:r>
    </w:p>
    <w:p>
      <w:pPr>
        <w:adjustRightInd w:val="0"/>
        <w:snapToGrid w:val="0"/>
        <w:spacing w:line="360" w:lineRule="auto"/>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甲方承诺，一旦在_________（采购项目名称）（项目编号/包号为：_______）招标采购项目中获得采购合同，将按照下述约定将合同项下部分内容分包给乙方：</w:t>
      </w:r>
    </w:p>
    <w:p>
      <w:pPr>
        <w:adjustRightInd w:val="0"/>
        <w:snapToGrid w:val="0"/>
        <w:spacing w:line="360" w:lineRule="auto"/>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1.分包内容：_____。</w:t>
      </w:r>
    </w:p>
    <w:p>
      <w:pPr>
        <w:adjustRightInd w:val="0"/>
        <w:snapToGrid w:val="0"/>
        <w:spacing w:line="360" w:lineRule="auto"/>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2.分包金额：_____，该金额占该采购包合同金额的比例为___%。</w:t>
      </w:r>
    </w:p>
    <w:p>
      <w:pPr>
        <w:adjustRightInd w:val="0"/>
        <w:snapToGrid w:val="0"/>
        <w:spacing w:line="360" w:lineRule="auto"/>
        <w:ind w:firstLine="480" w:firstLineChars="200"/>
        <w:jc w:val="left"/>
        <w:rPr>
          <w:rFonts w:hint="eastAsia" w:ascii="宋体" w:hAnsi="宋体" w:cs="宋体"/>
          <w:bCs/>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乙方承诺将在上述情况下与甲方签订分包合同。</w:t>
      </w:r>
    </w:p>
    <w:p>
      <w:pPr>
        <w:adjustRightInd w:val="0"/>
        <w:snapToGrid w:val="0"/>
        <w:spacing w:line="360" w:lineRule="auto"/>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本协议自各方盖章之日起生效，如甲方未在该项目（采购包）中标，本协议自动终止。</w:t>
      </w:r>
    </w:p>
    <w:p>
      <w:pPr>
        <w:spacing w:line="360" w:lineRule="auto"/>
        <w:ind w:firstLine="471"/>
        <w:rPr>
          <w:rFonts w:hint="eastAsia" w:ascii="宋体" w:hAnsi="宋体" w:cs="宋体"/>
          <w:b/>
          <w:color w:val="000000" w:themeColor="text1"/>
          <w:sz w:val="24"/>
          <w14:textFill>
            <w14:solidFill>
              <w14:schemeClr w14:val="tx1"/>
            </w14:solidFill>
          </w14:textFill>
        </w:rPr>
      </w:pPr>
    </w:p>
    <w:p>
      <w:pPr>
        <w:spacing w:line="360" w:lineRule="auto"/>
        <w:ind w:firstLine="471"/>
        <w:rPr>
          <w:rFonts w:hint="eastAsia"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甲方（盖章）：_________                 乙方（盖章）：_________</w:t>
      </w:r>
    </w:p>
    <w:p>
      <w:pPr>
        <w:spacing w:line="360" w:lineRule="auto"/>
        <w:ind w:left="480"/>
        <w:jc w:val="right"/>
        <w:rPr>
          <w:rFonts w:hint="eastAsia" w:ascii="宋体" w:hAnsi="宋体" w:cs="宋体"/>
          <w:color w:val="000000" w:themeColor="text1"/>
          <w:sz w:val="24"/>
          <w14:textFill>
            <w14:solidFill>
              <w14:schemeClr w14:val="tx1"/>
            </w14:solidFill>
          </w14:textFill>
        </w:rPr>
      </w:pPr>
    </w:p>
    <w:p>
      <w:pPr>
        <w:pStyle w:val="21"/>
        <w:ind w:firstLine="480"/>
        <w:rPr>
          <w:rFonts w:hint="eastAsia"/>
        </w:rPr>
      </w:pPr>
      <w:r>
        <w:rPr>
          <w:rFonts w:hint="eastAsia"/>
        </w:rPr>
        <w:t>日期：_____年______月______日</w:t>
      </w:r>
    </w:p>
    <w:p>
      <w:pPr>
        <w:spacing w:line="360" w:lineRule="auto"/>
        <w:rPr>
          <w:rFonts w:hint="eastAsia" w:ascii="宋体" w:hAnsi="宋体" w:cs="宋体"/>
          <w:color w:val="000000" w:themeColor="text1"/>
          <w14:textFill>
            <w14:solidFill>
              <w14:schemeClr w14:val="tx1"/>
            </w14:solidFill>
          </w14:textFill>
        </w:rPr>
      </w:pPr>
    </w:p>
    <w:p>
      <w:pPr>
        <w:spacing w:line="360" w:lineRule="auto"/>
        <w:rPr>
          <w:rFonts w:hint="eastAsia" w:ascii="宋体" w:hAnsi="宋体" w:cs="宋体"/>
          <w:color w:val="000000" w:themeColor="text1"/>
          <w14:textFill>
            <w14:solidFill>
              <w14:schemeClr w14:val="tx1"/>
            </w14:solidFill>
          </w14:textFill>
        </w:rPr>
      </w:pPr>
    </w:p>
    <w:p>
      <w:pPr>
        <w:pStyle w:val="21"/>
        <w:ind w:firstLine="480"/>
        <w:rPr>
          <w:rFonts w:hint="eastAsia"/>
        </w:rPr>
      </w:pPr>
      <w:r>
        <w:rPr>
          <w:rFonts w:hint="eastAsia"/>
        </w:rPr>
        <w:t>注：</w:t>
      </w:r>
    </w:p>
    <w:p>
      <w:pPr>
        <w:pStyle w:val="21"/>
        <w:ind w:firstLine="480"/>
        <w:rPr>
          <w:rFonts w:hint="eastAsia"/>
        </w:rPr>
      </w:pPr>
      <w:r>
        <w:rPr>
          <w:rFonts w:hint="eastAsia"/>
        </w:rPr>
        <w:t>1.投标人“为落实政府采购政策”而向中小企业分包时必须提供，否则</w:t>
      </w:r>
      <w:r>
        <w:rPr>
          <w:rFonts w:hint="eastAsia"/>
          <w:b/>
          <w:bCs/>
        </w:rPr>
        <w:t>投标无效</w:t>
      </w:r>
      <w:r>
        <w:rPr>
          <w:rFonts w:hint="eastAsia"/>
        </w:rPr>
        <w:t>；且建</w:t>
      </w:r>
      <w:r>
        <w:rPr>
          <w:rFonts w:hint="eastAsia"/>
          <w:spacing w:val="-1"/>
        </w:rPr>
        <w:t>议按照采购文件要求在资格证明文件部分提供；</w:t>
      </w:r>
    </w:p>
    <w:p>
      <w:pPr>
        <w:pStyle w:val="21"/>
        <w:ind w:firstLine="476"/>
        <w:rPr>
          <w:rFonts w:hint="eastAsia"/>
        </w:rPr>
      </w:pPr>
      <w:r>
        <w:rPr>
          <w:rFonts w:hint="eastAsia"/>
          <w:spacing w:val="-1"/>
        </w:rPr>
        <w:t>2.投标人满足《政府采购促进中小企业发展管理办</w:t>
      </w:r>
      <w:r>
        <w:rPr>
          <w:rFonts w:hint="eastAsia"/>
          <w:spacing w:val="-2"/>
        </w:rPr>
        <w:t>法》（财库〔2020〕46 号）第九条</w:t>
      </w:r>
      <w:r>
        <w:rPr>
          <w:rFonts w:hint="eastAsia"/>
        </w:rPr>
        <w:t>有关规定</w:t>
      </w:r>
      <w:r>
        <w:rPr>
          <w:rFonts w:hint="eastAsia"/>
          <w:spacing w:val="-15"/>
        </w:rPr>
        <w:t>，</w:t>
      </w:r>
      <w:r>
        <w:rPr>
          <w:rFonts w:hint="eastAsia"/>
        </w:rPr>
        <w:t>拟享受中小企业政策优惠措施的，仍需提供本协，否则不予认可；</w:t>
      </w:r>
    </w:p>
    <w:p>
      <w:pPr>
        <w:pStyle w:val="21"/>
        <w:ind w:firstLine="480"/>
        <w:rPr>
          <w:rFonts w:hint="eastAsia"/>
        </w:rPr>
      </w:pPr>
      <w:r>
        <w:rPr>
          <w:rFonts w:hint="eastAsia"/>
        </w:rPr>
        <w:t>3. 投标人须与所有拟分包单位分别签订《分包意向协议》，每单位签订一份，并在投标文件中提交全部协议原件的电子件，否则不予认可。</w:t>
      </w:r>
    </w:p>
    <w:p>
      <w:pPr>
        <w:rPr>
          <w:rFonts w:hint="eastAsia" w:ascii="宋体" w:hAnsi="宋体"/>
          <w:color w:val="000000" w:themeColor="text1"/>
          <w14:textFill>
            <w14:solidFill>
              <w14:schemeClr w14:val="tx1"/>
            </w14:solidFill>
          </w14:textFill>
        </w:rPr>
      </w:pPr>
    </w:p>
    <w:p>
      <w:pPr>
        <w:pStyle w:val="6"/>
        <w:rPr>
          <w:rFonts w:hint="eastAsia"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br w:type="page"/>
      </w:r>
      <w:r>
        <w:rPr>
          <w:rFonts w:hAnsi="宋体" w:cs="宋体"/>
          <w:b w:val="0"/>
          <w:color w:val="000000" w:themeColor="text1"/>
          <w:szCs w:val="24"/>
          <w:u w:val="none"/>
          <w14:textFill>
            <w14:solidFill>
              <w14:schemeClr w14:val="tx1"/>
            </w14:solidFill>
          </w14:textFill>
        </w:rPr>
        <w:t>10</w:t>
      </w:r>
      <w:r>
        <w:rPr>
          <w:rFonts w:hint="eastAsia" w:hAnsi="宋体" w:cs="宋体"/>
          <w:b w:val="0"/>
          <w:color w:val="000000" w:themeColor="text1"/>
          <w:szCs w:val="24"/>
          <w:u w:val="none"/>
          <w14:textFill>
            <w14:solidFill>
              <w14:schemeClr w14:val="tx1"/>
            </w14:solidFill>
          </w14:textFill>
        </w:rPr>
        <w:t xml:space="preserve">  招标文件要求提供或投标人认为应附的其他材料</w:t>
      </w:r>
    </w:p>
    <w:p>
      <w:pPr>
        <w:pStyle w:val="7"/>
        <w:jc w:val="left"/>
        <w:rPr>
          <w:rFonts w:hint="eastAsia" w:ascii="宋体" w:hAnsi="宋体" w:eastAsia="宋体"/>
          <w:b w:val="0"/>
          <w:sz w:val="24"/>
          <w:szCs w:val="24"/>
        </w:rPr>
      </w:pPr>
      <w:r>
        <w:rPr>
          <w:rFonts w:ascii="宋体" w:hAnsi="宋体" w:eastAsia="宋体"/>
          <w:b w:val="0"/>
          <w:sz w:val="24"/>
          <w:szCs w:val="24"/>
        </w:rPr>
        <w:t>10</w:t>
      </w:r>
      <w:r>
        <w:rPr>
          <w:rFonts w:hint="eastAsia" w:ascii="宋体" w:hAnsi="宋体" w:eastAsia="宋体"/>
          <w:b w:val="0"/>
          <w:sz w:val="24"/>
          <w:szCs w:val="24"/>
        </w:rPr>
        <w:t>-1 供应商信息采集表</w:t>
      </w:r>
    </w:p>
    <w:tbl>
      <w:tblPr>
        <w:tblStyle w:val="52"/>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99"/>
        <w:gridCol w:w="3095"/>
        <w:gridCol w:w="309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3099" w:type="dxa"/>
          </w:tcPr>
          <w:p>
            <w:pPr>
              <w:autoSpaceDE w:val="0"/>
              <w:autoSpaceDN w:val="0"/>
              <w:spacing w:before="43" w:line="195" w:lineRule="auto"/>
              <w:ind w:left="112"/>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供应商名称</w:t>
            </w:r>
          </w:p>
        </w:tc>
        <w:tc>
          <w:tcPr>
            <w:tcW w:w="3095" w:type="dxa"/>
          </w:tcPr>
          <w:p>
            <w:pPr>
              <w:autoSpaceDE w:val="0"/>
              <w:autoSpaceDN w:val="0"/>
              <w:spacing w:before="43" w:line="195" w:lineRule="auto"/>
              <w:ind w:left="109"/>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供应商所属性别</w:t>
            </w:r>
          </w:p>
        </w:tc>
        <w:tc>
          <w:tcPr>
            <w:tcW w:w="3098" w:type="dxa"/>
          </w:tcPr>
          <w:p>
            <w:pPr>
              <w:autoSpaceDE w:val="0"/>
              <w:autoSpaceDN w:val="0"/>
              <w:spacing w:before="43" w:line="195" w:lineRule="auto"/>
              <w:ind w:left="110"/>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外商投资类型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3099" w:type="dxa"/>
          </w:tcPr>
          <w:p>
            <w:pPr>
              <w:pStyle w:val="260"/>
              <w:rPr>
                <w:rFonts w:hint="eastAsia" w:ascii="宋体" w:hAnsi="宋体" w:eastAsia="宋体" w:cs="宋体"/>
                <w:color w:val="000000" w:themeColor="text1"/>
                <w:sz w:val="22"/>
                <w14:textFill>
                  <w14:solidFill>
                    <w14:schemeClr w14:val="tx1"/>
                  </w14:solidFill>
                </w14:textFill>
              </w:rPr>
            </w:pPr>
          </w:p>
        </w:tc>
        <w:tc>
          <w:tcPr>
            <w:tcW w:w="3095" w:type="dxa"/>
          </w:tcPr>
          <w:p>
            <w:pPr>
              <w:pStyle w:val="260"/>
              <w:rPr>
                <w:rFonts w:hint="eastAsia" w:ascii="宋体" w:hAnsi="宋体" w:eastAsia="宋体" w:cs="宋体"/>
                <w:color w:val="000000" w:themeColor="text1"/>
                <w:sz w:val="22"/>
                <w14:textFill>
                  <w14:solidFill>
                    <w14:schemeClr w14:val="tx1"/>
                  </w14:solidFill>
                </w14:textFill>
              </w:rPr>
            </w:pPr>
          </w:p>
        </w:tc>
        <w:tc>
          <w:tcPr>
            <w:tcW w:w="3098" w:type="dxa"/>
          </w:tcPr>
          <w:p>
            <w:pPr>
              <w:pStyle w:val="260"/>
              <w:rPr>
                <w:rFonts w:hint="eastAsia" w:ascii="宋体" w:hAnsi="宋体" w:eastAsia="宋体" w:cs="宋体"/>
                <w:color w:val="000000" w:themeColor="text1"/>
                <w:sz w:val="22"/>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3099" w:type="dxa"/>
          </w:tcPr>
          <w:p>
            <w:pPr>
              <w:pStyle w:val="260"/>
              <w:rPr>
                <w:rFonts w:hint="eastAsia" w:ascii="宋体" w:hAnsi="宋体" w:eastAsia="宋体" w:cs="宋体"/>
                <w:color w:val="000000" w:themeColor="text1"/>
                <w:sz w:val="22"/>
                <w14:textFill>
                  <w14:solidFill>
                    <w14:schemeClr w14:val="tx1"/>
                  </w14:solidFill>
                </w14:textFill>
              </w:rPr>
            </w:pPr>
          </w:p>
        </w:tc>
        <w:tc>
          <w:tcPr>
            <w:tcW w:w="3095" w:type="dxa"/>
          </w:tcPr>
          <w:p>
            <w:pPr>
              <w:pStyle w:val="260"/>
              <w:rPr>
                <w:rFonts w:hint="eastAsia" w:ascii="宋体" w:hAnsi="宋体" w:eastAsia="宋体" w:cs="宋体"/>
                <w:color w:val="000000" w:themeColor="text1"/>
                <w:sz w:val="22"/>
                <w14:textFill>
                  <w14:solidFill>
                    <w14:schemeClr w14:val="tx1"/>
                  </w14:solidFill>
                </w14:textFill>
              </w:rPr>
            </w:pPr>
          </w:p>
        </w:tc>
        <w:tc>
          <w:tcPr>
            <w:tcW w:w="3098" w:type="dxa"/>
          </w:tcPr>
          <w:p>
            <w:pPr>
              <w:pStyle w:val="260"/>
              <w:rPr>
                <w:rFonts w:hint="eastAsia" w:ascii="宋体" w:hAnsi="宋体" w:eastAsia="宋体" w:cs="宋体"/>
                <w:color w:val="000000" w:themeColor="text1"/>
                <w:sz w:val="22"/>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3099" w:type="dxa"/>
          </w:tcPr>
          <w:p>
            <w:pPr>
              <w:pStyle w:val="260"/>
              <w:rPr>
                <w:rFonts w:hint="eastAsia" w:ascii="宋体" w:hAnsi="宋体" w:eastAsia="宋体" w:cs="宋体"/>
                <w:color w:val="000000" w:themeColor="text1"/>
                <w:sz w:val="22"/>
                <w14:textFill>
                  <w14:solidFill>
                    <w14:schemeClr w14:val="tx1"/>
                  </w14:solidFill>
                </w14:textFill>
              </w:rPr>
            </w:pPr>
          </w:p>
        </w:tc>
        <w:tc>
          <w:tcPr>
            <w:tcW w:w="3095" w:type="dxa"/>
          </w:tcPr>
          <w:p>
            <w:pPr>
              <w:pStyle w:val="260"/>
              <w:rPr>
                <w:rFonts w:hint="eastAsia" w:ascii="宋体" w:hAnsi="宋体" w:eastAsia="宋体" w:cs="宋体"/>
                <w:color w:val="000000" w:themeColor="text1"/>
                <w:sz w:val="22"/>
                <w14:textFill>
                  <w14:solidFill>
                    <w14:schemeClr w14:val="tx1"/>
                  </w14:solidFill>
                </w14:textFill>
              </w:rPr>
            </w:pPr>
          </w:p>
        </w:tc>
        <w:tc>
          <w:tcPr>
            <w:tcW w:w="3098" w:type="dxa"/>
          </w:tcPr>
          <w:p>
            <w:pPr>
              <w:pStyle w:val="260"/>
              <w:rPr>
                <w:rFonts w:hint="eastAsia" w:ascii="宋体" w:hAnsi="宋体" w:eastAsia="宋体" w:cs="宋体"/>
                <w:color w:val="000000" w:themeColor="text1"/>
                <w:sz w:val="22"/>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3099" w:type="dxa"/>
          </w:tcPr>
          <w:p>
            <w:pPr>
              <w:pStyle w:val="260"/>
              <w:rPr>
                <w:rFonts w:hint="eastAsia" w:ascii="宋体" w:hAnsi="宋体" w:eastAsia="宋体" w:cs="宋体"/>
                <w:color w:val="000000" w:themeColor="text1"/>
                <w:sz w:val="22"/>
                <w14:textFill>
                  <w14:solidFill>
                    <w14:schemeClr w14:val="tx1"/>
                  </w14:solidFill>
                </w14:textFill>
              </w:rPr>
            </w:pPr>
          </w:p>
        </w:tc>
        <w:tc>
          <w:tcPr>
            <w:tcW w:w="3095" w:type="dxa"/>
          </w:tcPr>
          <w:p>
            <w:pPr>
              <w:pStyle w:val="260"/>
              <w:rPr>
                <w:rFonts w:hint="eastAsia" w:ascii="宋体" w:hAnsi="宋体" w:eastAsia="宋体" w:cs="宋体"/>
                <w:color w:val="000000" w:themeColor="text1"/>
                <w:sz w:val="22"/>
                <w14:textFill>
                  <w14:solidFill>
                    <w14:schemeClr w14:val="tx1"/>
                  </w14:solidFill>
                </w14:textFill>
              </w:rPr>
            </w:pPr>
          </w:p>
        </w:tc>
        <w:tc>
          <w:tcPr>
            <w:tcW w:w="3098" w:type="dxa"/>
          </w:tcPr>
          <w:p>
            <w:pPr>
              <w:pStyle w:val="260"/>
              <w:rPr>
                <w:rFonts w:hint="eastAsia" w:ascii="宋体" w:hAnsi="宋体" w:eastAsia="宋体" w:cs="宋体"/>
                <w:color w:val="000000" w:themeColor="text1"/>
                <w:sz w:val="22"/>
                <w14:textFill>
                  <w14:solidFill>
                    <w14:schemeClr w14:val="tx1"/>
                  </w14:solidFill>
                </w14:textFill>
              </w:rPr>
            </w:pPr>
          </w:p>
        </w:tc>
      </w:tr>
    </w:tbl>
    <w:p>
      <w:pPr>
        <w:pStyle w:val="21"/>
        <w:ind w:firstLine="480"/>
        <w:rPr>
          <w:rFonts w:hint="eastAsia"/>
        </w:rPr>
      </w:pPr>
      <w:r>
        <w:rPr>
          <w:rFonts w:hint="eastAsia"/>
        </w:rPr>
        <w:t>注：1.供应商如为联合体，则应填写联合体各成员信息。</w:t>
      </w:r>
    </w:p>
    <w:p>
      <w:pPr>
        <w:pStyle w:val="21"/>
        <w:ind w:firstLine="480"/>
        <w:rPr>
          <w:rFonts w:hint="eastAsia"/>
          <w:spacing w:val="-1"/>
        </w:rPr>
      </w:pPr>
      <w:r>
        <w:rPr>
          <w:rFonts w:hint="eastAsia"/>
        </w:rPr>
        <w:t>2.供应商所属性别请填写“男”或“女”，指拥有供应商 51%以上绝对所有权的性别； 绝对所有权拥有者可以是一个人，也可以是</w:t>
      </w:r>
      <w:r>
        <w:rPr>
          <w:rFonts w:hint="eastAsia"/>
          <w:spacing w:val="-1"/>
        </w:rPr>
        <w:t>多人合计计算。</w:t>
      </w:r>
    </w:p>
    <w:p>
      <w:pPr>
        <w:pStyle w:val="21"/>
        <w:ind w:firstLine="480"/>
        <w:rPr>
          <w:rFonts w:hint="eastAsia"/>
        </w:rPr>
      </w:pPr>
      <w:r>
        <w:rPr>
          <w:rFonts w:hint="eastAsia"/>
        </w:rPr>
        <w:t>3.外商投资类型请填写“外商单独投资”、“外商部分投资”或“内资”。</w:t>
      </w:r>
    </w:p>
    <w:p>
      <w:pPr>
        <w:widowControl/>
        <w:jc w:val="left"/>
        <w:rPr>
          <w:rFonts w:hint="eastAsia" w:ascii="宋体" w:hAnsi="宋体" w:cs="宋体"/>
          <w:color w:val="000000" w:themeColor="text1"/>
          <w:spacing w:val="3"/>
          <w:sz w:val="24"/>
          <w14:textFill>
            <w14:solidFill>
              <w14:schemeClr w14:val="tx1"/>
            </w14:solidFill>
          </w14:textFill>
        </w:rPr>
      </w:pPr>
      <w:r>
        <w:rPr>
          <w:rFonts w:ascii="宋体" w:hAnsi="宋体" w:cs="宋体"/>
          <w:color w:val="000000" w:themeColor="text1"/>
          <w:spacing w:val="3"/>
          <w14:textFill>
            <w14:solidFill>
              <w14:schemeClr w14:val="tx1"/>
            </w14:solidFill>
          </w14:textFill>
        </w:rPr>
        <w:br w:type="page"/>
      </w:r>
    </w:p>
    <w:p>
      <w:pPr>
        <w:pStyle w:val="7"/>
        <w:jc w:val="left"/>
        <w:rPr>
          <w:rFonts w:hint="eastAsia" w:ascii="宋体" w:hAnsi="宋体" w:eastAsia="宋体"/>
          <w:b w:val="0"/>
          <w:sz w:val="24"/>
          <w:szCs w:val="24"/>
        </w:rPr>
      </w:pPr>
      <w:bookmarkStart w:id="961" w:name="_Toc6182"/>
      <w:bookmarkStart w:id="962" w:name="_Toc1455919030"/>
      <w:r>
        <w:rPr>
          <w:rFonts w:ascii="宋体" w:hAnsi="宋体" w:eastAsia="宋体"/>
          <w:b w:val="0"/>
          <w:sz w:val="24"/>
          <w:szCs w:val="24"/>
        </w:rPr>
        <w:t>10</w:t>
      </w:r>
      <w:r>
        <w:rPr>
          <w:rFonts w:hint="eastAsia" w:ascii="宋体" w:hAnsi="宋体" w:eastAsia="宋体"/>
          <w:b w:val="0"/>
          <w:sz w:val="24"/>
          <w:szCs w:val="24"/>
        </w:rPr>
        <w:t>-2 业绩证明材料</w:t>
      </w:r>
      <w:bookmarkEnd w:id="961"/>
      <w:bookmarkEnd w:id="962"/>
    </w:p>
    <w:p>
      <w:pPr>
        <w:spacing w:line="360" w:lineRule="auto"/>
        <w:ind w:right="658"/>
        <w:rPr>
          <w:rFonts w:hint="eastAsia" w:ascii="宋体" w:hAnsi="宋体" w:cs="宋体"/>
          <w:color w:val="000000" w:themeColor="text1"/>
          <w14:textFill>
            <w14:solidFill>
              <w14:schemeClr w14:val="tx1"/>
            </w14:solidFill>
          </w14:textFill>
        </w:rPr>
      </w:pPr>
    </w:p>
    <w:p>
      <w:pPr>
        <w:spacing w:line="360" w:lineRule="auto"/>
        <w:ind w:right="658"/>
        <w:rPr>
          <w:rFonts w:hint="eastAsia" w:ascii="宋体" w:hAnsi="宋体" w:cs="宋体"/>
          <w:color w:val="000000" w:themeColor="text1"/>
          <w:sz w:val="24"/>
          <w14:textFill>
            <w14:solidFill>
              <w14:schemeClr w14:val="tx1"/>
            </w14:solidFill>
          </w14:textFill>
        </w:rPr>
      </w:pPr>
      <w:r>
        <w:rPr>
          <w:rFonts w:hint="eastAsia" w:ascii="宋体" w:hAnsi="宋体" w:cs="宋体"/>
          <w:sz w:val="24"/>
        </w:rPr>
        <w:t>项目编号/包号</w:t>
      </w:r>
      <w:r>
        <w:rPr>
          <w:rFonts w:hint="eastAsia" w:ascii="宋体" w:hAnsi="宋体" w:cs="宋体"/>
          <w:color w:val="000000" w:themeColor="text1"/>
          <w:sz w:val="24"/>
          <w14:textFill>
            <w14:solidFill>
              <w14:schemeClr w14:val="tx1"/>
            </w14:solidFill>
          </w14:textFill>
        </w:rPr>
        <w:t>：_____________________     项目名称：____________</w:t>
      </w:r>
    </w:p>
    <w:tbl>
      <w:tblPr>
        <w:tblStyle w:val="52"/>
        <w:tblW w:w="83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823"/>
        <w:gridCol w:w="823"/>
        <w:gridCol w:w="823"/>
        <w:gridCol w:w="1239"/>
        <w:gridCol w:w="1358"/>
        <w:gridCol w:w="2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序号</w:t>
            </w: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用户名称</w:t>
            </w: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项目名称</w:t>
            </w: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项目内容</w:t>
            </w: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合同价</w:t>
            </w:r>
          </w:p>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（金额）</w:t>
            </w: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项目年份</w:t>
            </w: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用户、联系电话、联系人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cs="宋体"/>
                <w:color w:val="000000" w:themeColor="text1"/>
                <w:sz w:val="24"/>
                <w14:textFill>
                  <w14:solidFill>
                    <w14:schemeClr w14:val="tx1"/>
                  </w14:solidFill>
                </w14:textFill>
              </w:rPr>
            </w:pPr>
          </w:p>
        </w:tc>
      </w:tr>
    </w:tbl>
    <w:p>
      <w:pPr>
        <w:tabs>
          <w:tab w:val="left" w:pos="5580"/>
        </w:tabs>
        <w:spacing w:line="360" w:lineRule="auto"/>
        <w:ind w:left="1258"/>
        <w:rPr>
          <w:rFonts w:hint="eastAsia" w:ascii="宋体" w:hAnsi="宋体" w:cs="宋体"/>
          <w:b/>
          <w:color w:val="000000" w:themeColor="text1"/>
          <w:sz w:val="24"/>
          <w14:textFill>
            <w14:solidFill>
              <w14:schemeClr w14:val="tx1"/>
            </w14:solidFill>
          </w14:textFill>
        </w:rPr>
      </w:pPr>
    </w:p>
    <w:p>
      <w:pPr>
        <w:pStyle w:val="5"/>
        <w:spacing w:line="360" w:lineRule="auto"/>
        <w:ind w:firstLine="720" w:firstLineChars="300"/>
        <w:rPr>
          <w:rFonts w:hint="eastAsia" w:hAnsi="宋体" w:cs="宋体"/>
          <w:color w:val="000000" w:themeColor="text1"/>
          <w14:textFill>
            <w14:solidFill>
              <w14:schemeClr w14:val="tx1"/>
            </w14:solidFill>
          </w14:textFill>
        </w:rPr>
      </w:pPr>
      <w:bookmarkStart w:id="963" w:name="OLE_LINK195"/>
      <w:r>
        <w:rPr>
          <w:rFonts w:hint="eastAsia" w:hAnsi="宋体" w:cs="宋体"/>
          <w:color w:val="000000" w:themeColor="text1"/>
          <w14:textFill>
            <w14:solidFill>
              <w14:schemeClr w14:val="tx1"/>
            </w14:solidFill>
          </w14:textFill>
        </w:rPr>
        <w:t>说明：</w:t>
      </w:r>
    </w:p>
    <w:p>
      <w:pPr>
        <w:pStyle w:val="5"/>
        <w:numPr>
          <w:ilvl w:val="0"/>
          <w:numId w:val="19"/>
        </w:numPr>
        <w:spacing w:line="360" w:lineRule="auto"/>
        <w:rPr>
          <w:rFonts w:hint="eastAsia" w:hAnsi="宋体" w:cs="宋体"/>
          <w:color w:val="000000" w:themeColor="text1"/>
          <w14:textFill>
            <w14:solidFill>
              <w14:schemeClr w14:val="tx1"/>
            </w14:solidFill>
          </w14:textFill>
        </w:rPr>
      </w:pPr>
      <w:bookmarkStart w:id="964" w:name="OLE_LINK194"/>
      <w:r>
        <w:rPr>
          <w:rFonts w:hint="eastAsia" w:hAnsi="宋体" w:cs="宋体"/>
          <w:kern w:val="0"/>
        </w:rPr>
        <w:t>类似项目业绩，具体详见评分表（以合同签约日期为准）</w:t>
      </w:r>
      <w:r>
        <w:rPr>
          <w:rFonts w:hint="eastAsia" w:hAnsi="宋体" w:cs="宋体"/>
          <w:color w:val="000000" w:themeColor="text1"/>
          <w14:textFill>
            <w14:solidFill>
              <w14:schemeClr w14:val="tx1"/>
            </w14:solidFill>
          </w14:textFill>
        </w:rPr>
        <w:t>。</w:t>
      </w:r>
    </w:p>
    <w:p>
      <w:pPr>
        <w:pStyle w:val="5"/>
        <w:numPr>
          <w:ilvl w:val="0"/>
          <w:numId w:val="19"/>
        </w:numPr>
        <w:spacing w:line="360" w:lineRule="auto"/>
        <w:rPr>
          <w:rFonts w:hint="eastAsia" w:hAnsi="宋体"/>
          <w:szCs w:val="21"/>
        </w:rPr>
      </w:pPr>
      <w:r>
        <w:rPr>
          <w:rFonts w:hint="eastAsia" w:hAnsi="宋体" w:cs="宋体"/>
        </w:rPr>
        <w:t>应提供其证明材料（</w:t>
      </w:r>
      <w:r>
        <w:rPr>
          <w:rFonts w:hint="eastAsia" w:hAnsi="宋体"/>
          <w:szCs w:val="21"/>
        </w:rPr>
        <w:t>合同首页、关键内容页、签字盖章页复印件加盖</w:t>
      </w:r>
    </w:p>
    <w:p>
      <w:pPr>
        <w:pStyle w:val="5"/>
        <w:spacing w:line="360" w:lineRule="auto"/>
        <w:ind w:left="1080" w:firstLine="0"/>
        <w:rPr>
          <w:rFonts w:hint="eastAsia" w:hAnsi="宋体"/>
          <w:color w:val="000000" w:themeColor="text1"/>
          <w14:textFill>
            <w14:solidFill>
              <w14:schemeClr w14:val="tx1"/>
            </w14:solidFill>
          </w14:textFill>
        </w:rPr>
      </w:pPr>
      <w:r>
        <w:rPr>
          <w:rFonts w:hint="eastAsia" w:hAnsi="宋体"/>
          <w:szCs w:val="21"/>
        </w:rPr>
        <w:t>投标人公章</w:t>
      </w:r>
      <w:r>
        <w:rPr>
          <w:rFonts w:hint="eastAsia" w:hAnsi="宋体" w:cs="宋体"/>
        </w:rPr>
        <w:t>）</w:t>
      </w:r>
      <w:r>
        <w:rPr>
          <w:rFonts w:hint="eastAsia" w:hAnsi="宋体"/>
          <w:color w:val="000000" w:themeColor="text1"/>
          <w14:textFill>
            <w14:solidFill>
              <w14:schemeClr w14:val="tx1"/>
            </w14:solidFill>
          </w14:textFill>
        </w:rPr>
        <w:t>。</w:t>
      </w:r>
    </w:p>
    <w:p>
      <w:pPr>
        <w:pStyle w:val="5"/>
        <w:spacing w:line="360" w:lineRule="auto"/>
        <w:ind w:firstLine="720" w:firstLineChars="300"/>
        <w:rPr>
          <w:rFonts w:hint="eastAsia"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3、</w:t>
      </w:r>
      <w:r>
        <w:rPr>
          <w:rFonts w:hint="eastAsia" w:hAnsi="宋体" w:cs="宋体"/>
        </w:rPr>
        <w:t>为证明业绩列表中的内容真实和有效，采购人保留审核原件的权利</w:t>
      </w:r>
      <w:r>
        <w:rPr>
          <w:rFonts w:hint="eastAsia" w:hAnsi="宋体" w:cs="宋体"/>
          <w:color w:val="000000" w:themeColor="text1"/>
          <w14:textFill>
            <w14:solidFill>
              <w14:schemeClr w14:val="tx1"/>
            </w14:solidFill>
          </w14:textFill>
        </w:rPr>
        <w:t>。</w:t>
      </w:r>
      <w:bookmarkEnd w:id="963"/>
      <w:bookmarkEnd w:id="964"/>
    </w:p>
    <w:p>
      <w:pPr>
        <w:pStyle w:val="28"/>
        <w:tabs>
          <w:tab w:val="left" w:pos="5580"/>
        </w:tabs>
        <w:spacing w:line="360" w:lineRule="auto"/>
        <w:rPr>
          <w:rFonts w:hAnsi="宋体" w:cs="宋体"/>
          <w:color w:val="000000" w:themeColor="text1"/>
          <w:sz w:val="24"/>
          <w:szCs w:val="24"/>
          <w14:textFill>
            <w14:solidFill>
              <w14:schemeClr w14:val="tx1"/>
            </w14:solidFill>
          </w14:textFill>
        </w:rPr>
      </w:pPr>
    </w:p>
    <w:p>
      <w:pPr>
        <w:autoSpaceDE w:val="0"/>
        <w:autoSpaceDN w:val="0"/>
        <w:adjustRightInd w:val="0"/>
        <w:snapToGrid w:val="0"/>
        <w:spacing w:before="25" w:after="25" w:line="360" w:lineRule="auto"/>
        <w:rPr>
          <w:rFonts w:hint="eastAsia"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w:t>
      </w:r>
    </w:p>
    <w:p>
      <w:pPr>
        <w:widowControl/>
        <w:jc w:val="left"/>
        <w:rPr>
          <w:rFonts w:hint="eastAsia"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日期：_____年______月______日</w:t>
      </w:r>
    </w:p>
    <w:p>
      <w:pPr>
        <w:pStyle w:val="7"/>
        <w:jc w:val="left"/>
        <w:rPr>
          <w:rFonts w:hint="eastAsia" w:ascii="宋体" w:hAnsi="宋体" w:eastAsia="宋体" w:cs="宋体"/>
          <w:color w:val="000000" w:themeColor="text1"/>
          <w:szCs w:val="28"/>
          <w14:textFill>
            <w14:solidFill>
              <w14:schemeClr w14:val="tx1"/>
            </w14:solidFill>
          </w14:textFill>
        </w:rPr>
      </w:pPr>
      <w:r>
        <w:rPr>
          <w:rFonts w:ascii="宋体" w:hAnsi="宋体" w:eastAsia="宋体" w:cs="宋体"/>
          <w:color w:val="000000" w:themeColor="text1"/>
          <w14:textFill>
            <w14:solidFill>
              <w14:schemeClr w14:val="tx1"/>
            </w14:solidFill>
          </w14:textFill>
        </w:rPr>
        <w:br w:type="page"/>
      </w:r>
      <w:bookmarkStart w:id="965" w:name="_Toc188382274"/>
      <w:r>
        <w:rPr>
          <w:rFonts w:ascii="宋体" w:hAnsi="宋体" w:eastAsia="宋体"/>
          <w:b w:val="0"/>
          <w:sz w:val="24"/>
          <w:szCs w:val="24"/>
        </w:rPr>
        <w:t>10</w:t>
      </w:r>
      <w:r>
        <w:rPr>
          <w:rFonts w:hint="eastAsia" w:ascii="宋体" w:hAnsi="宋体" w:eastAsia="宋体"/>
          <w:b w:val="0"/>
          <w:sz w:val="24"/>
          <w:szCs w:val="24"/>
        </w:rPr>
        <w:t>-3 招标文件要求提供的其他资料</w:t>
      </w:r>
    </w:p>
    <w:p>
      <w:pPr>
        <w:rPr>
          <w:rFonts w:hint="eastAsia" w:ascii="宋体" w:hAnsi="宋体"/>
          <w:sz w:val="24"/>
        </w:rPr>
      </w:pPr>
      <w:r>
        <w:rPr>
          <w:rFonts w:ascii="宋体" w:hAnsi="宋体"/>
          <w:sz w:val="24"/>
        </w:rPr>
        <w:br w:type="page"/>
      </w:r>
    </w:p>
    <w:p>
      <w:pPr>
        <w:pStyle w:val="7"/>
        <w:jc w:val="left"/>
        <w:rPr>
          <w:rFonts w:hint="eastAsia" w:ascii="宋体" w:hAnsi="宋体" w:eastAsia="宋体" w:cs="宋体"/>
          <w:color w:val="000000" w:themeColor="text1"/>
          <w:szCs w:val="28"/>
          <w14:textFill>
            <w14:solidFill>
              <w14:schemeClr w14:val="tx1"/>
            </w14:solidFill>
          </w14:textFill>
        </w:rPr>
      </w:pPr>
      <w:r>
        <w:rPr>
          <w:rFonts w:ascii="宋体" w:hAnsi="宋体" w:eastAsia="宋体"/>
          <w:b w:val="0"/>
          <w:sz w:val="24"/>
          <w:szCs w:val="24"/>
        </w:rPr>
        <w:t>10</w:t>
      </w:r>
      <w:r>
        <w:rPr>
          <w:rFonts w:hint="eastAsia" w:ascii="宋体" w:hAnsi="宋体" w:eastAsia="宋体"/>
          <w:b w:val="0"/>
          <w:sz w:val="24"/>
          <w:szCs w:val="24"/>
        </w:rPr>
        <w:t>-</w:t>
      </w:r>
      <w:r>
        <w:rPr>
          <w:rFonts w:ascii="宋体" w:hAnsi="宋体" w:eastAsia="宋体"/>
          <w:b w:val="0"/>
          <w:sz w:val="24"/>
          <w:szCs w:val="24"/>
        </w:rPr>
        <w:t>4</w:t>
      </w:r>
      <w:r>
        <w:rPr>
          <w:rFonts w:hint="eastAsia" w:ascii="宋体" w:hAnsi="宋体" w:eastAsia="宋体"/>
          <w:b w:val="0"/>
          <w:sz w:val="24"/>
          <w:szCs w:val="24"/>
        </w:rPr>
        <w:t xml:space="preserve"> 节能产品、环境标志产品的证明材料（如有）</w:t>
      </w:r>
      <w:bookmarkEnd w:id="965"/>
    </w:p>
    <w:p>
      <w:pPr>
        <w:spacing w:line="360" w:lineRule="auto"/>
        <w:rPr>
          <w:rFonts w:hint="eastAsia" w:ascii="宋体" w:hAnsi="宋体" w:cs="宋体"/>
          <w:b/>
          <w:color w:val="000000" w:themeColor="text1"/>
          <w:sz w:val="24"/>
          <w14:textFill>
            <w14:solidFill>
              <w14:schemeClr w14:val="tx1"/>
            </w14:solidFill>
          </w14:textFill>
        </w:rPr>
      </w:pPr>
    </w:p>
    <w:p>
      <w:pPr>
        <w:spacing w:line="360" w:lineRule="auto"/>
        <w:ind w:firstLine="480" w:firstLineChars="200"/>
        <w:rPr>
          <w:rFonts w:hint="eastAsia"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在技术、服务等指标满足采购需求的前提下，本项目优先采购节能产品，对部分节能效果、性能等达到要求的产品，实行强制采购。</w:t>
      </w:r>
    </w:p>
    <w:p>
      <w:pPr>
        <w:spacing w:line="360" w:lineRule="auto"/>
        <w:ind w:firstLine="480" w:firstLineChars="200"/>
        <w:rPr>
          <w:rFonts w:hint="eastAsia" w:ascii="宋体" w:hAnsi="宋体" w:cs="仿宋_GB2312"/>
          <w:color w:val="000000" w:themeColor="text1"/>
          <w:sz w:val="24"/>
          <w:u w:val="single"/>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拟采购产品属于节能产品政府采购品目清单范围内规定必须强制采购的为：</w:t>
      </w:r>
      <w:r>
        <w:rPr>
          <w:rFonts w:hint="eastAsia" w:ascii="宋体" w:hAnsi="宋体" w:cs="仿宋_GB2312"/>
          <w:b/>
          <w:bCs/>
          <w:color w:val="000000" w:themeColor="text1"/>
          <w:sz w:val="24"/>
          <w:u w:val="single"/>
          <w14:textFill>
            <w14:solidFill>
              <w14:schemeClr w14:val="tx1"/>
            </w14:solidFill>
          </w14:textFill>
        </w:rPr>
        <w:t>具体详见附录6</w:t>
      </w:r>
      <w:r>
        <w:rPr>
          <w:rFonts w:hint="eastAsia" w:ascii="宋体" w:hAnsi="宋体" w:cs="仿宋_GB2312"/>
          <w:color w:val="000000" w:themeColor="text1"/>
          <w:sz w:val="24"/>
          <w:u w:val="single"/>
          <w14:textFill>
            <w14:solidFill>
              <w14:schemeClr w14:val="tx1"/>
            </w14:solidFill>
          </w14:textFill>
        </w:rPr>
        <w:t>。</w:t>
      </w:r>
    </w:p>
    <w:p>
      <w:pPr>
        <w:spacing w:line="360" w:lineRule="auto"/>
        <w:ind w:firstLine="480" w:firstLineChars="200"/>
        <w:rPr>
          <w:rFonts w:hint="eastAsia"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依据财政部、发展改革委、生态环境部等部门发布的品目清单和认证证书实施政府优先采购和强制采购。本项目采购人拟采购的产品属于品目清单范围的，需响应人提供国家确定的认证机构出具的、处于有效期之内的节能产品、环境标志产品认证证书（加盖投标人公章）。</w:t>
      </w:r>
    </w:p>
    <w:p>
      <w:pPr>
        <w:spacing w:line="360" w:lineRule="auto"/>
        <w:ind w:firstLine="480" w:firstLineChars="200"/>
        <w:rPr>
          <w:rFonts w:hint="eastAsia"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发布认证机构和获证产品信息，依据市场监管总局组织建立的节能产品、环境标志产品认证结果信息发布平台，公布相关认证机构和获证产品信息。同时中国政府采购网(www.ccgp.gov.cn)建立与认证结果信息发布平台的链接。（17家认证机构可参与实施不同品目的政府采购节能产品认证，4家认证机构可参与实施政府采购环境标志产品认证，</w:t>
      </w:r>
      <w:bookmarkStart w:id="966" w:name="OLE_LINK6"/>
      <w:r>
        <w:rPr>
          <w:rFonts w:hint="eastAsia" w:ascii="宋体" w:hAnsi="宋体" w:cs="仿宋_GB2312"/>
          <w:b/>
          <w:bCs/>
          <w:color w:val="000000" w:themeColor="text1"/>
          <w:sz w:val="24"/>
          <w14:textFill>
            <w14:solidFill>
              <w14:schemeClr w14:val="tx1"/>
            </w14:solidFill>
          </w14:textFill>
        </w:rPr>
        <w:t>具体详见附录8</w:t>
      </w:r>
      <w:bookmarkEnd w:id="966"/>
      <w:r>
        <w:rPr>
          <w:rFonts w:hint="eastAsia" w:ascii="宋体" w:hAnsi="宋体" w:cs="仿宋_GB2312"/>
          <w:color w:val="000000" w:themeColor="text1"/>
          <w:sz w:val="24"/>
          <w14:textFill>
            <w14:solidFill>
              <w14:schemeClr w14:val="tx1"/>
            </w14:solidFill>
          </w14:textFill>
        </w:rPr>
        <w:t>。）</w:t>
      </w:r>
    </w:p>
    <w:p>
      <w:pPr>
        <w:spacing w:line="360" w:lineRule="auto"/>
        <w:ind w:firstLine="480" w:firstLineChars="200"/>
        <w:rPr>
          <w:rFonts w:hint="eastAsia"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对所投产品为节能产品、环保标志产品的优惠幅度，以及评审标准和方法详见第六章《</w:t>
      </w:r>
      <w:r>
        <w:rPr>
          <w:rFonts w:ascii="宋体" w:hAnsi="宋体"/>
          <w:color w:val="000000" w:themeColor="text1"/>
          <w:sz w:val="24"/>
          <w14:textFill>
            <w14:solidFill>
              <w14:schemeClr w14:val="tx1"/>
            </w14:solidFill>
          </w14:textFill>
        </w:rPr>
        <w:t>评标程序、评标方法和评标标准</w:t>
      </w:r>
      <w:r>
        <w:rPr>
          <w:rFonts w:hint="eastAsia" w:ascii="宋体" w:hAnsi="宋体" w:cs="仿宋_GB2312"/>
          <w:color w:val="000000" w:themeColor="text1"/>
          <w:sz w:val="24"/>
          <w14:textFill>
            <w14:solidFill>
              <w14:schemeClr w14:val="tx1"/>
            </w14:solidFill>
          </w14:textFill>
        </w:rPr>
        <w:t>》。</w:t>
      </w:r>
    </w:p>
    <w:p>
      <w:pPr>
        <w:spacing w:line="360" w:lineRule="auto"/>
        <w:ind w:firstLine="480" w:firstLineChars="200"/>
        <w:rPr>
          <w:rFonts w:hint="eastAsia" w:ascii="宋体" w:hAnsi="宋体" w:cs="仿宋_GB2312"/>
          <w:color w:val="000000" w:themeColor="text1"/>
          <w:sz w:val="24"/>
          <w14:textFill>
            <w14:solidFill>
              <w14:schemeClr w14:val="tx1"/>
            </w14:solidFill>
          </w14:textFill>
        </w:rPr>
      </w:pPr>
    </w:p>
    <w:p>
      <w:pPr>
        <w:spacing w:line="360" w:lineRule="auto"/>
        <w:rPr>
          <w:rFonts w:hint="eastAsia"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注：</w:t>
      </w:r>
    </w:p>
    <w:p>
      <w:pPr>
        <w:spacing w:line="360" w:lineRule="auto"/>
        <w:rPr>
          <w:rFonts w:hint="eastAsia"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1.在本处提供的证明材料如与响应人所投产品内容（品牌、型号、规格等）不符，视为无效。</w:t>
      </w:r>
    </w:p>
    <w:p>
      <w:pPr>
        <w:spacing w:line="360" w:lineRule="auto"/>
        <w:rPr>
          <w:rFonts w:hint="eastAsia"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2.如提供虚假材料，响应人须承担相应法律责任。</w:t>
      </w:r>
    </w:p>
    <w:p>
      <w:pPr>
        <w:widowControl/>
        <w:spacing w:line="360" w:lineRule="auto"/>
        <w:jc w:val="left"/>
        <w:rPr>
          <w:rFonts w:hint="eastAsia" w:ascii="宋体" w:hAnsi="宋体" w:cs="仿宋_GB2312"/>
          <w:bCs/>
          <w:color w:val="000000" w:themeColor="text1"/>
          <w:sz w:val="24"/>
          <w14:textFill>
            <w14:solidFill>
              <w14:schemeClr w14:val="tx1"/>
            </w14:solidFill>
          </w14:textFill>
        </w:rPr>
      </w:pPr>
      <w:r>
        <w:rPr>
          <w:rFonts w:hint="eastAsia" w:ascii="宋体" w:hAnsi="宋体" w:cs="仿宋_GB2312"/>
          <w:bCs/>
          <w:color w:val="000000" w:themeColor="text1"/>
          <w:sz w:val="24"/>
          <w14:textFill>
            <w14:solidFill>
              <w14:schemeClr w14:val="tx1"/>
            </w14:solidFill>
          </w14:textFill>
        </w:rPr>
        <w:t>3.节能产品、环境标志产品品目清单登陆中国政府采购网(www.ccgp.gov.cn)查询</w:t>
      </w:r>
      <w:r>
        <w:fldChar w:fldCharType="begin"/>
      </w:r>
      <w:r>
        <w:instrText xml:space="preserve"> HYPERLINK "http://www.ccgp.gov.cn/zcfg/mof/201904/t20190403_11849836.htm" \t "http://www.ccgp.gov.cn/jnhb/jnhbqd/_blank" \o "关于印发节能产品政府采购品目清单的通知（财库〔2019〕19号）" </w:instrText>
      </w:r>
      <w:r>
        <w:fldChar w:fldCharType="separate"/>
      </w:r>
      <w:r>
        <w:rPr>
          <w:rFonts w:hint="eastAsia" w:ascii="宋体" w:hAnsi="宋体" w:cs="仿宋_GB2312"/>
          <w:bCs/>
          <w:color w:val="000000" w:themeColor="text1"/>
          <w:sz w:val="24"/>
          <w14:textFill>
            <w14:solidFill>
              <w14:schemeClr w14:val="tx1"/>
            </w14:solidFill>
          </w14:textFill>
        </w:rPr>
        <w:t>关于印发节能产品政府采购品目清单的通知（财库〔2019〕19号）</w:t>
      </w:r>
      <w:r>
        <w:rPr>
          <w:rFonts w:hint="eastAsia" w:ascii="宋体" w:hAnsi="宋体" w:cs="仿宋_GB2312"/>
          <w:bCs/>
          <w:color w:val="000000" w:themeColor="text1"/>
          <w:sz w:val="24"/>
          <w14:textFill>
            <w14:solidFill>
              <w14:schemeClr w14:val="tx1"/>
            </w14:solidFill>
          </w14:textFill>
        </w:rPr>
        <w:fldChar w:fldCharType="end"/>
      </w:r>
      <w:r>
        <w:rPr>
          <w:rFonts w:hint="eastAsia" w:ascii="宋体" w:hAnsi="宋体" w:cs="仿宋_GB2312"/>
          <w:bCs/>
          <w:color w:val="000000" w:themeColor="text1"/>
          <w:sz w:val="24"/>
          <w14:textFill>
            <w14:solidFill>
              <w14:schemeClr w14:val="tx1"/>
            </w14:solidFill>
          </w14:textFill>
        </w:rPr>
        <w:t xml:space="preserve"> 、关于印发环境标志产品政府采购品目清单的通知（财库〔2019〕18号）。</w:t>
      </w:r>
    </w:p>
    <w:p>
      <w:pPr>
        <w:pStyle w:val="3"/>
        <w:tabs>
          <w:tab w:val="left" w:pos="432"/>
        </w:tabs>
        <w:spacing w:line="360" w:lineRule="auto"/>
        <w:jc w:val="left"/>
        <w:rPr>
          <w:rFonts w:hint="eastAsia" w:hAnsi="宋体" w:cs="宋体"/>
          <w:bCs/>
          <w:sz w:val="24"/>
          <w:szCs w:val="24"/>
        </w:rPr>
      </w:pPr>
      <w:r>
        <w:rPr>
          <w:rFonts w:hAnsi="宋体" w:cs="仿宋_GB2312"/>
          <w:bCs/>
          <w:color w:val="000000" w:themeColor="text1"/>
          <w14:textFill>
            <w14:solidFill>
              <w14:schemeClr w14:val="tx1"/>
            </w14:solidFill>
          </w14:textFill>
        </w:rPr>
        <w:br w:type="page"/>
      </w:r>
      <w:bookmarkStart w:id="967" w:name="_Toc218620576"/>
      <w:bookmarkStart w:id="968" w:name="_Toc624"/>
      <w:bookmarkStart w:id="969" w:name="_Toc209958510"/>
      <w:bookmarkStart w:id="970" w:name="_Toc199921595"/>
      <w:r>
        <w:rPr>
          <w:rFonts w:hint="eastAsia" w:hAnsi="宋体" w:cs="宋体"/>
          <w:bCs/>
          <w:sz w:val="24"/>
          <w:szCs w:val="24"/>
        </w:rPr>
        <w:t>附录1：政府采购促进中小企业发展管理办法</w:t>
      </w:r>
      <w:bookmarkEnd w:id="967"/>
      <w:bookmarkEnd w:id="968"/>
      <w:bookmarkEnd w:id="969"/>
      <w:bookmarkEnd w:id="970"/>
    </w:p>
    <w:p>
      <w:pPr>
        <w:adjustRightInd w:val="0"/>
        <w:snapToGrid w:val="0"/>
        <w:spacing w:line="360" w:lineRule="auto"/>
        <w:jc w:val="center"/>
        <w:rPr>
          <w:rFonts w:hint="eastAsia" w:ascii="宋体" w:hAnsi="宋体" w:cs="宋体"/>
          <w:bCs/>
        </w:rPr>
      </w:pPr>
      <w:r>
        <w:rPr>
          <w:rFonts w:hint="eastAsia" w:ascii="宋体" w:hAnsi="宋体" w:cs="宋体"/>
          <w:bCs/>
        </w:rPr>
        <w:t>政府采购促进中小企业发展管理办法</w:t>
      </w:r>
    </w:p>
    <w:p>
      <w:pPr>
        <w:spacing w:line="360" w:lineRule="auto"/>
        <w:jc w:val="center"/>
        <w:rPr>
          <w:rFonts w:hint="eastAsia" w:ascii="宋体" w:hAnsi="宋体" w:cs="宋体"/>
          <w:bCs/>
        </w:rPr>
      </w:pPr>
      <w:r>
        <w:rPr>
          <w:rFonts w:hint="eastAsia" w:ascii="宋体" w:hAnsi="宋体" w:cs="宋体"/>
          <w:bCs/>
        </w:rPr>
        <w:t>财库[2020]46号</w:t>
      </w:r>
    </w:p>
    <w:p>
      <w:pPr>
        <w:spacing w:line="360" w:lineRule="auto"/>
        <w:jc w:val="center"/>
        <w:rPr>
          <w:rFonts w:hint="eastAsia" w:ascii="宋体" w:hAnsi="宋体" w:cs="宋体"/>
        </w:rPr>
      </w:pPr>
    </w:p>
    <w:p>
      <w:pPr>
        <w:spacing w:line="360" w:lineRule="auto"/>
        <w:rPr>
          <w:rFonts w:hint="eastAsia" w:ascii="宋体" w:hAnsi="宋体" w:cs="宋体"/>
          <w:bCs/>
        </w:rPr>
      </w:pPr>
      <w:r>
        <w:rPr>
          <w:rFonts w:hint="eastAsia" w:ascii="宋体" w:hAnsi="宋体" w:cs="宋体"/>
          <w:bCs/>
        </w:rPr>
        <w:t>第一条 为了发挥政府采购的政策功能，促进中小企业健康发展，根据《中华人民共和国政府采购法》、《中华人民共和国中小企业促进法》等有关法律法规，制定本办法。</w:t>
      </w:r>
    </w:p>
    <w:p>
      <w:pPr>
        <w:spacing w:line="360" w:lineRule="auto"/>
        <w:rPr>
          <w:rFonts w:hint="eastAsia" w:ascii="宋体" w:hAnsi="宋体" w:cs="宋体"/>
          <w:bCs/>
        </w:rPr>
      </w:pPr>
      <w:r>
        <w:rPr>
          <w:rFonts w:hint="eastAsia" w:ascii="宋体" w:hAnsi="宋体" w:cs="宋体"/>
          <w:bCs/>
        </w:rPr>
        <w:t>第二条 本办法所称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rPr>
          <w:rFonts w:hint="eastAsia" w:ascii="宋体" w:hAnsi="宋体" w:cs="宋体"/>
          <w:bCs/>
        </w:rPr>
      </w:pPr>
      <w:r>
        <w:rPr>
          <w:rFonts w:hint="eastAsia" w:ascii="宋体" w:hAnsi="宋体" w:cs="宋体"/>
          <w:bCs/>
        </w:rPr>
        <w:t>符合中小企业划分标准的个体工商户，在政府采购活动中视同中小企业。</w:t>
      </w:r>
    </w:p>
    <w:p>
      <w:pPr>
        <w:spacing w:line="360" w:lineRule="auto"/>
        <w:rPr>
          <w:rFonts w:hint="eastAsia" w:ascii="宋体" w:hAnsi="宋体" w:cs="宋体"/>
          <w:bCs/>
        </w:rPr>
      </w:pPr>
      <w:r>
        <w:rPr>
          <w:rFonts w:hint="eastAsia" w:ascii="宋体" w:hAnsi="宋体" w:cs="宋体"/>
          <w:bCs/>
        </w:rPr>
        <w:t>第三条 采购人在政府采购活动中应当通过加强采购需求管理，落实预留采购份额、价格评审优惠、优先采购等措施，提高中小企业在政府采购中的份额，支持中小企业发展。</w:t>
      </w:r>
    </w:p>
    <w:p>
      <w:pPr>
        <w:spacing w:line="360" w:lineRule="auto"/>
        <w:rPr>
          <w:rFonts w:hint="eastAsia" w:ascii="宋体" w:hAnsi="宋体" w:cs="宋体"/>
          <w:bCs/>
        </w:rPr>
      </w:pPr>
      <w:r>
        <w:rPr>
          <w:rFonts w:hint="eastAsia" w:ascii="宋体" w:hAnsi="宋体" w:cs="宋体"/>
          <w:bCs/>
        </w:rPr>
        <w:t>第四条 在政府采购活动中，供应商提供的货物、工程或者服务符合下列情形的，享受本办法规定的中小企业扶持政策：</w:t>
      </w:r>
    </w:p>
    <w:p>
      <w:pPr>
        <w:spacing w:line="360" w:lineRule="auto"/>
        <w:rPr>
          <w:rFonts w:hint="eastAsia" w:ascii="宋体" w:hAnsi="宋体" w:cs="宋体"/>
          <w:bCs/>
        </w:rPr>
      </w:pPr>
    </w:p>
    <w:p>
      <w:pPr>
        <w:spacing w:line="360" w:lineRule="auto"/>
        <w:rPr>
          <w:rFonts w:hint="eastAsia" w:ascii="宋体" w:hAnsi="宋体" w:cs="宋体"/>
          <w:bCs/>
        </w:rPr>
      </w:pPr>
      <w:r>
        <w:rPr>
          <w:rFonts w:hint="eastAsia" w:ascii="宋体" w:hAnsi="宋体" w:cs="宋体"/>
          <w:bCs/>
        </w:rPr>
        <w:t>（一）在货物采购项目中，货物由中小企业制造，即货物由中小企业生产且使用该中小企业商号或者注册商标；</w:t>
      </w:r>
    </w:p>
    <w:p>
      <w:pPr>
        <w:spacing w:line="360" w:lineRule="auto"/>
        <w:rPr>
          <w:rFonts w:hint="eastAsia" w:ascii="宋体" w:hAnsi="宋体" w:cs="宋体"/>
          <w:bCs/>
        </w:rPr>
      </w:pPr>
      <w:r>
        <w:rPr>
          <w:rFonts w:hint="eastAsia" w:ascii="宋体" w:hAnsi="宋体" w:cs="宋体"/>
          <w:bCs/>
        </w:rPr>
        <w:t>（二）在工程采购项目中，工程由中小企业承建，即工程施工单位为中小企业；</w:t>
      </w:r>
    </w:p>
    <w:p>
      <w:pPr>
        <w:spacing w:line="360" w:lineRule="auto"/>
        <w:rPr>
          <w:rFonts w:hint="eastAsia" w:ascii="宋体" w:hAnsi="宋体" w:cs="宋体"/>
          <w:bCs/>
        </w:rPr>
      </w:pPr>
      <w:r>
        <w:rPr>
          <w:rFonts w:hint="eastAsia" w:ascii="宋体" w:hAnsi="宋体" w:cs="宋体"/>
          <w:bCs/>
        </w:rPr>
        <w:t>（三）在服务采购项目中，服务由中小企业承接，即提</w:t>
      </w:r>
      <w:bookmarkStart w:id="971" w:name="page2"/>
      <w:bookmarkEnd w:id="971"/>
      <w:r>
        <w:rPr>
          <w:rFonts w:hint="eastAsia" w:ascii="宋体" w:hAnsi="宋体" w:cs="宋体"/>
          <w:bCs/>
        </w:rPr>
        <w:t>供服务的人员为中小企业依照《中华人民共和国劳动合同法》订立劳动合同的从业人员。</w:t>
      </w:r>
    </w:p>
    <w:p>
      <w:pPr>
        <w:spacing w:line="360" w:lineRule="auto"/>
        <w:rPr>
          <w:rFonts w:hint="eastAsia" w:ascii="宋体" w:hAnsi="宋体" w:cs="宋体"/>
          <w:bCs/>
        </w:rPr>
      </w:pPr>
      <w:r>
        <w:rPr>
          <w:rFonts w:hint="eastAsia" w:ascii="宋体" w:hAnsi="宋体" w:cs="宋体"/>
          <w:bCs/>
        </w:rPr>
        <w:t>在货物采购项目中，供应商提供的货物既有中小企业制造货物，也有大型企业制造货物的，不享受本办法规定的中小企业扶持政策。以联合体形式参加政府采购活动，联合体各方均为中小企业的，联合体视同中小企业。其中，联合体各方均为小微企业的，联合体视同小微企业。</w:t>
      </w:r>
    </w:p>
    <w:p>
      <w:pPr>
        <w:spacing w:line="360" w:lineRule="auto"/>
        <w:rPr>
          <w:rFonts w:hint="eastAsia" w:ascii="宋体" w:hAnsi="宋体" w:cs="宋体"/>
          <w:bCs/>
        </w:rPr>
      </w:pPr>
      <w:r>
        <w:rPr>
          <w:rFonts w:hint="eastAsia" w:ascii="宋体" w:hAnsi="宋体" w:cs="宋体"/>
          <w:bCs/>
        </w:rPr>
        <w:t>第五条 采购人在政府采购活动中应当合理确定采购项目的采购需求，不得以企业注册资本、资产总额、营业收入、从业人员、利润、纳税额等规模条件和财务指标作为供应商的资格要求或者评审因素，不得在企业股权结构、经营年限等方面对中小企业实行差别待遇或者歧视待遇。</w:t>
      </w:r>
    </w:p>
    <w:p>
      <w:pPr>
        <w:spacing w:line="360" w:lineRule="auto"/>
        <w:rPr>
          <w:rFonts w:hint="eastAsia" w:ascii="宋体" w:hAnsi="宋体" w:cs="宋体"/>
          <w:bCs/>
        </w:rPr>
      </w:pPr>
      <w:r>
        <w:rPr>
          <w:rFonts w:hint="eastAsia" w:ascii="宋体" w:hAnsi="宋体" w:cs="宋体"/>
          <w:bCs/>
        </w:rPr>
        <w:t>第六条 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w:t>
      </w:r>
    </w:p>
    <w:p>
      <w:pPr>
        <w:spacing w:line="360" w:lineRule="auto"/>
        <w:rPr>
          <w:rFonts w:hint="eastAsia" w:ascii="宋体" w:hAnsi="宋体" w:cs="宋体"/>
          <w:bCs/>
        </w:rPr>
      </w:pPr>
      <w:r>
        <w:rPr>
          <w:rFonts w:hint="eastAsia" w:ascii="宋体" w:hAnsi="宋体" w:cs="宋体"/>
          <w:bCs/>
        </w:rPr>
        <w:t>符合下列情形之一的，可不专门面向中小企业预留采购份额：</w:t>
      </w:r>
    </w:p>
    <w:p>
      <w:pPr>
        <w:spacing w:line="360" w:lineRule="auto"/>
        <w:rPr>
          <w:rFonts w:hint="eastAsia" w:ascii="宋体" w:hAnsi="宋体" w:cs="宋体"/>
          <w:bCs/>
        </w:rPr>
      </w:pPr>
      <w:r>
        <w:rPr>
          <w:rFonts w:hint="eastAsia" w:ascii="宋体" w:hAnsi="宋体" w:cs="宋体"/>
          <w:bCs/>
        </w:rPr>
        <w:t>（一）法律法规和国家有关政策明确规定优先或者应当面向事业单位、社会组织等非企业主体采购的；</w:t>
      </w:r>
    </w:p>
    <w:p>
      <w:pPr>
        <w:spacing w:line="360" w:lineRule="auto"/>
        <w:rPr>
          <w:rFonts w:hint="eastAsia" w:ascii="宋体" w:hAnsi="宋体" w:cs="宋体"/>
          <w:bCs/>
        </w:rPr>
      </w:pPr>
      <w:r>
        <w:rPr>
          <w:rFonts w:hint="eastAsia" w:ascii="宋体" w:hAnsi="宋体" w:cs="宋体"/>
          <w:bCs/>
        </w:rPr>
        <w:t>（二）因确需使用不可替代的专利、专有技术，基础设施限制，或者提供特定公共服务等原因，只能从中小企业之外的供应商处采购的；</w:t>
      </w:r>
      <w:bookmarkStart w:id="972" w:name="page3"/>
      <w:bookmarkEnd w:id="972"/>
    </w:p>
    <w:p>
      <w:pPr>
        <w:spacing w:line="360" w:lineRule="auto"/>
        <w:rPr>
          <w:rFonts w:hint="eastAsia" w:ascii="宋体" w:hAnsi="宋体" w:cs="宋体"/>
          <w:bCs/>
        </w:rPr>
      </w:pPr>
      <w:r>
        <w:rPr>
          <w:rFonts w:hint="eastAsia" w:ascii="宋体" w:hAnsi="宋体" w:cs="宋体"/>
          <w:bCs/>
        </w:rPr>
        <w:t>（三）按照本办法规定预留采购份额无法确保充分供应、充分竞争，或者存在可能影响政府采购目标实现的情形；</w:t>
      </w:r>
    </w:p>
    <w:p>
      <w:pPr>
        <w:spacing w:line="360" w:lineRule="auto"/>
        <w:rPr>
          <w:rFonts w:hint="eastAsia" w:ascii="宋体" w:hAnsi="宋体" w:cs="宋体"/>
          <w:bCs/>
        </w:rPr>
      </w:pPr>
      <w:r>
        <w:rPr>
          <w:rFonts w:hint="eastAsia" w:ascii="宋体" w:hAnsi="宋体" w:cs="宋体"/>
          <w:bCs/>
        </w:rPr>
        <w:t>（四）框架协议采购项目；</w:t>
      </w:r>
    </w:p>
    <w:p>
      <w:pPr>
        <w:spacing w:line="360" w:lineRule="auto"/>
        <w:rPr>
          <w:rFonts w:hint="eastAsia" w:ascii="宋体" w:hAnsi="宋体" w:cs="宋体"/>
          <w:bCs/>
        </w:rPr>
      </w:pPr>
      <w:r>
        <w:rPr>
          <w:rFonts w:hint="eastAsia" w:ascii="宋体" w:hAnsi="宋体" w:cs="宋体"/>
          <w:bCs/>
        </w:rPr>
        <w:t>（五）省级以上人民政府财政部门规定的其他情形。</w:t>
      </w:r>
    </w:p>
    <w:p>
      <w:pPr>
        <w:spacing w:line="360" w:lineRule="auto"/>
        <w:rPr>
          <w:rFonts w:hint="eastAsia" w:ascii="宋体" w:hAnsi="宋体" w:cs="宋体"/>
          <w:bCs/>
        </w:rPr>
      </w:pPr>
      <w:r>
        <w:rPr>
          <w:rFonts w:hint="eastAsia" w:ascii="宋体" w:hAnsi="宋体" w:cs="宋体"/>
          <w:bCs/>
        </w:rPr>
        <w:t>除上述情形外，其他均为适宜由中小企业提供的情形。</w:t>
      </w:r>
    </w:p>
    <w:p>
      <w:pPr>
        <w:spacing w:line="360" w:lineRule="auto"/>
        <w:rPr>
          <w:rFonts w:hint="eastAsia" w:ascii="宋体" w:hAnsi="宋体" w:cs="宋体"/>
          <w:bCs/>
        </w:rPr>
      </w:pPr>
      <w:r>
        <w:rPr>
          <w:rFonts w:hint="eastAsia" w:ascii="宋体" w:hAnsi="宋体" w:cs="宋体"/>
          <w:bCs/>
        </w:rPr>
        <w:t>第七条 采购限额标准以上，200万元以下的货物和服务采购项目、400万元以下的工程采购项目，适宜由中小企业提供的，采购人应当专门面向中小企业采购。</w:t>
      </w:r>
    </w:p>
    <w:p>
      <w:pPr>
        <w:spacing w:line="360" w:lineRule="auto"/>
        <w:rPr>
          <w:rFonts w:hint="eastAsia" w:ascii="宋体" w:hAnsi="宋体" w:cs="宋体"/>
          <w:bCs/>
        </w:rPr>
      </w:pPr>
      <w:r>
        <w:rPr>
          <w:rFonts w:hint="eastAsia" w:ascii="宋体" w:hAnsi="宋体" w:cs="宋体"/>
          <w:bCs/>
        </w:rPr>
        <w:t>第八条 超过200万元的货物和服务采购项目、超过400万元的工程采购项目中适宜由中小企业提供的，预留该部分采购项目预算总额的30%以上专门面向中小企业采购，其中预留给小微企业的比例不低于60%。预留份额通过下列措施进行：</w:t>
      </w:r>
    </w:p>
    <w:p>
      <w:pPr>
        <w:spacing w:line="360" w:lineRule="auto"/>
        <w:rPr>
          <w:rFonts w:hint="eastAsia" w:ascii="宋体" w:hAnsi="宋体" w:cs="宋体"/>
          <w:bCs/>
        </w:rPr>
      </w:pPr>
      <w:r>
        <w:rPr>
          <w:rFonts w:hint="eastAsia" w:ascii="宋体" w:hAnsi="宋体" w:cs="宋体"/>
          <w:bCs/>
        </w:rPr>
        <w:t>（一）将采购项目整体或者设置采购包专门面向中小企业采购；</w:t>
      </w:r>
    </w:p>
    <w:p>
      <w:pPr>
        <w:spacing w:line="360" w:lineRule="auto"/>
        <w:rPr>
          <w:rFonts w:hint="eastAsia" w:ascii="宋体" w:hAnsi="宋体" w:cs="宋体"/>
          <w:bCs/>
        </w:rPr>
      </w:pPr>
      <w:r>
        <w:rPr>
          <w:rFonts w:hint="eastAsia" w:ascii="宋体" w:hAnsi="宋体" w:cs="宋体"/>
          <w:bCs/>
        </w:rPr>
        <w:t>（二）要求供应商以联合体形式参加采购活动，且联合体中中小企业承担的部分达到一定比例；</w:t>
      </w:r>
    </w:p>
    <w:p>
      <w:pPr>
        <w:spacing w:line="360" w:lineRule="auto"/>
        <w:rPr>
          <w:rFonts w:hint="eastAsia" w:ascii="宋体" w:hAnsi="宋体" w:cs="宋体"/>
          <w:bCs/>
        </w:rPr>
      </w:pPr>
      <w:r>
        <w:rPr>
          <w:rFonts w:hint="eastAsia" w:ascii="宋体" w:hAnsi="宋体" w:cs="宋体"/>
          <w:bCs/>
        </w:rPr>
        <w:t>（三）要求获得采购合同的供应商将采购项目中的一定比例分包给一家或者多家中小企业。组成联合体或者接受分包合同的中小企业与联合体内其他企业、分包企业之间不得存在直接控股、管理关系。</w:t>
      </w:r>
    </w:p>
    <w:p>
      <w:pPr>
        <w:spacing w:line="360" w:lineRule="auto"/>
        <w:rPr>
          <w:rFonts w:hint="eastAsia" w:ascii="宋体" w:hAnsi="宋体" w:cs="宋体"/>
          <w:bCs/>
        </w:rPr>
      </w:pPr>
      <w:r>
        <w:rPr>
          <w:rFonts w:hint="eastAsia" w:ascii="宋体" w:hAnsi="宋体" w:cs="宋体"/>
          <w:bCs/>
        </w:rPr>
        <w:t>第九条 对于经主管预算单位统筹后未预留份额专门面向中小企业采购的采购项目，以及预留份额项目中的非预留部分采购包，采购人、采购代理机构应当对符合本办法规定的小微企业报价给予6%—10%（工程项目为3%—5%）的扣</w:t>
      </w:r>
      <w:bookmarkStart w:id="973" w:name="page4"/>
      <w:bookmarkEnd w:id="973"/>
      <w:r>
        <w:rPr>
          <w:rFonts w:hint="eastAsia" w:ascii="宋体" w:hAnsi="宋体" w:cs="宋体"/>
          <w:bCs/>
        </w:rPr>
        <w:t>除，用扣除后的价格参加评审。适用招标投标法的政府采购工程建设项目，采用综合评估法但未采用低价优先法计算价格分的，评标时应当在采用原报价进行评分的基础上增加其价格得分的3%—5%作为其价格分。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2%-3%（工程项目为1%—2%）的扣除，用扣除后的价格参加评审。适用招标投标法的政府采购工程建设项目，采用综合评估法但未采用低价优先法计算价格分的，评标时应当在采用原报价进行评分的基础上增加其价格得分的 1%—2%作为其价格分。组成联合体或者接受分包的小微企业与联合体内其他企业、分包企业之间存在直接控股、管理关系的，不享受价格扣除优惠政策。价格扣除比例或者价格分加分比例对小型企业和微型企业同等对待，不作区分。具体采购项目的价格扣除比例或者价格分加分比例，由采购人根据采购标的相关行业平均利润率、市场竞争状况等，在本办法规定的幅度内确定。</w:t>
      </w:r>
    </w:p>
    <w:p>
      <w:pPr>
        <w:spacing w:line="360" w:lineRule="auto"/>
        <w:rPr>
          <w:rFonts w:hint="eastAsia" w:ascii="宋体" w:hAnsi="宋体" w:cs="宋体"/>
          <w:bCs/>
        </w:rPr>
      </w:pPr>
      <w:r>
        <w:rPr>
          <w:rFonts w:hint="eastAsia" w:ascii="宋体" w:hAnsi="宋体" w:cs="宋体"/>
          <w:bCs/>
        </w:rPr>
        <w:t>第十条 采购人应当严格按照本办法规定和主管预算单位制定的预留采购份额具体方案开展采购活动。预留份额的采购项目或者采购包，通过发布公告方式邀请供应商后，符合资格条件的中小企业数量不足3家的，应当中止采购活动，视同未预留份额的采购项目或者采购包，按照本办法第</w:t>
      </w:r>
      <w:bookmarkStart w:id="974" w:name="page5"/>
      <w:bookmarkEnd w:id="974"/>
      <w:r>
        <w:rPr>
          <w:rFonts w:hint="eastAsia" w:ascii="宋体" w:hAnsi="宋体" w:cs="宋体"/>
          <w:bCs/>
        </w:rPr>
        <w:t>九条有关规定重新组织采购活动。</w:t>
      </w:r>
    </w:p>
    <w:p>
      <w:pPr>
        <w:spacing w:line="360" w:lineRule="auto"/>
        <w:rPr>
          <w:rFonts w:hint="eastAsia" w:ascii="宋体" w:hAnsi="宋体" w:cs="宋体"/>
          <w:bCs/>
        </w:rPr>
      </w:pPr>
      <w:r>
        <w:rPr>
          <w:rFonts w:hint="eastAsia" w:ascii="宋体" w:hAnsi="宋体" w:cs="宋体"/>
          <w:bCs/>
        </w:rPr>
        <w:t>第十一条 中小企业参加政府采购活动，应当出具本办法规定的《中小企业声明函》（附1），否则不得享受相关中小企业扶持政策。任何单位和个人不得要求供应商提供《中小企业声明函》之外的中小企业身份证明文件。</w:t>
      </w:r>
    </w:p>
    <w:p>
      <w:pPr>
        <w:spacing w:line="360" w:lineRule="auto"/>
        <w:rPr>
          <w:rFonts w:hint="eastAsia" w:ascii="宋体" w:hAnsi="宋体" w:cs="宋体"/>
          <w:bCs/>
        </w:rPr>
      </w:pPr>
      <w:r>
        <w:rPr>
          <w:rFonts w:hint="eastAsia" w:ascii="宋体" w:hAnsi="宋体" w:cs="宋体"/>
          <w:bCs/>
        </w:rPr>
        <w:t>第十二条 采购项目涉及中小企业采购的，采购文件应当明确以下内容：</w:t>
      </w:r>
    </w:p>
    <w:p>
      <w:pPr>
        <w:spacing w:line="360" w:lineRule="auto"/>
        <w:rPr>
          <w:rFonts w:hint="eastAsia" w:ascii="宋体" w:hAnsi="宋体" w:cs="宋体"/>
          <w:bCs/>
        </w:rPr>
      </w:pPr>
      <w:r>
        <w:rPr>
          <w:rFonts w:hint="eastAsia" w:ascii="宋体" w:hAnsi="宋体" w:cs="宋体"/>
          <w:bCs/>
        </w:rPr>
        <w:t>（一）预留份额的采购项目或者采购包，明确该项目或相关采购包专门面向中小企业采购，以及相关标的及预算金额；</w:t>
      </w:r>
    </w:p>
    <w:p>
      <w:pPr>
        <w:spacing w:line="360" w:lineRule="auto"/>
        <w:rPr>
          <w:rFonts w:hint="eastAsia" w:ascii="宋体" w:hAnsi="宋体" w:cs="宋体"/>
          <w:bCs/>
        </w:rPr>
      </w:pPr>
      <w:r>
        <w:rPr>
          <w:rFonts w:hint="eastAsia" w:ascii="宋体" w:hAnsi="宋体" w:cs="宋体"/>
          <w:bCs/>
        </w:rPr>
        <w:t>（二）要求以联合体形式参加或者合同分包的，明确联合协议或者分包意向协议中中小企业合同金额应当达到的比例，并作为供应商资格条件；</w:t>
      </w:r>
    </w:p>
    <w:p>
      <w:pPr>
        <w:spacing w:line="360" w:lineRule="auto"/>
        <w:rPr>
          <w:rFonts w:hint="eastAsia" w:ascii="宋体" w:hAnsi="宋体" w:cs="宋体"/>
          <w:bCs/>
        </w:rPr>
      </w:pPr>
      <w:r>
        <w:rPr>
          <w:rFonts w:hint="eastAsia" w:ascii="宋体" w:hAnsi="宋体" w:cs="宋体"/>
          <w:bCs/>
        </w:rPr>
        <w:t>（三）非预留份额的采购项目或者采购包，明确有关价格扣除比例或者价格分加分比例；</w:t>
      </w:r>
    </w:p>
    <w:p>
      <w:pPr>
        <w:spacing w:line="360" w:lineRule="auto"/>
        <w:rPr>
          <w:rFonts w:hint="eastAsia" w:ascii="宋体" w:hAnsi="宋体" w:cs="宋体"/>
          <w:bCs/>
        </w:rPr>
      </w:pPr>
      <w:r>
        <w:rPr>
          <w:rFonts w:hint="eastAsia" w:ascii="宋体" w:hAnsi="宋体" w:cs="宋体"/>
          <w:bCs/>
        </w:rPr>
        <w:t>（四）规定依据本办法规定享受扶持政策获得政府采购合同的，小微企业不得将合同分包给大中型企业，中型企业不得将合同分包给大型企业；</w:t>
      </w:r>
    </w:p>
    <w:p>
      <w:pPr>
        <w:spacing w:line="360" w:lineRule="auto"/>
        <w:rPr>
          <w:rFonts w:hint="eastAsia" w:ascii="宋体" w:hAnsi="宋体" w:cs="宋体"/>
          <w:bCs/>
        </w:rPr>
      </w:pPr>
      <w:r>
        <w:rPr>
          <w:rFonts w:hint="eastAsia" w:ascii="宋体" w:hAnsi="宋体" w:cs="宋体"/>
          <w:bCs/>
        </w:rPr>
        <w:t>（五）采购人认为具备相关条件的，明确对中小企业在资金支付期限、预付款比例等方面的优惠措施；</w:t>
      </w:r>
    </w:p>
    <w:p>
      <w:pPr>
        <w:spacing w:line="360" w:lineRule="auto"/>
        <w:rPr>
          <w:rFonts w:hint="eastAsia" w:ascii="宋体" w:hAnsi="宋体" w:cs="宋体"/>
          <w:bCs/>
        </w:rPr>
      </w:pPr>
      <w:r>
        <w:rPr>
          <w:rFonts w:hint="eastAsia" w:ascii="宋体" w:hAnsi="宋体" w:cs="宋体"/>
          <w:bCs/>
        </w:rPr>
        <w:t>（六）明确采购标的对应的中小企业划分标准所属行业；</w:t>
      </w:r>
    </w:p>
    <w:p>
      <w:pPr>
        <w:spacing w:line="360" w:lineRule="auto"/>
        <w:rPr>
          <w:rFonts w:hint="eastAsia" w:ascii="宋体" w:hAnsi="宋体" w:cs="宋体"/>
          <w:bCs/>
        </w:rPr>
      </w:pPr>
      <w:r>
        <w:rPr>
          <w:rFonts w:hint="eastAsia" w:ascii="宋体" w:hAnsi="宋体" w:cs="宋体"/>
          <w:bCs/>
        </w:rPr>
        <w:t>（七）法律法规和省级以上人民政府财政部门规定的其他事项。</w:t>
      </w:r>
    </w:p>
    <w:p>
      <w:pPr>
        <w:spacing w:line="360" w:lineRule="auto"/>
        <w:rPr>
          <w:rFonts w:hint="eastAsia" w:ascii="宋体" w:hAnsi="宋体" w:cs="宋体"/>
          <w:bCs/>
        </w:rPr>
      </w:pPr>
      <w:r>
        <w:rPr>
          <w:rFonts w:hint="eastAsia" w:ascii="宋体" w:hAnsi="宋体" w:cs="宋体"/>
          <w:bCs/>
        </w:rPr>
        <w:t>第十三条 中标、成交供应商享受本办法规定的中小企</w:t>
      </w:r>
      <w:bookmarkStart w:id="975" w:name="page6"/>
      <w:bookmarkEnd w:id="975"/>
      <w:r>
        <w:rPr>
          <w:rFonts w:hint="eastAsia" w:ascii="宋体" w:hAnsi="宋体" w:cs="宋体"/>
          <w:bCs/>
        </w:rPr>
        <w:t>业扶持政策的，采购人、采购代理机构应当随中标、成交结果公开中标、成交供应商的《中小企业声明函》。适用招标投标法的政府采购工程建设项目，应当在公示中标候选人时公开中标候选人的《中小企业声明函》。</w:t>
      </w:r>
    </w:p>
    <w:p>
      <w:pPr>
        <w:spacing w:line="360" w:lineRule="auto"/>
        <w:rPr>
          <w:rFonts w:hint="eastAsia" w:ascii="宋体" w:hAnsi="宋体" w:cs="宋体"/>
          <w:bCs/>
        </w:rPr>
      </w:pPr>
      <w:r>
        <w:rPr>
          <w:rFonts w:hint="eastAsia" w:ascii="宋体" w:hAnsi="宋体" w:cs="宋体"/>
          <w:bCs/>
        </w:rPr>
        <w:t>第十四条 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pPr>
        <w:spacing w:line="360" w:lineRule="auto"/>
        <w:rPr>
          <w:rFonts w:hint="eastAsia" w:ascii="宋体" w:hAnsi="宋体" w:cs="宋体"/>
          <w:bCs/>
        </w:rPr>
      </w:pPr>
      <w:r>
        <w:rPr>
          <w:rFonts w:hint="eastAsia" w:ascii="宋体" w:hAnsi="宋体" w:cs="宋体"/>
          <w:bCs/>
        </w:rPr>
        <w:t>第十五条 鼓励各地区、各部门在采购活动中允许中小企业引入信用担保手段，为中小企业在投标（响应）保证、履约保证等方面提供专业化服务。鼓励中小企业依法合规通过政府采购合同融资。</w:t>
      </w:r>
    </w:p>
    <w:p>
      <w:pPr>
        <w:spacing w:line="360" w:lineRule="auto"/>
        <w:rPr>
          <w:rFonts w:hint="eastAsia" w:ascii="宋体" w:hAnsi="宋体" w:cs="宋体"/>
          <w:bCs/>
        </w:rPr>
      </w:pPr>
      <w:r>
        <w:rPr>
          <w:rFonts w:hint="eastAsia" w:ascii="宋体" w:hAnsi="宋体" w:cs="宋体"/>
          <w:bCs/>
        </w:rPr>
        <w:t>第十六条 政府采购监督检查、投诉处理及政府采购行政处罚中对中小企业的认定，由货物制造商或者工程、服务供应商注册登记所在地的县级以上人民政府中小企业主管部门负责。中小企业主管部门应当在收到财政部门或者有关招标投标行政监督部门关于协助开展中小企业认定函后10个工作日内做出书面答复。</w:t>
      </w:r>
    </w:p>
    <w:p>
      <w:pPr>
        <w:spacing w:line="360" w:lineRule="auto"/>
        <w:rPr>
          <w:rFonts w:hint="eastAsia" w:ascii="宋体" w:hAnsi="宋体" w:cs="宋体"/>
          <w:bCs/>
        </w:rPr>
      </w:pPr>
      <w:r>
        <w:rPr>
          <w:rFonts w:hint="eastAsia" w:ascii="宋体" w:hAnsi="宋体" w:cs="宋体"/>
          <w:bCs/>
        </w:rPr>
        <w:t>第十七条 各地区、各部门应当对涉及中小企业采购的预算项目实施全过程绩效管理，合理设置绩效目标和指标，落实扶持中小企业有关政策要求，定期开展绩效监控和评价，强化绩效评价结果应用。</w:t>
      </w:r>
      <w:bookmarkStart w:id="976" w:name="page7"/>
      <w:bookmarkEnd w:id="976"/>
    </w:p>
    <w:p>
      <w:pPr>
        <w:spacing w:line="360" w:lineRule="auto"/>
        <w:rPr>
          <w:rFonts w:hint="eastAsia" w:ascii="宋体" w:hAnsi="宋体" w:cs="宋体"/>
          <w:bCs/>
        </w:rPr>
      </w:pPr>
      <w:r>
        <w:rPr>
          <w:rFonts w:hint="eastAsia" w:ascii="宋体" w:hAnsi="宋体" w:cs="宋体"/>
          <w:bCs/>
        </w:rPr>
        <w:t>第十八条  主管预算单位应当自 2022 年起向同级财政部门报告本部门上一年度面向中小企业预留份额和采购的具体情况，并在中国政府采购网公开预留项目执行情况(附2)。未达到本办法规定的预留份额比例的，应当作出说明。</w:t>
      </w:r>
    </w:p>
    <w:p>
      <w:pPr>
        <w:spacing w:line="360" w:lineRule="auto"/>
        <w:rPr>
          <w:rFonts w:hint="eastAsia" w:ascii="宋体" w:hAnsi="宋体" w:cs="宋体"/>
          <w:bCs/>
        </w:rPr>
      </w:pPr>
      <w:r>
        <w:rPr>
          <w:rFonts w:hint="eastAsia" w:ascii="宋体" w:hAnsi="宋体" w:cs="宋体"/>
          <w:bCs/>
        </w:rPr>
        <w:t>第十九条  采购人未按本办法规定为中小企业预留采购份额，采购人、采购代理机构未按照本办法规定要求实施价格扣除或者价格分加分的，属于未按照规定执行政府采购政策，依照《中华人民共和国政府采购法》等国家有关规定追究法律责任。</w:t>
      </w:r>
    </w:p>
    <w:p>
      <w:pPr>
        <w:spacing w:line="360" w:lineRule="auto"/>
        <w:rPr>
          <w:rFonts w:hint="eastAsia" w:ascii="宋体" w:hAnsi="宋体" w:cs="宋体"/>
          <w:bCs/>
        </w:rPr>
      </w:pPr>
      <w:r>
        <w:rPr>
          <w:rFonts w:hint="eastAsia" w:ascii="宋体" w:hAnsi="宋体" w:cs="宋体"/>
          <w:bCs/>
        </w:rPr>
        <w:t>第二十条 供应商按照本办法规定提供声明函内容不实的，属于提供虚假材料谋取中标、成交，依照《中华人民共和国政府采购法》等国家有关规定追究相应责任。适用招标投标法的政府采购工程建设项目，投标人按照本办法规定提供声明函内容不实的，属于弄虚作假骗取中标，依照《中华人民共和国招标投标法》等国家有关规定追究相应责任。</w:t>
      </w:r>
    </w:p>
    <w:p>
      <w:pPr>
        <w:spacing w:line="360" w:lineRule="auto"/>
        <w:rPr>
          <w:rFonts w:hint="eastAsia" w:ascii="宋体" w:hAnsi="宋体" w:cs="宋体"/>
          <w:bCs/>
        </w:rPr>
      </w:pPr>
      <w:r>
        <w:rPr>
          <w:rFonts w:hint="eastAsia" w:ascii="宋体" w:hAnsi="宋体" w:cs="宋体"/>
          <w:bCs/>
        </w:rPr>
        <w:t>第二十一条 财政部门、中小企业主管部门及其工作人员在履行职责中违反本办法规定及存在其他滥用职权、玩忽职守、徇私舞弊等违法违纪行为的，依照《中华人民共和国政府采购法》、《中华人民共和国公务员法》、《中华人民共和国监察法》、《中华人民共和国政府采购法实施条例》等国家有关规定追究相应责任；涉嫌犯罪的，依法移送有关国家机关处理。</w:t>
      </w:r>
    </w:p>
    <w:p>
      <w:pPr>
        <w:spacing w:line="360" w:lineRule="auto"/>
        <w:rPr>
          <w:rFonts w:hint="eastAsia" w:ascii="宋体" w:hAnsi="宋体" w:cs="宋体"/>
          <w:bCs/>
        </w:rPr>
      </w:pPr>
      <w:r>
        <w:rPr>
          <w:rFonts w:hint="eastAsia" w:ascii="宋体" w:hAnsi="宋体" w:cs="宋体"/>
          <w:bCs/>
        </w:rPr>
        <w:t>第二十二条 对外援助项目、国家相关资格或者资质管理制度另有规定的项目，不适用本办法。</w:t>
      </w:r>
    </w:p>
    <w:p>
      <w:pPr>
        <w:spacing w:line="360" w:lineRule="auto"/>
        <w:rPr>
          <w:rFonts w:hint="eastAsia" w:ascii="宋体" w:hAnsi="宋体" w:cs="宋体"/>
          <w:bCs/>
        </w:rPr>
      </w:pPr>
      <w:r>
        <w:rPr>
          <w:rFonts w:hint="eastAsia" w:ascii="宋体" w:hAnsi="宋体" w:cs="宋体"/>
          <w:bCs/>
        </w:rPr>
        <w:t>第二十三条</w:t>
      </w:r>
      <w:r>
        <w:rPr>
          <w:rFonts w:hint="eastAsia" w:ascii="宋体" w:hAnsi="宋体" w:cs="宋体"/>
          <w:bCs/>
        </w:rPr>
        <w:tab/>
      </w:r>
      <w:r>
        <w:rPr>
          <w:rFonts w:hint="eastAsia" w:ascii="宋体" w:hAnsi="宋体" w:cs="宋体"/>
          <w:bCs/>
        </w:rPr>
        <w:t>关于视同中小企业的其他主体的政府采购扶持政策，由财政部会同有关部门另行规定。</w:t>
      </w:r>
    </w:p>
    <w:p>
      <w:pPr>
        <w:spacing w:line="360" w:lineRule="auto"/>
        <w:rPr>
          <w:rFonts w:hint="eastAsia" w:ascii="宋体" w:hAnsi="宋体" w:cs="宋体"/>
          <w:bCs/>
        </w:rPr>
      </w:pPr>
      <w:r>
        <w:rPr>
          <w:rFonts w:hint="eastAsia" w:ascii="宋体" w:hAnsi="宋体" w:cs="宋体"/>
          <w:bCs/>
        </w:rPr>
        <w:t>第二十四条</w:t>
      </w:r>
      <w:r>
        <w:rPr>
          <w:rFonts w:hint="eastAsia" w:ascii="宋体" w:hAnsi="宋体" w:cs="宋体"/>
          <w:bCs/>
        </w:rPr>
        <w:tab/>
      </w:r>
      <w:r>
        <w:rPr>
          <w:rFonts w:hint="eastAsia" w:ascii="宋体" w:hAnsi="宋体" w:cs="宋体"/>
          <w:bCs/>
        </w:rPr>
        <w:t>省级财政部门可以会同中小企业主管部门根据本办法的规定制定具体实施办法。</w:t>
      </w:r>
    </w:p>
    <w:p>
      <w:pPr>
        <w:pStyle w:val="21"/>
        <w:ind w:firstLine="480"/>
        <w:rPr>
          <w:rFonts w:hint="eastAsia"/>
        </w:rPr>
      </w:pPr>
      <w:r>
        <w:rPr>
          <w:rFonts w:hint="eastAsia"/>
        </w:rPr>
        <w:t>第二十五条 本办法自 2021 年 1 月 1 日起施行。《财政部 工业和信息化部关于印发〈政府采购促进中小企业发展暂行办法〉的通知》（财库﹝2011﹞181 号）同时废止。</w:t>
      </w:r>
    </w:p>
    <w:p>
      <w:pPr>
        <w:spacing w:line="360" w:lineRule="auto"/>
        <w:rPr>
          <w:rFonts w:hint="eastAsia" w:ascii="宋体" w:hAnsi="宋体" w:cs="宋体"/>
          <w:bCs/>
        </w:rPr>
      </w:pPr>
      <w:bookmarkStart w:id="977" w:name="_Toc20829"/>
      <w:bookmarkStart w:id="978" w:name="_Toc445984998"/>
      <w:bookmarkStart w:id="979" w:name="_Toc447223799"/>
      <w:bookmarkStart w:id="980" w:name="_Toc445916627"/>
      <w:bookmarkStart w:id="981" w:name="_Toc21554"/>
      <w:bookmarkStart w:id="982" w:name="_Toc497489391"/>
      <w:bookmarkStart w:id="983" w:name="_Toc12674"/>
      <w:r>
        <w:rPr>
          <w:rFonts w:hint="eastAsia" w:ascii="宋体" w:hAnsi="宋体" w:cs="宋体"/>
          <w:bCs/>
        </w:rPr>
        <w:br w:type="page"/>
      </w:r>
    </w:p>
    <w:p>
      <w:pPr>
        <w:pStyle w:val="3"/>
        <w:tabs>
          <w:tab w:val="left" w:pos="432"/>
        </w:tabs>
        <w:jc w:val="left"/>
        <w:rPr>
          <w:rFonts w:hint="eastAsia" w:hAnsi="宋体" w:cs="宋体"/>
          <w:bCs/>
          <w:sz w:val="24"/>
          <w:szCs w:val="24"/>
        </w:rPr>
      </w:pPr>
      <w:bookmarkStart w:id="984" w:name="_Toc218620577"/>
      <w:bookmarkStart w:id="985" w:name="_Toc15435094"/>
      <w:bookmarkStart w:id="986" w:name="_Toc102058323"/>
      <w:bookmarkStart w:id="987" w:name="_Toc92789350"/>
      <w:bookmarkStart w:id="988" w:name="_Toc50760979"/>
      <w:bookmarkStart w:id="989" w:name="_Toc209958511"/>
      <w:bookmarkStart w:id="990" w:name="_Toc199921596"/>
      <w:bookmarkStart w:id="991" w:name="_Toc85461450"/>
      <w:bookmarkStart w:id="992" w:name="_Toc101191899"/>
      <w:bookmarkStart w:id="993" w:name="_Toc83722638"/>
      <w:bookmarkStart w:id="994" w:name="_Toc105425452"/>
      <w:bookmarkStart w:id="995" w:name="_Toc1628643191"/>
      <w:bookmarkStart w:id="996" w:name="_Toc8999377"/>
      <w:bookmarkStart w:id="997" w:name="_Toc16436"/>
      <w:r>
        <w:rPr>
          <w:rFonts w:hint="eastAsia" w:hAnsi="宋体" w:cs="宋体"/>
          <w:bCs/>
          <w:sz w:val="24"/>
          <w:szCs w:val="24"/>
        </w:rPr>
        <w:t>附录2：关于印发中小企业划型标准规定的通知</w:t>
      </w:r>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p>
    <w:p>
      <w:pPr>
        <w:rPr>
          <w:rFonts w:hint="eastAsia" w:ascii="宋体" w:hAnsi="宋体" w:cs="宋体"/>
        </w:rPr>
      </w:pPr>
    </w:p>
    <w:p>
      <w:pPr>
        <w:spacing w:line="360" w:lineRule="auto"/>
        <w:jc w:val="center"/>
        <w:rPr>
          <w:rFonts w:hint="eastAsia" w:ascii="宋体" w:hAnsi="宋体" w:cs="宋体"/>
          <w:spacing w:val="6"/>
          <w:szCs w:val="21"/>
        </w:rPr>
      </w:pPr>
      <w:r>
        <w:rPr>
          <w:rFonts w:hint="eastAsia" w:ascii="宋体" w:hAnsi="宋体" w:cs="宋体"/>
          <w:spacing w:val="6"/>
          <w:szCs w:val="21"/>
        </w:rPr>
        <w:t>工信部联企业〔2011〕300号</w:t>
      </w:r>
    </w:p>
    <w:p>
      <w:pPr>
        <w:pStyle w:val="46"/>
        <w:spacing w:line="360" w:lineRule="auto"/>
        <w:ind w:firstLine="480"/>
        <w:rPr>
          <w:rFonts w:hint="eastAsia"/>
          <w:sz w:val="21"/>
          <w:szCs w:val="21"/>
        </w:rPr>
      </w:pPr>
      <w:r>
        <w:rPr>
          <w:rFonts w:hint="eastAsia"/>
          <w:sz w:val="21"/>
          <w:szCs w:val="21"/>
        </w:rPr>
        <w:t>各省、自治区、直辖市人民政府，国务院各部委、各直属机构及有关单位：</w:t>
      </w:r>
    </w:p>
    <w:p>
      <w:pPr>
        <w:pStyle w:val="46"/>
        <w:spacing w:line="360" w:lineRule="auto"/>
        <w:ind w:firstLine="480"/>
        <w:rPr>
          <w:rFonts w:hint="eastAsia"/>
          <w:sz w:val="21"/>
          <w:szCs w:val="21"/>
        </w:rPr>
      </w:pPr>
      <w:r>
        <w:rPr>
          <w:rFonts w:hint="eastAsia"/>
          <w:sz w:val="21"/>
          <w:szCs w:val="21"/>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pPr>
        <w:pStyle w:val="46"/>
        <w:spacing w:line="360" w:lineRule="auto"/>
        <w:ind w:firstLine="480"/>
        <w:rPr>
          <w:rFonts w:hint="eastAsia"/>
          <w:sz w:val="21"/>
          <w:szCs w:val="21"/>
        </w:rPr>
      </w:pPr>
      <w:r>
        <w:rPr>
          <w:rFonts w:hint="eastAsia"/>
          <w:sz w:val="21"/>
          <w:szCs w:val="21"/>
        </w:rPr>
        <w:t>　　　　　　　　　　　　　　　　　　     　工业和信息化部　国家统计局</w:t>
      </w:r>
    </w:p>
    <w:p>
      <w:pPr>
        <w:pStyle w:val="46"/>
        <w:spacing w:line="360" w:lineRule="auto"/>
        <w:ind w:firstLine="480"/>
        <w:rPr>
          <w:rFonts w:hint="eastAsia"/>
          <w:sz w:val="21"/>
          <w:szCs w:val="21"/>
        </w:rPr>
      </w:pPr>
      <w:r>
        <w:rPr>
          <w:rFonts w:hint="eastAsia"/>
          <w:sz w:val="21"/>
          <w:szCs w:val="21"/>
        </w:rPr>
        <w:t>　　　　　　　　　　　　　　　　           国家发展和改革委员会　财政部</w:t>
      </w:r>
    </w:p>
    <w:p>
      <w:pPr>
        <w:pStyle w:val="46"/>
        <w:spacing w:line="360" w:lineRule="auto"/>
        <w:ind w:firstLine="480"/>
        <w:rPr>
          <w:rFonts w:hint="eastAsia"/>
          <w:sz w:val="21"/>
          <w:szCs w:val="21"/>
        </w:rPr>
      </w:pPr>
      <w:r>
        <w:rPr>
          <w:rFonts w:hint="eastAsia"/>
          <w:sz w:val="21"/>
          <w:szCs w:val="21"/>
        </w:rPr>
        <w:t>　　　　　　　　　　　　　　　　　　　　  　二○一一年六月十八日</w:t>
      </w:r>
    </w:p>
    <w:p>
      <w:pPr>
        <w:pStyle w:val="46"/>
        <w:spacing w:line="360" w:lineRule="auto"/>
        <w:ind w:firstLine="480"/>
        <w:jc w:val="center"/>
        <w:rPr>
          <w:rFonts w:hint="eastAsia"/>
        </w:rPr>
      </w:pPr>
      <w:r>
        <w:rPr>
          <w:rStyle w:val="56"/>
          <w:rFonts w:hint="eastAsia"/>
        </w:rPr>
        <w:t>中小企业划型标准规定</w:t>
      </w:r>
    </w:p>
    <w:p>
      <w:pPr>
        <w:numPr>
          <w:ilvl w:val="0"/>
          <w:numId w:val="20"/>
        </w:numPr>
        <w:spacing w:line="360" w:lineRule="auto"/>
        <w:ind w:firstLine="420" w:firstLineChars="200"/>
        <w:rPr>
          <w:rFonts w:hint="eastAsia" w:ascii="宋体" w:hAnsi="宋体" w:cs="宋体"/>
        </w:rPr>
      </w:pPr>
      <w:r>
        <w:rPr>
          <w:rFonts w:hint="eastAsia" w:ascii="宋体" w:hAnsi="宋体" w:cs="宋体"/>
        </w:rPr>
        <w:t>根据《中华人民共和国中小企业促进法》和《国务院关于进一步促进中小企业发展的若干意见》(国发〔2009〕36号)，制定本规定。</w:t>
      </w:r>
    </w:p>
    <w:p>
      <w:pPr>
        <w:numPr>
          <w:ilvl w:val="0"/>
          <w:numId w:val="20"/>
        </w:numPr>
        <w:spacing w:line="360" w:lineRule="auto"/>
        <w:ind w:firstLine="420" w:firstLineChars="200"/>
        <w:rPr>
          <w:rFonts w:hint="eastAsia" w:ascii="宋体" w:hAnsi="宋体" w:cs="宋体"/>
        </w:rPr>
      </w:pPr>
      <w:r>
        <w:rPr>
          <w:rFonts w:hint="eastAsia" w:ascii="宋体" w:hAnsi="宋体" w:cs="宋体"/>
        </w:rPr>
        <w:t>中小企业划分为中型、小型、微型三种类型，具体标准根据企业从业人员、营业收入、资产总额等指标，结合行业特点制定。</w:t>
      </w:r>
    </w:p>
    <w:p>
      <w:pPr>
        <w:numPr>
          <w:ilvl w:val="0"/>
          <w:numId w:val="20"/>
        </w:numPr>
        <w:spacing w:line="360" w:lineRule="auto"/>
        <w:ind w:firstLine="420" w:firstLineChars="200"/>
        <w:rPr>
          <w:rFonts w:hint="eastAsia" w:ascii="宋体" w:hAnsi="宋体" w:cs="宋体"/>
        </w:rPr>
      </w:pPr>
      <w:r>
        <w:rPr>
          <w:rFonts w:hint="eastAsia" w:ascii="宋体" w:hAnsi="宋体" w:cs="宋体"/>
        </w:rPr>
        <w:t>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pPr>
        <w:numPr>
          <w:ilvl w:val="0"/>
          <w:numId w:val="20"/>
        </w:numPr>
        <w:spacing w:line="360" w:lineRule="auto"/>
        <w:ind w:firstLine="420" w:firstLineChars="200"/>
        <w:rPr>
          <w:rFonts w:hint="eastAsia" w:ascii="宋体" w:hAnsi="宋体" w:cs="宋体"/>
        </w:rPr>
      </w:pPr>
      <w:r>
        <w:rPr>
          <w:rFonts w:hint="eastAsia" w:ascii="宋体" w:hAnsi="宋体" w:cs="宋体"/>
        </w:rPr>
        <w:t>各行业划型标准为：</w:t>
      </w:r>
    </w:p>
    <w:p>
      <w:pPr>
        <w:spacing w:line="360" w:lineRule="auto"/>
        <w:rPr>
          <w:rFonts w:hint="eastAsia" w:ascii="宋体" w:hAnsi="宋体" w:cs="宋体"/>
        </w:rPr>
      </w:pPr>
      <w:r>
        <w:rPr>
          <w:rFonts w:hint="eastAsia" w:ascii="宋体" w:hAnsi="宋体" w:cs="宋体"/>
        </w:rPr>
        <w:t>（一）农、林、牧、渔业。营业收入20000万元以下的为中小微型企业。其中，营业收入500万元及以上的为中型企业，营业收入50万元及以上的为小型企业，营业收入50万元以下的为微型企业。</w:t>
      </w:r>
    </w:p>
    <w:p>
      <w:pPr>
        <w:spacing w:line="360" w:lineRule="auto"/>
        <w:rPr>
          <w:rFonts w:hint="eastAsia" w:ascii="宋体" w:hAnsi="宋体" w:cs="宋体"/>
        </w:rPr>
      </w:pPr>
      <w:r>
        <w:rPr>
          <w:rFonts w:hint="eastAsia" w:ascii="宋体" w:hAnsi="宋体" w:cs="宋体"/>
        </w:rPr>
        <w:t>（二）</w:t>
      </w:r>
      <w:bookmarkStart w:id="998" w:name="OLE_LINK23"/>
      <w:bookmarkStart w:id="999" w:name="OLE_LINK30"/>
      <w:r>
        <w:rPr>
          <w:rFonts w:hint="eastAsia" w:ascii="宋体" w:hAnsi="宋体" w:cs="宋体"/>
        </w:rPr>
        <w:t>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bookmarkEnd w:id="998"/>
      <w:bookmarkEnd w:id="999"/>
    </w:p>
    <w:p>
      <w:pPr>
        <w:spacing w:line="360" w:lineRule="auto"/>
        <w:rPr>
          <w:rFonts w:hint="eastAsia" w:ascii="宋体" w:hAnsi="宋体" w:cs="宋体"/>
        </w:rPr>
      </w:pPr>
      <w:r>
        <w:rPr>
          <w:rFonts w:hint="eastAsia" w:ascii="宋体" w:hAnsi="宋体" w:cs="宋体"/>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spacing w:line="360" w:lineRule="auto"/>
        <w:rPr>
          <w:rFonts w:hint="eastAsia" w:ascii="宋体" w:hAnsi="宋体" w:cs="宋体"/>
        </w:rPr>
      </w:pPr>
      <w:r>
        <w:rPr>
          <w:rFonts w:hint="eastAsia" w:ascii="宋体" w:hAnsi="宋体" w:cs="宋体"/>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spacing w:line="360" w:lineRule="auto"/>
        <w:rPr>
          <w:rFonts w:hint="eastAsia" w:ascii="宋体" w:hAnsi="宋体" w:cs="宋体"/>
        </w:rPr>
      </w:pPr>
      <w:r>
        <w:rPr>
          <w:rFonts w:hint="eastAsia" w:ascii="宋体" w:hAnsi="宋体" w:cs="宋体"/>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spacing w:line="360" w:lineRule="auto"/>
        <w:rPr>
          <w:rFonts w:hint="eastAsia" w:ascii="宋体" w:hAnsi="宋体" w:cs="宋体"/>
        </w:rPr>
      </w:pPr>
      <w:r>
        <w:rPr>
          <w:rFonts w:hint="eastAsia" w:ascii="宋体" w:hAnsi="宋体" w:cs="宋体"/>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spacing w:line="360" w:lineRule="auto"/>
        <w:rPr>
          <w:rFonts w:hint="eastAsia" w:ascii="宋体" w:hAnsi="宋体" w:cs="宋体"/>
        </w:rPr>
      </w:pPr>
      <w:r>
        <w:rPr>
          <w:rFonts w:hint="eastAsia" w:ascii="宋体" w:hAnsi="宋体" w:cs="宋体"/>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spacing w:line="360" w:lineRule="auto"/>
        <w:rPr>
          <w:rFonts w:hint="eastAsia" w:ascii="宋体" w:hAnsi="宋体" w:cs="宋体"/>
        </w:rPr>
      </w:pPr>
      <w:r>
        <w:rPr>
          <w:rFonts w:hint="eastAsia" w:ascii="宋体" w:hAnsi="宋体" w:cs="宋体"/>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spacing w:line="360" w:lineRule="auto"/>
        <w:rPr>
          <w:rFonts w:hint="eastAsia" w:ascii="宋体" w:hAnsi="宋体" w:cs="宋体"/>
        </w:rPr>
      </w:pPr>
      <w:r>
        <w:rPr>
          <w:rFonts w:hint="eastAsia" w:ascii="宋体" w:hAnsi="宋体" w:cs="宋体"/>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spacing w:line="360" w:lineRule="auto"/>
        <w:rPr>
          <w:rFonts w:hint="eastAsia" w:ascii="宋体" w:hAnsi="宋体" w:cs="宋体"/>
        </w:rPr>
      </w:pPr>
      <w:r>
        <w:rPr>
          <w:rFonts w:hint="eastAsia" w:ascii="宋体" w:hAnsi="宋体" w:cs="宋体"/>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spacing w:line="360" w:lineRule="auto"/>
        <w:rPr>
          <w:rFonts w:hint="eastAsia" w:ascii="宋体" w:hAnsi="宋体" w:cs="宋体"/>
        </w:rPr>
      </w:pPr>
      <w:r>
        <w:rPr>
          <w:rFonts w:hint="eastAsia" w:ascii="宋体" w:hAnsi="宋体" w:cs="宋体"/>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spacing w:line="360" w:lineRule="auto"/>
        <w:rPr>
          <w:rFonts w:hint="eastAsia" w:ascii="宋体" w:hAnsi="宋体" w:cs="宋体"/>
        </w:rPr>
      </w:pPr>
      <w:r>
        <w:rPr>
          <w:rFonts w:hint="eastAsia" w:ascii="宋体" w:hAnsi="宋体" w:cs="宋体"/>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spacing w:line="360" w:lineRule="auto"/>
        <w:rPr>
          <w:rFonts w:hint="eastAsia" w:ascii="宋体" w:hAnsi="宋体" w:cs="宋体"/>
        </w:rPr>
      </w:pPr>
      <w:r>
        <w:rPr>
          <w:rFonts w:hint="eastAsia" w:ascii="宋体" w:hAnsi="宋体" w:cs="宋体"/>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spacing w:line="360" w:lineRule="auto"/>
        <w:rPr>
          <w:rFonts w:hint="eastAsia" w:ascii="宋体" w:hAnsi="宋体" w:cs="宋体"/>
        </w:rPr>
      </w:pPr>
      <w:r>
        <w:rPr>
          <w:rFonts w:hint="eastAsia" w:ascii="宋体" w:hAnsi="宋体" w:cs="宋体"/>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spacing w:line="360" w:lineRule="auto"/>
        <w:rPr>
          <w:rFonts w:hint="eastAsia" w:ascii="宋体" w:hAnsi="宋体" w:cs="宋体"/>
        </w:rPr>
      </w:pPr>
      <w:r>
        <w:rPr>
          <w:rFonts w:hint="eastAsia" w:ascii="宋体" w:hAnsi="宋体" w:cs="宋体"/>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spacing w:line="360" w:lineRule="auto"/>
        <w:rPr>
          <w:rFonts w:hint="eastAsia" w:ascii="宋体" w:hAnsi="宋体" w:cs="宋体"/>
        </w:rPr>
      </w:pPr>
      <w:r>
        <w:rPr>
          <w:rFonts w:hint="eastAsia" w:ascii="宋体" w:hAnsi="宋体" w:cs="宋体"/>
        </w:rPr>
        <w:t>（十六）其他未列明行业。从业人员300人以下的为中小微型企业。其中，从业人员100人及以上的为中型企业；从业人员10人及以上的为小型企业；从业人员10人以下的为微型企业。</w:t>
      </w:r>
    </w:p>
    <w:p>
      <w:pPr>
        <w:numPr>
          <w:ilvl w:val="0"/>
          <w:numId w:val="20"/>
        </w:numPr>
        <w:spacing w:line="360" w:lineRule="auto"/>
        <w:ind w:firstLine="420" w:firstLineChars="200"/>
        <w:rPr>
          <w:rFonts w:hint="eastAsia" w:ascii="宋体" w:hAnsi="宋体" w:cs="宋体"/>
        </w:rPr>
      </w:pPr>
      <w:r>
        <w:rPr>
          <w:rFonts w:hint="eastAsia" w:ascii="宋体" w:hAnsi="宋体" w:cs="宋体"/>
        </w:rPr>
        <w:t>企业类型的划分以统计部门的统计数据为依据。</w:t>
      </w:r>
    </w:p>
    <w:p>
      <w:pPr>
        <w:numPr>
          <w:ilvl w:val="0"/>
          <w:numId w:val="20"/>
        </w:numPr>
        <w:spacing w:line="360" w:lineRule="auto"/>
        <w:ind w:firstLine="420" w:firstLineChars="200"/>
        <w:rPr>
          <w:rFonts w:hint="eastAsia" w:ascii="宋体" w:hAnsi="宋体" w:cs="宋体"/>
        </w:rPr>
      </w:pPr>
      <w:r>
        <w:rPr>
          <w:rFonts w:hint="eastAsia" w:ascii="宋体" w:hAnsi="宋体" w:cs="宋体"/>
        </w:rPr>
        <w:t>本规定适用于在中华人民共和国境内依法设立的各类所有制和各种组织形式的企业。个体工商户和本规定以外的行业，参照本规定进行划型。</w:t>
      </w:r>
    </w:p>
    <w:p>
      <w:pPr>
        <w:numPr>
          <w:ilvl w:val="0"/>
          <w:numId w:val="20"/>
        </w:numPr>
        <w:spacing w:line="360" w:lineRule="auto"/>
        <w:ind w:firstLine="420" w:firstLineChars="200"/>
        <w:rPr>
          <w:rFonts w:hint="eastAsia" w:ascii="宋体" w:hAnsi="宋体" w:cs="宋体"/>
        </w:rPr>
      </w:pPr>
      <w:r>
        <w:rPr>
          <w:rFonts w:hint="eastAsia" w:ascii="宋体" w:hAnsi="宋体" w:cs="宋体"/>
        </w:rPr>
        <w:t>本规定的中型企业标准上限即为大型企业标准的下限，国家统计部门据此制定大中小微型企业的统计分类。国务院有关部门据此进行相关数据分析，不得制定与本规定不一致的企业划型标准。</w:t>
      </w:r>
    </w:p>
    <w:p>
      <w:pPr>
        <w:numPr>
          <w:ilvl w:val="0"/>
          <w:numId w:val="20"/>
        </w:numPr>
        <w:spacing w:line="360" w:lineRule="auto"/>
        <w:ind w:firstLine="420" w:firstLineChars="200"/>
        <w:rPr>
          <w:rFonts w:hint="eastAsia" w:ascii="宋体" w:hAnsi="宋体" w:cs="宋体"/>
        </w:rPr>
      </w:pPr>
      <w:r>
        <w:rPr>
          <w:rFonts w:hint="eastAsia" w:ascii="宋体" w:hAnsi="宋体" w:cs="宋体"/>
        </w:rPr>
        <w:t>、本规定由工业和信息化部、国家统计局会同有关部门根据《国民经济行业分类》修订情况和企业发展变化情况适时修订。</w:t>
      </w:r>
    </w:p>
    <w:p>
      <w:pPr>
        <w:numPr>
          <w:ilvl w:val="0"/>
          <w:numId w:val="20"/>
        </w:numPr>
        <w:spacing w:line="360" w:lineRule="auto"/>
        <w:ind w:firstLine="420" w:firstLineChars="200"/>
        <w:rPr>
          <w:rFonts w:hint="eastAsia" w:ascii="宋体" w:hAnsi="宋体" w:cs="宋体"/>
        </w:rPr>
      </w:pPr>
      <w:r>
        <w:rPr>
          <w:rFonts w:hint="eastAsia" w:ascii="宋体" w:hAnsi="宋体" w:cs="宋体"/>
        </w:rPr>
        <w:t>本规定由工业和信息化部、国家统计局会同有关部门负责解释。</w:t>
      </w:r>
    </w:p>
    <w:p>
      <w:pPr>
        <w:numPr>
          <w:ilvl w:val="0"/>
          <w:numId w:val="20"/>
        </w:numPr>
        <w:spacing w:line="360" w:lineRule="auto"/>
        <w:ind w:firstLine="420" w:firstLineChars="200"/>
        <w:rPr>
          <w:rFonts w:hint="eastAsia" w:ascii="宋体" w:hAnsi="宋体" w:cs="宋体"/>
        </w:rPr>
      </w:pPr>
      <w:r>
        <w:rPr>
          <w:rFonts w:hint="eastAsia" w:ascii="宋体" w:hAnsi="宋体" w:cs="宋体"/>
        </w:rPr>
        <w:t>本规定自发布之日起执行，原国家经贸委、原国家计委、财政部和国家统计局2003年颁布的《中小企业标准暂行规定》同时废止。</w:t>
      </w:r>
    </w:p>
    <w:p>
      <w:pPr>
        <w:pStyle w:val="3"/>
        <w:tabs>
          <w:tab w:val="left" w:pos="432"/>
        </w:tabs>
        <w:jc w:val="left"/>
        <w:rPr>
          <w:rFonts w:hint="eastAsia" w:hAnsi="宋体" w:cs="宋体"/>
          <w:bCs/>
          <w:sz w:val="24"/>
          <w:szCs w:val="24"/>
        </w:rPr>
      </w:pPr>
      <w:bookmarkStart w:id="1000" w:name="_Toc8999378"/>
      <w:bookmarkStart w:id="1001" w:name="_Toc83722639"/>
      <w:bookmarkStart w:id="1002" w:name="_Toc779546475"/>
      <w:bookmarkStart w:id="1003" w:name="_Toc105425453"/>
      <w:bookmarkStart w:id="1004" w:name="_Toc85461451"/>
      <w:bookmarkStart w:id="1005" w:name="_Toc92789351"/>
      <w:bookmarkStart w:id="1006" w:name="_Toc50760980"/>
      <w:bookmarkStart w:id="1007" w:name="_Toc497489392"/>
      <w:bookmarkStart w:id="1008" w:name="_Toc15435095"/>
      <w:bookmarkStart w:id="1009" w:name="_Toc8212"/>
      <w:bookmarkStart w:id="1010" w:name="_Toc102058324"/>
      <w:bookmarkStart w:id="1011" w:name="_Toc101191900"/>
      <w:r>
        <w:rPr>
          <w:rFonts w:hint="eastAsia" w:hAnsi="宋体" w:cs="宋体"/>
          <w:bCs/>
          <w:sz w:val="24"/>
          <w:szCs w:val="24"/>
        </w:rPr>
        <w:br w:type="page"/>
      </w:r>
      <w:bookmarkStart w:id="1012" w:name="_Toc209958512"/>
      <w:bookmarkStart w:id="1013" w:name="_Toc218620578"/>
      <w:bookmarkStart w:id="1014" w:name="_Toc199921597"/>
      <w:bookmarkStart w:id="1015" w:name="_Toc18061"/>
      <w:r>
        <w:rPr>
          <w:rFonts w:hint="eastAsia" w:hAnsi="宋体" w:cs="宋体"/>
          <w:bCs/>
          <w:sz w:val="24"/>
          <w:szCs w:val="24"/>
        </w:rPr>
        <w:t>附录3：财政部 民政部 中国残疾人联合会关于促进残疾人就业政府采购政策的通知</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p>
    <w:p>
      <w:pPr>
        <w:spacing w:line="360" w:lineRule="auto"/>
        <w:jc w:val="center"/>
        <w:rPr>
          <w:rFonts w:hint="eastAsia" w:ascii="宋体" w:hAnsi="宋体" w:cs="宋体"/>
          <w:b/>
          <w:bCs/>
        </w:rPr>
      </w:pPr>
      <w:r>
        <w:rPr>
          <w:rFonts w:hint="eastAsia" w:ascii="宋体" w:hAnsi="宋体" w:cs="宋体"/>
          <w:spacing w:val="6"/>
        </w:rPr>
        <w:t>财库</w:t>
      </w:r>
      <w:r>
        <w:rPr>
          <w:rFonts w:hint="eastAsia" w:ascii="宋体" w:hAnsi="宋体" w:cs="宋体"/>
        </w:rPr>
        <w:t>〔2017〕 141</w:t>
      </w:r>
      <w:r>
        <w:rPr>
          <w:rFonts w:hint="eastAsia" w:ascii="宋体" w:hAnsi="宋体" w:cs="宋体"/>
          <w:spacing w:val="6"/>
        </w:rPr>
        <w:t>号</w:t>
      </w:r>
    </w:p>
    <w:p>
      <w:pPr>
        <w:pStyle w:val="46"/>
        <w:shd w:val="clear" w:color="auto" w:fill="FFFFFF"/>
        <w:spacing w:before="0" w:beforeAutospacing="0" w:after="0" w:afterAutospacing="0" w:line="360" w:lineRule="auto"/>
        <w:ind w:firstLine="480"/>
        <w:jc w:val="both"/>
        <w:rPr>
          <w:rFonts w:hint="eastAsia"/>
          <w:sz w:val="21"/>
          <w:szCs w:val="21"/>
        </w:rPr>
      </w:pPr>
      <w:bookmarkStart w:id="1016" w:name="toDeptId"/>
      <w:r>
        <w:rPr>
          <w:rFonts w:hint="eastAsia"/>
          <w:sz w:val="21"/>
          <w:szCs w:val="21"/>
        </w:rPr>
        <w:t>党中央有关部门，国务院各部委、各直属机构，全国人大常委会办公厅，全国政协办公厅，高法院，高检院，各民主党派中央，有关人民团体，各省、自治区、直辖市、计划单列市财政厅（局）、民政厅（局）、残疾人联合会，新疆生产建设兵团财务局、民政局、残疾人联合会</w:t>
      </w:r>
      <w:bookmarkEnd w:id="1016"/>
      <w:r>
        <w:rPr>
          <w:rFonts w:hint="eastAsia"/>
          <w:sz w:val="21"/>
          <w:szCs w:val="21"/>
        </w:rPr>
        <w:t>：</w:t>
      </w:r>
    </w:p>
    <w:p>
      <w:pPr>
        <w:pStyle w:val="46"/>
        <w:shd w:val="clear" w:color="auto" w:fill="FFFFFF"/>
        <w:spacing w:before="0" w:beforeAutospacing="0" w:after="0" w:afterAutospacing="0" w:line="360" w:lineRule="auto"/>
        <w:ind w:firstLine="480"/>
        <w:jc w:val="both"/>
        <w:rPr>
          <w:rFonts w:hint="eastAsia"/>
          <w:sz w:val="21"/>
          <w:szCs w:val="21"/>
        </w:rPr>
      </w:pPr>
      <w:r>
        <w:rPr>
          <w:rFonts w:hint="eastAsia"/>
          <w:sz w:val="21"/>
          <w:szCs w:val="21"/>
        </w:rPr>
        <w:t>　　为了发挥政府采购促进残疾人就业的作用，进一步保障残疾人权益，依照《政府采购法》、《残疾人保障法》等法律法规及相关规定，现就促进残疾人就业政府采购政策通知如下：</w:t>
      </w:r>
    </w:p>
    <w:p>
      <w:pPr>
        <w:pStyle w:val="46"/>
        <w:shd w:val="clear" w:color="auto" w:fill="FFFFFF"/>
        <w:spacing w:before="0" w:beforeAutospacing="0" w:after="0" w:afterAutospacing="0" w:line="360" w:lineRule="auto"/>
        <w:ind w:firstLine="480"/>
        <w:jc w:val="both"/>
        <w:rPr>
          <w:rFonts w:hint="eastAsia"/>
          <w:sz w:val="21"/>
          <w:szCs w:val="21"/>
        </w:rPr>
      </w:pPr>
      <w:r>
        <w:rPr>
          <w:rFonts w:hint="eastAsia"/>
          <w:sz w:val="21"/>
          <w:szCs w:val="21"/>
        </w:rPr>
        <w:t>　　一、享受政府采购支持政策的残疾人福利性单位应当同时满足以下条件：</w:t>
      </w:r>
    </w:p>
    <w:p>
      <w:pPr>
        <w:pStyle w:val="46"/>
        <w:shd w:val="clear" w:color="auto" w:fill="FFFFFF"/>
        <w:spacing w:before="0" w:beforeAutospacing="0" w:after="0" w:afterAutospacing="0" w:line="360" w:lineRule="auto"/>
        <w:ind w:firstLine="480"/>
        <w:jc w:val="both"/>
        <w:rPr>
          <w:rFonts w:hint="eastAsia"/>
          <w:sz w:val="21"/>
          <w:szCs w:val="21"/>
        </w:rPr>
      </w:pPr>
      <w:r>
        <w:rPr>
          <w:rFonts w:hint="eastAsia"/>
          <w:sz w:val="21"/>
          <w:szCs w:val="21"/>
        </w:rPr>
        <w:t>　　（一）安置的残疾人占本单位在职职工人数的比例不低于25%（含25%），并且安置的残疾人人数不少于10人（含10人）；</w:t>
      </w:r>
    </w:p>
    <w:p>
      <w:pPr>
        <w:pStyle w:val="46"/>
        <w:shd w:val="clear" w:color="auto" w:fill="FFFFFF"/>
        <w:spacing w:before="0" w:beforeAutospacing="0" w:after="0" w:afterAutospacing="0" w:line="360" w:lineRule="auto"/>
        <w:ind w:firstLine="480"/>
        <w:jc w:val="both"/>
        <w:rPr>
          <w:rFonts w:hint="eastAsia"/>
          <w:sz w:val="21"/>
          <w:szCs w:val="21"/>
        </w:rPr>
      </w:pPr>
      <w:r>
        <w:rPr>
          <w:rFonts w:hint="eastAsia"/>
          <w:sz w:val="21"/>
          <w:szCs w:val="21"/>
        </w:rPr>
        <w:t>　　（二）依法与安置的每位残疾人签订了一年以上（含一年）的劳动合同或服务协议；</w:t>
      </w:r>
    </w:p>
    <w:p>
      <w:pPr>
        <w:pStyle w:val="46"/>
        <w:shd w:val="clear" w:color="auto" w:fill="FFFFFF"/>
        <w:spacing w:before="0" w:beforeAutospacing="0" w:after="0" w:afterAutospacing="0" w:line="360" w:lineRule="auto"/>
        <w:ind w:firstLine="480"/>
        <w:jc w:val="both"/>
        <w:rPr>
          <w:rFonts w:hint="eastAsia"/>
          <w:sz w:val="21"/>
          <w:szCs w:val="21"/>
        </w:rPr>
      </w:pPr>
      <w:r>
        <w:rPr>
          <w:rFonts w:hint="eastAsia"/>
          <w:sz w:val="21"/>
          <w:szCs w:val="21"/>
        </w:rPr>
        <w:t>　　（三）为安置的每位残疾人按月足额缴纳了基本养老保险、基本医疗保险、失业保险、工伤保险和生育保险等社会保险费；</w:t>
      </w:r>
    </w:p>
    <w:p>
      <w:pPr>
        <w:pStyle w:val="46"/>
        <w:shd w:val="clear" w:color="auto" w:fill="FFFFFF"/>
        <w:spacing w:before="0" w:beforeAutospacing="0" w:after="0" w:afterAutospacing="0" w:line="360" w:lineRule="auto"/>
        <w:ind w:firstLine="480"/>
        <w:jc w:val="both"/>
        <w:rPr>
          <w:rFonts w:hint="eastAsia"/>
          <w:sz w:val="21"/>
          <w:szCs w:val="21"/>
        </w:rPr>
      </w:pPr>
      <w:r>
        <w:rPr>
          <w:rFonts w:hint="eastAsia"/>
          <w:sz w:val="21"/>
          <w:szCs w:val="21"/>
        </w:rPr>
        <w:t>　　（四）通过银行等金融机构向安置的每位残疾人，按月支付了不低于单位所在区县适用的经省级人民政府批准的月最低工资标准的工资；</w:t>
      </w:r>
    </w:p>
    <w:p>
      <w:pPr>
        <w:pStyle w:val="46"/>
        <w:shd w:val="clear" w:color="auto" w:fill="FFFFFF"/>
        <w:spacing w:before="0" w:beforeAutospacing="0" w:after="0" w:afterAutospacing="0" w:line="360" w:lineRule="auto"/>
        <w:ind w:firstLine="480"/>
        <w:jc w:val="both"/>
        <w:rPr>
          <w:rFonts w:hint="eastAsia"/>
          <w:sz w:val="21"/>
          <w:szCs w:val="21"/>
        </w:rPr>
      </w:pPr>
      <w:r>
        <w:rPr>
          <w:rFonts w:hint="eastAsia"/>
          <w:sz w:val="21"/>
          <w:szCs w:val="21"/>
        </w:rPr>
        <w:t>　　（五）提供本单位制造的货物、承担的工程或者服务（以下简称产品），或者提供其他残疾人福利性单位制造的货物（不包括使用非残疾人福利性单位注册商标的货物）。</w:t>
      </w:r>
    </w:p>
    <w:p>
      <w:pPr>
        <w:pStyle w:val="46"/>
        <w:shd w:val="clear" w:color="auto" w:fill="FFFFFF"/>
        <w:spacing w:before="0" w:beforeAutospacing="0" w:after="0" w:afterAutospacing="0" w:line="360" w:lineRule="auto"/>
        <w:ind w:firstLine="480"/>
        <w:jc w:val="both"/>
        <w:rPr>
          <w:rFonts w:hint="eastAsia"/>
          <w:sz w:val="21"/>
          <w:szCs w:val="21"/>
        </w:rPr>
      </w:pPr>
      <w:r>
        <w:rPr>
          <w:rFonts w:hint="eastAsia"/>
          <w:sz w:val="21"/>
          <w:szCs w:val="21"/>
        </w:rPr>
        <w:t>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pStyle w:val="46"/>
        <w:shd w:val="clear" w:color="auto" w:fill="FFFFFF"/>
        <w:spacing w:before="0" w:beforeAutospacing="0" w:after="0" w:afterAutospacing="0" w:line="360" w:lineRule="auto"/>
        <w:ind w:firstLine="480"/>
        <w:jc w:val="both"/>
        <w:rPr>
          <w:rFonts w:hint="eastAsia"/>
          <w:sz w:val="21"/>
          <w:szCs w:val="21"/>
        </w:rPr>
      </w:pPr>
      <w:r>
        <w:rPr>
          <w:rFonts w:hint="eastAsia"/>
          <w:sz w:val="21"/>
          <w:szCs w:val="21"/>
        </w:rPr>
        <w:t>　　二、符合条件的残疾人福利性单位在参加政府采购活动时，应当提供本通知规定的《残疾人福利性单位声明函》（见附件），并对声明的真实性负责。任何单位或者个人在政府采购活动中均不得要求残疾人福利性单位提供其他证明声明函内容的材料。</w:t>
      </w:r>
    </w:p>
    <w:p>
      <w:pPr>
        <w:pStyle w:val="46"/>
        <w:shd w:val="clear" w:color="auto" w:fill="FFFFFF"/>
        <w:spacing w:before="0" w:beforeAutospacing="0" w:after="0" w:afterAutospacing="0" w:line="360" w:lineRule="auto"/>
        <w:ind w:firstLine="480"/>
        <w:jc w:val="both"/>
        <w:rPr>
          <w:rFonts w:hint="eastAsia"/>
          <w:sz w:val="21"/>
          <w:szCs w:val="21"/>
        </w:rPr>
      </w:pPr>
      <w:r>
        <w:rPr>
          <w:rFonts w:hint="eastAsia"/>
          <w:sz w:val="21"/>
          <w:szCs w:val="21"/>
        </w:rPr>
        <w:t>　　中标、成交供应商为残疾人福利性单位的，采购人或者其委托的采购代理机构应当随中标、成交结果同时公告其《残疾人福利性单位声明函》，接受社会监督。</w:t>
      </w:r>
    </w:p>
    <w:p>
      <w:pPr>
        <w:pStyle w:val="46"/>
        <w:shd w:val="clear" w:color="auto" w:fill="FFFFFF"/>
        <w:spacing w:before="0" w:beforeAutospacing="0" w:after="0" w:afterAutospacing="0" w:line="360" w:lineRule="auto"/>
        <w:ind w:firstLine="480"/>
        <w:jc w:val="both"/>
        <w:rPr>
          <w:rFonts w:hint="eastAsia"/>
          <w:sz w:val="21"/>
          <w:szCs w:val="21"/>
        </w:rPr>
      </w:pPr>
      <w:r>
        <w:rPr>
          <w:rFonts w:hint="eastAsia"/>
          <w:sz w:val="21"/>
          <w:szCs w:val="21"/>
        </w:rPr>
        <w:t>　　供应商提供的《残疾人福利性单位声明函》与事实不符的，依照《政府采购法》第七十七条第一款的规定追究法律责任。</w:t>
      </w:r>
    </w:p>
    <w:p>
      <w:pPr>
        <w:pStyle w:val="46"/>
        <w:shd w:val="clear" w:color="auto" w:fill="FFFFFF"/>
        <w:spacing w:before="0" w:beforeAutospacing="0" w:after="0" w:afterAutospacing="0" w:line="360" w:lineRule="auto"/>
        <w:ind w:firstLine="480"/>
        <w:jc w:val="both"/>
        <w:rPr>
          <w:rFonts w:hint="eastAsia"/>
          <w:sz w:val="21"/>
          <w:szCs w:val="21"/>
        </w:rPr>
      </w:pPr>
      <w:r>
        <w:rPr>
          <w:rFonts w:hint="eastAsia"/>
          <w:sz w:val="21"/>
          <w:szCs w:val="21"/>
        </w:rPr>
        <w:t>　　三、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pPr>
        <w:pStyle w:val="46"/>
        <w:shd w:val="clear" w:color="auto" w:fill="FFFFFF"/>
        <w:spacing w:before="0" w:beforeAutospacing="0" w:after="0" w:afterAutospacing="0" w:line="360" w:lineRule="auto"/>
        <w:ind w:firstLine="480"/>
        <w:jc w:val="both"/>
        <w:rPr>
          <w:rFonts w:hint="eastAsia"/>
          <w:sz w:val="21"/>
          <w:szCs w:val="21"/>
        </w:rPr>
      </w:pPr>
      <w:r>
        <w:rPr>
          <w:rFonts w:hint="eastAsia"/>
          <w:sz w:val="21"/>
          <w:szCs w:val="21"/>
        </w:rPr>
        <w:t>　　四、采购人采购公开招标数额标准以上的货物或者服务，因落实促进残疾人就业政策的需要，依法履行有关报批程序后，可采用公开招标以外的采购人式。</w:t>
      </w:r>
    </w:p>
    <w:p>
      <w:pPr>
        <w:pStyle w:val="46"/>
        <w:shd w:val="clear" w:color="auto" w:fill="FFFFFF"/>
        <w:spacing w:before="0" w:beforeAutospacing="0" w:after="0" w:afterAutospacing="0" w:line="360" w:lineRule="auto"/>
        <w:ind w:firstLine="480"/>
        <w:jc w:val="both"/>
        <w:rPr>
          <w:rFonts w:hint="eastAsia"/>
          <w:sz w:val="21"/>
          <w:szCs w:val="21"/>
        </w:rPr>
      </w:pPr>
      <w:r>
        <w:rPr>
          <w:rFonts w:hint="eastAsia"/>
          <w:sz w:val="21"/>
          <w:szCs w:val="21"/>
        </w:rPr>
        <w:t>　　五、对于满足要求的残疾人福利性单位产品，集中采购机构可直接纳入协议供货或者定点采购范围。各地区建设的政府采购电子卖场、电子商城、网上超市等应当设立残疾人福利性单位产品专栏。鼓励采购人优先选择残疾人福利性单位的产品。</w:t>
      </w:r>
    </w:p>
    <w:p>
      <w:pPr>
        <w:pStyle w:val="46"/>
        <w:shd w:val="clear" w:color="auto" w:fill="FFFFFF"/>
        <w:spacing w:before="0" w:beforeAutospacing="0" w:after="0" w:afterAutospacing="0" w:line="360" w:lineRule="auto"/>
        <w:ind w:firstLine="480"/>
        <w:jc w:val="both"/>
        <w:rPr>
          <w:rFonts w:hint="eastAsia"/>
          <w:sz w:val="21"/>
          <w:szCs w:val="21"/>
        </w:rPr>
      </w:pPr>
      <w:r>
        <w:rPr>
          <w:rFonts w:hint="eastAsia"/>
          <w:sz w:val="21"/>
          <w:szCs w:val="21"/>
        </w:rPr>
        <w:t>　　六、省级财政部门可以结合本地区残疾人生产、经营的实际情况，细化政府采购支持措施。对符合国家有关部门规定条件的残疾人辅助性就业机构，可通过上述措施予以支持。各地制定的有关文件应当报财政部备案。</w:t>
      </w:r>
    </w:p>
    <w:p>
      <w:pPr>
        <w:pStyle w:val="46"/>
        <w:shd w:val="clear" w:color="auto" w:fill="FFFFFF"/>
        <w:spacing w:before="0" w:beforeAutospacing="0" w:after="0" w:afterAutospacing="0" w:line="360" w:lineRule="auto"/>
        <w:ind w:firstLine="480"/>
        <w:jc w:val="both"/>
        <w:rPr>
          <w:rFonts w:hint="eastAsia"/>
          <w:sz w:val="21"/>
          <w:szCs w:val="21"/>
        </w:rPr>
      </w:pPr>
      <w:r>
        <w:rPr>
          <w:rFonts w:hint="eastAsia"/>
          <w:sz w:val="21"/>
          <w:szCs w:val="21"/>
        </w:rPr>
        <w:t>　　七、本通知自2017年10月1日起执行。</w:t>
      </w:r>
    </w:p>
    <w:p>
      <w:pPr>
        <w:pStyle w:val="46"/>
        <w:shd w:val="clear" w:color="auto" w:fill="FFFFFF"/>
        <w:spacing w:before="0" w:beforeAutospacing="0" w:after="0" w:afterAutospacing="0" w:line="360" w:lineRule="auto"/>
        <w:ind w:firstLine="480"/>
        <w:jc w:val="right"/>
        <w:rPr>
          <w:rFonts w:hint="eastAsia"/>
          <w:sz w:val="21"/>
          <w:szCs w:val="21"/>
        </w:rPr>
      </w:pPr>
      <w:r>
        <w:rPr>
          <w:rFonts w:hint="eastAsia"/>
          <w:sz w:val="21"/>
          <w:szCs w:val="21"/>
        </w:rPr>
        <w:t>　　财政部 民政部 中国残疾人联合会</w:t>
      </w:r>
    </w:p>
    <w:p>
      <w:pPr>
        <w:pStyle w:val="46"/>
        <w:shd w:val="clear" w:color="auto" w:fill="FFFFFF"/>
        <w:spacing w:before="0" w:beforeAutospacing="0" w:after="0" w:afterAutospacing="0" w:line="360" w:lineRule="auto"/>
        <w:ind w:firstLine="480"/>
        <w:jc w:val="right"/>
        <w:rPr>
          <w:rFonts w:hint="eastAsia"/>
          <w:sz w:val="21"/>
          <w:szCs w:val="21"/>
        </w:rPr>
      </w:pPr>
      <w:r>
        <w:rPr>
          <w:rFonts w:hint="eastAsia"/>
          <w:sz w:val="21"/>
          <w:szCs w:val="21"/>
        </w:rPr>
        <w:t>　　2017年8月22日</w:t>
      </w:r>
    </w:p>
    <w:p>
      <w:pPr>
        <w:widowControl/>
        <w:jc w:val="left"/>
        <w:rPr>
          <w:rFonts w:hint="eastAsia" w:ascii="宋体" w:hAnsi="宋体" w:cs="宋体"/>
          <w:kern w:val="0"/>
          <w:szCs w:val="21"/>
        </w:rPr>
      </w:pPr>
      <w:r>
        <w:rPr>
          <w:rFonts w:ascii="宋体" w:hAnsi="宋体"/>
          <w:szCs w:val="21"/>
        </w:rPr>
        <w:br w:type="page"/>
      </w:r>
    </w:p>
    <w:p>
      <w:pPr>
        <w:pStyle w:val="3"/>
        <w:tabs>
          <w:tab w:val="left" w:pos="432"/>
        </w:tabs>
        <w:spacing w:line="360" w:lineRule="auto"/>
        <w:jc w:val="left"/>
        <w:rPr>
          <w:rFonts w:hint="eastAsia" w:hAnsi="宋体" w:cs="宋体"/>
          <w:bCs/>
          <w:sz w:val="24"/>
          <w:szCs w:val="24"/>
        </w:rPr>
      </w:pPr>
      <w:bookmarkStart w:id="1017" w:name="_Toc209958513"/>
      <w:bookmarkStart w:id="1018" w:name="_Toc199921598"/>
      <w:bookmarkStart w:id="1019" w:name="_Toc218620579"/>
      <w:r>
        <w:rPr>
          <w:rFonts w:hint="eastAsia" w:hAnsi="宋体" w:cs="宋体"/>
          <w:bCs/>
          <w:sz w:val="24"/>
          <w:szCs w:val="24"/>
        </w:rPr>
        <w:t>附录4：财政部 司法部 关于政府采购支持监狱企业发展有关问题的通知</w:t>
      </w:r>
      <w:bookmarkEnd w:id="1017"/>
      <w:bookmarkEnd w:id="1018"/>
      <w:bookmarkEnd w:id="1019"/>
      <w:r>
        <w:rPr>
          <w:rFonts w:hint="eastAsia" w:hAnsi="宋体" w:cs="宋体"/>
          <w:bCs/>
          <w:sz w:val="24"/>
          <w:szCs w:val="24"/>
        </w:rPr>
        <w:t xml:space="preserve">  </w:t>
      </w:r>
    </w:p>
    <w:p>
      <w:pPr>
        <w:pStyle w:val="5"/>
        <w:snapToGrid w:val="0"/>
        <w:rPr>
          <w:rFonts w:hint="eastAsia" w:hAnsi="宋体"/>
        </w:rPr>
      </w:pPr>
    </w:p>
    <w:p>
      <w:pPr>
        <w:pStyle w:val="5"/>
        <w:snapToGrid w:val="0"/>
        <w:ind w:firstLine="0"/>
        <w:jc w:val="center"/>
        <w:rPr>
          <w:rFonts w:hint="eastAsia" w:hAnsi="宋体"/>
        </w:rPr>
      </w:pPr>
      <w:r>
        <w:rPr>
          <w:rFonts w:hint="eastAsia" w:hAnsi="宋体"/>
        </w:rPr>
        <w:t>2014年6月10日 财库〔2014〕68号</w:t>
      </w:r>
    </w:p>
    <w:p>
      <w:pPr>
        <w:pStyle w:val="5"/>
        <w:snapToGrid w:val="0"/>
        <w:rPr>
          <w:rFonts w:hint="eastAsia" w:hAnsi="宋体"/>
        </w:rPr>
      </w:pPr>
    </w:p>
    <w:p>
      <w:pPr>
        <w:pStyle w:val="46"/>
        <w:shd w:val="clear" w:color="auto" w:fill="FFFFFF"/>
        <w:spacing w:before="0" w:beforeAutospacing="0" w:after="0" w:afterAutospacing="0" w:line="360" w:lineRule="auto"/>
        <w:ind w:firstLine="480" w:firstLineChars="200"/>
        <w:jc w:val="both"/>
        <w:rPr>
          <w:rFonts w:hint="eastAsia"/>
        </w:rPr>
      </w:pPr>
      <w:r>
        <w:rPr>
          <w:rFonts w:hint="eastAsia"/>
        </w:rPr>
        <w:t>党中央有关部门，国务院各部委、各直属机构，全国人大常委会办公厅，全国政协办公厅，高法院，高检院，有关人民团体，中央国家机关政府采购中心，中共中央直属机关采购中心，全国人大机关采购中心，各省、自治区、直辖市、计划单列市财政厅(局)、司法厅(局)，新疆生产建设兵团财务局、司法局、监狱管理局：</w:t>
      </w:r>
    </w:p>
    <w:p>
      <w:pPr>
        <w:pStyle w:val="46"/>
        <w:shd w:val="clear" w:color="auto" w:fill="FFFFFF"/>
        <w:spacing w:before="0" w:beforeAutospacing="0" w:after="0" w:afterAutospacing="0" w:line="360" w:lineRule="auto"/>
        <w:ind w:firstLine="480" w:firstLineChars="200"/>
        <w:jc w:val="both"/>
        <w:rPr>
          <w:rFonts w:hint="eastAsia"/>
        </w:rPr>
      </w:pPr>
      <w:r>
        <w:rPr>
          <w:rFonts w:hint="eastAsia"/>
        </w:rPr>
        <w:t>政府采购支持监狱和戒毒企业(以下简称监狱企业)发展对稳定监狱企业生产，提高财政资金使用效益，为罪犯和戒毒人员提供长期可靠的劳动岗位，提高罪犯和戒毒人员的教育改造质量，减少重新违法犯罪，确保监狱、戒毒场所安全稳定，促进社会和谐稳定具有十分重要的意义。为进一步贯彻落实国务院《关于解决监狱企业困难的实施方案的通知》(国发〔2003〕7号)精神，发挥政府采购支持监狱企业发展的作用，现就有关事项通知如下：</w:t>
      </w:r>
    </w:p>
    <w:p>
      <w:pPr>
        <w:pStyle w:val="46"/>
        <w:shd w:val="clear" w:color="auto" w:fill="FFFFFF"/>
        <w:spacing w:before="0" w:beforeAutospacing="0" w:after="0" w:afterAutospacing="0" w:line="360" w:lineRule="auto"/>
        <w:ind w:firstLine="480" w:firstLineChars="200"/>
        <w:jc w:val="both"/>
        <w:rPr>
          <w:rFonts w:hint="eastAsia"/>
        </w:rPr>
      </w:pPr>
      <w:r>
        <w:rPr>
          <w:rFonts w:hint="eastAsia"/>
        </w:rPr>
        <w:t>一、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p>
    <w:p>
      <w:pPr>
        <w:pStyle w:val="46"/>
        <w:shd w:val="clear" w:color="auto" w:fill="FFFFFF"/>
        <w:spacing w:before="0" w:beforeAutospacing="0" w:after="0" w:afterAutospacing="0" w:line="360" w:lineRule="auto"/>
        <w:ind w:firstLine="480" w:firstLineChars="200"/>
        <w:jc w:val="both"/>
        <w:rPr>
          <w:rFonts w:hint="eastAsia"/>
        </w:rPr>
      </w:pPr>
      <w:r>
        <w:rPr>
          <w:rFonts w:hint="eastAsia"/>
        </w:rPr>
        <w:t>二、在政府采购活动中，监狱企业视同小型、微型企业，享受预留份额、评审中价格扣除等政府采购促进中小企业发展的政府采购政策。向监狱企业采购的金额，计入面向中小企业采购的统计数据。</w:t>
      </w:r>
    </w:p>
    <w:p>
      <w:pPr>
        <w:pStyle w:val="46"/>
        <w:shd w:val="clear" w:color="auto" w:fill="FFFFFF"/>
        <w:spacing w:before="0" w:beforeAutospacing="0" w:after="0" w:afterAutospacing="0" w:line="360" w:lineRule="auto"/>
        <w:ind w:firstLine="480" w:firstLineChars="200"/>
        <w:jc w:val="both"/>
        <w:rPr>
          <w:rFonts w:hint="eastAsia"/>
        </w:rPr>
      </w:pPr>
      <w:r>
        <w:rPr>
          <w:rFonts w:hint="eastAsia"/>
        </w:rPr>
        <w:t>三、各地区、各部门要积极通过预留采购份额支持监狱企业。有制服采购项目的部门，应加强对政府采购预算和计划编制工作的统筹，预留本部门制服采购项目预算总额的30%以上，专门面向监狱企业采购。省级以上政府部门组织的公务员考试、招生考试、等级考试、资格考试的试卷印刷项目原则上应当在符合有关资质的监狱企业范围内采购。各地在免费教科书政府采购工作中，应当根据符合教科书印制资质的监狱企业情况，提出由监狱企业印刷的比例要求。</w:t>
      </w:r>
    </w:p>
    <w:p>
      <w:pPr>
        <w:pStyle w:val="46"/>
        <w:shd w:val="clear" w:color="auto" w:fill="FFFFFF"/>
        <w:spacing w:before="0" w:beforeAutospacing="0" w:after="0" w:afterAutospacing="0" w:line="360" w:lineRule="auto"/>
        <w:ind w:firstLine="480" w:firstLineChars="200"/>
        <w:jc w:val="both"/>
        <w:rPr>
          <w:rFonts w:hint="eastAsia"/>
        </w:rPr>
      </w:pPr>
      <w:r>
        <w:rPr>
          <w:rFonts w:hint="eastAsia"/>
        </w:rPr>
        <w:t>四、各地区可以结合本地区实际，对监狱企业生产的办公用品、家具用具、车辆维修和提供的保养服务、消防设备等，提出预留份额等政府采购支持措施，加大对监狱企业产品的采购力度。</w:t>
      </w:r>
    </w:p>
    <w:p>
      <w:pPr>
        <w:pStyle w:val="46"/>
        <w:shd w:val="clear" w:color="auto" w:fill="FFFFFF"/>
        <w:spacing w:before="0" w:beforeAutospacing="0" w:after="0" w:afterAutospacing="0" w:line="360" w:lineRule="auto"/>
        <w:ind w:firstLine="480" w:firstLineChars="200"/>
        <w:jc w:val="both"/>
        <w:rPr>
          <w:rFonts w:hint="eastAsia"/>
        </w:rPr>
      </w:pPr>
      <w:r>
        <w:rPr>
          <w:rFonts w:hint="eastAsia"/>
        </w:rPr>
        <w:t>五、各地区、各部门要高度重视，加强组织管理和监督，做好政府采购支持监狱企业发展的相关工作。有关部门要加强监管，确保面向监狱企业采购的工作依法依规进行。各监狱企业要不断提高监狱企业产品的质量和服务水平，为做好监狱企业产品政府采购工作提供有力保障。</w:t>
      </w:r>
    </w:p>
    <w:p>
      <w:pPr>
        <w:widowControl/>
        <w:jc w:val="left"/>
        <w:rPr>
          <w:rFonts w:hint="eastAsia" w:ascii="宋体" w:hAnsi="宋体" w:cs="宋体"/>
          <w:kern w:val="0"/>
          <w:sz w:val="24"/>
        </w:rPr>
      </w:pPr>
      <w:r>
        <w:rPr>
          <w:rFonts w:ascii="宋体" w:hAnsi="宋体"/>
        </w:rPr>
        <w:br w:type="page"/>
      </w:r>
    </w:p>
    <w:p>
      <w:pPr>
        <w:pStyle w:val="3"/>
        <w:tabs>
          <w:tab w:val="left" w:pos="432"/>
        </w:tabs>
        <w:spacing w:line="360" w:lineRule="auto"/>
        <w:jc w:val="left"/>
        <w:rPr>
          <w:rFonts w:hint="eastAsia" w:hAnsi="宋体" w:cs="宋体"/>
          <w:bCs/>
          <w:sz w:val="24"/>
          <w:szCs w:val="24"/>
        </w:rPr>
      </w:pPr>
      <w:bookmarkStart w:id="1020" w:name="_Toc199921599"/>
      <w:bookmarkStart w:id="1021" w:name="_Toc209958514"/>
      <w:bookmarkStart w:id="1022" w:name="_Toc218620580"/>
      <w:r>
        <w:rPr>
          <w:rFonts w:hint="eastAsia" w:hAnsi="宋体" w:cs="宋体"/>
          <w:bCs/>
          <w:sz w:val="24"/>
          <w:szCs w:val="24"/>
        </w:rPr>
        <w:t>附录5：关于进一步加大政府采购支持中小企业力度的通知</w:t>
      </w:r>
      <w:bookmarkEnd w:id="1020"/>
      <w:bookmarkEnd w:id="1021"/>
      <w:bookmarkEnd w:id="1022"/>
    </w:p>
    <w:p>
      <w:pPr>
        <w:jc w:val="center"/>
        <w:rPr>
          <w:rFonts w:hint="eastAsia" w:ascii="宋体" w:hAnsi="宋体"/>
          <w:sz w:val="24"/>
        </w:rPr>
      </w:pPr>
      <w:r>
        <w:rPr>
          <w:rFonts w:hint="eastAsia" w:ascii="宋体" w:hAnsi="宋体"/>
          <w:sz w:val="24"/>
        </w:rPr>
        <w:t>财库〔2022〕19号</w:t>
      </w:r>
    </w:p>
    <w:p>
      <w:pPr>
        <w:pStyle w:val="46"/>
        <w:shd w:val="clear" w:color="auto" w:fill="FFFFFF"/>
        <w:spacing w:before="0" w:beforeAutospacing="0" w:after="225" w:afterAutospacing="0" w:line="360" w:lineRule="auto"/>
        <w:rPr>
          <w:rFonts w:hint="eastAsia"/>
        </w:rPr>
      </w:pPr>
      <w:r>
        <w:rPr>
          <w:rFonts w:hint="eastAsia"/>
        </w:rPr>
        <w:t>各中央预算单位，各省、自治区、直辖市、计划单列市财政厅（局），新疆生产建设兵团财政局：</w:t>
      </w:r>
    </w:p>
    <w:p>
      <w:pPr>
        <w:pStyle w:val="46"/>
        <w:shd w:val="clear" w:color="auto" w:fill="FFFFFF"/>
        <w:spacing w:before="0" w:beforeAutospacing="0" w:after="225" w:afterAutospacing="0" w:line="360" w:lineRule="auto"/>
        <w:ind w:firstLine="480"/>
        <w:rPr>
          <w:rFonts w:hint="eastAsia"/>
        </w:rPr>
      </w:pPr>
      <w:r>
        <w:rPr>
          <w:rFonts w:hint="eastAsia"/>
        </w:rPr>
        <w:t>为贯彻落实《国务院关于印发扎实稳住经济一揽子政策措施的通知》（国发〔2022〕12号）有关要求，做好财政政策支持中小企业纾困解难工作，助力经济平稳健康发展，现就加大政府采购支持中小企业力度有关事项通知如下：</w:t>
      </w:r>
    </w:p>
    <w:p>
      <w:pPr>
        <w:pStyle w:val="46"/>
        <w:shd w:val="clear" w:color="auto" w:fill="FFFFFF"/>
        <w:spacing w:before="0" w:beforeAutospacing="0" w:after="0" w:afterAutospacing="0" w:line="360" w:lineRule="auto"/>
        <w:ind w:firstLine="480"/>
        <w:rPr>
          <w:rFonts w:hint="eastAsia"/>
        </w:rPr>
      </w:pPr>
      <w:r>
        <w:rPr>
          <w:rFonts w:hint="eastAsia"/>
          <w:b/>
          <w:bCs/>
        </w:rPr>
        <w:t>一、严格落实支持中小企业政府采购政策。</w:t>
      </w:r>
      <w:r>
        <w:rPr>
          <w:rFonts w:hint="eastAsia"/>
        </w:rPr>
        <w:t>各地区、各部门要按照国务院的统一部署，认真落实《政府采购促进中小企业发展管理办法》（财库〔2020〕46号）的规定，规范资格条件设置，降低中小企业参与门槛，灵活采取项目整体预留、合理预留采购包、要求大企业与中小企业组成联合体、要求大企业向中小企业分包等形式，确保中小企业合同份额。要通过提高预付款比例、引入信用担保、支持中小企业开展合同融资、免费提供电子采购文件等方式，为中小企业参与采购活动提供便利。要严格按规定及时支付采购资金，不得收取没有法律法规依据的保证金，有效减轻中小企业资金压力。</w:t>
      </w:r>
    </w:p>
    <w:p>
      <w:pPr>
        <w:pStyle w:val="46"/>
        <w:shd w:val="clear" w:color="auto" w:fill="FFFFFF"/>
        <w:spacing w:before="0" w:beforeAutospacing="0" w:after="0" w:afterAutospacing="0" w:line="360" w:lineRule="auto"/>
        <w:ind w:firstLine="480"/>
        <w:rPr>
          <w:rFonts w:hint="eastAsia"/>
        </w:rPr>
      </w:pPr>
      <w:r>
        <w:rPr>
          <w:rFonts w:hint="eastAsia"/>
          <w:b/>
          <w:bCs/>
        </w:rPr>
        <w:t>二、调整对小微企业的价格评审优惠幅度。</w:t>
      </w:r>
      <w:r>
        <w:rPr>
          <w:rFonts w:hint="eastAsia"/>
        </w:rPr>
        <w:t>货物服务采购项目给予小微企业的价格扣除优惠，由财库〔2020〕46号文件规定的6%—10%提高至10%—20%。大中型企业与小微企业组成联合体或者大中型企业向小微企业分包的，评审优惠幅度由2%—3%提高至4%—6%。政府采购工程的价格评审优惠按照财库〔2020〕46号文件的规定执行。自本通知执行之日起发布采购公告或者发出采购邀请的货物服务采购项目，按照本通知规定的评审优惠幅度执行。</w:t>
      </w:r>
    </w:p>
    <w:p>
      <w:pPr>
        <w:pStyle w:val="46"/>
        <w:shd w:val="clear" w:color="auto" w:fill="FFFFFF"/>
        <w:spacing w:before="0" w:beforeAutospacing="0" w:after="0" w:afterAutospacing="0" w:line="360" w:lineRule="auto"/>
        <w:ind w:firstLine="480"/>
        <w:rPr>
          <w:rFonts w:hint="eastAsia"/>
        </w:rPr>
      </w:pPr>
      <w:r>
        <w:rPr>
          <w:rFonts w:hint="eastAsia"/>
          <w:b/>
          <w:bCs/>
        </w:rPr>
        <w:t>三、提高政府采购工程面向中小企业预留份额。</w:t>
      </w:r>
      <w:r>
        <w:rPr>
          <w:rFonts w:hint="eastAsia"/>
        </w:rPr>
        <w:t>400万元以下的工程采购项目适宜由中小企业提供的，采购人应当专门面向中小企业采购。超过400万元的工程采购项目中适宜由中小企业提供的，在坚持公开公正、公平竞争原则和统一质量标准的前提下，2022年下半年面向中小企业的预留份额由30%以上阶段性提高至40%以上。发展改革委会同相关工程招投标行政监督部门完善工程招投标领域落实政府采购支持中小企业政策相关措施。省级财政部门要积极协调发展改革、工业和信息化、住房和城乡建设、交通、水利、商务、铁路、民航等部门调整完善工程招投标领域有关标准文本、评标制度等规定和做法，并于2022年6月30日前将落实情况汇总报财政部。</w:t>
      </w:r>
    </w:p>
    <w:p>
      <w:pPr>
        <w:pStyle w:val="46"/>
        <w:shd w:val="clear" w:color="auto" w:fill="FFFFFF"/>
        <w:spacing w:before="0" w:beforeAutospacing="0" w:after="0" w:afterAutospacing="0" w:line="360" w:lineRule="auto"/>
        <w:ind w:firstLine="480"/>
        <w:rPr>
          <w:rFonts w:hint="eastAsia"/>
        </w:rPr>
      </w:pPr>
      <w:r>
        <w:rPr>
          <w:rFonts w:hint="eastAsia"/>
          <w:b/>
          <w:bCs/>
        </w:rPr>
        <w:t>四、认真做好组织实施。</w:t>
      </w:r>
      <w:r>
        <w:rPr>
          <w:rFonts w:hint="eastAsia"/>
        </w:rPr>
        <w:t>各地区、各部门应当加强组织领导，明确工作责任，细化执行要求，强化监督检查，确保国务院部署落实到位，对通知执行中出现的问题要及时向财政部报告。</w:t>
      </w:r>
    </w:p>
    <w:p>
      <w:pPr>
        <w:pStyle w:val="46"/>
        <w:shd w:val="clear" w:color="auto" w:fill="FFFFFF"/>
        <w:spacing w:before="0" w:beforeAutospacing="0" w:after="225" w:afterAutospacing="0" w:line="360" w:lineRule="auto"/>
        <w:ind w:firstLine="480"/>
        <w:rPr>
          <w:rFonts w:hint="eastAsia"/>
        </w:rPr>
      </w:pPr>
      <w:r>
        <w:rPr>
          <w:rFonts w:hint="eastAsia"/>
        </w:rPr>
        <w:t>本通知自2022年7月1日起执行。</w:t>
      </w:r>
    </w:p>
    <w:p>
      <w:pPr>
        <w:pStyle w:val="46"/>
        <w:shd w:val="clear" w:color="auto" w:fill="FFFFFF"/>
        <w:spacing w:before="0" w:beforeAutospacing="0" w:after="0" w:afterAutospacing="0" w:line="360" w:lineRule="auto"/>
        <w:jc w:val="right"/>
        <w:rPr>
          <w:rFonts w:hint="eastAsia"/>
        </w:rPr>
      </w:pPr>
      <w:r>
        <w:rPr>
          <w:rFonts w:hint="eastAsia"/>
        </w:rPr>
        <w:t>财政部</w:t>
      </w:r>
      <w:r>
        <w:rPr>
          <w:rFonts w:hint="eastAsia"/>
        </w:rPr>
        <w:br w:type="textWrapping"/>
      </w:r>
      <w:r>
        <w:rPr>
          <w:rFonts w:hint="eastAsia"/>
        </w:rPr>
        <w:t>2022年5月30日</w:t>
      </w:r>
    </w:p>
    <w:p>
      <w:pPr>
        <w:widowControl/>
        <w:spacing w:line="360" w:lineRule="auto"/>
        <w:jc w:val="left"/>
        <w:rPr>
          <w:rFonts w:hint="eastAsia" w:ascii="宋体" w:hAnsi="宋体"/>
          <w:kern w:val="0"/>
          <w:sz w:val="24"/>
        </w:rPr>
      </w:pPr>
      <w:r>
        <w:rPr>
          <w:rFonts w:ascii="宋体" w:hAnsi="宋体"/>
          <w:kern w:val="0"/>
          <w:sz w:val="24"/>
        </w:rPr>
        <w:br w:type="page"/>
      </w:r>
    </w:p>
    <w:p>
      <w:pPr>
        <w:pStyle w:val="3"/>
        <w:tabs>
          <w:tab w:val="left" w:pos="432"/>
        </w:tabs>
        <w:spacing w:line="360" w:lineRule="auto"/>
        <w:jc w:val="left"/>
        <w:rPr>
          <w:rFonts w:hint="eastAsia" w:hAnsi="宋体" w:cs="宋体"/>
          <w:bCs/>
          <w:sz w:val="24"/>
          <w:szCs w:val="24"/>
        </w:rPr>
      </w:pPr>
      <w:bookmarkStart w:id="1023" w:name="_Toc199921600"/>
      <w:bookmarkStart w:id="1024" w:name="_Toc218620581"/>
      <w:bookmarkStart w:id="1025" w:name="_Toc209958515"/>
      <w:bookmarkStart w:id="1026" w:name="_Toc85461452"/>
      <w:bookmarkStart w:id="1027" w:name="_Toc83722640"/>
      <w:bookmarkStart w:id="1028" w:name="_Toc92789352"/>
      <w:bookmarkStart w:id="1029" w:name="_Toc101191901"/>
      <w:bookmarkStart w:id="1030" w:name="_Toc39874978"/>
      <w:bookmarkStart w:id="1031" w:name="_Toc9219"/>
      <w:bookmarkStart w:id="1032" w:name="_Toc105425454"/>
      <w:bookmarkStart w:id="1033" w:name="_Toc102058325"/>
      <w:r>
        <w:rPr>
          <w:rFonts w:hint="eastAsia" w:hAnsi="宋体" w:cs="宋体"/>
          <w:bCs/>
          <w:sz w:val="24"/>
          <w:szCs w:val="24"/>
        </w:rPr>
        <w:t>附录6：财政部 发展改革委关于印发节能产品政府采购品目清单的通知</w:t>
      </w:r>
      <w:bookmarkEnd w:id="1023"/>
      <w:bookmarkEnd w:id="1024"/>
      <w:bookmarkEnd w:id="1025"/>
    </w:p>
    <w:p>
      <w:pPr>
        <w:spacing w:line="360" w:lineRule="auto"/>
        <w:ind w:firstLine="480" w:firstLineChars="200"/>
        <w:jc w:val="center"/>
        <w:rPr>
          <w:rFonts w:hint="eastAsia" w:ascii="宋体" w:hAnsi="宋体"/>
          <w:sz w:val="24"/>
        </w:rPr>
      </w:pPr>
      <w:r>
        <w:rPr>
          <w:rFonts w:hint="eastAsia" w:ascii="宋体" w:hAnsi="宋体" w:cs="宋体"/>
          <w:sz w:val="24"/>
        </w:rPr>
        <w:t>（财库〔2019〕19号）</w:t>
      </w:r>
    </w:p>
    <w:p>
      <w:pPr>
        <w:spacing w:line="360" w:lineRule="auto"/>
        <w:ind w:firstLine="480" w:firstLineChars="200"/>
        <w:rPr>
          <w:rFonts w:hint="eastAsia" w:ascii="宋体" w:hAnsi="宋体"/>
          <w:sz w:val="24"/>
        </w:rPr>
      </w:pPr>
      <w:r>
        <w:rPr>
          <w:rFonts w:hint="eastAsia" w:ascii="宋体" w:hAnsi="宋体"/>
          <w:sz w:val="24"/>
        </w:rPr>
        <w:t>有关中央预算单位，各省、自治区、直辖市、计划单列市财政厅（局）、发展改革委（经信委、工信委、工信厅、经信局），新疆生产建设兵团财政局、发展改革委：</w:t>
      </w:r>
    </w:p>
    <w:p>
      <w:pPr>
        <w:spacing w:line="360" w:lineRule="auto"/>
        <w:ind w:firstLine="480" w:firstLineChars="200"/>
        <w:rPr>
          <w:rFonts w:hint="eastAsia" w:ascii="宋体" w:hAnsi="宋体"/>
          <w:sz w:val="24"/>
        </w:rPr>
      </w:pPr>
      <w:r>
        <w:rPr>
          <w:rFonts w:hint="eastAsia" w:ascii="宋体" w:hAnsi="宋体"/>
          <w:sz w:val="24"/>
        </w:rPr>
        <w:t>根据《财政部 发展改革委 生态环境部 市场监管总局关于调整优化节能产品环境标志产品政府采购执行机制的通知》（财库〔2019〕9号），我们研究制定节能产品政府采购品目清单，现印发给你们，请遵照执行。</w:t>
      </w:r>
    </w:p>
    <w:p>
      <w:pPr>
        <w:tabs>
          <w:tab w:val="left" w:pos="7088"/>
        </w:tabs>
        <w:spacing w:before="602" w:after="302" w:line="360" w:lineRule="auto"/>
        <w:ind w:left="302" w:right="226" w:firstLine="480" w:firstLineChars="200"/>
        <w:rPr>
          <w:rFonts w:hint="eastAsia" w:ascii="宋体" w:hAnsi="宋体" w:cs="宋体"/>
          <w:szCs w:val="21"/>
        </w:rPr>
      </w:pPr>
      <w:r>
        <w:rPr>
          <w:rFonts w:ascii="宋体" w:hAnsi="宋体"/>
          <w:sz w:val="24"/>
        </w:rPr>
        <w:t xml:space="preserve"> </w:t>
      </w:r>
    </w:p>
    <w:p>
      <w:pPr>
        <w:rPr>
          <w:rFonts w:hint="eastAsia" w:ascii="宋体" w:hAnsi="宋体" w:cs="宋体"/>
        </w:rPr>
      </w:pPr>
    </w:p>
    <w:p>
      <w:pPr>
        <w:tabs>
          <w:tab w:val="left" w:pos="7088"/>
        </w:tabs>
        <w:spacing w:before="602" w:after="302" w:line="360" w:lineRule="auto"/>
        <w:ind w:right="226"/>
        <w:rPr>
          <w:rFonts w:hint="eastAsia" w:ascii="宋体" w:hAnsi="宋体" w:cs="宋体"/>
        </w:rPr>
      </w:pPr>
      <w:r>
        <w:rPr>
          <w:rFonts w:hint="eastAsia" w:ascii="宋体" w:hAnsi="宋体" w:cs="宋体"/>
        </w:rPr>
        <w:drawing>
          <wp:inline distT="0" distB="0" distL="114300" distR="114300">
            <wp:extent cx="5274945" cy="6802120"/>
            <wp:effectExtent l="0" t="0" r="1905" b="17780"/>
            <wp:docPr id="29" name="图片 29" descr="D:\传输文件\WeChat Files\wxid_9890248905412\FileStorage\Temp\1666628018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传输文件\WeChat Files\wxid_9890248905412\FileStorage\Temp\1666628018257.png"/>
                    <pic:cNvPicPr>
                      <a:picLocks noChangeAspect="1"/>
                    </pic:cNvPicPr>
                  </pic:nvPicPr>
                  <pic:blipFill>
                    <a:blip r:embed="rId11"/>
                    <a:stretch>
                      <a:fillRect/>
                    </a:stretch>
                  </pic:blipFill>
                  <pic:spPr>
                    <a:xfrm>
                      <a:off x="0" y="0"/>
                      <a:ext cx="5274945" cy="6802120"/>
                    </a:xfrm>
                    <a:prstGeom prst="rect">
                      <a:avLst/>
                    </a:prstGeom>
                    <a:noFill/>
                    <a:ln>
                      <a:noFill/>
                    </a:ln>
                  </pic:spPr>
                </pic:pic>
              </a:graphicData>
            </a:graphic>
          </wp:inline>
        </w:drawing>
      </w:r>
      <w:r>
        <w:rPr>
          <w:rFonts w:hint="eastAsia" w:ascii="宋体" w:hAnsi="宋体" w:cs="宋体"/>
        </w:rPr>
        <w:t xml:space="preserve"> </w:t>
      </w:r>
      <w:r>
        <w:rPr>
          <w:rFonts w:hint="eastAsia" w:ascii="宋体" w:hAnsi="宋体" w:cs="宋体"/>
        </w:rPr>
        <w:drawing>
          <wp:inline distT="0" distB="0" distL="114300" distR="114300">
            <wp:extent cx="5391150" cy="7409815"/>
            <wp:effectExtent l="0" t="0" r="0" b="635"/>
            <wp:docPr id="30" name="图片 30" descr="D:\传输文件\WeChat Files\wxid_9890248905412\FileStorage\Temp\1666628028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传输文件\WeChat Files\wxid_9890248905412\FileStorage\Temp\1666628028421.png"/>
                    <pic:cNvPicPr>
                      <a:picLocks noChangeAspect="1"/>
                    </pic:cNvPicPr>
                  </pic:nvPicPr>
                  <pic:blipFill>
                    <a:blip r:embed="rId12"/>
                    <a:stretch>
                      <a:fillRect/>
                    </a:stretch>
                  </pic:blipFill>
                  <pic:spPr>
                    <a:xfrm>
                      <a:off x="0" y="0"/>
                      <a:ext cx="5391150" cy="7409815"/>
                    </a:xfrm>
                    <a:prstGeom prst="rect">
                      <a:avLst/>
                    </a:prstGeom>
                    <a:noFill/>
                    <a:ln>
                      <a:noFill/>
                    </a:ln>
                  </pic:spPr>
                </pic:pic>
              </a:graphicData>
            </a:graphic>
          </wp:inline>
        </w:drawing>
      </w:r>
    </w:p>
    <w:p>
      <w:pPr>
        <w:shd w:val="clear" w:color="auto" w:fill="FFFFFF"/>
        <w:spacing w:before="602" w:after="302" w:line="360" w:lineRule="auto"/>
        <w:ind w:right="226"/>
        <w:rPr>
          <w:rFonts w:hint="eastAsia" w:ascii="宋体" w:hAnsi="宋体" w:cs="宋体"/>
        </w:rPr>
      </w:pPr>
      <w:r>
        <w:rPr>
          <w:rFonts w:hint="eastAsia" w:ascii="宋体" w:hAnsi="宋体" w:cs="宋体"/>
        </w:rPr>
        <w:t> </w:t>
      </w:r>
      <w:r>
        <w:rPr>
          <w:rFonts w:hint="eastAsia" w:ascii="宋体" w:hAnsi="宋体" w:cs="宋体"/>
        </w:rPr>
        <w:drawing>
          <wp:inline distT="0" distB="0" distL="114300" distR="114300">
            <wp:extent cx="5355590" cy="7303135"/>
            <wp:effectExtent l="0" t="0" r="16510" b="12065"/>
            <wp:docPr id="31" name="图片 31" descr="D:\传输文件\WeChat Files\wxid_9890248905412\FileStorage\Temp\1666628035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传输文件\WeChat Files\wxid_9890248905412\FileStorage\Temp\1666628035161.png"/>
                    <pic:cNvPicPr>
                      <a:picLocks noChangeAspect="1"/>
                    </pic:cNvPicPr>
                  </pic:nvPicPr>
                  <pic:blipFill>
                    <a:blip r:embed="rId13"/>
                    <a:stretch>
                      <a:fillRect/>
                    </a:stretch>
                  </pic:blipFill>
                  <pic:spPr>
                    <a:xfrm>
                      <a:off x="0" y="0"/>
                      <a:ext cx="5355590" cy="7303135"/>
                    </a:xfrm>
                    <a:prstGeom prst="rect">
                      <a:avLst/>
                    </a:prstGeom>
                    <a:noFill/>
                    <a:ln>
                      <a:noFill/>
                    </a:ln>
                  </pic:spPr>
                </pic:pic>
              </a:graphicData>
            </a:graphic>
          </wp:inline>
        </w:drawing>
      </w:r>
    </w:p>
    <w:p>
      <w:pPr>
        <w:shd w:val="clear" w:color="auto" w:fill="FFFFFF"/>
        <w:spacing w:before="602" w:after="302" w:line="360" w:lineRule="auto"/>
        <w:ind w:left="302" w:right="226"/>
        <w:rPr>
          <w:rFonts w:hint="eastAsia" w:ascii="宋体" w:hAnsi="宋体" w:cs="宋体"/>
        </w:rPr>
      </w:pPr>
      <w:r>
        <w:rPr>
          <w:rFonts w:hint="eastAsia" w:ascii="宋体" w:hAnsi="宋体" w:cs="宋体"/>
        </w:rPr>
        <w:drawing>
          <wp:inline distT="0" distB="0" distL="114300" distR="114300">
            <wp:extent cx="5082540" cy="7635240"/>
            <wp:effectExtent l="0" t="0" r="3810" b="3810"/>
            <wp:docPr id="32" name="图片 32" descr="D:\传输文件\WeChat Files\wxid_9890248905412\FileStorage\Temp\1666628055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传输文件\WeChat Files\wxid_9890248905412\FileStorage\Temp\1666628055209.png"/>
                    <pic:cNvPicPr>
                      <a:picLocks noChangeAspect="1"/>
                    </pic:cNvPicPr>
                  </pic:nvPicPr>
                  <pic:blipFill>
                    <a:blip r:embed="rId14"/>
                    <a:stretch>
                      <a:fillRect/>
                    </a:stretch>
                  </pic:blipFill>
                  <pic:spPr>
                    <a:xfrm>
                      <a:off x="0" y="0"/>
                      <a:ext cx="5082540" cy="7635240"/>
                    </a:xfrm>
                    <a:prstGeom prst="rect">
                      <a:avLst/>
                    </a:prstGeom>
                    <a:noFill/>
                    <a:ln>
                      <a:noFill/>
                    </a:ln>
                  </pic:spPr>
                </pic:pic>
              </a:graphicData>
            </a:graphic>
          </wp:inline>
        </w:drawing>
      </w:r>
    </w:p>
    <w:p>
      <w:pPr>
        <w:rPr>
          <w:rFonts w:hint="eastAsia" w:ascii="宋体" w:hAnsi="宋体" w:cs="宋体"/>
          <w:sz w:val="28"/>
          <w:szCs w:val="28"/>
        </w:rPr>
      </w:pPr>
      <w:r>
        <w:rPr>
          <w:rFonts w:hint="eastAsia" w:ascii="宋体" w:hAnsi="宋体" w:cs="宋体"/>
          <w:sz w:val="28"/>
          <w:szCs w:val="28"/>
        </w:rPr>
        <w:br w:type="page"/>
      </w:r>
    </w:p>
    <w:p>
      <w:pPr>
        <w:pStyle w:val="3"/>
        <w:tabs>
          <w:tab w:val="left" w:pos="432"/>
        </w:tabs>
        <w:spacing w:line="360" w:lineRule="auto"/>
        <w:jc w:val="left"/>
        <w:rPr>
          <w:rFonts w:hint="eastAsia" w:hAnsi="宋体" w:cs="宋体"/>
          <w:bCs/>
          <w:sz w:val="24"/>
          <w:szCs w:val="24"/>
        </w:rPr>
      </w:pPr>
      <w:bookmarkStart w:id="1034" w:name="_Toc199921601"/>
      <w:bookmarkStart w:id="1035" w:name="_Toc209958516"/>
      <w:bookmarkStart w:id="1036" w:name="_Toc218620582"/>
      <w:r>
        <w:rPr>
          <w:rFonts w:hint="eastAsia" w:hAnsi="宋体" w:cs="宋体"/>
          <w:bCs/>
          <w:sz w:val="24"/>
          <w:szCs w:val="24"/>
        </w:rPr>
        <w:t>附录7：关于印发环境标志产品政府采购品目清单的通知</w:t>
      </w:r>
      <w:bookmarkEnd w:id="1034"/>
      <w:bookmarkEnd w:id="1035"/>
      <w:bookmarkEnd w:id="1036"/>
    </w:p>
    <w:p>
      <w:pPr>
        <w:jc w:val="center"/>
        <w:rPr>
          <w:rFonts w:hint="eastAsia" w:ascii="宋体" w:hAnsi="宋体"/>
          <w:sz w:val="24"/>
        </w:rPr>
      </w:pPr>
      <w:r>
        <w:rPr>
          <w:rFonts w:hint="eastAsia" w:ascii="宋体" w:hAnsi="宋体"/>
          <w:sz w:val="24"/>
        </w:rPr>
        <w:t>财库〔2019〕18号</w:t>
      </w:r>
    </w:p>
    <w:p>
      <w:pPr>
        <w:spacing w:line="360" w:lineRule="auto"/>
        <w:ind w:firstLine="480" w:firstLineChars="200"/>
        <w:rPr>
          <w:rFonts w:hint="eastAsia" w:ascii="宋体" w:hAnsi="宋体"/>
          <w:sz w:val="24"/>
        </w:rPr>
      </w:pPr>
    </w:p>
    <w:p>
      <w:pPr>
        <w:spacing w:line="360" w:lineRule="auto"/>
        <w:ind w:firstLine="480" w:firstLineChars="200"/>
        <w:rPr>
          <w:rFonts w:hint="eastAsia" w:ascii="宋体" w:hAnsi="宋体"/>
          <w:sz w:val="24"/>
        </w:rPr>
      </w:pPr>
      <w:r>
        <w:rPr>
          <w:rFonts w:hint="eastAsia" w:ascii="宋体" w:hAnsi="宋体"/>
          <w:sz w:val="24"/>
        </w:rPr>
        <w:t>有关中央预算单位，各省、自治区、直辖市、计划单列市财政厅（局）、发展改革委（经信委、工信委、工信厅、经信局），新疆生产建设兵团财政局、发展改革委：</w:t>
      </w:r>
    </w:p>
    <w:p>
      <w:pPr>
        <w:spacing w:line="360" w:lineRule="auto"/>
        <w:ind w:firstLine="480" w:firstLineChars="200"/>
        <w:rPr>
          <w:rFonts w:hint="eastAsia" w:ascii="宋体" w:hAnsi="宋体"/>
          <w:sz w:val="24"/>
        </w:rPr>
      </w:pPr>
      <w:r>
        <w:rPr>
          <w:rFonts w:hint="eastAsia" w:ascii="宋体" w:hAnsi="宋体"/>
          <w:sz w:val="24"/>
        </w:rPr>
        <w:t>根据《财政部 发展改革委 生态环境部 市场监管总局关于调整优化节能产品环境标志产品政府采购执行机制的通知》（财库〔2019〕9号）， 我们研究制定节能产品政府采购品目清单，现印发给你们，请遵照执行。</w:t>
      </w:r>
      <w:r>
        <w:rPr>
          <w:rFonts w:ascii="宋体" w:hAnsi="宋体"/>
          <w:sz w:val="24"/>
        </w:rPr>
        <w:drawing>
          <wp:inline distT="0" distB="0" distL="0" distR="0">
            <wp:extent cx="4626610" cy="6482715"/>
            <wp:effectExtent l="0" t="0" r="2540" b="0"/>
            <wp:docPr id="85" name="图片 85" descr="D:\WeChat Files\wxid_9890248905412\FileStorage\Temp\1748001319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D:\WeChat Files\wxid_9890248905412\FileStorage\Temp\174800131917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626610" cy="6482715"/>
                    </a:xfrm>
                    <a:prstGeom prst="rect">
                      <a:avLst/>
                    </a:prstGeom>
                    <a:noFill/>
                    <a:ln>
                      <a:noFill/>
                    </a:ln>
                  </pic:spPr>
                </pic:pic>
              </a:graphicData>
            </a:graphic>
          </wp:inline>
        </w:drawing>
      </w:r>
      <w:r>
        <w:rPr>
          <w:rFonts w:ascii="宋体" w:hAnsi="宋体"/>
          <w:snapToGrid w:val="0"/>
          <w:w w:val="0"/>
          <w:kern w:val="0"/>
          <w:sz w:val="0"/>
          <w:szCs w:val="0"/>
          <w:u w:color="000000"/>
          <w:lang w:val="zh-CN" w:bidi="zh-CN"/>
        </w:rPr>
        <w:t xml:space="preserve"> </w:t>
      </w:r>
      <w:r>
        <w:rPr>
          <w:rFonts w:ascii="宋体" w:hAnsi="宋体"/>
          <w:sz w:val="24"/>
        </w:rPr>
        <w:drawing>
          <wp:inline distT="0" distB="0" distL="0" distR="0">
            <wp:extent cx="4721860" cy="6264275"/>
            <wp:effectExtent l="0" t="0" r="2540" b="3175"/>
            <wp:docPr id="86" name="图片 86" descr="D:\WeChat Files\wxid_9890248905412\FileStorage\Temp\1748001329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D:\WeChat Files\wxid_9890248905412\FileStorage\Temp\174800132941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721860" cy="6264275"/>
                    </a:xfrm>
                    <a:prstGeom prst="rect">
                      <a:avLst/>
                    </a:prstGeom>
                    <a:noFill/>
                    <a:ln>
                      <a:noFill/>
                    </a:ln>
                  </pic:spPr>
                </pic:pic>
              </a:graphicData>
            </a:graphic>
          </wp:inline>
        </w:drawing>
      </w:r>
      <w:r>
        <w:rPr>
          <w:rFonts w:ascii="宋体" w:hAnsi="宋体"/>
          <w:snapToGrid w:val="0"/>
          <w:w w:val="0"/>
          <w:kern w:val="0"/>
          <w:sz w:val="0"/>
          <w:szCs w:val="0"/>
          <w:u w:color="000000"/>
          <w:lang w:val="zh-CN" w:bidi="zh-CN"/>
        </w:rPr>
        <w:t xml:space="preserve"> </w:t>
      </w:r>
      <w:r>
        <w:rPr>
          <w:rFonts w:ascii="宋体" w:hAnsi="宋体"/>
          <w:w w:val="0"/>
          <w:kern w:val="0"/>
          <w:sz w:val="0"/>
          <w:szCs w:val="0"/>
          <w:u w:color="000000"/>
        </w:rPr>
        <w:drawing>
          <wp:inline distT="0" distB="0" distL="0" distR="0">
            <wp:extent cx="4721860" cy="6455410"/>
            <wp:effectExtent l="0" t="0" r="2540" b="2540"/>
            <wp:docPr id="87" name="图片 87" descr="D:\WeChat Files\wxid_9890248905412\FileStorage\Temp\1748001337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D:\WeChat Files\wxid_9890248905412\FileStorage\Temp\174800133741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721860" cy="6455410"/>
                    </a:xfrm>
                    <a:prstGeom prst="rect">
                      <a:avLst/>
                    </a:prstGeom>
                    <a:noFill/>
                    <a:ln>
                      <a:noFill/>
                    </a:ln>
                  </pic:spPr>
                </pic:pic>
              </a:graphicData>
            </a:graphic>
          </wp:inline>
        </w:drawing>
      </w:r>
      <w:r>
        <w:rPr>
          <w:rFonts w:ascii="宋体" w:hAnsi="宋体"/>
          <w:snapToGrid w:val="0"/>
          <w:w w:val="0"/>
          <w:kern w:val="0"/>
          <w:sz w:val="0"/>
          <w:szCs w:val="0"/>
          <w:u w:color="000000"/>
          <w:lang w:val="zh-CN" w:bidi="zh-CN"/>
        </w:rPr>
        <w:t xml:space="preserve"> </w:t>
      </w:r>
      <w:r>
        <w:rPr>
          <w:rFonts w:ascii="宋体" w:hAnsi="宋体"/>
          <w:w w:val="0"/>
          <w:kern w:val="0"/>
          <w:sz w:val="0"/>
          <w:szCs w:val="0"/>
          <w:u w:color="000000"/>
        </w:rPr>
        <w:drawing>
          <wp:inline distT="0" distB="0" distL="0" distR="0">
            <wp:extent cx="4845050" cy="6714490"/>
            <wp:effectExtent l="0" t="0" r="0" b="0"/>
            <wp:docPr id="88" name="图片 88" descr="D:\WeChat Files\wxid_9890248905412\FileStorage\Temp\1748001346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D:\WeChat Files\wxid_9890248905412\FileStorage\Temp\174800134637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845050" cy="6714490"/>
                    </a:xfrm>
                    <a:prstGeom prst="rect">
                      <a:avLst/>
                    </a:prstGeom>
                    <a:noFill/>
                    <a:ln>
                      <a:noFill/>
                    </a:ln>
                  </pic:spPr>
                </pic:pic>
              </a:graphicData>
            </a:graphic>
          </wp:inline>
        </w:drawing>
      </w:r>
      <w:r>
        <w:rPr>
          <w:rFonts w:ascii="宋体" w:hAnsi="宋体" w:cs="宋体"/>
          <w:bCs/>
          <w:sz w:val="24"/>
        </w:rPr>
        <w:br w:type="page"/>
      </w:r>
    </w:p>
    <w:p>
      <w:pPr>
        <w:pStyle w:val="3"/>
        <w:tabs>
          <w:tab w:val="left" w:pos="432"/>
        </w:tabs>
        <w:spacing w:line="360" w:lineRule="auto"/>
        <w:jc w:val="left"/>
        <w:rPr>
          <w:rFonts w:hint="eastAsia" w:hAnsi="宋体" w:cs="宋体"/>
          <w:bCs/>
          <w:sz w:val="24"/>
          <w:szCs w:val="24"/>
        </w:rPr>
      </w:pPr>
      <w:bookmarkStart w:id="1037" w:name="_Toc199921602"/>
      <w:bookmarkStart w:id="1038" w:name="_Toc218620583"/>
      <w:bookmarkStart w:id="1039" w:name="_Toc209958517"/>
      <w:r>
        <w:rPr>
          <w:rFonts w:hint="eastAsia" w:hAnsi="宋体" w:cs="宋体"/>
          <w:bCs/>
          <w:sz w:val="24"/>
          <w:szCs w:val="24"/>
        </w:rPr>
        <w:t>附录8：</w:t>
      </w:r>
      <w:bookmarkEnd w:id="1026"/>
      <w:bookmarkEnd w:id="1027"/>
      <w:bookmarkEnd w:id="1028"/>
      <w:r>
        <w:rPr>
          <w:rFonts w:hint="eastAsia" w:hAnsi="宋体" w:cs="宋体"/>
          <w:bCs/>
          <w:sz w:val="24"/>
          <w:szCs w:val="24"/>
        </w:rPr>
        <w:t>市场监管总局关于发布参与实施政府采购节能产品、环境标志产品认证机构名录的公告</w:t>
      </w:r>
      <w:bookmarkEnd w:id="1029"/>
      <w:bookmarkEnd w:id="1030"/>
      <w:bookmarkEnd w:id="1031"/>
      <w:bookmarkEnd w:id="1032"/>
      <w:bookmarkEnd w:id="1033"/>
      <w:bookmarkEnd w:id="1037"/>
      <w:bookmarkEnd w:id="1038"/>
      <w:bookmarkEnd w:id="1039"/>
    </w:p>
    <w:p>
      <w:pPr>
        <w:spacing w:line="360" w:lineRule="auto"/>
        <w:jc w:val="center"/>
        <w:rPr>
          <w:rFonts w:hint="eastAsia" w:ascii="宋体" w:hAnsi="宋体" w:cs="宋体"/>
        </w:rPr>
      </w:pPr>
      <w:r>
        <w:rPr>
          <w:rFonts w:hint="eastAsia" w:ascii="宋体" w:hAnsi="宋体" w:cs="宋体"/>
        </w:rPr>
        <w:t>市场监管总局关于发布参与实施政府采购节能产品、</w:t>
      </w:r>
    </w:p>
    <w:p>
      <w:pPr>
        <w:spacing w:line="360" w:lineRule="auto"/>
        <w:jc w:val="center"/>
        <w:rPr>
          <w:rFonts w:hint="eastAsia" w:ascii="宋体" w:hAnsi="宋体" w:cs="宋体"/>
        </w:rPr>
      </w:pPr>
      <w:r>
        <w:rPr>
          <w:rFonts w:hint="eastAsia" w:ascii="宋体" w:hAnsi="宋体" w:cs="宋体"/>
        </w:rPr>
        <w:t>环境标志产品认证机构名录的公告</w:t>
      </w:r>
    </w:p>
    <w:p>
      <w:pPr>
        <w:spacing w:line="360" w:lineRule="auto"/>
        <w:jc w:val="center"/>
        <w:rPr>
          <w:rFonts w:hint="eastAsia" w:ascii="宋体" w:hAnsi="宋体" w:cs="宋体"/>
        </w:rPr>
      </w:pPr>
      <w:r>
        <w:rPr>
          <w:rFonts w:hint="eastAsia" w:ascii="宋体" w:hAnsi="宋体" w:cs="宋体"/>
        </w:rPr>
        <w:t>2019年第16号</w:t>
      </w:r>
    </w:p>
    <w:p>
      <w:pPr>
        <w:pStyle w:val="46"/>
        <w:spacing w:before="680" w:beforeAutospacing="0" w:after="632" w:afterAutospacing="0" w:line="360" w:lineRule="auto"/>
        <w:ind w:left="302" w:right="226" w:firstLine="480"/>
        <w:rPr>
          <w:rFonts w:hint="eastAsia"/>
          <w:sz w:val="21"/>
          <w:szCs w:val="21"/>
        </w:rPr>
      </w:pPr>
      <w:r>
        <w:rPr>
          <w:rFonts w:hint="eastAsia"/>
          <w:sz w:val="21"/>
          <w:szCs w:val="21"/>
        </w:rPr>
        <w:t>　　根据《财政部 发展改革委 生态环境部 市场监管总局关于调整优化节能产品、环境标志产品政府采购执行机制的通知》(财库〔2019〕9号)和《市场监管总局办公厅关于扩大参与实施政府采购节能产品、环境标志产品认证机构范围的通知》（市监认证函〔2019〕513号）要求，经商财政部、发展改革委、生态环境部，市场监管总局已组织完成扩大参与实施政府采购节能产品、环境标志产品认证机构范围试点优选工作，现将《参与实施政府采购节能产品认证机构名录》《参与实施政府采购环境标志产品认证机构名录》予以公布。</w:t>
      </w:r>
    </w:p>
    <w:p>
      <w:pPr>
        <w:pStyle w:val="46"/>
        <w:spacing w:before="680" w:beforeAutospacing="0" w:after="632" w:afterAutospacing="0" w:line="360" w:lineRule="auto"/>
        <w:ind w:left="302" w:right="226" w:firstLine="480"/>
        <w:rPr>
          <w:rFonts w:hint="eastAsia"/>
          <w:sz w:val="21"/>
          <w:szCs w:val="21"/>
        </w:rPr>
      </w:pPr>
    </w:p>
    <w:p>
      <w:pPr>
        <w:pStyle w:val="46"/>
        <w:spacing w:before="680" w:beforeAutospacing="0" w:after="632" w:afterAutospacing="0" w:line="360" w:lineRule="auto"/>
        <w:ind w:left="302" w:right="226" w:firstLine="480"/>
        <w:rPr>
          <w:rFonts w:hint="eastAsia"/>
          <w:sz w:val="21"/>
          <w:szCs w:val="21"/>
        </w:rPr>
      </w:pPr>
      <w:r>
        <w:rPr>
          <w:rFonts w:hint="eastAsia"/>
          <w:sz w:val="21"/>
          <w:szCs w:val="21"/>
        </w:rPr>
        <w:t>　　自本公告发布后，新增认证机构应尽快完成政府采购认证信息系统对接，对接完成后方可开展相关认证工作。</w:t>
      </w:r>
    </w:p>
    <w:p>
      <w:pPr>
        <w:pStyle w:val="46"/>
        <w:spacing w:before="680" w:beforeAutospacing="0" w:after="632" w:afterAutospacing="0" w:line="360" w:lineRule="auto"/>
        <w:ind w:left="302" w:right="226" w:firstLine="480"/>
        <w:jc w:val="right"/>
        <w:rPr>
          <w:rFonts w:hint="eastAsia"/>
          <w:sz w:val="21"/>
          <w:szCs w:val="21"/>
        </w:rPr>
      </w:pPr>
      <w:r>
        <w:rPr>
          <w:rFonts w:hint="eastAsia"/>
          <w:sz w:val="21"/>
          <w:szCs w:val="21"/>
        </w:rPr>
        <w:t>市场监管总局</w:t>
      </w:r>
    </w:p>
    <w:p>
      <w:pPr>
        <w:pStyle w:val="46"/>
        <w:spacing w:before="680" w:beforeAutospacing="0" w:after="632" w:afterAutospacing="0" w:line="360" w:lineRule="auto"/>
        <w:ind w:left="302" w:right="226" w:firstLine="480"/>
        <w:jc w:val="right"/>
        <w:rPr>
          <w:rFonts w:hint="eastAsia"/>
          <w:sz w:val="21"/>
          <w:szCs w:val="21"/>
        </w:rPr>
      </w:pPr>
      <w:r>
        <w:rPr>
          <w:rFonts w:hint="eastAsia"/>
          <w:sz w:val="21"/>
          <w:szCs w:val="21"/>
        </w:rPr>
        <w:t>2019年4月3日</w:t>
      </w:r>
    </w:p>
    <w:p>
      <w:pPr>
        <w:tabs>
          <w:tab w:val="left" w:pos="7088"/>
        </w:tabs>
        <w:spacing w:before="602" w:after="302" w:line="360" w:lineRule="auto"/>
        <w:ind w:left="302" w:right="226" w:firstLine="420" w:firstLineChars="200"/>
        <w:rPr>
          <w:rFonts w:hint="eastAsia" w:ascii="宋体" w:hAnsi="宋体" w:cs="宋体"/>
          <w:sz w:val="28"/>
          <w:szCs w:val="28"/>
        </w:rPr>
      </w:pPr>
      <w:r>
        <w:rPr>
          <w:rFonts w:hint="eastAsia" w:ascii="宋体" w:hAnsi="宋体" w:cs="宋体"/>
          <w:szCs w:val="21"/>
        </w:rPr>
        <w:t>（此件公开发布）</w:t>
      </w:r>
    </w:p>
    <w:p>
      <w:pPr>
        <w:widowControl/>
        <w:jc w:val="left"/>
        <w:rPr>
          <w:rFonts w:hint="eastAsia" w:ascii="宋体" w:hAnsi="宋体" w:cs="宋体"/>
          <w:sz w:val="28"/>
          <w:szCs w:val="28"/>
        </w:rPr>
      </w:pPr>
      <w:r>
        <w:rPr>
          <w:rFonts w:ascii="宋体" w:hAnsi="宋体" w:cs="宋体"/>
          <w:sz w:val="28"/>
          <w:szCs w:val="28"/>
        </w:rPr>
        <w:br w:type="page"/>
      </w:r>
    </w:p>
    <w:p>
      <w:pPr>
        <w:spacing w:before="602" w:after="302" w:line="360" w:lineRule="auto"/>
        <w:ind w:left="302" w:right="226"/>
        <w:jc w:val="center"/>
        <w:rPr>
          <w:rFonts w:hint="eastAsia" w:ascii="宋体" w:hAnsi="宋体" w:cs="宋体"/>
        </w:rPr>
      </w:pPr>
      <w:r>
        <w:rPr>
          <w:rFonts w:hint="eastAsia" w:ascii="宋体" w:hAnsi="宋体" w:cs="宋体"/>
          <w:sz w:val="28"/>
          <w:szCs w:val="28"/>
        </w:rPr>
        <w:t>参与实施政府采购节能产品认证机构名录</w:t>
      </w:r>
    </w:p>
    <w:tbl>
      <w:tblPr>
        <w:tblStyle w:val="52"/>
        <w:tblW w:w="8076" w:type="dxa"/>
        <w:tblInd w:w="3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1215"/>
        <w:gridCol w:w="1064"/>
        <w:gridCol w:w="1599"/>
        <w:gridCol w:w="1399"/>
        <w:gridCol w:w="2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hint="eastAsia" w:ascii="宋体" w:hAnsi="宋体" w:cs="宋体"/>
              </w:rPr>
            </w:pPr>
            <w:r>
              <w:rPr>
                <w:rFonts w:hint="eastAsia" w:ascii="宋体" w:hAnsi="宋体" w:cs="宋体"/>
              </w:rPr>
              <w:t>序号</w:t>
            </w:r>
          </w:p>
        </w:tc>
        <w:tc>
          <w:tcPr>
            <w:tcW w:w="2279" w:type="dxa"/>
            <w:gridSpan w:val="2"/>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hint="eastAsia" w:ascii="宋体" w:hAnsi="宋体" w:cs="宋体"/>
              </w:rPr>
            </w:pPr>
            <w:r>
              <w:rPr>
                <w:rFonts w:hint="eastAsia" w:ascii="宋体" w:hAnsi="宋体" w:cs="宋体"/>
              </w:rPr>
              <w:t>一级目录</w:t>
            </w:r>
          </w:p>
        </w:tc>
        <w:tc>
          <w:tcPr>
            <w:tcW w:w="2998" w:type="dxa"/>
            <w:gridSpan w:val="2"/>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hint="eastAsia" w:ascii="宋体" w:hAnsi="宋体" w:cs="宋体"/>
              </w:rPr>
            </w:pPr>
            <w:r>
              <w:rPr>
                <w:rFonts w:hint="eastAsia" w:ascii="宋体" w:hAnsi="宋体" w:cs="宋体"/>
              </w:rPr>
              <w:t>二级目录</w:t>
            </w:r>
          </w:p>
        </w:tc>
        <w:tc>
          <w:tcPr>
            <w:tcW w:w="2170"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hint="eastAsia" w:ascii="宋体" w:hAnsi="宋体" w:cs="宋体"/>
              </w:rPr>
            </w:pPr>
            <w:r>
              <w:rPr>
                <w:rFonts w:hint="eastAsia" w:ascii="宋体" w:hAnsi="宋体" w:cs="宋体"/>
              </w:rPr>
              <w:t>认证机构名录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cs="宋体"/>
              </w:rPr>
            </w:pP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hint="eastAsia" w:ascii="宋体" w:hAnsi="宋体" w:cs="宋体"/>
              </w:rPr>
            </w:pPr>
            <w:r>
              <w:rPr>
                <w:rFonts w:hint="eastAsia" w:ascii="宋体" w:hAnsi="宋体" w:cs="宋体"/>
              </w:rPr>
              <w:t>产品代码</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hint="eastAsia" w:ascii="宋体" w:hAnsi="宋体" w:cs="宋体"/>
              </w:rPr>
            </w:pPr>
            <w:r>
              <w:rPr>
                <w:rFonts w:hint="eastAsia" w:ascii="宋体" w:hAnsi="宋体" w:cs="宋体"/>
              </w:rPr>
              <w:t>产品名称</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hint="eastAsia" w:ascii="宋体" w:hAnsi="宋体" w:cs="宋体"/>
              </w:rPr>
            </w:pPr>
            <w:r>
              <w:rPr>
                <w:rFonts w:hint="eastAsia" w:ascii="宋体" w:hAnsi="宋体" w:cs="宋体"/>
              </w:rPr>
              <w:t>产品代码</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hint="eastAsia" w:ascii="宋体" w:hAnsi="宋体" w:cs="宋体"/>
              </w:rPr>
            </w:pPr>
            <w:r>
              <w:rPr>
                <w:rFonts w:hint="eastAsia" w:ascii="宋体" w:hAnsi="宋体" w:cs="宋体"/>
              </w:rPr>
              <w:t>产品名称</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hint="eastAsia" w:ascii="宋体" w:hAnsi="宋体" w:cs="宋体"/>
              </w:rPr>
            </w:pPr>
            <w:r>
              <w:rPr>
                <w:rFonts w:hint="eastAsia" w:ascii="宋体" w:hAnsi="宋体" w:cs="宋体"/>
              </w:rPr>
              <w:t>1</w:t>
            </w:r>
          </w:p>
        </w:tc>
        <w:tc>
          <w:tcPr>
            <w:tcW w:w="1215"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A020101</w:t>
            </w:r>
          </w:p>
        </w:tc>
        <w:tc>
          <w:tcPr>
            <w:tcW w:w="1064"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计算机设备</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A02010104</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台式计算机</w:t>
            </w:r>
          </w:p>
        </w:tc>
        <w:tc>
          <w:tcPr>
            <w:tcW w:w="2170"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中国质量认证中心</w:t>
            </w:r>
          </w:p>
          <w:p>
            <w:pPr>
              <w:spacing w:beforeAutospacing="1" w:afterAutospacing="1" w:line="360" w:lineRule="auto"/>
              <w:rPr>
                <w:rFonts w:hint="eastAsia" w:ascii="宋体" w:hAnsi="宋体" w:cs="宋体"/>
              </w:rPr>
            </w:pPr>
            <w:r>
              <w:rPr>
                <w:rFonts w:hint="eastAsia" w:ascii="宋体" w:hAnsi="宋体" w:cs="宋体"/>
              </w:rPr>
              <w:t>北京赛西认证有限责任公司</w:t>
            </w:r>
          </w:p>
          <w:p>
            <w:pPr>
              <w:spacing w:beforeAutospacing="1" w:afterAutospacing="1" w:line="360" w:lineRule="auto"/>
              <w:rPr>
                <w:rFonts w:hint="eastAsia" w:ascii="宋体" w:hAnsi="宋体" w:cs="宋体"/>
              </w:rPr>
            </w:pPr>
            <w:r>
              <w:rPr>
                <w:rFonts w:hint="eastAsia" w:ascii="宋体" w:hAnsi="宋体" w:cs="宋体"/>
              </w:rPr>
              <w:t>中国网络安全审查技术与认证中心</w:t>
            </w:r>
          </w:p>
          <w:p>
            <w:pPr>
              <w:spacing w:beforeAutospacing="1" w:afterAutospacing="1" w:line="360" w:lineRule="auto"/>
              <w:rPr>
                <w:rFonts w:hint="eastAsia" w:ascii="宋体" w:hAnsi="宋体" w:cs="宋体"/>
              </w:rPr>
            </w:pPr>
            <w:r>
              <w:rPr>
                <w:rFonts w:hint="eastAsia" w:ascii="宋体" w:hAnsi="宋体" w:cs="宋体"/>
              </w:rPr>
              <w:t>广州赛宝认证中心服务有限公司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A02010105</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便携式计算机</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A02010107</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平板式微型计算机</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hint="eastAsia" w:ascii="宋体" w:hAnsi="宋体" w:cs="宋体"/>
              </w:rPr>
            </w:pPr>
            <w:r>
              <w:rPr>
                <w:rFonts w:hint="eastAsia" w:ascii="宋体" w:hAnsi="宋体" w:cs="宋体"/>
              </w:rPr>
              <w:t>2</w:t>
            </w:r>
          </w:p>
        </w:tc>
        <w:tc>
          <w:tcPr>
            <w:tcW w:w="1215"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A020106</w:t>
            </w:r>
          </w:p>
        </w:tc>
        <w:tc>
          <w:tcPr>
            <w:tcW w:w="1064"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输入输出设备</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A02010601</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打印设备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A02010604</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显示设备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A02010609</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图形图像输入设备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hint="eastAsia" w:ascii="宋体" w:hAnsi="宋体" w:cs="宋体"/>
              </w:rPr>
            </w:pPr>
            <w:r>
              <w:rPr>
                <w:rFonts w:hint="eastAsia" w:ascii="宋体" w:hAnsi="宋体" w:cs="宋体"/>
              </w:rPr>
              <w:t>3</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360" w:lineRule="auto"/>
              <w:rPr>
                <w:rFonts w:hint="eastAsia" w:ascii="宋体" w:hAnsi="宋体" w:cs="宋体"/>
              </w:rPr>
            </w:pPr>
            <w:r>
              <w:rPr>
                <w:rFonts w:hint="eastAsia" w:ascii="宋体" w:hAnsi="宋体" w:cs="宋体"/>
              </w:rPr>
              <w:t>A020202</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投影仪</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　</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hint="eastAsia" w:ascii="宋体" w:hAnsi="宋体" w:cs="宋体"/>
              </w:rPr>
            </w:pPr>
            <w:r>
              <w:rPr>
                <w:rFonts w:hint="eastAsia" w:ascii="宋体" w:hAnsi="宋体" w:cs="宋体"/>
              </w:rPr>
              <w:t>4</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A020204</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多功能一体机</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　</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9"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hint="eastAsia" w:ascii="宋体" w:hAnsi="宋体" w:cs="宋体"/>
              </w:rPr>
            </w:pPr>
            <w:r>
              <w:rPr>
                <w:rFonts w:hint="eastAsia" w:ascii="宋体" w:hAnsi="宋体" w:cs="宋体"/>
              </w:rPr>
              <w:t>5</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A020519</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泵</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A02051901</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离心泵</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中国质量认证中心</w:t>
            </w:r>
          </w:p>
          <w:p>
            <w:pPr>
              <w:spacing w:beforeAutospacing="1" w:afterAutospacing="1" w:line="360" w:lineRule="auto"/>
              <w:rPr>
                <w:rFonts w:hint="eastAsia" w:ascii="宋体" w:hAnsi="宋体" w:cs="宋体"/>
              </w:rPr>
            </w:pPr>
            <w:r>
              <w:rPr>
                <w:rFonts w:hint="eastAsia" w:ascii="宋体" w:hAnsi="宋体" w:cs="宋体"/>
              </w:rPr>
              <w:t>电能（北京）认证中心有限公司</w:t>
            </w:r>
          </w:p>
          <w:p>
            <w:pPr>
              <w:spacing w:beforeAutospacing="1" w:afterAutospacing="1" w:line="360" w:lineRule="auto"/>
              <w:rPr>
                <w:rFonts w:hint="eastAsia" w:ascii="宋体" w:hAnsi="宋体" w:cs="宋体"/>
              </w:rPr>
            </w:pPr>
            <w:r>
              <w:rPr>
                <w:rFonts w:hint="eastAsia" w:ascii="宋体" w:hAnsi="宋体" w:cs="宋体"/>
              </w:rPr>
              <w:t>方圆标志认证集团有限公司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hint="eastAsia" w:ascii="宋体" w:hAnsi="宋体" w:cs="宋体"/>
              </w:rPr>
            </w:pPr>
            <w:r>
              <w:rPr>
                <w:rFonts w:hint="eastAsia" w:ascii="宋体" w:hAnsi="宋体" w:cs="宋体"/>
              </w:rPr>
              <w:t>6</w:t>
            </w:r>
          </w:p>
        </w:tc>
        <w:tc>
          <w:tcPr>
            <w:tcW w:w="1215"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A020523</w:t>
            </w:r>
          </w:p>
        </w:tc>
        <w:tc>
          <w:tcPr>
            <w:tcW w:w="1064"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制冷空调设备</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A02052301</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制冷压缩机</w:t>
            </w:r>
          </w:p>
        </w:tc>
        <w:tc>
          <w:tcPr>
            <w:tcW w:w="2170"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中国质量认证中心</w:t>
            </w:r>
          </w:p>
          <w:p>
            <w:pPr>
              <w:spacing w:beforeAutospacing="1" w:afterAutospacing="1" w:line="360" w:lineRule="auto"/>
              <w:rPr>
                <w:rFonts w:hint="eastAsia" w:ascii="宋体" w:hAnsi="宋体" w:cs="宋体"/>
              </w:rPr>
            </w:pPr>
            <w:r>
              <w:rPr>
                <w:rFonts w:hint="eastAsia" w:ascii="宋体" w:hAnsi="宋体" w:cs="宋体"/>
              </w:rPr>
              <w:t>威凯认证检测有限公司</w:t>
            </w:r>
          </w:p>
          <w:p>
            <w:pPr>
              <w:spacing w:beforeAutospacing="1" w:afterAutospacing="1" w:line="360" w:lineRule="auto"/>
              <w:rPr>
                <w:rFonts w:hint="eastAsia" w:ascii="宋体" w:hAnsi="宋体" w:cs="宋体"/>
              </w:rPr>
            </w:pPr>
            <w:r>
              <w:rPr>
                <w:rFonts w:hint="eastAsia" w:ascii="宋体" w:hAnsi="宋体" w:cs="宋体"/>
              </w:rPr>
              <w:t>合肥通用机械产品认证有限公司</w:t>
            </w:r>
          </w:p>
          <w:p>
            <w:pPr>
              <w:spacing w:beforeAutospacing="1" w:afterAutospacing="1" w:line="360" w:lineRule="auto"/>
              <w:rPr>
                <w:rFonts w:hint="eastAsia" w:ascii="宋体" w:hAnsi="宋体" w:cs="宋体"/>
              </w:rPr>
            </w:pPr>
            <w:r>
              <w:rPr>
                <w:rFonts w:hint="eastAsia" w:ascii="宋体" w:hAnsi="宋体" w:cs="宋体"/>
              </w:rPr>
              <w:t>北京中冷通质量认证中心有限公司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A02052305</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空调机组</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A02052309</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专用制冷、空调设备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A02052399</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其他制冷空调设备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3"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hint="eastAsia" w:ascii="宋体" w:hAnsi="宋体" w:cs="宋体"/>
              </w:rPr>
            </w:pPr>
            <w:r>
              <w:rPr>
                <w:rFonts w:hint="eastAsia" w:ascii="宋体" w:hAnsi="宋体" w:cs="宋体"/>
              </w:rPr>
              <w:t>7</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A020601</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电机</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　</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中国质量认证中心</w:t>
            </w:r>
          </w:p>
          <w:p>
            <w:pPr>
              <w:spacing w:beforeAutospacing="1" w:afterAutospacing="1" w:line="360" w:lineRule="auto"/>
              <w:rPr>
                <w:rFonts w:hint="eastAsia" w:ascii="宋体" w:hAnsi="宋体" w:cs="宋体"/>
              </w:rPr>
            </w:pPr>
            <w:r>
              <w:rPr>
                <w:rFonts w:hint="eastAsia" w:ascii="宋体" w:hAnsi="宋体" w:cs="宋体"/>
              </w:rPr>
              <w:t>威凯认证检测有限公司</w:t>
            </w:r>
          </w:p>
          <w:p>
            <w:pPr>
              <w:spacing w:beforeAutospacing="1" w:afterAutospacing="1" w:line="360" w:lineRule="auto"/>
              <w:rPr>
                <w:rFonts w:hint="eastAsia" w:ascii="宋体" w:hAnsi="宋体" w:cs="宋体"/>
              </w:rPr>
            </w:pPr>
            <w:r>
              <w:rPr>
                <w:rFonts w:hint="eastAsia" w:ascii="宋体" w:hAnsi="宋体" w:cs="宋体"/>
              </w:rPr>
              <w:t>电能（北京）认证中心有限公司</w:t>
            </w:r>
          </w:p>
          <w:p>
            <w:pPr>
              <w:spacing w:beforeAutospacing="1" w:afterAutospacing="1" w:line="360" w:lineRule="auto"/>
              <w:rPr>
                <w:rFonts w:hint="eastAsia" w:ascii="宋体" w:hAnsi="宋体" w:cs="宋体"/>
              </w:rPr>
            </w:pPr>
            <w:r>
              <w:rPr>
                <w:rFonts w:hint="eastAsia" w:ascii="宋体" w:hAnsi="宋体" w:cs="宋体"/>
              </w:rPr>
              <w:t>中国船级社质量认证公司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1"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hint="eastAsia" w:ascii="宋体" w:hAnsi="宋体" w:cs="宋体"/>
              </w:rPr>
            </w:pPr>
            <w:r>
              <w:rPr>
                <w:rFonts w:hint="eastAsia" w:ascii="宋体" w:hAnsi="宋体" w:cs="宋体"/>
              </w:rPr>
              <w:t>8</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A020602</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变压器</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　</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中国质量认证中心</w:t>
            </w:r>
          </w:p>
          <w:p>
            <w:pPr>
              <w:spacing w:beforeAutospacing="1" w:afterAutospacing="1" w:line="360" w:lineRule="auto"/>
              <w:rPr>
                <w:rFonts w:hint="eastAsia" w:ascii="宋体" w:hAnsi="宋体" w:cs="宋体"/>
              </w:rPr>
            </w:pPr>
            <w:r>
              <w:rPr>
                <w:rFonts w:hint="eastAsia" w:ascii="宋体" w:hAnsi="宋体" w:cs="宋体"/>
              </w:rPr>
              <w:t>电能（北京）认证中心有限公司</w:t>
            </w:r>
          </w:p>
          <w:p>
            <w:pPr>
              <w:spacing w:beforeAutospacing="1" w:afterAutospacing="1" w:line="360" w:lineRule="auto"/>
              <w:rPr>
                <w:rFonts w:hint="eastAsia" w:ascii="宋体" w:hAnsi="宋体" w:cs="宋体"/>
              </w:rPr>
            </w:pPr>
            <w:r>
              <w:rPr>
                <w:rFonts w:hint="eastAsia" w:ascii="宋体" w:hAnsi="宋体" w:cs="宋体"/>
              </w:rPr>
              <w:t>方圆标志认证集团有限公司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hint="eastAsia" w:ascii="宋体" w:hAnsi="宋体" w:cs="宋体"/>
              </w:rPr>
            </w:pPr>
            <w:r>
              <w:rPr>
                <w:rFonts w:hint="eastAsia" w:ascii="宋体" w:hAnsi="宋体" w:cs="宋体"/>
              </w:rPr>
              <w:t>9</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A020609</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镇流器</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　</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中国质量认证中心</w:t>
            </w:r>
          </w:p>
          <w:p>
            <w:pPr>
              <w:spacing w:beforeAutospacing="1" w:afterAutospacing="1" w:line="360" w:lineRule="auto"/>
              <w:rPr>
                <w:rFonts w:hint="eastAsia" w:ascii="宋体" w:hAnsi="宋体" w:cs="宋体"/>
              </w:rPr>
            </w:pPr>
            <w:r>
              <w:rPr>
                <w:rFonts w:hint="eastAsia" w:ascii="宋体" w:hAnsi="宋体" w:cs="宋体"/>
              </w:rPr>
              <w:t>深圳市计量质量检测研究院</w:t>
            </w:r>
          </w:p>
          <w:p>
            <w:pPr>
              <w:spacing w:beforeAutospacing="1" w:afterAutospacing="1" w:line="360" w:lineRule="auto"/>
              <w:rPr>
                <w:rFonts w:hint="eastAsia" w:ascii="宋体" w:hAnsi="宋体" w:cs="宋体"/>
              </w:rPr>
            </w:pPr>
            <w:r>
              <w:rPr>
                <w:rFonts w:hint="eastAsia" w:ascii="宋体" w:hAnsi="宋体" w:cs="宋体"/>
              </w:rPr>
              <w:t>中标合信（北京）认证有限公司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trPr>
        <w:tc>
          <w:tcPr>
            <w:tcW w:w="629"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hint="eastAsia" w:ascii="宋体" w:hAnsi="宋体" w:cs="宋体"/>
              </w:rPr>
            </w:pPr>
            <w:r>
              <w:rPr>
                <w:rFonts w:hint="eastAsia" w:ascii="宋体" w:hAnsi="宋体" w:cs="宋体"/>
              </w:rPr>
              <w:t>10</w:t>
            </w:r>
          </w:p>
        </w:tc>
        <w:tc>
          <w:tcPr>
            <w:tcW w:w="1215"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A020618</w:t>
            </w:r>
          </w:p>
        </w:tc>
        <w:tc>
          <w:tcPr>
            <w:tcW w:w="1064"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生活用电器</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A0206180101</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电冰箱</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中国质量认证中心</w:t>
            </w:r>
          </w:p>
          <w:p>
            <w:pPr>
              <w:spacing w:beforeAutospacing="1" w:afterAutospacing="1" w:line="360" w:lineRule="auto"/>
              <w:rPr>
                <w:rFonts w:hint="eastAsia" w:ascii="宋体" w:hAnsi="宋体" w:cs="宋体"/>
              </w:rPr>
            </w:pPr>
            <w:r>
              <w:rPr>
                <w:rFonts w:hint="eastAsia" w:ascii="宋体" w:hAnsi="宋体" w:cs="宋体"/>
              </w:rPr>
              <w:t>威凯认证检测有限公司</w:t>
            </w:r>
          </w:p>
          <w:p>
            <w:pPr>
              <w:spacing w:beforeAutospacing="1" w:afterAutospacing="1" w:line="360" w:lineRule="auto"/>
              <w:rPr>
                <w:rFonts w:hint="eastAsia" w:ascii="宋体" w:hAnsi="宋体" w:cs="宋体"/>
              </w:rPr>
            </w:pPr>
            <w:r>
              <w:rPr>
                <w:rFonts w:hint="eastAsia" w:ascii="宋体" w:hAnsi="宋体" w:cs="宋体"/>
              </w:rPr>
              <w:t>中家院（北京）检测认证有限公司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A0206180203</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空调机</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中国质量认证中心</w:t>
            </w:r>
          </w:p>
          <w:p>
            <w:pPr>
              <w:spacing w:beforeAutospacing="1" w:afterAutospacing="1" w:line="360" w:lineRule="auto"/>
              <w:rPr>
                <w:rFonts w:hint="eastAsia" w:ascii="宋体" w:hAnsi="宋体" w:cs="宋体"/>
              </w:rPr>
            </w:pPr>
            <w:r>
              <w:rPr>
                <w:rFonts w:hint="eastAsia" w:ascii="宋体" w:hAnsi="宋体" w:cs="宋体"/>
              </w:rPr>
              <w:t>威凯认证检测有限公司</w:t>
            </w:r>
          </w:p>
          <w:p>
            <w:pPr>
              <w:spacing w:beforeAutospacing="1" w:afterAutospacing="1" w:line="360" w:lineRule="auto"/>
              <w:rPr>
                <w:rFonts w:hint="eastAsia" w:ascii="宋体" w:hAnsi="宋体" w:cs="宋体"/>
              </w:rPr>
            </w:pPr>
            <w:r>
              <w:rPr>
                <w:rFonts w:hint="eastAsia" w:ascii="宋体" w:hAnsi="宋体" w:cs="宋体"/>
              </w:rPr>
              <w:t>中家院（北京）检测认证有限公司</w:t>
            </w:r>
          </w:p>
          <w:p>
            <w:pPr>
              <w:spacing w:beforeAutospacing="1" w:afterAutospacing="1" w:line="360" w:lineRule="auto"/>
              <w:rPr>
                <w:rFonts w:hint="eastAsia" w:ascii="宋体" w:hAnsi="宋体" w:cs="宋体"/>
              </w:rPr>
            </w:pPr>
            <w:r>
              <w:rPr>
                <w:rFonts w:hint="eastAsia" w:ascii="宋体" w:hAnsi="宋体" w:cs="宋体"/>
              </w:rPr>
              <w:t>合肥通用机械产品认证有限公司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A0206180301</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洗衣机</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中国质量认证中心</w:t>
            </w:r>
          </w:p>
          <w:p>
            <w:pPr>
              <w:spacing w:beforeAutospacing="1" w:afterAutospacing="1" w:line="360" w:lineRule="auto"/>
              <w:rPr>
                <w:rFonts w:hint="eastAsia" w:ascii="宋体" w:hAnsi="宋体" w:cs="宋体"/>
              </w:rPr>
            </w:pPr>
            <w:r>
              <w:rPr>
                <w:rFonts w:hint="eastAsia" w:ascii="宋体" w:hAnsi="宋体" w:cs="宋体"/>
              </w:rPr>
              <w:t>威凯认证检测有限公司</w:t>
            </w:r>
          </w:p>
          <w:p>
            <w:pPr>
              <w:spacing w:beforeAutospacing="1" w:afterAutospacing="1" w:line="360" w:lineRule="auto"/>
              <w:rPr>
                <w:rFonts w:hint="eastAsia" w:ascii="宋体" w:hAnsi="宋体" w:cs="宋体"/>
              </w:rPr>
            </w:pPr>
            <w:r>
              <w:rPr>
                <w:rFonts w:hint="eastAsia" w:ascii="宋体" w:hAnsi="宋体" w:cs="宋体"/>
              </w:rPr>
              <w:t>中家院（北京）检测认证有限公司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A02061808</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热水器</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中国质量认证中心</w:t>
            </w:r>
          </w:p>
          <w:p>
            <w:pPr>
              <w:spacing w:beforeAutospacing="1" w:afterAutospacing="1" w:line="360" w:lineRule="auto"/>
              <w:rPr>
                <w:rFonts w:hint="eastAsia" w:ascii="宋体" w:hAnsi="宋体" w:cs="宋体"/>
              </w:rPr>
            </w:pPr>
            <w:r>
              <w:rPr>
                <w:rFonts w:hint="eastAsia" w:ascii="宋体" w:hAnsi="宋体" w:cs="宋体"/>
              </w:rPr>
              <w:t>威凯认证检测有限公司</w:t>
            </w:r>
          </w:p>
          <w:p>
            <w:pPr>
              <w:spacing w:beforeAutospacing="1" w:afterAutospacing="1" w:line="360" w:lineRule="auto"/>
              <w:rPr>
                <w:rFonts w:hint="eastAsia" w:ascii="宋体" w:hAnsi="宋体" w:cs="宋体"/>
              </w:rPr>
            </w:pPr>
            <w:r>
              <w:rPr>
                <w:rFonts w:hint="eastAsia" w:ascii="宋体" w:hAnsi="宋体" w:cs="宋体"/>
              </w:rPr>
              <w:t>中家院（北京）检测认证有限公司</w:t>
            </w:r>
          </w:p>
          <w:p>
            <w:pPr>
              <w:spacing w:beforeAutospacing="1" w:afterAutospacing="1" w:line="360" w:lineRule="auto"/>
              <w:rPr>
                <w:rFonts w:hint="eastAsia" w:ascii="宋体" w:hAnsi="宋体" w:cs="宋体"/>
              </w:rPr>
            </w:pPr>
            <w:r>
              <w:rPr>
                <w:rFonts w:hint="eastAsia" w:ascii="宋体" w:hAnsi="宋体" w:cs="宋体"/>
              </w:rPr>
              <w:t>合肥通用机械产品认证有限公司(范围仅限于“热泵热水器”)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hint="eastAsia" w:ascii="宋体" w:hAnsi="宋体" w:cs="宋体"/>
              </w:rPr>
            </w:pPr>
            <w:r>
              <w:rPr>
                <w:rFonts w:hint="eastAsia" w:ascii="宋体" w:hAnsi="宋体" w:cs="宋体"/>
              </w:rPr>
              <w:t>11</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A020619</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照明设备</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　</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中国质量认证中心</w:t>
            </w:r>
          </w:p>
          <w:p>
            <w:pPr>
              <w:spacing w:beforeAutospacing="1" w:afterAutospacing="1" w:line="360" w:lineRule="auto"/>
              <w:rPr>
                <w:rFonts w:hint="eastAsia" w:ascii="宋体" w:hAnsi="宋体" w:cs="宋体"/>
              </w:rPr>
            </w:pPr>
            <w:r>
              <w:rPr>
                <w:rFonts w:hint="eastAsia" w:ascii="宋体" w:hAnsi="宋体" w:cs="宋体"/>
              </w:rPr>
              <w:t>深圳市计量质量检测研究院</w:t>
            </w:r>
          </w:p>
          <w:p>
            <w:pPr>
              <w:spacing w:beforeAutospacing="1" w:afterAutospacing="1" w:line="360" w:lineRule="auto"/>
              <w:rPr>
                <w:rFonts w:hint="eastAsia" w:ascii="宋体" w:hAnsi="宋体" w:cs="宋体"/>
              </w:rPr>
            </w:pPr>
            <w:r>
              <w:rPr>
                <w:rFonts w:hint="eastAsia" w:ascii="宋体" w:hAnsi="宋体" w:cs="宋体"/>
              </w:rPr>
              <w:t>中标合信（北京）认证有限公司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9"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hint="eastAsia" w:ascii="宋体" w:hAnsi="宋体" w:cs="宋体"/>
              </w:rPr>
            </w:pPr>
            <w:r>
              <w:rPr>
                <w:rFonts w:hint="eastAsia" w:ascii="宋体" w:hAnsi="宋体" w:cs="宋体"/>
              </w:rPr>
              <w:t>12</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A020910</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电视设备</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A02091001</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普通电视设备（电视机）</w:t>
            </w:r>
          </w:p>
        </w:tc>
        <w:tc>
          <w:tcPr>
            <w:tcW w:w="2170"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中国质量认证中心</w:t>
            </w:r>
          </w:p>
          <w:p>
            <w:pPr>
              <w:spacing w:beforeAutospacing="1" w:afterAutospacing="1" w:line="360" w:lineRule="auto"/>
              <w:rPr>
                <w:rFonts w:hint="eastAsia" w:ascii="宋体" w:hAnsi="宋体" w:cs="宋体"/>
              </w:rPr>
            </w:pPr>
            <w:r>
              <w:rPr>
                <w:rFonts w:hint="eastAsia" w:ascii="宋体" w:hAnsi="宋体" w:cs="宋体"/>
              </w:rPr>
              <w:t>北京泰瑞特认证有限责任公司</w:t>
            </w:r>
          </w:p>
          <w:p>
            <w:pPr>
              <w:spacing w:beforeAutospacing="1" w:afterAutospacing="1" w:line="360" w:lineRule="auto"/>
              <w:rPr>
                <w:rFonts w:hint="eastAsia" w:ascii="宋体" w:hAnsi="宋体" w:cs="宋体"/>
              </w:rPr>
            </w:pPr>
            <w:r>
              <w:rPr>
                <w:rFonts w:hint="eastAsia" w:ascii="宋体" w:hAnsi="宋体" w:cs="宋体"/>
              </w:rPr>
              <w:t>广州赛宝认证中心服务有限公司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hint="eastAsia" w:ascii="宋体" w:hAnsi="宋体" w:cs="宋体"/>
              </w:rPr>
            </w:pPr>
            <w:r>
              <w:rPr>
                <w:rFonts w:hint="eastAsia" w:ascii="宋体" w:hAnsi="宋体" w:cs="宋体"/>
              </w:rPr>
              <w:t>13</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A020911</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视频设备</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A02091107</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视频监控设备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5"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hint="eastAsia" w:ascii="宋体" w:hAnsi="宋体" w:cs="宋体"/>
              </w:rPr>
            </w:pPr>
            <w:r>
              <w:rPr>
                <w:rFonts w:hint="eastAsia" w:ascii="宋体" w:hAnsi="宋体" w:cs="宋体"/>
              </w:rPr>
              <w:t>14</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A031210</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饮食炊事机械</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　</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中国质量认证中心</w:t>
            </w:r>
          </w:p>
          <w:p>
            <w:pPr>
              <w:spacing w:beforeAutospacing="1" w:afterAutospacing="1" w:line="360" w:lineRule="auto"/>
              <w:rPr>
                <w:rFonts w:hint="eastAsia" w:ascii="宋体" w:hAnsi="宋体" w:cs="宋体"/>
              </w:rPr>
            </w:pPr>
            <w:r>
              <w:rPr>
                <w:rFonts w:hint="eastAsia" w:ascii="宋体" w:hAnsi="宋体" w:cs="宋体"/>
              </w:rPr>
              <w:t>北京鉴衡认证中心</w:t>
            </w:r>
          </w:p>
          <w:p>
            <w:pPr>
              <w:spacing w:beforeAutospacing="1" w:afterAutospacing="1" w:line="360" w:lineRule="auto"/>
              <w:rPr>
                <w:rFonts w:hint="eastAsia" w:ascii="宋体" w:hAnsi="宋体" w:cs="宋体"/>
              </w:rPr>
            </w:pPr>
            <w:r>
              <w:rPr>
                <w:rFonts w:hint="eastAsia" w:ascii="宋体" w:hAnsi="宋体" w:cs="宋体"/>
              </w:rPr>
              <w:t>中国市政工程华北设计研究总院有限公司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hint="eastAsia" w:ascii="宋体" w:hAnsi="宋体" w:cs="宋体"/>
              </w:rPr>
            </w:pPr>
            <w:r>
              <w:rPr>
                <w:rFonts w:hint="eastAsia" w:ascii="宋体" w:hAnsi="宋体" w:cs="宋体"/>
              </w:rPr>
              <w:t>15</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A060805</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便器</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　</w:t>
            </w:r>
          </w:p>
        </w:tc>
        <w:tc>
          <w:tcPr>
            <w:tcW w:w="2170"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中国质量认证中心</w:t>
            </w:r>
          </w:p>
          <w:p>
            <w:pPr>
              <w:spacing w:beforeAutospacing="1" w:afterAutospacing="1" w:line="360" w:lineRule="auto"/>
              <w:rPr>
                <w:rFonts w:hint="eastAsia" w:ascii="宋体" w:hAnsi="宋体" w:cs="宋体"/>
              </w:rPr>
            </w:pPr>
            <w:r>
              <w:rPr>
                <w:rFonts w:hint="eastAsia" w:ascii="宋体" w:hAnsi="宋体" w:cs="宋体"/>
              </w:rPr>
              <w:t>北京新华节水产品认证有限公司</w:t>
            </w:r>
          </w:p>
          <w:p>
            <w:pPr>
              <w:spacing w:beforeAutospacing="1" w:afterAutospacing="1" w:line="360" w:lineRule="auto"/>
              <w:rPr>
                <w:rFonts w:hint="eastAsia" w:ascii="宋体" w:hAnsi="宋体" w:cs="宋体"/>
              </w:rPr>
            </w:pPr>
            <w:r>
              <w:rPr>
                <w:rFonts w:hint="eastAsia" w:ascii="宋体" w:hAnsi="宋体" w:cs="宋体"/>
              </w:rPr>
              <w:t>方圆标志认证集团有限公司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hint="eastAsia" w:ascii="宋体" w:hAnsi="宋体" w:cs="宋体"/>
              </w:rPr>
            </w:pPr>
            <w:r>
              <w:rPr>
                <w:rFonts w:hint="eastAsia" w:ascii="宋体" w:hAnsi="宋体" w:cs="宋体"/>
              </w:rPr>
              <w:t>16</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A060806</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水嘴</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　</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hint="eastAsia" w:ascii="宋体" w:hAnsi="宋体" w:cs="宋体"/>
              </w:rPr>
            </w:pPr>
            <w:r>
              <w:rPr>
                <w:rFonts w:hint="eastAsia" w:ascii="宋体" w:hAnsi="宋体" w:cs="宋体"/>
              </w:rPr>
              <w:t>17</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A060807</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便器冲洗阀</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　</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hint="eastAsia" w:ascii="宋体" w:hAnsi="宋体" w:cs="宋体"/>
              </w:rPr>
            </w:pPr>
            <w:r>
              <w:rPr>
                <w:rFonts w:hint="eastAsia" w:ascii="宋体" w:hAnsi="宋体" w:cs="宋体"/>
              </w:rPr>
              <w:t>18</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A060810</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淋浴器</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hint="eastAsia" w:ascii="宋体" w:hAnsi="宋体" w:cs="宋体"/>
              </w:rPr>
            </w:pPr>
            <w:r>
              <w:rPr>
                <w:rFonts w:hint="eastAsia" w:ascii="宋体" w:hAnsi="宋体" w:cs="宋体"/>
              </w:rPr>
              <w:t>　</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cs="宋体"/>
              </w:rPr>
            </w:pPr>
          </w:p>
        </w:tc>
      </w:tr>
    </w:tbl>
    <w:p>
      <w:pPr>
        <w:spacing w:before="602" w:after="302" w:line="360" w:lineRule="auto"/>
        <w:ind w:left="302" w:right="226"/>
        <w:jc w:val="center"/>
        <w:rPr>
          <w:rFonts w:hint="eastAsia" w:ascii="宋体" w:hAnsi="宋体" w:cs="宋体"/>
        </w:rPr>
      </w:pPr>
      <w:r>
        <w:rPr>
          <w:rFonts w:hint="eastAsia" w:ascii="宋体" w:hAnsi="宋体" w:cs="宋体"/>
        </w:rPr>
        <w:t> </w:t>
      </w:r>
    </w:p>
    <w:p>
      <w:pPr>
        <w:spacing w:before="602" w:after="302" w:line="360" w:lineRule="auto"/>
        <w:ind w:left="302" w:right="226"/>
        <w:jc w:val="center"/>
        <w:rPr>
          <w:rFonts w:hint="eastAsia" w:ascii="宋体" w:hAnsi="宋体" w:cs="宋体"/>
          <w:sz w:val="28"/>
          <w:szCs w:val="28"/>
        </w:rPr>
      </w:pPr>
      <w:r>
        <w:rPr>
          <w:rFonts w:hint="eastAsia" w:ascii="宋体" w:hAnsi="宋体" w:cs="宋体"/>
          <w:sz w:val="28"/>
          <w:szCs w:val="28"/>
        </w:rPr>
        <w:t>参与实施政府采购环境标志产品认证机构名录 </w:t>
      </w:r>
    </w:p>
    <w:tbl>
      <w:tblPr>
        <w:tblStyle w:val="52"/>
        <w:tblW w:w="8847" w:type="dxa"/>
        <w:tblInd w:w="3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2122"/>
        <w:gridCol w:w="6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trPr>
        <w:tc>
          <w:tcPr>
            <w:tcW w:w="69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hint="eastAsia" w:ascii="宋体" w:hAnsi="宋体" w:cs="宋体"/>
              </w:rPr>
            </w:pPr>
            <w:r>
              <w:rPr>
                <w:rFonts w:hint="eastAsia" w:ascii="宋体" w:hAnsi="宋体" w:cs="宋体"/>
              </w:rPr>
              <w:t>序号</w:t>
            </w:r>
          </w:p>
        </w:tc>
        <w:tc>
          <w:tcPr>
            <w:tcW w:w="2122"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hint="eastAsia" w:ascii="宋体" w:hAnsi="宋体" w:cs="宋体"/>
              </w:rPr>
            </w:pPr>
            <w:r>
              <w:rPr>
                <w:rFonts w:hint="eastAsia" w:ascii="宋体" w:hAnsi="宋体" w:cs="宋体"/>
              </w:rPr>
              <w:t>目录</w:t>
            </w:r>
          </w:p>
        </w:tc>
        <w:tc>
          <w:tcPr>
            <w:tcW w:w="6031"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hint="eastAsia" w:ascii="宋体" w:hAnsi="宋体" w:cs="宋体"/>
              </w:rPr>
            </w:pPr>
            <w:r>
              <w:rPr>
                <w:rFonts w:hint="eastAsia" w:ascii="宋体" w:hAnsi="宋体" w:cs="宋体"/>
              </w:rPr>
              <w:t>认证机构名录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1" w:hRule="atLeast"/>
        </w:trPr>
        <w:tc>
          <w:tcPr>
            <w:tcW w:w="69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hint="eastAsia" w:ascii="宋体" w:hAnsi="宋体" w:cs="宋体"/>
              </w:rPr>
            </w:pPr>
            <w:r>
              <w:rPr>
                <w:rFonts w:hint="eastAsia" w:ascii="宋体" w:hAnsi="宋体" w:cs="宋体"/>
              </w:rPr>
              <w:t>1</w:t>
            </w:r>
          </w:p>
        </w:tc>
        <w:tc>
          <w:tcPr>
            <w:tcW w:w="2122"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hint="eastAsia" w:ascii="宋体" w:hAnsi="宋体" w:cs="宋体"/>
              </w:rPr>
            </w:pPr>
            <w:r>
              <w:rPr>
                <w:rFonts w:hint="eastAsia" w:ascii="宋体" w:hAnsi="宋体" w:cs="宋体"/>
              </w:rPr>
              <w:t>环境标志产品</w:t>
            </w:r>
          </w:p>
        </w:tc>
        <w:tc>
          <w:tcPr>
            <w:tcW w:w="6031"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hint="eastAsia" w:ascii="宋体" w:hAnsi="宋体" w:cs="宋体"/>
              </w:rPr>
            </w:pPr>
            <w:r>
              <w:rPr>
                <w:rFonts w:hint="eastAsia" w:ascii="宋体" w:hAnsi="宋体" w:cs="宋体"/>
              </w:rPr>
              <w:t>中环联合（北京）认证中心有限公司</w:t>
            </w:r>
          </w:p>
          <w:p>
            <w:pPr>
              <w:spacing w:beforeAutospacing="1" w:afterAutospacing="1" w:line="360" w:lineRule="auto"/>
              <w:jc w:val="center"/>
              <w:rPr>
                <w:rFonts w:hint="eastAsia" w:ascii="宋体" w:hAnsi="宋体" w:cs="宋体"/>
              </w:rPr>
            </w:pPr>
            <w:r>
              <w:rPr>
                <w:rFonts w:hint="eastAsia" w:ascii="宋体" w:hAnsi="宋体" w:cs="宋体"/>
              </w:rPr>
              <w:t>中标合信（北京）认证有限公司</w:t>
            </w:r>
          </w:p>
          <w:p>
            <w:pPr>
              <w:spacing w:beforeAutospacing="1" w:afterAutospacing="1" w:line="360" w:lineRule="auto"/>
              <w:jc w:val="center"/>
              <w:rPr>
                <w:rFonts w:hint="eastAsia" w:ascii="宋体" w:hAnsi="宋体" w:cs="宋体"/>
              </w:rPr>
            </w:pPr>
            <w:r>
              <w:rPr>
                <w:rFonts w:hint="eastAsia" w:ascii="宋体" w:hAnsi="宋体" w:cs="宋体"/>
              </w:rPr>
              <w:t>中环协（北京）认证有限公司</w:t>
            </w:r>
          </w:p>
          <w:p>
            <w:pPr>
              <w:spacing w:beforeAutospacing="1" w:afterAutospacing="1" w:line="360" w:lineRule="auto"/>
              <w:jc w:val="center"/>
              <w:rPr>
                <w:rFonts w:hint="eastAsia" w:ascii="宋体" w:hAnsi="宋体" w:cs="宋体"/>
              </w:rPr>
            </w:pPr>
            <w:r>
              <w:rPr>
                <w:rFonts w:hint="eastAsia" w:ascii="宋体" w:hAnsi="宋体" w:cs="宋体"/>
              </w:rPr>
              <w:t>天津华诚认证有限公司</w:t>
            </w:r>
          </w:p>
        </w:tc>
      </w:tr>
    </w:tbl>
    <w:p>
      <w:pPr>
        <w:spacing w:line="360" w:lineRule="auto"/>
        <w:rPr>
          <w:rFonts w:hint="eastAsia" w:ascii="宋体" w:hAnsi="宋体" w:cs="宋体"/>
        </w:rPr>
      </w:pPr>
    </w:p>
    <w:p>
      <w:pPr>
        <w:widowControl/>
        <w:jc w:val="left"/>
        <w:rPr>
          <w:rFonts w:hint="eastAsia" w:ascii="宋体" w:hAnsi="宋体" w:cs="宋体"/>
          <w:b/>
          <w:sz w:val="24"/>
          <w:lang w:val="zh-CN"/>
        </w:rPr>
      </w:pPr>
      <w:r>
        <w:rPr>
          <w:rFonts w:ascii="宋体" w:hAnsi="宋体" w:cs="宋体"/>
          <w:lang w:val="zh-CN"/>
        </w:rPr>
        <w:br w:type="page"/>
      </w:r>
    </w:p>
    <w:p>
      <w:pPr>
        <w:pStyle w:val="3"/>
        <w:tabs>
          <w:tab w:val="left" w:pos="432"/>
        </w:tabs>
        <w:spacing w:line="360" w:lineRule="auto"/>
        <w:jc w:val="left"/>
        <w:rPr>
          <w:rFonts w:hint="eastAsia" w:hAnsi="宋体" w:cs="宋体"/>
          <w:bCs/>
          <w:sz w:val="24"/>
          <w:szCs w:val="24"/>
        </w:rPr>
      </w:pPr>
      <w:bookmarkStart w:id="1040" w:name="_Toc199921604"/>
      <w:bookmarkStart w:id="1041" w:name="_Toc218620584"/>
      <w:bookmarkStart w:id="1042" w:name="_Toc209958518"/>
      <w:bookmarkStart w:id="1043" w:name="_Toc199921603"/>
      <w:r>
        <w:rPr>
          <w:rFonts w:hint="eastAsia" w:hAnsi="宋体" w:cs="宋体"/>
          <w:bCs/>
          <w:sz w:val="24"/>
          <w:szCs w:val="24"/>
        </w:rPr>
        <w:t>附录</w:t>
      </w:r>
      <w:r>
        <w:rPr>
          <w:rFonts w:hAnsi="宋体" w:cs="宋体"/>
          <w:bCs/>
          <w:sz w:val="24"/>
          <w:szCs w:val="24"/>
        </w:rPr>
        <w:t>9</w:t>
      </w:r>
      <w:r>
        <w:rPr>
          <w:rFonts w:hint="eastAsia" w:hAnsi="宋体" w:cs="宋体"/>
          <w:bCs/>
          <w:sz w:val="24"/>
          <w:szCs w:val="24"/>
        </w:rPr>
        <w:t>：财政部关于在政府采购活动中查询及使用信用记录有关问题的通知</w:t>
      </w:r>
      <w:bookmarkEnd w:id="1040"/>
      <w:bookmarkEnd w:id="1041"/>
      <w:bookmarkEnd w:id="1042"/>
    </w:p>
    <w:p>
      <w:pPr>
        <w:spacing w:line="360" w:lineRule="auto"/>
        <w:jc w:val="center"/>
        <w:rPr>
          <w:rFonts w:hint="eastAsia" w:ascii="宋体" w:hAnsi="宋体"/>
          <w:sz w:val="24"/>
        </w:rPr>
      </w:pPr>
      <w:r>
        <w:rPr>
          <w:rFonts w:hint="eastAsia" w:ascii="宋体" w:hAnsi="宋体"/>
          <w:sz w:val="24"/>
        </w:rPr>
        <w:t>财政部关于在政府采购活动中查询及使用信用记录</w:t>
      </w:r>
      <w:r>
        <w:rPr>
          <w:rFonts w:hint="eastAsia" w:ascii="宋体" w:hAnsi="宋体"/>
          <w:sz w:val="24"/>
        </w:rPr>
        <w:br w:type="textWrapping"/>
      </w:r>
      <w:r>
        <w:rPr>
          <w:rFonts w:hint="eastAsia" w:ascii="宋体" w:hAnsi="宋体"/>
          <w:sz w:val="24"/>
        </w:rPr>
        <w:t>有关问题的通知</w:t>
      </w:r>
    </w:p>
    <w:p>
      <w:pPr>
        <w:spacing w:line="360" w:lineRule="auto"/>
        <w:jc w:val="center"/>
        <w:rPr>
          <w:rFonts w:hint="eastAsia" w:ascii="宋体" w:hAnsi="宋体"/>
          <w:sz w:val="24"/>
        </w:rPr>
      </w:pPr>
      <w:r>
        <w:rPr>
          <w:rFonts w:hint="eastAsia" w:ascii="宋体" w:hAnsi="宋体"/>
          <w:sz w:val="24"/>
        </w:rPr>
        <w:t>财库〔2016〕125号</w:t>
      </w:r>
    </w:p>
    <w:p>
      <w:pPr>
        <w:pStyle w:val="46"/>
        <w:shd w:val="clear" w:color="auto" w:fill="FFFFFF"/>
        <w:spacing w:before="0" w:beforeAutospacing="0" w:after="0" w:afterAutospacing="0" w:line="360" w:lineRule="auto"/>
        <w:textAlignment w:val="baseline"/>
        <w:rPr>
          <w:rFonts w:hint="eastAsia"/>
        </w:rPr>
      </w:pPr>
      <w:r>
        <w:rPr>
          <w:rFonts w:hint="eastAsia"/>
        </w:rPr>
        <w:t>党中央有关部门，国务院各部委、各直属机构，全国人大常委会办公厅，全国政协办公厅，高法院，高检院，各民主党派中央，有关人民团体，中央国家机关政府采购中心，中共中央直属机关采购中心，全国人大机关采购中心，各省、自治区、直辖市、计划单列市财政厅（局）、政府采购中心，新疆生产建设兵团财务局、政府采购中心：</w:t>
      </w:r>
    </w:p>
    <w:p>
      <w:pPr>
        <w:pStyle w:val="46"/>
        <w:shd w:val="clear" w:color="auto" w:fill="FFFFFF"/>
        <w:spacing w:before="0" w:beforeAutospacing="0" w:after="0" w:afterAutospacing="0" w:line="360" w:lineRule="auto"/>
        <w:textAlignment w:val="baseline"/>
        <w:rPr>
          <w:rFonts w:hint="eastAsia"/>
        </w:rPr>
      </w:pPr>
      <w:r>
        <w:rPr>
          <w:rFonts w:hint="eastAsia"/>
        </w:rPr>
        <w:t>　　为落实《国务院关于印发社会信用体系建设规划纲要（2014-2020年）的通知》（国发〔2014〕21号）、《国务院关于建立完善守信联合激励和失信联合惩戒制度加快推进社会诚信体系建设的指导意见》（国发〔2016〕33号）以及《国务院办公厅关于运用大数据加强对市场主体服务和监管的若干意见》（国办发〔2015〕51号）有关要求，推进社会信用体系建设、健全守信激励失信约束机制，现就政府采购活动中查询及使用信用记录有关事项通知如下：</w:t>
      </w:r>
    </w:p>
    <w:p>
      <w:pPr>
        <w:pStyle w:val="46"/>
        <w:shd w:val="clear" w:color="auto" w:fill="FFFFFF"/>
        <w:spacing w:before="0" w:beforeAutospacing="0" w:after="0" w:afterAutospacing="0" w:line="360" w:lineRule="auto"/>
        <w:textAlignment w:val="baseline"/>
        <w:rPr>
          <w:rFonts w:hint="eastAsia"/>
        </w:rPr>
      </w:pPr>
      <w:r>
        <w:rPr>
          <w:rFonts w:hint="eastAsia"/>
        </w:rPr>
        <w:t>　　</w:t>
      </w:r>
      <w:r>
        <w:rPr>
          <w:rStyle w:val="56"/>
        </w:rPr>
        <w:t>一、高度重视信用记录查询及使用工作</w:t>
      </w:r>
    </w:p>
    <w:p>
      <w:pPr>
        <w:pStyle w:val="46"/>
        <w:shd w:val="clear" w:color="auto" w:fill="FFFFFF"/>
        <w:spacing w:before="0" w:beforeAutospacing="0" w:after="0" w:afterAutospacing="0" w:line="360" w:lineRule="auto"/>
        <w:textAlignment w:val="baseline"/>
        <w:rPr>
          <w:rFonts w:hint="eastAsia"/>
        </w:rPr>
      </w:pPr>
      <w:r>
        <w:rPr>
          <w:rFonts w:hint="eastAsia"/>
        </w:rPr>
        <w:t>　　诚实信用是政府采购活动的基本原则之一。在政府采购活动中查询及使用信用记录，对参与政府采购活动的供应商、采购代理机构及评审专家进行守信激励、失信约束，是政府相关部门开展协同监管和联合惩戒的重要举措，对降低市场运行成本、改善营商环境、高效开展市场经济活动具有重要作用，有利于形成“一处违规、处处受限”的信用机制。</w:t>
      </w:r>
    </w:p>
    <w:p>
      <w:pPr>
        <w:pStyle w:val="46"/>
        <w:shd w:val="clear" w:color="auto" w:fill="FFFFFF"/>
        <w:spacing w:before="0" w:beforeAutospacing="0" w:after="0" w:afterAutospacing="0" w:line="360" w:lineRule="auto"/>
        <w:textAlignment w:val="baseline"/>
        <w:rPr>
          <w:rFonts w:hint="eastAsia"/>
        </w:rPr>
      </w:pPr>
      <w:r>
        <w:rPr>
          <w:rFonts w:hint="eastAsia"/>
        </w:rPr>
        <w:t>　　近年来，财政部与有关部门联合签署了《关于对重大税收违法案件当事人实施联合惩戒措施的合作备忘录》（发改财金〔2014〕3062号）、《失信企业协同监管和联合惩戒合作备忘录》（发改财金〔2015〕2045号）、《关于对违法失信上市公司相关责任主体实施联合惩戒的合作备忘录》（发改财金〔2015〕3062号）、《关于对失信被执行人实施联合惩戒的合作备忘录》（发改财金〔2016〕141号）、《关于对安全生产领域失信生产经营单位及其有关人员开展联合惩戒的合作备忘录》（发改财金〔2016〕1001号），依法限制相关失信主体参与政府采购活动。各地区各部门要进一步提高认识，推动建立政府采购活动信用记录查询及使用工作机制，加快建立政府采购信用评价制度，有效应用信用信息和信用报告，积极推进政府采购领域联合惩戒工作。</w:t>
      </w:r>
    </w:p>
    <w:p>
      <w:pPr>
        <w:pStyle w:val="46"/>
        <w:shd w:val="clear" w:color="auto" w:fill="FFFFFF"/>
        <w:spacing w:before="0" w:beforeAutospacing="0" w:after="0" w:afterAutospacing="0" w:line="360" w:lineRule="auto"/>
        <w:textAlignment w:val="baseline"/>
        <w:rPr>
          <w:rFonts w:hint="eastAsia"/>
        </w:rPr>
      </w:pPr>
      <w:r>
        <w:rPr>
          <w:rFonts w:hint="eastAsia"/>
        </w:rPr>
        <w:t>　　</w:t>
      </w:r>
      <w:r>
        <w:rPr>
          <w:rStyle w:val="56"/>
        </w:rPr>
        <w:t>二、认真做好信用记录查询及使用工作</w:t>
      </w:r>
    </w:p>
    <w:p>
      <w:pPr>
        <w:pStyle w:val="46"/>
        <w:shd w:val="clear" w:color="auto" w:fill="FFFFFF"/>
        <w:spacing w:before="0" w:beforeAutospacing="0" w:after="0" w:afterAutospacing="0" w:line="360" w:lineRule="auto"/>
        <w:textAlignment w:val="baseline"/>
        <w:rPr>
          <w:rFonts w:hint="eastAsia"/>
        </w:rPr>
      </w:pPr>
      <w:r>
        <w:rPr>
          <w:rFonts w:hint="eastAsia"/>
        </w:rPr>
        <w:t>　　</w:t>
      </w:r>
      <w:r>
        <w:rPr>
          <w:rStyle w:val="56"/>
          <w:rFonts w:hint="eastAsia"/>
        </w:rPr>
        <w:t>（一）总体要求。</w:t>
      </w:r>
    </w:p>
    <w:p>
      <w:pPr>
        <w:pStyle w:val="46"/>
        <w:shd w:val="clear" w:color="auto" w:fill="FFFFFF"/>
        <w:spacing w:before="0" w:beforeAutospacing="0" w:after="0" w:afterAutospacing="0" w:line="360" w:lineRule="auto"/>
        <w:textAlignment w:val="baseline"/>
        <w:rPr>
          <w:rFonts w:hint="eastAsia"/>
        </w:rPr>
      </w:pPr>
      <w:r>
        <w:rPr>
          <w:rFonts w:hint="eastAsia"/>
        </w:rPr>
        <w:t>　　各地区各部门应当按照社会信用体系建设有关要求，根据社会信用体系建设情况，创造条件将相关主体的信用记录作为供应商资格审查、采购代理机构委托、评审专家管理的重要依据。</w:t>
      </w:r>
    </w:p>
    <w:p>
      <w:pPr>
        <w:pStyle w:val="46"/>
        <w:shd w:val="clear" w:color="auto" w:fill="FFFFFF"/>
        <w:spacing w:before="0" w:beforeAutospacing="0" w:after="0" w:afterAutospacing="0" w:line="360" w:lineRule="auto"/>
        <w:textAlignment w:val="baseline"/>
        <w:rPr>
          <w:rFonts w:hint="eastAsia"/>
        </w:rPr>
      </w:pPr>
      <w:r>
        <w:rPr>
          <w:rFonts w:hint="eastAsia"/>
        </w:rPr>
        <w:t>　　</w:t>
      </w:r>
      <w:r>
        <w:rPr>
          <w:rStyle w:val="56"/>
          <w:rFonts w:hint="eastAsia"/>
        </w:rPr>
        <w:t>（二）信用记录查询渠道。</w:t>
      </w:r>
    </w:p>
    <w:p>
      <w:pPr>
        <w:pStyle w:val="46"/>
        <w:shd w:val="clear" w:color="auto" w:fill="FFFFFF"/>
        <w:spacing w:before="0" w:beforeAutospacing="0" w:after="0" w:afterAutospacing="0" w:line="360" w:lineRule="auto"/>
        <w:textAlignment w:val="baseline"/>
        <w:rPr>
          <w:rFonts w:hint="eastAsia"/>
        </w:rPr>
      </w:pPr>
      <w:r>
        <w:rPr>
          <w:rFonts w:hint="eastAsia"/>
        </w:rPr>
        <w:t>　　各级财政部门、采购人、采购代理机构应当通过“信用中国”网站（www.creditchina.gov.cn）、中国政府采购网（www.ccgp.gov.cn）等渠道查询相关主体信用记录，并采取必要方式做好信用信息查询记录和证据留存，信用信息查询记录及相关证据应当与其他采购文件一并保存。</w:t>
      </w:r>
    </w:p>
    <w:p>
      <w:pPr>
        <w:pStyle w:val="46"/>
        <w:shd w:val="clear" w:color="auto" w:fill="FFFFFF"/>
        <w:spacing w:before="0" w:beforeAutospacing="0" w:after="0" w:afterAutospacing="0" w:line="360" w:lineRule="auto"/>
        <w:textAlignment w:val="baseline"/>
        <w:rPr>
          <w:rFonts w:hint="eastAsia"/>
        </w:rPr>
      </w:pPr>
      <w:r>
        <w:rPr>
          <w:rFonts w:hint="eastAsia"/>
        </w:rPr>
        <w:t>　　</w:t>
      </w:r>
      <w:r>
        <w:rPr>
          <w:rStyle w:val="56"/>
          <w:rFonts w:hint="eastAsia"/>
        </w:rPr>
        <w:t>（三）信用记录的使用。</w:t>
      </w:r>
    </w:p>
    <w:p>
      <w:pPr>
        <w:pStyle w:val="46"/>
        <w:shd w:val="clear" w:color="auto" w:fill="FFFFFF"/>
        <w:spacing w:before="0" w:beforeAutospacing="0" w:after="0" w:afterAutospacing="0" w:line="360" w:lineRule="auto"/>
        <w:textAlignment w:val="baseline"/>
        <w:rPr>
          <w:rFonts w:hint="eastAsia"/>
        </w:rPr>
      </w:pPr>
      <w:r>
        <w:rPr>
          <w:rFonts w:hint="eastAsia"/>
        </w:rPr>
        <w:t>　　1．采购人或者采购代理机构应当在采购文件中明确信用信息查询的查询渠道及截止时点、信用信息查询记录和证据留存的具体方式、信用信息的使用规则等内容。采购人或者采购代理机构应当对供应商信用记录进行甄别，对列入失信被执行人、重大税收违法案件当事人名单、政府采购严重违法失信行为记录名单及其他不符合《中华人民共和国政府采购法》第二十二条规定条件的供应商，应当拒绝其参与政府采购活动。</w:t>
      </w:r>
    </w:p>
    <w:p>
      <w:pPr>
        <w:pStyle w:val="46"/>
        <w:shd w:val="clear" w:color="auto" w:fill="FFFFFF"/>
        <w:spacing w:before="0" w:beforeAutospacing="0" w:after="0" w:afterAutospacing="0" w:line="360" w:lineRule="auto"/>
        <w:textAlignment w:val="baseline"/>
        <w:rPr>
          <w:rFonts w:hint="eastAsia"/>
        </w:rPr>
      </w:pPr>
      <w:r>
        <w:rPr>
          <w:rFonts w:hint="eastAsia"/>
        </w:rPr>
        <w:t>　　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pStyle w:val="46"/>
        <w:shd w:val="clear" w:color="auto" w:fill="FFFFFF"/>
        <w:spacing w:before="0" w:beforeAutospacing="0" w:after="0" w:afterAutospacing="0" w:line="360" w:lineRule="auto"/>
        <w:textAlignment w:val="baseline"/>
        <w:rPr>
          <w:rFonts w:hint="eastAsia"/>
        </w:rPr>
      </w:pPr>
      <w:r>
        <w:rPr>
          <w:rFonts w:hint="eastAsia"/>
        </w:rPr>
        <w:t>　　2．各级财政部门应当在评审专家选聘及日常管理中查询有关信用记录，对具有行贿、受贿、欺诈等不良信用记录的人员不得聘用为评审专家，已聘用的应当及时解聘。</w:t>
      </w:r>
      <w:r>
        <w:rPr>
          <w:rFonts w:hint="eastAsia"/>
        </w:rPr>
        <w:br w:type="textWrapping"/>
      </w:r>
      <w:r>
        <w:rPr>
          <w:rFonts w:hint="eastAsia"/>
        </w:rPr>
        <w:t>　　依法自行选定评审专家的，采购人或者采购代理机构应当查询有关信用记录，不得选定具有行贿、受贿、欺诈等不良信用记录的人员。</w:t>
      </w:r>
    </w:p>
    <w:p>
      <w:pPr>
        <w:pStyle w:val="46"/>
        <w:shd w:val="clear" w:color="auto" w:fill="FFFFFF"/>
        <w:spacing w:before="0" w:beforeAutospacing="0" w:after="0" w:afterAutospacing="0" w:line="360" w:lineRule="auto"/>
        <w:textAlignment w:val="baseline"/>
        <w:rPr>
          <w:rFonts w:hint="eastAsia"/>
        </w:rPr>
      </w:pPr>
      <w:r>
        <w:rPr>
          <w:rFonts w:hint="eastAsia"/>
        </w:rPr>
        <w:t>　　3．采购人委托采购代理机构办理政府采购事宜的，应当查询其信用记录，优先选择无不良信用记录的采购代理机构。</w:t>
      </w:r>
    </w:p>
    <w:p>
      <w:pPr>
        <w:pStyle w:val="46"/>
        <w:shd w:val="clear" w:color="auto" w:fill="FFFFFF"/>
        <w:spacing w:before="0" w:beforeAutospacing="0" w:after="0" w:afterAutospacing="0" w:line="360" w:lineRule="auto"/>
        <w:textAlignment w:val="baseline"/>
        <w:rPr>
          <w:rFonts w:hint="eastAsia"/>
        </w:rPr>
      </w:pPr>
      <w:r>
        <w:rPr>
          <w:rFonts w:hint="eastAsia"/>
        </w:rPr>
        <w:t>　　4．采购人及采购代理机构应当妥善保管相关主体信用信息，不得用于政府采购以外事项。</w:t>
      </w:r>
    </w:p>
    <w:p>
      <w:pPr>
        <w:pStyle w:val="46"/>
        <w:shd w:val="clear" w:color="auto" w:fill="FFFFFF"/>
        <w:spacing w:before="0" w:beforeAutospacing="0" w:after="0" w:afterAutospacing="0" w:line="360" w:lineRule="auto"/>
        <w:textAlignment w:val="baseline"/>
        <w:rPr>
          <w:rFonts w:hint="eastAsia"/>
        </w:rPr>
      </w:pPr>
      <w:r>
        <w:rPr>
          <w:rFonts w:hint="eastAsia"/>
        </w:rPr>
        <w:t>　　</w:t>
      </w:r>
      <w:r>
        <w:rPr>
          <w:rStyle w:val="56"/>
        </w:rPr>
        <w:t>三、工作要求</w:t>
      </w:r>
    </w:p>
    <w:p>
      <w:pPr>
        <w:pStyle w:val="46"/>
        <w:shd w:val="clear" w:color="auto" w:fill="FFFFFF"/>
        <w:spacing w:before="0" w:beforeAutospacing="0" w:after="0" w:afterAutospacing="0" w:line="360" w:lineRule="auto"/>
        <w:textAlignment w:val="baseline"/>
        <w:rPr>
          <w:rFonts w:hint="eastAsia"/>
        </w:rPr>
      </w:pPr>
      <w:r>
        <w:rPr>
          <w:rFonts w:hint="eastAsia"/>
        </w:rPr>
        <w:t>　　（一）各级财政部门和有关部门应当根据政府采购法及其实施条例相关规定，对参加政府采购活动的供应商、采购代理机构、评审专家的不良行为予以记录，并纳入统一的信用信息平台。</w:t>
      </w:r>
    </w:p>
    <w:p>
      <w:pPr>
        <w:pStyle w:val="46"/>
        <w:shd w:val="clear" w:color="auto" w:fill="FFFFFF"/>
        <w:spacing w:before="0" w:beforeAutospacing="0" w:after="0" w:afterAutospacing="0" w:line="360" w:lineRule="auto"/>
        <w:textAlignment w:val="baseline"/>
        <w:rPr>
          <w:rFonts w:hint="eastAsia"/>
        </w:rPr>
      </w:pPr>
      <w:r>
        <w:rPr>
          <w:rFonts w:hint="eastAsia"/>
        </w:rPr>
        <w:t>　　（二）各级财政部门应当切实加强政府采购信息化建设，做好相关技术保障，建立与相关信用信息平台的数据共享机制，逐步实现信用信息推送、接收、查询、应用的自动化。</w:t>
      </w:r>
    </w:p>
    <w:p>
      <w:pPr>
        <w:pStyle w:val="46"/>
        <w:shd w:val="clear" w:color="auto" w:fill="FFFFFF"/>
        <w:spacing w:before="0" w:beforeAutospacing="0" w:after="0" w:afterAutospacing="0" w:line="360" w:lineRule="auto"/>
        <w:textAlignment w:val="baseline"/>
        <w:rPr>
          <w:rFonts w:hint="eastAsia"/>
        </w:rPr>
      </w:pPr>
      <w:r>
        <w:rPr>
          <w:rFonts w:hint="eastAsia"/>
        </w:rPr>
        <w:t>　　（三）各地区各部门应当根据上述原则和要求，在政府采购活动中积极推进信用信息的共享和使用，研究制定符合本地本部门实际情况的具体操作程序和办法，落实相关工作要求，及时将信用信息使用情况反馈至财政部。</w:t>
      </w:r>
    </w:p>
    <w:p>
      <w:pPr>
        <w:pStyle w:val="46"/>
        <w:shd w:val="clear" w:color="auto" w:fill="FFFFFF"/>
        <w:spacing w:before="0" w:beforeAutospacing="0" w:after="0" w:afterAutospacing="0" w:line="360" w:lineRule="auto"/>
        <w:jc w:val="right"/>
        <w:textAlignment w:val="baseline"/>
        <w:rPr>
          <w:rFonts w:hint="eastAsia"/>
        </w:rPr>
      </w:pPr>
      <w:r>
        <w:rPr>
          <w:rFonts w:hint="eastAsia"/>
        </w:rPr>
        <w:t>财政部</w:t>
      </w:r>
      <w:r>
        <w:rPr>
          <w:rFonts w:hint="eastAsia"/>
        </w:rPr>
        <w:br w:type="textWrapping"/>
      </w:r>
      <w:r>
        <w:rPr>
          <w:rFonts w:hint="eastAsia"/>
        </w:rPr>
        <w:t>2016年8月1日</w:t>
      </w:r>
    </w:p>
    <w:p>
      <w:pPr>
        <w:widowControl/>
        <w:jc w:val="left"/>
        <w:rPr>
          <w:rFonts w:hint="eastAsia" w:ascii="宋体" w:hAnsi="宋体" w:cs="宋体"/>
          <w:kern w:val="0"/>
          <w:sz w:val="24"/>
        </w:rPr>
      </w:pPr>
    </w:p>
    <w:p>
      <w:pPr>
        <w:widowControl/>
        <w:jc w:val="left"/>
        <w:rPr>
          <w:rFonts w:hint="eastAsia" w:ascii="宋体" w:hAnsi="宋体" w:cs="宋体"/>
          <w:b/>
          <w:bCs/>
          <w:kern w:val="44"/>
          <w:sz w:val="24"/>
        </w:rPr>
      </w:pPr>
      <w:r>
        <w:rPr>
          <w:rFonts w:ascii="宋体" w:hAnsi="宋体" w:cs="宋体"/>
          <w:bCs/>
          <w:sz w:val="24"/>
        </w:rPr>
        <w:br w:type="page"/>
      </w:r>
    </w:p>
    <w:bookmarkEnd w:id="1043"/>
    <w:p>
      <w:pPr>
        <w:pStyle w:val="3"/>
        <w:tabs>
          <w:tab w:val="left" w:pos="432"/>
        </w:tabs>
        <w:spacing w:line="360" w:lineRule="auto"/>
        <w:jc w:val="left"/>
        <w:rPr>
          <w:rFonts w:hint="eastAsia" w:hAnsi="宋体" w:cs="宋体"/>
          <w:bCs/>
          <w:sz w:val="24"/>
          <w:szCs w:val="24"/>
        </w:rPr>
      </w:pPr>
      <w:bookmarkStart w:id="1044" w:name="_Toc209958520"/>
      <w:bookmarkStart w:id="1045" w:name="_Toc218620585"/>
      <w:r>
        <w:rPr>
          <w:rFonts w:hint="eastAsia" w:hAnsi="宋体" w:cs="宋体"/>
          <w:bCs/>
          <w:sz w:val="24"/>
          <w:szCs w:val="24"/>
        </w:rPr>
        <w:t>附录</w:t>
      </w:r>
      <w:r>
        <w:rPr>
          <w:rFonts w:hAnsi="宋体" w:cs="宋体"/>
          <w:bCs/>
          <w:sz w:val="24"/>
          <w:szCs w:val="24"/>
        </w:rPr>
        <w:t>10</w:t>
      </w:r>
      <w:r>
        <w:rPr>
          <w:rFonts w:hint="eastAsia" w:hAnsi="宋体" w:cs="宋体"/>
          <w:bCs/>
          <w:sz w:val="24"/>
          <w:szCs w:val="24"/>
        </w:rPr>
        <w:t>：关于印发《商品包装政府采购需求标准（试行）》、《快递包装政府采购需求标准（试行）》的通知</w:t>
      </w:r>
      <w:bookmarkEnd w:id="1044"/>
      <w:bookmarkEnd w:id="1045"/>
    </w:p>
    <w:p>
      <w:pPr>
        <w:widowControl/>
        <w:spacing w:line="360" w:lineRule="auto"/>
        <w:jc w:val="center"/>
        <w:rPr>
          <w:rFonts w:hint="eastAsia" w:ascii="宋体" w:hAnsi="宋体" w:cs="宋体"/>
          <w:bCs/>
          <w:sz w:val="24"/>
        </w:rPr>
      </w:pPr>
      <w:r>
        <w:rPr>
          <w:rFonts w:hint="eastAsia" w:ascii="宋体" w:hAnsi="宋体" w:cs="宋体"/>
          <w:bCs/>
          <w:sz w:val="24"/>
        </w:rPr>
        <w:t>财办库〔2020〕123号</w:t>
      </w:r>
    </w:p>
    <w:p>
      <w:pPr>
        <w:widowControl/>
        <w:spacing w:line="360" w:lineRule="auto"/>
        <w:jc w:val="left"/>
        <w:rPr>
          <w:rFonts w:hint="eastAsia" w:ascii="宋体" w:hAnsi="宋体" w:cs="宋体"/>
          <w:bCs/>
          <w:sz w:val="24"/>
        </w:rPr>
      </w:pPr>
      <w:r>
        <w:rPr>
          <w:rFonts w:hint="eastAsia" w:ascii="宋体" w:hAnsi="宋体" w:cs="宋体"/>
          <w:bCs/>
          <w:sz w:val="24"/>
        </w:rPr>
        <w:t>各省、自治区、直辖市、计划单列市财政厅（局）、生态环境厅（局）、邮政局，新疆生产建设兵团财政局、生态环境局、邮政局，各中央预算单位办公厅（室）：</w:t>
      </w:r>
    </w:p>
    <w:p>
      <w:pPr>
        <w:widowControl/>
        <w:spacing w:line="360" w:lineRule="auto"/>
        <w:jc w:val="left"/>
        <w:rPr>
          <w:rFonts w:hint="eastAsia" w:ascii="宋体" w:hAnsi="宋体" w:cs="宋体"/>
          <w:bCs/>
          <w:sz w:val="24"/>
        </w:rPr>
      </w:pPr>
      <w:r>
        <w:rPr>
          <w:rFonts w:hint="eastAsia" w:ascii="宋体" w:hAnsi="宋体" w:cs="宋体"/>
          <w:bCs/>
          <w:sz w:val="24"/>
        </w:rPr>
        <w:t>为助力打好污染防治攻坚战，推广使用绿色包装，现将《商品包装政府采购需求标准（试行）》、《快递包装政府采购需求标准（试行）》（以下统称包装需求标准，见附件）印发给你们，请结合实际，积极推广应用。现就有关事项通知如下：</w:t>
      </w:r>
    </w:p>
    <w:p>
      <w:pPr>
        <w:widowControl/>
        <w:spacing w:line="360" w:lineRule="auto"/>
        <w:jc w:val="left"/>
        <w:rPr>
          <w:rFonts w:hint="eastAsia" w:ascii="宋体" w:hAnsi="宋体" w:cs="宋体"/>
          <w:bCs/>
          <w:sz w:val="24"/>
        </w:rPr>
      </w:pPr>
      <w:r>
        <w:rPr>
          <w:rFonts w:hint="eastAsia" w:ascii="宋体" w:hAnsi="宋体" w:cs="宋体"/>
          <w:bCs/>
          <w:sz w:val="24"/>
        </w:rPr>
        <w:t>一、政府采购货物、工程和服务项目中涉及商品包装和快递包装的，要参考包装需求标准，在采购文件中明确政府采购供应商提供产品及相关快递服务的具体包装要求。</w:t>
      </w:r>
    </w:p>
    <w:p>
      <w:pPr>
        <w:widowControl/>
        <w:spacing w:line="360" w:lineRule="auto"/>
        <w:jc w:val="left"/>
        <w:rPr>
          <w:rFonts w:hint="eastAsia" w:ascii="宋体" w:hAnsi="宋体" w:cs="宋体"/>
          <w:bCs/>
          <w:sz w:val="24"/>
        </w:rPr>
      </w:pPr>
      <w:r>
        <w:rPr>
          <w:rFonts w:hint="eastAsia" w:ascii="宋体" w:hAnsi="宋体" w:cs="宋体"/>
          <w:bCs/>
          <w:sz w:val="24"/>
        </w:rPr>
        <w:t>二、采购文件对商品包装和快递包装提出具体要求的，政府采购合同应当载明对政府采购供应商提供产品及相关快递服务的具体包装要求和履约验收相关条款，必要时要求中标、成交供应商在履约验收环节出具检测报告。</w:t>
      </w:r>
    </w:p>
    <w:p>
      <w:pPr>
        <w:widowControl/>
        <w:spacing w:line="360" w:lineRule="auto"/>
        <w:jc w:val="left"/>
        <w:rPr>
          <w:rFonts w:hint="eastAsia" w:ascii="宋体" w:hAnsi="宋体" w:cs="宋体"/>
          <w:bCs/>
          <w:sz w:val="24"/>
        </w:rPr>
      </w:pPr>
      <w:r>
        <w:rPr>
          <w:rFonts w:hint="eastAsia" w:ascii="宋体" w:hAnsi="宋体" w:cs="宋体"/>
          <w:bCs/>
          <w:sz w:val="24"/>
        </w:rPr>
        <w:t>三、政府采购协议供货、定点采购项目和电子卖场也要积极推广应用包装需求标准，对商品包装和快递包装符合包装需求标准的产品加挂标识，引导采购人优先选择。</w:t>
      </w:r>
    </w:p>
    <w:p>
      <w:pPr>
        <w:widowControl/>
        <w:spacing w:line="360" w:lineRule="auto"/>
        <w:jc w:val="left"/>
        <w:rPr>
          <w:rFonts w:hint="eastAsia" w:ascii="宋体" w:hAnsi="宋体" w:cs="宋体"/>
          <w:bCs/>
          <w:sz w:val="24"/>
        </w:rPr>
      </w:pPr>
      <w:r>
        <w:rPr>
          <w:rFonts w:hint="eastAsia" w:ascii="宋体" w:hAnsi="宋体" w:cs="宋体"/>
          <w:bCs/>
          <w:sz w:val="24"/>
        </w:rPr>
        <w:t>四、对于政策执行过程中遇到的问题，请及时向财政部国库司、生态环境部科技与财务司和国家邮政局市场监管司反馈。</w:t>
      </w:r>
    </w:p>
    <w:p>
      <w:pPr>
        <w:widowControl/>
        <w:spacing w:line="360" w:lineRule="auto"/>
        <w:jc w:val="left"/>
        <w:rPr>
          <w:rFonts w:hint="eastAsia" w:ascii="宋体" w:hAnsi="宋体" w:cs="宋体"/>
          <w:bCs/>
          <w:sz w:val="24"/>
        </w:rPr>
      </w:pPr>
    </w:p>
    <w:p>
      <w:pPr>
        <w:widowControl/>
        <w:spacing w:line="360" w:lineRule="auto"/>
        <w:jc w:val="right"/>
        <w:rPr>
          <w:rFonts w:hint="eastAsia" w:ascii="宋体" w:hAnsi="宋体" w:cs="宋体"/>
          <w:bCs/>
          <w:sz w:val="24"/>
        </w:rPr>
      </w:pPr>
    </w:p>
    <w:p>
      <w:pPr>
        <w:widowControl/>
        <w:spacing w:line="360" w:lineRule="auto"/>
        <w:jc w:val="right"/>
        <w:rPr>
          <w:rFonts w:hint="eastAsia" w:ascii="宋体" w:hAnsi="宋体" w:cs="宋体"/>
          <w:bCs/>
          <w:sz w:val="24"/>
        </w:rPr>
      </w:pPr>
      <w:r>
        <w:rPr>
          <w:rFonts w:hint="eastAsia" w:ascii="宋体" w:hAnsi="宋体" w:cs="宋体"/>
          <w:bCs/>
          <w:sz w:val="24"/>
        </w:rPr>
        <w:t>财政部办公厅</w:t>
      </w:r>
      <w:r>
        <w:rPr>
          <w:rFonts w:hint="eastAsia" w:ascii="宋体" w:hAnsi="宋体" w:cs="宋体"/>
          <w:bCs/>
          <w:sz w:val="24"/>
        </w:rPr>
        <w:br w:type="textWrapping"/>
      </w:r>
      <w:r>
        <w:rPr>
          <w:rFonts w:hint="eastAsia" w:ascii="宋体" w:hAnsi="宋体" w:cs="宋体"/>
          <w:bCs/>
          <w:sz w:val="24"/>
        </w:rPr>
        <w:t>生态环境部办公厅</w:t>
      </w:r>
      <w:r>
        <w:rPr>
          <w:rFonts w:hint="eastAsia" w:ascii="宋体" w:hAnsi="宋体" w:cs="宋体"/>
          <w:bCs/>
          <w:sz w:val="24"/>
        </w:rPr>
        <w:br w:type="textWrapping"/>
      </w:r>
      <w:r>
        <w:rPr>
          <w:rFonts w:hint="eastAsia" w:ascii="宋体" w:hAnsi="宋体" w:cs="宋体"/>
          <w:bCs/>
          <w:sz w:val="24"/>
        </w:rPr>
        <w:t>国家邮政局办公室</w:t>
      </w:r>
      <w:r>
        <w:rPr>
          <w:rFonts w:hint="eastAsia" w:ascii="宋体" w:hAnsi="宋体" w:cs="宋体"/>
          <w:bCs/>
          <w:sz w:val="24"/>
        </w:rPr>
        <w:br w:type="textWrapping"/>
      </w:r>
      <w:r>
        <w:rPr>
          <w:rFonts w:hint="eastAsia" w:ascii="宋体" w:hAnsi="宋体" w:cs="宋体"/>
          <w:bCs/>
          <w:sz w:val="24"/>
        </w:rPr>
        <w:t>2020年6月19日</w:t>
      </w:r>
    </w:p>
    <w:p>
      <w:pPr>
        <w:widowControl/>
        <w:jc w:val="left"/>
        <w:rPr>
          <w:rFonts w:hint="eastAsia" w:ascii="宋体" w:hAnsi="宋体" w:cs="宋体"/>
          <w:bCs/>
          <w:sz w:val="24"/>
        </w:rPr>
      </w:pPr>
      <w:r>
        <w:rPr>
          <w:rFonts w:ascii="宋体" w:hAnsi="宋体" w:cs="宋体"/>
          <w:bCs/>
          <w:sz w:val="24"/>
        </w:rPr>
        <w:br w:type="page"/>
      </w:r>
    </w:p>
    <w:p>
      <w:pPr>
        <w:pStyle w:val="3"/>
        <w:tabs>
          <w:tab w:val="left" w:pos="432"/>
        </w:tabs>
        <w:spacing w:line="360" w:lineRule="auto"/>
        <w:jc w:val="left"/>
        <w:rPr>
          <w:rFonts w:hint="eastAsia" w:hAnsi="宋体" w:cs="宋体"/>
          <w:bCs/>
          <w:sz w:val="24"/>
          <w:szCs w:val="24"/>
        </w:rPr>
      </w:pPr>
      <w:r>
        <w:rPr>
          <w:rFonts w:hint="eastAsia" w:hAnsi="宋体" w:cs="宋体"/>
          <w:bCs/>
          <w:sz w:val="24"/>
          <w:szCs w:val="24"/>
        </w:rPr>
        <w:t>附录1</w:t>
      </w:r>
      <w:r>
        <w:rPr>
          <w:rFonts w:hAnsi="宋体" w:cs="宋体"/>
          <w:bCs/>
          <w:sz w:val="24"/>
          <w:szCs w:val="24"/>
        </w:rPr>
        <w:t>1</w:t>
      </w:r>
      <w:r>
        <w:rPr>
          <w:rFonts w:hint="eastAsia" w:hAnsi="宋体" w:cs="宋体"/>
          <w:bCs/>
          <w:sz w:val="24"/>
          <w:szCs w:val="24"/>
        </w:rPr>
        <w:t>：国务院办公厅关于在政府采购中实施本国产品标准及相关政策的通知</w:t>
      </w:r>
    </w:p>
    <w:p>
      <w:pPr>
        <w:pStyle w:val="46"/>
        <w:shd w:val="clear" w:color="auto" w:fill="FFFFFF"/>
        <w:spacing w:before="0" w:beforeAutospacing="0" w:after="0" w:afterAutospacing="0"/>
        <w:jc w:val="center"/>
        <w:rPr>
          <w:rFonts w:hint="eastAsia"/>
          <w:color w:val="333333"/>
          <w:sz w:val="36"/>
          <w:szCs w:val="36"/>
        </w:rPr>
      </w:pPr>
      <w:bookmarkStart w:id="1046" w:name="OLE_LINK21"/>
      <w:r>
        <w:rPr>
          <w:rStyle w:val="56"/>
          <w:rFonts w:hint="eastAsia"/>
          <w:color w:val="333333"/>
          <w:sz w:val="36"/>
          <w:szCs w:val="36"/>
        </w:rPr>
        <w:t>国务院办公厅关于在政府采购中</w:t>
      </w:r>
    </w:p>
    <w:p>
      <w:pPr>
        <w:pStyle w:val="46"/>
        <w:shd w:val="clear" w:color="auto" w:fill="FFFFFF"/>
        <w:spacing w:before="0" w:beforeAutospacing="0" w:after="0" w:afterAutospacing="0"/>
        <w:jc w:val="center"/>
        <w:rPr>
          <w:rFonts w:hint="eastAsia"/>
          <w:color w:val="333333"/>
          <w:sz w:val="36"/>
          <w:szCs w:val="36"/>
        </w:rPr>
      </w:pPr>
      <w:r>
        <w:rPr>
          <w:rStyle w:val="56"/>
          <w:rFonts w:hint="eastAsia"/>
          <w:color w:val="333333"/>
          <w:sz w:val="36"/>
          <w:szCs w:val="36"/>
        </w:rPr>
        <w:t>实施本国产品标准及相关政策的通知</w:t>
      </w:r>
    </w:p>
    <w:p>
      <w:pPr>
        <w:pStyle w:val="46"/>
        <w:shd w:val="clear" w:color="auto" w:fill="FFFFFF"/>
        <w:spacing w:before="30" w:beforeAutospacing="0" w:after="30" w:afterAutospacing="0"/>
        <w:ind w:firstLine="480"/>
        <w:rPr>
          <w:rFonts w:hint="eastAsia"/>
          <w:color w:val="333333"/>
        </w:rPr>
      </w:pPr>
    </w:p>
    <w:p>
      <w:pPr>
        <w:pStyle w:val="46"/>
        <w:shd w:val="clear" w:color="auto" w:fill="FFFFFF"/>
        <w:spacing w:before="0" w:beforeAutospacing="0" w:after="0" w:afterAutospacing="0"/>
        <w:jc w:val="right"/>
        <w:rPr>
          <w:rFonts w:hint="eastAsia"/>
          <w:color w:val="333333"/>
        </w:rPr>
      </w:pPr>
      <w:r>
        <w:rPr>
          <w:rFonts w:hint="eastAsia"/>
          <w:color w:val="333333"/>
        </w:rPr>
        <w:t>国办发〔2025〕34号  </w:t>
      </w:r>
    </w:p>
    <w:p>
      <w:pPr>
        <w:pStyle w:val="46"/>
        <w:shd w:val="clear" w:color="auto" w:fill="FFFFFF"/>
        <w:spacing w:before="30" w:beforeAutospacing="0" w:after="30" w:afterAutospacing="0"/>
        <w:rPr>
          <w:rFonts w:hint="eastAsia"/>
          <w:color w:val="333333"/>
        </w:rPr>
      </w:pPr>
      <w:r>
        <w:rPr>
          <w:rFonts w:hint="eastAsia"/>
          <w:color w:val="333333"/>
        </w:rPr>
        <w:t>各省、自治区、直辖市人民政府，国务院各部委、各直属机构：</w:t>
      </w:r>
    </w:p>
    <w:p>
      <w:pPr>
        <w:pStyle w:val="46"/>
        <w:shd w:val="clear" w:color="auto" w:fill="FFFFFF"/>
        <w:spacing w:before="30" w:beforeAutospacing="0" w:after="30" w:afterAutospacing="0"/>
        <w:ind w:firstLine="480"/>
        <w:rPr>
          <w:rFonts w:hint="eastAsia"/>
          <w:color w:val="333333"/>
        </w:rPr>
      </w:pPr>
      <w:r>
        <w:rPr>
          <w:rFonts w:hint="eastAsia"/>
          <w:color w:val="333333"/>
        </w:rPr>
        <w:t>为构建统一开放、竞争有序的政府采购市场体系，完善政府采购制度，保障各类经营主体平等参与政府采购活动，根据《中华人民共和国政府采购法》、《中华人民共和国外商投资法》等有关法律法规规定，经国务院同意，现就在政府采购中实施本国产品标准及相关政策通知如下：</w:t>
      </w:r>
    </w:p>
    <w:p>
      <w:pPr>
        <w:pStyle w:val="46"/>
        <w:shd w:val="clear" w:color="auto" w:fill="FFFFFF"/>
        <w:spacing w:before="0" w:beforeAutospacing="0" w:after="0" w:afterAutospacing="0"/>
        <w:ind w:firstLine="480"/>
        <w:rPr>
          <w:rFonts w:hint="eastAsia"/>
          <w:color w:val="333333"/>
        </w:rPr>
      </w:pPr>
      <w:r>
        <w:rPr>
          <w:rStyle w:val="56"/>
          <w:rFonts w:hint="eastAsia"/>
          <w:color w:val="333333"/>
        </w:rPr>
        <w:t>一、本国产品标准</w:t>
      </w:r>
    </w:p>
    <w:p>
      <w:pPr>
        <w:pStyle w:val="46"/>
        <w:shd w:val="clear" w:color="auto" w:fill="FFFFFF"/>
        <w:spacing w:before="30" w:beforeAutospacing="0" w:after="30" w:afterAutospacing="0"/>
        <w:ind w:firstLine="480"/>
        <w:rPr>
          <w:rFonts w:hint="eastAsia"/>
          <w:color w:val="333333"/>
        </w:rPr>
      </w:pPr>
      <w:r>
        <w:rPr>
          <w:rFonts w:hint="eastAsia"/>
          <w:color w:val="333333"/>
        </w:rPr>
        <w:t>本国产品应当符合以下条件：</w:t>
      </w:r>
    </w:p>
    <w:p>
      <w:pPr>
        <w:pStyle w:val="46"/>
        <w:shd w:val="clear" w:color="auto" w:fill="FFFFFF"/>
        <w:spacing w:before="0" w:beforeAutospacing="0" w:after="0" w:afterAutospacing="0"/>
        <w:ind w:firstLine="480"/>
        <w:rPr>
          <w:rFonts w:hint="eastAsia"/>
          <w:color w:val="333333"/>
        </w:rPr>
      </w:pPr>
      <w:r>
        <w:rPr>
          <w:rFonts w:hint="eastAsia"/>
          <w:color w:val="333333"/>
        </w:rPr>
        <w:t>（一）在中国境内生产</w:t>
      </w:r>
    </w:p>
    <w:p>
      <w:pPr>
        <w:pStyle w:val="46"/>
        <w:shd w:val="clear" w:color="auto" w:fill="FFFFFF"/>
        <w:spacing w:before="30" w:beforeAutospacing="0" w:after="30" w:afterAutospacing="0"/>
        <w:ind w:firstLine="480"/>
        <w:rPr>
          <w:rFonts w:hint="eastAsia"/>
          <w:color w:val="333333"/>
        </w:rPr>
      </w:pPr>
      <w:r>
        <w:rPr>
          <w:rFonts w:hint="eastAsia"/>
          <w:color w:val="333333"/>
        </w:rPr>
        <w:t>产品应当在中国境内生产，即在中华人民共和国关境内实现从原材料、组件到产品的属性改变。</w:t>
      </w:r>
    </w:p>
    <w:p>
      <w:pPr>
        <w:pStyle w:val="46"/>
        <w:shd w:val="clear" w:color="auto" w:fill="FFFFFF"/>
        <w:spacing w:before="30" w:beforeAutospacing="0" w:after="30" w:afterAutospacing="0"/>
        <w:ind w:firstLine="480"/>
        <w:rPr>
          <w:rFonts w:hint="eastAsia"/>
          <w:color w:val="333333"/>
        </w:rPr>
      </w:pPr>
      <w:r>
        <w:rPr>
          <w:rFonts w:hint="eastAsia"/>
          <w:color w:val="333333"/>
        </w:rPr>
        <w:t>属性改变是指经过制造、加工或者组装等工序，产生完全不同于原材料、组件的新产品，并具有新的名称和特征（用途）。属性改变不包括以下细微操作：</w:t>
      </w:r>
    </w:p>
    <w:p>
      <w:pPr>
        <w:pStyle w:val="46"/>
        <w:shd w:val="clear" w:color="auto" w:fill="FFFFFF"/>
        <w:spacing w:before="30" w:beforeAutospacing="0" w:after="30" w:afterAutospacing="0"/>
        <w:ind w:firstLine="480"/>
        <w:rPr>
          <w:rFonts w:hint="eastAsia"/>
          <w:color w:val="333333"/>
        </w:rPr>
      </w:pPr>
      <w:r>
        <w:rPr>
          <w:rFonts w:hint="eastAsia"/>
          <w:color w:val="333333"/>
        </w:rPr>
        <w:t>1.为确保产品在运输或者储存期间保持某种状态而进行的操作；</w:t>
      </w:r>
    </w:p>
    <w:p>
      <w:pPr>
        <w:pStyle w:val="46"/>
        <w:shd w:val="clear" w:color="auto" w:fill="FFFFFF"/>
        <w:spacing w:before="30" w:beforeAutospacing="0" w:after="30" w:afterAutospacing="0"/>
        <w:ind w:firstLine="480"/>
        <w:rPr>
          <w:rFonts w:hint="eastAsia"/>
          <w:color w:val="333333"/>
        </w:rPr>
      </w:pPr>
      <w:r>
        <w:rPr>
          <w:rFonts w:hint="eastAsia"/>
          <w:color w:val="333333"/>
        </w:rPr>
        <w:t>2.为产品运输或者销售进行的包装或者展示；</w:t>
      </w:r>
    </w:p>
    <w:p>
      <w:pPr>
        <w:pStyle w:val="46"/>
        <w:shd w:val="clear" w:color="auto" w:fill="FFFFFF"/>
        <w:spacing w:before="30" w:beforeAutospacing="0" w:after="30" w:afterAutospacing="0"/>
        <w:ind w:firstLine="480"/>
        <w:rPr>
          <w:rFonts w:hint="eastAsia"/>
          <w:color w:val="333333"/>
        </w:rPr>
      </w:pPr>
      <w:r>
        <w:rPr>
          <w:rFonts w:hint="eastAsia"/>
          <w:color w:val="333333"/>
        </w:rPr>
        <w:t>3.在产品或者其包装上粘贴或者印刷品牌、标志、标识以及其他用于区别的标记；</w:t>
      </w:r>
    </w:p>
    <w:p>
      <w:pPr>
        <w:pStyle w:val="46"/>
        <w:shd w:val="clear" w:color="auto" w:fill="FFFFFF"/>
        <w:spacing w:before="30" w:beforeAutospacing="0" w:after="30" w:afterAutospacing="0"/>
        <w:ind w:firstLine="480"/>
        <w:rPr>
          <w:rFonts w:hint="eastAsia"/>
          <w:color w:val="333333"/>
        </w:rPr>
      </w:pPr>
      <w:r>
        <w:rPr>
          <w:rFonts w:hint="eastAsia"/>
          <w:color w:val="333333"/>
        </w:rPr>
        <w:t>4.简单的上漆、磨光和分装；</w:t>
      </w:r>
    </w:p>
    <w:p>
      <w:pPr>
        <w:pStyle w:val="46"/>
        <w:shd w:val="clear" w:color="auto" w:fill="FFFFFF"/>
        <w:spacing w:before="30" w:beforeAutospacing="0" w:after="30" w:afterAutospacing="0"/>
        <w:ind w:firstLine="480"/>
        <w:rPr>
          <w:rFonts w:hint="eastAsia"/>
          <w:color w:val="333333"/>
        </w:rPr>
      </w:pPr>
      <w:r>
        <w:rPr>
          <w:rFonts w:hint="eastAsia"/>
          <w:color w:val="333333"/>
        </w:rPr>
        <w:t>5.其他不属于属性改变的情形。</w:t>
      </w:r>
    </w:p>
    <w:p>
      <w:pPr>
        <w:pStyle w:val="46"/>
        <w:shd w:val="clear" w:color="auto" w:fill="FFFFFF"/>
        <w:spacing w:before="0" w:beforeAutospacing="0" w:after="0" w:afterAutospacing="0"/>
        <w:ind w:firstLine="480"/>
        <w:rPr>
          <w:rFonts w:hint="eastAsia"/>
          <w:color w:val="333333"/>
        </w:rPr>
      </w:pPr>
      <w:r>
        <w:rPr>
          <w:rFonts w:hint="eastAsia"/>
          <w:color w:val="333333"/>
        </w:rPr>
        <w:t>（二）在中国境内生产的组件成本占比达到规定比例</w:t>
      </w:r>
    </w:p>
    <w:p>
      <w:pPr>
        <w:pStyle w:val="46"/>
        <w:shd w:val="clear" w:color="auto" w:fill="FFFFFF"/>
        <w:spacing w:before="30" w:beforeAutospacing="0" w:after="30" w:afterAutospacing="0"/>
        <w:ind w:firstLine="480"/>
        <w:rPr>
          <w:rFonts w:hint="eastAsia"/>
          <w:color w:val="333333"/>
        </w:rPr>
      </w:pPr>
      <w:r>
        <w:rPr>
          <w:rFonts w:hint="eastAsia"/>
          <w:color w:val="333333"/>
        </w:rPr>
        <w:t>产品在中国境内生产的组件成本占比应当达到规定比例，计算公式为：</w:t>
      </w:r>
    </w:p>
    <w:p>
      <w:pPr>
        <w:pStyle w:val="46"/>
        <w:shd w:val="clear" w:color="auto" w:fill="FFFFFF"/>
        <w:spacing w:before="30" w:beforeAutospacing="0" w:after="30" w:afterAutospacing="0"/>
        <w:ind w:firstLine="480"/>
        <w:rPr>
          <w:rFonts w:hint="eastAsia"/>
          <w:color w:val="333333"/>
        </w:rPr>
      </w:pPr>
      <w:r>
        <w:rPr>
          <w:color w:val="333333"/>
        </w:rPr>
        <w:drawing>
          <wp:inline distT="0" distB="0" distL="0" distR="0">
            <wp:extent cx="2731135" cy="391795"/>
            <wp:effectExtent l="0" t="0" r="0" b="8255"/>
            <wp:docPr id="2" name="图片 2" descr="https://www.gov.cn/gongbao/2025/issue_12346/202510/W020251020359236170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s://www.gov.cn/gongbao/2025/issue_12346/202510/W02025102035923617007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731135" cy="391795"/>
                    </a:xfrm>
                    <a:prstGeom prst="rect">
                      <a:avLst/>
                    </a:prstGeom>
                    <a:noFill/>
                    <a:ln>
                      <a:noFill/>
                    </a:ln>
                  </pic:spPr>
                </pic:pic>
              </a:graphicData>
            </a:graphic>
          </wp:inline>
        </w:drawing>
      </w:r>
    </w:p>
    <w:p>
      <w:pPr>
        <w:pStyle w:val="46"/>
        <w:shd w:val="clear" w:color="auto" w:fill="FFFFFF"/>
        <w:spacing w:before="30" w:beforeAutospacing="0" w:after="30" w:afterAutospacing="0"/>
        <w:ind w:firstLine="480"/>
        <w:rPr>
          <w:rFonts w:hint="eastAsia"/>
          <w:color w:val="333333"/>
        </w:rPr>
      </w:pPr>
      <w:r>
        <w:rPr>
          <w:rFonts w:hint="eastAsia"/>
          <w:color w:val="333333"/>
        </w:rPr>
        <w:t>财政部会同有关行业主管部门，分产品确定在中国境内生产的组件成本占比应当达到的规定比例。在分产品的中国境内生产的组件成本占比相关要求实施前，符合本通知第一条第（一）项条件的产品在政府采购活动中视同本国产品。</w:t>
      </w:r>
    </w:p>
    <w:p>
      <w:pPr>
        <w:pStyle w:val="46"/>
        <w:shd w:val="clear" w:color="auto" w:fill="FFFFFF"/>
        <w:spacing w:before="0" w:beforeAutospacing="0" w:after="0" w:afterAutospacing="0"/>
        <w:ind w:firstLine="480"/>
        <w:rPr>
          <w:rFonts w:hint="eastAsia"/>
          <w:color w:val="333333"/>
        </w:rPr>
      </w:pPr>
      <w:r>
        <w:rPr>
          <w:rFonts w:hint="eastAsia"/>
          <w:color w:val="333333"/>
        </w:rPr>
        <w:t>（三）特定产品的关键组件、关键工序符合相关要求</w:t>
      </w:r>
    </w:p>
    <w:p>
      <w:pPr>
        <w:pStyle w:val="46"/>
        <w:shd w:val="clear" w:color="auto" w:fill="FFFFFF"/>
        <w:spacing w:before="30" w:beforeAutospacing="0" w:after="30" w:afterAutospacing="0"/>
        <w:ind w:firstLine="480"/>
        <w:rPr>
          <w:rFonts w:hint="eastAsia"/>
          <w:color w:val="333333"/>
        </w:rPr>
      </w:pPr>
      <w:r>
        <w:rPr>
          <w:rFonts w:hint="eastAsia"/>
          <w:color w:val="333333"/>
        </w:rPr>
        <w:t>对特定产品，在符合本通知第一条第（一）项和第（二）项条件的基础上，应当符合财政部会同有关行业主管部门确定的其关键组件、关键工序在中国境内生产、完成等要求。</w:t>
      </w:r>
    </w:p>
    <w:p>
      <w:pPr>
        <w:pStyle w:val="46"/>
        <w:shd w:val="clear" w:color="auto" w:fill="FFFFFF"/>
        <w:spacing w:before="30" w:beforeAutospacing="0" w:after="30" w:afterAutospacing="0"/>
        <w:ind w:firstLine="480"/>
        <w:rPr>
          <w:rFonts w:hint="eastAsia"/>
          <w:color w:val="333333"/>
        </w:rPr>
      </w:pPr>
      <w:r>
        <w:rPr>
          <w:rFonts w:hint="eastAsia"/>
          <w:color w:val="333333"/>
        </w:rPr>
        <w:t>财政部会同有关行业主管部门自本通知施行之日起5年内，在充分征求有关内外资企业、行业协会商会等方面意见的基础上，分类施策、稳妥推进，分产品确定在中国境内生产的组件成本占比要求，以及特定产品的关键组件、关键工序相关要求，并根据不同行业的发展情况，在出台具体产品相关要求时，设置3—5年过渡期，逐步建立政府采购中本国产品标准体系和动态调整机制。</w:t>
      </w:r>
    </w:p>
    <w:p>
      <w:pPr>
        <w:pStyle w:val="46"/>
        <w:shd w:val="clear" w:color="auto" w:fill="FFFFFF"/>
        <w:spacing w:before="0" w:beforeAutospacing="0" w:after="0" w:afterAutospacing="0"/>
        <w:ind w:firstLine="480"/>
        <w:rPr>
          <w:rFonts w:hint="eastAsia"/>
          <w:color w:val="333333"/>
        </w:rPr>
      </w:pPr>
      <w:r>
        <w:rPr>
          <w:rStyle w:val="56"/>
          <w:rFonts w:hint="eastAsia"/>
          <w:color w:val="333333"/>
        </w:rPr>
        <w:t>二、本国产品标准的适用范围</w:t>
      </w:r>
    </w:p>
    <w:p>
      <w:pPr>
        <w:pStyle w:val="46"/>
        <w:shd w:val="clear" w:color="auto" w:fill="FFFFFF"/>
        <w:spacing w:before="30" w:beforeAutospacing="0" w:after="30" w:afterAutospacing="0"/>
        <w:ind w:firstLine="480"/>
        <w:rPr>
          <w:rFonts w:hint="eastAsia"/>
          <w:color w:val="333333"/>
        </w:rPr>
      </w:pPr>
      <w:r>
        <w:rPr>
          <w:rFonts w:hint="eastAsia"/>
          <w:color w:val="333333"/>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pPr>
        <w:pStyle w:val="46"/>
        <w:shd w:val="clear" w:color="auto" w:fill="FFFFFF"/>
        <w:spacing w:before="0" w:beforeAutospacing="0" w:after="0" w:afterAutospacing="0"/>
        <w:ind w:firstLine="480"/>
        <w:rPr>
          <w:rFonts w:hint="eastAsia"/>
          <w:color w:val="333333"/>
        </w:rPr>
      </w:pPr>
      <w:r>
        <w:rPr>
          <w:rStyle w:val="56"/>
          <w:rFonts w:hint="eastAsia"/>
          <w:color w:val="333333"/>
        </w:rPr>
        <w:t>三、对本国产品的支持政策</w:t>
      </w:r>
    </w:p>
    <w:p>
      <w:pPr>
        <w:pStyle w:val="46"/>
        <w:shd w:val="clear" w:color="auto" w:fill="FFFFFF"/>
        <w:spacing w:before="30" w:beforeAutospacing="0" w:after="30" w:afterAutospacing="0"/>
        <w:ind w:firstLine="480"/>
        <w:rPr>
          <w:rFonts w:hint="eastAsia"/>
          <w:color w:val="333333"/>
        </w:rPr>
      </w:pPr>
      <w:r>
        <w:rPr>
          <w:rFonts w:hint="eastAsia"/>
          <w:color w:val="333333"/>
        </w:rPr>
        <w:t>政府采购活动中既有本国产品又有非本国产品参与竞争的，依法对本国产品给予价格评审优惠，对本国产品的报价给予20%的价格扣除，用扣除后的价格参与评审。</w:t>
      </w:r>
    </w:p>
    <w:p>
      <w:pPr>
        <w:pStyle w:val="46"/>
        <w:shd w:val="clear" w:color="auto" w:fill="FFFFFF"/>
        <w:spacing w:before="30" w:beforeAutospacing="0" w:after="30" w:afterAutospacing="0"/>
        <w:ind w:firstLine="480"/>
        <w:rPr>
          <w:rFonts w:hint="eastAsia"/>
          <w:color w:val="333333"/>
        </w:rPr>
      </w:pPr>
      <w:r>
        <w:rPr>
          <w:rFonts w:hint="eastAsia"/>
          <w:color w:val="333333"/>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pPr>
        <w:pStyle w:val="46"/>
        <w:shd w:val="clear" w:color="auto" w:fill="FFFFFF"/>
        <w:spacing w:before="0" w:beforeAutospacing="0" w:after="0" w:afterAutospacing="0"/>
        <w:ind w:firstLine="480"/>
        <w:rPr>
          <w:rFonts w:hint="eastAsia"/>
          <w:color w:val="333333"/>
        </w:rPr>
      </w:pPr>
      <w:r>
        <w:rPr>
          <w:rStyle w:val="56"/>
          <w:rFonts w:hint="eastAsia"/>
          <w:color w:val="333333"/>
        </w:rPr>
        <w:t>四、政策执行要求</w:t>
      </w:r>
    </w:p>
    <w:p>
      <w:pPr>
        <w:pStyle w:val="46"/>
        <w:shd w:val="clear" w:color="auto" w:fill="FFFFFF"/>
        <w:spacing w:before="0" w:beforeAutospacing="0" w:after="0" w:afterAutospacing="0"/>
        <w:ind w:firstLine="480"/>
        <w:rPr>
          <w:rFonts w:hint="eastAsia"/>
          <w:color w:val="333333"/>
        </w:rPr>
      </w:pPr>
      <w:r>
        <w:rPr>
          <w:rFonts w:hint="eastAsia"/>
          <w:color w:val="333333"/>
        </w:rPr>
        <w:t>（一）产品在中国境内生产的组件成本核算规则。产品在中国境内生产的组件成本，按照《中国境内生产的组件成本核算基本规则》（见附件1）计算。</w:t>
      </w:r>
    </w:p>
    <w:p>
      <w:pPr>
        <w:pStyle w:val="46"/>
        <w:shd w:val="clear" w:color="auto" w:fill="FFFFFF"/>
        <w:spacing w:before="0" w:beforeAutospacing="0" w:after="0" w:afterAutospacing="0"/>
        <w:ind w:firstLine="480"/>
        <w:rPr>
          <w:rFonts w:hint="eastAsia"/>
          <w:color w:val="333333"/>
        </w:rPr>
      </w:pPr>
      <w:r>
        <w:rPr>
          <w:rFonts w:hint="eastAsia"/>
          <w:color w:val="333333"/>
        </w:rPr>
        <w:t>（二）有关证明文件。采购人、采购代理机构应当在采购文件中明确要求供应商对其提供的产品出具《关于符合本国产品标准的声明函》（样式见附件2，以下简称《声明函》）或财政部会同有关部门规定的有关证明文件。出具</w:t>
      </w:r>
      <w:bookmarkStart w:id="1047" w:name="OLE_LINK8"/>
      <w:r>
        <w:rPr>
          <w:rFonts w:hint="eastAsia"/>
          <w:color w:val="333333"/>
        </w:rPr>
        <w:t>符合要求的《声明函》或有关证明文件的</w:t>
      </w:r>
      <w:bookmarkEnd w:id="1047"/>
      <w:r>
        <w:rPr>
          <w:rFonts w:hint="eastAsia"/>
          <w:color w:val="333333"/>
        </w:rPr>
        <w:t>，该产品视为本国产品，采购人、采购代理机构不得再要求供应商提供其他证明材料。供应商提供虚假《声明函》、虚假证明文件谋取中标、成交的，依照《中华人民共和国政府采购法》等法律法规规定追究相应责任。</w:t>
      </w:r>
    </w:p>
    <w:p>
      <w:pPr>
        <w:pStyle w:val="46"/>
        <w:shd w:val="clear" w:color="auto" w:fill="FFFFFF"/>
        <w:spacing w:before="30" w:beforeAutospacing="0" w:after="30" w:afterAutospacing="0"/>
        <w:ind w:firstLine="480"/>
        <w:rPr>
          <w:rFonts w:hint="eastAsia"/>
          <w:color w:val="333333"/>
        </w:rPr>
      </w:pPr>
      <w:r>
        <w:rPr>
          <w:rFonts w:hint="eastAsia"/>
          <w:color w:val="333333"/>
        </w:rPr>
        <w:t>采购人、采购代理机构应当随中标、成交结果同时公告中标、成交供应商提供的《声明函》或有关证明文件。</w:t>
      </w:r>
    </w:p>
    <w:p>
      <w:pPr>
        <w:pStyle w:val="46"/>
        <w:shd w:val="clear" w:color="auto" w:fill="FFFFFF"/>
        <w:spacing w:before="0" w:beforeAutospacing="0" w:after="0" w:afterAutospacing="0"/>
        <w:ind w:firstLine="480"/>
        <w:rPr>
          <w:rFonts w:hint="eastAsia"/>
          <w:color w:val="333333"/>
        </w:rPr>
      </w:pPr>
      <w:r>
        <w:rPr>
          <w:rFonts w:hint="eastAsia"/>
          <w:color w:val="333333"/>
        </w:rPr>
        <w:t>（三）平等对待各类经营主体。国有企业、民营企业、外资企业等各类经营主体平等享受对本国产品的政府采购支持政策。采购人、采购代理机构在政府采购信息发布、供应商资格条件确定和资格审查、评审标准等方面，要对各类经营主体一视同仁、平等对待，切实保障各类经营主体公平竞争。各地区、各部门要加强统筹协调，不得出台违反本通知规定的政策措施，在政府采购活动中不得指定品牌或者限制品牌注册地、所有者，不得以所有制形式、组织形式、股权结构、投资者国别以及其他不合理条件对供应商实行差别待遇或者歧视待遇。</w:t>
      </w:r>
    </w:p>
    <w:p>
      <w:pPr>
        <w:pStyle w:val="46"/>
        <w:shd w:val="clear" w:color="auto" w:fill="FFFFFF"/>
        <w:spacing w:before="30" w:beforeAutospacing="0" w:after="30" w:afterAutospacing="0"/>
        <w:ind w:firstLine="480"/>
        <w:rPr>
          <w:rFonts w:hint="eastAsia"/>
          <w:color w:val="333333"/>
        </w:rPr>
      </w:pPr>
      <w:r>
        <w:rPr>
          <w:rFonts w:hint="eastAsia"/>
          <w:color w:val="333333"/>
        </w:rPr>
        <w:t>（四）中华人民共和国缔结或者共同参加的国际条约、协定对政府采购中本国产品政策另有规定的，按照有关条约、协定执行。</w:t>
      </w:r>
    </w:p>
    <w:p>
      <w:pPr>
        <w:pStyle w:val="46"/>
        <w:shd w:val="clear" w:color="auto" w:fill="FFFFFF"/>
        <w:spacing w:before="0" w:beforeAutospacing="0" w:after="0" w:afterAutospacing="0"/>
        <w:ind w:firstLine="480"/>
        <w:rPr>
          <w:rFonts w:hint="eastAsia"/>
          <w:color w:val="333333"/>
        </w:rPr>
      </w:pPr>
      <w:r>
        <w:rPr>
          <w:rStyle w:val="56"/>
          <w:rFonts w:hint="eastAsia"/>
          <w:color w:val="333333"/>
        </w:rPr>
        <w:t>五、争议处理</w:t>
      </w:r>
    </w:p>
    <w:p>
      <w:pPr>
        <w:pStyle w:val="46"/>
        <w:shd w:val="clear" w:color="auto" w:fill="FFFFFF"/>
        <w:spacing w:before="30" w:beforeAutospacing="0" w:after="30" w:afterAutospacing="0"/>
        <w:ind w:firstLine="480"/>
        <w:rPr>
          <w:rFonts w:hint="eastAsia"/>
          <w:color w:val="333333"/>
        </w:rPr>
      </w:pPr>
      <w:r>
        <w:rPr>
          <w:rFonts w:hint="eastAsia"/>
          <w:color w:val="333333"/>
        </w:rPr>
        <w:t>财政部门在政府采购投诉处理、监督检查中，对涉及本国产品标准争议事项的处理，按照政府采购相关法律法规规定等执行，必要时由有关部门或者专业机构对相关事项予以核实。各有关部门、专业机构及其工作人员对政府采购投诉处理、监督检查中知悉的商业秘密负有保密义务。</w:t>
      </w:r>
    </w:p>
    <w:p>
      <w:pPr>
        <w:pStyle w:val="46"/>
        <w:shd w:val="clear" w:color="auto" w:fill="FFFFFF"/>
        <w:spacing w:before="30" w:beforeAutospacing="0" w:after="30" w:afterAutospacing="0"/>
        <w:ind w:firstLine="480"/>
        <w:rPr>
          <w:rFonts w:hint="eastAsia"/>
          <w:color w:val="333333"/>
        </w:rPr>
      </w:pPr>
      <w:r>
        <w:rPr>
          <w:rFonts w:hint="eastAsia"/>
          <w:color w:val="333333"/>
        </w:rPr>
        <w:t>（一）政府采购投诉处理、监督检查中，对产品或组件是否在中国境内生产存在争议的，按照以下原则处理：</w:t>
      </w:r>
    </w:p>
    <w:p>
      <w:pPr>
        <w:pStyle w:val="46"/>
        <w:shd w:val="clear" w:color="auto" w:fill="FFFFFF"/>
        <w:spacing w:before="30" w:beforeAutospacing="0" w:after="30" w:afterAutospacing="0"/>
        <w:ind w:firstLine="480"/>
        <w:rPr>
          <w:rFonts w:hint="eastAsia"/>
          <w:color w:val="333333"/>
        </w:rPr>
      </w:pPr>
      <w:r>
        <w:rPr>
          <w:rFonts w:hint="eastAsia"/>
          <w:color w:val="333333"/>
        </w:rPr>
        <w:t>1.对于组装类产品或组件，相关供应商及制造商应当提供产品或组件的采购合同，进货记录，制造、加工、组装记录以及其他证明材料。上述证明材料能够证明产品或组件在中国境内生产的，相关产品或组件即可视为在中国境内生产。</w:t>
      </w:r>
    </w:p>
    <w:p>
      <w:pPr>
        <w:pStyle w:val="46"/>
        <w:shd w:val="clear" w:color="auto" w:fill="FFFFFF"/>
        <w:spacing w:before="30" w:beforeAutospacing="0" w:after="30" w:afterAutospacing="0"/>
        <w:ind w:firstLine="480"/>
        <w:rPr>
          <w:rFonts w:hint="eastAsia"/>
          <w:color w:val="333333"/>
        </w:rPr>
      </w:pPr>
      <w:r>
        <w:rPr>
          <w:rFonts w:hint="eastAsia"/>
          <w:color w:val="333333"/>
        </w:rPr>
        <w:t>2.对于由原材料直接制造、加工形成的产品或组件，如钢材、陶瓷制品、玻璃等，相关供应商及制造商应当提供产品或组件包装上依法标注的生产厂址等信息。生产厂址位于中华人民共和国关境内的，相关产品或组件即可视为在中国境内生产。</w:t>
      </w:r>
    </w:p>
    <w:p>
      <w:pPr>
        <w:pStyle w:val="46"/>
        <w:shd w:val="clear" w:color="auto" w:fill="FFFFFF"/>
        <w:spacing w:before="30" w:beforeAutospacing="0" w:after="30" w:afterAutospacing="0"/>
        <w:ind w:firstLine="480"/>
        <w:rPr>
          <w:rFonts w:hint="eastAsia"/>
          <w:color w:val="333333"/>
        </w:rPr>
      </w:pPr>
      <w:r>
        <w:rPr>
          <w:rFonts w:hint="eastAsia"/>
          <w:color w:val="333333"/>
        </w:rPr>
        <w:t>（二）政府采购投诉处理、监督检查中，对产品在中国境内生产的组件成本占比、采购项目或采购包中本国产品成本占比是否达到规定比例存在争议的，相关供应商及制造商应当提供组件或产品的会计核算数据、采购合同、进货记录等，财政部门按照中国境内生产的组件成本核算相关规则予以认定。</w:t>
      </w:r>
    </w:p>
    <w:p>
      <w:pPr>
        <w:pStyle w:val="46"/>
        <w:shd w:val="clear" w:color="auto" w:fill="FFFFFF"/>
        <w:spacing w:before="30" w:beforeAutospacing="0" w:after="30" w:afterAutospacing="0"/>
        <w:ind w:firstLine="480"/>
        <w:rPr>
          <w:rFonts w:hint="eastAsia"/>
          <w:color w:val="333333"/>
        </w:rPr>
      </w:pPr>
      <w:r>
        <w:rPr>
          <w:rFonts w:hint="eastAsia"/>
          <w:color w:val="333333"/>
        </w:rPr>
        <w:t>（三）政府采购投诉处理、监督检查中，对特定产品的关键组件是否在中国境内生产存在争议的，按照本通知第五条第（一）项规定的原则处理；对特定产品的关键工序是否在中国境内完成存在争议的，相关供应商及制造商应当提供关键工序在中国境内完成的记录等材料予以证明。</w:t>
      </w:r>
    </w:p>
    <w:p>
      <w:pPr>
        <w:pStyle w:val="46"/>
        <w:shd w:val="clear" w:color="auto" w:fill="FFFFFF"/>
        <w:spacing w:before="30" w:beforeAutospacing="0" w:after="30" w:afterAutospacing="0"/>
        <w:ind w:firstLine="480"/>
        <w:rPr>
          <w:rFonts w:hint="eastAsia"/>
          <w:color w:val="333333"/>
        </w:rPr>
      </w:pPr>
      <w:r>
        <w:rPr>
          <w:rFonts w:hint="eastAsia"/>
          <w:color w:val="333333"/>
        </w:rPr>
        <w:t>政府采购投诉处理、监督检查中，相关供应商及制造商未按上述要求提供证明材料或提供的材料不足以证明产品符合本国产品标准的，不应当享受对本国产品的政府采购支持政策，由此影响或者可能影响采购结果的，财政部门按照政府采购相关法律法规规定等处理。</w:t>
      </w:r>
    </w:p>
    <w:p>
      <w:pPr>
        <w:pStyle w:val="46"/>
        <w:shd w:val="clear" w:color="auto" w:fill="FFFFFF"/>
        <w:spacing w:before="30" w:beforeAutospacing="0" w:after="30" w:afterAutospacing="0"/>
        <w:ind w:firstLine="480"/>
        <w:rPr>
          <w:rFonts w:hint="eastAsia"/>
          <w:color w:val="333333"/>
        </w:rPr>
      </w:pPr>
      <w:r>
        <w:rPr>
          <w:rFonts w:hint="eastAsia"/>
          <w:color w:val="333333"/>
        </w:rPr>
        <w:t>本通知自2026年1月1日起施行。</w:t>
      </w:r>
    </w:p>
    <w:p>
      <w:pPr>
        <w:pStyle w:val="46"/>
        <w:shd w:val="clear" w:color="auto" w:fill="FFFFFF"/>
        <w:spacing w:before="30" w:beforeAutospacing="0" w:after="30" w:afterAutospacing="0"/>
        <w:ind w:firstLine="480"/>
        <w:rPr>
          <w:rFonts w:hint="eastAsia"/>
          <w:color w:val="333333"/>
        </w:rPr>
      </w:pPr>
      <w:r>
        <w:rPr>
          <w:rFonts w:hint="eastAsia"/>
          <w:color w:val="333333"/>
        </w:rPr>
        <w:t>附件：1.中国境内生产的组件成本核算基本规则</w:t>
      </w:r>
    </w:p>
    <w:p>
      <w:pPr>
        <w:pStyle w:val="46"/>
        <w:shd w:val="clear" w:color="auto" w:fill="FFFFFF"/>
        <w:spacing w:before="30" w:beforeAutospacing="0" w:after="30" w:afterAutospacing="0"/>
        <w:ind w:firstLine="480"/>
        <w:rPr>
          <w:rFonts w:hint="eastAsia"/>
          <w:color w:val="333333"/>
        </w:rPr>
      </w:pPr>
      <w:r>
        <w:rPr>
          <w:rFonts w:hint="eastAsia"/>
          <w:color w:val="333333"/>
        </w:rPr>
        <w:t>　　　2.关于符合本国产品标准的声明函</w:t>
      </w:r>
    </w:p>
    <w:p>
      <w:pPr>
        <w:pStyle w:val="46"/>
        <w:shd w:val="clear" w:color="auto" w:fill="FFFFFF"/>
        <w:spacing w:before="30" w:beforeAutospacing="0" w:after="30" w:afterAutospacing="0"/>
        <w:jc w:val="right"/>
        <w:rPr>
          <w:rFonts w:hint="eastAsia"/>
          <w:color w:val="333333"/>
        </w:rPr>
      </w:pPr>
      <w:r>
        <w:rPr>
          <w:rFonts w:hint="eastAsia"/>
          <w:color w:val="333333"/>
        </w:rPr>
        <w:t>国务院办公厅         </w:t>
      </w:r>
    </w:p>
    <w:p>
      <w:pPr>
        <w:pStyle w:val="46"/>
        <w:shd w:val="clear" w:color="auto" w:fill="FFFFFF"/>
        <w:spacing w:before="30" w:beforeAutospacing="0" w:after="30" w:afterAutospacing="0"/>
        <w:jc w:val="right"/>
        <w:rPr>
          <w:rFonts w:hint="eastAsia"/>
          <w:color w:val="333333"/>
        </w:rPr>
      </w:pPr>
      <w:r>
        <w:rPr>
          <w:rFonts w:hint="eastAsia"/>
          <w:color w:val="333333"/>
        </w:rPr>
        <w:t>2025年9月28日    </w:t>
      </w:r>
    </w:p>
    <w:p>
      <w:pPr>
        <w:pStyle w:val="46"/>
        <w:shd w:val="clear" w:color="auto" w:fill="FFFFFF"/>
        <w:spacing w:before="30" w:beforeAutospacing="0" w:after="30" w:afterAutospacing="0"/>
        <w:ind w:firstLine="480"/>
        <w:rPr>
          <w:rFonts w:hint="eastAsia"/>
          <w:color w:val="333333"/>
        </w:rPr>
      </w:pPr>
    </w:p>
    <w:p>
      <w:pPr>
        <w:pStyle w:val="46"/>
        <w:shd w:val="clear" w:color="auto" w:fill="FFFFFF"/>
        <w:spacing w:before="30" w:beforeAutospacing="0" w:after="30" w:afterAutospacing="0"/>
        <w:ind w:firstLine="480"/>
        <w:rPr>
          <w:rFonts w:hint="eastAsia"/>
          <w:color w:val="333333"/>
        </w:rPr>
      </w:pPr>
    </w:p>
    <w:p>
      <w:pPr>
        <w:widowControl/>
        <w:jc w:val="left"/>
        <w:rPr>
          <w:rStyle w:val="56"/>
          <w:rFonts w:hint="eastAsia" w:ascii="宋体" w:hAnsi="宋体" w:cs="宋体"/>
          <w:color w:val="333333"/>
          <w:kern w:val="0"/>
          <w:sz w:val="24"/>
        </w:rPr>
      </w:pPr>
      <w:r>
        <w:rPr>
          <w:rStyle w:val="56"/>
          <w:rFonts w:ascii="宋体" w:hAnsi="宋体"/>
          <w:color w:val="333333"/>
        </w:rPr>
        <w:br w:type="page"/>
      </w:r>
    </w:p>
    <w:p>
      <w:pPr>
        <w:pStyle w:val="46"/>
        <w:shd w:val="clear" w:color="auto" w:fill="FFFFFF"/>
        <w:spacing w:before="0" w:beforeAutospacing="0" w:after="0" w:afterAutospacing="0"/>
        <w:rPr>
          <w:rFonts w:hint="eastAsia"/>
          <w:color w:val="333333"/>
        </w:rPr>
      </w:pPr>
      <w:r>
        <w:rPr>
          <w:rStyle w:val="56"/>
          <w:rFonts w:hint="eastAsia"/>
          <w:color w:val="333333"/>
        </w:rPr>
        <w:t>附件1</w:t>
      </w:r>
    </w:p>
    <w:p>
      <w:pPr>
        <w:pStyle w:val="46"/>
        <w:shd w:val="clear" w:color="auto" w:fill="FFFFFF"/>
        <w:spacing w:before="30" w:beforeAutospacing="0" w:after="30" w:afterAutospacing="0"/>
        <w:ind w:firstLine="480"/>
        <w:rPr>
          <w:rFonts w:hint="eastAsia"/>
          <w:color w:val="333333"/>
        </w:rPr>
      </w:pPr>
    </w:p>
    <w:p>
      <w:pPr>
        <w:pStyle w:val="46"/>
        <w:shd w:val="clear" w:color="auto" w:fill="FFFFFF"/>
        <w:spacing w:before="0" w:beforeAutospacing="0" w:after="0" w:afterAutospacing="0"/>
        <w:jc w:val="center"/>
        <w:rPr>
          <w:rFonts w:hint="eastAsia"/>
          <w:color w:val="333333"/>
          <w:sz w:val="36"/>
          <w:szCs w:val="36"/>
        </w:rPr>
      </w:pPr>
      <w:r>
        <w:rPr>
          <w:rStyle w:val="56"/>
          <w:rFonts w:hint="eastAsia"/>
          <w:color w:val="333333"/>
          <w:sz w:val="36"/>
          <w:szCs w:val="36"/>
        </w:rPr>
        <w:t>中国境内生产的组件成本核算基本规则</w:t>
      </w:r>
    </w:p>
    <w:p>
      <w:pPr>
        <w:pStyle w:val="46"/>
        <w:shd w:val="clear" w:color="auto" w:fill="FFFFFF"/>
        <w:spacing w:before="30" w:beforeAutospacing="0" w:after="30" w:afterAutospacing="0"/>
        <w:ind w:firstLine="480"/>
        <w:rPr>
          <w:rFonts w:hint="eastAsia"/>
          <w:color w:val="333333"/>
        </w:rPr>
      </w:pPr>
    </w:p>
    <w:p>
      <w:pPr>
        <w:pStyle w:val="46"/>
        <w:shd w:val="clear" w:color="auto" w:fill="FFFFFF"/>
        <w:spacing w:before="30" w:beforeAutospacing="0" w:after="30" w:afterAutospacing="0"/>
        <w:ind w:firstLine="480"/>
        <w:rPr>
          <w:rFonts w:hint="eastAsia"/>
          <w:color w:val="333333"/>
        </w:rPr>
      </w:pPr>
      <w:r>
        <w:rPr>
          <w:rFonts w:hint="eastAsia"/>
          <w:color w:val="333333"/>
        </w:rPr>
        <w:t>产品在中国境内生产的组件成本，一般按照其二级组件的相关成本进行核算。按照产品的一级组件进行成本核算能够满足中国境内生产的组件成本判定需求的，可以按照一级组件的相关成本进行核算。</w:t>
      </w:r>
    </w:p>
    <w:p>
      <w:pPr>
        <w:pStyle w:val="46"/>
        <w:shd w:val="clear" w:color="auto" w:fill="FFFFFF"/>
        <w:spacing w:before="30" w:beforeAutospacing="0" w:after="30" w:afterAutospacing="0"/>
        <w:ind w:firstLine="480"/>
        <w:rPr>
          <w:rFonts w:hint="eastAsia"/>
          <w:color w:val="333333"/>
        </w:rPr>
      </w:pPr>
      <w:r>
        <w:rPr>
          <w:rFonts w:hint="eastAsia"/>
          <w:color w:val="333333"/>
        </w:rPr>
        <w:t>一、产品的一级组件是指直接组成产品的组件。产品的二级组件是指直接组成产品一级组件的组件。一级组件不可分解的，视同二级组件。</w:t>
      </w:r>
    </w:p>
    <w:p>
      <w:pPr>
        <w:pStyle w:val="46"/>
        <w:shd w:val="clear" w:color="auto" w:fill="FFFFFF"/>
        <w:spacing w:before="30" w:beforeAutospacing="0" w:after="30" w:afterAutospacing="0"/>
        <w:ind w:firstLine="480"/>
        <w:rPr>
          <w:rFonts w:hint="eastAsia"/>
          <w:color w:val="333333"/>
        </w:rPr>
      </w:pPr>
      <w:r>
        <w:rPr>
          <w:rFonts w:hint="eastAsia"/>
          <w:color w:val="333333"/>
        </w:rPr>
        <w:t>二、二级组件在中国境内生产的，其全部成本计入中国境内生产的组件成本；二级组件不在中国境内生产的，其成本不计入中国境内生产的组件成本。</w:t>
      </w:r>
    </w:p>
    <w:p>
      <w:pPr>
        <w:pStyle w:val="46"/>
        <w:shd w:val="clear" w:color="auto" w:fill="FFFFFF"/>
        <w:spacing w:before="30" w:beforeAutospacing="0" w:after="30" w:afterAutospacing="0"/>
        <w:ind w:firstLine="480"/>
        <w:rPr>
          <w:rFonts w:hint="eastAsia"/>
          <w:color w:val="333333"/>
        </w:rPr>
      </w:pPr>
      <w:r>
        <w:rPr>
          <w:rFonts w:hint="eastAsia"/>
          <w:color w:val="333333"/>
        </w:rPr>
        <w:t>三、产品总成本和组件成本以相关会计核算数据、采购合同、进货记录等为基础进行计算。</w:t>
      </w:r>
    </w:p>
    <w:p>
      <w:pPr>
        <w:pStyle w:val="46"/>
        <w:shd w:val="clear" w:color="auto" w:fill="FFFFFF"/>
        <w:spacing w:before="30" w:beforeAutospacing="0" w:after="30" w:afterAutospacing="0"/>
        <w:ind w:firstLine="480"/>
        <w:rPr>
          <w:rFonts w:hint="eastAsia"/>
          <w:color w:val="333333"/>
        </w:rPr>
      </w:pPr>
      <w:r>
        <w:rPr>
          <w:rFonts w:hint="eastAsia"/>
          <w:color w:val="333333"/>
        </w:rPr>
        <w:t>四、需要对成本核算规则予以进一步明确的其他有关事项，由财政部会同有关部门另行规定。</w:t>
      </w:r>
    </w:p>
    <w:p>
      <w:pPr>
        <w:pStyle w:val="46"/>
        <w:shd w:val="clear" w:color="auto" w:fill="FFFFFF"/>
        <w:spacing w:before="30" w:beforeAutospacing="0" w:after="30" w:afterAutospacing="0"/>
        <w:ind w:firstLine="480"/>
        <w:rPr>
          <w:rFonts w:hint="eastAsia"/>
          <w:color w:val="333333"/>
        </w:rPr>
      </w:pPr>
    </w:p>
    <w:p>
      <w:pPr>
        <w:pStyle w:val="46"/>
        <w:shd w:val="clear" w:color="auto" w:fill="FFFFFF"/>
        <w:spacing w:before="30" w:beforeAutospacing="0" w:after="30" w:afterAutospacing="0"/>
        <w:ind w:firstLine="480"/>
        <w:rPr>
          <w:rFonts w:hint="eastAsia"/>
          <w:color w:val="333333"/>
        </w:rPr>
      </w:pPr>
    </w:p>
    <w:p>
      <w:pPr>
        <w:widowControl/>
        <w:jc w:val="left"/>
        <w:rPr>
          <w:rStyle w:val="56"/>
          <w:rFonts w:hint="eastAsia" w:ascii="宋体" w:hAnsi="宋体" w:cs="宋体"/>
          <w:color w:val="333333"/>
          <w:kern w:val="0"/>
          <w:sz w:val="24"/>
        </w:rPr>
      </w:pPr>
      <w:r>
        <w:rPr>
          <w:rStyle w:val="56"/>
          <w:rFonts w:ascii="宋体" w:hAnsi="宋体"/>
          <w:color w:val="333333"/>
        </w:rPr>
        <w:br w:type="page"/>
      </w:r>
    </w:p>
    <w:p>
      <w:pPr>
        <w:pStyle w:val="46"/>
        <w:shd w:val="clear" w:color="auto" w:fill="FFFFFF"/>
        <w:spacing w:before="0" w:beforeAutospacing="0" w:after="0" w:afterAutospacing="0"/>
        <w:rPr>
          <w:rFonts w:hint="eastAsia"/>
          <w:color w:val="333333"/>
        </w:rPr>
      </w:pPr>
      <w:r>
        <w:rPr>
          <w:rStyle w:val="56"/>
          <w:rFonts w:hint="eastAsia"/>
          <w:color w:val="333333"/>
        </w:rPr>
        <w:t>附件2</w:t>
      </w:r>
    </w:p>
    <w:p>
      <w:pPr>
        <w:pStyle w:val="46"/>
        <w:shd w:val="clear" w:color="auto" w:fill="FFFFFF"/>
        <w:spacing w:before="30" w:beforeAutospacing="0" w:after="30" w:afterAutospacing="0"/>
        <w:ind w:firstLine="480"/>
        <w:rPr>
          <w:rFonts w:hint="eastAsia"/>
          <w:color w:val="333333"/>
        </w:rPr>
      </w:pPr>
    </w:p>
    <w:p>
      <w:pPr>
        <w:pStyle w:val="46"/>
        <w:shd w:val="clear" w:color="auto" w:fill="FFFFFF"/>
        <w:spacing w:before="0" w:beforeAutospacing="0" w:after="0" w:afterAutospacing="0"/>
        <w:jc w:val="center"/>
        <w:rPr>
          <w:rFonts w:hint="eastAsia"/>
          <w:color w:val="333333"/>
          <w:sz w:val="36"/>
          <w:szCs w:val="36"/>
        </w:rPr>
      </w:pPr>
      <w:r>
        <w:rPr>
          <w:rStyle w:val="56"/>
          <w:rFonts w:hint="eastAsia"/>
          <w:color w:val="333333"/>
          <w:sz w:val="36"/>
          <w:szCs w:val="36"/>
        </w:rPr>
        <w:t>关于符合本国产品标准的声明函</w:t>
      </w:r>
    </w:p>
    <w:p>
      <w:pPr>
        <w:pStyle w:val="46"/>
        <w:shd w:val="clear" w:color="auto" w:fill="FFFFFF"/>
        <w:spacing w:before="30" w:beforeAutospacing="0" w:after="30" w:afterAutospacing="0"/>
        <w:ind w:firstLine="480"/>
        <w:rPr>
          <w:rFonts w:hint="eastAsia"/>
          <w:color w:val="333333"/>
        </w:rPr>
      </w:pPr>
    </w:p>
    <w:p>
      <w:pPr>
        <w:pStyle w:val="46"/>
        <w:shd w:val="clear" w:color="auto" w:fill="FFFFFF"/>
        <w:spacing w:before="30" w:beforeAutospacing="0" w:after="30" w:afterAutospacing="0"/>
        <w:ind w:firstLine="480"/>
        <w:rPr>
          <w:rFonts w:hint="eastAsia"/>
          <w:color w:val="333333"/>
        </w:rPr>
      </w:pPr>
      <w:r>
        <w:rPr>
          <w:rFonts w:hint="eastAsia"/>
          <w:color w:val="333333"/>
        </w:rPr>
        <w:t>本公司（单位）郑重声明，根据《国务院办公厅关于在政府采购中实施本国产品标准及相关政策的通知》（国办发〔2025〕34号）的规定，本公司（单位）提供的以下产品属于本国产品。具体情况如下：</w:t>
      </w:r>
    </w:p>
    <w:p>
      <w:pPr>
        <w:pStyle w:val="46"/>
        <w:shd w:val="clear" w:color="auto" w:fill="FFFFFF"/>
        <w:spacing w:before="0" w:beforeAutospacing="0" w:after="0" w:afterAutospacing="0"/>
        <w:ind w:firstLine="480"/>
        <w:rPr>
          <w:rFonts w:hint="eastAsia"/>
          <w:color w:val="333333"/>
        </w:rPr>
      </w:pPr>
      <w:r>
        <w:rPr>
          <w:rFonts w:hint="eastAsia"/>
          <w:color w:val="333333"/>
        </w:rPr>
        <w:t>1.</w:t>
      </w:r>
      <w:r>
        <w:rPr>
          <w:rStyle w:val="59"/>
          <w:rFonts w:hint="eastAsia"/>
          <w:color w:val="333333"/>
        </w:rPr>
        <w:t>（产品名称1）</w:t>
      </w:r>
      <w:r>
        <w:rPr>
          <w:rStyle w:val="59"/>
          <w:rFonts w:hint="eastAsia"/>
          <w:color w:val="333333"/>
          <w:vertAlign w:val="superscript"/>
        </w:rPr>
        <w:t>1</w:t>
      </w:r>
      <w:r>
        <w:rPr>
          <w:rFonts w:hint="eastAsia"/>
          <w:color w:val="333333"/>
        </w:rPr>
        <w:t>，生产厂为</w:t>
      </w:r>
      <w:r>
        <w:rPr>
          <w:rStyle w:val="59"/>
          <w:rFonts w:hint="eastAsia"/>
          <w:color w:val="333333"/>
        </w:rPr>
        <w:t>（厂名）</w:t>
      </w:r>
      <w:r>
        <w:rPr>
          <w:rStyle w:val="59"/>
          <w:rFonts w:hint="eastAsia"/>
          <w:color w:val="333333"/>
          <w:vertAlign w:val="superscript"/>
        </w:rPr>
        <w:t>2</w:t>
      </w:r>
      <w:r>
        <w:rPr>
          <w:rFonts w:hint="eastAsia"/>
          <w:color w:val="333333"/>
        </w:rPr>
        <w:t>，厂址为</w:t>
      </w:r>
      <w:r>
        <w:rPr>
          <w:rStyle w:val="59"/>
          <w:rFonts w:hint="eastAsia"/>
          <w:color w:val="333333"/>
        </w:rPr>
        <w:t>（生产厂址）</w:t>
      </w:r>
      <w:r>
        <w:rPr>
          <w:rFonts w:hint="eastAsia"/>
          <w:color w:val="333333"/>
        </w:rPr>
        <w:t>。</w:t>
      </w:r>
      <w:r>
        <w:rPr>
          <w:rStyle w:val="59"/>
          <w:rFonts w:hint="eastAsia"/>
          <w:color w:val="333333"/>
        </w:rPr>
        <w:t>（产品名称1）</w:t>
      </w:r>
      <w:r>
        <w:rPr>
          <w:rFonts w:hint="eastAsia"/>
          <w:color w:val="333333"/>
        </w:rPr>
        <w:t>的中国境内生产的组件成本占比≥</w:t>
      </w:r>
      <w:r>
        <w:rPr>
          <w:rStyle w:val="59"/>
          <w:rFonts w:hint="eastAsia"/>
          <w:color w:val="333333"/>
        </w:rPr>
        <w:t>（规定比例）</w:t>
      </w:r>
      <w:r>
        <w:rPr>
          <w:rStyle w:val="59"/>
          <w:rFonts w:hint="eastAsia"/>
          <w:color w:val="333333"/>
          <w:vertAlign w:val="superscript"/>
        </w:rPr>
        <w:t>3</w:t>
      </w:r>
      <w:r>
        <w:rPr>
          <w:rFonts w:hint="eastAsia"/>
          <w:color w:val="333333"/>
        </w:rPr>
        <w:t>。</w:t>
      </w:r>
      <w:r>
        <w:rPr>
          <w:rStyle w:val="59"/>
          <w:rFonts w:hint="eastAsia"/>
          <w:color w:val="333333"/>
        </w:rPr>
        <w:t>（产品名称1）</w:t>
      </w:r>
      <w:r>
        <w:rPr>
          <w:rFonts w:hint="eastAsia"/>
          <w:color w:val="333333"/>
        </w:rPr>
        <w:t>的</w:t>
      </w:r>
      <w:r>
        <w:rPr>
          <w:rStyle w:val="59"/>
          <w:rFonts w:hint="eastAsia"/>
          <w:color w:val="333333"/>
        </w:rPr>
        <w:t>（关键组件）</w:t>
      </w:r>
      <w:r>
        <w:rPr>
          <w:rStyle w:val="59"/>
          <w:rFonts w:hint="eastAsia"/>
          <w:color w:val="333333"/>
          <w:vertAlign w:val="superscript"/>
        </w:rPr>
        <w:t>4</w:t>
      </w:r>
      <w:r>
        <w:rPr>
          <w:rFonts w:hint="eastAsia"/>
          <w:color w:val="333333"/>
        </w:rPr>
        <w:t>在中国境内生产。</w:t>
      </w:r>
      <w:r>
        <w:rPr>
          <w:rStyle w:val="59"/>
          <w:rFonts w:hint="eastAsia"/>
          <w:color w:val="333333"/>
        </w:rPr>
        <w:t>（产品名称1）</w:t>
      </w:r>
      <w:r>
        <w:rPr>
          <w:rFonts w:hint="eastAsia"/>
          <w:color w:val="333333"/>
        </w:rPr>
        <w:t>的</w:t>
      </w:r>
      <w:r>
        <w:rPr>
          <w:rStyle w:val="59"/>
          <w:rFonts w:hint="eastAsia"/>
          <w:color w:val="333333"/>
        </w:rPr>
        <w:t>（关键工序）</w:t>
      </w:r>
      <w:r>
        <w:rPr>
          <w:rStyle w:val="59"/>
          <w:rFonts w:hint="eastAsia"/>
          <w:color w:val="333333"/>
          <w:vertAlign w:val="superscript"/>
        </w:rPr>
        <w:t>5</w:t>
      </w:r>
      <w:r>
        <w:rPr>
          <w:rFonts w:hint="eastAsia"/>
          <w:color w:val="333333"/>
        </w:rPr>
        <w:t>在中国境内完成。</w:t>
      </w:r>
    </w:p>
    <w:p>
      <w:pPr>
        <w:pStyle w:val="46"/>
        <w:shd w:val="clear" w:color="auto" w:fill="FFFFFF"/>
        <w:spacing w:before="0" w:beforeAutospacing="0" w:after="0" w:afterAutospacing="0"/>
        <w:ind w:firstLine="480"/>
        <w:rPr>
          <w:rFonts w:hint="eastAsia"/>
          <w:color w:val="333333"/>
        </w:rPr>
      </w:pPr>
      <w:r>
        <w:rPr>
          <w:rFonts w:hint="eastAsia"/>
          <w:color w:val="333333"/>
        </w:rPr>
        <w:t>2.</w:t>
      </w:r>
      <w:r>
        <w:rPr>
          <w:rStyle w:val="59"/>
          <w:rFonts w:hint="eastAsia"/>
          <w:color w:val="333333"/>
        </w:rPr>
        <w:t>（产品名称2）</w:t>
      </w:r>
      <w:r>
        <w:rPr>
          <w:rFonts w:hint="eastAsia"/>
          <w:color w:val="333333"/>
        </w:rPr>
        <w:t>，生产厂为</w:t>
      </w:r>
      <w:r>
        <w:rPr>
          <w:rStyle w:val="59"/>
          <w:rFonts w:hint="eastAsia"/>
          <w:color w:val="333333"/>
        </w:rPr>
        <w:t>（厂名）</w:t>
      </w:r>
      <w:r>
        <w:rPr>
          <w:rFonts w:hint="eastAsia"/>
          <w:color w:val="333333"/>
        </w:rPr>
        <w:t>，厂址为</w:t>
      </w:r>
      <w:r>
        <w:rPr>
          <w:rStyle w:val="59"/>
          <w:rFonts w:hint="eastAsia"/>
          <w:color w:val="333333"/>
        </w:rPr>
        <w:t>（生产厂址）</w:t>
      </w:r>
      <w:r>
        <w:rPr>
          <w:rFonts w:hint="eastAsia"/>
          <w:color w:val="333333"/>
        </w:rPr>
        <w:t>。</w:t>
      </w:r>
      <w:r>
        <w:rPr>
          <w:rStyle w:val="59"/>
          <w:rFonts w:hint="eastAsia"/>
          <w:color w:val="333333"/>
        </w:rPr>
        <w:t>（产品名称2）</w:t>
      </w:r>
      <w:r>
        <w:rPr>
          <w:rFonts w:hint="eastAsia"/>
          <w:color w:val="333333"/>
        </w:rPr>
        <w:t>的中国境内生产的组件成本占比≥</w:t>
      </w:r>
      <w:r>
        <w:rPr>
          <w:rStyle w:val="59"/>
          <w:rFonts w:hint="eastAsia"/>
          <w:color w:val="333333"/>
        </w:rPr>
        <w:t>（规定比例）</w:t>
      </w:r>
      <w:r>
        <w:rPr>
          <w:rFonts w:hint="eastAsia"/>
          <w:color w:val="333333"/>
        </w:rPr>
        <w:t>。</w:t>
      </w:r>
      <w:r>
        <w:rPr>
          <w:rStyle w:val="59"/>
          <w:rFonts w:hint="eastAsia"/>
          <w:color w:val="333333"/>
        </w:rPr>
        <w:t>（产品名称2）</w:t>
      </w:r>
      <w:r>
        <w:rPr>
          <w:rFonts w:hint="eastAsia"/>
          <w:color w:val="333333"/>
        </w:rPr>
        <w:t>的</w:t>
      </w:r>
      <w:r>
        <w:rPr>
          <w:rStyle w:val="59"/>
          <w:rFonts w:hint="eastAsia"/>
          <w:color w:val="333333"/>
        </w:rPr>
        <w:t>（关键组件）</w:t>
      </w:r>
      <w:r>
        <w:rPr>
          <w:rFonts w:hint="eastAsia"/>
          <w:color w:val="333333"/>
        </w:rPr>
        <w:t>在中国境内生产。</w:t>
      </w:r>
      <w:r>
        <w:rPr>
          <w:rStyle w:val="59"/>
          <w:rFonts w:hint="eastAsia"/>
          <w:color w:val="333333"/>
        </w:rPr>
        <w:t>（产品名称2）</w:t>
      </w:r>
      <w:r>
        <w:rPr>
          <w:rFonts w:hint="eastAsia"/>
          <w:color w:val="333333"/>
        </w:rPr>
        <w:t>的</w:t>
      </w:r>
      <w:r>
        <w:rPr>
          <w:rStyle w:val="59"/>
          <w:rFonts w:hint="eastAsia"/>
          <w:color w:val="333333"/>
        </w:rPr>
        <w:t>（关键工序）</w:t>
      </w:r>
      <w:r>
        <w:rPr>
          <w:rFonts w:hint="eastAsia"/>
          <w:color w:val="333333"/>
        </w:rPr>
        <w:t>在中国境内完成。</w:t>
      </w:r>
    </w:p>
    <w:p>
      <w:pPr>
        <w:pStyle w:val="46"/>
        <w:shd w:val="clear" w:color="auto" w:fill="FFFFFF"/>
        <w:spacing w:before="30" w:beforeAutospacing="0" w:after="30" w:afterAutospacing="0"/>
        <w:ind w:firstLine="480"/>
        <w:rPr>
          <w:rFonts w:hint="eastAsia"/>
          <w:color w:val="333333"/>
        </w:rPr>
      </w:pPr>
      <w:r>
        <w:rPr>
          <w:rFonts w:hint="eastAsia"/>
          <w:color w:val="333333"/>
        </w:rPr>
        <w:t>……</w:t>
      </w:r>
    </w:p>
    <w:p>
      <w:pPr>
        <w:pStyle w:val="46"/>
        <w:shd w:val="clear" w:color="auto" w:fill="FFFFFF"/>
        <w:spacing w:before="30" w:beforeAutospacing="0" w:after="30" w:afterAutospacing="0"/>
        <w:ind w:firstLine="480"/>
        <w:rPr>
          <w:rFonts w:hint="eastAsia"/>
          <w:color w:val="333333"/>
        </w:rPr>
      </w:pPr>
      <w:r>
        <w:rPr>
          <w:rFonts w:hint="eastAsia"/>
          <w:color w:val="333333"/>
        </w:rPr>
        <w:t>本公司（单位）对上述声明内容的真实性负责。如有虚假，愿承担相应法律责任。</w:t>
      </w:r>
    </w:p>
    <w:p>
      <w:pPr>
        <w:pStyle w:val="46"/>
        <w:shd w:val="clear" w:color="auto" w:fill="FFFFFF"/>
        <w:spacing w:before="30" w:beforeAutospacing="0" w:after="30" w:afterAutospacing="0"/>
        <w:ind w:firstLine="480"/>
        <w:jc w:val="right"/>
        <w:rPr>
          <w:rFonts w:hint="eastAsia"/>
          <w:color w:val="333333"/>
        </w:rPr>
      </w:pPr>
      <w:r>
        <w:rPr>
          <w:rFonts w:hint="eastAsia"/>
          <w:color w:val="333333"/>
        </w:rPr>
        <w:t>公司（单位）名称（盖章）：      </w:t>
      </w:r>
    </w:p>
    <w:p>
      <w:pPr>
        <w:pStyle w:val="46"/>
        <w:shd w:val="clear" w:color="auto" w:fill="FFFFFF"/>
        <w:spacing w:before="30" w:beforeAutospacing="0" w:after="30" w:afterAutospacing="0"/>
        <w:ind w:firstLine="480"/>
        <w:jc w:val="right"/>
        <w:rPr>
          <w:rFonts w:hint="eastAsia"/>
          <w:color w:val="333333"/>
        </w:rPr>
      </w:pPr>
      <w:r>
        <w:rPr>
          <w:rFonts w:hint="eastAsia"/>
          <w:color w:val="333333"/>
        </w:rPr>
        <w:t>日期：　　　　　年　　月　日    </w:t>
      </w:r>
    </w:p>
    <w:p>
      <w:pPr>
        <w:pStyle w:val="46"/>
        <w:shd w:val="clear" w:color="auto" w:fill="FFFFFF"/>
        <w:spacing w:before="30" w:beforeAutospacing="0" w:after="30" w:afterAutospacing="0"/>
        <w:ind w:firstLine="480"/>
        <w:rPr>
          <w:rFonts w:hint="eastAsia"/>
          <w:color w:val="333333"/>
        </w:rPr>
      </w:pPr>
    </w:p>
    <w:p>
      <w:pPr>
        <w:pStyle w:val="46"/>
        <w:shd w:val="clear" w:color="auto" w:fill="FFFFFF"/>
        <w:spacing w:before="30" w:beforeAutospacing="0" w:after="30" w:afterAutospacing="0"/>
        <w:ind w:firstLine="480"/>
        <w:rPr>
          <w:rFonts w:hint="eastAsia"/>
          <w:color w:val="333333"/>
        </w:rPr>
      </w:pPr>
    </w:p>
    <w:p>
      <w:pPr>
        <w:pStyle w:val="46"/>
        <w:shd w:val="clear" w:color="auto" w:fill="FFFFFF"/>
        <w:spacing w:before="30" w:beforeAutospacing="0" w:after="30" w:afterAutospacing="0"/>
        <w:rPr>
          <w:rFonts w:hint="eastAsia"/>
          <w:color w:val="333333"/>
        </w:rPr>
      </w:pPr>
      <w:r>
        <w:rPr>
          <w:rFonts w:hint="eastAsia"/>
          <w:color w:val="333333"/>
        </w:rPr>
        <w:t>_____________________________</w:t>
      </w:r>
    </w:p>
    <w:p>
      <w:pPr>
        <w:pStyle w:val="46"/>
        <w:shd w:val="clear" w:color="auto" w:fill="FFFFFF"/>
        <w:spacing w:before="0" w:beforeAutospacing="0" w:after="0" w:afterAutospacing="0"/>
        <w:ind w:firstLine="480"/>
        <w:rPr>
          <w:rFonts w:hint="eastAsia"/>
          <w:color w:val="333333"/>
        </w:rPr>
      </w:pPr>
      <w:r>
        <w:rPr>
          <w:rFonts w:hint="eastAsia"/>
          <w:color w:val="333333"/>
        </w:rPr>
        <w:t>1.产品如有型号，请在“产品名称”栏一并填写。</w:t>
      </w:r>
    </w:p>
    <w:p>
      <w:pPr>
        <w:pStyle w:val="46"/>
        <w:shd w:val="clear" w:color="auto" w:fill="FFFFFF"/>
        <w:spacing w:before="0" w:beforeAutospacing="0" w:after="0" w:afterAutospacing="0"/>
        <w:ind w:firstLine="480"/>
        <w:rPr>
          <w:rFonts w:hint="eastAsia"/>
          <w:color w:val="333333"/>
        </w:rPr>
      </w:pPr>
      <w:r>
        <w:rPr>
          <w:rFonts w:hint="eastAsia"/>
          <w:color w:val="333333"/>
        </w:rPr>
        <w:t>2.生产厂名与厂址应与生产厂营业执照载明的相关信息保持一致。</w:t>
      </w:r>
    </w:p>
    <w:p>
      <w:pPr>
        <w:pStyle w:val="46"/>
        <w:shd w:val="clear" w:color="auto" w:fill="FFFFFF"/>
        <w:spacing w:before="0" w:beforeAutospacing="0" w:after="0" w:afterAutospacing="0"/>
        <w:ind w:firstLine="480"/>
        <w:rPr>
          <w:rFonts w:hint="eastAsia"/>
          <w:color w:val="333333"/>
        </w:rPr>
      </w:pPr>
      <w:r>
        <w:rPr>
          <w:rFonts w:hint="eastAsia"/>
          <w:color w:val="333333"/>
        </w:rPr>
        <w:t>3.该产品的中国境内生产的组件成本占比相关要求实施前，“规定比例”栏可不填，下同。</w:t>
      </w:r>
    </w:p>
    <w:p>
      <w:pPr>
        <w:pStyle w:val="46"/>
        <w:shd w:val="clear" w:color="auto" w:fill="FFFFFF"/>
        <w:spacing w:before="0" w:beforeAutospacing="0" w:after="0" w:afterAutospacing="0"/>
        <w:ind w:firstLine="480"/>
        <w:rPr>
          <w:rFonts w:hint="eastAsia"/>
          <w:color w:val="333333"/>
        </w:rPr>
      </w:pPr>
      <w:r>
        <w:rPr>
          <w:rFonts w:hint="eastAsia"/>
          <w:color w:val="333333"/>
        </w:rPr>
        <w:t>4.该产品的关键组件要求实施前，“关键组件”栏可不填，下同。</w:t>
      </w:r>
    </w:p>
    <w:p>
      <w:pPr>
        <w:pStyle w:val="46"/>
        <w:shd w:val="clear" w:color="auto" w:fill="FFFFFF"/>
        <w:spacing w:before="0" w:beforeAutospacing="0" w:after="0" w:afterAutospacing="0"/>
        <w:ind w:firstLine="480"/>
        <w:rPr>
          <w:rFonts w:hint="eastAsia"/>
          <w:color w:val="333333"/>
        </w:rPr>
      </w:pPr>
      <w:r>
        <w:rPr>
          <w:rFonts w:hint="eastAsia"/>
          <w:color w:val="333333"/>
        </w:rPr>
        <w:t>5.该产品的关键工序要求实施前，“关键工序”栏可不填，下同。</w:t>
      </w:r>
    </w:p>
    <w:bookmarkEnd w:id="1046"/>
    <w:p>
      <w:pPr>
        <w:rPr>
          <w:rFonts w:hint="eastAsia" w:ascii="宋体" w:hAnsi="宋体"/>
        </w:rPr>
      </w:pPr>
    </w:p>
    <w:p>
      <w:pPr>
        <w:rPr>
          <w:rFonts w:hint="eastAsia" w:ascii="宋体" w:hAnsi="宋体"/>
        </w:rPr>
      </w:pPr>
      <w:r>
        <w:rPr>
          <w:rFonts w:ascii="宋体" w:hAnsi="宋体"/>
        </w:rPr>
        <w:br w:type="page"/>
      </w:r>
    </w:p>
    <w:p>
      <w:pPr>
        <w:pStyle w:val="3"/>
        <w:spacing w:line="360" w:lineRule="auto"/>
        <w:jc w:val="left"/>
        <w:rPr>
          <w:rFonts w:hint="eastAsia" w:hAnsi="宋体"/>
          <w:bCs/>
          <w:sz w:val="24"/>
          <w:szCs w:val="24"/>
        </w:rPr>
      </w:pPr>
      <w:bookmarkStart w:id="1048" w:name="_Toc203404616"/>
      <w:bookmarkStart w:id="1049" w:name="_Toc209958521"/>
      <w:bookmarkStart w:id="1050" w:name="_Toc218620586"/>
      <w:bookmarkStart w:id="1051" w:name="OLE_LINK188"/>
      <w:bookmarkStart w:id="1052" w:name="OLE_LINK187"/>
      <w:r>
        <w:rPr>
          <w:rFonts w:hint="eastAsia" w:hAnsi="宋体"/>
          <w:bCs/>
          <w:sz w:val="24"/>
          <w:szCs w:val="24"/>
        </w:rPr>
        <w:t>附录1</w:t>
      </w:r>
      <w:r>
        <w:rPr>
          <w:rFonts w:hAnsi="宋体"/>
          <w:bCs/>
          <w:sz w:val="24"/>
          <w:szCs w:val="24"/>
        </w:rPr>
        <w:t>2</w:t>
      </w:r>
      <w:r>
        <w:rPr>
          <w:rFonts w:hint="eastAsia" w:hAnsi="宋体"/>
          <w:bCs/>
          <w:sz w:val="24"/>
          <w:szCs w:val="24"/>
        </w:rPr>
        <w:t>：关于推动解决政府采购异常低价问题的通知</w:t>
      </w:r>
    </w:p>
    <w:p>
      <w:pPr>
        <w:pStyle w:val="46"/>
        <w:shd w:val="clear" w:color="auto" w:fill="FFFFFF"/>
        <w:spacing w:before="0" w:beforeAutospacing="0" w:after="0" w:afterAutospacing="0"/>
        <w:jc w:val="center"/>
        <w:rPr>
          <w:rStyle w:val="56"/>
          <w:rFonts w:hint="eastAsia"/>
          <w:color w:val="333333"/>
          <w:sz w:val="36"/>
          <w:szCs w:val="36"/>
        </w:rPr>
      </w:pPr>
      <w:r>
        <w:rPr>
          <w:rStyle w:val="56"/>
          <w:color w:val="333333"/>
          <w:sz w:val="36"/>
          <w:szCs w:val="36"/>
        </w:rPr>
        <w:t>关于推动解决政府采购异常低价问题的通知</w:t>
      </w:r>
    </w:p>
    <w:p>
      <w:pPr>
        <w:shd w:val="clear" w:color="auto" w:fill="FFFFFF"/>
        <w:spacing w:line="480" w:lineRule="atLeast"/>
        <w:jc w:val="center"/>
        <w:textAlignment w:val="baseline"/>
        <w:rPr>
          <w:rFonts w:hint="eastAsia" w:ascii="宋体" w:hAnsi="宋体" w:cs="Calibri"/>
          <w:b/>
          <w:color w:val="383838"/>
          <w:szCs w:val="21"/>
        </w:rPr>
      </w:pPr>
      <w:r>
        <w:rPr>
          <w:rFonts w:ascii="宋体" w:hAnsi="宋体" w:cs="Calibri"/>
          <w:b/>
          <w:color w:val="383838"/>
          <w:szCs w:val="21"/>
        </w:rPr>
        <w:t>财库〔2026〕2号</w:t>
      </w:r>
    </w:p>
    <w:p>
      <w:pPr>
        <w:shd w:val="clear" w:color="auto" w:fill="FFFFFF"/>
        <w:spacing w:line="480" w:lineRule="atLeast"/>
        <w:jc w:val="center"/>
        <w:textAlignment w:val="baseline"/>
        <w:rPr>
          <w:rFonts w:hint="eastAsia" w:ascii="宋体" w:hAnsi="宋体" w:cs="Calibri"/>
          <w:b/>
          <w:color w:val="383838"/>
          <w:szCs w:val="21"/>
        </w:rPr>
      </w:pPr>
    </w:p>
    <w:p>
      <w:pPr>
        <w:shd w:val="clear" w:color="auto" w:fill="FFFFFF"/>
        <w:spacing w:line="480" w:lineRule="atLeast"/>
        <w:textAlignment w:val="baseline"/>
        <w:rPr>
          <w:rFonts w:hint="eastAsia" w:ascii="宋体" w:hAnsi="宋体" w:cs="Calibri"/>
          <w:color w:val="383838"/>
          <w:szCs w:val="21"/>
        </w:rPr>
      </w:pPr>
      <w:r>
        <w:rPr>
          <w:rFonts w:hint="eastAsia" w:ascii="宋体" w:hAnsi="宋体" w:cs="Calibri"/>
          <w:color w:val="383838"/>
        </w:rPr>
        <w:t>各中央预算单位，各省、自治区、直辖市、计划单列市财政厅（局），新疆生产建设兵团财政局：</w:t>
      </w:r>
    </w:p>
    <w:p>
      <w:pPr>
        <w:shd w:val="clear" w:color="auto" w:fill="FFFFFF"/>
        <w:spacing w:line="480" w:lineRule="atLeast"/>
        <w:ind w:firstLine="640"/>
        <w:textAlignment w:val="baseline"/>
        <w:rPr>
          <w:rFonts w:hint="eastAsia" w:ascii="宋体" w:hAnsi="宋体" w:cs="Calibri"/>
          <w:color w:val="383838"/>
          <w:szCs w:val="21"/>
        </w:rPr>
      </w:pPr>
      <w:r>
        <w:rPr>
          <w:rFonts w:hint="eastAsia" w:ascii="宋体" w:hAnsi="宋体" w:cs="Calibri"/>
          <w:color w:val="383838"/>
        </w:rPr>
        <w:t>为整治政府采购领域“内卷式”竞争，形成优质优价、良性竞争的市场秩序，现就推动解决政府采购异常低价问题有关事项通知如下：</w:t>
      </w:r>
    </w:p>
    <w:p>
      <w:pPr>
        <w:shd w:val="clear" w:color="auto" w:fill="FFFFFF"/>
        <w:spacing w:line="480" w:lineRule="atLeast"/>
        <w:ind w:firstLine="640"/>
        <w:textAlignment w:val="baseline"/>
        <w:rPr>
          <w:rFonts w:hint="eastAsia" w:ascii="宋体" w:hAnsi="宋体" w:cs="Calibri"/>
          <w:color w:val="383838"/>
          <w:szCs w:val="21"/>
        </w:rPr>
      </w:pPr>
      <w:r>
        <w:rPr>
          <w:rFonts w:hint="eastAsia" w:ascii="宋体" w:hAnsi="宋体" w:cs="Calibri"/>
          <w:color w:val="383838"/>
        </w:rPr>
        <w:t>一、加强政府采购需求管理</w:t>
      </w:r>
    </w:p>
    <w:p>
      <w:pPr>
        <w:shd w:val="clear" w:color="auto" w:fill="FFFFFF"/>
        <w:spacing w:line="480" w:lineRule="atLeast"/>
        <w:ind w:firstLine="640"/>
        <w:textAlignment w:val="baseline"/>
        <w:rPr>
          <w:rFonts w:hint="eastAsia" w:ascii="宋体" w:hAnsi="宋体" w:cs="Calibri"/>
          <w:color w:val="383838"/>
          <w:szCs w:val="21"/>
        </w:rPr>
      </w:pPr>
      <w:r>
        <w:rPr>
          <w:rFonts w:hint="eastAsia" w:ascii="宋体" w:hAnsi="宋体" w:cs="Calibri"/>
          <w:color w:val="383838"/>
        </w:rPr>
        <w:t>采购人应当根据实际工作需要，综合考虑同类项目中标（成交）信息，以及市场供给和产业发展状况，材料、人工等市场价格，行业费用标准等市场调查情况，形成科学、完整、清晰的采购需求，合理设定最高限价，为供应商竞争报价提供基础。未设定最高限价的采购项目，以采购项目预算金额作为最高限价。</w:t>
      </w:r>
    </w:p>
    <w:p>
      <w:pPr>
        <w:shd w:val="clear" w:color="auto" w:fill="FFFFFF"/>
        <w:spacing w:line="480" w:lineRule="atLeast"/>
        <w:ind w:firstLine="640"/>
        <w:textAlignment w:val="baseline"/>
        <w:rPr>
          <w:rFonts w:hint="eastAsia" w:ascii="宋体" w:hAnsi="宋体" w:cs="Calibri"/>
          <w:color w:val="383838"/>
          <w:szCs w:val="21"/>
        </w:rPr>
      </w:pPr>
      <w:r>
        <w:rPr>
          <w:rFonts w:hint="eastAsia" w:ascii="宋体" w:hAnsi="宋体" w:cs="Calibri"/>
          <w:color w:val="383838"/>
        </w:rPr>
        <w:t>采购人要综合考虑技术、成本效益、促进竞争等因素，按照专业类型和专业领域，合理设置采购包。采购人可以引入全生命周期成本理念，在采购文件中要求供应商对约定期限内的运营、维护、升级，专用耗材，处置报废等费用进行报价，作为评审因素，并在采购合同中明确，供应商应当在约定期限内以不高于其报价的价格向采购人提供专用耗材或者相关服务。采购项目采用综合评分法的，应当按照相关规定科学合理确定价格、技术、商务等因素的分值和权重。</w:t>
      </w:r>
    </w:p>
    <w:p>
      <w:pPr>
        <w:shd w:val="clear" w:color="auto" w:fill="FFFFFF"/>
        <w:spacing w:line="480" w:lineRule="atLeast"/>
        <w:ind w:firstLine="640"/>
        <w:textAlignment w:val="baseline"/>
        <w:rPr>
          <w:rFonts w:hint="eastAsia" w:ascii="宋体" w:hAnsi="宋体" w:cs="Calibri"/>
          <w:color w:val="383838"/>
          <w:szCs w:val="21"/>
        </w:rPr>
      </w:pPr>
      <w:r>
        <w:rPr>
          <w:rFonts w:hint="eastAsia" w:ascii="宋体" w:hAnsi="宋体" w:cs="Calibri"/>
          <w:color w:val="383838"/>
        </w:rPr>
        <w:t>采购人应当重点加强对信息化建设项目和耗材使用量大的复印、打印、实验、医疗等仪器设备采购项目的管理。对于信息化建设项目，采购人应当要求供应商严格落实相关开放性、兼容性标准和规范要求，按合同约定提供服务；在系统运行过程中，供应商不得在国家规定和合同约定之外以任何名义向相关服务对象收取费用。</w:t>
      </w:r>
    </w:p>
    <w:p>
      <w:pPr>
        <w:shd w:val="clear" w:color="auto" w:fill="FFFFFF"/>
        <w:spacing w:line="480" w:lineRule="atLeast"/>
        <w:ind w:firstLine="640"/>
        <w:textAlignment w:val="baseline"/>
        <w:rPr>
          <w:rFonts w:hint="eastAsia" w:ascii="宋体" w:hAnsi="宋体" w:cs="Calibri"/>
          <w:color w:val="383838"/>
          <w:szCs w:val="21"/>
        </w:rPr>
      </w:pPr>
      <w:r>
        <w:rPr>
          <w:rFonts w:hint="eastAsia" w:ascii="宋体" w:hAnsi="宋体" w:cs="Calibri"/>
          <w:color w:val="383838"/>
        </w:rPr>
        <w:t>二、强化政府采购异常低价审查</w:t>
      </w:r>
    </w:p>
    <w:p>
      <w:pPr>
        <w:shd w:val="clear" w:color="auto" w:fill="FFFFFF"/>
        <w:spacing w:line="480" w:lineRule="atLeast"/>
        <w:ind w:firstLine="640"/>
        <w:textAlignment w:val="baseline"/>
        <w:rPr>
          <w:rFonts w:hint="eastAsia" w:ascii="宋体" w:hAnsi="宋体" w:cs="Calibri"/>
          <w:color w:val="383838"/>
          <w:szCs w:val="21"/>
        </w:rPr>
      </w:pPr>
      <w:r>
        <w:rPr>
          <w:rFonts w:hint="eastAsia" w:ascii="宋体" w:hAnsi="宋体" w:cs="Calibri"/>
          <w:color w:val="383838"/>
        </w:rPr>
        <w:t>（一）采购人应当在采购文件中明确，政府采购评审中出现下列情形之一的，评审委员会应当启动异常低价投标（响应）审查程序：</w:t>
      </w:r>
    </w:p>
    <w:p>
      <w:pPr>
        <w:shd w:val="clear" w:color="auto" w:fill="FFFFFF"/>
        <w:spacing w:line="480" w:lineRule="atLeast"/>
        <w:ind w:firstLine="640"/>
        <w:textAlignment w:val="baseline"/>
        <w:rPr>
          <w:rFonts w:hint="eastAsia" w:ascii="宋体" w:hAnsi="宋体" w:cs="Calibri"/>
          <w:color w:val="383838"/>
          <w:szCs w:val="21"/>
        </w:rPr>
      </w:pPr>
      <w:r>
        <w:rPr>
          <w:rFonts w:hint="eastAsia" w:ascii="宋体" w:hAnsi="宋体" w:cs="Calibri"/>
          <w:color w:val="383838"/>
        </w:rPr>
        <w:t>1.投标（响应）报价低于全部通过符合性审查供应商投标（响应）报价平均值50%的，即投标（响应）报价&lt;全部通过符合性审查供应商投标（响应）报价平均值×50%；</w:t>
      </w:r>
    </w:p>
    <w:p>
      <w:pPr>
        <w:shd w:val="clear" w:color="auto" w:fill="FFFFFF"/>
        <w:spacing w:line="480" w:lineRule="atLeast"/>
        <w:ind w:firstLine="640"/>
        <w:textAlignment w:val="baseline"/>
        <w:rPr>
          <w:rFonts w:hint="eastAsia" w:ascii="宋体" w:hAnsi="宋体" w:cs="Calibri"/>
          <w:color w:val="383838"/>
          <w:szCs w:val="21"/>
        </w:rPr>
      </w:pPr>
      <w:r>
        <w:rPr>
          <w:rFonts w:hint="eastAsia" w:ascii="宋体" w:hAnsi="宋体" w:cs="Calibri"/>
          <w:color w:val="383838"/>
        </w:rPr>
        <w:t>2.投标（响应）报价低于通过符合性审查的次低报价供应商投标（响应）报价50%的，即投标（响应）报价&lt;通过符合性审查的次低报价供应商投标（响应）报价×50%；</w:t>
      </w:r>
    </w:p>
    <w:p>
      <w:pPr>
        <w:shd w:val="clear" w:color="auto" w:fill="FFFFFF"/>
        <w:spacing w:line="480" w:lineRule="atLeast"/>
        <w:ind w:firstLine="640"/>
        <w:textAlignment w:val="baseline"/>
        <w:rPr>
          <w:rFonts w:hint="eastAsia" w:ascii="宋体" w:hAnsi="宋体" w:cs="Calibri"/>
          <w:color w:val="383838"/>
          <w:szCs w:val="21"/>
        </w:rPr>
      </w:pPr>
      <w:r>
        <w:rPr>
          <w:rFonts w:hint="eastAsia" w:ascii="宋体" w:hAnsi="宋体" w:cs="Calibri"/>
          <w:color w:val="383838"/>
        </w:rPr>
        <w:t>3.投标（响应）报价低于采购项目最高限价45%的，即投标（响应）报价&lt;采购项目最高限价×45%；</w:t>
      </w:r>
    </w:p>
    <w:p>
      <w:pPr>
        <w:shd w:val="clear" w:color="auto" w:fill="FFFFFF"/>
        <w:spacing w:line="480" w:lineRule="atLeast"/>
        <w:ind w:firstLine="640"/>
        <w:textAlignment w:val="baseline"/>
        <w:rPr>
          <w:rFonts w:hint="eastAsia" w:ascii="宋体" w:hAnsi="宋体" w:cs="Calibri"/>
          <w:color w:val="383838"/>
          <w:szCs w:val="21"/>
        </w:rPr>
      </w:pPr>
      <w:r>
        <w:rPr>
          <w:rFonts w:hint="eastAsia" w:ascii="宋体" w:hAnsi="宋体" w:cs="Calibri"/>
          <w:color w:val="383838"/>
        </w:rPr>
        <w:t>4.评审委员会基于专业判断，认为供应商报价过低，有可能影响产品质量或者不能诚信履约的其他情形。</w:t>
      </w:r>
    </w:p>
    <w:p>
      <w:pPr>
        <w:shd w:val="clear" w:color="auto" w:fill="FFFFFF"/>
        <w:spacing w:line="480" w:lineRule="atLeast"/>
        <w:ind w:firstLine="640"/>
        <w:textAlignment w:val="baseline"/>
        <w:rPr>
          <w:rFonts w:hint="eastAsia" w:ascii="宋体" w:hAnsi="宋体" w:cs="Calibri"/>
          <w:color w:val="383838"/>
          <w:szCs w:val="21"/>
        </w:rPr>
      </w:pPr>
      <w:r>
        <w:rPr>
          <w:rFonts w:hint="eastAsia" w:ascii="宋体" w:hAnsi="宋体" w:cs="Calibri"/>
          <w:color w:val="383838"/>
        </w:rPr>
        <w:t>采购人可以结合具体项目实际情况，提高上述第1项至第3项中启动异常低价投标（响应）审查的数值标准，但是最高不得超过65%。</w:t>
      </w:r>
    </w:p>
    <w:p>
      <w:pPr>
        <w:shd w:val="clear" w:color="auto" w:fill="FFFFFF"/>
        <w:spacing w:line="480" w:lineRule="atLeast"/>
        <w:ind w:firstLine="640"/>
        <w:textAlignment w:val="baseline"/>
        <w:rPr>
          <w:rFonts w:hint="eastAsia" w:ascii="宋体" w:hAnsi="宋体" w:cs="Calibri"/>
          <w:color w:val="383838"/>
          <w:szCs w:val="21"/>
        </w:rPr>
      </w:pPr>
      <w:r>
        <w:rPr>
          <w:rFonts w:hint="eastAsia" w:ascii="宋体" w:hAnsi="宋体" w:cs="Calibri"/>
          <w:color w:val="383838"/>
        </w:rPr>
        <w:t>相关法律法规对供应商报价有规定的，从其规定。</w:t>
      </w:r>
    </w:p>
    <w:p>
      <w:pPr>
        <w:shd w:val="clear" w:color="auto" w:fill="FFFFFF"/>
        <w:spacing w:line="480" w:lineRule="atLeast"/>
        <w:ind w:firstLine="640"/>
        <w:textAlignment w:val="baseline"/>
        <w:rPr>
          <w:rFonts w:hint="eastAsia" w:ascii="宋体" w:hAnsi="宋体" w:cs="Calibri"/>
          <w:color w:val="383838"/>
          <w:szCs w:val="21"/>
        </w:rPr>
      </w:pPr>
      <w:r>
        <w:rPr>
          <w:rFonts w:hint="eastAsia" w:ascii="宋体" w:hAnsi="宋体" w:cs="Calibri"/>
          <w:color w:val="383838"/>
        </w:rPr>
        <w:t>（二）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pPr>
        <w:shd w:val="clear" w:color="auto" w:fill="FFFFFF"/>
        <w:spacing w:line="480" w:lineRule="atLeast"/>
        <w:ind w:firstLine="640"/>
        <w:textAlignment w:val="baseline"/>
        <w:rPr>
          <w:rFonts w:hint="eastAsia" w:ascii="宋体" w:hAnsi="宋体" w:cs="Calibri"/>
          <w:color w:val="383838"/>
          <w:szCs w:val="21"/>
        </w:rPr>
      </w:pPr>
      <w:r>
        <w:rPr>
          <w:rFonts w:hint="eastAsia" w:ascii="宋体" w:hAnsi="宋体" w:cs="Calibri"/>
          <w:color w:val="383838"/>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pPr>
        <w:shd w:val="clear" w:color="auto" w:fill="FFFFFF"/>
        <w:spacing w:line="480" w:lineRule="atLeast"/>
        <w:ind w:firstLine="640"/>
        <w:textAlignment w:val="baseline"/>
        <w:rPr>
          <w:rFonts w:hint="eastAsia" w:ascii="宋体" w:hAnsi="宋体" w:cs="Calibri"/>
          <w:color w:val="383838"/>
          <w:szCs w:val="21"/>
        </w:rPr>
      </w:pPr>
      <w:r>
        <w:rPr>
          <w:rFonts w:hint="eastAsia" w:ascii="宋体" w:hAnsi="宋体" w:cs="Calibri"/>
          <w:color w:val="383838"/>
        </w:rPr>
        <w:t>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pPr>
        <w:shd w:val="clear" w:color="auto" w:fill="FFFFFF"/>
        <w:spacing w:line="480" w:lineRule="atLeast"/>
        <w:ind w:firstLine="640"/>
        <w:textAlignment w:val="baseline"/>
        <w:rPr>
          <w:rFonts w:hint="eastAsia" w:ascii="宋体" w:hAnsi="宋体" w:cs="Calibri"/>
          <w:color w:val="383838"/>
          <w:szCs w:val="21"/>
        </w:rPr>
      </w:pPr>
      <w:r>
        <w:rPr>
          <w:rFonts w:hint="eastAsia" w:ascii="宋体" w:hAnsi="宋体" w:cs="Calibri"/>
          <w:color w:val="383838"/>
        </w:rPr>
        <w:t>异常低价投标（响应）审查的启动原因、审查意见和审查结果应当在评审报告中记录，并随供应商提供的相关书面说明及证明材料，以及评审委员会有关互联网浏览、查询历史一并归档。</w:t>
      </w:r>
    </w:p>
    <w:p>
      <w:pPr>
        <w:shd w:val="clear" w:color="auto" w:fill="FFFFFF"/>
        <w:spacing w:line="480" w:lineRule="atLeast"/>
        <w:ind w:firstLine="640"/>
        <w:textAlignment w:val="baseline"/>
        <w:rPr>
          <w:rFonts w:hint="eastAsia" w:ascii="宋体" w:hAnsi="宋体" w:cs="Calibri"/>
          <w:color w:val="383838"/>
          <w:szCs w:val="21"/>
        </w:rPr>
      </w:pPr>
      <w:r>
        <w:rPr>
          <w:rFonts w:hint="eastAsia" w:ascii="宋体" w:hAnsi="宋体" w:cs="Calibri"/>
          <w:color w:val="383838"/>
        </w:rPr>
        <w:t>（三）各级财政部门应当加强对评审专家的指导和监管，进一步压实评审专家的责任。财政部门在投诉处理、监督检查中发现评审委员会未按规定对异常低价开展审查的，依法予以纠正并追究评审专家的法律责任。</w:t>
      </w:r>
    </w:p>
    <w:p>
      <w:pPr>
        <w:shd w:val="clear" w:color="auto" w:fill="FFFFFF"/>
        <w:spacing w:line="480" w:lineRule="atLeast"/>
        <w:ind w:firstLine="640"/>
        <w:textAlignment w:val="baseline"/>
        <w:rPr>
          <w:rFonts w:hint="eastAsia" w:ascii="宋体" w:hAnsi="宋体" w:cs="Calibri"/>
          <w:color w:val="383838"/>
          <w:szCs w:val="21"/>
        </w:rPr>
      </w:pPr>
      <w:r>
        <w:rPr>
          <w:rFonts w:hint="eastAsia" w:ascii="宋体" w:hAnsi="宋体" w:cs="Calibri"/>
          <w:color w:val="383838"/>
        </w:rPr>
        <w:t>三、加强政府采购履约验收管理</w:t>
      </w:r>
    </w:p>
    <w:p>
      <w:pPr>
        <w:shd w:val="clear" w:color="auto" w:fill="FFFFFF"/>
        <w:spacing w:line="480" w:lineRule="atLeast"/>
        <w:ind w:firstLine="640"/>
        <w:textAlignment w:val="baseline"/>
        <w:rPr>
          <w:rFonts w:hint="eastAsia" w:ascii="宋体" w:hAnsi="宋体" w:cs="Calibri"/>
          <w:color w:val="383838"/>
          <w:szCs w:val="21"/>
        </w:rPr>
      </w:pPr>
      <w:r>
        <w:rPr>
          <w:rFonts w:hint="eastAsia" w:ascii="宋体" w:hAnsi="宋体" w:cs="Calibri"/>
          <w:color w:val="383838"/>
        </w:rPr>
        <w:t>采购人应当落实履约验收责任，依法组织履约验收工作，验收内容要包括每一项技术和商务要求的履约情况。对报价触发异常低价投标（响应）审查程序后仍中标（成交）的供应商，采购人要重点关注其履约承诺、实际履约情况等。对可以分期实施的采购项目，实行分期考核、分期验收、分期支付，及时掌握供应商履约进展。如供应商中标（成交）后无正当理由拒不签订政府采购合同的，依法予以处理；如供应商不履行合同或者未按合同约定履行合同导致验收不合格的，采购人应当依法追究其违约责任。</w:t>
      </w:r>
    </w:p>
    <w:p>
      <w:pPr>
        <w:shd w:val="clear" w:color="auto" w:fill="FFFFFF"/>
        <w:spacing w:line="480" w:lineRule="atLeast"/>
        <w:ind w:firstLine="640"/>
        <w:textAlignment w:val="baseline"/>
        <w:rPr>
          <w:rFonts w:hint="eastAsia" w:ascii="宋体" w:hAnsi="宋体" w:cs="Calibri"/>
          <w:color w:val="383838"/>
          <w:szCs w:val="21"/>
        </w:rPr>
      </w:pPr>
      <w:r>
        <w:rPr>
          <w:rFonts w:hint="eastAsia" w:ascii="宋体" w:hAnsi="宋体" w:cs="Calibri"/>
          <w:color w:val="383838"/>
        </w:rPr>
        <w:t>各部门、各地区要充分认识解决政府采购异常低价问题的重要意义，加强组织领导，周密安排部署，强化监督指导，结合工作实际，通过完善采购文件标准文本、增设交易系统功能、加强履约担保、加大违约责任追究力度等措施，进一步细化工作举措，确保各项要求落实到位。</w:t>
      </w:r>
    </w:p>
    <w:p>
      <w:pPr>
        <w:shd w:val="clear" w:color="auto" w:fill="FFFFFF"/>
        <w:spacing w:line="480" w:lineRule="atLeast"/>
        <w:ind w:firstLine="640"/>
        <w:textAlignment w:val="baseline"/>
        <w:rPr>
          <w:rFonts w:hint="eastAsia" w:ascii="宋体" w:hAnsi="宋体" w:cs="Calibri"/>
          <w:color w:val="383838"/>
          <w:szCs w:val="21"/>
        </w:rPr>
      </w:pPr>
      <w:r>
        <w:rPr>
          <w:rFonts w:hint="eastAsia" w:ascii="宋体" w:hAnsi="宋体" w:cs="Calibri"/>
          <w:color w:val="383838"/>
        </w:rPr>
        <w:t>本通知自2026年2月1日起施行。</w:t>
      </w:r>
    </w:p>
    <w:p>
      <w:pPr>
        <w:shd w:val="clear" w:color="auto" w:fill="FFFFFF"/>
        <w:spacing w:line="588" w:lineRule="atLeast"/>
        <w:ind w:firstLine="640"/>
        <w:textAlignment w:val="baseline"/>
        <w:rPr>
          <w:rFonts w:hint="eastAsia" w:ascii="宋体" w:hAnsi="宋体" w:cs="宋体"/>
          <w:color w:val="383838"/>
          <w:sz w:val="24"/>
        </w:rPr>
      </w:pPr>
    </w:p>
    <w:p>
      <w:pPr>
        <w:pStyle w:val="46"/>
        <w:shd w:val="clear" w:color="auto" w:fill="FFFFFF"/>
        <w:spacing w:before="75" w:beforeAutospacing="0" w:after="330" w:afterAutospacing="0"/>
        <w:jc w:val="right"/>
        <w:textAlignment w:val="baseline"/>
        <w:rPr>
          <w:rFonts w:hint="eastAsia"/>
          <w:color w:val="383838"/>
        </w:rPr>
      </w:pPr>
      <w:r>
        <w:rPr>
          <w:color w:val="383838"/>
        </w:rPr>
        <w:t>财政部</w:t>
      </w:r>
    </w:p>
    <w:p>
      <w:pPr>
        <w:pStyle w:val="46"/>
        <w:shd w:val="clear" w:color="auto" w:fill="FFFFFF"/>
        <w:spacing w:before="75" w:beforeAutospacing="0" w:after="330" w:afterAutospacing="0"/>
        <w:jc w:val="right"/>
        <w:textAlignment w:val="baseline"/>
        <w:rPr>
          <w:rFonts w:hint="eastAsia"/>
          <w:color w:val="383838"/>
        </w:rPr>
      </w:pPr>
      <w:r>
        <w:rPr>
          <w:color w:val="383838"/>
        </w:rPr>
        <w:t>2026年1月14日</w:t>
      </w:r>
    </w:p>
    <w:p>
      <w:pPr>
        <w:rPr>
          <w:rFonts w:hint="eastAsia" w:ascii="宋体" w:hAnsi="宋体"/>
          <w:kern w:val="44"/>
        </w:rPr>
      </w:pPr>
      <w:r>
        <w:rPr>
          <w:rFonts w:ascii="宋体" w:hAnsi="宋体"/>
        </w:rPr>
        <w:t xml:space="preserve"> </w:t>
      </w:r>
      <w:r>
        <w:rPr>
          <w:rFonts w:ascii="宋体" w:hAnsi="宋体"/>
        </w:rPr>
        <w:br w:type="page"/>
      </w:r>
    </w:p>
    <w:p>
      <w:pPr>
        <w:pStyle w:val="3"/>
        <w:spacing w:line="360" w:lineRule="auto"/>
        <w:jc w:val="left"/>
        <w:rPr>
          <w:rFonts w:hint="eastAsia" w:hAnsi="宋体"/>
          <w:bCs/>
          <w:sz w:val="24"/>
          <w:szCs w:val="24"/>
        </w:rPr>
      </w:pPr>
      <w:r>
        <w:rPr>
          <w:rFonts w:hint="eastAsia" w:hAnsi="宋体"/>
          <w:bCs/>
          <w:sz w:val="24"/>
          <w:szCs w:val="24"/>
        </w:rPr>
        <w:t>附录</w:t>
      </w:r>
      <w:r>
        <w:rPr>
          <w:rFonts w:hAnsi="宋体"/>
          <w:bCs/>
          <w:sz w:val="24"/>
          <w:szCs w:val="24"/>
        </w:rPr>
        <w:t>13</w:t>
      </w:r>
      <w:r>
        <w:rPr>
          <w:rFonts w:hint="eastAsia" w:hAnsi="宋体"/>
          <w:bCs/>
          <w:sz w:val="24"/>
          <w:szCs w:val="24"/>
        </w:rPr>
        <w:t>：市场监管总局关于发布强制性产品认证目录描述与界定表的公告</w:t>
      </w:r>
      <w:bookmarkEnd w:id="1048"/>
      <w:bookmarkEnd w:id="1049"/>
      <w:bookmarkEnd w:id="1050"/>
    </w:p>
    <w:p>
      <w:pPr>
        <w:widowControl/>
        <w:spacing w:line="1200" w:lineRule="atLeast"/>
        <w:jc w:val="center"/>
        <w:rPr>
          <w:rFonts w:hint="eastAsia" w:ascii="宋体" w:hAnsi="宋体" w:cs="宋体"/>
          <w:spacing w:val="60"/>
          <w:kern w:val="0"/>
          <w:sz w:val="28"/>
          <w:szCs w:val="28"/>
        </w:rPr>
      </w:pPr>
      <w:r>
        <w:rPr>
          <w:rFonts w:hint="eastAsia" w:ascii="宋体" w:hAnsi="宋体" w:cs="宋体"/>
          <w:spacing w:val="60"/>
          <w:kern w:val="0"/>
          <w:sz w:val="28"/>
          <w:szCs w:val="28"/>
        </w:rPr>
        <w:t>国家市场监督管理总局</w:t>
      </w:r>
    </w:p>
    <w:p>
      <w:pPr>
        <w:widowControl/>
        <w:spacing w:line="1200" w:lineRule="atLeast"/>
        <w:jc w:val="center"/>
        <w:rPr>
          <w:rFonts w:hint="eastAsia" w:ascii="宋体" w:hAnsi="宋体" w:cs="宋体"/>
          <w:spacing w:val="60"/>
          <w:kern w:val="0"/>
          <w:sz w:val="28"/>
          <w:szCs w:val="28"/>
        </w:rPr>
      </w:pPr>
      <w:r>
        <w:rPr>
          <w:rFonts w:hint="eastAsia" w:ascii="宋体" w:hAnsi="宋体" w:cs="宋体"/>
          <w:spacing w:val="60"/>
          <w:kern w:val="0"/>
          <w:sz w:val="28"/>
          <w:szCs w:val="28"/>
        </w:rPr>
        <w:t>公　　告</w:t>
      </w:r>
    </w:p>
    <w:p>
      <w:pPr>
        <w:widowControl/>
        <w:shd w:val="clear" w:color="auto" w:fill="FFFFFF"/>
        <w:spacing w:line="480" w:lineRule="atLeast"/>
        <w:jc w:val="center"/>
        <w:rPr>
          <w:rFonts w:hint="eastAsia" w:ascii="宋体" w:hAnsi="宋体" w:cs="宋体"/>
          <w:kern w:val="0"/>
          <w:sz w:val="24"/>
        </w:rPr>
      </w:pPr>
      <w:r>
        <w:rPr>
          <w:rFonts w:ascii="宋体" w:hAnsi="宋体"/>
          <w:spacing w:val="10"/>
          <w:kern w:val="0"/>
          <w:szCs w:val="32"/>
        </w:rPr>
        <w:t>2023</w:t>
      </w:r>
      <w:r>
        <w:rPr>
          <w:rFonts w:ascii="宋体" w:hAnsi="宋体" w:cs="宋体"/>
          <w:spacing w:val="10"/>
          <w:kern w:val="0"/>
          <w:szCs w:val="32"/>
        </w:rPr>
        <w:t>年</w:t>
      </w:r>
      <w:r>
        <w:rPr>
          <w:rFonts w:ascii="宋体" w:hAnsi="宋体"/>
          <w:spacing w:val="10"/>
          <w:kern w:val="0"/>
          <w:szCs w:val="32"/>
        </w:rPr>
        <w:t>第36号</w:t>
      </w:r>
    </w:p>
    <w:p>
      <w:pPr>
        <w:widowControl/>
        <w:shd w:val="clear" w:color="auto" w:fill="FFFFFF"/>
        <w:spacing w:line="480" w:lineRule="atLeast"/>
        <w:jc w:val="left"/>
        <w:rPr>
          <w:rFonts w:hint="eastAsia" w:ascii="宋体" w:hAnsi="宋体" w:cs="宋体"/>
          <w:kern w:val="0"/>
          <w:sz w:val="24"/>
        </w:rPr>
      </w:pPr>
      <w:r>
        <w:rPr>
          <w:rFonts w:ascii="宋体" w:hAnsi="宋体"/>
          <w:spacing w:val="10"/>
          <w:kern w:val="0"/>
          <w:szCs w:val="32"/>
        </w:rPr>
        <w:br w:type="textWrapping"/>
      </w:r>
    </w:p>
    <w:p>
      <w:pPr>
        <w:widowControl/>
        <w:shd w:val="clear" w:color="auto" w:fill="FFFFFF"/>
        <w:spacing w:line="594" w:lineRule="atLeast"/>
        <w:jc w:val="center"/>
        <w:rPr>
          <w:rFonts w:hint="eastAsia" w:ascii="宋体" w:hAnsi="宋体" w:cs="宋体"/>
          <w:kern w:val="0"/>
          <w:sz w:val="28"/>
          <w:szCs w:val="28"/>
        </w:rPr>
      </w:pPr>
      <w:r>
        <w:rPr>
          <w:rFonts w:hint="eastAsia" w:ascii="宋体" w:hAnsi="宋体" w:cs="宋体"/>
          <w:kern w:val="0"/>
          <w:sz w:val="28"/>
          <w:szCs w:val="28"/>
        </w:rPr>
        <w:t>市场监管总局关于发布强制性产品认证</w:t>
      </w:r>
    </w:p>
    <w:p>
      <w:pPr>
        <w:widowControl/>
        <w:shd w:val="clear" w:color="auto" w:fill="FFFFFF"/>
        <w:spacing w:line="594" w:lineRule="atLeast"/>
        <w:jc w:val="center"/>
        <w:rPr>
          <w:rFonts w:hint="eastAsia" w:ascii="宋体" w:hAnsi="宋体" w:cs="宋体"/>
          <w:kern w:val="0"/>
          <w:sz w:val="28"/>
          <w:szCs w:val="28"/>
        </w:rPr>
      </w:pPr>
      <w:r>
        <w:rPr>
          <w:rFonts w:hint="eastAsia" w:ascii="宋体" w:hAnsi="宋体" w:cs="宋体"/>
          <w:kern w:val="0"/>
          <w:sz w:val="28"/>
          <w:szCs w:val="28"/>
        </w:rPr>
        <w:t>目录描述与界定表的公告</w:t>
      </w:r>
    </w:p>
    <w:p>
      <w:pPr>
        <w:widowControl/>
        <w:shd w:val="clear" w:color="auto" w:fill="FFFFFF"/>
        <w:spacing w:line="594" w:lineRule="atLeast"/>
        <w:rPr>
          <w:rFonts w:hint="eastAsia" w:ascii="宋体" w:hAnsi="宋体" w:cs="宋体"/>
          <w:kern w:val="0"/>
          <w:sz w:val="24"/>
        </w:rPr>
      </w:pPr>
    </w:p>
    <w:p>
      <w:pPr>
        <w:widowControl/>
        <w:shd w:val="clear" w:color="auto" w:fill="FFFFFF"/>
        <w:spacing w:line="594" w:lineRule="atLeast"/>
        <w:ind w:firstLine="640"/>
        <w:rPr>
          <w:rFonts w:hint="eastAsia" w:ascii="宋体" w:hAnsi="宋体" w:cs="宋体"/>
          <w:kern w:val="0"/>
          <w:sz w:val="24"/>
        </w:rPr>
      </w:pPr>
      <w:r>
        <w:rPr>
          <w:rFonts w:ascii="宋体" w:hAnsi="宋体" w:cs="宋体"/>
          <w:kern w:val="0"/>
          <w:sz w:val="24"/>
        </w:rPr>
        <w:t>为便利各相关方准确界定强制性产品认证目录范围，市场监管总局根据强制性产品认证目录调整和认证依据相关标准调整等情况，修订形成《强制性产品认证目录描述与界定表（</w:t>
      </w:r>
      <w:r>
        <w:rPr>
          <w:rFonts w:ascii="宋体" w:hAnsi="宋体"/>
          <w:kern w:val="0"/>
          <w:sz w:val="24"/>
        </w:rPr>
        <w:t>2023</w:t>
      </w:r>
      <w:r>
        <w:rPr>
          <w:rFonts w:ascii="宋体" w:hAnsi="宋体" w:cs="宋体"/>
          <w:kern w:val="0"/>
          <w:sz w:val="24"/>
        </w:rPr>
        <w:t>年修订）》，共</w:t>
      </w:r>
      <w:r>
        <w:rPr>
          <w:rFonts w:ascii="宋体" w:hAnsi="宋体"/>
          <w:kern w:val="0"/>
          <w:sz w:val="24"/>
        </w:rPr>
        <w:t>16</w:t>
      </w:r>
      <w:r>
        <w:rPr>
          <w:rFonts w:ascii="宋体" w:hAnsi="宋体" w:cs="宋体"/>
          <w:kern w:val="0"/>
          <w:sz w:val="24"/>
        </w:rPr>
        <w:t>大类</w:t>
      </w:r>
      <w:r>
        <w:rPr>
          <w:rFonts w:ascii="宋体" w:hAnsi="宋体"/>
          <w:kern w:val="0"/>
          <w:sz w:val="24"/>
        </w:rPr>
        <w:t>96</w:t>
      </w:r>
      <w:r>
        <w:rPr>
          <w:rFonts w:ascii="宋体" w:hAnsi="宋体" w:cs="宋体"/>
          <w:kern w:val="0"/>
          <w:sz w:val="24"/>
        </w:rPr>
        <w:t>种产品</w:t>
      </w:r>
      <w:r>
        <w:rPr>
          <w:rFonts w:ascii="宋体" w:hAnsi="宋体"/>
          <w:kern w:val="0"/>
          <w:sz w:val="24"/>
        </w:rPr>
        <w:t>，现予公告</w:t>
      </w:r>
      <w:r>
        <w:rPr>
          <w:rFonts w:ascii="宋体" w:hAnsi="宋体" w:cs="宋体"/>
          <w:kern w:val="0"/>
          <w:sz w:val="24"/>
        </w:rPr>
        <w:t>。市场监管总局</w:t>
      </w:r>
      <w:r>
        <w:rPr>
          <w:rFonts w:ascii="宋体" w:hAnsi="宋体"/>
          <w:kern w:val="0"/>
          <w:sz w:val="24"/>
        </w:rPr>
        <w:t>2020</w:t>
      </w:r>
      <w:r>
        <w:rPr>
          <w:rFonts w:ascii="宋体" w:hAnsi="宋体" w:cs="宋体"/>
          <w:kern w:val="0"/>
          <w:sz w:val="24"/>
        </w:rPr>
        <w:t>年第</w:t>
      </w:r>
      <w:r>
        <w:rPr>
          <w:rFonts w:ascii="宋体" w:hAnsi="宋体"/>
          <w:kern w:val="0"/>
          <w:sz w:val="24"/>
        </w:rPr>
        <w:t>18</w:t>
      </w:r>
      <w:r>
        <w:rPr>
          <w:rFonts w:ascii="宋体" w:hAnsi="宋体" w:cs="宋体"/>
          <w:kern w:val="0"/>
          <w:sz w:val="24"/>
        </w:rPr>
        <w:t>号公告发布的《强制性产品认证目录描述与界定表（</w:t>
      </w:r>
      <w:r>
        <w:rPr>
          <w:rFonts w:ascii="宋体" w:hAnsi="宋体"/>
          <w:kern w:val="0"/>
          <w:sz w:val="24"/>
        </w:rPr>
        <w:t>2020</w:t>
      </w:r>
      <w:r>
        <w:rPr>
          <w:rFonts w:ascii="宋体" w:hAnsi="宋体" w:cs="宋体"/>
          <w:kern w:val="0"/>
          <w:sz w:val="24"/>
        </w:rPr>
        <w:t>年修订）》同时废止。</w:t>
      </w:r>
    </w:p>
    <w:p>
      <w:pPr>
        <w:widowControl/>
        <w:shd w:val="clear" w:color="auto" w:fill="FFFFFF"/>
        <w:spacing w:line="594" w:lineRule="atLeast"/>
        <w:ind w:firstLine="640"/>
        <w:rPr>
          <w:rFonts w:hint="eastAsia" w:ascii="宋体" w:hAnsi="宋体" w:cs="宋体"/>
          <w:kern w:val="0"/>
          <w:sz w:val="24"/>
        </w:rPr>
      </w:pPr>
      <w:r>
        <w:rPr>
          <w:rFonts w:hint="eastAsia" w:ascii="宋体" w:hAnsi="宋体" w:cs="宋体"/>
          <w:kern w:val="0"/>
          <w:sz w:val="24"/>
        </w:rPr>
        <w:t> </w:t>
      </w:r>
    </w:p>
    <w:p>
      <w:pPr>
        <w:widowControl/>
        <w:shd w:val="clear" w:color="auto" w:fill="FFFFFF"/>
        <w:spacing w:line="594" w:lineRule="atLeast"/>
        <w:ind w:firstLine="640"/>
        <w:rPr>
          <w:rFonts w:hint="eastAsia" w:ascii="宋体" w:hAnsi="宋体" w:cs="宋体"/>
          <w:kern w:val="0"/>
          <w:sz w:val="24"/>
        </w:rPr>
      </w:pPr>
      <w:r>
        <w:rPr>
          <w:rFonts w:ascii="宋体" w:hAnsi="宋体" w:cs="宋体"/>
          <w:kern w:val="0"/>
          <w:sz w:val="24"/>
        </w:rPr>
        <w:t>附件：</w:t>
      </w:r>
      <w:r>
        <w:rPr>
          <w:rFonts w:ascii="宋体" w:hAnsi="宋体"/>
          <w:kern w:val="0"/>
          <w:sz w:val="24"/>
        </w:rPr>
        <w:t>1.强制性产品认证目录</w:t>
      </w:r>
    </w:p>
    <w:p>
      <w:pPr>
        <w:widowControl/>
        <w:shd w:val="clear" w:color="auto" w:fill="FFFFFF"/>
        <w:spacing w:line="594" w:lineRule="atLeast"/>
        <w:ind w:firstLine="1440" w:firstLineChars="600"/>
        <w:rPr>
          <w:rFonts w:hint="eastAsia" w:ascii="宋体" w:hAnsi="宋体" w:cs="宋体"/>
          <w:kern w:val="0"/>
          <w:sz w:val="24"/>
        </w:rPr>
      </w:pPr>
      <w:r>
        <w:rPr>
          <w:rFonts w:ascii="宋体" w:hAnsi="宋体"/>
          <w:kern w:val="0"/>
          <w:sz w:val="24"/>
        </w:rPr>
        <w:t>2.</w:t>
      </w:r>
      <w:r>
        <w:fldChar w:fldCharType="begin"/>
      </w:r>
      <w:r>
        <w:instrText xml:space="preserve"> HYPERLINK "https://www.cnca.gov.cn/api-gateway/jpaas-web-server/front/document/download?fileUrl=YW5UzzlvCwcM%2FNHHX%2FtT6F5yXryzuRkKaR8xDXYwlU0XkgL29Ze1%2FR2OA6D2u5Ro6MBm4vHA1zCC5dlKhdDiNQ%2FpyN0YKmrD9zx0HBES0fcjSiP4c1tAvUIpr8PHpzvLCGK83c0I%2BG3N76%2B870OsqYRMvOJ%2FBg6jsc2HLJDotFc%3D&amp;fileName=%E9%99%84%E4%BB%B62%EF%BC%9A%E5%BC%BA%E5%88%B6%E6%80%A7%E4%BA%A7%E5%93%81%E8%AE%A4%E8%AF%81%E7%9B%AE%E5%BD%95%E6%8F%8F%E8%BF%B0%E4%B8%8E%E7%95%8C%E5%AE%9A%E8%A1%A8%EF%BC%882023%E5%B9%B4%E4%BF%AE%E8%AE%A2%EF%BC%89.pdf" </w:instrText>
      </w:r>
      <w:r>
        <w:fldChar w:fldCharType="separate"/>
      </w:r>
      <w:r>
        <w:rPr>
          <w:rFonts w:ascii="宋体" w:hAnsi="宋体" w:cs="宋体"/>
          <w:kern w:val="0"/>
          <w:sz w:val="24"/>
        </w:rPr>
        <w:t>强制性产品认证目录描述与界定表（</w:t>
      </w:r>
      <w:r>
        <w:rPr>
          <w:rFonts w:ascii="宋体" w:hAnsi="宋体"/>
          <w:kern w:val="0"/>
          <w:sz w:val="24"/>
        </w:rPr>
        <w:t>2023</w:t>
      </w:r>
      <w:r>
        <w:rPr>
          <w:rFonts w:ascii="宋体" w:hAnsi="宋体" w:cs="宋体"/>
          <w:kern w:val="0"/>
          <w:sz w:val="24"/>
        </w:rPr>
        <w:t>年修订）</w:t>
      </w:r>
      <w:r>
        <w:rPr>
          <w:rFonts w:ascii="宋体" w:hAnsi="宋体" w:cs="宋体"/>
          <w:kern w:val="0"/>
          <w:sz w:val="24"/>
        </w:rPr>
        <w:fldChar w:fldCharType="end"/>
      </w:r>
    </w:p>
    <w:p>
      <w:pPr>
        <w:pStyle w:val="46"/>
        <w:shd w:val="clear" w:color="auto" w:fill="FFFFFF"/>
        <w:spacing w:before="0" w:beforeAutospacing="0" w:after="0" w:afterAutospacing="0" w:line="560" w:lineRule="atLeast"/>
        <w:ind w:left="1678" w:hanging="1040"/>
        <w:rPr>
          <w:rFonts w:hint="eastAsia"/>
        </w:rPr>
      </w:pPr>
    </w:p>
    <w:p>
      <w:pPr>
        <w:pStyle w:val="46"/>
        <w:shd w:val="clear" w:color="auto" w:fill="FFFFFF"/>
        <w:spacing w:before="0" w:beforeAutospacing="0" w:after="0" w:afterAutospacing="0" w:line="560" w:lineRule="atLeast"/>
        <w:ind w:firstLine="640"/>
        <w:jc w:val="both"/>
        <w:rPr>
          <w:rFonts w:hint="eastAsia"/>
        </w:rPr>
      </w:pPr>
      <w:r>
        <w:rPr>
          <w:rStyle w:val="520"/>
          <w:rFonts w:hint="eastAsia"/>
          <w:szCs w:val="32"/>
        </w:rPr>
        <w:t> </w:t>
      </w:r>
    </w:p>
    <w:p>
      <w:pPr>
        <w:pStyle w:val="46"/>
        <w:shd w:val="clear" w:color="auto" w:fill="FFFFFF"/>
        <w:spacing w:before="0" w:beforeAutospacing="0" w:after="0" w:afterAutospacing="0" w:line="560" w:lineRule="atLeast"/>
        <w:ind w:firstLine="5440"/>
        <w:jc w:val="right"/>
        <w:rPr>
          <w:rFonts w:hint="eastAsia"/>
        </w:rPr>
      </w:pPr>
      <w:r>
        <w:rPr>
          <w:rStyle w:val="520"/>
        </w:rPr>
        <w:t>市场监管总局</w:t>
      </w:r>
    </w:p>
    <w:p>
      <w:pPr>
        <w:pStyle w:val="46"/>
        <w:shd w:val="clear" w:color="auto" w:fill="FFFFFF"/>
        <w:spacing w:before="0" w:beforeAutospacing="0" w:after="0" w:afterAutospacing="0" w:line="560" w:lineRule="atLeast"/>
        <w:ind w:firstLine="5440"/>
        <w:jc w:val="right"/>
        <w:rPr>
          <w:rFonts w:hint="eastAsia"/>
        </w:rPr>
      </w:pPr>
      <w:r>
        <w:t>2023年8月10日</w:t>
      </w:r>
    </w:p>
    <w:p>
      <w:pPr>
        <w:pStyle w:val="46"/>
        <w:shd w:val="clear" w:color="auto" w:fill="FFFFFF"/>
        <w:spacing w:before="0" w:beforeAutospacing="0" w:after="0" w:afterAutospacing="0" w:line="594" w:lineRule="atLeast"/>
        <w:rPr>
          <w:rFonts w:hint="eastAsia"/>
        </w:rPr>
      </w:pPr>
      <w:r>
        <w:rPr>
          <w:rStyle w:val="520"/>
          <w:sz w:val="44"/>
          <w:szCs w:val="44"/>
        </w:rPr>
        <w:br w:type="page"/>
      </w:r>
      <w:r>
        <w:rPr>
          <w:rFonts w:hint="eastAsia"/>
          <w:szCs w:val="32"/>
        </w:rPr>
        <w:t>附件</w:t>
      </w:r>
      <w:r>
        <w:rPr>
          <w:szCs w:val="32"/>
        </w:rPr>
        <w:t>1</w:t>
      </w:r>
    </w:p>
    <w:p>
      <w:pPr>
        <w:widowControl/>
        <w:shd w:val="clear" w:color="auto" w:fill="FFFFFF"/>
        <w:spacing w:line="594" w:lineRule="atLeast"/>
        <w:jc w:val="center"/>
        <w:rPr>
          <w:rFonts w:hint="eastAsia" w:ascii="宋体" w:hAnsi="宋体" w:cs="宋体"/>
          <w:kern w:val="0"/>
          <w:sz w:val="24"/>
        </w:rPr>
      </w:pPr>
      <w:r>
        <w:rPr>
          <w:rFonts w:hint="eastAsia" w:ascii="宋体" w:hAnsi="宋体" w:cs="宋体"/>
          <w:kern w:val="0"/>
          <w:sz w:val="44"/>
          <w:szCs w:val="44"/>
        </w:rPr>
        <w:t>强制性产品认证目录</w:t>
      </w:r>
    </w:p>
    <w:tbl>
      <w:tblPr>
        <w:tblStyle w:val="52"/>
        <w:tblW w:w="9498" w:type="dxa"/>
        <w:tblInd w:w="-743" w:type="dxa"/>
        <w:tblLayout w:type="autofit"/>
        <w:tblCellMar>
          <w:top w:w="0" w:type="dxa"/>
          <w:left w:w="0" w:type="dxa"/>
          <w:bottom w:w="0" w:type="dxa"/>
          <w:right w:w="0" w:type="dxa"/>
        </w:tblCellMar>
      </w:tblPr>
      <w:tblGrid>
        <w:gridCol w:w="1560"/>
        <w:gridCol w:w="7938"/>
      </w:tblGrid>
      <w:tr>
        <w:tblPrEx>
          <w:tblCellMar>
            <w:top w:w="0" w:type="dxa"/>
            <w:left w:w="0" w:type="dxa"/>
            <w:bottom w:w="0" w:type="dxa"/>
            <w:right w:w="0" w:type="dxa"/>
          </w:tblCellMar>
        </w:tblPrEx>
        <w:tc>
          <w:tcPr>
            <w:tcW w:w="156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textAlignment w:val="center"/>
              <w:rPr>
                <w:rFonts w:hint="eastAsia" w:ascii="宋体" w:hAnsi="宋体" w:cs="宋体"/>
                <w:kern w:val="0"/>
                <w:sz w:val="24"/>
              </w:rPr>
            </w:pPr>
            <w:r>
              <w:rPr>
                <w:rFonts w:hint="eastAsia" w:ascii="宋体" w:hAnsi="宋体"/>
                <w:kern w:val="0"/>
                <w:sz w:val="23"/>
                <w:szCs w:val="23"/>
              </w:rPr>
              <w:t>产品大类</w:t>
            </w:r>
          </w:p>
        </w:tc>
        <w:tc>
          <w:tcPr>
            <w:tcW w:w="793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center"/>
              <w:textAlignment w:val="center"/>
              <w:rPr>
                <w:rFonts w:hint="eastAsia" w:ascii="宋体" w:hAnsi="宋体" w:cs="宋体"/>
                <w:kern w:val="0"/>
                <w:sz w:val="24"/>
              </w:rPr>
            </w:pPr>
            <w:r>
              <w:rPr>
                <w:rFonts w:hint="eastAsia" w:ascii="宋体" w:hAnsi="宋体"/>
                <w:kern w:val="0"/>
                <w:sz w:val="23"/>
                <w:szCs w:val="23"/>
              </w:rPr>
              <w:t>产品种类及代码</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hint="eastAsia" w:ascii="宋体" w:hAnsi="宋体" w:cs="宋体"/>
                <w:kern w:val="0"/>
                <w:sz w:val="24"/>
              </w:rPr>
            </w:pPr>
            <w:r>
              <w:rPr>
                <w:rFonts w:ascii="宋体" w:hAnsi="宋体"/>
                <w:kern w:val="0"/>
                <w:sz w:val="23"/>
                <w:szCs w:val="23"/>
              </w:rPr>
              <w:t>一、电线电缆（3种）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1.电线组件（0101）</w:t>
            </w:r>
          </w:p>
        </w:tc>
      </w:tr>
      <w:tr>
        <w:tblPrEx>
          <w:tblCellMar>
            <w:top w:w="0" w:type="dxa"/>
            <w:left w:w="0" w:type="dxa"/>
            <w:bottom w:w="0" w:type="dxa"/>
            <w:right w:w="0" w:type="dxa"/>
          </w:tblCellMar>
        </w:tblPrEx>
        <w:trPr>
          <w:trHeight w:val="90"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90" w:lineRule="atLeast"/>
              <w:jc w:val="left"/>
              <w:rPr>
                <w:rFonts w:hint="eastAsia" w:ascii="宋体" w:hAnsi="宋体" w:cs="宋体"/>
                <w:kern w:val="0"/>
                <w:sz w:val="24"/>
              </w:rPr>
            </w:pPr>
            <w:r>
              <w:rPr>
                <w:rFonts w:ascii="宋体" w:hAnsi="宋体"/>
                <w:kern w:val="0"/>
                <w:sz w:val="23"/>
                <w:szCs w:val="23"/>
              </w:rPr>
              <w:t>2.额定电压450/750V及以下橡皮绝缘电线电缆（0104）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3.额定电压450/750V及以下聚氯乙烯绝缘电线电缆（0105）</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hint="eastAsia" w:ascii="宋体" w:hAnsi="宋体" w:cs="宋体"/>
                <w:kern w:val="0"/>
                <w:sz w:val="24"/>
              </w:rPr>
            </w:pPr>
            <w:r>
              <w:rPr>
                <w:rFonts w:ascii="宋体" w:hAnsi="宋体"/>
                <w:kern w:val="0"/>
                <w:sz w:val="23"/>
                <w:szCs w:val="23"/>
              </w:rPr>
              <w:t>二、电路开关及保护或连接用电器装置（5种）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4.插头插座（0201）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5.家用和类似用途固定式电气装置的开关（0202）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6.器具耦合器（0204）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7.家用和类似用途固定式电气装置电器附件外壳（0206）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**8.熔断体（0205、0207）</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hint="eastAsia" w:ascii="宋体" w:hAnsi="宋体" w:cs="宋体"/>
                <w:kern w:val="0"/>
                <w:sz w:val="24"/>
              </w:rPr>
            </w:pPr>
            <w:r>
              <w:rPr>
                <w:rFonts w:ascii="宋体" w:hAnsi="宋体"/>
                <w:kern w:val="0"/>
                <w:sz w:val="23"/>
                <w:szCs w:val="23"/>
              </w:rPr>
              <w:t>三、低压电器（2种）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**9.低压成套开关设备（0301）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**10.低压元器件（0302、0303、0304、0305、0306、0307、0308、0309）</w:t>
            </w:r>
          </w:p>
        </w:tc>
      </w:tr>
      <w:tr>
        <w:tblPrEx>
          <w:tblCellMar>
            <w:top w:w="0" w:type="dxa"/>
            <w:left w:w="0" w:type="dxa"/>
            <w:bottom w:w="0" w:type="dxa"/>
            <w:right w:w="0" w:type="dxa"/>
          </w:tblCellMar>
        </w:tblPrEx>
        <w:tc>
          <w:tcPr>
            <w:tcW w:w="156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hint="eastAsia" w:ascii="宋体" w:hAnsi="宋体" w:cs="宋体"/>
                <w:kern w:val="0"/>
                <w:sz w:val="24"/>
              </w:rPr>
            </w:pPr>
            <w:r>
              <w:rPr>
                <w:rFonts w:ascii="宋体" w:hAnsi="宋体"/>
                <w:kern w:val="0"/>
                <w:sz w:val="23"/>
                <w:szCs w:val="23"/>
              </w:rPr>
              <w:t>四、小功率电动机（1种）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**11.小功率电动机（0401）</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hint="eastAsia" w:ascii="宋体" w:hAnsi="宋体" w:cs="宋体"/>
                <w:kern w:val="0"/>
                <w:sz w:val="24"/>
              </w:rPr>
            </w:pPr>
            <w:r>
              <w:rPr>
                <w:rFonts w:ascii="宋体" w:hAnsi="宋体"/>
                <w:kern w:val="0"/>
                <w:sz w:val="23"/>
                <w:szCs w:val="23"/>
              </w:rPr>
              <w:t>五、电动工具（3种）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*12.电钻（0501）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*13.电动砂轮机（0503）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*14.电锤（0506）</w:t>
            </w:r>
          </w:p>
        </w:tc>
      </w:tr>
      <w:tr>
        <w:tblPrEx>
          <w:tblCellMar>
            <w:top w:w="0" w:type="dxa"/>
            <w:left w:w="0" w:type="dxa"/>
            <w:bottom w:w="0" w:type="dxa"/>
            <w:right w:w="0" w:type="dxa"/>
          </w:tblCellMar>
        </w:tblPrEx>
        <w:trPr>
          <w:trHeight w:val="335" w:hRule="atLeast"/>
        </w:trPr>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hint="eastAsia" w:ascii="宋体" w:hAnsi="宋体" w:cs="宋体"/>
                <w:kern w:val="0"/>
                <w:sz w:val="24"/>
              </w:rPr>
            </w:pPr>
            <w:r>
              <w:rPr>
                <w:rFonts w:ascii="宋体" w:hAnsi="宋体"/>
                <w:kern w:val="0"/>
                <w:sz w:val="23"/>
                <w:szCs w:val="23"/>
              </w:rPr>
              <w:t>六、电焊机（4种）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*15.直流弧焊机（0603）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*16.TIG弧焊机（0604）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*17.MIG/MAG弧焊机（0605）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*18.等离子弧切割机（0607）</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hint="eastAsia" w:ascii="宋体" w:hAnsi="宋体" w:cs="宋体"/>
                <w:kern w:val="0"/>
                <w:sz w:val="24"/>
              </w:rPr>
            </w:pPr>
            <w:r>
              <w:rPr>
                <w:rFonts w:ascii="宋体" w:hAnsi="宋体"/>
                <w:kern w:val="0"/>
                <w:sz w:val="23"/>
                <w:szCs w:val="23"/>
              </w:rPr>
              <w:t>七、家用和类似用途</w:t>
            </w:r>
          </w:p>
          <w:p>
            <w:pPr>
              <w:widowControl/>
              <w:spacing w:line="500" w:lineRule="atLeast"/>
              <w:jc w:val="center"/>
              <w:rPr>
                <w:rFonts w:hint="eastAsia" w:ascii="宋体" w:hAnsi="宋体" w:cs="宋体"/>
                <w:kern w:val="0"/>
                <w:sz w:val="24"/>
              </w:rPr>
            </w:pPr>
            <w:r>
              <w:rPr>
                <w:rFonts w:ascii="宋体" w:hAnsi="宋体"/>
                <w:kern w:val="0"/>
                <w:sz w:val="23"/>
                <w:szCs w:val="23"/>
              </w:rPr>
              <w:t>设备（19种）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19.家用电冰箱和食品冷冻箱（0701）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20.电风扇（0702）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21.空调器（0703）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**22.电动机－压缩机（0704）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23.家用电动洗衣机（0705）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24.电热水器（0706）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25.室内加热器（0707）</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26.真空吸尘器（0708）</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27.皮肤和毛发护理器具（0709）</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28.电熨斗（0710）</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29.电磁灶（0711）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30.电烤箱（便携式烤架、面包片烘烤器及类似烹调器具）（0712）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31.电动食品加工器具（食品加工机（厨房机械））（0713）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32.微波炉（0714）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33.电灶、灶台、烤炉和类似器具（驻立式电烤箱、固定式烤架及类似烹调器具）（0715）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34.吸油烟机（0716）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35.液体加热器和</w:t>
            </w:r>
            <w:bookmarkStart w:id="1053" w:name="OLE_LINK212"/>
            <w:bookmarkStart w:id="1054" w:name="OLE_LINK211"/>
            <w:r>
              <w:rPr>
                <w:rFonts w:ascii="宋体" w:hAnsi="宋体"/>
                <w:kern w:val="0"/>
                <w:sz w:val="23"/>
                <w:szCs w:val="23"/>
              </w:rPr>
              <w:t>冷热饮水机</w:t>
            </w:r>
            <w:bookmarkEnd w:id="1053"/>
            <w:bookmarkEnd w:id="1054"/>
            <w:r>
              <w:rPr>
                <w:rFonts w:ascii="宋体" w:hAnsi="宋体"/>
                <w:kern w:val="0"/>
                <w:sz w:val="23"/>
                <w:szCs w:val="23"/>
              </w:rPr>
              <w:t>（0717）</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36.电饭锅（0718）</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37.电热毯、电热垫及类似柔性发热器具（0719）</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hint="eastAsia" w:ascii="宋体" w:hAnsi="宋体" w:cs="宋体"/>
                <w:kern w:val="0"/>
                <w:sz w:val="24"/>
              </w:rPr>
            </w:pPr>
            <w:r>
              <w:rPr>
                <w:rFonts w:ascii="宋体" w:hAnsi="宋体"/>
                <w:kern w:val="0"/>
                <w:sz w:val="23"/>
                <w:szCs w:val="23"/>
              </w:rPr>
              <w:t>八、电子产品及安全</w:t>
            </w:r>
          </w:p>
          <w:p>
            <w:pPr>
              <w:widowControl/>
              <w:spacing w:line="500" w:lineRule="atLeast"/>
              <w:jc w:val="center"/>
              <w:rPr>
                <w:rFonts w:hint="eastAsia" w:ascii="宋体" w:hAnsi="宋体" w:cs="宋体"/>
                <w:kern w:val="0"/>
                <w:sz w:val="24"/>
              </w:rPr>
            </w:pPr>
            <w:r>
              <w:rPr>
                <w:rFonts w:ascii="宋体" w:hAnsi="宋体"/>
                <w:kern w:val="0"/>
                <w:sz w:val="23"/>
                <w:szCs w:val="23"/>
              </w:rPr>
              <w:t>附件（13种）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38.各种成像方式的彩色电视接收机、电视机顶盒（0808）</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39.微型计算机（0901）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40.便携式计算机（0902）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41.与计算机连用的显示设备（0903）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42.与计算机相连的打印设备（0904）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43.多用途打印复印机（0905）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44.扫描仪（0906）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45.服务器（0911）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46.传真机（1602）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47.移动用户终端（1606）</w:t>
            </w:r>
          </w:p>
        </w:tc>
      </w:tr>
      <w:tr>
        <w:tblPrEx>
          <w:tblCellMar>
            <w:top w:w="0" w:type="dxa"/>
            <w:left w:w="0" w:type="dxa"/>
            <w:bottom w:w="0" w:type="dxa"/>
            <w:right w:w="0" w:type="dxa"/>
          </w:tblCellMar>
        </w:tblPrEx>
        <w:trPr>
          <w:trHeight w:val="192"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192" w:lineRule="atLeast"/>
              <w:jc w:val="left"/>
              <w:rPr>
                <w:rFonts w:hint="eastAsia" w:ascii="宋体" w:hAnsi="宋体" w:cs="宋体"/>
                <w:kern w:val="0"/>
                <w:sz w:val="24"/>
              </w:rPr>
            </w:pPr>
            <w:r>
              <w:rPr>
                <w:rFonts w:ascii="宋体" w:hAnsi="宋体"/>
                <w:kern w:val="0"/>
                <w:sz w:val="23"/>
                <w:szCs w:val="23"/>
              </w:rPr>
              <w:t>48.电源（0807、0907）</w:t>
            </w:r>
          </w:p>
        </w:tc>
      </w:tr>
      <w:tr>
        <w:tblPrEx>
          <w:tblCellMar>
            <w:top w:w="0" w:type="dxa"/>
            <w:left w:w="0" w:type="dxa"/>
            <w:bottom w:w="0" w:type="dxa"/>
            <w:right w:w="0" w:type="dxa"/>
          </w:tblCellMar>
        </w:tblPrEx>
        <w:trPr>
          <w:trHeight w:val="286"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49.移动电源（0914）</w:t>
            </w:r>
          </w:p>
        </w:tc>
      </w:tr>
      <w:tr>
        <w:tblPrEx>
          <w:tblCellMar>
            <w:top w:w="0" w:type="dxa"/>
            <w:left w:w="0" w:type="dxa"/>
            <w:bottom w:w="0" w:type="dxa"/>
            <w:right w:w="0" w:type="dxa"/>
          </w:tblCellMar>
        </w:tblPrEx>
        <w:trPr>
          <w:trHeight w:val="286"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50.锂离子电池和电池组（0915）</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hint="eastAsia" w:ascii="宋体" w:hAnsi="宋体" w:cs="宋体"/>
                <w:kern w:val="0"/>
                <w:sz w:val="24"/>
              </w:rPr>
            </w:pPr>
            <w:r>
              <w:rPr>
                <w:rFonts w:ascii="宋体" w:hAnsi="宋体"/>
                <w:kern w:val="0"/>
                <w:sz w:val="23"/>
                <w:szCs w:val="23"/>
              </w:rPr>
              <w:t>九、照明电器（2种）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51.灯具（1001）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52.镇流器（1002）</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hint="eastAsia" w:ascii="宋体" w:hAnsi="宋体" w:cs="宋体"/>
                <w:kern w:val="0"/>
                <w:sz w:val="24"/>
              </w:rPr>
            </w:pPr>
            <w:r>
              <w:rPr>
                <w:rFonts w:ascii="宋体" w:hAnsi="宋体"/>
                <w:kern w:val="0"/>
                <w:sz w:val="23"/>
                <w:szCs w:val="23"/>
              </w:rPr>
              <w:t>十、车辆及安全附件</w:t>
            </w:r>
          </w:p>
          <w:p>
            <w:pPr>
              <w:widowControl/>
              <w:spacing w:line="500" w:lineRule="atLeast"/>
              <w:jc w:val="center"/>
              <w:rPr>
                <w:rFonts w:hint="eastAsia" w:ascii="宋体" w:hAnsi="宋体" w:cs="宋体"/>
                <w:kern w:val="0"/>
                <w:sz w:val="24"/>
              </w:rPr>
            </w:pPr>
            <w:r>
              <w:rPr>
                <w:rFonts w:ascii="宋体" w:hAnsi="宋体"/>
                <w:kern w:val="0"/>
                <w:sz w:val="23"/>
                <w:szCs w:val="23"/>
              </w:rPr>
              <w:t>（13种）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53.汽车（1101）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54.摩托车（1102）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55.电动自行车（1119）</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56.机动车辆轮胎（1201、1202）</w:t>
            </w:r>
          </w:p>
        </w:tc>
      </w:tr>
      <w:tr>
        <w:tblPrEx>
          <w:tblCellMar>
            <w:top w:w="0" w:type="dxa"/>
            <w:left w:w="0" w:type="dxa"/>
            <w:bottom w:w="0" w:type="dxa"/>
            <w:right w:w="0" w:type="dxa"/>
          </w:tblCellMar>
        </w:tblPrEx>
        <w:trPr>
          <w:trHeight w:val="355"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57.摩托车乘员头盔（1105）</w:t>
            </w:r>
          </w:p>
        </w:tc>
      </w:tr>
      <w:tr>
        <w:tblPrEx>
          <w:tblCellMar>
            <w:top w:w="0" w:type="dxa"/>
            <w:left w:w="0" w:type="dxa"/>
            <w:bottom w:w="0" w:type="dxa"/>
            <w:right w:w="0" w:type="dxa"/>
          </w:tblCellMar>
        </w:tblPrEx>
        <w:trPr>
          <w:trHeight w:val="355"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58.汽车用制动器衬片（1120）</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**59.汽车安全玻璃（1301）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**60.汽车安全带（1104）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**61.机动车外部照明及光信号装置（1109、1116）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**62.机动车辆间接视野装置（1110、1115）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**63.汽车座椅及座椅头枕（1114）</w:t>
            </w:r>
          </w:p>
        </w:tc>
      </w:tr>
      <w:tr>
        <w:tblPrEx>
          <w:tblCellMar>
            <w:top w:w="0" w:type="dxa"/>
            <w:left w:w="0" w:type="dxa"/>
            <w:bottom w:w="0" w:type="dxa"/>
            <w:right w:w="0" w:type="dxa"/>
          </w:tblCellMar>
        </w:tblPrEx>
        <w:trPr>
          <w:trHeight w:val="299"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**64.汽车行驶记录仪（1117）</w:t>
            </w:r>
          </w:p>
        </w:tc>
      </w:tr>
      <w:tr>
        <w:tblPrEx>
          <w:tblCellMar>
            <w:top w:w="0" w:type="dxa"/>
            <w:left w:w="0" w:type="dxa"/>
            <w:bottom w:w="0" w:type="dxa"/>
            <w:right w:w="0" w:type="dxa"/>
          </w:tblCellMar>
        </w:tblPrEx>
        <w:trPr>
          <w:trHeight w:val="297"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**65.车身反光标识（1118）</w:t>
            </w:r>
          </w:p>
        </w:tc>
      </w:tr>
      <w:tr>
        <w:tblPrEx>
          <w:tblCellMar>
            <w:top w:w="0" w:type="dxa"/>
            <w:left w:w="0" w:type="dxa"/>
            <w:bottom w:w="0" w:type="dxa"/>
            <w:right w:w="0" w:type="dxa"/>
          </w:tblCellMar>
        </w:tblPrEx>
        <w:trPr>
          <w:trHeight w:val="414" w:hRule="atLeast"/>
        </w:trPr>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hint="eastAsia" w:ascii="宋体" w:hAnsi="宋体" w:cs="宋体"/>
                <w:kern w:val="0"/>
                <w:sz w:val="24"/>
              </w:rPr>
            </w:pPr>
            <w:r>
              <w:rPr>
                <w:rFonts w:ascii="宋体" w:hAnsi="宋体"/>
                <w:kern w:val="0"/>
                <w:sz w:val="23"/>
                <w:szCs w:val="23"/>
              </w:rPr>
              <w:t>十一、农机产品（2种）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66.植物保护机械（1401）</w:t>
            </w:r>
          </w:p>
        </w:tc>
      </w:tr>
      <w:tr>
        <w:tblPrEx>
          <w:tblCellMar>
            <w:top w:w="0" w:type="dxa"/>
            <w:left w:w="0" w:type="dxa"/>
            <w:bottom w:w="0" w:type="dxa"/>
            <w:right w:w="0" w:type="dxa"/>
          </w:tblCellMar>
        </w:tblPrEx>
        <w:trPr>
          <w:trHeight w:val="428"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67.轮式拖拉机（1402）</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hint="eastAsia" w:ascii="宋体" w:hAnsi="宋体" w:cs="宋体"/>
                <w:kern w:val="0"/>
                <w:sz w:val="24"/>
              </w:rPr>
            </w:pPr>
            <w:r>
              <w:rPr>
                <w:rFonts w:ascii="宋体" w:hAnsi="宋体"/>
                <w:kern w:val="0"/>
                <w:sz w:val="23"/>
                <w:szCs w:val="23"/>
              </w:rPr>
              <w:t>十二、消防产品（3种）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68.火灾报警产品（1801）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69.灭火器（1810）</w:t>
            </w:r>
          </w:p>
        </w:tc>
      </w:tr>
      <w:tr>
        <w:tblPrEx>
          <w:tblCellMar>
            <w:top w:w="0" w:type="dxa"/>
            <w:left w:w="0" w:type="dxa"/>
            <w:bottom w:w="0" w:type="dxa"/>
            <w:right w:w="0" w:type="dxa"/>
          </w:tblCellMar>
        </w:tblPrEx>
        <w:trPr>
          <w:trHeight w:val="90"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90" w:lineRule="atLeast"/>
              <w:jc w:val="left"/>
              <w:rPr>
                <w:rFonts w:hint="eastAsia" w:ascii="宋体" w:hAnsi="宋体" w:cs="宋体"/>
                <w:kern w:val="0"/>
                <w:sz w:val="24"/>
              </w:rPr>
            </w:pPr>
            <w:r>
              <w:rPr>
                <w:rFonts w:ascii="宋体" w:hAnsi="宋体"/>
                <w:kern w:val="0"/>
                <w:sz w:val="23"/>
                <w:szCs w:val="23"/>
              </w:rPr>
              <w:t>70.避难逃生产品（1815）</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hint="eastAsia" w:ascii="宋体" w:hAnsi="宋体" w:cs="宋体"/>
                <w:kern w:val="0"/>
                <w:sz w:val="24"/>
              </w:rPr>
            </w:pPr>
            <w:r>
              <w:rPr>
                <w:rFonts w:ascii="宋体" w:hAnsi="宋体"/>
                <w:kern w:val="0"/>
                <w:sz w:val="23"/>
                <w:szCs w:val="23"/>
              </w:rPr>
              <w:t>十三、建材产品（3种）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71.溶剂型木器涂料（2101）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72.瓷质砖（2102）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73.建筑安全玻璃（1302）</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hint="eastAsia" w:ascii="宋体" w:hAnsi="宋体" w:cs="宋体"/>
                <w:kern w:val="0"/>
                <w:sz w:val="24"/>
              </w:rPr>
            </w:pPr>
            <w:r>
              <w:rPr>
                <w:rFonts w:ascii="宋体" w:hAnsi="宋体"/>
                <w:kern w:val="0"/>
                <w:sz w:val="23"/>
                <w:szCs w:val="23"/>
              </w:rPr>
              <w:t>十四、儿童用品（3种）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74.童车类产品（2201）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75.玩具（2202）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76.机动车儿童乘员用约束系统（2207）</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hint="eastAsia" w:ascii="宋体" w:hAnsi="宋体" w:cs="宋体"/>
                <w:kern w:val="0"/>
                <w:sz w:val="24"/>
              </w:rPr>
            </w:pPr>
            <w:r>
              <w:rPr>
                <w:rFonts w:ascii="宋体" w:hAnsi="宋体"/>
                <w:kern w:val="0"/>
                <w:sz w:val="23"/>
                <w:szCs w:val="23"/>
              </w:rPr>
              <w:t>十五、防爆电气（17种）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77.防爆电机（2301）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78.防爆电泵（2302）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79.防爆配电装置类产品（2303）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80.防爆开关、控制及保护产品（2304）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81.防爆起动器类产品（2305）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82.防爆变压器类产品（2306）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83.防爆电动执行机构、电磁阀类产品（2307）</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84.防爆插接装置（2308）</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85.防爆监控产品（2309）</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86.防爆通讯、信号装置（2310）</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87.防爆空调、通风设备（2311）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88.防爆电加热产品（2312）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89.防爆附件、Ex元件（2313）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90.防爆仪器仪表类产品（2314）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91.防爆传感器（2315）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92.安全栅类产品（2316）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hint="eastAsia" w:ascii="宋体" w:hAnsi="宋体" w:cs="宋体"/>
                <w:kern w:val="0"/>
                <w:sz w:val="24"/>
              </w:rPr>
            </w:pPr>
            <w:r>
              <w:rPr>
                <w:rFonts w:ascii="宋体" w:hAnsi="宋体"/>
                <w:kern w:val="0"/>
                <w:sz w:val="23"/>
                <w:szCs w:val="23"/>
              </w:rPr>
              <w:t>93.防爆仪表箱类产品（2317）</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hint="eastAsia" w:ascii="宋体" w:hAnsi="宋体" w:cs="宋体"/>
                <w:kern w:val="0"/>
                <w:sz w:val="24"/>
              </w:rPr>
            </w:pPr>
            <w:r>
              <w:rPr>
                <w:rFonts w:ascii="宋体" w:hAnsi="宋体"/>
                <w:kern w:val="0"/>
                <w:sz w:val="23"/>
                <w:szCs w:val="23"/>
              </w:rPr>
              <w:t>十六、家用燃气器具</w:t>
            </w:r>
          </w:p>
          <w:p>
            <w:pPr>
              <w:widowControl/>
              <w:spacing w:line="500" w:lineRule="atLeast"/>
              <w:jc w:val="center"/>
              <w:rPr>
                <w:rFonts w:hint="eastAsia" w:ascii="宋体" w:hAnsi="宋体" w:cs="宋体"/>
                <w:kern w:val="0"/>
                <w:sz w:val="24"/>
              </w:rPr>
            </w:pPr>
            <w:r>
              <w:rPr>
                <w:rFonts w:ascii="宋体" w:hAnsi="宋体"/>
                <w:kern w:val="0"/>
                <w:sz w:val="23"/>
                <w:szCs w:val="23"/>
              </w:rPr>
              <w:t>（3种）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left"/>
              <w:rPr>
                <w:rFonts w:hint="eastAsia" w:ascii="宋体" w:hAnsi="宋体" w:cs="宋体"/>
                <w:kern w:val="0"/>
                <w:sz w:val="24"/>
              </w:rPr>
            </w:pPr>
            <w:r>
              <w:rPr>
                <w:rFonts w:ascii="宋体" w:hAnsi="宋体"/>
                <w:kern w:val="0"/>
                <w:sz w:val="23"/>
                <w:szCs w:val="23"/>
              </w:rPr>
              <w:t>94.家用燃气灶具（2401）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left"/>
              <w:rPr>
                <w:rFonts w:hint="eastAsia" w:ascii="宋体" w:hAnsi="宋体" w:cs="宋体"/>
                <w:kern w:val="0"/>
                <w:sz w:val="24"/>
              </w:rPr>
            </w:pPr>
            <w:r>
              <w:rPr>
                <w:rFonts w:ascii="宋体" w:hAnsi="宋体"/>
                <w:kern w:val="0"/>
                <w:sz w:val="23"/>
                <w:szCs w:val="23"/>
              </w:rPr>
              <w:t>95.家用燃气快速热水器（2402）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hint="eastAsia"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left"/>
              <w:rPr>
                <w:rFonts w:hint="eastAsia" w:ascii="宋体" w:hAnsi="宋体" w:cs="宋体"/>
                <w:kern w:val="0"/>
                <w:sz w:val="24"/>
              </w:rPr>
            </w:pPr>
            <w:r>
              <w:rPr>
                <w:rFonts w:ascii="宋体" w:hAnsi="宋体"/>
                <w:kern w:val="0"/>
                <w:sz w:val="23"/>
                <w:szCs w:val="23"/>
              </w:rPr>
              <w:t>96.燃气采暖热水炉（2403）</w:t>
            </w:r>
          </w:p>
        </w:tc>
      </w:tr>
    </w:tbl>
    <w:p>
      <w:pPr>
        <w:widowControl/>
        <w:shd w:val="clear" w:color="auto" w:fill="FFFFFF"/>
        <w:spacing w:line="500" w:lineRule="atLeast"/>
        <w:jc w:val="left"/>
        <w:rPr>
          <w:rFonts w:hint="eastAsia" w:ascii="宋体" w:hAnsi="宋体" w:cs="宋体"/>
          <w:kern w:val="0"/>
          <w:sz w:val="24"/>
        </w:rPr>
      </w:pPr>
      <w:r>
        <w:rPr>
          <w:rFonts w:ascii="宋体" w:hAnsi="宋体"/>
          <w:kern w:val="0"/>
          <w:sz w:val="23"/>
          <w:szCs w:val="23"/>
        </w:rPr>
        <w:t>注：强制性产品认证目录共16大类96种产品，具体范围详见《强制性产品认证目录描述与界定表》。其中标记*的7种产品实施自我声明程序A（自选实验室型式试验+自我声明），标记**的12种产品实施自我声明程序B（指定实验室型式试验+自我声明）。</w:t>
      </w:r>
    </w:p>
    <w:p>
      <w:pPr>
        <w:pStyle w:val="46"/>
        <w:shd w:val="clear" w:color="auto" w:fill="FFFFFF"/>
        <w:spacing w:before="0" w:beforeAutospacing="0" w:after="0" w:afterAutospacing="0" w:line="480" w:lineRule="atLeast"/>
        <w:jc w:val="center"/>
        <w:rPr>
          <w:rFonts w:hint="eastAsia"/>
        </w:rPr>
      </w:pPr>
    </w:p>
    <w:bookmarkEnd w:id="1051"/>
    <w:bookmarkEnd w:id="1052"/>
    <w:p>
      <w:pPr>
        <w:rPr>
          <w:rFonts w:hint="eastAsia" w:ascii="宋体" w:hAnsi="宋体"/>
        </w:rPr>
      </w:pPr>
    </w:p>
    <w:p>
      <w:pPr>
        <w:widowControl/>
        <w:spacing w:line="360" w:lineRule="auto"/>
        <w:jc w:val="right"/>
        <w:rPr>
          <w:rFonts w:hint="eastAsia" w:ascii="宋体" w:hAnsi="宋体" w:cs="宋体"/>
          <w:bCs/>
          <w:sz w:val="24"/>
        </w:rPr>
      </w:pPr>
    </w:p>
    <w:p>
      <w:pPr>
        <w:widowControl/>
        <w:jc w:val="center"/>
        <w:rPr>
          <w:rFonts w:hint="eastAsia" w:ascii="宋体" w:hAnsi="宋体" w:cs="宋体"/>
          <w:bCs/>
          <w:sz w:val="28"/>
          <w:szCs w:val="28"/>
        </w:rPr>
      </w:pPr>
      <w:r>
        <w:rPr>
          <w:rFonts w:ascii="宋体" w:hAnsi="宋体" w:cs="宋体"/>
          <w:bCs/>
          <w:sz w:val="24"/>
        </w:rPr>
        <w:br w:type="page"/>
      </w:r>
      <w:r>
        <w:rPr>
          <w:rFonts w:hint="eastAsia" w:ascii="宋体" w:hAnsi="宋体" w:cs="宋体"/>
          <w:bCs/>
          <w:sz w:val="28"/>
          <w:szCs w:val="28"/>
        </w:rPr>
        <w:t>商品包装政府采购需求标准（试行）</w:t>
      </w:r>
    </w:p>
    <w:p>
      <w:pPr>
        <w:widowControl/>
        <w:spacing w:line="360" w:lineRule="auto"/>
        <w:jc w:val="left"/>
        <w:rPr>
          <w:rFonts w:hint="eastAsia" w:ascii="宋体" w:hAnsi="宋体" w:cs="宋体"/>
          <w:bCs/>
          <w:sz w:val="24"/>
        </w:rPr>
      </w:pPr>
    </w:p>
    <w:p>
      <w:pPr>
        <w:widowControl/>
        <w:spacing w:line="360" w:lineRule="auto"/>
        <w:jc w:val="left"/>
        <w:rPr>
          <w:rFonts w:hint="eastAsia" w:ascii="宋体" w:hAnsi="宋体" w:cs="宋体"/>
          <w:bCs/>
          <w:sz w:val="24"/>
        </w:rPr>
      </w:pPr>
      <w:r>
        <w:rPr>
          <w:rFonts w:hint="eastAsia" w:ascii="宋体" w:hAnsi="宋体" w:cs="宋体"/>
          <w:bCs/>
          <w:sz w:val="24"/>
        </w:rPr>
        <w:t>一、适用范围</w:t>
      </w:r>
    </w:p>
    <w:p>
      <w:pPr>
        <w:widowControl/>
        <w:spacing w:line="360" w:lineRule="auto"/>
        <w:jc w:val="left"/>
        <w:rPr>
          <w:rFonts w:hint="eastAsia" w:ascii="宋体" w:hAnsi="宋体" w:cs="宋体"/>
          <w:bCs/>
          <w:sz w:val="24"/>
        </w:rPr>
      </w:pPr>
      <w:r>
        <w:rPr>
          <w:rFonts w:hint="eastAsia" w:ascii="宋体" w:hAnsi="宋体" w:cs="宋体"/>
          <w:bCs/>
          <w:sz w:val="24"/>
        </w:rPr>
        <w:t>本标准规定了商品使用的塑料、纸质、木质等包装材料的环保要求。</w:t>
      </w:r>
    </w:p>
    <w:p>
      <w:pPr>
        <w:widowControl/>
        <w:spacing w:line="360" w:lineRule="auto"/>
        <w:jc w:val="left"/>
        <w:rPr>
          <w:rFonts w:hint="eastAsia" w:ascii="宋体" w:hAnsi="宋体" w:cs="宋体"/>
          <w:bCs/>
          <w:sz w:val="24"/>
        </w:rPr>
      </w:pPr>
      <w:r>
        <w:rPr>
          <w:rFonts w:hint="eastAsia" w:ascii="宋体" w:hAnsi="宋体" w:cs="宋体"/>
          <w:bCs/>
          <w:sz w:val="24"/>
        </w:rPr>
        <w:t>二、商品包装环保要求</w:t>
      </w:r>
    </w:p>
    <w:p>
      <w:pPr>
        <w:widowControl/>
        <w:spacing w:line="360" w:lineRule="auto"/>
        <w:jc w:val="left"/>
        <w:rPr>
          <w:rFonts w:hint="eastAsia" w:ascii="宋体" w:hAnsi="宋体" w:cs="宋体"/>
          <w:bCs/>
          <w:sz w:val="24"/>
        </w:rPr>
      </w:pPr>
      <w:r>
        <w:rPr>
          <w:rFonts w:hint="eastAsia" w:ascii="宋体" w:hAnsi="宋体" w:cs="宋体"/>
          <w:bCs/>
          <w:sz w:val="24"/>
        </w:rPr>
        <w:t>1.商品包装层数不得超过3层，空隙率不大于40%；</w:t>
      </w:r>
    </w:p>
    <w:p>
      <w:pPr>
        <w:widowControl/>
        <w:spacing w:line="360" w:lineRule="auto"/>
        <w:jc w:val="left"/>
        <w:rPr>
          <w:rFonts w:hint="eastAsia" w:ascii="宋体" w:hAnsi="宋体" w:cs="宋体"/>
          <w:bCs/>
          <w:sz w:val="24"/>
        </w:rPr>
      </w:pPr>
      <w:r>
        <w:rPr>
          <w:rFonts w:hint="eastAsia" w:ascii="宋体" w:hAnsi="宋体" w:cs="宋体"/>
          <w:bCs/>
          <w:sz w:val="24"/>
        </w:rPr>
        <w:t>2商品包装尽可能使用单一材质的包装材料，如因功能 需求必需使用不同材质，不同材质间应便于分离；</w:t>
      </w:r>
    </w:p>
    <w:p>
      <w:pPr>
        <w:widowControl/>
        <w:spacing w:line="360" w:lineRule="auto"/>
        <w:jc w:val="left"/>
        <w:rPr>
          <w:rFonts w:hint="eastAsia" w:ascii="宋体" w:hAnsi="宋体" w:cs="宋体"/>
          <w:bCs/>
          <w:sz w:val="24"/>
        </w:rPr>
      </w:pPr>
      <w:r>
        <w:rPr>
          <w:rFonts w:hint="eastAsia" w:ascii="宋体" w:hAnsi="宋体" w:cs="宋体"/>
          <w:bCs/>
          <w:sz w:val="24"/>
        </w:rPr>
        <w:t>3.商品包装中铅、汞、镉、六价铬的总含量应不大于100mg/kg；</w:t>
      </w:r>
    </w:p>
    <w:p>
      <w:pPr>
        <w:widowControl/>
        <w:spacing w:line="360" w:lineRule="auto"/>
        <w:jc w:val="left"/>
        <w:rPr>
          <w:rFonts w:hint="eastAsia" w:ascii="宋体" w:hAnsi="宋体" w:cs="宋体"/>
          <w:bCs/>
          <w:sz w:val="24"/>
        </w:rPr>
      </w:pPr>
      <w:r>
        <w:rPr>
          <w:rFonts w:hint="eastAsia" w:ascii="宋体" w:hAnsi="宋体" w:cs="宋体"/>
          <w:bCs/>
          <w:sz w:val="24"/>
        </w:rPr>
        <w:t>4.商品包装印刷使用的油墨中挥发性有机化合物(VOCs)含量应不大于5%（以重量计）；</w:t>
      </w:r>
    </w:p>
    <w:p>
      <w:pPr>
        <w:widowControl/>
        <w:spacing w:line="360" w:lineRule="auto"/>
        <w:jc w:val="left"/>
        <w:rPr>
          <w:rFonts w:hint="eastAsia" w:ascii="宋体" w:hAnsi="宋体" w:cs="宋体"/>
          <w:bCs/>
          <w:sz w:val="24"/>
        </w:rPr>
      </w:pPr>
      <w:r>
        <w:rPr>
          <w:rFonts w:hint="eastAsia" w:ascii="宋体" w:hAnsi="宋体" w:cs="宋体"/>
          <w:bCs/>
          <w:sz w:val="24"/>
        </w:rPr>
        <w:t>5.塑料材质商品包装上呈现的印刷颜色不得超过6色；</w:t>
      </w:r>
    </w:p>
    <w:p>
      <w:pPr>
        <w:widowControl/>
        <w:spacing w:line="360" w:lineRule="auto"/>
        <w:jc w:val="left"/>
        <w:rPr>
          <w:rFonts w:hint="eastAsia" w:ascii="宋体" w:hAnsi="宋体" w:cs="宋体"/>
          <w:bCs/>
          <w:sz w:val="24"/>
        </w:rPr>
      </w:pPr>
      <w:r>
        <w:rPr>
          <w:rFonts w:hint="eastAsia" w:ascii="宋体" w:hAnsi="宋体" w:cs="宋体"/>
          <w:bCs/>
          <w:sz w:val="24"/>
        </w:rPr>
        <w:t>6.纸质商品包装应使用75%以上的可再生纤维原料生产；</w:t>
      </w:r>
    </w:p>
    <w:p>
      <w:pPr>
        <w:widowControl/>
        <w:spacing w:line="360" w:lineRule="auto"/>
        <w:jc w:val="left"/>
        <w:rPr>
          <w:rFonts w:hint="eastAsia" w:ascii="宋体" w:hAnsi="宋体" w:cs="宋体"/>
          <w:bCs/>
          <w:sz w:val="24"/>
        </w:rPr>
      </w:pPr>
      <w:r>
        <w:rPr>
          <w:rFonts w:hint="eastAsia" w:ascii="宋体" w:hAnsi="宋体" w:cs="宋体"/>
          <w:bCs/>
          <w:sz w:val="24"/>
        </w:rPr>
        <w:t>7.木质商品包装的原料应来源于可持续性森林。</w:t>
      </w:r>
    </w:p>
    <w:p>
      <w:pPr>
        <w:widowControl/>
        <w:spacing w:line="360" w:lineRule="auto"/>
        <w:jc w:val="left"/>
        <w:rPr>
          <w:rFonts w:hint="eastAsia" w:ascii="宋体" w:hAnsi="宋体" w:cs="宋体"/>
          <w:bCs/>
          <w:sz w:val="24"/>
        </w:rPr>
      </w:pPr>
      <w:r>
        <w:rPr>
          <w:rFonts w:hint="eastAsia" w:ascii="宋体" w:hAnsi="宋体" w:cs="宋体"/>
          <w:bCs/>
          <w:sz w:val="24"/>
        </w:rPr>
        <w:t>三、检测方法</w:t>
      </w:r>
    </w:p>
    <w:p>
      <w:pPr>
        <w:widowControl/>
        <w:spacing w:line="360" w:lineRule="auto"/>
        <w:jc w:val="left"/>
        <w:rPr>
          <w:rFonts w:hint="eastAsia" w:ascii="宋体" w:hAnsi="宋体" w:cs="宋体"/>
          <w:bCs/>
          <w:sz w:val="24"/>
        </w:rPr>
      </w:pPr>
      <w:r>
        <w:rPr>
          <w:rFonts w:hint="eastAsia" w:ascii="宋体" w:hAnsi="宋体" w:cs="宋体"/>
          <w:bCs/>
          <w:sz w:val="24"/>
        </w:rPr>
        <w:t>1.商品包装中重金属（铅、汞、镉、六价铬）总量的检 测按照GB/T 10004-2008《包装用塑料复合膜、袋干法复合、挤出复合》规定的方法进行。</w:t>
      </w:r>
    </w:p>
    <w:p>
      <w:pPr>
        <w:widowControl/>
        <w:spacing w:line="360" w:lineRule="auto"/>
        <w:jc w:val="left"/>
        <w:rPr>
          <w:rFonts w:hint="eastAsia" w:ascii="宋体" w:hAnsi="宋体" w:cs="宋体"/>
          <w:bCs/>
          <w:sz w:val="24"/>
        </w:rPr>
      </w:pPr>
      <w:r>
        <w:rPr>
          <w:rFonts w:hint="eastAsia" w:ascii="宋体" w:hAnsi="宋体" w:cs="宋体"/>
          <w:bCs/>
          <w:sz w:val="24"/>
        </w:rPr>
        <w:t>2.商品包装印刷使用的油墨中挥发性有机化合物(VOCs)的检测按照GB/T 23986-2009《色漆和清漆挥发性有机化合物(VOC)含量的测定气相色谱法》规定的方法进行。</w:t>
      </w:r>
      <w:r>
        <w:rPr>
          <w:rFonts w:ascii="宋体" w:hAnsi="宋体" w:cs="宋体"/>
          <w:bCs/>
          <w:sz w:val="24"/>
        </w:rPr>
        <w:br w:type="page"/>
      </w:r>
    </w:p>
    <w:p>
      <w:pPr>
        <w:widowControl/>
        <w:jc w:val="center"/>
        <w:rPr>
          <w:rFonts w:hint="eastAsia" w:ascii="宋体" w:hAnsi="宋体" w:cs="宋体"/>
          <w:bCs/>
          <w:sz w:val="28"/>
          <w:szCs w:val="28"/>
        </w:rPr>
      </w:pPr>
      <w:r>
        <w:rPr>
          <w:rFonts w:hint="eastAsia" w:ascii="宋体" w:hAnsi="宋体" w:cs="宋体"/>
          <w:bCs/>
          <w:sz w:val="28"/>
          <w:szCs w:val="28"/>
        </w:rPr>
        <w:t>快递包装政府采购需求标准（试行）</w:t>
      </w:r>
    </w:p>
    <w:p>
      <w:pPr>
        <w:widowControl/>
        <w:jc w:val="left"/>
        <w:rPr>
          <w:rFonts w:hint="eastAsia" w:ascii="宋体" w:hAnsi="宋体" w:cs="宋体"/>
          <w:bCs/>
          <w:sz w:val="24"/>
        </w:rPr>
      </w:pPr>
    </w:p>
    <w:p>
      <w:pPr>
        <w:widowControl/>
        <w:spacing w:line="360" w:lineRule="auto"/>
        <w:jc w:val="left"/>
        <w:rPr>
          <w:rFonts w:hint="eastAsia" w:ascii="宋体" w:hAnsi="宋体" w:cs="宋体"/>
          <w:bCs/>
          <w:sz w:val="24"/>
        </w:rPr>
      </w:pPr>
      <w:r>
        <w:rPr>
          <w:rFonts w:hint="eastAsia" w:ascii="宋体" w:hAnsi="宋体" w:cs="宋体"/>
          <w:bCs/>
          <w:sz w:val="24"/>
        </w:rPr>
        <w:t>一、适用范围</w:t>
      </w:r>
    </w:p>
    <w:p>
      <w:pPr>
        <w:widowControl/>
        <w:spacing w:line="360" w:lineRule="auto"/>
        <w:jc w:val="left"/>
        <w:rPr>
          <w:rFonts w:hint="eastAsia" w:ascii="宋体" w:hAnsi="宋体" w:cs="宋体"/>
          <w:bCs/>
          <w:sz w:val="24"/>
        </w:rPr>
      </w:pPr>
      <w:r>
        <w:rPr>
          <w:rFonts w:hint="eastAsia" w:ascii="宋体" w:hAnsi="宋体" w:cs="宋体"/>
          <w:bCs/>
          <w:sz w:val="24"/>
        </w:rPr>
        <w:t>本标准中的快递包装主要指快递封装材料，包括封套、 胶带、面单、包装袋/箱、填充物、集装袋、周转箱等。</w:t>
      </w:r>
    </w:p>
    <w:p>
      <w:pPr>
        <w:widowControl/>
        <w:spacing w:line="360" w:lineRule="auto"/>
        <w:jc w:val="left"/>
        <w:rPr>
          <w:rFonts w:hint="eastAsia" w:ascii="宋体" w:hAnsi="宋体" w:cs="宋体"/>
          <w:bCs/>
          <w:sz w:val="24"/>
        </w:rPr>
      </w:pPr>
      <w:r>
        <w:rPr>
          <w:rFonts w:hint="eastAsia" w:ascii="宋体" w:hAnsi="宋体" w:cs="宋体"/>
          <w:bCs/>
          <w:sz w:val="24"/>
        </w:rPr>
        <w:t>二、快递包装环保要求</w:t>
      </w:r>
    </w:p>
    <w:p>
      <w:pPr>
        <w:widowControl/>
        <w:spacing w:line="360" w:lineRule="auto"/>
        <w:jc w:val="left"/>
        <w:rPr>
          <w:rFonts w:hint="eastAsia" w:ascii="宋体" w:hAnsi="宋体" w:cs="宋体"/>
          <w:bCs/>
          <w:sz w:val="24"/>
        </w:rPr>
      </w:pPr>
      <w:r>
        <w:rPr>
          <w:rFonts w:hint="eastAsia" w:ascii="宋体" w:hAnsi="宋体" w:cs="宋体"/>
          <w:bCs/>
          <w:sz w:val="24"/>
        </w:rPr>
        <w:t>1.快递包装中重金属（铅、汞、镉、六价铬）总量应不大于100mg/kg；</w:t>
      </w:r>
    </w:p>
    <w:p>
      <w:pPr>
        <w:widowControl/>
        <w:spacing w:line="360" w:lineRule="auto"/>
        <w:jc w:val="left"/>
        <w:rPr>
          <w:rFonts w:hint="eastAsia" w:ascii="宋体" w:hAnsi="宋体" w:cs="宋体"/>
          <w:bCs/>
          <w:sz w:val="24"/>
        </w:rPr>
      </w:pPr>
      <w:r>
        <w:rPr>
          <w:rFonts w:hint="eastAsia" w:ascii="宋体" w:hAnsi="宋体" w:cs="宋体"/>
          <w:bCs/>
          <w:sz w:val="24"/>
        </w:rPr>
        <w:t>2.快递包装印刷使用的油墨中不应添加邻苯二甲酸酯，其挥发性有机化合物(VOCs)含量应不大于5%（以重量计）；</w:t>
      </w:r>
    </w:p>
    <w:p>
      <w:pPr>
        <w:widowControl/>
        <w:spacing w:line="360" w:lineRule="auto"/>
        <w:jc w:val="left"/>
        <w:rPr>
          <w:rFonts w:hint="eastAsia" w:ascii="宋体" w:hAnsi="宋体" w:cs="宋体"/>
          <w:bCs/>
          <w:sz w:val="24"/>
        </w:rPr>
      </w:pPr>
      <w:r>
        <w:rPr>
          <w:rFonts w:hint="eastAsia" w:ascii="宋体" w:hAnsi="宋体" w:cs="宋体"/>
          <w:bCs/>
          <w:sz w:val="24"/>
        </w:rPr>
        <w:t>3.快递包装中使用纸基材的包装材料，纸基材中的有机氯的含量应不大于150mg/kg；</w:t>
      </w:r>
    </w:p>
    <w:p>
      <w:pPr>
        <w:widowControl/>
        <w:spacing w:line="360" w:lineRule="auto"/>
        <w:jc w:val="left"/>
        <w:rPr>
          <w:rFonts w:hint="eastAsia" w:ascii="宋体" w:hAnsi="宋体" w:cs="宋体"/>
          <w:bCs/>
          <w:sz w:val="24"/>
        </w:rPr>
      </w:pPr>
      <w:r>
        <w:rPr>
          <w:rFonts w:hint="eastAsia" w:ascii="宋体" w:hAnsi="宋体" w:cs="宋体"/>
          <w:bCs/>
          <w:sz w:val="24"/>
        </w:rPr>
        <w:t>4.快递包装中使用塑料基材的包装材料不得使用邻苯二甲酸二异壬酯、邻苯二甲酸二正辛酯、邻苯二甲酸二(2-乙基)己酯、邻苯二甲酸二异癸酯、邻苯二甲酸丁基苄基酯、邻苯二甲酸二丁酯等作为增塑剂；</w:t>
      </w:r>
    </w:p>
    <w:p>
      <w:pPr>
        <w:widowControl/>
        <w:spacing w:line="360" w:lineRule="auto"/>
        <w:jc w:val="left"/>
        <w:rPr>
          <w:rFonts w:hint="eastAsia" w:ascii="宋体" w:hAnsi="宋体" w:cs="宋体"/>
          <w:bCs/>
          <w:sz w:val="24"/>
        </w:rPr>
      </w:pPr>
      <w:r>
        <w:rPr>
          <w:rFonts w:hint="eastAsia" w:ascii="宋体" w:hAnsi="宋体" w:cs="宋体"/>
          <w:bCs/>
          <w:sz w:val="24"/>
        </w:rPr>
        <w:t>5.快递中使用的塑料包装袋不得使用聚氯乙烯作为原料，且原料应为单一材质制成，生物分解率大于60%；</w:t>
      </w:r>
    </w:p>
    <w:p>
      <w:pPr>
        <w:widowControl/>
        <w:spacing w:line="360" w:lineRule="auto"/>
        <w:jc w:val="left"/>
        <w:rPr>
          <w:rFonts w:hint="eastAsia" w:ascii="宋体" w:hAnsi="宋体" w:cs="宋体"/>
          <w:bCs/>
          <w:sz w:val="24"/>
        </w:rPr>
      </w:pPr>
      <w:r>
        <w:rPr>
          <w:rFonts w:hint="eastAsia" w:ascii="宋体" w:hAnsi="宋体" w:cs="宋体"/>
          <w:bCs/>
          <w:sz w:val="24"/>
        </w:rPr>
        <w:t>6.快递中使用的充气类填充物不得使用聚氯乙烯作为原料，且原料为单一材质制成，生物分解率大于60%；</w:t>
      </w:r>
    </w:p>
    <w:p>
      <w:pPr>
        <w:widowControl/>
        <w:spacing w:line="360" w:lineRule="auto"/>
        <w:jc w:val="left"/>
        <w:rPr>
          <w:rFonts w:hint="eastAsia" w:ascii="宋体" w:hAnsi="宋体" w:cs="宋体"/>
          <w:bCs/>
          <w:sz w:val="24"/>
        </w:rPr>
      </w:pPr>
      <w:r>
        <w:rPr>
          <w:rFonts w:hint="eastAsia" w:ascii="宋体" w:hAnsi="宋体" w:cs="宋体"/>
          <w:bCs/>
          <w:sz w:val="24"/>
        </w:rPr>
        <w:t>7.快递中使用的集装袋应为单一材质制成，其重复使用次数应不小于80次；</w:t>
      </w:r>
    </w:p>
    <w:p>
      <w:pPr>
        <w:widowControl/>
        <w:spacing w:line="360" w:lineRule="auto"/>
        <w:jc w:val="left"/>
        <w:rPr>
          <w:rFonts w:hint="eastAsia" w:ascii="宋体" w:hAnsi="宋体" w:cs="宋体"/>
          <w:bCs/>
          <w:sz w:val="24"/>
        </w:rPr>
      </w:pPr>
      <w:r>
        <w:rPr>
          <w:rFonts w:hint="eastAsia" w:ascii="宋体" w:hAnsi="宋体" w:cs="宋体"/>
          <w:bCs/>
          <w:sz w:val="24"/>
        </w:rPr>
        <w:t>8.快递中应使用幅宽不大于45mm的生物降解胶带；</w:t>
      </w:r>
    </w:p>
    <w:p>
      <w:pPr>
        <w:widowControl/>
        <w:spacing w:line="360" w:lineRule="auto"/>
        <w:jc w:val="left"/>
        <w:rPr>
          <w:rFonts w:hint="eastAsia" w:ascii="宋体" w:hAnsi="宋体" w:cs="宋体"/>
          <w:bCs/>
          <w:sz w:val="24"/>
        </w:rPr>
      </w:pPr>
      <w:r>
        <w:rPr>
          <w:rFonts w:hint="eastAsia" w:ascii="宋体" w:hAnsi="宋体" w:cs="宋体"/>
          <w:bCs/>
          <w:sz w:val="24"/>
        </w:rPr>
        <w:t>9.快递包装中不得使用溶剂型胶粘剂；</w:t>
      </w:r>
    </w:p>
    <w:p>
      <w:pPr>
        <w:widowControl/>
        <w:spacing w:line="360" w:lineRule="auto"/>
        <w:jc w:val="left"/>
        <w:rPr>
          <w:rFonts w:hint="eastAsia" w:ascii="宋体" w:hAnsi="宋体" w:cs="宋体"/>
          <w:bCs/>
          <w:sz w:val="24"/>
        </w:rPr>
      </w:pPr>
      <w:r>
        <w:rPr>
          <w:rFonts w:hint="eastAsia" w:ascii="宋体" w:hAnsi="宋体" w:cs="宋体"/>
          <w:bCs/>
          <w:sz w:val="24"/>
        </w:rPr>
        <w:t>10.快递应使用电子面单；</w:t>
      </w:r>
    </w:p>
    <w:p>
      <w:pPr>
        <w:widowControl/>
        <w:spacing w:line="360" w:lineRule="auto"/>
        <w:jc w:val="left"/>
        <w:rPr>
          <w:rFonts w:hint="eastAsia" w:ascii="宋体" w:hAnsi="宋体" w:cs="宋体"/>
          <w:bCs/>
          <w:sz w:val="24"/>
        </w:rPr>
      </w:pPr>
      <w:r>
        <w:rPr>
          <w:rFonts w:hint="eastAsia" w:ascii="宋体" w:hAnsi="宋体" w:cs="宋体"/>
          <w:bCs/>
          <w:sz w:val="24"/>
        </w:rPr>
        <w:t>11.直接使用商品包装作为快递包装的商品，其商品包装满足《商品包装政府采购需求标准（试行）》即可；</w:t>
      </w:r>
    </w:p>
    <w:p>
      <w:pPr>
        <w:widowControl/>
        <w:spacing w:line="360" w:lineRule="auto"/>
        <w:jc w:val="left"/>
        <w:rPr>
          <w:rFonts w:hint="eastAsia" w:ascii="宋体" w:hAnsi="宋体" w:cs="宋体"/>
          <w:bCs/>
          <w:sz w:val="24"/>
        </w:rPr>
      </w:pPr>
      <w:r>
        <w:rPr>
          <w:rFonts w:hint="eastAsia" w:ascii="宋体" w:hAnsi="宋体" w:cs="宋体"/>
          <w:bCs/>
          <w:sz w:val="24"/>
        </w:rPr>
        <w:t>12.快递包装产品质量和封装方式应符合相关国家或行 业标准技术指标要求。</w:t>
      </w:r>
    </w:p>
    <w:p>
      <w:pPr>
        <w:widowControl/>
        <w:spacing w:line="360" w:lineRule="auto"/>
        <w:jc w:val="left"/>
        <w:rPr>
          <w:rFonts w:hint="eastAsia" w:ascii="宋体" w:hAnsi="宋体" w:cs="宋体"/>
          <w:bCs/>
          <w:sz w:val="24"/>
        </w:rPr>
      </w:pPr>
      <w:r>
        <w:rPr>
          <w:rFonts w:hint="eastAsia" w:ascii="宋体" w:hAnsi="宋体" w:cs="宋体"/>
          <w:bCs/>
          <w:sz w:val="24"/>
        </w:rPr>
        <w:t>三、检测方法</w:t>
      </w:r>
    </w:p>
    <w:p>
      <w:pPr>
        <w:widowControl/>
        <w:spacing w:line="360" w:lineRule="auto"/>
        <w:jc w:val="left"/>
        <w:rPr>
          <w:rFonts w:hint="eastAsia" w:ascii="宋体" w:hAnsi="宋体" w:cs="宋体"/>
          <w:bCs/>
          <w:sz w:val="24"/>
        </w:rPr>
      </w:pPr>
      <w:r>
        <w:rPr>
          <w:rFonts w:hint="eastAsia" w:ascii="宋体" w:hAnsi="宋体" w:cs="宋体"/>
          <w:bCs/>
          <w:sz w:val="24"/>
        </w:rPr>
        <w:t>1.快递包装中重金属（铅、汞、镉、六价铬）总量的检测按照GB/T 10004-2008《包装用塑料复合膜、袋干法复合、挤出复合》规定的方法进行。</w:t>
      </w:r>
    </w:p>
    <w:p>
      <w:pPr>
        <w:widowControl/>
        <w:spacing w:line="360" w:lineRule="auto"/>
        <w:jc w:val="left"/>
        <w:rPr>
          <w:rFonts w:hint="eastAsia" w:ascii="宋体" w:hAnsi="宋体" w:cs="宋体"/>
          <w:bCs/>
          <w:sz w:val="24"/>
        </w:rPr>
      </w:pPr>
      <w:r>
        <w:rPr>
          <w:rFonts w:hint="eastAsia" w:ascii="宋体" w:hAnsi="宋体" w:cs="宋体"/>
          <w:bCs/>
          <w:sz w:val="24"/>
        </w:rPr>
        <w:t>2.快递包装印刷使用的油墨中挥发性有机化合物(VOCs) 的检测按照GB/T 23986-2009《色漆和清漆挥发性有机化合物(VOC)含量的测定气相色谱法》规定的方法进行。</w:t>
      </w:r>
    </w:p>
    <w:p>
      <w:pPr>
        <w:widowControl/>
        <w:spacing w:line="360" w:lineRule="auto"/>
        <w:jc w:val="left"/>
        <w:rPr>
          <w:rFonts w:hint="eastAsia" w:ascii="宋体" w:hAnsi="宋体" w:cs="宋体"/>
          <w:bCs/>
          <w:sz w:val="24"/>
        </w:rPr>
      </w:pPr>
      <w:r>
        <w:rPr>
          <w:rFonts w:hint="eastAsia" w:ascii="宋体" w:hAnsi="宋体" w:cs="宋体"/>
          <w:bCs/>
          <w:sz w:val="24"/>
        </w:rPr>
        <w:t>3.快递包装所使用的塑料包装的生物降解率的检测按照GB/T 20197-2006《降解塑料的定义、分类、标识和降解性能要求》规定的方法进行。</w:t>
      </w:r>
    </w:p>
    <w:p>
      <w:pPr>
        <w:widowControl/>
        <w:spacing w:line="360" w:lineRule="auto"/>
        <w:jc w:val="left"/>
        <w:rPr>
          <w:rFonts w:hint="eastAsia" w:ascii="宋体" w:hAnsi="宋体" w:cs="宋体"/>
          <w:bCs/>
          <w:sz w:val="24"/>
        </w:rPr>
      </w:pPr>
      <w:r>
        <w:rPr>
          <w:rFonts w:hint="eastAsia" w:ascii="宋体" w:hAnsi="宋体" w:cs="宋体"/>
          <w:bCs/>
          <w:sz w:val="24"/>
        </w:rPr>
        <w:t>4.快递包装使用纸基材的包装材料中有机氯的检测按照GB/T 22904-2008《纸浆、纸和纸板总氯和有机氯的检定》规定的方法进行。</w:t>
      </w:r>
    </w:p>
    <w:p>
      <w:pPr>
        <w:widowControl/>
        <w:spacing w:line="360" w:lineRule="auto"/>
        <w:jc w:val="left"/>
        <w:rPr>
          <w:rFonts w:hint="eastAsia" w:ascii="宋体" w:hAnsi="宋体" w:cs="宋体"/>
          <w:b/>
          <w:bCs/>
          <w:kern w:val="44"/>
          <w:sz w:val="24"/>
        </w:rPr>
      </w:pPr>
      <w:r>
        <w:rPr>
          <w:rFonts w:hint="eastAsia" w:ascii="宋体" w:hAnsi="宋体" w:cs="宋体"/>
          <w:bCs/>
          <w:sz w:val="24"/>
        </w:rPr>
        <w:t>5.快递包装中使用的生物降解胶带的生物降解率的检测按照GB/T19277.1《受控堆肥条件下材料最终需氧生物分解能力的测定采用测定释放的二氧化碳的方法 第 1 部分： 通用方法》规定的方法进行。</w:t>
      </w:r>
    </w:p>
    <w:p>
      <w:pPr>
        <w:widowControl/>
        <w:jc w:val="left"/>
        <w:rPr>
          <w:rFonts w:hint="eastAsia" w:ascii="宋体" w:hAnsi="宋体" w:cs="仿宋_GB2312"/>
          <w:b/>
          <w:bCs/>
          <w:color w:val="000000" w:themeColor="text1"/>
          <w:kern w:val="0"/>
          <w:sz w:val="24"/>
          <w:szCs w:val="20"/>
          <w:u w:val="single"/>
          <w14:textFill>
            <w14:solidFill>
              <w14:schemeClr w14:val="tx1"/>
            </w14:solidFill>
          </w14:textFill>
        </w:rPr>
      </w:pPr>
    </w:p>
    <w:sectPr>
      <w:pgSz w:w="11907" w:h="16840"/>
      <w:pgMar w:top="1440" w:right="1800" w:bottom="1440" w:left="1800" w:header="851" w:footer="851" w:gutter="0"/>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A0A75FE-CA92-44A9-8A04-736065738AF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6C9FBC76-A141-4CBE-A5B0-C74344DB542D}"/>
  </w:font>
  <w:font w:name="Arial Narrow">
    <w:panose1 w:val="020B0606020202030204"/>
    <w:charset w:val="00"/>
    <w:family w:val="swiss"/>
    <w:pitch w:val="default"/>
    <w:sig w:usb0="00000287" w:usb1="00000800" w:usb2="00000000" w:usb3="00000000" w:csb0="2000009F" w:csb1="DFD7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embedRegular r:id="rId3" w:fontKey="{EF984B71-674E-4DA3-A440-5DF75C1855A4}"/>
  </w:font>
  <w:font w:name="Cambria">
    <w:panose1 w:val="02040503050406030204"/>
    <w:charset w:val="00"/>
    <w:family w:val="roman"/>
    <w:pitch w:val="default"/>
    <w:sig w:usb0="E00006FF" w:usb1="420024FF" w:usb2="02000000" w:usb3="00000000" w:csb0="2000019F" w:csb1="00000000"/>
  </w:font>
  <w:font w:name="ˎ̥">
    <w:altName w:val="宋体"/>
    <w:panose1 w:val="00000000000000000000"/>
    <w:charset w:val="00"/>
    <w:family w:val="roman"/>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Century Gothic">
    <w:panose1 w:val="020B0502020202020204"/>
    <w:charset w:val="00"/>
    <w:family w:val="swiss"/>
    <w:pitch w:val="default"/>
    <w:sig w:usb0="00000287"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MS Sans Serif">
    <w:altName w:val="DejaVu Math TeX Gyre"/>
    <w:panose1 w:val="00000000000000000000"/>
    <w:charset w:val="00"/>
    <w:family w:val="swiss"/>
    <w:pitch w:val="default"/>
    <w:sig w:usb0="00000000" w:usb1="00000000" w:usb2="00000000" w:usb3="00000000" w:csb0="00000001" w:csb1="00000000"/>
  </w:font>
  <w:font w:name="font-weight : 400">
    <w:altName w:val="宋体"/>
    <w:panose1 w:val="00000000000000000000"/>
    <w:charset w:val="00"/>
    <w:family w:val="auto"/>
    <w:pitch w:val="default"/>
    <w:sig w:usb0="00000000" w:usb1="00000000" w:usb2="00000000" w:usb3="00000000" w:csb0="00040001" w:csb1="00000000"/>
  </w:font>
  <w:font w:name="ArialMT">
    <w:altName w:val="Times New Roman"/>
    <w:panose1 w:val="00000000000000000000"/>
    <w:charset w:val="00"/>
    <w:family w:val="auto"/>
    <w:pitch w:val="default"/>
    <w:sig w:usb0="00000000" w:usb1="00000000" w:usb2="00000001" w:usb3="00000000" w:csb0="400001BF" w:csb1="DFF70000"/>
  </w:font>
  <w:font w:name="Candara">
    <w:panose1 w:val="020E0502030303020204"/>
    <w:charset w:val="00"/>
    <w:family w:val="swiss"/>
    <w:pitch w:val="default"/>
    <w:sig w:usb0="A00002EF" w:usb1="4000A44B" w:usb2="00000000" w:usb3="00000000" w:csb0="2000019F" w:csb1="00000000"/>
  </w:font>
  <w:font w:name="Arial-BoldMT">
    <w:altName w:val="Segoe Print"/>
    <w:panose1 w:val="00000000000000000000"/>
    <w:charset w:val="00"/>
    <w:family w:val="auto"/>
    <w:pitch w:val="default"/>
    <w:sig w:usb0="00000000" w:usb1="00000000" w:usb2="00000001" w:usb3="00000000" w:csb0="400001BF" w:csb1="DFF70000"/>
  </w:font>
  <w:font w:name="华文楷体">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embedRegular r:id="rId4" w:fontKey="{6A88DF29-A597-4C7E-BCFA-BC5A25F49558}"/>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DejaVu Math TeX Gyre">
    <w:panose1 w:val="02000503000000000000"/>
    <w:charset w:val="00"/>
    <w:family w:val="auto"/>
    <w:pitch w:val="default"/>
    <w:sig w:usb0="A10000EF" w:usb1="4201F9EE" w:usb2="02000000" w:usb3="00000000" w:csb0="60000193" w:csb1="0DD4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framePr w:wrap="around" w:vAnchor="text" w:hAnchor="margin" w:xAlign="right" w:y="1"/>
      <w:rPr>
        <w:rStyle w:val="57"/>
      </w:rPr>
    </w:pPr>
    <w:r>
      <w:rPr>
        <w:rStyle w:val="57"/>
      </w:rPr>
      <w:fldChar w:fldCharType="begin"/>
    </w:r>
    <w:r>
      <w:rPr>
        <w:rStyle w:val="57"/>
      </w:rPr>
      <w:instrText xml:space="preserve">PAGE  </w:instrText>
    </w:r>
    <w:r>
      <w:rPr>
        <w:rStyle w:val="57"/>
      </w:rPr>
      <w:fldChar w:fldCharType="end"/>
    </w:r>
  </w:p>
  <w:p>
    <w:pPr>
      <w:pStyle w:val="33"/>
      <w:ind w:right="360"/>
    </w:pPr>
  </w:p>
  <w:p/>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14565179"/>
    </w:sdtPr>
    <w:sdtContent>
      <w:p>
        <w:pPr>
          <w:pStyle w:val="33"/>
          <w:jc w:val="center"/>
        </w:pPr>
        <w:r>
          <w:fldChar w:fldCharType="begin"/>
        </w:r>
        <w:r>
          <w:instrText xml:space="preserve">PAGE   \* MERGEFORMAT</w:instrText>
        </w:r>
        <w:r>
          <w:fldChar w:fldCharType="separate"/>
        </w:r>
        <w:r>
          <w:rPr>
            <w:lang w:val="zh-CN"/>
          </w:rPr>
          <w:t>1</w:t>
        </w:r>
        <w:r>
          <w:fldChar w:fldCharType="end"/>
        </w:r>
      </w:p>
    </w:sdtContent>
  </w:sdt>
  <w:p>
    <w:pPr>
      <w:pStyle w:val="33"/>
      <w:jc w:val="both"/>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2751890"/>
    </w:sdtPr>
    <w:sdtContent>
      <w:p>
        <w:pPr>
          <w:pStyle w:val="33"/>
          <w:jc w:val="center"/>
        </w:pPr>
        <w:r>
          <w:fldChar w:fldCharType="begin"/>
        </w:r>
        <w:r>
          <w:instrText xml:space="preserve">PAGE   \* MERGEFORMAT</w:instrText>
        </w:r>
        <w:r>
          <w:fldChar w:fldCharType="separate"/>
        </w:r>
        <w:r>
          <w:rPr>
            <w:lang w:val="zh-CN"/>
          </w:rPr>
          <w:t>46</w:t>
        </w:r>
        <w:r>
          <w:fldChar w:fldCharType="end"/>
        </w:r>
      </w:p>
    </w:sdtContent>
  </w:sdt>
  <w:p>
    <w:pPr>
      <w:pStyle w:val="33"/>
      <w:jc w:val="both"/>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Bdr>
        <w:bottom w:val="none" w:color="auto" w:sz="0" w:space="1"/>
      </w:pBdr>
      <w:jc w:val="left"/>
    </w:pP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Pr>
  </w:p>
  <w:p/>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CFD288"/>
    <w:multiLevelType w:val="singleLevel"/>
    <w:tmpl w:val="B3CFD288"/>
    <w:lvl w:ilvl="0" w:tentative="0">
      <w:start w:val="2"/>
      <w:numFmt w:val="decimal"/>
      <w:suff w:val="nothing"/>
      <w:lvlText w:val="%1．"/>
      <w:lvlJc w:val="left"/>
    </w:lvl>
  </w:abstractNum>
  <w:abstractNum w:abstractNumId="1">
    <w:nsid w:val="00000004"/>
    <w:multiLevelType w:val="multilevel"/>
    <w:tmpl w:val="00000004"/>
    <w:lvl w:ilvl="0" w:tentative="0">
      <w:start w:val="1"/>
      <w:numFmt w:val="japaneseCounting"/>
      <w:lvlText w:val="第%1章"/>
      <w:lvlJc w:val="left"/>
      <w:pPr>
        <w:tabs>
          <w:tab w:val="left" w:pos="4941"/>
        </w:tabs>
        <w:ind w:left="4941" w:hanging="1140"/>
      </w:pPr>
      <w:rPr>
        <w:rFonts w:hint="eastAsia"/>
      </w:rPr>
    </w:lvl>
    <w:lvl w:ilvl="1" w:tentative="0">
      <w:start w:val="1"/>
      <w:numFmt w:val="lowerLetter"/>
      <w:lvlText w:val="%2)"/>
      <w:lvlJc w:val="left"/>
      <w:pPr>
        <w:tabs>
          <w:tab w:val="left" w:pos="4641"/>
        </w:tabs>
        <w:ind w:left="4641" w:hanging="420"/>
      </w:pPr>
    </w:lvl>
    <w:lvl w:ilvl="2" w:tentative="0">
      <w:start w:val="1"/>
      <w:numFmt w:val="lowerRoman"/>
      <w:lvlText w:val="%3."/>
      <w:lvlJc w:val="right"/>
      <w:pPr>
        <w:tabs>
          <w:tab w:val="left" w:pos="5061"/>
        </w:tabs>
        <w:ind w:left="5061" w:hanging="420"/>
      </w:pPr>
    </w:lvl>
    <w:lvl w:ilvl="3" w:tentative="0">
      <w:start w:val="1"/>
      <w:numFmt w:val="decimal"/>
      <w:lvlText w:val="%4."/>
      <w:lvlJc w:val="left"/>
      <w:pPr>
        <w:tabs>
          <w:tab w:val="left" w:pos="5481"/>
        </w:tabs>
        <w:ind w:left="5481" w:hanging="420"/>
      </w:pPr>
    </w:lvl>
    <w:lvl w:ilvl="4" w:tentative="0">
      <w:start w:val="1"/>
      <w:numFmt w:val="lowerLetter"/>
      <w:lvlText w:val="%5)"/>
      <w:lvlJc w:val="left"/>
      <w:pPr>
        <w:tabs>
          <w:tab w:val="left" w:pos="5901"/>
        </w:tabs>
        <w:ind w:left="5901" w:hanging="420"/>
      </w:pPr>
    </w:lvl>
    <w:lvl w:ilvl="5" w:tentative="0">
      <w:start w:val="1"/>
      <w:numFmt w:val="lowerRoman"/>
      <w:lvlText w:val="%6."/>
      <w:lvlJc w:val="right"/>
      <w:pPr>
        <w:tabs>
          <w:tab w:val="left" w:pos="6321"/>
        </w:tabs>
        <w:ind w:left="6321" w:hanging="420"/>
      </w:pPr>
    </w:lvl>
    <w:lvl w:ilvl="6" w:tentative="0">
      <w:start w:val="1"/>
      <w:numFmt w:val="decimal"/>
      <w:lvlText w:val="%7."/>
      <w:lvlJc w:val="left"/>
      <w:pPr>
        <w:tabs>
          <w:tab w:val="left" w:pos="6741"/>
        </w:tabs>
        <w:ind w:left="6741" w:hanging="420"/>
      </w:pPr>
    </w:lvl>
    <w:lvl w:ilvl="7" w:tentative="0">
      <w:start w:val="1"/>
      <w:numFmt w:val="lowerLetter"/>
      <w:lvlText w:val="%8)"/>
      <w:lvlJc w:val="left"/>
      <w:pPr>
        <w:tabs>
          <w:tab w:val="left" w:pos="7161"/>
        </w:tabs>
        <w:ind w:left="7161" w:hanging="420"/>
      </w:pPr>
    </w:lvl>
    <w:lvl w:ilvl="8" w:tentative="0">
      <w:start w:val="1"/>
      <w:numFmt w:val="lowerRoman"/>
      <w:lvlText w:val="%9."/>
      <w:lvlJc w:val="right"/>
      <w:pPr>
        <w:tabs>
          <w:tab w:val="left" w:pos="7581"/>
        </w:tabs>
        <w:ind w:left="7581" w:hanging="420"/>
      </w:pPr>
    </w:lvl>
  </w:abstractNum>
  <w:abstractNum w:abstractNumId="2">
    <w:nsid w:val="0000000A"/>
    <w:multiLevelType w:val="multilevel"/>
    <w:tmpl w:val="0000000A"/>
    <w:lvl w:ilvl="0" w:tentative="0">
      <w:start w:val="1"/>
      <w:numFmt w:val="decimal"/>
      <w:pStyle w:val="121"/>
      <w:lvlText w:val="%1."/>
      <w:lvlJc w:val="left"/>
      <w:pPr>
        <w:ind w:left="420" w:hanging="420"/>
      </w:pPr>
    </w:lvl>
    <w:lvl w:ilvl="1" w:tentative="0">
      <w:start w:val="1"/>
      <w:numFmt w:val="decimal"/>
      <w:lvlText w:val="（%2）"/>
      <w:lvlJc w:val="left"/>
      <w:pPr>
        <w:tabs>
          <w:tab w:val="left" w:pos="1140"/>
        </w:tabs>
        <w:ind w:left="1140" w:hanging="7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0D"/>
    <w:multiLevelType w:val="multilevel"/>
    <w:tmpl w:val="0000000D"/>
    <w:lvl w:ilvl="0" w:tentative="0">
      <w:start w:val="1"/>
      <w:numFmt w:val="lowerLetter"/>
      <w:pStyle w:val="196"/>
      <w:lvlText w:val="%1)"/>
      <w:lvlJc w:val="left"/>
      <w:pPr>
        <w:ind w:left="902" w:hanging="420"/>
      </w:pPr>
      <w:rPr>
        <w:color w:val="auto"/>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4">
    <w:nsid w:val="00000013"/>
    <w:multiLevelType w:val="singleLevel"/>
    <w:tmpl w:val="00000013"/>
    <w:lvl w:ilvl="0" w:tentative="0">
      <w:start w:val="1"/>
      <w:numFmt w:val="decimal"/>
      <w:pStyle w:val="166"/>
      <w:lvlText w:val="%1."/>
      <w:lvlJc w:val="left"/>
      <w:pPr>
        <w:tabs>
          <w:tab w:val="left" w:pos="360"/>
        </w:tabs>
        <w:ind w:left="360" w:hanging="360"/>
      </w:pPr>
      <w:rPr>
        <w:rFonts w:hint="default"/>
      </w:rPr>
    </w:lvl>
  </w:abstractNum>
  <w:abstractNum w:abstractNumId="5">
    <w:nsid w:val="00000026"/>
    <w:multiLevelType w:val="multilevel"/>
    <w:tmpl w:val="00000026"/>
    <w:lvl w:ilvl="0" w:tentative="0">
      <w:start w:val="1"/>
      <w:numFmt w:val="decimal"/>
      <w:pStyle w:val="115"/>
      <w:isLgl/>
      <w:suff w:val="nothing"/>
      <w:lvlText w:val="%1　"/>
      <w:lvlJc w:val="left"/>
      <w:pPr>
        <w:ind w:left="-25" w:firstLine="0"/>
      </w:pPr>
      <w:rPr>
        <w:rFonts w:hint="default" w:ascii="Times New Roman" w:hAnsi="Times New Roman" w:eastAsia="宋体"/>
        <w:b/>
        <w:i w:val="0"/>
        <w:color w:val="auto"/>
        <w:sz w:val="28"/>
        <w:u w:val="none"/>
      </w:rPr>
    </w:lvl>
    <w:lvl w:ilvl="1" w:tentative="0">
      <w:start w:val="1"/>
      <w:numFmt w:val="decimal"/>
      <w:pStyle w:val="114"/>
      <w:isLgl/>
      <w:suff w:val="nothing"/>
      <w:lvlText w:val="%1.%2　"/>
      <w:lvlJc w:val="left"/>
      <w:pPr>
        <w:ind w:left="-25" w:firstLine="0"/>
      </w:pPr>
      <w:rPr>
        <w:rFonts w:hint="default" w:ascii="Times New Roman" w:hAnsi="Times New Roman" w:eastAsia="宋体"/>
        <w:b/>
        <w:i w:val="0"/>
        <w:snapToGrid/>
        <w:color w:val="auto"/>
        <w:spacing w:val="0"/>
        <w:w w:val="100"/>
        <w:kern w:val="21"/>
        <w:sz w:val="28"/>
        <w:u w:val="none"/>
      </w:rPr>
    </w:lvl>
    <w:lvl w:ilvl="2" w:tentative="0">
      <w:start w:val="1"/>
      <w:numFmt w:val="decimal"/>
      <w:isLgl/>
      <w:suff w:val="nothing"/>
      <w:lvlText w:val="%1.%2.%3　"/>
      <w:lvlJc w:val="left"/>
      <w:pPr>
        <w:ind w:left="-25" w:firstLine="0"/>
      </w:pPr>
      <w:rPr>
        <w:rFonts w:hint="default" w:ascii="Times New Roman" w:hAnsi="Times New Roman" w:eastAsia="黑体"/>
        <w:b/>
        <w:i w:val="0"/>
        <w:sz w:val="28"/>
      </w:rPr>
    </w:lvl>
    <w:lvl w:ilvl="3" w:tentative="0">
      <w:start w:val="1"/>
      <w:numFmt w:val="decimal"/>
      <w:pStyle w:val="151"/>
      <w:isLgl/>
      <w:suff w:val="nothing"/>
      <w:lvlText w:val="%1.%2.%3.%4　"/>
      <w:lvlJc w:val="left"/>
      <w:pPr>
        <w:ind w:left="-25" w:firstLine="0"/>
      </w:pPr>
      <w:rPr>
        <w:rFonts w:hint="default" w:ascii="Times New Roman" w:hAnsi="Times New Roman" w:eastAsia="宋体"/>
        <w:b/>
        <w:i w:val="0"/>
        <w:color w:val="auto"/>
        <w:sz w:val="28"/>
        <w:u w:val="none"/>
      </w:rPr>
    </w:lvl>
    <w:lvl w:ilvl="4" w:tentative="0">
      <w:start w:val="1"/>
      <w:numFmt w:val="decimal"/>
      <w:pStyle w:val="150"/>
      <w:isLgl/>
      <w:suff w:val="nothing"/>
      <w:lvlText w:val="%1.%2.%3.%4.%5　"/>
      <w:lvlJc w:val="left"/>
      <w:pPr>
        <w:ind w:left="-25" w:firstLine="0"/>
      </w:pPr>
      <w:rPr>
        <w:rFonts w:hint="default" w:ascii="Times New Roman" w:hAnsi="Times New Roman" w:eastAsia="宋体"/>
        <w:b/>
        <w:i w:val="0"/>
        <w:color w:val="auto"/>
        <w:sz w:val="28"/>
        <w:u w:val="none"/>
      </w:rPr>
    </w:lvl>
    <w:lvl w:ilvl="5" w:tentative="0">
      <w:start w:val="1"/>
      <w:numFmt w:val="decimal"/>
      <w:pStyle w:val="159"/>
      <w:isLgl/>
      <w:suff w:val="nothing"/>
      <w:lvlText w:val="%1.%2.%3.%4.%5.%6　"/>
      <w:lvlJc w:val="left"/>
      <w:pPr>
        <w:ind w:left="-25" w:firstLine="0"/>
      </w:pPr>
      <w:rPr>
        <w:rFonts w:hint="default" w:ascii="Times New Roman" w:hAnsi="Times New Roman" w:eastAsia="宋体"/>
        <w:b/>
        <w:i w:val="0"/>
        <w:sz w:val="28"/>
      </w:rPr>
    </w:lvl>
    <w:lvl w:ilvl="6" w:tentative="0">
      <w:start w:val="1"/>
      <w:numFmt w:val="lowerLetter"/>
      <w:pStyle w:val="172"/>
      <w:lvlText w:val="%7) "/>
      <w:lvlJc w:val="left"/>
      <w:pPr>
        <w:tabs>
          <w:tab w:val="left" w:pos="635"/>
        </w:tabs>
        <w:ind w:left="-125" w:firstLine="400"/>
      </w:pPr>
      <w:rPr>
        <w:rFonts w:hint="default" w:ascii="Times New Roman" w:hAnsi="Times New Roman" w:eastAsia="宋体"/>
        <w:b/>
        <w:i w:val="0"/>
        <w:color w:val="auto"/>
        <w:sz w:val="28"/>
        <w:u w:val="none"/>
      </w:rPr>
    </w:lvl>
    <w:lvl w:ilvl="7" w:tentative="0">
      <w:start w:val="1"/>
      <w:numFmt w:val="decimal"/>
      <w:pStyle w:val="135"/>
      <w:lvlText w:val="%8) "/>
      <w:lvlJc w:val="left"/>
      <w:pPr>
        <w:tabs>
          <w:tab w:val="left" w:pos="860"/>
        </w:tabs>
        <w:ind w:left="500" w:firstLine="0"/>
      </w:pPr>
      <w:rPr>
        <w:rFonts w:hint="default" w:ascii="Times New Roman" w:hAnsi="Times New Roman" w:eastAsia="宋体"/>
        <w:b/>
        <w:i w:val="0"/>
        <w:color w:val="auto"/>
        <w:sz w:val="28"/>
        <w:u w:val="none"/>
      </w:rPr>
    </w:lvl>
    <w:lvl w:ilvl="8" w:tentative="0">
      <w:start w:val="1"/>
      <w:numFmt w:val="none"/>
      <w:lvlText w:val="%9"/>
      <w:lvlJc w:val="left"/>
      <w:pPr>
        <w:tabs>
          <w:tab w:val="left" w:pos="860"/>
        </w:tabs>
        <w:ind w:left="500" w:firstLine="0"/>
      </w:pPr>
      <w:rPr>
        <w:rFonts w:hint="eastAsia" w:ascii="宋体" w:eastAsia="宋体"/>
        <w:b w:val="0"/>
        <w:i w:val="0"/>
        <w:color w:val="auto"/>
        <w:sz w:val="28"/>
        <w:u w:val="none"/>
      </w:rPr>
    </w:lvl>
  </w:abstractNum>
  <w:abstractNum w:abstractNumId="6">
    <w:nsid w:val="00000028"/>
    <w:multiLevelType w:val="multilevel"/>
    <w:tmpl w:val="00000028"/>
    <w:lvl w:ilvl="0" w:tentative="0">
      <w:start w:val="1"/>
      <w:numFmt w:val="decimal"/>
      <w:lvlText w:val="%1．"/>
      <w:lvlJc w:val="left"/>
      <w:pPr>
        <w:tabs>
          <w:tab w:val="left" w:pos="768"/>
        </w:tabs>
        <w:ind w:left="768" w:hanging="360"/>
      </w:pPr>
      <w:rPr>
        <w:rFonts w:hint="eastAsia"/>
      </w:rPr>
    </w:lvl>
    <w:lvl w:ilvl="1" w:tentative="0">
      <w:start w:val="1"/>
      <w:numFmt w:val="decimal"/>
      <w:pStyle w:val="153"/>
      <w:lvlText w:val="%2、"/>
      <w:lvlJc w:val="left"/>
      <w:pPr>
        <w:tabs>
          <w:tab w:val="left" w:pos="1188"/>
        </w:tabs>
        <w:ind w:left="1188" w:hanging="360"/>
      </w:pPr>
      <w:rPr>
        <w:rFonts w:hint="eastAsia"/>
      </w:rPr>
    </w:lvl>
    <w:lvl w:ilvl="2" w:tentative="0">
      <w:start w:val="1"/>
      <w:numFmt w:val="decimal"/>
      <w:lvlText w:val="（%3）"/>
      <w:lvlJc w:val="left"/>
      <w:pPr>
        <w:tabs>
          <w:tab w:val="left" w:pos="1968"/>
        </w:tabs>
        <w:ind w:left="1968" w:hanging="720"/>
      </w:pPr>
      <w:rPr>
        <w:rFonts w:hint="eastAsia"/>
        <w:u w:val="none"/>
      </w:rPr>
    </w:lvl>
    <w:lvl w:ilvl="3" w:tentative="0">
      <w:start w:val="1"/>
      <w:numFmt w:val="decimal"/>
      <w:lvlText w:val="%4."/>
      <w:lvlJc w:val="left"/>
      <w:pPr>
        <w:tabs>
          <w:tab w:val="left" w:pos="2088"/>
        </w:tabs>
        <w:ind w:left="2088" w:hanging="420"/>
      </w:pPr>
    </w:lvl>
    <w:lvl w:ilvl="4" w:tentative="0">
      <w:start w:val="1"/>
      <w:numFmt w:val="lowerLetter"/>
      <w:lvlText w:val="%5)"/>
      <w:lvlJc w:val="left"/>
      <w:pPr>
        <w:tabs>
          <w:tab w:val="left" w:pos="2508"/>
        </w:tabs>
        <w:ind w:left="2508" w:hanging="420"/>
      </w:pPr>
    </w:lvl>
    <w:lvl w:ilvl="5" w:tentative="0">
      <w:start w:val="1"/>
      <w:numFmt w:val="lowerRoman"/>
      <w:lvlText w:val="%6."/>
      <w:lvlJc w:val="right"/>
      <w:pPr>
        <w:tabs>
          <w:tab w:val="left" w:pos="2928"/>
        </w:tabs>
        <w:ind w:left="2928" w:hanging="420"/>
      </w:pPr>
    </w:lvl>
    <w:lvl w:ilvl="6" w:tentative="0">
      <w:start w:val="1"/>
      <w:numFmt w:val="decimal"/>
      <w:lvlText w:val="%7."/>
      <w:lvlJc w:val="left"/>
      <w:pPr>
        <w:tabs>
          <w:tab w:val="left" w:pos="3348"/>
        </w:tabs>
        <w:ind w:left="3348" w:hanging="420"/>
      </w:pPr>
    </w:lvl>
    <w:lvl w:ilvl="7" w:tentative="0">
      <w:start w:val="1"/>
      <w:numFmt w:val="lowerLetter"/>
      <w:lvlText w:val="%8)"/>
      <w:lvlJc w:val="left"/>
      <w:pPr>
        <w:tabs>
          <w:tab w:val="left" w:pos="3768"/>
        </w:tabs>
        <w:ind w:left="3768" w:hanging="420"/>
      </w:pPr>
    </w:lvl>
    <w:lvl w:ilvl="8" w:tentative="0">
      <w:start w:val="1"/>
      <w:numFmt w:val="lowerRoman"/>
      <w:lvlText w:val="%9."/>
      <w:lvlJc w:val="right"/>
      <w:pPr>
        <w:tabs>
          <w:tab w:val="left" w:pos="4188"/>
        </w:tabs>
        <w:ind w:left="4188" w:hanging="420"/>
      </w:pPr>
    </w:lvl>
  </w:abstractNum>
  <w:abstractNum w:abstractNumId="7">
    <w:nsid w:val="00000029"/>
    <w:multiLevelType w:val="multilevel"/>
    <w:tmpl w:val="00000029"/>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eastAsia="宋体" w:cs="Times New Roman"/>
        <w:b w:val="0"/>
        <w:color w:val="000000"/>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1.%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8">
    <w:nsid w:val="0000002F"/>
    <w:multiLevelType w:val="multilevel"/>
    <w:tmpl w:val="0000002F"/>
    <w:lvl w:ilvl="0" w:tentative="0">
      <w:start w:val="1"/>
      <w:numFmt w:val="decimal"/>
      <w:pStyle w:val="120"/>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4F55ADE"/>
    <w:multiLevelType w:val="multilevel"/>
    <w:tmpl w:val="04F55ADE"/>
    <w:lvl w:ilvl="0" w:tentative="0">
      <w:start w:val="1"/>
      <w:numFmt w:val="decimal"/>
      <w:lvlText w:val="%1、"/>
      <w:lvlJc w:val="left"/>
      <w:pPr>
        <w:ind w:left="1080" w:hanging="36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10">
    <w:nsid w:val="0E230849"/>
    <w:multiLevelType w:val="multilevel"/>
    <w:tmpl w:val="0E230849"/>
    <w:lvl w:ilvl="0" w:tentative="0">
      <w:start w:val="1"/>
      <w:numFmt w:val="decimal"/>
      <w:pStyle w:val="221"/>
      <w:lvlText w:val="%1"/>
      <w:lvlJc w:val="left"/>
      <w:pPr>
        <w:ind w:left="680" w:hanging="680"/>
      </w:pPr>
      <w:rPr>
        <w:rFonts w:hint="eastAsia" w:ascii="宋体" w:hAnsi="宋体" w:eastAsia="宋体"/>
      </w:rPr>
    </w:lvl>
    <w:lvl w:ilvl="1" w:tentative="0">
      <w:start w:val="1"/>
      <w:numFmt w:val="decimal"/>
      <w:pStyle w:val="222"/>
      <w:lvlText w:val="%1.%2"/>
      <w:lvlJc w:val="left"/>
      <w:pPr>
        <w:ind w:left="851" w:hanging="851"/>
      </w:pPr>
      <w:rPr>
        <w:rFonts w:hint="eastAsia" w:ascii="宋体" w:hAnsi="宋体" w:eastAsia="宋体"/>
        <w:color w:val="auto"/>
      </w:rPr>
    </w:lvl>
    <w:lvl w:ilvl="2" w:tentative="0">
      <w:start w:val="1"/>
      <w:numFmt w:val="decimal"/>
      <w:pStyle w:val="223"/>
      <w:lvlText w:val="%1.%2.%3"/>
      <w:lvlJc w:val="left"/>
      <w:pPr>
        <w:ind w:left="851" w:hanging="851"/>
      </w:pPr>
      <w:rPr>
        <w:rFonts w:hint="eastAsia"/>
      </w:rPr>
    </w:lvl>
    <w:lvl w:ilvl="3" w:tentative="0">
      <w:start w:val="1"/>
      <w:numFmt w:val="decimal"/>
      <w:lvlText w:val="%1.%2.%3.%4"/>
      <w:lvlJc w:val="left"/>
      <w:pPr>
        <w:ind w:left="680" w:hanging="680"/>
      </w:pPr>
      <w:rPr>
        <w:rFonts w:hint="eastAsia"/>
      </w:rPr>
    </w:lvl>
    <w:lvl w:ilvl="4" w:tentative="0">
      <w:start w:val="1"/>
      <w:numFmt w:val="decimal"/>
      <w:lvlText w:val="%1.%2.%3.%4.%5"/>
      <w:lvlJc w:val="left"/>
      <w:pPr>
        <w:ind w:left="680" w:hanging="680"/>
      </w:pPr>
      <w:rPr>
        <w:rFonts w:hint="eastAsia"/>
      </w:rPr>
    </w:lvl>
    <w:lvl w:ilvl="5" w:tentative="0">
      <w:start w:val="1"/>
      <w:numFmt w:val="decimal"/>
      <w:lvlText w:val="%1.%2.%3.%4.%5.%6"/>
      <w:lvlJc w:val="left"/>
      <w:pPr>
        <w:ind w:left="680" w:hanging="680"/>
      </w:pPr>
      <w:rPr>
        <w:rFonts w:hint="eastAsia"/>
      </w:rPr>
    </w:lvl>
    <w:lvl w:ilvl="6" w:tentative="0">
      <w:start w:val="1"/>
      <w:numFmt w:val="decimal"/>
      <w:lvlText w:val="%1.%2.%3.%4.%5.%6.%7"/>
      <w:lvlJc w:val="left"/>
      <w:pPr>
        <w:ind w:left="680" w:hanging="680"/>
      </w:pPr>
      <w:rPr>
        <w:rFonts w:hint="eastAsia"/>
      </w:rPr>
    </w:lvl>
    <w:lvl w:ilvl="7" w:tentative="0">
      <w:start w:val="1"/>
      <w:numFmt w:val="decimal"/>
      <w:lvlText w:val="%1.%2.%3.%4.%5.%6.%7.%8"/>
      <w:lvlJc w:val="left"/>
      <w:pPr>
        <w:ind w:left="680" w:hanging="680"/>
      </w:pPr>
      <w:rPr>
        <w:rFonts w:hint="eastAsia"/>
      </w:rPr>
    </w:lvl>
    <w:lvl w:ilvl="8" w:tentative="0">
      <w:start w:val="1"/>
      <w:numFmt w:val="decimal"/>
      <w:lvlText w:val="%1.%2.%3.%4.%5.%6.%7.%8.%9"/>
      <w:lvlJc w:val="left"/>
      <w:pPr>
        <w:ind w:left="680" w:hanging="680"/>
      </w:pPr>
      <w:rPr>
        <w:rFonts w:hint="eastAsia"/>
      </w:rPr>
    </w:lvl>
  </w:abstractNum>
  <w:abstractNum w:abstractNumId="11">
    <w:nsid w:val="10872DAA"/>
    <w:multiLevelType w:val="multilevel"/>
    <w:tmpl w:val="10872DAA"/>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宋体" w:hAnsi="宋体" w:eastAsia="宋体" w:cs="Times New Roman"/>
        <w:b w:val="0"/>
        <w:sz w:val="24"/>
        <w:szCs w:val="24"/>
      </w:rPr>
    </w:lvl>
    <w:lvl w:ilvl="2" w:tentative="0">
      <w:start w:val="1"/>
      <w:numFmt w:val="decimal"/>
      <w:lvlText w:val="%1.%2.%3"/>
      <w:lvlJc w:val="left"/>
      <w:pPr>
        <w:tabs>
          <w:tab w:val="left" w:pos="1980"/>
        </w:tabs>
        <w:ind w:left="1980" w:hanging="900"/>
      </w:pPr>
      <w:rPr>
        <w:rFonts w:hint="eastAsia" w:asciiTheme="minorEastAsia" w:hAnsiTheme="minorEastAsia" w:eastAsiaTheme="minor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2">
    <w:nsid w:val="13851098"/>
    <w:multiLevelType w:val="multilevel"/>
    <w:tmpl w:val="13851098"/>
    <w:lvl w:ilvl="0" w:tentative="0">
      <w:start w:val="1"/>
      <w:numFmt w:val="japaneseCounting"/>
      <w:lvlText w:val="%1、"/>
      <w:lvlJc w:val="left"/>
      <w:pPr>
        <w:ind w:left="500" w:hanging="5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1667154C"/>
    <w:multiLevelType w:val="multilevel"/>
    <w:tmpl w:val="1667154C"/>
    <w:lvl w:ilvl="0" w:tentative="0">
      <w:start w:val="1"/>
      <w:numFmt w:val="decimal"/>
      <w:pStyle w:val="358"/>
      <w:lvlText w:val="%1"/>
      <w:lvlJc w:val="left"/>
      <w:pPr>
        <w:tabs>
          <w:tab w:val="left" w:pos="900"/>
        </w:tabs>
        <w:ind w:left="900" w:hanging="900"/>
      </w:pPr>
      <w:rPr>
        <w:rFonts w:hint="eastAsia"/>
      </w:rPr>
    </w:lvl>
    <w:lvl w:ilvl="1" w:tentative="0">
      <w:start w:val="1"/>
      <w:numFmt w:val="decimal"/>
      <w:pStyle w:val="357"/>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pStyle w:val="359"/>
      <w:lvlText w:val="%1.%2.%3"/>
      <w:lvlJc w:val="left"/>
      <w:pPr>
        <w:tabs>
          <w:tab w:val="left" w:pos="1980"/>
        </w:tabs>
        <w:ind w:left="1980" w:hanging="900"/>
      </w:pPr>
      <w:rPr>
        <w:rFonts w:hint="eastAsia"/>
      </w:rPr>
    </w:lvl>
    <w:lvl w:ilvl="3" w:tentative="0">
      <w:start w:val="1"/>
      <w:numFmt w:val="decimal"/>
      <w:lvlText w:val="5.1.2.%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4">
    <w:nsid w:val="302065E1"/>
    <w:multiLevelType w:val="multilevel"/>
    <w:tmpl w:val="302065E1"/>
    <w:lvl w:ilvl="0" w:tentative="0">
      <w:start w:val="1"/>
      <w:numFmt w:val="japaneseCounting"/>
      <w:lvlText w:val="（%1）"/>
      <w:lvlJc w:val="left"/>
      <w:pPr>
        <w:ind w:left="1560" w:hanging="72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5">
    <w:nsid w:val="3A3A0617"/>
    <w:multiLevelType w:val="multilevel"/>
    <w:tmpl w:val="3A3A0617"/>
    <w:lvl w:ilvl="0" w:tentative="0">
      <w:start w:val="1"/>
      <w:numFmt w:val="decimal"/>
      <w:lvlText w:val="（%1）"/>
      <w:lvlJc w:val="left"/>
      <w:pPr>
        <w:ind w:left="3065" w:hanging="720"/>
      </w:pPr>
      <w:rPr>
        <w:rFonts w:hint="default"/>
      </w:rPr>
    </w:lvl>
    <w:lvl w:ilvl="1" w:tentative="0">
      <w:start w:val="1"/>
      <w:numFmt w:val="lowerLetter"/>
      <w:lvlText w:val="%2)"/>
      <w:lvlJc w:val="left"/>
      <w:pPr>
        <w:ind w:left="3185" w:hanging="420"/>
      </w:pPr>
    </w:lvl>
    <w:lvl w:ilvl="2" w:tentative="0">
      <w:start w:val="1"/>
      <w:numFmt w:val="lowerRoman"/>
      <w:lvlText w:val="%3."/>
      <w:lvlJc w:val="right"/>
      <w:pPr>
        <w:ind w:left="3605" w:hanging="420"/>
      </w:pPr>
    </w:lvl>
    <w:lvl w:ilvl="3" w:tentative="0">
      <w:start w:val="1"/>
      <w:numFmt w:val="decimal"/>
      <w:lvlText w:val="%4."/>
      <w:lvlJc w:val="left"/>
      <w:pPr>
        <w:ind w:left="4025" w:hanging="420"/>
      </w:pPr>
    </w:lvl>
    <w:lvl w:ilvl="4" w:tentative="0">
      <w:start w:val="1"/>
      <w:numFmt w:val="lowerLetter"/>
      <w:lvlText w:val="%5)"/>
      <w:lvlJc w:val="left"/>
      <w:pPr>
        <w:ind w:left="4445" w:hanging="420"/>
      </w:pPr>
    </w:lvl>
    <w:lvl w:ilvl="5" w:tentative="0">
      <w:start w:val="1"/>
      <w:numFmt w:val="lowerRoman"/>
      <w:lvlText w:val="%6."/>
      <w:lvlJc w:val="right"/>
      <w:pPr>
        <w:ind w:left="4865" w:hanging="420"/>
      </w:pPr>
    </w:lvl>
    <w:lvl w:ilvl="6" w:tentative="0">
      <w:start w:val="1"/>
      <w:numFmt w:val="decimal"/>
      <w:lvlText w:val="%7."/>
      <w:lvlJc w:val="left"/>
      <w:pPr>
        <w:ind w:left="5285" w:hanging="420"/>
      </w:pPr>
    </w:lvl>
    <w:lvl w:ilvl="7" w:tentative="0">
      <w:start w:val="1"/>
      <w:numFmt w:val="lowerLetter"/>
      <w:lvlText w:val="%8)"/>
      <w:lvlJc w:val="left"/>
      <w:pPr>
        <w:ind w:left="5705" w:hanging="420"/>
      </w:pPr>
    </w:lvl>
    <w:lvl w:ilvl="8" w:tentative="0">
      <w:start w:val="1"/>
      <w:numFmt w:val="lowerRoman"/>
      <w:lvlText w:val="%9."/>
      <w:lvlJc w:val="right"/>
      <w:pPr>
        <w:ind w:left="6125" w:hanging="420"/>
      </w:pPr>
    </w:lvl>
  </w:abstractNum>
  <w:abstractNum w:abstractNumId="16">
    <w:nsid w:val="3CF5C1A2"/>
    <w:multiLevelType w:val="singleLevel"/>
    <w:tmpl w:val="3CF5C1A2"/>
    <w:lvl w:ilvl="0" w:tentative="0">
      <w:start w:val="2"/>
      <w:numFmt w:val="chineseCounting"/>
      <w:suff w:val="nothing"/>
      <w:lvlText w:val="%1、"/>
      <w:lvlJc w:val="left"/>
      <w:rPr>
        <w:rFonts w:hint="eastAsia"/>
      </w:rPr>
    </w:lvl>
  </w:abstractNum>
  <w:abstractNum w:abstractNumId="17">
    <w:nsid w:val="3E487E37"/>
    <w:multiLevelType w:val="multilevel"/>
    <w:tmpl w:val="3E487E37"/>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8">
    <w:nsid w:val="4972674D"/>
    <w:multiLevelType w:val="singleLevel"/>
    <w:tmpl w:val="4972674D"/>
    <w:lvl w:ilvl="0" w:tentative="0">
      <w:start w:val="1"/>
      <w:numFmt w:val="japaneseCounting"/>
      <w:lvlText w:val="%1、"/>
      <w:lvlJc w:val="left"/>
      <w:pPr>
        <w:tabs>
          <w:tab w:val="left" w:pos="780"/>
        </w:tabs>
        <w:ind w:left="780" w:hanging="600"/>
      </w:pPr>
      <w:rPr>
        <w:rFonts w:hint="eastAsia"/>
        <w:b w:val="0"/>
      </w:rPr>
    </w:lvl>
  </w:abstractNum>
  <w:abstractNum w:abstractNumId="19">
    <w:nsid w:val="59F6D0D3"/>
    <w:multiLevelType w:val="singleLevel"/>
    <w:tmpl w:val="59F6D0D3"/>
    <w:lvl w:ilvl="0" w:tentative="0">
      <w:start w:val="1"/>
      <w:numFmt w:val="chineseCounting"/>
      <w:suff w:val="nothing"/>
      <w:lvlText w:val="%1、"/>
      <w:lvlJc w:val="left"/>
    </w:lvl>
  </w:abstractNum>
  <w:num w:numId="1">
    <w:abstractNumId w:val="5"/>
  </w:num>
  <w:num w:numId="2">
    <w:abstractNumId w:val="8"/>
  </w:num>
  <w:num w:numId="3">
    <w:abstractNumId w:val="2"/>
  </w:num>
  <w:num w:numId="4">
    <w:abstractNumId w:val="6"/>
  </w:num>
  <w:num w:numId="5">
    <w:abstractNumId w:val="4"/>
  </w:num>
  <w:num w:numId="6">
    <w:abstractNumId w:val="3"/>
  </w:num>
  <w:num w:numId="7">
    <w:abstractNumId w:val="10"/>
  </w:num>
  <w:num w:numId="8">
    <w:abstractNumId w:val="13"/>
  </w:num>
  <w:num w:numId="9">
    <w:abstractNumId w:val="7"/>
  </w:num>
  <w:num w:numId="10">
    <w:abstractNumId w:val="15"/>
  </w:num>
  <w:num w:numId="11">
    <w:abstractNumId w:val="1"/>
  </w:num>
  <w:num w:numId="12">
    <w:abstractNumId w:val="17"/>
  </w:num>
  <w:num w:numId="13">
    <w:abstractNumId w:val="11"/>
  </w:num>
  <w:num w:numId="14">
    <w:abstractNumId w:val="16"/>
  </w:num>
  <w:num w:numId="15">
    <w:abstractNumId w:val="12"/>
  </w:num>
  <w:num w:numId="16">
    <w:abstractNumId w:val="0"/>
  </w:num>
  <w:num w:numId="17">
    <w:abstractNumId w:val="14"/>
  </w:num>
  <w:num w:numId="18">
    <w:abstractNumId w:val="18"/>
  </w:num>
  <w:num w:numId="19">
    <w:abstractNumId w:val="9"/>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removePersonalInformation/>
  <w:embedTrueTypeFonts/>
  <w:saveSubsetFonts/>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E" w:val="03年范本稿123.doc"/>
    <w:docVar w:name="commondata" w:val="eyJoZGlkIjoiNmE1MGM0MjI3MGVlZjJlYmY5NDVjMjRhYmY0ZGE5NzIifQ=="/>
    <w:docVar w:name="VTCASE" w:val="4"/>
    <w:docVar w:name="VTCommandPending" w:val="NONE"/>
  </w:docVars>
  <w:rsids>
    <w:rsidRoot w:val="00172A27"/>
    <w:rsid w:val="00000277"/>
    <w:rsid w:val="000002C4"/>
    <w:rsid w:val="00000368"/>
    <w:rsid w:val="00000432"/>
    <w:rsid w:val="00000448"/>
    <w:rsid w:val="00000905"/>
    <w:rsid w:val="00000CCE"/>
    <w:rsid w:val="00000DF5"/>
    <w:rsid w:val="00000F3F"/>
    <w:rsid w:val="00001711"/>
    <w:rsid w:val="00001895"/>
    <w:rsid w:val="00001948"/>
    <w:rsid w:val="00001F9C"/>
    <w:rsid w:val="00002003"/>
    <w:rsid w:val="000020BD"/>
    <w:rsid w:val="00002147"/>
    <w:rsid w:val="0000218D"/>
    <w:rsid w:val="0000240B"/>
    <w:rsid w:val="000026F7"/>
    <w:rsid w:val="0000279B"/>
    <w:rsid w:val="000027EB"/>
    <w:rsid w:val="00002944"/>
    <w:rsid w:val="00002F3D"/>
    <w:rsid w:val="00002FE1"/>
    <w:rsid w:val="00003279"/>
    <w:rsid w:val="00003626"/>
    <w:rsid w:val="00003711"/>
    <w:rsid w:val="00003804"/>
    <w:rsid w:val="000039FD"/>
    <w:rsid w:val="00003A41"/>
    <w:rsid w:val="00003E5F"/>
    <w:rsid w:val="00003EA2"/>
    <w:rsid w:val="00004254"/>
    <w:rsid w:val="0000429B"/>
    <w:rsid w:val="000044A2"/>
    <w:rsid w:val="000046C6"/>
    <w:rsid w:val="0000474F"/>
    <w:rsid w:val="00004A22"/>
    <w:rsid w:val="00004C44"/>
    <w:rsid w:val="00004D13"/>
    <w:rsid w:val="00004E70"/>
    <w:rsid w:val="0000508D"/>
    <w:rsid w:val="000051DC"/>
    <w:rsid w:val="00005232"/>
    <w:rsid w:val="000053B4"/>
    <w:rsid w:val="00005401"/>
    <w:rsid w:val="00005407"/>
    <w:rsid w:val="00005905"/>
    <w:rsid w:val="00005AF1"/>
    <w:rsid w:val="00005DF0"/>
    <w:rsid w:val="00005EC8"/>
    <w:rsid w:val="000060A7"/>
    <w:rsid w:val="000064B2"/>
    <w:rsid w:val="00006923"/>
    <w:rsid w:val="00006BD5"/>
    <w:rsid w:val="00006CD1"/>
    <w:rsid w:val="00006CD3"/>
    <w:rsid w:val="000073B1"/>
    <w:rsid w:val="000073E8"/>
    <w:rsid w:val="00007598"/>
    <w:rsid w:val="0000781A"/>
    <w:rsid w:val="00007A5A"/>
    <w:rsid w:val="00007DA4"/>
    <w:rsid w:val="00010010"/>
    <w:rsid w:val="000100A2"/>
    <w:rsid w:val="000100B6"/>
    <w:rsid w:val="000104BA"/>
    <w:rsid w:val="000106FC"/>
    <w:rsid w:val="00010763"/>
    <w:rsid w:val="000109FC"/>
    <w:rsid w:val="00010E8F"/>
    <w:rsid w:val="0001121F"/>
    <w:rsid w:val="0001127B"/>
    <w:rsid w:val="000112A5"/>
    <w:rsid w:val="00011793"/>
    <w:rsid w:val="000118AD"/>
    <w:rsid w:val="00011AFF"/>
    <w:rsid w:val="00011BD5"/>
    <w:rsid w:val="00011DA9"/>
    <w:rsid w:val="0001235C"/>
    <w:rsid w:val="00012486"/>
    <w:rsid w:val="000124BE"/>
    <w:rsid w:val="000125B2"/>
    <w:rsid w:val="000125FF"/>
    <w:rsid w:val="00012A66"/>
    <w:rsid w:val="00012BE6"/>
    <w:rsid w:val="00012C45"/>
    <w:rsid w:val="00012EBE"/>
    <w:rsid w:val="000131D3"/>
    <w:rsid w:val="000136DC"/>
    <w:rsid w:val="00013965"/>
    <w:rsid w:val="00013DAB"/>
    <w:rsid w:val="00013FB5"/>
    <w:rsid w:val="00014156"/>
    <w:rsid w:val="0001416B"/>
    <w:rsid w:val="000141D5"/>
    <w:rsid w:val="00014444"/>
    <w:rsid w:val="00014851"/>
    <w:rsid w:val="000149E0"/>
    <w:rsid w:val="00014D98"/>
    <w:rsid w:val="00015030"/>
    <w:rsid w:val="00015094"/>
    <w:rsid w:val="000151D7"/>
    <w:rsid w:val="00015316"/>
    <w:rsid w:val="000154B9"/>
    <w:rsid w:val="00015645"/>
    <w:rsid w:val="000157C2"/>
    <w:rsid w:val="00015D38"/>
    <w:rsid w:val="0001606B"/>
    <w:rsid w:val="000160FB"/>
    <w:rsid w:val="000163AA"/>
    <w:rsid w:val="00016644"/>
    <w:rsid w:val="000168D9"/>
    <w:rsid w:val="000169A7"/>
    <w:rsid w:val="00016E72"/>
    <w:rsid w:val="000172CD"/>
    <w:rsid w:val="000173B8"/>
    <w:rsid w:val="0001745D"/>
    <w:rsid w:val="00017521"/>
    <w:rsid w:val="00017674"/>
    <w:rsid w:val="00017821"/>
    <w:rsid w:val="000178F8"/>
    <w:rsid w:val="00017A16"/>
    <w:rsid w:val="00017A27"/>
    <w:rsid w:val="00017A3B"/>
    <w:rsid w:val="00017A46"/>
    <w:rsid w:val="00017B36"/>
    <w:rsid w:val="00017C5E"/>
    <w:rsid w:val="00020232"/>
    <w:rsid w:val="000203B5"/>
    <w:rsid w:val="00020505"/>
    <w:rsid w:val="00020696"/>
    <w:rsid w:val="0002075C"/>
    <w:rsid w:val="00020880"/>
    <w:rsid w:val="00020900"/>
    <w:rsid w:val="00020C28"/>
    <w:rsid w:val="00020E48"/>
    <w:rsid w:val="000210FD"/>
    <w:rsid w:val="0002113E"/>
    <w:rsid w:val="000215D4"/>
    <w:rsid w:val="000217FC"/>
    <w:rsid w:val="00021AEB"/>
    <w:rsid w:val="00021C9E"/>
    <w:rsid w:val="00021F66"/>
    <w:rsid w:val="0002210E"/>
    <w:rsid w:val="0002216A"/>
    <w:rsid w:val="0002217C"/>
    <w:rsid w:val="000222D0"/>
    <w:rsid w:val="00022354"/>
    <w:rsid w:val="000223C3"/>
    <w:rsid w:val="00022526"/>
    <w:rsid w:val="00022562"/>
    <w:rsid w:val="000227F5"/>
    <w:rsid w:val="00022BE1"/>
    <w:rsid w:val="00022D53"/>
    <w:rsid w:val="00022F7D"/>
    <w:rsid w:val="0002328F"/>
    <w:rsid w:val="00023458"/>
    <w:rsid w:val="000234AD"/>
    <w:rsid w:val="00023CAF"/>
    <w:rsid w:val="00023D59"/>
    <w:rsid w:val="000241D9"/>
    <w:rsid w:val="00024343"/>
    <w:rsid w:val="00024427"/>
    <w:rsid w:val="00024446"/>
    <w:rsid w:val="0002455F"/>
    <w:rsid w:val="000249B1"/>
    <w:rsid w:val="00024B4F"/>
    <w:rsid w:val="00024BB5"/>
    <w:rsid w:val="00024D50"/>
    <w:rsid w:val="00024D59"/>
    <w:rsid w:val="00024FD8"/>
    <w:rsid w:val="00025050"/>
    <w:rsid w:val="00025279"/>
    <w:rsid w:val="00025543"/>
    <w:rsid w:val="00025BF3"/>
    <w:rsid w:val="00025DA9"/>
    <w:rsid w:val="00026353"/>
    <w:rsid w:val="00026693"/>
    <w:rsid w:val="000267C8"/>
    <w:rsid w:val="00026845"/>
    <w:rsid w:val="00026AAC"/>
    <w:rsid w:val="00026D3D"/>
    <w:rsid w:val="00026F4A"/>
    <w:rsid w:val="00027136"/>
    <w:rsid w:val="000272EC"/>
    <w:rsid w:val="00027416"/>
    <w:rsid w:val="000274ED"/>
    <w:rsid w:val="0002751F"/>
    <w:rsid w:val="00027819"/>
    <w:rsid w:val="000279DE"/>
    <w:rsid w:val="0003010B"/>
    <w:rsid w:val="000301C2"/>
    <w:rsid w:val="000304E9"/>
    <w:rsid w:val="00030640"/>
    <w:rsid w:val="0003072E"/>
    <w:rsid w:val="000307A8"/>
    <w:rsid w:val="00030887"/>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24CE"/>
    <w:rsid w:val="00032727"/>
    <w:rsid w:val="00032743"/>
    <w:rsid w:val="000328FF"/>
    <w:rsid w:val="00032B14"/>
    <w:rsid w:val="00032C55"/>
    <w:rsid w:val="00032E71"/>
    <w:rsid w:val="00033034"/>
    <w:rsid w:val="00033192"/>
    <w:rsid w:val="00033263"/>
    <w:rsid w:val="00033665"/>
    <w:rsid w:val="000337D2"/>
    <w:rsid w:val="00033A69"/>
    <w:rsid w:val="0003416B"/>
    <w:rsid w:val="000342A7"/>
    <w:rsid w:val="000343B7"/>
    <w:rsid w:val="000343F4"/>
    <w:rsid w:val="0003447F"/>
    <w:rsid w:val="00034786"/>
    <w:rsid w:val="00034820"/>
    <w:rsid w:val="0003491D"/>
    <w:rsid w:val="00034F4A"/>
    <w:rsid w:val="000352D3"/>
    <w:rsid w:val="0003536A"/>
    <w:rsid w:val="000357FF"/>
    <w:rsid w:val="00035B0F"/>
    <w:rsid w:val="00035C34"/>
    <w:rsid w:val="00035DDC"/>
    <w:rsid w:val="00035FEF"/>
    <w:rsid w:val="00036158"/>
    <w:rsid w:val="00036235"/>
    <w:rsid w:val="0003628C"/>
    <w:rsid w:val="00036301"/>
    <w:rsid w:val="000363BC"/>
    <w:rsid w:val="00036500"/>
    <w:rsid w:val="000366A5"/>
    <w:rsid w:val="0003683A"/>
    <w:rsid w:val="000369F4"/>
    <w:rsid w:val="00036A1C"/>
    <w:rsid w:val="00036B73"/>
    <w:rsid w:val="00036D6E"/>
    <w:rsid w:val="00036E36"/>
    <w:rsid w:val="00036EE2"/>
    <w:rsid w:val="000370CE"/>
    <w:rsid w:val="000371CF"/>
    <w:rsid w:val="00037376"/>
    <w:rsid w:val="000375F9"/>
    <w:rsid w:val="00037AF2"/>
    <w:rsid w:val="00040091"/>
    <w:rsid w:val="000403CA"/>
    <w:rsid w:val="0004042F"/>
    <w:rsid w:val="0004060C"/>
    <w:rsid w:val="00040B56"/>
    <w:rsid w:val="00040D2C"/>
    <w:rsid w:val="00040D38"/>
    <w:rsid w:val="00040D45"/>
    <w:rsid w:val="00041026"/>
    <w:rsid w:val="00041129"/>
    <w:rsid w:val="00041243"/>
    <w:rsid w:val="0004148E"/>
    <w:rsid w:val="000415CF"/>
    <w:rsid w:val="00041993"/>
    <w:rsid w:val="00041A0A"/>
    <w:rsid w:val="00041BE6"/>
    <w:rsid w:val="00041C8A"/>
    <w:rsid w:val="00041D94"/>
    <w:rsid w:val="00041DA9"/>
    <w:rsid w:val="0004221A"/>
    <w:rsid w:val="000422C8"/>
    <w:rsid w:val="00042453"/>
    <w:rsid w:val="000424A2"/>
    <w:rsid w:val="00042558"/>
    <w:rsid w:val="000426DE"/>
    <w:rsid w:val="0004276D"/>
    <w:rsid w:val="0004277A"/>
    <w:rsid w:val="00042934"/>
    <w:rsid w:val="00042AC7"/>
    <w:rsid w:val="00042BAD"/>
    <w:rsid w:val="00042C3E"/>
    <w:rsid w:val="00042FD2"/>
    <w:rsid w:val="0004311D"/>
    <w:rsid w:val="000431B4"/>
    <w:rsid w:val="0004336D"/>
    <w:rsid w:val="00043A61"/>
    <w:rsid w:val="00043B1C"/>
    <w:rsid w:val="00043C68"/>
    <w:rsid w:val="00043D59"/>
    <w:rsid w:val="00043DD6"/>
    <w:rsid w:val="000441F6"/>
    <w:rsid w:val="000446D5"/>
    <w:rsid w:val="0004473A"/>
    <w:rsid w:val="0004483E"/>
    <w:rsid w:val="00044AA1"/>
    <w:rsid w:val="00044D9C"/>
    <w:rsid w:val="00044EDD"/>
    <w:rsid w:val="00045112"/>
    <w:rsid w:val="00045147"/>
    <w:rsid w:val="00045514"/>
    <w:rsid w:val="00045678"/>
    <w:rsid w:val="0004567A"/>
    <w:rsid w:val="000456B3"/>
    <w:rsid w:val="00045730"/>
    <w:rsid w:val="00045840"/>
    <w:rsid w:val="0004597F"/>
    <w:rsid w:val="00045A76"/>
    <w:rsid w:val="00045BF7"/>
    <w:rsid w:val="000460A7"/>
    <w:rsid w:val="0004611A"/>
    <w:rsid w:val="000461DC"/>
    <w:rsid w:val="00046309"/>
    <w:rsid w:val="0004639F"/>
    <w:rsid w:val="00046737"/>
    <w:rsid w:val="0004680B"/>
    <w:rsid w:val="00046872"/>
    <w:rsid w:val="00046939"/>
    <w:rsid w:val="00046963"/>
    <w:rsid w:val="000470D5"/>
    <w:rsid w:val="00047207"/>
    <w:rsid w:val="00047479"/>
    <w:rsid w:val="000476F9"/>
    <w:rsid w:val="00047889"/>
    <w:rsid w:val="00047AB3"/>
    <w:rsid w:val="00047ADA"/>
    <w:rsid w:val="00047E61"/>
    <w:rsid w:val="000500A2"/>
    <w:rsid w:val="000502FD"/>
    <w:rsid w:val="00050351"/>
    <w:rsid w:val="0005038F"/>
    <w:rsid w:val="00050606"/>
    <w:rsid w:val="00050747"/>
    <w:rsid w:val="00050899"/>
    <w:rsid w:val="000508C4"/>
    <w:rsid w:val="00050A3F"/>
    <w:rsid w:val="00050B00"/>
    <w:rsid w:val="00050C78"/>
    <w:rsid w:val="000514DF"/>
    <w:rsid w:val="0005161F"/>
    <w:rsid w:val="00051756"/>
    <w:rsid w:val="000517DD"/>
    <w:rsid w:val="0005182E"/>
    <w:rsid w:val="0005191F"/>
    <w:rsid w:val="0005192B"/>
    <w:rsid w:val="00051C52"/>
    <w:rsid w:val="00052978"/>
    <w:rsid w:val="00052D2A"/>
    <w:rsid w:val="00052FD2"/>
    <w:rsid w:val="00053251"/>
    <w:rsid w:val="000535E6"/>
    <w:rsid w:val="00053890"/>
    <w:rsid w:val="00053AC5"/>
    <w:rsid w:val="00053B80"/>
    <w:rsid w:val="0005434F"/>
    <w:rsid w:val="00054540"/>
    <w:rsid w:val="000547CF"/>
    <w:rsid w:val="000548B1"/>
    <w:rsid w:val="00054A1D"/>
    <w:rsid w:val="00054B62"/>
    <w:rsid w:val="00054CED"/>
    <w:rsid w:val="00054E53"/>
    <w:rsid w:val="00054E6E"/>
    <w:rsid w:val="00055046"/>
    <w:rsid w:val="00055165"/>
    <w:rsid w:val="00055298"/>
    <w:rsid w:val="000553C0"/>
    <w:rsid w:val="00055594"/>
    <w:rsid w:val="000555BE"/>
    <w:rsid w:val="00055637"/>
    <w:rsid w:val="0005569F"/>
    <w:rsid w:val="00055DD7"/>
    <w:rsid w:val="00055F19"/>
    <w:rsid w:val="00056003"/>
    <w:rsid w:val="000560E2"/>
    <w:rsid w:val="0005626D"/>
    <w:rsid w:val="000562AB"/>
    <w:rsid w:val="00056406"/>
    <w:rsid w:val="00056476"/>
    <w:rsid w:val="00056502"/>
    <w:rsid w:val="0005682F"/>
    <w:rsid w:val="000568DE"/>
    <w:rsid w:val="00056B27"/>
    <w:rsid w:val="00056E70"/>
    <w:rsid w:val="0005707E"/>
    <w:rsid w:val="000570D7"/>
    <w:rsid w:val="0005717B"/>
    <w:rsid w:val="000571B5"/>
    <w:rsid w:val="00057274"/>
    <w:rsid w:val="0005763B"/>
    <w:rsid w:val="000600AF"/>
    <w:rsid w:val="000600DF"/>
    <w:rsid w:val="00060210"/>
    <w:rsid w:val="000602E6"/>
    <w:rsid w:val="00060333"/>
    <w:rsid w:val="00060350"/>
    <w:rsid w:val="000605F1"/>
    <w:rsid w:val="00060615"/>
    <w:rsid w:val="00060784"/>
    <w:rsid w:val="00060C6B"/>
    <w:rsid w:val="00060D82"/>
    <w:rsid w:val="00060E85"/>
    <w:rsid w:val="00060FB3"/>
    <w:rsid w:val="00061003"/>
    <w:rsid w:val="0006108C"/>
    <w:rsid w:val="0006142A"/>
    <w:rsid w:val="00061819"/>
    <w:rsid w:val="00061DD1"/>
    <w:rsid w:val="00061EF5"/>
    <w:rsid w:val="00061F68"/>
    <w:rsid w:val="00061F99"/>
    <w:rsid w:val="000620CE"/>
    <w:rsid w:val="0006234D"/>
    <w:rsid w:val="00062474"/>
    <w:rsid w:val="0006280B"/>
    <w:rsid w:val="00062854"/>
    <w:rsid w:val="000630BA"/>
    <w:rsid w:val="0006314D"/>
    <w:rsid w:val="0006336F"/>
    <w:rsid w:val="000633D6"/>
    <w:rsid w:val="000634A5"/>
    <w:rsid w:val="000639BF"/>
    <w:rsid w:val="000639E6"/>
    <w:rsid w:val="00063AB9"/>
    <w:rsid w:val="000640A5"/>
    <w:rsid w:val="00064564"/>
    <w:rsid w:val="000645FE"/>
    <w:rsid w:val="000649EC"/>
    <w:rsid w:val="00064E78"/>
    <w:rsid w:val="00065020"/>
    <w:rsid w:val="00065240"/>
    <w:rsid w:val="00065259"/>
    <w:rsid w:val="0006579F"/>
    <w:rsid w:val="000659A7"/>
    <w:rsid w:val="00065B6B"/>
    <w:rsid w:val="00065C44"/>
    <w:rsid w:val="00065C5F"/>
    <w:rsid w:val="00065FDC"/>
    <w:rsid w:val="00066242"/>
    <w:rsid w:val="000665A0"/>
    <w:rsid w:val="000666C4"/>
    <w:rsid w:val="000668C9"/>
    <w:rsid w:val="000668D7"/>
    <w:rsid w:val="00066C16"/>
    <w:rsid w:val="00066E01"/>
    <w:rsid w:val="0006751D"/>
    <w:rsid w:val="00067529"/>
    <w:rsid w:val="00067802"/>
    <w:rsid w:val="000679C4"/>
    <w:rsid w:val="00067D43"/>
    <w:rsid w:val="00067E9C"/>
    <w:rsid w:val="000701A2"/>
    <w:rsid w:val="0007050C"/>
    <w:rsid w:val="00070524"/>
    <w:rsid w:val="00070526"/>
    <w:rsid w:val="0007060C"/>
    <w:rsid w:val="0007090B"/>
    <w:rsid w:val="00070998"/>
    <w:rsid w:val="00070BB9"/>
    <w:rsid w:val="00070DBF"/>
    <w:rsid w:val="0007103D"/>
    <w:rsid w:val="00071223"/>
    <w:rsid w:val="00071356"/>
    <w:rsid w:val="00071D3C"/>
    <w:rsid w:val="00071DF6"/>
    <w:rsid w:val="00071FFA"/>
    <w:rsid w:val="0007206F"/>
    <w:rsid w:val="000720B4"/>
    <w:rsid w:val="0007228D"/>
    <w:rsid w:val="0007233A"/>
    <w:rsid w:val="00072449"/>
    <w:rsid w:val="000725F4"/>
    <w:rsid w:val="000726DA"/>
    <w:rsid w:val="000729EE"/>
    <w:rsid w:val="00072BC1"/>
    <w:rsid w:val="00072CC1"/>
    <w:rsid w:val="00072E30"/>
    <w:rsid w:val="00072F0B"/>
    <w:rsid w:val="000730C3"/>
    <w:rsid w:val="0007344E"/>
    <w:rsid w:val="00073590"/>
    <w:rsid w:val="0007376E"/>
    <w:rsid w:val="0007378B"/>
    <w:rsid w:val="00073C70"/>
    <w:rsid w:val="00073CFD"/>
    <w:rsid w:val="00074113"/>
    <w:rsid w:val="00074147"/>
    <w:rsid w:val="00074252"/>
    <w:rsid w:val="0007464A"/>
    <w:rsid w:val="00074780"/>
    <w:rsid w:val="00074786"/>
    <w:rsid w:val="00074C28"/>
    <w:rsid w:val="000752FF"/>
    <w:rsid w:val="000756AC"/>
    <w:rsid w:val="00075879"/>
    <w:rsid w:val="00075941"/>
    <w:rsid w:val="00075AFF"/>
    <w:rsid w:val="00075BC6"/>
    <w:rsid w:val="00075C77"/>
    <w:rsid w:val="00076259"/>
    <w:rsid w:val="0007662D"/>
    <w:rsid w:val="00076D3D"/>
    <w:rsid w:val="00076E3C"/>
    <w:rsid w:val="00076E8A"/>
    <w:rsid w:val="00076EFF"/>
    <w:rsid w:val="00076FDA"/>
    <w:rsid w:val="00077079"/>
    <w:rsid w:val="000770B3"/>
    <w:rsid w:val="000772B5"/>
    <w:rsid w:val="00077705"/>
    <w:rsid w:val="000778B7"/>
    <w:rsid w:val="0007790D"/>
    <w:rsid w:val="00077A02"/>
    <w:rsid w:val="00077C79"/>
    <w:rsid w:val="00077D3D"/>
    <w:rsid w:val="00077FE5"/>
    <w:rsid w:val="000801CC"/>
    <w:rsid w:val="00080289"/>
    <w:rsid w:val="00080443"/>
    <w:rsid w:val="000805BC"/>
    <w:rsid w:val="00080608"/>
    <w:rsid w:val="00080982"/>
    <w:rsid w:val="000809DF"/>
    <w:rsid w:val="00080C51"/>
    <w:rsid w:val="0008131C"/>
    <w:rsid w:val="00081713"/>
    <w:rsid w:val="000817A1"/>
    <w:rsid w:val="00081948"/>
    <w:rsid w:val="00081952"/>
    <w:rsid w:val="00082322"/>
    <w:rsid w:val="0008234E"/>
    <w:rsid w:val="00082377"/>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5EF"/>
    <w:rsid w:val="000846E9"/>
    <w:rsid w:val="000848C3"/>
    <w:rsid w:val="000849D7"/>
    <w:rsid w:val="00084A05"/>
    <w:rsid w:val="00084B23"/>
    <w:rsid w:val="00084FE2"/>
    <w:rsid w:val="00085002"/>
    <w:rsid w:val="000851B1"/>
    <w:rsid w:val="00085227"/>
    <w:rsid w:val="000852B5"/>
    <w:rsid w:val="00085AF9"/>
    <w:rsid w:val="00085B15"/>
    <w:rsid w:val="00085C48"/>
    <w:rsid w:val="00085D2A"/>
    <w:rsid w:val="00085D71"/>
    <w:rsid w:val="00085F6D"/>
    <w:rsid w:val="0008601C"/>
    <w:rsid w:val="00086020"/>
    <w:rsid w:val="000861B9"/>
    <w:rsid w:val="000861C0"/>
    <w:rsid w:val="0008620D"/>
    <w:rsid w:val="0008626C"/>
    <w:rsid w:val="00086927"/>
    <w:rsid w:val="00086998"/>
    <w:rsid w:val="00086C03"/>
    <w:rsid w:val="00086EFE"/>
    <w:rsid w:val="00087282"/>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A1"/>
    <w:rsid w:val="00093073"/>
    <w:rsid w:val="00093393"/>
    <w:rsid w:val="00093464"/>
    <w:rsid w:val="000935DA"/>
    <w:rsid w:val="00093680"/>
    <w:rsid w:val="00093DF7"/>
    <w:rsid w:val="00093EE8"/>
    <w:rsid w:val="00093F6E"/>
    <w:rsid w:val="0009426B"/>
    <w:rsid w:val="000944DB"/>
    <w:rsid w:val="000945AA"/>
    <w:rsid w:val="00094A82"/>
    <w:rsid w:val="00094BE8"/>
    <w:rsid w:val="00094C99"/>
    <w:rsid w:val="00094CC8"/>
    <w:rsid w:val="00094CE8"/>
    <w:rsid w:val="000950F5"/>
    <w:rsid w:val="00095435"/>
    <w:rsid w:val="000956AB"/>
    <w:rsid w:val="00095B18"/>
    <w:rsid w:val="00095B23"/>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C7"/>
    <w:rsid w:val="000976D2"/>
    <w:rsid w:val="000979E2"/>
    <w:rsid w:val="00097DD0"/>
    <w:rsid w:val="000A0203"/>
    <w:rsid w:val="000A022B"/>
    <w:rsid w:val="000A03AE"/>
    <w:rsid w:val="000A06D5"/>
    <w:rsid w:val="000A08FB"/>
    <w:rsid w:val="000A0C74"/>
    <w:rsid w:val="000A0CC1"/>
    <w:rsid w:val="000A0CE8"/>
    <w:rsid w:val="000A0CFB"/>
    <w:rsid w:val="000A0D6C"/>
    <w:rsid w:val="000A0F92"/>
    <w:rsid w:val="000A1016"/>
    <w:rsid w:val="000A1125"/>
    <w:rsid w:val="000A1172"/>
    <w:rsid w:val="000A1189"/>
    <w:rsid w:val="000A13AE"/>
    <w:rsid w:val="000A1480"/>
    <w:rsid w:val="000A173F"/>
    <w:rsid w:val="000A1897"/>
    <w:rsid w:val="000A1902"/>
    <w:rsid w:val="000A1A1F"/>
    <w:rsid w:val="000A1A94"/>
    <w:rsid w:val="000A1C46"/>
    <w:rsid w:val="000A1F58"/>
    <w:rsid w:val="000A2051"/>
    <w:rsid w:val="000A2497"/>
    <w:rsid w:val="000A2DA2"/>
    <w:rsid w:val="000A2DAE"/>
    <w:rsid w:val="000A2E01"/>
    <w:rsid w:val="000A34BA"/>
    <w:rsid w:val="000A34F3"/>
    <w:rsid w:val="000A3686"/>
    <w:rsid w:val="000A38B4"/>
    <w:rsid w:val="000A3D00"/>
    <w:rsid w:val="000A3FFB"/>
    <w:rsid w:val="000A414A"/>
    <w:rsid w:val="000A41F4"/>
    <w:rsid w:val="000A4578"/>
    <w:rsid w:val="000A4A3B"/>
    <w:rsid w:val="000A4DA3"/>
    <w:rsid w:val="000A4F98"/>
    <w:rsid w:val="000A539A"/>
    <w:rsid w:val="000A54ED"/>
    <w:rsid w:val="000A5506"/>
    <w:rsid w:val="000A5577"/>
    <w:rsid w:val="000A5754"/>
    <w:rsid w:val="000A5860"/>
    <w:rsid w:val="000A5902"/>
    <w:rsid w:val="000A5D65"/>
    <w:rsid w:val="000A5E91"/>
    <w:rsid w:val="000A5EAC"/>
    <w:rsid w:val="000A60F3"/>
    <w:rsid w:val="000A63A4"/>
    <w:rsid w:val="000A6A43"/>
    <w:rsid w:val="000A6D69"/>
    <w:rsid w:val="000A6F72"/>
    <w:rsid w:val="000A6F99"/>
    <w:rsid w:val="000A6FE6"/>
    <w:rsid w:val="000A721F"/>
    <w:rsid w:val="000A72E7"/>
    <w:rsid w:val="000A77E9"/>
    <w:rsid w:val="000A79A7"/>
    <w:rsid w:val="000A7ACC"/>
    <w:rsid w:val="000A7D7F"/>
    <w:rsid w:val="000A7EBB"/>
    <w:rsid w:val="000B0123"/>
    <w:rsid w:val="000B0141"/>
    <w:rsid w:val="000B0362"/>
    <w:rsid w:val="000B0529"/>
    <w:rsid w:val="000B07B3"/>
    <w:rsid w:val="000B086E"/>
    <w:rsid w:val="000B09B0"/>
    <w:rsid w:val="000B0BBF"/>
    <w:rsid w:val="000B0C83"/>
    <w:rsid w:val="000B0D2B"/>
    <w:rsid w:val="000B0E8D"/>
    <w:rsid w:val="000B0F08"/>
    <w:rsid w:val="000B0FDB"/>
    <w:rsid w:val="000B1128"/>
    <w:rsid w:val="000B1135"/>
    <w:rsid w:val="000B1156"/>
    <w:rsid w:val="000B15B4"/>
    <w:rsid w:val="000B1A73"/>
    <w:rsid w:val="000B1B49"/>
    <w:rsid w:val="000B1CAA"/>
    <w:rsid w:val="000B2097"/>
    <w:rsid w:val="000B21DC"/>
    <w:rsid w:val="000B224F"/>
    <w:rsid w:val="000B2473"/>
    <w:rsid w:val="000B2535"/>
    <w:rsid w:val="000B2E06"/>
    <w:rsid w:val="000B2E78"/>
    <w:rsid w:val="000B2F43"/>
    <w:rsid w:val="000B330A"/>
    <w:rsid w:val="000B394D"/>
    <w:rsid w:val="000B3B3B"/>
    <w:rsid w:val="000B3B63"/>
    <w:rsid w:val="000B3FFC"/>
    <w:rsid w:val="000B3FFE"/>
    <w:rsid w:val="000B41ED"/>
    <w:rsid w:val="000B43F5"/>
    <w:rsid w:val="000B43FB"/>
    <w:rsid w:val="000B4569"/>
    <w:rsid w:val="000B45D7"/>
    <w:rsid w:val="000B4721"/>
    <w:rsid w:val="000B4993"/>
    <w:rsid w:val="000B4A43"/>
    <w:rsid w:val="000B4EA9"/>
    <w:rsid w:val="000B4EC2"/>
    <w:rsid w:val="000B4FDF"/>
    <w:rsid w:val="000B5054"/>
    <w:rsid w:val="000B51F4"/>
    <w:rsid w:val="000B5244"/>
    <w:rsid w:val="000B527F"/>
    <w:rsid w:val="000B52C2"/>
    <w:rsid w:val="000B5452"/>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C003D"/>
    <w:rsid w:val="000C074E"/>
    <w:rsid w:val="000C1275"/>
    <w:rsid w:val="000C15B8"/>
    <w:rsid w:val="000C1698"/>
    <w:rsid w:val="000C1890"/>
    <w:rsid w:val="000C196B"/>
    <w:rsid w:val="000C1E46"/>
    <w:rsid w:val="000C1F62"/>
    <w:rsid w:val="000C206A"/>
    <w:rsid w:val="000C2090"/>
    <w:rsid w:val="000C210C"/>
    <w:rsid w:val="000C219A"/>
    <w:rsid w:val="000C24A8"/>
    <w:rsid w:val="000C2692"/>
    <w:rsid w:val="000C2706"/>
    <w:rsid w:val="000C2707"/>
    <w:rsid w:val="000C2E10"/>
    <w:rsid w:val="000C3279"/>
    <w:rsid w:val="000C3406"/>
    <w:rsid w:val="000C3497"/>
    <w:rsid w:val="000C36BD"/>
    <w:rsid w:val="000C36F6"/>
    <w:rsid w:val="000C394A"/>
    <w:rsid w:val="000C3A98"/>
    <w:rsid w:val="000C3C31"/>
    <w:rsid w:val="000C41AB"/>
    <w:rsid w:val="000C4314"/>
    <w:rsid w:val="000C440E"/>
    <w:rsid w:val="000C463D"/>
    <w:rsid w:val="000C4681"/>
    <w:rsid w:val="000C48A6"/>
    <w:rsid w:val="000C4985"/>
    <w:rsid w:val="000C4C98"/>
    <w:rsid w:val="000C4D5E"/>
    <w:rsid w:val="000C4E0C"/>
    <w:rsid w:val="000C4E9E"/>
    <w:rsid w:val="000C4F33"/>
    <w:rsid w:val="000C4F74"/>
    <w:rsid w:val="000C5166"/>
    <w:rsid w:val="000C516C"/>
    <w:rsid w:val="000C5319"/>
    <w:rsid w:val="000C53CE"/>
    <w:rsid w:val="000C54E9"/>
    <w:rsid w:val="000C555D"/>
    <w:rsid w:val="000C5ED7"/>
    <w:rsid w:val="000C5F12"/>
    <w:rsid w:val="000C6043"/>
    <w:rsid w:val="000C6211"/>
    <w:rsid w:val="000C653B"/>
    <w:rsid w:val="000C655D"/>
    <w:rsid w:val="000C692E"/>
    <w:rsid w:val="000C69D5"/>
    <w:rsid w:val="000C6D78"/>
    <w:rsid w:val="000C6EBF"/>
    <w:rsid w:val="000C6F06"/>
    <w:rsid w:val="000C6F5F"/>
    <w:rsid w:val="000C70D6"/>
    <w:rsid w:val="000C76DD"/>
    <w:rsid w:val="000C7E46"/>
    <w:rsid w:val="000D02EB"/>
    <w:rsid w:val="000D0723"/>
    <w:rsid w:val="000D07F4"/>
    <w:rsid w:val="000D0D09"/>
    <w:rsid w:val="000D0E8B"/>
    <w:rsid w:val="000D0F36"/>
    <w:rsid w:val="000D0F46"/>
    <w:rsid w:val="000D11FA"/>
    <w:rsid w:val="000D144A"/>
    <w:rsid w:val="000D16DF"/>
    <w:rsid w:val="000D1A8A"/>
    <w:rsid w:val="000D1AC6"/>
    <w:rsid w:val="000D1D24"/>
    <w:rsid w:val="000D21FE"/>
    <w:rsid w:val="000D248C"/>
    <w:rsid w:val="000D25C5"/>
    <w:rsid w:val="000D25DD"/>
    <w:rsid w:val="000D26A3"/>
    <w:rsid w:val="000D26C9"/>
    <w:rsid w:val="000D279E"/>
    <w:rsid w:val="000D281B"/>
    <w:rsid w:val="000D2828"/>
    <w:rsid w:val="000D2C0F"/>
    <w:rsid w:val="000D2EFE"/>
    <w:rsid w:val="000D309B"/>
    <w:rsid w:val="000D30F6"/>
    <w:rsid w:val="000D3225"/>
    <w:rsid w:val="000D3324"/>
    <w:rsid w:val="000D3332"/>
    <w:rsid w:val="000D335B"/>
    <w:rsid w:val="000D3397"/>
    <w:rsid w:val="000D33BE"/>
    <w:rsid w:val="000D38C3"/>
    <w:rsid w:val="000D398B"/>
    <w:rsid w:val="000D3E70"/>
    <w:rsid w:val="000D3EA8"/>
    <w:rsid w:val="000D3F97"/>
    <w:rsid w:val="000D3FA5"/>
    <w:rsid w:val="000D3FE7"/>
    <w:rsid w:val="000D4081"/>
    <w:rsid w:val="000D42FB"/>
    <w:rsid w:val="000D45CE"/>
    <w:rsid w:val="000D47A9"/>
    <w:rsid w:val="000D4985"/>
    <w:rsid w:val="000D4BAD"/>
    <w:rsid w:val="000D4CDB"/>
    <w:rsid w:val="000D4EA5"/>
    <w:rsid w:val="000D4F97"/>
    <w:rsid w:val="000D524E"/>
    <w:rsid w:val="000D54BA"/>
    <w:rsid w:val="000D57C6"/>
    <w:rsid w:val="000D5B64"/>
    <w:rsid w:val="000D5C3A"/>
    <w:rsid w:val="000D5CD1"/>
    <w:rsid w:val="000D6209"/>
    <w:rsid w:val="000D643C"/>
    <w:rsid w:val="000D64DD"/>
    <w:rsid w:val="000D6AEB"/>
    <w:rsid w:val="000D6C0B"/>
    <w:rsid w:val="000D6C2E"/>
    <w:rsid w:val="000D7460"/>
    <w:rsid w:val="000D7971"/>
    <w:rsid w:val="000D79DB"/>
    <w:rsid w:val="000D7D7F"/>
    <w:rsid w:val="000D7D9A"/>
    <w:rsid w:val="000D7E52"/>
    <w:rsid w:val="000D7EEC"/>
    <w:rsid w:val="000E008C"/>
    <w:rsid w:val="000E0249"/>
    <w:rsid w:val="000E06F3"/>
    <w:rsid w:val="000E0865"/>
    <w:rsid w:val="000E0994"/>
    <w:rsid w:val="000E09FF"/>
    <w:rsid w:val="000E0A07"/>
    <w:rsid w:val="000E10BC"/>
    <w:rsid w:val="000E11BF"/>
    <w:rsid w:val="000E1232"/>
    <w:rsid w:val="000E1253"/>
    <w:rsid w:val="000E12D6"/>
    <w:rsid w:val="000E1590"/>
    <w:rsid w:val="000E1859"/>
    <w:rsid w:val="000E1C30"/>
    <w:rsid w:val="000E1CCF"/>
    <w:rsid w:val="000E208B"/>
    <w:rsid w:val="000E2595"/>
    <w:rsid w:val="000E2650"/>
    <w:rsid w:val="000E2824"/>
    <w:rsid w:val="000E2961"/>
    <w:rsid w:val="000E2A71"/>
    <w:rsid w:val="000E2C27"/>
    <w:rsid w:val="000E2CE7"/>
    <w:rsid w:val="000E2D24"/>
    <w:rsid w:val="000E2F58"/>
    <w:rsid w:val="000E2F7A"/>
    <w:rsid w:val="000E321B"/>
    <w:rsid w:val="000E3359"/>
    <w:rsid w:val="000E371C"/>
    <w:rsid w:val="000E37B4"/>
    <w:rsid w:val="000E3C86"/>
    <w:rsid w:val="000E3D59"/>
    <w:rsid w:val="000E3DAC"/>
    <w:rsid w:val="000E3E6F"/>
    <w:rsid w:val="000E401D"/>
    <w:rsid w:val="000E4215"/>
    <w:rsid w:val="000E439E"/>
    <w:rsid w:val="000E4476"/>
    <w:rsid w:val="000E4703"/>
    <w:rsid w:val="000E478F"/>
    <w:rsid w:val="000E48E2"/>
    <w:rsid w:val="000E48F7"/>
    <w:rsid w:val="000E4CBB"/>
    <w:rsid w:val="000E4DCA"/>
    <w:rsid w:val="000E5132"/>
    <w:rsid w:val="000E53E9"/>
    <w:rsid w:val="000E5466"/>
    <w:rsid w:val="000E5525"/>
    <w:rsid w:val="000E554E"/>
    <w:rsid w:val="000E57D3"/>
    <w:rsid w:val="000E60DC"/>
    <w:rsid w:val="000E62CE"/>
    <w:rsid w:val="000E62D4"/>
    <w:rsid w:val="000E62F5"/>
    <w:rsid w:val="000E6382"/>
    <w:rsid w:val="000E678B"/>
    <w:rsid w:val="000E6A44"/>
    <w:rsid w:val="000E7231"/>
    <w:rsid w:val="000E7316"/>
    <w:rsid w:val="000E74CA"/>
    <w:rsid w:val="000E77B6"/>
    <w:rsid w:val="000E7838"/>
    <w:rsid w:val="000E7910"/>
    <w:rsid w:val="000E795C"/>
    <w:rsid w:val="000E7A0C"/>
    <w:rsid w:val="000E7AF9"/>
    <w:rsid w:val="000E7C99"/>
    <w:rsid w:val="000E7EFD"/>
    <w:rsid w:val="000F0028"/>
    <w:rsid w:val="000F01E6"/>
    <w:rsid w:val="000F0397"/>
    <w:rsid w:val="000F0979"/>
    <w:rsid w:val="000F0B3B"/>
    <w:rsid w:val="000F0C34"/>
    <w:rsid w:val="000F0C76"/>
    <w:rsid w:val="000F0D7A"/>
    <w:rsid w:val="000F0E42"/>
    <w:rsid w:val="000F17AF"/>
    <w:rsid w:val="000F181A"/>
    <w:rsid w:val="000F2136"/>
    <w:rsid w:val="000F229F"/>
    <w:rsid w:val="000F2348"/>
    <w:rsid w:val="000F2381"/>
    <w:rsid w:val="000F240D"/>
    <w:rsid w:val="000F2592"/>
    <w:rsid w:val="000F3317"/>
    <w:rsid w:val="000F3518"/>
    <w:rsid w:val="000F37A3"/>
    <w:rsid w:val="000F3843"/>
    <w:rsid w:val="000F385E"/>
    <w:rsid w:val="000F3C18"/>
    <w:rsid w:val="000F3C91"/>
    <w:rsid w:val="000F3D72"/>
    <w:rsid w:val="000F42A6"/>
    <w:rsid w:val="000F4378"/>
    <w:rsid w:val="000F43EF"/>
    <w:rsid w:val="000F44ED"/>
    <w:rsid w:val="000F470E"/>
    <w:rsid w:val="000F4813"/>
    <w:rsid w:val="000F4DBC"/>
    <w:rsid w:val="000F4F02"/>
    <w:rsid w:val="000F4F39"/>
    <w:rsid w:val="000F4FC2"/>
    <w:rsid w:val="000F50E7"/>
    <w:rsid w:val="000F512F"/>
    <w:rsid w:val="000F5225"/>
    <w:rsid w:val="000F5401"/>
    <w:rsid w:val="000F5493"/>
    <w:rsid w:val="000F54C6"/>
    <w:rsid w:val="000F5681"/>
    <w:rsid w:val="000F57CC"/>
    <w:rsid w:val="000F581F"/>
    <w:rsid w:val="000F5829"/>
    <w:rsid w:val="000F58A7"/>
    <w:rsid w:val="000F5A9B"/>
    <w:rsid w:val="000F5B31"/>
    <w:rsid w:val="000F5E7A"/>
    <w:rsid w:val="000F616A"/>
    <w:rsid w:val="000F6258"/>
    <w:rsid w:val="000F636C"/>
    <w:rsid w:val="000F64E1"/>
    <w:rsid w:val="000F652F"/>
    <w:rsid w:val="000F66A1"/>
    <w:rsid w:val="000F67F0"/>
    <w:rsid w:val="000F6921"/>
    <w:rsid w:val="000F6CE4"/>
    <w:rsid w:val="000F72E1"/>
    <w:rsid w:val="000F736E"/>
    <w:rsid w:val="000F738E"/>
    <w:rsid w:val="000F74AB"/>
    <w:rsid w:val="000F74D5"/>
    <w:rsid w:val="000F7671"/>
    <w:rsid w:val="000F775A"/>
    <w:rsid w:val="000F7C70"/>
    <w:rsid w:val="000F7E2B"/>
    <w:rsid w:val="001003BB"/>
    <w:rsid w:val="00100421"/>
    <w:rsid w:val="0010063E"/>
    <w:rsid w:val="001006D6"/>
    <w:rsid w:val="001006F0"/>
    <w:rsid w:val="001008FB"/>
    <w:rsid w:val="00100CF1"/>
    <w:rsid w:val="00100EF3"/>
    <w:rsid w:val="00100FA0"/>
    <w:rsid w:val="001011B1"/>
    <w:rsid w:val="00101254"/>
    <w:rsid w:val="0010150F"/>
    <w:rsid w:val="0010166A"/>
    <w:rsid w:val="00101C2D"/>
    <w:rsid w:val="00101CD7"/>
    <w:rsid w:val="00101E70"/>
    <w:rsid w:val="0010209B"/>
    <w:rsid w:val="00102313"/>
    <w:rsid w:val="0010234F"/>
    <w:rsid w:val="001024B0"/>
    <w:rsid w:val="00102653"/>
    <w:rsid w:val="00102833"/>
    <w:rsid w:val="001028FF"/>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823"/>
    <w:rsid w:val="001048BF"/>
    <w:rsid w:val="001049C9"/>
    <w:rsid w:val="00104AC6"/>
    <w:rsid w:val="00104C7F"/>
    <w:rsid w:val="00104E4C"/>
    <w:rsid w:val="001051DA"/>
    <w:rsid w:val="00105422"/>
    <w:rsid w:val="00105502"/>
    <w:rsid w:val="00105F33"/>
    <w:rsid w:val="00106284"/>
    <w:rsid w:val="0010635B"/>
    <w:rsid w:val="00106636"/>
    <w:rsid w:val="00106A5A"/>
    <w:rsid w:val="00106D64"/>
    <w:rsid w:val="00106E02"/>
    <w:rsid w:val="00107187"/>
    <w:rsid w:val="001073A4"/>
    <w:rsid w:val="0010780D"/>
    <w:rsid w:val="00107862"/>
    <w:rsid w:val="001078AC"/>
    <w:rsid w:val="0010791C"/>
    <w:rsid w:val="001079D8"/>
    <w:rsid w:val="00107B30"/>
    <w:rsid w:val="00107B44"/>
    <w:rsid w:val="00107C2C"/>
    <w:rsid w:val="00107C4E"/>
    <w:rsid w:val="00107C9C"/>
    <w:rsid w:val="00107D1D"/>
    <w:rsid w:val="001101EC"/>
    <w:rsid w:val="001104BE"/>
    <w:rsid w:val="001104C4"/>
    <w:rsid w:val="00110517"/>
    <w:rsid w:val="00110661"/>
    <w:rsid w:val="00110754"/>
    <w:rsid w:val="00110A92"/>
    <w:rsid w:val="00110AF8"/>
    <w:rsid w:val="00110B0A"/>
    <w:rsid w:val="00110C17"/>
    <w:rsid w:val="00110D04"/>
    <w:rsid w:val="00110F91"/>
    <w:rsid w:val="0011139D"/>
    <w:rsid w:val="0011199A"/>
    <w:rsid w:val="00111AB0"/>
    <w:rsid w:val="00111B72"/>
    <w:rsid w:val="00111BB5"/>
    <w:rsid w:val="00111D5C"/>
    <w:rsid w:val="00111DD5"/>
    <w:rsid w:val="0011204B"/>
    <w:rsid w:val="00112212"/>
    <w:rsid w:val="0011261B"/>
    <w:rsid w:val="00112659"/>
    <w:rsid w:val="00112BFA"/>
    <w:rsid w:val="00112C7A"/>
    <w:rsid w:val="00112D88"/>
    <w:rsid w:val="00112DC9"/>
    <w:rsid w:val="00112EA1"/>
    <w:rsid w:val="00112EB8"/>
    <w:rsid w:val="00112F41"/>
    <w:rsid w:val="00113254"/>
    <w:rsid w:val="001133A4"/>
    <w:rsid w:val="00113451"/>
    <w:rsid w:val="0011354B"/>
    <w:rsid w:val="001135ED"/>
    <w:rsid w:val="0011375C"/>
    <w:rsid w:val="001137C8"/>
    <w:rsid w:val="001137CA"/>
    <w:rsid w:val="00113A8F"/>
    <w:rsid w:val="00113C06"/>
    <w:rsid w:val="001140D4"/>
    <w:rsid w:val="001141CF"/>
    <w:rsid w:val="00114447"/>
    <w:rsid w:val="001146A0"/>
    <w:rsid w:val="0011490F"/>
    <w:rsid w:val="00114978"/>
    <w:rsid w:val="00114A55"/>
    <w:rsid w:val="00114A83"/>
    <w:rsid w:val="00114D97"/>
    <w:rsid w:val="001151F2"/>
    <w:rsid w:val="00115763"/>
    <w:rsid w:val="00115942"/>
    <w:rsid w:val="00115943"/>
    <w:rsid w:val="00115979"/>
    <w:rsid w:val="00115A3B"/>
    <w:rsid w:val="00115A7A"/>
    <w:rsid w:val="00115B77"/>
    <w:rsid w:val="00115BEF"/>
    <w:rsid w:val="00115CAE"/>
    <w:rsid w:val="001160B0"/>
    <w:rsid w:val="001160FB"/>
    <w:rsid w:val="0011665B"/>
    <w:rsid w:val="001167AC"/>
    <w:rsid w:val="00116B52"/>
    <w:rsid w:val="00116C62"/>
    <w:rsid w:val="00116D7F"/>
    <w:rsid w:val="00117108"/>
    <w:rsid w:val="00117175"/>
    <w:rsid w:val="00117253"/>
    <w:rsid w:val="00117358"/>
    <w:rsid w:val="001174DD"/>
    <w:rsid w:val="00117635"/>
    <w:rsid w:val="00117A2B"/>
    <w:rsid w:val="00117BC8"/>
    <w:rsid w:val="00117C45"/>
    <w:rsid w:val="00117C62"/>
    <w:rsid w:val="00117CA0"/>
    <w:rsid w:val="00117D44"/>
    <w:rsid w:val="00117E59"/>
    <w:rsid w:val="00117E5C"/>
    <w:rsid w:val="00120019"/>
    <w:rsid w:val="0012020D"/>
    <w:rsid w:val="001206A9"/>
    <w:rsid w:val="0012074E"/>
    <w:rsid w:val="001207FD"/>
    <w:rsid w:val="00120AFC"/>
    <w:rsid w:val="00120C39"/>
    <w:rsid w:val="00120C60"/>
    <w:rsid w:val="00120CD9"/>
    <w:rsid w:val="0012135A"/>
    <w:rsid w:val="00121418"/>
    <w:rsid w:val="0012165E"/>
    <w:rsid w:val="001216C8"/>
    <w:rsid w:val="001218AD"/>
    <w:rsid w:val="00121CCD"/>
    <w:rsid w:val="00121D83"/>
    <w:rsid w:val="001226E3"/>
    <w:rsid w:val="0012282D"/>
    <w:rsid w:val="001229F8"/>
    <w:rsid w:val="00122A53"/>
    <w:rsid w:val="00122A5B"/>
    <w:rsid w:val="00122DB8"/>
    <w:rsid w:val="00122EC6"/>
    <w:rsid w:val="00122EF1"/>
    <w:rsid w:val="00122F50"/>
    <w:rsid w:val="0012303E"/>
    <w:rsid w:val="0012309F"/>
    <w:rsid w:val="001233F3"/>
    <w:rsid w:val="0012341B"/>
    <w:rsid w:val="00123451"/>
    <w:rsid w:val="0012354D"/>
    <w:rsid w:val="0012358D"/>
    <w:rsid w:val="0012386D"/>
    <w:rsid w:val="00123C6B"/>
    <w:rsid w:val="00123C87"/>
    <w:rsid w:val="00123CD1"/>
    <w:rsid w:val="00123FDC"/>
    <w:rsid w:val="00124151"/>
    <w:rsid w:val="00124210"/>
    <w:rsid w:val="00124248"/>
    <w:rsid w:val="00124732"/>
    <w:rsid w:val="001248A3"/>
    <w:rsid w:val="001248FD"/>
    <w:rsid w:val="00124C8B"/>
    <w:rsid w:val="00124D00"/>
    <w:rsid w:val="00124E36"/>
    <w:rsid w:val="00124EAB"/>
    <w:rsid w:val="00125286"/>
    <w:rsid w:val="00125301"/>
    <w:rsid w:val="0012535E"/>
    <w:rsid w:val="00125402"/>
    <w:rsid w:val="0012550F"/>
    <w:rsid w:val="00125659"/>
    <w:rsid w:val="00125686"/>
    <w:rsid w:val="001257EB"/>
    <w:rsid w:val="0012582F"/>
    <w:rsid w:val="00125B2E"/>
    <w:rsid w:val="00126237"/>
    <w:rsid w:val="00126824"/>
    <w:rsid w:val="001268BB"/>
    <w:rsid w:val="00126915"/>
    <w:rsid w:val="00126958"/>
    <w:rsid w:val="001269B8"/>
    <w:rsid w:val="00126B14"/>
    <w:rsid w:val="00126BFE"/>
    <w:rsid w:val="00126D60"/>
    <w:rsid w:val="001271FC"/>
    <w:rsid w:val="001273F8"/>
    <w:rsid w:val="0012745B"/>
    <w:rsid w:val="001274A9"/>
    <w:rsid w:val="001275B2"/>
    <w:rsid w:val="001278ED"/>
    <w:rsid w:val="00127B9E"/>
    <w:rsid w:val="00127CA5"/>
    <w:rsid w:val="00127D7F"/>
    <w:rsid w:val="00127EBF"/>
    <w:rsid w:val="00127FC5"/>
    <w:rsid w:val="00130315"/>
    <w:rsid w:val="001304DC"/>
    <w:rsid w:val="0013052D"/>
    <w:rsid w:val="00130A6F"/>
    <w:rsid w:val="00130B75"/>
    <w:rsid w:val="00130C86"/>
    <w:rsid w:val="00130C9F"/>
    <w:rsid w:val="00130D4E"/>
    <w:rsid w:val="00130DBC"/>
    <w:rsid w:val="00130F26"/>
    <w:rsid w:val="001310F1"/>
    <w:rsid w:val="00131197"/>
    <w:rsid w:val="00131391"/>
    <w:rsid w:val="001314B9"/>
    <w:rsid w:val="001316FA"/>
    <w:rsid w:val="0013186F"/>
    <w:rsid w:val="001319A0"/>
    <w:rsid w:val="00131D11"/>
    <w:rsid w:val="00131ED2"/>
    <w:rsid w:val="00132024"/>
    <w:rsid w:val="00132696"/>
    <w:rsid w:val="001328EB"/>
    <w:rsid w:val="00132D5E"/>
    <w:rsid w:val="00132E43"/>
    <w:rsid w:val="00132F01"/>
    <w:rsid w:val="00133060"/>
    <w:rsid w:val="0013309E"/>
    <w:rsid w:val="00133280"/>
    <w:rsid w:val="0013339C"/>
    <w:rsid w:val="001333F0"/>
    <w:rsid w:val="001335C9"/>
    <w:rsid w:val="001335CB"/>
    <w:rsid w:val="001339AC"/>
    <w:rsid w:val="001339FA"/>
    <w:rsid w:val="00133CE0"/>
    <w:rsid w:val="00133D72"/>
    <w:rsid w:val="001342F7"/>
    <w:rsid w:val="00134320"/>
    <w:rsid w:val="00134437"/>
    <w:rsid w:val="001344F5"/>
    <w:rsid w:val="0013450B"/>
    <w:rsid w:val="001346A0"/>
    <w:rsid w:val="001348C4"/>
    <w:rsid w:val="00134B36"/>
    <w:rsid w:val="00134DBA"/>
    <w:rsid w:val="00134EFC"/>
    <w:rsid w:val="00134F72"/>
    <w:rsid w:val="00135024"/>
    <w:rsid w:val="001352D6"/>
    <w:rsid w:val="0013565E"/>
    <w:rsid w:val="00135760"/>
    <w:rsid w:val="001359D7"/>
    <w:rsid w:val="00135DD4"/>
    <w:rsid w:val="00135E44"/>
    <w:rsid w:val="0013606C"/>
    <w:rsid w:val="001361CD"/>
    <w:rsid w:val="001361D6"/>
    <w:rsid w:val="0013624E"/>
    <w:rsid w:val="001363BC"/>
    <w:rsid w:val="0013654A"/>
    <w:rsid w:val="00136A38"/>
    <w:rsid w:val="001371D4"/>
    <w:rsid w:val="001371DC"/>
    <w:rsid w:val="001379B7"/>
    <w:rsid w:val="00137A98"/>
    <w:rsid w:val="00137DD9"/>
    <w:rsid w:val="00137F03"/>
    <w:rsid w:val="001400A0"/>
    <w:rsid w:val="001404E9"/>
    <w:rsid w:val="00140656"/>
    <w:rsid w:val="0014097B"/>
    <w:rsid w:val="00140A96"/>
    <w:rsid w:val="00140C98"/>
    <w:rsid w:val="00140CC4"/>
    <w:rsid w:val="00140E02"/>
    <w:rsid w:val="00141657"/>
    <w:rsid w:val="001416C8"/>
    <w:rsid w:val="00141C91"/>
    <w:rsid w:val="00141D25"/>
    <w:rsid w:val="00141DF4"/>
    <w:rsid w:val="00141E33"/>
    <w:rsid w:val="00142005"/>
    <w:rsid w:val="0014257F"/>
    <w:rsid w:val="001426BC"/>
    <w:rsid w:val="00142714"/>
    <w:rsid w:val="00142776"/>
    <w:rsid w:val="00142876"/>
    <w:rsid w:val="00142EA5"/>
    <w:rsid w:val="00142F2B"/>
    <w:rsid w:val="00143045"/>
    <w:rsid w:val="001436C2"/>
    <w:rsid w:val="001436DC"/>
    <w:rsid w:val="00143844"/>
    <w:rsid w:val="00143A90"/>
    <w:rsid w:val="00143E6D"/>
    <w:rsid w:val="00144073"/>
    <w:rsid w:val="00144744"/>
    <w:rsid w:val="00144904"/>
    <w:rsid w:val="00144DFB"/>
    <w:rsid w:val="00145102"/>
    <w:rsid w:val="00145206"/>
    <w:rsid w:val="001452BA"/>
    <w:rsid w:val="0014531D"/>
    <w:rsid w:val="001453CC"/>
    <w:rsid w:val="00145496"/>
    <w:rsid w:val="001454C9"/>
    <w:rsid w:val="001455F5"/>
    <w:rsid w:val="001456A7"/>
    <w:rsid w:val="00145BFC"/>
    <w:rsid w:val="00145C76"/>
    <w:rsid w:val="00145C97"/>
    <w:rsid w:val="00145DB1"/>
    <w:rsid w:val="0014623B"/>
    <w:rsid w:val="00146568"/>
    <w:rsid w:val="0014676D"/>
    <w:rsid w:val="00146782"/>
    <w:rsid w:val="00146993"/>
    <w:rsid w:val="001469AB"/>
    <w:rsid w:val="00146C9F"/>
    <w:rsid w:val="00146CFB"/>
    <w:rsid w:val="00146FDE"/>
    <w:rsid w:val="00147261"/>
    <w:rsid w:val="00147382"/>
    <w:rsid w:val="001473A6"/>
    <w:rsid w:val="001473C3"/>
    <w:rsid w:val="00147A05"/>
    <w:rsid w:val="00147FCF"/>
    <w:rsid w:val="00147FEA"/>
    <w:rsid w:val="001501D5"/>
    <w:rsid w:val="00150506"/>
    <w:rsid w:val="00150747"/>
    <w:rsid w:val="001507E8"/>
    <w:rsid w:val="00150876"/>
    <w:rsid w:val="001508A9"/>
    <w:rsid w:val="001509F7"/>
    <w:rsid w:val="00150A8E"/>
    <w:rsid w:val="00150B20"/>
    <w:rsid w:val="00150B66"/>
    <w:rsid w:val="00150CBA"/>
    <w:rsid w:val="00150DF3"/>
    <w:rsid w:val="00150F62"/>
    <w:rsid w:val="00151323"/>
    <w:rsid w:val="0015147A"/>
    <w:rsid w:val="001514AF"/>
    <w:rsid w:val="0015152B"/>
    <w:rsid w:val="001516F0"/>
    <w:rsid w:val="00151747"/>
    <w:rsid w:val="001518CA"/>
    <w:rsid w:val="001519E7"/>
    <w:rsid w:val="00151CA3"/>
    <w:rsid w:val="00151D76"/>
    <w:rsid w:val="00151DC4"/>
    <w:rsid w:val="00151E6E"/>
    <w:rsid w:val="00152016"/>
    <w:rsid w:val="001520F6"/>
    <w:rsid w:val="00152108"/>
    <w:rsid w:val="001523EE"/>
    <w:rsid w:val="00152731"/>
    <w:rsid w:val="00152850"/>
    <w:rsid w:val="0015290E"/>
    <w:rsid w:val="00152991"/>
    <w:rsid w:val="00152ABC"/>
    <w:rsid w:val="00152FE4"/>
    <w:rsid w:val="001532A4"/>
    <w:rsid w:val="001537A4"/>
    <w:rsid w:val="001537D0"/>
    <w:rsid w:val="00153B7D"/>
    <w:rsid w:val="00153BC8"/>
    <w:rsid w:val="00153F15"/>
    <w:rsid w:val="00154401"/>
    <w:rsid w:val="001545AD"/>
    <w:rsid w:val="00154682"/>
    <w:rsid w:val="001547F6"/>
    <w:rsid w:val="00154E2A"/>
    <w:rsid w:val="00154E60"/>
    <w:rsid w:val="00155202"/>
    <w:rsid w:val="0015525C"/>
    <w:rsid w:val="0015538F"/>
    <w:rsid w:val="00155434"/>
    <w:rsid w:val="001557D0"/>
    <w:rsid w:val="001564FC"/>
    <w:rsid w:val="00156D28"/>
    <w:rsid w:val="00156D64"/>
    <w:rsid w:val="00156EF9"/>
    <w:rsid w:val="00157375"/>
    <w:rsid w:val="00157500"/>
    <w:rsid w:val="00157721"/>
    <w:rsid w:val="00157952"/>
    <w:rsid w:val="001579D2"/>
    <w:rsid w:val="00157A47"/>
    <w:rsid w:val="001602B3"/>
    <w:rsid w:val="0016040C"/>
    <w:rsid w:val="001604C3"/>
    <w:rsid w:val="0016050D"/>
    <w:rsid w:val="0016079C"/>
    <w:rsid w:val="0016086E"/>
    <w:rsid w:val="001609D0"/>
    <w:rsid w:val="00160A0C"/>
    <w:rsid w:val="00160C89"/>
    <w:rsid w:val="0016104C"/>
    <w:rsid w:val="0016143E"/>
    <w:rsid w:val="00161555"/>
    <w:rsid w:val="00161574"/>
    <w:rsid w:val="001615D5"/>
    <w:rsid w:val="001618DB"/>
    <w:rsid w:val="00161A84"/>
    <w:rsid w:val="00161AF3"/>
    <w:rsid w:val="001620A0"/>
    <w:rsid w:val="001620E1"/>
    <w:rsid w:val="0016223A"/>
    <w:rsid w:val="001623B5"/>
    <w:rsid w:val="001624B5"/>
    <w:rsid w:val="001626D9"/>
    <w:rsid w:val="001627F3"/>
    <w:rsid w:val="001629D3"/>
    <w:rsid w:val="00162DFF"/>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F9C"/>
    <w:rsid w:val="001655BB"/>
    <w:rsid w:val="001657CC"/>
    <w:rsid w:val="00165B61"/>
    <w:rsid w:val="00165D1A"/>
    <w:rsid w:val="001664DB"/>
    <w:rsid w:val="0016655E"/>
    <w:rsid w:val="00166A93"/>
    <w:rsid w:val="00166C93"/>
    <w:rsid w:val="00166E60"/>
    <w:rsid w:val="00166F3F"/>
    <w:rsid w:val="001670EA"/>
    <w:rsid w:val="0016784B"/>
    <w:rsid w:val="00167AB6"/>
    <w:rsid w:val="00167EBA"/>
    <w:rsid w:val="00167FB2"/>
    <w:rsid w:val="00167FD9"/>
    <w:rsid w:val="001700A5"/>
    <w:rsid w:val="001703B4"/>
    <w:rsid w:val="001705E4"/>
    <w:rsid w:val="00170D89"/>
    <w:rsid w:val="00170FF3"/>
    <w:rsid w:val="001712A1"/>
    <w:rsid w:val="001712C4"/>
    <w:rsid w:val="00171325"/>
    <w:rsid w:val="00171451"/>
    <w:rsid w:val="00171831"/>
    <w:rsid w:val="001719E1"/>
    <w:rsid w:val="00171BD4"/>
    <w:rsid w:val="00171E69"/>
    <w:rsid w:val="0017203E"/>
    <w:rsid w:val="001721B3"/>
    <w:rsid w:val="001722BA"/>
    <w:rsid w:val="0017234F"/>
    <w:rsid w:val="0017273A"/>
    <w:rsid w:val="00172877"/>
    <w:rsid w:val="00172A27"/>
    <w:rsid w:val="0017305A"/>
    <w:rsid w:val="00173062"/>
    <w:rsid w:val="00173087"/>
    <w:rsid w:val="001730AA"/>
    <w:rsid w:val="001733BD"/>
    <w:rsid w:val="0017344E"/>
    <w:rsid w:val="0017345B"/>
    <w:rsid w:val="0017345C"/>
    <w:rsid w:val="001734C6"/>
    <w:rsid w:val="001734F4"/>
    <w:rsid w:val="00174052"/>
    <w:rsid w:val="00174088"/>
    <w:rsid w:val="00174325"/>
    <w:rsid w:val="00174359"/>
    <w:rsid w:val="001743FA"/>
    <w:rsid w:val="001744DA"/>
    <w:rsid w:val="00174694"/>
    <w:rsid w:val="00174952"/>
    <w:rsid w:val="001749EC"/>
    <w:rsid w:val="00174B65"/>
    <w:rsid w:val="00174B82"/>
    <w:rsid w:val="00174D35"/>
    <w:rsid w:val="001754F7"/>
    <w:rsid w:val="00175843"/>
    <w:rsid w:val="001759C5"/>
    <w:rsid w:val="00175AFE"/>
    <w:rsid w:val="00175BBF"/>
    <w:rsid w:val="0017603C"/>
    <w:rsid w:val="00176149"/>
    <w:rsid w:val="0017622F"/>
    <w:rsid w:val="0017623A"/>
    <w:rsid w:val="00176250"/>
    <w:rsid w:val="00176399"/>
    <w:rsid w:val="00176768"/>
    <w:rsid w:val="0017677A"/>
    <w:rsid w:val="00176794"/>
    <w:rsid w:val="001767E0"/>
    <w:rsid w:val="0017690B"/>
    <w:rsid w:val="00176DE2"/>
    <w:rsid w:val="00176E48"/>
    <w:rsid w:val="001770BF"/>
    <w:rsid w:val="001770D4"/>
    <w:rsid w:val="0017712C"/>
    <w:rsid w:val="00177148"/>
    <w:rsid w:val="001772BB"/>
    <w:rsid w:val="00177385"/>
    <w:rsid w:val="001776C7"/>
    <w:rsid w:val="00177707"/>
    <w:rsid w:val="00177873"/>
    <w:rsid w:val="00177A63"/>
    <w:rsid w:val="00177B45"/>
    <w:rsid w:val="00177F9F"/>
    <w:rsid w:val="00180172"/>
    <w:rsid w:val="001801F4"/>
    <w:rsid w:val="001802CA"/>
    <w:rsid w:val="00180775"/>
    <w:rsid w:val="00180829"/>
    <w:rsid w:val="0018083E"/>
    <w:rsid w:val="0018085E"/>
    <w:rsid w:val="00180954"/>
    <w:rsid w:val="00180975"/>
    <w:rsid w:val="001809C7"/>
    <w:rsid w:val="00180F7B"/>
    <w:rsid w:val="0018115A"/>
    <w:rsid w:val="001813A3"/>
    <w:rsid w:val="001813BA"/>
    <w:rsid w:val="001813BE"/>
    <w:rsid w:val="001813C3"/>
    <w:rsid w:val="00181581"/>
    <w:rsid w:val="00181919"/>
    <w:rsid w:val="00181A20"/>
    <w:rsid w:val="00181C43"/>
    <w:rsid w:val="00181C75"/>
    <w:rsid w:val="00181D48"/>
    <w:rsid w:val="00181D80"/>
    <w:rsid w:val="001822D5"/>
    <w:rsid w:val="00182348"/>
    <w:rsid w:val="00182464"/>
    <w:rsid w:val="001824BE"/>
    <w:rsid w:val="001826C3"/>
    <w:rsid w:val="001829EB"/>
    <w:rsid w:val="00182C70"/>
    <w:rsid w:val="00183026"/>
    <w:rsid w:val="001834AA"/>
    <w:rsid w:val="001835E4"/>
    <w:rsid w:val="001835F6"/>
    <w:rsid w:val="001838C6"/>
    <w:rsid w:val="00183935"/>
    <w:rsid w:val="0018397D"/>
    <w:rsid w:val="00183A51"/>
    <w:rsid w:val="00183A60"/>
    <w:rsid w:val="00183B57"/>
    <w:rsid w:val="00183C2A"/>
    <w:rsid w:val="00183DFC"/>
    <w:rsid w:val="00184004"/>
    <w:rsid w:val="00184171"/>
    <w:rsid w:val="00184298"/>
    <w:rsid w:val="001846ED"/>
    <w:rsid w:val="001849ED"/>
    <w:rsid w:val="00184B0F"/>
    <w:rsid w:val="00184BC3"/>
    <w:rsid w:val="00184DC3"/>
    <w:rsid w:val="00184F04"/>
    <w:rsid w:val="00184FA0"/>
    <w:rsid w:val="00185367"/>
    <w:rsid w:val="0018542F"/>
    <w:rsid w:val="00185A00"/>
    <w:rsid w:val="00185BBA"/>
    <w:rsid w:val="0018614B"/>
    <w:rsid w:val="001862B1"/>
    <w:rsid w:val="001862ED"/>
    <w:rsid w:val="00186763"/>
    <w:rsid w:val="0018676E"/>
    <w:rsid w:val="0018693D"/>
    <w:rsid w:val="00186AEB"/>
    <w:rsid w:val="00186C6E"/>
    <w:rsid w:val="00186CE3"/>
    <w:rsid w:val="0018702E"/>
    <w:rsid w:val="00187162"/>
    <w:rsid w:val="001871FA"/>
    <w:rsid w:val="0018723C"/>
    <w:rsid w:val="001872B3"/>
    <w:rsid w:val="00187350"/>
    <w:rsid w:val="001874D5"/>
    <w:rsid w:val="00187BD3"/>
    <w:rsid w:val="00187D09"/>
    <w:rsid w:val="00187D47"/>
    <w:rsid w:val="00190143"/>
    <w:rsid w:val="0019015C"/>
    <w:rsid w:val="00190335"/>
    <w:rsid w:val="00190396"/>
    <w:rsid w:val="001907E2"/>
    <w:rsid w:val="00190CEE"/>
    <w:rsid w:val="00190D98"/>
    <w:rsid w:val="001914A6"/>
    <w:rsid w:val="00191517"/>
    <w:rsid w:val="00191ABB"/>
    <w:rsid w:val="00191D08"/>
    <w:rsid w:val="00191F11"/>
    <w:rsid w:val="00191FD1"/>
    <w:rsid w:val="00192450"/>
    <w:rsid w:val="001924F5"/>
    <w:rsid w:val="001928B8"/>
    <w:rsid w:val="00192A48"/>
    <w:rsid w:val="00192ADE"/>
    <w:rsid w:val="00192D14"/>
    <w:rsid w:val="00192E9C"/>
    <w:rsid w:val="001930E3"/>
    <w:rsid w:val="00193106"/>
    <w:rsid w:val="00193A98"/>
    <w:rsid w:val="00193BEE"/>
    <w:rsid w:val="00193C95"/>
    <w:rsid w:val="00193D98"/>
    <w:rsid w:val="00193E32"/>
    <w:rsid w:val="00194050"/>
    <w:rsid w:val="00194200"/>
    <w:rsid w:val="00194427"/>
    <w:rsid w:val="001944C6"/>
    <w:rsid w:val="001948CB"/>
    <w:rsid w:val="00194C53"/>
    <w:rsid w:val="001950C6"/>
    <w:rsid w:val="0019525E"/>
    <w:rsid w:val="00195427"/>
    <w:rsid w:val="001954DF"/>
    <w:rsid w:val="00195A71"/>
    <w:rsid w:val="00195B1E"/>
    <w:rsid w:val="00195D3C"/>
    <w:rsid w:val="001961CE"/>
    <w:rsid w:val="00196296"/>
    <w:rsid w:val="0019629F"/>
    <w:rsid w:val="00196AA1"/>
    <w:rsid w:val="00196C49"/>
    <w:rsid w:val="00196D7F"/>
    <w:rsid w:val="001971A4"/>
    <w:rsid w:val="0019751C"/>
    <w:rsid w:val="00197AD9"/>
    <w:rsid w:val="00197DB5"/>
    <w:rsid w:val="00197F02"/>
    <w:rsid w:val="00197F40"/>
    <w:rsid w:val="001A0090"/>
    <w:rsid w:val="001A022D"/>
    <w:rsid w:val="001A0286"/>
    <w:rsid w:val="001A0373"/>
    <w:rsid w:val="001A04AA"/>
    <w:rsid w:val="001A06F8"/>
    <w:rsid w:val="001A0A32"/>
    <w:rsid w:val="001A0FE8"/>
    <w:rsid w:val="001A106A"/>
    <w:rsid w:val="001A1224"/>
    <w:rsid w:val="001A13A8"/>
    <w:rsid w:val="001A168B"/>
    <w:rsid w:val="001A1914"/>
    <w:rsid w:val="001A19C5"/>
    <w:rsid w:val="001A1ABE"/>
    <w:rsid w:val="001A1B50"/>
    <w:rsid w:val="001A1B78"/>
    <w:rsid w:val="001A1BA3"/>
    <w:rsid w:val="001A1F0B"/>
    <w:rsid w:val="001A1F70"/>
    <w:rsid w:val="001A229A"/>
    <w:rsid w:val="001A2347"/>
    <w:rsid w:val="001A2415"/>
    <w:rsid w:val="001A25C9"/>
    <w:rsid w:val="001A27B9"/>
    <w:rsid w:val="001A27E8"/>
    <w:rsid w:val="001A287C"/>
    <w:rsid w:val="001A29C1"/>
    <w:rsid w:val="001A2AFE"/>
    <w:rsid w:val="001A3094"/>
    <w:rsid w:val="001A35AC"/>
    <w:rsid w:val="001A3985"/>
    <w:rsid w:val="001A3B68"/>
    <w:rsid w:val="001A3CCC"/>
    <w:rsid w:val="001A4045"/>
    <w:rsid w:val="001A40CF"/>
    <w:rsid w:val="001A4877"/>
    <w:rsid w:val="001A4A0B"/>
    <w:rsid w:val="001A52A6"/>
    <w:rsid w:val="001A5496"/>
    <w:rsid w:val="001A5595"/>
    <w:rsid w:val="001A55F7"/>
    <w:rsid w:val="001A570C"/>
    <w:rsid w:val="001A57B9"/>
    <w:rsid w:val="001A5A06"/>
    <w:rsid w:val="001A5FC1"/>
    <w:rsid w:val="001A5FF0"/>
    <w:rsid w:val="001A62AF"/>
    <w:rsid w:val="001A63B1"/>
    <w:rsid w:val="001A6701"/>
    <w:rsid w:val="001A6762"/>
    <w:rsid w:val="001A6862"/>
    <w:rsid w:val="001A68CC"/>
    <w:rsid w:val="001A6996"/>
    <w:rsid w:val="001A6BD3"/>
    <w:rsid w:val="001A6D7F"/>
    <w:rsid w:val="001A6F08"/>
    <w:rsid w:val="001A7040"/>
    <w:rsid w:val="001A7042"/>
    <w:rsid w:val="001A70FF"/>
    <w:rsid w:val="001A7361"/>
    <w:rsid w:val="001A76B1"/>
    <w:rsid w:val="001A79C1"/>
    <w:rsid w:val="001A7ACB"/>
    <w:rsid w:val="001A7AE0"/>
    <w:rsid w:val="001A7CDD"/>
    <w:rsid w:val="001A7F41"/>
    <w:rsid w:val="001A7F77"/>
    <w:rsid w:val="001B016B"/>
    <w:rsid w:val="001B0413"/>
    <w:rsid w:val="001B04AA"/>
    <w:rsid w:val="001B055C"/>
    <w:rsid w:val="001B077F"/>
    <w:rsid w:val="001B0993"/>
    <w:rsid w:val="001B0D86"/>
    <w:rsid w:val="001B0F08"/>
    <w:rsid w:val="001B0FC5"/>
    <w:rsid w:val="001B106C"/>
    <w:rsid w:val="001B1142"/>
    <w:rsid w:val="001B11B3"/>
    <w:rsid w:val="001B11C4"/>
    <w:rsid w:val="001B1C0B"/>
    <w:rsid w:val="001B1D06"/>
    <w:rsid w:val="001B2015"/>
    <w:rsid w:val="001B2049"/>
    <w:rsid w:val="001B2067"/>
    <w:rsid w:val="001B2322"/>
    <w:rsid w:val="001B28F9"/>
    <w:rsid w:val="001B2A06"/>
    <w:rsid w:val="001B2EB9"/>
    <w:rsid w:val="001B2FD0"/>
    <w:rsid w:val="001B302C"/>
    <w:rsid w:val="001B30FE"/>
    <w:rsid w:val="001B3159"/>
    <w:rsid w:val="001B3793"/>
    <w:rsid w:val="001B38ED"/>
    <w:rsid w:val="001B39CE"/>
    <w:rsid w:val="001B39DF"/>
    <w:rsid w:val="001B3B2F"/>
    <w:rsid w:val="001B3B98"/>
    <w:rsid w:val="001B3BBA"/>
    <w:rsid w:val="001B3EF9"/>
    <w:rsid w:val="001B40C8"/>
    <w:rsid w:val="001B40F1"/>
    <w:rsid w:val="001B43B1"/>
    <w:rsid w:val="001B4499"/>
    <w:rsid w:val="001B49F0"/>
    <w:rsid w:val="001B504D"/>
    <w:rsid w:val="001B5307"/>
    <w:rsid w:val="001B53EE"/>
    <w:rsid w:val="001B56F4"/>
    <w:rsid w:val="001B5918"/>
    <w:rsid w:val="001B5BA3"/>
    <w:rsid w:val="001B5CD4"/>
    <w:rsid w:val="001B64C1"/>
    <w:rsid w:val="001B6C13"/>
    <w:rsid w:val="001B6F07"/>
    <w:rsid w:val="001B7015"/>
    <w:rsid w:val="001B702C"/>
    <w:rsid w:val="001B741C"/>
    <w:rsid w:val="001B76E6"/>
    <w:rsid w:val="001B7D86"/>
    <w:rsid w:val="001B7DF0"/>
    <w:rsid w:val="001B7E75"/>
    <w:rsid w:val="001B7E7E"/>
    <w:rsid w:val="001C00DF"/>
    <w:rsid w:val="001C010E"/>
    <w:rsid w:val="001C0191"/>
    <w:rsid w:val="001C029F"/>
    <w:rsid w:val="001C0850"/>
    <w:rsid w:val="001C0AB3"/>
    <w:rsid w:val="001C0CBC"/>
    <w:rsid w:val="001C1461"/>
    <w:rsid w:val="001C167B"/>
    <w:rsid w:val="001C172A"/>
    <w:rsid w:val="001C1A12"/>
    <w:rsid w:val="001C1AE9"/>
    <w:rsid w:val="001C1B8B"/>
    <w:rsid w:val="001C1E53"/>
    <w:rsid w:val="001C2145"/>
    <w:rsid w:val="001C255E"/>
    <w:rsid w:val="001C2695"/>
    <w:rsid w:val="001C29BE"/>
    <w:rsid w:val="001C2DCD"/>
    <w:rsid w:val="001C2E41"/>
    <w:rsid w:val="001C2F65"/>
    <w:rsid w:val="001C326E"/>
    <w:rsid w:val="001C33D5"/>
    <w:rsid w:val="001C34AE"/>
    <w:rsid w:val="001C34EC"/>
    <w:rsid w:val="001C3701"/>
    <w:rsid w:val="001C38DF"/>
    <w:rsid w:val="001C3982"/>
    <w:rsid w:val="001C4429"/>
    <w:rsid w:val="001C47A0"/>
    <w:rsid w:val="001C47E6"/>
    <w:rsid w:val="001C4E97"/>
    <w:rsid w:val="001C4F2E"/>
    <w:rsid w:val="001C4F89"/>
    <w:rsid w:val="001C50AB"/>
    <w:rsid w:val="001C52A2"/>
    <w:rsid w:val="001C52D4"/>
    <w:rsid w:val="001C536A"/>
    <w:rsid w:val="001C5478"/>
    <w:rsid w:val="001C54F9"/>
    <w:rsid w:val="001C56EF"/>
    <w:rsid w:val="001C57B0"/>
    <w:rsid w:val="001C5849"/>
    <w:rsid w:val="001C5BED"/>
    <w:rsid w:val="001C5D25"/>
    <w:rsid w:val="001C6251"/>
    <w:rsid w:val="001C6412"/>
    <w:rsid w:val="001C660A"/>
    <w:rsid w:val="001C6732"/>
    <w:rsid w:val="001C6AAB"/>
    <w:rsid w:val="001C6AE0"/>
    <w:rsid w:val="001C6B50"/>
    <w:rsid w:val="001C6C55"/>
    <w:rsid w:val="001C70EB"/>
    <w:rsid w:val="001C71C6"/>
    <w:rsid w:val="001C7330"/>
    <w:rsid w:val="001C7368"/>
    <w:rsid w:val="001C778F"/>
    <w:rsid w:val="001C7909"/>
    <w:rsid w:val="001C7A23"/>
    <w:rsid w:val="001C7A82"/>
    <w:rsid w:val="001C7AE7"/>
    <w:rsid w:val="001C7C91"/>
    <w:rsid w:val="001C7E5E"/>
    <w:rsid w:val="001C7EC8"/>
    <w:rsid w:val="001C7F13"/>
    <w:rsid w:val="001D0140"/>
    <w:rsid w:val="001D021A"/>
    <w:rsid w:val="001D03AD"/>
    <w:rsid w:val="001D046C"/>
    <w:rsid w:val="001D0778"/>
    <w:rsid w:val="001D07CF"/>
    <w:rsid w:val="001D0985"/>
    <w:rsid w:val="001D0BEB"/>
    <w:rsid w:val="001D0C91"/>
    <w:rsid w:val="001D112C"/>
    <w:rsid w:val="001D165E"/>
    <w:rsid w:val="001D1689"/>
    <w:rsid w:val="001D1980"/>
    <w:rsid w:val="001D27F7"/>
    <w:rsid w:val="001D2889"/>
    <w:rsid w:val="001D28C9"/>
    <w:rsid w:val="001D2936"/>
    <w:rsid w:val="001D2BF6"/>
    <w:rsid w:val="001D2D30"/>
    <w:rsid w:val="001D3766"/>
    <w:rsid w:val="001D3B44"/>
    <w:rsid w:val="001D3BFA"/>
    <w:rsid w:val="001D3CBF"/>
    <w:rsid w:val="001D3F50"/>
    <w:rsid w:val="001D4067"/>
    <w:rsid w:val="001D4254"/>
    <w:rsid w:val="001D42B2"/>
    <w:rsid w:val="001D4345"/>
    <w:rsid w:val="001D4529"/>
    <w:rsid w:val="001D4904"/>
    <w:rsid w:val="001D4A3F"/>
    <w:rsid w:val="001D4C30"/>
    <w:rsid w:val="001D4FC1"/>
    <w:rsid w:val="001D52B8"/>
    <w:rsid w:val="001D5355"/>
    <w:rsid w:val="001D55D6"/>
    <w:rsid w:val="001D58A8"/>
    <w:rsid w:val="001D5E02"/>
    <w:rsid w:val="001D6001"/>
    <w:rsid w:val="001D606E"/>
    <w:rsid w:val="001D614E"/>
    <w:rsid w:val="001D6399"/>
    <w:rsid w:val="001D66FE"/>
    <w:rsid w:val="001D6988"/>
    <w:rsid w:val="001D7003"/>
    <w:rsid w:val="001D709A"/>
    <w:rsid w:val="001D73D2"/>
    <w:rsid w:val="001D7969"/>
    <w:rsid w:val="001D79EC"/>
    <w:rsid w:val="001D7B11"/>
    <w:rsid w:val="001D7B71"/>
    <w:rsid w:val="001D7C04"/>
    <w:rsid w:val="001D7D1B"/>
    <w:rsid w:val="001D7EBE"/>
    <w:rsid w:val="001E0074"/>
    <w:rsid w:val="001E01D0"/>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84D"/>
    <w:rsid w:val="001E19E2"/>
    <w:rsid w:val="001E1A03"/>
    <w:rsid w:val="001E1D1A"/>
    <w:rsid w:val="001E1D45"/>
    <w:rsid w:val="001E1E94"/>
    <w:rsid w:val="001E21AE"/>
    <w:rsid w:val="001E2222"/>
    <w:rsid w:val="001E226B"/>
    <w:rsid w:val="001E2280"/>
    <w:rsid w:val="001E280C"/>
    <w:rsid w:val="001E2D70"/>
    <w:rsid w:val="001E306C"/>
    <w:rsid w:val="001E3228"/>
    <w:rsid w:val="001E3354"/>
    <w:rsid w:val="001E34AA"/>
    <w:rsid w:val="001E34EF"/>
    <w:rsid w:val="001E3638"/>
    <w:rsid w:val="001E3764"/>
    <w:rsid w:val="001E381D"/>
    <w:rsid w:val="001E3875"/>
    <w:rsid w:val="001E3AE0"/>
    <w:rsid w:val="001E3B66"/>
    <w:rsid w:val="001E3C02"/>
    <w:rsid w:val="001E3D80"/>
    <w:rsid w:val="001E3D8C"/>
    <w:rsid w:val="001E3DFC"/>
    <w:rsid w:val="001E4118"/>
    <w:rsid w:val="001E437E"/>
    <w:rsid w:val="001E43E2"/>
    <w:rsid w:val="001E447D"/>
    <w:rsid w:val="001E4ED1"/>
    <w:rsid w:val="001E5295"/>
    <w:rsid w:val="001E54DC"/>
    <w:rsid w:val="001E5F6D"/>
    <w:rsid w:val="001E5FE0"/>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26"/>
    <w:rsid w:val="001E7640"/>
    <w:rsid w:val="001E7815"/>
    <w:rsid w:val="001E78E7"/>
    <w:rsid w:val="001E7962"/>
    <w:rsid w:val="001E7ABB"/>
    <w:rsid w:val="001E7ACA"/>
    <w:rsid w:val="001E7CB2"/>
    <w:rsid w:val="001E7CBF"/>
    <w:rsid w:val="001E7CFD"/>
    <w:rsid w:val="001F00CF"/>
    <w:rsid w:val="001F0106"/>
    <w:rsid w:val="001F0615"/>
    <w:rsid w:val="001F07D6"/>
    <w:rsid w:val="001F07F7"/>
    <w:rsid w:val="001F08D7"/>
    <w:rsid w:val="001F0C50"/>
    <w:rsid w:val="001F126A"/>
    <w:rsid w:val="001F137C"/>
    <w:rsid w:val="001F17AB"/>
    <w:rsid w:val="001F1B18"/>
    <w:rsid w:val="001F1D26"/>
    <w:rsid w:val="001F1E70"/>
    <w:rsid w:val="001F2402"/>
    <w:rsid w:val="001F28AA"/>
    <w:rsid w:val="001F2AB7"/>
    <w:rsid w:val="001F2D4E"/>
    <w:rsid w:val="001F3246"/>
    <w:rsid w:val="001F3530"/>
    <w:rsid w:val="001F3673"/>
    <w:rsid w:val="001F36AF"/>
    <w:rsid w:val="001F385D"/>
    <w:rsid w:val="001F39B3"/>
    <w:rsid w:val="001F39F2"/>
    <w:rsid w:val="001F3C79"/>
    <w:rsid w:val="001F3D72"/>
    <w:rsid w:val="001F3FA4"/>
    <w:rsid w:val="001F3FAF"/>
    <w:rsid w:val="001F4141"/>
    <w:rsid w:val="001F437A"/>
    <w:rsid w:val="001F4382"/>
    <w:rsid w:val="001F443D"/>
    <w:rsid w:val="001F446B"/>
    <w:rsid w:val="001F448E"/>
    <w:rsid w:val="001F4559"/>
    <w:rsid w:val="001F4C73"/>
    <w:rsid w:val="001F5191"/>
    <w:rsid w:val="001F5251"/>
    <w:rsid w:val="001F52D4"/>
    <w:rsid w:val="001F5318"/>
    <w:rsid w:val="001F536F"/>
    <w:rsid w:val="001F5482"/>
    <w:rsid w:val="001F5484"/>
    <w:rsid w:val="001F584C"/>
    <w:rsid w:val="001F5D74"/>
    <w:rsid w:val="001F5E44"/>
    <w:rsid w:val="001F6084"/>
    <w:rsid w:val="001F61FB"/>
    <w:rsid w:val="001F6286"/>
    <w:rsid w:val="001F6533"/>
    <w:rsid w:val="001F68EE"/>
    <w:rsid w:val="001F68FD"/>
    <w:rsid w:val="001F6946"/>
    <w:rsid w:val="001F694E"/>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B35"/>
    <w:rsid w:val="001F7D75"/>
    <w:rsid w:val="001F7E2B"/>
    <w:rsid w:val="0020047F"/>
    <w:rsid w:val="00200502"/>
    <w:rsid w:val="0020059F"/>
    <w:rsid w:val="002005BB"/>
    <w:rsid w:val="00200769"/>
    <w:rsid w:val="00200896"/>
    <w:rsid w:val="002008C8"/>
    <w:rsid w:val="00200FFD"/>
    <w:rsid w:val="00201195"/>
    <w:rsid w:val="002013FB"/>
    <w:rsid w:val="0020150D"/>
    <w:rsid w:val="00201870"/>
    <w:rsid w:val="002019EA"/>
    <w:rsid w:val="002021B4"/>
    <w:rsid w:val="00202316"/>
    <w:rsid w:val="002023D4"/>
    <w:rsid w:val="0020295D"/>
    <w:rsid w:val="00202B06"/>
    <w:rsid w:val="00202B44"/>
    <w:rsid w:val="00203009"/>
    <w:rsid w:val="00203118"/>
    <w:rsid w:val="00203153"/>
    <w:rsid w:val="002033CB"/>
    <w:rsid w:val="002034C2"/>
    <w:rsid w:val="00203726"/>
    <w:rsid w:val="00203A4A"/>
    <w:rsid w:val="00203BF8"/>
    <w:rsid w:val="00203DAD"/>
    <w:rsid w:val="00203E7F"/>
    <w:rsid w:val="00204728"/>
    <w:rsid w:val="00204761"/>
    <w:rsid w:val="002047C4"/>
    <w:rsid w:val="00204865"/>
    <w:rsid w:val="00204E72"/>
    <w:rsid w:val="00204FA5"/>
    <w:rsid w:val="00205CED"/>
    <w:rsid w:val="00205D16"/>
    <w:rsid w:val="00205F4E"/>
    <w:rsid w:val="00206410"/>
    <w:rsid w:val="00206722"/>
    <w:rsid w:val="00206A04"/>
    <w:rsid w:val="00206BE4"/>
    <w:rsid w:val="00206D3E"/>
    <w:rsid w:val="00206D5B"/>
    <w:rsid w:val="002074D2"/>
    <w:rsid w:val="0020761E"/>
    <w:rsid w:val="002077D3"/>
    <w:rsid w:val="002078ED"/>
    <w:rsid w:val="00207913"/>
    <w:rsid w:val="002079D2"/>
    <w:rsid w:val="00207CF8"/>
    <w:rsid w:val="00207E99"/>
    <w:rsid w:val="002105B2"/>
    <w:rsid w:val="002105C3"/>
    <w:rsid w:val="0021063C"/>
    <w:rsid w:val="0021085B"/>
    <w:rsid w:val="00210A3A"/>
    <w:rsid w:val="00210C07"/>
    <w:rsid w:val="00210C63"/>
    <w:rsid w:val="00210E93"/>
    <w:rsid w:val="00211392"/>
    <w:rsid w:val="00211BE3"/>
    <w:rsid w:val="00211CF4"/>
    <w:rsid w:val="00211DA3"/>
    <w:rsid w:val="00211E81"/>
    <w:rsid w:val="00212379"/>
    <w:rsid w:val="002124C1"/>
    <w:rsid w:val="002125D6"/>
    <w:rsid w:val="00212B72"/>
    <w:rsid w:val="00212BA8"/>
    <w:rsid w:val="00212CA0"/>
    <w:rsid w:val="002130DE"/>
    <w:rsid w:val="002131C5"/>
    <w:rsid w:val="00213701"/>
    <w:rsid w:val="002139C6"/>
    <w:rsid w:val="00213B0D"/>
    <w:rsid w:val="00213B31"/>
    <w:rsid w:val="00213EC0"/>
    <w:rsid w:val="00213EE5"/>
    <w:rsid w:val="00214137"/>
    <w:rsid w:val="002141E2"/>
    <w:rsid w:val="00214368"/>
    <w:rsid w:val="002143FC"/>
    <w:rsid w:val="00214B2B"/>
    <w:rsid w:val="00214F86"/>
    <w:rsid w:val="00214FA6"/>
    <w:rsid w:val="0021509C"/>
    <w:rsid w:val="002152AD"/>
    <w:rsid w:val="00215476"/>
    <w:rsid w:val="0021554A"/>
    <w:rsid w:val="0021565E"/>
    <w:rsid w:val="00215797"/>
    <w:rsid w:val="0021618E"/>
    <w:rsid w:val="002161B4"/>
    <w:rsid w:val="00216642"/>
    <w:rsid w:val="002166AF"/>
    <w:rsid w:val="002167D9"/>
    <w:rsid w:val="00216A22"/>
    <w:rsid w:val="00216EEC"/>
    <w:rsid w:val="0021703E"/>
    <w:rsid w:val="002172C8"/>
    <w:rsid w:val="00217445"/>
    <w:rsid w:val="0021798F"/>
    <w:rsid w:val="00217C37"/>
    <w:rsid w:val="00217CB8"/>
    <w:rsid w:val="00217E13"/>
    <w:rsid w:val="00217E62"/>
    <w:rsid w:val="00217EA8"/>
    <w:rsid w:val="0022004D"/>
    <w:rsid w:val="002202FE"/>
    <w:rsid w:val="00220349"/>
    <w:rsid w:val="00220562"/>
    <w:rsid w:val="0022057E"/>
    <w:rsid w:val="002205C8"/>
    <w:rsid w:val="0022063E"/>
    <w:rsid w:val="00220796"/>
    <w:rsid w:val="002207A1"/>
    <w:rsid w:val="00220AAC"/>
    <w:rsid w:val="00220AC1"/>
    <w:rsid w:val="00220BEE"/>
    <w:rsid w:val="00220C2E"/>
    <w:rsid w:val="00220C35"/>
    <w:rsid w:val="00220D25"/>
    <w:rsid w:val="00220FED"/>
    <w:rsid w:val="0022105D"/>
    <w:rsid w:val="00221078"/>
    <w:rsid w:val="002214B2"/>
    <w:rsid w:val="0022153F"/>
    <w:rsid w:val="0022159C"/>
    <w:rsid w:val="002215B7"/>
    <w:rsid w:val="00221869"/>
    <w:rsid w:val="00221D2A"/>
    <w:rsid w:val="00221E82"/>
    <w:rsid w:val="00221EA7"/>
    <w:rsid w:val="00222202"/>
    <w:rsid w:val="00222706"/>
    <w:rsid w:val="00222A23"/>
    <w:rsid w:val="00222B6A"/>
    <w:rsid w:val="00222B97"/>
    <w:rsid w:val="00222CE5"/>
    <w:rsid w:val="00223224"/>
    <w:rsid w:val="0022334D"/>
    <w:rsid w:val="002239ED"/>
    <w:rsid w:val="00223B55"/>
    <w:rsid w:val="00223C8D"/>
    <w:rsid w:val="0022418F"/>
    <w:rsid w:val="0022432D"/>
    <w:rsid w:val="002243F5"/>
    <w:rsid w:val="00224504"/>
    <w:rsid w:val="0022472F"/>
    <w:rsid w:val="002247A9"/>
    <w:rsid w:val="002248DA"/>
    <w:rsid w:val="0022490C"/>
    <w:rsid w:val="00224943"/>
    <w:rsid w:val="002249DA"/>
    <w:rsid w:val="00224B15"/>
    <w:rsid w:val="00224D6D"/>
    <w:rsid w:val="00224F15"/>
    <w:rsid w:val="00225109"/>
    <w:rsid w:val="0022510C"/>
    <w:rsid w:val="0022517F"/>
    <w:rsid w:val="002252B0"/>
    <w:rsid w:val="002252B3"/>
    <w:rsid w:val="00225326"/>
    <w:rsid w:val="002253C2"/>
    <w:rsid w:val="0022558D"/>
    <w:rsid w:val="0022562C"/>
    <w:rsid w:val="002256A6"/>
    <w:rsid w:val="00225CC1"/>
    <w:rsid w:val="00225D5A"/>
    <w:rsid w:val="00225D96"/>
    <w:rsid w:val="00225DBE"/>
    <w:rsid w:val="0022619D"/>
    <w:rsid w:val="00226217"/>
    <w:rsid w:val="002263CB"/>
    <w:rsid w:val="0022656B"/>
    <w:rsid w:val="00226831"/>
    <w:rsid w:val="00226AE3"/>
    <w:rsid w:val="00226BA4"/>
    <w:rsid w:val="00226E2D"/>
    <w:rsid w:val="00226F38"/>
    <w:rsid w:val="00226FD1"/>
    <w:rsid w:val="0022737E"/>
    <w:rsid w:val="00227679"/>
    <w:rsid w:val="00227B21"/>
    <w:rsid w:val="00227BC9"/>
    <w:rsid w:val="00230A63"/>
    <w:rsid w:val="00230AEB"/>
    <w:rsid w:val="00230B42"/>
    <w:rsid w:val="00230CB0"/>
    <w:rsid w:val="00230CFB"/>
    <w:rsid w:val="00230EA6"/>
    <w:rsid w:val="0023108B"/>
    <w:rsid w:val="0023109B"/>
    <w:rsid w:val="002313D6"/>
    <w:rsid w:val="0023145D"/>
    <w:rsid w:val="00231658"/>
    <w:rsid w:val="002316B7"/>
    <w:rsid w:val="0023181F"/>
    <w:rsid w:val="00231E6F"/>
    <w:rsid w:val="00231F45"/>
    <w:rsid w:val="00231F9E"/>
    <w:rsid w:val="00232100"/>
    <w:rsid w:val="0023249D"/>
    <w:rsid w:val="002324FB"/>
    <w:rsid w:val="0023250D"/>
    <w:rsid w:val="00232793"/>
    <w:rsid w:val="002327DD"/>
    <w:rsid w:val="0023295E"/>
    <w:rsid w:val="00232EAF"/>
    <w:rsid w:val="0023302F"/>
    <w:rsid w:val="002332CE"/>
    <w:rsid w:val="0023348C"/>
    <w:rsid w:val="002334AF"/>
    <w:rsid w:val="0023385B"/>
    <w:rsid w:val="002339B5"/>
    <w:rsid w:val="00233BE4"/>
    <w:rsid w:val="00233CFD"/>
    <w:rsid w:val="00233DA6"/>
    <w:rsid w:val="00234295"/>
    <w:rsid w:val="00234AA6"/>
    <w:rsid w:val="00234AED"/>
    <w:rsid w:val="00234B77"/>
    <w:rsid w:val="00234BF1"/>
    <w:rsid w:val="00234FFC"/>
    <w:rsid w:val="00235450"/>
    <w:rsid w:val="002355E5"/>
    <w:rsid w:val="00235640"/>
    <w:rsid w:val="00235BDF"/>
    <w:rsid w:val="00235BEE"/>
    <w:rsid w:val="00235DA2"/>
    <w:rsid w:val="00235FCF"/>
    <w:rsid w:val="00236642"/>
    <w:rsid w:val="00236765"/>
    <w:rsid w:val="00236C96"/>
    <w:rsid w:val="00237125"/>
    <w:rsid w:val="002371F0"/>
    <w:rsid w:val="00237712"/>
    <w:rsid w:val="00237B33"/>
    <w:rsid w:val="00237C8B"/>
    <w:rsid w:val="00237DF5"/>
    <w:rsid w:val="00237E9C"/>
    <w:rsid w:val="00237FD1"/>
    <w:rsid w:val="00240071"/>
    <w:rsid w:val="00240561"/>
    <w:rsid w:val="00240612"/>
    <w:rsid w:val="00240852"/>
    <w:rsid w:val="00240AC8"/>
    <w:rsid w:val="00240D6D"/>
    <w:rsid w:val="00240F8A"/>
    <w:rsid w:val="0024101A"/>
    <w:rsid w:val="002412CB"/>
    <w:rsid w:val="002412F8"/>
    <w:rsid w:val="00241447"/>
    <w:rsid w:val="0024168E"/>
    <w:rsid w:val="00241690"/>
    <w:rsid w:val="00241803"/>
    <w:rsid w:val="00241A6C"/>
    <w:rsid w:val="00241B38"/>
    <w:rsid w:val="00241C11"/>
    <w:rsid w:val="00241EB1"/>
    <w:rsid w:val="00241FBF"/>
    <w:rsid w:val="002421DA"/>
    <w:rsid w:val="002422E2"/>
    <w:rsid w:val="00242324"/>
    <w:rsid w:val="00242A12"/>
    <w:rsid w:val="00242A60"/>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C7"/>
    <w:rsid w:val="00243D69"/>
    <w:rsid w:val="00243F98"/>
    <w:rsid w:val="0024445A"/>
    <w:rsid w:val="0024469F"/>
    <w:rsid w:val="00244762"/>
    <w:rsid w:val="00244840"/>
    <w:rsid w:val="00244CC6"/>
    <w:rsid w:val="00244D86"/>
    <w:rsid w:val="00244E3D"/>
    <w:rsid w:val="00245223"/>
    <w:rsid w:val="0024539F"/>
    <w:rsid w:val="002454AE"/>
    <w:rsid w:val="00245564"/>
    <w:rsid w:val="002455C7"/>
    <w:rsid w:val="00245972"/>
    <w:rsid w:val="00245BAA"/>
    <w:rsid w:val="002460FE"/>
    <w:rsid w:val="00246133"/>
    <w:rsid w:val="0024623F"/>
    <w:rsid w:val="00246812"/>
    <w:rsid w:val="002469F5"/>
    <w:rsid w:val="00246BC6"/>
    <w:rsid w:val="00246D51"/>
    <w:rsid w:val="00246E3E"/>
    <w:rsid w:val="00246FBC"/>
    <w:rsid w:val="0024701C"/>
    <w:rsid w:val="0024706D"/>
    <w:rsid w:val="00247A52"/>
    <w:rsid w:val="00247ED7"/>
    <w:rsid w:val="00250042"/>
    <w:rsid w:val="00250065"/>
    <w:rsid w:val="00250104"/>
    <w:rsid w:val="00250150"/>
    <w:rsid w:val="00250499"/>
    <w:rsid w:val="002504BF"/>
    <w:rsid w:val="002505FD"/>
    <w:rsid w:val="00250604"/>
    <w:rsid w:val="0025066C"/>
    <w:rsid w:val="00250861"/>
    <w:rsid w:val="002509A9"/>
    <w:rsid w:val="0025129E"/>
    <w:rsid w:val="00251429"/>
    <w:rsid w:val="002515FE"/>
    <w:rsid w:val="00251844"/>
    <w:rsid w:val="002518B2"/>
    <w:rsid w:val="00251A07"/>
    <w:rsid w:val="00251B0E"/>
    <w:rsid w:val="00251B30"/>
    <w:rsid w:val="00251D5A"/>
    <w:rsid w:val="00251FDC"/>
    <w:rsid w:val="002522D3"/>
    <w:rsid w:val="0025234D"/>
    <w:rsid w:val="002525FE"/>
    <w:rsid w:val="002527A2"/>
    <w:rsid w:val="002527B3"/>
    <w:rsid w:val="0025298E"/>
    <w:rsid w:val="00252DF4"/>
    <w:rsid w:val="00252E4C"/>
    <w:rsid w:val="00252F1D"/>
    <w:rsid w:val="002531AA"/>
    <w:rsid w:val="002535A1"/>
    <w:rsid w:val="0025374F"/>
    <w:rsid w:val="00253AA7"/>
    <w:rsid w:val="00253CA5"/>
    <w:rsid w:val="00253F9B"/>
    <w:rsid w:val="002540B5"/>
    <w:rsid w:val="002543A7"/>
    <w:rsid w:val="00254481"/>
    <w:rsid w:val="00254AEF"/>
    <w:rsid w:val="00254DFD"/>
    <w:rsid w:val="00254E22"/>
    <w:rsid w:val="00254EFD"/>
    <w:rsid w:val="002553A1"/>
    <w:rsid w:val="00255507"/>
    <w:rsid w:val="002557F8"/>
    <w:rsid w:val="002558CA"/>
    <w:rsid w:val="002558CE"/>
    <w:rsid w:val="00255909"/>
    <w:rsid w:val="00255AFF"/>
    <w:rsid w:val="00255C30"/>
    <w:rsid w:val="00255DB7"/>
    <w:rsid w:val="002561B7"/>
    <w:rsid w:val="00256234"/>
    <w:rsid w:val="00256587"/>
    <w:rsid w:val="002565FB"/>
    <w:rsid w:val="0025662A"/>
    <w:rsid w:val="00256B21"/>
    <w:rsid w:val="00256DC3"/>
    <w:rsid w:val="00256FCA"/>
    <w:rsid w:val="002570CA"/>
    <w:rsid w:val="00257249"/>
    <w:rsid w:val="0025735E"/>
    <w:rsid w:val="00257615"/>
    <w:rsid w:val="0025784D"/>
    <w:rsid w:val="0025796D"/>
    <w:rsid w:val="00257AED"/>
    <w:rsid w:val="00257BBD"/>
    <w:rsid w:val="00257E67"/>
    <w:rsid w:val="00257EAF"/>
    <w:rsid w:val="00257EC6"/>
    <w:rsid w:val="00257ED6"/>
    <w:rsid w:val="00260201"/>
    <w:rsid w:val="00260264"/>
    <w:rsid w:val="0026037B"/>
    <w:rsid w:val="002604FD"/>
    <w:rsid w:val="002605E4"/>
    <w:rsid w:val="00260C7F"/>
    <w:rsid w:val="00260CD6"/>
    <w:rsid w:val="0026110D"/>
    <w:rsid w:val="002615F1"/>
    <w:rsid w:val="00261A38"/>
    <w:rsid w:val="00261B80"/>
    <w:rsid w:val="00261DE7"/>
    <w:rsid w:val="002622C9"/>
    <w:rsid w:val="002622ED"/>
    <w:rsid w:val="00262352"/>
    <w:rsid w:val="002623EE"/>
    <w:rsid w:val="00262400"/>
    <w:rsid w:val="002628C6"/>
    <w:rsid w:val="0026296A"/>
    <w:rsid w:val="00262A15"/>
    <w:rsid w:val="00262CA4"/>
    <w:rsid w:val="00262D30"/>
    <w:rsid w:val="00263043"/>
    <w:rsid w:val="00263075"/>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CFA"/>
    <w:rsid w:val="002654F2"/>
    <w:rsid w:val="00265791"/>
    <w:rsid w:val="00265EFB"/>
    <w:rsid w:val="00266784"/>
    <w:rsid w:val="002667BA"/>
    <w:rsid w:val="00266A1C"/>
    <w:rsid w:val="00266BF6"/>
    <w:rsid w:val="0026712C"/>
    <w:rsid w:val="00267217"/>
    <w:rsid w:val="00267471"/>
    <w:rsid w:val="002674BB"/>
    <w:rsid w:val="002675BA"/>
    <w:rsid w:val="00267698"/>
    <w:rsid w:val="0026796B"/>
    <w:rsid w:val="00267E37"/>
    <w:rsid w:val="00267E98"/>
    <w:rsid w:val="002701E5"/>
    <w:rsid w:val="0027033A"/>
    <w:rsid w:val="0027037A"/>
    <w:rsid w:val="00270464"/>
    <w:rsid w:val="002708B8"/>
    <w:rsid w:val="00270954"/>
    <w:rsid w:val="00270AA7"/>
    <w:rsid w:val="00270B6C"/>
    <w:rsid w:val="00270EDE"/>
    <w:rsid w:val="00270F10"/>
    <w:rsid w:val="0027143A"/>
    <w:rsid w:val="00271927"/>
    <w:rsid w:val="00271B76"/>
    <w:rsid w:val="00271DC6"/>
    <w:rsid w:val="00271E9A"/>
    <w:rsid w:val="002720D3"/>
    <w:rsid w:val="0027225F"/>
    <w:rsid w:val="00272537"/>
    <w:rsid w:val="00272769"/>
    <w:rsid w:val="00272E7F"/>
    <w:rsid w:val="00273108"/>
    <w:rsid w:val="002731C8"/>
    <w:rsid w:val="0027386E"/>
    <w:rsid w:val="002739ED"/>
    <w:rsid w:val="00273A94"/>
    <w:rsid w:val="00273E7D"/>
    <w:rsid w:val="0027415B"/>
    <w:rsid w:val="00274416"/>
    <w:rsid w:val="002746C7"/>
    <w:rsid w:val="00274816"/>
    <w:rsid w:val="002748DF"/>
    <w:rsid w:val="0027490A"/>
    <w:rsid w:val="00274969"/>
    <w:rsid w:val="00274991"/>
    <w:rsid w:val="00274B8B"/>
    <w:rsid w:val="00274C67"/>
    <w:rsid w:val="00274FAE"/>
    <w:rsid w:val="002751EC"/>
    <w:rsid w:val="0027528F"/>
    <w:rsid w:val="00275316"/>
    <w:rsid w:val="002755A1"/>
    <w:rsid w:val="002756B4"/>
    <w:rsid w:val="00275BC6"/>
    <w:rsid w:val="00275C3F"/>
    <w:rsid w:val="00275D51"/>
    <w:rsid w:val="00275DF0"/>
    <w:rsid w:val="00276115"/>
    <w:rsid w:val="00276129"/>
    <w:rsid w:val="00276239"/>
    <w:rsid w:val="00276311"/>
    <w:rsid w:val="0027647D"/>
    <w:rsid w:val="002764C9"/>
    <w:rsid w:val="002764F5"/>
    <w:rsid w:val="00276556"/>
    <w:rsid w:val="00276631"/>
    <w:rsid w:val="002766F9"/>
    <w:rsid w:val="00276761"/>
    <w:rsid w:val="00276AEA"/>
    <w:rsid w:val="00276B43"/>
    <w:rsid w:val="00276B8D"/>
    <w:rsid w:val="00276DA3"/>
    <w:rsid w:val="00276E70"/>
    <w:rsid w:val="0027711C"/>
    <w:rsid w:val="00277147"/>
    <w:rsid w:val="002771C6"/>
    <w:rsid w:val="00277401"/>
    <w:rsid w:val="0027742A"/>
    <w:rsid w:val="002775CA"/>
    <w:rsid w:val="002776D8"/>
    <w:rsid w:val="002777C0"/>
    <w:rsid w:val="002777D6"/>
    <w:rsid w:val="00277856"/>
    <w:rsid w:val="00277AC2"/>
    <w:rsid w:val="00277E50"/>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764"/>
    <w:rsid w:val="00282F4A"/>
    <w:rsid w:val="00283031"/>
    <w:rsid w:val="002832A6"/>
    <w:rsid w:val="002834E4"/>
    <w:rsid w:val="002837B1"/>
    <w:rsid w:val="00283AA1"/>
    <w:rsid w:val="00283C48"/>
    <w:rsid w:val="00283D5E"/>
    <w:rsid w:val="00283E2E"/>
    <w:rsid w:val="00283ED2"/>
    <w:rsid w:val="00283FC0"/>
    <w:rsid w:val="00284483"/>
    <w:rsid w:val="00284572"/>
    <w:rsid w:val="002846A1"/>
    <w:rsid w:val="00284859"/>
    <w:rsid w:val="00284905"/>
    <w:rsid w:val="00284C10"/>
    <w:rsid w:val="00284F69"/>
    <w:rsid w:val="00285306"/>
    <w:rsid w:val="00285314"/>
    <w:rsid w:val="002856BE"/>
    <w:rsid w:val="00285712"/>
    <w:rsid w:val="0028577F"/>
    <w:rsid w:val="0028579A"/>
    <w:rsid w:val="0028584C"/>
    <w:rsid w:val="0028596A"/>
    <w:rsid w:val="00285A13"/>
    <w:rsid w:val="00285C35"/>
    <w:rsid w:val="002860FB"/>
    <w:rsid w:val="002864B2"/>
    <w:rsid w:val="0028658C"/>
    <w:rsid w:val="002865ED"/>
    <w:rsid w:val="00286725"/>
    <w:rsid w:val="0028686B"/>
    <w:rsid w:val="00286D22"/>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6B9"/>
    <w:rsid w:val="0029096A"/>
    <w:rsid w:val="00290ACC"/>
    <w:rsid w:val="00290AF0"/>
    <w:rsid w:val="00290B2F"/>
    <w:rsid w:val="00290B7F"/>
    <w:rsid w:val="00290CC0"/>
    <w:rsid w:val="002911AB"/>
    <w:rsid w:val="00291282"/>
    <w:rsid w:val="00291411"/>
    <w:rsid w:val="0029160D"/>
    <w:rsid w:val="00291711"/>
    <w:rsid w:val="002917B6"/>
    <w:rsid w:val="002918EC"/>
    <w:rsid w:val="00291A15"/>
    <w:rsid w:val="00291B28"/>
    <w:rsid w:val="00291B63"/>
    <w:rsid w:val="00291C4E"/>
    <w:rsid w:val="00291D08"/>
    <w:rsid w:val="00291FB1"/>
    <w:rsid w:val="00292078"/>
    <w:rsid w:val="00292359"/>
    <w:rsid w:val="002923D5"/>
    <w:rsid w:val="002926D5"/>
    <w:rsid w:val="00292ACA"/>
    <w:rsid w:val="00292D49"/>
    <w:rsid w:val="00292E74"/>
    <w:rsid w:val="00293497"/>
    <w:rsid w:val="00293919"/>
    <w:rsid w:val="002939AF"/>
    <w:rsid w:val="00293BA4"/>
    <w:rsid w:val="00293D57"/>
    <w:rsid w:val="00293F96"/>
    <w:rsid w:val="0029467E"/>
    <w:rsid w:val="00294B02"/>
    <w:rsid w:val="00294EEB"/>
    <w:rsid w:val="0029533F"/>
    <w:rsid w:val="0029552E"/>
    <w:rsid w:val="00295708"/>
    <w:rsid w:val="002957E5"/>
    <w:rsid w:val="00295929"/>
    <w:rsid w:val="00295B27"/>
    <w:rsid w:val="00296334"/>
    <w:rsid w:val="0029639D"/>
    <w:rsid w:val="00296560"/>
    <w:rsid w:val="00296B1D"/>
    <w:rsid w:val="00296D9A"/>
    <w:rsid w:val="00296DCD"/>
    <w:rsid w:val="00297535"/>
    <w:rsid w:val="0029776F"/>
    <w:rsid w:val="002977B8"/>
    <w:rsid w:val="00297904"/>
    <w:rsid w:val="0029796B"/>
    <w:rsid w:val="00297AEB"/>
    <w:rsid w:val="00297B6E"/>
    <w:rsid w:val="00297C57"/>
    <w:rsid w:val="00297D32"/>
    <w:rsid w:val="002A008C"/>
    <w:rsid w:val="002A00A1"/>
    <w:rsid w:val="002A01EE"/>
    <w:rsid w:val="002A0456"/>
    <w:rsid w:val="002A066E"/>
    <w:rsid w:val="002A09EF"/>
    <w:rsid w:val="002A0D46"/>
    <w:rsid w:val="002A0E83"/>
    <w:rsid w:val="002A0F6D"/>
    <w:rsid w:val="002A1511"/>
    <w:rsid w:val="002A158A"/>
    <w:rsid w:val="002A1691"/>
    <w:rsid w:val="002A17AF"/>
    <w:rsid w:val="002A1875"/>
    <w:rsid w:val="002A19C7"/>
    <w:rsid w:val="002A1DEE"/>
    <w:rsid w:val="002A20F8"/>
    <w:rsid w:val="002A22A7"/>
    <w:rsid w:val="002A2380"/>
    <w:rsid w:val="002A2416"/>
    <w:rsid w:val="002A24E2"/>
    <w:rsid w:val="002A24F2"/>
    <w:rsid w:val="002A285F"/>
    <w:rsid w:val="002A2FCD"/>
    <w:rsid w:val="002A30A1"/>
    <w:rsid w:val="002A3686"/>
    <w:rsid w:val="002A368A"/>
    <w:rsid w:val="002A39F2"/>
    <w:rsid w:val="002A3D55"/>
    <w:rsid w:val="002A3E48"/>
    <w:rsid w:val="002A41F4"/>
    <w:rsid w:val="002A42CF"/>
    <w:rsid w:val="002A4349"/>
    <w:rsid w:val="002A43C2"/>
    <w:rsid w:val="002A43C6"/>
    <w:rsid w:val="002A4847"/>
    <w:rsid w:val="002A4DA4"/>
    <w:rsid w:val="002A524C"/>
    <w:rsid w:val="002A536C"/>
    <w:rsid w:val="002A5749"/>
    <w:rsid w:val="002A5B18"/>
    <w:rsid w:val="002A5D23"/>
    <w:rsid w:val="002A5D36"/>
    <w:rsid w:val="002A5ECF"/>
    <w:rsid w:val="002A60AE"/>
    <w:rsid w:val="002A6390"/>
    <w:rsid w:val="002A6767"/>
    <w:rsid w:val="002A6B4C"/>
    <w:rsid w:val="002A6C81"/>
    <w:rsid w:val="002A6CB1"/>
    <w:rsid w:val="002A6CBC"/>
    <w:rsid w:val="002A6CFE"/>
    <w:rsid w:val="002A71C9"/>
    <w:rsid w:val="002A7544"/>
    <w:rsid w:val="002A77D7"/>
    <w:rsid w:val="002A7807"/>
    <w:rsid w:val="002A7A0F"/>
    <w:rsid w:val="002A7A18"/>
    <w:rsid w:val="002A7B62"/>
    <w:rsid w:val="002A7F5B"/>
    <w:rsid w:val="002B00E2"/>
    <w:rsid w:val="002B02F2"/>
    <w:rsid w:val="002B04FD"/>
    <w:rsid w:val="002B05CF"/>
    <w:rsid w:val="002B0621"/>
    <w:rsid w:val="002B06F7"/>
    <w:rsid w:val="002B073A"/>
    <w:rsid w:val="002B087D"/>
    <w:rsid w:val="002B0D06"/>
    <w:rsid w:val="002B0FF8"/>
    <w:rsid w:val="002B10CA"/>
    <w:rsid w:val="002B1700"/>
    <w:rsid w:val="002B1EAA"/>
    <w:rsid w:val="002B1EF8"/>
    <w:rsid w:val="002B20CC"/>
    <w:rsid w:val="002B21C7"/>
    <w:rsid w:val="002B25DB"/>
    <w:rsid w:val="002B284E"/>
    <w:rsid w:val="002B285A"/>
    <w:rsid w:val="002B29B3"/>
    <w:rsid w:val="002B2E51"/>
    <w:rsid w:val="002B2E5D"/>
    <w:rsid w:val="002B2F36"/>
    <w:rsid w:val="002B3141"/>
    <w:rsid w:val="002B3228"/>
    <w:rsid w:val="002B3318"/>
    <w:rsid w:val="002B3342"/>
    <w:rsid w:val="002B3438"/>
    <w:rsid w:val="002B3532"/>
    <w:rsid w:val="002B3571"/>
    <w:rsid w:val="002B36C4"/>
    <w:rsid w:val="002B37A2"/>
    <w:rsid w:val="002B380B"/>
    <w:rsid w:val="002B389E"/>
    <w:rsid w:val="002B38E4"/>
    <w:rsid w:val="002B3C62"/>
    <w:rsid w:val="002B3E1D"/>
    <w:rsid w:val="002B3E55"/>
    <w:rsid w:val="002B40E6"/>
    <w:rsid w:val="002B41B7"/>
    <w:rsid w:val="002B425C"/>
    <w:rsid w:val="002B4262"/>
    <w:rsid w:val="002B44C1"/>
    <w:rsid w:val="002B45DC"/>
    <w:rsid w:val="002B46EB"/>
    <w:rsid w:val="002B4988"/>
    <w:rsid w:val="002B4A39"/>
    <w:rsid w:val="002B4AC8"/>
    <w:rsid w:val="002B4CAF"/>
    <w:rsid w:val="002B4CB5"/>
    <w:rsid w:val="002B4CC2"/>
    <w:rsid w:val="002B4DE1"/>
    <w:rsid w:val="002B502D"/>
    <w:rsid w:val="002B5166"/>
    <w:rsid w:val="002B518F"/>
    <w:rsid w:val="002B531C"/>
    <w:rsid w:val="002B5632"/>
    <w:rsid w:val="002B597F"/>
    <w:rsid w:val="002B59FD"/>
    <w:rsid w:val="002B5CEC"/>
    <w:rsid w:val="002B5D2F"/>
    <w:rsid w:val="002B6164"/>
    <w:rsid w:val="002B6176"/>
    <w:rsid w:val="002B646E"/>
    <w:rsid w:val="002B6520"/>
    <w:rsid w:val="002B67FB"/>
    <w:rsid w:val="002B6876"/>
    <w:rsid w:val="002B6A46"/>
    <w:rsid w:val="002B6AE5"/>
    <w:rsid w:val="002B6C9C"/>
    <w:rsid w:val="002B6D50"/>
    <w:rsid w:val="002B6D6E"/>
    <w:rsid w:val="002B6F8C"/>
    <w:rsid w:val="002B7216"/>
    <w:rsid w:val="002B75F9"/>
    <w:rsid w:val="002B76C6"/>
    <w:rsid w:val="002B779B"/>
    <w:rsid w:val="002B7903"/>
    <w:rsid w:val="002B79C4"/>
    <w:rsid w:val="002B7A47"/>
    <w:rsid w:val="002B7B00"/>
    <w:rsid w:val="002B7B0E"/>
    <w:rsid w:val="002B7BF3"/>
    <w:rsid w:val="002B7C9A"/>
    <w:rsid w:val="002B7CFD"/>
    <w:rsid w:val="002B7F68"/>
    <w:rsid w:val="002C0062"/>
    <w:rsid w:val="002C02E5"/>
    <w:rsid w:val="002C067A"/>
    <w:rsid w:val="002C0957"/>
    <w:rsid w:val="002C09AB"/>
    <w:rsid w:val="002C0C93"/>
    <w:rsid w:val="002C0D61"/>
    <w:rsid w:val="002C0DAA"/>
    <w:rsid w:val="002C0EB8"/>
    <w:rsid w:val="002C0EF3"/>
    <w:rsid w:val="002C12E0"/>
    <w:rsid w:val="002C1363"/>
    <w:rsid w:val="002C1515"/>
    <w:rsid w:val="002C191E"/>
    <w:rsid w:val="002C234D"/>
    <w:rsid w:val="002C26A1"/>
    <w:rsid w:val="002C28A2"/>
    <w:rsid w:val="002C29BA"/>
    <w:rsid w:val="002C2C5C"/>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B7F"/>
    <w:rsid w:val="002C4ECA"/>
    <w:rsid w:val="002C50AE"/>
    <w:rsid w:val="002C5272"/>
    <w:rsid w:val="002C52BB"/>
    <w:rsid w:val="002C5322"/>
    <w:rsid w:val="002C53C5"/>
    <w:rsid w:val="002C5696"/>
    <w:rsid w:val="002C56DB"/>
    <w:rsid w:val="002C580F"/>
    <w:rsid w:val="002C5832"/>
    <w:rsid w:val="002C59F1"/>
    <w:rsid w:val="002C5A4C"/>
    <w:rsid w:val="002C5D7C"/>
    <w:rsid w:val="002C5F25"/>
    <w:rsid w:val="002C5F4A"/>
    <w:rsid w:val="002C62F5"/>
    <w:rsid w:val="002C6396"/>
    <w:rsid w:val="002C6639"/>
    <w:rsid w:val="002C6EB7"/>
    <w:rsid w:val="002C7061"/>
    <w:rsid w:val="002C7161"/>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D8"/>
    <w:rsid w:val="002D087E"/>
    <w:rsid w:val="002D0993"/>
    <w:rsid w:val="002D09CD"/>
    <w:rsid w:val="002D0CA6"/>
    <w:rsid w:val="002D0D29"/>
    <w:rsid w:val="002D0EB2"/>
    <w:rsid w:val="002D1025"/>
    <w:rsid w:val="002D11D6"/>
    <w:rsid w:val="002D11EA"/>
    <w:rsid w:val="002D159C"/>
    <w:rsid w:val="002D19F8"/>
    <w:rsid w:val="002D1A90"/>
    <w:rsid w:val="002D1C06"/>
    <w:rsid w:val="002D1ED9"/>
    <w:rsid w:val="002D20B0"/>
    <w:rsid w:val="002D2146"/>
    <w:rsid w:val="002D21DF"/>
    <w:rsid w:val="002D29D1"/>
    <w:rsid w:val="002D2ADC"/>
    <w:rsid w:val="002D2C1E"/>
    <w:rsid w:val="002D2EDC"/>
    <w:rsid w:val="002D32D9"/>
    <w:rsid w:val="002D3492"/>
    <w:rsid w:val="002D34C5"/>
    <w:rsid w:val="002D35AE"/>
    <w:rsid w:val="002D35E1"/>
    <w:rsid w:val="002D3617"/>
    <w:rsid w:val="002D36E6"/>
    <w:rsid w:val="002D38EE"/>
    <w:rsid w:val="002D3A4F"/>
    <w:rsid w:val="002D3C77"/>
    <w:rsid w:val="002D3CD6"/>
    <w:rsid w:val="002D3D98"/>
    <w:rsid w:val="002D3EC4"/>
    <w:rsid w:val="002D4101"/>
    <w:rsid w:val="002D42B7"/>
    <w:rsid w:val="002D4461"/>
    <w:rsid w:val="002D451D"/>
    <w:rsid w:val="002D480F"/>
    <w:rsid w:val="002D4A67"/>
    <w:rsid w:val="002D4A89"/>
    <w:rsid w:val="002D556A"/>
    <w:rsid w:val="002D5656"/>
    <w:rsid w:val="002D5B33"/>
    <w:rsid w:val="002D6234"/>
    <w:rsid w:val="002D6392"/>
    <w:rsid w:val="002D6402"/>
    <w:rsid w:val="002D6554"/>
    <w:rsid w:val="002D66E1"/>
    <w:rsid w:val="002D6B40"/>
    <w:rsid w:val="002D6EFF"/>
    <w:rsid w:val="002D7011"/>
    <w:rsid w:val="002D7194"/>
    <w:rsid w:val="002D7213"/>
    <w:rsid w:val="002D726A"/>
    <w:rsid w:val="002D72BB"/>
    <w:rsid w:val="002D76A5"/>
    <w:rsid w:val="002D7965"/>
    <w:rsid w:val="002E0044"/>
    <w:rsid w:val="002E00FB"/>
    <w:rsid w:val="002E0993"/>
    <w:rsid w:val="002E0A10"/>
    <w:rsid w:val="002E0B22"/>
    <w:rsid w:val="002E0C91"/>
    <w:rsid w:val="002E0D1D"/>
    <w:rsid w:val="002E0FE5"/>
    <w:rsid w:val="002E13CE"/>
    <w:rsid w:val="002E1429"/>
    <w:rsid w:val="002E1645"/>
    <w:rsid w:val="002E1797"/>
    <w:rsid w:val="002E1A4D"/>
    <w:rsid w:val="002E1AC7"/>
    <w:rsid w:val="002E1AE9"/>
    <w:rsid w:val="002E1BAB"/>
    <w:rsid w:val="002E1BEB"/>
    <w:rsid w:val="002E1F4A"/>
    <w:rsid w:val="002E229A"/>
    <w:rsid w:val="002E2303"/>
    <w:rsid w:val="002E2659"/>
    <w:rsid w:val="002E2666"/>
    <w:rsid w:val="002E297F"/>
    <w:rsid w:val="002E2B06"/>
    <w:rsid w:val="002E2CE9"/>
    <w:rsid w:val="002E2ED4"/>
    <w:rsid w:val="002E3880"/>
    <w:rsid w:val="002E397A"/>
    <w:rsid w:val="002E3B9E"/>
    <w:rsid w:val="002E3C7B"/>
    <w:rsid w:val="002E3DDA"/>
    <w:rsid w:val="002E4190"/>
    <w:rsid w:val="002E421F"/>
    <w:rsid w:val="002E4257"/>
    <w:rsid w:val="002E426B"/>
    <w:rsid w:val="002E4723"/>
    <w:rsid w:val="002E4E06"/>
    <w:rsid w:val="002E51A3"/>
    <w:rsid w:val="002E54A1"/>
    <w:rsid w:val="002E5586"/>
    <w:rsid w:val="002E5875"/>
    <w:rsid w:val="002E58BE"/>
    <w:rsid w:val="002E59B7"/>
    <w:rsid w:val="002E5CB0"/>
    <w:rsid w:val="002E6163"/>
    <w:rsid w:val="002E622F"/>
    <w:rsid w:val="002E62DD"/>
    <w:rsid w:val="002E6383"/>
    <w:rsid w:val="002E6675"/>
    <w:rsid w:val="002E6E1F"/>
    <w:rsid w:val="002E6ED1"/>
    <w:rsid w:val="002E6ED6"/>
    <w:rsid w:val="002E6EDD"/>
    <w:rsid w:val="002E70A9"/>
    <w:rsid w:val="002E73BC"/>
    <w:rsid w:val="002E7454"/>
    <w:rsid w:val="002E7602"/>
    <w:rsid w:val="002E7999"/>
    <w:rsid w:val="002E7AB5"/>
    <w:rsid w:val="002E7BCC"/>
    <w:rsid w:val="002E7E30"/>
    <w:rsid w:val="002F004E"/>
    <w:rsid w:val="002F0092"/>
    <w:rsid w:val="002F0096"/>
    <w:rsid w:val="002F0332"/>
    <w:rsid w:val="002F0A22"/>
    <w:rsid w:val="002F0B08"/>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AA8"/>
    <w:rsid w:val="002F1D75"/>
    <w:rsid w:val="002F1F42"/>
    <w:rsid w:val="002F2663"/>
    <w:rsid w:val="002F26DC"/>
    <w:rsid w:val="002F27A6"/>
    <w:rsid w:val="002F2961"/>
    <w:rsid w:val="002F297F"/>
    <w:rsid w:val="002F2A16"/>
    <w:rsid w:val="002F2CA9"/>
    <w:rsid w:val="002F2D41"/>
    <w:rsid w:val="002F2D64"/>
    <w:rsid w:val="002F2D67"/>
    <w:rsid w:val="002F2EC0"/>
    <w:rsid w:val="002F2F01"/>
    <w:rsid w:val="002F2F90"/>
    <w:rsid w:val="002F3169"/>
    <w:rsid w:val="002F33A6"/>
    <w:rsid w:val="002F33EA"/>
    <w:rsid w:val="002F348E"/>
    <w:rsid w:val="002F350C"/>
    <w:rsid w:val="002F3571"/>
    <w:rsid w:val="002F35E7"/>
    <w:rsid w:val="002F3602"/>
    <w:rsid w:val="002F37F2"/>
    <w:rsid w:val="002F3ADE"/>
    <w:rsid w:val="002F3EB3"/>
    <w:rsid w:val="002F3F1B"/>
    <w:rsid w:val="002F3F3E"/>
    <w:rsid w:val="002F41C0"/>
    <w:rsid w:val="002F4344"/>
    <w:rsid w:val="002F4435"/>
    <w:rsid w:val="002F44BD"/>
    <w:rsid w:val="002F44E6"/>
    <w:rsid w:val="002F453E"/>
    <w:rsid w:val="002F4A13"/>
    <w:rsid w:val="002F4E0A"/>
    <w:rsid w:val="002F53B9"/>
    <w:rsid w:val="002F5704"/>
    <w:rsid w:val="002F571E"/>
    <w:rsid w:val="002F5863"/>
    <w:rsid w:val="002F5C02"/>
    <w:rsid w:val="002F5C35"/>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5A3"/>
    <w:rsid w:val="002F7639"/>
    <w:rsid w:val="002F764A"/>
    <w:rsid w:val="002F7664"/>
    <w:rsid w:val="002F77EC"/>
    <w:rsid w:val="002F7B45"/>
    <w:rsid w:val="002F7EEB"/>
    <w:rsid w:val="002F7F33"/>
    <w:rsid w:val="002F7F95"/>
    <w:rsid w:val="003003E9"/>
    <w:rsid w:val="00300607"/>
    <w:rsid w:val="00300BFC"/>
    <w:rsid w:val="00300CAB"/>
    <w:rsid w:val="00301052"/>
    <w:rsid w:val="00301186"/>
    <w:rsid w:val="003012F3"/>
    <w:rsid w:val="003013BA"/>
    <w:rsid w:val="003013BF"/>
    <w:rsid w:val="003013F3"/>
    <w:rsid w:val="00301620"/>
    <w:rsid w:val="00301668"/>
    <w:rsid w:val="003016CA"/>
    <w:rsid w:val="003016F0"/>
    <w:rsid w:val="003017ED"/>
    <w:rsid w:val="003018F5"/>
    <w:rsid w:val="00301EE9"/>
    <w:rsid w:val="00301FBC"/>
    <w:rsid w:val="003023CD"/>
    <w:rsid w:val="00302495"/>
    <w:rsid w:val="0030260C"/>
    <w:rsid w:val="00302672"/>
    <w:rsid w:val="00302810"/>
    <w:rsid w:val="00302A19"/>
    <w:rsid w:val="00302ABD"/>
    <w:rsid w:val="00302B9C"/>
    <w:rsid w:val="00302C70"/>
    <w:rsid w:val="00302D01"/>
    <w:rsid w:val="00302E86"/>
    <w:rsid w:val="00302EE2"/>
    <w:rsid w:val="003032C7"/>
    <w:rsid w:val="003034FA"/>
    <w:rsid w:val="0030370E"/>
    <w:rsid w:val="003037A4"/>
    <w:rsid w:val="003039E6"/>
    <w:rsid w:val="00303A1D"/>
    <w:rsid w:val="00303AB7"/>
    <w:rsid w:val="00303E6A"/>
    <w:rsid w:val="00304335"/>
    <w:rsid w:val="0030441F"/>
    <w:rsid w:val="00304454"/>
    <w:rsid w:val="00304664"/>
    <w:rsid w:val="00304758"/>
    <w:rsid w:val="003047BF"/>
    <w:rsid w:val="0030490D"/>
    <w:rsid w:val="00304A48"/>
    <w:rsid w:val="00304AFE"/>
    <w:rsid w:val="00304B8A"/>
    <w:rsid w:val="00304F46"/>
    <w:rsid w:val="003052AB"/>
    <w:rsid w:val="003055B0"/>
    <w:rsid w:val="003055EB"/>
    <w:rsid w:val="00305B2B"/>
    <w:rsid w:val="00305D0E"/>
    <w:rsid w:val="00305FDE"/>
    <w:rsid w:val="0030622C"/>
    <w:rsid w:val="003062C6"/>
    <w:rsid w:val="0030638F"/>
    <w:rsid w:val="003064E8"/>
    <w:rsid w:val="0030654D"/>
    <w:rsid w:val="00306557"/>
    <w:rsid w:val="00306709"/>
    <w:rsid w:val="00306DA5"/>
    <w:rsid w:val="00306E6D"/>
    <w:rsid w:val="00306FC9"/>
    <w:rsid w:val="0030730A"/>
    <w:rsid w:val="00307877"/>
    <w:rsid w:val="0030792F"/>
    <w:rsid w:val="00307A94"/>
    <w:rsid w:val="00307C74"/>
    <w:rsid w:val="0031003F"/>
    <w:rsid w:val="00310638"/>
    <w:rsid w:val="00310741"/>
    <w:rsid w:val="003113D7"/>
    <w:rsid w:val="003114A8"/>
    <w:rsid w:val="0031161C"/>
    <w:rsid w:val="0031186E"/>
    <w:rsid w:val="00311B0A"/>
    <w:rsid w:val="00311CFC"/>
    <w:rsid w:val="00311DC1"/>
    <w:rsid w:val="00311E6B"/>
    <w:rsid w:val="003122CD"/>
    <w:rsid w:val="003126D4"/>
    <w:rsid w:val="00312730"/>
    <w:rsid w:val="003127FE"/>
    <w:rsid w:val="003128F7"/>
    <w:rsid w:val="00312A61"/>
    <w:rsid w:val="00312D00"/>
    <w:rsid w:val="00312D2C"/>
    <w:rsid w:val="00312DBE"/>
    <w:rsid w:val="00312DCA"/>
    <w:rsid w:val="00312FE6"/>
    <w:rsid w:val="003130E8"/>
    <w:rsid w:val="003131E3"/>
    <w:rsid w:val="00313241"/>
    <w:rsid w:val="003136ED"/>
    <w:rsid w:val="00313D9D"/>
    <w:rsid w:val="003140A8"/>
    <w:rsid w:val="003141FD"/>
    <w:rsid w:val="00314235"/>
    <w:rsid w:val="00314291"/>
    <w:rsid w:val="0031481D"/>
    <w:rsid w:val="0031494D"/>
    <w:rsid w:val="0031495F"/>
    <w:rsid w:val="00314AAF"/>
    <w:rsid w:val="00314D15"/>
    <w:rsid w:val="00314D31"/>
    <w:rsid w:val="00315055"/>
    <w:rsid w:val="0031524C"/>
    <w:rsid w:val="003152F2"/>
    <w:rsid w:val="0031572F"/>
    <w:rsid w:val="00315D8D"/>
    <w:rsid w:val="00315E32"/>
    <w:rsid w:val="00315F20"/>
    <w:rsid w:val="00316055"/>
    <w:rsid w:val="00316083"/>
    <w:rsid w:val="00316210"/>
    <w:rsid w:val="0031639C"/>
    <w:rsid w:val="00316530"/>
    <w:rsid w:val="00316650"/>
    <w:rsid w:val="003167D3"/>
    <w:rsid w:val="00316A43"/>
    <w:rsid w:val="00316A48"/>
    <w:rsid w:val="00316AE9"/>
    <w:rsid w:val="00316B62"/>
    <w:rsid w:val="00316BCD"/>
    <w:rsid w:val="00316CC7"/>
    <w:rsid w:val="00316F85"/>
    <w:rsid w:val="00317263"/>
    <w:rsid w:val="00317339"/>
    <w:rsid w:val="00317343"/>
    <w:rsid w:val="0031737A"/>
    <w:rsid w:val="00317642"/>
    <w:rsid w:val="003179C8"/>
    <w:rsid w:val="00320187"/>
    <w:rsid w:val="00320305"/>
    <w:rsid w:val="003203EF"/>
    <w:rsid w:val="00320658"/>
    <w:rsid w:val="003207F3"/>
    <w:rsid w:val="00320E72"/>
    <w:rsid w:val="00321322"/>
    <w:rsid w:val="003213AC"/>
    <w:rsid w:val="00321898"/>
    <w:rsid w:val="003219FA"/>
    <w:rsid w:val="00321F0D"/>
    <w:rsid w:val="0032215D"/>
    <w:rsid w:val="00322400"/>
    <w:rsid w:val="00322572"/>
    <w:rsid w:val="0032269F"/>
    <w:rsid w:val="003227CF"/>
    <w:rsid w:val="003227D9"/>
    <w:rsid w:val="003229A5"/>
    <w:rsid w:val="00322AC9"/>
    <w:rsid w:val="00322AE7"/>
    <w:rsid w:val="00322CEC"/>
    <w:rsid w:val="00322D51"/>
    <w:rsid w:val="00322F07"/>
    <w:rsid w:val="003230FA"/>
    <w:rsid w:val="003231FE"/>
    <w:rsid w:val="003233B7"/>
    <w:rsid w:val="0032351D"/>
    <w:rsid w:val="003235F4"/>
    <w:rsid w:val="00323658"/>
    <w:rsid w:val="00323AA8"/>
    <w:rsid w:val="003240F3"/>
    <w:rsid w:val="003242C9"/>
    <w:rsid w:val="003242D0"/>
    <w:rsid w:val="003242EB"/>
    <w:rsid w:val="0032463B"/>
    <w:rsid w:val="00324682"/>
    <w:rsid w:val="003249B8"/>
    <w:rsid w:val="00324CE3"/>
    <w:rsid w:val="00324E74"/>
    <w:rsid w:val="00325398"/>
    <w:rsid w:val="00325455"/>
    <w:rsid w:val="00325751"/>
    <w:rsid w:val="00325A09"/>
    <w:rsid w:val="00325A44"/>
    <w:rsid w:val="00325E88"/>
    <w:rsid w:val="00325FA6"/>
    <w:rsid w:val="0032601E"/>
    <w:rsid w:val="00326139"/>
    <w:rsid w:val="003264D5"/>
    <w:rsid w:val="003265F3"/>
    <w:rsid w:val="0032669D"/>
    <w:rsid w:val="00326A80"/>
    <w:rsid w:val="00326B2E"/>
    <w:rsid w:val="00326FF0"/>
    <w:rsid w:val="00327291"/>
    <w:rsid w:val="003275CB"/>
    <w:rsid w:val="003278B6"/>
    <w:rsid w:val="00327C96"/>
    <w:rsid w:val="00327F45"/>
    <w:rsid w:val="00327FE1"/>
    <w:rsid w:val="0033016A"/>
    <w:rsid w:val="003301B9"/>
    <w:rsid w:val="003301C3"/>
    <w:rsid w:val="00330B18"/>
    <w:rsid w:val="00330D71"/>
    <w:rsid w:val="00330E85"/>
    <w:rsid w:val="003315DC"/>
    <w:rsid w:val="00331758"/>
    <w:rsid w:val="00331C19"/>
    <w:rsid w:val="00331F7B"/>
    <w:rsid w:val="00332228"/>
    <w:rsid w:val="003322B4"/>
    <w:rsid w:val="003322E2"/>
    <w:rsid w:val="003322E8"/>
    <w:rsid w:val="003325BF"/>
    <w:rsid w:val="003325EB"/>
    <w:rsid w:val="003325F4"/>
    <w:rsid w:val="003327DF"/>
    <w:rsid w:val="00332908"/>
    <w:rsid w:val="00332A0B"/>
    <w:rsid w:val="00332B3E"/>
    <w:rsid w:val="00332B90"/>
    <w:rsid w:val="00333157"/>
    <w:rsid w:val="00333502"/>
    <w:rsid w:val="00333541"/>
    <w:rsid w:val="00333553"/>
    <w:rsid w:val="00333681"/>
    <w:rsid w:val="003336C3"/>
    <w:rsid w:val="0033386E"/>
    <w:rsid w:val="00333914"/>
    <w:rsid w:val="003339D6"/>
    <w:rsid w:val="00333F89"/>
    <w:rsid w:val="00333FB1"/>
    <w:rsid w:val="00334249"/>
    <w:rsid w:val="003345BF"/>
    <w:rsid w:val="00334A3D"/>
    <w:rsid w:val="00334A6A"/>
    <w:rsid w:val="00334DD2"/>
    <w:rsid w:val="00334E9D"/>
    <w:rsid w:val="00334FC3"/>
    <w:rsid w:val="0033524C"/>
    <w:rsid w:val="003354C8"/>
    <w:rsid w:val="00335800"/>
    <w:rsid w:val="00335849"/>
    <w:rsid w:val="003359B9"/>
    <w:rsid w:val="00335C2F"/>
    <w:rsid w:val="00335C95"/>
    <w:rsid w:val="003361C6"/>
    <w:rsid w:val="003361E6"/>
    <w:rsid w:val="00336526"/>
    <w:rsid w:val="003367F5"/>
    <w:rsid w:val="0033685F"/>
    <w:rsid w:val="00336993"/>
    <w:rsid w:val="00336A49"/>
    <w:rsid w:val="00336A66"/>
    <w:rsid w:val="00336AB3"/>
    <w:rsid w:val="00336BD1"/>
    <w:rsid w:val="00336E3F"/>
    <w:rsid w:val="00336F09"/>
    <w:rsid w:val="00337009"/>
    <w:rsid w:val="00337349"/>
    <w:rsid w:val="00337354"/>
    <w:rsid w:val="00337785"/>
    <w:rsid w:val="00337934"/>
    <w:rsid w:val="00337B5A"/>
    <w:rsid w:val="00337C7B"/>
    <w:rsid w:val="00337D1D"/>
    <w:rsid w:val="00337FC4"/>
    <w:rsid w:val="00340245"/>
    <w:rsid w:val="0034060B"/>
    <w:rsid w:val="0034065D"/>
    <w:rsid w:val="00340888"/>
    <w:rsid w:val="00340B47"/>
    <w:rsid w:val="00340D39"/>
    <w:rsid w:val="00340DAE"/>
    <w:rsid w:val="00341185"/>
    <w:rsid w:val="0034179B"/>
    <w:rsid w:val="00341A17"/>
    <w:rsid w:val="00341A8B"/>
    <w:rsid w:val="00341CFB"/>
    <w:rsid w:val="00341E81"/>
    <w:rsid w:val="003421D1"/>
    <w:rsid w:val="0034225D"/>
    <w:rsid w:val="003426DD"/>
    <w:rsid w:val="00342785"/>
    <w:rsid w:val="003428E8"/>
    <w:rsid w:val="00342B67"/>
    <w:rsid w:val="00342C1D"/>
    <w:rsid w:val="00343098"/>
    <w:rsid w:val="00343567"/>
    <w:rsid w:val="003435AD"/>
    <w:rsid w:val="0034386E"/>
    <w:rsid w:val="00343CCD"/>
    <w:rsid w:val="00343EB4"/>
    <w:rsid w:val="00343F1C"/>
    <w:rsid w:val="00344001"/>
    <w:rsid w:val="0034434F"/>
    <w:rsid w:val="003445C2"/>
    <w:rsid w:val="003445D6"/>
    <w:rsid w:val="00344893"/>
    <w:rsid w:val="00344CA2"/>
    <w:rsid w:val="00344E50"/>
    <w:rsid w:val="00345469"/>
    <w:rsid w:val="0034581F"/>
    <w:rsid w:val="00345866"/>
    <w:rsid w:val="00345A10"/>
    <w:rsid w:val="00345F57"/>
    <w:rsid w:val="003460FF"/>
    <w:rsid w:val="00346218"/>
    <w:rsid w:val="00346850"/>
    <w:rsid w:val="003469F1"/>
    <w:rsid w:val="00346B32"/>
    <w:rsid w:val="00346C45"/>
    <w:rsid w:val="00346CDC"/>
    <w:rsid w:val="00346D1A"/>
    <w:rsid w:val="00346FDB"/>
    <w:rsid w:val="00347095"/>
    <w:rsid w:val="0034761D"/>
    <w:rsid w:val="00347954"/>
    <w:rsid w:val="00347ACA"/>
    <w:rsid w:val="00347BB1"/>
    <w:rsid w:val="00347D36"/>
    <w:rsid w:val="00347D5F"/>
    <w:rsid w:val="00347D89"/>
    <w:rsid w:val="00347FF3"/>
    <w:rsid w:val="003500E9"/>
    <w:rsid w:val="00350101"/>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765"/>
    <w:rsid w:val="00351986"/>
    <w:rsid w:val="00351F38"/>
    <w:rsid w:val="003520C4"/>
    <w:rsid w:val="00352375"/>
    <w:rsid w:val="003523C1"/>
    <w:rsid w:val="003527E0"/>
    <w:rsid w:val="003527F0"/>
    <w:rsid w:val="0035280A"/>
    <w:rsid w:val="003528AC"/>
    <w:rsid w:val="00352999"/>
    <w:rsid w:val="003529AB"/>
    <w:rsid w:val="00352A4C"/>
    <w:rsid w:val="00352BBB"/>
    <w:rsid w:val="00352C22"/>
    <w:rsid w:val="00352DC3"/>
    <w:rsid w:val="00352DF4"/>
    <w:rsid w:val="00352E5C"/>
    <w:rsid w:val="0035318F"/>
    <w:rsid w:val="003531A5"/>
    <w:rsid w:val="00353263"/>
    <w:rsid w:val="003532EF"/>
    <w:rsid w:val="003533C1"/>
    <w:rsid w:val="00353568"/>
    <w:rsid w:val="00353578"/>
    <w:rsid w:val="0035376A"/>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7A6"/>
    <w:rsid w:val="003557E3"/>
    <w:rsid w:val="003558D7"/>
    <w:rsid w:val="00355968"/>
    <w:rsid w:val="003561DF"/>
    <w:rsid w:val="00356734"/>
    <w:rsid w:val="00356C97"/>
    <w:rsid w:val="00357A03"/>
    <w:rsid w:val="00357B76"/>
    <w:rsid w:val="00357C60"/>
    <w:rsid w:val="00357CAC"/>
    <w:rsid w:val="00357D2E"/>
    <w:rsid w:val="00357EBC"/>
    <w:rsid w:val="00360066"/>
    <w:rsid w:val="00360270"/>
    <w:rsid w:val="00360548"/>
    <w:rsid w:val="003606B1"/>
    <w:rsid w:val="00360902"/>
    <w:rsid w:val="00360CAA"/>
    <w:rsid w:val="003610BA"/>
    <w:rsid w:val="003611CD"/>
    <w:rsid w:val="003611D0"/>
    <w:rsid w:val="003611EB"/>
    <w:rsid w:val="00361229"/>
    <w:rsid w:val="0036146B"/>
    <w:rsid w:val="00361558"/>
    <w:rsid w:val="003616CD"/>
    <w:rsid w:val="003617D6"/>
    <w:rsid w:val="00361A16"/>
    <w:rsid w:val="00361B86"/>
    <w:rsid w:val="00361D07"/>
    <w:rsid w:val="00361E23"/>
    <w:rsid w:val="00361F38"/>
    <w:rsid w:val="00361FDF"/>
    <w:rsid w:val="003622AC"/>
    <w:rsid w:val="00362303"/>
    <w:rsid w:val="0036251F"/>
    <w:rsid w:val="00362BEA"/>
    <w:rsid w:val="00362DBD"/>
    <w:rsid w:val="00362F4E"/>
    <w:rsid w:val="00362F81"/>
    <w:rsid w:val="0036303C"/>
    <w:rsid w:val="00363098"/>
    <w:rsid w:val="0036320F"/>
    <w:rsid w:val="00363307"/>
    <w:rsid w:val="0036371D"/>
    <w:rsid w:val="00363886"/>
    <w:rsid w:val="00363CB1"/>
    <w:rsid w:val="003648EB"/>
    <w:rsid w:val="00364CF8"/>
    <w:rsid w:val="00364DBC"/>
    <w:rsid w:val="00364EE4"/>
    <w:rsid w:val="003650DB"/>
    <w:rsid w:val="003650E4"/>
    <w:rsid w:val="00365318"/>
    <w:rsid w:val="003655F7"/>
    <w:rsid w:val="00365666"/>
    <w:rsid w:val="0036579A"/>
    <w:rsid w:val="003657E7"/>
    <w:rsid w:val="00365B55"/>
    <w:rsid w:val="00365B63"/>
    <w:rsid w:val="00365C15"/>
    <w:rsid w:val="00366029"/>
    <w:rsid w:val="0036658D"/>
    <w:rsid w:val="00366A6D"/>
    <w:rsid w:val="00366B2C"/>
    <w:rsid w:val="00366CB0"/>
    <w:rsid w:val="00366DE1"/>
    <w:rsid w:val="00366E81"/>
    <w:rsid w:val="003671D8"/>
    <w:rsid w:val="00367792"/>
    <w:rsid w:val="0036786B"/>
    <w:rsid w:val="00367A78"/>
    <w:rsid w:val="00367FC6"/>
    <w:rsid w:val="00370001"/>
    <w:rsid w:val="00370045"/>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C3"/>
    <w:rsid w:val="00371B5B"/>
    <w:rsid w:val="00371BB8"/>
    <w:rsid w:val="00371DE5"/>
    <w:rsid w:val="00371E3E"/>
    <w:rsid w:val="00371EF8"/>
    <w:rsid w:val="003720D2"/>
    <w:rsid w:val="00372165"/>
    <w:rsid w:val="003723CB"/>
    <w:rsid w:val="0037249A"/>
    <w:rsid w:val="003725BC"/>
    <w:rsid w:val="003729BC"/>
    <w:rsid w:val="00372A01"/>
    <w:rsid w:val="003732B2"/>
    <w:rsid w:val="00373340"/>
    <w:rsid w:val="00373643"/>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74E"/>
    <w:rsid w:val="0037499B"/>
    <w:rsid w:val="003749F9"/>
    <w:rsid w:val="00374B83"/>
    <w:rsid w:val="00374C20"/>
    <w:rsid w:val="00375190"/>
    <w:rsid w:val="0037532B"/>
    <w:rsid w:val="00375399"/>
    <w:rsid w:val="003753DE"/>
    <w:rsid w:val="0037567C"/>
    <w:rsid w:val="003757F5"/>
    <w:rsid w:val="0037584F"/>
    <w:rsid w:val="00375AD0"/>
    <w:rsid w:val="00375BEE"/>
    <w:rsid w:val="00375C9D"/>
    <w:rsid w:val="00375F03"/>
    <w:rsid w:val="0037616A"/>
    <w:rsid w:val="0037621C"/>
    <w:rsid w:val="00376256"/>
    <w:rsid w:val="00376533"/>
    <w:rsid w:val="0037659D"/>
    <w:rsid w:val="003767B6"/>
    <w:rsid w:val="003769B4"/>
    <w:rsid w:val="00376A4B"/>
    <w:rsid w:val="00376B06"/>
    <w:rsid w:val="00376BFD"/>
    <w:rsid w:val="00376C7C"/>
    <w:rsid w:val="00376DE3"/>
    <w:rsid w:val="00376E80"/>
    <w:rsid w:val="00376FB2"/>
    <w:rsid w:val="003777EF"/>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130C"/>
    <w:rsid w:val="003818E3"/>
    <w:rsid w:val="00381AF0"/>
    <w:rsid w:val="00381F0C"/>
    <w:rsid w:val="003822BF"/>
    <w:rsid w:val="003823AA"/>
    <w:rsid w:val="0038240E"/>
    <w:rsid w:val="0038265F"/>
    <w:rsid w:val="00382746"/>
    <w:rsid w:val="003827DA"/>
    <w:rsid w:val="0038296E"/>
    <w:rsid w:val="003829B4"/>
    <w:rsid w:val="00382B44"/>
    <w:rsid w:val="00382C3E"/>
    <w:rsid w:val="00382C85"/>
    <w:rsid w:val="00382E18"/>
    <w:rsid w:val="00382F72"/>
    <w:rsid w:val="0038369C"/>
    <w:rsid w:val="00383D65"/>
    <w:rsid w:val="00383D69"/>
    <w:rsid w:val="00383E08"/>
    <w:rsid w:val="00384368"/>
    <w:rsid w:val="00384595"/>
    <w:rsid w:val="00384959"/>
    <w:rsid w:val="00384B20"/>
    <w:rsid w:val="00384BD4"/>
    <w:rsid w:val="00384EB1"/>
    <w:rsid w:val="00384F33"/>
    <w:rsid w:val="0038520A"/>
    <w:rsid w:val="00385227"/>
    <w:rsid w:val="00385392"/>
    <w:rsid w:val="0038560D"/>
    <w:rsid w:val="00385718"/>
    <w:rsid w:val="00385720"/>
    <w:rsid w:val="00385BE1"/>
    <w:rsid w:val="00385C05"/>
    <w:rsid w:val="00385E0E"/>
    <w:rsid w:val="00385F94"/>
    <w:rsid w:val="0038613F"/>
    <w:rsid w:val="00386444"/>
    <w:rsid w:val="003865C2"/>
    <w:rsid w:val="0038679C"/>
    <w:rsid w:val="003867FC"/>
    <w:rsid w:val="00386B1B"/>
    <w:rsid w:val="00386B70"/>
    <w:rsid w:val="00386F4D"/>
    <w:rsid w:val="003871C9"/>
    <w:rsid w:val="003872CF"/>
    <w:rsid w:val="00387682"/>
    <w:rsid w:val="00387694"/>
    <w:rsid w:val="003877C9"/>
    <w:rsid w:val="00387A89"/>
    <w:rsid w:val="00387CD7"/>
    <w:rsid w:val="00390019"/>
    <w:rsid w:val="0039043F"/>
    <w:rsid w:val="00390A07"/>
    <w:rsid w:val="00390AB5"/>
    <w:rsid w:val="00390AF1"/>
    <w:rsid w:val="00390C2B"/>
    <w:rsid w:val="00390E48"/>
    <w:rsid w:val="00390FD1"/>
    <w:rsid w:val="00391086"/>
    <w:rsid w:val="0039118A"/>
    <w:rsid w:val="0039132D"/>
    <w:rsid w:val="00391638"/>
    <w:rsid w:val="00391779"/>
    <w:rsid w:val="003917E3"/>
    <w:rsid w:val="00391CA6"/>
    <w:rsid w:val="003920CB"/>
    <w:rsid w:val="0039213A"/>
    <w:rsid w:val="003921D2"/>
    <w:rsid w:val="0039230A"/>
    <w:rsid w:val="00392327"/>
    <w:rsid w:val="00392353"/>
    <w:rsid w:val="0039239D"/>
    <w:rsid w:val="003924B2"/>
    <w:rsid w:val="003926DC"/>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5373"/>
    <w:rsid w:val="003954B1"/>
    <w:rsid w:val="00395876"/>
    <w:rsid w:val="00395967"/>
    <w:rsid w:val="00395B6B"/>
    <w:rsid w:val="00395C2B"/>
    <w:rsid w:val="00395E4B"/>
    <w:rsid w:val="00395FF5"/>
    <w:rsid w:val="00396080"/>
    <w:rsid w:val="0039612B"/>
    <w:rsid w:val="0039619B"/>
    <w:rsid w:val="0039653A"/>
    <w:rsid w:val="00396ADA"/>
    <w:rsid w:val="00396EB5"/>
    <w:rsid w:val="003970A7"/>
    <w:rsid w:val="0039735D"/>
    <w:rsid w:val="00397502"/>
    <w:rsid w:val="00397515"/>
    <w:rsid w:val="00397608"/>
    <w:rsid w:val="00397999"/>
    <w:rsid w:val="00397BFE"/>
    <w:rsid w:val="003A03C1"/>
    <w:rsid w:val="003A0486"/>
    <w:rsid w:val="003A057E"/>
    <w:rsid w:val="003A0AB9"/>
    <w:rsid w:val="003A0AD7"/>
    <w:rsid w:val="003A0D5B"/>
    <w:rsid w:val="003A0FFF"/>
    <w:rsid w:val="003A10D5"/>
    <w:rsid w:val="003A1113"/>
    <w:rsid w:val="003A1452"/>
    <w:rsid w:val="003A150B"/>
    <w:rsid w:val="003A1813"/>
    <w:rsid w:val="003A18A4"/>
    <w:rsid w:val="003A197C"/>
    <w:rsid w:val="003A1A10"/>
    <w:rsid w:val="003A1A4A"/>
    <w:rsid w:val="003A1BDA"/>
    <w:rsid w:val="003A1CFF"/>
    <w:rsid w:val="003A1D63"/>
    <w:rsid w:val="003A1DBA"/>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562"/>
    <w:rsid w:val="003A359E"/>
    <w:rsid w:val="003A368D"/>
    <w:rsid w:val="003A3799"/>
    <w:rsid w:val="003A38FB"/>
    <w:rsid w:val="003A3C0C"/>
    <w:rsid w:val="003A3CC8"/>
    <w:rsid w:val="003A3E85"/>
    <w:rsid w:val="003A40D2"/>
    <w:rsid w:val="003A431B"/>
    <w:rsid w:val="003A4534"/>
    <w:rsid w:val="003A455D"/>
    <w:rsid w:val="003A4C0C"/>
    <w:rsid w:val="003A4E85"/>
    <w:rsid w:val="003A5178"/>
    <w:rsid w:val="003A51BE"/>
    <w:rsid w:val="003A55F8"/>
    <w:rsid w:val="003A562F"/>
    <w:rsid w:val="003A5788"/>
    <w:rsid w:val="003A5964"/>
    <w:rsid w:val="003A5E83"/>
    <w:rsid w:val="003A5FBB"/>
    <w:rsid w:val="003A6294"/>
    <w:rsid w:val="003A63A6"/>
    <w:rsid w:val="003A6719"/>
    <w:rsid w:val="003A68AE"/>
    <w:rsid w:val="003A698E"/>
    <w:rsid w:val="003A6C3E"/>
    <w:rsid w:val="003A6FA2"/>
    <w:rsid w:val="003A719D"/>
    <w:rsid w:val="003A73EB"/>
    <w:rsid w:val="003A745D"/>
    <w:rsid w:val="003A753E"/>
    <w:rsid w:val="003A78C5"/>
    <w:rsid w:val="003A7AA7"/>
    <w:rsid w:val="003A7C53"/>
    <w:rsid w:val="003A7D05"/>
    <w:rsid w:val="003A7D64"/>
    <w:rsid w:val="003B00AE"/>
    <w:rsid w:val="003B0306"/>
    <w:rsid w:val="003B07AC"/>
    <w:rsid w:val="003B08E8"/>
    <w:rsid w:val="003B09EC"/>
    <w:rsid w:val="003B0B19"/>
    <w:rsid w:val="003B0CA6"/>
    <w:rsid w:val="003B0D96"/>
    <w:rsid w:val="003B0D9A"/>
    <w:rsid w:val="003B0E65"/>
    <w:rsid w:val="003B0FFF"/>
    <w:rsid w:val="003B121F"/>
    <w:rsid w:val="003B122B"/>
    <w:rsid w:val="003B126E"/>
    <w:rsid w:val="003B1A0F"/>
    <w:rsid w:val="003B1AC0"/>
    <w:rsid w:val="003B1D6F"/>
    <w:rsid w:val="003B1FE6"/>
    <w:rsid w:val="003B2035"/>
    <w:rsid w:val="003B21DA"/>
    <w:rsid w:val="003B223B"/>
    <w:rsid w:val="003B2502"/>
    <w:rsid w:val="003B264E"/>
    <w:rsid w:val="003B2664"/>
    <w:rsid w:val="003B27CC"/>
    <w:rsid w:val="003B2CF2"/>
    <w:rsid w:val="003B2F25"/>
    <w:rsid w:val="003B3002"/>
    <w:rsid w:val="003B30AB"/>
    <w:rsid w:val="003B3E4A"/>
    <w:rsid w:val="003B480C"/>
    <w:rsid w:val="003B486E"/>
    <w:rsid w:val="003B48F2"/>
    <w:rsid w:val="003B4956"/>
    <w:rsid w:val="003B497D"/>
    <w:rsid w:val="003B4AA6"/>
    <w:rsid w:val="003B4C86"/>
    <w:rsid w:val="003B4E1F"/>
    <w:rsid w:val="003B4E60"/>
    <w:rsid w:val="003B5128"/>
    <w:rsid w:val="003B5268"/>
    <w:rsid w:val="003B5445"/>
    <w:rsid w:val="003B5675"/>
    <w:rsid w:val="003B58A1"/>
    <w:rsid w:val="003B5B4D"/>
    <w:rsid w:val="003B60FB"/>
    <w:rsid w:val="003B6E88"/>
    <w:rsid w:val="003B6F92"/>
    <w:rsid w:val="003B7140"/>
    <w:rsid w:val="003B73D7"/>
    <w:rsid w:val="003B76B3"/>
    <w:rsid w:val="003B778E"/>
    <w:rsid w:val="003B7982"/>
    <w:rsid w:val="003B7A48"/>
    <w:rsid w:val="003B7B10"/>
    <w:rsid w:val="003B7C00"/>
    <w:rsid w:val="003B7C13"/>
    <w:rsid w:val="003B7FC9"/>
    <w:rsid w:val="003C00E2"/>
    <w:rsid w:val="003C02EC"/>
    <w:rsid w:val="003C04AB"/>
    <w:rsid w:val="003C04B8"/>
    <w:rsid w:val="003C052A"/>
    <w:rsid w:val="003C0915"/>
    <w:rsid w:val="003C0D7F"/>
    <w:rsid w:val="003C0E4E"/>
    <w:rsid w:val="003C1102"/>
    <w:rsid w:val="003C12A0"/>
    <w:rsid w:val="003C1550"/>
    <w:rsid w:val="003C159E"/>
    <w:rsid w:val="003C169B"/>
    <w:rsid w:val="003C19B8"/>
    <w:rsid w:val="003C19E0"/>
    <w:rsid w:val="003C1CAF"/>
    <w:rsid w:val="003C23D6"/>
    <w:rsid w:val="003C23E4"/>
    <w:rsid w:val="003C2415"/>
    <w:rsid w:val="003C248A"/>
    <w:rsid w:val="003C264D"/>
    <w:rsid w:val="003C2A7B"/>
    <w:rsid w:val="003C2B3C"/>
    <w:rsid w:val="003C3747"/>
    <w:rsid w:val="003C3B28"/>
    <w:rsid w:val="003C40BF"/>
    <w:rsid w:val="003C412E"/>
    <w:rsid w:val="003C417A"/>
    <w:rsid w:val="003C43A6"/>
    <w:rsid w:val="003C43D1"/>
    <w:rsid w:val="003C4515"/>
    <w:rsid w:val="003C4E96"/>
    <w:rsid w:val="003C5054"/>
    <w:rsid w:val="003C5201"/>
    <w:rsid w:val="003C5276"/>
    <w:rsid w:val="003C54E8"/>
    <w:rsid w:val="003C5687"/>
    <w:rsid w:val="003C578D"/>
    <w:rsid w:val="003C5793"/>
    <w:rsid w:val="003C5C29"/>
    <w:rsid w:val="003C5E34"/>
    <w:rsid w:val="003C5FC9"/>
    <w:rsid w:val="003C6594"/>
    <w:rsid w:val="003C66FA"/>
    <w:rsid w:val="003C67CC"/>
    <w:rsid w:val="003C6A20"/>
    <w:rsid w:val="003C6C32"/>
    <w:rsid w:val="003C7242"/>
    <w:rsid w:val="003C7310"/>
    <w:rsid w:val="003C754C"/>
    <w:rsid w:val="003C7838"/>
    <w:rsid w:val="003C7872"/>
    <w:rsid w:val="003C7ABC"/>
    <w:rsid w:val="003C7B69"/>
    <w:rsid w:val="003C7D93"/>
    <w:rsid w:val="003D0071"/>
    <w:rsid w:val="003D0106"/>
    <w:rsid w:val="003D03B4"/>
    <w:rsid w:val="003D0D10"/>
    <w:rsid w:val="003D11E9"/>
    <w:rsid w:val="003D1254"/>
    <w:rsid w:val="003D1397"/>
    <w:rsid w:val="003D13BC"/>
    <w:rsid w:val="003D1419"/>
    <w:rsid w:val="003D17A4"/>
    <w:rsid w:val="003D1835"/>
    <w:rsid w:val="003D1C9B"/>
    <w:rsid w:val="003D1CAC"/>
    <w:rsid w:val="003D1DAB"/>
    <w:rsid w:val="003D1F1E"/>
    <w:rsid w:val="003D1FF0"/>
    <w:rsid w:val="003D20F2"/>
    <w:rsid w:val="003D222C"/>
    <w:rsid w:val="003D26A9"/>
    <w:rsid w:val="003D288A"/>
    <w:rsid w:val="003D28A5"/>
    <w:rsid w:val="003D28EC"/>
    <w:rsid w:val="003D2BD9"/>
    <w:rsid w:val="003D2D25"/>
    <w:rsid w:val="003D326F"/>
    <w:rsid w:val="003D338E"/>
    <w:rsid w:val="003D33AC"/>
    <w:rsid w:val="003D33FA"/>
    <w:rsid w:val="003D3408"/>
    <w:rsid w:val="003D3437"/>
    <w:rsid w:val="003D3707"/>
    <w:rsid w:val="003D38C7"/>
    <w:rsid w:val="003D3981"/>
    <w:rsid w:val="003D3CD3"/>
    <w:rsid w:val="003D3CF9"/>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3B1"/>
    <w:rsid w:val="003D575F"/>
    <w:rsid w:val="003D5875"/>
    <w:rsid w:val="003D58D6"/>
    <w:rsid w:val="003D59FB"/>
    <w:rsid w:val="003D5ABC"/>
    <w:rsid w:val="003D5AE6"/>
    <w:rsid w:val="003D5DEC"/>
    <w:rsid w:val="003D5FE3"/>
    <w:rsid w:val="003D6498"/>
    <w:rsid w:val="003D6899"/>
    <w:rsid w:val="003D6B8C"/>
    <w:rsid w:val="003D6C7D"/>
    <w:rsid w:val="003D7368"/>
    <w:rsid w:val="003D7589"/>
    <w:rsid w:val="003D775F"/>
    <w:rsid w:val="003D7A34"/>
    <w:rsid w:val="003D7A93"/>
    <w:rsid w:val="003D7AB7"/>
    <w:rsid w:val="003D7BA7"/>
    <w:rsid w:val="003E0153"/>
    <w:rsid w:val="003E051D"/>
    <w:rsid w:val="003E05FE"/>
    <w:rsid w:val="003E0645"/>
    <w:rsid w:val="003E06E1"/>
    <w:rsid w:val="003E0902"/>
    <w:rsid w:val="003E119D"/>
    <w:rsid w:val="003E1223"/>
    <w:rsid w:val="003E12C2"/>
    <w:rsid w:val="003E135D"/>
    <w:rsid w:val="003E1520"/>
    <w:rsid w:val="003E17E4"/>
    <w:rsid w:val="003E1DC8"/>
    <w:rsid w:val="003E21A8"/>
    <w:rsid w:val="003E22EF"/>
    <w:rsid w:val="003E24EB"/>
    <w:rsid w:val="003E281C"/>
    <w:rsid w:val="003E292E"/>
    <w:rsid w:val="003E2A2E"/>
    <w:rsid w:val="003E2B3B"/>
    <w:rsid w:val="003E2B91"/>
    <w:rsid w:val="003E2CD1"/>
    <w:rsid w:val="003E2D06"/>
    <w:rsid w:val="003E2F5F"/>
    <w:rsid w:val="003E2F7A"/>
    <w:rsid w:val="003E30A6"/>
    <w:rsid w:val="003E3327"/>
    <w:rsid w:val="003E3356"/>
    <w:rsid w:val="003E3366"/>
    <w:rsid w:val="003E36B2"/>
    <w:rsid w:val="003E39AD"/>
    <w:rsid w:val="003E3AC3"/>
    <w:rsid w:val="003E3AFB"/>
    <w:rsid w:val="003E3BA5"/>
    <w:rsid w:val="003E3C9E"/>
    <w:rsid w:val="003E3F63"/>
    <w:rsid w:val="003E4725"/>
    <w:rsid w:val="003E4766"/>
    <w:rsid w:val="003E4837"/>
    <w:rsid w:val="003E4893"/>
    <w:rsid w:val="003E49A0"/>
    <w:rsid w:val="003E4AE1"/>
    <w:rsid w:val="003E4B27"/>
    <w:rsid w:val="003E4BE9"/>
    <w:rsid w:val="003E50C8"/>
    <w:rsid w:val="003E5628"/>
    <w:rsid w:val="003E56E1"/>
    <w:rsid w:val="003E5C42"/>
    <w:rsid w:val="003E5E13"/>
    <w:rsid w:val="003E5E2A"/>
    <w:rsid w:val="003E63C1"/>
    <w:rsid w:val="003E6569"/>
    <w:rsid w:val="003E6589"/>
    <w:rsid w:val="003E6BE1"/>
    <w:rsid w:val="003E703A"/>
    <w:rsid w:val="003E7118"/>
    <w:rsid w:val="003E723A"/>
    <w:rsid w:val="003E738E"/>
    <w:rsid w:val="003E744C"/>
    <w:rsid w:val="003E75FC"/>
    <w:rsid w:val="003E778B"/>
    <w:rsid w:val="003E792A"/>
    <w:rsid w:val="003E7BD4"/>
    <w:rsid w:val="003F0228"/>
    <w:rsid w:val="003F022F"/>
    <w:rsid w:val="003F0461"/>
    <w:rsid w:val="003F071F"/>
    <w:rsid w:val="003F0781"/>
    <w:rsid w:val="003F07E2"/>
    <w:rsid w:val="003F0A92"/>
    <w:rsid w:val="003F0C88"/>
    <w:rsid w:val="003F0D04"/>
    <w:rsid w:val="003F122D"/>
    <w:rsid w:val="003F14D8"/>
    <w:rsid w:val="003F158D"/>
    <w:rsid w:val="003F1718"/>
    <w:rsid w:val="003F2191"/>
    <w:rsid w:val="003F21E4"/>
    <w:rsid w:val="003F2AAB"/>
    <w:rsid w:val="003F2BC0"/>
    <w:rsid w:val="003F2D0B"/>
    <w:rsid w:val="003F2E4F"/>
    <w:rsid w:val="003F306A"/>
    <w:rsid w:val="003F3126"/>
    <w:rsid w:val="003F31C1"/>
    <w:rsid w:val="003F3204"/>
    <w:rsid w:val="003F34D0"/>
    <w:rsid w:val="003F3583"/>
    <w:rsid w:val="003F35C9"/>
    <w:rsid w:val="003F36A6"/>
    <w:rsid w:val="003F3847"/>
    <w:rsid w:val="003F3888"/>
    <w:rsid w:val="003F3DC8"/>
    <w:rsid w:val="003F3F77"/>
    <w:rsid w:val="003F4362"/>
    <w:rsid w:val="003F479B"/>
    <w:rsid w:val="003F4827"/>
    <w:rsid w:val="003F4839"/>
    <w:rsid w:val="003F4843"/>
    <w:rsid w:val="003F4950"/>
    <w:rsid w:val="003F4AF4"/>
    <w:rsid w:val="003F4BC8"/>
    <w:rsid w:val="003F4E62"/>
    <w:rsid w:val="003F4F42"/>
    <w:rsid w:val="003F5537"/>
    <w:rsid w:val="003F55BE"/>
    <w:rsid w:val="003F583E"/>
    <w:rsid w:val="003F5C0A"/>
    <w:rsid w:val="003F5CFF"/>
    <w:rsid w:val="003F6044"/>
    <w:rsid w:val="003F6088"/>
    <w:rsid w:val="003F6454"/>
    <w:rsid w:val="003F66BB"/>
    <w:rsid w:val="003F6817"/>
    <w:rsid w:val="003F6A80"/>
    <w:rsid w:val="003F6BA7"/>
    <w:rsid w:val="003F6D84"/>
    <w:rsid w:val="003F6E46"/>
    <w:rsid w:val="003F6E64"/>
    <w:rsid w:val="003F6E8E"/>
    <w:rsid w:val="003F6EC1"/>
    <w:rsid w:val="003F73F7"/>
    <w:rsid w:val="003F7536"/>
    <w:rsid w:val="003F78D1"/>
    <w:rsid w:val="003F7D52"/>
    <w:rsid w:val="003F7E51"/>
    <w:rsid w:val="003F7EAC"/>
    <w:rsid w:val="00400054"/>
    <w:rsid w:val="0040015A"/>
    <w:rsid w:val="004001A6"/>
    <w:rsid w:val="0040035C"/>
    <w:rsid w:val="004003FA"/>
    <w:rsid w:val="004004FE"/>
    <w:rsid w:val="004005F9"/>
    <w:rsid w:val="00400856"/>
    <w:rsid w:val="00400E91"/>
    <w:rsid w:val="00400EFC"/>
    <w:rsid w:val="00401033"/>
    <w:rsid w:val="00401045"/>
    <w:rsid w:val="00401293"/>
    <w:rsid w:val="004012CB"/>
    <w:rsid w:val="00401340"/>
    <w:rsid w:val="00401613"/>
    <w:rsid w:val="004017EC"/>
    <w:rsid w:val="00401BF6"/>
    <w:rsid w:val="00401D93"/>
    <w:rsid w:val="0040236E"/>
    <w:rsid w:val="00402436"/>
    <w:rsid w:val="004029DF"/>
    <w:rsid w:val="004029EC"/>
    <w:rsid w:val="00402ABC"/>
    <w:rsid w:val="00402B36"/>
    <w:rsid w:val="00402FE5"/>
    <w:rsid w:val="0040303D"/>
    <w:rsid w:val="004031A5"/>
    <w:rsid w:val="004032E4"/>
    <w:rsid w:val="00403574"/>
    <w:rsid w:val="004037EE"/>
    <w:rsid w:val="00403820"/>
    <w:rsid w:val="00403C92"/>
    <w:rsid w:val="00403D62"/>
    <w:rsid w:val="00403EDA"/>
    <w:rsid w:val="004040A9"/>
    <w:rsid w:val="00404198"/>
    <w:rsid w:val="004043B8"/>
    <w:rsid w:val="0040448E"/>
    <w:rsid w:val="00404538"/>
    <w:rsid w:val="0040453F"/>
    <w:rsid w:val="00404553"/>
    <w:rsid w:val="004046A0"/>
    <w:rsid w:val="004046AC"/>
    <w:rsid w:val="00404F39"/>
    <w:rsid w:val="004050B1"/>
    <w:rsid w:val="004051B4"/>
    <w:rsid w:val="00405368"/>
    <w:rsid w:val="0040567F"/>
    <w:rsid w:val="004056C1"/>
    <w:rsid w:val="00405789"/>
    <w:rsid w:val="00405940"/>
    <w:rsid w:val="00405BB1"/>
    <w:rsid w:val="00405C17"/>
    <w:rsid w:val="00405C81"/>
    <w:rsid w:val="00405CFC"/>
    <w:rsid w:val="0040667F"/>
    <w:rsid w:val="004066DC"/>
    <w:rsid w:val="004067F2"/>
    <w:rsid w:val="004068D6"/>
    <w:rsid w:val="00406C82"/>
    <w:rsid w:val="00406D6D"/>
    <w:rsid w:val="00406DB3"/>
    <w:rsid w:val="004072D4"/>
    <w:rsid w:val="0040762C"/>
    <w:rsid w:val="004076C9"/>
    <w:rsid w:val="00407728"/>
    <w:rsid w:val="00407796"/>
    <w:rsid w:val="00407A48"/>
    <w:rsid w:val="00407B86"/>
    <w:rsid w:val="004100CC"/>
    <w:rsid w:val="004100F9"/>
    <w:rsid w:val="00410544"/>
    <w:rsid w:val="0041090A"/>
    <w:rsid w:val="004109BA"/>
    <w:rsid w:val="00410B05"/>
    <w:rsid w:val="00410C20"/>
    <w:rsid w:val="00410E28"/>
    <w:rsid w:val="004111AB"/>
    <w:rsid w:val="004112C2"/>
    <w:rsid w:val="0041152A"/>
    <w:rsid w:val="004117C1"/>
    <w:rsid w:val="00411897"/>
    <w:rsid w:val="004118CE"/>
    <w:rsid w:val="004119FE"/>
    <w:rsid w:val="00411C38"/>
    <w:rsid w:val="00411E61"/>
    <w:rsid w:val="00411EE0"/>
    <w:rsid w:val="0041230E"/>
    <w:rsid w:val="00412715"/>
    <w:rsid w:val="00412768"/>
    <w:rsid w:val="00412CAE"/>
    <w:rsid w:val="0041333F"/>
    <w:rsid w:val="00413352"/>
    <w:rsid w:val="0041350D"/>
    <w:rsid w:val="00413546"/>
    <w:rsid w:val="00413562"/>
    <w:rsid w:val="00413AD8"/>
    <w:rsid w:val="00413FF3"/>
    <w:rsid w:val="0041402C"/>
    <w:rsid w:val="00414511"/>
    <w:rsid w:val="00414A6F"/>
    <w:rsid w:val="00414AEE"/>
    <w:rsid w:val="00414C26"/>
    <w:rsid w:val="00414C80"/>
    <w:rsid w:val="00415122"/>
    <w:rsid w:val="004153BF"/>
    <w:rsid w:val="0041569A"/>
    <w:rsid w:val="00415833"/>
    <w:rsid w:val="004159FC"/>
    <w:rsid w:val="00415A6D"/>
    <w:rsid w:val="00415A87"/>
    <w:rsid w:val="0041661F"/>
    <w:rsid w:val="00416640"/>
    <w:rsid w:val="00416669"/>
    <w:rsid w:val="004167EC"/>
    <w:rsid w:val="004167F8"/>
    <w:rsid w:val="0041689B"/>
    <w:rsid w:val="00416D95"/>
    <w:rsid w:val="00416DCB"/>
    <w:rsid w:val="0041700F"/>
    <w:rsid w:val="00417323"/>
    <w:rsid w:val="0041744C"/>
    <w:rsid w:val="0041748D"/>
    <w:rsid w:val="00417A97"/>
    <w:rsid w:val="00417CB1"/>
    <w:rsid w:val="00417E6C"/>
    <w:rsid w:val="004201A9"/>
    <w:rsid w:val="00420342"/>
    <w:rsid w:val="0042035E"/>
    <w:rsid w:val="0042059F"/>
    <w:rsid w:val="0042075F"/>
    <w:rsid w:val="00420950"/>
    <w:rsid w:val="00420A3C"/>
    <w:rsid w:val="00420A7F"/>
    <w:rsid w:val="00420C49"/>
    <w:rsid w:val="00420DA9"/>
    <w:rsid w:val="00420DC6"/>
    <w:rsid w:val="00420F35"/>
    <w:rsid w:val="00420FE6"/>
    <w:rsid w:val="0042128D"/>
    <w:rsid w:val="00421484"/>
    <w:rsid w:val="004214DB"/>
    <w:rsid w:val="004215B8"/>
    <w:rsid w:val="00421BFB"/>
    <w:rsid w:val="00421D59"/>
    <w:rsid w:val="00421EB3"/>
    <w:rsid w:val="00422424"/>
    <w:rsid w:val="004226C2"/>
    <w:rsid w:val="004226E7"/>
    <w:rsid w:val="0042301A"/>
    <w:rsid w:val="00423170"/>
    <w:rsid w:val="004232CD"/>
    <w:rsid w:val="00423597"/>
    <w:rsid w:val="00423600"/>
    <w:rsid w:val="0042374E"/>
    <w:rsid w:val="004237FD"/>
    <w:rsid w:val="00423886"/>
    <w:rsid w:val="004239D8"/>
    <w:rsid w:val="00423B69"/>
    <w:rsid w:val="00423DA1"/>
    <w:rsid w:val="00424063"/>
    <w:rsid w:val="00424126"/>
    <w:rsid w:val="004241FD"/>
    <w:rsid w:val="004244C4"/>
    <w:rsid w:val="00424855"/>
    <w:rsid w:val="00424975"/>
    <w:rsid w:val="00424A5B"/>
    <w:rsid w:val="00424E92"/>
    <w:rsid w:val="004250B7"/>
    <w:rsid w:val="0042512C"/>
    <w:rsid w:val="00425318"/>
    <w:rsid w:val="00425693"/>
    <w:rsid w:val="004257F4"/>
    <w:rsid w:val="00425A07"/>
    <w:rsid w:val="00425A93"/>
    <w:rsid w:val="00425AF3"/>
    <w:rsid w:val="00425C32"/>
    <w:rsid w:val="00425E34"/>
    <w:rsid w:val="0042603B"/>
    <w:rsid w:val="0042619A"/>
    <w:rsid w:val="00426255"/>
    <w:rsid w:val="004262D9"/>
    <w:rsid w:val="004263FE"/>
    <w:rsid w:val="004266D1"/>
    <w:rsid w:val="00426707"/>
    <w:rsid w:val="0042670D"/>
    <w:rsid w:val="00426B64"/>
    <w:rsid w:val="00426B70"/>
    <w:rsid w:val="00426D3F"/>
    <w:rsid w:val="00426F88"/>
    <w:rsid w:val="004270A2"/>
    <w:rsid w:val="004272F1"/>
    <w:rsid w:val="00427411"/>
    <w:rsid w:val="004279F1"/>
    <w:rsid w:val="00427BC9"/>
    <w:rsid w:val="00427EB3"/>
    <w:rsid w:val="00430090"/>
    <w:rsid w:val="004300DC"/>
    <w:rsid w:val="004302BA"/>
    <w:rsid w:val="004304C5"/>
    <w:rsid w:val="004304C6"/>
    <w:rsid w:val="004305CC"/>
    <w:rsid w:val="004306C8"/>
    <w:rsid w:val="004306F8"/>
    <w:rsid w:val="00430815"/>
    <w:rsid w:val="00430BC1"/>
    <w:rsid w:val="00430BDB"/>
    <w:rsid w:val="004310ED"/>
    <w:rsid w:val="00431249"/>
    <w:rsid w:val="004313E7"/>
    <w:rsid w:val="0043176C"/>
    <w:rsid w:val="00431A06"/>
    <w:rsid w:val="00431EB8"/>
    <w:rsid w:val="00431FE3"/>
    <w:rsid w:val="00432295"/>
    <w:rsid w:val="004322D9"/>
    <w:rsid w:val="004323E2"/>
    <w:rsid w:val="0043266A"/>
    <w:rsid w:val="00432BDB"/>
    <w:rsid w:val="00432C5E"/>
    <w:rsid w:val="00432C76"/>
    <w:rsid w:val="00432DDF"/>
    <w:rsid w:val="00432EBF"/>
    <w:rsid w:val="00432F69"/>
    <w:rsid w:val="00433018"/>
    <w:rsid w:val="00433489"/>
    <w:rsid w:val="004335E9"/>
    <w:rsid w:val="00433602"/>
    <w:rsid w:val="004336C1"/>
    <w:rsid w:val="004336DF"/>
    <w:rsid w:val="00433978"/>
    <w:rsid w:val="00433B4F"/>
    <w:rsid w:val="00433CDD"/>
    <w:rsid w:val="00433E0B"/>
    <w:rsid w:val="0043405B"/>
    <w:rsid w:val="004340E0"/>
    <w:rsid w:val="004344B7"/>
    <w:rsid w:val="00434840"/>
    <w:rsid w:val="004348A3"/>
    <w:rsid w:val="0043498E"/>
    <w:rsid w:val="004349BF"/>
    <w:rsid w:val="004349CA"/>
    <w:rsid w:val="00434D74"/>
    <w:rsid w:val="0043505E"/>
    <w:rsid w:val="00435337"/>
    <w:rsid w:val="004353C7"/>
    <w:rsid w:val="00435536"/>
    <w:rsid w:val="0043555B"/>
    <w:rsid w:val="00435890"/>
    <w:rsid w:val="00435935"/>
    <w:rsid w:val="00435F99"/>
    <w:rsid w:val="00436013"/>
    <w:rsid w:val="004364B0"/>
    <w:rsid w:val="0043666B"/>
    <w:rsid w:val="004369BA"/>
    <w:rsid w:val="00436B53"/>
    <w:rsid w:val="00436BFB"/>
    <w:rsid w:val="00437070"/>
    <w:rsid w:val="00437083"/>
    <w:rsid w:val="004370F8"/>
    <w:rsid w:val="004376DC"/>
    <w:rsid w:val="0043770F"/>
    <w:rsid w:val="0043793E"/>
    <w:rsid w:val="00437AB3"/>
    <w:rsid w:val="00437ABC"/>
    <w:rsid w:val="00437CDD"/>
    <w:rsid w:val="00437D0E"/>
    <w:rsid w:val="00437E2E"/>
    <w:rsid w:val="00440015"/>
    <w:rsid w:val="004406C1"/>
    <w:rsid w:val="004408D1"/>
    <w:rsid w:val="00440DD7"/>
    <w:rsid w:val="00440DED"/>
    <w:rsid w:val="00440EC0"/>
    <w:rsid w:val="00440F5D"/>
    <w:rsid w:val="00441030"/>
    <w:rsid w:val="00441405"/>
    <w:rsid w:val="00441490"/>
    <w:rsid w:val="00441AAC"/>
    <w:rsid w:val="00441B3D"/>
    <w:rsid w:val="00441BFB"/>
    <w:rsid w:val="004421E8"/>
    <w:rsid w:val="00442243"/>
    <w:rsid w:val="004423DE"/>
    <w:rsid w:val="004423F4"/>
    <w:rsid w:val="0044240E"/>
    <w:rsid w:val="00442543"/>
    <w:rsid w:val="00442A84"/>
    <w:rsid w:val="00442BC6"/>
    <w:rsid w:val="00442FAE"/>
    <w:rsid w:val="004430BB"/>
    <w:rsid w:val="004431A7"/>
    <w:rsid w:val="00443636"/>
    <w:rsid w:val="0044365F"/>
    <w:rsid w:val="0044383B"/>
    <w:rsid w:val="00443B3F"/>
    <w:rsid w:val="00443B9B"/>
    <w:rsid w:val="00443BD1"/>
    <w:rsid w:val="00443CE7"/>
    <w:rsid w:val="0044403F"/>
    <w:rsid w:val="0044440B"/>
    <w:rsid w:val="0044472F"/>
    <w:rsid w:val="00444783"/>
    <w:rsid w:val="00444C59"/>
    <w:rsid w:val="00444ED1"/>
    <w:rsid w:val="00444FC6"/>
    <w:rsid w:val="0044506C"/>
    <w:rsid w:val="00445422"/>
    <w:rsid w:val="0044563B"/>
    <w:rsid w:val="004457C8"/>
    <w:rsid w:val="004457EE"/>
    <w:rsid w:val="00445971"/>
    <w:rsid w:val="00445BC2"/>
    <w:rsid w:val="00445C65"/>
    <w:rsid w:val="00445C71"/>
    <w:rsid w:val="00445F8D"/>
    <w:rsid w:val="00446100"/>
    <w:rsid w:val="004461DB"/>
    <w:rsid w:val="00446335"/>
    <w:rsid w:val="00446497"/>
    <w:rsid w:val="004464FA"/>
    <w:rsid w:val="004465F7"/>
    <w:rsid w:val="004466E4"/>
    <w:rsid w:val="00446AB1"/>
    <w:rsid w:val="00446B58"/>
    <w:rsid w:val="00446C69"/>
    <w:rsid w:val="00446E59"/>
    <w:rsid w:val="004473B1"/>
    <w:rsid w:val="00447477"/>
    <w:rsid w:val="004477E0"/>
    <w:rsid w:val="00447D56"/>
    <w:rsid w:val="00447E53"/>
    <w:rsid w:val="00447EB6"/>
    <w:rsid w:val="00447F16"/>
    <w:rsid w:val="004504F0"/>
    <w:rsid w:val="004504FE"/>
    <w:rsid w:val="00450D50"/>
    <w:rsid w:val="00451076"/>
    <w:rsid w:val="004510BF"/>
    <w:rsid w:val="004511CD"/>
    <w:rsid w:val="0045139D"/>
    <w:rsid w:val="004513B1"/>
    <w:rsid w:val="004514CB"/>
    <w:rsid w:val="00451A83"/>
    <w:rsid w:val="00451DAF"/>
    <w:rsid w:val="0045205F"/>
    <w:rsid w:val="004521F6"/>
    <w:rsid w:val="00452281"/>
    <w:rsid w:val="00452299"/>
    <w:rsid w:val="00452363"/>
    <w:rsid w:val="004524A6"/>
    <w:rsid w:val="0045298E"/>
    <w:rsid w:val="00452A61"/>
    <w:rsid w:val="00452A6C"/>
    <w:rsid w:val="00452BB8"/>
    <w:rsid w:val="00452CDE"/>
    <w:rsid w:val="00452D68"/>
    <w:rsid w:val="00452F19"/>
    <w:rsid w:val="00453050"/>
    <w:rsid w:val="00453126"/>
    <w:rsid w:val="004531F7"/>
    <w:rsid w:val="00453259"/>
    <w:rsid w:val="00453E11"/>
    <w:rsid w:val="00453E33"/>
    <w:rsid w:val="00454330"/>
    <w:rsid w:val="00454349"/>
    <w:rsid w:val="0045438B"/>
    <w:rsid w:val="0045446D"/>
    <w:rsid w:val="00454680"/>
    <w:rsid w:val="004546D5"/>
    <w:rsid w:val="004546EB"/>
    <w:rsid w:val="0045475C"/>
    <w:rsid w:val="004548F0"/>
    <w:rsid w:val="00454DA3"/>
    <w:rsid w:val="00455273"/>
    <w:rsid w:val="004553A0"/>
    <w:rsid w:val="004553BC"/>
    <w:rsid w:val="00455458"/>
    <w:rsid w:val="0045593F"/>
    <w:rsid w:val="00455A69"/>
    <w:rsid w:val="00455D66"/>
    <w:rsid w:val="00455F7A"/>
    <w:rsid w:val="00455FBB"/>
    <w:rsid w:val="004560F5"/>
    <w:rsid w:val="004564C9"/>
    <w:rsid w:val="00456556"/>
    <w:rsid w:val="00456AA0"/>
    <w:rsid w:val="00456C34"/>
    <w:rsid w:val="00456DC5"/>
    <w:rsid w:val="00456E5E"/>
    <w:rsid w:val="00456E6D"/>
    <w:rsid w:val="0045701E"/>
    <w:rsid w:val="00457393"/>
    <w:rsid w:val="0045745E"/>
    <w:rsid w:val="00457560"/>
    <w:rsid w:val="0045782B"/>
    <w:rsid w:val="00457BD8"/>
    <w:rsid w:val="00457D39"/>
    <w:rsid w:val="00457F6E"/>
    <w:rsid w:val="00457F79"/>
    <w:rsid w:val="00460043"/>
    <w:rsid w:val="00460089"/>
    <w:rsid w:val="00460158"/>
    <w:rsid w:val="00460601"/>
    <w:rsid w:val="00460657"/>
    <w:rsid w:val="00460ECA"/>
    <w:rsid w:val="00460EEC"/>
    <w:rsid w:val="0046118C"/>
    <w:rsid w:val="0046118E"/>
    <w:rsid w:val="00461284"/>
    <w:rsid w:val="0046134A"/>
    <w:rsid w:val="004613A1"/>
    <w:rsid w:val="004613D7"/>
    <w:rsid w:val="00461545"/>
    <w:rsid w:val="004615AF"/>
    <w:rsid w:val="00461644"/>
    <w:rsid w:val="0046168F"/>
    <w:rsid w:val="004617B6"/>
    <w:rsid w:val="004618BA"/>
    <w:rsid w:val="00461BC6"/>
    <w:rsid w:val="00461C1B"/>
    <w:rsid w:val="00461E28"/>
    <w:rsid w:val="00461F9B"/>
    <w:rsid w:val="00462C10"/>
    <w:rsid w:val="00462F1C"/>
    <w:rsid w:val="00462F92"/>
    <w:rsid w:val="0046306F"/>
    <w:rsid w:val="004632F6"/>
    <w:rsid w:val="0046349B"/>
    <w:rsid w:val="00463507"/>
    <w:rsid w:val="004635E0"/>
    <w:rsid w:val="004637A0"/>
    <w:rsid w:val="004638F4"/>
    <w:rsid w:val="00463A6B"/>
    <w:rsid w:val="00463E7C"/>
    <w:rsid w:val="00463F8B"/>
    <w:rsid w:val="00463F8F"/>
    <w:rsid w:val="00463FFE"/>
    <w:rsid w:val="004640D7"/>
    <w:rsid w:val="0046415A"/>
    <w:rsid w:val="004641E8"/>
    <w:rsid w:val="0046420E"/>
    <w:rsid w:val="00464310"/>
    <w:rsid w:val="00464352"/>
    <w:rsid w:val="004646E9"/>
    <w:rsid w:val="0046488C"/>
    <w:rsid w:val="0046489E"/>
    <w:rsid w:val="00464A4E"/>
    <w:rsid w:val="00464AC3"/>
    <w:rsid w:val="00464C7D"/>
    <w:rsid w:val="00464CE2"/>
    <w:rsid w:val="00464FA8"/>
    <w:rsid w:val="00465122"/>
    <w:rsid w:val="00465359"/>
    <w:rsid w:val="0046546D"/>
    <w:rsid w:val="0046551D"/>
    <w:rsid w:val="00465551"/>
    <w:rsid w:val="004655AA"/>
    <w:rsid w:val="004657B2"/>
    <w:rsid w:val="004658C5"/>
    <w:rsid w:val="00465A5B"/>
    <w:rsid w:val="004660F6"/>
    <w:rsid w:val="00466269"/>
    <w:rsid w:val="004664F0"/>
    <w:rsid w:val="0046655B"/>
    <w:rsid w:val="00466608"/>
    <w:rsid w:val="0046667A"/>
    <w:rsid w:val="00466735"/>
    <w:rsid w:val="0046698F"/>
    <w:rsid w:val="00466FCB"/>
    <w:rsid w:val="004671AE"/>
    <w:rsid w:val="004672B1"/>
    <w:rsid w:val="004672EF"/>
    <w:rsid w:val="0046732E"/>
    <w:rsid w:val="00467B4A"/>
    <w:rsid w:val="00467B78"/>
    <w:rsid w:val="00467D61"/>
    <w:rsid w:val="00467F23"/>
    <w:rsid w:val="00467F80"/>
    <w:rsid w:val="00470485"/>
    <w:rsid w:val="00470488"/>
    <w:rsid w:val="004708AC"/>
    <w:rsid w:val="004708D7"/>
    <w:rsid w:val="004709C6"/>
    <w:rsid w:val="00470C3E"/>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2016"/>
    <w:rsid w:val="00472039"/>
    <w:rsid w:val="0047209C"/>
    <w:rsid w:val="004720D5"/>
    <w:rsid w:val="00472355"/>
    <w:rsid w:val="00472384"/>
    <w:rsid w:val="00472423"/>
    <w:rsid w:val="004728DE"/>
    <w:rsid w:val="0047297D"/>
    <w:rsid w:val="00472B36"/>
    <w:rsid w:val="00472C48"/>
    <w:rsid w:val="00472EB7"/>
    <w:rsid w:val="004730D6"/>
    <w:rsid w:val="00473303"/>
    <w:rsid w:val="0047351A"/>
    <w:rsid w:val="004736AF"/>
    <w:rsid w:val="00473B52"/>
    <w:rsid w:val="00473BCA"/>
    <w:rsid w:val="00473E75"/>
    <w:rsid w:val="00473F03"/>
    <w:rsid w:val="00473F20"/>
    <w:rsid w:val="00473F99"/>
    <w:rsid w:val="00474059"/>
    <w:rsid w:val="00474153"/>
    <w:rsid w:val="004741B0"/>
    <w:rsid w:val="004741ED"/>
    <w:rsid w:val="00474200"/>
    <w:rsid w:val="00474489"/>
    <w:rsid w:val="00474494"/>
    <w:rsid w:val="004747C0"/>
    <w:rsid w:val="00474901"/>
    <w:rsid w:val="00474D4D"/>
    <w:rsid w:val="00474DB4"/>
    <w:rsid w:val="00474F7A"/>
    <w:rsid w:val="00475106"/>
    <w:rsid w:val="004755A4"/>
    <w:rsid w:val="004755B2"/>
    <w:rsid w:val="00475607"/>
    <w:rsid w:val="004759D6"/>
    <w:rsid w:val="00475DDF"/>
    <w:rsid w:val="00475EF9"/>
    <w:rsid w:val="004760A4"/>
    <w:rsid w:val="00476129"/>
    <w:rsid w:val="0047647F"/>
    <w:rsid w:val="00476816"/>
    <w:rsid w:val="00476822"/>
    <w:rsid w:val="004768A1"/>
    <w:rsid w:val="004769D3"/>
    <w:rsid w:val="00476D87"/>
    <w:rsid w:val="00477B54"/>
    <w:rsid w:val="00477B57"/>
    <w:rsid w:val="00480096"/>
    <w:rsid w:val="004802F4"/>
    <w:rsid w:val="004807A8"/>
    <w:rsid w:val="0048093B"/>
    <w:rsid w:val="004809A3"/>
    <w:rsid w:val="00480F9E"/>
    <w:rsid w:val="0048102F"/>
    <w:rsid w:val="00481091"/>
    <w:rsid w:val="0048109C"/>
    <w:rsid w:val="004813CF"/>
    <w:rsid w:val="0048165B"/>
    <w:rsid w:val="004816DB"/>
    <w:rsid w:val="00481743"/>
    <w:rsid w:val="004818F2"/>
    <w:rsid w:val="00481907"/>
    <w:rsid w:val="0048195F"/>
    <w:rsid w:val="00481A6E"/>
    <w:rsid w:val="00481D59"/>
    <w:rsid w:val="00481EF9"/>
    <w:rsid w:val="00482100"/>
    <w:rsid w:val="00482239"/>
    <w:rsid w:val="004822D8"/>
    <w:rsid w:val="00482D90"/>
    <w:rsid w:val="00482FEF"/>
    <w:rsid w:val="0048309D"/>
    <w:rsid w:val="00483435"/>
    <w:rsid w:val="004835BB"/>
    <w:rsid w:val="00483716"/>
    <w:rsid w:val="004838AA"/>
    <w:rsid w:val="004838E5"/>
    <w:rsid w:val="00483929"/>
    <w:rsid w:val="00483A12"/>
    <w:rsid w:val="00483B99"/>
    <w:rsid w:val="00483CE8"/>
    <w:rsid w:val="00483CED"/>
    <w:rsid w:val="00483EA7"/>
    <w:rsid w:val="004844DB"/>
    <w:rsid w:val="00484762"/>
    <w:rsid w:val="0048479B"/>
    <w:rsid w:val="00484A1F"/>
    <w:rsid w:val="00484B12"/>
    <w:rsid w:val="00484B2D"/>
    <w:rsid w:val="00484B3E"/>
    <w:rsid w:val="00484EE4"/>
    <w:rsid w:val="004852EE"/>
    <w:rsid w:val="00485858"/>
    <w:rsid w:val="00485904"/>
    <w:rsid w:val="00485C1D"/>
    <w:rsid w:val="00485E19"/>
    <w:rsid w:val="0048613E"/>
    <w:rsid w:val="00486215"/>
    <w:rsid w:val="00486672"/>
    <w:rsid w:val="00486A3E"/>
    <w:rsid w:val="00486AC4"/>
    <w:rsid w:val="00486BB9"/>
    <w:rsid w:val="00486EC6"/>
    <w:rsid w:val="00486FB8"/>
    <w:rsid w:val="0048714A"/>
    <w:rsid w:val="00487276"/>
    <w:rsid w:val="004877DB"/>
    <w:rsid w:val="00487893"/>
    <w:rsid w:val="004879A9"/>
    <w:rsid w:val="00487BE6"/>
    <w:rsid w:val="004900F7"/>
    <w:rsid w:val="00490150"/>
    <w:rsid w:val="004901C5"/>
    <w:rsid w:val="004901EC"/>
    <w:rsid w:val="00490487"/>
    <w:rsid w:val="004905E8"/>
    <w:rsid w:val="0049075F"/>
    <w:rsid w:val="00490846"/>
    <w:rsid w:val="00490AEE"/>
    <w:rsid w:val="00490CE2"/>
    <w:rsid w:val="00490D6E"/>
    <w:rsid w:val="00490F7C"/>
    <w:rsid w:val="004910E9"/>
    <w:rsid w:val="00491443"/>
    <w:rsid w:val="004915BF"/>
    <w:rsid w:val="00491711"/>
    <w:rsid w:val="004919B7"/>
    <w:rsid w:val="00491A90"/>
    <w:rsid w:val="00491AB9"/>
    <w:rsid w:val="00491BAB"/>
    <w:rsid w:val="00491BD0"/>
    <w:rsid w:val="00491CCC"/>
    <w:rsid w:val="00491D30"/>
    <w:rsid w:val="00491F97"/>
    <w:rsid w:val="00491FAE"/>
    <w:rsid w:val="004920F3"/>
    <w:rsid w:val="004922E7"/>
    <w:rsid w:val="00492674"/>
    <w:rsid w:val="004928AB"/>
    <w:rsid w:val="00492C7F"/>
    <w:rsid w:val="00492CBA"/>
    <w:rsid w:val="00492E55"/>
    <w:rsid w:val="00493259"/>
    <w:rsid w:val="00493278"/>
    <w:rsid w:val="0049334B"/>
    <w:rsid w:val="004933AD"/>
    <w:rsid w:val="004936C0"/>
    <w:rsid w:val="004936FA"/>
    <w:rsid w:val="0049379C"/>
    <w:rsid w:val="00493956"/>
    <w:rsid w:val="00493F7B"/>
    <w:rsid w:val="004940F6"/>
    <w:rsid w:val="004941FC"/>
    <w:rsid w:val="00494240"/>
    <w:rsid w:val="004942E4"/>
    <w:rsid w:val="00494333"/>
    <w:rsid w:val="00494904"/>
    <w:rsid w:val="004949B4"/>
    <w:rsid w:val="00494C2E"/>
    <w:rsid w:val="00494D50"/>
    <w:rsid w:val="00494EF5"/>
    <w:rsid w:val="00495188"/>
    <w:rsid w:val="0049534C"/>
    <w:rsid w:val="004958F4"/>
    <w:rsid w:val="00495930"/>
    <w:rsid w:val="00495A40"/>
    <w:rsid w:val="00495A52"/>
    <w:rsid w:val="00495B6C"/>
    <w:rsid w:val="00495DC4"/>
    <w:rsid w:val="00495FA6"/>
    <w:rsid w:val="0049656B"/>
    <w:rsid w:val="0049674B"/>
    <w:rsid w:val="00496C69"/>
    <w:rsid w:val="00496D74"/>
    <w:rsid w:val="00496E65"/>
    <w:rsid w:val="004972F2"/>
    <w:rsid w:val="00497318"/>
    <w:rsid w:val="004976CB"/>
    <w:rsid w:val="00497773"/>
    <w:rsid w:val="004978B6"/>
    <w:rsid w:val="00497942"/>
    <w:rsid w:val="004979A5"/>
    <w:rsid w:val="00497AF8"/>
    <w:rsid w:val="00497D3E"/>
    <w:rsid w:val="004A039F"/>
    <w:rsid w:val="004A053C"/>
    <w:rsid w:val="004A06C1"/>
    <w:rsid w:val="004A0B5A"/>
    <w:rsid w:val="004A0B66"/>
    <w:rsid w:val="004A0FE8"/>
    <w:rsid w:val="004A1240"/>
    <w:rsid w:val="004A1346"/>
    <w:rsid w:val="004A14E1"/>
    <w:rsid w:val="004A1636"/>
    <w:rsid w:val="004A1C93"/>
    <w:rsid w:val="004A1F90"/>
    <w:rsid w:val="004A24C2"/>
    <w:rsid w:val="004A273A"/>
    <w:rsid w:val="004A2810"/>
    <w:rsid w:val="004A2945"/>
    <w:rsid w:val="004A2C49"/>
    <w:rsid w:val="004A2F9B"/>
    <w:rsid w:val="004A30E8"/>
    <w:rsid w:val="004A35D1"/>
    <w:rsid w:val="004A3719"/>
    <w:rsid w:val="004A3941"/>
    <w:rsid w:val="004A3C45"/>
    <w:rsid w:val="004A3DB8"/>
    <w:rsid w:val="004A3E15"/>
    <w:rsid w:val="004A3FA4"/>
    <w:rsid w:val="004A406D"/>
    <w:rsid w:val="004A40A3"/>
    <w:rsid w:val="004A40C0"/>
    <w:rsid w:val="004A425A"/>
    <w:rsid w:val="004A4329"/>
    <w:rsid w:val="004A43A8"/>
    <w:rsid w:val="004A44F5"/>
    <w:rsid w:val="004A458C"/>
    <w:rsid w:val="004A4670"/>
    <w:rsid w:val="004A4848"/>
    <w:rsid w:val="004A48BB"/>
    <w:rsid w:val="004A4CB1"/>
    <w:rsid w:val="004A4F52"/>
    <w:rsid w:val="004A4F88"/>
    <w:rsid w:val="004A5161"/>
    <w:rsid w:val="004A56B5"/>
    <w:rsid w:val="004A5F43"/>
    <w:rsid w:val="004A5F7D"/>
    <w:rsid w:val="004A6064"/>
    <w:rsid w:val="004A60FC"/>
    <w:rsid w:val="004A626F"/>
    <w:rsid w:val="004A6292"/>
    <w:rsid w:val="004A634E"/>
    <w:rsid w:val="004A6379"/>
    <w:rsid w:val="004A6381"/>
    <w:rsid w:val="004A649A"/>
    <w:rsid w:val="004A663C"/>
    <w:rsid w:val="004A6799"/>
    <w:rsid w:val="004A69CD"/>
    <w:rsid w:val="004A6A5A"/>
    <w:rsid w:val="004A6B3D"/>
    <w:rsid w:val="004A725E"/>
    <w:rsid w:val="004A786A"/>
    <w:rsid w:val="004A78F8"/>
    <w:rsid w:val="004B00A9"/>
    <w:rsid w:val="004B0420"/>
    <w:rsid w:val="004B0495"/>
    <w:rsid w:val="004B0575"/>
    <w:rsid w:val="004B07E2"/>
    <w:rsid w:val="004B0983"/>
    <w:rsid w:val="004B0A52"/>
    <w:rsid w:val="004B0BD6"/>
    <w:rsid w:val="004B1124"/>
    <w:rsid w:val="004B1186"/>
    <w:rsid w:val="004B14FA"/>
    <w:rsid w:val="004B1565"/>
    <w:rsid w:val="004B1D68"/>
    <w:rsid w:val="004B1FD7"/>
    <w:rsid w:val="004B2032"/>
    <w:rsid w:val="004B23CA"/>
    <w:rsid w:val="004B2764"/>
    <w:rsid w:val="004B2C16"/>
    <w:rsid w:val="004B2C7A"/>
    <w:rsid w:val="004B2EF7"/>
    <w:rsid w:val="004B2FC6"/>
    <w:rsid w:val="004B350E"/>
    <w:rsid w:val="004B3630"/>
    <w:rsid w:val="004B39DB"/>
    <w:rsid w:val="004B3B77"/>
    <w:rsid w:val="004B3B99"/>
    <w:rsid w:val="004B3D57"/>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486"/>
    <w:rsid w:val="004B65C1"/>
    <w:rsid w:val="004B662A"/>
    <w:rsid w:val="004B6E3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490"/>
    <w:rsid w:val="004C0721"/>
    <w:rsid w:val="004C100B"/>
    <w:rsid w:val="004C130F"/>
    <w:rsid w:val="004C1409"/>
    <w:rsid w:val="004C147D"/>
    <w:rsid w:val="004C153A"/>
    <w:rsid w:val="004C16AA"/>
    <w:rsid w:val="004C19F0"/>
    <w:rsid w:val="004C1D42"/>
    <w:rsid w:val="004C1E46"/>
    <w:rsid w:val="004C2112"/>
    <w:rsid w:val="004C2120"/>
    <w:rsid w:val="004C228C"/>
    <w:rsid w:val="004C22D4"/>
    <w:rsid w:val="004C22FC"/>
    <w:rsid w:val="004C2840"/>
    <w:rsid w:val="004C288A"/>
    <w:rsid w:val="004C2F53"/>
    <w:rsid w:val="004C2F6C"/>
    <w:rsid w:val="004C306D"/>
    <w:rsid w:val="004C3211"/>
    <w:rsid w:val="004C325D"/>
    <w:rsid w:val="004C32FF"/>
    <w:rsid w:val="004C3317"/>
    <w:rsid w:val="004C36AD"/>
    <w:rsid w:val="004C36B4"/>
    <w:rsid w:val="004C3976"/>
    <w:rsid w:val="004C39EC"/>
    <w:rsid w:val="004C3D8B"/>
    <w:rsid w:val="004C3DB9"/>
    <w:rsid w:val="004C3DCE"/>
    <w:rsid w:val="004C3E06"/>
    <w:rsid w:val="004C3F4B"/>
    <w:rsid w:val="004C4082"/>
    <w:rsid w:val="004C40CF"/>
    <w:rsid w:val="004C40DD"/>
    <w:rsid w:val="004C43B8"/>
    <w:rsid w:val="004C486E"/>
    <w:rsid w:val="004C4A2C"/>
    <w:rsid w:val="004C4A30"/>
    <w:rsid w:val="004C4AE7"/>
    <w:rsid w:val="004C4BCC"/>
    <w:rsid w:val="004C4D88"/>
    <w:rsid w:val="004C508A"/>
    <w:rsid w:val="004C50AA"/>
    <w:rsid w:val="004C51EB"/>
    <w:rsid w:val="004C534F"/>
    <w:rsid w:val="004C5516"/>
    <w:rsid w:val="004C554D"/>
    <w:rsid w:val="004C5695"/>
    <w:rsid w:val="004C5868"/>
    <w:rsid w:val="004C58D8"/>
    <w:rsid w:val="004C59D6"/>
    <w:rsid w:val="004C5BB5"/>
    <w:rsid w:val="004C5E1F"/>
    <w:rsid w:val="004C5E27"/>
    <w:rsid w:val="004C5E60"/>
    <w:rsid w:val="004C5E8F"/>
    <w:rsid w:val="004C5F7D"/>
    <w:rsid w:val="004C64F6"/>
    <w:rsid w:val="004C6B5D"/>
    <w:rsid w:val="004C6C22"/>
    <w:rsid w:val="004C704C"/>
    <w:rsid w:val="004C7211"/>
    <w:rsid w:val="004C7D3A"/>
    <w:rsid w:val="004D036F"/>
    <w:rsid w:val="004D03CC"/>
    <w:rsid w:val="004D053C"/>
    <w:rsid w:val="004D05FF"/>
    <w:rsid w:val="004D074C"/>
    <w:rsid w:val="004D0872"/>
    <w:rsid w:val="004D0CF5"/>
    <w:rsid w:val="004D0E23"/>
    <w:rsid w:val="004D0FEC"/>
    <w:rsid w:val="004D10AC"/>
    <w:rsid w:val="004D10FD"/>
    <w:rsid w:val="004D1154"/>
    <w:rsid w:val="004D1757"/>
    <w:rsid w:val="004D1811"/>
    <w:rsid w:val="004D1A6D"/>
    <w:rsid w:val="004D1B15"/>
    <w:rsid w:val="004D2246"/>
    <w:rsid w:val="004D22EF"/>
    <w:rsid w:val="004D2476"/>
    <w:rsid w:val="004D2859"/>
    <w:rsid w:val="004D2C55"/>
    <w:rsid w:val="004D2D54"/>
    <w:rsid w:val="004D2EC0"/>
    <w:rsid w:val="004D3271"/>
    <w:rsid w:val="004D328C"/>
    <w:rsid w:val="004D338A"/>
    <w:rsid w:val="004D338F"/>
    <w:rsid w:val="004D3488"/>
    <w:rsid w:val="004D363D"/>
    <w:rsid w:val="004D36F7"/>
    <w:rsid w:val="004D37B6"/>
    <w:rsid w:val="004D3981"/>
    <w:rsid w:val="004D39A9"/>
    <w:rsid w:val="004D3A03"/>
    <w:rsid w:val="004D3A39"/>
    <w:rsid w:val="004D3D09"/>
    <w:rsid w:val="004D3D3C"/>
    <w:rsid w:val="004D3DF9"/>
    <w:rsid w:val="004D4132"/>
    <w:rsid w:val="004D45AA"/>
    <w:rsid w:val="004D46C5"/>
    <w:rsid w:val="004D49B1"/>
    <w:rsid w:val="004D4BBE"/>
    <w:rsid w:val="004D4C89"/>
    <w:rsid w:val="004D4F45"/>
    <w:rsid w:val="004D5082"/>
    <w:rsid w:val="004D526C"/>
    <w:rsid w:val="004D52F3"/>
    <w:rsid w:val="004D543A"/>
    <w:rsid w:val="004D5590"/>
    <w:rsid w:val="004D55D0"/>
    <w:rsid w:val="004D57ED"/>
    <w:rsid w:val="004D598D"/>
    <w:rsid w:val="004D5BE8"/>
    <w:rsid w:val="004D5E46"/>
    <w:rsid w:val="004D63B3"/>
    <w:rsid w:val="004D64B2"/>
    <w:rsid w:val="004D66D9"/>
    <w:rsid w:val="004D6765"/>
    <w:rsid w:val="004D679C"/>
    <w:rsid w:val="004D6B60"/>
    <w:rsid w:val="004D6FC1"/>
    <w:rsid w:val="004D7442"/>
    <w:rsid w:val="004D7568"/>
    <w:rsid w:val="004D78AA"/>
    <w:rsid w:val="004D79C6"/>
    <w:rsid w:val="004D7EDE"/>
    <w:rsid w:val="004D7FA6"/>
    <w:rsid w:val="004E00B0"/>
    <w:rsid w:val="004E0180"/>
    <w:rsid w:val="004E0375"/>
    <w:rsid w:val="004E053E"/>
    <w:rsid w:val="004E081B"/>
    <w:rsid w:val="004E091C"/>
    <w:rsid w:val="004E0A30"/>
    <w:rsid w:val="004E0A50"/>
    <w:rsid w:val="004E0D8B"/>
    <w:rsid w:val="004E1045"/>
    <w:rsid w:val="004E10CE"/>
    <w:rsid w:val="004E1201"/>
    <w:rsid w:val="004E16E4"/>
    <w:rsid w:val="004E19C3"/>
    <w:rsid w:val="004E1D7B"/>
    <w:rsid w:val="004E1FF2"/>
    <w:rsid w:val="004E23DA"/>
    <w:rsid w:val="004E2572"/>
    <w:rsid w:val="004E2740"/>
    <w:rsid w:val="004E2772"/>
    <w:rsid w:val="004E2DF0"/>
    <w:rsid w:val="004E2EAE"/>
    <w:rsid w:val="004E31D9"/>
    <w:rsid w:val="004E33EE"/>
    <w:rsid w:val="004E35AA"/>
    <w:rsid w:val="004E37D4"/>
    <w:rsid w:val="004E382C"/>
    <w:rsid w:val="004E39D3"/>
    <w:rsid w:val="004E3CDE"/>
    <w:rsid w:val="004E3FC3"/>
    <w:rsid w:val="004E3FF2"/>
    <w:rsid w:val="004E42A6"/>
    <w:rsid w:val="004E44D0"/>
    <w:rsid w:val="004E4952"/>
    <w:rsid w:val="004E4AAB"/>
    <w:rsid w:val="004E4D48"/>
    <w:rsid w:val="004E4F1C"/>
    <w:rsid w:val="004E5271"/>
    <w:rsid w:val="004E5312"/>
    <w:rsid w:val="004E567F"/>
    <w:rsid w:val="004E572A"/>
    <w:rsid w:val="004E5870"/>
    <w:rsid w:val="004E59DD"/>
    <w:rsid w:val="004E5D39"/>
    <w:rsid w:val="004E5E8F"/>
    <w:rsid w:val="004E5F14"/>
    <w:rsid w:val="004E6220"/>
    <w:rsid w:val="004E6330"/>
    <w:rsid w:val="004E6474"/>
    <w:rsid w:val="004E6487"/>
    <w:rsid w:val="004E651E"/>
    <w:rsid w:val="004E6729"/>
    <w:rsid w:val="004E6857"/>
    <w:rsid w:val="004E69DB"/>
    <w:rsid w:val="004E6B94"/>
    <w:rsid w:val="004E6E66"/>
    <w:rsid w:val="004E6FF2"/>
    <w:rsid w:val="004E7095"/>
    <w:rsid w:val="004E70BF"/>
    <w:rsid w:val="004E75E3"/>
    <w:rsid w:val="004E7627"/>
    <w:rsid w:val="004E7761"/>
    <w:rsid w:val="004E783E"/>
    <w:rsid w:val="004E79D9"/>
    <w:rsid w:val="004E7A13"/>
    <w:rsid w:val="004E7ADD"/>
    <w:rsid w:val="004E7D16"/>
    <w:rsid w:val="004F0319"/>
    <w:rsid w:val="004F0731"/>
    <w:rsid w:val="004F0747"/>
    <w:rsid w:val="004F0ACD"/>
    <w:rsid w:val="004F0E5A"/>
    <w:rsid w:val="004F0F71"/>
    <w:rsid w:val="004F0FD2"/>
    <w:rsid w:val="004F104B"/>
    <w:rsid w:val="004F1073"/>
    <w:rsid w:val="004F10CA"/>
    <w:rsid w:val="004F128F"/>
    <w:rsid w:val="004F1420"/>
    <w:rsid w:val="004F15DE"/>
    <w:rsid w:val="004F1A6A"/>
    <w:rsid w:val="004F1DDB"/>
    <w:rsid w:val="004F1F4D"/>
    <w:rsid w:val="004F2217"/>
    <w:rsid w:val="004F22E1"/>
    <w:rsid w:val="004F25F3"/>
    <w:rsid w:val="004F2607"/>
    <w:rsid w:val="004F292C"/>
    <w:rsid w:val="004F2A6D"/>
    <w:rsid w:val="004F2BAB"/>
    <w:rsid w:val="004F2BDE"/>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90"/>
    <w:rsid w:val="004F4B7F"/>
    <w:rsid w:val="004F4FDD"/>
    <w:rsid w:val="004F50AD"/>
    <w:rsid w:val="004F52A0"/>
    <w:rsid w:val="004F535D"/>
    <w:rsid w:val="004F54BD"/>
    <w:rsid w:val="004F599C"/>
    <w:rsid w:val="004F6066"/>
    <w:rsid w:val="004F6349"/>
    <w:rsid w:val="004F639C"/>
    <w:rsid w:val="004F6435"/>
    <w:rsid w:val="004F66C8"/>
    <w:rsid w:val="004F670B"/>
    <w:rsid w:val="004F68E3"/>
    <w:rsid w:val="004F6B36"/>
    <w:rsid w:val="004F6DC6"/>
    <w:rsid w:val="004F6E67"/>
    <w:rsid w:val="004F70B5"/>
    <w:rsid w:val="004F75F7"/>
    <w:rsid w:val="004F7691"/>
    <w:rsid w:val="004F76AF"/>
    <w:rsid w:val="004F78C8"/>
    <w:rsid w:val="004F79A5"/>
    <w:rsid w:val="004F7A5D"/>
    <w:rsid w:val="004F7B83"/>
    <w:rsid w:val="004F7D30"/>
    <w:rsid w:val="004F7DAE"/>
    <w:rsid w:val="0050023C"/>
    <w:rsid w:val="00500AC9"/>
    <w:rsid w:val="00500DA9"/>
    <w:rsid w:val="00500FA7"/>
    <w:rsid w:val="00500FA8"/>
    <w:rsid w:val="005013E9"/>
    <w:rsid w:val="00501649"/>
    <w:rsid w:val="00501682"/>
    <w:rsid w:val="005016C9"/>
    <w:rsid w:val="005017FC"/>
    <w:rsid w:val="00501942"/>
    <w:rsid w:val="00501BD4"/>
    <w:rsid w:val="00501E75"/>
    <w:rsid w:val="005024F5"/>
    <w:rsid w:val="00502573"/>
    <w:rsid w:val="0050271D"/>
    <w:rsid w:val="00502728"/>
    <w:rsid w:val="00502DA6"/>
    <w:rsid w:val="0050319D"/>
    <w:rsid w:val="005031B4"/>
    <w:rsid w:val="00503228"/>
    <w:rsid w:val="005034A0"/>
    <w:rsid w:val="005035D6"/>
    <w:rsid w:val="00503948"/>
    <w:rsid w:val="00503B29"/>
    <w:rsid w:val="00503C1F"/>
    <w:rsid w:val="00503EEF"/>
    <w:rsid w:val="00504367"/>
    <w:rsid w:val="00504877"/>
    <w:rsid w:val="00504B11"/>
    <w:rsid w:val="00504B7A"/>
    <w:rsid w:val="00504E78"/>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93D"/>
    <w:rsid w:val="00506BFF"/>
    <w:rsid w:val="00506C52"/>
    <w:rsid w:val="00506E0A"/>
    <w:rsid w:val="00506F88"/>
    <w:rsid w:val="00506FF0"/>
    <w:rsid w:val="0050706E"/>
    <w:rsid w:val="0050711A"/>
    <w:rsid w:val="00507275"/>
    <w:rsid w:val="00507290"/>
    <w:rsid w:val="00507397"/>
    <w:rsid w:val="0050741D"/>
    <w:rsid w:val="00507698"/>
    <w:rsid w:val="00507A8B"/>
    <w:rsid w:val="00507CF5"/>
    <w:rsid w:val="00507DD1"/>
    <w:rsid w:val="00507EC6"/>
    <w:rsid w:val="005100D9"/>
    <w:rsid w:val="0051058D"/>
    <w:rsid w:val="0051066B"/>
    <w:rsid w:val="00510766"/>
    <w:rsid w:val="0051082E"/>
    <w:rsid w:val="00510A3A"/>
    <w:rsid w:val="00510C64"/>
    <w:rsid w:val="005110C6"/>
    <w:rsid w:val="00511373"/>
    <w:rsid w:val="0051152D"/>
    <w:rsid w:val="00511773"/>
    <w:rsid w:val="00511991"/>
    <w:rsid w:val="00511B2D"/>
    <w:rsid w:val="00511BAD"/>
    <w:rsid w:val="00511C30"/>
    <w:rsid w:val="00511F0E"/>
    <w:rsid w:val="005120CB"/>
    <w:rsid w:val="0051249E"/>
    <w:rsid w:val="00512545"/>
    <w:rsid w:val="00512594"/>
    <w:rsid w:val="00512649"/>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9BE"/>
    <w:rsid w:val="00513B7A"/>
    <w:rsid w:val="00513CC8"/>
    <w:rsid w:val="00514436"/>
    <w:rsid w:val="0051459B"/>
    <w:rsid w:val="005145E2"/>
    <w:rsid w:val="00514A01"/>
    <w:rsid w:val="00514B4F"/>
    <w:rsid w:val="005151AE"/>
    <w:rsid w:val="00515238"/>
    <w:rsid w:val="0051557F"/>
    <w:rsid w:val="005156C8"/>
    <w:rsid w:val="00515A8D"/>
    <w:rsid w:val="00515DEB"/>
    <w:rsid w:val="00515E1A"/>
    <w:rsid w:val="005161C1"/>
    <w:rsid w:val="005167F0"/>
    <w:rsid w:val="0051687D"/>
    <w:rsid w:val="00516B04"/>
    <w:rsid w:val="00517139"/>
    <w:rsid w:val="0051713F"/>
    <w:rsid w:val="00517299"/>
    <w:rsid w:val="005176F7"/>
    <w:rsid w:val="005177DB"/>
    <w:rsid w:val="00517871"/>
    <w:rsid w:val="005178F0"/>
    <w:rsid w:val="00517A3D"/>
    <w:rsid w:val="00517A74"/>
    <w:rsid w:val="00517EE4"/>
    <w:rsid w:val="0052052D"/>
    <w:rsid w:val="005205B6"/>
    <w:rsid w:val="00520650"/>
    <w:rsid w:val="00520A8B"/>
    <w:rsid w:val="00521016"/>
    <w:rsid w:val="005210E0"/>
    <w:rsid w:val="0052125C"/>
    <w:rsid w:val="005215D4"/>
    <w:rsid w:val="00521663"/>
    <w:rsid w:val="005217E8"/>
    <w:rsid w:val="00521851"/>
    <w:rsid w:val="0052192E"/>
    <w:rsid w:val="00521F8F"/>
    <w:rsid w:val="005224FF"/>
    <w:rsid w:val="005226C2"/>
    <w:rsid w:val="0052276E"/>
    <w:rsid w:val="005227C6"/>
    <w:rsid w:val="00522BE6"/>
    <w:rsid w:val="00522C96"/>
    <w:rsid w:val="00523026"/>
    <w:rsid w:val="0052311F"/>
    <w:rsid w:val="00523423"/>
    <w:rsid w:val="00523489"/>
    <w:rsid w:val="005236A9"/>
    <w:rsid w:val="00523A6C"/>
    <w:rsid w:val="00523AFF"/>
    <w:rsid w:val="00523B93"/>
    <w:rsid w:val="00523CE4"/>
    <w:rsid w:val="00523E4B"/>
    <w:rsid w:val="0052411F"/>
    <w:rsid w:val="005242D1"/>
    <w:rsid w:val="005242D2"/>
    <w:rsid w:val="00524475"/>
    <w:rsid w:val="005244CF"/>
    <w:rsid w:val="005245EB"/>
    <w:rsid w:val="00524609"/>
    <w:rsid w:val="0052471D"/>
    <w:rsid w:val="00524CBD"/>
    <w:rsid w:val="005251CE"/>
    <w:rsid w:val="005251EB"/>
    <w:rsid w:val="005253DB"/>
    <w:rsid w:val="005259A9"/>
    <w:rsid w:val="00525C6E"/>
    <w:rsid w:val="00525D60"/>
    <w:rsid w:val="005262A1"/>
    <w:rsid w:val="005264CD"/>
    <w:rsid w:val="005266ED"/>
    <w:rsid w:val="0052698C"/>
    <w:rsid w:val="00526B6B"/>
    <w:rsid w:val="00526C8F"/>
    <w:rsid w:val="005270DF"/>
    <w:rsid w:val="005271AB"/>
    <w:rsid w:val="005275CB"/>
    <w:rsid w:val="005276BF"/>
    <w:rsid w:val="00527726"/>
    <w:rsid w:val="00527825"/>
    <w:rsid w:val="00527B13"/>
    <w:rsid w:val="00527DF6"/>
    <w:rsid w:val="00530095"/>
    <w:rsid w:val="00530183"/>
    <w:rsid w:val="00530578"/>
    <w:rsid w:val="00530842"/>
    <w:rsid w:val="005309FA"/>
    <w:rsid w:val="00531011"/>
    <w:rsid w:val="005311EE"/>
    <w:rsid w:val="00531258"/>
    <w:rsid w:val="005315AC"/>
    <w:rsid w:val="005315F7"/>
    <w:rsid w:val="00531660"/>
    <w:rsid w:val="00531696"/>
    <w:rsid w:val="00531746"/>
    <w:rsid w:val="00531919"/>
    <w:rsid w:val="00531A60"/>
    <w:rsid w:val="00531AA2"/>
    <w:rsid w:val="00531CAC"/>
    <w:rsid w:val="00531D5E"/>
    <w:rsid w:val="00532033"/>
    <w:rsid w:val="005320B8"/>
    <w:rsid w:val="00532370"/>
    <w:rsid w:val="00532654"/>
    <w:rsid w:val="005326F2"/>
    <w:rsid w:val="005327D2"/>
    <w:rsid w:val="005327E8"/>
    <w:rsid w:val="005328F9"/>
    <w:rsid w:val="00532BE3"/>
    <w:rsid w:val="00532DF4"/>
    <w:rsid w:val="00532E4F"/>
    <w:rsid w:val="00532E86"/>
    <w:rsid w:val="00533568"/>
    <w:rsid w:val="005335C9"/>
    <w:rsid w:val="005338EA"/>
    <w:rsid w:val="00533912"/>
    <w:rsid w:val="00533C0A"/>
    <w:rsid w:val="00533C2D"/>
    <w:rsid w:val="00533F25"/>
    <w:rsid w:val="00533FD9"/>
    <w:rsid w:val="005341C6"/>
    <w:rsid w:val="00534376"/>
    <w:rsid w:val="0053484F"/>
    <w:rsid w:val="00534959"/>
    <w:rsid w:val="00534BBD"/>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D3"/>
    <w:rsid w:val="00536793"/>
    <w:rsid w:val="00536836"/>
    <w:rsid w:val="005369DF"/>
    <w:rsid w:val="00536D20"/>
    <w:rsid w:val="00536DA3"/>
    <w:rsid w:val="00536F86"/>
    <w:rsid w:val="005375E9"/>
    <w:rsid w:val="005378E0"/>
    <w:rsid w:val="00537AD7"/>
    <w:rsid w:val="00537EEA"/>
    <w:rsid w:val="00537FDC"/>
    <w:rsid w:val="00540049"/>
    <w:rsid w:val="00540256"/>
    <w:rsid w:val="00540400"/>
    <w:rsid w:val="00540638"/>
    <w:rsid w:val="0054092B"/>
    <w:rsid w:val="00540BD0"/>
    <w:rsid w:val="00540C88"/>
    <w:rsid w:val="00540D31"/>
    <w:rsid w:val="00540D35"/>
    <w:rsid w:val="00540D81"/>
    <w:rsid w:val="00540D97"/>
    <w:rsid w:val="00540EBE"/>
    <w:rsid w:val="00540F79"/>
    <w:rsid w:val="00541207"/>
    <w:rsid w:val="0054132D"/>
    <w:rsid w:val="005413EB"/>
    <w:rsid w:val="00541555"/>
    <w:rsid w:val="005415DA"/>
    <w:rsid w:val="00541AD3"/>
    <w:rsid w:val="00541B36"/>
    <w:rsid w:val="00541CD1"/>
    <w:rsid w:val="00541DC9"/>
    <w:rsid w:val="00541E06"/>
    <w:rsid w:val="00541FCC"/>
    <w:rsid w:val="00542053"/>
    <w:rsid w:val="0054209A"/>
    <w:rsid w:val="005420E4"/>
    <w:rsid w:val="005421B1"/>
    <w:rsid w:val="00542212"/>
    <w:rsid w:val="005423BB"/>
    <w:rsid w:val="005427D3"/>
    <w:rsid w:val="0054284A"/>
    <w:rsid w:val="005429E1"/>
    <w:rsid w:val="00542B25"/>
    <w:rsid w:val="005433E9"/>
    <w:rsid w:val="00543983"/>
    <w:rsid w:val="00543AC9"/>
    <w:rsid w:val="00543AE6"/>
    <w:rsid w:val="00543B25"/>
    <w:rsid w:val="00543BCD"/>
    <w:rsid w:val="00543DE6"/>
    <w:rsid w:val="00543F80"/>
    <w:rsid w:val="0054402D"/>
    <w:rsid w:val="005446DB"/>
    <w:rsid w:val="0054492F"/>
    <w:rsid w:val="00544A50"/>
    <w:rsid w:val="00544BD5"/>
    <w:rsid w:val="00544E2C"/>
    <w:rsid w:val="00545039"/>
    <w:rsid w:val="00545139"/>
    <w:rsid w:val="00545171"/>
    <w:rsid w:val="00545239"/>
    <w:rsid w:val="00545306"/>
    <w:rsid w:val="0054552D"/>
    <w:rsid w:val="00545B6F"/>
    <w:rsid w:val="00545B72"/>
    <w:rsid w:val="00545D40"/>
    <w:rsid w:val="00545DCC"/>
    <w:rsid w:val="00545EE0"/>
    <w:rsid w:val="00545EE7"/>
    <w:rsid w:val="00546087"/>
    <w:rsid w:val="0054637F"/>
    <w:rsid w:val="00546442"/>
    <w:rsid w:val="005465AC"/>
    <w:rsid w:val="00546609"/>
    <w:rsid w:val="005467F8"/>
    <w:rsid w:val="0054685F"/>
    <w:rsid w:val="00546860"/>
    <w:rsid w:val="00546C93"/>
    <w:rsid w:val="00547183"/>
    <w:rsid w:val="005471CF"/>
    <w:rsid w:val="005473EF"/>
    <w:rsid w:val="00547524"/>
    <w:rsid w:val="005476CA"/>
    <w:rsid w:val="005478D7"/>
    <w:rsid w:val="00547F9C"/>
    <w:rsid w:val="005501FB"/>
    <w:rsid w:val="005503D2"/>
    <w:rsid w:val="005505D4"/>
    <w:rsid w:val="005506ED"/>
    <w:rsid w:val="00550771"/>
    <w:rsid w:val="005507E7"/>
    <w:rsid w:val="0055095F"/>
    <w:rsid w:val="0055098E"/>
    <w:rsid w:val="005509B9"/>
    <w:rsid w:val="005509D8"/>
    <w:rsid w:val="00550CCA"/>
    <w:rsid w:val="00550D2B"/>
    <w:rsid w:val="00550D55"/>
    <w:rsid w:val="00550DE2"/>
    <w:rsid w:val="00551159"/>
    <w:rsid w:val="0055146A"/>
    <w:rsid w:val="005518BE"/>
    <w:rsid w:val="00551941"/>
    <w:rsid w:val="00551A02"/>
    <w:rsid w:val="00551AC0"/>
    <w:rsid w:val="00551B4D"/>
    <w:rsid w:val="00551C85"/>
    <w:rsid w:val="00551F80"/>
    <w:rsid w:val="00551FF2"/>
    <w:rsid w:val="005520ED"/>
    <w:rsid w:val="005522D2"/>
    <w:rsid w:val="005525B7"/>
    <w:rsid w:val="005526FA"/>
    <w:rsid w:val="00552768"/>
    <w:rsid w:val="00552896"/>
    <w:rsid w:val="0055293A"/>
    <w:rsid w:val="00552CB0"/>
    <w:rsid w:val="005530A1"/>
    <w:rsid w:val="00553207"/>
    <w:rsid w:val="00553475"/>
    <w:rsid w:val="00553679"/>
    <w:rsid w:val="0055370A"/>
    <w:rsid w:val="0055396A"/>
    <w:rsid w:val="00553AE7"/>
    <w:rsid w:val="00553E7F"/>
    <w:rsid w:val="00553FC8"/>
    <w:rsid w:val="00553FF7"/>
    <w:rsid w:val="00554519"/>
    <w:rsid w:val="00554554"/>
    <w:rsid w:val="00554643"/>
    <w:rsid w:val="005546F8"/>
    <w:rsid w:val="00554735"/>
    <w:rsid w:val="005548AC"/>
    <w:rsid w:val="00554FE7"/>
    <w:rsid w:val="0055508D"/>
    <w:rsid w:val="005550F2"/>
    <w:rsid w:val="00555341"/>
    <w:rsid w:val="00555A5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E9E"/>
    <w:rsid w:val="00557648"/>
    <w:rsid w:val="005577C4"/>
    <w:rsid w:val="00557D30"/>
    <w:rsid w:val="00560344"/>
    <w:rsid w:val="005603D9"/>
    <w:rsid w:val="00560420"/>
    <w:rsid w:val="0056044E"/>
    <w:rsid w:val="0056055F"/>
    <w:rsid w:val="005607CA"/>
    <w:rsid w:val="005608DB"/>
    <w:rsid w:val="00561038"/>
    <w:rsid w:val="00561075"/>
    <w:rsid w:val="00561329"/>
    <w:rsid w:val="00561446"/>
    <w:rsid w:val="0056153B"/>
    <w:rsid w:val="005617D0"/>
    <w:rsid w:val="005618B3"/>
    <w:rsid w:val="005618F1"/>
    <w:rsid w:val="00561AC8"/>
    <w:rsid w:val="00561AD8"/>
    <w:rsid w:val="00561C44"/>
    <w:rsid w:val="00561E31"/>
    <w:rsid w:val="00561FF7"/>
    <w:rsid w:val="005621E4"/>
    <w:rsid w:val="005623E4"/>
    <w:rsid w:val="005624BB"/>
    <w:rsid w:val="0056253B"/>
    <w:rsid w:val="0056256F"/>
    <w:rsid w:val="005627B4"/>
    <w:rsid w:val="005629EA"/>
    <w:rsid w:val="00562DAE"/>
    <w:rsid w:val="00562DD8"/>
    <w:rsid w:val="00562ED1"/>
    <w:rsid w:val="00562F79"/>
    <w:rsid w:val="00562FBC"/>
    <w:rsid w:val="00563140"/>
    <w:rsid w:val="00563370"/>
    <w:rsid w:val="0056349C"/>
    <w:rsid w:val="005636B6"/>
    <w:rsid w:val="00563980"/>
    <w:rsid w:val="005639BD"/>
    <w:rsid w:val="00563AD0"/>
    <w:rsid w:val="00563B27"/>
    <w:rsid w:val="00563D54"/>
    <w:rsid w:val="00563FCF"/>
    <w:rsid w:val="005640FA"/>
    <w:rsid w:val="00564116"/>
    <w:rsid w:val="005645FC"/>
    <w:rsid w:val="005648DA"/>
    <w:rsid w:val="00564A39"/>
    <w:rsid w:val="00564A67"/>
    <w:rsid w:val="00564A93"/>
    <w:rsid w:val="00564D95"/>
    <w:rsid w:val="0056501B"/>
    <w:rsid w:val="0056505B"/>
    <w:rsid w:val="005650B5"/>
    <w:rsid w:val="00565359"/>
    <w:rsid w:val="00565577"/>
    <w:rsid w:val="0056585F"/>
    <w:rsid w:val="005658E6"/>
    <w:rsid w:val="00565904"/>
    <w:rsid w:val="00565AB3"/>
    <w:rsid w:val="00566005"/>
    <w:rsid w:val="0056601C"/>
    <w:rsid w:val="00566244"/>
    <w:rsid w:val="00566418"/>
    <w:rsid w:val="00566532"/>
    <w:rsid w:val="0056663D"/>
    <w:rsid w:val="005668B5"/>
    <w:rsid w:val="00566ADD"/>
    <w:rsid w:val="00566D9F"/>
    <w:rsid w:val="00566EFD"/>
    <w:rsid w:val="00566FBD"/>
    <w:rsid w:val="00567211"/>
    <w:rsid w:val="0056724B"/>
    <w:rsid w:val="005672DB"/>
    <w:rsid w:val="00567674"/>
    <w:rsid w:val="00567C2A"/>
    <w:rsid w:val="00567C4F"/>
    <w:rsid w:val="00567DAA"/>
    <w:rsid w:val="00567EDB"/>
    <w:rsid w:val="00567F2D"/>
    <w:rsid w:val="00570154"/>
    <w:rsid w:val="00570896"/>
    <w:rsid w:val="00571152"/>
    <w:rsid w:val="005715E8"/>
    <w:rsid w:val="005717D2"/>
    <w:rsid w:val="00571987"/>
    <w:rsid w:val="00571C53"/>
    <w:rsid w:val="00571C5B"/>
    <w:rsid w:val="00571FD3"/>
    <w:rsid w:val="00572088"/>
    <w:rsid w:val="0057212C"/>
    <w:rsid w:val="00572941"/>
    <w:rsid w:val="00572B74"/>
    <w:rsid w:val="00572CB1"/>
    <w:rsid w:val="00572DEE"/>
    <w:rsid w:val="0057335A"/>
    <w:rsid w:val="005735DF"/>
    <w:rsid w:val="00573815"/>
    <w:rsid w:val="0057393D"/>
    <w:rsid w:val="00573978"/>
    <w:rsid w:val="00573AC3"/>
    <w:rsid w:val="00573E28"/>
    <w:rsid w:val="00573E43"/>
    <w:rsid w:val="005740C0"/>
    <w:rsid w:val="00574280"/>
    <w:rsid w:val="005742E1"/>
    <w:rsid w:val="00574424"/>
    <w:rsid w:val="005744BF"/>
    <w:rsid w:val="0057456B"/>
    <w:rsid w:val="0057495D"/>
    <w:rsid w:val="00574C88"/>
    <w:rsid w:val="00574F21"/>
    <w:rsid w:val="00575315"/>
    <w:rsid w:val="00575506"/>
    <w:rsid w:val="00575E57"/>
    <w:rsid w:val="0057601E"/>
    <w:rsid w:val="005760AC"/>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77F"/>
    <w:rsid w:val="005779CF"/>
    <w:rsid w:val="00577AD0"/>
    <w:rsid w:val="00577BEE"/>
    <w:rsid w:val="00577DDD"/>
    <w:rsid w:val="00577F3D"/>
    <w:rsid w:val="00577FA5"/>
    <w:rsid w:val="00580073"/>
    <w:rsid w:val="00580669"/>
    <w:rsid w:val="00580B04"/>
    <w:rsid w:val="00580B68"/>
    <w:rsid w:val="00580D5A"/>
    <w:rsid w:val="00580F2F"/>
    <w:rsid w:val="00581066"/>
    <w:rsid w:val="005811FF"/>
    <w:rsid w:val="00581413"/>
    <w:rsid w:val="00581442"/>
    <w:rsid w:val="00581498"/>
    <w:rsid w:val="0058159F"/>
    <w:rsid w:val="00581656"/>
    <w:rsid w:val="0058184B"/>
    <w:rsid w:val="005818E6"/>
    <w:rsid w:val="00581D8F"/>
    <w:rsid w:val="00581E63"/>
    <w:rsid w:val="00581F59"/>
    <w:rsid w:val="0058203C"/>
    <w:rsid w:val="00582196"/>
    <w:rsid w:val="005825F2"/>
    <w:rsid w:val="005826D5"/>
    <w:rsid w:val="005828E1"/>
    <w:rsid w:val="00582989"/>
    <w:rsid w:val="00582A72"/>
    <w:rsid w:val="00582D1C"/>
    <w:rsid w:val="00582F90"/>
    <w:rsid w:val="00582FAF"/>
    <w:rsid w:val="00582FF1"/>
    <w:rsid w:val="00583074"/>
    <w:rsid w:val="0058361D"/>
    <w:rsid w:val="005839EF"/>
    <w:rsid w:val="00583E24"/>
    <w:rsid w:val="00584267"/>
    <w:rsid w:val="005845B8"/>
    <w:rsid w:val="005845EF"/>
    <w:rsid w:val="00584D9D"/>
    <w:rsid w:val="00584EAC"/>
    <w:rsid w:val="00585427"/>
    <w:rsid w:val="0058555E"/>
    <w:rsid w:val="0058561C"/>
    <w:rsid w:val="00585CE1"/>
    <w:rsid w:val="00585D4C"/>
    <w:rsid w:val="00585D87"/>
    <w:rsid w:val="00585DE7"/>
    <w:rsid w:val="00585ECD"/>
    <w:rsid w:val="005863A7"/>
    <w:rsid w:val="005864DF"/>
    <w:rsid w:val="00586571"/>
    <w:rsid w:val="005865DE"/>
    <w:rsid w:val="005865EA"/>
    <w:rsid w:val="005866D5"/>
    <w:rsid w:val="00586D23"/>
    <w:rsid w:val="00586F1B"/>
    <w:rsid w:val="0058716D"/>
    <w:rsid w:val="0058773E"/>
    <w:rsid w:val="00587A6C"/>
    <w:rsid w:val="005900BF"/>
    <w:rsid w:val="00590221"/>
    <w:rsid w:val="005902D0"/>
    <w:rsid w:val="00590CA4"/>
    <w:rsid w:val="00590CA6"/>
    <w:rsid w:val="00590CB2"/>
    <w:rsid w:val="00590CFA"/>
    <w:rsid w:val="00590F63"/>
    <w:rsid w:val="005915BE"/>
    <w:rsid w:val="005917C0"/>
    <w:rsid w:val="0059195C"/>
    <w:rsid w:val="00591AE2"/>
    <w:rsid w:val="00591CCA"/>
    <w:rsid w:val="00591E64"/>
    <w:rsid w:val="0059216A"/>
    <w:rsid w:val="0059252E"/>
    <w:rsid w:val="0059260B"/>
    <w:rsid w:val="00592679"/>
    <w:rsid w:val="00592804"/>
    <w:rsid w:val="005929AA"/>
    <w:rsid w:val="00592C45"/>
    <w:rsid w:val="00592CAF"/>
    <w:rsid w:val="00592EE6"/>
    <w:rsid w:val="00592F4C"/>
    <w:rsid w:val="00592FF2"/>
    <w:rsid w:val="00593065"/>
    <w:rsid w:val="0059329B"/>
    <w:rsid w:val="00593350"/>
    <w:rsid w:val="005934F3"/>
    <w:rsid w:val="0059389C"/>
    <w:rsid w:val="00593C7C"/>
    <w:rsid w:val="00593D33"/>
    <w:rsid w:val="00594208"/>
    <w:rsid w:val="00594210"/>
    <w:rsid w:val="00594506"/>
    <w:rsid w:val="00594523"/>
    <w:rsid w:val="005947B9"/>
    <w:rsid w:val="005947D3"/>
    <w:rsid w:val="00594B0A"/>
    <w:rsid w:val="00594DAE"/>
    <w:rsid w:val="00594F05"/>
    <w:rsid w:val="00595335"/>
    <w:rsid w:val="00595416"/>
    <w:rsid w:val="00595436"/>
    <w:rsid w:val="0059548B"/>
    <w:rsid w:val="005955B7"/>
    <w:rsid w:val="00595632"/>
    <w:rsid w:val="00595729"/>
    <w:rsid w:val="00595AAA"/>
    <w:rsid w:val="00595C20"/>
    <w:rsid w:val="00596072"/>
    <w:rsid w:val="005960B1"/>
    <w:rsid w:val="005962A8"/>
    <w:rsid w:val="005965CF"/>
    <w:rsid w:val="005965E6"/>
    <w:rsid w:val="0059661E"/>
    <w:rsid w:val="00596926"/>
    <w:rsid w:val="00596BB3"/>
    <w:rsid w:val="00596D1D"/>
    <w:rsid w:val="00596E4F"/>
    <w:rsid w:val="00596E9B"/>
    <w:rsid w:val="00596F32"/>
    <w:rsid w:val="00596F8F"/>
    <w:rsid w:val="00596FBB"/>
    <w:rsid w:val="00596FE6"/>
    <w:rsid w:val="00597019"/>
    <w:rsid w:val="00597040"/>
    <w:rsid w:val="005973F7"/>
    <w:rsid w:val="005974B4"/>
    <w:rsid w:val="0059756C"/>
    <w:rsid w:val="005977E7"/>
    <w:rsid w:val="00597817"/>
    <w:rsid w:val="00597B38"/>
    <w:rsid w:val="00597E54"/>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56F"/>
    <w:rsid w:val="005A1801"/>
    <w:rsid w:val="005A1A4F"/>
    <w:rsid w:val="005A1CD1"/>
    <w:rsid w:val="005A1E45"/>
    <w:rsid w:val="005A1E5A"/>
    <w:rsid w:val="005A206F"/>
    <w:rsid w:val="005A2177"/>
    <w:rsid w:val="005A21BD"/>
    <w:rsid w:val="005A238C"/>
    <w:rsid w:val="005A23D0"/>
    <w:rsid w:val="005A24D1"/>
    <w:rsid w:val="005A28BE"/>
    <w:rsid w:val="005A2F44"/>
    <w:rsid w:val="005A2F45"/>
    <w:rsid w:val="005A2F85"/>
    <w:rsid w:val="005A307E"/>
    <w:rsid w:val="005A30B5"/>
    <w:rsid w:val="005A36BC"/>
    <w:rsid w:val="005A37E5"/>
    <w:rsid w:val="005A3933"/>
    <w:rsid w:val="005A3B89"/>
    <w:rsid w:val="005A3DBA"/>
    <w:rsid w:val="005A3EC6"/>
    <w:rsid w:val="005A44AE"/>
    <w:rsid w:val="005A44D3"/>
    <w:rsid w:val="005A4A2A"/>
    <w:rsid w:val="005A4BB0"/>
    <w:rsid w:val="005A4EB2"/>
    <w:rsid w:val="005A4FD3"/>
    <w:rsid w:val="005A523A"/>
    <w:rsid w:val="005A532E"/>
    <w:rsid w:val="005A536D"/>
    <w:rsid w:val="005A53AD"/>
    <w:rsid w:val="005A5532"/>
    <w:rsid w:val="005A5855"/>
    <w:rsid w:val="005A594D"/>
    <w:rsid w:val="005A5953"/>
    <w:rsid w:val="005A5AB5"/>
    <w:rsid w:val="005A5B16"/>
    <w:rsid w:val="005A6109"/>
    <w:rsid w:val="005A624A"/>
    <w:rsid w:val="005A6302"/>
    <w:rsid w:val="005A639A"/>
    <w:rsid w:val="005A63DA"/>
    <w:rsid w:val="005A6824"/>
    <w:rsid w:val="005A6AD0"/>
    <w:rsid w:val="005A6D88"/>
    <w:rsid w:val="005A6DC0"/>
    <w:rsid w:val="005A6EC5"/>
    <w:rsid w:val="005A6FAD"/>
    <w:rsid w:val="005A7050"/>
    <w:rsid w:val="005A7369"/>
    <w:rsid w:val="005A7536"/>
    <w:rsid w:val="005A7D06"/>
    <w:rsid w:val="005A7E7E"/>
    <w:rsid w:val="005A7F16"/>
    <w:rsid w:val="005B0002"/>
    <w:rsid w:val="005B007D"/>
    <w:rsid w:val="005B02E6"/>
    <w:rsid w:val="005B0464"/>
    <w:rsid w:val="005B0730"/>
    <w:rsid w:val="005B0789"/>
    <w:rsid w:val="005B0A12"/>
    <w:rsid w:val="005B0DC3"/>
    <w:rsid w:val="005B0EA7"/>
    <w:rsid w:val="005B11F1"/>
    <w:rsid w:val="005B180E"/>
    <w:rsid w:val="005B1BBF"/>
    <w:rsid w:val="005B1ECB"/>
    <w:rsid w:val="005B20D5"/>
    <w:rsid w:val="005B225B"/>
    <w:rsid w:val="005B2331"/>
    <w:rsid w:val="005B2546"/>
    <w:rsid w:val="005B2DCC"/>
    <w:rsid w:val="005B2F67"/>
    <w:rsid w:val="005B2FB3"/>
    <w:rsid w:val="005B3152"/>
    <w:rsid w:val="005B356A"/>
    <w:rsid w:val="005B3598"/>
    <w:rsid w:val="005B3761"/>
    <w:rsid w:val="005B3823"/>
    <w:rsid w:val="005B39E2"/>
    <w:rsid w:val="005B3C99"/>
    <w:rsid w:val="005B3E7B"/>
    <w:rsid w:val="005B3EFF"/>
    <w:rsid w:val="005B404D"/>
    <w:rsid w:val="005B40C9"/>
    <w:rsid w:val="005B4888"/>
    <w:rsid w:val="005B49B4"/>
    <w:rsid w:val="005B4D05"/>
    <w:rsid w:val="005B507D"/>
    <w:rsid w:val="005B54AF"/>
    <w:rsid w:val="005B57CD"/>
    <w:rsid w:val="005B58F8"/>
    <w:rsid w:val="005B5F99"/>
    <w:rsid w:val="005B5FF2"/>
    <w:rsid w:val="005B603E"/>
    <w:rsid w:val="005B60C4"/>
    <w:rsid w:val="005B60D3"/>
    <w:rsid w:val="005B65A2"/>
    <w:rsid w:val="005B670A"/>
    <w:rsid w:val="005B6903"/>
    <w:rsid w:val="005B69B6"/>
    <w:rsid w:val="005B6A92"/>
    <w:rsid w:val="005B6B20"/>
    <w:rsid w:val="005B6BD4"/>
    <w:rsid w:val="005B6C58"/>
    <w:rsid w:val="005B6DDD"/>
    <w:rsid w:val="005B6E54"/>
    <w:rsid w:val="005B7074"/>
    <w:rsid w:val="005B71B7"/>
    <w:rsid w:val="005B7328"/>
    <w:rsid w:val="005B752E"/>
    <w:rsid w:val="005B7BBC"/>
    <w:rsid w:val="005C0398"/>
    <w:rsid w:val="005C04CD"/>
    <w:rsid w:val="005C0C8D"/>
    <w:rsid w:val="005C0D6F"/>
    <w:rsid w:val="005C0E2C"/>
    <w:rsid w:val="005C11B0"/>
    <w:rsid w:val="005C129A"/>
    <w:rsid w:val="005C17B9"/>
    <w:rsid w:val="005C1913"/>
    <w:rsid w:val="005C1B09"/>
    <w:rsid w:val="005C1E5C"/>
    <w:rsid w:val="005C1E93"/>
    <w:rsid w:val="005C21A6"/>
    <w:rsid w:val="005C2210"/>
    <w:rsid w:val="005C2594"/>
    <w:rsid w:val="005C25B6"/>
    <w:rsid w:val="005C29AA"/>
    <w:rsid w:val="005C2B1E"/>
    <w:rsid w:val="005C2E53"/>
    <w:rsid w:val="005C3002"/>
    <w:rsid w:val="005C307B"/>
    <w:rsid w:val="005C342F"/>
    <w:rsid w:val="005C3973"/>
    <w:rsid w:val="005C3AE0"/>
    <w:rsid w:val="005C3BDD"/>
    <w:rsid w:val="005C3F31"/>
    <w:rsid w:val="005C4021"/>
    <w:rsid w:val="005C404B"/>
    <w:rsid w:val="005C4719"/>
    <w:rsid w:val="005C4A16"/>
    <w:rsid w:val="005C4A32"/>
    <w:rsid w:val="005C4B7B"/>
    <w:rsid w:val="005C4BC1"/>
    <w:rsid w:val="005C4D3D"/>
    <w:rsid w:val="005C54D3"/>
    <w:rsid w:val="005C5540"/>
    <w:rsid w:val="005C5719"/>
    <w:rsid w:val="005C5911"/>
    <w:rsid w:val="005C5944"/>
    <w:rsid w:val="005C5A89"/>
    <w:rsid w:val="005C5B2A"/>
    <w:rsid w:val="005C5E5C"/>
    <w:rsid w:val="005C63CC"/>
    <w:rsid w:val="005C65F6"/>
    <w:rsid w:val="005C668A"/>
    <w:rsid w:val="005C6701"/>
    <w:rsid w:val="005C68F2"/>
    <w:rsid w:val="005C6B27"/>
    <w:rsid w:val="005C6B7E"/>
    <w:rsid w:val="005C6BF1"/>
    <w:rsid w:val="005C6FAA"/>
    <w:rsid w:val="005C710E"/>
    <w:rsid w:val="005C7248"/>
    <w:rsid w:val="005C7294"/>
    <w:rsid w:val="005C737F"/>
    <w:rsid w:val="005C7384"/>
    <w:rsid w:val="005C76C6"/>
    <w:rsid w:val="005C7811"/>
    <w:rsid w:val="005C7C45"/>
    <w:rsid w:val="005C7F60"/>
    <w:rsid w:val="005D0079"/>
    <w:rsid w:val="005D02EF"/>
    <w:rsid w:val="005D032D"/>
    <w:rsid w:val="005D0456"/>
    <w:rsid w:val="005D04B0"/>
    <w:rsid w:val="005D0859"/>
    <w:rsid w:val="005D0864"/>
    <w:rsid w:val="005D088A"/>
    <w:rsid w:val="005D10FC"/>
    <w:rsid w:val="005D15F9"/>
    <w:rsid w:val="005D1BD8"/>
    <w:rsid w:val="005D1CE6"/>
    <w:rsid w:val="005D23E7"/>
    <w:rsid w:val="005D24D1"/>
    <w:rsid w:val="005D26F2"/>
    <w:rsid w:val="005D2975"/>
    <w:rsid w:val="005D2AB7"/>
    <w:rsid w:val="005D2CCA"/>
    <w:rsid w:val="005D2DE0"/>
    <w:rsid w:val="005D2FFC"/>
    <w:rsid w:val="005D336D"/>
    <w:rsid w:val="005D35FD"/>
    <w:rsid w:val="005D36A2"/>
    <w:rsid w:val="005D3772"/>
    <w:rsid w:val="005D3842"/>
    <w:rsid w:val="005D396D"/>
    <w:rsid w:val="005D3A16"/>
    <w:rsid w:val="005D3B0D"/>
    <w:rsid w:val="005D3BC1"/>
    <w:rsid w:val="005D3D2C"/>
    <w:rsid w:val="005D3F21"/>
    <w:rsid w:val="005D44B3"/>
    <w:rsid w:val="005D4550"/>
    <w:rsid w:val="005D4579"/>
    <w:rsid w:val="005D45F8"/>
    <w:rsid w:val="005D48E9"/>
    <w:rsid w:val="005D4B6E"/>
    <w:rsid w:val="005D4C8B"/>
    <w:rsid w:val="005D5032"/>
    <w:rsid w:val="005D5407"/>
    <w:rsid w:val="005D5436"/>
    <w:rsid w:val="005D55D2"/>
    <w:rsid w:val="005D5667"/>
    <w:rsid w:val="005D56B2"/>
    <w:rsid w:val="005D585B"/>
    <w:rsid w:val="005D5925"/>
    <w:rsid w:val="005D5A5F"/>
    <w:rsid w:val="005D5C6B"/>
    <w:rsid w:val="005D5E06"/>
    <w:rsid w:val="005D5E6C"/>
    <w:rsid w:val="005D6028"/>
    <w:rsid w:val="005D621E"/>
    <w:rsid w:val="005D6354"/>
    <w:rsid w:val="005D6848"/>
    <w:rsid w:val="005D68CE"/>
    <w:rsid w:val="005D6B1F"/>
    <w:rsid w:val="005D6B9A"/>
    <w:rsid w:val="005D6BF0"/>
    <w:rsid w:val="005D6D9E"/>
    <w:rsid w:val="005D6E76"/>
    <w:rsid w:val="005D6EF2"/>
    <w:rsid w:val="005D70EF"/>
    <w:rsid w:val="005D7261"/>
    <w:rsid w:val="005D72C9"/>
    <w:rsid w:val="005D770B"/>
    <w:rsid w:val="005D7A07"/>
    <w:rsid w:val="005D7CC7"/>
    <w:rsid w:val="005D7DA9"/>
    <w:rsid w:val="005E00A6"/>
    <w:rsid w:val="005E00B3"/>
    <w:rsid w:val="005E019B"/>
    <w:rsid w:val="005E0B26"/>
    <w:rsid w:val="005E1749"/>
    <w:rsid w:val="005E1C8A"/>
    <w:rsid w:val="005E1DA5"/>
    <w:rsid w:val="005E222A"/>
    <w:rsid w:val="005E23E1"/>
    <w:rsid w:val="005E291A"/>
    <w:rsid w:val="005E2B37"/>
    <w:rsid w:val="005E33C3"/>
    <w:rsid w:val="005E3406"/>
    <w:rsid w:val="005E3610"/>
    <w:rsid w:val="005E3679"/>
    <w:rsid w:val="005E3A8C"/>
    <w:rsid w:val="005E3DB2"/>
    <w:rsid w:val="005E4759"/>
    <w:rsid w:val="005E47C2"/>
    <w:rsid w:val="005E4A56"/>
    <w:rsid w:val="005E4AB6"/>
    <w:rsid w:val="005E4BD8"/>
    <w:rsid w:val="005E4F07"/>
    <w:rsid w:val="005E4FE1"/>
    <w:rsid w:val="005E5327"/>
    <w:rsid w:val="005E55F4"/>
    <w:rsid w:val="005E5605"/>
    <w:rsid w:val="005E58A9"/>
    <w:rsid w:val="005E5AC7"/>
    <w:rsid w:val="005E5B6D"/>
    <w:rsid w:val="005E5D33"/>
    <w:rsid w:val="005E6028"/>
    <w:rsid w:val="005E6164"/>
    <w:rsid w:val="005E6402"/>
    <w:rsid w:val="005E6430"/>
    <w:rsid w:val="005E6457"/>
    <w:rsid w:val="005E64C2"/>
    <w:rsid w:val="005E6E35"/>
    <w:rsid w:val="005E6EB7"/>
    <w:rsid w:val="005E72AA"/>
    <w:rsid w:val="005E73CA"/>
    <w:rsid w:val="005E74F8"/>
    <w:rsid w:val="005E76B5"/>
    <w:rsid w:val="005E792F"/>
    <w:rsid w:val="005E7E29"/>
    <w:rsid w:val="005F023D"/>
    <w:rsid w:val="005F035F"/>
    <w:rsid w:val="005F0396"/>
    <w:rsid w:val="005F03BF"/>
    <w:rsid w:val="005F048D"/>
    <w:rsid w:val="005F049F"/>
    <w:rsid w:val="005F0553"/>
    <w:rsid w:val="005F0580"/>
    <w:rsid w:val="005F0639"/>
    <w:rsid w:val="005F0801"/>
    <w:rsid w:val="005F0F57"/>
    <w:rsid w:val="005F0FC1"/>
    <w:rsid w:val="005F0FD2"/>
    <w:rsid w:val="005F10F4"/>
    <w:rsid w:val="005F173C"/>
    <w:rsid w:val="005F18D0"/>
    <w:rsid w:val="005F1AED"/>
    <w:rsid w:val="005F215B"/>
    <w:rsid w:val="005F22AF"/>
    <w:rsid w:val="005F25BE"/>
    <w:rsid w:val="005F2711"/>
    <w:rsid w:val="005F2739"/>
    <w:rsid w:val="005F27C3"/>
    <w:rsid w:val="005F27CD"/>
    <w:rsid w:val="005F2AB4"/>
    <w:rsid w:val="005F2BAE"/>
    <w:rsid w:val="005F2D37"/>
    <w:rsid w:val="005F311F"/>
    <w:rsid w:val="005F3171"/>
    <w:rsid w:val="005F31BB"/>
    <w:rsid w:val="005F32DD"/>
    <w:rsid w:val="005F384F"/>
    <w:rsid w:val="005F38C5"/>
    <w:rsid w:val="005F3934"/>
    <w:rsid w:val="005F3ED4"/>
    <w:rsid w:val="005F41ED"/>
    <w:rsid w:val="005F4256"/>
    <w:rsid w:val="005F4407"/>
    <w:rsid w:val="005F449D"/>
    <w:rsid w:val="005F451E"/>
    <w:rsid w:val="005F48CC"/>
    <w:rsid w:val="005F4AD8"/>
    <w:rsid w:val="005F4EB4"/>
    <w:rsid w:val="005F4EF9"/>
    <w:rsid w:val="005F4F45"/>
    <w:rsid w:val="005F4F5C"/>
    <w:rsid w:val="005F4FE9"/>
    <w:rsid w:val="005F50B6"/>
    <w:rsid w:val="005F51F0"/>
    <w:rsid w:val="005F57E0"/>
    <w:rsid w:val="005F58FD"/>
    <w:rsid w:val="005F599E"/>
    <w:rsid w:val="005F59C1"/>
    <w:rsid w:val="005F5ADB"/>
    <w:rsid w:val="005F5B2D"/>
    <w:rsid w:val="005F5ED6"/>
    <w:rsid w:val="005F5FE6"/>
    <w:rsid w:val="005F6159"/>
    <w:rsid w:val="005F645C"/>
    <w:rsid w:val="005F64D4"/>
    <w:rsid w:val="005F699D"/>
    <w:rsid w:val="005F6C2C"/>
    <w:rsid w:val="005F6EFA"/>
    <w:rsid w:val="005F7011"/>
    <w:rsid w:val="005F70F0"/>
    <w:rsid w:val="005F71A9"/>
    <w:rsid w:val="005F72F4"/>
    <w:rsid w:val="005F741B"/>
    <w:rsid w:val="005F74FA"/>
    <w:rsid w:val="005F7602"/>
    <w:rsid w:val="005F7682"/>
    <w:rsid w:val="005F7CBF"/>
    <w:rsid w:val="005F7E87"/>
    <w:rsid w:val="005F7E9E"/>
    <w:rsid w:val="005F7ED5"/>
    <w:rsid w:val="005F7FB9"/>
    <w:rsid w:val="00600076"/>
    <w:rsid w:val="00600132"/>
    <w:rsid w:val="006002C0"/>
    <w:rsid w:val="00600305"/>
    <w:rsid w:val="00600574"/>
    <w:rsid w:val="00600AC3"/>
    <w:rsid w:val="00600BA5"/>
    <w:rsid w:val="00600BE4"/>
    <w:rsid w:val="00600D25"/>
    <w:rsid w:val="006011AF"/>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4D6"/>
    <w:rsid w:val="0060376B"/>
    <w:rsid w:val="00603A39"/>
    <w:rsid w:val="006046C4"/>
    <w:rsid w:val="00604734"/>
    <w:rsid w:val="00604770"/>
    <w:rsid w:val="00604AD6"/>
    <w:rsid w:val="00604D09"/>
    <w:rsid w:val="00604EDD"/>
    <w:rsid w:val="0060537C"/>
    <w:rsid w:val="0060559C"/>
    <w:rsid w:val="006055A9"/>
    <w:rsid w:val="00605641"/>
    <w:rsid w:val="00605732"/>
    <w:rsid w:val="006057E4"/>
    <w:rsid w:val="00605DB1"/>
    <w:rsid w:val="00605ECA"/>
    <w:rsid w:val="00606291"/>
    <w:rsid w:val="006062CD"/>
    <w:rsid w:val="006064E1"/>
    <w:rsid w:val="00606783"/>
    <w:rsid w:val="006068A4"/>
    <w:rsid w:val="006069C7"/>
    <w:rsid w:val="00606A66"/>
    <w:rsid w:val="00606B46"/>
    <w:rsid w:val="00606E3F"/>
    <w:rsid w:val="0060721E"/>
    <w:rsid w:val="006072FB"/>
    <w:rsid w:val="00607405"/>
    <w:rsid w:val="00607457"/>
    <w:rsid w:val="0060748A"/>
    <w:rsid w:val="00607676"/>
    <w:rsid w:val="006076E4"/>
    <w:rsid w:val="00607948"/>
    <w:rsid w:val="006079E8"/>
    <w:rsid w:val="00607B0C"/>
    <w:rsid w:val="00607ECB"/>
    <w:rsid w:val="0061021C"/>
    <w:rsid w:val="00610920"/>
    <w:rsid w:val="00610B2D"/>
    <w:rsid w:val="00610CCC"/>
    <w:rsid w:val="006114E4"/>
    <w:rsid w:val="00611605"/>
    <w:rsid w:val="00611A40"/>
    <w:rsid w:val="00611FCD"/>
    <w:rsid w:val="0061202C"/>
    <w:rsid w:val="006122B0"/>
    <w:rsid w:val="00612417"/>
    <w:rsid w:val="006124AA"/>
    <w:rsid w:val="0061269E"/>
    <w:rsid w:val="006127AE"/>
    <w:rsid w:val="006129A2"/>
    <w:rsid w:val="00612A29"/>
    <w:rsid w:val="00612D5C"/>
    <w:rsid w:val="00612F5F"/>
    <w:rsid w:val="006130A8"/>
    <w:rsid w:val="006131F6"/>
    <w:rsid w:val="00613258"/>
    <w:rsid w:val="00613310"/>
    <w:rsid w:val="006133E4"/>
    <w:rsid w:val="0061362E"/>
    <w:rsid w:val="00613A1D"/>
    <w:rsid w:val="00613ACA"/>
    <w:rsid w:val="00613EB1"/>
    <w:rsid w:val="00613ED8"/>
    <w:rsid w:val="006140D2"/>
    <w:rsid w:val="0061413F"/>
    <w:rsid w:val="00614486"/>
    <w:rsid w:val="00614664"/>
    <w:rsid w:val="0061466C"/>
    <w:rsid w:val="0061495C"/>
    <w:rsid w:val="00614BB6"/>
    <w:rsid w:val="00614C1A"/>
    <w:rsid w:val="00614C57"/>
    <w:rsid w:val="00615B17"/>
    <w:rsid w:val="00615E7C"/>
    <w:rsid w:val="00615FA2"/>
    <w:rsid w:val="00616057"/>
    <w:rsid w:val="0061636D"/>
    <w:rsid w:val="006168DF"/>
    <w:rsid w:val="0061698F"/>
    <w:rsid w:val="00616A4C"/>
    <w:rsid w:val="00616CB2"/>
    <w:rsid w:val="006174C4"/>
    <w:rsid w:val="00617613"/>
    <w:rsid w:val="00617B36"/>
    <w:rsid w:val="00620093"/>
    <w:rsid w:val="006202D7"/>
    <w:rsid w:val="006203E2"/>
    <w:rsid w:val="00620414"/>
    <w:rsid w:val="0062047E"/>
    <w:rsid w:val="006206D0"/>
    <w:rsid w:val="006207AE"/>
    <w:rsid w:val="006207EE"/>
    <w:rsid w:val="00620976"/>
    <w:rsid w:val="00620D10"/>
    <w:rsid w:val="00620E82"/>
    <w:rsid w:val="00620EC4"/>
    <w:rsid w:val="0062105C"/>
    <w:rsid w:val="00621625"/>
    <w:rsid w:val="0062174B"/>
    <w:rsid w:val="006217B5"/>
    <w:rsid w:val="00621899"/>
    <w:rsid w:val="00621B0B"/>
    <w:rsid w:val="00621E23"/>
    <w:rsid w:val="00621F7F"/>
    <w:rsid w:val="0062200A"/>
    <w:rsid w:val="00622120"/>
    <w:rsid w:val="00622343"/>
    <w:rsid w:val="0062264A"/>
    <w:rsid w:val="006229EB"/>
    <w:rsid w:val="00622B52"/>
    <w:rsid w:val="00622BC5"/>
    <w:rsid w:val="00622F60"/>
    <w:rsid w:val="00623071"/>
    <w:rsid w:val="00623114"/>
    <w:rsid w:val="00623180"/>
    <w:rsid w:val="0062330E"/>
    <w:rsid w:val="00623327"/>
    <w:rsid w:val="0062335C"/>
    <w:rsid w:val="006236F1"/>
    <w:rsid w:val="00623B86"/>
    <w:rsid w:val="00623E9D"/>
    <w:rsid w:val="00624010"/>
    <w:rsid w:val="006242E3"/>
    <w:rsid w:val="006247DF"/>
    <w:rsid w:val="00624804"/>
    <w:rsid w:val="00624919"/>
    <w:rsid w:val="006249AF"/>
    <w:rsid w:val="00624A21"/>
    <w:rsid w:val="00624AAA"/>
    <w:rsid w:val="00624BC5"/>
    <w:rsid w:val="0062528A"/>
    <w:rsid w:val="006252D0"/>
    <w:rsid w:val="00625701"/>
    <w:rsid w:val="006259FA"/>
    <w:rsid w:val="00625AFD"/>
    <w:rsid w:val="00625C94"/>
    <w:rsid w:val="00625E11"/>
    <w:rsid w:val="00625FC3"/>
    <w:rsid w:val="00626043"/>
    <w:rsid w:val="0062606A"/>
    <w:rsid w:val="006261EB"/>
    <w:rsid w:val="00626513"/>
    <w:rsid w:val="00626622"/>
    <w:rsid w:val="00626664"/>
    <w:rsid w:val="00626959"/>
    <w:rsid w:val="006269EF"/>
    <w:rsid w:val="006269F6"/>
    <w:rsid w:val="0062711B"/>
    <w:rsid w:val="006274B7"/>
    <w:rsid w:val="0062759C"/>
    <w:rsid w:val="00627D8F"/>
    <w:rsid w:val="00627E72"/>
    <w:rsid w:val="00627EA6"/>
    <w:rsid w:val="00630146"/>
    <w:rsid w:val="0063019B"/>
    <w:rsid w:val="00630254"/>
    <w:rsid w:val="00630272"/>
    <w:rsid w:val="006302E5"/>
    <w:rsid w:val="00630341"/>
    <w:rsid w:val="006307BB"/>
    <w:rsid w:val="006307CB"/>
    <w:rsid w:val="00630865"/>
    <w:rsid w:val="006309C3"/>
    <w:rsid w:val="00630B19"/>
    <w:rsid w:val="00630BC2"/>
    <w:rsid w:val="00630BFE"/>
    <w:rsid w:val="00630C59"/>
    <w:rsid w:val="00630D89"/>
    <w:rsid w:val="00630FE0"/>
    <w:rsid w:val="00631034"/>
    <w:rsid w:val="00631229"/>
    <w:rsid w:val="00631426"/>
    <w:rsid w:val="006314B3"/>
    <w:rsid w:val="006317F0"/>
    <w:rsid w:val="006318C2"/>
    <w:rsid w:val="00631A0C"/>
    <w:rsid w:val="00631A74"/>
    <w:rsid w:val="00631D94"/>
    <w:rsid w:val="00631EB7"/>
    <w:rsid w:val="00631F57"/>
    <w:rsid w:val="00631F8E"/>
    <w:rsid w:val="00631FC4"/>
    <w:rsid w:val="006322A4"/>
    <w:rsid w:val="006322FC"/>
    <w:rsid w:val="006323A0"/>
    <w:rsid w:val="006325B9"/>
    <w:rsid w:val="0063276B"/>
    <w:rsid w:val="006327B3"/>
    <w:rsid w:val="00632A30"/>
    <w:rsid w:val="00632A99"/>
    <w:rsid w:val="00632DC9"/>
    <w:rsid w:val="00632FB8"/>
    <w:rsid w:val="006330FD"/>
    <w:rsid w:val="0063330C"/>
    <w:rsid w:val="006333DF"/>
    <w:rsid w:val="006334E6"/>
    <w:rsid w:val="00633542"/>
    <w:rsid w:val="00633BAA"/>
    <w:rsid w:val="00633C1F"/>
    <w:rsid w:val="00633D22"/>
    <w:rsid w:val="00634723"/>
    <w:rsid w:val="00634764"/>
    <w:rsid w:val="006347EB"/>
    <w:rsid w:val="00634AFC"/>
    <w:rsid w:val="00634B07"/>
    <w:rsid w:val="00635674"/>
    <w:rsid w:val="00635835"/>
    <w:rsid w:val="00635F69"/>
    <w:rsid w:val="006360A3"/>
    <w:rsid w:val="006362B2"/>
    <w:rsid w:val="00636440"/>
    <w:rsid w:val="0063653A"/>
    <w:rsid w:val="0063675D"/>
    <w:rsid w:val="00636942"/>
    <w:rsid w:val="006369C7"/>
    <w:rsid w:val="00636A13"/>
    <w:rsid w:val="00636A1E"/>
    <w:rsid w:val="00636AB1"/>
    <w:rsid w:val="00636BC1"/>
    <w:rsid w:val="00636BE3"/>
    <w:rsid w:val="00636C82"/>
    <w:rsid w:val="00637207"/>
    <w:rsid w:val="00637514"/>
    <w:rsid w:val="0063757B"/>
    <w:rsid w:val="00637605"/>
    <w:rsid w:val="00637668"/>
    <w:rsid w:val="0063771C"/>
    <w:rsid w:val="00637955"/>
    <w:rsid w:val="00637A0E"/>
    <w:rsid w:val="00637B2E"/>
    <w:rsid w:val="00637D07"/>
    <w:rsid w:val="006401B7"/>
    <w:rsid w:val="00640575"/>
    <w:rsid w:val="006405B9"/>
    <w:rsid w:val="006407B6"/>
    <w:rsid w:val="00640A73"/>
    <w:rsid w:val="00640E8D"/>
    <w:rsid w:val="00640FC0"/>
    <w:rsid w:val="00641130"/>
    <w:rsid w:val="00641284"/>
    <w:rsid w:val="006412BA"/>
    <w:rsid w:val="00641492"/>
    <w:rsid w:val="006414CC"/>
    <w:rsid w:val="00641A10"/>
    <w:rsid w:val="00641C6D"/>
    <w:rsid w:val="00641D8F"/>
    <w:rsid w:val="00641FC0"/>
    <w:rsid w:val="0064202D"/>
    <w:rsid w:val="00642245"/>
    <w:rsid w:val="0064224A"/>
    <w:rsid w:val="00642292"/>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1F5"/>
    <w:rsid w:val="00644393"/>
    <w:rsid w:val="0064443C"/>
    <w:rsid w:val="006444C4"/>
    <w:rsid w:val="006448CC"/>
    <w:rsid w:val="00644CBB"/>
    <w:rsid w:val="00644D6E"/>
    <w:rsid w:val="00644EBD"/>
    <w:rsid w:val="00645218"/>
    <w:rsid w:val="0064573F"/>
    <w:rsid w:val="00645AE4"/>
    <w:rsid w:val="006463DB"/>
    <w:rsid w:val="006464DA"/>
    <w:rsid w:val="006465F8"/>
    <w:rsid w:val="0064695D"/>
    <w:rsid w:val="00646A70"/>
    <w:rsid w:val="00646DFA"/>
    <w:rsid w:val="00646E0D"/>
    <w:rsid w:val="00646F0D"/>
    <w:rsid w:val="00646F40"/>
    <w:rsid w:val="0064725E"/>
    <w:rsid w:val="0064736E"/>
    <w:rsid w:val="00647402"/>
    <w:rsid w:val="0064767D"/>
    <w:rsid w:val="00647849"/>
    <w:rsid w:val="00647B99"/>
    <w:rsid w:val="00647BA9"/>
    <w:rsid w:val="00647D06"/>
    <w:rsid w:val="00647E7B"/>
    <w:rsid w:val="00647ED1"/>
    <w:rsid w:val="00650002"/>
    <w:rsid w:val="006502FC"/>
    <w:rsid w:val="00650441"/>
    <w:rsid w:val="00650683"/>
    <w:rsid w:val="00650A9A"/>
    <w:rsid w:val="00650C4C"/>
    <w:rsid w:val="00650D13"/>
    <w:rsid w:val="00650D42"/>
    <w:rsid w:val="00650F31"/>
    <w:rsid w:val="00651076"/>
    <w:rsid w:val="00651223"/>
    <w:rsid w:val="00651373"/>
    <w:rsid w:val="00651490"/>
    <w:rsid w:val="006514DB"/>
    <w:rsid w:val="0065157A"/>
    <w:rsid w:val="00651918"/>
    <w:rsid w:val="006519BD"/>
    <w:rsid w:val="00651A5C"/>
    <w:rsid w:val="00651D5F"/>
    <w:rsid w:val="00651D6E"/>
    <w:rsid w:val="00651E7E"/>
    <w:rsid w:val="00652258"/>
    <w:rsid w:val="006523E8"/>
    <w:rsid w:val="006525C5"/>
    <w:rsid w:val="006527C8"/>
    <w:rsid w:val="006528E9"/>
    <w:rsid w:val="00652BB4"/>
    <w:rsid w:val="00652FC4"/>
    <w:rsid w:val="00653144"/>
    <w:rsid w:val="0065319F"/>
    <w:rsid w:val="00653437"/>
    <w:rsid w:val="006534F4"/>
    <w:rsid w:val="006536C4"/>
    <w:rsid w:val="00653901"/>
    <w:rsid w:val="00653C98"/>
    <w:rsid w:val="00653D89"/>
    <w:rsid w:val="00654077"/>
    <w:rsid w:val="006540F9"/>
    <w:rsid w:val="0065420C"/>
    <w:rsid w:val="006545F9"/>
    <w:rsid w:val="006548E9"/>
    <w:rsid w:val="00654916"/>
    <w:rsid w:val="00654BFE"/>
    <w:rsid w:val="00654F6E"/>
    <w:rsid w:val="00655003"/>
    <w:rsid w:val="00655022"/>
    <w:rsid w:val="00655198"/>
    <w:rsid w:val="00655201"/>
    <w:rsid w:val="0065577D"/>
    <w:rsid w:val="006559E7"/>
    <w:rsid w:val="00655F67"/>
    <w:rsid w:val="00656011"/>
    <w:rsid w:val="006563B4"/>
    <w:rsid w:val="006567CE"/>
    <w:rsid w:val="00656ACD"/>
    <w:rsid w:val="0065703F"/>
    <w:rsid w:val="006574DF"/>
    <w:rsid w:val="006575D0"/>
    <w:rsid w:val="006579FD"/>
    <w:rsid w:val="00657E2A"/>
    <w:rsid w:val="00657EF2"/>
    <w:rsid w:val="00657FFC"/>
    <w:rsid w:val="006605A7"/>
    <w:rsid w:val="00660807"/>
    <w:rsid w:val="0066093C"/>
    <w:rsid w:val="00660947"/>
    <w:rsid w:val="00660A11"/>
    <w:rsid w:val="00660A2B"/>
    <w:rsid w:val="00660B0B"/>
    <w:rsid w:val="00660C01"/>
    <w:rsid w:val="00660C30"/>
    <w:rsid w:val="00660C46"/>
    <w:rsid w:val="00660CAA"/>
    <w:rsid w:val="00660E35"/>
    <w:rsid w:val="00661191"/>
    <w:rsid w:val="0066119E"/>
    <w:rsid w:val="006612D1"/>
    <w:rsid w:val="0066157A"/>
    <w:rsid w:val="0066162F"/>
    <w:rsid w:val="006618D4"/>
    <w:rsid w:val="006619A4"/>
    <w:rsid w:val="006621EF"/>
    <w:rsid w:val="0066247E"/>
    <w:rsid w:val="00662533"/>
    <w:rsid w:val="00662727"/>
    <w:rsid w:val="00662898"/>
    <w:rsid w:val="00662E68"/>
    <w:rsid w:val="00662EB7"/>
    <w:rsid w:val="00662EE5"/>
    <w:rsid w:val="006630CB"/>
    <w:rsid w:val="0066327C"/>
    <w:rsid w:val="006635CB"/>
    <w:rsid w:val="00663955"/>
    <w:rsid w:val="00663B3C"/>
    <w:rsid w:val="00663BD1"/>
    <w:rsid w:val="00663FA2"/>
    <w:rsid w:val="00663FAD"/>
    <w:rsid w:val="0066401C"/>
    <w:rsid w:val="00664192"/>
    <w:rsid w:val="006642CA"/>
    <w:rsid w:val="006644F2"/>
    <w:rsid w:val="006645FE"/>
    <w:rsid w:val="0066462C"/>
    <w:rsid w:val="00664CA5"/>
    <w:rsid w:val="00665170"/>
    <w:rsid w:val="006654E8"/>
    <w:rsid w:val="00665803"/>
    <w:rsid w:val="00665829"/>
    <w:rsid w:val="006659C6"/>
    <w:rsid w:val="00665A65"/>
    <w:rsid w:val="00665B53"/>
    <w:rsid w:val="00665C03"/>
    <w:rsid w:val="00666097"/>
    <w:rsid w:val="00666355"/>
    <w:rsid w:val="00666528"/>
    <w:rsid w:val="0066659E"/>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209"/>
    <w:rsid w:val="006702F1"/>
    <w:rsid w:val="00670413"/>
    <w:rsid w:val="00670456"/>
    <w:rsid w:val="00670815"/>
    <w:rsid w:val="0067085A"/>
    <w:rsid w:val="006708B6"/>
    <w:rsid w:val="00670C2C"/>
    <w:rsid w:val="00670DCD"/>
    <w:rsid w:val="00670E7B"/>
    <w:rsid w:val="00671152"/>
    <w:rsid w:val="00671194"/>
    <w:rsid w:val="006713DA"/>
    <w:rsid w:val="00671824"/>
    <w:rsid w:val="00671A0D"/>
    <w:rsid w:val="00671AEA"/>
    <w:rsid w:val="00671C19"/>
    <w:rsid w:val="006722AE"/>
    <w:rsid w:val="006723AC"/>
    <w:rsid w:val="006724BA"/>
    <w:rsid w:val="00672639"/>
    <w:rsid w:val="0067267B"/>
    <w:rsid w:val="0067288A"/>
    <w:rsid w:val="00672A91"/>
    <w:rsid w:val="00672D2B"/>
    <w:rsid w:val="00672D84"/>
    <w:rsid w:val="00673024"/>
    <w:rsid w:val="006733C6"/>
    <w:rsid w:val="00673687"/>
    <w:rsid w:val="00673BA1"/>
    <w:rsid w:val="00673BE3"/>
    <w:rsid w:val="00673E19"/>
    <w:rsid w:val="00674596"/>
    <w:rsid w:val="00674BD5"/>
    <w:rsid w:val="00674DAE"/>
    <w:rsid w:val="00674F95"/>
    <w:rsid w:val="00675379"/>
    <w:rsid w:val="0067561D"/>
    <w:rsid w:val="00675628"/>
    <w:rsid w:val="0067583A"/>
    <w:rsid w:val="00675B79"/>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9FC"/>
    <w:rsid w:val="00681C86"/>
    <w:rsid w:val="00681E57"/>
    <w:rsid w:val="0068228A"/>
    <w:rsid w:val="0068237F"/>
    <w:rsid w:val="0068240B"/>
    <w:rsid w:val="00682C75"/>
    <w:rsid w:val="00682DB2"/>
    <w:rsid w:val="00683044"/>
    <w:rsid w:val="00683238"/>
    <w:rsid w:val="00683471"/>
    <w:rsid w:val="006834FA"/>
    <w:rsid w:val="006835A5"/>
    <w:rsid w:val="0068374C"/>
    <w:rsid w:val="006839F5"/>
    <w:rsid w:val="00683C9D"/>
    <w:rsid w:val="0068454A"/>
    <w:rsid w:val="006848E3"/>
    <w:rsid w:val="00684ACD"/>
    <w:rsid w:val="00684B8F"/>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FB"/>
    <w:rsid w:val="0068768A"/>
    <w:rsid w:val="00687AFD"/>
    <w:rsid w:val="00687C7A"/>
    <w:rsid w:val="00687D0D"/>
    <w:rsid w:val="00687D58"/>
    <w:rsid w:val="00687D9F"/>
    <w:rsid w:val="006901A5"/>
    <w:rsid w:val="006902AC"/>
    <w:rsid w:val="0069030C"/>
    <w:rsid w:val="0069032C"/>
    <w:rsid w:val="00690509"/>
    <w:rsid w:val="00690722"/>
    <w:rsid w:val="00690740"/>
    <w:rsid w:val="00690D91"/>
    <w:rsid w:val="00691377"/>
    <w:rsid w:val="00691490"/>
    <w:rsid w:val="0069155C"/>
    <w:rsid w:val="0069177A"/>
    <w:rsid w:val="006917AE"/>
    <w:rsid w:val="00691B47"/>
    <w:rsid w:val="00691B6D"/>
    <w:rsid w:val="00691DEA"/>
    <w:rsid w:val="00691F17"/>
    <w:rsid w:val="006923E6"/>
    <w:rsid w:val="0069243E"/>
    <w:rsid w:val="00692510"/>
    <w:rsid w:val="006926AB"/>
    <w:rsid w:val="006926D0"/>
    <w:rsid w:val="006926D4"/>
    <w:rsid w:val="006929B9"/>
    <w:rsid w:val="006929F5"/>
    <w:rsid w:val="00692AAD"/>
    <w:rsid w:val="00692B5F"/>
    <w:rsid w:val="00692FB1"/>
    <w:rsid w:val="00693341"/>
    <w:rsid w:val="00693424"/>
    <w:rsid w:val="006934BC"/>
    <w:rsid w:val="0069386D"/>
    <w:rsid w:val="006939B2"/>
    <w:rsid w:val="00693BFA"/>
    <w:rsid w:val="00693C4A"/>
    <w:rsid w:val="00693D53"/>
    <w:rsid w:val="00694568"/>
    <w:rsid w:val="00694572"/>
    <w:rsid w:val="0069467E"/>
    <w:rsid w:val="00694B17"/>
    <w:rsid w:val="00694D58"/>
    <w:rsid w:val="00694D81"/>
    <w:rsid w:val="00694E13"/>
    <w:rsid w:val="00694F94"/>
    <w:rsid w:val="0069513D"/>
    <w:rsid w:val="006953D2"/>
    <w:rsid w:val="0069563A"/>
    <w:rsid w:val="006956D1"/>
    <w:rsid w:val="0069579C"/>
    <w:rsid w:val="006957BC"/>
    <w:rsid w:val="00695910"/>
    <w:rsid w:val="00695947"/>
    <w:rsid w:val="006959CA"/>
    <w:rsid w:val="00695ACD"/>
    <w:rsid w:val="00695B6F"/>
    <w:rsid w:val="00695BA3"/>
    <w:rsid w:val="00695C6A"/>
    <w:rsid w:val="00696822"/>
    <w:rsid w:val="00696C09"/>
    <w:rsid w:val="00696C0D"/>
    <w:rsid w:val="00696CF7"/>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D19"/>
    <w:rsid w:val="006A1FFE"/>
    <w:rsid w:val="006A203D"/>
    <w:rsid w:val="006A20EF"/>
    <w:rsid w:val="006A233A"/>
    <w:rsid w:val="006A244D"/>
    <w:rsid w:val="006A2721"/>
    <w:rsid w:val="006A292C"/>
    <w:rsid w:val="006A31E7"/>
    <w:rsid w:val="006A36D1"/>
    <w:rsid w:val="006A3AB6"/>
    <w:rsid w:val="006A3AF3"/>
    <w:rsid w:val="006A3E5A"/>
    <w:rsid w:val="006A401F"/>
    <w:rsid w:val="006A40CC"/>
    <w:rsid w:val="006A4128"/>
    <w:rsid w:val="006A4185"/>
    <w:rsid w:val="006A440E"/>
    <w:rsid w:val="006A4510"/>
    <w:rsid w:val="006A4732"/>
    <w:rsid w:val="006A492C"/>
    <w:rsid w:val="006A4ECD"/>
    <w:rsid w:val="006A50D4"/>
    <w:rsid w:val="006A50FD"/>
    <w:rsid w:val="006A560E"/>
    <w:rsid w:val="006A56AF"/>
    <w:rsid w:val="006A572F"/>
    <w:rsid w:val="006A59DB"/>
    <w:rsid w:val="006A619C"/>
    <w:rsid w:val="006A62BD"/>
    <w:rsid w:val="006A638B"/>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9D6"/>
    <w:rsid w:val="006A7A5F"/>
    <w:rsid w:val="006A7D87"/>
    <w:rsid w:val="006A7E11"/>
    <w:rsid w:val="006A7E37"/>
    <w:rsid w:val="006B006E"/>
    <w:rsid w:val="006B01E0"/>
    <w:rsid w:val="006B0671"/>
    <w:rsid w:val="006B0674"/>
    <w:rsid w:val="006B06A9"/>
    <w:rsid w:val="006B1003"/>
    <w:rsid w:val="006B1449"/>
    <w:rsid w:val="006B179D"/>
    <w:rsid w:val="006B1815"/>
    <w:rsid w:val="006B1ACC"/>
    <w:rsid w:val="006B1C2B"/>
    <w:rsid w:val="006B1C4E"/>
    <w:rsid w:val="006B1E1A"/>
    <w:rsid w:val="006B1E6E"/>
    <w:rsid w:val="006B1FAF"/>
    <w:rsid w:val="006B24F7"/>
    <w:rsid w:val="006B261E"/>
    <w:rsid w:val="006B288F"/>
    <w:rsid w:val="006B29B7"/>
    <w:rsid w:val="006B29C5"/>
    <w:rsid w:val="006B2DC8"/>
    <w:rsid w:val="006B3054"/>
    <w:rsid w:val="006B36B9"/>
    <w:rsid w:val="006B37B0"/>
    <w:rsid w:val="006B3809"/>
    <w:rsid w:val="006B398D"/>
    <w:rsid w:val="006B3B6C"/>
    <w:rsid w:val="006B3D55"/>
    <w:rsid w:val="006B3F75"/>
    <w:rsid w:val="006B4499"/>
    <w:rsid w:val="006B465A"/>
    <w:rsid w:val="006B48A6"/>
    <w:rsid w:val="006B49A8"/>
    <w:rsid w:val="006B4CAE"/>
    <w:rsid w:val="006B4E36"/>
    <w:rsid w:val="006B53C2"/>
    <w:rsid w:val="006B5575"/>
    <w:rsid w:val="006B5619"/>
    <w:rsid w:val="006B5624"/>
    <w:rsid w:val="006B58D8"/>
    <w:rsid w:val="006B5A24"/>
    <w:rsid w:val="006B5BC4"/>
    <w:rsid w:val="006B5CB7"/>
    <w:rsid w:val="006B6074"/>
    <w:rsid w:val="006B61BE"/>
    <w:rsid w:val="006B627F"/>
    <w:rsid w:val="006B63E5"/>
    <w:rsid w:val="006B666A"/>
    <w:rsid w:val="006B67F2"/>
    <w:rsid w:val="006B69B8"/>
    <w:rsid w:val="006B6A84"/>
    <w:rsid w:val="006B6BDF"/>
    <w:rsid w:val="006B6CF2"/>
    <w:rsid w:val="006B6D19"/>
    <w:rsid w:val="006B6D74"/>
    <w:rsid w:val="006B728E"/>
    <w:rsid w:val="006B7AB6"/>
    <w:rsid w:val="006B7B20"/>
    <w:rsid w:val="006B7CB2"/>
    <w:rsid w:val="006B7DFB"/>
    <w:rsid w:val="006B7FA1"/>
    <w:rsid w:val="006C0012"/>
    <w:rsid w:val="006C008C"/>
    <w:rsid w:val="006C0294"/>
    <w:rsid w:val="006C0346"/>
    <w:rsid w:val="006C0487"/>
    <w:rsid w:val="006C05BC"/>
    <w:rsid w:val="006C06CE"/>
    <w:rsid w:val="006C075E"/>
    <w:rsid w:val="006C0A79"/>
    <w:rsid w:val="006C0B2D"/>
    <w:rsid w:val="006C0C5B"/>
    <w:rsid w:val="006C0CC4"/>
    <w:rsid w:val="006C1241"/>
    <w:rsid w:val="006C128B"/>
    <w:rsid w:val="006C1325"/>
    <w:rsid w:val="006C15D6"/>
    <w:rsid w:val="006C1619"/>
    <w:rsid w:val="006C1723"/>
    <w:rsid w:val="006C181C"/>
    <w:rsid w:val="006C1BE9"/>
    <w:rsid w:val="006C2063"/>
    <w:rsid w:val="006C23A8"/>
    <w:rsid w:val="006C24B5"/>
    <w:rsid w:val="006C267A"/>
    <w:rsid w:val="006C280A"/>
    <w:rsid w:val="006C2986"/>
    <w:rsid w:val="006C2A0D"/>
    <w:rsid w:val="006C2AF2"/>
    <w:rsid w:val="006C2D2F"/>
    <w:rsid w:val="006C32F8"/>
    <w:rsid w:val="006C335A"/>
    <w:rsid w:val="006C363F"/>
    <w:rsid w:val="006C3ACC"/>
    <w:rsid w:val="006C3D37"/>
    <w:rsid w:val="006C3ED5"/>
    <w:rsid w:val="006C4171"/>
    <w:rsid w:val="006C42C2"/>
    <w:rsid w:val="006C44AB"/>
    <w:rsid w:val="006C44F0"/>
    <w:rsid w:val="006C453E"/>
    <w:rsid w:val="006C475C"/>
    <w:rsid w:val="006C4872"/>
    <w:rsid w:val="006C4980"/>
    <w:rsid w:val="006C4C23"/>
    <w:rsid w:val="006C4E9A"/>
    <w:rsid w:val="006C512C"/>
    <w:rsid w:val="006C52A4"/>
    <w:rsid w:val="006C55E2"/>
    <w:rsid w:val="006C5614"/>
    <w:rsid w:val="006C57DE"/>
    <w:rsid w:val="006C58ED"/>
    <w:rsid w:val="006C5E1A"/>
    <w:rsid w:val="006C61B4"/>
    <w:rsid w:val="006C632A"/>
    <w:rsid w:val="006C6376"/>
    <w:rsid w:val="006C6670"/>
    <w:rsid w:val="006C670C"/>
    <w:rsid w:val="006C67F9"/>
    <w:rsid w:val="006C6A18"/>
    <w:rsid w:val="006C6B97"/>
    <w:rsid w:val="006C6C08"/>
    <w:rsid w:val="006C6C46"/>
    <w:rsid w:val="006C6CFA"/>
    <w:rsid w:val="006C6DB8"/>
    <w:rsid w:val="006C724E"/>
    <w:rsid w:val="006C7340"/>
    <w:rsid w:val="006C74E6"/>
    <w:rsid w:val="006C79CE"/>
    <w:rsid w:val="006C7DF9"/>
    <w:rsid w:val="006D0352"/>
    <w:rsid w:val="006D0A56"/>
    <w:rsid w:val="006D0C43"/>
    <w:rsid w:val="006D0CA4"/>
    <w:rsid w:val="006D0E75"/>
    <w:rsid w:val="006D0F2A"/>
    <w:rsid w:val="006D1130"/>
    <w:rsid w:val="006D1201"/>
    <w:rsid w:val="006D15BE"/>
    <w:rsid w:val="006D1725"/>
    <w:rsid w:val="006D191A"/>
    <w:rsid w:val="006D1935"/>
    <w:rsid w:val="006D19C7"/>
    <w:rsid w:val="006D19FF"/>
    <w:rsid w:val="006D1B3B"/>
    <w:rsid w:val="006D1D65"/>
    <w:rsid w:val="006D20DB"/>
    <w:rsid w:val="006D21DA"/>
    <w:rsid w:val="006D2631"/>
    <w:rsid w:val="006D29B4"/>
    <w:rsid w:val="006D2B4E"/>
    <w:rsid w:val="006D2B68"/>
    <w:rsid w:val="006D2EF2"/>
    <w:rsid w:val="006D3042"/>
    <w:rsid w:val="006D30DF"/>
    <w:rsid w:val="006D342A"/>
    <w:rsid w:val="006D34DF"/>
    <w:rsid w:val="006D38A7"/>
    <w:rsid w:val="006D3A97"/>
    <w:rsid w:val="006D3B23"/>
    <w:rsid w:val="006D3BF5"/>
    <w:rsid w:val="006D3CA6"/>
    <w:rsid w:val="006D41B7"/>
    <w:rsid w:val="006D42C5"/>
    <w:rsid w:val="006D455A"/>
    <w:rsid w:val="006D4954"/>
    <w:rsid w:val="006D4A83"/>
    <w:rsid w:val="006D4DD2"/>
    <w:rsid w:val="006D4E72"/>
    <w:rsid w:val="006D4E86"/>
    <w:rsid w:val="006D5150"/>
    <w:rsid w:val="006D5889"/>
    <w:rsid w:val="006D5DE2"/>
    <w:rsid w:val="006D5EB0"/>
    <w:rsid w:val="006D5EB1"/>
    <w:rsid w:val="006D60F1"/>
    <w:rsid w:val="006D6246"/>
    <w:rsid w:val="006D6267"/>
    <w:rsid w:val="006D62A6"/>
    <w:rsid w:val="006D647A"/>
    <w:rsid w:val="006D659B"/>
    <w:rsid w:val="006D68CD"/>
    <w:rsid w:val="006D697D"/>
    <w:rsid w:val="006D6C35"/>
    <w:rsid w:val="006D6C36"/>
    <w:rsid w:val="006D6E74"/>
    <w:rsid w:val="006D6FC2"/>
    <w:rsid w:val="006D6FC3"/>
    <w:rsid w:val="006D7070"/>
    <w:rsid w:val="006D71CE"/>
    <w:rsid w:val="006D720A"/>
    <w:rsid w:val="006D72C2"/>
    <w:rsid w:val="006D74CC"/>
    <w:rsid w:val="006D74EF"/>
    <w:rsid w:val="006D760C"/>
    <w:rsid w:val="006D7914"/>
    <w:rsid w:val="006D7B05"/>
    <w:rsid w:val="006E0388"/>
    <w:rsid w:val="006E03F6"/>
    <w:rsid w:val="006E0413"/>
    <w:rsid w:val="006E056A"/>
    <w:rsid w:val="006E05F2"/>
    <w:rsid w:val="006E0ABA"/>
    <w:rsid w:val="006E0AFE"/>
    <w:rsid w:val="006E0BE7"/>
    <w:rsid w:val="006E0C33"/>
    <w:rsid w:val="006E0CD0"/>
    <w:rsid w:val="006E0D88"/>
    <w:rsid w:val="006E0DDD"/>
    <w:rsid w:val="006E0E66"/>
    <w:rsid w:val="006E0F8E"/>
    <w:rsid w:val="006E10FC"/>
    <w:rsid w:val="006E1228"/>
    <w:rsid w:val="006E1563"/>
    <w:rsid w:val="006E157D"/>
    <w:rsid w:val="006E159A"/>
    <w:rsid w:val="006E15FC"/>
    <w:rsid w:val="006E16B5"/>
    <w:rsid w:val="006E16F8"/>
    <w:rsid w:val="006E1957"/>
    <w:rsid w:val="006E1B9A"/>
    <w:rsid w:val="006E1F38"/>
    <w:rsid w:val="006E202F"/>
    <w:rsid w:val="006E209F"/>
    <w:rsid w:val="006E233C"/>
    <w:rsid w:val="006E24AB"/>
    <w:rsid w:val="006E2649"/>
    <w:rsid w:val="006E27AC"/>
    <w:rsid w:val="006E2B6F"/>
    <w:rsid w:val="006E3029"/>
    <w:rsid w:val="006E316F"/>
    <w:rsid w:val="006E3340"/>
    <w:rsid w:val="006E33DD"/>
    <w:rsid w:val="006E361A"/>
    <w:rsid w:val="006E39A4"/>
    <w:rsid w:val="006E3A24"/>
    <w:rsid w:val="006E3D1B"/>
    <w:rsid w:val="006E3D46"/>
    <w:rsid w:val="006E3E9A"/>
    <w:rsid w:val="006E42A7"/>
    <w:rsid w:val="006E42DE"/>
    <w:rsid w:val="006E456D"/>
    <w:rsid w:val="006E474D"/>
    <w:rsid w:val="006E4C0A"/>
    <w:rsid w:val="006E4C39"/>
    <w:rsid w:val="006E4D1E"/>
    <w:rsid w:val="006E4D65"/>
    <w:rsid w:val="006E4F8F"/>
    <w:rsid w:val="006E5092"/>
    <w:rsid w:val="006E55C2"/>
    <w:rsid w:val="006E55F8"/>
    <w:rsid w:val="006E592C"/>
    <w:rsid w:val="006E5CB6"/>
    <w:rsid w:val="006E61F1"/>
    <w:rsid w:val="006E6590"/>
    <w:rsid w:val="006E65D7"/>
    <w:rsid w:val="006E6602"/>
    <w:rsid w:val="006E665D"/>
    <w:rsid w:val="006E6877"/>
    <w:rsid w:val="006E697D"/>
    <w:rsid w:val="006E6AA9"/>
    <w:rsid w:val="006E6C24"/>
    <w:rsid w:val="006E7119"/>
    <w:rsid w:val="006E73A5"/>
    <w:rsid w:val="006E7684"/>
    <w:rsid w:val="006E7802"/>
    <w:rsid w:val="006E78AF"/>
    <w:rsid w:val="006E7C40"/>
    <w:rsid w:val="006F003B"/>
    <w:rsid w:val="006F00E8"/>
    <w:rsid w:val="006F0106"/>
    <w:rsid w:val="006F0193"/>
    <w:rsid w:val="006F0427"/>
    <w:rsid w:val="006F075E"/>
    <w:rsid w:val="006F087C"/>
    <w:rsid w:val="006F0AB6"/>
    <w:rsid w:val="006F0B68"/>
    <w:rsid w:val="006F0CF8"/>
    <w:rsid w:val="006F0D0B"/>
    <w:rsid w:val="006F0E75"/>
    <w:rsid w:val="006F1055"/>
    <w:rsid w:val="006F1345"/>
    <w:rsid w:val="006F185B"/>
    <w:rsid w:val="006F1866"/>
    <w:rsid w:val="006F186C"/>
    <w:rsid w:val="006F1933"/>
    <w:rsid w:val="006F199F"/>
    <w:rsid w:val="006F1BB3"/>
    <w:rsid w:val="006F1C77"/>
    <w:rsid w:val="006F1D00"/>
    <w:rsid w:val="006F1D24"/>
    <w:rsid w:val="006F220D"/>
    <w:rsid w:val="006F276D"/>
    <w:rsid w:val="006F2962"/>
    <w:rsid w:val="006F296E"/>
    <w:rsid w:val="006F2A88"/>
    <w:rsid w:val="006F2DB7"/>
    <w:rsid w:val="006F2EB4"/>
    <w:rsid w:val="006F3826"/>
    <w:rsid w:val="006F38DB"/>
    <w:rsid w:val="006F3AAE"/>
    <w:rsid w:val="006F3CB4"/>
    <w:rsid w:val="006F3FE5"/>
    <w:rsid w:val="006F417F"/>
    <w:rsid w:val="006F431D"/>
    <w:rsid w:val="006F436F"/>
    <w:rsid w:val="006F449A"/>
    <w:rsid w:val="006F4576"/>
    <w:rsid w:val="006F464B"/>
    <w:rsid w:val="006F4A1B"/>
    <w:rsid w:val="006F4AA0"/>
    <w:rsid w:val="006F4BBD"/>
    <w:rsid w:val="006F4D37"/>
    <w:rsid w:val="006F5278"/>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CD0"/>
    <w:rsid w:val="006F6EFC"/>
    <w:rsid w:val="006F7365"/>
    <w:rsid w:val="006F7423"/>
    <w:rsid w:val="006F7586"/>
    <w:rsid w:val="006F772D"/>
    <w:rsid w:val="006F78B8"/>
    <w:rsid w:val="006F7902"/>
    <w:rsid w:val="006F7B25"/>
    <w:rsid w:val="006F7F88"/>
    <w:rsid w:val="007001F0"/>
    <w:rsid w:val="00700261"/>
    <w:rsid w:val="007003B6"/>
    <w:rsid w:val="00700474"/>
    <w:rsid w:val="00700477"/>
    <w:rsid w:val="007004F7"/>
    <w:rsid w:val="00700514"/>
    <w:rsid w:val="00700567"/>
    <w:rsid w:val="00700788"/>
    <w:rsid w:val="007007DB"/>
    <w:rsid w:val="00700E2A"/>
    <w:rsid w:val="00700F49"/>
    <w:rsid w:val="00701108"/>
    <w:rsid w:val="007012FE"/>
    <w:rsid w:val="007013AD"/>
    <w:rsid w:val="00701675"/>
    <w:rsid w:val="0070179D"/>
    <w:rsid w:val="00701852"/>
    <w:rsid w:val="00702107"/>
    <w:rsid w:val="007025C2"/>
    <w:rsid w:val="007028AC"/>
    <w:rsid w:val="0070290A"/>
    <w:rsid w:val="00702926"/>
    <w:rsid w:val="00702B46"/>
    <w:rsid w:val="007037AA"/>
    <w:rsid w:val="00703821"/>
    <w:rsid w:val="00703B32"/>
    <w:rsid w:val="00703C88"/>
    <w:rsid w:val="00703D1C"/>
    <w:rsid w:val="00703FA5"/>
    <w:rsid w:val="00704004"/>
    <w:rsid w:val="007040DA"/>
    <w:rsid w:val="00704330"/>
    <w:rsid w:val="0070435F"/>
    <w:rsid w:val="00704407"/>
    <w:rsid w:val="00704550"/>
    <w:rsid w:val="007049F8"/>
    <w:rsid w:val="00704A5A"/>
    <w:rsid w:val="00704D75"/>
    <w:rsid w:val="00704FDF"/>
    <w:rsid w:val="007052A4"/>
    <w:rsid w:val="0070538F"/>
    <w:rsid w:val="00705549"/>
    <w:rsid w:val="007059BB"/>
    <w:rsid w:val="00705A2C"/>
    <w:rsid w:val="00705AC9"/>
    <w:rsid w:val="00705B8F"/>
    <w:rsid w:val="00705C10"/>
    <w:rsid w:val="00705C65"/>
    <w:rsid w:val="00705E8D"/>
    <w:rsid w:val="00705EA2"/>
    <w:rsid w:val="00705F1B"/>
    <w:rsid w:val="00706423"/>
    <w:rsid w:val="00706577"/>
    <w:rsid w:val="007067B8"/>
    <w:rsid w:val="007067DF"/>
    <w:rsid w:val="00706A2A"/>
    <w:rsid w:val="00706CBE"/>
    <w:rsid w:val="00706D56"/>
    <w:rsid w:val="00706DDB"/>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1167"/>
    <w:rsid w:val="0071144C"/>
    <w:rsid w:val="0071164F"/>
    <w:rsid w:val="007117E0"/>
    <w:rsid w:val="0071185C"/>
    <w:rsid w:val="00711941"/>
    <w:rsid w:val="00711DE3"/>
    <w:rsid w:val="007123E6"/>
    <w:rsid w:val="00712646"/>
    <w:rsid w:val="00712958"/>
    <w:rsid w:val="00712D21"/>
    <w:rsid w:val="00712ECA"/>
    <w:rsid w:val="00712EDE"/>
    <w:rsid w:val="0071356C"/>
    <w:rsid w:val="00713704"/>
    <w:rsid w:val="007137A2"/>
    <w:rsid w:val="00713962"/>
    <w:rsid w:val="0071398F"/>
    <w:rsid w:val="00713D24"/>
    <w:rsid w:val="00713DC1"/>
    <w:rsid w:val="00713DEE"/>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F3"/>
    <w:rsid w:val="0071568F"/>
    <w:rsid w:val="007159F6"/>
    <w:rsid w:val="00715B58"/>
    <w:rsid w:val="00715D9F"/>
    <w:rsid w:val="007160C7"/>
    <w:rsid w:val="007163C0"/>
    <w:rsid w:val="007165AC"/>
    <w:rsid w:val="00716709"/>
    <w:rsid w:val="00716724"/>
    <w:rsid w:val="00716A0C"/>
    <w:rsid w:val="00716A79"/>
    <w:rsid w:val="00716F81"/>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7FF"/>
    <w:rsid w:val="00720C4C"/>
    <w:rsid w:val="00720E64"/>
    <w:rsid w:val="00720EED"/>
    <w:rsid w:val="0072110E"/>
    <w:rsid w:val="0072118B"/>
    <w:rsid w:val="007212AB"/>
    <w:rsid w:val="007212F3"/>
    <w:rsid w:val="00721725"/>
    <w:rsid w:val="00721779"/>
    <w:rsid w:val="00721C43"/>
    <w:rsid w:val="00721C65"/>
    <w:rsid w:val="0072231C"/>
    <w:rsid w:val="0072236A"/>
    <w:rsid w:val="00722531"/>
    <w:rsid w:val="00722838"/>
    <w:rsid w:val="00722864"/>
    <w:rsid w:val="00722BBD"/>
    <w:rsid w:val="00723202"/>
    <w:rsid w:val="0072323C"/>
    <w:rsid w:val="007237B7"/>
    <w:rsid w:val="007237EB"/>
    <w:rsid w:val="0072380C"/>
    <w:rsid w:val="007239F9"/>
    <w:rsid w:val="00723A0F"/>
    <w:rsid w:val="00723A31"/>
    <w:rsid w:val="00723AC2"/>
    <w:rsid w:val="00723B97"/>
    <w:rsid w:val="00723BD9"/>
    <w:rsid w:val="00723EE2"/>
    <w:rsid w:val="00723F71"/>
    <w:rsid w:val="00723F81"/>
    <w:rsid w:val="00723FB9"/>
    <w:rsid w:val="00724035"/>
    <w:rsid w:val="00724176"/>
    <w:rsid w:val="007243E5"/>
    <w:rsid w:val="007247C4"/>
    <w:rsid w:val="00724851"/>
    <w:rsid w:val="00724892"/>
    <w:rsid w:val="00724988"/>
    <w:rsid w:val="00724A43"/>
    <w:rsid w:val="00724AF1"/>
    <w:rsid w:val="00724B26"/>
    <w:rsid w:val="00724C3A"/>
    <w:rsid w:val="00724EFD"/>
    <w:rsid w:val="00724F94"/>
    <w:rsid w:val="007252FC"/>
    <w:rsid w:val="007253BD"/>
    <w:rsid w:val="00725452"/>
    <w:rsid w:val="00725531"/>
    <w:rsid w:val="00725A67"/>
    <w:rsid w:val="00725AC0"/>
    <w:rsid w:val="00725B37"/>
    <w:rsid w:val="00725B57"/>
    <w:rsid w:val="00725D05"/>
    <w:rsid w:val="00725FA5"/>
    <w:rsid w:val="0072605A"/>
    <w:rsid w:val="00726173"/>
    <w:rsid w:val="007261B7"/>
    <w:rsid w:val="0072638A"/>
    <w:rsid w:val="00726646"/>
    <w:rsid w:val="00726A09"/>
    <w:rsid w:val="00726ACE"/>
    <w:rsid w:val="00726B6E"/>
    <w:rsid w:val="00726D4E"/>
    <w:rsid w:val="00726F74"/>
    <w:rsid w:val="007274EC"/>
    <w:rsid w:val="00727520"/>
    <w:rsid w:val="00727552"/>
    <w:rsid w:val="007279B8"/>
    <w:rsid w:val="007279FC"/>
    <w:rsid w:val="00727AE6"/>
    <w:rsid w:val="00727BEE"/>
    <w:rsid w:val="0073000A"/>
    <w:rsid w:val="007300F6"/>
    <w:rsid w:val="0073016A"/>
    <w:rsid w:val="00730173"/>
    <w:rsid w:val="007301A7"/>
    <w:rsid w:val="00730A14"/>
    <w:rsid w:val="00730BB1"/>
    <w:rsid w:val="00730D35"/>
    <w:rsid w:val="00730DFE"/>
    <w:rsid w:val="00730F0E"/>
    <w:rsid w:val="00730FCE"/>
    <w:rsid w:val="007312F7"/>
    <w:rsid w:val="007313C9"/>
    <w:rsid w:val="00731485"/>
    <w:rsid w:val="007315B1"/>
    <w:rsid w:val="00731615"/>
    <w:rsid w:val="007316A1"/>
    <w:rsid w:val="007319F0"/>
    <w:rsid w:val="00731A45"/>
    <w:rsid w:val="00731A7C"/>
    <w:rsid w:val="00731D9B"/>
    <w:rsid w:val="00731EF3"/>
    <w:rsid w:val="00732333"/>
    <w:rsid w:val="00732414"/>
    <w:rsid w:val="007325A8"/>
    <w:rsid w:val="007327A2"/>
    <w:rsid w:val="00732C13"/>
    <w:rsid w:val="00732C39"/>
    <w:rsid w:val="00732DFF"/>
    <w:rsid w:val="00732E65"/>
    <w:rsid w:val="00732FE9"/>
    <w:rsid w:val="00733064"/>
    <w:rsid w:val="0073308D"/>
    <w:rsid w:val="007330A1"/>
    <w:rsid w:val="00733669"/>
    <w:rsid w:val="00733947"/>
    <w:rsid w:val="00733B74"/>
    <w:rsid w:val="00733CA9"/>
    <w:rsid w:val="00733E95"/>
    <w:rsid w:val="00733F91"/>
    <w:rsid w:val="00733FEF"/>
    <w:rsid w:val="00734062"/>
    <w:rsid w:val="00734121"/>
    <w:rsid w:val="0073414A"/>
    <w:rsid w:val="007343BA"/>
    <w:rsid w:val="0073465A"/>
    <w:rsid w:val="00734B38"/>
    <w:rsid w:val="00734B51"/>
    <w:rsid w:val="00734CDA"/>
    <w:rsid w:val="00735030"/>
    <w:rsid w:val="00735455"/>
    <w:rsid w:val="00735530"/>
    <w:rsid w:val="0073572B"/>
    <w:rsid w:val="00735A94"/>
    <w:rsid w:val="00735C74"/>
    <w:rsid w:val="00735E0B"/>
    <w:rsid w:val="00735EA0"/>
    <w:rsid w:val="0073627D"/>
    <w:rsid w:val="007367D4"/>
    <w:rsid w:val="00736826"/>
    <w:rsid w:val="00736AD8"/>
    <w:rsid w:val="00736AEB"/>
    <w:rsid w:val="00736B5D"/>
    <w:rsid w:val="00736C50"/>
    <w:rsid w:val="00736FFC"/>
    <w:rsid w:val="007370C5"/>
    <w:rsid w:val="007370CD"/>
    <w:rsid w:val="00737278"/>
    <w:rsid w:val="007372F9"/>
    <w:rsid w:val="00737565"/>
    <w:rsid w:val="007378F8"/>
    <w:rsid w:val="00737906"/>
    <w:rsid w:val="0073796C"/>
    <w:rsid w:val="00737C15"/>
    <w:rsid w:val="00737C2E"/>
    <w:rsid w:val="00737F72"/>
    <w:rsid w:val="00737FFA"/>
    <w:rsid w:val="00740101"/>
    <w:rsid w:val="007401AA"/>
    <w:rsid w:val="007401F8"/>
    <w:rsid w:val="00740308"/>
    <w:rsid w:val="007405E1"/>
    <w:rsid w:val="007407DC"/>
    <w:rsid w:val="0074088B"/>
    <w:rsid w:val="00740A2B"/>
    <w:rsid w:val="00740A8B"/>
    <w:rsid w:val="00740F28"/>
    <w:rsid w:val="00741013"/>
    <w:rsid w:val="007419EE"/>
    <w:rsid w:val="00741A5E"/>
    <w:rsid w:val="00741CCC"/>
    <w:rsid w:val="00742141"/>
    <w:rsid w:val="0074221D"/>
    <w:rsid w:val="0074224C"/>
    <w:rsid w:val="00742252"/>
    <w:rsid w:val="0074263F"/>
    <w:rsid w:val="007426B7"/>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F37"/>
    <w:rsid w:val="00744040"/>
    <w:rsid w:val="00744091"/>
    <w:rsid w:val="00744295"/>
    <w:rsid w:val="007442B6"/>
    <w:rsid w:val="00744430"/>
    <w:rsid w:val="0074495E"/>
    <w:rsid w:val="00744B85"/>
    <w:rsid w:val="00744E0F"/>
    <w:rsid w:val="00745083"/>
    <w:rsid w:val="007451F9"/>
    <w:rsid w:val="007456F3"/>
    <w:rsid w:val="00745AA2"/>
    <w:rsid w:val="00745BE5"/>
    <w:rsid w:val="00745D3B"/>
    <w:rsid w:val="00745DE8"/>
    <w:rsid w:val="00746050"/>
    <w:rsid w:val="0074616B"/>
    <w:rsid w:val="007461B4"/>
    <w:rsid w:val="007462B2"/>
    <w:rsid w:val="007462DA"/>
    <w:rsid w:val="007463BF"/>
    <w:rsid w:val="007463D4"/>
    <w:rsid w:val="007465E4"/>
    <w:rsid w:val="00746830"/>
    <w:rsid w:val="0074692D"/>
    <w:rsid w:val="00746985"/>
    <w:rsid w:val="00746A6E"/>
    <w:rsid w:val="00746CFB"/>
    <w:rsid w:val="00746FCE"/>
    <w:rsid w:val="00747030"/>
    <w:rsid w:val="007473E7"/>
    <w:rsid w:val="00747411"/>
    <w:rsid w:val="007479EB"/>
    <w:rsid w:val="00747F2A"/>
    <w:rsid w:val="00750376"/>
    <w:rsid w:val="00750408"/>
    <w:rsid w:val="00750915"/>
    <w:rsid w:val="00750B42"/>
    <w:rsid w:val="00750DB3"/>
    <w:rsid w:val="00750E44"/>
    <w:rsid w:val="00751054"/>
    <w:rsid w:val="00751311"/>
    <w:rsid w:val="007515BE"/>
    <w:rsid w:val="0075161A"/>
    <w:rsid w:val="00751695"/>
    <w:rsid w:val="00751BEF"/>
    <w:rsid w:val="00751F9F"/>
    <w:rsid w:val="00752031"/>
    <w:rsid w:val="007521BC"/>
    <w:rsid w:val="007522FD"/>
    <w:rsid w:val="0075237B"/>
    <w:rsid w:val="007523D0"/>
    <w:rsid w:val="00752532"/>
    <w:rsid w:val="00752C38"/>
    <w:rsid w:val="00752E6D"/>
    <w:rsid w:val="00752EC9"/>
    <w:rsid w:val="00752FEA"/>
    <w:rsid w:val="007530B3"/>
    <w:rsid w:val="007532EF"/>
    <w:rsid w:val="00753453"/>
    <w:rsid w:val="00753646"/>
    <w:rsid w:val="007539A9"/>
    <w:rsid w:val="00753A77"/>
    <w:rsid w:val="00753AC1"/>
    <w:rsid w:val="00753BBC"/>
    <w:rsid w:val="00754347"/>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072"/>
    <w:rsid w:val="00756493"/>
    <w:rsid w:val="007566F3"/>
    <w:rsid w:val="00756774"/>
    <w:rsid w:val="00756828"/>
    <w:rsid w:val="00756C43"/>
    <w:rsid w:val="00756C78"/>
    <w:rsid w:val="00756DD9"/>
    <w:rsid w:val="00756DEC"/>
    <w:rsid w:val="0075719C"/>
    <w:rsid w:val="007571DF"/>
    <w:rsid w:val="00757564"/>
    <w:rsid w:val="00757659"/>
    <w:rsid w:val="007577CB"/>
    <w:rsid w:val="007600FB"/>
    <w:rsid w:val="00760258"/>
    <w:rsid w:val="007602C9"/>
    <w:rsid w:val="00760386"/>
    <w:rsid w:val="00760816"/>
    <w:rsid w:val="00760C0D"/>
    <w:rsid w:val="00760FB1"/>
    <w:rsid w:val="007612CA"/>
    <w:rsid w:val="00761924"/>
    <w:rsid w:val="00761975"/>
    <w:rsid w:val="00761A15"/>
    <w:rsid w:val="00761A4D"/>
    <w:rsid w:val="00761ADD"/>
    <w:rsid w:val="00761DFA"/>
    <w:rsid w:val="00761E2D"/>
    <w:rsid w:val="00761EA7"/>
    <w:rsid w:val="0076215A"/>
    <w:rsid w:val="00762346"/>
    <w:rsid w:val="0076249C"/>
    <w:rsid w:val="00762547"/>
    <w:rsid w:val="00762B1E"/>
    <w:rsid w:val="00762B2A"/>
    <w:rsid w:val="00762D3A"/>
    <w:rsid w:val="00762D8E"/>
    <w:rsid w:val="00762DDF"/>
    <w:rsid w:val="00762F77"/>
    <w:rsid w:val="00763224"/>
    <w:rsid w:val="007632B8"/>
    <w:rsid w:val="007634BF"/>
    <w:rsid w:val="00763623"/>
    <w:rsid w:val="007636DA"/>
    <w:rsid w:val="0076395A"/>
    <w:rsid w:val="00763999"/>
    <w:rsid w:val="00763A7E"/>
    <w:rsid w:val="00763D1E"/>
    <w:rsid w:val="00764095"/>
    <w:rsid w:val="00764200"/>
    <w:rsid w:val="00764235"/>
    <w:rsid w:val="00764241"/>
    <w:rsid w:val="007643DD"/>
    <w:rsid w:val="0076449B"/>
    <w:rsid w:val="007648C5"/>
    <w:rsid w:val="00764BAB"/>
    <w:rsid w:val="00764BF4"/>
    <w:rsid w:val="00764CD3"/>
    <w:rsid w:val="00764D59"/>
    <w:rsid w:val="00764DA1"/>
    <w:rsid w:val="00764E09"/>
    <w:rsid w:val="007651ED"/>
    <w:rsid w:val="007651FA"/>
    <w:rsid w:val="0076543B"/>
    <w:rsid w:val="00765567"/>
    <w:rsid w:val="00765901"/>
    <w:rsid w:val="00765A17"/>
    <w:rsid w:val="00765C2F"/>
    <w:rsid w:val="00765C6A"/>
    <w:rsid w:val="00765E51"/>
    <w:rsid w:val="007660A3"/>
    <w:rsid w:val="00766142"/>
    <w:rsid w:val="007661D1"/>
    <w:rsid w:val="007662BE"/>
    <w:rsid w:val="00766480"/>
    <w:rsid w:val="007664C0"/>
    <w:rsid w:val="00766703"/>
    <w:rsid w:val="00766AD4"/>
    <w:rsid w:val="00766F8B"/>
    <w:rsid w:val="00767563"/>
    <w:rsid w:val="007677FF"/>
    <w:rsid w:val="00767818"/>
    <w:rsid w:val="00767B17"/>
    <w:rsid w:val="00767C00"/>
    <w:rsid w:val="00767C58"/>
    <w:rsid w:val="00767CCF"/>
    <w:rsid w:val="0077016F"/>
    <w:rsid w:val="00770319"/>
    <w:rsid w:val="00770725"/>
    <w:rsid w:val="0077084B"/>
    <w:rsid w:val="007708BE"/>
    <w:rsid w:val="00770927"/>
    <w:rsid w:val="00770AC4"/>
    <w:rsid w:val="00770BC7"/>
    <w:rsid w:val="00770CBA"/>
    <w:rsid w:val="00770F07"/>
    <w:rsid w:val="00770FA9"/>
    <w:rsid w:val="007712FD"/>
    <w:rsid w:val="00771A53"/>
    <w:rsid w:val="00771AAB"/>
    <w:rsid w:val="00771CDE"/>
    <w:rsid w:val="00772046"/>
    <w:rsid w:val="007722E4"/>
    <w:rsid w:val="007722ED"/>
    <w:rsid w:val="007723D6"/>
    <w:rsid w:val="00772462"/>
    <w:rsid w:val="0077248E"/>
    <w:rsid w:val="007728B1"/>
    <w:rsid w:val="007729F5"/>
    <w:rsid w:val="00772A24"/>
    <w:rsid w:val="00772A52"/>
    <w:rsid w:val="00772F8D"/>
    <w:rsid w:val="007730B5"/>
    <w:rsid w:val="007733C7"/>
    <w:rsid w:val="007734BB"/>
    <w:rsid w:val="007736AB"/>
    <w:rsid w:val="007738C3"/>
    <w:rsid w:val="00773A62"/>
    <w:rsid w:val="00773C34"/>
    <w:rsid w:val="00773E05"/>
    <w:rsid w:val="00773F38"/>
    <w:rsid w:val="007740DB"/>
    <w:rsid w:val="007742C6"/>
    <w:rsid w:val="0077433D"/>
    <w:rsid w:val="0077449C"/>
    <w:rsid w:val="007744B2"/>
    <w:rsid w:val="0077455A"/>
    <w:rsid w:val="0077459A"/>
    <w:rsid w:val="007745FD"/>
    <w:rsid w:val="007749EF"/>
    <w:rsid w:val="00775263"/>
    <w:rsid w:val="007755D1"/>
    <w:rsid w:val="00775605"/>
    <w:rsid w:val="0077569F"/>
    <w:rsid w:val="007757AC"/>
    <w:rsid w:val="00775A80"/>
    <w:rsid w:val="00775B18"/>
    <w:rsid w:val="00775DAC"/>
    <w:rsid w:val="00775F18"/>
    <w:rsid w:val="00775FAC"/>
    <w:rsid w:val="007760FC"/>
    <w:rsid w:val="007762A0"/>
    <w:rsid w:val="007764D9"/>
    <w:rsid w:val="00776581"/>
    <w:rsid w:val="0077684E"/>
    <w:rsid w:val="00776A7F"/>
    <w:rsid w:val="00776F56"/>
    <w:rsid w:val="0077709D"/>
    <w:rsid w:val="00777313"/>
    <w:rsid w:val="00777521"/>
    <w:rsid w:val="00777532"/>
    <w:rsid w:val="007777BD"/>
    <w:rsid w:val="00777B42"/>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625"/>
    <w:rsid w:val="00781860"/>
    <w:rsid w:val="00781AA5"/>
    <w:rsid w:val="00781AEB"/>
    <w:rsid w:val="00781CF8"/>
    <w:rsid w:val="00781DDE"/>
    <w:rsid w:val="00782139"/>
    <w:rsid w:val="007824B9"/>
    <w:rsid w:val="0078291C"/>
    <w:rsid w:val="0078296E"/>
    <w:rsid w:val="00782B9E"/>
    <w:rsid w:val="00782DA3"/>
    <w:rsid w:val="00782F60"/>
    <w:rsid w:val="00782FD8"/>
    <w:rsid w:val="00783091"/>
    <w:rsid w:val="007831A8"/>
    <w:rsid w:val="00783302"/>
    <w:rsid w:val="0078339C"/>
    <w:rsid w:val="00783429"/>
    <w:rsid w:val="007835CC"/>
    <w:rsid w:val="00783ACD"/>
    <w:rsid w:val="00783BC4"/>
    <w:rsid w:val="00783BD9"/>
    <w:rsid w:val="00783D62"/>
    <w:rsid w:val="00783E57"/>
    <w:rsid w:val="00783F10"/>
    <w:rsid w:val="00784065"/>
    <w:rsid w:val="00784123"/>
    <w:rsid w:val="00784241"/>
    <w:rsid w:val="00784282"/>
    <w:rsid w:val="00784308"/>
    <w:rsid w:val="00784408"/>
    <w:rsid w:val="00784541"/>
    <w:rsid w:val="007849CD"/>
    <w:rsid w:val="00784C5A"/>
    <w:rsid w:val="00784CBE"/>
    <w:rsid w:val="00784CD4"/>
    <w:rsid w:val="00784F26"/>
    <w:rsid w:val="00784F60"/>
    <w:rsid w:val="0078509D"/>
    <w:rsid w:val="00785759"/>
    <w:rsid w:val="00785B54"/>
    <w:rsid w:val="007860AA"/>
    <w:rsid w:val="0078635D"/>
    <w:rsid w:val="007867C5"/>
    <w:rsid w:val="00786805"/>
    <w:rsid w:val="007869C7"/>
    <w:rsid w:val="00786D45"/>
    <w:rsid w:val="00786F7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84B"/>
    <w:rsid w:val="0079092E"/>
    <w:rsid w:val="0079098E"/>
    <w:rsid w:val="00790A77"/>
    <w:rsid w:val="00790AE0"/>
    <w:rsid w:val="00790CC5"/>
    <w:rsid w:val="00790E54"/>
    <w:rsid w:val="00790EDE"/>
    <w:rsid w:val="00790FCA"/>
    <w:rsid w:val="00791637"/>
    <w:rsid w:val="00791B18"/>
    <w:rsid w:val="00791C41"/>
    <w:rsid w:val="00791CCB"/>
    <w:rsid w:val="00791D9E"/>
    <w:rsid w:val="00791E00"/>
    <w:rsid w:val="0079278D"/>
    <w:rsid w:val="00792B64"/>
    <w:rsid w:val="00793436"/>
    <w:rsid w:val="00793493"/>
    <w:rsid w:val="0079367E"/>
    <w:rsid w:val="0079376A"/>
    <w:rsid w:val="00793777"/>
    <w:rsid w:val="007939D8"/>
    <w:rsid w:val="00793CAB"/>
    <w:rsid w:val="00793CD1"/>
    <w:rsid w:val="00793CE3"/>
    <w:rsid w:val="00794010"/>
    <w:rsid w:val="0079420C"/>
    <w:rsid w:val="007943E0"/>
    <w:rsid w:val="00794785"/>
    <w:rsid w:val="007948BF"/>
    <w:rsid w:val="00794928"/>
    <w:rsid w:val="00794A1C"/>
    <w:rsid w:val="00794AB9"/>
    <w:rsid w:val="00794B55"/>
    <w:rsid w:val="00794CC0"/>
    <w:rsid w:val="00794E05"/>
    <w:rsid w:val="00795104"/>
    <w:rsid w:val="007955F7"/>
    <w:rsid w:val="0079571B"/>
    <w:rsid w:val="007957DE"/>
    <w:rsid w:val="007958CE"/>
    <w:rsid w:val="00795905"/>
    <w:rsid w:val="007959D6"/>
    <w:rsid w:val="00795EE5"/>
    <w:rsid w:val="00795F87"/>
    <w:rsid w:val="007961C9"/>
    <w:rsid w:val="00796337"/>
    <w:rsid w:val="007964B2"/>
    <w:rsid w:val="007964DB"/>
    <w:rsid w:val="007967B9"/>
    <w:rsid w:val="007967D0"/>
    <w:rsid w:val="00796858"/>
    <w:rsid w:val="00796AB3"/>
    <w:rsid w:val="00796B09"/>
    <w:rsid w:val="00796BEB"/>
    <w:rsid w:val="00796E3D"/>
    <w:rsid w:val="0079766C"/>
    <w:rsid w:val="007976C5"/>
    <w:rsid w:val="00797773"/>
    <w:rsid w:val="00797B13"/>
    <w:rsid w:val="00797C4B"/>
    <w:rsid w:val="00797DF7"/>
    <w:rsid w:val="007A019B"/>
    <w:rsid w:val="007A0367"/>
    <w:rsid w:val="007A04BC"/>
    <w:rsid w:val="007A0599"/>
    <w:rsid w:val="007A082D"/>
    <w:rsid w:val="007A08DE"/>
    <w:rsid w:val="007A0D87"/>
    <w:rsid w:val="007A0EFA"/>
    <w:rsid w:val="007A0FD5"/>
    <w:rsid w:val="007A155E"/>
    <w:rsid w:val="007A157D"/>
    <w:rsid w:val="007A163F"/>
    <w:rsid w:val="007A167F"/>
    <w:rsid w:val="007A193C"/>
    <w:rsid w:val="007A1E12"/>
    <w:rsid w:val="007A1EE0"/>
    <w:rsid w:val="007A1EE3"/>
    <w:rsid w:val="007A20DD"/>
    <w:rsid w:val="007A234F"/>
    <w:rsid w:val="007A23D1"/>
    <w:rsid w:val="007A2429"/>
    <w:rsid w:val="007A2455"/>
    <w:rsid w:val="007A2457"/>
    <w:rsid w:val="007A2483"/>
    <w:rsid w:val="007A2630"/>
    <w:rsid w:val="007A2C36"/>
    <w:rsid w:val="007A2C72"/>
    <w:rsid w:val="007A2D17"/>
    <w:rsid w:val="007A2ECA"/>
    <w:rsid w:val="007A3003"/>
    <w:rsid w:val="007A3420"/>
    <w:rsid w:val="007A35C0"/>
    <w:rsid w:val="007A3A19"/>
    <w:rsid w:val="007A3AC9"/>
    <w:rsid w:val="007A3ACB"/>
    <w:rsid w:val="007A3DE6"/>
    <w:rsid w:val="007A3F2B"/>
    <w:rsid w:val="007A447C"/>
    <w:rsid w:val="007A46FC"/>
    <w:rsid w:val="007A4A11"/>
    <w:rsid w:val="007A4B02"/>
    <w:rsid w:val="007A4CD7"/>
    <w:rsid w:val="007A4D57"/>
    <w:rsid w:val="007A4E6D"/>
    <w:rsid w:val="007A4EA8"/>
    <w:rsid w:val="007A4EE0"/>
    <w:rsid w:val="007A509A"/>
    <w:rsid w:val="007A5387"/>
    <w:rsid w:val="007A53D1"/>
    <w:rsid w:val="007A54A3"/>
    <w:rsid w:val="007A55CA"/>
    <w:rsid w:val="007A5A1A"/>
    <w:rsid w:val="007A5BC9"/>
    <w:rsid w:val="007A5C27"/>
    <w:rsid w:val="007A5C5C"/>
    <w:rsid w:val="007A5DC0"/>
    <w:rsid w:val="007A5F13"/>
    <w:rsid w:val="007A610C"/>
    <w:rsid w:val="007A613F"/>
    <w:rsid w:val="007A61BA"/>
    <w:rsid w:val="007A6266"/>
    <w:rsid w:val="007A6383"/>
    <w:rsid w:val="007A6583"/>
    <w:rsid w:val="007A66DD"/>
    <w:rsid w:val="007A677F"/>
    <w:rsid w:val="007A6C2B"/>
    <w:rsid w:val="007A70AB"/>
    <w:rsid w:val="007A70C1"/>
    <w:rsid w:val="007A7128"/>
    <w:rsid w:val="007A736E"/>
    <w:rsid w:val="007A743B"/>
    <w:rsid w:val="007A7A4E"/>
    <w:rsid w:val="007A7A96"/>
    <w:rsid w:val="007A7BB8"/>
    <w:rsid w:val="007A7DF6"/>
    <w:rsid w:val="007A7ED7"/>
    <w:rsid w:val="007A7EF0"/>
    <w:rsid w:val="007B0082"/>
    <w:rsid w:val="007B023C"/>
    <w:rsid w:val="007B0350"/>
    <w:rsid w:val="007B0371"/>
    <w:rsid w:val="007B0434"/>
    <w:rsid w:val="007B0564"/>
    <w:rsid w:val="007B05F1"/>
    <w:rsid w:val="007B0777"/>
    <w:rsid w:val="007B07F9"/>
    <w:rsid w:val="007B081C"/>
    <w:rsid w:val="007B1053"/>
    <w:rsid w:val="007B1284"/>
    <w:rsid w:val="007B14CF"/>
    <w:rsid w:val="007B1B00"/>
    <w:rsid w:val="007B1F40"/>
    <w:rsid w:val="007B20E8"/>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E21"/>
    <w:rsid w:val="007B3E31"/>
    <w:rsid w:val="007B40B6"/>
    <w:rsid w:val="007B4457"/>
    <w:rsid w:val="007B4898"/>
    <w:rsid w:val="007B4C20"/>
    <w:rsid w:val="007B4D58"/>
    <w:rsid w:val="007B500A"/>
    <w:rsid w:val="007B5149"/>
    <w:rsid w:val="007B523E"/>
    <w:rsid w:val="007B53B6"/>
    <w:rsid w:val="007B590C"/>
    <w:rsid w:val="007B598C"/>
    <w:rsid w:val="007B5DBD"/>
    <w:rsid w:val="007B623F"/>
    <w:rsid w:val="007B62E4"/>
    <w:rsid w:val="007B6302"/>
    <w:rsid w:val="007B6428"/>
    <w:rsid w:val="007B6430"/>
    <w:rsid w:val="007B6601"/>
    <w:rsid w:val="007B6623"/>
    <w:rsid w:val="007B6739"/>
    <w:rsid w:val="007B6853"/>
    <w:rsid w:val="007B68D6"/>
    <w:rsid w:val="007B6B07"/>
    <w:rsid w:val="007B6BEF"/>
    <w:rsid w:val="007B6C3E"/>
    <w:rsid w:val="007B6D96"/>
    <w:rsid w:val="007B6DF1"/>
    <w:rsid w:val="007B6E3C"/>
    <w:rsid w:val="007B6E50"/>
    <w:rsid w:val="007B73E4"/>
    <w:rsid w:val="007B7A3A"/>
    <w:rsid w:val="007B7AE6"/>
    <w:rsid w:val="007C04B1"/>
    <w:rsid w:val="007C0B09"/>
    <w:rsid w:val="007C0DC3"/>
    <w:rsid w:val="007C1117"/>
    <w:rsid w:val="007C1443"/>
    <w:rsid w:val="007C156D"/>
    <w:rsid w:val="007C1981"/>
    <w:rsid w:val="007C1ADC"/>
    <w:rsid w:val="007C1FEA"/>
    <w:rsid w:val="007C212C"/>
    <w:rsid w:val="007C235B"/>
    <w:rsid w:val="007C2A17"/>
    <w:rsid w:val="007C2DC6"/>
    <w:rsid w:val="007C2E5B"/>
    <w:rsid w:val="007C3636"/>
    <w:rsid w:val="007C3A1A"/>
    <w:rsid w:val="007C3C52"/>
    <w:rsid w:val="007C3C9E"/>
    <w:rsid w:val="007C3CF7"/>
    <w:rsid w:val="007C3E4E"/>
    <w:rsid w:val="007C3E51"/>
    <w:rsid w:val="007C3F32"/>
    <w:rsid w:val="007C3FBD"/>
    <w:rsid w:val="007C4052"/>
    <w:rsid w:val="007C40FE"/>
    <w:rsid w:val="007C41F3"/>
    <w:rsid w:val="007C4266"/>
    <w:rsid w:val="007C4628"/>
    <w:rsid w:val="007C4864"/>
    <w:rsid w:val="007C49D2"/>
    <w:rsid w:val="007C4DFD"/>
    <w:rsid w:val="007C50A8"/>
    <w:rsid w:val="007C51A4"/>
    <w:rsid w:val="007C5514"/>
    <w:rsid w:val="007C55C2"/>
    <w:rsid w:val="007C59E7"/>
    <w:rsid w:val="007C5B04"/>
    <w:rsid w:val="007C5DE1"/>
    <w:rsid w:val="007C5F5F"/>
    <w:rsid w:val="007C6407"/>
    <w:rsid w:val="007C6835"/>
    <w:rsid w:val="007C688F"/>
    <w:rsid w:val="007C6D2A"/>
    <w:rsid w:val="007C7402"/>
    <w:rsid w:val="007C7907"/>
    <w:rsid w:val="007C796E"/>
    <w:rsid w:val="007C7B60"/>
    <w:rsid w:val="007C7CD2"/>
    <w:rsid w:val="007C7CE3"/>
    <w:rsid w:val="007C7D88"/>
    <w:rsid w:val="007C7E38"/>
    <w:rsid w:val="007C7E6D"/>
    <w:rsid w:val="007C7E94"/>
    <w:rsid w:val="007D02F6"/>
    <w:rsid w:val="007D05A4"/>
    <w:rsid w:val="007D06D8"/>
    <w:rsid w:val="007D08BF"/>
    <w:rsid w:val="007D0955"/>
    <w:rsid w:val="007D0EAF"/>
    <w:rsid w:val="007D0F65"/>
    <w:rsid w:val="007D0F9D"/>
    <w:rsid w:val="007D1532"/>
    <w:rsid w:val="007D18E0"/>
    <w:rsid w:val="007D1947"/>
    <w:rsid w:val="007D1A2C"/>
    <w:rsid w:val="007D1DA8"/>
    <w:rsid w:val="007D1E0D"/>
    <w:rsid w:val="007D2029"/>
    <w:rsid w:val="007D209A"/>
    <w:rsid w:val="007D240B"/>
    <w:rsid w:val="007D2B49"/>
    <w:rsid w:val="007D2BE7"/>
    <w:rsid w:val="007D2BEE"/>
    <w:rsid w:val="007D2E2E"/>
    <w:rsid w:val="007D2F09"/>
    <w:rsid w:val="007D2F96"/>
    <w:rsid w:val="007D3065"/>
    <w:rsid w:val="007D32FD"/>
    <w:rsid w:val="007D33B5"/>
    <w:rsid w:val="007D362D"/>
    <w:rsid w:val="007D38E5"/>
    <w:rsid w:val="007D3997"/>
    <w:rsid w:val="007D39AA"/>
    <w:rsid w:val="007D3B4D"/>
    <w:rsid w:val="007D3C15"/>
    <w:rsid w:val="007D3C76"/>
    <w:rsid w:val="007D3D3F"/>
    <w:rsid w:val="007D3D62"/>
    <w:rsid w:val="007D4083"/>
    <w:rsid w:val="007D4245"/>
    <w:rsid w:val="007D4293"/>
    <w:rsid w:val="007D480B"/>
    <w:rsid w:val="007D4867"/>
    <w:rsid w:val="007D48A9"/>
    <w:rsid w:val="007D492B"/>
    <w:rsid w:val="007D4983"/>
    <w:rsid w:val="007D4B5C"/>
    <w:rsid w:val="007D4FF0"/>
    <w:rsid w:val="007D5206"/>
    <w:rsid w:val="007D5212"/>
    <w:rsid w:val="007D52F2"/>
    <w:rsid w:val="007D55D6"/>
    <w:rsid w:val="007D5742"/>
    <w:rsid w:val="007D59E9"/>
    <w:rsid w:val="007D6076"/>
    <w:rsid w:val="007D61CD"/>
    <w:rsid w:val="007D67D4"/>
    <w:rsid w:val="007D67D5"/>
    <w:rsid w:val="007D6A25"/>
    <w:rsid w:val="007D6ADF"/>
    <w:rsid w:val="007D6EB6"/>
    <w:rsid w:val="007D7001"/>
    <w:rsid w:val="007D76B6"/>
    <w:rsid w:val="007D7717"/>
    <w:rsid w:val="007D7A89"/>
    <w:rsid w:val="007D7B16"/>
    <w:rsid w:val="007D7C51"/>
    <w:rsid w:val="007D7D39"/>
    <w:rsid w:val="007E0381"/>
    <w:rsid w:val="007E048F"/>
    <w:rsid w:val="007E0603"/>
    <w:rsid w:val="007E0645"/>
    <w:rsid w:val="007E08A1"/>
    <w:rsid w:val="007E0939"/>
    <w:rsid w:val="007E0E0B"/>
    <w:rsid w:val="007E0E50"/>
    <w:rsid w:val="007E12FE"/>
    <w:rsid w:val="007E13A3"/>
    <w:rsid w:val="007E1435"/>
    <w:rsid w:val="007E14CF"/>
    <w:rsid w:val="007E1531"/>
    <w:rsid w:val="007E15CA"/>
    <w:rsid w:val="007E163E"/>
    <w:rsid w:val="007E167C"/>
    <w:rsid w:val="007E16CF"/>
    <w:rsid w:val="007E1815"/>
    <w:rsid w:val="007E1BEF"/>
    <w:rsid w:val="007E1C1C"/>
    <w:rsid w:val="007E22C9"/>
    <w:rsid w:val="007E23F1"/>
    <w:rsid w:val="007E26C8"/>
    <w:rsid w:val="007E29B6"/>
    <w:rsid w:val="007E2B75"/>
    <w:rsid w:val="007E2B9B"/>
    <w:rsid w:val="007E2E03"/>
    <w:rsid w:val="007E2F04"/>
    <w:rsid w:val="007E2F42"/>
    <w:rsid w:val="007E332A"/>
    <w:rsid w:val="007E35AB"/>
    <w:rsid w:val="007E3767"/>
    <w:rsid w:val="007E3D0C"/>
    <w:rsid w:val="007E41BB"/>
    <w:rsid w:val="007E4740"/>
    <w:rsid w:val="007E4760"/>
    <w:rsid w:val="007E4853"/>
    <w:rsid w:val="007E4AAA"/>
    <w:rsid w:val="007E4F14"/>
    <w:rsid w:val="007E5284"/>
    <w:rsid w:val="007E53A0"/>
    <w:rsid w:val="007E5E24"/>
    <w:rsid w:val="007E5F1A"/>
    <w:rsid w:val="007E60DE"/>
    <w:rsid w:val="007E6261"/>
    <w:rsid w:val="007E63F7"/>
    <w:rsid w:val="007E6448"/>
    <w:rsid w:val="007E69B0"/>
    <w:rsid w:val="007E6A2A"/>
    <w:rsid w:val="007E6D4F"/>
    <w:rsid w:val="007E6DCC"/>
    <w:rsid w:val="007E6DD5"/>
    <w:rsid w:val="007E6F84"/>
    <w:rsid w:val="007E72DD"/>
    <w:rsid w:val="007E747A"/>
    <w:rsid w:val="007E7AD7"/>
    <w:rsid w:val="007E7DF4"/>
    <w:rsid w:val="007E7ED3"/>
    <w:rsid w:val="007E7EE2"/>
    <w:rsid w:val="007F02BA"/>
    <w:rsid w:val="007F075E"/>
    <w:rsid w:val="007F07AE"/>
    <w:rsid w:val="007F08B3"/>
    <w:rsid w:val="007F09FA"/>
    <w:rsid w:val="007F0C35"/>
    <w:rsid w:val="007F0C6A"/>
    <w:rsid w:val="007F0FD6"/>
    <w:rsid w:val="007F109E"/>
    <w:rsid w:val="007F1320"/>
    <w:rsid w:val="007F16CB"/>
    <w:rsid w:val="007F1709"/>
    <w:rsid w:val="007F1864"/>
    <w:rsid w:val="007F1AF1"/>
    <w:rsid w:val="007F1B3D"/>
    <w:rsid w:val="007F1B44"/>
    <w:rsid w:val="007F1BB4"/>
    <w:rsid w:val="007F22F9"/>
    <w:rsid w:val="007F2509"/>
    <w:rsid w:val="007F255E"/>
    <w:rsid w:val="007F2637"/>
    <w:rsid w:val="007F26A3"/>
    <w:rsid w:val="007F2B0C"/>
    <w:rsid w:val="007F2EDF"/>
    <w:rsid w:val="007F31AB"/>
    <w:rsid w:val="007F32AE"/>
    <w:rsid w:val="007F33C2"/>
    <w:rsid w:val="007F34BD"/>
    <w:rsid w:val="007F3AD1"/>
    <w:rsid w:val="007F3C5D"/>
    <w:rsid w:val="007F3D2B"/>
    <w:rsid w:val="007F3D8E"/>
    <w:rsid w:val="007F3EB7"/>
    <w:rsid w:val="007F3F48"/>
    <w:rsid w:val="007F4162"/>
    <w:rsid w:val="007F4A41"/>
    <w:rsid w:val="007F4AC6"/>
    <w:rsid w:val="007F4B3B"/>
    <w:rsid w:val="007F4B5E"/>
    <w:rsid w:val="007F4DE9"/>
    <w:rsid w:val="007F4E0E"/>
    <w:rsid w:val="007F4E9D"/>
    <w:rsid w:val="007F5150"/>
    <w:rsid w:val="007F51F7"/>
    <w:rsid w:val="007F5834"/>
    <w:rsid w:val="007F5C0C"/>
    <w:rsid w:val="007F5D71"/>
    <w:rsid w:val="007F5FAB"/>
    <w:rsid w:val="007F615C"/>
    <w:rsid w:val="007F67A2"/>
    <w:rsid w:val="007F67A8"/>
    <w:rsid w:val="007F691D"/>
    <w:rsid w:val="007F6EFD"/>
    <w:rsid w:val="007F6F15"/>
    <w:rsid w:val="007F7080"/>
    <w:rsid w:val="007F70A1"/>
    <w:rsid w:val="007F72CE"/>
    <w:rsid w:val="007F74F9"/>
    <w:rsid w:val="0080016C"/>
    <w:rsid w:val="008001CE"/>
    <w:rsid w:val="00800249"/>
    <w:rsid w:val="00800280"/>
    <w:rsid w:val="00800904"/>
    <w:rsid w:val="00800919"/>
    <w:rsid w:val="00800A8E"/>
    <w:rsid w:val="00800D8E"/>
    <w:rsid w:val="00800DEE"/>
    <w:rsid w:val="00800E4F"/>
    <w:rsid w:val="0080104C"/>
    <w:rsid w:val="00801630"/>
    <w:rsid w:val="00801A51"/>
    <w:rsid w:val="00802339"/>
    <w:rsid w:val="008026A4"/>
    <w:rsid w:val="00802830"/>
    <w:rsid w:val="008029A1"/>
    <w:rsid w:val="00802B8B"/>
    <w:rsid w:val="0080325D"/>
    <w:rsid w:val="0080334E"/>
    <w:rsid w:val="008038CC"/>
    <w:rsid w:val="008039CC"/>
    <w:rsid w:val="00803B2B"/>
    <w:rsid w:val="00803C1E"/>
    <w:rsid w:val="00803CC7"/>
    <w:rsid w:val="00803D9B"/>
    <w:rsid w:val="00803E48"/>
    <w:rsid w:val="00804306"/>
    <w:rsid w:val="0080435F"/>
    <w:rsid w:val="008044AF"/>
    <w:rsid w:val="008044C1"/>
    <w:rsid w:val="008044FA"/>
    <w:rsid w:val="008047E4"/>
    <w:rsid w:val="00804B9A"/>
    <w:rsid w:val="00804C23"/>
    <w:rsid w:val="00804D33"/>
    <w:rsid w:val="00804F05"/>
    <w:rsid w:val="008052FD"/>
    <w:rsid w:val="00805538"/>
    <w:rsid w:val="00805763"/>
    <w:rsid w:val="00805B7C"/>
    <w:rsid w:val="00805C03"/>
    <w:rsid w:val="00805D99"/>
    <w:rsid w:val="0080631D"/>
    <w:rsid w:val="0080668A"/>
    <w:rsid w:val="00806957"/>
    <w:rsid w:val="008069EC"/>
    <w:rsid w:val="00806C4A"/>
    <w:rsid w:val="00806DDE"/>
    <w:rsid w:val="0080721C"/>
    <w:rsid w:val="008073FA"/>
    <w:rsid w:val="00807499"/>
    <w:rsid w:val="00807509"/>
    <w:rsid w:val="00807525"/>
    <w:rsid w:val="008075F7"/>
    <w:rsid w:val="008077D5"/>
    <w:rsid w:val="00807869"/>
    <w:rsid w:val="008078BF"/>
    <w:rsid w:val="00807AD1"/>
    <w:rsid w:val="00807C9A"/>
    <w:rsid w:val="00807CCE"/>
    <w:rsid w:val="00807CF5"/>
    <w:rsid w:val="00807DFC"/>
    <w:rsid w:val="0081011F"/>
    <w:rsid w:val="00810315"/>
    <w:rsid w:val="008103D3"/>
    <w:rsid w:val="008104D7"/>
    <w:rsid w:val="008105FC"/>
    <w:rsid w:val="0081080D"/>
    <w:rsid w:val="00810866"/>
    <w:rsid w:val="008108B4"/>
    <w:rsid w:val="00810B04"/>
    <w:rsid w:val="00810DA6"/>
    <w:rsid w:val="00810E17"/>
    <w:rsid w:val="00810EC1"/>
    <w:rsid w:val="00810F98"/>
    <w:rsid w:val="00811002"/>
    <w:rsid w:val="00811055"/>
    <w:rsid w:val="008110A2"/>
    <w:rsid w:val="008114DE"/>
    <w:rsid w:val="00811595"/>
    <w:rsid w:val="008117DB"/>
    <w:rsid w:val="00811871"/>
    <w:rsid w:val="00811896"/>
    <w:rsid w:val="00811A93"/>
    <w:rsid w:val="00811B29"/>
    <w:rsid w:val="00811B91"/>
    <w:rsid w:val="00812051"/>
    <w:rsid w:val="0081214D"/>
    <w:rsid w:val="008126DF"/>
    <w:rsid w:val="0081276C"/>
    <w:rsid w:val="00812D05"/>
    <w:rsid w:val="00812E97"/>
    <w:rsid w:val="00813005"/>
    <w:rsid w:val="008133C1"/>
    <w:rsid w:val="008135FE"/>
    <w:rsid w:val="00813756"/>
    <w:rsid w:val="00813BE7"/>
    <w:rsid w:val="00813C24"/>
    <w:rsid w:val="00813F08"/>
    <w:rsid w:val="008142FD"/>
    <w:rsid w:val="0081462B"/>
    <w:rsid w:val="00814660"/>
    <w:rsid w:val="0081475E"/>
    <w:rsid w:val="00814A73"/>
    <w:rsid w:val="00814C38"/>
    <w:rsid w:val="00815213"/>
    <w:rsid w:val="008152B7"/>
    <w:rsid w:val="008154CD"/>
    <w:rsid w:val="008154D9"/>
    <w:rsid w:val="008154E9"/>
    <w:rsid w:val="008155CA"/>
    <w:rsid w:val="0081562A"/>
    <w:rsid w:val="00815C5E"/>
    <w:rsid w:val="00815DFC"/>
    <w:rsid w:val="00816086"/>
    <w:rsid w:val="00816367"/>
    <w:rsid w:val="0081647F"/>
    <w:rsid w:val="008164D1"/>
    <w:rsid w:val="0081651B"/>
    <w:rsid w:val="00816528"/>
    <w:rsid w:val="00816541"/>
    <w:rsid w:val="0081683B"/>
    <w:rsid w:val="00816A26"/>
    <w:rsid w:val="00816BFB"/>
    <w:rsid w:val="00816C22"/>
    <w:rsid w:val="00816E17"/>
    <w:rsid w:val="0081721F"/>
    <w:rsid w:val="008172C2"/>
    <w:rsid w:val="0081733D"/>
    <w:rsid w:val="0081746B"/>
    <w:rsid w:val="00817638"/>
    <w:rsid w:val="00817D68"/>
    <w:rsid w:val="00817EEC"/>
    <w:rsid w:val="00820288"/>
    <w:rsid w:val="0082039E"/>
    <w:rsid w:val="008206CD"/>
    <w:rsid w:val="00821209"/>
    <w:rsid w:val="00821281"/>
    <w:rsid w:val="00821348"/>
    <w:rsid w:val="00821370"/>
    <w:rsid w:val="008214FC"/>
    <w:rsid w:val="0082174C"/>
    <w:rsid w:val="00821753"/>
    <w:rsid w:val="008218B4"/>
    <w:rsid w:val="00821B21"/>
    <w:rsid w:val="00821BF7"/>
    <w:rsid w:val="00821C3B"/>
    <w:rsid w:val="00821CA9"/>
    <w:rsid w:val="00821CFD"/>
    <w:rsid w:val="00822387"/>
    <w:rsid w:val="00822412"/>
    <w:rsid w:val="008226A5"/>
    <w:rsid w:val="00822A9E"/>
    <w:rsid w:val="00822C21"/>
    <w:rsid w:val="00822C7F"/>
    <w:rsid w:val="00822E76"/>
    <w:rsid w:val="0082327A"/>
    <w:rsid w:val="008233DC"/>
    <w:rsid w:val="008233EA"/>
    <w:rsid w:val="0082343C"/>
    <w:rsid w:val="00823672"/>
    <w:rsid w:val="00823849"/>
    <w:rsid w:val="00823979"/>
    <w:rsid w:val="00823B04"/>
    <w:rsid w:val="00823BC5"/>
    <w:rsid w:val="00823C8B"/>
    <w:rsid w:val="00823CBE"/>
    <w:rsid w:val="00823CE7"/>
    <w:rsid w:val="00823E22"/>
    <w:rsid w:val="00824737"/>
    <w:rsid w:val="008247BC"/>
    <w:rsid w:val="008247F4"/>
    <w:rsid w:val="00824892"/>
    <w:rsid w:val="00824C43"/>
    <w:rsid w:val="00824CC9"/>
    <w:rsid w:val="0082521D"/>
    <w:rsid w:val="00825508"/>
    <w:rsid w:val="0082553A"/>
    <w:rsid w:val="008255BB"/>
    <w:rsid w:val="008256BC"/>
    <w:rsid w:val="00825DF2"/>
    <w:rsid w:val="00825E12"/>
    <w:rsid w:val="00825EBE"/>
    <w:rsid w:val="0082602B"/>
    <w:rsid w:val="008260AB"/>
    <w:rsid w:val="008263C1"/>
    <w:rsid w:val="008263E1"/>
    <w:rsid w:val="00826907"/>
    <w:rsid w:val="00826C10"/>
    <w:rsid w:val="00826CB3"/>
    <w:rsid w:val="00826EB9"/>
    <w:rsid w:val="0082700E"/>
    <w:rsid w:val="008270A9"/>
    <w:rsid w:val="00827320"/>
    <w:rsid w:val="00827366"/>
    <w:rsid w:val="008274CC"/>
    <w:rsid w:val="00827F5D"/>
    <w:rsid w:val="008300DC"/>
    <w:rsid w:val="00830300"/>
    <w:rsid w:val="0083090B"/>
    <w:rsid w:val="00830C2B"/>
    <w:rsid w:val="0083123C"/>
    <w:rsid w:val="008312B0"/>
    <w:rsid w:val="008313E5"/>
    <w:rsid w:val="0083140B"/>
    <w:rsid w:val="00831774"/>
    <w:rsid w:val="0083183F"/>
    <w:rsid w:val="00831A3C"/>
    <w:rsid w:val="00831BD9"/>
    <w:rsid w:val="00831D99"/>
    <w:rsid w:val="00831FA9"/>
    <w:rsid w:val="008323B0"/>
    <w:rsid w:val="008324E0"/>
    <w:rsid w:val="008326FC"/>
    <w:rsid w:val="00832890"/>
    <w:rsid w:val="0083290A"/>
    <w:rsid w:val="00832F7A"/>
    <w:rsid w:val="008337A3"/>
    <w:rsid w:val="0083395D"/>
    <w:rsid w:val="00833A00"/>
    <w:rsid w:val="0083427F"/>
    <w:rsid w:val="00834EE2"/>
    <w:rsid w:val="00834F3A"/>
    <w:rsid w:val="0083530C"/>
    <w:rsid w:val="00835420"/>
    <w:rsid w:val="00835645"/>
    <w:rsid w:val="0083566F"/>
    <w:rsid w:val="00835753"/>
    <w:rsid w:val="00835A5F"/>
    <w:rsid w:val="00835B7E"/>
    <w:rsid w:val="00835BE3"/>
    <w:rsid w:val="00835ECD"/>
    <w:rsid w:val="00835F94"/>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72"/>
    <w:rsid w:val="00843248"/>
    <w:rsid w:val="008433FD"/>
    <w:rsid w:val="008434E0"/>
    <w:rsid w:val="00843564"/>
    <w:rsid w:val="008436DB"/>
    <w:rsid w:val="00843FB9"/>
    <w:rsid w:val="0084415C"/>
    <w:rsid w:val="00844428"/>
    <w:rsid w:val="0084476C"/>
    <w:rsid w:val="00844A39"/>
    <w:rsid w:val="0084509D"/>
    <w:rsid w:val="0084534E"/>
    <w:rsid w:val="00845604"/>
    <w:rsid w:val="00845C18"/>
    <w:rsid w:val="00845D51"/>
    <w:rsid w:val="00845D5A"/>
    <w:rsid w:val="008462D7"/>
    <w:rsid w:val="00846B32"/>
    <w:rsid w:val="00846CE9"/>
    <w:rsid w:val="00846DE3"/>
    <w:rsid w:val="00846F8E"/>
    <w:rsid w:val="0084700E"/>
    <w:rsid w:val="00847025"/>
    <w:rsid w:val="0084703D"/>
    <w:rsid w:val="008471E4"/>
    <w:rsid w:val="0084720A"/>
    <w:rsid w:val="008472A7"/>
    <w:rsid w:val="00847526"/>
    <w:rsid w:val="00847A58"/>
    <w:rsid w:val="00847A69"/>
    <w:rsid w:val="00847C9C"/>
    <w:rsid w:val="00847F1F"/>
    <w:rsid w:val="0085003E"/>
    <w:rsid w:val="00850077"/>
    <w:rsid w:val="008502F7"/>
    <w:rsid w:val="00850481"/>
    <w:rsid w:val="008505CA"/>
    <w:rsid w:val="0085060B"/>
    <w:rsid w:val="00850648"/>
    <w:rsid w:val="00850861"/>
    <w:rsid w:val="00850862"/>
    <w:rsid w:val="008509EF"/>
    <w:rsid w:val="00850AFA"/>
    <w:rsid w:val="00850B2A"/>
    <w:rsid w:val="00850C99"/>
    <w:rsid w:val="00850F7D"/>
    <w:rsid w:val="0085108B"/>
    <w:rsid w:val="008512C9"/>
    <w:rsid w:val="0085136E"/>
    <w:rsid w:val="00851455"/>
    <w:rsid w:val="00851468"/>
    <w:rsid w:val="008516AE"/>
    <w:rsid w:val="00851706"/>
    <w:rsid w:val="00851A1D"/>
    <w:rsid w:val="00851A88"/>
    <w:rsid w:val="00851D4F"/>
    <w:rsid w:val="0085247D"/>
    <w:rsid w:val="008527C5"/>
    <w:rsid w:val="00852842"/>
    <w:rsid w:val="0085291D"/>
    <w:rsid w:val="00852EA6"/>
    <w:rsid w:val="00852F47"/>
    <w:rsid w:val="0085329A"/>
    <w:rsid w:val="00853515"/>
    <w:rsid w:val="008536A0"/>
    <w:rsid w:val="0085385B"/>
    <w:rsid w:val="008539BA"/>
    <w:rsid w:val="00853A25"/>
    <w:rsid w:val="00853A4A"/>
    <w:rsid w:val="00853C8C"/>
    <w:rsid w:val="00853D1D"/>
    <w:rsid w:val="00853D2C"/>
    <w:rsid w:val="00853DCF"/>
    <w:rsid w:val="00853F87"/>
    <w:rsid w:val="00853F94"/>
    <w:rsid w:val="0085416E"/>
    <w:rsid w:val="008541C5"/>
    <w:rsid w:val="008542C8"/>
    <w:rsid w:val="00854341"/>
    <w:rsid w:val="0085449C"/>
    <w:rsid w:val="008546DC"/>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261"/>
    <w:rsid w:val="008564A8"/>
    <w:rsid w:val="00856753"/>
    <w:rsid w:val="008568E5"/>
    <w:rsid w:val="00856A89"/>
    <w:rsid w:val="0085703F"/>
    <w:rsid w:val="0085742E"/>
    <w:rsid w:val="00857749"/>
    <w:rsid w:val="00857889"/>
    <w:rsid w:val="0085793E"/>
    <w:rsid w:val="00857AAF"/>
    <w:rsid w:val="00857AF5"/>
    <w:rsid w:val="008600D4"/>
    <w:rsid w:val="00860211"/>
    <w:rsid w:val="00860614"/>
    <w:rsid w:val="0086081D"/>
    <w:rsid w:val="00860AE9"/>
    <w:rsid w:val="00860BD7"/>
    <w:rsid w:val="008611C9"/>
    <w:rsid w:val="008613B8"/>
    <w:rsid w:val="008618B4"/>
    <w:rsid w:val="008618FA"/>
    <w:rsid w:val="00861B50"/>
    <w:rsid w:val="00861B6C"/>
    <w:rsid w:val="00861C42"/>
    <w:rsid w:val="00861C46"/>
    <w:rsid w:val="00861C4F"/>
    <w:rsid w:val="00861D04"/>
    <w:rsid w:val="00861D84"/>
    <w:rsid w:val="00862479"/>
    <w:rsid w:val="008625A1"/>
    <w:rsid w:val="008625FA"/>
    <w:rsid w:val="008626CC"/>
    <w:rsid w:val="008627F4"/>
    <w:rsid w:val="008628E9"/>
    <w:rsid w:val="00862AC5"/>
    <w:rsid w:val="00862B0F"/>
    <w:rsid w:val="00862B1B"/>
    <w:rsid w:val="00862C8A"/>
    <w:rsid w:val="00862CB3"/>
    <w:rsid w:val="00862F19"/>
    <w:rsid w:val="008633A2"/>
    <w:rsid w:val="008634F7"/>
    <w:rsid w:val="00863BBD"/>
    <w:rsid w:val="00863C9D"/>
    <w:rsid w:val="008644D0"/>
    <w:rsid w:val="008645B9"/>
    <w:rsid w:val="00864762"/>
    <w:rsid w:val="008647B1"/>
    <w:rsid w:val="00864C3E"/>
    <w:rsid w:val="00864D1E"/>
    <w:rsid w:val="00864E70"/>
    <w:rsid w:val="00865414"/>
    <w:rsid w:val="008658B6"/>
    <w:rsid w:val="00865B0D"/>
    <w:rsid w:val="00865DF5"/>
    <w:rsid w:val="00865F05"/>
    <w:rsid w:val="00865F0C"/>
    <w:rsid w:val="008661B5"/>
    <w:rsid w:val="008661C7"/>
    <w:rsid w:val="00866591"/>
    <w:rsid w:val="008665B6"/>
    <w:rsid w:val="00866736"/>
    <w:rsid w:val="008668DC"/>
    <w:rsid w:val="008669AD"/>
    <w:rsid w:val="00866B7A"/>
    <w:rsid w:val="00866BFD"/>
    <w:rsid w:val="00866DC7"/>
    <w:rsid w:val="008674D3"/>
    <w:rsid w:val="00867712"/>
    <w:rsid w:val="00867D83"/>
    <w:rsid w:val="00867E81"/>
    <w:rsid w:val="00870274"/>
    <w:rsid w:val="0087029B"/>
    <w:rsid w:val="008703F6"/>
    <w:rsid w:val="00870639"/>
    <w:rsid w:val="008707D3"/>
    <w:rsid w:val="00870A44"/>
    <w:rsid w:val="00870A5B"/>
    <w:rsid w:val="00870AAE"/>
    <w:rsid w:val="00870C9E"/>
    <w:rsid w:val="00870DD2"/>
    <w:rsid w:val="0087125E"/>
    <w:rsid w:val="0087146D"/>
    <w:rsid w:val="00871528"/>
    <w:rsid w:val="0087189E"/>
    <w:rsid w:val="00871A32"/>
    <w:rsid w:val="00871D4E"/>
    <w:rsid w:val="00871D7D"/>
    <w:rsid w:val="00871F01"/>
    <w:rsid w:val="00871FF7"/>
    <w:rsid w:val="008720C0"/>
    <w:rsid w:val="008723C5"/>
    <w:rsid w:val="008727CF"/>
    <w:rsid w:val="008727D4"/>
    <w:rsid w:val="00872A2B"/>
    <w:rsid w:val="00872B33"/>
    <w:rsid w:val="00872CD4"/>
    <w:rsid w:val="00872CD5"/>
    <w:rsid w:val="00872F5A"/>
    <w:rsid w:val="00872FD8"/>
    <w:rsid w:val="0087306A"/>
    <w:rsid w:val="008734F9"/>
    <w:rsid w:val="0087363C"/>
    <w:rsid w:val="0087393E"/>
    <w:rsid w:val="00873AF2"/>
    <w:rsid w:val="00873B8E"/>
    <w:rsid w:val="00873DD8"/>
    <w:rsid w:val="00873E87"/>
    <w:rsid w:val="00874044"/>
    <w:rsid w:val="0087444B"/>
    <w:rsid w:val="008745D8"/>
    <w:rsid w:val="00874CC2"/>
    <w:rsid w:val="00874E0E"/>
    <w:rsid w:val="00874F7B"/>
    <w:rsid w:val="00875025"/>
    <w:rsid w:val="008753BC"/>
    <w:rsid w:val="00875BA4"/>
    <w:rsid w:val="00875BA5"/>
    <w:rsid w:val="00875ED9"/>
    <w:rsid w:val="00875EEA"/>
    <w:rsid w:val="00875FAB"/>
    <w:rsid w:val="0087642E"/>
    <w:rsid w:val="0087662B"/>
    <w:rsid w:val="00876676"/>
    <w:rsid w:val="0087686C"/>
    <w:rsid w:val="0087694D"/>
    <w:rsid w:val="00876A5F"/>
    <w:rsid w:val="00876C5A"/>
    <w:rsid w:val="00876C89"/>
    <w:rsid w:val="00876D44"/>
    <w:rsid w:val="00876F45"/>
    <w:rsid w:val="00876F7C"/>
    <w:rsid w:val="00877072"/>
    <w:rsid w:val="00877145"/>
    <w:rsid w:val="00877240"/>
    <w:rsid w:val="00877441"/>
    <w:rsid w:val="00877604"/>
    <w:rsid w:val="00877672"/>
    <w:rsid w:val="00877E6F"/>
    <w:rsid w:val="00877FAC"/>
    <w:rsid w:val="00880053"/>
    <w:rsid w:val="00880195"/>
    <w:rsid w:val="008802CD"/>
    <w:rsid w:val="008804DA"/>
    <w:rsid w:val="00880527"/>
    <w:rsid w:val="008806CA"/>
    <w:rsid w:val="008807C5"/>
    <w:rsid w:val="00880D8B"/>
    <w:rsid w:val="0088111C"/>
    <w:rsid w:val="00881261"/>
    <w:rsid w:val="00881275"/>
    <w:rsid w:val="008814B9"/>
    <w:rsid w:val="00881536"/>
    <w:rsid w:val="00881C0F"/>
    <w:rsid w:val="00881CC1"/>
    <w:rsid w:val="00881F98"/>
    <w:rsid w:val="008823A4"/>
    <w:rsid w:val="00882694"/>
    <w:rsid w:val="00882BF9"/>
    <w:rsid w:val="00882CDE"/>
    <w:rsid w:val="00883153"/>
    <w:rsid w:val="00883189"/>
    <w:rsid w:val="00883329"/>
    <w:rsid w:val="00883766"/>
    <w:rsid w:val="0088381F"/>
    <w:rsid w:val="008838B6"/>
    <w:rsid w:val="0088398D"/>
    <w:rsid w:val="00883AC7"/>
    <w:rsid w:val="00883B36"/>
    <w:rsid w:val="00883C40"/>
    <w:rsid w:val="00883C8D"/>
    <w:rsid w:val="00883C9E"/>
    <w:rsid w:val="00883CB5"/>
    <w:rsid w:val="00883D39"/>
    <w:rsid w:val="00883F45"/>
    <w:rsid w:val="00884021"/>
    <w:rsid w:val="00884045"/>
    <w:rsid w:val="00884627"/>
    <w:rsid w:val="00884699"/>
    <w:rsid w:val="0088470D"/>
    <w:rsid w:val="008848E2"/>
    <w:rsid w:val="00884F12"/>
    <w:rsid w:val="008850C2"/>
    <w:rsid w:val="008850EF"/>
    <w:rsid w:val="008851ED"/>
    <w:rsid w:val="00885409"/>
    <w:rsid w:val="00885811"/>
    <w:rsid w:val="00885D46"/>
    <w:rsid w:val="00885D73"/>
    <w:rsid w:val="00885EB7"/>
    <w:rsid w:val="00885F02"/>
    <w:rsid w:val="0088601D"/>
    <w:rsid w:val="008861C6"/>
    <w:rsid w:val="0088631A"/>
    <w:rsid w:val="00886671"/>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DF6"/>
    <w:rsid w:val="00887E69"/>
    <w:rsid w:val="00887F78"/>
    <w:rsid w:val="008900C0"/>
    <w:rsid w:val="008900F3"/>
    <w:rsid w:val="00890728"/>
    <w:rsid w:val="00890780"/>
    <w:rsid w:val="00890812"/>
    <w:rsid w:val="00890A87"/>
    <w:rsid w:val="00890AA3"/>
    <w:rsid w:val="00890FAB"/>
    <w:rsid w:val="008911CC"/>
    <w:rsid w:val="0089125B"/>
    <w:rsid w:val="008912F8"/>
    <w:rsid w:val="0089130C"/>
    <w:rsid w:val="00891CB4"/>
    <w:rsid w:val="008923EF"/>
    <w:rsid w:val="00892554"/>
    <w:rsid w:val="008927ED"/>
    <w:rsid w:val="0089297A"/>
    <w:rsid w:val="00892A3A"/>
    <w:rsid w:val="00892A8C"/>
    <w:rsid w:val="00892DD0"/>
    <w:rsid w:val="00892DDB"/>
    <w:rsid w:val="00893391"/>
    <w:rsid w:val="008933EB"/>
    <w:rsid w:val="00893435"/>
    <w:rsid w:val="00893470"/>
    <w:rsid w:val="008939F8"/>
    <w:rsid w:val="00893B56"/>
    <w:rsid w:val="00893BD4"/>
    <w:rsid w:val="00893C94"/>
    <w:rsid w:val="00893E6C"/>
    <w:rsid w:val="00893E73"/>
    <w:rsid w:val="00893F26"/>
    <w:rsid w:val="008945E2"/>
    <w:rsid w:val="0089478D"/>
    <w:rsid w:val="008947F8"/>
    <w:rsid w:val="0089491C"/>
    <w:rsid w:val="00894BC7"/>
    <w:rsid w:val="00894DF2"/>
    <w:rsid w:val="00895094"/>
    <w:rsid w:val="00895161"/>
    <w:rsid w:val="008952ED"/>
    <w:rsid w:val="008955B1"/>
    <w:rsid w:val="00895B87"/>
    <w:rsid w:val="00896127"/>
    <w:rsid w:val="00896206"/>
    <w:rsid w:val="008968C2"/>
    <w:rsid w:val="00896BFE"/>
    <w:rsid w:val="00896C9E"/>
    <w:rsid w:val="00896D12"/>
    <w:rsid w:val="008972B0"/>
    <w:rsid w:val="0089762D"/>
    <w:rsid w:val="008978F0"/>
    <w:rsid w:val="008979A2"/>
    <w:rsid w:val="00897CD7"/>
    <w:rsid w:val="008A0463"/>
    <w:rsid w:val="008A069D"/>
    <w:rsid w:val="008A0767"/>
    <w:rsid w:val="008A0B3C"/>
    <w:rsid w:val="008A0F40"/>
    <w:rsid w:val="008A198E"/>
    <w:rsid w:val="008A1BAB"/>
    <w:rsid w:val="008A1E23"/>
    <w:rsid w:val="008A237E"/>
    <w:rsid w:val="008A2407"/>
    <w:rsid w:val="008A242B"/>
    <w:rsid w:val="008A2730"/>
    <w:rsid w:val="008A282E"/>
    <w:rsid w:val="008A29FD"/>
    <w:rsid w:val="008A2CBB"/>
    <w:rsid w:val="008A2ED4"/>
    <w:rsid w:val="008A32E7"/>
    <w:rsid w:val="008A3803"/>
    <w:rsid w:val="008A38E3"/>
    <w:rsid w:val="008A3A28"/>
    <w:rsid w:val="008A3B2C"/>
    <w:rsid w:val="008A3B51"/>
    <w:rsid w:val="008A3EB1"/>
    <w:rsid w:val="008A3F2A"/>
    <w:rsid w:val="008A41CE"/>
    <w:rsid w:val="008A41DF"/>
    <w:rsid w:val="008A4796"/>
    <w:rsid w:val="008A4A77"/>
    <w:rsid w:val="008A4B7E"/>
    <w:rsid w:val="008A4D9A"/>
    <w:rsid w:val="008A52CC"/>
    <w:rsid w:val="008A5883"/>
    <w:rsid w:val="008A5A2E"/>
    <w:rsid w:val="008A5A78"/>
    <w:rsid w:val="008A5EC5"/>
    <w:rsid w:val="008A5ED2"/>
    <w:rsid w:val="008A5F93"/>
    <w:rsid w:val="008A60B6"/>
    <w:rsid w:val="008A613D"/>
    <w:rsid w:val="008A632B"/>
    <w:rsid w:val="008A6693"/>
    <w:rsid w:val="008A66CE"/>
    <w:rsid w:val="008A6703"/>
    <w:rsid w:val="008A678E"/>
    <w:rsid w:val="008A6B15"/>
    <w:rsid w:val="008A6DC9"/>
    <w:rsid w:val="008A6E91"/>
    <w:rsid w:val="008A7036"/>
    <w:rsid w:val="008A7407"/>
    <w:rsid w:val="008A7567"/>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37D"/>
    <w:rsid w:val="008B13EF"/>
    <w:rsid w:val="008B14D1"/>
    <w:rsid w:val="008B1A78"/>
    <w:rsid w:val="008B1A8E"/>
    <w:rsid w:val="008B1EDA"/>
    <w:rsid w:val="008B1EE7"/>
    <w:rsid w:val="008B2119"/>
    <w:rsid w:val="008B21FD"/>
    <w:rsid w:val="008B221B"/>
    <w:rsid w:val="008B239A"/>
    <w:rsid w:val="008B23D6"/>
    <w:rsid w:val="008B2473"/>
    <w:rsid w:val="008B2563"/>
    <w:rsid w:val="008B2566"/>
    <w:rsid w:val="008B25D3"/>
    <w:rsid w:val="008B268E"/>
    <w:rsid w:val="008B2708"/>
    <w:rsid w:val="008B2A93"/>
    <w:rsid w:val="008B2B7A"/>
    <w:rsid w:val="008B2F50"/>
    <w:rsid w:val="008B3113"/>
    <w:rsid w:val="008B350D"/>
    <w:rsid w:val="008B3586"/>
    <w:rsid w:val="008B3CD3"/>
    <w:rsid w:val="008B3EB4"/>
    <w:rsid w:val="008B3EE8"/>
    <w:rsid w:val="008B400F"/>
    <w:rsid w:val="008B4139"/>
    <w:rsid w:val="008B41F0"/>
    <w:rsid w:val="008B42B2"/>
    <w:rsid w:val="008B44EB"/>
    <w:rsid w:val="008B4566"/>
    <w:rsid w:val="008B482A"/>
    <w:rsid w:val="008B49B0"/>
    <w:rsid w:val="008B4A8E"/>
    <w:rsid w:val="008B4C73"/>
    <w:rsid w:val="008B4DD3"/>
    <w:rsid w:val="008B4E26"/>
    <w:rsid w:val="008B4E67"/>
    <w:rsid w:val="008B51BC"/>
    <w:rsid w:val="008B5270"/>
    <w:rsid w:val="008B5785"/>
    <w:rsid w:val="008B59C0"/>
    <w:rsid w:val="008B5AB2"/>
    <w:rsid w:val="008B5FFB"/>
    <w:rsid w:val="008B63E5"/>
    <w:rsid w:val="008B645E"/>
    <w:rsid w:val="008B675D"/>
    <w:rsid w:val="008B6A03"/>
    <w:rsid w:val="008B6A3E"/>
    <w:rsid w:val="008B6AAE"/>
    <w:rsid w:val="008B6B85"/>
    <w:rsid w:val="008B7090"/>
    <w:rsid w:val="008B71F9"/>
    <w:rsid w:val="008B7214"/>
    <w:rsid w:val="008B7442"/>
    <w:rsid w:val="008B755E"/>
    <w:rsid w:val="008B7576"/>
    <w:rsid w:val="008B7587"/>
    <w:rsid w:val="008B7ADB"/>
    <w:rsid w:val="008B7D9E"/>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2BF"/>
    <w:rsid w:val="008C12C1"/>
    <w:rsid w:val="008C1352"/>
    <w:rsid w:val="008C13FF"/>
    <w:rsid w:val="008C160F"/>
    <w:rsid w:val="008C18B0"/>
    <w:rsid w:val="008C1B14"/>
    <w:rsid w:val="008C1E23"/>
    <w:rsid w:val="008C20AA"/>
    <w:rsid w:val="008C226E"/>
    <w:rsid w:val="008C228E"/>
    <w:rsid w:val="008C2431"/>
    <w:rsid w:val="008C245A"/>
    <w:rsid w:val="008C25BB"/>
    <w:rsid w:val="008C2847"/>
    <w:rsid w:val="008C29A0"/>
    <w:rsid w:val="008C2C38"/>
    <w:rsid w:val="008C2D87"/>
    <w:rsid w:val="008C2E0B"/>
    <w:rsid w:val="008C30E5"/>
    <w:rsid w:val="008C3214"/>
    <w:rsid w:val="008C3AB7"/>
    <w:rsid w:val="008C3C01"/>
    <w:rsid w:val="008C3F63"/>
    <w:rsid w:val="008C3FB4"/>
    <w:rsid w:val="008C448F"/>
    <w:rsid w:val="008C48F3"/>
    <w:rsid w:val="008C4953"/>
    <w:rsid w:val="008C4AD1"/>
    <w:rsid w:val="008C4B33"/>
    <w:rsid w:val="008C4C4E"/>
    <w:rsid w:val="008C4E7A"/>
    <w:rsid w:val="008C4FA1"/>
    <w:rsid w:val="008C50A1"/>
    <w:rsid w:val="008C5429"/>
    <w:rsid w:val="008C5598"/>
    <w:rsid w:val="008C5754"/>
    <w:rsid w:val="008C5959"/>
    <w:rsid w:val="008C5960"/>
    <w:rsid w:val="008C5A5A"/>
    <w:rsid w:val="008C5B95"/>
    <w:rsid w:val="008C5FC0"/>
    <w:rsid w:val="008C6104"/>
    <w:rsid w:val="008C6220"/>
    <w:rsid w:val="008C6423"/>
    <w:rsid w:val="008C6473"/>
    <w:rsid w:val="008C65A7"/>
    <w:rsid w:val="008C6918"/>
    <w:rsid w:val="008C6947"/>
    <w:rsid w:val="008C6953"/>
    <w:rsid w:val="008C7170"/>
    <w:rsid w:val="008C7190"/>
    <w:rsid w:val="008C7259"/>
    <w:rsid w:val="008C72F9"/>
    <w:rsid w:val="008C76FD"/>
    <w:rsid w:val="008C7767"/>
    <w:rsid w:val="008C7B20"/>
    <w:rsid w:val="008C7C1A"/>
    <w:rsid w:val="008C7D23"/>
    <w:rsid w:val="008D00D3"/>
    <w:rsid w:val="008D026A"/>
    <w:rsid w:val="008D07E6"/>
    <w:rsid w:val="008D0C7A"/>
    <w:rsid w:val="008D0DEB"/>
    <w:rsid w:val="008D0F99"/>
    <w:rsid w:val="008D1172"/>
    <w:rsid w:val="008D11C8"/>
    <w:rsid w:val="008D11DF"/>
    <w:rsid w:val="008D1358"/>
    <w:rsid w:val="008D1B24"/>
    <w:rsid w:val="008D1B57"/>
    <w:rsid w:val="008D1B8D"/>
    <w:rsid w:val="008D1BF7"/>
    <w:rsid w:val="008D1C7B"/>
    <w:rsid w:val="008D1DAE"/>
    <w:rsid w:val="008D208D"/>
    <w:rsid w:val="008D216F"/>
    <w:rsid w:val="008D2261"/>
    <w:rsid w:val="008D242A"/>
    <w:rsid w:val="008D2845"/>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972"/>
    <w:rsid w:val="008D4A67"/>
    <w:rsid w:val="008D4C14"/>
    <w:rsid w:val="008D4C2C"/>
    <w:rsid w:val="008D4D0E"/>
    <w:rsid w:val="008D5435"/>
    <w:rsid w:val="008D57EE"/>
    <w:rsid w:val="008D590C"/>
    <w:rsid w:val="008D5A3E"/>
    <w:rsid w:val="008D5B1F"/>
    <w:rsid w:val="008D5CCF"/>
    <w:rsid w:val="008D5D7C"/>
    <w:rsid w:val="008D5D9C"/>
    <w:rsid w:val="008D5E11"/>
    <w:rsid w:val="008D5F81"/>
    <w:rsid w:val="008D6146"/>
    <w:rsid w:val="008D621A"/>
    <w:rsid w:val="008D6760"/>
    <w:rsid w:val="008D68F4"/>
    <w:rsid w:val="008D694B"/>
    <w:rsid w:val="008D6A14"/>
    <w:rsid w:val="008D6D26"/>
    <w:rsid w:val="008D6F8B"/>
    <w:rsid w:val="008D6FAF"/>
    <w:rsid w:val="008D70BC"/>
    <w:rsid w:val="008D74A9"/>
    <w:rsid w:val="008D7582"/>
    <w:rsid w:val="008D7609"/>
    <w:rsid w:val="008D7A32"/>
    <w:rsid w:val="008D7BAB"/>
    <w:rsid w:val="008D7BD6"/>
    <w:rsid w:val="008D7D28"/>
    <w:rsid w:val="008E062C"/>
    <w:rsid w:val="008E06D4"/>
    <w:rsid w:val="008E07AB"/>
    <w:rsid w:val="008E07E6"/>
    <w:rsid w:val="008E0855"/>
    <w:rsid w:val="008E099B"/>
    <w:rsid w:val="008E0A61"/>
    <w:rsid w:val="008E0FBB"/>
    <w:rsid w:val="008E1624"/>
    <w:rsid w:val="008E180F"/>
    <w:rsid w:val="008E1970"/>
    <w:rsid w:val="008E1A99"/>
    <w:rsid w:val="008E1D2E"/>
    <w:rsid w:val="008E1E77"/>
    <w:rsid w:val="008E1EC8"/>
    <w:rsid w:val="008E1F5F"/>
    <w:rsid w:val="008E1FA7"/>
    <w:rsid w:val="008E207F"/>
    <w:rsid w:val="008E20F0"/>
    <w:rsid w:val="008E20FC"/>
    <w:rsid w:val="008E218C"/>
    <w:rsid w:val="008E28A5"/>
    <w:rsid w:val="008E298E"/>
    <w:rsid w:val="008E2DEF"/>
    <w:rsid w:val="008E2EA9"/>
    <w:rsid w:val="008E2FB9"/>
    <w:rsid w:val="008E308B"/>
    <w:rsid w:val="008E3292"/>
    <w:rsid w:val="008E3B5B"/>
    <w:rsid w:val="008E3C89"/>
    <w:rsid w:val="008E3CA1"/>
    <w:rsid w:val="008E3CEB"/>
    <w:rsid w:val="008E3CF9"/>
    <w:rsid w:val="008E3D68"/>
    <w:rsid w:val="008E41CA"/>
    <w:rsid w:val="008E4234"/>
    <w:rsid w:val="008E4366"/>
    <w:rsid w:val="008E4482"/>
    <w:rsid w:val="008E4484"/>
    <w:rsid w:val="008E44B7"/>
    <w:rsid w:val="008E4606"/>
    <w:rsid w:val="008E46E1"/>
    <w:rsid w:val="008E4DFB"/>
    <w:rsid w:val="008E5011"/>
    <w:rsid w:val="008E5217"/>
    <w:rsid w:val="008E565E"/>
    <w:rsid w:val="008E5841"/>
    <w:rsid w:val="008E5ACF"/>
    <w:rsid w:val="008E5C0B"/>
    <w:rsid w:val="008E5EE3"/>
    <w:rsid w:val="008E5EFF"/>
    <w:rsid w:val="008E63F7"/>
    <w:rsid w:val="008E6638"/>
    <w:rsid w:val="008E6698"/>
    <w:rsid w:val="008E66F0"/>
    <w:rsid w:val="008E69A1"/>
    <w:rsid w:val="008E6A88"/>
    <w:rsid w:val="008E6ACE"/>
    <w:rsid w:val="008E6AF8"/>
    <w:rsid w:val="008E6DA9"/>
    <w:rsid w:val="008E7545"/>
    <w:rsid w:val="008E7B67"/>
    <w:rsid w:val="008F0102"/>
    <w:rsid w:val="008F01F5"/>
    <w:rsid w:val="008F053B"/>
    <w:rsid w:val="008F0726"/>
    <w:rsid w:val="008F0795"/>
    <w:rsid w:val="008F084E"/>
    <w:rsid w:val="008F08B0"/>
    <w:rsid w:val="008F0F1F"/>
    <w:rsid w:val="008F0FEA"/>
    <w:rsid w:val="008F13B1"/>
    <w:rsid w:val="008F13F7"/>
    <w:rsid w:val="008F179C"/>
    <w:rsid w:val="008F1957"/>
    <w:rsid w:val="008F19F6"/>
    <w:rsid w:val="008F1D28"/>
    <w:rsid w:val="008F22A6"/>
    <w:rsid w:val="008F2342"/>
    <w:rsid w:val="008F23EF"/>
    <w:rsid w:val="008F245D"/>
    <w:rsid w:val="008F24D9"/>
    <w:rsid w:val="008F2700"/>
    <w:rsid w:val="008F2982"/>
    <w:rsid w:val="008F298A"/>
    <w:rsid w:val="008F2A75"/>
    <w:rsid w:val="008F2F30"/>
    <w:rsid w:val="008F334F"/>
    <w:rsid w:val="008F3889"/>
    <w:rsid w:val="008F3A24"/>
    <w:rsid w:val="008F3CB2"/>
    <w:rsid w:val="008F3DCB"/>
    <w:rsid w:val="008F40F9"/>
    <w:rsid w:val="008F475C"/>
    <w:rsid w:val="008F47BE"/>
    <w:rsid w:val="008F5119"/>
    <w:rsid w:val="008F550E"/>
    <w:rsid w:val="008F5678"/>
    <w:rsid w:val="008F5825"/>
    <w:rsid w:val="008F5AD7"/>
    <w:rsid w:val="008F5B65"/>
    <w:rsid w:val="008F5CF6"/>
    <w:rsid w:val="008F5D9F"/>
    <w:rsid w:val="008F5F0F"/>
    <w:rsid w:val="008F61C7"/>
    <w:rsid w:val="008F64C6"/>
    <w:rsid w:val="008F697A"/>
    <w:rsid w:val="008F699D"/>
    <w:rsid w:val="008F6B55"/>
    <w:rsid w:val="008F6CDD"/>
    <w:rsid w:val="008F6E56"/>
    <w:rsid w:val="008F7059"/>
    <w:rsid w:val="008F750F"/>
    <w:rsid w:val="008F7770"/>
    <w:rsid w:val="008F7837"/>
    <w:rsid w:val="008F7A2F"/>
    <w:rsid w:val="008F7C0D"/>
    <w:rsid w:val="008F7DFD"/>
    <w:rsid w:val="008F7E2C"/>
    <w:rsid w:val="008F7E8E"/>
    <w:rsid w:val="008F7F68"/>
    <w:rsid w:val="0090019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95E"/>
    <w:rsid w:val="00901D37"/>
    <w:rsid w:val="0090232B"/>
    <w:rsid w:val="0090278F"/>
    <w:rsid w:val="00902A3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D"/>
    <w:rsid w:val="0090404C"/>
    <w:rsid w:val="009043BA"/>
    <w:rsid w:val="009044EA"/>
    <w:rsid w:val="0090463B"/>
    <w:rsid w:val="009046D4"/>
    <w:rsid w:val="00904925"/>
    <w:rsid w:val="00904AF3"/>
    <w:rsid w:val="00904DCE"/>
    <w:rsid w:val="0090517C"/>
    <w:rsid w:val="009053FA"/>
    <w:rsid w:val="0090558A"/>
    <w:rsid w:val="009057AC"/>
    <w:rsid w:val="00905A08"/>
    <w:rsid w:val="00905BC2"/>
    <w:rsid w:val="00905C79"/>
    <w:rsid w:val="00905E5C"/>
    <w:rsid w:val="00905FC6"/>
    <w:rsid w:val="00906996"/>
    <w:rsid w:val="009069A3"/>
    <w:rsid w:val="00906D3B"/>
    <w:rsid w:val="00906E61"/>
    <w:rsid w:val="00907066"/>
    <w:rsid w:val="0090717F"/>
    <w:rsid w:val="009075C0"/>
    <w:rsid w:val="00907B53"/>
    <w:rsid w:val="00907DC8"/>
    <w:rsid w:val="00910070"/>
    <w:rsid w:val="00910091"/>
    <w:rsid w:val="0091013C"/>
    <w:rsid w:val="00910647"/>
    <w:rsid w:val="00910933"/>
    <w:rsid w:val="00910B75"/>
    <w:rsid w:val="00910CD7"/>
    <w:rsid w:val="00910D1F"/>
    <w:rsid w:val="00910D9D"/>
    <w:rsid w:val="00910E48"/>
    <w:rsid w:val="00910EB3"/>
    <w:rsid w:val="00910ECD"/>
    <w:rsid w:val="00910F42"/>
    <w:rsid w:val="009114CB"/>
    <w:rsid w:val="009115D8"/>
    <w:rsid w:val="0091173A"/>
    <w:rsid w:val="009118CD"/>
    <w:rsid w:val="00911944"/>
    <w:rsid w:val="009119E4"/>
    <w:rsid w:val="00911B5B"/>
    <w:rsid w:val="00911C67"/>
    <w:rsid w:val="00911DB0"/>
    <w:rsid w:val="00911E9A"/>
    <w:rsid w:val="00911F43"/>
    <w:rsid w:val="00912218"/>
    <w:rsid w:val="009125E8"/>
    <w:rsid w:val="0091271A"/>
    <w:rsid w:val="0091285C"/>
    <w:rsid w:val="00912C4A"/>
    <w:rsid w:val="00913340"/>
    <w:rsid w:val="0091334E"/>
    <w:rsid w:val="0091366F"/>
    <w:rsid w:val="009137E6"/>
    <w:rsid w:val="009138AF"/>
    <w:rsid w:val="00913AB1"/>
    <w:rsid w:val="00913F2E"/>
    <w:rsid w:val="00913FB0"/>
    <w:rsid w:val="00914434"/>
    <w:rsid w:val="00914541"/>
    <w:rsid w:val="00914ADC"/>
    <w:rsid w:val="00914B9E"/>
    <w:rsid w:val="00914C92"/>
    <w:rsid w:val="00914CBD"/>
    <w:rsid w:val="00914CD6"/>
    <w:rsid w:val="00914E6A"/>
    <w:rsid w:val="00915CA8"/>
    <w:rsid w:val="0091607A"/>
    <w:rsid w:val="0091609D"/>
    <w:rsid w:val="009160C5"/>
    <w:rsid w:val="0091610E"/>
    <w:rsid w:val="0091667B"/>
    <w:rsid w:val="00916843"/>
    <w:rsid w:val="009168CA"/>
    <w:rsid w:val="009168FB"/>
    <w:rsid w:val="00916F01"/>
    <w:rsid w:val="009170C8"/>
    <w:rsid w:val="00917156"/>
    <w:rsid w:val="0091717B"/>
    <w:rsid w:val="00917314"/>
    <w:rsid w:val="009173D9"/>
    <w:rsid w:val="009174B1"/>
    <w:rsid w:val="00917578"/>
    <w:rsid w:val="0091779F"/>
    <w:rsid w:val="00917B1B"/>
    <w:rsid w:val="00917D31"/>
    <w:rsid w:val="00917D3D"/>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A6"/>
    <w:rsid w:val="00922BE5"/>
    <w:rsid w:val="00922C9F"/>
    <w:rsid w:val="00923034"/>
    <w:rsid w:val="009231DA"/>
    <w:rsid w:val="00923234"/>
    <w:rsid w:val="0092337F"/>
    <w:rsid w:val="00923842"/>
    <w:rsid w:val="009238E8"/>
    <w:rsid w:val="009239EC"/>
    <w:rsid w:val="00923C11"/>
    <w:rsid w:val="00923CEE"/>
    <w:rsid w:val="00923DA7"/>
    <w:rsid w:val="009245BA"/>
    <w:rsid w:val="009245BB"/>
    <w:rsid w:val="00924790"/>
    <w:rsid w:val="00924837"/>
    <w:rsid w:val="00924A63"/>
    <w:rsid w:val="00924B3F"/>
    <w:rsid w:val="00924C62"/>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5CB7"/>
    <w:rsid w:val="0092642B"/>
    <w:rsid w:val="00926670"/>
    <w:rsid w:val="00926964"/>
    <w:rsid w:val="0092697A"/>
    <w:rsid w:val="00926D1D"/>
    <w:rsid w:val="00926F9E"/>
    <w:rsid w:val="0092726F"/>
    <w:rsid w:val="00927294"/>
    <w:rsid w:val="009273E6"/>
    <w:rsid w:val="009276BC"/>
    <w:rsid w:val="009278D9"/>
    <w:rsid w:val="00927A66"/>
    <w:rsid w:val="00927A88"/>
    <w:rsid w:val="00927C90"/>
    <w:rsid w:val="00927D1E"/>
    <w:rsid w:val="009306F9"/>
    <w:rsid w:val="009309B4"/>
    <w:rsid w:val="00930A9B"/>
    <w:rsid w:val="00930B8B"/>
    <w:rsid w:val="00930C4E"/>
    <w:rsid w:val="00930FF5"/>
    <w:rsid w:val="009311EF"/>
    <w:rsid w:val="0093136E"/>
    <w:rsid w:val="00931419"/>
    <w:rsid w:val="0093179A"/>
    <w:rsid w:val="0093198C"/>
    <w:rsid w:val="0093253B"/>
    <w:rsid w:val="009328E3"/>
    <w:rsid w:val="00932B6D"/>
    <w:rsid w:val="00932D38"/>
    <w:rsid w:val="00932D76"/>
    <w:rsid w:val="00932F41"/>
    <w:rsid w:val="00933004"/>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4F5"/>
    <w:rsid w:val="009356B9"/>
    <w:rsid w:val="009356C9"/>
    <w:rsid w:val="00935768"/>
    <w:rsid w:val="00935863"/>
    <w:rsid w:val="00935D6F"/>
    <w:rsid w:val="00936111"/>
    <w:rsid w:val="0093626D"/>
    <w:rsid w:val="00936680"/>
    <w:rsid w:val="009368BB"/>
    <w:rsid w:val="00936C6B"/>
    <w:rsid w:val="00936D9E"/>
    <w:rsid w:val="00936F91"/>
    <w:rsid w:val="00937052"/>
    <w:rsid w:val="009373B9"/>
    <w:rsid w:val="0093746C"/>
    <w:rsid w:val="00937B39"/>
    <w:rsid w:val="009401D0"/>
    <w:rsid w:val="009403C7"/>
    <w:rsid w:val="009404F9"/>
    <w:rsid w:val="009408EC"/>
    <w:rsid w:val="00940AEC"/>
    <w:rsid w:val="00940B98"/>
    <w:rsid w:val="00940BB6"/>
    <w:rsid w:val="00940BF4"/>
    <w:rsid w:val="00940C98"/>
    <w:rsid w:val="00940E8E"/>
    <w:rsid w:val="00941040"/>
    <w:rsid w:val="0094119E"/>
    <w:rsid w:val="009414F8"/>
    <w:rsid w:val="00941540"/>
    <w:rsid w:val="00941581"/>
    <w:rsid w:val="00941795"/>
    <w:rsid w:val="00941BB2"/>
    <w:rsid w:val="00942284"/>
    <w:rsid w:val="009425D3"/>
    <w:rsid w:val="009426FB"/>
    <w:rsid w:val="009427D6"/>
    <w:rsid w:val="0094289F"/>
    <w:rsid w:val="00942A0D"/>
    <w:rsid w:val="00943170"/>
    <w:rsid w:val="00943325"/>
    <w:rsid w:val="009436D4"/>
    <w:rsid w:val="0094371D"/>
    <w:rsid w:val="00944482"/>
    <w:rsid w:val="0094449E"/>
    <w:rsid w:val="00944710"/>
    <w:rsid w:val="009447AE"/>
    <w:rsid w:val="00944889"/>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254"/>
    <w:rsid w:val="009463F8"/>
    <w:rsid w:val="009465FF"/>
    <w:rsid w:val="00946666"/>
    <w:rsid w:val="009468A6"/>
    <w:rsid w:val="009469D8"/>
    <w:rsid w:val="00946AA1"/>
    <w:rsid w:val="00946BDB"/>
    <w:rsid w:val="00946CCD"/>
    <w:rsid w:val="00946DF8"/>
    <w:rsid w:val="00947531"/>
    <w:rsid w:val="0094774C"/>
    <w:rsid w:val="00950054"/>
    <w:rsid w:val="009500EF"/>
    <w:rsid w:val="009503B6"/>
    <w:rsid w:val="0095068D"/>
    <w:rsid w:val="00950706"/>
    <w:rsid w:val="009508D2"/>
    <w:rsid w:val="00950AAC"/>
    <w:rsid w:val="00950AB4"/>
    <w:rsid w:val="00951531"/>
    <w:rsid w:val="00951758"/>
    <w:rsid w:val="009517B8"/>
    <w:rsid w:val="009519F3"/>
    <w:rsid w:val="00951D82"/>
    <w:rsid w:val="00951DE6"/>
    <w:rsid w:val="00952277"/>
    <w:rsid w:val="0095251F"/>
    <w:rsid w:val="009525DB"/>
    <w:rsid w:val="00952604"/>
    <w:rsid w:val="00952779"/>
    <w:rsid w:val="00952801"/>
    <w:rsid w:val="00952846"/>
    <w:rsid w:val="00952860"/>
    <w:rsid w:val="0095293C"/>
    <w:rsid w:val="00952AF8"/>
    <w:rsid w:val="00952DF4"/>
    <w:rsid w:val="00952F68"/>
    <w:rsid w:val="00952FDE"/>
    <w:rsid w:val="00952FF7"/>
    <w:rsid w:val="009533F0"/>
    <w:rsid w:val="0095370F"/>
    <w:rsid w:val="00953740"/>
    <w:rsid w:val="009538E8"/>
    <w:rsid w:val="00953904"/>
    <w:rsid w:val="00953A28"/>
    <w:rsid w:val="00953C20"/>
    <w:rsid w:val="00953EB0"/>
    <w:rsid w:val="00954128"/>
    <w:rsid w:val="009547A7"/>
    <w:rsid w:val="00954DB9"/>
    <w:rsid w:val="00954F12"/>
    <w:rsid w:val="00954FFE"/>
    <w:rsid w:val="0095502C"/>
    <w:rsid w:val="00955C13"/>
    <w:rsid w:val="00955DA2"/>
    <w:rsid w:val="00956060"/>
    <w:rsid w:val="009561D9"/>
    <w:rsid w:val="0095632F"/>
    <w:rsid w:val="0095634D"/>
    <w:rsid w:val="00956636"/>
    <w:rsid w:val="00956DAB"/>
    <w:rsid w:val="00956E35"/>
    <w:rsid w:val="009576B3"/>
    <w:rsid w:val="00957747"/>
    <w:rsid w:val="009578F0"/>
    <w:rsid w:val="00957AE1"/>
    <w:rsid w:val="00957C00"/>
    <w:rsid w:val="00957C4E"/>
    <w:rsid w:val="00957CB5"/>
    <w:rsid w:val="00957EAC"/>
    <w:rsid w:val="009606DD"/>
    <w:rsid w:val="009606E9"/>
    <w:rsid w:val="00960981"/>
    <w:rsid w:val="009609D0"/>
    <w:rsid w:val="00960C9C"/>
    <w:rsid w:val="00960E19"/>
    <w:rsid w:val="00960E79"/>
    <w:rsid w:val="00960E85"/>
    <w:rsid w:val="00960EF2"/>
    <w:rsid w:val="00960F82"/>
    <w:rsid w:val="0096114D"/>
    <w:rsid w:val="00961307"/>
    <w:rsid w:val="0096138C"/>
    <w:rsid w:val="009614A4"/>
    <w:rsid w:val="009615D5"/>
    <w:rsid w:val="0096191D"/>
    <w:rsid w:val="00961935"/>
    <w:rsid w:val="00961ACE"/>
    <w:rsid w:val="00961E94"/>
    <w:rsid w:val="009620AB"/>
    <w:rsid w:val="009623CA"/>
    <w:rsid w:val="00962995"/>
    <w:rsid w:val="0096299A"/>
    <w:rsid w:val="00962B1A"/>
    <w:rsid w:val="00962B51"/>
    <w:rsid w:val="009632EE"/>
    <w:rsid w:val="009634DD"/>
    <w:rsid w:val="009636E9"/>
    <w:rsid w:val="00963710"/>
    <w:rsid w:val="009637A9"/>
    <w:rsid w:val="009637CF"/>
    <w:rsid w:val="00963872"/>
    <w:rsid w:val="00963C5A"/>
    <w:rsid w:val="00963F36"/>
    <w:rsid w:val="00964293"/>
    <w:rsid w:val="00964A43"/>
    <w:rsid w:val="00964C01"/>
    <w:rsid w:val="00964C79"/>
    <w:rsid w:val="00964CEF"/>
    <w:rsid w:val="00964DC8"/>
    <w:rsid w:val="00964F8C"/>
    <w:rsid w:val="00965536"/>
    <w:rsid w:val="0096555E"/>
    <w:rsid w:val="0096572F"/>
    <w:rsid w:val="00965818"/>
    <w:rsid w:val="00965B06"/>
    <w:rsid w:val="00965F96"/>
    <w:rsid w:val="00966189"/>
    <w:rsid w:val="00966A2D"/>
    <w:rsid w:val="00966D41"/>
    <w:rsid w:val="0096713B"/>
    <w:rsid w:val="0096720F"/>
    <w:rsid w:val="00967210"/>
    <w:rsid w:val="009672D3"/>
    <w:rsid w:val="00967513"/>
    <w:rsid w:val="00967A58"/>
    <w:rsid w:val="00967D01"/>
    <w:rsid w:val="00967E67"/>
    <w:rsid w:val="00967ECC"/>
    <w:rsid w:val="009706BF"/>
    <w:rsid w:val="00970862"/>
    <w:rsid w:val="0097086F"/>
    <w:rsid w:val="00970C01"/>
    <w:rsid w:val="00970E59"/>
    <w:rsid w:val="00971237"/>
    <w:rsid w:val="00971511"/>
    <w:rsid w:val="0097185C"/>
    <w:rsid w:val="0097190C"/>
    <w:rsid w:val="00971BF5"/>
    <w:rsid w:val="00971D15"/>
    <w:rsid w:val="00971E50"/>
    <w:rsid w:val="00971E6D"/>
    <w:rsid w:val="00971F85"/>
    <w:rsid w:val="0097201A"/>
    <w:rsid w:val="0097201E"/>
    <w:rsid w:val="0097202F"/>
    <w:rsid w:val="00972063"/>
    <w:rsid w:val="009720E0"/>
    <w:rsid w:val="009723F2"/>
    <w:rsid w:val="009725D1"/>
    <w:rsid w:val="0097285B"/>
    <w:rsid w:val="00972AB4"/>
    <w:rsid w:val="00972D36"/>
    <w:rsid w:val="00973416"/>
    <w:rsid w:val="0097356C"/>
    <w:rsid w:val="009736C3"/>
    <w:rsid w:val="0097397D"/>
    <w:rsid w:val="00973C21"/>
    <w:rsid w:val="00973C4C"/>
    <w:rsid w:val="00973C88"/>
    <w:rsid w:val="0097476F"/>
    <w:rsid w:val="0097481B"/>
    <w:rsid w:val="00974CA4"/>
    <w:rsid w:val="00975051"/>
    <w:rsid w:val="009750EF"/>
    <w:rsid w:val="00975348"/>
    <w:rsid w:val="00975395"/>
    <w:rsid w:val="00975409"/>
    <w:rsid w:val="0097555A"/>
    <w:rsid w:val="00975603"/>
    <w:rsid w:val="00975717"/>
    <w:rsid w:val="00975818"/>
    <w:rsid w:val="0097591A"/>
    <w:rsid w:val="009759ED"/>
    <w:rsid w:val="00975ADD"/>
    <w:rsid w:val="00975AE5"/>
    <w:rsid w:val="00975CEC"/>
    <w:rsid w:val="00975E83"/>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80202"/>
    <w:rsid w:val="00980522"/>
    <w:rsid w:val="0098057B"/>
    <w:rsid w:val="0098059E"/>
    <w:rsid w:val="009805BA"/>
    <w:rsid w:val="009808AF"/>
    <w:rsid w:val="009809EA"/>
    <w:rsid w:val="00980A46"/>
    <w:rsid w:val="00980AEB"/>
    <w:rsid w:val="00980B8F"/>
    <w:rsid w:val="00980EC9"/>
    <w:rsid w:val="00981009"/>
    <w:rsid w:val="00981129"/>
    <w:rsid w:val="0098138D"/>
    <w:rsid w:val="00981B99"/>
    <w:rsid w:val="00981D34"/>
    <w:rsid w:val="00981DCC"/>
    <w:rsid w:val="00981F70"/>
    <w:rsid w:val="009820D0"/>
    <w:rsid w:val="0098229E"/>
    <w:rsid w:val="00982649"/>
    <w:rsid w:val="009828C1"/>
    <w:rsid w:val="00982AB7"/>
    <w:rsid w:val="00982C2F"/>
    <w:rsid w:val="00982E88"/>
    <w:rsid w:val="009836AB"/>
    <w:rsid w:val="009836F3"/>
    <w:rsid w:val="009839ED"/>
    <w:rsid w:val="00983DF4"/>
    <w:rsid w:val="009840B2"/>
    <w:rsid w:val="009841EB"/>
    <w:rsid w:val="0098446D"/>
    <w:rsid w:val="00984B72"/>
    <w:rsid w:val="00984D78"/>
    <w:rsid w:val="00984DB4"/>
    <w:rsid w:val="0098566D"/>
    <w:rsid w:val="00985747"/>
    <w:rsid w:val="00985935"/>
    <w:rsid w:val="009859F8"/>
    <w:rsid w:val="00985CDA"/>
    <w:rsid w:val="00986336"/>
    <w:rsid w:val="009864E8"/>
    <w:rsid w:val="00986759"/>
    <w:rsid w:val="009869B0"/>
    <w:rsid w:val="00986A20"/>
    <w:rsid w:val="00986AF5"/>
    <w:rsid w:val="00986B15"/>
    <w:rsid w:val="00986B23"/>
    <w:rsid w:val="00986CFA"/>
    <w:rsid w:val="00986EA5"/>
    <w:rsid w:val="00986F75"/>
    <w:rsid w:val="00987256"/>
    <w:rsid w:val="00987603"/>
    <w:rsid w:val="009878FE"/>
    <w:rsid w:val="00987A7F"/>
    <w:rsid w:val="00987A95"/>
    <w:rsid w:val="00987CBD"/>
    <w:rsid w:val="00987D10"/>
    <w:rsid w:val="00987F74"/>
    <w:rsid w:val="0099036B"/>
    <w:rsid w:val="0099064C"/>
    <w:rsid w:val="009906E2"/>
    <w:rsid w:val="009907F8"/>
    <w:rsid w:val="00990878"/>
    <w:rsid w:val="00990C0D"/>
    <w:rsid w:val="00990C70"/>
    <w:rsid w:val="00990D73"/>
    <w:rsid w:val="00990E71"/>
    <w:rsid w:val="00990E8F"/>
    <w:rsid w:val="00990F66"/>
    <w:rsid w:val="00990FCD"/>
    <w:rsid w:val="0099113C"/>
    <w:rsid w:val="00991658"/>
    <w:rsid w:val="00991789"/>
    <w:rsid w:val="009917E4"/>
    <w:rsid w:val="00991E1D"/>
    <w:rsid w:val="00991FB8"/>
    <w:rsid w:val="009921D4"/>
    <w:rsid w:val="0099238B"/>
    <w:rsid w:val="009923B8"/>
    <w:rsid w:val="009923FA"/>
    <w:rsid w:val="00992428"/>
    <w:rsid w:val="00992735"/>
    <w:rsid w:val="0099276B"/>
    <w:rsid w:val="009927D4"/>
    <w:rsid w:val="00992A60"/>
    <w:rsid w:val="00992B07"/>
    <w:rsid w:val="00992C91"/>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DB3"/>
    <w:rsid w:val="00994DD0"/>
    <w:rsid w:val="00994E02"/>
    <w:rsid w:val="00994FD4"/>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9CA"/>
    <w:rsid w:val="0099735C"/>
    <w:rsid w:val="00997395"/>
    <w:rsid w:val="00997495"/>
    <w:rsid w:val="0099762E"/>
    <w:rsid w:val="0099780B"/>
    <w:rsid w:val="0099785E"/>
    <w:rsid w:val="00997E5D"/>
    <w:rsid w:val="009A021D"/>
    <w:rsid w:val="009A0512"/>
    <w:rsid w:val="009A0D3B"/>
    <w:rsid w:val="009A0F97"/>
    <w:rsid w:val="009A133D"/>
    <w:rsid w:val="009A139E"/>
    <w:rsid w:val="009A151C"/>
    <w:rsid w:val="009A1919"/>
    <w:rsid w:val="009A1ADC"/>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40"/>
    <w:rsid w:val="009A2DBD"/>
    <w:rsid w:val="009A2DC9"/>
    <w:rsid w:val="009A3288"/>
    <w:rsid w:val="009A3307"/>
    <w:rsid w:val="009A348B"/>
    <w:rsid w:val="009A373A"/>
    <w:rsid w:val="009A3F6E"/>
    <w:rsid w:val="009A4086"/>
    <w:rsid w:val="009A496E"/>
    <w:rsid w:val="009A4B9A"/>
    <w:rsid w:val="009A4BFB"/>
    <w:rsid w:val="009A4C5A"/>
    <w:rsid w:val="009A4D1D"/>
    <w:rsid w:val="009A5244"/>
    <w:rsid w:val="009A534F"/>
    <w:rsid w:val="009A5429"/>
    <w:rsid w:val="009A5515"/>
    <w:rsid w:val="009A5677"/>
    <w:rsid w:val="009A585D"/>
    <w:rsid w:val="009A59E9"/>
    <w:rsid w:val="009A5D2A"/>
    <w:rsid w:val="009A5E2B"/>
    <w:rsid w:val="009A6025"/>
    <w:rsid w:val="009A62D2"/>
    <w:rsid w:val="009A6737"/>
    <w:rsid w:val="009A6B12"/>
    <w:rsid w:val="009A6E3E"/>
    <w:rsid w:val="009A715B"/>
    <w:rsid w:val="009A720E"/>
    <w:rsid w:val="009A72A3"/>
    <w:rsid w:val="009A72D1"/>
    <w:rsid w:val="009A73D5"/>
    <w:rsid w:val="009A754F"/>
    <w:rsid w:val="009A76CA"/>
    <w:rsid w:val="009A7727"/>
    <w:rsid w:val="009A78B4"/>
    <w:rsid w:val="009A7D7B"/>
    <w:rsid w:val="009A7E5E"/>
    <w:rsid w:val="009B0014"/>
    <w:rsid w:val="009B0059"/>
    <w:rsid w:val="009B017F"/>
    <w:rsid w:val="009B03C2"/>
    <w:rsid w:val="009B0A64"/>
    <w:rsid w:val="009B0AD7"/>
    <w:rsid w:val="009B0C7C"/>
    <w:rsid w:val="009B0D21"/>
    <w:rsid w:val="009B1056"/>
    <w:rsid w:val="009B1488"/>
    <w:rsid w:val="009B1695"/>
    <w:rsid w:val="009B1905"/>
    <w:rsid w:val="009B2084"/>
    <w:rsid w:val="009B21D9"/>
    <w:rsid w:val="009B24F6"/>
    <w:rsid w:val="009B264A"/>
    <w:rsid w:val="009B2773"/>
    <w:rsid w:val="009B27D5"/>
    <w:rsid w:val="009B2981"/>
    <w:rsid w:val="009B2A33"/>
    <w:rsid w:val="009B2F2F"/>
    <w:rsid w:val="009B33F8"/>
    <w:rsid w:val="009B3411"/>
    <w:rsid w:val="009B36DD"/>
    <w:rsid w:val="009B370D"/>
    <w:rsid w:val="009B394B"/>
    <w:rsid w:val="009B3983"/>
    <w:rsid w:val="009B3A11"/>
    <w:rsid w:val="009B3F50"/>
    <w:rsid w:val="009B3F9B"/>
    <w:rsid w:val="009B4164"/>
    <w:rsid w:val="009B42A4"/>
    <w:rsid w:val="009B4319"/>
    <w:rsid w:val="009B43D2"/>
    <w:rsid w:val="009B4676"/>
    <w:rsid w:val="009B477C"/>
    <w:rsid w:val="009B485A"/>
    <w:rsid w:val="009B4D64"/>
    <w:rsid w:val="009B4DD2"/>
    <w:rsid w:val="009B4E95"/>
    <w:rsid w:val="009B50D4"/>
    <w:rsid w:val="009B511C"/>
    <w:rsid w:val="009B51FB"/>
    <w:rsid w:val="009B53FA"/>
    <w:rsid w:val="009B55F9"/>
    <w:rsid w:val="009B573E"/>
    <w:rsid w:val="009B5B35"/>
    <w:rsid w:val="009B5EFD"/>
    <w:rsid w:val="009B6031"/>
    <w:rsid w:val="009B63A6"/>
    <w:rsid w:val="009B6B70"/>
    <w:rsid w:val="009B6B99"/>
    <w:rsid w:val="009B6CDC"/>
    <w:rsid w:val="009B6DB4"/>
    <w:rsid w:val="009B6F01"/>
    <w:rsid w:val="009B7077"/>
    <w:rsid w:val="009B720E"/>
    <w:rsid w:val="009B7285"/>
    <w:rsid w:val="009B7610"/>
    <w:rsid w:val="009B7765"/>
    <w:rsid w:val="009B7834"/>
    <w:rsid w:val="009B79E6"/>
    <w:rsid w:val="009B7BA9"/>
    <w:rsid w:val="009B7BF0"/>
    <w:rsid w:val="009C004B"/>
    <w:rsid w:val="009C02F4"/>
    <w:rsid w:val="009C0529"/>
    <w:rsid w:val="009C08FE"/>
    <w:rsid w:val="009C0B37"/>
    <w:rsid w:val="009C0E08"/>
    <w:rsid w:val="009C113D"/>
    <w:rsid w:val="009C11C0"/>
    <w:rsid w:val="009C15F0"/>
    <w:rsid w:val="009C16A5"/>
    <w:rsid w:val="009C1993"/>
    <w:rsid w:val="009C199B"/>
    <w:rsid w:val="009C19F8"/>
    <w:rsid w:val="009C1D81"/>
    <w:rsid w:val="009C1D8C"/>
    <w:rsid w:val="009C1FBB"/>
    <w:rsid w:val="009C1FCE"/>
    <w:rsid w:val="009C2579"/>
    <w:rsid w:val="009C2819"/>
    <w:rsid w:val="009C2AD3"/>
    <w:rsid w:val="009C2E42"/>
    <w:rsid w:val="009C32A3"/>
    <w:rsid w:val="009C3486"/>
    <w:rsid w:val="009C3875"/>
    <w:rsid w:val="009C3CF4"/>
    <w:rsid w:val="009C3CFE"/>
    <w:rsid w:val="009C3EA4"/>
    <w:rsid w:val="009C406A"/>
    <w:rsid w:val="009C42EE"/>
    <w:rsid w:val="009C44CD"/>
    <w:rsid w:val="009C45C5"/>
    <w:rsid w:val="009C45EF"/>
    <w:rsid w:val="009C49DA"/>
    <w:rsid w:val="009C4B2A"/>
    <w:rsid w:val="009C4CA4"/>
    <w:rsid w:val="009C504B"/>
    <w:rsid w:val="009C51B7"/>
    <w:rsid w:val="009C51EC"/>
    <w:rsid w:val="009C5292"/>
    <w:rsid w:val="009C5545"/>
    <w:rsid w:val="009C56FA"/>
    <w:rsid w:val="009C5A5E"/>
    <w:rsid w:val="009C5CBE"/>
    <w:rsid w:val="009C6149"/>
    <w:rsid w:val="009C6159"/>
    <w:rsid w:val="009C61AE"/>
    <w:rsid w:val="009C62AC"/>
    <w:rsid w:val="009C62D6"/>
    <w:rsid w:val="009C63AB"/>
    <w:rsid w:val="009C66AE"/>
    <w:rsid w:val="009C671A"/>
    <w:rsid w:val="009C6848"/>
    <w:rsid w:val="009C685F"/>
    <w:rsid w:val="009C692B"/>
    <w:rsid w:val="009C6CAF"/>
    <w:rsid w:val="009C6CBB"/>
    <w:rsid w:val="009C6EF6"/>
    <w:rsid w:val="009C6F46"/>
    <w:rsid w:val="009C71EE"/>
    <w:rsid w:val="009C729D"/>
    <w:rsid w:val="009C72A1"/>
    <w:rsid w:val="009C72D8"/>
    <w:rsid w:val="009C72E6"/>
    <w:rsid w:val="009C75A3"/>
    <w:rsid w:val="009C7C37"/>
    <w:rsid w:val="009D0003"/>
    <w:rsid w:val="009D0287"/>
    <w:rsid w:val="009D03DF"/>
    <w:rsid w:val="009D0423"/>
    <w:rsid w:val="009D0542"/>
    <w:rsid w:val="009D06BF"/>
    <w:rsid w:val="009D08D0"/>
    <w:rsid w:val="009D0CCB"/>
    <w:rsid w:val="009D0CFE"/>
    <w:rsid w:val="009D0D6B"/>
    <w:rsid w:val="009D0F10"/>
    <w:rsid w:val="009D1098"/>
    <w:rsid w:val="009D11A5"/>
    <w:rsid w:val="009D132A"/>
    <w:rsid w:val="009D140C"/>
    <w:rsid w:val="009D167B"/>
    <w:rsid w:val="009D1818"/>
    <w:rsid w:val="009D1A49"/>
    <w:rsid w:val="009D1A5E"/>
    <w:rsid w:val="009D1A89"/>
    <w:rsid w:val="009D1B60"/>
    <w:rsid w:val="009D1BD5"/>
    <w:rsid w:val="009D1CA1"/>
    <w:rsid w:val="009D1F03"/>
    <w:rsid w:val="009D1F65"/>
    <w:rsid w:val="009D2101"/>
    <w:rsid w:val="009D21D3"/>
    <w:rsid w:val="009D2297"/>
    <w:rsid w:val="009D2349"/>
    <w:rsid w:val="009D2A80"/>
    <w:rsid w:val="009D2B5A"/>
    <w:rsid w:val="009D2B8F"/>
    <w:rsid w:val="009D2C18"/>
    <w:rsid w:val="009D2C19"/>
    <w:rsid w:val="009D3350"/>
    <w:rsid w:val="009D3412"/>
    <w:rsid w:val="009D3A8D"/>
    <w:rsid w:val="009D3B84"/>
    <w:rsid w:val="009D3C33"/>
    <w:rsid w:val="009D3CE6"/>
    <w:rsid w:val="009D3F41"/>
    <w:rsid w:val="009D403B"/>
    <w:rsid w:val="009D459C"/>
    <w:rsid w:val="009D470F"/>
    <w:rsid w:val="009D4A13"/>
    <w:rsid w:val="009D4BC6"/>
    <w:rsid w:val="009D4CB8"/>
    <w:rsid w:val="009D4DB0"/>
    <w:rsid w:val="009D5015"/>
    <w:rsid w:val="009D53F1"/>
    <w:rsid w:val="009D5717"/>
    <w:rsid w:val="009D5827"/>
    <w:rsid w:val="009D5CDC"/>
    <w:rsid w:val="009D5D06"/>
    <w:rsid w:val="009D5D22"/>
    <w:rsid w:val="009D5F7E"/>
    <w:rsid w:val="009D600D"/>
    <w:rsid w:val="009D6740"/>
    <w:rsid w:val="009D69B3"/>
    <w:rsid w:val="009D6CAE"/>
    <w:rsid w:val="009D6CF1"/>
    <w:rsid w:val="009D6CFB"/>
    <w:rsid w:val="009D7188"/>
    <w:rsid w:val="009D736D"/>
    <w:rsid w:val="009D73A2"/>
    <w:rsid w:val="009D74E9"/>
    <w:rsid w:val="009D75B6"/>
    <w:rsid w:val="009D75D6"/>
    <w:rsid w:val="009D765A"/>
    <w:rsid w:val="009D7708"/>
    <w:rsid w:val="009D7EB1"/>
    <w:rsid w:val="009E0166"/>
    <w:rsid w:val="009E064C"/>
    <w:rsid w:val="009E06B6"/>
    <w:rsid w:val="009E0759"/>
    <w:rsid w:val="009E07FC"/>
    <w:rsid w:val="009E08D7"/>
    <w:rsid w:val="009E0BBC"/>
    <w:rsid w:val="009E0D71"/>
    <w:rsid w:val="009E0DDB"/>
    <w:rsid w:val="009E1097"/>
    <w:rsid w:val="009E1130"/>
    <w:rsid w:val="009E12DF"/>
    <w:rsid w:val="009E143A"/>
    <w:rsid w:val="009E154F"/>
    <w:rsid w:val="009E1AC7"/>
    <w:rsid w:val="009E1ACA"/>
    <w:rsid w:val="009E1B56"/>
    <w:rsid w:val="009E1DFD"/>
    <w:rsid w:val="009E1E0B"/>
    <w:rsid w:val="009E25AA"/>
    <w:rsid w:val="009E267A"/>
    <w:rsid w:val="009E2709"/>
    <w:rsid w:val="009E271E"/>
    <w:rsid w:val="009E28FB"/>
    <w:rsid w:val="009E302B"/>
    <w:rsid w:val="009E32C6"/>
    <w:rsid w:val="009E3533"/>
    <w:rsid w:val="009E398D"/>
    <w:rsid w:val="009E39AA"/>
    <w:rsid w:val="009E39DD"/>
    <w:rsid w:val="009E4A6A"/>
    <w:rsid w:val="009E505E"/>
    <w:rsid w:val="009E51F0"/>
    <w:rsid w:val="009E53B0"/>
    <w:rsid w:val="009E5427"/>
    <w:rsid w:val="009E55B5"/>
    <w:rsid w:val="009E5615"/>
    <w:rsid w:val="009E568E"/>
    <w:rsid w:val="009E56FE"/>
    <w:rsid w:val="009E5C9C"/>
    <w:rsid w:val="009E5E80"/>
    <w:rsid w:val="009E5E96"/>
    <w:rsid w:val="009E5EDD"/>
    <w:rsid w:val="009E6204"/>
    <w:rsid w:val="009E634C"/>
    <w:rsid w:val="009E63CD"/>
    <w:rsid w:val="009E6783"/>
    <w:rsid w:val="009E688E"/>
    <w:rsid w:val="009E69D7"/>
    <w:rsid w:val="009E6A7A"/>
    <w:rsid w:val="009E6A9C"/>
    <w:rsid w:val="009E6B2A"/>
    <w:rsid w:val="009E6C6E"/>
    <w:rsid w:val="009E6F1A"/>
    <w:rsid w:val="009E6F4F"/>
    <w:rsid w:val="009E7A72"/>
    <w:rsid w:val="009E7DBB"/>
    <w:rsid w:val="009E7EC0"/>
    <w:rsid w:val="009F0011"/>
    <w:rsid w:val="009F062E"/>
    <w:rsid w:val="009F066D"/>
    <w:rsid w:val="009F06A9"/>
    <w:rsid w:val="009F071B"/>
    <w:rsid w:val="009F0D6F"/>
    <w:rsid w:val="009F0F92"/>
    <w:rsid w:val="009F0FFD"/>
    <w:rsid w:val="009F1428"/>
    <w:rsid w:val="009F152C"/>
    <w:rsid w:val="009F178C"/>
    <w:rsid w:val="009F1AAB"/>
    <w:rsid w:val="009F1B6E"/>
    <w:rsid w:val="009F1E22"/>
    <w:rsid w:val="009F2076"/>
    <w:rsid w:val="009F2295"/>
    <w:rsid w:val="009F2467"/>
    <w:rsid w:val="009F297A"/>
    <w:rsid w:val="009F2B85"/>
    <w:rsid w:val="009F3032"/>
    <w:rsid w:val="009F31A7"/>
    <w:rsid w:val="009F33DC"/>
    <w:rsid w:val="009F3920"/>
    <w:rsid w:val="009F3948"/>
    <w:rsid w:val="009F3A1F"/>
    <w:rsid w:val="009F3F7A"/>
    <w:rsid w:val="009F3FE7"/>
    <w:rsid w:val="009F4049"/>
    <w:rsid w:val="009F423F"/>
    <w:rsid w:val="009F4244"/>
    <w:rsid w:val="009F4260"/>
    <w:rsid w:val="009F4304"/>
    <w:rsid w:val="009F44B2"/>
    <w:rsid w:val="009F494F"/>
    <w:rsid w:val="009F4A1C"/>
    <w:rsid w:val="009F4ED4"/>
    <w:rsid w:val="009F4F96"/>
    <w:rsid w:val="009F503C"/>
    <w:rsid w:val="009F50B1"/>
    <w:rsid w:val="009F5151"/>
    <w:rsid w:val="009F515D"/>
    <w:rsid w:val="009F51C0"/>
    <w:rsid w:val="009F5335"/>
    <w:rsid w:val="009F5469"/>
    <w:rsid w:val="009F587E"/>
    <w:rsid w:val="009F58AE"/>
    <w:rsid w:val="009F60B3"/>
    <w:rsid w:val="009F6157"/>
    <w:rsid w:val="009F62E7"/>
    <w:rsid w:val="009F676F"/>
    <w:rsid w:val="009F6825"/>
    <w:rsid w:val="009F6847"/>
    <w:rsid w:val="009F6B7C"/>
    <w:rsid w:val="009F6DF8"/>
    <w:rsid w:val="009F6E76"/>
    <w:rsid w:val="009F7088"/>
    <w:rsid w:val="009F727D"/>
    <w:rsid w:val="009F736A"/>
    <w:rsid w:val="009F7866"/>
    <w:rsid w:val="009F7902"/>
    <w:rsid w:val="00A00029"/>
    <w:rsid w:val="00A000E8"/>
    <w:rsid w:val="00A00524"/>
    <w:rsid w:val="00A00581"/>
    <w:rsid w:val="00A0083F"/>
    <w:rsid w:val="00A008A5"/>
    <w:rsid w:val="00A00AFF"/>
    <w:rsid w:val="00A00E80"/>
    <w:rsid w:val="00A00E99"/>
    <w:rsid w:val="00A00F3E"/>
    <w:rsid w:val="00A01053"/>
    <w:rsid w:val="00A011A7"/>
    <w:rsid w:val="00A011FF"/>
    <w:rsid w:val="00A014CA"/>
    <w:rsid w:val="00A01659"/>
    <w:rsid w:val="00A01677"/>
    <w:rsid w:val="00A01809"/>
    <w:rsid w:val="00A01964"/>
    <w:rsid w:val="00A01AA4"/>
    <w:rsid w:val="00A01AD0"/>
    <w:rsid w:val="00A01B59"/>
    <w:rsid w:val="00A01C10"/>
    <w:rsid w:val="00A01E33"/>
    <w:rsid w:val="00A02405"/>
    <w:rsid w:val="00A024C9"/>
    <w:rsid w:val="00A02805"/>
    <w:rsid w:val="00A02874"/>
    <w:rsid w:val="00A02B56"/>
    <w:rsid w:val="00A02C0C"/>
    <w:rsid w:val="00A02EE1"/>
    <w:rsid w:val="00A02F96"/>
    <w:rsid w:val="00A035AA"/>
    <w:rsid w:val="00A03D06"/>
    <w:rsid w:val="00A042A2"/>
    <w:rsid w:val="00A0438C"/>
    <w:rsid w:val="00A0471F"/>
    <w:rsid w:val="00A04A3E"/>
    <w:rsid w:val="00A04C50"/>
    <w:rsid w:val="00A04D47"/>
    <w:rsid w:val="00A0511E"/>
    <w:rsid w:val="00A052ED"/>
    <w:rsid w:val="00A05371"/>
    <w:rsid w:val="00A054C9"/>
    <w:rsid w:val="00A05AC6"/>
    <w:rsid w:val="00A060B4"/>
    <w:rsid w:val="00A060EB"/>
    <w:rsid w:val="00A0636B"/>
    <w:rsid w:val="00A06CF7"/>
    <w:rsid w:val="00A06D47"/>
    <w:rsid w:val="00A06E6F"/>
    <w:rsid w:val="00A070DD"/>
    <w:rsid w:val="00A07365"/>
    <w:rsid w:val="00A07514"/>
    <w:rsid w:val="00A07558"/>
    <w:rsid w:val="00A078AB"/>
    <w:rsid w:val="00A102D1"/>
    <w:rsid w:val="00A1031F"/>
    <w:rsid w:val="00A108F7"/>
    <w:rsid w:val="00A10914"/>
    <w:rsid w:val="00A10A27"/>
    <w:rsid w:val="00A10A9E"/>
    <w:rsid w:val="00A10CD3"/>
    <w:rsid w:val="00A10D24"/>
    <w:rsid w:val="00A10F73"/>
    <w:rsid w:val="00A113F3"/>
    <w:rsid w:val="00A115BF"/>
    <w:rsid w:val="00A11863"/>
    <w:rsid w:val="00A118FA"/>
    <w:rsid w:val="00A11A14"/>
    <w:rsid w:val="00A11A26"/>
    <w:rsid w:val="00A11A61"/>
    <w:rsid w:val="00A11AD2"/>
    <w:rsid w:val="00A11B95"/>
    <w:rsid w:val="00A11C1E"/>
    <w:rsid w:val="00A11C20"/>
    <w:rsid w:val="00A11F12"/>
    <w:rsid w:val="00A11FD6"/>
    <w:rsid w:val="00A12425"/>
    <w:rsid w:val="00A12641"/>
    <w:rsid w:val="00A126A9"/>
    <w:rsid w:val="00A1279B"/>
    <w:rsid w:val="00A12815"/>
    <w:rsid w:val="00A128F8"/>
    <w:rsid w:val="00A12AB9"/>
    <w:rsid w:val="00A12F49"/>
    <w:rsid w:val="00A12FA4"/>
    <w:rsid w:val="00A131A5"/>
    <w:rsid w:val="00A132A9"/>
    <w:rsid w:val="00A132EA"/>
    <w:rsid w:val="00A132F6"/>
    <w:rsid w:val="00A1361A"/>
    <w:rsid w:val="00A137F2"/>
    <w:rsid w:val="00A13CC8"/>
    <w:rsid w:val="00A14112"/>
    <w:rsid w:val="00A14113"/>
    <w:rsid w:val="00A14120"/>
    <w:rsid w:val="00A1416C"/>
    <w:rsid w:val="00A1424A"/>
    <w:rsid w:val="00A1427A"/>
    <w:rsid w:val="00A145E0"/>
    <w:rsid w:val="00A14675"/>
    <w:rsid w:val="00A14693"/>
    <w:rsid w:val="00A14870"/>
    <w:rsid w:val="00A1488E"/>
    <w:rsid w:val="00A14906"/>
    <w:rsid w:val="00A1495D"/>
    <w:rsid w:val="00A149BE"/>
    <w:rsid w:val="00A14AB7"/>
    <w:rsid w:val="00A14D1C"/>
    <w:rsid w:val="00A14DF4"/>
    <w:rsid w:val="00A14FC0"/>
    <w:rsid w:val="00A14FF6"/>
    <w:rsid w:val="00A15341"/>
    <w:rsid w:val="00A155F1"/>
    <w:rsid w:val="00A15748"/>
    <w:rsid w:val="00A15789"/>
    <w:rsid w:val="00A158D0"/>
    <w:rsid w:val="00A15A0C"/>
    <w:rsid w:val="00A15BD6"/>
    <w:rsid w:val="00A15CDE"/>
    <w:rsid w:val="00A15D94"/>
    <w:rsid w:val="00A15E30"/>
    <w:rsid w:val="00A15F56"/>
    <w:rsid w:val="00A15FD3"/>
    <w:rsid w:val="00A16AFB"/>
    <w:rsid w:val="00A16B6B"/>
    <w:rsid w:val="00A16BD2"/>
    <w:rsid w:val="00A170A8"/>
    <w:rsid w:val="00A17926"/>
    <w:rsid w:val="00A17D36"/>
    <w:rsid w:val="00A17D8D"/>
    <w:rsid w:val="00A17D96"/>
    <w:rsid w:val="00A17EB7"/>
    <w:rsid w:val="00A17FEF"/>
    <w:rsid w:val="00A2035D"/>
    <w:rsid w:val="00A206E4"/>
    <w:rsid w:val="00A20702"/>
    <w:rsid w:val="00A20703"/>
    <w:rsid w:val="00A2080F"/>
    <w:rsid w:val="00A20A0B"/>
    <w:rsid w:val="00A20A0C"/>
    <w:rsid w:val="00A20A26"/>
    <w:rsid w:val="00A20AC2"/>
    <w:rsid w:val="00A21031"/>
    <w:rsid w:val="00A212E5"/>
    <w:rsid w:val="00A21376"/>
    <w:rsid w:val="00A2150A"/>
    <w:rsid w:val="00A2180C"/>
    <w:rsid w:val="00A21940"/>
    <w:rsid w:val="00A219A3"/>
    <w:rsid w:val="00A21E42"/>
    <w:rsid w:val="00A21E7F"/>
    <w:rsid w:val="00A2236B"/>
    <w:rsid w:val="00A22866"/>
    <w:rsid w:val="00A22DDE"/>
    <w:rsid w:val="00A23076"/>
    <w:rsid w:val="00A238DC"/>
    <w:rsid w:val="00A239B8"/>
    <w:rsid w:val="00A23C05"/>
    <w:rsid w:val="00A23CA3"/>
    <w:rsid w:val="00A23E58"/>
    <w:rsid w:val="00A23E66"/>
    <w:rsid w:val="00A2429F"/>
    <w:rsid w:val="00A2433D"/>
    <w:rsid w:val="00A2433E"/>
    <w:rsid w:val="00A24445"/>
    <w:rsid w:val="00A24549"/>
    <w:rsid w:val="00A2467C"/>
    <w:rsid w:val="00A24820"/>
    <w:rsid w:val="00A2491F"/>
    <w:rsid w:val="00A24C6C"/>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6A"/>
    <w:rsid w:val="00A266AD"/>
    <w:rsid w:val="00A26739"/>
    <w:rsid w:val="00A267BC"/>
    <w:rsid w:val="00A268AF"/>
    <w:rsid w:val="00A269EB"/>
    <w:rsid w:val="00A26B67"/>
    <w:rsid w:val="00A26C30"/>
    <w:rsid w:val="00A26C43"/>
    <w:rsid w:val="00A26D05"/>
    <w:rsid w:val="00A270AB"/>
    <w:rsid w:val="00A2723B"/>
    <w:rsid w:val="00A273B8"/>
    <w:rsid w:val="00A275F0"/>
    <w:rsid w:val="00A278A8"/>
    <w:rsid w:val="00A27C55"/>
    <w:rsid w:val="00A27D07"/>
    <w:rsid w:val="00A27E3F"/>
    <w:rsid w:val="00A27EE4"/>
    <w:rsid w:val="00A300BA"/>
    <w:rsid w:val="00A30141"/>
    <w:rsid w:val="00A30292"/>
    <w:rsid w:val="00A302D6"/>
    <w:rsid w:val="00A30493"/>
    <w:rsid w:val="00A305DD"/>
    <w:rsid w:val="00A30B0B"/>
    <w:rsid w:val="00A30C76"/>
    <w:rsid w:val="00A30CDF"/>
    <w:rsid w:val="00A31059"/>
    <w:rsid w:val="00A31572"/>
    <w:rsid w:val="00A317A5"/>
    <w:rsid w:val="00A3190D"/>
    <w:rsid w:val="00A319E6"/>
    <w:rsid w:val="00A31B12"/>
    <w:rsid w:val="00A31BBD"/>
    <w:rsid w:val="00A31D41"/>
    <w:rsid w:val="00A3208A"/>
    <w:rsid w:val="00A3231E"/>
    <w:rsid w:val="00A325BC"/>
    <w:rsid w:val="00A3267E"/>
    <w:rsid w:val="00A3268D"/>
    <w:rsid w:val="00A3288C"/>
    <w:rsid w:val="00A3291E"/>
    <w:rsid w:val="00A32A41"/>
    <w:rsid w:val="00A32E3A"/>
    <w:rsid w:val="00A32EEF"/>
    <w:rsid w:val="00A334A2"/>
    <w:rsid w:val="00A3351A"/>
    <w:rsid w:val="00A3368C"/>
    <w:rsid w:val="00A33866"/>
    <w:rsid w:val="00A339E7"/>
    <w:rsid w:val="00A340AA"/>
    <w:rsid w:val="00A341B5"/>
    <w:rsid w:val="00A343EF"/>
    <w:rsid w:val="00A3445C"/>
    <w:rsid w:val="00A3463A"/>
    <w:rsid w:val="00A347D1"/>
    <w:rsid w:val="00A34A2A"/>
    <w:rsid w:val="00A34A69"/>
    <w:rsid w:val="00A34B79"/>
    <w:rsid w:val="00A34C23"/>
    <w:rsid w:val="00A34F3B"/>
    <w:rsid w:val="00A350DF"/>
    <w:rsid w:val="00A353E5"/>
    <w:rsid w:val="00A35417"/>
    <w:rsid w:val="00A358FF"/>
    <w:rsid w:val="00A35B60"/>
    <w:rsid w:val="00A35B78"/>
    <w:rsid w:val="00A35FA3"/>
    <w:rsid w:val="00A36296"/>
    <w:rsid w:val="00A3642D"/>
    <w:rsid w:val="00A364B7"/>
    <w:rsid w:val="00A364E1"/>
    <w:rsid w:val="00A36633"/>
    <w:rsid w:val="00A368FC"/>
    <w:rsid w:val="00A369BB"/>
    <w:rsid w:val="00A36CFA"/>
    <w:rsid w:val="00A36D4D"/>
    <w:rsid w:val="00A36E5C"/>
    <w:rsid w:val="00A373C2"/>
    <w:rsid w:val="00A3758E"/>
    <w:rsid w:val="00A375F3"/>
    <w:rsid w:val="00A37608"/>
    <w:rsid w:val="00A37636"/>
    <w:rsid w:val="00A37707"/>
    <w:rsid w:val="00A37A89"/>
    <w:rsid w:val="00A37CBC"/>
    <w:rsid w:val="00A37E45"/>
    <w:rsid w:val="00A40110"/>
    <w:rsid w:val="00A40172"/>
    <w:rsid w:val="00A40405"/>
    <w:rsid w:val="00A40430"/>
    <w:rsid w:val="00A40558"/>
    <w:rsid w:val="00A40AED"/>
    <w:rsid w:val="00A40B5C"/>
    <w:rsid w:val="00A40BE8"/>
    <w:rsid w:val="00A40C65"/>
    <w:rsid w:val="00A40DFC"/>
    <w:rsid w:val="00A41273"/>
    <w:rsid w:val="00A415E6"/>
    <w:rsid w:val="00A41676"/>
    <w:rsid w:val="00A41AB4"/>
    <w:rsid w:val="00A41D6D"/>
    <w:rsid w:val="00A41EFA"/>
    <w:rsid w:val="00A4243C"/>
    <w:rsid w:val="00A42485"/>
    <w:rsid w:val="00A42623"/>
    <w:rsid w:val="00A429E7"/>
    <w:rsid w:val="00A42A55"/>
    <w:rsid w:val="00A42F86"/>
    <w:rsid w:val="00A430CA"/>
    <w:rsid w:val="00A430F4"/>
    <w:rsid w:val="00A431DF"/>
    <w:rsid w:val="00A43234"/>
    <w:rsid w:val="00A435CC"/>
    <w:rsid w:val="00A4374F"/>
    <w:rsid w:val="00A43848"/>
    <w:rsid w:val="00A4389E"/>
    <w:rsid w:val="00A43AF2"/>
    <w:rsid w:val="00A43C50"/>
    <w:rsid w:val="00A43C6F"/>
    <w:rsid w:val="00A43D46"/>
    <w:rsid w:val="00A43ED8"/>
    <w:rsid w:val="00A443B8"/>
    <w:rsid w:val="00A44732"/>
    <w:rsid w:val="00A44789"/>
    <w:rsid w:val="00A44897"/>
    <w:rsid w:val="00A449CD"/>
    <w:rsid w:val="00A44B68"/>
    <w:rsid w:val="00A45252"/>
    <w:rsid w:val="00A452EA"/>
    <w:rsid w:val="00A453E8"/>
    <w:rsid w:val="00A45516"/>
    <w:rsid w:val="00A45549"/>
    <w:rsid w:val="00A45848"/>
    <w:rsid w:val="00A45B3C"/>
    <w:rsid w:val="00A45C14"/>
    <w:rsid w:val="00A45CA8"/>
    <w:rsid w:val="00A45CE0"/>
    <w:rsid w:val="00A46144"/>
    <w:rsid w:val="00A4616A"/>
    <w:rsid w:val="00A46623"/>
    <w:rsid w:val="00A46754"/>
    <w:rsid w:val="00A46E9B"/>
    <w:rsid w:val="00A46EDD"/>
    <w:rsid w:val="00A472A7"/>
    <w:rsid w:val="00A47495"/>
    <w:rsid w:val="00A474D3"/>
    <w:rsid w:val="00A47686"/>
    <w:rsid w:val="00A476AE"/>
    <w:rsid w:val="00A47A11"/>
    <w:rsid w:val="00A47B20"/>
    <w:rsid w:val="00A47B50"/>
    <w:rsid w:val="00A5018B"/>
    <w:rsid w:val="00A50442"/>
    <w:rsid w:val="00A5083B"/>
    <w:rsid w:val="00A50851"/>
    <w:rsid w:val="00A50BEE"/>
    <w:rsid w:val="00A50C46"/>
    <w:rsid w:val="00A50F5C"/>
    <w:rsid w:val="00A50FC2"/>
    <w:rsid w:val="00A514E9"/>
    <w:rsid w:val="00A5162C"/>
    <w:rsid w:val="00A51DA9"/>
    <w:rsid w:val="00A521D5"/>
    <w:rsid w:val="00A5270C"/>
    <w:rsid w:val="00A5270F"/>
    <w:rsid w:val="00A528B6"/>
    <w:rsid w:val="00A52972"/>
    <w:rsid w:val="00A52B47"/>
    <w:rsid w:val="00A52C60"/>
    <w:rsid w:val="00A52C70"/>
    <w:rsid w:val="00A52EEF"/>
    <w:rsid w:val="00A52F72"/>
    <w:rsid w:val="00A53061"/>
    <w:rsid w:val="00A530F1"/>
    <w:rsid w:val="00A530FD"/>
    <w:rsid w:val="00A53276"/>
    <w:rsid w:val="00A5356F"/>
    <w:rsid w:val="00A53B53"/>
    <w:rsid w:val="00A53D3C"/>
    <w:rsid w:val="00A54038"/>
    <w:rsid w:val="00A54414"/>
    <w:rsid w:val="00A545D5"/>
    <w:rsid w:val="00A546C5"/>
    <w:rsid w:val="00A54B2F"/>
    <w:rsid w:val="00A54C74"/>
    <w:rsid w:val="00A54D26"/>
    <w:rsid w:val="00A54D4F"/>
    <w:rsid w:val="00A54E86"/>
    <w:rsid w:val="00A551E5"/>
    <w:rsid w:val="00A555C5"/>
    <w:rsid w:val="00A55B14"/>
    <w:rsid w:val="00A55DD1"/>
    <w:rsid w:val="00A55F56"/>
    <w:rsid w:val="00A55FEF"/>
    <w:rsid w:val="00A56309"/>
    <w:rsid w:val="00A5662D"/>
    <w:rsid w:val="00A566A4"/>
    <w:rsid w:val="00A56A6B"/>
    <w:rsid w:val="00A56CDE"/>
    <w:rsid w:val="00A56DB5"/>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6DD"/>
    <w:rsid w:val="00A60707"/>
    <w:rsid w:val="00A608BC"/>
    <w:rsid w:val="00A608F4"/>
    <w:rsid w:val="00A60920"/>
    <w:rsid w:val="00A60AB1"/>
    <w:rsid w:val="00A60ACC"/>
    <w:rsid w:val="00A60D21"/>
    <w:rsid w:val="00A60FAF"/>
    <w:rsid w:val="00A610FF"/>
    <w:rsid w:val="00A61ACE"/>
    <w:rsid w:val="00A61D2A"/>
    <w:rsid w:val="00A61E85"/>
    <w:rsid w:val="00A6211A"/>
    <w:rsid w:val="00A621A1"/>
    <w:rsid w:val="00A6223A"/>
    <w:rsid w:val="00A623EF"/>
    <w:rsid w:val="00A62684"/>
    <w:rsid w:val="00A62695"/>
    <w:rsid w:val="00A627CD"/>
    <w:rsid w:val="00A6281D"/>
    <w:rsid w:val="00A628D9"/>
    <w:rsid w:val="00A62ACB"/>
    <w:rsid w:val="00A633A4"/>
    <w:rsid w:val="00A6374D"/>
    <w:rsid w:val="00A637DE"/>
    <w:rsid w:val="00A638C5"/>
    <w:rsid w:val="00A638FA"/>
    <w:rsid w:val="00A63900"/>
    <w:rsid w:val="00A63A44"/>
    <w:rsid w:val="00A63CEF"/>
    <w:rsid w:val="00A64055"/>
    <w:rsid w:val="00A64171"/>
    <w:rsid w:val="00A6455B"/>
    <w:rsid w:val="00A64582"/>
    <w:rsid w:val="00A64805"/>
    <w:rsid w:val="00A648EF"/>
    <w:rsid w:val="00A64924"/>
    <w:rsid w:val="00A6493F"/>
    <w:rsid w:val="00A6499E"/>
    <w:rsid w:val="00A64A40"/>
    <w:rsid w:val="00A64CA7"/>
    <w:rsid w:val="00A65026"/>
    <w:rsid w:val="00A65065"/>
    <w:rsid w:val="00A6508E"/>
    <w:rsid w:val="00A651C2"/>
    <w:rsid w:val="00A65237"/>
    <w:rsid w:val="00A65329"/>
    <w:rsid w:val="00A6550C"/>
    <w:rsid w:val="00A6590E"/>
    <w:rsid w:val="00A65CCC"/>
    <w:rsid w:val="00A660E4"/>
    <w:rsid w:val="00A66340"/>
    <w:rsid w:val="00A66596"/>
    <w:rsid w:val="00A666C2"/>
    <w:rsid w:val="00A666FC"/>
    <w:rsid w:val="00A66B88"/>
    <w:rsid w:val="00A66CB2"/>
    <w:rsid w:val="00A66DDD"/>
    <w:rsid w:val="00A67120"/>
    <w:rsid w:val="00A6739E"/>
    <w:rsid w:val="00A676A8"/>
    <w:rsid w:val="00A67883"/>
    <w:rsid w:val="00A67886"/>
    <w:rsid w:val="00A678A4"/>
    <w:rsid w:val="00A67C35"/>
    <w:rsid w:val="00A70367"/>
    <w:rsid w:val="00A7040A"/>
    <w:rsid w:val="00A704A9"/>
    <w:rsid w:val="00A704FC"/>
    <w:rsid w:val="00A70505"/>
    <w:rsid w:val="00A70812"/>
    <w:rsid w:val="00A70966"/>
    <w:rsid w:val="00A7096A"/>
    <w:rsid w:val="00A709FA"/>
    <w:rsid w:val="00A70CD7"/>
    <w:rsid w:val="00A71159"/>
    <w:rsid w:val="00A71168"/>
    <w:rsid w:val="00A711B4"/>
    <w:rsid w:val="00A712E1"/>
    <w:rsid w:val="00A7132A"/>
    <w:rsid w:val="00A71A1F"/>
    <w:rsid w:val="00A71C5E"/>
    <w:rsid w:val="00A71D29"/>
    <w:rsid w:val="00A71E77"/>
    <w:rsid w:val="00A71ECA"/>
    <w:rsid w:val="00A71F32"/>
    <w:rsid w:val="00A72194"/>
    <w:rsid w:val="00A72306"/>
    <w:rsid w:val="00A725D9"/>
    <w:rsid w:val="00A72707"/>
    <w:rsid w:val="00A7281D"/>
    <w:rsid w:val="00A729D0"/>
    <w:rsid w:val="00A72B08"/>
    <w:rsid w:val="00A72E25"/>
    <w:rsid w:val="00A731B0"/>
    <w:rsid w:val="00A734A2"/>
    <w:rsid w:val="00A736EA"/>
    <w:rsid w:val="00A739BB"/>
    <w:rsid w:val="00A73CF3"/>
    <w:rsid w:val="00A73D67"/>
    <w:rsid w:val="00A73E81"/>
    <w:rsid w:val="00A73F47"/>
    <w:rsid w:val="00A7409A"/>
    <w:rsid w:val="00A740D0"/>
    <w:rsid w:val="00A7414D"/>
    <w:rsid w:val="00A74165"/>
    <w:rsid w:val="00A744AA"/>
    <w:rsid w:val="00A7452B"/>
    <w:rsid w:val="00A74567"/>
    <w:rsid w:val="00A746CD"/>
    <w:rsid w:val="00A746E1"/>
    <w:rsid w:val="00A7563F"/>
    <w:rsid w:val="00A757BF"/>
    <w:rsid w:val="00A75A91"/>
    <w:rsid w:val="00A75AC9"/>
    <w:rsid w:val="00A75B1C"/>
    <w:rsid w:val="00A75C5A"/>
    <w:rsid w:val="00A75E2B"/>
    <w:rsid w:val="00A75EEF"/>
    <w:rsid w:val="00A76016"/>
    <w:rsid w:val="00A76147"/>
    <w:rsid w:val="00A76517"/>
    <w:rsid w:val="00A7663F"/>
    <w:rsid w:val="00A7683C"/>
    <w:rsid w:val="00A76A95"/>
    <w:rsid w:val="00A76C12"/>
    <w:rsid w:val="00A76C51"/>
    <w:rsid w:val="00A77035"/>
    <w:rsid w:val="00A77136"/>
    <w:rsid w:val="00A77267"/>
    <w:rsid w:val="00A773C6"/>
    <w:rsid w:val="00A775FD"/>
    <w:rsid w:val="00A77784"/>
    <w:rsid w:val="00A77807"/>
    <w:rsid w:val="00A77993"/>
    <w:rsid w:val="00A80272"/>
    <w:rsid w:val="00A80273"/>
    <w:rsid w:val="00A802CE"/>
    <w:rsid w:val="00A804D4"/>
    <w:rsid w:val="00A805DE"/>
    <w:rsid w:val="00A80976"/>
    <w:rsid w:val="00A809FD"/>
    <w:rsid w:val="00A80D5E"/>
    <w:rsid w:val="00A80D6F"/>
    <w:rsid w:val="00A81355"/>
    <w:rsid w:val="00A81590"/>
    <w:rsid w:val="00A81693"/>
    <w:rsid w:val="00A81825"/>
    <w:rsid w:val="00A819B1"/>
    <w:rsid w:val="00A81C5F"/>
    <w:rsid w:val="00A81CA7"/>
    <w:rsid w:val="00A821D9"/>
    <w:rsid w:val="00A822DB"/>
    <w:rsid w:val="00A8269C"/>
    <w:rsid w:val="00A82719"/>
    <w:rsid w:val="00A82A0F"/>
    <w:rsid w:val="00A82AB3"/>
    <w:rsid w:val="00A82B11"/>
    <w:rsid w:val="00A82B66"/>
    <w:rsid w:val="00A82C21"/>
    <w:rsid w:val="00A82F1D"/>
    <w:rsid w:val="00A83679"/>
    <w:rsid w:val="00A83CF5"/>
    <w:rsid w:val="00A83EC4"/>
    <w:rsid w:val="00A84195"/>
    <w:rsid w:val="00A8434F"/>
    <w:rsid w:val="00A8443A"/>
    <w:rsid w:val="00A844EF"/>
    <w:rsid w:val="00A84596"/>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AF8"/>
    <w:rsid w:val="00A87B7D"/>
    <w:rsid w:val="00A87D56"/>
    <w:rsid w:val="00A9014B"/>
    <w:rsid w:val="00A90794"/>
    <w:rsid w:val="00A90795"/>
    <w:rsid w:val="00A90DEA"/>
    <w:rsid w:val="00A90E6B"/>
    <w:rsid w:val="00A90E85"/>
    <w:rsid w:val="00A90FA1"/>
    <w:rsid w:val="00A90FA4"/>
    <w:rsid w:val="00A91174"/>
    <w:rsid w:val="00A91189"/>
    <w:rsid w:val="00A9174A"/>
    <w:rsid w:val="00A91A1C"/>
    <w:rsid w:val="00A91ACD"/>
    <w:rsid w:val="00A91EDF"/>
    <w:rsid w:val="00A92347"/>
    <w:rsid w:val="00A92407"/>
    <w:rsid w:val="00A9253B"/>
    <w:rsid w:val="00A925F3"/>
    <w:rsid w:val="00A92DAC"/>
    <w:rsid w:val="00A92DF9"/>
    <w:rsid w:val="00A92EF0"/>
    <w:rsid w:val="00A93101"/>
    <w:rsid w:val="00A9338F"/>
    <w:rsid w:val="00A935BD"/>
    <w:rsid w:val="00A93D0E"/>
    <w:rsid w:val="00A93F0B"/>
    <w:rsid w:val="00A93F4F"/>
    <w:rsid w:val="00A940DF"/>
    <w:rsid w:val="00A9421F"/>
    <w:rsid w:val="00A94354"/>
    <w:rsid w:val="00A94843"/>
    <w:rsid w:val="00A94BD7"/>
    <w:rsid w:val="00A94DED"/>
    <w:rsid w:val="00A94EA5"/>
    <w:rsid w:val="00A94F39"/>
    <w:rsid w:val="00A950FC"/>
    <w:rsid w:val="00A95198"/>
    <w:rsid w:val="00A95962"/>
    <w:rsid w:val="00A95C7A"/>
    <w:rsid w:val="00A95CA5"/>
    <w:rsid w:val="00A95E7D"/>
    <w:rsid w:val="00A961B5"/>
    <w:rsid w:val="00A96605"/>
    <w:rsid w:val="00A96A05"/>
    <w:rsid w:val="00A96BAE"/>
    <w:rsid w:val="00A96C2C"/>
    <w:rsid w:val="00A96E7E"/>
    <w:rsid w:val="00A96F1A"/>
    <w:rsid w:val="00A97116"/>
    <w:rsid w:val="00A9715D"/>
    <w:rsid w:val="00A971CA"/>
    <w:rsid w:val="00A972D0"/>
    <w:rsid w:val="00A974D5"/>
    <w:rsid w:val="00A97536"/>
    <w:rsid w:val="00A97551"/>
    <w:rsid w:val="00A97581"/>
    <w:rsid w:val="00A9766F"/>
    <w:rsid w:val="00A977C6"/>
    <w:rsid w:val="00A97857"/>
    <w:rsid w:val="00A97A0C"/>
    <w:rsid w:val="00A97E78"/>
    <w:rsid w:val="00A97FF2"/>
    <w:rsid w:val="00AA003E"/>
    <w:rsid w:val="00AA007C"/>
    <w:rsid w:val="00AA00EC"/>
    <w:rsid w:val="00AA02B1"/>
    <w:rsid w:val="00AA0746"/>
    <w:rsid w:val="00AA089A"/>
    <w:rsid w:val="00AA09A4"/>
    <w:rsid w:val="00AA0A27"/>
    <w:rsid w:val="00AA0AA9"/>
    <w:rsid w:val="00AA125A"/>
    <w:rsid w:val="00AA1285"/>
    <w:rsid w:val="00AA1692"/>
    <w:rsid w:val="00AA1718"/>
    <w:rsid w:val="00AA17CC"/>
    <w:rsid w:val="00AA1937"/>
    <w:rsid w:val="00AA1A34"/>
    <w:rsid w:val="00AA1AE8"/>
    <w:rsid w:val="00AA2597"/>
    <w:rsid w:val="00AA25A4"/>
    <w:rsid w:val="00AA2836"/>
    <w:rsid w:val="00AA2A28"/>
    <w:rsid w:val="00AA2BE3"/>
    <w:rsid w:val="00AA30CD"/>
    <w:rsid w:val="00AA312C"/>
    <w:rsid w:val="00AA31DF"/>
    <w:rsid w:val="00AA3263"/>
    <w:rsid w:val="00AA3367"/>
    <w:rsid w:val="00AA35D5"/>
    <w:rsid w:val="00AA36C0"/>
    <w:rsid w:val="00AA3863"/>
    <w:rsid w:val="00AA3896"/>
    <w:rsid w:val="00AA38E2"/>
    <w:rsid w:val="00AA3909"/>
    <w:rsid w:val="00AA3C9A"/>
    <w:rsid w:val="00AA3F07"/>
    <w:rsid w:val="00AA4003"/>
    <w:rsid w:val="00AA44DF"/>
    <w:rsid w:val="00AA47D6"/>
    <w:rsid w:val="00AA480C"/>
    <w:rsid w:val="00AA4D54"/>
    <w:rsid w:val="00AA4E39"/>
    <w:rsid w:val="00AA54CD"/>
    <w:rsid w:val="00AA5555"/>
    <w:rsid w:val="00AA5760"/>
    <w:rsid w:val="00AA5B08"/>
    <w:rsid w:val="00AA5C8A"/>
    <w:rsid w:val="00AA5CD0"/>
    <w:rsid w:val="00AA60C0"/>
    <w:rsid w:val="00AA6193"/>
    <w:rsid w:val="00AA6619"/>
    <w:rsid w:val="00AA6802"/>
    <w:rsid w:val="00AA6883"/>
    <w:rsid w:val="00AA6A4A"/>
    <w:rsid w:val="00AA6BDE"/>
    <w:rsid w:val="00AA6D9A"/>
    <w:rsid w:val="00AA6E66"/>
    <w:rsid w:val="00AA6F9F"/>
    <w:rsid w:val="00AA7001"/>
    <w:rsid w:val="00AA7011"/>
    <w:rsid w:val="00AA72DA"/>
    <w:rsid w:val="00AA7944"/>
    <w:rsid w:val="00AA7B1B"/>
    <w:rsid w:val="00AA7BC6"/>
    <w:rsid w:val="00AB01F4"/>
    <w:rsid w:val="00AB02E6"/>
    <w:rsid w:val="00AB05B1"/>
    <w:rsid w:val="00AB0645"/>
    <w:rsid w:val="00AB0869"/>
    <w:rsid w:val="00AB0990"/>
    <w:rsid w:val="00AB0A9D"/>
    <w:rsid w:val="00AB0B8A"/>
    <w:rsid w:val="00AB1678"/>
    <w:rsid w:val="00AB16D4"/>
    <w:rsid w:val="00AB1FCB"/>
    <w:rsid w:val="00AB26B5"/>
    <w:rsid w:val="00AB2E6E"/>
    <w:rsid w:val="00AB2EC7"/>
    <w:rsid w:val="00AB2FA7"/>
    <w:rsid w:val="00AB303F"/>
    <w:rsid w:val="00AB3097"/>
    <w:rsid w:val="00AB3197"/>
    <w:rsid w:val="00AB32D3"/>
    <w:rsid w:val="00AB338F"/>
    <w:rsid w:val="00AB348C"/>
    <w:rsid w:val="00AB34BD"/>
    <w:rsid w:val="00AB3566"/>
    <w:rsid w:val="00AB38F7"/>
    <w:rsid w:val="00AB3957"/>
    <w:rsid w:val="00AB3A06"/>
    <w:rsid w:val="00AB3AAE"/>
    <w:rsid w:val="00AB3B39"/>
    <w:rsid w:val="00AB3B93"/>
    <w:rsid w:val="00AB3D53"/>
    <w:rsid w:val="00AB3E6E"/>
    <w:rsid w:val="00AB4283"/>
    <w:rsid w:val="00AB462E"/>
    <w:rsid w:val="00AB4A81"/>
    <w:rsid w:val="00AB4B02"/>
    <w:rsid w:val="00AB4DB8"/>
    <w:rsid w:val="00AB4F5F"/>
    <w:rsid w:val="00AB514D"/>
    <w:rsid w:val="00AB5462"/>
    <w:rsid w:val="00AB5793"/>
    <w:rsid w:val="00AB595D"/>
    <w:rsid w:val="00AB5A1A"/>
    <w:rsid w:val="00AB5A7B"/>
    <w:rsid w:val="00AB5ADA"/>
    <w:rsid w:val="00AB5BEE"/>
    <w:rsid w:val="00AB5C18"/>
    <w:rsid w:val="00AB5CD2"/>
    <w:rsid w:val="00AB5CDF"/>
    <w:rsid w:val="00AB5F84"/>
    <w:rsid w:val="00AB6251"/>
    <w:rsid w:val="00AB62EC"/>
    <w:rsid w:val="00AB6356"/>
    <w:rsid w:val="00AB638F"/>
    <w:rsid w:val="00AB659A"/>
    <w:rsid w:val="00AB66B6"/>
    <w:rsid w:val="00AB673C"/>
    <w:rsid w:val="00AB69CE"/>
    <w:rsid w:val="00AB6B08"/>
    <w:rsid w:val="00AB6B2B"/>
    <w:rsid w:val="00AB72AD"/>
    <w:rsid w:val="00AB7706"/>
    <w:rsid w:val="00AB7D2E"/>
    <w:rsid w:val="00AB7EDD"/>
    <w:rsid w:val="00AB7F0B"/>
    <w:rsid w:val="00AB7FE5"/>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82D"/>
    <w:rsid w:val="00AC1871"/>
    <w:rsid w:val="00AC18CE"/>
    <w:rsid w:val="00AC1A17"/>
    <w:rsid w:val="00AC1B93"/>
    <w:rsid w:val="00AC20E6"/>
    <w:rsid w:val="00AC210F"/>
    <w:rsid w:val="00AC23F5"/>
    <w:rsid w:val="00AC2CC1"/>
    <w:rsid w:val="00AC2D3F"/>
    <w:rsid w:val="00AC2DD6"/>
    <w:rsid w:val="00AC2E0C"/>
    <w:rsid w:val="00AC2E89"/>
    <w:rsid w:val="00AC2F2D"/>
    <w:rsid w:val="00AC31D1"/>
    <w:rsid w:val="00AC33F1"/>
    <w:rsid w:val="00AC3717"/>
    <w:rsid w:val="00AC39D0"/>
    <w:rsid w:val="00AC3A68"/>
    <w:rsid w:val="00AC3FBF"/>
    <w:rsid w:val="00AC4C08"/>
    <w:rsid w:val="00AC511C"/>
    <w:rsid w:val="00AC5357"/>
    <w:rsid w:val="00AC566A"/>
    <w:rsid w:val="00AC5D9D"/>
    <w:rsid w:val="00AC5DDE"/>
    <w:rsid w:val="00AC5F08"/>
    <w:rsid w:val="00AC614A"/>
    <w:rsid w:val="00AC62F8"/>
    <w:rsid w:val="00AC64A3"/>
    <w:rsid w:val="00AC6845"/>
    <w:rsid w:val="00AC6A5A"/>
    <w:rsid w:val="00AC6A9B"/>
    <w:rsid w:val="00AC6CA4"/>
    <w:rsid w:val="00AC6F2E"/>
    <w:rsid w:val="00AC736F"/>
    <w:rsid w:val="00AC756F"/>
    <w:rsid w:val="00AC79F3"/>
    <w:rsid w:val="00AC7D08"/>
    <w:rsid w:val="00AC7DAA"/>
    <w:rsid w:val="00AD0099"/>
    <w:rsid w:val="00AD0135"/>
    <w:rsid w:val="00AD06E3"/>
    <w:rsid w:val="00AD0AF2"/>
    <w:rsid w:val="00AD0D6E"/>
    <w:rsid w:val="00AD101C"/>
    <w:rsid w:val="00AD1124"/>
    <w:rsid w:val="00AD1174"/>
    <w:rsid w:val="00AD176A"/>
    <w:rsid w:val="00AD1808"/>
    <w:rsid w:val="00AD19BD"/>
    <w:rsid w:val="00AD1AFF"/>
    <w:rsid w:val="00AD209C"/>
    <w:rsid w:val="00AD235D"/>
    <w:rsid w:val="00AD2668"/>
    <w:rsid w:val="00AD27DC"/>
    <w:rsid w:val="00AD293E"/>
    <w:rsid w:val="00AD2D43"/>
    <w:rsid w:val="00AD3383"/>
    <w:rsid w:val="00AD34AA"/>
    <w:rsid w:val="00AD351F"/>
    <w:rsid w:val="00AD36DC"/>
    <w:rsid w:val="00AD3B62"/>
    <w:rsid w:val="00AD3BD1"/>
    <w:rsid w:val="00AD3D64"/>
    <w:rsid w:val="00AD3DDE"/>
    <w:rsid w:val="00AD3E2E"/>
    <w:rsid w:val="00AD3F83"/>
    <w:rsid w:val="00AD3FF3"/>
    <w:rsid w:val="00AD411D"/>
    <w:rsid w:val="00AD416B"/>
    <w:rsid w:val="00AD4193"/>
    <w:rsid w:val="00AD41EE"/>
    <w:rsid w:val="00AD4420"/>
    <w:rsid w:val="00AD450E"/>
    <w:rsid w:val="00AD47EF"/>
    <w:rsid w:val="00AD486A"/>
    <w:rsid w:val="00AD4CA9"/>
    <w:rsid w:val="00AD4DDC"/>
    <w:rsid w:val="00AD4E56"/>
    <w:rsid w:val="00AD50EA"/>
    <w:rsid w:val="00AD50FB"/>
    <w:rsid w:val="00AD5813"/>
    <w:rsid w:val="00AD59EB"/>
    <w:rsid w:val="00AD5A0B"/>
    <w:rsid w:val="00AD5A3D"/>
    <w:rsid w:val="00AD5AE7"/>
    <w:rsid w:val="00AD5BCC"/>
    <w:rsid w:val="00AD5BFF"/>
    <w:rsid w:val="00AD5C59"/>
    <w:rsid w:val="00AD600F"/>
    <w:rsid w:val="00AD63B1"/>
    <w:rsid w:val="00AD63B5"/>
    <w:rsid w:val="00AD65A4"/>
    <w:rsid w:val="00AD678D"/>
    <w:rsid w:val="00AD67CF"/>
    <w:rsid w:val="00AD6BDF"/>
    <w:rsid w:val="00AD70DA"/>
    <w:rsid w:val="00AD73C9"/>
    <w:rsid w:val="00AD7586"/>
    <w:rsid w:val="00AD75BF"/>
    <w:rsid w:val="00AD764F"/>
    <w:rsid w:val="00AD76AE"/>
    <w:rsid w:val="00AD76E3"/>
    <w:rsid w:val="00AD77CA"/>
    <w:rsid w:val="00AD78E8"/>
    <w:rsid w:val="00AD7A28"/>
    <w:rsid w:val="00AD7CE1"/>
    <w:rsid w:val="00AD7CE7"/>
    <w:rsid w:val="00AD7F1E"/>
    <w:rsid w:val="00AD7F21"/>
    <w:rsid w:val="00AD7F73"/>
    <w:rsid w:val="00AE0298"/>
    <w:rsid w:val="00AE038C"/>
    <w:rsid w:val="00AE047F"/>
    <w:rsid w:val="00AE075D"/>
    <w:rsid w:val="00AE07E7"/>
    <w:rsid w:val="00AE08B3"/>
    <w:rsid w:val="00AE0B6E"/>
    <w:rsid w:val="00AE0C2E"/>
    <w:rsid w:val="00AE0C70"/>
    <w:rsid w:val="00AE0D0A"/>
    <w:rsid w:val="00AE0F81"/>
    <w:rsid w:val="00AE1330"/>
    <w:rsid w:val="00AE1634"/>
    <w:rsid w:val="00AE16FE"/>
    <w:rsid w:val="00AE1733"/>
    <w:rsid w:val="00AE174B"/>
    <w:rsid w:val="00AE17FC"/>
    <w:rsid w:val="00AE1A0B"/>
    <w:rsid w:val="00AE1FE4"/>
    <w:rsid w:val="00AE262B"/>
    <w:rsid w:val="00AE27F4"/>
    <w:rsid w:val="00AE27F9"/>
    <w:rsid w:val="00AE2C2B"/>
    <w:rsid w:val="00AE3058"/>
    <w:rsid w:val="00AE3310"/>
    <w:rsid w:val="00AE354F"/>
    <w:rsid w:val="00AE37A1"/>
    <w:rsid w:val="00AE3956"/>
    <w:rsid w:val="00AE3A4F"/>
    <w:rsid w:val="00AE3CF3"/>
    <w:rsid w:val="00AE3D5E"/>
    <w:rsid w:val="00AE3D85"/>
    <w:rsid w:val="00AE41EF"/>
    <w:rsid w:val="00AE4303"/>
    <w:rsid w:val="00AE4703"/>
    <w:rsid w:val="00AE4BF3"/>
    <w:rsid w:val="00AE516D"/>
    <w:rsid w:val="00AE517E"/>
    <w:rsid w:val="00AE5246"/>
    <w:rsid w:val="00AE5292"/>
    <w:rsid w:val="00AE52B4"/>
    <w:rsid w:val="00AE56A2"/>
    <w:rsid w:val="00AE56C7"/>
    <w:rsid w:val="00AE58C5"/>
    <w:rsid w:val="00AE5993"/>
    <w:rsid w:val="00AE5B55"/>
    <w:rsid w:val="00AE5BEE"/>
    <w:rsid w:val="00AE5BF8"/>
    <w:rsid w:val="00AE5F51"/>
    <w:rsid w:val="00AE6070"/>
    <w:rsid w:val="00AE6119"/>
    <w:rsid w:val="00AE6127"/>
    <w:rsid w:val="00AE619F"/>
    <w:rsid w:val="00AE6957"/>
    <w:rsid w:val="00AE6AF4"/>
    <w:rsid w:val="00AE6B4D"/>
    <w:rsid w:val="00AE6BCD"/>
    <w:rsid w:val="00AE6D3E"/>
    <w:rsid w:val="00AE6DAC"/>
    <w:rsid w:val="00AE6E3C"/>
    <w:rsid w:val="00AE6E84"/>
    <w:rsid w:val="00AE6EFE"/>
    <w:rsid w:val="00AE704C"/>
    <w:rsid w:val="00AE728F"/>
    <w:rsid w:val="00AE741F"/>
    <w:rsid w:val="00AE7533"/>
    <w:rsid w:val="00AE7709"/>
    <w:rsid w:val="00AE77E1"/>
    <w:rsid w:val="00AE78B0"/>
    <w:rsid w:val="00AE79B5"/>
    <w:rsid w:val="00AE79C3"/>
    <w:rsid w:val="00AE7A57"/>
    <w:rsid w:val="00AE7BC9"/>
    <w:rsid w:val="00AE7D10"/>
    <w:rsid w:val="00AE7EB8"/>
    <w:rsid w:val="00AF00FB"/>
    <w:rsid w:val="00AF0122"/>
    <w:rsid w:val="00AF0158"/>
    <w:rsid w:val="00AF0225"/>
    <w:rsid w:val="00AF039B"/>
    <w:rsid w:val="00AF0476"/>
    <w:rsid w:val="00AF0497"/>
    <w:rsid w:val="00AF0508"/>
    <w:rsid w:val="00AF0606"/>
    <w:rsid w:val="00AF067A"/>
    <w:rsid w:val="00AF0924"/>
    <w:rsid w:val="00AF0B8F"/>
    <w:rsid w:val="00AF0C0E"/>
    <w:rsid w:val="00AF0F53"/>
    <w:rsid w:val="00AF15AF"/>
    <w:rsid w:val="00AF1672"/>
    <w:rsid w:val="00AF1A75"/>
    <w:rsid w:val="00AF1CF7"/>
    <w:rsid w:val="00AF1EB2"/>
    <w:rsid w:val="00AF2164"/>
    <w:rsid w:val="00AF2325"/>
    <w:rsid w:val="00AF23C9"/>
    <w:rsid w:val="00AF2572"/>
    <w:rsid w:val="00AF276D"/>
    <w:rsid w:val="00AF284F"/>
    <w:rsid w:val="00AF2F95"/>
    <w:rsid w:val="00AF32EB"/>
    <w:rsid w:val="00AF333E"/>
    <w:rsid w:val="00AF37FA"/>
    <w:rsid w:val="00AF38BE"/>
    <w:rsid w:val="00AF3928"/>
    <w:rsid w:val="00AF3B06"/>
    <w:rsid w:val="00AF3D18"/>
    <w:rsid w:val="00AF40A0"/>
    <w:rsid w:val="00AF44F8"/>
    <w:rsid w:val="00AF4514"/>
    <w:rsid w:val="00AF46C4"/>
    <w:rsid w:val="00AF46C7"/>
    <w:rsid w:val="00AF4717"/>
    <w:rsid w:val="00AF4956"/>
    <w:rsid w:val="00AF53A4"/>
    <w:rsid w:val="00AF561A"/>
    <w:rsid w:val="00AF5798"/>
    <w:rsid w:val="00AF5815"/>
    <w:rsid w:val="00AF5959"/>
    <w:rsid w:val="00AF5C7C"/>
    <w:rsid w:val="00AF5CC9"/>
    <w:rsid w:val="00AF5EC5"/>
    <w:rsid w:val="00AF66DE"/>
    <w:rsid w:val="00AF6A8A"/>
    <w:rsid w:val="00AF6B26"/>
    <w:rsid w:val="00AF6BDB"/>
    <w:rsid w:val="00AF6DB3"/>
    <w:rsid w:val="00AF6DD6"/>
    <w:rsid w:val="00AF6F80"/>
    <w:rsid w:val="00AF70CB"/>
    <w:rsid w:val="00AF74A6"/>
    <w:rsid w:val="00AF7535"/>
    <w:rsid w:val="00AF799C"/>
    <w:rsid w:val="00AF7CE4"/>
    <w:rsid w:val="00B00000"/>
    <w:rsid w:val="00B003EC"/>
    <w:rsid w:val="00B00B19"/>
    <w:rsid w:val="00B00D80"/>
    <w:rsid w:val="00B00F03"/>
    <w:rsid w:val="00B012CC"/>
    <w:rsid w:val="00B0177D"/>
    <w:rsid w:val="00B01857"/>
    <w:rsid w:val="00B01887"/>
    <w:rsid w:val="00B01E07"/>
    <w:rsid w:val="00B0237B"/>
    <w:rsid w:val="00B02530"/>
    <w:rsid w:val="00B02BFB"/>
    <w:rsid w:val="00B030F8"/>
    <w:rsid w:val="00B03106"/>
    <w:rsid w:val="00B03253"/>
    <w:rsid w:val="00B03895"/>
    <w:rsid w:val="00B03904"/>
    <w:rsid w:val="00B03A5D"/>
    <w:rsid w:val="00B03AC9"/>
    <w:rsid w:val="00B03B4C"/>
    <w:rsid w:val="00B03B56"/>
    <w:rsid w:val="00B03B9A"/>
    <w:rsid w:val="00B03BD0"/>
    <w:rsid w:val="00B03EBB"/>
    <w:rsid w:val="00B03FF9"/>
    <w:rsid w:val="00B04158"/>
    <w:rsid w:val="00B04301"/>
    <w:rsid w:val="00B0432B"/>
    <w:rsid w:val="00B0432D"/>
    <w:rsid w:val="00B0458D"/>
    <w:rsid w:val="00B04625"/>
    <w:rsid w:val="00B04AE0"/>
    <w:rsid w:val="00B04C69"/>
    <w:rsid w:val="00B04EC8"/>
    <w:rsid w:val="00B05414"/>
    <w:rsid w:val="00B054CD"/>
    <w:rsid w:val="00B0562B"/>
    <w:rsid w:val="00B05783"/>
    <w:rsid w:val="00B0580C"/>
    <w:rsid w:val="00B058D1"/>
    <w:rsid w:val="00B059E5"/>
    <w:rsid w:val="00B05CA0"/>
    <w:rsid w:val="00B05CE8"/>
    <w:rsid w:val="00B0601D"/>
    <w:rsid w:val="00B063D3"/>
    <w:rsid w:val="00B06783"/>
    <w:rsid w:val="00B06D28"/>
    <w:rsid w:val="00B06D9A"/>
    <w:rsid w:val="00B06DB4"/>
    <w:rsid w:val="00B06EB7"/>
    <w:rsid w:val="00B06F4F"/>
    <w:rsid w:val="00B070B0"/>
    <w:rsid w:val="00B070CE"/>
    <w:rsid w:val="00B073F0"/>
    <w:rsid w:val="00B07756"/>
    <w:rsid w:val="00B07799"/>
    <w:rsid w:val="00B07AAD"/>
    <w:rsid w:val="00B07D77"/>
    <w:rsid w:val="00B1041B"/>
    <w:rsid w:val="00B10616"/>
    <w:rsid w:val="00B110A1"/>
    <w:rsid w:val="00B111CE"/>
    <w:rsid w:val="00B11204"/>
    <w:rsid w:val="00B112A0"/>
    <w:rsid w:val="00B11476"/>
    <w:rsid w:val="00B114BC"/>
    <w:rsid w:val="00B1153A"/>
    <w:rsid w:val="00B1169E"/>
    <w:rsid w:val="00B119E6"/>
    <w:rsid w:val="00B11A3D"/>
    <w:rsid w:val="00B11A60"/>
    <w:rsid w:val="00B11A88"/>
    <w:rsid w:val="00B11CB2"/>
    <w:rsid w:val="00B11DB8"/>
    <w:rsid w:val="00B12206"/>
    <w:rsid w:val="00B1246F"/>
    <w:rsid w:val="00B12702"/>
    <w:rsid w:val="00B12729"/>
    <w:rsid w:val="00B12B30"/>
    <w:rsid w:val="00B13222"/>
    <w:rsid w:val="00B1388B"/>
    <w:rsid w:val="00B138BE"/>
    <w:rsid w:val="00B13AB7"/>
    <w:rsid w:val="00B13BCC"/>
    <w:rsid w:val="00B13D36"/>
    <w:rsid w:val="00B13DDF"/>
    <w:rsid w:val="00B14018"/>
    <w:rsid w:val="00B1410B"/>
    <w:rsid w:val="00B143D6"/>
    <w:rsid w:val="00B14457"/>
    <w:rsid w:val="00B14EA4"/>
    <w:rsid w:val="00B1504B"/>
    <w:rsid w:val="00B154E4"/>
    <w:rsid w:val="00B1571F"/>
    <w:rsid w:val="00B157EC"/>
    <w:rsid w:val="00B15897"/>
    <w:rsid w:val="00B159C1"/>
    <w:rsid w:val="00B15A26"/>
    <w:rsid w:val="00B15B78"/>
    <w:rsid w:val="00B15D1D"/>
    <w:rsid w:val="00B162EC"/>
    <w:rsid w:val="00B1636C"/>
    <w:rsid w:val="00B164F7"/>
    <w:rsid w:val="00B1659A"/>
    <w:rsid w:val="00B16620"/>
    <w:rsid w:val="00B167B4"/>
    <w:rsid w:val="00B16888"/>
    <w:rsid w:val="00B169BE"/>
    <w:rsid w:val="00B16B67"/>
    <w:rsid w:val="00B16CF9"/>
    <w:rsid w:val="00B16F3F"/>
    <w:rsid w:val="00B170A1"/>
    <w:rsid w:val="00B170CF"/>
    <w:rsid w:val="00B171E9"/>
    <w:rsid w:val="00B1723D"/>
    <w:rsid w:val="00B17370"/>
    <w:rsid w:val="00B17465"/>
    <w:rsid w:val="00B17555"/>
    <w:rsid w:val="00B175FE"/>
    <w:rsid w:val="00B177C0"/>
    <w:rsid w:val="00B1791F"/>
    <w:rsid w:val="00B17C2C"/>
    <w:rsid w:val="00B17C49"/>
    <w:rsid w:val="00B17D83"/>
    <w:rsid w:val="00B17E55"/>
    <w:rsid w:val="00B17E99"/>
    <w:rsid w:val="00B203E8"/>
    <w:rsid w:val="00B203F9"/>
    <w:rsid w:val="00B2087F"/>
    <w:rsid w:val="00B20B60"/>
    <w:rsid w:val="00B20D55"/>
    <w:rsid w:val="00B210B8"/>
    <w:rsid w:val="00B21494"/>
    <w:rsid w:val="00B217EB"/>
    <w:rsid w:val="00B21D08"/>
    <w:rsid w:val="00B21D2C"/>
    <w:rsid w:val="00B21FBF"/>
    <w:rsid w:val="00B22269"/>
    <w:rsid w:val="00B222C8"/>
    <w:rsid w:val="00B2243C"/>
    <w:rsid w:val="00B225FE"/>
    <w:rsid w:val="00B226F2"/>
    <w:rsid w:val="00B2274E"/>
    <w:rsid w:val="00B227C5"/>
    <w:rsid w:val="00B22801"/>
    <w:rsid w:val="00B22829"/>
    <w:rsid w:val="00B22AC3"/>
    <w:rsid w:val="00B22C26"/>
    <w:rsid w:val="00B22FC1"/>
    <w:rsid w:val="00B230D5"/>
    <w:rsid w:val="00B23827"/>
    <w:rsid w:val="00B23932"/>
    <w:rsid w:val="00B23B32"/>
    <w:rsid w:val="00B23D98"/>
    <w:rsid w:val="00B23DCC"/>
    <w:rsid w:val="00B23F89"/>
    <w:rsid w:val="00B2413F"/>
    <w:rsid w:val="00B246A8"/>
    <w:rsid w:val="00B24924"/>
    <w:rsid w:val="00B2492E"/>
    <w:rsid w:val="00B24C0A"/>
    <w:rsid w:val="00B24C8B"/>
    <w:rsid w:val="00B24D6A"/>
    <w:rsid w:val="00B24E0C"/>
    <w:rsid w:val="00B24EB8"/>
    <w:rsid w:val="00B24EE1"/>
    <w:rsid w:val="00B25037"/>
    <w:rsid w:val="00B253C9"/>
    <w:rsid w:val="00B257ED"/>
    <w:rsid w:val="00B258F6"/>
    <w:rsid w:val="00B25950"/>
    <w:rsid w:val="00B25A65"/>
    <w:rsid w:val="00B25B7D"/>
    <w:rsid w:val="00B25D02"/>
    <w:rsid w:val="00B25DA4"/>
    <w:rsid w:val="00B262F8"/>
    <w:rsid w:val="00B2660F"/>
    <w:rsid w:val="00B2669B"/>
    <w:rsid w:val="00B2681A"/>
    <w:rsid w:val="00B268AA"/>
    <w:rsid w:val="00B26ADC"/>
    <w:rsid w:val="00B26C56"/>
    <w:rsid w:val="00B27011"/>
    <w:rsid w:val="00B27180"/>
    <w:rsid w:val="00B27219"/>
    <w:rsid w:val="00B27349"/>
    <w:rsid w:val="00B27586"/>
    <w:rsid w:val="00B279A8"/>
    <w:rsid w:val="00B27C91"/>
    <w:rsid w:val="00B27E12"/>
    <w:rsid w:val="00B30180"/>
    <w:rsid w:val="00B30785"/>
    <w:rsid w:val="00B30817"/>
    <w:rsid w:val="00B3086D"/>
    <w:rsid w:val="00B30920"/>
    <w:rsid w:val="00B30A5C"/>
    <w:rsid w:val="00B30AFC"/>
    <w:rsid w:val="00B30C8B"/>
    <w:rsid w:val="00B30CFB"/>
    <w:rsid w:val="00B30E52"/>
    <w:rsid w:val="00B31025"/>
    <w:rsid w:val="00B31204"/>
    <w:rsid w:val="00B314AB"/>
    <w:rsid w:val="00B31566"/>
    <w:rsid w:val="00B31581"/>
    <w:rsid w:val="00B316F3"/>
    <w:rsid w:val="00B31982"/>
    <w:rsid w:val="00B31A2B"/>
    <w:rsid w:val="00B31A5C"/>
    <w:rsid w:val="00B31FDF"/>
    <w:rsid w:val="00B3227B"/>
    <w:rsid w:val="00B3235B"/>
    <w:rsid w:val="00B325D2"/>
    <w:rsid w:val="00B3261B"/>
    <w:rsid w:val="00B3269A"/>
    <w:rsid w:val="00B32BB0"/>
    <w:rsid w:val="00B33185"/>
    <w:rsid w:val="00B33196"/>
    <w:rsid w:val="00B331B4"/>
    <w:rsid w:val="00B3334F"/>
    <w:rsid w:val="00B333C6"/>
    <w:rsid w:val="00B341E3"/>
    <w:rsid w:val="00B3449D"/>
    <w:rsid w:val="00B34507"/>
    <w:rsid w:val="00B34511"/>
    <w:rsid w:val="00B34768"/>
    <w:rsid w:val="00B34B78"/>
    <w:rsid w:val="00B34BD6"/>
    <w:rsid w:val="00B34D6A"/>
    <w:rsid w:val="00B34F23"/>
    <w:rsid w:val="00B34F3A"/>
    <w:rsid w:val="00B35083"/>
    <w:rsid w:val="00B3518D"/>
    <w:rsid w:val="00B35799"/>
    <w:rsid w:val="00B357D5"/>
    <w:rsid w:val="00B357EA"/>
    <w:rsid w:val="00B35C09"/>
    <w:rsid w:val="00B35FBF"/>
    <w:rsid w:val="00B3614C"/>
    <w:rsid w:val="00B36604"/>
    <w:rsid w:val="00B36817"/>
    <w:rsid w:val="00B36A04"/>
    <w:rsid w:val="00B36D32"/>
    <w:rsid w:val="00B36F78"/>
    <w:rsid w:val="00B3733A"/>
    <w:rsid w:val="00B373A4"/>
    <w:rsid w:val="00B373B1"/>
    <w:rsid w:val="00B3763C"/>
    <w:rsid w:val="00B37640"/>
    <w:rsid w:val="00B37769"/>
    <w:rsid w:val="00B378BB"/>
    <w:rsid w:val="00B378C6"/>
    <w:rsid w:val="00B37935"/>
    <w:rsid w:val="00B37A70"/>
    <w:rsid w:val="00B37C5E"/>
    <w:rsid w:val="00B4009E"/>
    <w:rsid w:val="00B4013A"/>
    <w:rsid w:val="00B403E5"/>
    <w:rsid w:val="00B407C0"/>
    <w:rsid w:val="00B4099A"/>
    <w:rsid w:val="00B409D6"/>
    <w:rsid w:val="00B40A31"/>
    <w:rsid w:val="00B40A47"/>
    <w:rsid w:val="00B40A7F"/>
    <w:rsid w:val="00B40BAA"/>
    <w:rsid w:val="00B40BD0"/>
    <w:rsid w:val="00B40F4F"/>
    <w:rsid w:val="00B412AB"/>
    <w:rsid w:val="00B416B0"/>
    <w:rsid w:val="00B41960"/>
    <w:rsid w:val="00B4198D"/>
    <w:rsid w:val="00B41992"/>
    <w:rsid w:val="00B41A10"/>
    <w:rsid w:val="00B41B42"/>
    <w:rsid w:val="00B41D4E"/>
    <w:rsid w:val="00B420CA"/>
    <w:rsid w:val="00B42163"/>
    <w:rsid w:val="00B42231"/>
    <w:rsid w:val="00B42562"/>
    <w:rsid w:val="00B4264F"/>
    <w:rsid w:val="00B42975"/>
    <w:rsid w:val="00B42ADD"/>
    <w:rsid w:val="00B4319D"/>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11E"/>
    <w:rsid w:val="00B4536F"/>
    <w:rsid w:val="00B453FF"/>
    <w:rsid w:val="00B45BB7"/>
    <w:rsid w:val="00B45E17"/>
    <w:rsid w:val="00B45F88"/>
    <w:rsid w:val="00B4604D"/>
    <w:rsid w:val="00B46080"/>
    <w:rsid w:val="00B461B6"/>
    <w:rsid w:val="00B463FF"/>
    <w:rsid w:val="00B464EF"/>
    <w:rsid w:val="00B466E4"/>
    <w:rsid w:val="00B4682D"/>
    <w:rsid w:val="00B46989"/>
    <w:rsid w:val="00B46CAE"/>
    <w:rsid w:val="00B46DBA"/>
    <w:rsid w:val="00B46EF0"/>
    <w:rsid w:val="00B47049"/>
    <w:rsid w:val="00B47289"/>
    <w:rsid w:val="00B47A9B"/>
    <w:rsid w:val="00B47E82"/>
    <w:rsid w:val="00B47EAF"/>
    <w:rsid w:val="00B47EF4"/>
    <w:rsid w:val="00B47F59"/>
    <w:rsid w:val="00B5005D"/>
    <w:rsid w:val="00B502E7"/>
    <w:rsid w:val="00B50454"/>
    <w:rsid w:val="00B5048E"/>
    <w:rsid w:val="00B504D4"/>
    <w:rsid w:val="00B50566"/>
    <w:rsid w:val="00B50711"/>
    <w:rsid w:val="00B50974"/>
    <w:rsid w:val="00B50AB8"/>
    <w:rsid w:val="00B50B0E"/>
    <w:rsid w:val="00B50C6A"/>
    <w:rsid w:val="00B50C8A"/>
    <w:rsid w:val="00B5149E"/>
    <w:rsid w:val="00B517F8"/>
    <w:rsid w:val="00B5183F"/>
    <w:rsid w:val="00B51979"/>
    <w:rsid w:val="00B51A65"/>
    <w:rsid w:val="00B51A6A"/>
    <w:rsid w:val="00B51C62"/>
    <w:rsid w:val="00B51D3F"/>
    <w:rsid w:val="00B51DBB"/>
    <w:rsid w:val="00B51FF2"/>
    <w:rsid w:val="00B521D0"/>
    <w:rsid w:val="00B5228F"/>
    <w:rsid w:val="00B5233E"/>
    <w:rsid w:val="00B52413"/>
    <w:rsid w:val="00B52520"/>
    <w:rsid w:val="00B52684"/>
    <w:rsid w:val="00B528F3"/>
    <w:rsid w:val="00B52A02"/>
    <w:rsid w:val="00B52F7E"/>
    <w:rsid w:val="00B53165"/>
    <w:rsid w:val="00B53566"/>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433"/>
    <w:rsid w:val="00B55894"/>
    <w:rsid w:val="00B558F6"/>
    <w:rsid w:val="00B55B8F"/>
    <w:rsid w:val="00B55D61"/>
    <w:rsid w:val="00B55F8D"/>
    <w:rsid w:val="00B56297"/>
    <w:rsid w:val="00B5651D"/>
    <w:rsid w:val="00B56796"/>
    <w:rsid w:val="00B56AF7"/>
    <w:rsid w:val="00B56B9B"/>
    <w:rsid w:val="00B56B9D"/>
    <w:rsid w:val="00B56F47"/>
    <w:rsid w:val="00B57039"/>
    <w:rsid w:val="00B574D6"/>
    <w:rsid w:val="00B574DA"/>
    <w:rsid w:val="00B579C3"/>
    <w:rsid w:val="00B57A5C"/>
    <w:rsid w:val="00B57DA4"/>
    <w:rsid w:val="00B57DFA"/>
    <w:rsid w:val="00B60168"/>
    <w:rsid w:val="00B60531"/>
    <w:rsid w:val="00B605F5"/>
    <w:rsid w:val="00B606D8"/>
    <w:rsid w:val="00B60720"/>
    <w:rsid w:val="00B609CF"/>
    <w:rsid w:val="00B60B94"/>
    <w:rsid w:val="00B60D64"/>
    <w:rsid w:val="00B60D77"/>
    <w:rsid w:val="00B61085"/>
    <w:rsid w:val="00B6133F"/>
    <w:rsid w:val="00B6140D"/>
    <w:rsid w:val="00B615B0"/>
    <w:rsid w:val="00B6161C"/>
    <w:rsid w:val="00B61E60"/>
    <w:rsid w:val="00B61EEC"/>
    <w:rsid w:val="00B62057"/>
    <w:rsid w:val="00B620EB"/>
    <w:rsid w:val="00B62742"/>
    <w:rsid w:val="00B6277A"/>
    <w:rsid w:val="00B62A1E"/>
    <w:rsid w:val="00B62A55"/>
    <w:rsid w:val="00B62B23"/>
    <w:rsid w:val="00B62C60"/>
    <w:rsid w:val="00B62DF4"/>
    <w:rsid w:val="00B62DFA"/>
    <w:rsid w:val="00B632AA"/>
    <w:rsid w:val="00B63385"/>
    <w:rsid w:val="00B635F8"/>
    <w:rsid w:val="00B6387E"/>
    <w:rsid w:val="00B6391C"/>
    <w:rsid w:val="00B63AB7"/>
    <w:rsid w:val="00B63C37"/>
    <w:rsid w:val="00B63CBC"/>
    <w:rsid w:val="00B63E94"/>
    <w:rsid w:val="00B63F7D"/>
    <w:rsid w:val="00B6437B"/>
    <w:rsid w:val="00B644CF"/>
    <w:rsid w:val="00B645A6"/>
    <w:rsid w:val="00B64BC8"/>
    <w:rsid w:val="00B64D0E"/>
    <w:rsid w:val="00B654E9"/>
    <w:rsid w:val="00B656C5"/>
    <w:rsid w:val="00B656FE"/>
    <w:rsid w:val="00B65932"/>
    <w:rsid w:val="00B66018"/>
    <w:rsid w:val="00B66127"/>
    <w:rsid w:val="00B6616E"/>
    <w:rsid w:val="00B663DD"/>
    <w:rsid w:val="00B6647A"/>
    <w:rsid w:val="00B6687A"/>
    <w:rsid w:val="00B66C15"/>
    <w:rsid w:val="00B66F68"/>
    <w:rsid w:val="00B67187"/>
    <w:rsid w:val="00B6733A"/>
    <w:rsid w:val="00B6766B"/>
    <w:rsid w:val="00B67681"/>
    <w:rsid w:val="00B67741"/>
    <w:rsid w:val="00B6789A"/>
    <w:rsid w:val="00B67B3C"/>
    <w:rsid w:val="00B67DD3"/>
    <w:rsid w:val="00B67FAD"/>
    <w:rsid w:val="00B7022A"/>
    <w:rsid w:val="00B7048E"/>
    <w:rsid w:val="00B705FC"/>
    <w:rsid w:val="00B70771"/>
    <w:rsid w:val="00B709B3"/>
    <w:rsid w:val="00B71188"/>
    <w:rsid w:val="00B71267"/>
    <w:rsid w:val="00B714AC"/>
    <w:rsid w:val="00B7153E"/>
    <w:rsid w:val="00B716A9"/>
    <w:rsid w:val="00B71881"/>
    <w:rsid w:val="00B71BFD"/>
    <w:rsid w:val="00B7217B"/>
    <w:rsid w:val="00B721D9"/>
    <w:rsid w:val="00B7226F"/>
    <w:rsid w:val="00B72639"/>
    <w:rsid w:val="00B72767"/>
    <w:rsid w:val="00B72948"/>
    <w:rsid w:val="00B72C26"/>
    <w:rsid w:val="00B72E2A"/>
    <w:rsid w:val="00B72F6D"/>
    <w:rsid w:val="00B72FA9"/>
    <w:rsid w:val="00B73062"/>
    <w:rsid w:val="00B7372C"/>
    <w:rsid w:val="00B738DB"/>
    <w:rsid w:val="00B73B96"/>
    <w:rsid w:val="00B73D9B"/>
    <w:rsid w:val="00B742AD"/>
    <w:rsid w:val="00B74331"/>
    <w:rsid w:val="00B7438F"/>
    <w:rsid w:val="00B74509"/>
    <w:rsid w:val="00B74605"/>
    <w:rsid w:val="00B746F9"/>
    <w:rsid w:val="00B74776"/>
    <w:rsid w:val="00B7488D"/>
    <w:rsid w:val="00B74A78"/>
    <w:rsid w:val="00B74F28"/>
    <w:rsid w:val="00B751F2"/>
    <w:rsid w:val="00B75329"/>
    <w:rsid w:val="00B7537D"/>
    <w:rsid w:val="00B75580"/>
    <w:rsid w:val="00B75AFF"/>
    <w:rsid w:val="00B7646E"/>
    <w:rsid w:val="00B7690D"/>
    <w:rsid w:val="00B76B95"/>
    <w:rsid w:val="00B76C80"/>
    <w:rsid w:val="00B76D2C"/>
    <w:rsid w:val="00B76FF0"/>
    <w:rsid w:val="00B76FF8"/>
    <w:rsid w:val="00B77025"/>
    <w:rsid w:val="00B7716C"/>
    <w:rsid w:val="00B772BB"/>
    <w:rsid w:val="00B7745A"/>
    <w:rsid w:val="00B77540"/>
    <w:rsid w:val="00B776C1"/>
    <w:rsid w:val="00B7785F"/>
    <w:rsid w:val="00B77930"/>
    <w:rsid w:val="00B77ABE"/>
    <w:rsid w:val="00B77B91"/>
    <w:rsid w:val="00B77F3D"/>
    <w:rsid w:val="00B8005D"/>
    <w:rsid w:val="00B80091"/>
    <w:rsid w:val="00B800B1"/>
    <w:rsid w:val="00B806E9"/>
    <w:rsid w:val="00B806FD"/>
    <w:rsid w:val="00B80A15"/>
    <w:rsid w:val="00B80A20"/>
    <w:rsid w:val="00B80D12"/>
    <w:rsid w:val="00B80DB4"/>
    <w:rsid w:val="00B8104D"/>
    <w:rsid w:val="00B81080"/>
    <w:rsid w:val="00B810AC"/>
    <w:rsid w:val="00B81153"/>
    <w:rsid w:val="00B8127D"/>
    <w:rsid w:val="00B81361"/>
    <w:rsid w:val="00B8160D"/>
    <w:rsid w:val="00B816E8"/>
    <w:rsid w:val="00B819DA"/>
    <w:rsid w:val="00B81AED"/>
    <w:rsid w:val="00B81F79"/>
    <w:rsid w:val="00B8224B"/>
    <w:rsid w:val="00B8252D"/>
    <w:rsid w:val="00B8275D"/>
    <w:rsid w:val="00B8278C"/>
    <w:rsid w:val="00B827B3"/>
    <w:rsid w:val="00B827BF"/>
    <w:rsid w:val="00B82949"/>
    <w:rsid w:val="00B8298E"/>
    <w:rsid w:val="00B82A42"/>
    <w:rsid w:val="00B82D59"/>
    <w:rsid w:val="00B82DCD"/>
    <w:rsid w:val="00B8304F"/>
    <w:rsid w:val="00B8308E"/>
    <w:rsid w:val="00B831ED"/>
    <w:rsid w:val="00B83334"/>
    <w:rsid w:val="00B83433"/>
    <w:rsid w:val="00B8349C"/>
    <w:rsid w:val="00B834D2"/>
    <w:rsid w:val="00B8357B"/>
    <w:rsid w:val="00B83696"/>
    <w:rsid w:val="00B83CAA"/>
    <w:rsid w:val="00B83D84"/>
    <w:rsid w:val="00B840CD"/>
    <w:rsid w:val="00B842F9"/>
    <w:rsid w:val="00B844A4"/>
    <w:rsid w:val="00B844AA"/>
    <w:rsid w:val="00B8453F"/>
    <w:rsid w:val="00B845D5"/>
    <w:rsid w:val="00B84609"/>
    <w:rsid w:val="00B84936"/>
    <w:rsid w:val="00B84B95"/>
    <w:rsid w:val="00B84CBA"/>
    <w:rsid w:val="00B85140"/>
    <w:rsid w:val="00B851D1"/>
    <w:rsid w:val="00B85228"/>
    <w:rsid w:val="00B85ABC"/>
    <w:rsid w:val="00B85E49"/>
    <w:rsid w:val="00B8616B"/>
    <w:rsid w:val="00B863F0"/>
    <w:rsid w:val="00B864C4"/>
    <w:rsid w:val="00B8659E"/>
    <w:rsid w:val="00B865D1"/>
    <w:rsid w:val="00B866B2"/>
    <w:rsid w:val="00B866CA"/>
    <w:rsid w:val="00B86739"/>
    <w:rsid w:val="00B869D6"/>
    <w:rsid w:val="00B86AA1"/>
    <w:rsid w:val="00B86EC0"/>
    <w:rsid w:val="00B86F6F"/>
    <w:rsid w:val="00B87083"/>
    <w:rsid w:val="00B87270"/>
    <w:rsid w:val="00B87385"/>
    <w:rsid w:val="00B879AB"/>
    <w:rsid w:val="00B87DBE"/>
    <w:rsid w:val="00B87EEE"/>
    <w:rsid w:val="00B87EF2"/>
    <w:rsid w:val="00B900E9"/>
    <w:rsid w:val="00B9012D"/>
    <w:rsid w:val="00B90535"/>
    <w:rsid w:val="00B90566"/>
    <w:rsid w:val="00B905E0"/>
    <w:rsid w:val="00B90619"/>
    <w:rsid w:val="00B908E0"/>
    <w:rsid w:val="00B909A7"/>
    <w:rsid w:val="00B90E70"/>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2E3"/>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5FA"/>
    <w:rsid w:val="00B948DA"/>
    <w:rsid w:val="00B94CD2"/>
    <w:rsid w:val="00B95341"/>
    <w:rsid w:val="00B9536A"/>
    <w:rsid w:val="00B953FA"/>
    <w:rsid w:val="00B95AB0"/>
    <w:rsid w:val="00B95C70"/>
    <w:rsid w:val="00B95DBF"/>
    <w:rsid w:val="00B95E24"/>
    <w:rsid w:val="00B96224"/>
    <w:rsid w:val="00B9626C"/>
    <w:rsid w:val="00B962F3"/>
    <w:rsid w:val="00B96418"/>
    <w:rsid w:val="00B9649D"/>
    <w:rsid w:val="00B96679"/>
    <w:rsid w:val="00B96C70"/>
    <w:rsid w:val="00B96D4F"/>
    <w:rsid w:val="00B96D54"/>
    <w:rsid w:val="00B96ED9"/>
    <w:rsid w:val="00B97104"/>
    <w:rsid w:val="00B977B6"/>
    <w:rsid w:val="00B97934"/>
    <w:rsid w:val="00B97964"/>
    <w:rsid w:val="00B97A1F"/>
    <w:rsid w:val="00B97A26"/>
    <w:rsid w:val="00B97A7A"/>
    <w:rsid w:val="00B97D6A"/>
    <w:rsid w:val="00B97D76"/>
    <w:rsid w:val="00BA01F4"/>
    <w:rsid w:val="00BA0325"/>
    <w:rsid w:val="00BA03BD"/>
    <w:rsid w:val="00BA04CC"/>
    <w:rsid w:val="00BA0564"/>
    <w:rsid w:val="00BA070E"/>
    <w:rsid w:val="00BA083E"/>
    <w:rsid w:val="00BA08F2"/>
    <w:rsid w:val="00BA0A5E"/>
    <w:rsid w:val="00BA0BB1"/>
    <w:rsid w:val="00BA0D70"/>
    <w:rsid w:val="00BA1112"/>
    <w:rsid w:val="00BA11C7"/>
    <w:rsid w:val="00BA12C3"/>
    <w:rsid w:val="00BA1432"/>
    <w:rsid w:val="00BA15B9"/>
    <w:rsid w:val="00BA1913"/>
    <w:rsid w:val="00BA198C"/>
    <w:rsid w:val="00BA1A6C"/>
    <w:rsid w:val="00BA1C33"/>
    <w:rsid w:val="00BA1DA0"/>
    <w:rsid w:val="00BA1DF1"/>
    <w:rsid w:val="00BA1F19"/>
    <w:rsid w:val="00BA1FBE"/>
    <w:rsid w:val="00BA23F6"/>
    <w:rsid w:val="00BA242D"/>
    <w:rsid w:val="00BA246A"/>
    <w:rsid w:val="00BA27FC"/>
    <w:rsid w:val="00BA388A"/>
    <w:rsid w:val="00BA3A40"/>
    <w:rsid w:val="00BA3CE6"/>
    <w:rsid w:val="00BA3FED"/>
    <w:rsid w:val="00BA401F"/>
    <w:rsid w:val="00BA424C"/>
    <w:rsid w:val="00BA43C9"/>
    <w:rsid w:val="00BA48DE"/>
    <w:rsid w:val="00BA4950"/>
    <w:rsid w:val="00BA4A43"/>
    <w:rsid w:val="00BA4AC6"/>
    <w:rsid w:val="00BA4CD6"/>
    <w:rsid w:val="00BA4CFB"/>
    <w:rsid w:val="00BA4D1B"/>
    <w:rsid w:val="00BA5729"/>
    <w:rsid w:val="00BA578E"/>
    <w:rsid w:val="00BA5CD2"/>
    <w:rsid w:val="00BA5CF4"/>
    <w:rsid w:val="00BA5E0C"/>
    <w:rsid w:val="00BA5EA4"/>
    <w:rsid w:val="00BA5F47"/>
    <w:rsid w:val="00BA615C"/>
    <w:rsid w:val="00BA62AC"/>
    <w:rsid w:val="00BA650B"/>
    <w:rsid w:val="00BA6B0A"/>
    <w:rsid w:val="00BA6C68"/>
    <w:rsid w:val="00BA7008"/>
    <w:rsid w:val="00BA7068"/>
    <w:rsid w:val="00BA71B4"/>
    <w:rsid w:val="00BA7218"/>
    <w:rsid w:val="00BA73E5"/>
    <w:rsid w:val="00BA73F4"/>
    <w:rsid w:val="00BA78BA"/>
    <w:rsid w:val="00BA7E56"/>
    <w:rsid w:val="00BB00AA"/>
    <w:rsid w:val="00BB00FE"/>
    <w:rsid w:val="00BB046D"/>
    <w:rsid w:val="00BB04FF"/>
    <w:rsid w:val="00BB0673"/>
    <w:rsid w:val="00BB08B9"/>
    <w:rsid w:val="00BB09BC"/>
    <w:rsid w:val="00BB0A06"/>
    <w:rsid w:val="00BB0B5D"/>
    <w:rsid w:val="00BB0F4D"/>
    <w:rsid w:val="00BB1071"/>
    <w:rsid w:val="00BB108B"/>
    <w:rsid w:val="00BB110B"/>
    <w:rsid w:val="00BB136B"/>
    <w:rsid w:val="00BB13C4"/>
    <w:rsid w:val="00BB14B6"/>
    <w:rsid w:val="00BB15F4"/>
    <w:rsid w:val="00BB1694"/>
    <w:rsid w:val="00BB1907"/>
    <w:rsid w:val="00BB19A9"/>
    <w:rsid w:val="00BB1B4D"/>
    <w:rsid w:val="00BB2156"/>
    <w:rsid w:val="00BB2193"/>
    <w:rsid w:val="00BB2283"/>
    <w:rsid w:val="00BB22CB"/>
    <w:rsid w:val="00BB239D"/>
    <w:rsid w:val="00BB24FC"/>
    <w:rsid w:val="00BB2559"/>
    <w:rsid w:val="00BB27C6"/>
    <w:rsid w:val="00BB2883"/>
    <w:rsid w:val="00BB29BF"/>
    <w:rsid w:val="00BB2B37"/>
    <w:rsid w:val="00BB2CC6"/>
    <w:rsid w:val="00BB30FF"/>
    <w:rsid w:val="00BB3306"/>
    <w:rsid w:val="00BB33C2"/>
    <w:rsid w:val="00BB3442"/>
    <w:rsid w:val="00BB35EB"/>
    <w:rsid w:val="00BB38EA"/>
    <w:rsid w:val="00BB3A15"/>
    <w:rsid w:val="00BB3C76"/>
    <w:rsid w:val="00BB3EB4"/>
    <w:rsid w:val="00BB4212"/>
    <w:rsid w:val="00BB4403"/>
    <w:rsid w:val="00BB46BF"/>
    <w:rsid w:val="00BB4858"/>
    <w:rsid w:val="00BB4A8C"/>
    <w:rsid w:val="00BB4CCF"/>
    <w:rsid w:val="00BB4E88"/>
    <w:rsid w:val="00BB4E8F"/>
    <w:rsid w:val="00BB4ECF"/>
    <w:rsid w:val="00BB4F1C"/>
    <w:rsid w:val="00BB4F35"/>
    <w:rsid w:val="00BB553A"/>
    <w:rsid w:val="00BB5564"/>
    <w:rsid w:val="00BB5576"/>
    <w:rsid w:val="00BB55B4"/>
    <w:rsid w:val="00BB581B"/>
    <w:rsid w:val="00BB5830"/>
    <w:rsid w:val="00BB58F8"/>
    <w:rsid w:val="00BB5B64"/>
    <w:rsid w:val="00BB5EB3"/>
    <w:rsid w:val="00BB5F9B"/>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EEF"/>
    <w:rsid w:val="00BB7F93"/>
    <w:rsid w:val="00BC0005"/>
    <w:rsid w:val="00BC001B"/>
    <w:rsid w:val="00BC02EA"/>
    <w:rsid w:val="00BC0561"/>
    <w:rsid w:val="00BC0766"/>
    <w:rsid w:val="00BC082A"/>
    <w:rsid w:val="00BC0B24"/>
    <w:rsid w:val="00BC0DBD"/>
    <w:rsid w:val="00BC0E3E"/>
    <w:rsid w:val="00BC0EF4"/>
    <w:rsid w:val="00BC0FF3"/>
    <w:rsid w:val="00BC1472"/>
    <w:rsid w:val="00BC1862"/>
    <w:rsid w:val="00BC18D1"/>
    <w:rsid w:val="00BC196E"/>
    <w:rsid w:val="00BC1A6E"/>
    <w:rsid w:val="00BC1ACB"/>
    <w:rsid w:val="00BC1B76"/>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E8D"/>
    <w:rsid w:val="00BC41B4"/>
    <w:rsid w:val="00BC452B"/>
    <w:rsid w:val="00BC47FA"/>
    <w:rsid w:val="00BC48C2"/>
    <w:rsid w:val="00BC4F8A"/>
    <w:rsid w:val="00BC504D"/>
    <w:rsid w:val="00BC5061"/>
    <w:rsid w:val="00BC50AA"/>
    <w:rsid w:val="00BC5372"/>
    <w:rsid w:val="00BC541E"/>
    <w:rsid w:val="00BC5447"/>
    <w:rsid w:val="00BC5724"/>
    <w:rsid w:val="00BC582C"/>
    <w:rsid w:val="00BC588E"/>
    <w:rsid w:val="00BC5AF5"/>
    <w:rsid w:val="00BC5B89"/>
    <w:rsid w:val="00BC5EB0"/>
    <w:rsid w:val="00BC6135"/>
    <w:rsid w:val="00BC61AA"/>
    <w:rsid w:val="00BC6262"/>
    <w:rsid w:val="00BC6628"/>
    <w:rsid w:val="00BC66A1"/>
    <w:rsid w:val="00BC66A9"/>
    <w:rsid w:val="00BC6C1B"/>
    <w:rsid w:val="00BC6E9E"/>
    <w:rsid w:val="00BC703D"/>
    <w:rsid w:val="00BC721C"/>
    <w:rsid w:val="00BC7362"/>
    <w:rsid w:val="00BC75DF"/>
    <w:rsid w:val="00BC7825"/>
    <w:rsid w:val="00BC7915"/>
    <w:rsid w:val="00BC79A7"/>
    <w:rsid w:val="00BC7A40"/>
    <w:rsid w:val="00BC7AE1"/>
    <w:rsid w:val="00BC7C81"/>
    <w:rsid w:val="00BC7E8F"/>
    <w:rsid w:val="00BC7EA1"/>
    <w:rsid w:val="00BC7EC1"/>
    <w:rsid w:val="00BD0237"/>
    <w:rsid w:val="00BD031C"/>
    <w:rsid w:val="00BD03EE"/>
    <w:rsid w:val="00BD08EC"/>
    <w:rsid w:val="00BD0992"/>
    <w:rsid w:val="00BD0A98"/>
    <w:rsid w:val="00BD0ADB"/>
    <w:rsid w:val="00BD0B34"/>
    <w:rsid w:val="00BD0E5B"/>
    <w:rsid w:val="00BD0FFE"/>
    <w:rsid w:val="00BD123F"/>
    <w:rsid w:val="00BD133D"/>
    <w:rsid w:val="00BD1389"/>
    <w:rsid w:val="00BD1500"/>
    <w:rsid w:val="00BD1589"/>
    <w:rsid w:val="00BD172C"/>
    <w:rsid w:val="00BD1792"/>
    <w:rsid w:val="00BD1A29"/>
    <w:rsid w:val="00BD1ABB"/>
    <w:rsid w:val="00BD1AC4"/>
    <w:rsid w:val="00BD1B2D"/>
    <w:rsid w:val="00BD1C3D"/>
    <w:rsid w:val="00BD2742"/>
    <w:rsid w:val="00BD2766"/>
    <w:rsid w:val="00BD2926"/>
    <w:rsid w:val="00BD299E"/>
    <w:rsid w:val="00BD2A5C"/>
    <w:rsid w:val="00BD2AE5"/>
    <w:rsid w:val="00BD2C5F"/>
    <w:rsid w:val="00BD2D35"/>
    <w:rsid w:val="00BD2E77"/>
    <w:rsid w:val="00BD30CC"/>
    <w:rsid w:val="00BD32B6"/>
    <w:rsid w:val="00BD34DB"/>
    <w:rsid w:val="00BD3819"/>
    <w:rsid w:val="00BD3B4D"/>
    <w:rsid w:val="00BD3EAD"/>
    <w:rsid w:val="00BD3EC2"/>
    <w:rsid w:val="00BD412C"/>
    <w:rsid w:val="00BD41B0"/>
    <w:rsid w:val="00BD4327"/>
    <w:rsid w:val="00BD44B6"/>
    <w:rsid w:val="00BD480C"/>
    <w:rsid w:val="00BD4B10"/>
    <w:rsid w:val="00BD4C67"/>
    <w:rsid w:val="00BD4CC2"/>
    <w:rsid w:val="00BD4CED"/>
    <w:rsid w:val="00BD4EE8"/>
    <w:rsid w:val="00BD4F99"/>
    <w:rsid w:val="00BD5101"/>
    <w:rsid w:val="00BD5375"/>
    <w:rsid w:val="00BD5397"/>
    <w:rsid w:val="00BD53A6"/>
    <w:rsid w:val="00BD5C3F"/>
    <w:rsid w:val="00BD5CEA"/>
    <w:rsid w:val="00BD5E45"/>
    <w:rsid w:val="00BD64AF"/>
    <w:rsid w:val="00BD6552"/>
    <w:rsid w:val="00BD65DA"/>
    <w:rsid w:val="00BD66D6"/>
    <w:rsid w:val="00BD6CD9"/>
    <w:rsid w:val="00BD6D6D"/>
    <w:rsid w:val="00BD7023"/>
    <w:rsid w:val="00BD720C"/>
    <w:rsid w:val="00BD7317"/>
    <w:rsid w:val="00BD732A"/>
    <w:rsid w:val="00BD7F8E"/>
    <w:rsid w:val="00BE00B5"/>
    <w:rsid w:val="00BE02B3"/>
    <w:rsid w:val="00BE050B"/>
    <w:rsid w:val="00BE0590"/>
    <w:rsid w:val="00BE080D"/>
    <w:rsid w:val="00BE0AB8"/>
    <w:rsid w:val="00BE0E8B"/>
    <w:rsid w:val="00BE0FB8"/>
    <w:rsid w:val="00BE14A0"/>
    <w:rsid w:val="00BE1866"/>
    <w:rsid w:val="00BE19F0"/>
    <w:rsid w:val="00BE1D5A"/>
    <w:rsid w:val="00BE1E31"/>
    <w:rsid w:val="00BE1F26"/>
    <w:rsid w:val="00BE21BC"/>
    <w:rsid w:val="00BE2249"/>
    <w:rsid w:val="00BE248C"/>
    <w:rsid w:val="00BE2593"/>
    <w:rsid w:val="00BE26BD"/>
    <w:rsid w:val="00BE27F3"/>
    <w:rsid w:val="00BE2CD1"/>
    <w:rsid w:val="00BE3451"/>
    <w:rsid w:val="00BE3506"/>
    <w:rsid w:val="00BE3AE6"/>
    <w:rsid w:val="00BE3CA2"/>
    <w:rsid w:val="00BE3E18"/>
    <w:rsid w:val="00BE3FAB"/>
    <w:rsid w:val="00BE4A40"/>
    <w:rsid w:val="00BE53DF"/>
    <w:rsid w:val="00BE54CF"/>
    <w:rsid w:val="00BE5604"/>
    <w:rsid w:val="00BE5642"/>
    <w:rsid w:val="00BE5713"/>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C2"/>
    <w:rsid w:val="00BE6B3F"/>
    <w:rsid w:val="00BE6C29"/>
    <w:rsid w:val="00BE6EFA"/>
    <w:rsid w:val="00BE6F03"/>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663"/>
    <w:rsid w:val="00BF0784"/>
    <w:rsid w:val="00BF0A9D"/>
    <w:rsid w:val="00BF0DAE"/>
    <w:rsid w:val="00BF10B7"/>
    <w:rsid w:val="00BF114E"/>
    <w:rsid w:val="00BF1401"/>
    <w:rsid w:val="00BF1480"/>
    <w:rsid w:val="00BF1651"/>
    <w:rsid w:val="00BF1A35"/>
    <w:rsid w:val="00BF1BD7"/>
    <w:rsid w:val="00BF1CA3"/>
    <w:rsid w:val="00BF1D73"/>
    <w:rsid w:val="00BF225C"/>
    <w:rsid w:val="00BF26BE"/>
    <w:rsid w:val="00BF26C3"/>
    <w:rsid w:val="00BF2803"/>
    <w:rsid w:val="00BF2D63"/>
    <w:rsid w:val="00BF33AD"/>
    <w:rsid w:val="00BF34E7"/>
    <w:rsid w:val="00BF3777"/>
    <w:rsid w:val="00BF3914"/>
    <w:rsid w:val="00BF3A01"/>
    <w:rsid w:val="00BF3BF6"/>
    <w:rsid w:val="00BF3EC6"/>
    <w:rsid w:val="00BF42BD"/>
    <w:rsid w:val="00BF48F4"/>
    <w:rsid w:val="00BF492C"/>
    <w:rsid w:val="00BF4B98"/>
    <w:rsid w:val="00BF4DE8"/>
    <w:rsid w:val="00BF4FE8"/>
    <w:rsid w:val="00BF5088"/>
    <w:rsid w:val="00BF521E"/>
    <w:rsid w:val="00BF5268"/>
    <w:rsid w:val="00BF5342"/>
    <w:rsid w:val="00BF538E"/>
    <w:rsid w:val="00BF54EE"/>
    <w:rsid w:val="00BF55D6"/>
    <w:rsid w:val="00BF5702"/>
    <w:rsid w:val="00BF579F"/>
    <w:rsid w:val="00BF581D"/>
    <w:rsid w:val="00BF592D"/>
    <w:rsid w:val="00BF5A3F"/>
    <w:rsid w:val="00BF5EF0"/>
    <w:rsid w:val="00BF607A"/>
    <w:rsid w:val="00BF63C4"/>
    <w:rsid w:val="00BF659C"/>
    <w:rsid w:val="00BF67EF"/>
    <w:rsid w:val="00BF68A0"/>
    <w:rsid w:val="00BF68D9"/>
    <w:rsid w:val="00BF6B12"/>
    <w:rsid w:val="00BF6B85"/>
    <w:rsid w:val="00BF6C2E"/>
    <w:rsid w:val="00BF721B"/>
    <w:rsid w:val="00BF727A"/>
    <w:rsid w:val="00BF73F0"/>
    <w:rsid w:val="00BF744E"/>
    <w:rsid w:val="00BF7780"/>
    <w:rsid w:val="00BF7813"/>
    <w:rsid w:val="00BF7845"/>
    <w:rsid w:val="00BF7865"/>
    <w:rsid w:val="00BF7C8B"/>
    <w:rsid w:val="00C0000C"/>
    <w:rsid w:val="00C0079C"/>
    <w:rsid w:val="00C0083C"/>
    <w:rsid w:val="00C009F0"/>
    <w:rsid w:val="00C010A8"/>
    <w:rsid w:val="00C0141D"/>
    <w:rsid w:val="00C014DE"/>
    <w:rsid w:val="00C0152B"/>
    <w:rsid w:val="00C0164A"/>
    <w:rsid w:val="00C017BF"/>
    <w:rsid w:val="00C019FC"/>
    <w:rsid w:val="00C01B0B"/>
    <w:rsid w:val="00C01E7D"/>
    <w:rsid w:val="00C01EBD"/>
    <w:rsid w:val="00C01F1E"/>
    <w:rsid w:val="00C02001"/>
    <w:rsid w:val="00C0202B"/>
    <w:rsid w:val="00C02049"/>
    <w:rsid w:val="00C02070"/>
    <w:rsid w:val="00C021BB"/>
    <w:rsid w:val="00C021EB"/>
    <w:rsid w:val="00C02299"/>
    <w:rsid w:val="00C0240F"/>
    <w:rsid w:val="00C029EA"/>
    <w:rsid w:val="00C02A20"/>
    <w:rsid w:val="00C02B39"/>
    <w:rsid w:val="00C02B4F"/>
    <w:rsid w:val="00C02DE3"/>
    <w:rsid w:val="00C02ECB"/>
    <w:rsid w:val="00C02FE1"/>
    <w:rsid w:val="00C03012"/>
    <w:rsid w:val="00C036E8"/>
    <w:rsid w:val="00C0371A"/>
    <w:rsid w:val="00C0373D"/>
    <w:rsid w:val="00C03DA6"/>
    <w:rsid w:val="00C03EA6"/>
    <w:rsid w:val="00C043A9"/>
    <w:rsid w:val="00C0450D"/>
    <w:rsid w:val="00C0457A"/>
    <w:rsid w:val="00C04615"/>
    <w:rsid w:val="00C0469C"/>
    <w:rsid w:val="00C04834"/>
    <w:rsid w:val="00C049E2"/>
    <w:rsid w:val="00C04A88"/>
    <w:rsid w:val="00C04B79"/>
    <w:rsid w:val="00C04C83"/>
    <w:rsid w:val="00C04CF5"/>
    <w:rsid w:val="00C04CFA"/>
    <w:rsid w:val="00C04E20"/>
    <w:rsid w:val="00C04E95"/>
    <w:rsid w:val="00C051D9"/>
    <w:rsid w:val="00C0525D"/>
    <w:rsid w:val="00C0558B"/>
    <w:rsid w:val="00C05613"/>
    <w:rsid w:val="00C057EE"/>
    <w:rsid w:val="00C058D4"/>
    <w:rsid w:val="00C05A1B"/>
    <w:rsid w:val="00C05B9C"/>
    <w:rsid w:val="00C05BE5"/>
    <w:rsid w:val="00C05C4E"/>
    <w:rsid w:val="00C05CB8"/>
    <w:rsid w:val="00C05E55"/>
    <w:rsid w:val="00C0606C"/>
    <w:rsid w:val="00C06408"/>
    <w:rsid w:val="00C06416"/>
    <w:rsid w:val="00C064A7"/>
    <w:rsid w:val="00C06508"/>
    <w:rsid w:val="00C066D3"/>
    <w:rsid w:val="00C06CFA"/>
    <w:rsid w:val="00C06F4D"/>
    <w:rsid w:val="00C0719D"/>
    <w:rsid w:val="00C074E0"/>
    <w:rsid w:val="00C076D3"/>
    <w:rsid w:val="00C0792A"/>
    <w:rsid w:val="00C07B21"/>
    <w:rsid w:val="00C07C03"/>
    <w:rsid w:val="00C07C0E"/>
    <w:rsid w:val="00C07DD9"/>
    <w:rsid w:val="00C07F1C"/>
    <w:rsid w:val="00C10462"/>
    <w:rsid w:val="00C106BA"/>
    <w:rsid w:val="00C10792"/>
    <w:rsid w:val="00C108BF"/>
    <w:rsid w:val="00C108D4"/>
    <w:rsid w:val="00C10B90"/>
    <w:rsid w:val="00C10DC1"/>
    <w:rsid w:val="00C112DF"/>
    <w:rsid w:val="00C1166D"/>
    <w:rsid w:val="00C119EF"/>
    <w:rsid w:val="00C11AAC"/>
    <w:rsid w:val="00C11D8F"/>
    <w:rsid w:val="00C11E99"/>
    <w:rsid w:val="00C11EE1"/>
    <w:rsid w:val="00C12574"/>
    <w:rsid w:val="00C125F2"/>
    <w:rsid w:val="00C12A56"/>
    <w:rsid w:val="00C12BF3"/>
    <w:rsid w:val="00C12C47"/>
    <w:rsid w:val="00C12C7C"/>
    <w:rsid w:val="00C12DE2"/>
    <w:rsid w:val="00C12E59"/>
    <w:rsid w:val="00C12E7E"/>
    <w:rsid w:val="00C12FEB"/>
    <w:rsid w:val="00C13236"/>
    <w:rsid w:val="00C136F8"/>
    <w:rsid w:val="00C138B0"/>
    <w:rsid w:val="00C138F3"/>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912"/>
    <w:rsid w:val="00C15B14"/>
    <w:rsid w:val="00C15D1E"/>
    <w:rsid w:val="00C15F1E"/>
    <w:rsid w:val="00C16276"/>
    <w:rsid w:val="00C1649C"/>
    <w:rsid w:val="00C16745"/>
    <w:rsid w:val="00C16AAA"/>
    <w:rsid w:val="00C16CBF"/>
    <w:rsid w:val="00C176E9"/>
    <w:rsid w:val="00C178E6"/>
    <w:rsid w:val="00C179EB"/>
    <w:rsid w:val="00C17EA5"/>
    <w:rsid w:val="00C17FC3"/>
    <w:rsid w:val="00C2012B"/>
    <w:rsid w:val="00C206A9"/>
    <w:rsid w:val="00C20794"/>
    <w:rsid w:val="00C2081E"/>
    <w:rsid w:val="00C20C68"/>
    <w:rsid w:val="00C20D4D"/>
    <w:rsid w:val="00C2107D"/>
    <w:rsid w:val="00C2123D"/>
    <w:rsid w:val="00C2156B"/>
    <w:rsid w:val="00C21875"/>
    <w:rsid w:val="00C21B03"/>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CF"/>
    <w:rsid w:val="00C23A73"/>
    <w:rsid w:val="00C23C0D"/>
    <w:rsid w:val="00C23CB8"/>
    <w:rsid w:val="00C23DDF"/>
    <w:rsid w:val="00C23EE3"/>
    <w:rsid w:val="00C240AF"/>
    <w:rsid w:val="00C245B1"/>
    <w:rsid w:val="00C24672"/>
    <w:rsid w:val="00C246EA"/>
    <w:rsid w:val="00C247C0"/>
    <w:rsid w:val="00C248A8"/>
    <w:rsid w:val="00C250CC"/>
    <w:rsid w:val="00C253D2"/>
    <w:rsid w:val="00C25A2D"/>
    <w:rsid w:val="00C25EFB"/>
    <w:rsid w:val="00C26018"/>
    <w:rsid w:val="00C267F3"/>
    <w:rsid w:val="00C2684E"/>
    <w:rsid w:val="00C26B1C"/>
    <w:rsid w:val="00C26BBA"/>
    <w:rsid w:val="00C26D6D"/>
    <w:rsid w:val="00C26E34"/>
    <w:rsid w:val="00C27281"/>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C25"/>
    <w:rsid w:val="00C30D7D"/>
    <w:rsid w:val="00C30DB6"/>
    <w:rsid w:val="00C30DE6"/>
    <w:rsid w:val="00C31173"/>
    <w:rsid w:val="00C312DF"/>
    <w:rsid w:val="00C3141B"/>
    <w:rsid w:val="00C31501"/>
    <w:rsid w:val="00C315AB"/>
    <w:rsid w:val="00C316DD"/>
    <w:rsid w:val="00C31DE7"/>
    <w:rsid w:val="00C31E10"/>
    <w:rsid w:val="00C320B7"/>
    <w:rsid w:val="00C32243"/>
    <w:rsid w:val="00C322C4"/>
    <w:rsid w:val="00C322D1"/>
    <w:rsid w:val="00C3252A"/>
    <w:rsid w:val="00C32539"/>
    <w:rsid w:val="00C325BB"/>
    <w:rsid w:val="00C32B4B"/>
    <w:rsid w:val="00C32D32"/>
    <w:rsid w:val="00C32D73"/>
    <w:rsid w:val="00C32E4D"/>
    <w:rsid w:val="00C32EBE"/>
    <w:rsid w:val="00C330BF"/>
    <w:rsid w:val="00C330E2"/>
    <w:rsid w:val="00C33C65"/>
    <w:rsid w:val="00C33CAC"/>
    <w:rsid w:val="00C33D2E"/>
    <w:rsid w:val="00C34157"/>
    <w:rsid w:val="00C34406"/>
    <w:rsid w:val="00C34540"/>
    <w:rsid w:val="00C3457D"/>
    <w:rsid w:val="00C3459C"/>
    <w:rsid w:val="00C3494C"/>
    <w:rsid w:val="00C34ADF"/>
    <w:rsid w:val="00C34B1A"/>
    <w:rsid w:val="00C34B49"/>
    <w:rsid w:val="00C34BC4"/>
    <w:rsid w:val="00C35562"/>
    <w:rsid w:val="00C35633"/>
    <w:rsid w:val="00C3571B"/>
    <w:rsid w:val="00C35744"/>
    <w:rsid w:val="00C35AA4"/>
    <w:rsid w:val="00C35B2C"/>
    <w:rsid w:val="00C35E70"/>
    <w:rsid w:val="00C360CA"/>
    <w:rsid w:val="00C36143"/>
    <w:rsid w:val="00C361B3"/>
    <w:rsid w:val="00C36550"/>
    <w:rsid w:val="00C367C7"/>
    <w:rsid w:val="00C367EC"/>
    <w:rsid w:val="00C36963"/>
    <w:rsid w:val="00C369A6"/>
    <w:rsid w:val="00C369AA"/>
    <w:rsid w:val="00C36A9A"/>
    <w:rsid w:val="00C36AD2"/>
    <w:rsid w:val="00C36B32"/>
    <w:rsid w:val="00C36C43"/>
    <w:rsid w:val="00C36CE4"/>
    <w:rsid w:val="00C37096"/>
    <w:rsid w:val="00C3709C"/>
    <w:rsid w:val="00C370AD"/>
    <w:rsid w:val="00C3715C"/>
    <w:rsid w:val="00C37395"/>
    <w:rsid w:val="00C37397"/>
    <w:rsid w:val="00C3743B"/>
    <w:rsid w:val="00C374D6"/>
    <w:rsid w:val="00C37618"/>
    <w:rsid w:val="00C37689"/>
    <w:rsid w:val="00C37AB4"/>
    <w:rsid w:val="00C37C3A"/>
    <w:rsid w:val="00C37D11"/>
    <w:rsid w:val="00C37D38"/>
    <w:rsid w:val="00C37FED"/>
    <w:rsid w:val="00C406A2"/>
    <w:rsid w:val="00C407D8"/>
    <w:rsid w:val="00C40A33"/>
    <w:rsid w:val="00C40B04"/>
    <w:rsid w:val="00C40C5C"/>
    <w:rsid w:val="00C40E4D"/>
    <w:rsid w:val="00C40E78"/>
    <w:rsid w:val="00C412CD"/>
    <w:rsid w:val="00C41407"/>
    <w:rsid w:val="00C41557"/>
    <w:rsid w:val="00C41A77"/>
    <w:rsid w:val="00C41F9B"/>
    <w:rsid w:val="00C42023"/>
    <w:rsid w:val="00C429B4"/>
    <w:rsid w:val="00C42A62"/>
    <w:rsid w:val="00C42B80"/>
    <w:rsid w:val="00C430C6"/>
    <w:rsid w:val="00C43ADE"/>
    <w:rsid w:val="00C445BE"/>
    <w:rsid w:val="00C44609"/>
    <w:rsid w:val="00C44C6E"/>
    <w:rsid w:val="00C452D9"/>
    <w:rsid w:val="00C45349"/>
    <w:rsid w:val="00C45685"/>
    <w:rsid w:val="00C45914"/>
    <w:rsid w:val="00C459BA"/>
    <w:rsid w:val="00C45A3D"/>
    <w:rsid w:val="00C45A88"/>
    <w:rsid w:val="00C45C64"/>
    <w:rsid w:val="00C45C88"/>
    <w:rsid w:val="00C45F13"/>
    <w:rsid w:val="00C45FDB"/>
    <w:rsid w:val="00C46284"/>
    <w:rsid w:val="00C462A6"/>
    <w:rsid w:val="00C4632B"/>
    <w:rsid w:val="00C4658C"/>
    <w:rsid w:val="00C468B8"/>
    <w:rsid w:val="00C46D4F"/>
    <w:rsid w:val="00C470B9"/>
    <w:rsid w:val="00C47118"/>
    <w:rsid w:val="00C473FF"/>
    <w:rsid w:val="00C47432"/>
    <w:rsid w:val="00C4764A"/>
    <w:rsid w:val="00C47885"/>
    <w:rsid w:val="00C47902"/>
    <w:rsid w:val="00C47A6F"/>
    <w:rsid w:val="00C47D3C"/>
    <w:rsid w:val="00C47D7C"/>
    <w:rsid w:val="00C47F39"/>
    <w:rsid w:val="00C47FE6"/>
    <w:rsid w:val="00C50321"/>
    <w:rsid w:val="00C50C64"/>
    <w:rsid w:val="00C510DD"/>
    <w:rsid w:val="00C511E3"/>
    <w:rsid w:val="00C517F3"/>
    <w:rsid w:val="00C51E31"/>
    <w:rsid w:val="00C51E7E"/>
    <w:rsid w:val="00C52399"/>
    <w:rsid w:val="00C5258C"/>
    <w:rsid w:val="00C525DD"/>
    <w:rsid w:val="00C525F4"/>
    <w:rsid w:val="00C52734"/>
    <w:rsid w:val="00C5277F"/>
    <w:rsid w:val="00C527E5"/>
    <w:rsid w:val="00C52A62"/>
    <w:rsid w:val="00C52A68"/>
    <w:rsid w:val="00C52ABC"/>
    <w:rsid w:val="00C52B20"/>
    <w:rsid w:val="00C52D1E"/>
    <w:rsid w:val="00C52E02"/>
    <w:rsid w:val="00C52E6C"/>
    <w:rsid w:val="00C52E79"/>
    <w:rsid w:val="00C53276"/>
    <w:rsid w:val="00C534AD"/>
    <w:rsid w:val="00C53669"/>
    <w:rsid w:val="00C536D8"/>
    <w:rsid w:val="00C53937"/>
    <w:rsid w:val="00C53963"/>
    <w:rsid w:val="00C53BD5"/>
    <w:rsid w:val="00C53D90"/>
    <w:rsid w:val="00C53DD8"/>
    <w:rsid w:val="00C53ECF"/>
    <w:rsid w:val="00C54172"/>
    <w:rsid w:val="00C544E0"/>
    <w:rsid w:val="00C546BE"/>
    <w:rsid w:val="00C54A10"/>
    <w:rsid w:val="00C54A77"/>
    <w:rsid w:val="00C54BA8"/>
    <w:rsid w:val="00C54D16"/>
    <w:rsid w:val="00C54FE5"/>
    <w:rsid w:val="00C5503F"/>
    <w:rsid w:val="00C550DB"/>
    <w:rsid w:val="00C55153"/>
    <w:rsid w:val="00C551B9"/>
    <w:rsid w:val="00C55335"/>
    <w:rsid w:val="00C55368"/>
    <w:rsid w:val="00C553AD"/>
    <w:rsid w:val="00C554B9"/>
    <w:rsid w:val="00C5572A"/>
    <w:rsid w:val="00C55863"/>
    <w:rsid w:val="00C5586A"/>
    <w:rsid w:val="00C55CBF"/>
    <w:rsid w:val="00C55CE9"/>
    <w:rsid w:val="00C55D12"/>
    <w:rsid w:val="00C55DBC"/>
    <w:rsid w:val="00C55E8F"/>
    <w:rsid w:val="00C55EC4"/>
    <w:rsid w:val="00C56708"/>
    <w:rsid w:val="00C56779"/>
    <w:rsid w:val="00C5683B"/>
    <w:rsid w:val="00C56842"/>
    <w:rsid w:val="00C56861"/>
    <w:rsid w:val="00C568F7"/>
    <w:rsid w:val="00C56901"/>
    <w:rsid w:val="00C56E1F"/>
    <w:rsid w:val="00C56E71"/>
    <w:rsid w:val="00C5707C"/>
    <w:rsid w:val="00C572B3"/>
    <w:rsid w:val="00C5738D"/>
    <w:rsid w:val="00C57632"/>
    <w:rsid w:val="00C576D9"/>
    <w:rsid w:val="00C5776B"/>
    <w:rsid w:val="00C57BE1"/>
    <w:rsid w:val="00C57F1F"/>
    <w:rsid w:val="00C60013"/>
    <w:rsid w:val="00C60015"/>
    <w:rsid w:val="00C60042"/>
    <w:rsid w:val="00C6091C"/>
    <w:rsid w:val="00C60E2E"/>
    <w:rsid w:val="00C610D2"/>
    <w:rsid w:val="00C61270"/>
    <w:rsid w:val="00C6144E"/>
    <w:rsid w:val="00C618C7"/>
    <w:rsid w:val="00C61CEA"/>
    <w:rsid w:val="00C61F29"/>
    <w:rsid w:val="00C61FD1"/>
    <w:rsid w:val="00C62015"/>
    <w:rsid w:val="00C6265A"/>
    <w:rsid w:val="00C62710"/>
    <w:rsid w:val="00C62C6C"/>
    <w:rsid w:val="00C632A3"/>
    <w:rsid w:val="00C63336"/>
    <w:rsid w:val="00C63370"/>
    <w:rsid w:val="00C636BA"/>
    <w:rsid w:val="00C638E0"/>
    <w:rsid w:val="00C63D0C"/>
    <w:rsid w:val="00C63D71"/>
    <w:rsid w:val="00C63DEE"/>
    <w:rsid w:val="00C63EE7"/>
    <w:rsid w:val="00C63F9C"/>
    <w:rsid w:val="00C64232"/>
    <w:rsid w:val="00C6452E"/>
    <w:rsid w:val="00C64994"/>
    <w:rsid w:val="00C64E9E"/>
    <w:rsid w:val="00C65012"/>
    <w:rsid w:val="00C653A3"/>
    <w:rsid w:val="00C6549F"/>
    <w:rsid w:val="00C6572B"/>
    <w:rsid w:val="00C65838"/>
    <w:rsid w:val="00C65A2C"/>
    <w:rsid w:val="00C65BFD"/>
    <w:rsid w:val="00C65C5D"/>
    <w:rsid w:val="00C65E23"/>
    <w:rsid w:val="00C65EA3"/>
    <w:rsid w:val="00C65FC0"/>
    <w:rsid w:val="00C65FCA"/>
    <w:rsid w:val="00C6609F"/>
    <w:rsid w:val="00C6633B"/>
    <w:rsid w:val="00C6681D"/>
    <w:rsid w:val="00C6688C"/>
    <w:rsid w:val="00C66B29"/>
    <w:rsid w:val="00C66EEF"/>
    <w:rsid w:val="00C6703C"/>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AE2"/>
    <w:rsid w:val="00C70CDD"/>
    <w:rsid w:val="00C7115C"/>
    <w:rsid w:val="00C71227"/>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EA2"/>
    <w:rsid w:val="00C72EBD"/>
    <w:rsid w:val="00C72F03"/>
    <w:rsid w:val="00C7322E"/>
    <w:rsid w:val="00C73443"/>
    <w:rsid w:val="00C7349A"/>
    <w:rsid w:val="00C73633"/>
    <w:rsid w:val="00C736EA"/>
    <w:rsid w:val="00C73803"/>
    <w:rsid w:val="00C73918"/>
    <w:rsid w:val="00C73965"/>
    <w:rsid w:val="00C739FE"/>
    <w:rsid w:val="00C73CEC"/>
    <w:rsid w:val="00C73DCD"/>
    <w:rsid w:val="00C73EA6"/>
    <w:rsid w:val="00C74B25"/>
    <w:rsid w:val="00C74CEC"/>
    <w:rsid w:val="00C74EBE"/>
    <w:rsid w:val="00C751DF"/>
    <w:rsid w:val="00C753CF"/>
    <w:rsid w:val="00C75555"/>
    <w:rsid w:val="00C75657"/>
    <w:rsid w:val="00C75765"/>
    <w:rsid w:val="00C75782"/>
    <w:rsid w:val="00C759F3"/>
    <w:rsid w:val="00C75A9D"/>
    <w:rsid w:val="00C75AA9"/>
    <w:rsid w:val="00C75CE8"/>
    <w:rsid w:val="00C7614A"/>
    <w:rsid w:val="00C761D5"/>
    <w:rsid w:val="00C764D9"/>
    <w:rsid w:val="00C76646"/>
    <w:rsid w:val="00C766E7"/>
    <w:rsid w:val="00C7671C"/>
    <w:rsid w:val="00C76AE3"/>
    <w:rsid w:val="00C76F18"/>
    <w:rsid w:val="00C77034"/>
    <w:rsid w:val="00C7764B"/>
    <w:rsid w:val="00C7765D"/>
    <w:rsid w:val="00C77763"/>
    <w:rsid w:val="00C77AA1"/>
    <w:rsid w:val="00C77CA0"/>
    <w:rsid w:val="00C77D71"/>
    <w:rsid w:val="00C77EAA"/>
    <w:rsid w:val="00C80530"/>
    <w:rsid w:val="00C8053D"/>
    <w:rsid w:val="00C805B9"/>
    <w:rsid w:val="00C80612"/>
    <w:rsid w:val="00C80766"/>
    <w:rsid w:val="00C808B7"/>
    <w:rsid w:val="00C80A18"/>
    <w:rsid w:val="00C80A98"/>
    <w:rsid w:val="00C80DE5"/>
    <w:rsid w:val="00C8116B"/>
    <w:rsid w:val="00C813CD"/>
    <w:rsid w:val="00C81487"/>
    <w:rsid w:val="00C81E70"/>
    <w:rsid w:val="00C81F7F"/>
    <w:rsid w:val="00C8207F"/>
    <w:rsid w:val="00C8272D"/>
    <w:rsid w:val="00C82922"/>
    <w:rsid w:val="00C82968"/>
    <w:rsid w:val="00C82CCB"/>
    <w:rsid w:val="00C830FA"/>
    <w:rsid w:val="00C831B6"/>
    <w:rsid w:val="00C83280"/>
    <w:rsid w:val="00C834C2"/>
    <w:rsid w:val="00C83513"/>
    <w:rsid w:val="00C835F4"/>
    <w:rsid w:val="00C83711"/>
    <w:rsid w:val="00C83789"/>
    <w:rsid w:val="00C8396A"/>
    <w:rsid w:val="00C83CA0"/>
    <w:rsid w:val="00C83D6B"/>
    <w:rsid w:val="00C83F3E"/>
    <w:rsid w:val="00C8426B"/>
    <w:rsid w:val="00C8428C"/>
    <w:rsid w:val="00C842BB"/>
    <w:rsid w:val="00C843A0"/>
    <w:rsid w:val="00C84687"/>
    <w:rsid w:val="00C8473C"/>
    <w:rsid w:val="00C8492E"/>
    <w:rsid w:val="00C849BA"/>
    <w:rsid w:val="00C84AE4"/>
    <w:rsid w:val="00C84BC1"/>
    <w:rsid w:val="00C84D53"/>
    <w:rsid w:val="00C850A4"/>
    <w:rsid w:val="00C85567"/>
    <w:rsid w:val="00C85753"/>
    <w:rsid w:val="00C857DF"/>
    <w:rsid w:val="00C85814"/>
    <w:rsid w:val="00C85816"/>
    <w:rsid w:val="00C85A0A"/>
    <w:rsid w:val="00C85D43"/>
    <w:rsid w:val="00C85FD2"/>
    <w:rsid w:val="00C85FD9"/>
    <w:rsid w:val="00C8609E"/>
    <w:rsid w:val="00C860A9"/>
    <w:rsid w:val="00C86277"/>
    <w:rsid w:val="00C862C8"/>
    <w:rsid w:val="00C8665D"/>
    <w:rsid w:val="00C8675E"/>
    <w:rsid w:val="00C86873"/>
    <w:rsid w:val="00C86B48"/>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7E5"/>
    <w:rsid w:val="00C90C3F"/>
    <w:rsid w:val="00C90CE6"/>
    <w:rsid w:val="00C90F22"/>
    <w:rsid w:val="00C90F28"/>
    <w:rsid w:val="00C90FEE"/>
    <w:rsid w:val="00C9112C"/>
    <w:rsid w:val="00C9116D"/>
    <w:rsid w:val="00C911DB"/>
    <w:rsid w:val="00C91A57"/>
    <w:rsid w:val="00C91B20"/>
    <w:rsid w:val="00C91C40"/>
    <w:rsid w:val="00C91D9C"/>
    <w:rsid w:val="00C91EFF"/>
    <w:rsid w:val="00C92143"/>
    <w:rsid w:val="00C92173"/>
    <w:rsid w:val="00C921CC"/>
    <w:rsid w:val="00C923BD"/>
    <w:rsid w:val="00C92584"/>
    <w:rsid w:val="00C92928"/>
    <w:rsid w:val="00C929FE"/>
    <w:rsid w:val="00C92AB4"/>
    <w:rsid w:val="00C92B19"/>
    <w:rsid w:val="00C92E1B"/>
    <w:rsid w:val="00C93049"/>
    <w:rsid w:val="00C93472"/>
    <w:rsid w:val="00C934C9"/>
    <w:rsid w:val="00C93744"/>
    <w:rsid w:val="00C9379C"/>
    <w:rsid w:val="00C939B2"/>
    <w:rsid w:val="00C93E06"/>
    <w:rsid w:val="00C93F31"/>
    <w:rsid w:val="00C943BE"/>
    <w:rsid w:val="00C946A2"/>
    <w:rsid w:val="00C947DE"/>
    <w:rsid w:val="00C948A8"/>
    <w:rsid w:val="00C94C5C"/>
    <w:rsid w:val="00C94C94"/>
    <w:rsid w:val="00C94EC8"/>
    <w:rsid w:val="00C94F2B"/>
    <w:rsid w:val="00C95115"/>
    <w:rsid w:val="00C9563E"/>
    <w:rsid w:val="00C95736"/>
    <w:rsid w:val="00C95A4F"/>
    <w:rsid w:val="00C95CAF"/>
    <w:rsid w:val="00C95CDC"/>
    <w:rsid w:val="00C95DEE"/>
    <w:rsid w:val="00C95FD6"/>
    <w:rsid w:val="00C960C8"/>
    <w:rsid w:val="00C962B9"/>
    <w:rsid w:val="00C96474"/>
    <w:rsid w:val="00C9680C"/>
    <w:rsid w:val="00C96948"/>
    <w:rsid w:val="00C96958"/>
    <w:rsid w:val="00C96B52"/>
    <w:rsid w:val="00C96BD7"/>
    <w:rsid w:val="00C96D40"/>
    <w:rsid w:val="00C96DB6"/>
    <w:rsid w:val="00C96FA7"/>
    <w:rsid w:val="00C971CD"/>
    <w:rsid w:val="00C97211"/>
    <w:rsid w:val="00C97279"/>
    <w:rsid w:val="00C97323"/>
    <w:rsid w:val="00C9742A"/>
    <w:rsid w:val="00C97620"/>
    <w:rsid w:val="00C978E0"/>
    <w:rsid w:val="00C97AF1"/>
    <w:rsid w:val="00C97C2A"/>
    <w:rsid w:val="00CA03BA"/>
    <w:rsid w:val="00CA043C"/>
    <w:rsid w:val="00CA057D"/>
    <w:rsid w:val="00CA0A26"/>
    <w:rsid w:val="00CA0A48"/>
    <w:rsid w:val="00CA0BEF"/>
    <w:rsid w:val="00CA0E21"/>
    <w:rsid w:val="00CA0EF4"/>
    <w:rsid w:val="00CA1363"/>
    <w:rsid w:val="00CA13E0"/>
    <w:rsid w:val="00CA1505"/>
    <w:rsid w:val="00CA16B4"/>
    <w:rsid w:val="00CA17E9"/>
    <w:rsid w:val="00CA1851"/>
    <w:rsid w:val="00CA18FF"/>
    <w:rsid w:val="00CA1FE9"/>
    <w:rsid w:val="00CA22DA"/>
    <w:rsid w:val="00CA2A3F"/>
    <w:rsid w:val="00CA2B16"/>
    <w:rsid w:val="00CA2ED6"/>
    <w:rsid w:val="00CA2FC0"/>
    <w:rsid w:val="00CA3041"/>
    <w:rsid w:val="00CA309B"/>
    <w:rsid w:val="00CA310A"/>
    <w:rsid w:val="00CA32F1"/>
    <w:rsid w:val="00CA33D5"/>
    <w:rsid w:val="00CA3589"/>
    <w:rsid w:val="00CA367F"/>
    <w:rsid w:val="00CA3796"/>
    <w:rsid w:val="00CA3CE3"/>
    <w:rsid w:val="00CA3D63"/>
    <w:rsid w:val="00CA4312"/>
    <w:rsid w:val="00CA4534"/>
    <w:rsid w:val="00CA49D0"/>
    <w:rsid w:val="00CA4B1F"/>
    <w:rsid w:val="00CA4BFB"/>
    <w:rsid w:val="00CA4E3D"/>
    <w:rsid w:val="00CA4E51"/>
    <w:rsid w:val="00CA514E"/>
    <w:rsid w:val="00CA51B8"/>
    <w:rsid w:val="00CA5654"/>
    <w:rsid w:val="00CA5663"/>
    <w:rsid w:val="00CA5698"/>
    <w:rsid w:val="00CA5A06"/>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B0135"/>
    <w:rsid w:val="00CB0198"/>
    <w:rsid w:val="00CB02C7"/>
    <w:rsid w:val="00CB04A5"/>
    <w:rsid w:val="00CB07F8"/>
    <w:rsid w:val="00CB089C"/>
    <w:rsid w:val="00CB097B"/>
    <w:rsid w:val="00CB09E4"/>
    <w:rsid w:val="00CB0A99"/>
    <w:rsid w:val="00CB0C7B"/>
    <w:rsid w:val="00CB0C84"/>
    <w:rsid w:val="00CB1291"/>
    <w:rsid w:val="00CB15FD"/>
    <w:rsid w:val="00CB174A"/>
    <w:rsid w:val="00CB18DC"/>
    <w:rsid w:val="00CB1948"/>
    <w:rsid w:val="00CB20F0"/>
    <w:rsid w:val="00CB261E"/>
    <w:rsid w:val="00CB2954"/>
    <w:rsid w:val="00CB2A91"/>
    <w:rsid w:val="00CB2B45"/>
    <w:rsid w:val="00CB2CE6"/>
    <w:rsid w:val="00CB2D0A"/>
    <w:rsid w:val="00CB2D15"/>
    <w:rsid w:val="00CB2D3B"/>
    <w:rsid w:val="00CB3051"/>
    <w:rsid w:val="00CB328E"/>
    <w:rsid w:val="00CB364A"/>
    <w:rsid w:val="00CB3678"/>
    <w:rsid w:val="00CB367E"/>
    <w:rsid w:val="00CB375A"/>
    <w:rsid w:val="00CB37D8"/>
    <w:rsid w:val="00CB3AD8"/>
    <w:rsid w:val="00CB3D64"/>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5364"/>
    <w:rsid w:val="00CB53C3"/>
    <w:rsid w:val="00CB53D8"/>
    <w:rsid w:val="00CB548D"/>
    <w:rsid w:val="00CB551A"/>
    <w:rsid w:val="00CB565E"/>
    <w:rsid w:val="00CB5661"/>
    <w:rsid w:val="00CB5A2F"/>
    <w:rsid w:val="00CB5AFE"/>
    <w:rsid w:val="00CB5B23"/>
    <w:rsid w:val="00CB5CA0"/>
    <w:rsid w:val="00CB5E12"/>
    <w:rsid w:val="00CB6036"/>
    <w:rsid w:val="00CB6416"/>
    <w:rsid w:val="00CB65C6"/>
    <w:rsid w:val="00CB6778"/>
    <w:rsid w:val="00CB69AA"/>
    <w:rsid w:val="00CB6A8E"/>
    <w:rsid w:val="00CB6B3A"/>
    <w:rsid w:val="00CB6FEF"/>
    <w:rsid w:val="00CB71D2"/>
    <w:rsid w:val="00CB738A"/>
    <w:rsid w:val="00CB758D"/>
    <w:rsid w:val="00CB7A89"/>
    <w:rsid w:val="00CB7E6B"/>
    <w:rsid w:val="00CC002D"/>
    <w:rsid w:val="00CC022D"/>
    <w:rsid w:val="00CC03A6"/>
    <w:rsid w:val="00CC0565"/>
    <w:rsid w:val="00CC07C1"/>
    <w:rsid w:val="00CC07C7"/>
    <w:rsid w:val="00CC07CB"/>
    <w:rsid w:val="00CC0908"/>
    <w:rsid w:val="00CC0EB8"/>
    <w:rsid w:val="00CC102B"/>
    <w:rsid w:val="00CC11C7"/>
    <w:rsid w:val="00CC11D8"/>
    <w:rsid w:val="00CC1212"/>
    <w:rsid w:val="00CC1293"/>
    <w:rsid w:val="00CC15FC"/>
    <w:rsid w:val="00CC176E"/>
    <w:rsid w:val="00CC18DD"/>
    <w:rsid w:val="00CC1DBF"/>
    <w:rsid w:val="00CC1DCC"/>
    <w:rsid w:val="00CC1E69"/>
    <w:rsid w:val="00CC1EC6"/>
    <w:rsid w:val="00CC1EF8"/>
    <w:rsid w:val="00CC212F"/>
    <w:rsid w:val="00CC2382"/>
    <w:rsid w:val="00CC23F2"/>
    <w:rsid w:val="00CC250B"/>
    <w:rsid w:val="00CC259B"/>
    <w:rsid w:val="00CC2701"/>
    <w:rsid w:val="00CC2A27"/>
    <w:rsid w:val="00CC2DC0"/>
    <w:rsid w:val="00CC2E12"/>
    <w:rsid w:val="00CC2E8A"/>
    <w:rsid w:val="00CC3237"/>
    <w:rsid w:val="00CC35A9"/>
    <w:rsid w:val="00CC36DC"/>
    <w:rsid w:val="00CC3B57"/>
    <w:rsid w:val="00CC3CF5"/>
    <w:rsid w:val="00CC4179"/>
    <w:rsid w:val="00CC429D"/>
    <w:rsid w:val="00CC4382"/>
    <w:rsid w:val="00CC43EA"/>
    <w:rsid w:val="00CC4426"/>
    <w:rsid w:val="00CC48EF"/>
    <w:rsid w:val="00CC4D07"/>
    <w:rsid w:val="00CC4EBB"/>
    <w:rsid w:val="00CC4F40"/>
    <w:rsid w:val="00CC5215"/>
    <w:rsid w:val="00CC52AC"/>
    <w:rsid w:val="00CC53FF"/>
    <w:rsid w:val="00CC5883"/>
    <w:rsid w:val="00CC5A11"/>
    <w:rsid w:val="00CC5CA1"/>
    <w:rsid w:val="00CC5CDE"/>
    <w:rsid w:val="00CC5E9D"/>
    <w:rsid w:val="00CC6025"/>
    <w:rsid w:val="00CC607F"/>
    <w:rsid w:val="00CC620D"/>
    <w:rsid w:val="00CC64AC"/>
    <w:rsid w:val="00CC64D4"/>
    <w:rsid w:val="00CC6CEB"/>
    <w:rsid w:val="00CC71CB"/>
    <w:rsid w:val="00CC734D"/>
    <w:rsid w:val="00CC74FD"/>
    <w:rsid w:val="00CC7542"/>
    <w:rsid w:val="00CC769A"/>
    <w:rsid w:val="00CC780A"/>
    <w:rsid w:val="00CC7ACA"/>
    <w:rsid w:val="00CC7D29"/>
    <w:rsid w:val="00CC7E8B"/>
    <w:rsid w:val="00CD001A"/>
    <w:rsid w:val="00CD009E"/>
    <w:rsid w:val="00CD00A8"/>
    <w:rsid w:val="00CD0276"/>
    <w:rsid w:val="00CD02DC"/>
    <w:rsid w:val="00CD0351"/>
    <w:rsid w:val="00CD0989"/>
    <w:rsid w:val="00CD0F55"/>
    <w:rsid w:val="00CD1082"/>
    <w:rsid w:val="00CD10A8"/>
    <w:rsid w:val="00CD12CC"/>
    <w:rsid w:val="00CD12DC"/>
    <w:rsid w:val="00CD15FC"/>
    <w:rsid w:val="00CD173C"/>
    <w:rsid w:val="00CD1B9A"/>
    <w:rsid w:val="00CD1E7D"/>
    <w:rsid w:val="00CD222E"/>
    <w:rsid w:val="00CD227E"/>
    <w:rsid w:val="00CD23E0"/>
    <w:rsid w:val="00CD24AA"/>
    <w:rsid w:val="00CD263E"/>
    <w:rsid w:val="00CD293B"/>
    <w:rsid w:val="00CD2A25"/>
    <w:rsid w:val="00CD2A7E"/>
    <w:rsid w:val="00CD2B90"/>
    <w:rsid w:val="00CD2C2F"/>
    <w:rsid w:val="00CD2D28"/>
    <w:rsid w:val="00CD301F"/>
    <w:rsid w:val="00CD309B"/>
    <w:rsid w:val="00CD31DE"/>
    <w:rsid w:val="00CD32E2"/>
    <w:rsid w:val="00CD32F1"/>
    <w:rsid w:val="00CD3392"/>
    <w:rsid w:val="00CD34ED"/>
    <w:rsid w:val="00CD3612"/>
    <w:rsid w:val="00CD3689"/>
    <w:rsid w:val="00CD3813"/>
    <w:rsid w:val="00CD3A83"/>
    <w:rsid w:val="00CD3AAD"/>
    <w:rsid w:val="00CD3BD5"/>
    <w:rsid w:val="00CD3D33"/>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908"/>
    <w:rsid w:val="00CD5B99"/>
    <w:rsid w:val="00CD5C88"/>
    <w:rsid w:val="00CD5F49"/>
    <w:rsid w:val="00CD60B9"/>
    <w:rsid w:val="00CD60C4"/>
    <w:rsid w:val="00CD620A"/>
    <w:rsid w:val="00CD6A76"/>
    <w:rsid w:val="00CD6D39"/>
    <w:rsid w:val="00CD6EAC"/>
    <w:rsid w:val="00CD6F01"/>
    <w:rsid w:val="00CD73DB"/>
    <w:rsid w:val="00CD7575"/>
    <w:rsid w:val="00CD767C"/>
    <w:rsid w:val="00CD7735"/>
    <w:rsid w:val="00CD7F16"/>
    <w:rsid w:val="00CE0296"/>
    <w:rsid w:val="00CE0318"/>
    <w:rsid w:val="00CE03FE"/>
    <w:rsid w:val="00CE099E"/>
    <w:rsid w:val="00CE0B02"/>
    <w:rsid w:val="00CE0DED"/>
    <w:rsid w:val="00CE0FA8"/>
    <w:rsid w:val="00CE1767"/>
    <w:rsid w:val="00CE1B9A"/>
    <w:rsid w:val="00CE1D2D"/>
    <w:rsid w:val="00CE1F90"/>
    <w:rsid w:val="00CE2209"/>
    <w:rsid w:val="00CE222E"/>
    <w:rsid w:val="00CE2560"/>
    <w:rsid w:val="00CE26B4"/>
    <w:rsid w:val="00CE278A"/>
    <w:rsid w:val="00CE2C72"/>
    <w:rsid w:val="00CE2EA7"/>
    <w:rsid w:val="00CE339D"/>
    <w:rsid w:val="00CE347A"/>
    <w:rsid w:val="00CE34D3"/>
    <w:rsid w:val="00CE352F"/>
    <w:rsid w:val="00CE36FE"/>
    <w:rsid w:val="00CE37A0"/>
    <w:rsid w:val="00CE38FD"/>
    <w:rsid w:val="00CE3BA8"/>
    <w:rsid w:val="00CE40C0"/>
    <w:rsid w:val="00CE4281"/>
    <w:rsid w:val="00CE4747"/>
    <w:rsid w:val="00CE4793"/>
    <w:rsid w:val="00CE4A80"/>
    <w:rsid w:val="00CE4B35"/>
    <w:rsid w:val="00CE4FB1"/>
    <w:rsid w:val="00CE4FDC"/>
    <w:rsid w:val="00CE539A"/>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542"/>
    <w:rsid w:val="00CE6D34"/>
    <w:rsid w:val="00CE7012"/>
    <w:rsid w:val="00CE71C9"/>
    <w:rsid w:val="00CE7314"/>
    <w:rsid w:val="00CE73F2"/>
    <w:rsid w:val="00CE75A1"/>
    <w:rsid w:val="00CE75F1"/>
    <w:rsid w:val="00CE7770"/>
    <w:rsid w:val="00CE7776"/>
    <w:rsid w:val="00CE7853"/>
    <w:rsid w:val="00CE7A7D"/>
    <w:rsid w:val="00CE7B20"/>
    <w:rsid w:val="00CF020F"/>
    <w:rsid w:val="00CF0422"/>
    <w:rsid w:val="00CF088D"/>
    <w:rsid w:val="00CF130A"/>
    <w:rsid w:val="00CF13AF"/>
    <w:rsid w:val="00CF1441"/>
    <w:rsid w:val="00CF1B11"/>
    <w:rsid w:val="00CF1BDA"/>
    <w:rsid w:val="00CF1D86"/>
    <w:rsid w:val="00CF1FB6"/>
    <w:rsid w:val="00CF2564"/>
    <w:rsid w:val="00CF2AE6"/>
    <w:rsid w:val="00CF304C"/>
    <w:rsid w:val="00CF35EE"/>
    <w:rsid w:val="00CF393C"/>
    <w:rsid w:val="00CF3C01"/>
    <w:rsid w:val="00CF3C43"/>
    <w:rsid w:val="00CF3C57"/>
    <w:rsid w:val="00CF404F"/>
    <w:rsid w:val="00CF414C"/>
    <w:rsid w:val="00CF4656"/>
    <w:rsid w:val="00CF4F35"/>
    <w:rsid w:val="00CF4FA6"/>
    <w:rsid w:val="00CF5018"/>
    <w:rsid w:val="00CF5257"/>
    <w:rsid w:val="00CF52CF"/>
    <w:rsid w:val="00CF53CD"/>
    <w:rsid w:val="00CF55E0"/>
    <w:rsid w:val="00CF56F9"/>
    <w:rsid w:val="00CF5739"/>
    <w:rsid w:val="00CF5772"/>
    <w:rsid w:val="00CF59FB"/>
    <w:rsid w:val="00CF5E58"/>
    <w:rsid w:val="00CF5EEA"/>
    <w:rsid w:val="00CF60CE"/>
    <w:rsid w:val="00CF635E"/>
    <w:rsid w:val="00CF63C0"/>
    <w:rsid w:val="00CF660A"/>
    <w:rsid w:val="00CF669A"/>
    <w:rsid w:val="00CF66A1"/>
    <w:rsid w:val="00CF7137"/>
    <w:rsid w:val="00CF733F"/>
    <w:rsid w:val="00CF74E3"/>
    <w:rsid w:val="00CF756E"/>
    <w:rsid w:val="00CF76C2"/>
    <w:rsid w:val="00CF7AFF"/>
    <w:rsid w:val="00CF7CDC"/>
    <w:rsid w:val="00CF7E65"/>
    <w:rsid w:val="00D0041B"/>
    <w:rsid w:val="00D00C21"/>
    <w:rsid w:val="00D00FD7"/>
    <w:rsid w:val="00D012CB"/>
    <w:rsid w:val="00D0137F"/>
    <w:rsid w:val="00D0169D"/>
    <w:rsid w:val="00D01726"/>
    <w:rsid w:val="00D017CB"/>
    <w:rsid w:val="00D01B3A"/>
    <w:rsid w:val="00D01BC3"/>
    <w:rsid w:val="00D02470"/>
    <w:rsid w:val="00D0249C"/>
    <w:rsid w:val="00D024E0"/>
    <w:rsid w:val="00D0252E"/>
    <w:rsid w:val="00D026A7"/>
    <w:rsid w:val="00D026AB"/>
    <w:rsid w:val="00D027E7"/>
    <w:rsid w:val="00D02865"/>
    <w:rsid w:val="00D02E63"/>
    <w:rsid w:val="00D02E8D"/>
    <w:rsid w:val="00D02FBF"/>
    <w:rsid w:val="00D03384"/>
    <w:rsid w:val="00D036AA"/>
    <w:rsid w:val="00D03C34"/>
    <w:rsid w:val="00D03E4B"/>
    <w:rsid w:val="00D03F84"/>
    <w:rsid w:val="00D044A7"/>
    <w:rsid w:val="00D04958"/>
    <w:rsid w:val="00D04C5A"/>
    <w:rsid w:val="00D04D28"/>
    <w:rsid w:val="00D04E55"/>
    <w:rsid w:val="00D04EA9"/>
    <w:rsid w:val="00D050DA"/>
    <w:rsid w:val="00D054F5"/>
    <w:rsid w:val="00D05C42"/>
    <w:rsid w:val="00D05C71"/>
    <w:rsid w:val="00D05CC7"/>
    <w:rsid w:val="00D05DB1"/>
    <w:rsid w:val="00D05FFF"/>
    <w:rsid w:val="00D06236"/>
    <w:rsid w:val="00D0652C"/>
    <w:rsid w:val="00D06785"/>
    <w:rsid w:val="00D06A3B"/>
    <w:rsid w:val="00D06C03"/>
    <w:rsid w:val="00D06ED5"/>
    <w:rsid w:val="00D06EED"/>
    <w:rsid w:val="00D0734A"/>
    <w:rsid w:val="00D0734B"/>
    <w:rsid w:val="00D073A2"/>
    <w:rsid w:val="00D07EB3"/>
    <w:rsid w:val="00D1008B"/>
    <w:rsid w:val="00D10096"/>
    <w:rsid w:val="00D106A0"/>
    <w:rsid w:val="00D10784"/>
    <w:rsid w:val="00D10D36"/>
    <w:rsid w:val="00D10D3B"/>
    <w:rsid w:val="00D10DD2"/>
    <w:rsid w:val="00D10EEB"/>
    <w:rsid w:val="00D111D2"/>
    <w:rsid w:val="00D11B4C"/>
    <w:rsid w:val="00D11BA8"/>
    <w:rsid w:val="00D11D3E"/>
    <w:rsid w:val="00D11EA1"/>
    <w:rsid w:val="00D11F1D"/>
    <w:rsid w:val="00D11FA9"/>
    <w:rsid w:val="00D1217D"/>
    <w:rsid w:val="00D1223A"/>
    <w:rsid w:val="00D1226C"/>
    <w:rsid w:val="00D123EE"/>
    <w:rsid w:val="00D12403"/>
    <w:rsid w:val="00D1250A"/>
    <w:rsid w:val="00D125E1"/>
    <w:rsid w:val="00D1262D"/>
    <w:rsid w:val="00D1276C"/>
    <w:rsid w:val="00D127D3"/>
    <w:rsid w:val="00D12999"/>
    <w:rsid w:val="00D12D35"/>
    <w:rsid w:val="00D12D74"/>
    <w:rsid w:val="00D12F2B"/>
    <w:rsid w:val="00D12FB8"/>
    <w:rsid w:val="00D12FFF"/>
    <w:rsid w:val="00D1331E"/>
    <w:rsid w:val="00D1340B"/>
    <w:rsid w:val="00D1349E"/>
    <w:rsid w:val="00D134A3"/>
    <w:rsid w:val="00D13852"/>
    <w:rsid w:val="00D13863"/>
    <w:rsid w:val="00D13BD5"/>
    <w:rsid w:val="00D13D5B"/>
    <w:rsid w:val="00D13DDC"/>
    <w:rsid w:val="00D13FC6"/>
    <w:rsid w:val="00D14453"/>
    <w:rsid w:val="00D14564"/>
    <w:rsid w:val="00D14879"/>
    <w:rsid w:val="00D149AC"/>
    <w:rsid w:val="00D14B41"/>
    <w:rsid w:val="00D14B54"/>
    <w:rsid w:val="00D14CF3"/>
    <w:rsid w:val="00D14E2E"/>
    <w:rsid w:val="00D1520A"/>
    <w:rsid w:val="00D1542D"/>
    <w:rsid w:val="00D15649"/>
    <w:rsid w:val="00D1577A"/>
    <w:rsid w:val="00D15E36"/>
    <w:rsid w:val="00D1615C"/>
    <w:rsid w:val="00D1617C"/>
    <w:rsid w:val="00D16892"/>
    <w:rsid w:val="00D168FB"/>
    <w:rsid w:val="00D16980"/>
    <w:rsid w:val="00D16A8A"/>
    <w:rsid w:val="00D16B4C"/>
    <w:rsid w:val="00D16D96"/>
    <w:rsid w:val="00D16DEF"/>
    <w:rsid w:val="00D16E9B"/>
    <w:rsid w:val="00D16F3C"/>
    <w:rsid w:val="00D170A4"/>
    <w:rsid w:val="00D1765E"/>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A83"/>
    <w:rsid w:val="00D22C26"/>
    <w:rsid w:val="00D22CD3"/>
    <w:rsid w:val="00D23286"/>
    <w:rsid w:val="00D232D2"/>
    <w:rsid w:val="00D23416"/>
    <w:rsid w:val="00D236C2"/>
    <w:rsid w:val="00D238CB"/>
    <w:rsid w:val="00D238D9"/>
    <w:rsid w:val="00D2391D"/>
    <w:rsid w:val="00D23C54"/>
    <w:rsid w:val="00D23CF1"/>
    <w:rsid w:val="00D23F9C"/>
    <w:rsid w:val="00D24196"/>
    <w:rsid w:val="00D241E2"/>
    <w:rsid w:val="00D24784"/>
    <w:rsid w:val="00D248A2"/>
    <w:rsid w:val="00D248DB"/>
    <w:rsid w:val="00D24BAD"/>
    <w:rsid w:val="00D24BD6"/>
    <w:rsid w:val="00D24D0A"/>
    <w:rsid w:val="00D24EB2"/>
    <w:rsid w:val="00D24EFC"/>
    <w:rsid w:val="00D24FCB"/>
    <w:rsid w:val="00D25258"/>
    <w:rsid w:val="00D25343"/>
    <w:rsid w:val="00D2549E"/>
    <w:rsid w:val="00D25B49"/>
    <w:rsid w:val="00D25C74"/>
    <w:rsid w:val="00D26391"/>
    <w:rsid w:val="00D26472"/>
    <w:rsid w:val="00D264F3"/>
    <w:rsid w:val="00D26746"/>
    <w:rsid w:val="00D26752"/>
    <w:rsid w:val="00D26ABB"/>
    <w:rsid w:val="00D26AF0"/>
    <w:rsid w:val="00D26BBE"/>
    <w:rsid w:val="00D26D28"/>
    <w:rsid w:val="00D27362"/>
    <w:rsid w:val="00D27423"/>
    <w:rsid w:val="00D27428"/>
    <w:rsid w:val="00D27497"/>
    <w:rsid w:val="00D274B4"/>
    <w:rsid w:val="00D27797"/>
    <w:rsid w:val="00D278A2"/>
    <w:rsid w:val="00D2796E"/>
    <w:rsid w:val="00D279E0"/>
    <w:rsid w:val="00D27D25"/>
    <w:rsid w:val="00D27D58"/>
    <w:rsid w:val="00D27FC8"/>
    <w:rsid w:val="00D30348"/>
    <w:rsid w:val="00D3057A"/>
    <w:rsid w:val="00D306CB"/>
    <w:rsid w:val="00D307D3"/>
    <w:rsid w:val="00D30AD4"/>
    <w:rsid w:val="00D30BCC"/>
    <w:rsid w:val="00D30DCD"/>
    <w:rsid w:val="00D3130C"/>
    <w:rsid w:val="00D3136C"/>
    <w:rsid w:val="00D3153D"/>
    <w:rsid w:val="00D316E5"/>
    <w:rsid w:val="00D31A9A"/>
    <w:rsid w:val="00D31B26"/>
    <w:rsid w:val="00D31BE0"/>
    <w:rsid w:val="00D32202"/>
    <w:rsid w:val="00D323F7"/>
    <w:rsid w:val="00D32609"/>
    <w:rsid w:val="00D326E7"/>
    <w:rsid w:val="00D328D7"/>
    <w:rsid w:val="00D3316C"/>
    <w:rsid w:val="00D332B5"/>
    <w:rsid w:val="00D33541"/>
    <w:rsid w:val="00D33841"/>
    <w:rsid w:val="00D339C0"/>
    <w:rsid w:val="00D33A04"/>
    <w:rsid w:val="00D33C96"/>
    <w:rsid w:val="00D341CB"/>
    <w:rsid w:val="00D342A1"/>
    <w:rsid w:val="00D3431B"/>
    <w:rsid w:val="00D34F66"/>
    <w:rsid w:val="00D35333"/>
    <w:rsid w:val="00D3537C"/>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DF4"/>
    <w:rsid w:val="00D36E5C"/>
    <w:rsid w:val="00D36F82"/>
    <w:rsid w:val="00D3727B"/>
    <w:rsid w:val="00D373F2"/>
    <w:rsid w:val="00D376B7"/>
    <w:rsid w:val="00D3793B"/>
    <w:rsid w:val="00D379A6"/>
    <w:rsid w:val="00D37EC3"/>
    <w:rsid w:val="00D40246"/>
    <w:rsid w:val="00D403B4"/>
    <w:rsid w:val="00D403BF"/>
    <w:rsid w:val="00D40B51"/>
    <w:rsid w:val="00D40CD6"/>
    <w:rsid w:val="00D40E05"/>
    <w:rsid w:val="00D41072"/>
    <w:rsid w:val="00D4108F"/>
    <w:rsid w:val="00D410DF"/>
    <w:rsid w:val="00D413F9"/>
    <w:rsid w:val="00D4168F"/>
    <w:rsid w:val="00D41691"/>
    <w:rsid w:val="00D418E0"/>
    <w:rsid w:val="00D419E2"/>
    <w:rsid w:val="00D419F8"/>
    <w:rsid w:val="00D41B77"/>
    <w:rsid w:val="00D41DC9"/>
    <w:rsid w:val="00D4205D"/>
    <w:rsid w:val="00D4252D"/>
    <w:rsid w:val="00D42685"/>
    <w:rsid w:val="00D42902"/>
    <w:rsid w:val="00D4299C"/>
    <w:rsid w:val="00D42A22"/>
    <w:rsid w:val="00D42AE4"/>
    <w:rsid w:val="00D42B1F"/>
    <w:rsid w:val="00D42FC8"/>
    <w:rsid w:val="00D4327C"/>
    <w:rsid w:val="00D4342E"/>
    <w:rsid w:val="00D4355D"/>
    <w:rsid w:val="00D436D6"/>
    <w:rsid w:val="00D43839"/>
    <w:rsid w:val="00D43BF1"/>
    <w:rsid w:val="00D43E54"/>
    <w:rsid w:val="00D44042"/>
    <w:rsid w:val="00D4422A"/>
    <w:rsid w:val="00D442EF"/>
    <w:rsid w:val="00D444EA"/>
    <w:rsid w:val="00D44D18"/>
    <w:rsid w:val="00D4510A"/>
    <w:rsid w:val="00D4514A"/>
    <w:rsid w:val="00D4528E"/>
    <w:rsid w:val="00D45333"/>
    <w:rsid w:val="00D454C9"/>
    <w:rsid w:val="00D45567"/>
    <w:rsid w:val="00D45949"/>
    <w:rsid w:val="00D45979"/>
    <w:rsid w:val="00D45A6D"/>
    <w:rsid w:val="00D45A7A"/>
    <w:rsid w:val="00D45A89"/>
    <w:rsid w:val="00D45AED"/>
    <w:rsid w:val="00D45B06"/>
    <w:rsid w:val="00D45EC8"/>
    <w:rsid w:val="00D464F3"/>
    <w:rsid w:val="00D4661C"/>
    <w:rsid w:val="00D466C6"/>
    <w:rsid w:val="00D46875"/>
    <w:rsid w:val="00D46AF0"/>
    <w:rsid w:val="00D46C81"/>
    <w:rsid w:val="00D46C89"/>
    <w:rsid w:val="00D47101"/>
    <w:rsid w:val="00D47755"/>
    <w:rsid w:val="00D4791C"/>
    <w:rsid w:val="00D479F7"/>
    <w:rsid w:val="00D47B6E"/>
    <w:rsid w:val="00D47D59"/>
    <w:rsid w:val="00D47DCD"/>
    <w:rsid w:val="00D47F5F"/>
    <w:rsid w:val="00D500FD"/>
    <w:rsid w:val="00D5044A"/>
    <w:rsid w:val="00D50805"/>
    <w:rsid w:val="00D50820"/>
    <w:rsid w:val="00D509E9"/>
    <w:rsid w:val="00D50E0F"/>
    <w:rsid w:val="00D50E2C"/>
    <w:rsid w:val="00D512E5"/>
    <w:rsid w:val="00D513FC"/>
    <w:rsid w:val="00D515A1"/>
    <w:rsid w:val="00D51860"/>
    <w:rsid w:val="00D51E5C"/>
    <w:rsid w:val="00D520B1"/>
    <w:rsid w:val="00D52174"/>
    <w:rsid w:val="00D522C6"/>
    <w:rsid w:val="00D522EC"/>
    <w:rsid w:val="00D52643"/>
    <w:rsid w:val="00D5269C"/>
    <w:rsid w:val="00D52B21"/>
    <w:rsid w:val="00D52EC1"/>
    <w:rsid w:val="00D5311C"/>
    <w:rsid w:val="00D534A9"/>
    <w:rsid w:val="00D53605"/>
    <w:rsid w:val="00D536B9"/>
    <w:rsid w:val="00D53823"/>
    <w:rsid w:val="00D5393A"/>
    <w:rsid w:val="00D53D08"/>
    <w:rsid w:val="00D53E7F"/>
    <w:rsid w:val="00D53F02"/>
    <w:rsid w:val="00D540BD"/>
    <w:rsid w:val="00D54169"/>
    <w:rsid w:val="00D54291"/>
    <w:rsid w:val="00D54426"/>
    <w:rsid w:val="00D54501"/>
    <w:rsid w:val="00D5456A"/>
    <w:rsid w:val="00D546DE"/>
    <w:rsid w:val="00D547D9"/>
    <w:rsid w:val="00D5487B"/>
    <w:rsid w:val="00D5487E"/>
    <w:rsid w:val="00D5494B"/>
    <w:rsid w:val="00D54AE0"/>
    <w:rsid w:val="00D54C0F"/>
    <w:rsid w:val="00D54C19"/>
    <w:rsid w:val="00D54E32"/>
    <w:rsid w:val="00D54F8B"/>
    <w:rsid w:val="00D5505C"/>
    <w:rsid w:val="00D5527B"/>
    <w:rsid w:val="00D55285"/>
    <w:rsid w:val="00D554A8"/>
    <w:rsid w:val="00D55619"/>
    <w:rsid w:val="00D5577E"/>
    <w:rsid w:val="00D55A7D"/>
    <w:rsid w:val="00D55AB5"/>
    <w:rsid w:val="00D55AD0"/>
    <w:rsid w:val="00D55D5A"/>
    <w:rsid w:val="00D55DAA"/>
    <w:rsid w:val="00D55EC2"/>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D62"/>
    <w:rsid w:val="00D57E0E"/>
    <w:rsid w:val="00D57F71"/>
    <w:rsid w:val="00D600EF"/>
    <w:rsid w:val="00D6015F"/>
    <w:rsid w:val="00D60214"/>
    <w:rsid w:val="00D60260"/>
    <w:rsid w:val="00D60680"/>
    <w:rsid w:val="00D6083B"/>
    <w:rsid w:val="00D60B11"/>
    <w:rsid w:val="00D60CBF"/>
    <w:rsid w:val="00D60CD3"/>
    <w:rsid w:val="00D610E6"/>
    <w:rsid w:val="00D615EE"/>
    <w:rsid w:val="00D61600"/>
    <w:rsid w:val="00D61614"/>
    <w:rsid w:val="00D6171D"/>
    <w:rsid w:val="00D61821"/>
    <w:rsid w:val="00D6184A"/>
    <w:rsid w:val="00D6186E"/>
    <w:rsid w:val="00D61BAC"/>
    <w:rsid w:val="00D61C06"/>
    <w:rsid w:val="00D61CF1"/>
    <w:rsid w:val="00D622A7"/>
    <w:rsid w:val="00D623C7"/>
    <w:rsid w:val="00D6266A"/>
    <w:rsid w:val="00D62689"/>
    <w:rsid w:val="00D627DA"/>
    <w:rsid w:val="00D629F4"/>
    <w:rsid w:val="00D62B65"/>
    <w:rsid w:val="00D62BF2"/>
    <w:rsid w:val="00D62E02"/>
    <w:rsid w:val="00D63089"/>
    <w:rsid w:val="00D631D4"/>
    <w:rsid w:val="00D6331E"/>
    <w:rsid w:val="00D63324"/>
    <w:rsid w:val="00D63329"/>
    <w:rsid w:val="00D63345"/>
    <w:rsid w:val="00D637E1"/>
    <w:rsid w:val="00D6381C"/>
    <w:rsid w:val="00D6382D"/>
    <w:rsid w:val="00D63902"/>
    <w:rsid w:val="00D63925"/>
    <w:rsid w:val="00D63C09"/>
    <w:rsid w:val="00D63C7D"/>
    <w:rsid w:val="00D63DB7"/>
    <w:rsid w:val="00D63E54"/>
    <w:rsid w:val="00D6403E"/>
    <w:rsid w:val="00D64142"/>
    <w:rsid w:val="00D645EC"/>
    <w:rsid w:val="00D646A9"/>
    <w:rsid w:val="00D646F4"/>
    <w:rsid w:val="00D647B8"/>
    <w:rsid w:val="00D648B8"/>
    <w:rsid w:val="00D64915"/>
    <w:rsid w:val="00D6530A"/>
    <w:rsid w:val="00D653FD"/>
    <w:rsid w:val="00D654C2"/>
    <w:rsid w:val="00D65554"/>
    <w:rsid w:val="00D655FD"/>
    <w:rsid w:val="00D6564E"/>
    <w:rsid w:val="00D657AA"/>
    <w:rsid w:val="00D65A30"/>
    <w:rsid w:val="00D65AC0"/>
    <w:rsid w:val="00D65C5D"/>
    <w:rsid w:val="00D65DBB"/>
    <w:rsid w:val="00D65E0A"/>
    <w:rsid w:val="00D65F79"/>
    <w:rsid w:val="00D66259"/>
    <w:rsid w:val="00D662F5"/>
    <w:rsid w:val="00D66EE3"/>
    <w:rsid w:val="00D67254"/>
    <w:rsid w:val="00D67324"/>
    <w:rsid w:val="00D673EA"/>
    <w:rsid w:val="00D67939"/>
    <w:rsid w:val="00D67D9D"/>
    <w:rsid w:val="00D67E6A"/>
    <w:rsid w:val="00D70254"/>
    <w:rsid w:val="00D70287"/>
    <w:rsid w:val="00D70507"/>
    <w:rsid w:val="00D7059D"/>
    <w:rsid w:val="00D70A11"/>
    <w:rsid w:val="00D70C62"/>
    <w:rsid w:val="00D70E26"/>
    <w:rsid w:val="00D70EC0"/>
    <w:rsid w:val="00D70F94"/>
    <w:rsid w:val="00D713E9"/>
    <w:rsid w:val="00D71417"/>
    <w:rsid w:val="00D714F6"/>
    <w:rsid w:val="00D7152E"/>
    <w:rsid w:val="00D71BB0"/>
    <w:rsid w:val="00D71F28"/>
    <w:rsid w:val="00D72069"/>
    <w:rsid w:val="00D720C6"/>
    <w:rsid w:val="00D720E8"/>
    <w:rsid w:val="00D72112"/>
    <w:rsid w:val="00D722D1"/>
    <w:rsid w:val="00D724CE"/>
    <w:rsid w:val="00D72561"/>
    <w:rsid w:val="00D725A3"/>
    <w:rsid w:val="00D725D7"/>
    <w:rsid w:val="00D727AF"/>
    <w:rsid w:val="00D72BDE"/>
    <w:rsid w:val="00D73015"/>
    <w:rsid w:val="00D7308C"/>
    <w:rsid w:val="00D734B5"/>
    <w:rsid w:val="00D735DF"/>
    <w:rsid w:val="00D7389C"/>
    <w:rsid w:val="00D73912"/>
    <w:rsid w:val="00D73A25"/>
    <w:rsid w:val="00D73CB6"/>
    <w:rsid w:val="00D74331"/>
    <w:rsid w:val="00D743C3"/>
    <w:rsid w:val="00D743DC"/>
    <w:rsid w:val="00D74528"/>
    <w:rsid w:val="00D7464A"/>
    <w:rsid w:val="00D74719"/>
    <w:rsid w:val="00D74780"/>
    <w:rsid w:val="00D7495F"/>
    <w:rsid w:val="00D74A16"/>
    <w:rsid w:val="00D74B70"/>
    <w:rsid w:val="00D74D77"/>
    <w:rsid w:val="00D74DE1"/>
    <w:rsid w:val="00D750F8"/>
    <w:rsid w:val="00D75177"/>
    <w:rsid w:val="00D7528F"/>
    <w:rsid w:val="00D752E8"/>
    <w:rsid w:val="00D75304"/>
    <w:rsid w:val="00D7567A"/>
    <w:rsid w:val="00D7589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6B63"/>
    <w:rsid w:val="00D771AA"/>
    <w:rsid w:val="00D7724A"/>
    <w:rsid w:val="00D7764C"/>
    <w:rsid w:val="00D776DA"/>
    <w:rsid w:val="00D77781"/>
    <w:rsid w:val="00D777CF"/>
    <w:rsid w:val="00D77D28"/>
    <w:rsid w:val="00D77EF6"/>
    <w:rsid w:val="00D801B7"/>
    <w:rsid w:val="00D80432"/>
    <w:rsid w:val="00D8056F"/>
    <w:rsid w:val="00D80697"/>
    <w:rsid w:val="00D806E4"/>
    <w:rsid w:val="00D807BB"/>
    <w:rsid w:val="00D8081D"/>
    <w:rsid w:val="00D80B51"/>
    <w:rsid w:val="00D80C62"/>
    <w:rsid w:val="00D80C86"/>
    <w:rsid w:val="00D80D5E"/>
    <w:rsid w:val="00D80E22"/>
    <w:rsid w:val="00D80E81"/>
    <w:rsid w:val="00D81231"/>
    <w:rsid w:val="00D8183C"/>
    <w:rsid w:val="00D818A4"/>
    <w:rsid w:val="00D8242C"/>
    <w:rsid w:val="00D827F2"/>
    <w:rsid w:val="00D828A6"/>
    <w:rsid w:val="00D832B9"/>
    <w:rsid w:val="00D83398"/>
    <w:rsid w:val="00D83410"/>
    <w:rsid w:val="00D8348E"/>
    <w:rsid w:val="00D83660"/>
    <w:rsid w:val="00D836EF"/>
    <w:rsid w:val="00D8389F"/>
    <w:rsid w:val="00D8398B"/>
    <w:rsid w:val="00D839EE"/>
    <w:rsid w:val="00D841A8"/>
    <w:rsid w:val="00D84252"/>
    <w:rsid w:val="00D8469F"/>
    <w:rsid w:val="00D846E7"/>
    <w:rsid w:val="00D8485A"/>
    <w:rsid w:val="00D84AB7"/>
    <w:rsid w:val="00D84CF0"/>
    <w:rsid w:val="00D84D6A"/>
    <w:rsid w:val="00D84DD6"/>
    <w:rsid w:val="00D8533B"/>
    <w:rsid w:val="00D855CF"/>
    <w:rsid w:val="00D85942"/>
    <w:rsid w:val="00D85CB6"/>
    <w:rsid w:val="00D8615E"/>
    <w:rsid w:val="00D86240"/>
    <w:rsid w:val="00D8627B"/>
    <w:rsid w:val="00D8653D"/>
    <w:rsid w:val="00D86588"/>
    <w:rsid w:val="00D86907"/>
    <w:rsid w:val="00D86A8A"/>
    <w:rsid w:val="00D86D62"/>
    <w:rsid w:val="00D86EC6"/>
    <w:rsid w:val="00D86F4A"/>
    <w:rsid w:val="00D86FFA"/>
    <w:rsid w:val="00D870D2"/>
    <w:rsid w:val="00D87219"/>
    <w:rsid w:val="00D8736B"/>
    <w:rsid w:val="00D87463"/>
    <w:rsid w:val="00D879FB"/>
    <w:rsid w:val="00D87CC8"/>
    <w:rsid w:val="00D87DEA"/>
    <w:rsid w:val="00D87F46"/>
    <w:rsid w:val="00D900B9"/>
    <w:rsid w:val="00D901A8"/>
    <w:rsid w:val="00D902C3"/>
    <w:rsid w:val="00D902D3"/>
    <w:rsid w:val="00D90655"/>
    <w:rsid w:val="00D909AE"/>
    <w:rsid w:val="00D909F9"/>
    <w:rsid w:val="00D90B84"/>
    <w:rsid w:val="00D91045"/>
    <w:rsid w:val="00D91610"/>
    <w:rsid w:val="00D916CC"/>
    <w:rsid w:val="00D916ED"/>
    <w:rsid w:val="00D91761"/>
    <w:rsid w:val="00D919CF"/>
    <w:rsid w:val="00D91BA7"/>
    <w:rsid w:val="00D92426"/>
    <w:rsid w:val="00D9298C"/>
    <w:rsid w:val="00D92A04"/>
    <w:rsid w:val="00D92A91"/>
    <w:rsid w:val="00D92B12"/>
    <w:rsid w:val="00D92BEF"/>
    <w:rsid w:val="00D92CCF"/>
    <w:rsid w:val="00D92F56"/>
    <w:rsid w:val="00D931E2"/>
    <w:rsid w:val="00D93719"/>
    <w:rsid w:val="00D939FD"/>
    <w:rsid w:val="00D93A3A"/>
    <w:rsid w:val="00D93B11"/>
    <w:rsid w:val="00D93C24"/>
    <w:rsid w:val="00D9447D"/>
    <w:rsid w:val="00D94689"/>
    <w:rsid w:val="00D948A7"/>
    <w:rsid w:val="00D94B94"/>
    <w:rsid w:val="00D94D05"/>
    <w:rsid w:val="00D950A6"/>
    <w:rsid w:val="00D952DD"/>
    <w:rsid w:val="00D95787"/>
    <w:rsid w:val="00D9585A"/>
    <w:rsid w:val="00D958DF"/>
    <w:rsid w:val="00D9591B"/>
    <w:rsid w:val="00D959AF"/>
    <w:rsid w:val="00D95B05"/>
    <w:rsid w:val="00D95CDE"/>
    <w:rsid w:val="00D95E0F"/>
    <w:rsid w:val="00D96183"/>
    <w:rsid w:val="00D961EC"/>
    <w:rsid w:val="00D96346"/>
    <w:rsid w:val="00D96872"/>
    <w:rsid w:val="00D968CE"/>
    <w:rsid w:val="00D96A13"/>
    <w:rsid w:val="00D96B03"/>
    <w:rsid w:val="00D96BCE"/>
    <w:rsid w:val="00D96DD6"/>
    <w:rsid w:val="00D96E60"/>
    <w:rsid w:val="00D96E8B"/>
    <w:rsid w:val="00D96F24"/>
    <w:rsid w:val="00D96FAF"/>
    <w:rsid w:val="00D9704D"/>
    <w:rsid w:val="00D97066"/>
    <w:rsid w:val="00D97163"/>
    <w:rsid w:val="00D9729F"/>
    <w:rsid w:val="00D97766"/>
    <w:rsid w:val="00D97C0A"/>
    <w:rsid w:val="00D97DAA"/>
    <w:rsid w:val="00D97EB4"/>
    <w:rsid w:val="00DA0078"/>
    <w:rsid w:val="00DA018D"/>
    <w:rsid w:val="00DA0259"/>
    <w:rsid w:val="00DA10E1"/>
    <w:rsid w:val="00DA12B1"/>
    <w:rsid w:val="00DA1766"/>
    <w:rsid w:val="00DA19D4"/>
    <w:rsid w:val="00DA1A57"/>
    <w:rsid w:val="00DA1DB2"/>
    <w:rsid w:val="00DA1F46"/>
    <w:rsid w:val="00DA27D9"/>
    <w:rsid w:val="00DA2B9E"/>
    <w:rsid w:val="00DA2D8E"/>
    <w:rsid w:val="00DA2E17"/>
    <w:rsid w:val="00DA2E2C"/>
    <w:rsid w:val="00DA2FA4"/>
    <w:rsid w:val="00DA304D"/>
    <w:rsid w:val="00DA3065"/>
    <w:rsid w:val="00DA3095"/>
    <w:rsid w:val="00DA34D6"/>
    <w:rsid w:val="00DA38D5"/>
    <w:rsid w:val="00DA3FD4"/>
    <w:rsid w:val="00DA4506"/>
    <w:rsid w:val="00DA4620"/>
    <w:rsid w:val="00DA4705"/>
    <w:rsid w:val="00DA4784"/>
    <w:rsid w:val="00DA49A0"/>
    <w:rsid w:val="00DA4B10"/>
    <w:rsid w:val="00DA4D04"/>
    <w:rsid w:val="00DA4E8A"/>
    <w:rsid w:val="00DA517E"/>
    <w:rsid w:val="00DA53BC"/>
    <w:rsid w:val="00DA53CC"/>
    <w:rsid w:val="00DA5546"/>
    <w:rsid w:val="00DA5593"/>
    <w:rsid w:val="00DA55FB"/>
    <w:rsid w:val="00DA58FB"/>
    <w:rsid w:val="00DA59BE"/>
    <w:rsid w:val="00DA5A6E"/>
    <w:rsid w:val="00DA5D0E"/>
    <w:rsid w:val="00DA5D33"/>
    <w:rsid w:val="00DA5E8D"/>
    <w:rsid w:val="00DA5F5C"/>
    <w:rsid w:val="00DA6059"/>
    <w:rsid w:val="00DA62D3"/>
    <w:rsid w:val="00DA651E"/>
    <w:rsid w:val="00DA68E1"/>
    <w:rsid w:val="00DA6E90"/>
    <w:rsid w:val="00DA70A3"/>
    <w:rsid w:val="00DA70D5"/>
    <w:rsid w:val="00DA7130"/>
    <w:rsid w:val="00DA714C"/>
    <w:rsid w:val="00DA73E4"/>
    <w:rsid w:val="00DA74BE"/>
    <w:rsid w:val="00DA7500"/>
    <w:rsid w:val="00DA7617"/>
    <w:rsid w:val="00DA77FD"/>
    <w:rsid w:val="00DA79B1"/>
    <w:rsid w:val="00DA7BD2"/>
    <w:rsid w:val="00DA7C9F"/>
    <w:rsid w:val="00DA7D3D"/>
    <w:rsid w:val="00DB0609"/>
    <w:rsid w:val="00DB0CDD"/>
    <w:rsid w:val="00DB0D8F"/>
    <w:rsid w:val="00DB1192"/>
    <w:rsid w:val="00DB12C2"/>
    <w:rsid w:val="00DB13ED"/>
    <w:rsid w:val="00DB13F3"/>
    <w:rsid w:val="00DB1666"/>
    <w:rsid w:val="00DB1B8E"/>
    <w:rsid w:val="00DB1C7C"/>
    <w:rsid w:val="00DB1CF8"/>
    <w:rsid w:val="00DB1D67"/>
    <w:rsid w:val="00DB1F48"/>
    <w:rsid w:val="00DB21EB"/>
    <w:rsid w:val="00DB2247"/>
    <w:rsid w:val="00DB243C"/>
    <w:rsid w:val="00DB25EC"/>
    <w:rsid w:val="00DB2686"/>
    <w:rsid w:val="00DB341E"/>
    <w:rsid w:val="00DB34E0"/>
    <w:rsid w:val="00DB3623"/>
    <w:rsid w:val="00DB399C"/>
    <w:rsid w:val="00DB3C3F"/>
    <w:rsid w:val="00DB41C2"/>
    <w:rsid w:val="00DB4261"/>
    <w:rsid w:val="00DB472B"/>
    <w:rsid w:val="00DB492D"/>
    <w:rsid w:val="00DB4A09"/>
    <w:rsid w:val="00DB4A66"/>
    <w:rsid w:val="00DB4B98"/>
    <w:rsid w:val="00DB4BDE"/>
    <w:rsid w:val="00DB4CA1"/>
    <w:rsid w:val="00DB4D07"/>
    <w:rsid w:val="00DB4DBA"/>
    <w:rsid w:val="00DB4FB9"/>
    <w:rsid w:val="00DB50FA"/>
    <w:rsid w:val="00DB5136"/>
    <w:rsid w:val="00DB539D"/>
    <w:rsid w:val="00DB5467"/>
    <w:rsid w:val="00DB54B6"/>
    <w:rsid w:val="00DB5501"/>
    <w:rsid w:val="00DB55C5"/>
    <w:rsid w:val="00DB59E2"/>
    <w:rsid w:val="00DB612C"/>
    <w:rsid w:val="00DB618A"/>
    <w:rsid w:val="00DB6477"/>
    <w:rsid w:val="00DB660D"/>
    <w:rsid w:val="00DB66F8"/>
    <w:rsid w:val="00DB675B"/>
    <w:rsid w:val="00DB6885"/>
    <w:rsid w:val="00DB7116"/>
    <w:rsid w:val="00DB7125"/>
    <w:rsid w:val="00DB71A1"/>
    <w:rsid w:val="00DB745A"/>
    <w:rsid w:val="00DB7597"/>
    <w:rsid w:val="00DB765A"/>
    <w:rsid w:val="00DB77DD"/>
    <w:rsid w:val="00DB790E"/>
    <w:rsid w:val="00DB7C45"/>
    <w:rsid w:val="00DC0172"/>
    <w:rsid w:val="00DC01C3"/>
    <w:rsid w:val="00DC02AD"/>
    <w:rsid w:val="00DC0328"/>
    <w:rsid w:val="00DC0370"/>
    <w:rsid w:val="00DC066C"/>
    <w:rsid w:val="00DC095B"/>
    <w:rsid w:val="00DC0994"/>
    <w:rsid w:val="00DC09A2"/>
    <w:rsid w:val="00DC0B32"/>
    <w:rsid w:val="00DC11E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1DE"/>
    <w:rsid w:val="00DC234C"/>
    <w:rsid w:val="00DC25ED"/>
    <w:rsid w:val="00DC25F3"/>
    <w:rsid w:val="00DC274C"/>
    <w:rsid w:val="00DC2E0D"/>
    <w:rsid w:val="00DC2EA5"/>
    <w:rsid w:val="00DC2FEF"/>
    <w:rsid w:val="00DC3261"/>
    <w:rsid w:val="00DC3536"/>
    <w:rsid w:val="00DC38A7"/>
    <w:rsid w:val="00DC3AE7"/>
    <w:rsid w:val="00DC400F"/>
    <w:rsid w:val="00DC4088"/>
    <w:rsid w:val="00DC4174"/>
    <w:rsid w:val="00DC4572"/>
    <w:rsid w:val="00DC4AFB"/>
    <w:rsid w:val="00DC4BE5"/>
    <w:rsid w:val="00DC4CA1"/>
    <w:rsid w:val="00DC4F15"/>
    <w:rsid w:val="00DC4F38"/>
    <w:rsid w:val="00DC4F9B"/>
    <w:rsid w:val="00DC500E"/>
    <w:rsid w:val="00DC53A0"/>
    <w:rsid w:val="00DC53E8"/>
    <w:rsid w:val="00DC54CE"/>
    <w:rsid w:val="00DC5651"/>
    <w:rsid w:val="00DC5A26"/>
    <w:rsid w:val="00DC5BF7"/>
    <w:rsid w:val="00DC5C3B"/>
    <w:rsid w:val="00DC5ED1"/>
    <w:rsid w:val="00DC6038"/>
    <w:rsid w:val="00DC618E"/>
    <w:rsid w:val="00DC665F"/>
    <w:rsid w:val="00DC681A"/>
    <w:rsid w:val="00DC6A0F"/>
    <w:rsid w:val="00DC6B57"/>
    <w:rsid w:val="00DC6CC8"/>
    <w:rsid w:val="00DC6DBC"/>
    <w:rsid w:val="00DC6F41"/>
    <w:rsid w:val="00DC7489"/>
    <w:rsid w:val="00DC7553"/>
    <w:rsid w:val="00DC766F"/>
    <w:rsid w:val="00DC76B5"/>
    <w:rsid w:val="00DC7888"/>
    <w:rsid w:val="00DC78B7"/>
    <w:rsid w:val="00DC7921"/>
    <w:rsid w:val="00DC7B4A"/>
    <w:rsid w:val="00DC7E9A"/>
    <w:rsid w:val="00DC7F66"/>
    <w:rsid w:val="00DD01BE"/>
    <w:rsid w:val="00DD02CF"/>
    <w:rsid w:val="00DD06CB"/>
    <w:rsid w:val="00DD08E6"/>
    <w:rsid w:val="00DD0954"/>
    <w:rsid w:val="00DD0A00"/>
    <w:rsid w:val="00DD1009"/>
    <w:rsid w:val="00DD1146"/>
    <w:rsid w:val="00DD1378"/>
    <w:rsid w:val="00DD140A"/>
    <w:rsid w:val="00DD1506"/>
    <w:rsid w:val="00DD157D"/>
    <w:rsid w:val="00DD1973"/>
    <w:rsid w:val="00DD1B0D"/>
    <w:rsid w:val="00DD1CF4"/>
    <w:rsid w:val="00DD1ECF"/>
    <w:rsid w:val="00DD1FDF"/>
    <w:rsid w:val="00DD2007"/>
    <w:rsid w:val="00DD2405"/>
    <w:rsid w:val="00DD242E"/>
    <w:rsid w:val="00DD2574"/>
    <w:rsid w:val="00DD25D2"/>
    <w:rsid w:val="00DD2791"/>
    <w:rsid w:val="00DD27DA"/>
    <w:rsid w:val="00DD2912"/>
    <w:rsid w:val="00DD2925"/>
    <w:rsid w:val="00DD2B15"/>
    <w:rsid w:val="00DD2E3D"/>
    <w:rsid w:val="00DD2F9A"/>
    <w:rsid w:val="00DD3189"/>
    <w:rsid w:val="00DD3334"/>
    <w:rsid w:val="00DD36AA"/>
    <w:rsid w:val="00DD37A4"/>
    <w:rsid w:val="00DD37C0"/>
    <w:rsid w:val="00DD39AA"/>
    <w:rsid w:val="00DD40A6"/>
    <w:rsid w:val="00DD40C0"/>
    <w:rsid w:val="00DD4321"/>
    <w:rsid w:val="00DD4406"/>
    <w:rsid w:val="00DD449F"/>
    <w:rsid w:val="00DD44EF"/>
    <w:rsid w:val="00DD46FA"/>
    <w:rsid w:val="00DD47EE"/>
    <w:rsid w:val="00DD4815"/>
    <w:rsid w:val="00DD501C"/>
    <w:rsid w:val="00DD501E"/>
    <w:rsid w:val="00DD50FA"/>
    <w:rsid w:val="00DD5262"/>
    <w:rsid w:val="00DD52A7"/>
    <w:rsid w:val="00DD531D"/>
    <w:rsid w:val="00DD56B9"/>
    <w:rsid w:val="00DD5955"/>
    <w:rsid w:val="00DD59A4"/>
    <w:rsid w:val="00DD5A0C"/>
    <w:rsid w:val="00DD5BA4"/>
    <w:rsid w:val="00DD5D7A"/>
    <w:rsid w:val="00DD5D9E"/>
    <w:rsid w:val="00DD6073"/>
    <w:rsid w:val="00DD6558"/>
    <w:rsid w:val="00DD6731"/>
    <w:rsid w:val="00DD6A2A"/>
    <w:rsid w:val="00DD6CFF"/>
    <w:rsid w:val="00DD735E"/>
    <w:rsid w:val="00DD7362"/>
    <w:rsid w:val="00DD739E"/>
    <w:rsid w:val="00DD74C3"/>
    <w:rsid w:val="00DD782E"/>
    <w:rsid w:val="00DD7873"/>
    <w:rsid w:val="00DD7968"/>
    <w:rsid w:val="00DD7995"/>
    <w:rsid w:val="00DD7A1C"/>
    <w:rsid w:val="00DD7CDE"/>
    <w:rsid w:val="00DD7E87"/>
    <w:rsid w:val="00DD7F13"/>
    <w:rsid w:val="00DD7F56"/>
    <w:rsid w:val="00DE00CF"/>
    <w:rsid w:val="00DE0183"/>
    <w:rsid w:val="00DE03B8"/>
    <w:rsid w:val="00DE06F3"/>
    <w:rsid w:val="00DE07E8"/>
    <w:rsid w:val="00DE0B69"/>
    <w:rsid w:val="00DE0DF4"/>
    <w:rsid w:val="00DE0E10"/>
    <w:rsid w:val="00DE0E7E"/>
    <w:rsid w:val="00DE10A1"/>
    <w:rsid w:val="00DE10F5"/>
    <w:rsid w:val="00DE1692"/>
    <w:rsid w:val="00DE1C22"/>
    <w:rsid w:val="00DE23FF"/>
    <w:rsid w:val="00DE249D"/>
    <w:rsid w:val="00DE2804"/>
    <w:rsid w:val="00DE2AC1"/>
    <w:rsid w:val="00DE2B2D"/>
    <w:rsid w:val="00DE2CEF"/>
    <w:rsid w:val="00DE2D73"/>
    <w:rsid w:val="00DE2F65"/>
    <w:rsid w:val="00DE31EA"/>
    <w:rsid w:val="00DE3265"/>
    <w:rsid w:val="00DE36D4"/>
    <w:rsid w:val="00DE38E4"/>
    <w:rsid w:val="00DE3A0B"/>
    <w:rsid w:val="00DE3F06"/>
    <w:rsid w:val="00DE4720"/>
    <w:rsid w:val="00DE48A4"/>
    <w:rsid w:val="00DE4B9F"/>
    <w:rsid w:val="00DE4C0C"/>
    <w:rsid w:val="00DE4EA3"/>
    <w:rsid w:val="00DE502D"/>
    <w:rsid w:val="00DE5388"/>
    <w:rsid w:val="00DE55FC"/>
    <w:rsid w:val="00DE57C4"/>
    <w:rsid w:val="00DE5B92"/>
    <w:rsid w:val="00DE6392"/>
    <w:rsid w:val="00DE6674"/>
    <w:rsid w:val="00DE6796"/>
    <w:rsid w:val="00DE6844"/>
    <w:rsid w:val="00DE6D82"/>
    <w:rsid w:val="00DE6D9D"/>
    <w:rsid w:val="00DE6E69"/>
    <w:rsid w:val="00DE6EEB"/>
    <w:rsid w:val="00DE6EED"/>
    <w:rsid w:val="00DE6EF2"/>
    <w:rsid w:val="00DE7847"/>
    <w:rsid w:val="00DE784C"/>
    <w:rsid w:val="00DE7880"/>
    <w:rsid w:val="00DE7A26"/>
    <w:rsid w:val="00DE7D39"/>
    <w:rsid w:val="00DE7EE8"/>
    <w:rsid w:val="00DF01CC"/>
    <w:rsid w:val="00DF05C8"/>
    <w:rsid w:val="00DF0768"/>
    <w:rsid w:val="00DF0C29"/>
    <w:rsid w:val="00DF0C96"/>
    <w:rsid w:val="00DF0FD9"/>
    <w:rsid w:val="00DF15B0"/>
    <w:rsid w:val="00DF1795"/>
    <w:rsid w:val="00DF182E"/>
    <w:rsid w:val="00DF1A59"/>
    <w:rsid w:val="00DF1AED"/>
    <w:rsid w:val="00DF1CEE"/>
    <w:rsid w:val="00DF1D7F"/>
    <w:rsid w:val="00DF1EBE"/>
    <w:rsid w:val="00DF20F4"/>
    <w:rsid w:val="00DF21FA"/>
    <w:rsid w:val="00DF22CC"/>
    <w:rsid w:val="00DF23A5"/>
    <w:rsid w:val="00DF24EA"/>
    <w:rsid w:val="00DF26BA"/>
    <w:rsid w:val="00DF26DF"/>
    <w:rsid w:val="00DF27A3"/>
    <w:rsid w:val="00DF2A16"/>
    <w:rsid w:val="00DF2CF9"/>
    <w:rsid w:val="00DF2D95"/>
    <w:rsid w:val="00DF2E20"/>
    <w:rsid w:val="00DF2E3C"/>
    <w:rsid w:val="00DF32AA"/>
    <w:rsid w:val="00DF334B"/>
    <w:rsid w:val="00DF3BA0"/>
    <w:rsid w:val="00DF3E29"/>
    <w:rsid w:val="00DF3ED6"/>
    <w:rsid w:val="00DF4065"/>
    <w:rsid w:val="00DF40E0"/>
    <w:rsid w:val="00DF41CC"/>
    <w:rsid w:val="00DF430A"/>
    <w:rsid w:val="00DF45C8"/>
    <w:rsid w:val="00DF4B52"/>
    <w:rsid w:val="00DF4E1B"/>
    <w:rsid w:val="00DF5018"/>
    <w:rsid w:val="00DF52B2"/>
    <w:rsid w:val="00DF53D0"/>
    <w:rsid w:val="00DF5519"/>
    <w:rsid w:val="00DF554B"/>
    <w:rsid w:val="00DF58A8"/>
    <w:rsid w:val="00DF5BD7"/>
    <w:rsid w:val="00DF64CA"/>
    <w:rsid w:val="00DF659E"/>
    <w:rsid w:val="00DF6C9D"/>
    <w:rsid w:val="00DF6E5D"/>
    <w:rsid w:val="00DF70EF"/>
    <w:rsid w:val="00DF72CD"/>
    <w:rsid w:val="00DF7459"/>
    <w:rsid w:val="00DF7655"/>
    <w:rsid w:val="00DF781F"/>
    <w:rsid w:val="00DF798D"/>
    <w:rsid w:val="00DF7ACD"/>
    <w:rsid w:val="00DF7D3A"/>
    <w:rsid w:val="00E000F4"/>
    <w:rsid w:val="00E001E5"/>
    <w:rsid w:val="00E0084F"/>
    <w:rsid w:val="00E00A8A"/>
    <w:rsid w:val="00E00ACA"/>
    <w:rsid w:val="00E00D0C"/>
    <w:rsid w:val="00E01217"/>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40A"/>
    <w:rsid w:val="00E02457"/>
    <w:rsid w:val="00E024F8"/>
    <w:rsid w:val="00E0251E"/>
    <w:rsid w:val="00E025BE"/>
    <w:rsid w:val="00E0270E"/>
    <w:rsid w:val="00E027C8"/>
    <w:rsid w:val="00E02BF6"/>
    <w:rsid w:val="00E02CFC"/>
    <w:rsid w:val="00E02D7F"/>
    <w:rsid w:val="00E02F7C"/>
    <w:rsid w:val="00E02FDB"/>
    <w:rsid w:val="00E03026"/>
    <w:rsid w:val="00E03260"/>
    <w:rsid w:val="00E035FD"/>
    <w:rsid w:val="00E038B9"/>
    <w:rsid w:val="00E03977"/>
    <w:rsid w:val="00E045C3"/>
    <w:rsid w:val="00E048FF"/>
    <w:rsid w:val="00E04AB7"/>
    <w:rsid w:val="00E05064"/>
    <w:rsid w:val="00E05400"/>
    <w:rsid w:val="00E0556C"/>
    <w:rsid w:val="00E05789"/>
    <w:rsid w:val="00E05A4D"/>
    <w:rsid w:val="00E05AC4"/>
    <w:rsid w:val="00E05E9E"/>
    <w:rsid w:val="00E06073"/>
    <w:rsid w:val="00E06096"/>
    <w:rsid w:val="00E06402"/>
    <w:rsid w:val="00E064D9"/>
    <w:rsid w:val="00E06708"/>
    <w:rsid w:val="00E06B00"/>
    <w:rsid w:val="00E07354"/>
    <w:rsid w:val="00E074FB"/>
    <w:rsid w:val="00E076FC"/>
    <w:rsid w:val="00E07897"/>
    <w:rsid w:val="00E07ACC"/>
    <w:rsid w:val="00E07B1B"/>
    <w:rsid w:val="00E07C91"/>
    <w:rsid w:val="00E07D0C"/>
    <w:rsid w:val="00E1056D"/>
    <w:rsid w:val="00E10788"/>
    <w:rsid w:val="00E109C4"/>
    <w:rsid w:val="00E10D28"/>
    <w:rsid w:val="00E10F98"/>
    <w:rsid w:val="00E110A4"/>
    <w:rsid w:val="00E11213"/>
    <w:rsid w:val="00E115D7"/>
    <w:rsid w:val="00E116E5"/>
    <w:rsid w:val="00E11835"/>
    <w:rsid w:val="00E11877"/>
    <w:rsid w:val="00E11A77"/>
    <w:rsid w:val="00E11D5A"/>
    <w:rsid w:val="00E11D68"/>
    <w:rsid w:val="00E120C9"/>
    <w:rsid w:val="00E122E3"/>
    <w:rsid w:val="00E12390"/>
    <w:rsid w:val="00E126C4"/>
    <w:rsid w:val="00E126D5"/>
    <w:rsid w:val="00E12851"/>
    <w:rsid w:val="00E12AD7"/>
    <w:rsid w:val="00E12CB5"/>
    <w:rsid w:val="00E12E55"/>
    <w:rsid w:val="00E13046"/>
    <w:rsid w:val="00E131E8"/>
    <w:rsid w:val="00E135F8"/>
    <w:rsid w:val="00E13A86"/>
    <w:rsid w:val="00E13C9E"/>
    <w:rsid w:val="00E13DFD"/>
    <w:rsid w:val="00E13E06"/>
    <w:rsid w:val="00E140C2"/>
    <w:rsid w:val="00E14237"/>
    <w:rsid w:val="00E1428C"/>
    <w:rsid w:val="00E14756"/>
    <w:rsid w:val="00E14C91"/>
    <w:rsid w:val="00E1562D"/>
    <w:rsid w:val="00E1598D"/>
    <w:rsid w:val="00E159AC"/>
    <w:rsid w:val="00E15EDD"/>
    <w:rsid w:val="00E16030"/>
    <w:rsid w:val="00E163CF"/>
    <w:rsid w:val="00E16862"/>
    <w:rsid w:val="00E16868"/>
    <w:rsid w:val="00E16869"/>
    <w:rsid w:val="00E16C8F"/>
    <w:rsid w:val="00E16D8A"/>
    <w:rsid w:val="00E16E34"/>
    <w:rsid w:val="00E16EEE"/>
    <w:rsid w:val="00E173C1"/>
    <w:rsid w:val="00E17990"/>
    <w:rsid w:val="00E17C3D"/>
    <w:rsid w:val="00E17E53"/>
    <w:rsid w:val="00E20089"/>
    <w:rsid w:val="00E20238"/>
    <w:rsid w:val="00E20394"/>
    <w:rsid w:val="00E20423"/>
    <w:rsid w:val="00E20439"/>
    <w:rsid w:val="00E2048E"/>
    <w:rsid w:val="00E20650"/>
    <w:rsid w:val="00E206C6"/>
    <w:rsid w:val="00E20D0A"/>
    <w:rsid w:val="00E210A3"/>
    <w:rsid w:val="00E211FB"/>
    <w:rsid w:val="00E21467"/>
    <w:rsid w:val="00E2162E"/>
    <w:rsid w:val="00E219AB"/>
    <w:rsid w:val="00E21BB5"/>
    <w:rsid w:val="00E21D2F"/>
    <w:rsid w:val="00E21DA1"/>
    <w:rsid w:val="00E21E78"/>
    <w:rsid w:val="00E222A0"/>
    <w:rsid w:val="00E222FD"/>
    <w:rsid w:val="00E225C4"/>
    <w:rsid w:val="00E22624"/>
    <w:rsid w:val="00E22FEC"/>
    <w:rsid w:val="00E231D8"/>
    <w:rsid w:val="00E2326C"/>
    <w:rsid w:val="00E233C7"/>
    <w:rsid w:val="00E23528"/>
    <w:rsid w:val="00E23723"/>
    <w:rsid w:val="00E23918"/>
    <w:rsid w:val="00E23940"/>
    <w:rsid w:val="00E23B7A"/>
    <w:rsid w:val="00E2408E"/>
    <w:rsid w:val="00E2427C"/>
    <w:rsid w:val="00E24295"/>
    <w:rsid w:val="00E242D5"/>
    <w:rsid w:val="00E242EA"/>
    <w:rsid w:val="00E24406"/>
    <w:rsid w:val="00E24649"/>
    <w:rsid w:val="00E24836"/>
    <w:rsid w:val="00E24B49"/>
    <w:rsid w:val="00E24BDE"/>
    <w:rsid w:val="00E24D87"/>
    <w:rsid w:val="00E24E19"/>
    <w:rsid w:val="00E25005"/>
    <w:rsid w:val="00E252D9"/>
    <w:rsid w:val="00E25513"/>
    <w:rsid w:val="00E2562D"/>
    <w:rsid w:val="00E256DE"/>
    <w:rsid w:val="00E2572A"/>
    <w:rsid w:val="00E2581A"/>
    <w:rsid w:val="00E258B3"/>
    <w:rsid w:val="00E2597F"/>
    <w:rsid w:val="00E25B2A"/>
    <w:rsid w:val="00E25CF9"/>
    <w:rsid w:val="00E25E67"/>
    <w:rsid w:val="00E26530"/>
    <w:rsid w:val="00E26562"/>
    <w:rsid w:val="00E265CF"/>
    <w:rsid w:val="00E266AB"/>
    <w:rsid w:val="00E2672B"/>
    <w:rsid w:val="00E26748"/>
    <w:rsid w:val="00E26CA9"/>
    <w:rsid w:val="00E270D0"/>
    <w:rsid w:val="00E2718A"/>
    <w:rsid w:val="00E271A7"/>
    <w:rsid w:val="00E27289"/>
    <w:rsid w:val="00E27383"/>
    <w:rsid w:val="00E277D4"/>
    <w:rsid w:val="00E27B37"/>
    <w:rsid w:val="00E27BE4"/>
    <w:rsid w:val="00E27D57"/>
    <w:rsid w:val="00E27F45"/>
    <w:rsid w:val="00E27FD1"/>
    <w:rsid w:val="00E3018C"/>
    <w:rsid w:val="00E3071A"/>
    <w:rsid w:val="00E307DD"/>
    <w:rsid w:val="00E3084D"/>
    <w:rsid w:val="00E30867"/>
    <w:rsid w:val="00E30890"/>
    <w:rsid w:val="00E309DB"/>
    <w:rsid w:val="00E30A35"/>
    <w:rsid w:val="00E30B56"/>
    <w:rsid w:val="00E30CCD"/>
    <w:rsid w:val="00E30D14"/>
    <w:rsid w:val="00E30F5C"/>
    <w:rsid w:val="00E312F5"/>
    <w:rsid w:val="00E31342"/>
    <w:rsid w:val="00E315F7"/>
    <w:rsid w:val="00E31665"/>
    <w:rsid w:val="00E318F4"/>
    <w:rsid w:val="00E318F9"/>
    <w:rsid w:val="00E3198C"/>
    <w:rsid w:val="00E31995"/>
    <w:rsid w:val="00E319AE"/>
    <w:rsid w:val="00E31DAA"/>
    <w:rsid w:val="00E326A7"/>
    <w:rsid w:val="00E3275F"/>
    <w:rsid w:val="00E3279C"/>
    <w:rsid w:val="00E327F0"/>
    <w:rsid w:val="00E32B0C"/>
    <w:rsid w:val="00E32BBD"/>
    <w:rsid w:val="00E32C82"/>
    <w:rsid w:val="00E32EC7"/>
    <w:rsid w:val="00E33065"/>
    <w:rsid w:val="00E330D5"/>
    <w:rsid w:val="00E33237"/>
    <w:rsid w:val="00E333F7"/>
    <w:rsid w:val="00E335F7"/>
    <w:rsid w:val="00E33745"/>
    <w:rsid w:val="00E33FDA"/>
    <w:rsid w:val="00E3409A"/>
    <w:rsid w:val="00E34475"/>
    <w:rsid w:val="00E3448C"/>
    <w:rsid w:val="00E347A5"/>
    <w:rsid w:val="00E34DFA"/>
    <w:rsid w:val="00E34F03"/>
    <w:rsid w:val="00E3516E"/>
    <w:rsid w:val="00E35233"/>
    <w:rsid w:val="00E353C2"/>
    <w:rsid w:val="00E3578F"/>
    <w:rsid w:val="00E35B50"/>
    <w:rsid w:val="00E35BB4"/>
    <w:rsid w:val="00E35C74"/>
    <w:rsid w:val="00E35D78"/>
    <w:rsid w:val="00E36081"/>
    <w:rsid w:val="00E36137"/>
    <w:rsid w:val="00E3630E"/>
    <w:rsid w:val="00E363D7"/>
    <w:rsid w:val="00E36682"/>
    <w:rsid w:val="00E36870"/>
    <w:rsid w:val="00E36894"/>
    <w:rsid w:val="00E37049"/>
    <w:rsid w:val="00E372B6"/>
    <w:rsid w:val="00E3754A"/>
    <w:rsid w:val="00E3754C"/>
    <w:rsid w:val="00E37AAA"/>
    <w:rsid w:val="00E37B1A"/>
    <w:rsid w:val="00E37B6D"/>
    <w:rsid w:val="00E37D0A"/>
    <w:rsid w:val="00E37FD7"/>
    <w:rsid w:val="00E4006C"/>
    <w:rsid w:val="00E400DC"/>
    <w:rsid w:val="00E4011E"/>
    <w:rsid w:val="00E401AA"/>
    <w:rsid w:val="00E405E9"/>
    <w:rsid w:val="00E40774"/>
    <w:rsid w:val="00E40B32"/>
    <w:rsid w:val="00E4118D"/>
    <w:rsid w:val="00E41208"/>
    <w:rsid w:val="00E4139D"/>
    <w:rsid w:val="00E4147A"/>
    <w:rsid w:val="00E414F4"/>
    <w:rsid w:val="00E41658"/>
    <w:rsid w:val="00E41B4A"/>
    <w:rsid w:val="00E41BF4"/>
    <w:rsid w:val="00E42457"/>
    <w:rsid w:val="00E424EE"/>
    <w:rsid w:val="00E428B1"/>
    <w:rsid w:val="00E42971"/>
    <w:rsid w:val="00E42E09"/>
    <w:rsid w:val="00E430C6"/>
    <w:rsid w:val="00E43475"/>
    <w:rsid w:val="00E4362C"/>
    <w:rsid w:val="00E43637"/>
    <w:rsid w:val="00E43686"/>
    <w:rsid w:val="00E43729"/>
    <w:rsid w:val="00E4376E"/>
    <w:rsid w:val="00E437BD"/>
    <w:rsid w:val="00E43819"/>
    <w:rsid w:val="00E43A01"/>
    <w:rsid w:val="00E43BE1"/>
    <w:rsid w:val="00E43D20"/>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D8"/>
    <w:rsid w:val="00E45C9E"/>
    <w:rsid w:val="00E45FFC"/>
    <w:rsid w:val="00E46075"/>
    <w:rsid w:val="00E4608C"/>
    <w:rsid w:val="00E46758"/>
    <w:rsid w:val="00E467F7"/>
    <w:rsid w:val="00E4690E"/>
    <w:rsid w:val="00E469A5"/>
    <w:rsid w:val="00E46E0C"/>
    <w:rsid w:val="00E46E74"/>
    <w:rsid w:val="00E46E7C"/>
    <w:rsid w:val="00E471F8"/>
    <w:rsid w:val="00E47207"/>
    <w:rsid w:val="00E47333"/>
    <w:rsid w:val="00E47428"/>
    <w:rsid w:val="00E476FC"/>
    <w:rsid w:val="00E477EB"/>
    <w:rsid w:val="00E477FB"/>
    <w:rsid w:val="00E478A5"/>
    <w:rsid w:val="00E47A6C"/>
    <w:rsid w:val="00E47A88"/>
    <w:rsid w:val="00E47C75"/>
    <w:rsid w:val="00E47C90"/>
    <w:rsid w:val="00E47D82"/>
    <w:rsid w:val="00E47FB4"/>
    <w:rsid w:val="00E50193"/>
    <w:rsid w:val="00E50376"/>
    <w:rsid w:val="00E50450"/>
    <w:rsid w:val="00E50554"/>
    <w:rsid w:val="00E506A1"/>
    <w:rsid w:val="00E50709"/>
    <w:rsid w:val="00E5076B"/>
    <w:rsid w:val="00E507C5"/>
    <w:rsid w:val="00E507CF"/>
    <w:rsid w:val="00E50BE6"/>
    <w:rsid w:val="00E50D06"/>
    <w:rsid w:val="00E50EBF"/>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AC"/>
    <w:rsid w:val="00E52F5A"/>
    <w:rsid w:val="00E53067"/>
    <w:rsid w:val="00E5332F"/>
    <w:rsid w:val="00E533A1"/>
    <w:rsid w:val="00E5341E"/>
    <w:rsid w:val="00E5358C"/>
    <w:rsid w:val="00E53624"/>
    <w:rsid w:val="00E536AF"/>
    <w:rsid w:val="00E538FA"/>
    <w:rsid w:val="00E53BDB"/>
    <w:rsid w:val="00E53C8C"/>
    <w:rsid w:val="00E53DF4"/>
    <w:rsid w:val="00E53E1A"/>
    <w:rsid w:val="00E53E9C"/>
    <w:rsid w:val="00E54308"/>
    <w:rsid w:val="00E54498"/>
    <w:rsid w:val="00E5456F"/>
    <w:rsid w:val="00E5465F"/>
    <w:rsid w:val="00E5468D"/>
    <w:rsid w:val="00E546B4"/>
    <w:rsid w:val="00E54756"/>
    <w:rsid w:val="00E54809"/>
    <w:rsid w:val="00E54A9B"/>
    <w:rsid w:val="00E54E0A"/>
    <w:rsid w:val="00E55056"/>
    <w:rsid w:val="00E55079"/>
    <w:rsid w:val="00E550EE"/>
    <w:rsid w:val="00E556E9"/>
    <w:rsid w:val="00E557A0"/>
    <w:rsid w:val="00E557B2"/>
    <w:rsid w:val="00E5589A"/>
    <w:rsid w:val="00E55AA5"/>
    <w:rsid w:val="00E562E2"/>
    <w:rsid w:val="00E5659C"/>
    <w:rsid w:val="00E567AC"/>
    <w:rsid w:val="00E568D0"/>
    <w:rsid w:val="00E56965"/>
    <w:rsid w:val="00E56C80"/>
    <w:rsid w:val="00E56D16"/>
    <w:rsid w:val="00E57172"/>
    <w:rsid w:val="00E5730B"/>
    <w:rsid w:val="00E5774E"/>
    <w:rsid w:val="00E57914"/>
    <w:rsid w:val="00E579CB"/>
    <w:rsid w:val="00E57A50"/>
    <w:rsid w:val="00E57B75"/>
    <w:rsid w:val="00E57CEE"/>
    <w:rsid w:val="00E57D8C"/>
    <w:rsid w:val="00E57E19"/>
    <w:rsid w:val="00E57FE1"/>
    <w:rsid w:val="00E6004D"/>
    <w:rsid w:val="00E60417"/>
    <w:rsid w:val="00E6053D"/>
    <w:rsid w:val="00E60810"/>
    <w:rsid w:val="00E6088E"/>
    <w:rsid w:val="00E60942"/>
    <w:rsid w:val="00E609C0"/>
    <w:rsid w:val="00E60C7D"/>
    <w:rsid w:val="00E60F5A"/>
    <w:rsid w:val="00E60F8F"/>
    <w:rsid w:val="00E611E1"/>
    <w:rsid w:val="00E6138E"/>
    <w:rsid w:val="00E61419"/>
    <w:rsid w:val="00E61658"/>
    <w:rsid w:val="00E61DC9"/>
    <w:rsid w:val="00E62006"/>
    <w:rsid w:val="00E62015"/>
    <w:rsid w:val="00E6236B"/>
    <w:rsid w:val="00E624C5"/>
    <w:rsid w:val="00E6257B"/>
    <w:rsid w:val="00E625B8"/>
    <w:rsid w:val="00E626ED"/>
    <w:rsid w:val="00E62885"/>
    <w:rsid w:val="00E62B42"/>
    <w:rsid w:val="00E62BF9"/>
    <w:rsid w:val="00E62D79"/>
    <w:rsid w:val="00E62DC7"/>
    <w:rsid w:val="00E6312E"/>
    <w:rsid w:val="00E634C5"/>
    <w:rsid w:val="00E63512"/>
    <w:rsid w:val="00E63827"/>
    <w:rsid w:val="00E63A7A"/>
    <w:rsid w:val="00E63BBD"/>
    <w:rsid w:val="00E63F9C"/>
    <w:rsid w:val="00E6403D"/>
    <w:rsid w:val="00E640F5"/>
    <w:rsid w:val="00E641E4"/>
    <w:rsid w:val="00E6435F"/>
    <w:rsid w:val="00E64413"/>
    <w:rsid w:val="00E644DA"/>
    <w:rsid w:val="00E64634"/>
    <w:rsid w:val="00E64A4A"/>
    <w:rsid w:val="00E64D54"/>
    <w:rsid w:val="00E64FEE"/>
    <w:rsid w:val="00E65220"/>
    <w:rsid w:val="00E6537E"/>
    <w:rsid w:val="00E65702"/>
    <w:rsid w:val="00E6599A"/>
    <w:rsid w:val="00E65E3D"/>
    <w:rsid w:val="00E65EF6"/>
    <w:rsid w:val="00E65EFA"/>
    <w:rsid w:val="00E65EFE"/>
    <w:rsid w:val="00E65FFE"/>
    <w:rsid w:val="00E660C5"/>
    <w:rsid w:val="00E66293"/>
    <w:rsid w:val="00E66479"/>
    <w:rsid w:val="00E667E3"/>
    <w:rsid w:val="00E669C1"/>
    <w:rsid w:val="00E66E5F"/>
    <w:rsid w:val="00E670A6"/>
    <w:rsid w:val="00E67265"/>
    <w:rsid w:val="00E673CC"/>
    <w:rsid w:val="00E674AE"/>
    <w:rsid w:val="00E67716"/>
    <w:rsid w:val="00E67893"/>
    <w:rsid w:val="00E67AD0"/>
    <w:rsid w:val="00E67C1F"/>
    <w:rsid w:val="00E67D1E"/>
    <w:rsid w:val="00E70276"/>
    <w:rsid w:val="00E703A4"/>
    <w:rsid w:val="00E705CB"/>
    <w:rsid w:val="00E705F0"/>
    <w:rsid w:val="00E70C77"/>
    <w:rsid w:val="00E70CB0"/>
    <w:rsid w:val="00E70E63"/>
    <w:rsid w:val="00E70EE5"/>
    <w:rsid w:val="00E70F0A"/>
    <w:rsid w:val="00E70F7B"/>
    <w:rsid w:val="00E71350"/>
    <w:rsid w:val="00E71561"/>
    <w:rsid w:val="00E716A0"/>
    <w:rsid w:val="00E7171C"/>
    <w:rsid w:val="00E7185C"/>
    <w:rsid w:val="00E71873"/>
    <w:rsid w:val="00E71A42"/>
    <w:rsid w:val="00E71B5E"/>
    <w:rsid w:val="00E71E58"/>
    <w:rsid w:val="00E71F09"/>
    <w:rsid w:val="00E72209"/>
    <w:rsid w:val="00E728FE"/>
    <w:rsid w:val="00E72F88"/>
    <w:rsid w:val="00E7334E"/>
    <w:rsid w:val="00E73637"/>
    <w:rsid w:val="00E7366C"/>
    <w:rsid w:val="00E738C6"/>
    <w:rsid w:val="00E739D4"/>
    <w:rsid w:val="00E73A47"/>
    <w:rsid w:val="00E73BA1"/>
    <w:rsid w:val="00E73C20"/>
    <w:rsid w:val="00E73EC9"/>
    <w:rsid w:val="00E740BE"/>
    <w:rsid w:val="00E741AD"/>
    <w:rsid w:val="00E74287"/>
    <w:rsid w:val="00E743DB"/>
    <w:rsid w:val="00E744A0"/>
    <w:rsid w:val="00E74679"/>
    <w:rsid w:val="00E74B7C"/>
    <w:rsid w:val="00E74DB2"/>
    <w:rsid w:val="00E74DCD"/>
    <w:rsid w:val="00E74F94"/>
    <w:rsid w:val="00E7514D"/>
    <w:rsid w:val="00E751CF"/>
    <w:rsid w:val="00E75387"/>
    <w:rsid w:val="00E754BC"/>
    <w:rsid w:val="00E75872"/>
    <w:rsid w:val="00E7596F"/>
    <w:rsid w:val="00E75ADC"/>
    <w:rsid w:val="00E75D06"/>
    <w:rsid w:val="00E75D9B"/>
    <w:rsid w:val="00E7608A"/>
    <w:rsid w:val="00E7667C"/>
    <w:rsid w:val="00E769E0"/>
    <w:rsid w:val="00E76A29"/>
    <w:rsid w:val="00E76E15"/>
    <w:rsid w:val="00E77248"/>
    <w:rsid w:val="00E77435"/>
    <w:rsid w:val="00E774EA"/>
    <w:rsid w:val="00E77521"/>
    <w:rsid w:val="00E77601"/>
    <w:rsid w:val="00E776BC"/>
    <w:rsid w:val="00E777D8"/>
    <w:rsid w:val="00E77821"/>
    <w:rsid w:val="00E7795D"/>
    <w:rsid w:val="00E77AF5"/>
    <w:rsid w:val="00E77D78"/>
    <w:rsid w:val="00E803F4"/>
    <w:rsid w:val="00E80409"/>
    <w:rsid w:val="00E806D8"/>
    <w:rsid w:val="00E80BC2"/>
    <w:rsid w:val="00E80C1B"/>
    <w:rsid w:val="00E80D88"/>
    <w:rsid w:val="00E80EA1"/>
    <w:rsid w:val="00E80F72"/>
    <w:rsid w:val="00E81056"/>
    <w:rsid w:val="00E810B2"/>
    <w:rsid w:val="00E8118B"/>
    <w:rsid w:val="00E81272"/>
    <w:rsid w:val="00E81877"/>
    <w:rsid w:val="00E81B89"/>
    <w:rsid w:val="00E81DD5"/>
    <w:rsid w:val="00E81EAC"/>
    <w:rsid w:val="00E8209F"/>
    <w:rsid w:val="00E821B9"/>
    <w:rsid w:val="00E8232B"/>
    <w:rsid w:val="00E823BD"/>
    <w:rsid w:val="00E82453"/>
    <w:rsid w:val="00E8246D"/>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41A5"/>
    <w:rsid w:val="00E8431B"/>
    <w:rsid w:val="00E8439A"/>
    <w:rsid w:val="00E8492C"/>
    <w:rsid w:val="00E84B4C"/>
    <w:rsid w:val="00E84CF5"/>
    <w:rsid w:val="00E84D2B"/>
    <w:rsid w:val="00E8506A"/>
    <w:rsid w:val="00E850A9"/>
    <w:rsid w:val="00E85376"/>
    <w:rsid w:val="00E853E0"/>
    <w:rsid w:val="00E853FC"/>
    <w:rsid w:val="00E85A25"/>
    <w:rsid w:val="00E85ABB"/>
    <w:rsid w:val="00E85C65"/>
    <w:rsid w:val="00E85E24"/>
    <w:rsid w:val="00E86246"/>
    <w:rsid w:val="00E86506"/>
    <w:rsid w:val="00E867C7"/>
    <w:rsid w:val="00E86B25"/>
    <w:rsid w:val="00E86C3F"/>
    <w:rsid w:val="00E86DF7"/>
    <w:rsid w:val="00E86ED9"/>
    <w:rsid w:val="00E86EE5"/>
    <w:rsid w:val="00E871C7"/>
    <w:rsid w:val="00E87246"/>
    <w:rsid w:val="00E87571"/>
    <w:rsid w:val="00E87686"/>
    <w:rsid w:val="00E87A54"/>
    <w:rsid w:val="00E87B02"/>
    <w:rsid w:val="00E87BC3"/>
    <w:rsid w:val="00E87D9B"/>
    <w:rsid w:val="00E90073"/>
    <w:rsid w:val="00E903DC"/>
    <w:rsid w:val="00E90611"/>
    <w:rsid w:val="00E9086B"/>
    <w:rsid w:val="00E90CB1"/>
    <w:rsid w:val="00E90D02"/>
    <w:rsid w:val="00E90E8B"/>
    <w:rsid w:val="00E90ECC"/>
    <w:rsid w:val="00E90FA8"/>
    <w:rsid w:val="00E90FB4"/>
    <w:rsid w:val="00E9104C"/>
    <w:rsid w:val="00E910A5"/>
    <w:rsid w:val="00E917E9"/>
    <w:rsid w:val="00E9181C"/>
    <w:rsid w:val="00E9191F"/>
    <w:rsid w:val="00E91AA4"/>
    <w:rsid w:val="00E91E6C"/>
    <w:rsid w:val="00E92168"/>
    <w:rsid w:val="00E922A6"/>
    <w:rsid w:val="00E924DA"/>
    <w:rsid w:val="00E92550"/>
    <w:rsid w:val="00E92597"/>
    <w:rsid w:val="00E92602"/>
    <w:rsid w:val="00E928FA"/>
    <w:rsid w:val="00E92922"/>
    <w:rsid w:val="00E92F0A"/>
    <w:rsid w:val="00E9303F"/>
    <w:rsid w:val="00E93050"/>
    <w:rsid w:val="00E930BF"/>
    <w:rsid w:val="00E93586"/>
    <w:rsid w:val="00E9383F"/>
    <w:rsid w:val="00E93848"/>
    <w:rsid w:val="00E93881"/>
    <w:rsid w:val="00E939BA"/>
    <w:rsid w:val="00E939E2"/>
    <w:rsid w:val="00E93A3F"/>
    <w:rsid w:val="00E93AEA"/>
    <w:rsid w:val="00E93D87"/>
    <w:rsid w:val="00E93E62"/>
    <w:rsid w:val="00E93F80"/>
    <w:rsid w:val="00E94035"/>
    <w:rsid w:val="00E940E2"/>
    <w:rsid w:val="00E9461A"/>
    <w:rsid w:val="00E94726"/>
    <w:rsid w:val="00E94786"/>
    <w:rsid w:val="00E94861"/>
    <w:rsid w:val="00E949DB"/>
    <w:rsid w:val="00E94AF7"/>
    <w:rsid w:val="00E95427"/>
    <w:rsid w:val="00E956C4"/>
    <w:rsid w:val="00E9582C"/>
    <w:rsid w:val="00E95B1C"/>
    <w:rsid w:val="00E95BA3"/>
    <w:rsid w:val="00E95E85"/>
    <w:rsid w:val="00E962AA"/>
    <w:rsid w:val="00E964AA"/>
    <w:rsid w:val="00E96896"/>
    <w:rsid w:val="00E968F5"/>
    <w:rsid w:val="00E9692F"/>
    <w:rsid w:val="00E96949"/>
    <w:rsid w:val="00E96B09"/>
    <w:rsid w:val="00E96F8E"/>
    <w:rsid w:val="00E96FCA"/>
    <w:rsid w:val="00E9700B"/>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803"/>
    <w:rsid w:val="00EA0BCD"/>
    <w:rsid w:val="00EA0CC9"/>
    <w:rsid w:val="00EA0E29"/>
    <w:rsid w:val="00EA0E9D"/>
    <w:rsid w:val="00EA0F71"/>
    <w:rsid w:val="00EA10A1"/>
    <w:rsid w:val="00EA14F4"/>
    <w:rsid w:val="00EA15BB"/>
    <w:rsid w:val="00EA17C0"/>
    <w:rsid w:val="00EA17C8"/>
    <w:rsid w:val="00EA1A59"/>
    <w:rsid w:val="00EA1CF1"/>
    <w:rsid w:val="00EA1D0F"/>
    <w:rsid w:val="00EA1DB6"/>
    <w:rsid w:val="00EA1FC5"/>
    <w:rsid w:val="00EA219F"/>
    <w:rsid w:val="00EA23E6"/>
    <w:rsid w:val="00EA25D3"/>
    <w:rsid w:val="00EA2618"/>
    <w:rsid w:val="00EA2665"/>
    <w:rsid w:val="00EA2A3E"/>
    <w:rsid w:val="00EA2B7F"/>
    <w:rsid w:val="00EA2F8C"/>
    <w:rsid w:val="00EA3110"/>
    <w:rsid w:val="00EA32C4"/>
    <w:rsid w:val="00EA342F"/>
    <w:rsid w:val="00EA3D1F"/>
    <w:rsid w:val="00EA40E5"/>
    <w:rsid w:val="00EA45BC"/>
    <w:rsid w:val="00EA48BB"/>
    <w:rsid w:val="00EA4D16"/>
    <w:rsid w:val="00EA4D25"/>
    <w:rsid w:val="00EA4D2D"/>
    <w:rsid w:val="00EA4FC5"/>
    <w:rsid w:val="00EA5086"/>
    <w:rsid w:val="00EA520F"/>
    <w:rsid w:val="00EA5376"/>
    <w:rsid w:val="00EA53E7"/>
    <w:rsid w:val="00EA54AB"/>
    <w:rsid w:val="00EA558C"/>
    <w:rsid w:val="00EA57D1"/>
    <w:rsid w:val="00EA590C"/>
    <w:rsid w:val="00EA59CC"/>
    <w:rsid w:val="00EA5D9E"/>
    <w:rsid w:val="00EA5F56"/>
    <w:rsid w:val="00EA5F76"/>
    <w:rsid w:val="00EA5FC8"/>
    <w:rsid w:val="00EA67F5"/>
    <w:rsid w:val="00EA6CE3"/>
    <w:rsid w:val="00EA6D06"/>
    <w:rsid w:val="00EA736E"/>
    <w:rsid w:val="00EA7934"/>
    <w:rsid w:val="00EA7F07"/>
    <w:rsid w:val="00EA7FC3"/>
    <w:rsid w:val="00EB0190"/>
    <w:rsid w:val="00EB02A1"/>
    <w:rsid w:val="00EB0500"/>
    <w:rsid w:val="00EB07BC"/>
    <w:rsid w:val="00EB0A07"/>
    <w:rsid w:val="00EB0BD6"/>
    <w:rsid w:val="00EB0DFC"/>
    <w:rsid w:val="00EB13BB"/>
    <w:rsid w:val="00EB148F"/>
    <w:rsid w:val="00EB161C"/>
    <w:rsid w:val="00EB1636"/>
    <w:rsid w:val="00EB204E"/>
    <w:rsid w:val="00EB21F8"/>
    <w:rsid w:val="00EB2513"/>
    <w:rsid w:val="00EB26DC"/>
    <w:rsid w:val="00EB2751"/>
    <w:rsid w:val="00EB27A3"/>
    <w:rsid w:val="00EB27BF"/>
    <w:rsid w:val="00EB27D3"/>
    <w:rsid w:val="00EB293F"/>
    <w:rsid w:val="00EB2A28"/>
    <w:rsid w:val="00EB2DF9"/>
    <w:rsid w:val="00EB2E7B"/>
    <w:rsid w:val="00EB2FD8"/>
    <w:rsid w:val="00EB3060"/>
    <w:rsid w:val="00EB318A"/>
    <w:rsid w:val="00EB319E"/>
    <w:rsid w:val="00EB31EE"/>
    <w:rsid w:val="00EB343C"/>
    <w:rsid w:val="00EB35C2"/>
    <w:rsid w:val="00EB397E"/>
    <w:rsid w:val="00EB3CD0"/>
    <w:rsid w:val="00EB3E24"/>
    <w:rsid w:val="00EB3E45"/>
    <w:rsid w:val="00EB3EE3"/>
    <w:rsid w:val="00EB3F9F"/>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763"/>
    <w:rsid w:val="00EB58A0"/>
    <w:rsid w:val="00EB5BD5"/>
    <w:rsid w:val="00EB5EAC"/>
    <w:rsid w:val="00EB5F45"/>
    <w:rsid w:val="00EB61A0"/>
    <w:rsid w:val="00EB6872"/>
    <w:rsid w:val="00EB6CFB"/>
    <w:rsid w:val="00EB6D6E"/>
    <w:rsid w:val="00EB6D94"/>
    <w:rsid w:val="00EB7226"/>
    <w:rsid w:val="00EB74C1"/>
    <w:rsid w:val="00EB75B8"/>
    <w:rsid w:val="00EB770C"/>
    <w:rsid w:val="00EB7891"/>
    <w:rsid w:val="00EB7A91"/>
    <w:rsid w:val="00EB7B29"/>
    <w:rsid w:val="00EB7C3D"/>
    <w:rsid w:val="00EB7D39"/>
    <w:rsid w:val="00EB7DF2"/>
    <w:rsid w:val="00EB7E37"/>
    <w:rsid w:val="00EC002D"/>
    <w:rsid w:val="00EC00C7"/>
    <w:rsid w:val="00EC01E9"/>
    <w:rsid w:val="00EC046E"/>
    <w:rsid w:val="00EC066F"/>
    <w:rsid w:val="00EC06A4"/>
    <w:rsid w:val="00EC077E"/>
    <w:rsid w:val="00EC0801"/>
    <w:rsid w:val="00EC1046"/>
    <w:rsid w:val="00EC10C6"/>
    <w:rsid w:val="00EC10E0"/>
    <w:rsid w:val="00EC1494"/>
    <w:rsid w:val="00EC1572"/>
    <w:rsid w:val="00EC158A"/>
    <w:rsid w:val="00EC1743"/>
    <w:rsid w:val="00EC17D1"/>
    <w:rsid w:val="00EC1993"/>
    <w:rsid w:val="00EC19AE"/>
    <w:rsid w:val="00EC1EE6"/>
    <w:rsid w:val="00EC1F24"/>
    <w:rsid w:val="00EC2123"/>
    <w:rsid w:val="00EC2364"/>
    <w:rsid w:val="00EC25F1"/>
    <w:rsid w:val="00EC266E"/>
    <w:rsid w:val="00EC29CF"/>
    <w:rsid w:val="00EC2C48"/>
    <w:rsid w:val="00EC306F"/>
    <w:rsid w:val="00EC3331"/>
    <w:rsid w:val="00EC335F"/>
    <w:rsid w:val="00EC3558"/>
    <w:rsid w:val="00EC3844"/>
    <w:rsid w:val="00EC3950"/>
    <w:rsid w:val="00EC39E7"/>
    <w:rsid w:val="00EC3C0B"/>
    <w:rsid w:val="00EC3D70"/>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6082"/>
    <w:rsid w:val="00EC6156"/>
    <w:rsid w:val="00EC63F4"/>
    <w:rsid w:val="00EC6502"/>
    <w:rsid w:val="00EC655B"/>
    <w:rsid w:val="00EC67F3"/>
    <w:rsid w:val="00EC6863"/>
    <w:rsid w:val="00EC696F"/>
    <w:rsid w:val="00EC6B90"/>
    <w:rsid w:val="00EC6BF8"/>
    <w:rsid w:val="00EC6C3E"/>
    <w:rsid w:val="00EC6DE6"/>
    <w:rsid w:val="00EC6F7B"/>
    <w:rsid w:val="00EC7099"/>
    <w:rsid w:val="00EC730A"/>
    <w:rsid w:val="00EC770C"/>
    <w:rsid w:val="00EC7AC9"/>
    <w:rsid w:val="00EC7B42"/>
    <w:rsid w:val="00EC7C29"/>
    <w:rsid w:val="00EC7D83"/>
    <w:rsid w:val="00EC7DBC"/>
    <w:rsid w:val="00EC7ECF"/>
    <w:rsid w:val="00ED009A"/>
    <w:rsid w:val="00ED00D7"/>
    <w:rsid w:val="00ED0189"/>
    <w:rsid w:val="00ED01C6"/>
    <w:rsid w:val="00ED0202"/>
    <w:rsid w:val="00ED041A"/>
    <w:rsid w:val="00ED04F6"/>
    <w:rsid w:val="00ED05A7"/>
    <w:rsid w:val="00ED0B8A"/>
    <w:rsid w:val="00ED0D0D"/>
    <w:rsid w:val="00ED0DB7"/>
    <w:rsid w:val="00ED0E59"/>
    <w:rsid w:val="00ED0F72"/>
    <w:rsid w:val="00ED1050"/>
    <w:rsid w:val="00ED10F0"/>
    <w:rsid w:val="00ED11FD"/>
    <w:rsid w:val="00ED12FF"/>
    <w:rsid w:val="00ED15F6"/>
    <w:rsid w:val="00ED1687"/>
    <w:rsid w:val="00ED16CF"/>
    <w:rsid w:val="00ED187E"/>
    <w:rsid w:val="00ED2146"/>
    <w:rsid w:val="00ED21DF"/>
    <w:rsid w:val="00ED2759"/>
    <w:rsid w:val="00ED2DCB"/>
    <w:rsid w:val="00ED3131"/>
    <w:rsid w:val="00ED34D6"/>
    <w:rsid w:val="00ED34DA"/>
    <w:rsid w:val="00ED3555"/>
    <w:rsid w:val="00ED358B"/>
    <w:rsid w:val="00ED386C"/>
    <w:rsid w:val="00ED388D"/>
    <w:rsid w:val="00ED3F2C"/>
    <w:rsid w:val="00ED3FDF"/>
    <w:rsid w:val="00ED444C"/>
    <w:rsid w:val="00ED46BE"/>
    <w:rsid w:val="00ED4813"/>
    <w:rsid w:val="00ED4861"/>
    <w:rsid w:val="00ED48C7"/>
    <w:rsid w:val="00ED4AD4"/>
    <w:rsid w:val="00ED4D82"/>
    <w:rsid w:val="00ED4E49"/>
    <w:rsid w:val="00ED5054"/>
    <w:rsid w:val="00ED527B"/>
    <w:rsid w:val="00ED531F"/>
    <w:rsid w:val="00ED5489"/>
    <w:rsid w:val="00ED5619"/>
    <w:rsid w:val="00ED58A4"/>
    <w:rsid w:val="00ED5955"/>
    <w:rsid w:val="00ED5C2E"/>
    <w:rsid w:val="00ED6057"/>
    <w:rsid w:val="00ED6102"/>
    <w:rsid w:val="00ED612A"/>
    <w:rsid w:val="00ED64C8"/>
    <w:rsid w:val="00ED67AC"/>
    <w:rsid w:val="00ED67D5"/>
    <w:rsid w:val="00ED68E4"/>
    <w:rsid w:val="00ED6A48"/>
    <w:rsid w:val="00ED6E81"/>
    <w:rsid w:val="00ED7019"/>
    <w:rsid w:val="00ED7599"/>
    <w:rsid w:val="00ED7626"/>
    <w:rsid w:val="00ED7B25"/>
    <w:rsid w:val="00ED7B82"/>
    <w:rsid w:val="00ED7E88"/>
    <w:rsid w:val="00ED7ED4"/>
    <w:rsid w:val="00EE0203"/>
    <w:rsid w:val="00EE021A"/>
    <w:rsid w:val="00EE02AA"/>
    <w:rsid w:val="00EE03D2"/>
    <w:rsid w:val="00EE08D8"/>
    <w:rsid w:val="00EE0949"/>
    <w:rsid w:val="00EE09CC"/>
    <w:rsid w:val="00EE0A9A"/>
    <w:rsid w:val="00EE0BFC"/>
    <w:rsid w:val="00EE0C0F"/>
    <w:rsid w:val="00EE0DE3"/>
    <w:rsid w:val="00EE0FB2"/>
    <w:rsid w:val="00EE124F"/>
    <w:rsid w:val="00EE1298"/>
    <w:rsid w:val="00EE1498"/>
    <w:rsid w:val="00EE18CA"/>
    <w:rsid w:val="00EE1AB9"/>
    <w:rsid w:val="00EE1D80"/>
    <w:rsid w:val="00EE1E3E"/>
    <w:rsid w:val="00EE2314"/>
    <w:rsid w:val="00EE244C"/>
    <w:rsid w:val="00EE244E"/>
    <w:rsid w:val="00EE25AA"/>
    <w:rsid w:val="00EE25CE"/>
    <w:rsid w:val="00EE2991"/>
    <w:rsid w:val="00EE2A50"/>
    <w:rsid w:val="00EE2D64"/>
    <w:rsid w:val="00EE2EE9"/>
    <w:rsid w:val="00EE2F25"/>
    <w:rsid w:val="00EE31C3"/>
    <w:rsid w:val="00EE3797"/>
    <w:rsid w:val="00EE380A"/>
    <w:rsid w:val="00EE3994"/>
    <w:rsid w:val="00EE39E6"/>
    <w:rsid w:val="00EE3B63"/>
    <w:rsid w:val="00EE3B76"/>
    <w:rsid w:val="00EE3C77"/>
    <w:rsid w:val="00EE3C8B"/>
    <w:rsid w:val="00EE3F3E"/>
    <w:rsid w:val="00EE41F2"/>
    <w:rsid w:val="00EE452B"/>
    <w:rsid w:val="00EE4A17"/>
    <w:rsid w:val="00EE4A2C"/>
    <w:rsid w:val="00EE4C46"/>
    <w:rsid w:val="00EE4CA5"/>
    <w:rsid w:val="00EE4E37"/>
    <w:rsid w:val="00EE52B7"/>
    <w:rsid w:val="00EE534C"/>
    <w:rsid w:val="00EE5677"/>
    <w:rsid w:val="00EE5806"/>
    <w:rsid w:val="00EE5B34"/>
    <w:rsid w:val="00EE5BAF"/>
    <w:rsid w:val="00EE5EAF"/>
    <w:rsid w:val="00EE6104"/>
    <w:rsid w:val="00EE6500"/>
    <w:rsid w:val="00EE6984"/>
    <w:rsid w:val="00EE69A4"/>
    <w:rsid w:val="00EE6C8E"/>
    <w:rsid w:val="00EE71D1"/>
    <w:rsid w:val="00EE7277"/>
    <w:rsid w:val="00EE7804"/>
    <w:rsid w:val="00EE78C0"/>
    <w:rsid w:val="00EE7A4F"/>
    <w:rsid w:val="00EE7C07"/>
    <w:rsid w:val="00EE7D09"/>
    <w:rsid w:val="00EE7D7C"/>
    <w:rsid w:val="00EE7EE6"/>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B04"/>
    <w:rsid w:val="00EF1B14"/>
    <w:rsid w:val="00EF1C9B"/>
    <w:rsid w:val="00EF2956"/>
    <w:rsid w:val="00EF2CC5"/>
    <w:rsid w:val="00EF2EEA"/>
    <w:rsid w:val="00EF2FF5"/>
    <w:rsid w:val="00EF32EF"/>
    <w:rsid w:val="00EF3821"/>
    <w:rsid w:val="00EF3AFF"/>
    <w:rsid w:val="00EF3C24"/>
    <w:rsid w:val="00EF3F75"/>
    <w:rsid w:val="00EF3FAA"/>
    <w:rsid w:val="00EF4185"/>
    <w:rsid w:val="00EF421E"/>
    <w:rsid w:val="00EF4329"/>
    <w:rsid w:val="00EF438F"/>
    <w:rsid w:val="00EF4717"/>
    <w:rsid w:val="00EF4A02"/>
    <w:rsid w:val="00EF4CC9"/>
    <w:rsid w:val="00EF4CD2"/>
    <w:rsid w:val="00EF4E7D"/>
    <w:rsid w:val="00EF4FE3"/>
    <w:rsid w:val="00EF5016"/>
    <w:rsid w:val="00EF51F9"/>
    <w:rsid w:val="00EF565C"/>
    <w:rsid w:val="00EF58B7"/>
    <w:rsid w:val="00EF5AD7"/>
    <w:rsid w:val="00EF5BE3"/>
    <w:rsid w:val="00EF5C38"/>
    <w:rsid w:val="00EF61A4"/>
    <w:rsid w:val="00EF63E3"/>
    <w:rsid w:val="00EF6455"/>
    <w:rsid w:val="00EF68A7"/>
    <w:rsid w:val="00EF6ABC"/>
    <w:rsid w:val="00EF6BFE"/>
    <w:rsid w:val="00EF6D90"/>
    <w:rsid w:val="00EF6D9B"/>
    <w:rsid w:val="00EF72FD"/>
    <w:rsid w:val="00EF7525"/>
    <w:rsid w:val="00EF7561"/>
    <w:rsid w:val="00EF7703"/>
    <w:rsid w:val="00EF77B9"/>
    <w:rsid w:val="00EF7BEC"/>
    <w:rsid w:val="00EF7D5D"/>
    <w:rsid w:val="00F001AC"/>
    <w:rsid w:val="00F00459"/>
    <w:rsid w:val="00F0058E"/>
    <w:rsid w:val="00F00730"/>
    <w:rsid w:val="00F007FE"/>
    <w:rsid w:val="00F0089D"/>
    <w:rsid w:val="00F00956"/>
    <w:rsid w:val="00F0099B"/>
    <w:rsid w:val="00F00CB6"/>
    <w:rsid w:val="00F00CBB"/>
    <w:rsid w:val="00F011F7"/>
    <w:rsid w:val="00F01261"/>
    <w:rsid w:val="00F01351"/>
    <w:rsid w:val="00F01402"/>
    <w:rsid w:val="00F01406"/>
    <w:rsid w:val="00F014AF"/>
    <w:rsid w:val="00F016D4"/>
    <w:rsid w:val="00F019E0"/>
    <w:rsid w:val="00F019EA"/>
    <w:rsid w:val="00F01A6E"/>
    <w:rsid w:val="00F01BAB"/>
    <w:rsid w:val="00F020E4"/>
    <w:rsid w:val="00F02245"/>
    <w:rsid w:val="00F025AA"/>
    <w:rsid w:val="00F026AE"/>
    <w:rsid w:val="00F02AB2"/>
    <w:rsid w:val="00F0318A"/>
    <w:rsid w:val="00F031B7"/>
    <w:rsid w:val="00F031C4"/>
    <w:rsid w:val="00F03216"/>
    <w:rsid w:val="00F033CD"/>
    <w:rsid w:val="00F0365D"/>
    <w:rsid w:val="00F0374B"/>
    <w:rsid w:val="00F03857"/>
    <w:rsid w:val="00F03A2D"/>
    <w:rsid w:val="00F03B04"/>
    <w:rsid w:val="00F03B46"/>
    <w:rsid w:val="00F03CEB"/>
    <w:rsid w:val="00F03F20"/>
    <w:rsid w:val="00F040AE"/>
    <w:rsid w:val="00F0427C"/>
    <w:rsid w:val="00F0439A"/>
    <w:rsid w:val="00F04461"/>
    <w:rsid w:val="00F04703"/>
    <w:rsid w:val="00F049DD"/>
    <w:rsid w:val="00F04B5B"/>
    <w:rsid w:val="00F0507E"/>
    <w:rsid w:val="00F05190"/>
    <w:rsid w:val="00F054D8"/>
    <w:rsid w:val="00F0559B"/>
    <w:rsid w:val="00F0561B"/>
    <w:rsid w:val="00F05789"/>
    <w:rsid w:val="00F05BA9"/>
    <w:rsid w:val="00F06199"/>
    <w:rsid w:val="00F06919"/>
    <w:rsid w:val="00F06A73"/>
    <w:rsid w:val="00F06B95"/>
    <w:rsid w:val="00F06DA4"/>
    <w:rsid w:val="00F07D4F"/>
    <w:rsid w:val="00F07DC2"/>
    <w:rsid w:val="00F07F24"/>
    <w:rsid w:val="00F07F33"/>
    <w:rsid w:val="00F10609"/>
    <w:rsid w:val="00F10634"/>
    <w:rsid w:val="00F1090C"/>
    <w:rsid w:val="00F10AE7"/>
    <w:rsid w:val="00F1100F"/>
    <w:rsid w:val="00F11146"/>
    <w:rsid w:val="00F1124B"/>
    <w:rsid w:val="00F112E7"/>
    <w:rsid w:val="00F11529"/>
    <w:rsid w:val="00F11641"/>
    <w:rsid w:val="00F11664"/>
    <w:rsid w:val="00F118D2"/>
    <w:rsid w:val="00F11A2B"/>
    <w:rsid w:val="00F11C1D"/>
    <w:rsid w:val="00F11DB5"/>
    <w:rsid w:val="00F11EA8"/>
    <w:rsid w:val="00F120BE"/>
    <w:rsid w:val="00F12108"/>
    <w:rsid w:val="00F12232"/>
    <w:rsid w:val="00F1251D"/>
    <w:rsid w:val="00F12573"/>
    <w:rsid w:val="00F1271F"/>
    <w:rsid w:val="00F1282A"/>
    <w:rsid w:val="00F128EA"/>
    <w:rsid w:val="00F129B9"/>
    <w:rsid w:val="00F12AD0"/>
    <w:rsid w:val="00F12D67"/>
    <w:rsid w:val="00F12FEA"/>
    <w:rsid w:val="00F1326D"/>
    <w:rsid w:val="00F136C1"/>
    <w:rsid w:val="00F13765"/>
    <w:rsid w:val="00F13806"/>
    <w:rsid w:val="00F13991"/>
    <w:rsid w:val="00F139DC"/>
    <w:rsid w:val="00F13E1C"/>
    <w:rsid w:val="00F14006"/>
    <w:rsid w:val="00F1400E"/>
    <w:rsid w:val="00F140AD"/>
    <w:rsid w:val="00F1429C"/>
    <w:rsid w:val="00F142D6"/>
    <w:rsid w:val="00F14B2E"/>
    <w:rsid w:val="00F14B4F"/>
    <w:rsid w:val="00F14FEB"/>
    <w:rsid w:val="00F151EF"/>
    <w:rsid w:val="00F15316"/>
    <w:rsid w:val="00F1533D"/>
    <w:rsid w:val="00F154A2"/>
    <w:rsid w:val="00F1558F"/>
    <w:rsid w:val="00F1573F"/>
    <w:rsid w:val="00F15786"/>
    <w:rsid w:val="00F15861"/>
    <w:rsid w:val="00F15B02"/>
    <w:rsid w:val="00F15C51"/>
    <w:rsid w:val="00F15C99"/>
    <w:rsid w:val="00F15FE6"/>
    <w:rsid w:val="00F1615C"/>
    <w:rsid w:val="00F16225"/>
    <w:rsid w:val="00F163F1"/>
    <w:rsid w:val="00F1648F"/>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3A2"/>
    <w:rsid w:val="00F214D2"/>
    <w:rsid w:val="00F218CD"/>
    <w:rsid w:val="00F21AD9"/>
    <w:rsid w:val="00F21B36"/>
    <w:rsid w:val="00F21EDD"/>
    <w:rsid w:val="00F22402"/>
    <w:rsid w:val="00F22431"/>
    <w:rsid w:val="00F22779"/>
    <w:rsid w:val="00F22A1B"/>
    <w:rsid w:val="00F22A4F"/>
    <w:rsid w:val="00F22BA1"/>
    <w:rsid w:val="00F22D0B"/>
    <w:rsid w:val="00F22F8E"/>
    <w:rsid w:val="00F230B6"/>
    <w:rsid w:val="00F231F6"/>
    <w:rsid w:val="00F23224"/>
    <w:rsid w:val="00F234A1"/>
    <w:rsid w:val="00F234F2"/>
    <w:rsid w:val="00F23753"/>
    <w:rsid w:val="00F237F4"/>
    <w:rsid w:val="00F2398D"/>
    <w:rsid w:val="00F23B3F"/>
    <w:rsid w:val="00F23EB1"/>
    <w:rsid w:val="00F242C5"/>
    <w:rsid w:val="00F245D5"/>
    <w:rsid w:val="00F24667"/>
    <w:rsid w:val="00F2478B"/>
    <w:rsid w:val="00F249AD"/>
    <w:rsid w:val="00F24A05"/>
    <w:rsid w:val="00F24E55"/>
    <w:rsid w:val="00F24EF4"/>
    <w:rsid w:val="00F25063"/>
    <w:rsid w:val="00F250A4"/>
    <w:rsid w:val="00F25172"/>
    <w:rsid w:val="00F251F3"/>
    <w:rsid w:val="00F25251"/>
    <w:rsid w:val="00F2536A"/>
    <w:rsid w:val="00F2537F"/>
    <w:rsid w:val="00F2546E"/>
    <w:rsid w:val="00F25C6C"/>
    <w:rsid w:val="00F26066"/>
    <w:rsid w:val="00F26125"/>
    <w:rsid w:val="00F261FB"/>
    <w:rsid w:val="00F2622B"/>
    <w:rsid w:val="00F262C1"/>
    <w:rsid w:val="00F26423"/>
    <w:rsid w:val="00F2650D"/>
    <w:rsid w:val="00F26A49"/>
    <w:rsid w:val="00F26BA5"/>
    <w:rsid w:val="00F26CF1"/>
    <w:rsid w:val="00F26FC4"/>
    <w:rsid w:val="00F2785A"/>
    <w:rsid w:val="00F279DD"/>
    <w:rsid w:val="00F27D20"/>
    <w:rsid w:val="00F27DCE"/>
    <w:rsid w:val="00F300C2"/>
    <w:rsid w:val="00F307F2"/>
    <w:rsid w:val="00F308EE"/>
    <w:rsid w:val="00F30BC5"/>
    <w:rsid w:val="00F30BEF"/>
    <w:rsid w:val="00F310B4"/>
    <w:rsid w:val="00F31185"/>
    <w:rsid w:val="00F3124C"/>
    <w:rsid w:val="00F31511"/>
    <w:rsid w:val="00F317F5"/>
    <w:rsid w:val="00F31B00"/>
    <w:rsid w:val="00F31B12"/>
    <w:rsid w:val="00F31BA5"/>
    <w:rsid w:val="00F31CE6"/>
    <w:rsid w:val="00F31EE4"/>
    <w:rsid w:val="00F32644"/>
    <w:rsid w:val="00F32948"/>
    <w:rsid w:val="00F32981"/>
    <w:rsid w:val="00F32A9F"/>
    <w:rsid w:val="00F32D78"/>
    <w:rsid w:val="00F3322C"/>
    <w:rsid w:val="00F332A7"/>
    <w:rsid w:val="00F33455"/>
    <w:rsid w:val="00F3347C"/>
    <w:rsid w:val="00F334B5"/>
    <w:rsid w:val="00F33659"/>
    <w:rsid w:val="00F33822"/>
    <w:rsid w:val="00F33C9E"/>
    <w:rsid w:val="00F3425B"/>
    <w:rsid w:val="00F3474F"/>
    <w:rsid w:val="00F34A4B"/>
    <w:rsid w:val="00F34BD2"/>
    <w:rsid w:val="00F34C8C"/>
    <w:rsid w:val="00F34EAC"/>
    <w:rsid w:val="00F34EE3"/>
    <w:rsid w:val="00F3511E"/>
    <w:rsid w:val="00F352F9"/>
    <w:rsid w:val="00F353BF"/>
    <w:rsid w:val="00F356B2"/>
    <w:rsid w:val="00F3575A"/>
    <w:rsid w:val="00F35892"/>
    <w:rsid w:val="00F35E57"/>
    <w:rsid w:val="00F3609A"/>
    <w:rsid w:val="00F363BA"/>
    <w:rsid w:val="00F36520"/>
    <w:rsid w:val="00F3653E"/>
    <w:rsid w:val="00F3654E"/>
    <w:rsid w:val="00F36E70"/>
    <w:rsid w:val="00F37085"/>
    <w:rsid w:val="00F37181"/>
    <w:rsid w:val="00F372F6"/>
    <w:rsid w:val="00F373F7"/>
    <w:rsid w:val="00F37425"/>
    <w:rsid w:val="00F3742D"/>
    <w:rsid w:val="00F374C7"/>
    <w:rsid w:val="00F37ABA"/>
    <w:rsid w:val="00F37C40"/>
    <w:rsid w:val="00F37CA7"/>
    <w:rsid w:val="00F37CB0"/>
    <w:rsid w:val="00F37D4B"/>
    <w:rsid w:val="00F37E74"/>
    <w:rsid w:val="00F37FF9"/>
    <w:rsid w:val="00F4016F"/>
    <w:rsid w:val="00F402AB"/>
    <w:rsid w:val="00F4056B"/>
    <w:rsid w:val="00F4063C"/>
    <w:rsid w:val="00F4082D"/>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4172"/>
    <w:rsid w:val="00F44521"/>
    <w:rsid w:val="00F445DC"/>
    <w:rsid w:val="00F445FB"/>
    <w:rsid w:val="00F447F0"/>
    <w:rsid w:val="00F44818"/>
    <w:rsid w:val="00F44C27"/>
    <w:rsid w:val="00F44CD6"/>
    <w:rsid w:val="00F44D4F"/>
    <w:rsid w:val="00F4528E"/>
    <w:rsid w:val="00F454A8"/>
    <w:rsid w:val="00F454C0"/>
    <w:rsid w:val="00F460E8"/>
    <w:rsid w:val="00F461BD"/>
    <w:rsid w:val="00F46492"/>
    <w:rsid w:val="00F465A7"/>
    <w:rsid w:val="00F46651"/>
    <w:rsid w:val="00F466C9"/>
    <w:rsid w:val="00F467C3"/>
    <w:rsid w:val="00F467EF"/>
    <w:rsid w:val="00F468A2"/>
    <w:rsid w:val="00F46AD7"/>
    <w:rsid w:val="00F46D23"/>
    <w:rsid w:val="00F46E73"/>
    <w:rsid w:val="00F46E8D"/>
    <w:rsid w:val="00F46EE7"/>
    <w:rsid w:val="00F46EF9"/>
    <w:rsid w:val="00F47018"/>
    <w:rsid w:val="00F474D3"/>
    <w:rsid w:val="00F47C76"/>
    <w:rsid w:val="00F47DA7"/>
    <w:rsid w:val="00F47EE0"/>
    <w:rsid w:val="00F47F65"/>
    <w:rsid w:val="00F500DE"/>
    <w:rsid w:val="00F50264"/>
    <w:rsid w:val="00F50293"/>
    <w:rsid w:val="00F50ADA"/>
    <w:rsid w:val="00F50CB4"/>
    <w:rsid w:val="00F50D1E"/>
    <w:rsid w:val="00F5116C"/>
    <w:rsid w:val="00F513CD"/>
    <w:rsid w:val="00F515D2"/>
    <w:rsid w:val="00F51915"/>
    <w:rsid w:val="00F51B80"/>
    <w:rsid w:val="00F51B96"/>
    <w:rsid w:val="00F524C4"/>
    <w:rsid w:val="00F52537"/>
    <w:rsid w:val="00F525B4"/>
    <w:rsid w:val="00F5286F"/>
    <w:rsid w:val="00F528A3"/>
    <w:rsid w:val="00F52A68"/>
    <w:rsid w:val="00F52BE5"/>
    <w:rsid w:val="00F52F59"/>
    <w:rsid w:val="00F530A7"/>
    <w:rsid w:val="00F53112"/>
    <w:rsid w:val="00F531C0"/>
    <w:rsid w:val="00F53294"/>
    <w:rsid w:val="00F532DD"/>
    <w:rsid w:val="00F533CF"/>
    <w:rsid w:val="00F533FC"/>
    <w:rsid w:val="00F534D1"/>
    <w:rsid w:val="00F536B0"/>
    <w:rsid w:val="00F5386A"/>
    <w:rsid w:val="00F538B2"/>
    <w:rsid w:val="00F538B7"/>
    <w:rsid w:val="00F53988"/>
    <w:rsid w:val="00F53A0D"/>
    <w:rsid w:val="00F53E43"/>
    <w:rsid w:val="00F540E7"/>
    <w:rsid w:val="00F54168"/>
    <w:rsid w:val="00F541CB"/>
    <w:rsid w:val="00F5424B"/>
    <w:rsid w:val="00F54349"/>
    <w:rsid w:val="00F5443E"/>
    <w:rsid w:val="00F54537"/>
    <w:rsid w:val="00F5466A"/>
    <w:rsid w:val="00F547FD"/>
    <w:rsid w:val="00F54983"/>
    <w:rsid w:val="00F54D92"/>
    <w:rsid w:val="00F54DA5"/>
    <w:rsid w:val="00F54FD4"/>
    <w:rsid w:val="00F550ED"/>
    <w:rsid w:val="00F55639"/>
    <w:rsid w:val="00F5586B"/>
    <w:rsid w:val="00F55A55"/>
    <w:rsid w:val="00F55B31"/>
    <w:rsid w:val="00F561B8"/>
    <w:rsid w:val="00F562FB"/>
    <w:rsid w:val="00F56357"/>
    <w:rsid w:val="00F5638C"/>
    <w:rsid w:val="00F563D9"/>
    <w:rsid w:val="00F56612"/>
    <w:rsid w:val="00F56875"/>
    <w:rsid w:val="00F56902"/>
    <w:rsid w:val="00F56990"/>
    <w:rsid w:val="00F569A9"/>
    <w:rsid w:val="00F56BB3"/>
    <w:rsid w:val="00F56E0C"/>
    <w:rsid w:val="00F57039"/>
    <w:rsid w:val="00F5709C"/>
    <w:rsid w:val="00F572F8"/>
    <w:rsid w:val="00F57348"/>
    <w:rsid w:val="00F57393"/>
    <w:rsid w:val="00F57583"/>
    <w:rsid w:val="00F578A7"/>
    <w:rsid w:val="00F57CD5"/>
    <w:rsid w:val="00F57E89"/>
    <w:rsid w:val="00F60209"/>
    <w:rsid w:val="00F60475"/>
    <w:rsid w:val="00F607BC"/>
    <w:rsid w:val="00F60920"/>
    <w:rsid w:val="00F60D10"/>
    <w:rsid w:val="00F60D79"/>
    <w:rsid w:val="00F61186"/>
    <w:rsid w:val="00F611F2"/>
    <w:rsid w:val="00F614F4"/>
    <w:rsid w:val="00F6150B"/>
    <w:rsid w:val="00F615A6"/>
    <w:rsid w:val="00F61691"/>
    <w:rsid w:val="00F616B3"/>
    <w:rsid w:val="00F6175B"/>
    <w:rsid w:val="00F61AF7"/>
    <w:rsid w:val="00F61BCF"/>
    <w:rsid w:val="00F61F1B"/>
    <w:rsid w:val="00F61F54"/>
    <w:rsid w:val="00F62076"/>
    <w:rsid w:val="00F621D8"/>
    <w:rsid w:val="00F62531"/>
    <w:rsid w:val="00F62698"/>
    <w:rsid w:val="00F6270C"/>
    <w:rsid w:val="00F62774"/>
    <w:rsid w:val="00F628DA"/>
    <w:rsid w:val="00F628E7"/>
    <w:rsid w:val="00F6295F"/>
    <w:rsid w:val="00F6298B"/>
    <w:rsid w:val="00F62C25"/>
    <w:rsid w:val="00F62EBC"/>
    <w:rsid w:val="00F630DF"/>
    <w:rsid w:val="00F63108"/>
    <w:rsid w:val="00F633F1"/>
    <w:rsid w:val="00F6349F"/>
    <w:rsid w:val="00F635F9"/>
    <w:rsid w:val="00F6369D"/>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DB0"/>
    <w:rsid w:val="00F65F2F"/>
    <w:rsid w:val="00F66038"/>
    <w:rsid w:val="00F660F6"/>
    <w:rsid w:val="00F661AC"/>
    <w:rsid w:val="00F66ED4"/>
    <w:rsid w:val="00F66FB8"/>
    <w:rsid w:val="00F670C8"/>
    <w:rsid w:val="00F67256"/>
    <w:rsid w:val="00F67392"/>
    <w:rsid w:val="00F674DB"/>
    <w:rsid w:val="00F67590"/>
    <w:rsid w:val="00F6772B"/>
    <w:rsid w:val="00F67A31"/>
    <w:rsid w:val="00F67D86"/>
    <w:rsid w:val="00F67E1F"/>
    <w:rsid w:val="00F67EDB"/>
    <w:rsid w:val="00F702E8"/>
    <w:rsid w:val="00F7090E"/>
    <w:rsid w:val="00F70D58"/>
    <w:rsid w:val="00F70EF1"/>
    <w:rsid w:val="00F70FAD"/>
    <w:rsid w:val="00F711AF"/>
    <w:rsid w:val="00F7120C"/>
    <w:rsid w:val="00F712EE"/>
    <w:rsid w:val="00F71383"/>
    <w:rsid w:val="00F716BF"/>
    <w:rsid w:val="00F7170C"/>
    <w:rsid w:val="00F71753"/>
    <w:rsid w:val="00F72086"/>
    <w:rsid w:val="00F721FA"/>
    <w:rsid w:val="00F7226B"/>
    <w:rsid w:val="00F7257C"/>
    <w:rsid w:val="00F728DC"/>
    <w:rsid w:val="00F72A45"/>
    <w:rsid w:val="00F72E31"/>
    <w:rsid w:val="00F73078"/>
    <w:rsid w:val="00F7342F"/>
    <w:rsid w:val="00F737C0"/>
    <w:rsid w:val="00F7384E"/>
    <w:rsid w:val="00F738A5"/>
    <w:rsid w:val="00F73A9B"/>
    <w:rsid w:val="00F73FBA"/>
    <w:rsid w:val="00F743D0"/>
    <w:rsid w:val="00F7448A"/>
    <w:rsid w:val="00F7473A"/>
    <w:rsid w:val="00F747BE"/>
    <w:rsid w:val="00F74950"/>
    <w:rsid w:val="00F749BA"/>
    <w:rsid w:val="00F74EFA"/>
    <w:rsid w:val="00F74FD2"/>
    <w:rsid w:val="00F757D2"/>
    <w:rsid w:val="00F759C3"/>
    <w:rsid w:val="00F75DBB"/>
    <w:rsid w:val="00F76182"/>
    <w:rsid w:val="00F762BC"/>
    <w:rsid w:val="00F7665A"/>
    <w:rsid w:val="00F76928"/>
    <w:rsid w:val="00F76947"/>
    <w:rsid w:val="00F76AAF"/>
    <w:rsid w:val="00F76E93"/>
    <w:rsid w:val="00F76F8A"/>
    <w:rsid w:val="00F773CE"/>
    <w:rsid w:val="00F77499"/>
    <w:rsid w:val="00F7756C"/>
    <w:rsid w:val="00F779C4"/>
    <w:rsid w:val="00F77A6C"/>
    <w:rsid w:val="00F77B43"/>
    <w:rsid w:val="00F77BBF"/>
    <w:rsid w:val="00F77BE1"/>
    <w:rsid w:val="00F77D85"/>
    <w:rsid w:val="00F77ED3"/>
    <w:rsid w:val="00F80287"/>
    <w:rsid w:val="00F802E1"/>
    <w:rsid w:val="00F80343"/>
    <w:rsid w:val="00F80500"/>
    <w:rsid w:val="00F80728"/>
    <w:rsid w:val="00F807B3"/>
    <w:rsid w:val="00F80922"/>
    <w:rsid w:val="00F80933"/>
    <w:rsid w:val="00F811D4"/>
    <w:rsid w:val="00F811DC"/>
    <w:rsid w:val="00F811DF"/>
    <w:rsid w:val="00F811F3"/>
    <w:rsid w:val="00F814C5"/>
    <w:rsid w:val="00F816C7"/>
    <w:rsid w:val="00F818F5"/>
    <w:rsid w:val="00F819E8"/>
    <w:rsid w:val="00F81C01"/>
    <w:rsid w:val="00F81DE1"/>
    <w:rsid w:val="00F81E1A"/>
    <w:rsid w:val="00F82160"/>
    <w:rsid w:val="00F826D4"/>
    <w:rsid w:val="00F826F3"/>
    <w:rsid w:val="00F82788"/>
    <w:rsid w:val="00F82807"/>
    <w:rsid w:val="00F82DFD"/>
    <w:rsid w:val="00F82E66"/>
    <w:rsid w:val="00F82EE8"/>
    <w:rsid w:val="00F82F6B"/>
    <w:rsid w:val="00F83620"/>
    <w:rsid w:val="00F8402C"/>
    <w:rsid w:val="00F840F6"/>
    <w:rsid w:val="00F841AC"/>
    <w:rsid w:val="00F84229"/>
    <w:rsid w:val="00F843A8"/>
    <w:rsid w:val="00F8467A"/>
    <w:rsid w:val="00F848E2"/>
    <w:rsid w:val="00F84A13"/>
    <w:rsid w:val="00F84A8C"/>
    <w:rsid w:val="00F84CF8"/>
    <w:rsid w:val="00F84D63"/>
    <w:rsid w:val="00F84DE9"/>
    <w:rsid w:val="00F8539A"/>
    <w:rsid w:val="00F85514"/>
    <w:rsid w:val="00F8574D"/>
    <w:rsid w:val="00F85DC9"/>
    <w:rsid w:val="00F85F1E"/>
    <w:rsid w:val="00F85FED"/>
    <w:rsid w:val="00F860AE"/>
    <w:rsid w:val="00F861F4"/>
    <w:rsid w:val="00F862B1"/>
    <w:rsid w:val="00F8636E"/>
    <w:rsid w:val="00F86837"/>
    <w:rsid w:val="00F86973"/>
    <w:rsid w:val="00F86A60"/>
    <w:rsid w:val="00F86AD2"/>
    <w:rsid w:val="00F86C85"/>
    <w:rsid w:val="00F86CF9"/>
    <w:rsid w:val="00F86E66"/>
    <w:rsid w:val="00F87590"/>
    <w:rsid w:val="00F875DF"/>
    <w:rsid w:val="00F875E0"/>
    <w:rsid w:val="00F87722"/>
    <w:rsid w:val="00F878B7"/>
    <w:rsid w:val="00F878BA"/>
    <w:rsid w:val="00F87B05"/>
    <w:rsid w:val="00F87BC6"/>
    <w:rsid w:val="00F87ED9"/>
    <w:rsid w:val="00F9094D"/>
    <w:rsid w:val="00F90952"/>
    <w:rsid w:val="00F90B92"/>
    <w:rsid w:val="00F91315"/>
    <w:rsid w:val="00F914FA"/>
    <w:rsid w:val="00F9159D"/>
    <w:rsid w:val="00F917D3"/>
    <w:rsid w:val="00F918F5"/>
    <w:rsid w:val="00F91A25"/>
    <w:rsid w:val="00F91F72"/>
    <w:rsid w:val="00F923AD"/>
    <w:rsid w:val="00F92A28"/>
    <w:rsid w:val="00F92B4C"/>
    <w:rsid w:val="00F92E24"/>
    <w:rsid w:val="00F93281"/>
    <w:rsid w:val="00F934CB"/>
    <w:rsid w:val="00F93541"/>
    <w:rsid w:val="00F9354E"/>
    <w:rsid w:val="00F936A7"/>
    <w:rsid w:val="00F9389D"/>
    <w:rsid w:val="00F939D0"/>
    <w:rsid w:val="00F93C3C"/>
    <w:rsid w:val="00F93C7F"/>
    <w:rsid w:val="00F9410B"/>
    <w:rsid w:val="00F94214"/>
    <w:rsid w:val="00F94243"/>
    <w:rsid w:val="00F943B5"/>
    <w:rsid w:val="00F94563"/>
    <w:rsid w:val="00F94D15"/>
    <w:rsid w:val="00F94D54"/>
    <w:rsid w:val="00F94D7B"/>
    <w:rsid w:val="00F94DD9"/>
    <w:rsid w:val="00F95443"/>
    <w:rsid w:val="00F95532"/>
    <w:rsid w:val="00F95639"/>
    <w:rsid w:val="00F95A22"/>
    <w:rsid w:val="00F95BC6"/>
    <w:rsid w:val="00F95C46"/>
    <w:rsid w:val="00F95E84"/>
    <w:rsid w:val="00F9644F"/>
    <w:rsid w:val="00F96A5B"/>
    <w:rsid w:val="00F96B70"/>
    <w:rsid w:val="00F96E12"/>
    <w:rsid w:val="00F96FD4"/>
    <w:rsid w:val="00F9707B"/>
    <w:rsid w:val="00F971C5"/>
    <w:rsid w:val="00F97256"/>
    <w:rsid w:val="00F97765"/>
    <w:rsid w:val="00F9787F"/>
    <w:rsid w:val="00F97953"/>
    <w:rsid w:val="00F97AE2"/>
    <w:rsid w:val="00F97C3B"/>
    <w:rsid w:val="00F97F05"/>
    <w:rsid w:val="00FA04E5"/>
    <w:rsid w:val="00FA0CFA"/>
    <w:rsid w:val="00FA10C2"/>
    <w:rsid w:val="00FA127F"/>
    <w:rsid w:val="00FA13FA"/>
    <w:rsid w:val="00FA16E6"/>
    <w:rsid w:val="00FA181C"/>
    <w:rsid w:val="00FA1B4D"/>
    <w:rsid w:val="00FA1BDF"/>
    <w:rsid w:val="00FA1E10"/>
    <w:rsid w:val="00FA1FB6"/>
    <w:rsid w:val="00FA214F"/>
    <w:rsid w:val="00FA2254"/>
    <w:rsid w:val="00FA2293"/>
    <w:rsid w:val="00FA2333"/>
    <w:rsid w:val="00FA272F"/>
    <w:rsid w:val="00FA277C"/>
    <w:rsid w:val="00FA3090"/>
    <w:rsid w:val="00FA30B6"/>
    <w:rsid w:val="00FA3264"/>
    <w:rsid w:val="00FA329E"/>
    <w:rsid w:val="00FA3306"/>
    <w:rsid w:val="00FA386C"/>
    <w:rsid w:val="00FA388F"/>
    <w:rsid w:val="00FA39DD"/>
    <w:rsid w:val="00FA3CB5"/>
    <w:rsid w:val="00FA3CDB"/>
    <w:rsid w:val="00FA4239"/>
    <w:rsid w:val="00FA4306"/>
    <w:rsid w:val="00FA4351"/>
    <w:rsid w:val="00FA43DB"/>
    <w:rsid w:val="00FA445F"/>
    <w:rsid w:val="00FA45D1"/>
    <w:rsid w:val="00FA465A"/>
    <w:rsid w:val="00FA46F9"/>
    <w:rsid w:val="00FA4B87"/>
    <w:rsid w:val="00FA4BAB"/>
    <w:rsid w:val="00FA4E8D"/>
    <w:rsid w:val="00FA4EEF"/>
    <w:rsid w:val="00FA4FE2"/>
    <w:rsid w:val="00FA53E3"/>
    <w:rsid w:val="00FA580D"/>
    <w:rsid w:val="00FA5D4E"/>
    <w:rsid w:val="00FA6163"/>
    <w:rsid w:val="00FA633B"/>
    <w:rsid w:val="00FA659E"/>
    <w:rsid w:val="00FA664D"/>
    <w:rsid w:val="00FA6688"/>
    <w:rsid w:val="00FA6A53"/>
    <w:rsid w:val="00FA6AE5"/>
    <w:rsid w:val="00FA6CFB"/>
    <w:rsid w:val="00FA6EF1"/>
    <w:rsid w:val="00FA7247"/>
    <w:rsid w:val="00FA7516"/>
    <w:rsid w:val="00FA75D0"/>
    <w:rsid w:val="00FA7871"/>
    <w:rsid w:val="00FA7AD4"/>
    <w:rsid w:val="00FA7BB8"/>
    <w:rsid w:val="00FA7CB1"/>
    <w:rsid w:val="00FA7DEF"/>
    <w:rsid w:val="00FB03B6"/>
    <w:rsid w:val="00FB063B"/>
    <w:rsid w:val="00FB063E"/>
    <w:rsid w:val="00FB0749"/>
    <w:rsid w:val="00FB0A44"/>
    <w:rsid w:val="00FB0A96"/>
    <w:rsid w:val="00FB0C75"/>
    <w:rsid w:val="00FB0DD7"/>
    <w:rsid w:val="00FB0EBF"/>
    <w:rsid w:val="00FB0F63"/>
    <w:rsid w:val="00FB103E"/>
    <w:rsid w:val="00FB11AF"/>
    <w:rsid w:val="00FB11E9"/>
    <w:rsid w:val="00FB14ED"/>
    <w:rsid w:val="00FB15BB"/>
    <w:rsid w:val="00FB17C7"/>
    <w:rsid w:val="00FB1A20"/>
    <w:rsid w:val="00FB1BBE"/>
    <w:rsid w:val="00FB1C91"/>
    <w:rsid w:val="00FB1C98"/>
    <w:rsid w:val="00FB1CB3"/>
    <w:rsid w:val="00FB1E07"/>
    <w:rsid w:val="00FB21AF"/>
    <w:rsid w:val="00FB2262"/>
    <w:rsid w:val="00FB2290"/>
    <w:rsid w:val="00FB231B"/>
    <w:rsid w:val="00FB23DB"/>
    <w:rsid w:val="00FB24A7"/>
    <w:rsid w:val="00FB24FE"/>
    <w:rsid w:val="00FB2665"/>
    <w:rsid w:val="00FB29E0"/>
    <w:rsid w:val="00FB2A92"/>
    <w:rsid w:val="00FB2DA9"/>
    <w:rsid w:val="00FB2DDC"/>
    <w:rsid w:val="00FB2F46"/>
    <w:rsid w:val="00FB330B"/>
    <w:rsid w:val="00FB3649"/>
    <w:rsid w:val="00FB36A0"/>
    <w:rsid w:val="00FB3D89"/>
    <w:rsid w:val="00FB4243"/>
    <w:rsid w:val="00FB44CA"/>
    <w:rsid w:val="00FB5189"/>
    <w:rsid w:val="00FB5282"/>
    <w:rsid w:val="00FB5361"/>
    <w:rsid w:val="00FB53E3"/>
    <w:rsid w:val="00FB5403"/>
    <w:rsid w:val="00FB55F0"/>
    <w:rsid w:val="00FB566A"/>
    <w:rsid w:val="00FB56C5"/>
    <w:rsid w:val="00FB5E41"/>
    <w:rsid w:val="00FB6021"/>
    <w:rsid w:val="00FB61C4"/>
    <w:rsid w:val="00FB637D"/>
    <w:rsid w:val="00FB65ED"/>
    <w:rsid w:val="00FB6830"/>
    <w:rsid w:val="00FB6A1A"/>
    <w:rsid w:val="00FB6B14"/>
    <w:rsid w:val="00FB6BAE"/>
    <w:rsid w:val="00FB6D47"/>
    <w:rsid w:val="00FB6DA8"/>
    <w:rsid w:val="00FB6EAD"/>
    <w:rsid w:val="00FB6EFB"/>
    <w:rsid w:val="00FB708B"/>
    <w:rsid w:val="00FB7116"/>
    <w:rsid w:val="00FB711A"/>
    <w:rsid w:val="00FB7486"/>
    <w:rsid w:val="00FB752B"/>
    <w:rsid w:val="00FB757D"/>
    <w:rsid w:val="00FB7588"/>
    <w:rsid w:val="00FB767D"/>
    <w:rsid w:val="00FB7816"/>
    <w:rsid w:val="00FB783B"/>
    <w:rsid w:val="00FB7A2B"/>
    <w:rsid w:val="00FC051D"/>
    <w:rsid w:val="00FC05D7"/>
    <w:rsid w:val="00FC0B40"/>
    <w:rsid w:val="00FC0C08"/>
    <w:rsid w:val="00FC0D68"/>
    <w:rsid w:val="00FC12B0"/>
    <w:rsid w:val="00FC1517"/>
    <w:rsid w:val="00FC16BF"/>
    <w:rsid w:val="00FC1858"/>
    <w:rsid w:val="00FC1900"/>
    <w:rsid w:val="00FC1937"/>
    <w:rsid w:val="00FC1A78"/>
    <w:rsid w:val="00FC1CC8"/>
    <w:rsid w:val="00FC1F5E"/>
    <w:rsid w:val="00FC1F95"/>
    <w:rsid w:val="00FC20E9"/>
    <w:rsid w:val="00FC2435"/>
    <w:rsid w:val="00FC24A6"/>
    <w:rsid w:val="00FC2701"/>
    <w:rsid w:val="00FC2ECF"/>
    <w:rsid w:val="00FC2EF9"/>
    <w:rsid w:val="00FC332F"/>
    <w:rsid w:val="00FC33FF"/>
    <w:rsid w:val="00FC3488"/>
    <w:rsid w:val="00FC3617"/>
    <w:rsid w:val="00FC3661"/>
    <w:rsid w:val="00FC3A39"/>
    <w:rsid w:val="00FC3AEC"/>
    <w:rsid w:val="00FC3FBC"/>
    <w:rsid w:val="00FC4A36"/>
    <w:rsid w:val="00FC4AFD"/>
    <w:rsid w:val="00FC4BBC"/>
    <w:rsid w:val="00FC4C0C"/>
    <w:rsid w:val="00FC512C"/>
    <w:rsid w:val="00FC5197"/>
    <w:rsid w:val="00FC5321"/>
    <w:rsid w:val="00FC5585"/>
    <w:rsid w:val="00FC5633"/>
    <w:rsid w:val="00FC5A77"/>
    <w:rsid w:val="00FC5D16"/>
    <w:rsid w:val="00FC619D"/>
    <w:rsid w:val="00FC61C8"/>
    <w:rsid w:val="00FC644A"/>
    <w:rsid w:val="00FC6461"/>
    <w:rsid w:val="00FC66F5"/>
    <w:rsid w:val="00FC678F"/>
    <w:rsid w:val="00FC67BC"/>
    <w:rsid w:val="00FC6833"/>
    <w:rsid w:val="00FC69BA"/>
    <w:rsid w:val="00FC6AE6"/>
    <w:rsid w:val="00FC6D71"/>
    <w:rsid w:val="00FC6ECE"/>
    <w:rsid w:val="00FC70A1"/>
    <w:rsid w:val="00FC7163"/>
    <w:rsid w:val="00FC7844"/>
    <w:rsid w:val="00FC7D4D"/>
    <w:rsid w:val="00FC7E53"/>
    <w:rsid w:val="00FC7FE3"/>
    <w:rsid w:val="00FD02D5"/>
    <w:rsid w:val="00FD043B"/>
    <w:rsid w:val="00FD0983"/>
    <w:rsid w:val="00FD0C03"/>
    <w:rsid w:val="00FD0E27"/>
    <w:rsid w:val="00FD0E2F"/>
    <w:rsid w:val="00FD0EF6"/>
    <w:rsid w:val="00FD1024"/>
    <w:rsid w:val="00FD1104"/>
    <w:rsid w:val="00FD1300"/>
    <w:rsid w:val="00FD1458"/>
    <w:rsid w:val="00FD157C"/>
    <w:rsid w:val="00FD179D"/>
    <w:rsid w:val="00FD1945"/>
    <w:rsid w:val="00FD1AD0"/>
    <w:rsid w:val="00FD1CF7"/>
    <w:rsid w:val="00FD1D2F"/>
    <w:rsid w:val="00FD1EB5"/>
    <w:rsid w:val="00FD22E2"/>
    <w:rsid w:val="00FD236F"/>
    <w:rsid w:val="00FD294E"/>
    <w:rsid w:val="00FD2FA9"/>
    <w:rsid w:val="00FD31AA"/>
    <w:rsid w:val="00FD3727"/>
    <w:rsid w:val="00FD37D9"/>
    <w:rsid w:val="00FD3958"/>
    <w:rsid w:val="00FD39F1"/>
    <w:rsid w:val="00FD435A"/>
    <w:rsid w:val="00FD45B8"/>
    <w:rsid w:val="00FD4643"/>
    <w:rsid w:val="00FD47B7"/>
    <w:rsid w:val="00FD4E0F"/>
    <w:rsid w:val="00FD4FA0"/>
    <w:rsid w:val="00FD4FDD"/>
    <w:rsid w:val="00FD5006"/>
    <w:rsid w:val="00FD51EA"/>
    <w:rsid w:val="00FD56D4"/>
    <w:rsid w:val="00FD5982"/>
    <w:rsid w:val="00FD59F8"/>
    <w:rsid w:val="00FD5B63"/>
    <w:rsid w:val="00FD5B91"/>
    <w:rsid w:val="00FD5BD3"/>
    <w:rsid w:val="00FD5D9B"/>
    <w:rsid w:val="00FD649F"/>
    <w:rsid w:val="00FD660F"/>
    <w:rsid w:val="00FD699B"/>
    <w:rsid w:val="00FD6C8A"/>
    <w:rsid w:val="00FD7033"/>
    <w:rsid w:val="00FD737E"/>
    <w:rsid w:val="00FD743B"/>
    <w:rsid w:val="00FD75A6"/>
    <w:rsid w:val="00FD7650"/>
    <w:rsid w:val="00FD7805"/>
    <w:rsid w:val="00FD7B24"/>
    <w:rsid w:val="00FD7B88"/>
    <w:rsid w:val="00FD7C8B"/>
    <w:rsid w:val="00FD7DC5"/>
    <w:rsid w:val="00FD7DCF"/>
    <w:rsid w:val="00FD7F14"/>
    <w:rsid w:val="00FD7FDF"/>
    <w:rsid w:val="00FE00AA"/>
    <w:rsid w:val="00FE03E4"/>
    <w:rsid w:val="00FE04AB"/>
    <w:rsid w:val="00FE055F"/>
    <w:rsid w:val="00FE0A0C"/>
    <w:rsid w:val="00FE0D8A"/>
    <w:rsid w:val="00FE0FCF"/>
    <w:rsid w:val="00FE0FDD"/>
    <w:rsid w:val="00FE0FE5"/>
    <w:rsid w:val="00FE119D"/>
    <w:rsid w:val="00FE151A"/>
    <w:rsid w:val="00FE160A"/>
    <w:rsid w:val="00FE184D"/>
    <w:rsid w:val="00FE184E"/>
    <w:rsid w:val="00FE187B"/>
    <w:rsid w:val="00FE1904"/>
    <w:rsid w:val="00FE19E4"/>
    <w:rsid w:val="00FE1D57"/>
    <w:rsid w:val="00FE1DF6"/>
    <w:rsid w:val="00FE20A2"/>
    <w:rsid w:val="00FE2201"/>
    <w:rsid w:val="00FE2392"/>
    <w:rsid w:val="00FE26C1"/>
    <w:rsid w:val="00FE2842"/>
    <w:rsid w:val="00FE2F7A"/>
    <w:rsid w:val="00FE30B6"/>
    <w:rsid w:val="00FE3D93"/>
    <w:rsid w:val="00FE3E5C"/>
    <w:rsid w:val="00FE3EA0"/>
    <w:rsid w:val="00FE414C"/>
    <w:rsid w:val="00FE4246"/>
    <w:rsid w:val="00FE43B0"/>
    <w:rsid w:val="00FE4415"/>
    <w:rsid w:val="00FE4653"/>
    <w:rsid w:val="00FE4832"/>
    <w:rsid w:val="00FE488D"/>
    <w:rsid w:val="00FE495D"/>
    <w:rsid w:val="00FE4A38"/>
    <w:rsid w:val="00FE4B29"/>
    <w:rsid w:val="00FE4E49"/>
    <w:rsid w:val="00FE4FFA"/>
    <w:rsid w:val="00FE522F"/>
    <w:rsid w:val="00FE5980"/>
    <w:rsid w:val="00FE5C69"/>
    <w:rsid w:val="00FE609C"/>
    <w:rsid w:val="00FE6230"/>
    <w:rsid w:val="00FE6380"/>
    <w:rsid w:val="00FE6468"/>
    <w:rsid w:val="00FE65A6"/>
    <w:rsid w:val="00FE6646"/>
    <w:rsid w:val="00FE669B"/>
    <w:rsid w:val="00FE714D"/>
    <w:rsid w:val="00FE7352"/>
    <w:rsid w:val="00FE7D6A"/>
    <w:rsid w:val="00FF018D"/>
    <w:rsid w:val="00FF01B0"/>
    <w:rsid w:val="00FF029E"/>
    <w:rsid w:val="00FF034B"/>
    <w:rsid w:val="00FF03B0"/>
    <w:rsid w:val="00FF0403"/>
    <w:rsid w:val="00FF0655"/>
    <w:rsid w:val="00FF0961"/>
    <w:rsid w:val="00FF09F9"/>
    <w:rsid w:val="00FF0C30"/>
    <w:rsid w:val="00FF1007"/>
    <w:rsid w:val="00FF122C"/>
    <w:rsid w:val="00FF13B9"/>
    <w:rsid w:val="00FF1842"/>
    <w:rsid w:val="00FF196B"/>
    <w:rsid w:val="00FF1A67"/>
    <w:rsid w:val="00FF1C8A"/>
    <w:rsid w:val="00FF21D2"/>
    <w:rsid w:val="00FF2408"/>
    <w:rsid w:val="00FF2437"/>
    <w:rsid w:val="00FF25E2"/>
    <w:rsid w:val="00FF2B84"/>
    <w:rsid w:val="00FF313B"/>
    <w:rsid w:val="00FF31A1"/>
    <w:rsid w:val="00FF34C8"/>
    <w:rsid w:val="00FF36BD"/>
    <w:rsid w:val="00FF381C"/>
    <w:rsid w:val="00FF3A8F"/>
    <w:rsid w:val="00FF3B13"/>
    <w:rsid w:val="00FF3B76"/>
    <w:rsid w:val="00FF3CCA"/>
    <w:rsid w:val="00FF4083"/>
    <w:rsid w:val="00FF41EC"/>
    <w:rsid w:val="00FF43EE"/>
    <w:rsid w:val="00FF48E6"/>
    <w:rsid w:val="00FF4ACE"/>
    <w:rsid w:val="00FF4B29"/>
    <w:rsid w:val="00FF4B4F"/>
    <w:rsid w:val="00FF4D99"/>
    <w:rsid w:val="00FF4DA1"/>
    <w:rsid w:val="00FF5225"/>
    <w:rsid w:val="00FF5450"/>
    <w:rsid w:val="00FF5C14"/>
    <w:rsid w:val="00FF5FA3"/>
    <w:rsid w:val="00FF5FF1"/>
    <w:rsid w:val="00FF6005"/>
    <w:rsid w:val="00FF613D"/>
    <w:rsid w:val="00FF6189"/>
    <w:rsid w:val="00FF63FC"/>
    <w:rsid w:val="00FF651C"/>
    <w:rsid w:val="00FF677B"/>
    <w:rsid w:val="00FF6916"/>
    <w:rsid w:val="00FF6982"/>
    <w:rsid w:val="00FF6A2B"/>
    <w:rsid w:val="00FF6C1C"/>
    <w:rsid w:val="00FF6C35"/>
    <w:rsid w:val="00FF7060"/>
    <w:rsid w:val="00FF7636"/>
    <w:rsid w:val="00FF765F"/>
    <w:rsid w:val="00FF76D1"/>
    <w:rsid w:val="00FF7989"/>
    <w:rsid w:val="00FF7AEC"/>
    <w:rsid w:val="00FF7D03"/>
    <w:rsid w:val="014C68D7"/>
    <w:rsid w:val="01604217"/>
    <w:rsid w:val="01804A4C"/>
    <w:rsid w:val="01F7A115"/>
    <w:rsid w:val="01FA5805"/>
    <w:rsid w:val="02736662"/>
    <w:rsid w:val="02CF7A3A"/>
    <w:rsid w:val="02D85BF6"/>
    <w:rsid w:val="03252F4A"/>
    <w:rsid w:val="04447FB3"/>
    <w:rsid w:val="0470002E"/>
    <w:rsid w:val="04B360C1"/>
    <w:rsid w:val="055D6732"/>
    <w:rsid w:val="05AC22B4"/>
    <w:rsid w:val="0613161F"/>
    <w:rsid w:val="06C55A58"/>
    <w:rsid w:val="06CB35C4"/>
    <w:rsid w:val="0709089A"/>
    <w:rsid w:val="077D4340"/>
    <w:rsid w:val="07A47FA9"/>
    <w:rsid w:val="07B02DFC"/>
    <w:rsid w:val="081F1221"/>
    <w:rsid w:val="08C33600"/>
    <w:rsid w:val="08C54059"/>
    <w:rsid w:val="09B86599"/>
    <w:rsid w:val="09C92B54"/>
    <w:rsid w:val="0B401717"/>
    <w:rsid w:val="0B660C1A"/>
    <w:rsid w:val="0BE43E2A"/>
    <w:rsid w:val="0BE65DF4"/>
    <w:rsid w:val="0BE86EEE"/>
    <w:rsid w:val="0C10505A"/>
    <w:rsid w:val="0CDF2F6F"/>
    <w:rsid w:val="0CE916F8"/>
    <w:rsid w:val="0D480CF4"/>
    <w:rsid w:val="0DC900F6"/>
    <w:rsid w:val="0EF97BEC"/>
    <w:rsid w:val="0FAA561B"/>
    <w:rsid w:val="0FDF5034"/>
    <w:rsid w:val="0FE97C77"/>
    <w:rsid w:val="11121A54"/>
    <w:rsid w:val="12CB18A0"/>
    <w:rsid w:val="13B96E17"/>
    <w:rsid w:val="13D051BB"/>
    <w:rsid w:val="14243948"/>
    <w:rsid w:val="142D7C09"/>
    <w:rsid w:val="14870AD5"/>
    <w:rsid w:val="14933A29"/>
    <w:rsid w:val="14EB5D5E"/>
    <w:rsid w:val="14F440C8"/>
    <w:rsid w:val="16125DAF"/>
    <w:rsid w:val="1701199D"/>
    <w:rsid w:val="1712445D"/>
    <w:rsid w:val="17F93E0B"/>
    <w:rsid w:val="18543A51"/>
    <w:rsid w:val="18722EE9"/>
    <w:rsid w:val="198C2545"/>
    <w:rsid w:val="19A021A3"/>
    <w:rsid w:val="1A9058A9"/>
    <w:rsid w:val="1AB01F69"/>
    <w:rsid w:val="1B4C29A5"/>
    <w:rsid w:val="1B5A57C5"/>
    <w:rsid w:val="1B765C09"/>
    <w:rsid w:val="1C455CA5"/>
    <w:rsid w:val="1C675A41"/>
    <w:rsid w:val="1D2C69D2"/>
    <w:rsid w:val="1D455371"/>
    <w:rsid w:val="1DBB18AB"/>
    <w:rsid w:val="1E55685F"/>
    <w:rsid w:val="1EAA1060"/>
    <w:rsid w:val="1EB32C36"/>
    <w:rsid w:val="1F762FC2"/>
    <w:rsid w:val="20250979"/>
    <w:rsid w:val="2039750C"/>
    <w:rsid w:val="21637D6D"/>
    <w:rsid w:val="21A319E8"/>
    <w:rsid w:val="21D32722"/>
    <w:rsid w:val="22A21A30"/>
    <w:rsid w:val="22C57048"/>
    <w:rsid w:val="239E00B4"/>
    <w:rsid w:val="23BE3576"/>
    <w:rsid w:val="243B2FEE"/>
    <w:rsid w:val="250C37AD"/>
    <w:rsid w:val="251E74A4"/>
    <w:rsid w:val="2593318B"/>
    <w:rsid w:val="25C3437A"/>
    <w:rsid w:val="25E15AE3"/>
    <w:rsid w:val="265C2AE3"/>
    <w:rsid w:val="267267AA"/>
    <w:rsid w:val="26A42060"/>
    <w:rsid w:val="273A295D"/>
    <w:rsid w:val="27843CE5"/>
    <w:rsid w:val="27FD4705"/>
    <w:rsid w:val="28235435"/>
    <w:rsid w:val="28470060"/>
    <w:rsid w:val="28FC3596"/>
    <w:rsid w:val="29AA30DA"/>
    <w:rsid w:val="2A57134C"/>
    <w:rsid w:val="2B5B5B5C"/>
    <w:rsid w:val="2BEDCB12"/>
    <w:rsid w:val="2C4810FA"/>
    <w:rsid w:val="2C490EDD"/>
    <w:rsid w:val="2D366BBC"/>
    <w:rsid w:val="2D762922"/>
    <w:rsid w:val="2ECC1C8B"/>
    <w:rsid w:val="2EDE27BE"/>
    <w:rsid w:val="2EFE08A5"/>
    <w:rsid w:val="2FCB5706"/>
    <w:rsid w:val="2FCD06EB"/>
    <w:rsid w:val="2FCD5C0E"/>
    <w:rsid w:val="3008040D"/>
    <w:rsid w:val="300C0750"/>
    <w:rsid w:val="302B680E"/>
    <w:rsid w:val="30DA198B"/>
    <w:rsid w:val="31367B93"/>
    <w:rsid w:val="31BA0043"/>
    <w:rsid w:val="32152698"/>
    <w:rsid w:val="329C56D5"/>
    <w:rsid w:val="32C11E4B"/>
    <w:rsid w:val="32CD354C"/>
    <w:rsid w:val="32EB653A"/>
    <w:rsid w:val="341D61C9"/>
    <w:rsid w:val="35144F46"/>
    <w:rsid w:val="35872495"/>
    <w:rsid w:val="35CB6609"/>
    <w:rsid w:val="35CC14DB"/>
    <w:rsid w:val="365216DD"/>
    <w:rsid w:val="36822F5B"/>
    <w:rsid w:val="36FA338C"/>
    <w:rsid w:val="370A2A0D"/>
    <w:rsid w:val="37103BA1"/>
    <w:rsid w:val="37EDF4F5"/>
    <w:rsid w:val="3883302E"/>
    <w:rsid w:val="3B1F7915"/>
    <w:rsid w:val="3BCB6780"/>
    <w:rsid w:val="3BDA58E1"/>
    <w:rsid w:val="3C9D5E15"/>
    <w:rsid w:val="3DB75AD1"/>
    <w:rsid w:val="3DFFB930"/>
    <w:rsid w:val="3E3136E7"/>
    <w:rsid w:val="3E640A7F"/>
    <w:rsid w:val="3E6855C0"/>
    <w:rsid w:val="3EEB66BF"/>
    <w:rsid w:val="3F017396"/>
    <w:rsid w:val="3F982986"/>
    <w:rsid w:val="3FBB6674"/>
    <w:rsid w:val="3FDEA7DB"/>
    <w:rsid w:val="3FFBE3E2"/>
    <w:rsid w:val="40D47DFD"/>
    <w:rsid w:val="411A73CB"/>
    <w:rsid w:val="41762B1F"/>
    <w:rsid w:val="424961B9"/>
    <w:rsid w:val="42CD0A98"/>
    <w:rsid w:val="42FB203E"/>
    <w:rsid w:val="431A0C09"/>
    <w:rsid w:val="4386034F"/>
    <w:rsid w:val="43AC29E0"/>
    <w:rsid w:val="43BD0A10"/>
    <w:rsid w:val="43C57E28"/>
    <w:rsid w:val="44B903DB"/>
    <w:rsid w:val="45556501"/>
    <w:rsid w:val="46CC15CD"/>
    <w:rsid w:val="47E2567D"/>
    <w:rsid w:val="480E2158"/>
    <w:rsid w:val="480F57AF"/>
    <w:rsid w:val="48233A15"/>
    <w:rsid w:val="48362A26"/>
    <w:rsid w:val="483C15B9"/>
    <w:rsid w:val="48680180"/>
    <w:rsid w:val="48AD52B1"/>
    <w:rsid w:val="492312D0"/>
    <w:rsid w:val="49286AB2"/>
    <w:rsid w:val="496A6DE7"/>
    <w:rsid w:val="49AE2DA6"/>
    <w:rsid w:val="4A072DE3"/>
    <w:rsid w:val="4B3A7DC7"/>
    <w:rsid w:val="4B65373A"/>
    <w:rsid w:val="4B8D6483"/>
    <w:rsid w:val="4C952AAB"/>
    <w:rsid w:val="4CC11B8A"/>
    <w:rsid w:val="4CEB48AD"/>
    <w:rsid w:val="4D00163A"/>
    <w:rsid w:val="4D6E0833"/>
    <w:rsid w:val="4E554C32"/>
    <w:rsid w:val="4F0F5BE3"/>
    <w:rsid w:val="4F2103FD"/>
    <w:rsid w:val="4F48437E"/>
    <w:rsid w:val="4F4DDC4D"/>
    <w:rsid w:val="5070230F"/>
    <w:rsid w:val="514D1A43"/>
    <w:rsid w:val="51596183"/>
    <w:rsid w:val="51A96FC4"/>
    <w:rsid w:val="5233158F"/>
    <w:rsid w:val="52422029"/>
    <w:rsid w:val="52E87329"/>
    <w:rsid w:val="52FC7DC9"/>
    <w:rsid w:val="53215482"/>
    <w:rsid w:val="53CE651E"/>
    <w:rsid w:val="546C5F0D"/>
    <w:rsid w:val="54D90AD4"/>
    <w:rsid w:val="55040901"/>
    <w:rsid w:val="554F180B"/>
    <w:rsid w:val="55A81B98"/>
    <w:rsid w:val="55E528CE"/>
    <w:rsid w:val="55F02DB1"/>
    <w:rsid w:val="5615160C"/>
    <w:rsid w:val="56861391"/>
    <w:rsid w:val="56DF05DE"/>
    <w:rsid w:val="56F70118"/>
    <w:rsid w:val="57037B44"/>
    <w:rsid w:val="57086A20"/>
    <w:rsid w:val="57BD69DA"/>
    <w:rsid w:val="57FC6189"/>
    <w:rsid w:val="59BD3A0A"/>
    <w:rsid w:val="59C5379A"/>
    <w:rsid w:val="59D70523"/>
    <w:rsid w:val="59EA29D4"/>
    <w:rsid w:val="59EF0258"/>
    <w:rsid w:val="59F40D00"/>
    <w:rsid w:val="5A0108D2"/>
    <w:rsid w:val="5A6A5DFC"/>
    <w:rsid w:val="5A6E7361"/>
    <w:rsid w:val="5A707529"/>
    <w:rsid w:val="5AB933E1"/>
    <w:rsid w:val="5AF2343A"/>
    <w:rsid w:val="5B54551A"/>
    <w:rsid w:val="5B963C9D"/>
    <w:rsid w:val="5BBA5184"/>
    <w:rsid w:val="5C226CF3"/>
    <w:rsid w:val="5C9F091B"/>
    <w:rsid w:val="5CA22D1D"/>
    <w:rsid w:val="5D4810F0"/>
    <w:rsid w:val="5D7A51F0"/>
    <w:rsid w:val="5E195986"/>
    <w:rsid w:val="5EFE417B"/>
    <w:rsid w:val="5F073306"/>
    <w:rsid w:val="5F1D1F5A"/>
    <w:rsid w:val="5F56244B"/>
    <w:rsid w:val="5F5F73B9"/>
    <w:rsid w:val="5F9252D0"/>
    <w:rsid w:val="5FFFD8C0"/>
    <w:rsid w:val="600B02EA"/>
    <w:rsid w:val="60196513"/>
    <w:rsid w:val="619260ED"/>
    <w:rsid w:val="61976E05"/>
    <w:rsid w:val="62861287"/>
    <w:rsid w:val="63795759"/>
    <w:rsid w:val="63966DA4"/>
    <w:rsid w:val="63B01E62"/>
    <w:rsid w:val="64BFAF20"/>
    <w:rsid w:val="64C71F5D"/>
    <w:rsid w:val="656E5C27"/>
    <w:rsid w:val="65C74899"/>
    <w:rsid w:val="65E7D84C"/>
    <w:rsid w:val="660E3674"/>
    <w:rsid w:val="6637C928"/>
    <w:rsid w:val="66DE41C7"/>
    <w:rsid w:val="677019ED"/>
    <w:rsid w:val="6838144E"/>
    <w:rsid w:val="686719DE"/>
    <w:rsid w:val="686B2462"/>
    <w:rsid w:val="68AA7398"/>
    <w:rsid w:val="6AA0644F"/>
    <w:rsid w:val="6AB5580B"/>
    <w:rsid w:val="6B3B6738"/>
    <w:rsid w:val="6CDF0224"/>
    <w:rsid w:val="6D405B9F"/>
    <w:rsid w:val="6E1753FD"/>
    <w:rsid w:val="6E5F4E81"/>
    <w:rsid w:val="6EF5249C"/>
    <w:rsid w:val="6EF64D54"/>
    <w:rsid w:val="6F1C7A8B"/>
    <w:rsid w:val="6F3EF8F4"/>
    <w:rsid w:val="6F97D24A"/>
    <w:rsid w:val="7054013A"/>
    <w:rsid w:val="709D2855"/>
    <w:rsid w:val="71895C77"/>
    <w:rsid w:val="71CE0431"/>
    <w:rsid w:val="71CF3736"/>
    <w:rsid w:val="71E909FE"/>
    <w:rsid w:val="742C597A"/>
    <w:rsid w:val="7499002B"/>
    <w:rsid w:val="75297821"/>
    <w:rsid w:val="75906307"/>
    <w:rsid w:val="75A87E8D"/>
    <w:rsid w:val="75B5A293"/>
    <w:rsid w:val="76061045"/>
    <w:rsid w:val="762D089E"/>
    <w:rsid w:val="76443AB5"/>
    <w:rsid w:val="76960CC6"/>
    <w:rsid w:val="7702635B"/>
    <w:rsid w:val="77407BB6"/>
    <w:rsid w:val="77665C25"/>
    <w:rsid w:val="77735706"/>
    <w:rsid w:val="77A61B43"/>
    <w:rsid w:val="77BE7064"/>
    <w:rsid w:val="77EB940F"/>
    <w:rsid w:val="77FE53E9"/>
    <w:rsid w:val="77FFD178"/>
    <w:rsid w:val="786579EC"/>
    <w:rsid w:val="78AE3FED"/>
    <w:rsid w:val="78BE65B5"/>
    <w:rsid w:val="790243F1"/>
    <w:rsid w:val="79C706C1"/>
    <w:rsid w:val="79F75F20"/>
    <w:rsid w:val="79FC3536"/>
    <w:rsid w:val="7A4A6662"/>
    <w:rsid w:val="7A930AEE"/>
    <w:rsid w:val="7AF73C51"/>
    <w:rsid w:val="7B7F2F1D"/>
    <w:rsid w:val="7BBD4D86"/>
    <w:rsid w:val="7BC506FF"/>
    <w:rsid w:val="7BDBDEEB"/>
    <w:rsid w:val="7BFCFFC7"/>
    <w:rsid w:val="7CC946CF"/>
    <w:rsid w:val="7DF3DCD2"/>
    <w:rsid w:val="7F5B7BFC"/>
    <w:rsid w:val="7F77E014"/>
    <w:rsid w:val="7F7E4AED"/>
    <w:rsid w:val="7F7FEAE7"/>
    <w:rsid w:val="7F8D4A12"/>
    <w:rsid w:val="7F97D7F2"/>
    <w:rsid w:val="7FBFA80E"/>
    <w:rsid w:val="7FD7EDB6"/>
    <w:rsid w:val="7FFF3B73"/>
    <w:rsid w:val="8FBF7C1A"/>
    <w:rsid w:val="97FF4143"/>
    <w:rsid w:val="9FEC113E"/>
    <w:rsid w:val="A6FEB8E8"/>
    <w:rsid w:val="B43F961E"/>
    <w:rsid w:val="B85FDB83"/>
    <w:rsid w:val="BDCD087A"/>
    <w:rsid w:val="BDFE5BF3"/>
    <w:rsid w:val="C1BF7C39"/>
    <w:rsid w:val="C4BD4666"/>
    <w:rsid w:val="C73B9E57"/>
    <w:rsid w:val="CADB60D7"/>
    <w:rsid w:val="D65B1328"/>
    <w:rsid w:val="DAF67373"/>
    <w:rsid w:val="DC7C6527"/>
    <w:rsid w:val="DEE73C2B"/>
    <w:rsid w:val="DF7F402F"/>
    <w:rsid w:val="DFDF7D7A"/>
    <w:rsid w:val="DFE6B962"/>
    <w:rsid w:val="DFFA6D9E"/>
    <w:rsid w:val="DFFD6CD8"/>
    <w:rsid w:val="E3EF15F8"/>
    <w:rsid w:val="EBA7250A"/>
    <w:rsid w:val="EBEEBA8A"/>
    <w:rsid w:val="EBEF1A80"/>
    <w:rsid w:val="EDFF1E69"/>
    <w:rsid w:val="EF7CB3D9"/>
    <w:rsid w:val="EF7E56C0"/>
    <w:rsid w:val="EFFD903C"/>
    <w:rsid w:val="F3FBC3B0"/>
    <w:rsid w:val="F5DF601C"/>
    <w:rsid w:val="F6B9DB1D"/>
    <w:rsid w:val="F9F3A651"/>
    <w:rsid w:val="FB2767F0"/>
    <w:rsid w:val="FBFF0D9D"/>
    <w:rsid w:val="FD7D5ACF"/>
    <w:rsid w:val="FDDF97A4"/>
    <w:rsid w:val="FE35255F"/>
    <w:rsid w:val="FEFFEEF7"/>
    <w:rsid w:val="FF9FAC0E"/>
    <w:rsid w:val="FFDA53F0"/>
    <w:rsid w:val="FFFC599E"/>
    <w:rsid w:val="FFFF9DF6"/>
    <w:rsid w:val="FFFFB9F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0" w:name="index 2"/>
    <w:lsdException w:uiPriority="0" w:name="index 3"/>
    <w:lsdException w:qFormat="1" w:uiPriority="99" w:semiHidden="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99" w:semiHidden="0" w:name="caption"/>
    <w:lsdException w:qFormat="1" w:uiPriority="99" w:semiHidden="0" w:name="table of figures"/>
    <w:lsdException w:uiPriority="0" w:name="envelope address"/>
    <w:lsdException w:uiPriority="0" w:name="envelope return"/>
    <w:lsdException w:qFormat="1" w:uiPriority="0" w:semiHidden="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qFormat="1" w:unhideWhenUsed="0" w:uiPriority="0" w:semiHidden="0" w:name="macro"/>
    <w:lsdException w:uiPriority="0" w:name="toa heading"/>
    <w:lsdException w:uiPriority="0" w:name="List"/>
    <w:lsdException w:uiPriority="0" w:name="List Bullet"/>
    <w:lsdException w:qFormat="1" w:uiPriority="99" w:semiHidden="0" w:name="List Number"/>
    <w:lsdException w:qFormat="1" w:unhideWhenUsed="0" w:uiPriority="99" w:semiHidden="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99"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99" w:semiHidden="0" w:name="Subtitle"/>
    <w:lsdException w:unhideWhenUsed="0" w:uiPriority="0" w:semiHidden="0" w:name="Salutation"/>
    <w:lsdException w:qFormat="1" w:unhideWhenUsed="0" w:uiPriority="99" w:semiHidden="0" w:name="Date"/>
    <w:lsdException w:qFormat="1" w:uiPriority="99" w:semiHidden="0" w:name="Body Text First Indent"/>
    <w:lsdException w:qFormat="1" w:unhideWhenUsed="0" w:uiPriority="99" w:semiHidden="0" w:name="Body Text First Indent 2"/>
    <w:lsdException w:uiPriority="0" w:name="Note Heading"/>
    <w:lsdException w:qFormat="1"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uiPriority="0" w:name="E-mail Signature"/>
    <w:lsdException w:qFormat="1" w:uiPriority="99" w:semiHidden="0" w:name="Normal (Web)"/>
    <w:lsdException w:uiPriority="0" w:name="HTML Acronym"/>
    <w:lsdException w:uiPriority="0" w:name="HTML Address"/>
    <w:lsdException w:qFormat="1" w:unhideWhenUsed="0" w:uiPriority="0" w:semiHidden="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39" w:semiHidden="0" w:name="Table Grid"/>
    <w:lsdException w:uiPriority="0" w:name="Table Theme"/>
    <w:lsdException w:qFormat="1" w:unhideWhenUsed="0" w:uiPriority="99"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qFormat="1" w:unhideWhenUsed="0" w:uiPriority="0"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6"/>
    <w:autoRedefine/>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4">
    <w:name w:val="heading 2"/>
    <w:basedOn w:val="1"/>
    <w:next w:val="5"/>
    <w:link w:val="67"/>
    <w:autoRedefine/>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6">
    <w:name w:val="heading 3"/>
    <w:basedOn w:val="1"/>
    <w:next w:val="5"/>
    <w:link w:val="69"/>
    <w:autoRedefine/>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7">
    <w:name w:val="heading 4"/>
    <w:basedOn w:val="1"/>
    <w:next w:val="1"/>
    <w:link w:val="70"/>
    <w:autoRedefine/>
    <w:qFormat/>
    <w:uiPriority w:val="0"/>
    <w:pPr>
      <w:keepNext/>
      <w:keepLines/>
      <w:adjustRightInd w:val="0"/>
      <w:spacing w:before="280" w:after="290" w:line="376" w:lineRule="atLeast"/>
      <w:textAlignment w:val="baseline"/>
      <w:outlineLvl w:val="3"/>
    </w:pPr>
    <w:rPr>
      <w:rFonts w:ascii="Arial" w:hAnsi="Arial" w:eastAsia="黑体"/>
      <w:b/>
      <w:kern w:val="0"/>
      <w:sz w:val="28"/>
      <w:szCs w:val="20"/>
    </w:rPr>
  </w:style>
  <w:style w:type="paragraph" w:styleId="8">
    <w:name w:val="heading 5"/>
    <w:basedOn w:val="1"/>
    <w:next w:val="1"/>
    <w:link w:val="71"/>
    <w:autoRedefine/>
    <w:qFormat/>
    <w:uiPriority w:val="0"/>
    <w:pPr>
      <w:keepNext/>
      <w:keepLines/>
      <w:adjustRightInd w:val="0"/>
      <w:spacing w:before="280" w:after="290" w:line="376" w:lineRule="atLeast"/>
      <w:textAlignment w:val="baseline"/>
      <w:outlineLvl w:val="4"/>
    </w:pPr>
    <w:rPr>
      <w:b/>
      <w:kern w:val="0"/>
      <w:sz w:val="28"/>
      <w:szCs w:val="20"/>
    </w:rPr>
  </w:style>
  <w:style w:type="paragraph" w:styleId="9">
    <w:name w:val="heading 6"/>
    <w:basedOn w:val="1"/>
    <w:next w:val="1"/>
    <w:link w:val="72"/>
    <w:autoRedefine/>
    <w:qFormat/>
    <w:uiPriority w:val="0"/>
    <w:pPr>
      <w:keepNext/>
      <w:keepLines/>
      <w:adjustRightInd w:val="0"/>
      <w:spacing w:before="240" w:after="64" w:line="320" w:lineRule="atLeast"/>
      <w:textAlignment w:val="baseline"/>
      <w:outlineLvl w:val="5"/>
    </w:pPr>
    <w:rPr>
      <w:rFonts w:ascii="Arial" w:hAnsi="Arial" w:eastAsia="黑体"/>
      <w:b/>
      <w:kern w:val="0"/>
      <w:sz w:val="24"/>
      <w:szCs w:val="20"/>
    </w:rPr>
  </w:style>
  <w:style w:type="paragraph" w:styleId="10">
    <w:name w:val="heading 7"/>
    <w:basedOn w:val="1"/>
    <w:next w:val="1"/>
    <w:link w:val="73"/>
    <w:autoRedefine/>
    <w:qFormat/>
    <w:uiPriority w:val="99"/>
    <w:pPr>
      <w:keepNext/>
      <w:keepLines/>
      <w:adjustRightInd w:val="0"/>
      <w:spacing w:before="240" w:after="64" w:line="320" w:lineRule="atLeast"/>
      <w:textAlignment w:val="baseline"/>
      <w:outlineLvl w:val="6"/>
    </w:pPr>
    <w:rPr>
      <w:b/>
      <w:kern w:val="0"/>
      <w:sz w:val="24"/>
      <w:szCs w:val="20"/>
    </w:rPr>
  </w:style>
  <w:style w:type="paragraph" w:styleId="11">
    <w:name w:val="heading 8"/>
    <w:basedOn w:val="1"/>
    <w:next w:val="1"/>
    <w:link w:val="74"/>
    <w:autoRedefine/>
    <w:qFormat/>
    <w:uiPriority w:val="99"/>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75"/>
    <w:autoRedefine/>
    <w:qFormat/>
    <w:uiPriority w:val="99"/>
    <w:pPr>
      <w:keepNext/>
      <w:keepLines/>
      <w:adjustRightInd w:val="0"/>
      <w:spacing w:before="240" w:after="64" w:line="320" w:lineRule="atLeast"/>
      <w:textAlignment w:val="baseline"/>
      <w:outlineLvl w:val="8"/>
    </w:pPr>
    <w:rPr>
      <w:rFonts w:ascii="Arial" w:hAnsi="Arial" w:eastAsia="黑体"/>
      <w:kern w:val="0"/>
      <w:szCs w:val="20"/>
    </w:rPr>
  </w:style>
  <w:style w:type="character" w:default="1" w:styleId="55">
    <w:name w:val="Default Paragraph Font"/>
    <w:autoRedefine/>
    <w:semiHidden/>
    <w:unhideWhenUsed/>
    <w:qFormat/>
    <w:uiPriority w:val="1"/>
  </w:style>
  <w:style w:type="table" w:default="1" w:styleId="52">
    <w:name w:val="Normal Table"/>
    <w:autoRedefine/>
    <w:semiHidden/>
    <w:unhideWhenUsed/>
    <w:qFormat/>
    <w:uiPriority w:val="99"/>
    <w:tblPr>
      <w:tblCellMar>
        <w:top w:w="0" w:type="dxa"/>
        <w:left w:w="108" w:type="dxa"/>
        <w:bottom w:w="0" w:type="dxa"/>
        <w:right w:w="108" w:type="dxa"/>
      </w:tblCellMar>
    </w:tblPr>
  </w:style>
  <w:style w:type="paragraph" w:styleId="2">
    <w:name w:val="macro"/>
    <w:link w:val="526"/>
    <w:autoRedefine/>
    <w:qFormat/>
    <w:uiPriority w:val="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line="360" w:lineRule="auto"/>
      <w:jc w:val="both"/>
      <w:textAlignment w:val="baseline"/>
    </w:pPr>
    <w:rPr>
      <w:rFonts w:ascii="Arial Narrow" w:hAnsi="Arial Narrow" w:eastAsia="宋体" w:cs="Times New Roman"/>
      <w:lang w:val="en-US" w:eastAsia="zh-CN" w:bidi="ar-SA"/>
    </w:rPr>
  </w:style>
  <w:style w:type="paragraph" w:styleId="5">
    <w:name w:val="Normal Indent"/>
    <w:basedOn w:val="1"/>
    <w:next w:val="1"/>
    <w:link w:val="68"/>
    <w:autoRedefine/>
    <w:qFormat/>
    <w:uiPriority w:val="99"/>
    <w:pPr>
      <w:autoSpaceDE w:val="0"/>
      <w:autoSpaceDN w:val="0"/>
      <w:adjustRightInd w:val="0"/>
      <w:ind w:firstLine="420"/>
      <w:jc w:val="left"/>
    </w:pPr>
    <w:rPr>
      <w:rFonts w:ascii="宋体"/>
      <w:sz w:val="24"/>
    </w:rPr>
  </w:style>
  <w:style w:type="paragraph" w:styleId="13">
    <w:name w:val="toc 7"/>
    <w:basedOn w:val="1"/>
    <w:next w:val="1"/>
    <w:autoRedefine/>
    <w:qFormat/>
    <w:uiPriority w:val="99"/>
    <w:pPr>
      <w:ind w:left="2520" w:leftChars="1200"/>
    </w:pPr>
  </w:style>
  <w:style w:type="paragraph" w:styleId="14">
    <w:name w:val="List Number"/>
    <w:basedOn w:val="15"/>
    <w:autoRedefine/>
    <w:unhideWhenUsed/>
    <w:qFormat/>
    <w:uiPriority w:val="99"/>
    <w:pPr>
      <w:tabs>
        <w:tab w:val="left" w:pos="360"/>
      </w:tabs>
      <w:spacing w:line="360" w:lineRule="auto"/>
      <w:ind w:left="360" w:hanging="360"/>
    </w:pPr>
    <w:rPr>
      <w:rFonts w:ascii="宋体"/>
      <w:szCs w:val="21"/>
      <w:lang w:val="zh-CN"/>
    </w:rPr>
  </w:style>
  <w:style w:type="paragraph" w:styleId="15">
    <w:name w:val="List Paragraph"/>
    <w:basedOn w:val="1"/>
    <w:link w:val="107"/>
    <w:autoRedefine/>
    <w:qFormat/>
    <w:uiPriority w:val="34"/>
    <w:pPr>
      <w:ind w:firstLine="420" w:firstLineChars="200"/>
    </w:pPr>
    <w:rPr>
      <w:rFonts w:ascii="Calibri" w:hAnsi="Calibri"/>
      <w:szCs w:val="22"/>
    </w:rPr>
  </w:style>
  <w:style w:type="paragraph" w:styleId="16">
    <w:name w:val="caption"/>
    <w:basedOn w:val="1"/>
    <w:next w:val="1"/>
    <w:autoRedefine/>
    <w:qFormat/>
    <w:uiPriority w:val="99"/>
    <w:pPr>
      <w:spacing w:line="480" w:lineRule="auto"/>
    </w:pPr>
    <w:rPr>
      <w:rFonts w:ascii="华文中宋" w:hAnsi="华文中宋" w:eastAsia="华文中宋"/>
      <w:sz w:val="36"/>
      <w:szCs w:val="20"/>
    </w:rPr>
  </w:style>
  <w:style w:type="paragraph" w:styleId="17">
    <w:name w:val="index 5"/>
    <w:next w:val="1"/>
    <w:autoRedefine/>
    <w:qFormat/>
    <w:uiPriority w:val="0"/>
    <w:pPr>
      <w:widowControl w:val="0"/>
      <w:ind w:left="800" w:leftChars="800"/>
      <w:jc w:val="both"/>
    </w:pPr>
    <w:rPr>
      <w:rFonts w:ascii="Calibri" w:hAnsi="Calibri" w:eastAsia="宋体" w:cs="黑体"/>
      <w:kern w:val="2"/>
      <w:sz w:val="21"/>
      <w:szCs w:val="22"/>
      <w:lang w:val="en-US" w:eastAsia="zh-CN" w:bidi="ar-SA"/>
    </w:rPr>
  </w:style>
  <w:style w:type="paragraph" w:styleId="18">
    <w:name w:val="Document Map"/>
    <w:basedOn w:val="1"/>
    <w:link w:val="76"/>
    <w:autoRedefine/>
    <w:qFormat/>
    <w:uiPriority w:val="99"/>
    <w:pPr>
      <w:shd w:val="clear" w:color="auto" w:fill="000080"/>
    </w:pPr>
  </w:style>
  <w:style w:type="paragraph" w:styleId="19">
    <w:name w:val="annotation text"/>
    <w:basedOn w:val="1"/>
    <w:link w:val="77"/>
    <w:autoRedefine/>
    <w:qFormat/>
    <w:uiPriority w:val="99"/>
    <w:pPr>
      <w:jc w:val="left"/>
    </w:pPr>
  </w:style>
  <w:style w:type="paragraph" w:styleId="20">
    <w:name w:val="Body Text 3"/>
    <w:basedOn w:val="1"/>
    <w:link w:val="78"/>
    <w:autoRedefine/>
    <w:qFormat/>
    <w:uiPriority w:val="99"/>
    <w:pPr>
      <w:spacing w:after="120"/>
    </w:pPr>
    <w:rPr>
      <w:sz w:val="16"/>
      <w:szCs w:val="16"/>
    </w:rPr>
  </w:style>
  <w:style w:type="paragraph" w:styleId="21">
    <w:name w:val="Body Text"/>
    <w:basedOn w:val="1"/>
    <w:next w:val="17"/>
    <w:link w:val="79"/>
    <w:autoRedefine/>
    <w:qFormat/>
    <w:uiPriority w:val="99"/>
    <w:pPr>
      <w:tabs>
        <w:tab w:val="left" w:pos="567"/>
      </w:tabs>
      <w:spacing w:line="360" w:lineRule="auto"/>
      <w:ind w:firstLine="488" w:firstLineChars="200"/>
    </w:pPr>
    <w:rPr>
      <w:rFonts w:ascii="宋体" w:hAnsi="宋体"/>
      <w:sz w:val="24"/>
    </w:rPr>
  </w:style>
  <w:style w:type="paragraph" w:styleId="22">
    <w:name w:val="Body Text Indent"/>
    <w:basedOn w:val="1"/>
    <w:link w:val="80"/>
    <w:autoRedefine/>
    <w:qFormat/>
    <w:uiPriority w:val="99"/>
    <w:pPr>
      <w:spacing w:line="360" w:lineRule="auto"/>
      <w:ind w:firstLine="570"/>
    </w:pPr>
    <w:rPr>
      <w:sz w:val="24"/>
    </w:rPr>
  </w:style>
  <w:style w:type="paragraph" w:styleId="23">
    <w:name w:val="List 2"/>
    <w:basedOn w:val="1"/>
    <w:autoRedefine/>
    <w:qFormat/>
    <w:uiPriority w:val="99"/>
    <w:pPr>
      <w:ind w:left="100" w:leftChars="200" w:hanging="200" w:hangingChars="200"/>
    </w:pPr>
  </w:style>
  <w:style w:type="paragraph" w:styleId="24">
    <w:name w:val="Block Text"/>
    <w:basedOn w:val="1"/>
    <w:autoRedefine/>
    <w:qFormat/>
    <w:uiPriority w:val="99"/>
    <w:pPr>
      <w:widowControl/>
      <w:ind w:left="480" w:right="-341" w:firstLine="513"/>
    </w:pPr>
    <w:rPr>
      <w:kern w:val="0"/>
      <w:sz w:val="24"/>
      <w:szCs w:val="20"/>
    </w:rPr>
  </w:style>
  <w:style w:type="paragraph" w:styleId="25">
    <w:name w:val="index 4"/>
    <w:basedOn w:val="1"/>
    <w:next w:val="1"/>
    <w:autoRedefine/>
    <w:unhideWhenUsed/>
    <w:qFormat/>
    <w:uiPriority w:val="99"/>
    <w:pPr>
      <w:ind w:left="600" w:leftChars="600"/>
    </w:pPr>
  </w:style>
  <w:style w:type="paragraph" w:styleId="26">
    <w:name w:val="toc 5"/>
    <w:basedOn w:val="1"/>
    <w:next w:val="1"/>
    <w:autoRedefine/>
    <w:qFormat/>
    <w:uiPriority w:val="99"/>
    <w:pPr>
      <w:ind w:left="1680" w:leftChars="800"/>
    </w:pPr>
  </w:style>
  <w:style w:type="paragraph" w:styleId="27">
    <w:name w:val="toc 3"/>
    <w:basedOn w:val="1"/>
    <w:next w:val="1"/>
    <w:autoRedefine/>
    <w:qFormat/>
    <w:uiPriority w:val="99"/>
    <w:pPr>
      <w:ind w:left="840" w:leftChars="400"/>
    </w:pPr>
  </w:style>
  <w:style w:type="paragraph" w:styleId="28">
    <w:name w:val="Plain Text"/>
    <w:basedOn w:val="1"/>
    <w:link w:val="81"/>
    <w:autoRedefine/>
    <w:qFormat/>
    <w:uiPriority w:val="99"/>
    <w:rPr>
      <w:rFonts w:hint="eastAsia" w:ascii="宋体" w:hAnsi="Courier New"/>
      <w:szCs w:val="20"/>
    </w:rPr>
  </w:style>
  <w:style w:type="paragraph" w:styleId="29">
    <w:name w:val="toc 8"/>
    <w:basedOn w:val="1"/>
    <w:next w:val="1"/>
    <w:autoRedefine/>
    <w:qFormat/>
    <w:uiPriority w:val="99"/>
    <w:pPr>
      <w:ind w:left="2940" w:leftChars="1400"/>
    </w:pPr>
  </w:style>
  <w:style w:type="paragraph" w:styleId="30">
    <w:name w:val="Date"/>
    <w:basedOn w:val="1"/>
    <w:next w:val="1"/>
    <w:link w:val="82"/>
    <w:autoRedefine/>
    <w:qFormat/>
    <w:uiPriority w:val="99"/>
    <w:pPr>
      <w:ind w:left="100" w:leftChars="2500"/>
    </w:pPr>
    <w:rPr>
      <w:rFonts w:ascii="仿宋_GB2312" w:hAnsi="宋体" w:eastAsia="仿宋_GB2312"/>
      <w:color w:val="000000"/>
      <w:sz w:val="24"/>
    </w:rPr>
  </w:style>
  <w:style w:type="paragraph" w:styleId="31">
    <w:name w:val="Body Text Indent 2"/>
    <w:basedOn w:val="1"/>
    <w:link w:val="83"/>
    <w:autoRedefine/>
    <w:qFormat/>
    <w:uiPriority w:val="99"/>
    <w:pPr>
      <w:ind w:firstLine="480" w:firstLineChars="200"/>
    </w:pPr>
    <w:rPr>
      <w:rFonts w:ascii="仿宋_GB2312" w:eastAsia="仿宋_GB2312"/>
      <w:sz w:val="24"/>
    </w:rPr>
  </w:style>
  <w:style w:type="paragraph" w:styleId="32">
    <w:name w:val="Balloon Text"/>
    <w:basedOn w:val="1"/>
    <w:link w:val="84"/>
    <w:autoRedefine/>
    <w:qFormat/>
    <w:uiPriority w:val="99"/>
    <w:rPr>
      <w:sz w:val="18"/>
      <w:szCs w:val="18"/>
    </w:rPr>
  </w:style>
  <w:style w:type="paragraph" w:styleId="33">
    <w:name w:val="footer"/>
    <w:basedOn w:val="1"/>
    <w:link w:val="85"/>
    <w:autoRedefine/>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34">
    <w:name w:val="header"/>
    <w:basedOn w:val="1"/>
    <w:link w:val="86"/>
    <w:autoRedefine/>
    <w:qFormat/>
    <w:uiPriority w:val="99"/>
    <w:pPr>
      <w:pBdr>
        <w:bottom w:val="single" w:color="auto" w:sz="6" w:space="1"/>
      </w:pBdr>
      <w:tabs>
        <w:tab w:val="center" w:pos="4153"/>
        <w:tab w:val="right" w:pos="8306"/>
      </w:tabs>
      <w:snapToGrid w:val="0"/>
      <w:jc w:val="center"/>
    </w:pPr>
    <w:rPr>
      <w:sz w:val="18"/>
      <w:szCs w:val="18"/>
    </w:rPr>
  </w:style>
  <w:style w:type="paragraph" w:styleId="35">
    <w:name w:val="toc 1"/>
    <w:basedOn w:val="1"/>
    <w:next w:val="1"/>
    <w:autoRedefine/>
    <w:qFormat/>
    <w:uiPriority w:val="39"/>
    <w:pPr>
      <w:tabs>
        <w:tab w:val="left" w:pos="1050"/>
        <w:tab w:val="right" w:leader="dot" w:pos="8937"/>
      </w:tabs>
      <w:spacing w:line="300" w:lineRule="auto"/>
    </w:pPr>
    <w:rPr>
      <w:rFonts w:ascii="宋体" w:hAnsi="宋体"/>
      <w:b/>
      <w:sz w:val="24"/>
    </w:rPr>
  </w:style>
  <w:style w:type="paragraph" w:styleId="36">
    <w:name w:val="toc 4"/>
    <w:basedOn w:val="1"/>
    <w:next w:val="1"/>
    <w:autoRedefine/>
    <w:qFormat/>
    <w:uiPriority w:val="99"/>
    <w:pPr>
      <w:ind w:left="1260" w:leftChars="600"/>
    </w:pPr>
  </w:style>
  <w:style w:type="paragraph" w:styleId="37">
    <w:name w:val="Subtitle"/>
    <w:basedOn w:val="1"/>
    <w:next w:val="1"/>
    <w:link w:val="417"/>
    <w:autoRedefine/>
    <w:qFormat/>
    <w:uiPriority w:val="99"/>
    <w:pPr>
      <w:spacing w:before="240" w:after="60" w:line="312" w:lineRule="auto"/>
      <w:jc w:val="center"/>
      <w:outlineLvl w:val="1"/>
    </w:pPr>
    <w:rPr>
      <w:rFonts w:ascii="Cambria" w:hAnsi="Cambria" w:eastAsia="Times New Roman"/>
      <w:b/>
      <w:bCs/>
      <w:kern w:val="28"/>
      <w:sz w:val="32"/>
      <w:szCs w:val="32"/>
      <w:lang w:val="zh-CN"/>
    </w:rPr>
  </w:style>
  <w:style w:type="paragraph" w:styleId="38">
    <w:name w:val="footnote text"/>
    <w:basedOn w:val="1"/>
    <w:link w:val="268"/>
    <w:autoRedefine/>
    <w:unhideWhenUsed/>
    <w:qFormat/>
    <w:uiPriority w:val="99"/>
    <w:pPr>
      <w:adjustRightInd w:val="0"/>
      <w:spacing w:line="312" w:lineRule="atLeast"/>
      <w:jc w:val="left"/>
    </w:pPr>
    <w:rPr>
      <w:kern w:val="0"/>
      <w:sz w:val="18"/>
      <w:szCs w:val="20"/>
      <w:lang w:val="zh-CN"/>
    </w:rPr>
  </w:style>
  <w:style w:type="paragraph" w:styleId="39">
    <w:name w:val="toc 6"/>
    <w:basedOn w:val="1"/>
    <w:next w:val="1"/>
    <w:autoRedefine/>
    <w:qFormat/>
    <w:uiPriority w:val="99"/>
    <w:pPr>
      <w:ind w:left="2100" w:leftChars="1000"/>
    </w:pPr>
  </w:style>
  <w:style w:type="paragraph" w:styleId="40">
    <w:name w:val="Body Text Indent 3"/>
    <w:basedOn w:val="1"/>
    <w:link w:val="87"/>
    <w:autoRedefine/>
    <w:qFormat/>
    <w:uiPriority w:val="99"/>
    <w:pPr>
      <w:autoSpaceDE w:val="0"/>
      <w:autoSpaceDN w:val="0"/>
      <w:adjustRightInd w:val="0"/>
      <w:spacing w:before="120" w:line="22" w:lineRule="atLeast"/>
      <w:ind w:left="720" w:firstLine="480"/>
      <w:jc w:val="left"/>
    </w:pPr>
    <w:rPr>
      <w:rFonts w:ascii="宋体"/>
      <w:kern w:val="0"/>
      <w:sz w:val="24"/>
      <w:szCs w:val="20"/>
    </w:rPr>
  </w:style>
  <w:style w:type="paragraph" w:styleId="41">
    <w:name w:val="table of figures"/>
    <w:basedOn w:val="1"/>
    <w:next w:val="1"/>
    <w:autoRedefine/>
    <w:unhideWhenUsed/>
    <w:qFormat/>
    <w:uiPriority w:val="99"/>
    <w:pPr>
      <w:ind w:left="840" w:hanging="420"/>
    </w:pPr>
    <w:rPr>
      <w:szCs w:val="20"/>
    </w:rPr>
  </w:style>
  <w:style w:type="paragraph" w:styleId="42">
    <w:name w:val="toc 2"/>
    <w:basedOn w:val="1"/>
    <w:next w:val="1"/>
    <w:autoRedefine/>
    <w:qFormat/>
    <w:uiPriority w:val="99"/>
    <w:pPr>
      <w:tabs>
        <w:tab w:val="right" w:leader="dot" w:pos="8937"/>
      </w:tabs>
      <w:spacing w:line="312" w:lineRule="auto"/>
      <w:ind w:left="420" w:leftChars="200"/>
    </w:pPr>
  </w:style>
  <w:style w:type="paragraph" w:styleId="43">
    <w:name w:val="toc 9"/>
    <w:basedOn w:val="1"/>
    <w:next w:val="1"/>
    <w:autoRedefine/>
    <w:qFormat/>
    <w:uiPriority w:val="99"/>
    <w:pPr>
      <w:ind w:left="3360" w:leftChars="1600"/>
    </w:pPr>
  </w:style>
  <w:style w:type="paragraph" w:styleId="44">
    <w:name w:val="Body Text 2"/>
    <w:basedOn w:val="1"/>
    <w:link w:val="269"/>
    <w:autoRedefine/>
    <w:unhideWhenUsed/>
    <w:qFormat/>
    <w:uiPriority w:val="99"/>
    <w:pPr>
      <w:adjustRightInd w:val="0"/>
      <w:spacing w:line="360" w:lineRule="atLeast"/>
    </w:pPr>
    <w:rPr>
      <w:rFonts w:ascii="宋体" w:hAnsi="宋体"/>
      <w:kern w:val="0"/>
      <w:sz w:val="24"/>
      <w:u w:val="single"/>
      <w:lang w:val="zh-CN"/>
    </w:rPr>
  </w:style>
  <w:style w:type="paragraph" w:styleId="45">
    <w:name w:val="HTML Preformatted"/>
    <w:basedOn w:val="1"/>
    <w:link w:val="88"/>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46">
    <w:name w:val="Normal (Web)"/>
    <w:basedOn w:val="1"/>
    <w:link w:val="264"/>
    <w:autoRedefine/>
    <w:unhideWhenUsed/>
    <w:qFormat/>
    <w:uiPriority w:val="99"/>
    <w:pPr>
      <w:widowControl/>
      <w:spacing w:before="100" w:beforeAutospacing="1" w:after="100" w:afterAutospacing="1"/>
      <w:jc w:val="left"/>
    </w:pPr>
    <w:rPr>
      <w:rFonts w:ascii="宋体" w:hAnsi="宋体" w:cs="宋体"/>
      <w:kern w:val="0"/>
      <w:sz w:val="24"/>
    </w:rPr>
  </w:style>
  <w:style w:type="paragraph" w:styleId="47">
    <w:name w:val="index 1"/>
    <w:basedOn w:val="1"/>
    <w:next w:val="1"/>
    <w:autoRedefine/>
    <w:qFormat/>
    <w:uiPriority w:val="99"/>
    <w:rPr>
      <w:szCs w:val="20"/>
    </w:rPr>
  </w:style>
  <w:style w:type="paragraph" w:styleId="48">
    <w:name w:val="Title"/>
    <w:basedOn w:val="1"/>
    <w:link w:val="89"/>
    <w:autoRedefine/>
    <w:qFormat/>
    <w:uiPriority w:val="99"/>
    <w:pPr>
      <w:jc w:val="center"/>
      <w:outlineLvl w:val="0"/>
    </w:pPr>
    <w:rPr>
      <w:b/>
      <w:sz w:val="32"/>
      <w:szCs w:val="20"/>
    </w:rPr>
  </w:style>
  <w:style w:type="paragraph" w:styleId="49">
    <w:name w:val="annotation subject"/>
    <w:basedOn w:val="19"/>
    <w:next w:val="19"/>
    <w:link w:val="90"/>
    <w:autoRedefine/>
    <w:qFormat/>
    <w:uiPriority w:val="99"/>
    <w:rPr>
      <w:b/>
      <w:bCs/>
    </w:rPr>
  </w:style>
  <w:style w:type="paragraph" w:styleId="50">
    <w:name w:val="Body Text First Indent"/>
    <w:basedOn w:val="21"/>
    <w:link w:val="271"/>
    <w:autoRedefine/>
    <w:unhideWhenUsed/>
    <w:qFormat/>
    <w:uiPriority w:val="99"/>
    <w:pPr>
      <w:tabs>
        <w:tab w:val="clear" w:pos="567"/>
      </w:tabs>
      <w:spacing w:after="120" w:line="240" w:lineRule="auto"/>
      <w:ind w:firstLine="420" w:firstLineChars="100"/>
    </w:pPr>
    <w:rPr>
      <w:rFonts w:ascii="Times New Roman" w:hAnsi="Times New Roman"/>
      <w:sz w:val="21"/>
    </w:rPr>
  </w:style>
  <w:style w:type="paragraph" w:styleId="51">
    <w:name w:val="Body Text First Indent 2"/>
    <w:basedOn w:val="22"/>
    <w:link w:val="91"/>
    <w:autoRedefine/>
    <w:qFormat/>
    <w:uiPriority w:val="99"/>
    <w:pPr>
      <w:spacing w:after="120" w:line="480" w:lineRule="exact"/>
      <w:ind w:left="420" w:leftChars="200" w:firstLine="420" w:firstLineChars="200"/>
    </w:pPr>
    <w:rPr>
      <w:szCs w:val="20"/>
    </w:rPr>
  </w:style>
  <w:style w:type="table" w:styleId="53">
    <w:name w:val="Table Grid"/>
    <w:basedOn w:val="52"/>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54">
    <w:name w:val="Medium Grid 1 Accent 2"/>
    <w:basedOn w:val="52"/>
    <w:autoRedefine/>
    <w:qFormat/>
    <w:uiPriority w:val="0"/>
    <w:rPr>
      <w:kern w:val="2"/>
      <w:sz w:val="21"/>
      <w:szCs w:val="24"/>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56">
    <w:name w:val="Strong"/>
    <w:autoRedefine/>
    <w:qFormat/>
    <w:uiPriority w:val="22"/>
    <w:rPr>
      <w:b/>
      <w:bCs/>
    </w:rPr>
  </w:style>
  <w:style w:type="character" w:styleId="57">
    <w:name w:val="page number"/>
    <w:autoRedefine/>
    <w:qFormat/>
    <w:uiPriority w:val="0"/>
  </w:style>
  <w:style w:type="character" w:styleId="58">
    <w:name w:val="FollowedHyperlink"/>
    <w:autoRedefine/>
    <w:qFormat/>
    <w:uiPriority w:val="99"/>
    <w:rPr>
      <w:color w:val="800080"/>
      <w:u w:val="single"/>
    </w:rPr>
  </w:style>
  <w:style w:type="character" w:styleId="59">
    <w:name w:val="Emphasis"/>
    <w:autoRedefine/>
    <w:qFormat/>
    <w:uiPriority w:val="20"/>
    <w:rPr>
      <w:color w:val="CC0033"/>
    </w:rPr>
  </w:style>
  <w:style w:type="character" w:styleId="60">
    <w:name w:val="Hyperlink"/>
    <w:autoRedefine/>
    <w:qFormat/>
    <w:uiPriority w:val="99"/>
    <w:rPr>
      <w:color w:val="0000FF"/>
      <w:u w:val="single"/>
    </w:rPr>
  </w:style>
  <w:style w:type="character" w:styleId="61">
    <w:name w:val="annotation reference"/>
    <w:autoRedefine/>
    <w:qFormat/>
    <w:uiPriority w:val="99"/>
    <w:rPr>
      <w:sz w:val="21"/>
      <w:szCs w:val="21"/>
    </w:rPr>
  </w:style>
  <w:style w:type="character" w:styleId="62">
    <w:name w:val="HTML Cite"/>
    <w:autoRedefine/>
    <w:qFormat/>
    <w:uiPriority w:val="0"/>
    <w:rPr>
      <w:i/>
      <w:iCs/>
    </w:rPr>
  </w:style>
  <w:style w:type="character" w:styleId="63">
    <w:name w:val="footnote reference"/>
    <w:autoRedefine/>
    <w:unhideWhenUsed/>
    <w:qFormat/>
    <w:uiPriority w:val="0"/>
    <w:rPr>
      <w:vertAlign w:val="superscript"/>
    </w:rPr>
  </w:style>
  <w:style w:type="paragraph" w:customStyle="1" w:styleId="64">
    <w:name w:val="Index9"/>
    <w:basedOn w:val="1"/>
    <w:next w:val="1"/>
    <w:autoRedefine/>
    <w:qFormat/>
    <w:uiPriority w:val="0"/>
    <w:pPr>
      <w:ind w:left="1600" w:leftChars="1600"/>
      <w:textAlignment w:val="baseline"/>
    </w:pPr>
    <w:rPr>
      <w:rFonts w:eastAsia="仿宋_GB2312"/>
      <w:kern w:val="32"/>
      <w:sz w:val="32"/>
      <w:szCs w:val="32"/>
    </w:rPr>
  </w:style>
  <w:style w:type="character" w:customStyle="1" w:styleId="65">
    <w:name w:val="标题 2 字符"/>
    <w:autoRedefine/>
    <w:qFormat/>
    <w:locked/>
    <w:uiPriority w:val="0"/>
    <w:rPr>
      <w:rFonts w:hint="default" w:ascii="Arial" w:hAnsi="Arial" w:eastAsia="宋体" w:cs="Arial"/>
      <w:sz w:val="28"/>
      <w:lang w:val="zh-CN" w:eastAsia="zh-CN"/>
    </w:rPr>
  </w:style>
  <w:style w:type="character" w:customStyle="1" w:styleId="66">
    <w:name w:val="标题 1 字符1"/>
    <w:link w:val="3"/>
    <w:autoRedefine/>
    <w:qFormat/>
    <w:uiPriority w:val="0"/>
    <w:rPr>
      <w:rFonts w:ascii="宋体"/>
      <w:b/>
      <w:kern w:val="44"/>
      <w:sz w:val="32"/>
    </w:rPr>
  </w:style>
  <w:style w:type="character" w:customStyle="1" w:styleId="67">
    <w:name w:val="标题 2 字符1"/>
    <w:link w:val="4"/>
    <w:autoRedefine/>
    <w:qFormat/>
    <w:uiPriority w:val="0"/>
    <w:rPr>
      <w:rFonts w:ascii="Arial" w:hAnsi="Arial" w:eastAsia="黑体"/>
      <w:b/>
      <w:sz w:val="30"/>
      <w:lang w:val="en-US" w:eastAsia="zh-CN" w:bidi="ar-SA"/>
    </w:rPr>
  </w:style>
  <w:style w:type="character" w:customStyle="1" w:styleId="68">
    <w:name w:val="正文缩进 字符3"/>
    <w:link w:val="5"/>
    <w:autoRedefine/>
    <w:qFormat/>
    <w:uiPriority w:val="0"/>
    <w:rPr>
      <w:rFonts w:ascii="宋体" w:eastAsia="宋体"/>
      <w:kern w:val="2"/>
      <w:sz w:val="24"/>
      <w:szCs w:val="24"/>
      <w:lang w:val="en-US" w:eastAsia="zh-CN" w:bidi="ar-SA"/>
    </w:rPr>
  </w:style>
  <w:style w:type="character" w:customStyle="1" w:styleId="69">
    <w:name w:val="标题 3 字符2"/>
    <w:link w:val="6"/>
    <w:autoRedefine/>
    <w:qFormat/>
    <w:uiPriority w:val="9"/>
    <w:rPr>
      <w:rFonts w:ascii="宋体" w:eastAsia="宋体"/>
      <w:b/>
      <w:sz w:val="24"/>
      <w:u w:val="single"/>
      <w:lang w:val="en-US" w:eastAsia="zh-CN" w:bidi="ar-SA"/>
    </w:rPr>
  </w:style>
  <w:style w:type="character" w:customStyle="1" w:styleId="70">
    <w:name w:val="标题 4 字符1"/>
    <w:link w:val="7"/>
    <w:autoRedefine/>
    <w:qFormat/>
    <w:uiPriority w:val="0"/>
    <w:rPr>
      <w:rFonts w:ascii="Arial" w:hAnsi="Arial" w:eastAsia="黑体"/>
      <w:b/>
      <w:sz w:val="28"/>
    </w:rPr>
  </w:style>
  <w:style w:type="character" w:customStyle="1" w:styleId="71">
    <w:name w:val="标题 5 字符1"/>
    <w:link w:val="8"/>
    <w:autoRedefine/>
    <w:qFormat/>
    <w:uiPriority w:val="0"/>
    <w:rPr>
      <w:b/>
      <w:sz w:val="28"/>
    </w:rPr>
  </w:style>
  <w:style w:type="character" w:customStyle="1" w:styleId="72">
    <w:name w:val="标题 6 字符1"/>
    <w:link w:val="9"/>
    <w:autoRedefine/>
    <w:qFormat/>
    <w:uiPriority w:val="0"/>
    <w:rPr>
      <w:rFonts w:ascii="Arial" w:hAnsi="Arial" w:eastAsia="黑体"/>
      <w:b/>
      <w:sz w:val="24"/>
    </w:rPr>
  </w:style>
  <w:style w:type="character" w:customStyle="1" w:styleId="73">
    <w:name w:val="标题 7 字符1"/>
    <w:link w:val="10"/>
    <w:autoRedefine/>
    <w:qFormat/>
    <w:uiPriority w:val="0"/>
    <w:rPr>
      <w:b/>
      <w:sz w:val="24"/>
    </w:rPr>
  </w:style>
  <w:style w:type="character" w:customStyle="1" w:styleId="74">
    <w:name w:val="标题 8 字符1"/>
    <w:link w:val="11"/>
    <w:autoRedefine/>
    <w:qFormat/>
    <w:uiPriority w:val="0"/>
    <w:rPr>
      <w:rFonts w:ascii="Arial" w:hAnsi="Arial" w:eastAsia="黑体"/>
      <w:sz w:val="24"/>
    </w:rPr>
  </w:style>
  <w:style w:type="character" w:customStyle="1" w:styleId="75">
    <w:name w:val="标题 9 字符1"/>
    <w:link w:val="12"/>
    <w:autoRedefine/>
    <w:qFormat/>
    <w:uiPriority w:val="0"/>
    <w:rPr>
      <w:rFonts w:ascii="Arial" w:hAnsi="Arial" w:eastAsia="黑体"/>
      <w:sz w:val="21"/>
    </w:rPr>
  </w:style>
  <w:style w:type="character" w:customStyle="1" w:styleId="76">
    <w:name w:val="文档结构图 字符1"/>
    <w:link w:val="18"/>
    <w:autoRedefine/>
    <w:qFormat/>
    <w:uiPriority w:val="0"/>
    <w:rPr>
      <w:kern w:val="2"/>
      <w:sz w:val="21"/>
      <w:szCs w:val="24"/>
      <w:shd w:val="clear" w:color="auto" w:fill="000080"/>
    </w:rPr>
  </w:style>
  <w:style w:type="character" w:customStyle="1" w:styleId="77">
    <w:name w:val="批注文字 字符3"/>
    <w:link w:val="19"/>
    <w:autoRedefine/>
    <w:qFormat/>
    <w:uiPriority w:val="99"/>
    <w:rPr>
      <w:kern w:val="2"/>
      <w:sz w:val="21"/>
      <w:szCs w:val="24"/>
    </w:rPr>
  </w:style>
  <w:style w:type="character" w:customStyle="1" w:styleId="78">
    <w:name w:val="正文文本 3 字符1"/>
    <w:link w:val="20"/>
    <w:autoRedefine/>
    <w:qFormat/>
    <w:uiPriority w:val="0"/>
    <w:rPr>
      <w:kern w:val="2"/>
      <w:sz w:val="16"/>
      <w:szCs w:val="16"/>
    </w:rPr>
  </w:style>
  <w:style w:type="character" w:customStyle="1" w:styleId="79">
    <w:name w:val="正文文本 字符1"/>
    <w:link w:val="21"/>
    <w:autoRedefine/>
    <w:qFormat/>
    <w:uiPriority w:val="99"/>
    <w:rPr>
      <w:rFonts w:ascii="宋体" w:hAnsi="宋体"/>
      <w:kern w:val="2"/>
      <w:sz w:val="24"/>
      <w:szCs w:val="24"/>
    </w:rPr>
  </w:style>
  <w:style w:type="character" w:customStyle="1" w:styleId="80">
    <w:name w:val="正文文本缩进 字符1"/>
    <w:link w:val="22"/>
    <w:autoRedefine/>
    <w:qFormat/>
    <w:uiPriority w:val="0"/>
    <w:rPr>
      <w:rFonts w:eastAsia="宋体"/>
      <w:kern w:val="2"/>
      <w:sz w:val="24"/>
      <w:szCs w:val="24"/>
      <w:lang w:val="en-US" w:eastAsia="zh-CN" w:bidi="ar-SA"/>
    </w:rPr>
  </w:style>
  <w:style w:type="character" w:customStyle="1" w:styleId="81">
    <w:name w:val="纯文本 字符2"/>
    <w:link w:val="28"/>
    <w:autoRedefine/>
    <w:qFormat/>
    <w:uiPriority w:val="99"/>
    <w:rPr>
      <w:rFonts w:hint="eastAsia" w:ascii="宋体" w:hAnsi="Courier New" w:eastAsia="宋体" w:cs="宋体"/>
      <w:kern w:val="2"/>
      <w:sz w:val="21"/>
    </w:rPr>
  </w:style>
  <w:style w:type="character" w:customStyle="1" w:styleId="82">
    <w:name w:val="日期 字符2"/>
    <w:link w:val="30"/>
    <w:autoRedefine/>
    <w:qFormat/>
    <w:uiPriority w:val="99"/>
    <w:rPr>
      <w:rFonts w:ascii="仿宋_GB2312" w:hAnsi="宋体" w:eastAsia="仿宋_GB2312"/>
      <w:color w:val="000000"/>
      <w:kern w:val="2"/>
      <w:sz w:val="24"/>
      <w:szCs w:val="24"/>
    </w:rPr>
  </w:style>
  <w:style w:type="character" w:customStyle="1" w:styleId="83">
    <w:name w:val="正文文本缩进 2 字符1"/>
    <w:link w:val="31"/>
    <w:autoRedefine/>
    <w:qFormat/>
    <w:uiPriority w:val="0"/>
    <w:rPr>
      <w:rFonts w:ascii="仿宋_GB2312" w:eastAsia="仿宋_GB2312"/>
      <w:kern w:val="2"/>
      <w:sz w:val="24"/>
      <w:szCs w:val="24"/>
    </w:rPr>
  </w:style>
  <w:style w:type="character" w:customStyle="1" w:styleId="84">
    <w:name w:val="批注框文本 字符2"/>
    <w:link w:val="32"/>
    <w:autoRedefine/>
    <w:qFormat/>
    <w:uiPriority w:val="0"/>
    <w:rPr>
      <w:kern w:val="2"/>
      <w:sz w:val="18"/>
      <w:szCs w:val="18"/>
    </w:rPr>
  </w:style>
  <w:style w:type="character" w:customStyle="1" w:styleId="85">
    <w:name w:val="页脚 字符2"/>
    <w:link w:val="33"/>
    <w:autoRedefine/>
    <w:qFormat/>
    <w:uiPriority w:val="0"/>
    <w:rPr>
      <w:rFonts w:ascii="宋体" w:eastAsia="宋体"/>
      <w:sz w:val="18"/>
      <w:lang w:val="en-US" w:eastAsia="zh-CN" w:bidi="ar-SA"/>
    </w:rPr>
  </w:style>
  <w:style w:type="character" w:customStyle="1" w:styleId="86">
    <w:name w:val="页眉 字符2"/>
    <w:link w:val="34"/>
    <w:autoRedefine/>
    <w:qFormat/>
    <w:uiPriority w:val="99"/>
    <w:rPr>
      <w:rFonts w:eastAsia="宋体"/>
      <w:kern w:val="2"/>
      <w:sz w:val="18"/>
      <w:szCs w:val="18"/>
      <w:lang w:val="en-US" w:eastAsia="zh-CN" w:bidi="ar-SA"/>
    </w:rPr>
  </w:style>
  <w:style w:type="character" w:customStyle="1" w:styleId="87">
    <w:name w:val="正文文本缩进 3 字符1"/>
    <w:link w:val="40"/>
    <w:autoRedefine/>
    <w:qFormat/>
    <w:uiPriority w:val="99"/>
    <w:rPr>
      <w:rFonts w:ascii="宋体"/>
      <w:sz w:val="24"/>
    </w:rPr>
  </w:style>
  <w:style w:type="character" w:customStyle="1" w:styleId="88">
    <w:name w:val="HTML 预设格式 字符1"/>
    <w:link w:val="45"/>
    <w:autoRedefine/>
    <w:qFormat/>
    <w:uiPriority w:val="0"/>
    <w:rPr>
      <w:rFonts w:ascii="宋体" w:hAnsi="宋体" w:cs="宋体"/>
      <w:sz w:val="24"/>
      <w:szCs w:val="24"/>
    </w:rPr>
  </w:style>
  <w:style w:type="character" w:customStyle="1" w:styleId="89">
    <w:name w:val="标题 字符1"/>
    <w:link w:val="48"/>
    <w:autoRedefine/>
    <w:qFormat/>
    <w:uiPriority w:val="0"/>
    <w:rPr>
      <w:b/>
      <w:kern w:val="2"/>
      <w:sz w:val="32"/>
    </w:rPr>
  </w:style>
  <w:style w:type="character" w:customStyle="1" w:styleId="90">
    <w:name w:val="批注主题 字符2"/>
    <w:link w:val="49"/>
    <w:autoRedefine/>
    <w:qFormat/>
    <w:uiPriority w:val="0"/>
    <w:rPr>
      <w:rFonts w:ascii="Times New Roman" w:hAnsi="Times New Roman" w:eastAsia="宋体" w:cs="Times New Roman"/>
      <w:b/>
      <w:bCs/>
      <w:kern w:val="2"/>
      <w:sz w:val="21"/>
      <w:szCs w:val="24"/>
      <w:lang w:val="en-US" w:eastAsia="zh-CN" w:bidi="ar-SA"/>
    </w:rPr>
  </w:style>
  <w:style w:type="character" w:customStyle="1" w:styleId="91">
    <w:name w:val="正文文本首行缩进 2 字符"/>
    <w:link w:val="51"/>
    <w:autoRedefine/>
    <w:qFormat/>
    <w:uiPriority w:val="99"/>
    <w:rPr>
      <w:rFonts w:eastAsia="宋体"/>
      <w:kern w:val="2"/>
      <w:sz w:val="24"/>
      <w:szCs w:val="24"/>
      <w:lang w:val="en-US" w:eastAsia="zh-CN" w:bidi="ar-SA"/>
    </w:rPr>
  </w:style>
  <w:style w:type="character" w:customStyle="1" w:styleId="92">
    <w:name w:val="批注文字 字符"/>
    <w:autoRedefine/>
    <w:qFormat/>
    <w:uiPriority w:val="99"/>
    <w:rPr>
      <w:rFonts w:ascii="Times New Roman" w:hAnsi="Times New Roman" w:eastAsia="宋体" w:cs="Times New Roman"/>
      <w:sz w:val="24"/>
      <w:lang w:val="en-US" w:eastAsia="zh-CN" w:bidi="ar-SA"/>
    </w:rPr>
  </w:style>
  <w:style w:type="character" w:customStyle="1" w:styleId="93">
    <w:name w:val="c21"/>
    <w:autoRedefine/>
    <w:qFormat/>
    <w:uiPriority w:val="0"/>
    <w:rPr>
      <w:rFonts w:hint="default" w:ascii="ˎ̥" w:hAnsi="ˎ̥"/>
      <w:color w:val="000000"/>
      <w:sz w:val="20"/>
      <w:szCs w:val="20"/>
      <w:u w:val="none"/>
    </w:rPr>
  </w:style>
  <w:style w:type="character" w:customStyle="1" w:styleId="94">
    <w:name w:val="title4"/>
    <w:autoRedefine/>
    <w:qFormat/>
    <w:uiPriority w:val="0"/>
    <w:rPr>
      <w:b/>
      <w:bCs/>
      <w:color w:val="1D87B3"/>
      <w:sz w:val="15"/>
      <w:szCs w:val="15"/>
    </w:rPr>
  </w:style>
  <w:style w:type="character" w:customStyle="1" w:styleId="95">
    <w:name w:val="标题 2 Char Char"/>
    <w:autoRedefine/>
    <w:qFormat/>
    <w:uiPriority w:val="0"/>
    <w:rPr>
      <w:rFonts w:ascii="Arial" w:hAnsi="Arial" w:eastAsia="黑体"/>
      <w:b/>
      <w:bCs/>
      <w:kern w:val="2"/>
      <w:sz w:val="32"/>
      <w:szCs w:val="32"/>
      <w:lang w:val="en-US" w:eastAsia="zh-CN" w:bidi="ar-SA"/>
    </w:rPr>
  </w:style>
  <w:style w:type="character" w:customStyle="1" w:styleId="96">
    <w:name w:val="black1"/>
    <w:autoRedefine/>
    <w:qFormat/>
    <w:uiPriority w:val="0"/>
    <w:rPr>
      <w:color w:val="000000"/>
    </w:rPr>
  </w:style>
  <w:style w:type="character" w:customStyle="1" w:styleId="97">
    <w:name w:val="street-address"/>
    <w:autoRedefine/>
    <w:qFormat/>
    <w:uiPriority w:val="0"/>
  </w:style>
  <w:style w:type="character" w:customStyle="1" w:styleId="98">
    <w:name w:val="locality"/>
    <w:autoRedefine/>
    <w:qFormat/>
    <w:uiPriority w:val="0"/>
  </w:style>
  <w:style w:type="character" w:customStyle="1" w:styleId="99">
    <w:name w:val="正文文本缩进 Char1"/>
    <w:link w:val="100"/>
    <w:autoRedefine/>
    <w:qFormat/>
    <w:uiPriority w:val="0"/>
    <w:rPr>
      <w:rFonts w:ascii="宋体" w:hAnsi="宋体" w:eastAsia="宋体"/>
      <w:sz w:val="24"/>
      <w:szCs w:val="24"/>
      <w:lang w:bidi="ar-SA"/>
    </w:rPr>
  </w:style>
  <w:style w:type="paragraph" w:customStyle="1" w:styleId="100">
    <w:name w:val="正文文本缩进1"/>
    <w:basedOn w:val="1"/>
    <w:link w:val="99"/>
    <w:autoRedefine/>
    <w:qFormat/>
    <w:uiPriority w:val="0"/>
    <w:pPr>
      <w:spacing w:line="480" w:lineRule="exact"/>
      <w:ind w:firstLine="480" w:firstLineChars="200"/>
    </w:pPr>
    <w:rPr>
      <w:rFonts w:ascii="宋体" w:hAnsi="宋体"/>
      <w:kern w:val="0"/>
      <w:sz w:val="24"/>
    </w:rPr>
  </w:style>
  <w:style w:type="character" w:customStyle="1" w:styleId="101">
    <w:name w:val="Char Char11"/>
    <w:autoRedefine/>
    <w:qFormat/>
    <w:uiPriority w:val="0"/>
    <w:rPr>
      <w:rFonts w:ascii="宋体" w:eastAsia="宋体"/>
      <w:b/>
      <w:sz w:val="24"/>
      <w:u w:val="single"/>
      <w:lang w:val="en-US" w:eastAsia="zh-CN" w:bidi="ar-SA"/>
    </w:rPr>
  </w:style>
  <w:style w:type="character" w:customStyle="1" w:styleId="102">
    <w:name w:val="txt"/>
    <w:autoRedefine/>
    <w:qFormat/>
    <w:uiPriority w:val="0"/>
  </w:style>
  <w:style w:type="character" w:customStyle="1" w:styleId="103">
    <w:name w:val="正文缩进 Char Char"/>
    <w:link w:val="104"/>
    <w:autoRedefine/>
    <w:qFormat/>
    <w:uiPriority w:val="0"/>
    <w:rPr>
      <w:rFonts w:ascii="宋体" w:eastAsia="宋体"/>
      <w:snapToGrid w:val="0"/>
      <w:color w:val="000000"/>
      <w:kern w:val="28"/>
      <w:sz w:val="28"/>
      <w:lang w:bidi="ar-SA"/>
    </w:rPr>
  </w:style>
  <w:style w:type="paragraph" w:customStyle="1" w:styleId="104">
    <w:name w:val="正文缩进1"/>
    <w:basedOn w:val="1"/>
    <w:link w:val="103"/>
    <w:autoRedefine/>
    <w:qFormat/>
    <w:uiPriority w:val="0"/>
    <w:pPr>
      <w:widowControl/>
      <w:adjustRightInd w:val="0"/>
      <w:snapToGrid w:val="0"/>
      <w:spacing w:line="480" w:lineRule="exact"/>
      <w:ind w:firstLine="567"/>
    </w:pPr>
    <w:rPr>
      <w:rFonts w:ascii="宋体"/>
      <w:snapToGrid w:val="0"/>
      <w:color w:val="000000"/>
      <w:kern w:val="28"/>
      <w:sz w:val="28"/>
      <w:szCs w:val="20"/>
    </w:rPr>
  </w:style>
  <w:style w:type="character" w:customStyle="1" w:styleId="105">
    <w:name w:val="普通文字1 Char1"/>
    <w:autoRedefine/>
    <w:qFormat/>
    <w:uiPriority w:val="0"/>
    <w:rPr>
      <w:rFonts w:ascii="宋体" w:hAnsi="Courier New" w:eastAsia="宋体"/>
      <w:kern w:val="2"/>
      <w:sz w:val="21"/>
      <w:lang w:val="en-US" w:eastAsia="zh-CN" w:bidi="ar-SA"/>
    </w:rPr>
  </w:style>
  <w:style w:type="character" w:customStyle="1" w:styleId="106">
    <w:name w:val="chanpin1"/>
    <w:autoRedefine/>
    <w:qFormat/>
    <w:uiPriority w:val="0"/>
    <w:rPr>
      <w:rFonts w:hint="default" w:ascii="ˎ̥" w:hAnsi="ˎ̥"/>
      <w:color w:val="000000"/>
      <w:sz w:val="20"/>
      <w:szCs w:val="20"/>
      <w:u w:val="none"/>
    </w:rPr>
  </w:style>
  <w:style w:type="character" w:customStyle="1" w:styleId="107">
    <w:name w:val="列表段落 字符1"/>
    <w:link w:val="15"/>
    <w:autoRedefine/>
    <w:qFormat/>
    <w:uiPriority w:val="34"/>
    <w:rPr>
      <w:rFonts w:ascii="Calibri" w:hAnsi="Calibri" w:eastAsia="宋体"/>
      <w:kern w:val="2"/>
      <w:sz w:val="21"/>
      <w:szCs w:val="22"/>
      <w:lang w:val="en-US" w:eastAsia="zh-CN" w:bidi="ar-SA"/>
    </w:rPr>
  </w:style>
  <w:style w:type="character" w:customStyle="1" w:styleId="108">
    <w:name w:val="标题 3 Char Char"/>
    <w:autoRedefine/>
    <w:qFormat/>
    <w:uiPriority w:val="0"/>
    <w:rPr>
      <w:rFonts w:eastAsia="宋体"/>
      <w:b/>
      <w:bCs/>
      <w:kern w:val="2"/>
      <w:sz w:val="32"/>
      <w:szCs w:val="32"/>
      <w:lang w:val="en-US" w:eastAsia="zh-CN" w:bidi="ar-SA"/>
    </w:rPr>
  </w:style>
  <w:style w:type="character" w:customStyle="1" w:styleId="109">
    <w:name w:val="段1 Char"/>
    <w:autoRedefine/>
    <w:qFormat/>
    <w:uiPriority w:val="0"/>
    <w:rPr>
      <w:rFonts w:ascii="宋体" w:eastAsia="宋体"/>
      <w:sz w:val="24"/>
      <w:lang w:val="en-US" w:eastAsia="zh-CN" w:bidi="ar-SA"/>
    </w:rPr>
  </w:style>
  <w:style w:type="character" w:customStyle="1" w:styleId="110">
    <w:name w:val="chanpin拷贝"/>
    <w:autoRedefine/>
    <w:qFormat/>
    <w:uiPriority w:val="0"/>
  </w:style>
  <w:style w:type="character" w:customStyle="1" w:styleId="111">
    <w:name w:val="纯文本 Char1"/>
    <w:autoRedefine/>
    <w:qFormat/>
    <w:uiPriority w:val="0"/>
    <w:rPr>
      <w:rFonts w:ascii="宋体" w:hAnsi="Courier New" w:eastAsia="宋体"/>
      <w:kern w:val="2"/>
      <w:sz w:val="21"/>
      <w:lang w:val="en-US" w:eastAsia="zh-CN" w:bidi="ar-SA"/>
    </w:rPr>
  </w:style>
  <w:style w:type="character" w:customStyle="1" w:styleId="112">
    <w:name w:val="apple-style-span"/>
    <w:autoRedefine/>
    <w:qFormat/>
    <w:uiPriority w:val="0"/>
    <w:rPr>
      <w:rFonts w:cs="Times New Roman"/>
    </w:rPr>
  </w:style>
  <w:style w:type="paragraph" w:customStyle="1" w:styleId="113">
    <w:name w:val="二级条标题"/>
    <w:basedOn w:val="114"/>
    <w:next w:val="1"/>
    <w:autoRedefine/>
    <w:qFormat/>
    <w:uiPriority w:val="99"/>
    <w:pPr>
      <w:numPr>
        <w:ilvl w:val="0"/>
        <w:numId w:val="0"/>
      </w:numPr>
      <w:tabs>
        <w:tab w:val="left" w:pos="360"/>
        <w:tab w:val="left" w:pos="840"/>
      </w:tabs>
      <w:ind w:hanging="840"/>
      <w:outlineLvl w:val="2"/>
    </w:pPr>
    <w:rPr>
      <w:rFonts w:ascii="宋体" w:eastAsia="宋体"/>
      <w:b w:val="0"/>
    </w:rPr>
  </w:style>
  <w:style w:type="paragraph" w:customStyle="1" w:styleId="114">
    <w:name w:val="一级条标题"/>
    <w:basedOn w:val="115"/>
    <w:next w:val="1"/>
    <w:autoRedefine/>
    <w:qFormat/>
    <w:uiPriority w:val="99"/>
    <w:pPr>
      <w:numPr>
        <w:ilvl w:val="1"/>
      </w:numPr>
      <w:tabs>
        <w:tab w:val="left" w:pos="360"/>
        <w:tab w:val="left" w:pos="840"/>
      </w:tabs>
      <w:ind w:left="0" w:hanging="840"/>
      <w:outlineLvl w:val="1"/>
    </w:pPr>
  </w:style>
  <w:style w:type="paragraph" w:customStyle="1" w:styleId="115">
    <w:name w:val="章标题"/>
    <w:next w:val="1"/>
    <w:autoRedefine/>
    <w:qFormat/>
    <w:uiPriority w:val="99"/>
    <w:pPr>
      <w:numPr>
        <w:ilvl w:val="0"/>
        <w:numId w:val="1"/>
      </w:numPr>
      <w:spacing w:beforeLines="50" w:afterLines="50" w:line="460" w:lineRule="exact"/>
      <w:ind w:left="0"/>
      <w:jc w:val="both"/>
      <w:outlineLvl w:val="0"/>
    </w:pPr>
    <w:rPr>
      <w:rFonts w:ascii="黑体" w:hAnsi="Times New Roman" w:eastAsia="黑体" w:cs="Times New Roman"/>
      <w:b/>
      <w:sz w:val="28"/>
      <w:lang w:val="en-US" w:eastAsia="zh-CN" w:bidi="ar-SA"/>
    </w:rPr>
  </w:style>
  <w:style w:type="paragraph" w:customStyle="1" w:styleId="116">
    <w:name w:val="font7"/>
    <w:basedOn w:val="1"/>
    <w:autoRedefine/>
    <w:qFormat/>
    <w:uiPriority w:val="99"/>
    <w:pPr>
      <w:widowControl/>
      <w:spacing w:before="100" w:beforeAutospacing="1" w:after="100" w:afterAutospacing="1"/>
      <w:jc w:val="left"/>
    </w:pPr>
    <w:rPr>
      <w:rFonts w:eastAsia="Arial Unicode MS"/>
      <w:b/>
      <w:bCs/>
      <w:color w:val="000000"/>
      <w:kern w:val="0"/>
      <w:sz w:val="20"/>
      <w:szCs w:val="20"/>
    </w:rPr>
  </w:style>
  <w:style w:type="paragraph" w:customStyle="1" w:styleId="117">
    <w:name w:val="字元 字元"/>
    <w:basedOn w:val="1"/>
    <w:autoRedefine/>
    <w:qFormat/>
    <w:uiPriority w:val="99"/>
    <w:rPr>
      <w:rFonts w:ascii="Tahoma" w:hAnsi="Tahoma"/>
      <w:sz w:val="24"/>
      <w:szCs w:val="20"/>
    </w:rPr>
  </w:style>
  <w:style w:type="paragraph" w:customStyle="1" w:styleId="118">
    <w:name w:val="Char3 Char Char Char"/>
    <w:basedOn w:val="1"/>
    <w:autoRedefine/>
    <w:qFormat/>
    <w:uiPriority w:val="99"/>
    <w:rPr>
      <w:rFonts w:ascii="Tahoma" w:hAnsi="Tahoma"/>
      <w:sz w:val="24"/>
      <w:szCs w:val="20"/>
    </w:rPr>
  </w:style>
  <w:style w:type="paragraph" w:customStyle="1" w:styleId="119">
    <w:name w:val="font6"/>
    <w:basedOn w:val="1"/>
    <w:autoRedefine/>
    <w:qFormat/>
    <w:uiPriority w:val="99"/>
    <w:pPr>
      <w:widowControl/>
      <w:spacing w:before="100" w:beforeAutospacing="1" w:after="100" w:afterAutospacing="1"/>
      <w:jc w:val="left"/>
    </w:pPr>
    <w:rPr>
      <w:rFonts w:ascii="宋体" w:hAnsi="宋体" w:cs="宋体"/>
      <w:kern w:val="0"/>
      <w:sz w:val="20"/>
      <w:szCs w:val="20"/>
    </w:rPr>
  </w:style>
  <w:style w:type="paragraph" w:customStyle="1" w:styleId="120">
    <w:name w:val="项目编号2"/>
    <w:basedOn w:val="121"/>
    <w:autoRedefine/>
    <w:qFormat/>
    <w:uiPriority w:val="99"/>
    <w:pPr>
      <w:numPr>
        <w:numId w:val="2"/>
      </w:numPr>
    </w:pPr>
  </w:style>
  <w:style w:type="paragraph" w:customStyle="1" w:styleId="121">
    <w:name w:val="项目编号1"/>
    <w:basedOn w:val="1"/>
    <w:autoRedefine/>
    <w:qFormat/>
    <w:uiPriority w:val="99"/>
    <w:pPr>
      <w:numPr>
        <w:ilvl w:val="0"/>
        <w:numId w:val="3"/>
      </w:numPr>
      <w:spacing w:before="100" w:beforeAutospacing="1" w:after="100" w:afterAutospacing="1" w:line="360" w:lineRule="auto"/>
    </w:pPr>
    <w:rPr>
      <w:sz w:val="24"/>
    </w:rPr>
  </w:style>
  <w:style w:type="paragraph" w:customStyle="1" w:styleId="122">
    <w:name w:val="图中文字"/>
    <w:basedOn w:val="1"/>
    <w:autoRedefine/>
    <w:qFormat/>
    <w:uiPriority w:val="99"/>
    <w:pPr>
      <w:adjustRightInd w:val="0"/>
      <w:snapToGrid w:val="0"/>
      <w:spacing w:line="0" w:lineRule="atLeast"/>
      <w:jc w:val="center"/>
    </w:pPr>
    <w:rPr>
      <w:sz w:val="24"/>
      <w:szCs w:val="20"/>
    </w:rPr>
  </w:style>
  <w:style w:type="paragraph" w:customStyle="1" w:styleId="123">
    <w:name w:val="xl46"/>
    <w:basedOn w:val="1"/>
    <w:autoRedefine/>
    <w:qFormat/>
    <w:uiPriority w:val="99"/>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24">
    <w:name w:val="xl2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eastAsia="Arial Unicode MS" w:cs="Arial Unicode MS"/>
      <w:b/>
      <w:bCs/>
      <w:color w:val="000000"/>
      <w:kern w:val="0"/>
      <w:sz w:val="20"/>
      <w:szCs w:val="20"/>
    </w:rPr>
  </w:style>
  <w:style w:type="paragraph" w:customStyle="1" w:styleId="125">
    <w:name w:val="Char2"/>
    <w:basedOn w:val="1"/>
    <w:autoRedefine/>
    <w:qFormat/>
    <w:uiPriority w:val="99"/>
    <w:rPr>
      <w:rFonts w:ascii="Tahoma" w:hAnsi="Tahoma"/>
      <w:sz w:val="24"/>
      <w:szCs w:val="20"/>
    </w:rPr>
  </w:style>
  <w:style w:type="paragraph" w:customStyle="1" w:styleId="126">
    <w:name w:val="xl35"/>
    <w:basedOn w:val="1"/>
    <w:autoRedefine/>
    <w:qFormat/>
    <w:uiPriority w:val="99"/>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27">
    <w:name w:val="xl4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28">
    <w:name w:val="xl5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16"/>
      <w:szCs w:val="16"/>
    </w:rPr>
  </w:style>
  <w:style w:type="paragraph" w:customStyle="1" w:styleId="129">
    <w:name w:val="xl43"/>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30">
    <w:name w:val="background1"/>
    <w:basedOn w:val="1"/>
    <w:autoRedefine/>
    <w:qFormat/>
    <w:uiPriority w:val="99"/>
    <w:pPr>
      <w:widowControl/>
      <w:spacing w:before="100" w:beforeAutospacing="1" w:after="100" w:afterAutospacing="1"/>
      <w:jc w:val="left"/>
    </w:pPr>
    <w:rPr>
      <w:rFonts w:ascii="宋体" w:hAnsi="宋体" w:cs="宋体"/>
      <w:kern w:val="0"/>
      <w:sz w:val="24"/>
    </w:rPr>
  </w:style>
  <w:style w:type="paragraph" w:customStyle="1" w:styleId="131">
    <w:name w:val="Char Char Char Char Char Char Char"/>
    <w:basedOn w:val="1"/>
    <w:autoRedefine/>
    <w:qFormat/>
    <w:uiPriority w:val="99"/>
    <w:pPr>
      <w:snapToGrid w:val="0"/>
      <w:spacing w:line="360" w:lineRule="auto"/>
      <w:ind w:firstLine="200" w:firstLineChars="200"/>
    </w:pPr>
    <w:rPr>
      <w:rFonts w:eastAsia="仿宋_GB2312"/>
      <w:sz w:val="24"/>
    </w:rPr>
  </w:style>
  <w:style w:type="paragraph" w:customStyle="1" w:styleId="132">
    <w:name w:val="xl3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16"/>
      <w:szCs w:val="16"/>
    </w:rPr>
  </w:style>
  <w:style w:type="paragraph" w:customStyle="1" w:styleId="133">
    <w:name w:val="xl36"/>
    <w:basedOn w:val="1"/>
    <w:autoRedefine/>
    <w:qFormat/>
    <w:uiPriority w:val="99"/>
    <w:pPr>
      <w:widowControl/>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34">
    <w:name w:val="正文 + 宋体"/>
    <w:basedOn w:val="1"/>
    <w:autoRedefine/>
    <w:qFormat/>
    <w:uiPriority w:val="99"/>
    <w:pPr>
      <w:widowControl/>
      <w:ind w:left="360" w:hanging="360"/>
      <w:jc w:val="left"/>
    </w:pPr>
    <w:rPr>
      <w:rFonts w:ascii="宋体" w:hAnsi="宋体" w:cs="宋体"/>
      <w:b/>
      <w:bCs/>
      <w:color w:val="000000"/>
      <w:kern w:val="0"/>
      <w:sz w:val="18"/>
      <w:szCs w:val="18"/>
    </w:rPr>
  </w:style>
  <w:style w:type="paragraph" w:customStyle="1" w:styleId="135">
    <w:name w:val="正文列项_数字"/>
    <w:basedOn w:val="1"/>
    <w:autoRedefine/>
    <w:qFormat/>
    <w:uiPriority w:val="99"/>
    <w:pPr>
      <w:numPr>
        <w:ilvl w:val="7"/>
        <w:numId w:val="1"/>
      </w:numPr>
      <w:tabs>
        <w:tab w:val="clear" w:pos="860"/>
      </w:tabs>
      <w:autoSpaceDE w:val="0"/>
      <w:autoSpaceDN w:val="0"/>
      <w:spacing w:line="460" w:lineRule="exact"/>
      <w:ind w:left="680" w:leftChars="530" w:hanging="150" w:hangingChars="150"/>
      <w:outlineLvl w:val="7"/>
    </w:pPr>
    <w:rPr>
      <w:rFonts w:ascii="宋体"/>
      <w:kern w:val="0"/>
      <w:sz w:val="28"/>
      <w:szCs w:val="20"/>
    </w:rPr>
  </w:style>
  <w:style w:type="paragraph" w:customStyle="1" w:styleId="136">
    <w:name w:val="xl3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37">
    <w:name w:val="xl37"/>
    <w:basedOn w:val="1"/>
    <w:autoRedefine/>
    <w:qFormat/>
    <w:uiPriority w:val="99"/>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38">
    <w:name w:val="xl3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color w:val="000000"/>
      <w:kern w:val="0"/>
      <w:sz w:val="20"/>
      <w:szCs w:val="20"/>
    </w:rPr>
  </w:style>
  <w:style w:type="paragraph" w:customStyle="1" w:styleId="139">
    <w:name w:val="font8"/>
    <w:basedOn w:val="1"/>
    <w:autoRedefine/>
    <w:qFormat/>
    <w:uiPriority w:val="99"/>
    <w:pPr>
      <w:widowControl/>
      <w:spacing w:before="100" w:beforeAutospacing="1" w:after="100" w:afterAutospacing="1"/>
      <w:jc w:val="left"/>
    </w:pPr>
    <w:rPr>
      <w:kern w:val="0"/>
      <w:sz w:val="36"/>
      <w:szCs w:val="36"/>
    </w:rPr>
  </w:style>
  <w:style w:type="paragraph" w:customStyle="1" w:styleId="140">
    <w:name w:val="Char"/>
    <w:basedOn w:val="1"/>
    <w:autoRedefine/>
    <w:qFormat/>
    <w:uiPriority w:val="99"/>
    <w:pPr>
      <w:tabs>
        <w:tab w:val="left" w:pos="360"/>
      </w:tabs>
    </w:pPr>
    <w:rPr>
      <w:sz w:val="24"/>
    </w:rPr>
  </w:style>
  <w:style w:type="paragraph" w:customStyle="1" w:styleId="141">
    <w:name w:val="Char Char Char Char Char Char Char Char Char Char Char Char Char Char Char Char"/>
    <w:basedOn w:val="1"/>
    <w:autoRedefine/>
    <w:qFormat/>
    <w:uiPriority w:val="99"/>
    <w:pPr>
      <w:widowControl/>
      <w:spacing w:after="160" w:line="240" w:lineRule="exact"/>
      <w:jc w:val="center"/>
    </w:pPr>
    <w:rPr>
      <w:rFonts w:ascii="宋体" w:hAnsi="宋体"/>
      <w:b/>
      <w:kern w:val="0"/>
      <w:sz w:val="30"/>
      <w:szCs w:val="30"/>
      <w:lang w:eastAsia="en-US"/>
    </w:rPr>
  </w:style>
  <w:style w:type="paragraph" w:customStyle="1" w:styleId="142">
    <w:name w:val="xl45"/>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43">
    <w:name w:val="Char Char1 Char Char Char Char Char Char"/>
    <w:basedOn w:val="1"/>
    <w:autoRedefine/>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144">
    <w:name w:val="Char Char1"/>
    <w:basedOn w:val="18"/>
    <w:autoRedefine/>
    <w:qFormat/>
    <w:uiPriority w:val="99"/>
    <w:rPr>
      <w:rFonts w:ascii="Tahoma" w:hAnsi="Tahoma"/>
      <w:sz w:val="24"/>
    </w:rPr>
  </w:style>
  <w:style w:type="paragraph" w:customStyle="1" w:styleId="145">
    <w:name w:val="xl2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2"/>
      <w:szCs w:val="22"/>
    </w:rPr>
  </w:style>
  <w:style w:type="paragraph" w:customStyle="1" w:styleId="146">
    <w:name w:val="xl3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47">
    <w:name w:val="xl41"/>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48">
    <w:name w:val="样式 宋体 五号 行距: 单倍行距"/>
    <w:basedOn w:val="1"/>
    <w:autoRedefine/>
    <w:qFormat/>
    <w:uiPriority w:val="99"/>
    <w:pPr>
      <w:adjustRightInd w:val="0"/>
      <w:jc w:val="left"/>
      <w:textAlignment w:val="baseline"/>
    </w:pPr>
    <w:rPr>
      <w:rFonts w:ascii="宋体" w:hAnsi="宋体"/>
      <w:kern w:val="0"/>
      <w:szCs w:val="20"/>
    </w:rPr>
  </w:style>
  <w:style w:type="paragraph" w:customStyle="1" w:styleId="149">
    <w:name w:val="Char1 Char Char Char1"/>
    <w:basedOn w:val="1"/>
    <w:autoRedefine/>
    <w:qFormat/>
    <w:uiPriority w:val="99"/>
    <w:rPr>
      <w:rFonts w:ascii="Tahoma" w:hAnsi="Tahoma" w:cs="仿宋_GB2312"/>
      <w:sz w:val="24"/>
      <w:szCs w:val="28"/>
    </w:rPr>
  </w:style>
  <w:style w:type="paragraph" w:customStyle="1" w:styleId="150">
    <w:name w:val="四级条标题"/>
    <w:basedOn w:val="151"/>
    <w:next w:val="1"/>
    <w:autoRedefine/>
    <w:qFormat/>
    <w:uiPriority w:val="99"/>
    <w:pPr>
      <w:numPr>
        <w:ilvl w:val="4"/>
      </w:numPr>
      <w:tabs>
        <w:tab w:val="left" w:pos="360"/>
        <w:tab w:val="left" w:pos="840"/>
      </w:tabs>
      <w:ind w:left="0" w:hanging="840"/>
      <w:outlineLvl w:val="4"/>
    </w:pPr>
  </w:style>
  <w:style w:type="paragraph" w:customStyle="1" w:styleId="151">
    <w:name w:val="三级条标题"/>
    <w:basedOn w:val="113"/>
    <w:next w:val="1"/>
    <w:autoRedefine/>
    <w:qFormat/>
    <w:uiPriority w:val="99"/>
    <w:pPr>
      <w:numPr>
        <w:ilvl w:val="3"/>
        <w:numId w:val="1"/>
      </w:numPr>
      <w:ind w:left="0" w:hanging="840"/>
      <w:outlineLvl w:val="3"/>
    </w:pPr>
  </w:style>
  <w:style w:type="paragraph" w:customStyle="1" w:styleId="152">
    <w:name w:val="??"/>
    <w:autoRedefine/>
    <w:qFormat/>
    <w:uiPriority w:val="99"/>
    <w:pPr>
      <w:widowControl w:val="0"/>
      <w:overflowPunct w:val="0"/>
      <w:autoSpaceDE w:val="0"/>
      <w:autoSpaceDN w:val="0"/>
      <w:adjustRightInd w:val="0"/>
      <w:jc w:val="both"/>
    </w:pPr>
    <w:rPr>
      <w:rFonts w:ascii="Times New Roman" w:hAnsi="Times New Roman" w:eastAsia="宋体" w:cs="Times New Roman"/>
      <w:kern w:val="2"/>
      <w:sz w:val="21"/>
      <w:lang w:val="en-US" w:eastAsia="en-US" w:bidi="ar-SA"/>
    </w:rPr>
  </w:style>
  <w:style w:type="paragraph" w:customStyle="1" w:styleId="153">
    <w:name w:val="样式 标题 2 + 宋体 五号 行距: 单倍行距"/>
    <w:basedOn w:val="4"/>
    <w:autoRedefine/>
    <w:qFormat/>
    <w:uiPriority w:val="99"/>
    <w:pPr>
      <w:numPr>
        <w:ilvl w:val="1"/>
        <w:numId w:val="4"/>
      </w:numPr>
      <w:autoSpaceDE/>
      <w:autoSpaceDN/>
      <w:spacing w:before="260" w:after="260" w:line="240" w:lineRule="auto"/>
      <w:jc w:val="left"/>
      <w:textAlignment w:val="baseline"/>
    </w:pPr>
    <w:rPr>
      <w:rFonts w:ascii="宋体" w:hAnsi="宋体" w:eastAsia="宋体"/>
      <w:bCs/>
      <w:sz w:val="21"/>
    </w:rPr>
  </w:style>
  <w:style w:type="paragraph" w:customStyle="1" w:styleId="154">
    <w:name w:val="List Paragraph1"/>
    <w:basedOn w:val="1"/>
    <w:autoRedefine/>
    <w:qFormat/>
    <w:uiPriority w:val="99"/>
    <w:pPr>
      <w:ind w:firstLine="420" w:firstLineChars="200"/>
    </w:pPr>
    <w:rPr>
      <w:rFonts w:ascii="Calibri" w:hAnsi="Calibri"/>
      <w:szCs w:val="22"/>
    </w:rPr>
  </w:style>
  <w:style w:type="paragraph" w:customStyle="1" w:styleId="155">
    <w:name w:val="项目符号1"/>
    <w:basedOn w:val="156"/>
    <w:autoRedefine/>
    <w:qFormat/>
    <w:uiPriority w:val="99"/>
    <w:pPr>
      <w:ind w:left="-25" w:firstLine="0"/>
    </w:pPr>
  </w:style>
  <w:style w:type="paragraph" w:customStyle="1" w:styleId="156">
    <w:name w:val="正文文本样式"/>
    <w:basedOn w:val="1"/>
    <w:autoRedefine/>
    <w:qFormat/>
    <w:uiPriority w:val="99"/>
    <w:pPr>
      <w:spacing w:line="360" w:lineRule="auto"/>
      <w:ind w:firstLine="482"/>
    </w:pPr>
    <w:rPr>
      <w:rFonts w:cs="宋体"/>
      <w:sz w:val="24"/>
      <w:szCs w:val="20"/>
    </w:rPr>
  </w:style>
  <w:style w:type="paragraph" w:customStyle="1" w:styleId="157">
    <w:name w:val="xl2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0"/>
      <w:szCs w:val="20"/>
    </w:rPr>
  </w:style>
  <w:style w:type="paragraph" w:customStyle="1" w:styleId="158">
    <w:name w:val="font5"/>
    <w:basedOn w:val="1"/>
    <w:autoRedefine/>
    <w:qFormat/>
    <w:uiPriority w:val="99"/>
    <w:pPr>
      <w:widowControl/>
      <w:spacing w:before="100" w:beforeAutospacing="1" w:after="100" w:afterAutospacing="1"/>
      <w:jc w:val="left"/>
    </w:pPr>
    <w:rPr>
      <w:rFonts w:ascii="宋体" w:hAnsi="宋体" w:cs="宋体"/>
      <w:kern w:val="0"/>
      <w:sz w:val="18"/>
      <w:szCs w:val="18"/>
    </w:rPr>
  </w:style>
  <w:style w:type="paragraph" w:customStyle="1" w:styleId="159">
    <w:name w:val="五级条标题"/>
    <w:basedOn w:val="150"/>
    <w:next w:val="1"/>
    <w:autoRedefine/>
    <w:qFormat/>
    <w:uiPriority w:val="99"/>
    <w:pPr>
      <w:numPr>
        <w:ilvl w:val="5"/>
      </w:numPr>
      <w:ind w:left="0" w:hanging="840"/>
      <w:outlineLvl w:val="5"/>
    </w:pPr>
  </w:style>
  <w:style w:type="paragraph" w:customStyle="1" w:styleId="160">
    <w:name w:val="xl4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2"/>
      <w:szCs w:val="22"/>
    </w:rPr>
  </w:style>
  <w:style w:type="paragraph" w:customStyle="1" w:styleId="161">
    <w:name w:val="文档正文"/>
    <w:basedOn w:val="1"/>
    <w:autoRedefine/>
    <w:qFormat/>
    <w:uiPriority w:val="99"/>
    <w:pPr>
      <w:snapToGrid w:val="0"/>
      <w:spacing w:before="120" w:after="120" w:line="180" w:lineRule="auto"/>
    </w:pPr>
    <w:rPr>
      <w:rFonts w:ascii="Arial" w:hAnsi="Arial"/>
      <w:szCs w:val="20"/>
    </w:rPr>
  </w:style>
  <w:style w:type="paragraph" w:customStyle="1" w:styleId="162">
    <w:name w:val="xl3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color w:val="000000"/>
      <w:kern w:val="0"/>
      <w:sz w:val="20"/>
      <w:szCs w:val="20"/>
    </w:rPr>
  </w:style>
  <w:style w:type="paragraph" w:customStyle="1" w:styleId="163">
    <w:name w:val="xl4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b/>
      <w:bCs/>
      <w:color w:val="000000"/>
      <w:kern w:val="0"/>
      <w:sz w:val="20"/>
      <w:szCs w:val="20"/>
    </w:rPr>
  </w:style>
  <w:style w:type="paragraph" w:customStyle="1" w:styleId="164">
    <w:name w:val="Char Char Char1 Char"/>
    <w:basedOn w:val="1"/>
    <w:autoRedefine/>
    <w:qFormat/>
    <w:uiPriority w:val="99"/>
    <w:rPr>
      <w:rFonts w:ascii="Tahoma" w:hAnsi="Tahoma"/>
      <w:sz w:val="24"/>
      <w:szCs w:val="20"/>
    </w:rPr>
  </w:style>
  <w:style w:type="paragraph" w:customStyle="1" w:styleId="165">
    <w:name w:val="xl44"/>
    <w:basedOn w:val="1"/>
    <w:autoRedefine/>
    <w:qFormat/>
    <w:uiPriority w:val="99"/>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166">
    <w:name w:val="1名"/>
    <w:basedOn w:val="1"/>
    <w:autoRedefine/>
    <w:qFormat/>
    <w:uiPriority w:val="99"/>
    <w:pPr>
      <w:numPr>
        <w:ilvl w:val="0"/>
        <w:numId w:val="5"/>
      </w:numPr>
      <w:spacing w:before="120"/>
    </w:pPr>
    <w:rPr>
      <w:rFonts w:ascii="宋体"/>
      <w:sz w:val="28"/>
      <w:szCs w:val="20"/>
    </w:rPr>
  </w:style>
  <w:style w:type="paragraph" w:customStyle="1" w:styleId="167">
    <w:name w:val="font9"/>
    <w:basedOn w:val="1"/>
    <w:autoRedefine/>
    <w:qFormat/>
    <w:uiPriority w:val="99"/>
    <w:pPr>
      <w:widowControl/>
      <w:spacing w:before="100" w:beforeAutospacing="1" w:after="100" w:afterAutospacing="1"/>
      <w:jc w:val="left"/>
    </w:pPr>
    <w:rPr>
      <w:rFonts w:hint="eastAsia" w:ascii="宋体" w:hAnsi="宋体" w:cs="Arial Unicode MS"/>
      <w:color w:val="000000"/>
      <w:kern w:val="0"/>
      <w:sz w:val="20"/>
      <w:szCs w:val="20"/>
    </w:rPr>
  </w:style>
  <w:style w:type="paragraph" w:customStyle="1" w:styleId="168">
    <w:name w:val="Char Char Char1 Char1"/>
    <w:basedOn w:val="1"/>
    <w:autoRedefine/>
    <w:qFormat/>
    <w:uiPriority w:val="99"/>
    <w:rPr>
      <w:rFonts w:ascii="Tahoma" w:hAnsi="Tahoma"/>
      <w:sz w:val="24"/>
      <w:szCs w:val="20"/>
    </w:rPr>
  </w:style>
  <w:style w:type="paragraph" w:customStyle="1" w:styleId="169">
    <w:name w:val="Char Char Char Char Char Char Char Char Char Char"/>
    <w:basedOn w:val="1"/>
    <w:autoRedefine/>
    <w:qFormat/>
    <w:uiPriority w:val="99"/>
  </w:style>
  <w:style w:type="paragraph" w:customStyle="1" w:styleId="170">
    <w:name w:val="Char Char1 Char Char Char Char Char Char Char Char"/>
    <w:basedOn w:val="1"/>
    <w:autoRedefine/>
    <w:qFormat/>
    <w:uiPriority w:val="99"/>
    <w:pPr>
      <w:widowControl/>
      <w:spacing w:after="160" w:line="240" w:lineRule="exact"/>
      <w:jc w:val="left"/>
    </w:pPr>
    <w:rPr>
      <w:rFonts w:ascii="Verdana" w:hAnsi="Verdana"/>
      <w:kern w:val="0"/>
      <w:sz w:val="20"/>
      <w:szCs w:val="20"/>
      <w:lang w:eastAsia="en-US"/>
    </w:rPr>
  </w:style>
  <w:style w:type="paragraph" w:customStyle="1" w:styleId="171">
    <w:name w:val="Char1"/>
    <w:basedOn w:val="1"/>
    <w:autoRedefine/>
    <w:qFormat/>
    <w:uiPriority w:val="99"/>
    <w:pPr>
      <w:tabs>
        <w:tab w:val="left" w:pos="360"/>
      </w:tabs>
    </w:pPr>
    <w:rPr>
      <w:sz w:val="24"/>
    </w:rPr>
  </w:style>
  <w:style w:type="paragraph" w:customStyle="1" w:styleId="172">
    <w:name w:val="正文列项_字母"/>
    <w:basedOn w:val="1"/>
    <w:autoRedefine/>
    <w:qFormat/>
    <w:uiPriority w:val="99"/>
    <w:pPr>
      <w:numPr>
        <w:ilvl w:val="6"/>
        <w:numId w:val="1"/>
      </w:numPr>
      <w:tabs>
        <w:tab w:val="clear" w:pos="635"/>
      </w:tabs>
      <w:autoSpaceDE w:val="0"/>
      <w:autoSpaceDN w:val="0"/>
      <w:spacing w:line="460" w:lineRule="exact"/>
      <w:ind w:left="480" w:leftChars="300" w:hanging="180" w:hangingChars="180"/>
      <w:outlineLvl w:val="6"/>
    </w:pPr>
    <w:rPr>
      <w:rFonts w:ascii="宋体"/>
      <w:kern w:val="0"/>
      <w:sz w:val="28"/>
      <w:szCs w:val="20"/>
    </w:rPr>
  </w:style>
  <w:style w:type="paragraph" w:customStyle="1" w:styleId="173">
    <w:name w:val="xl2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74">
    <w:name w:val="xl47"/>
    <w:basedOn w:val="1"/>
    <w:autoRedefine/>
    <w:qFormat/>
    <w:uiPriority w:val="99"/>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75">
    <w:name w:val="默认段落字体 Para Char Char Char Char"/>
    <w:basedOn w:val="1"/>
    <w:autoRedefine/>
    <w:qFormat/>
    <w:uiPriority w:val="99"/>
    <w:rPr>
      <w:rFonts w:ascii="Arial" w:hAnsi="Arial" w:cs="Arial"/>
      <w:szCs w:val="21"/>
    </w:rPr>
  </w:style>
  <w:style w:type="paragraph" w:customStyle="1" w:styleId="176">
    <w:name w:val="xl4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22"/>
      <w:szCs w:val="22"/>
    </w:rPr>
  </w:style>
  <w:style w:type="paragraph" w:customStyle="1" w:styleId="177">
    <w:name w:val="xl3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eastAsia="Arial Unicode MS"/>
      <w:color w:val="000000"/>
      <w:kern w:val="0"/>
      <w:sz w:val="20"/>
      <w:szCs w:val="20"/>
    </w:rPr>
  </w:style>
  <w:style w:type="paragraph" w:customStyle="1" w:styleId="178">
    <w:name w:val="xl5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cs="Arial Unicode MS"/>
      <w:b/>
      <w:bCs/>
      <w:color w:val="000000"/>
      <w:kern w:val="0"/>
      <w:sz w:val="20"/>
      <w:szCs w:val="20"/>
    </w:rPr>
  </w:style>
  <w:style w:type="paragraph" w:customStyle="1" w:styleId="179">
    <w:name w:val="Char Char Char"/>
    <w:basedOn w:val="1"/>
    <w:autoRedefine/>
    <w:qFormat/>
    <w:uiPriority w:val="99"/>
    <w:rPr>
      <w:rFonts w:ascii="Tahoma" w:hAnsi="Tahoma"/>
      <w:sz w:val="24"/>
      <w:szCs w:val="20"/>
    </w:rPr>
  </w:style>
  <w:style w:type="paragraph" w:customStyle="1" w:styleId="180">
    <w:name w:val="xl5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32"/>
      <w:szCs w:val="32"/>
    </w:rPr>
  </w:style>
  <w:style w:type="paragraph" w:customStyle="1" w:styleId="181">
    <w:name w:val="缺省文本"/>
    <w:basedOn w:val="1"/>
    <w:autoRedefine/>
    <w:qFormat/>
    <w:uiPriority w:val="99"/>
    <w:pPr>
      <w:autoSpaceDE w:val="0"/>
      <w:autoSpaceDN w:val="0"/>
      <w:adjustRightInd w:val="0"/>
      <w:jc w:val="left"/>
    </w:pPr>
    <w:rPr>
      <w:kern w:val="0"/>
      <w:sz w:val="24"/>
    </w:rPr>
  </w:style>
  <w:style w:type="paragraph" w:customStyle="1" w:styleId="182">
    <w:name w:val="Char Char Char1"/>
    <w:basedOn w:val="1"/>
    <w:autoRedefine/>
    <w:qFormat/>
    <w:uiPriority w:val="99"/>
    <w:rPr>
      <w:rFonts w:ascii="Tahoma" w:hAnsi="Tahoma"/>
      <w:sz w:val="24"/>
      <w:szCs w:val="20"/>
    </w:rPr>
  </w:style>
  <w:style w:type="paragraph" w:customStyle="1" w:styleId="183">
    <w:name w:val="Char Char Char Char Char Char Char1"/>
    <w:basedOn w:val="1"/>
    <w:autoRedefine/>
    <w:qFormat/>
    <w:uiPriority w:val="99"/>
    <w:pPr>
      <w:snapToGrid w:val="0"/>
      <w:spacing w:line="360" w:lineRule="auto"/>
      <w:ind w:firstLine="200" w:firstLineChars="200"/>
    </w:pPr>
    <w:rPr>
      <w:rFonts w:eastAsia="仿宋_GB2312"/>
      <w:sz w:val="24"/>
    </w:rPr>
  </w:style>
  <w:style w:type="paragraph" w:customStyle="1" w:styleId="184">
    <w:name w:val="xl5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20"/>
      <w:szCs w:val="20"/>
    </w:rPr>
  </w:style>
  <w:style w:type="paragraph" w:customStyle="1" w:styleId="185">
    <w:name w:val="样式2"/>
    <w:basedOn w:val="47"/>
    <w:autoRedefine/>
    <w:qFormat/>
    <w:uiPriority w:val="99"/>
    <w:pPr>
      <w:spacing w:line="360" w:lineRule="auto"/>
      <w:jc w:val="center"/>
    </w:pPr>
    <w:rPr>
      <w:sz w:val="24"/>
    </w:rPr>
  </w:style>
  <w:style w:type="paragraph" w:customStyle="1" w:styleId="186">
    <w:name w:val="xl2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87">
    <w:name w:val="xl2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188">
    <w:name w:val="正文 + 楷体_GB2312"/>
    <w:basedOn w:val="1"/>
    <w:autoRedefine/>
    <w:qFormat/>
    <w:uiPriority w:val="99"/>
    <w:pPr>
      <w:widowControl/>
      <w:jc w:val="left"/>
    </w:pPr>
    <w:rPr>
      <w:rFonts w:ascii="楷体_GB2312" w:eastAsia="楷体_GB2312" w:cs="Arial"/>
      <w:kern w:val="0"/>
      <w:sz w:val="24"/>
    </w:rPr>
  </w:style>
  <w:style w:type="paragraph" w:customStyle="1" w:styleId="189">
    <w:name w:val="xl3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6600"/>
      <w:kern w:val="0"/>
      <w:sz w:val="20"/>
      <w:szCs w:val="20"/>
    </w:rPr>
  </w:style>
  <w:style w:type="paragraph" w:customStyle="1" w:styleId="190">
    <w:name w:val="1 Char Char Char Char"/>
    <w:basedOn w:val="1"/>
    <w:autoRedefine/>
    <w:qFormat/>
    <w:uiPriority w:val="99"/>
    <w:rPr>
      <w:rFonts w:ascii="Tahoma" w:hAnsi="Tahoma"/>
      <w:sz w:val="24"/>
      <w:szCs w:val="20"/>
    </w:rPr>
  </w:style>
  <w:style w:type="paragraph" w:customStyle="1" w:styleId="191">
    <w:name w:val="Default"/>
    <w:autoRedefine/>
    <w:qFormat/>
    <w:uiPriority w:val="99"/>
    <w:pPr>
      <w:widowControl w:val="0"/>
      <w:autoSpaceDE w:val="0"/>
      <w:autoSpaceDN w:val="0"/>
      <w:adjustRightInd w:val="0"/>
    </w:pPr>
    <w:rPr>
      <w:rFonts w:ascii="Symbol" w:hAnsi="Symbol" w:eastAsia="宋体" w:cs="Symbol"/>
      <w:color w:val="000000"/>
      <w:sz w:val="24"/>
      <w:szCs w:val="24"/>
      <w:lang w:val="en-US" w:eastAsia="zh-CN" w:bidi="ar-SA"/>
    </w:rPr>
  </w:style>
  <w:style w:type="paragraph" w:customStyle="1" w:styleId="192">
    <w:name w:val="列出段落1"/>
    <w:basedOn w:val="1"/>
    <w:autoRedefine/>
    <w:qFormat/>
    <w:uiPriority w:val="99"/>
    <w:pPr>
      <w:ind w:firstLine="420" w:firstLineChars="200"/>
    </w:pPr>
    <w:rPr>
      <w:rFonts w:ascii="Calibri" w:hAnsi="Calibri"/>
      <w:szCs w:val="22"/>
    </w:rPr>
  </w:style>
  <w:style w:type="paragraph" w:customStyle="1" w:styleId="193">
    <w:name w:val="default"/>
    <w:basedOn w:val="1"/>
    <w:autoRedefine/>
    <w:qFormat/>
    <w:uiPriority w:val="99"/>
    <w:pPr>
      <w:widowControl/>
      <w:spacing w:before="100" w:beforeAutospacing="1" w:after="100" w:afterAutospacing="1"/>
      <w:jc w:val="left"/>
    </w:pPr>
    <w:rPr>
      <w:rFonts w:ascii="宋体" w:hAnsi="宋体" w:cs="宋体"/>
      <w:kern w:val="0"/>
      <w:sz w:val="24"/>
    </w:rPr>
  </w:style>
  <w:style w:type="paragraph" w:customStyle="1" w:styleId="194">
    <w:name w:val="字元 字元1"/>
    <w:basedOn w:val="1"/>
    <w:autoRedefine/>
    <w:qFormat/>
    <w:uiPriority w:val="99"/>
    <w:rPr>
      <w:rFonts w:ascii="Tahoma" w:hAnsi="Tahoma"/>
      <w:sz w:val="24"/>
      <w:szCs w:val="20"/>
    </w:rPr>
  </w:style>
  <w:style w:type="paragraph" w:customStyle="1" w:styleId="195">
    <w:name w:val="_Style 160"/>
    <w:autoRedefine/>
    <w:qFormat/>
    <w:uiPriority w:val="99"/>
    <w:rPr>
      <w:rFonts w:ascii="Times New Roman" w:hAnsi="Times New Roman" w:eastAsia="宋体" w:cs="Times New Roman"/>
      <w:kern w:val="2"/>
      <w:sz w:val="21"/>
      <w:szCs w:val="24"/>
      <w:lang w:val="en-US" w:eastAsia="zh-CN" w:bidi="ar-SA"/>
    </w:rPr>
  </w:style>
  <w:style w:type="paragraph" w:customStyle="1" w:styleId="196">
    <w:name w:val="项目编号3"/>
    <w:basedOn w:val="156"/>
    <w:autoRedefine/>
    <w:qFormat/>
    <w:uiPriority w:val="99"/>
    <w:pPr>
      <w:numPr>
        <w:ilvl w:val="0"/>
        <w:numId w:val="6"/>
      </w:numPr>
    </w:pPr>
  </w:style>
  <w:style w:type="paragraph" w:customStyle="1" w:styleId="197">
    <w:name w:val="Char21"/>
    <w:basedOn w:val="1"/>
    <w:autoRedefine/>
    <w:qFormat/>
    <w:uiPriority w:val="99"/>
    <w:rPr>
      <w:rFonts w:ascii="Tahoma" w:hAnsi="Tahoma"/>
      <w:sz w:val="24"/>
      <w:szCs w:val="20"/>
    </w:rPr>
  </w:style>
  <w:style w:type="paragraph" w:customStyle="1" w:styleId="198">
    <w:name w:val="表格文字"/>
    <w:basedOn w:val="22"/>
    <w:autoRedefine/>
    <w:qFormat/>
    <w:uiPriority w:val="99"/>
    <w:pPr>
      <w:spacing w:before="20" w:after="20" w:line="240" w:lineRule="auto"/>
      <w:ind w:firstLine="0"/>
    </w:pPr>
    <w:rPr>
      <w:rFonts w:ascii="Century Gothic" w:hAnsi="Century Gothic"/>
      <w:sz w:val="20"/>
      <w:szCs w:val="20"/>
    </w:rPr>
  </w:style>
  <w:style w:type="paragraph" w:customStyle="1" w:styleId="199">
    <w:name w:val="Char Char Char Char Char Char Char Char Char Char1"/>
    <w:basedOn w:val="1"/>
    <w:autoRedefine/>
    <w:qFormat/>
    <w:uiPriority w:val="99"/>
    <w:rPr>
      <w:rFonts w:ascii="宋体" w:hAnsi="宋体" w:cs="Courier New"/>
      <w:sz w:val="32"/>
      <w:szCs w:val="32"/>
    </w:rPr>
  </w:style>
  <w:style w:type="paragraph" w:customStyle="1" w:styleId="200">
    <w:name w:val="正文文本样式 加粗"/>
    <w:basedOn w:val="156"/>
    <w:autoRedefine/>
    <w:qFormat/>
    <w:uiPriority w:val="99"/>
    <w:rPr>
      <w:b/>
    </w:rPr>
  </w:style>
  <w:style w:type="paragraph" w:customStyle="1" w:styleId="201">
    <w:name w:val="Char2 Char Char Char Char Char Char"/>
    <w:basedOn w:val="1"/>
    <w:autoRedefine/>
    <w:qFormat/>
    <w:uiPriority w:val="99"/>
    <w:pPr>
      <w:widowControl/>
      <w:spacing w:line="400" w:lineRule="exact"/>
      <w:jc w:val="center"/>
    </w:pPr>
  </w:style>
  <w:style w:type="paragraph" w:customStyle="1" w:styleId="202">
    <w:name w:val="Char Char4"/>
    <w:basedOn w:val="1"/>
    <w:autoRedefine/>
    <w:qFormat/>
    <w:uiPriority w:val="99"/>
    <w:pPr>
      <w:widowControl/>
      <w:spacing w:line="400" w:lineRule="exact"/>
      <w:jc w:val="center"/>
    </w:pPr>
  </w:style>
  <w:style w:type="paragraph" w:customStyle="1" w:styleId="203">
    <w:name w:val="Char3 Char Char Char1"/>
    <w:basedOn w:val="1"/>
    <w:autoRedefine/>
    <w:qFormat/>
    <w:uiPriority w:val="99"/>
    <w:rPr>
      <w:rFonts w:ascii="Tahoma" w:hAnsi="Tahoma"/>
      <w:sz w:val="24"/>
      <w:szCs w:val="20"/>
    </w:rPr>
  </w:style>
  <w:style w:type="paragraph" w:styleId="204">
    <w:name w:val="No Spacing"/>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05">
    <w:name w:val="22222222222222"/>
    <w:basedOn w:val="1"/>
    <w:autoRedefine/>
    <w:qFormat/>
    <w:uiPriority w:val="99"/>
    <w:pPr>
      <w:widowControl/>
      <w:adjustRightInd w:val="0"/>
      <w:spacing w:line="360" w:lineRule="auto"/>
      <w:ind w:firstLine="480" w:firstLineChars="200"/>
      <w:jc w:val="left"/>
    </w:pPr>
    <w:rPr>
      <w:color w:val="FF0000"/>
      <w:kern w:val="0"/>
      <w:sz w:val="24"/>
      <w:szCs w:val="20"/>
    </w:rPr>
  </w:style>
  <w:style w:type="character" w:customStyle="1" w:styleId="206">
    <w:name w:val="中等深浅网格 1 - 强调文字颜色 2 Char"/>
    <w:link w:val="207"/>
    <w:autoRedefine/>
    <w:qFormat/>
    <w:uiPriority w:val="0"/>
    <w:rPr>
      <w:kern w:val="2"/>
      <w:sz w:val="21"/>
      <w:szCs w:val="24"/>
      <w:lang w:val="zh-CN" w:eastAsia="zh-CN"/>
    </w:rPr>
  </w:style>
  <w:style w:type="paragraph" w:customStyle="1" w:styleId="207">
    <w:name w:val="1"/>
    <w:link w:val="206"/>
    <w:autoRedefine/>
    <w:qFormat/>
    <w:uiPriority w:val="0"/>
    <w:rPr>
      <w:rFonts w:ascii="Times New Roman" w:hAnsi="Times New Roman" w:eastAsia="宋体" w:cs="Times New Roman"/>
      <w:kern w:val="2"/>
      <w:sz w:val="21"/>
      <w:szCs w:val="24"/>
      <w:lang w:val="zh-CN" w:eastAsia="zh-CN" w:bidi="ar-SA"/>
    </w:rPr>
  </w:style>
  <w:style w:type="paragraph" w:customStyle="1" w:styleId="208">
    <w:name w:val="图文"/>
    <w:basedOn w:val="1"/>
    <w:autoRedefine/>
    <w:qFormat/>
    <w:uiPriority w:val="99"/>
    <w:pPr>
      <w:adjustRightInd w:val="0"/>
      <w:snapToGrid w:val="0"/>
      <w:spacing w:after="50" w:line="360" w:lineRule="auto"/>
    </w:pPr>
    <w:rPr>
      <w:sz w:val="24"/>
    </w:rPr>
  </w:style>
  <w:style w:type="paragraph" w:customStyle="1" w:styleId="209">
    <w:name w:val="xl23"/>
    <w:basedOn w:val="1"/>
    <w:autoRedefine/>
    <w:qFormat/>
    <w:uiPriority w:val="99"/>
    <w:pPr>
      <w:widowControl/>
      <w:spacing w:before="100" w:beforeAutospacing="1" w:after="100" w:afterAutospacing="1" w:line="360" w:lineRule="auto"/>
      <w:textAlignment w:val="top"/>
    </w:pPr>
    <w:rPr>
      <w:kern w:val="0"/>
      <w:sz w:val="24"/>
      <w:szCs w:val="20"/>
    </w:rPr>
  </w:style>
  <w:style w:type="paragraph" w:customStyle="1" w:styleId="210">
    <w:name w:val="正文表格"/>
    <w:basedOn w:val="1"/>
    <w:link w:val="211"/>
    <w:autoRedefine/>
    <w:qFormat/>
    <w:uiPriority w:val="0"/>
    <w:pPr>
      <w:adjustRightInd w:val="0"/>
      <w:snapToGrid w:val="0"/>
      <w:jc w:val="left"/>
    </w:pPr>
    <w:rPr>
      <w:rFonts w:ascii="宋体" w:hAnsi="宋体"/>
      <w:color w:val="000000"/>
      <w:szCs w:val="21"/>
    </w:rPr>
  </w:style>
  <w:style w:type="character" w:customStyle="1" w:styleId="211">
    <w:name w:val="正文表格 Char"/>
    <w:link w:val="210"/>
    <w:autoRedefine/>
    <w:qFormat/>
    <w:uiPriority w:val="0"/>
    <w:rPr>
      <w:rFonts w:ascii="宋体" w:hAnsi="宋体"/>
      <w:color w:val="000000"/>
      <w:kern w:val="2"/>
      <w:sz w:val="21"/>
      <w:szCs w:val="21"/>
    </w:rPr>
  </w:style>
  <w:style w:type="paragraph" w:customStyle="1" w:styleId="212">
    <w:name w:val="正文重点"/>
    <w:basedOn w:val="1"/>
    <w:link w:val="213"/>
    <w:autoRedefine/>
    <w:qFormat/>
    <w:uiPriority w:val="0"/>
    <w:pPr>
      <w:adjustRightInd w:val="0"/>
      <w:spacing w:line="360" w:lineRule="auto"/>
      <w:ind w:firstLine="482" w:firstLineChars="200"/>
      <w:jc w:val="left"/>
      <w:textAlignment w:val="baseline"/>
    </w:pPr>
    <w:rPr>
      <w:b/>
      <w:kern w:val="0"/>
      <w:sz w:val="24"/>
      <w:szCs w:val="20"/>
    </w:rPr>
  </w:style>
  <w:style w:type="character" w:customStyle="1" w:styleId="213">
    <w:name w:val="正文重点 Char"/>
    <w:link w:val="212"/>
    <w:autoRedefine/>
    <w:qFormat/>
    <w:uiPriority w:val="0"/>
    <w:rPr>
      <w:b/>
      <w:sz w:val="24"/>
    </w:rPr>
  </w:style>
  <w:style w:type="paragraph" w:customStyle="1" w:styleId="214">
    <w:name w:val="标题1-附件"/>
    <w:basedOn w:val="3"/>
    <w:autoRedefine/>
    <w:qFormat/>
    <w:uiPriority w:val="99"/>
    <w:pPr>
      <w:jc w:val="left"/>
    </w:pPr>
    <w:rPr>
      <w:sz w:val="24"/>
      <w:szCs w:val="24"/>
    </w:rPr>
  </w:style>
  <w:style w:type="paragraph" w:customStyle="1" w:styleId="215">
    <w:name w:val="正文小标题"/>
    <w:basedOn w:val="1"/>
    <w:next w:val="5"/>
    <w:link w:val="216"/>
    <w:autoRedefine/>
    <w:qFormat/>
    <w:uiPriority w:val="0"/>
    <w:pPr>
      <w:adjustRightInd w:val="0"/>
      <w:snapToGrid w:val="0"/>
      <w:spacing w:beforeLines="100" w:afterLines="100"/>
      <w:ind w:firstLine="482"/>
      <w:jc w:val="left"/>
    </w:pPr>
    <w:rPr>
      <w:rFonts w:ascii="宋体" w:hAnsi="宋体"/>
      <w:b/>
      <w:i/>
      <w:color w:val="FF0000"/>
      <w:sz w:val="24"/>
      <w:szCs w:val="20"/>
    </w:rPr>
  </w:style>
  <w:style w:type="character" w:customStyle="1" w:styleId="216">
    <w:name w:val="正文小标题 Char"/>
    <w:link w:val="215"/>
    <w:autoRedefine/>
    <w:qFormat/>
    <w:uiPriority w:val="0"/>
    <w:rPr>
      <w:rFonts w:ascii="宋体" w:hAnsi="宋体"/>
      <w:b/>
      <w:i/>
      <w:color w:val="FF0000"/>
      <w:kern w:val="2"/>
      <w:sz w:val="24"/>
    </w:rPr>
  </w:style>
  <w:style w:type="paragraph" w:customStyle="1" w:styleId="217">
    <w:name w:val="正文大标题"/>
    <w:basedOn w:val="215"/>
    <w:next w:val="5"/>
    <w:link w:val="218"/>
    <w:autoRedefine/>
    <w:qFormat/>
    <w:uiPriority w:val="0"/>
    <w:pPr>
      <w:jc w:val="center"/>
    </w:pPr>
    <w:rPr>
      <w:i w:val="0"/>
      <w:color w:val="000000"/>
      <w:sz w:val="28"/>
      <w:szCs w:val="21"/>
    </w:rPr>
  </w:style>
  <w:style w:type="character" w:customStyle="1" w:styleId="218">
    <w:name w:val="正文大标题 Char"/>
    <w:link w:val="217"/>
    <w:autoRedefine/>
    <w:qFormat/>
    <w:uiPriority w:val="0"/>
    <w:rPr>
      <w:rFonts w:ascii="宋体" w:hAnsi="宋体"/>
      <w:b/>
      <w:color w:val="000000"/>
      <w:kern w:val="2"/>
      <w:sz w:val="28"/>
      <w:szCs w:val="21"/>
    </w:rPr>
  </w:style>
  <w:style w:type="paragraph" w:customStyle="1" w:styleId="219">
    <w:name w:val="注释"/>
    <w:basedOn w:val="1"/>
    <w:link w:val="220"/>
    <w:autoRedefine/>
    <w:qFormat/>
    <w:uiPriority w:val="0"/>
    <w:pPr>
      <w:adjustRightInd w:val="0"/>
      <w:snapToGrid w:val="0"/>
      <w:ind w:left="420" w:hanging="420" w:hangingChars="200"/>
      <w:jc w:val="left"/>
    </w:pPr>
    <w:rPr>
      <w:rFonts w:ascii="宋体" w:hAnsi="宋体"/>
      <w:szCs w:val="21"/>
    </w:rPr>
  </w:style>
  <w:style w:type="character" w:customStyle="1" w:styleId="220">
    <w:name w:val="注释 Char"/>
    <w:link w:val="219"/>
    <w:autoRedefine/>
    <w:qFormat/>
    <w:uiPriority w:val="0"/>
    <w:rPr>
      <w:rFonts w:ascii="宋体" w:hAnsi="宋体"/>
      <w:kern w:val="2"/>
      <w:sz w:val="21"/>
      <w:szCs w:val="21"/>
    </w:rPr>
  </w:style>
  <w:style w:type="paragraph" w:customStyle="1" w:styleId="221">
    <w:name w:val="正文须知-1级"/>
    <w:basedOn w:val="1"/>
    <w:next w:val="1"/>
    <w:autoRedefine/>
    <w:qFormat/>
    <w:uiPriority w:val="99"/>
    <w:pPr>
      <w:numPr>
        <w:ilvl w:val="0"/>
        <w:numId w:val="7"/>
      </w:numPr>
      <w:adjustRightInd w:val="0"/>
      <w:snapToGrid w:val="0"/>
      <w:spacing w:line="300" w:lineRule="auto"/>
    </w:pPr>
    <w:rPr>
      <w:rFonts w:ascii="宋体" w:hAnsi="Calibri"/>
      <w:sz w:val="24"/>
      <w:szCs w:val="21"/>
    </w:rPr>
  </w:style>
  <w:style w:type="paragraph" w:customStyle="1" w:styleId="222">
    <w:name w:val="正文须知-2级"/>
    <w:basedOn w:val="1"/>
    <w:autoRedefine/>
    <w:qFormat/>
    <w:uiPriority w:val="99"/>
    <w:pPr>
      <w:numPr>
        <w:ilvl w:val="1"/>
        <w:numId w:val="7"/>
      </w:numPr>
      <w:adjustRightInd w:val="0"/>
      <w:snapToGrid w:val="0"/>
      <w:spacing w:line="300" w:lineRule="auto"/>
    </w:pPr>
    <w:rPr>
      <w:rFonts w:ascii="宋体" w:hAnsi="Calibri"/>
      <w:sz w:val="24"/>
      <w:szCs w:val="21"/>
    </w:rPr>
  </w:style>
  <w:style w:type="paragraph" w:customStyle="1" w:styleId="223">
    <w:name w:val="正文须知-3级"/>
    <w:basedOn w:val="1"/>
    <w:autoRedefine/>
    <w:qFormat/>
    <w:uiPriority w:val="99"/>
    <w:pPr>
      <w:numPr>
        <w:ilvl w:val="2"/>
        <w:numId w:val="7"/>
      </w:numPr>
      <w:adjustRightInd w:val="0"/>
      <w:snapToGrid w:val="0"/>
      <w:spacing w:line="300" w:lineRule="auto"/>
      <w:ind w:hanging="355" w:hangingChars="355"/>
    </w:pPr>
    <w:rPr>
      <w:rFonts w:ascii="宋体" w:hAnsi="Calibri"/>
      <w:sz w:val="24"/>
      <w:szCs w:val="21"/>
    </w:rPr>
  </w:style>
  <w:style w:type="character" w:customStyle="1" w:styleId="224">
    <w:name w:val="纯文本 字符"/>
    <w:autoRedefine/>
    <w:qFormat/>
    <w:uiPriority w:val="99"/>
    <w:rPr>
      <w:rFonts w:ascii="宋体" w:hAnsi="Courier New" w:eastAsia="宋体" w:cs="Times New Roman"/>
      <w:kern w:val="2"/>
      <w:sz w:val="21"/>
      <w:szCs w:val="21"/>
      <w:lang w:val="en-US" w:eastAsia="zh-CN" w:bidi="ar-SA"/>
    </w:rPr>
  </w:style>
  <w:style w:type="paragraph" w:customStyle="1" w:styleId="225">
    <w:name w:val="表格1"/>
    <w:basedOn w:val="1"/>
    <w:autoRedefine/>
    <w:qFormat/>
    <w:uiPriority w:val="99"/>
    <w:pPr>
      <w:ind w:firstLine="480" w:firstLineChars="200"/>
      <w:jc w:val="center"/>
    </w:pPr>
    <w:rPr>
      <w:sz w:val="24"/>
      <w:szCs w:val="20"/>
    </w:rPr>
  </w:style>
  <w:style w:type="character" w:customStyle="1" w:styleId="226">
    <w:name w:val="纯文本 字符1"/>
    <w:autoRedefine/>
    <w:qFormat/>
    <w:uiPriority w:val="0"/>
    <w:rPr>
      <w:rFonts w:ascii="宋体" w:hAnsi="Courier New"/>
    </w:rPr>
  </w:style>
  <w:style w:type="character" w:customStyle="1" w:styleId="227">
    <w:name w:val="bjh-p"/>
    <w:autoRedefine/>
    <w:qFormat/>
    <w:uiPriority w:val="0"/>
  </w:style>
  <w:style w:type="paragraph" w:customStyle="1" w:styleId="228">
    <w:name w:val="无标题条"/>
    <w:next w:val="1"/>
    <w:autoRedefine/>
    <w:qFormat/>
    <w:uiPriority w:val="99"/>
    <w:pPr>
      <w:jc w:val="both"/>
    </w:pPr>
    <w:rPr>
      <w:rFonts w:ascii="Times New Roman" w:hAnsi="Times New Roman" w:eastAsia="宋体" w:cs="Times New Roman"/>
      <w:sz w:val="21"/>
      <w:lang w:val="en-US" w:eastAsia="zh-CN" w:bidi="ar-SA"/>
    </w:rPr>
  </w:style>
  <w:style w:type="character" w:customStyle="1" w:styleId="229">
    <w:name w:val="正文格式 Char"/>
    <w:link w:val="230"/>
    <w:autoRedefine/>
    <w:qFormat/>
    <w:locked/>
    <w:uiPriority w:val="0"/>
    <w:rPr>
      <w:rFonts w:ascii="宋体" w:hAnsi="宋体"/>
      <w:sz w:val="24"/>
      <w:szCs w:val="24"/>
      <w:lang w:val="en-GB"/>
    </w:rPr>
  </w:style>
  <w:style w:type="paragraph" w:customStyle="1" w:styleId="230">
    <w:name w:val="正文格式"/>
    <w:basedOn w:val="1"/>
    <w:link w:val="229"/>
    <w:autoRedefine/>
    <w:qFormat/>
    <w:uiPriority w:val="0"/>
    <w:pPr>
      <w:spacing w:beforeLines="50" w:line="360" w:lineRule="auto"/>
      <w:ind w:firstLine="480" w:firstLineChars="200"/>
    </w:pPr>
    <w:rPr>
      <w:rFonts w:ascii="宋体" w:hAnsi="宋体"/>
      <w:kern w:val="0"/>
      <w:sz w:val="24"/>
      <w:lang w:val="en-GB"/>
    </w:rPr>
  </w:style>
  <w:style w:type="character" w:customStyle="1" w:styleId="231">
    <w:name w:val="标题 3 Char"/>
    <w:autoRedefine/>
    <w:qFormat/>
    <w:uiPriority w:val="0"/>
    <w:rPr>
      <w:rFonts w:ascii="宋体" w:eastAsia="宋体"/>
      <w:b/>
      <w:sz w:val="24"/>
      <w:u w:val="single"/>
      <w:lang w:val="en-US" w:eastAsia="zh-CN" w:bidi="ar-SA"/>
    </w:rPr>
  </w:style>
  <w:style w:type="character" w:customStyle="1" w:styleId="232">
    <w:name w:val="正文缩进 Char"/>
    <w:autoRedefine/>
    <w:qFormat/>
    <w:uiPriority w:val="0"/>
    <w:rPr>
      <w:rFonts w:ascii="宋体" w:eastAsia="宋体"/>
      <w:kern w:val="2"/>
      <w:sz w:val="24"/>
      <w:szCs w:val="24"/>
      <w:lang w:val="en-US" w:eastAsia="zh-CN" w:bidi="ar-SA"/>
    </w:rPr>
  </w:style>
  <w:style w:type="character" w:customStyle="1" w:styleId="233">
    <w:name w:val="Char Char111"/>
    <w:autoRedefine/>
    <w:qFormat/>
    <w:uiPriority w:val="0"/>
    <w:rPr>
      <w:rFonts w:ascii="宋体" w:eastAsia="宋体"/>
      <w:b/>
      <w:sz w:val="24"/>
      <w:u w:val="single"/>
      <w:lang w:val="en-US" w:eastAsia="zh-CN" w:bidi="ar-SA"/>
    </w:rPr>
  </w:style>
  <w:style w:type="character" w:customStyle="1" w:styleId="234">
    <w:name w:val="正文文本缩进 Char"/>
    <w:autoRedefine/>
    <w:qFormat/>
    <w:uiPriority w:val="0"/>
    <w:rPr>
      <w:rFonts w:eastAsia="宋体"/>
      <w:kern w:val="2"/>
      <w:sz w:val="24"/>
      <w:szCs w:val="24"/>
      <w:lang w:val="en-US" w:eastAsia="zh-CN" w:bidi="ar-SA"/>
    </w:rPr>
  </w:style>
  <w:style w:type="character" w:customStyle="1" w:styleId="235">
    <w:name w:val="列出段落 Char"/>
    <w:autoRedefine/>
    <w:qFormat/>
    <w:uiPriority w:val="0"/>
    <w:rPr>
      <w:rFonts w:ascii="Calibri" w:hAnsi="Calibri" w:eastAsia="宋体"/>
      <w:kern w:val="2"/>
      <w:sz w:val="21"/>
      <w:szCs w:val="22"/>
      <w:lang w:val="en-US" w:eastAsia="zh-CN" w:bidi="ar-SA"/>
    </w:rPr>
  </w:style>
  <w:style w:type="character" w:customStyle="1" w:styleId="236">
    <w:name w:val="页眉 Char"/>
    <w:autoRedefine/>
    <w:qFormat/>
    <w:uiPriority w:val="0"/>
    <w:rPr>
      <w:rFonts w:eastAsia="宋体"/>
      <w:kern w:val="2"/>
      <w:sz w:val="18"/>
      <w:szCs w:val="18"/>
      <w:lang w:val="en-US" w:eastAsia="zh-CN" w:bidi="ar-SA"/>
    </w:rPr>
  </w:style>
  <w:style w:type="character" w:customStyle="1" w:styleId="237">
    <w:name w:val="标题 2 Char"/>
    <w:autoRedefine/>
    <w:qFormat/>
    <w:uiPriority w:val="99"/>
    <w:rPr>
      <w:rFonts w:ascii="Arial" w:hAnsi="Arial" w:eastAsia="黑体"/>
      <w:b/>
      <w:sz w:val="30"/>
      <w:lang w:val="en-US" w:eastAsia="zh-CN" w:bidi="ar-SA"/>
    </w:rPr>
  </w:style>
  <w:style w:type="paragraph" w:customStyle="1" w:styleId="238">
    <w:name w:val="字元 字元2"/>
    <w:basedOn w:val="1"/>
    <w:autoRedefine/>
    <w:qFormat/>
    <w:uiPriority w:val="99"/>
    <w:rPr>
      <w:rFonts w:ascii="Tahoma" w:hAnsi="Tahoma"/>
      <w:sz w:val="24"/>
      <w:szCs w:val="20"/>
    </w:rPr>
  </w:style>
  <w:style w:type="paragraph" w:customStyle="1" w:styleId="239">
    <w:name w:val="Char3 Char Char Char2"/>
    <w:basedOn w:val="1"/>
    <w:autoRedefine/>
    <w:qFormat/>
    <w:uiPriority w:val="99"/>
    <w:rPr>
      <w:rFonts w:ascii="Tahoma" w:hAnsi="Tahoma"/>
      <w:sz w:val="24"/>
      <w:szCs w:val="20"/>
    </w:rPr>
  </w:style>
  <w:style w:type="paragraph" w:customStyle="1" w:styleId="240">
    <w:name w:val="正文文本缩进2"/>
    <w:basedOn w:val="1"/>
    <w:autoRedefine/>
    <w:qFormat/>
    <w:uiPriority w:val="99"/>
    <w:pPr>
      <w:spacing w:line="480" w:lineRule="exact"/>
      <w:ind w:firstLine="480" w:firstLineChars="200"/>
    </w:pPr>
    <w:rPr>
      <w:rFonts w:ascii="宋体" w:hAnsi="宋体"/>
      <w:kern w:val="0"/>
      <w:sz w:val="24"/>
      <w:lang w:val="zh-CN"/>
    </w:rPr>
  </w:style>
  <w:style w:type="paragraph" w:customStyle="1" w:styleId="241">
    <w:name w:val="Char3"/>
    <w:basedOn w:val="1"/>
    <w:autoRedefine/>
    <w:qFormat/>
    <w:uiPriority w:val="99"/>
    <w:pPr>
      <w:tabs>
        <w:tab w:val="left" w:pos="360"/>
      </w:tabs>
    </w:pPr>
    <w:rPr>
      <w:sz w:val="24"/>
    </w:rPr>
  </w:style>
  <w:style w:type="paragraph" w:customStyle="1" w:styleId="242">
    <w:name w:val="Char Char Char Char Char Char Char Char Char Char Char Char Char Char Char Char1"/>
    <w:basedOn w:val="1"/>
    <w:autoRedefine/>
    <w:qFormat/>
    <w:uiPriority w:val="99"/>
    <w:pPr>
      <w:widowControl/>
      <w:spacing w:after="160" w:line="240" w:lineRule="exact"/>
      <w:jc w:val="center"/>
    </w:pPr>
    <w:rPr>
      <w:rFonts w:ascii="宋体" w:hAnsi="宋体"/>
      <w:b/>
      <w:kern w:val="0"/>
      <w:sz w:val="30"/>
      <w:szCs w:val="30"/>
      <w:lang w:eastAsia="en-US"/>
    </w:rPr>
  </w:style>
  <w:style w:type="paragraph" w:customStyle="1" w:styleId="243">
    <w:name w:val="Char Char1 Char Char Char Char Char Char1"/>
    <w:basedOn w:val="1"/>
    <w:autoRedefine/>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244">
    <w:name w:val="列出段落2"/>
    <w:basedOn w:val="1"/>
    <w:autoRedefine/>
    <w:qFormat/>
    <w:uiPriority w:val="99"/>
    <w:pPr>
      <w:ind w:firstLine="420" w:firstLineChars="200"/>
    </w:pPr>
    <w:rPr>
      <w:rFonts w:ascii="Calibri" w:hAnsi="Calibri"/>
      <w:szCs w:val="22"/>
    </w:rPr>
  </w:style>
  <w:style w:type="paragraph" w:customStyle="1" w:styleId="245">
    <w:name w:val="Char Char Char1 Char2"/>
    <w:basedOn w:val="1"/>
    <w:autoRedefine/>
    <w:qFormat/>
    <w:uiPriority w:val="99"/>
    <w:rPr>
      <w:rFonts w:ascii="Tahoma" w:hAnsi="Tahoma"/>
      <w:sz w:val="24"/>
      <w:szCs w:val="20"/>
    </w:rPr>
  </w:style>
  <w:style w:type="paragraph" w:customStyle="1" w:styleId="246">
    <w:name w:val="Char Char Char2"/>
    <w:basedOn w:val="1"/>
    <w:autoRedefine/>
    <w:qFormat/>
    <w:uiPriority w:val="99"/>
    <w:rPr>
      <w:rFonts w:ascii="Tahoma" w:hAnsi="Tahoma"/>
      <w:sz w:val="24"/>
      <w:szCs w:val="20"/>
    </w:rPr>
  </w:style>
  <w:style w:type="paragraph" w:customStyle="1" w:styleId="247">
    <w:name w:val="Char Char Char Char Char Char Char2"/>
    <w:basedOn w:val="1"/>
    <w:autoRedefine/>
    <w:qFormat/>
    <w:uiPriority w:val="99"/>
    <w:pPr>
      <w:snapToGrid w:val="0"/>
      <w:spacing w:line="360" w:lineRule="auto"/>
      <w:ind w:firstLine="200" w:firstLineChars="200"/>
    </w:pPr>
    <w:rPr>
      <w:rFonts w:eastAsia="仿宋_GB2312"/>
      <w:sz w:val="24"/>
    </w:rPr>
  </w:style>
  <w:style w:type="paragraph" w:customStyle="1" w:styleId="248">
    <w:name w:val="正文缩进2"/>
    <w:basedOn w:val="1"/>
    <w:autoRedefine/>
    <w:qFormat/>
    <w:uiPriority w:val="99"/>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249">
    <w:name w:val="修订1"/>
    <w:autoRedefine/>
    <w:qFormat/>
    <w:uiPriority w:val="99"/>
    <w:rPr>
      <w:rFonts w:ascii="Times New Roman" w:hAnsi="Times New Roman" w:eastAsia="宋体" w:cs="Times New Roman"/>
      <w:kern w:val="2"/>
      <w:sz w:val="21"/>
      <w:szCs w:val="24"/>
      <w:lang w:val="en-US" w:eastAsia="zh-CN" w:bidi="ar-SA"/>
    </w:rPr>
  </w:style>
  <w:style w:type="paragraph" w:customStyle="1" w:styleId="250">
    <w:name w:val="Char22"/>
    <w:basedOn w:val="1"/>
    <w:autoRedefine/>
    <w:qFormat/>
    <w:uiPriority w:val="99"/>
    <w:rPr>
      <w:rFonts w:ascii="Tahoma" w:hAnsi="Tahoma"/>
      <w:sz w:val="24"/>
      <w:szCs w:val="20"/>
    </w:rPr>
  </w:style>
  <w:style w:type="paragraph" w:customStyle="1" w:styleId="251">
    <w:name w:val="Char Char Char Char Char Char Char Char Char Char2"/>
    <w:basedOn w:val="1"/>
    <w:autoRedefine/>
    <w:qFormat/>
    <w:uiPriority w:val="99"/>
    <w:rPr>
      <w:rFonts w:ascii="宋体" w:hAnsi="宋体" w:cs="Courier New"/>
      <w:sz w:val="32"/>
      <w:szCs w:val="32"/>
    </w:rPr>
  </w:style>
  <w:style w:type="paragraph" w:customStyle="1" w:styleId="252">
    <w:name w:val="Char2 Char Char Char Char Char Char1"/>
    <w:basedOn w:val="1"/>
    <w:autoRedefine/>
    <w:qFormat/>
    <w:uiPriority w:val="99"/>
    <w:pPr>
      <w:widowControl/>
      <w:spacing w:line="400" w:lineRule="exact"/>
      <w:jc w:val="center"/>
    </w:pPr>
  </w:style>
  <w:style w:type="character" w:customStyle="1" w:styleId="253">
    <w:name w:val="页脚 Char"/>
    <w:autoRedefine/>
    <w:qFormat/>
    <w:uiPriority w:val="0"/>
    <w:rPr>
      <w:rFonts w:ascii="宋体" w:eastAsia="宋体"/>
      <w:sz w:val="18"/>
      <w:lang w:val="en-US" w:eastAsia="zh-CN" w:bidi="ar-SA"/>
    </w:rPr>
  </w:style>
  <w:style w:type="paragraph" w:customStyle="1" w:styleId="254">
    <w:name w:val="Char Char41"/>
    <w:basedOn w:val="1"/>
    <w:autoRedefine/>
    <w:qFormat/>
    <w:uiPriority w:val="99"/>
    <w:pPr>
      <w:widowControl/>
      <w:spacing w:line="400" w:lineRule="exact"/>
      <w:jc w:val="center"/>
    </w:pPr>
  </w:style>
  <w:style w:type="character" w:customStyle="1" w:styleId="255">
    <w:name w:val="批注文字 Char"/>
    <w:autoRedefine/>
    <w:qFormat/>
    <w:uiPriority w:val="99"/>
    <w:rPr>
      <w:kern w:val="2"/>
      <w:sz w:val="21"/>
      <w:szCs w:val="24"/>
    </w:rPr>
  </w:style>
  <w:style w:type="character" w:customStyle="1" w:styleId="256">
    <w:name w:val="标题 Char"/>
    <w:autoRedefine/>
    <w:qFormat/>
    <w:uiPriority w:val="0"/>
    <w:rPr>
      <w:b/>
      <w:kern w:val="2"/>
      <w:sz w:val="32"/>
    </w:rPr>
  </w:style>
  <w:style w:type="paragraph" w:customStyle="1" w:styleId="257">
    <w:name w:val="图例"/>
    <w:basedOn w:val="1"/>
    <w:autoRedefine/>
    <w:qFormat/>
    <w:uiPriority w:val="99"/>
    <w:pPr>
      <w:spacing w:before="120" w:after="120" w:line="360" w:lineRule="auto"/>
      <w:jc w:val="center"/>
    </w:pPr>
    <w:rPr>
      <w:rFonts w:eastAsia="仿宋_GB2312"/>
      <w:b/>
      <w:sz w:val="24"/>
      <w:szCs w:val="20"/>
    </w:rPr>
  </w:style>
  <w:style w:type="table" w:customStyle="1" w:styleId="258">
    <w:name w:val="Table Normal"/>
    <w:autoRedefine/>
    <w:unhideWhenUsed/>
    <w:qFormat/>
    <w:uiPriority w:val="0"/>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259">
    <w:name w:val="Table Paragraph"/>
    <w:basedOn w:val="1"/>
    <w:autoRedefine/>
    <w:qFormat/>
    <w:uiPriority w:val="1"/>
    <w:pPr>
      <w:autoSpaceDE w:val="0"/>
      <w:autoSpaceDN w:val="0"/>
      <w:jc w:val="left"/>
    </w:pPr>
    <w:rPr>
      <w:rFonts w:ascii="宋体" w:hAnsi="宋体" w:cs="宋体"/>
      <w:kern w:val="0"/>
      <w:sz w:val="22"/>
      <w:szCs w:val="22"/>
      <w:lang w:eastAsia="en-US"/>
    </w:rPr>
  </w:style>
  <w:style w:type="paragraph" w:customStyle="1" w:styleId="260">
    <w:name w:val="Table Text"/>
    <w:basedOn w:val="1"/>
    <w:autoRedefine/>
    <w:semiHidden/>
    <w:qFormat/>
    <w:uiPriority w:val="99"/>
    <w:pPr>
      <w:widowControl/>
      <w:kinsoku w:val="0"/>
      <w:autoSpaceDE w:val="0"/>
      <w:autoSpaceDN w:val="0"/>
      <w:adjustRightInd w:val="0"/>
      <w:snapToGrid w:val="0"/>
      <w:jc w:val="left"/>
      <w:textAlignment w:val="baseline"/>
    </w:pPr>
    <w:rPr>
      <w:rFonts w:ascii="Arial" w:hAnsi="Arial" w:eastAsia="Arial" w:cs="Arial"/>
      <w:snapToGrid w:val="0"/>
      <w:color w:val="000000"/>
      <w:kern w:val="0"/>
      <w:szCs w:val="21"/>
      <w:lang w:eastAsia="en-US"/>
    </w:rPr>
  </w:style>
  <w:style w:type="character" w:customStyle="1" w:styleId="261">
    <w:name w:val="批注文字 Char2"/>
    <w:autoRedefine/>
    <w:qFormat/>
    <w:locked/>
    <w:uiPriority w:val="0"/>
    <w:rPr>
      <w:szCs w:val="24"/>
    </w:rPr>
  </w:style>
  <w:style w:type="character" w:customStyle="1" w:styleId="262">
    <w:name w:val="cwhdiv-l"/>
    <w:basedOn w:val="55"/>
    <w:autoRedefine/>
    <w:qFormat/>
    <w:uiPriority w:val="0"/>
  </w:style>
  <w:style w:type="character" w:customStyle="1" w:styleId="263">
    <w:name w:val="cwhdiv-r"/>
    <w:basedOn w:val="55"/>
    <w:autoRedefine/>
    <w:qFormat/>
    <w:uiPriority w:val="0"/>
  </w:style>
  <w:style w:type="character" w:customStyle="1" w:styleId="264">
    <w:name w:val="普通(网站) 字符"/>
    <w:link w:val="46"/>
    <w:autoRedefine/>
    <w:qFormat/>
    <w:uiPriority w:val="99"/>
    <w:rPr>
      <w:rFonts w:ascii="宋体" w:hAnsi="宋体" w:cs="宋体"/>
      <w:sz w:val="24"/>
      <w:szCs w:val="24"/>
    </w:rPr>
  </w:style>
  <w:style w:type="paragraph" w:customStyle="1" w:styleId="265">
    <w:name w:val="表"/>
    <w:basedOn w:val="1"/>
    <w:link w:val="266"/>
    <w:autoRedefine/>
    <w:qFormat/>
    <w:uiPriority w:val="0"/>
    <w:pPr>
      <w:spacing w:line="360" w:lineRule="auto"/>
      <w:jc w:val="center"/>
    </w:pPr>
    <w:rPr>
      <w:rFonts w:ascii="宋体" w:hAnsi="宋体" w:cstheme="minorBidi"/>
      <w:sz w:val="24"/>
      <w:szCs w:val="22"/>
    </w:rPr>
  </w:style>
  <w:style w:type="character" w:customStyle="1" w:styleId="266">
    <w:name w:val="表 字符"/>
    <w:basedOn w:val="55"/>
    <w:link w:val="265"/>
    <w:autoRedefine/>
    <w:qFormat/>
    <w:uiPriority w:val="0"/>
    <w:rPr>
      <w:rFonts w:ascii="宋体" w:hAnsi="宋体" w:cstheme="minorBidi"/>
      <w:kern w:val="2"/>
      <w:sz w:val="24"/>
      <w:szCs w:val="22"/>
    </w:rPr>
  </w:style>
  <w:style w:type="character" w:customStyle="1" w:styleId="267">
    <w:name w:val="正文缩进 Char2"/>
    <w:autoRedefine/>
    <w:qFormat/>
    <w:locked/>
    <w:uiPriority w:val="0"/>
    <w:rPr>
      <w:lang w:val="zh-CN" w:eastAsia="zh-CN"/>
    </w:rPr>
  </w:style>
  <w:style w:type="character" w:customStyle="1" w:styleId="268">
    <w:name w:val="脚注文本 字符1"/>
    <w:basedOn w:val="55"/>
    <w:link w:val="38"/>
    <w:autoRedefine/>
    <w:qFormat/>
    <w:uiPriority w:val="99"/>
    <w:rPr>
      <w:sz w:val="18"/>
      <w:lang w:val="zh-CN" w:eastAsia="zh-CN"/>
    </w:rPr>
  </w:style>
  <w:style w:type="character" w:customStyle="1" w:styleId="269">
    <w:name w:val="正文文本 2 字符1"/>
    <w:basedOn w:val="55"/>
    <w:link w:val="44"/>
    <w:autoRedefine/>
    <w:qFormat/>
    <w:uiPriority w:val="99"/>
    <w:rPr>
      <w:rFonts w:ascii="宋体" w:hAnsi="宋体"/>
      <w:sz w:val="24"/>
      <w:szCs w:val="24"/>
      <w:u w:val="single"/>
      <w:lang w:val="zh-CN" w:eastAsia="zh-CN"/>
    </w:rPr>
  </w:style>
  <w:style w:type="character" w:customStyle="1" w:styleId="270">
    <w:name w:val="副标题 Char"/>
    <w:basedOn w:val="55"/>
    <w:autoRedefine/>
    <w:qFormat/>
    <w:uiPriority w:val="0"/>
    <w:rPr>
      <w:rFonts w:asciiTheme="majorHAnsi" w:hAnsiTheme="majorHAnsi" w:cstheme="majorBidi"/>
      <w:b/>
      <w:bCs/>
      <w:kern w:val="28"/>
      <w:sz w:val="32"/>
      <w:szCs w:val="32"/>
    </w:rPr>
  </w:style>
  <w:style w:type="character" w:customStyle="1" w:styleId="271">
    <w:name w:val="正文文本首行缩进 字符"/>
    <w:basedOn w:val="79"/>
    <w:link w:val="50"/>
    <w:autoRedefine/>
    <w:qFormat/>
    <w:uiPriority w:val="99"/>
    <w:rPr>
      <w:rFonts w:ascii="宋体" w:hAnsi="宋体"/>
      <w:kern w:val="2"/>
      <w:sz w:val="21"/>
      <w:szCs w:val="24"/>
    </w:rPr>
  </w:style>
  <w:style w:type="character" w:customStyle="1" w:styleId="272">
    <w:name w:val="正文加粗 Char"/>
    <w:link w:val="273"/>
    <w:autoRedefine/>
    <w:qFormat/>
    <w:locked/>
    <w:uiPriority w:val="0"/>
    <w:rPr>
      <w:b/>
      <w:sz w:val="24"/>
      <w:szCs w:val="24"/>
    </w:rPr>
  </w:style>
  <w:style w:type="paragraph" w:customStyle="1" w:styleId="273">
    <w:name w:val="正文加粗"/>
    <w:basedOn w:val="1"/>
    <w:next w:val="1"/>
    <w:link w:val="272"/>
    <w:autoRedefine/>
    <w:qFormat/>
    <w:uiPriority w:val="0"/>
    <w:pPr>
      <w:adjustRightInd w:val="0"/>
      <w:snapToGrid w:val="0"/>
      <w:spacing w:line="360" w:lineRule="auto"/>
      <w:ind w:right="240" w:firstLine="480" w:firstLineChars="200"/>
      <w:jc w:val="left"/>
    </w:pPr>
    <w:rPr>
      <w:b/>
      <w:kern w:val="0"/>
      <w:sz w:val="24"/>
    </w:rPr>
  </w:style>
  <w:style w:type="character" w:customStyle="1" w:styleId="274">
    <w:name w:val="xmfy Char Char"/>
    <w:link w:val="275"/>
    <w:autoRedefine/>
    <w:qFormat/>
    <w:locked/>
    <w:uiPriority w:val="0"/>
    <w:rPr>
      <w:rFonts w:ascii="宋体" w:hAnsi="宋体" w:cs="宋体"/>
      <w:sz w:val="28"/>
    </w:rPr>
  </w:style>
  <w:style w:type="paragraph" w:customStyle="1" w:styleId="275">
    <w:name w:val="xmfy"/>
    <w:basedOn w:val="5"/>
    <w:link w:val="274"/>
    <w:autoRedefine/>
    <w:qFormat/>
    <w:uiPriority w:val="0"/>
    <w:pPr>
      <w:autoSpaceDE/>
      <w:autoSpaceDN/>
      <w:adjustRightInd/>
      <w:spacing w:line="312" w:lineRule="auto"/>
      <w:ind w:firstLine="567"/>
      <w:jc w:val="both"/>
    </w:pPr>
    <w:rPr>
      <w:rFonts w:hAnsi="宋体" w:cs="宋体"/>
      <w:kern w:val="0"/>
      <w:sz w:val="28"/>
      <w:szCs w:val="20"/>
    </w:rPr>
  </w:style>
  <w:style w:type="character" w:customStyle="1" w:styleId="276">
    <w:name w:val="引用 Char"/>
    <w:link w:val="277"/>
    <w:autoRedefine/>
    <w:qFormat/>
    <w:locked/>
    <w:uiPriority w:val="0"/>
    <w:rPr>
      <w:i/>
      <w:iCs/>
      <w:color w:val="000000"/>
    </w:rPr>
  </w:style>
  <w:style w:type="paragraph" w:customStyle="1" w:styleId="277">
    <w:name w:val="引用1"/>
    <w:basedOn w:val="1"/>
    <w:next w:val="1"/>
    <w:link w:val="276"/>
    <w:autoRedefine/>
    <w:qFormat/>
    <w:uiPriority w:val="0"/>
    <w:rPr>
      <w:i/>
      <w:iCs/>
      <w:color w:val="000000"/>
      <w:kern w:val="0"/>
      <w:sz w:val="20"/>
      <w:szCs w:val="20"/>
    </w:rPr>
  </w:style>
  <w:style w:type="character" w:customStyle="1" w:styleId="278">
    <w:name w:val="标题4 Char Char"/>
    <w:link w:val="279"/>
    <w:autoRedefine/>
    <w:qFormat/>
    <w:locked/>
    <w:uiPriority w:val="0"/>
    <w:rPr>
      <w:rFonts w:ascii="Arial" w:hAnsi="Arial" w:cs="Arial"/>
      <w:b/>
      <w:bCs/>
      <w:sz w:val="24"/>
      <w:szCs w:val="32"/>
    </w:rPr>
  </w:style>
  <w:style w:type="paragraph" w:customStyle="1" w:styleId="279">
    <w:name w:val="标题4"/>
    <w:basedOn w:val="4"/>
    <w:next w:val="25"/>
    <w:link w:val="278"/>
    <w:autoRedefine/>
    <w:qFormat/>
    <w:uiPriority w:val="0"/>
    <w:pPr>
      <w:autoSpaceDE/>
      <w:autoSpaceDN/>
      <w:adjustRightInd/>
      <w:spacing w:before="260" w:after="260" w:line="410" w:lineRule="auto"/>
      <w:jc w:val="both"/>
    </w:pPr>
    <w:rPr>
      <w:rFonts w:eastAsia="宋体" w:cs="Arial"/>
      <w:bCs/>
      <w:sz w:val="24"/>
      <w:szCs w:val="32"/>
    </w:rPr>
  </w:style>
  <w:style w:type="character" w:customStyle="1" w:styleId="280">
    <w:name w:val="明显引用 Char"/>
    <w:link w:val="281"/>
    <w:autoRedefine/>
    <w:qFormat/>
    <w:locked/>
    <w:uiPriority w:val="0"/>
    <w:rPr>
      <w:b/>
      <w:bCs/>
      <w:i/>
      <w:iCs/>
      <w:color w:val="4F81BD"/>
    </w:rPr>
  </w:style>
  <w:style w:type="paragraph" w:customStyle="1" w:styleId="281">
    <w:name w:val="明显引用1"/>
    <w:basedOn w:val="1"/>
    <w:next w:val="1"/>
    <w:link w:val="280"/>
    <w:autoRedefine/>
    <w:qFormat/>
    <w:uiPriority w:val="0"/>
    <w:pPr>
      <w:pBdr>
        <w:bottom w:val="single" w:color="4F81BD" w:sz="4" w:space="4"/>
      </w:pBdr>
      <w:spacing w:before="200" w:after="280"/>
      <w:ind w:left="936" w:right="936"/>
    </w:pPr>
    <w:rPr>
      <w:b/>
      <w:bCs/>
      <w:i/>
      <w:iCs/>
      <w:color w:val="4F81BD"/>
      <w:kern w:val="0"/>
      <w:sz w:val="20"/>
      <w:szCs w:val="20"/>
    </w:rPr>
  </w:style>
  <w:style w:type="character" w:customStyle="1" w:styleId="282">
    <w:name w:val="标题5 Char Char"/>
    <w:link w:val="283"/>
    <w:autoRedefine/>
    <w:qFormat/>
    <w:locked/>
    <w:uiPriority w:val="0"/>
    <w:rPr>
      <w:rFonts w:ascii="Arial" w:hAnsi="Arial" w:cs="Arial"/>
      <w:b/>
      <w:bCs/>
      <w:sz w:val="24"/>
      <w:szCs w:val="32"/>
    </w:rPr>
  </w:style>
  <w:style w:type="paragraph" w:customStyle="1" w:styleId="283">
    <w:name w:val="标题5"/>
    <w:basedOn w:val="6"/>
    <w:link w:val="282"/>
    <w:autoRedefine/>
    <w:qFormat/>
    <w:uiPriority w:val="0"/>
    <w:pPr>
      <w:tabs>
        <w:tab w:val="left" w:pos="432"/>
        <w:tab w:val="left" w:pos="720"/>
      </w:tabs>
      <w:autoSpaceDE/>
      <w:autoSpaceDN/>
      <w:adjustRightInd/>
      <w:spacing w:before="260" w:after="260" w:line="410" w:lineRule="auto"/>
      <w:jc w:val="both"/>
    </w:pPr>
    <w:rPr>
      <w:rFonts w:ascii="Arial" w:hAnsi="Arial" w:cs="Arial"/>
      <w:bCs/>
      <w:szCs w:val="32"/>
      <w:u w:val="none"/>
    </w:rPr>
  </w:style>
  <w:style w:type="character" w:customStyle="1" w:styleId="284">
    <w:name w:val="my正文 Char"/>
    <w:link w:val="285"/>
    <w:autoRedefine/>
    <w:qFormat/>
    <w:locked/>
    <w:uiPriority w:val="0"/>
    <w:rPr>
      <w:rFonts w:ascii="宋体" w:hAnsi="宋体"/>
      <w:kern w:val="2"/>
      <w:sz w:val="24"/>
      <w:szCs w:val="22"/>
    </w:rPr>
  </w:style>
  <w:style w:type="paragraph" w:customStyle="1" w:styleId="285">
    <w:name w:val="my正文"/>
    <w:link w:val="284"/>
    <w:autoRedefine/>
    <w:qFormat/>
    <w:uiPriority w:val="0"/>
    <w:pPr>
      <w:spacing w:line="360" w:lineRule="auto"/>
      <w:ind w:firstLine="225" w:firstLineChars="225"/>
    </w:pPr>
    <w:rPr>
      <w:rFonts w:ascii="宋体" w:hAnsi="宋体" w:eastAsia="宋体" w:cs="Times New Roman"/>
      <w:kern w:val="2"/>
      <w:sz w:val="24"/>
      <w:szCs w:val="22"/>
      <w:lang w:val="en-US" w:eastAsia="zh-CN" w:bidi="ar-SA"/>
    </w:rPr>
  </w:style>
  <w:style w:type="character" w:customStyle="1" w:styleId="286">
    <w:name w:val="!BECC正文 Char"/>
    <w:link w:val="287"/>
    <w:autoRedefine/>
    <w:qFormat/>
    <w:locked/>
    <w:uiPriority w:val="0"/>
    <w:rPr>
      <w:sz w:val="24"/>
      <w:szCs w:val="24"/>
    </w:rPr>
  </w:style>
  <w:style w:type="paragraph" w:customStyle="1" w:styleId="287">
    <w:name w:val="!BECC正文"/>
    <w:basedOn w:val="1"/>
    <w:link w:val="286"/>
    <w:autoRedefine/>
    <w:qFormat/>
    <w:uiPriority w:val="0"/>
    <w:pPr>
      <w:tabs>
        <w:tab w:val="left" w:pos="0"/>
      </w:tabs>
      <w:spacing w:beforeLines="50" w:line="360" w:lineRule="auto"/>
      <w:ind w:firstLine="200" w:firstLineChars="200"/>
      <w:contextualSpacing/>
    </w:pPr>
    <w:rPr>
      <w:kern w:val="0"/>
      <w:sz w:val="24"/>
    </w:rPr>
  </w:style>
  <w:style w:type="paragraph" w:customStyle="1" w:styleId="288">
    <w:name w:val="表内文字居中"/>
    <w:autoRedefine/>
    <w:qFormat/>
    <w:uiPriority w:val="99"/>
    <w:pPr>
      <w:jc w:val="center"/>
    </w:pPr>
    <w:rPr>
      <w:rFonts w:ascii="Times New Roman" w:hAnsi="Times New Roman" w:eastAsia="宋体" w:cs="Times New Roman"/>
      <w:kern w:val="2"/>
      <w:sz w:val="24"/>
      <w:szCs w:val="24"/>
      <w:lang w:val="en-US" w:eastAsia="zh-CN" w:bidi="ar-SA"/>
    </w:rPr>
  </w:style>
  <w:style w:type="paragraph" w:customStyle="1" w:styleId="289">
    <w:name w:val="样式 标题 3 + (中文) 黑体 小四 非加粗 段前: 7.8 磅 段后: 0 磅 行距: 固定值 20 磅"/>
    <w:basedOn w:val="6"/>
    <w:autoRedefine/>
    <w:qFormat/>
    <w:uiPriority w:val="99"/>
    <w:pPr>
      <w:tabs>
        <w:tab w:val="left" w:pos="432"/>
        <w:tab w:val="left" w:pos="720"/>
      </w:tabs>
      <w:autoSpaceDE/>
      <w:autoSpaceDN/>
      <w:adjustRightInd/>
      <w:spacing w:before="0" w:after="0" w:line="400" w:lineRule="exact"/>
      <w:jc w:val="both"/>
    </w:pPr>
    <w:rPr>
      <w:rFonts w:ascii="Times New Roman" w:eastAsia="黑体" w:cs="宋体"/>
      <w:b w:val="0"/>
      <w:kern w:val="2"/>
      <w:u w:val="none"/>
    </w:rPr>
  </w:style>
  <w:style w:type="paragraph" w:customStyle="1" w:styleId="290">
    <w:name w:val="xl821"/>
    <w:basedOn w:val="1"/>
    <w:autoRedefine/>
    <w:qFormat/>
    <w:uiPriority w:val="99"/>
    <w:pPr>
      <w:widowControl/>
      <w:pBdr>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91">
    <w:name w:val="正文文字缩进"/>
    <w:basedOn w:val="1"/>
    <w:next w:val="1"/>
    <w:autoRedefine/>
    <w:qFormat/>
    <w:uiPriority w:val="99"/>
    <w:pPr>
      <w:widowControl/>
      <w:ind w:left="420"/>
    </w:pPr>
    <w:rPr>
      <w:rFonts w:ascii="仿宋_GB2312" w:eastAsia="仿宋_GB2312"/>
      <w:color w:val="000000"/>
      <w:sz w:val="30"/>
    </w:rPr>
  </w:style>
  <w:style w:type="paragraph" w:customStyle="1" w:styleId="292">
    <w:name w:val="font14"/>
    <w:basedOn w:val="1"/>
    <w:autoRedefine/>
    <w:qFormat/>
    <w:uiPriority w:val="99"/>
    <w:pPr>
      <w:widowControl/>
      <w:spacing w:before="100" w:beforeAutospacing="1" w:after="100" w:afterAutospacing="1"/>
      <w:jc w:val="left"/>
    </w:pPr>
    <w:rPr>
      <w:rFonts w:ascii="宋体" w:hAnsi="宋体" w:cs="宋体"/>
      <w:kern w:val="0"/>
      <w:sz w:val="18"/>
      <w:szCs w:val="18"/>
    </w:rPr>
  </w:style>
  <w:style w:type="paragraph" w:customStyle="1" w:styleId="293">
    <w:name w:val="列出段落3"/>
    <w:basedOn w:val="1"/>
    <w:autoRedefine/>
    <w:qFormat/>
    <w:uiPriority w:val="34"/>
    <w:pPr>
      <w:ind w:firstLine="420" w:firstLineChars="200"/>
    </w:pPr>
    <w:rPr>
      <w:rFonts w:ascii="Calibri" w:hAnsi="Calibri"/>
      <w:szCs w:val="22"/>
    </w:rPr>
  </w:style>
  <w:style w:type="paragraph" w:customStyle="1" w:styleId="294">
    <w:name w:val="xl822"/>
    <w:basedOn w:val="1"/>
    <w:autoRedefine/>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95">
    <w:name w:val="xl79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296">
    <w:name w:val="xl81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97">
    <w:name w:val="图标题"/>
    <w:basedOn w:val="1"/>
    <w:autoRedefine/>
    <w:qFormat/>
    <w:uiPriority w:val="99"/>
    <w:pPr>
      <w:spacing w:line="360" w:lineRule="auto"/>
      <w:jc w:val="center"/>
    </w:pPr>
  </w:style>
  <w:style w:type="paragraph" w:customStyle="1" w:styleId="298">
    <w:name w:val="xl81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99">
    <w:name w:val="xl80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0"/>
      <w:szCs w:val="20"/>
    </w:rPr>
  </w:style>
  <w:style w:type="paragraph" w:customStyle="1" w:styleId="300">
    <w:name w:val="xl80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01">
    <w:name w:val="无间隔1"/>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302">
    <w:name w:val="xl80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03">
    <w:name w:val="font10"/>
    <w:basedOn w:val="1"/>
    <w:autoRedefine/>
    <w:qFormat/>
    <w:uiPriority w:val="99"/>
    <w:pPr>
      <w:widowControl/>
      <w:spacing w:before="100" w:beforeAutospacing="1" w:after="100" w:afterAutospacing="1"/>
      <w:jc w:val="left"/>
    </w:pPr>
    <w:rPr>
      <w:rFonts w:ascii="宋体" w:hAnsi="宋体" w:cs="宋体"/>
      <w:kern w:val="0"/>
      <w:sz w:val="18"/>
      <w:szCs w:val="18"/>
    </w:rPr>
  </w:style>
  <w:style w:type="paragraph" w:customStyle="1" w:styleId="304">
    <w:name w:val="xl79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05">
    <w:name w:val="xl80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06">
    <w:name w:val="xl82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307">
    <w:name w:val="正文首缩两字"/>
    <w:basedOn w:val="1"/>
    <w:autoRedefine/>
    <w:qFormat/>
    <w:uiPriority w:val="99"/>
    <w:pPr>
      <w:spacing w:line="360" w:lineRule="auto"/>
      <w:ind w:firstLine="200" w:firstLineChars="200"/>
    </w:pPr>
    <w:rPr>
      <w:rFonts w:ascii="Verdana" w:hAnsi="Verdana"/>
      <w:sz w:val="24"/>
      <w:szCs w:val="22"/>
    </w:rPr>
  </w:style>
  <w:style w:type="paragraph" w:customStyle="1" w:styleId="308">
    <w:name w:val="插图居中"/>
    <w:next w:val="1"/>
    <w:autoRedefine/>
    <w:qFormat/>
    <w:uiPriority w:val="99"/>
    <w:pPr>
      <w:spacing w:beforeLines="50" w:line="360" w:lineRule="auto"/>
      <w:jc w:val="center"/>
    </w:pPr>
    <w:rPr>
      <w:rFonts w:ascii="Times New Roman" w:hAnsi="Times New Roman" w:eastAsia="宋体" w:cs="Times New Roman"/>
      <w:kern w:val="2"/>
      <w:sz w:val="24"/>
      <w:szCs w:val="24"/>
      <w:lang w:val="en-US" w:eastAsia="zh-CN" w:bidi="ar-SA"/>
    </w:rPr>
  </w:style>
  <w:style w:type="paragraph" w:customStyle="1" w:styleId="309">
    <w:name w:val="目录文字"/>
    <w:basedOn w:val="1"/>
    <w:autoRedefine/>
    <w:qFormat/>
    <w:uiPriority w:val="99"/>
    <w:pPr>
      <w:widowControl/>
      <w:spacing w:line="480" w:lineRule="auto"/>
      <w:jc w:val="left"/>
    </w:pPr>
    <w:rPr>
      <w:rFonts w:ascii="宋体" w:hAnsi="宋体"/>
      <w:kern w:val="0"/>
      <w:sz w:val="24"/>
      <w:szCs w:val="20"/>
    </w:rPr>
  </w:style>
  <w:style w:type="paragraph" w:customStyle="1" w:styleId="310">
    <w:name w:val="xl81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11">
    <w:name w:val="xl79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312">
    <w:name w:val="xl80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13">
    <w:name w:val="xl80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314">
    <w:name w:val="xl81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15">
    <w:name w:val="空半行"/>
    <w:basedOn w:val="1"/>
    <w:autoRedefine/>
    <w:qFormat/>
    <w:uiPriority w:val="99"/>
    <w:pPr>
      <w:adjustRightInd w:val="0"/>
      <w:spacing w:line="120" w:lineRule="exact"/>
    </w:pPr>
    <w:rPr>
      <w:rFonts w:eastAsia="仿宋_GB2312"/>
      <w:color w:val="FFFFFF"/>
      <w:kern w:val="0"/>
      <w:sz w:val="30"/>
      <w:szCs w:val="20"/>
    </w:rPr>
  </w:style>
  <w:style w:type="paragraph" w:customStyle="1" w:styleId="316">
    <w:name w:val="xl81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17">
    <w:name w:val="font11"/>
    <w:basedOn w:val="1"/>
    <w:autoRedefine/>
    <w:qFormat/>
    <w:uiPriority w:val="99"/>
    <w:pPr>
      <w:widowControl/>
      <w:spacing w:before="100" w:beforeAutospacing="1" w:after="100" w:afterAutospacing="1"/>
      <w:jc w:val="left"/>
    </w:pPr>
    <w:rPr>
      <w:rFonts w:ascii="宋体" w:hAnsi="宋体" w:cs="宋体"/>
      <w:kern w:val="0"/>
      <w:sz w:val="20"/>
      <w:szCs w:val="20"/>
    </w:rPr>
  </w:style>
  <w:style w:type="paragraph" w:customStyle="1" w:styleId="318">
    <w:name w:val="xl81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19">
    <w:name w:val="xl820"/>
    <w:basedOn w:val="1"/>
    <w:autoRedefine/>
    <w:qFormat/>
    <w:uiPriority w:val="99"/>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20">
    <w:name w:val="TOC 标题1"/>
    <w:basedOn w:val="3"/>
    <w:next w:val="1"/>
    <w:autoRedefine/>
    <w:qFormat/>
    <w:uiPriority w:val="39"/>
    <w:pPr>
      <w:tabs>
        <w:tab w:val="left" w:pos="432"/>
      </w:tabs>
      <w:autoSpaceDE/>
      <w:autoSpaceDN/>
      <w:adjustRightInd/>
      <w:spacing w:before="340" w:after="330" w:line="576" w:lineRule="auto"/>
      <w:jc w:val="both"/>
      <w:outlineLvl w:val="9"/>
    </w:pPr>
    <w:rPr>
      <w:rFonts w:ascii="Calibri" w:hAnsi="Calibri"/>
      <w:b w:val="0"/>
      <w:bCs/>
      <w:sz w:val="44"/>
      <w:szCs w:val="44"/>
      <w:lang w:val="zh-CN"/>
    </w:rPr>
  </w:style>
  <w:style w:type="paragraph" w:customStyle="1" w:styleId="321">
    <w:name w:val="表内文字居左"/>
    <w:autoRedefine/>
    <w:qFormat/>
    <w:uiPriority w:val="99"/>
    <w:pPr>
      <w:widowControl w:val="0"/>
      <w:adjustRightInd w:val="0"/>
      <w:snapToGrid w:val="0"/>
      <w:jc w:val="both"/>
    </w:pPr>
    <w:rPr>
      <w:rFonts w:ascii="Times New Roman" w:hAnsi="Times New Roman" w:eastAsia="宋体" w:cs="Times New Roman"/>
      <w:kern w:val="2"/>
      <w:sz w:val="24"/>
      <w:szCs w:val="24"/>
      <w:lang w:val="en-US" w:eastAsia="zh-CN" w:bidi="ar-SA"/>
    </w:rPr>
  </w:style>
  <w:style w:type="paragraph" w:customStyle="1" w:styleId="322">
    <w:name w:val="图内文字5号居中"/>
    <w:autoRedefine/>
    <w:qFormat/>
    <w:uiPriority w:val="99"/>
    <w:pPr>
      <w:jc w:val="center"/>
    </w:pPr>
    <w:rPr>
      <w:rFonts w:ascii="Times New Roman" w:hAnsi="Times New Roman" w:eastAsia="宋体" w:cs="Times New Roman"/>
      <w:kern w:val="2"/>
      <w:sz w:val="21"/>
      <w:szCs w:val="24"/>
      <w:lang w:val="en-US" w:eastAsia="zh-CN" w:bidi="ar-SA"/>
    </w:rPr>
  </w:style>
  <w:style w:type="paragraph" w:customStyle="1" w:styleId="323">
    <w:name w:val="样式1"/>
    <w:basedOn w:val="1"/>
    <w:autoRedefine/>
    <w:qFormat/>
    <w:uiPriority w:val="99"/>
    <w:pPr>
      <w:spacing w:before="120" w:after="120" w:line="300" w:lineRule="auto"/>
    </w:pPr>
    <w:rPr>
      <w:rFonts w:ascii="宋体" w:hAnsi="宋体"/>
      <w:b/>
      <w:sz w:val="24"/>
      <w:szCs w:val="20"/>
    </w:rPr>
  </w:style>
  <w:style w:type="paragraph" w:customStyle="1" w:styleId="324">
    <w:name w:val="Style2"/>
    <w:basedOn w:val="1"/>
    <w:autoRedefine/>
    <w:qFormat/>
    <w:uiPriority w:val="99"/>
    <w:pPr>
      <w:adjustRightInd w:val="0"/>
      <w:spacing w:line="533" w:lineRule="exact"/>
      <w:jc w:val="left"/>
    </w:pPr>
    <w:rPr>
      <w:rFonts w:ascii="宋体" w:hAnsi="Calibri"/>
      <w:kern w:val="0"/>
      <w:sz w:val="24"/>
    </w:rPr>
  </w:style>
  <w:style w:type="paragraph" w:customStyle="1" w:styleId="325">
    <w:name w:val="xl80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26">
    <w:name w:val="Char1 Char Char Char"/>
    <w:basedOn w:val="1"/>
    <w:autoRedefine/>
    <w:qFormat/>
    <w:uiPriority w:val="99"/>
    <w:rPr>
      <w:rFonts w:ascii="Tahoma" w:hAnsi="Tahoma"/>
      <w:sz w:val="24"/>
      <w:szCs w:val="20"/>
    </w:rPr>
  </w:style>
  <w:style w:type="paragraph" w:customStyle="1" w:styleId="327">
    <w:name w:val="目录"/>
    <w:basedOn w:val="1"/>
    <w:autoRedefine/>
    <w:qFormat/>
    <w:uiPriority w:val="99"/>
    <w:pPr>
      <w:widowControl/>
      <w:jc w:val="center"/>
    </w:pPr>
    <w:rPr>
      <w:rFonts w:ascii="宋体"/>
      <w:b/>
      <w:kern w:val="0"/>
      <w:sz w:val="36"/>
      <w:szCs w:val="20"/>
    </w:rPr>
  </w:style>
  <w:style w:type="paragraph" w:customStyle="1" w:styleId="328">
    <w:name w:val="Style3"/>
    <w:basedOn w:val="1"/>
    <w:autoRedefine/>
    <w:qFormat/>
    <w:uiPriority w:val="99"/>
    <w:pPr>
      <w:adjustRightInd w:val="0"/>
      <w:spacing w:line="550" w:lineRule="exact"/>
      <w:ind w:firstLine="571"/>
      <w:jc w:val="left"/>
    </w:pPr>
    <w:rPr>
      <w:rFonts w:ascii="宋体" w:hAnsi="Calibri"/>
      <w:kern w:val="0"/>
      <w:sz w:val="24"/>
    </w:rPr>
  </w:style>
  <w:style w:type="paragraph" w:customStyle="1" w:styleId="329">
    <w:name w:val="xl80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330">
    <w:name w:val="font12"/>
    <w:basedOn w:val="1"/>
    <w:autoRedefine/>
    <w:qFormat/>
    <w:uiPriority w:val="99"/>
    <w:pPr>
      <w:widowControl/>
      <w:spacing w:before="100" w:beforeAutospacing="1" w:after="100" w:afterAutospacing="1"/>
      <w:jc w:val="left"/>
    </w:pPr>
    <w:rPr>
      <w:rFonts w:ascii="宋体" w:hAnsi="宋体" w:cs="宋体"/>
      <w:color w:val="000000"/>
      <w:kern w:val="0"/>
      <w:sz w:val="20"/>
      <w:szCs w:val="20"/>
    </w:rPr>
  </w:style>
  <w:style w:type="paragraph" w:customStyle="1" w:styleId="331">
    <w:name w:val="xl80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332">
    <w:name w:val="xl79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33">
    <w:name w:val="xl81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34">
    <w:name w:val="List Paragraph2"/>
    <w:basedOn w:val="1"/>
    <w:autoRedefine/>
    <w:qFormat/>
    <w:uiPriority w:val="34"/>
    <w:pPr>
      <w:widowControl/>
      <w:ind w:firstLine="420" w:firstLineChars="200"/>
      <w:jc w:val="left"/>
    </w:pPr>
    <w:rPr>
      <w:rFonts w:ascii="宋体" w:hAnsi="Calibri"/>
      <w:kern w:val="0"/>
      <w:sz w:val="24"/>
    </w:rPr>
  </w:style>
  <w:style w:type="paragraph" w:customStyle="1" w:styleId="335">
    <w:name w:val="xl79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0"/>
      <w:szCs w:val="20"/>
    </w:rPr>
  </w:style>
  <w:style w:type="paragraph" w:customStyle="1" w:styleId="336">
    <w:name w:val="Preformatted"/>
    <w:basedOn w:val="1"/>
    <w:autoRedefine/>
    <w:qFormat/>
    <w:uiPriority w:val="99"/>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337">
    <w:name w:val="font13"/>
    <w:basedOn w:val="1"/>
    <w:autoRedefine/>
    <w:qFormat/>
    <w:uiPriority w:val="99"/>
    <w:pPr>
      <w:widowControl/>
      <w:spacing w:before="100" w:beforeAutospacing="1" w:after="100" w:afterAutospacing="1"/>
      <w:jc w:val="left"/>
    </w:pPr>
    <w:rPr>
      <w:rFonts w:ascii="宋体" w:hAnsi="宋体" w:cs="宋体"/>
      <w:kern w:val="0"/>
      <w:sz w:val="18"/>
      <w:szCs w:val="18"/>
    </w:rPr>
  </w:style>
  <w:style w:type="paragraph" w:customStyle="1" w:styleId="338">
    <w:name w:val="正常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39">
    <w:name w:val="xl79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40">
    <w:name w:val="Style4"/>
    <w:basedOn w:val="1"/>
    <w:autoRedefine/>
    <w:qFormat/>
    <w:uiPriority w:val="99"/>
    <w:pPr>
      <w:adjustRightInd w:val="0"/>
      <w:jc w:val="left"/>
    </w:pPr>
    <w:rPr>
      <w:rFonts w:ascii="宋体" w:hAnsi="Calibri"/>
      <w:kern w:val="0"/>
      <w:sz w:val="24"/>
    </w:rPr>
  </w:style>
  <w:style w:type="paragraph" w:customStyle="1" w:styleId="341">
    <w:name w:val="正文文字缩进 2"/>
    <w:basedOn w:val="1"/>
    <w:next w:val="1"/>
    <w:autoRedefine/>
    <w:qFormat/>
    <w:uiPriority w:val="99"/>
    <w:pPr>
      <w:widowControl/>
      <w:spacing w:line="288" w:lineRule="auto"/>
      <w:ind w:firstLine="560"/>
    </w:pPr>
    <w:rPr>
      <w:rFonts w:ascii="宋体"/>
      <w:color w:val="000000"/>
      <w:sz w:val="28"/>
    </w:rPr>
  </w:style>
  <w:style w:type="paragraph" w:customStyle="1" w:styleId="342">
    <w:name w:val="xl81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43">
    <w:name w:val="修订2"/>
    <w:autoRedefine/>
    <w:qFormat/>
    <w:uiPriority w:val="99"/>
    <w:rPr>
      <w:rFonts w:ascii="Calibri" w:hAnsi="Calibri" w:eastAsia="宋体" w:cs="Times New Roman"/>
      <w:kern w:val="2"/>
      <w:sz w:val="21"/>
      <w:szCs w:val="22"/>
      <w:lang w:val="en-US" w:eastAsia="zh-CN" w:bidi="ar-SA"/>
    </w:rPr>
  </w:style>
  <w:style w:type="paragraph" w:customStyle="1" w:styleId="344">
    <w:name w:val="xl81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345">
    <w:name w:val="列出段落6"/>
    <w:basedOn w:val="1"/>
    <w:autoRedefine/>
    <w:qFormat/>
    <w:uiPriority w:val="99"/>
    <w:pPr>
      <w:ind w:firstLine="420" w:firstLineChars="200"/>
    </w:pPr>
    <w:rPr>
      <w:rFonts w:ascii="Calibri" w:hAnsi="Calibri"/>
      <w:szCs w:val="22"/>
    </w:rPr>
  </w:style>
  <w:style w:type="paragraph" w:customStyle="1" w:styleId="346">
    <w:name w:val="样式 标题 2 + Times New Roman 四号 非加粗 段前: 5 磅 段后: 0 磅 行距: 固定值 20..."/>
    <w:basedOn w:val="4"/>
    <w:autoRedefine/>
    <w:qFormat/>
    <w:uiPriority w:val="99"/>
    <w:pPr>
      <w:autoSpaceDE/>
      <w:autoSpaceDN/>
      <w:adjustRightInd/>
      <w:spacing w:before="100" w:line="400" w:lineRule="exact"/>
      <w:jc w:val="both"/>
    </w:pPr>
    <w:rPr>
      <w:rFonts w:ascii="Times New Roman" w:hAnsi="Times New Roman" w:eastAsia="宋体" w:cs="宋体"/>
      <w:sz w:val="28"/>
      <w:lang w:val="zh-CN"/>
    </w:rPr>
  </w:style>
  <w:style w:type="paragraph" w:customStyle="1" w:styleId="347">
    <w:name w:val="flNote"/>
    <w:basedOn w:val="1"/>
    <w:autoRedefine/>
    <w:qFormat/>
    <w:uiPriority w:val="99"/>
    <w:pPr>
      <w:adjustRightInd w:val="0"/>
      <w:spacing w:before="320" w:after="160" w:line="360" w:lineRule="atLeast"/>
      <w:jc w:val="center"/>
    </w:pPr>
    <w:rPr>
      <w:rFonts w:ascii="Arial" w:eastAsia="黑体"/>
      <w:kern w:val="0"/>
      <w:sz w:val="30"/>
      <w:szCs w:val="20"/>
    </w:rPr>
  </w:style>
  <w:style w:type="paragraph" w:customStyle="1" w:styleId="348">
    <w:name w:val="xl80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49">
    <w:name w:val="xl81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50">
    <w:name w:val="Style1"/>
    <w:basedOn w:val="1"/>
    <w:autoRedefine/>
    <w:qFormat/>
    <w:uiPriority w:val="99"/>
    <w:pPr>
      <w:adjustRightInd w:val="0"/>
      <w:jc w:val="left"/>
    </w:pPr>
    <w:rPr>
      <w:rFonts w:ascii="宋体" w:hAnsi="Calibri"/>
      <w:kern w:val="0"/>
      <w:sz w:val="24"/>
    </w:rPr>
  </w:style>
  <w:style w:type="paragraph" w:customStyle="1" w:styleId="351">
    <w:name w:val="列出段落31"/>
    <w:basedOn w:val="1"/>
    <w:autoRedefine/>
    <w:qFormat/>
    <w:uiPriority w:val="99"/>
    <w:pPr>
      <w:ind w:firstLine="420" w:firstLineChars="200"/>
    </w:pPr>
    <w:rPr>
      <w:szCs w:val="20"/>
    </w:rPr>
  </w:style>
  <w:style w:type="paragraph" w:customStyle="1" w:styleId="352">
    <w:name w:val="_Style 251"/>
    <w:basedOn w:val="1"/>
    <w:next w:val="15"/>
    <w:autoRedefine/>
    <w:qFormat/>
    <w:uiPriority w:val="1"/>
    <w:pPr>
      <w:ind w:firstLine="420" w:firstLineChars="200"/>
    </w:pPr>
    <w:rPr>
      <w:rFonts w:ascii="Calibri" w:hAnsi="Calibri"/>
      <w:szCs w:val="22"/>
    </w:rPr>
  </w:style>
  <w:style w:type="paragraph" w:customStyle="1" w:styleId="353">
    <w:name w:val="_Style 261"/>
    <w:basedOn w:val="1"/>
    <w:next w:val="15"/>
    <w:autoRedefine/>
    <w:qFormat/>
    <w:uiPriority w:val="1"/>
    <w:pPr>
      <w:ind w:firstLine="420" w:firstLineChars="200"/>
    </w:pPr>
    <w:rPr>
      <w:rFonts w:ascii="Calibri" w:hAnsi="Calibri"/>
      <w:szCs w:val="22"/>
    </w:rPr>
  </w:style>
  <w:style w:type="paragraph" w:customStyle="1" w:styleId="354">
    <w:name w:val="1.1.1"/>
    <w:basedOn w:val="351"/>
    <w:autoRedefine/>
    <w:qFormat/>
    <w:uiPriority w:val="99"/>
    <w:pPr>
      <w:adjustRightInd w:val="0"/>
      <w:snapToGrid w:val="0"/>
      <w:spacing w:before="100" w:beforeAutospacing="1" w:after="100" w:afterAutospacing="1" w:line="440" w:lineRule="exact"/>
      <w:ind w:left="1276" w:hanging="567" w:firstLineChars="0"/>
      <w:contextualSpacing/>
    </w:pPr>
    <w:rPr>
      <w:rFonts w:eastAsia="等线"/>
    </w:rPr>
  </w:style>
  <w:style w:type="paragraph" w:customStyle="1" w:styleId="355">
    <w:name w:val="列出段落41"/>
    <w:basedOn w:val="1"/>
    <w:autoRedefine/>
    <w:qFormat/>
    <w:uiPriority w:val="99"/>
    <w:pPr>
      <w:adjustRightInd w:val="0"/>
      <w:snapToGrid w:val="0"/>
      <w:spacing w:before="100" w:beforeAutospacing="1" w:after="100" w:afterAutospacing="1" w:line="360" w:lineRule="auto"/>
      <w:ind w:firstLine="420" w:firstLineChars="200"/>
      <w:contextualSpacing/>
    </w:pPr>
    <w:rPr>
      <w:rFonts w:eastAsia="等线"/>
      <w:szCs w:val="20"/>
    </w:rPr>
  </w:style>
  <w:style w:type="paragraph" w:customStyle="1" w:styleId="356">
    <w:name w:val="正文（缩进）"/>
    <w:basedOn w:val="1"/>
    <w:autoRedefine/>
    <w:qFormat/>
    <w:uiPriority w:val="99"/>
    <w:pPr>
      <w:spacing w:beforeLines="50"/>
      <w:ind w:firstLine="480"/>
    </w:pPr>
    <w:rPr>
      <w:rFonts w:ascii="Calibri" w:hAnsi="Calibri"/>
      <w:sz w:val="24"/>
      <w:szCs w:val="22"/>
    </w:rPr>
  </w:style>
  <w:style w:type="paragraph" w:customStyle="1" w:styleId="357">
    <w:name w:val="2级小标题"/>
    <w:basedOn w:val="3"/>
    <w:autoRedefine/>
    <w:qFormat/>
    <w:uiPriority w:val="99"/>
    <w:pPr>
      <w:keepNext w:val="0"/>
      <w:keepLines w:val="0"/>
      <w:numPr>
        <w:ilvl w:val="1"/>
        <w:numId w:val="8"/>
      </w:numPr>
      <w:kinsoku w:val="0"/>
      <w:adjustRightInd/>
      <w:snapToGrid w:val="0"/>
      <w:spacing w:beforeLines="50" w:after="0" w:line="240" w:lineRule="auto"/>
      <w:jc w:val="both"/>
      <w:outlineLvl w:val="1"/>
    </w:pPr>
    <w:rPr>
      <w:rFonts w:ascii="Times New Roman" w:cs="Arial"/>
      <w:b w:val="0"/>
      <w:color w:val="000000"/>
      <w:kern w:val="2"/>
      <w:sz w:val="21"/>
      <w:szCs w:val="24"/>
      <w:lang w:eastAsia="en-US"/>
    </w:rPr>
  </w:style>
  <w:style w:type="paragraph" w:customStyle="1" w:styleId="358">
    <w:name w:val="1级大标题"/>
    <w:basedOn w:val="3"/>
    <w:autoRedefine/>
    <w:qFormat/>
    <w:uiPriority w:val="99"/>
    <w:pPr>
      <w:keepNext w:val="0"/>
      <w:keepLines w:val="0"/>
      <w:numPr>
        <w:ilvl w:val="0"/>
        <w:numId w:val="8"/>
      </w:numPr>
      <w:kinsoku w:val="0"/>
      <w:adjustRightInd/>
      <w:snapToGrid w:val="0"/>
      <w:spacing w:beforeLines="50" w:after="0" w:line="240" w:lineRule="auto"/>
      <w:jc w:val="both"/>
    </w:pPr>
    <w:rPr>
      <w:rFonts w:ascii="Times New Roman" w:cs="Arial"/>
      <w:color w:val="000000"/>
      <w:kern w:val="2"/>
      <w:sz w:val="21"/>
      <w:szCs w:val="21"/>
      <w:lang w:eastAsia="en-US"/>
    </w:rPr>
  </w:style>
  <w:style w:type="paragraph" w:customStyle="1" w:styleId="359">
    <w:name w:val="3级小标题"/>
    <w:basedOn w:val="3"/>
    <w:autoRedefine/>
    <w:qFormat/>
    <w:uiPriority w:val="99"/>
    <w:pPr>
      <w:keepNext w:val="0"/>
      <w:keepLines w:val="0"/>
      <w:numPr>
        <w:ilvl w:val="2"/>
        <w:numId w:val="8"/>
      </w:numPr>
      <w:kinsoku w:val="0"/>
      <w:adjustRightInd/>
      <w:snapToGrid w:val="0"/>
      <w:spacing w:beforeLines="50" w:after="0" w:line="240" w:lineRule="auto"/>
      <w:jc w:val="both"/>
      <w:outlineLvl w:val="2"/>
    </w:pPr>
    <w:rPr>
      <w:rFonts w:ascii="Times New Roman" w:cs="Arial"/>
      <w:b w:val="0"/>
      <w:color w:val="000000"/>
      <w:kern w:val="2"/>
      <w:sz w:val="21"/>
      <w:szCs w:val="24"/>
      <w:lang w:eastAsia="en-US"/>
    </w:rPr>
  </w:style>
  <w:style w:type="paragraph" w:customStyle="1" w:styleId="360">
    <w:name w:val="WW-正文缩进"/>
    <w:basedOn w:val="1"/>
    <w:autoRedefine/>
    <w:qFormat/>
    <w:uiPriority w:val="99"/>
    <w:pPr>
      <w:suppressAutoHyphens/>
      <w:autoSpaceDE w:val="0"/>
      <w:ind w:firstLine="420"/>
      <w:jc w:val="left"/>
    </w:pPr>
    <w:rPr>
      <w:rFonts w:ascii="宋体" w:hAnsi="宋体"/>
      <w:kern w:val="0"/>
      <w:sz w:val="24"/>
      <w:szCs w:val="20"/>
    </w:rPr>
  </w:style>
  <w:style w:type="paragraph" w:customStyle="1" w:styleId="361">
    <w:name w:val="彩色列表 - 强调文字颜色 11"/>
    <w:basedOn w:val="1"/>
    <w:autoRedefine/>
    <w:qFormat/>
    <w:uiPriority w:val="99"/>
    <w:pPr>
      <w:ind w:firstLine="420" w:firstLineChars="200"/>
    </w:pPr>
  </w:style>
  <w:style w:type="character" w:customStyle="1" w:styleId="362">
    <w:name w:val="样式 Char"/>
    <w:link w:val="363"/>
    <w:autoRedefine/>
    <w:qFormat/>
    <w:locked/>
    <w:uiPriority w:val="0"/>
    <w:rPr>
      <w:rFonts w:ascii="宋体" w:hAnsi="宋体"/>
      <w:sz w:val="24"/>
      <w:szCs w:val="24"/>
    </w:rPr>
  </w:style>
  <w:style w:type="paragraph" w:customStyle="1" w:styleId="363">
    <w:name w:val="样式"/>
    <w:link w:val="362"/>
    <w:autoRedefine/>
    <w:qFormat/>
    <w:uiPriority w:val="0"/>
    <w:pPr>
      <w:widowControl w:val="0"/>
      <w:autoSpaceDE w:val="0"/>
      <w:autoSpaceDN w:val="0"/>
      <w:adjustRightInd w:val="0"/>
    </w:pPr>
    <w:rPr>
      <w:rFonts w:ascii="宋体" w:hAnsi="宋体" w:eastAsia="宋体" w:cs="Times New Roman"/>
      <w:sz w:val="24"/>
      <w:szCs w:val="24"/>
      <w:lang w:val="en-US" w:eastAsia="zh-CN" w:bidi="ar-SA"/>
    </w:rPr>
  </w:style>
  <w:style w:type="paragraph" w:customStyle="1" w:styleId="364">
    <w:name w:val="1.1.1.1A"/>
    <w:basedOn w:val="1"/>
    <w:autoRedefine/>
    <w:qFormat/>
    <w:uiPriority w:val="99"/>
    <w:pPr>
      <w:tabs>
        <w:tab w:val="left" w:pos="1843"/>
        <w:tab w:val="left" w:pos="26875"/>
      </w:tabs>
      <w:autoSpaceDE w:val="0"/>
      <w:autoSpaceDN w:val="0"/>
      <w:adjustRightInd w:val="0"/>
      <w:spacing w:before="60" w:after="60" w:line="360" w:lineRule="atLeast"/>
      <w:ind w:left="1560" w:hanging="426"/>
      <w:jc w:val="left"/>
    </w:pPr>
    <w:rPr>
      <w:rFonts w:ascii="宋体"/>
      <w:kern w:val="0"/>
      <w:sz w:val="24"/>
      <w:szCs w:val="20"/>
    </w:rPr>
  </w:style>
  <w:style w:type="paragraph" w:customStyle="1" w:styleId="365">
    <w:name w:val="Char Char Char Char Char Char1 Char"/>
    <w:basedOn w:val="1"/>
    <w:autoRedefine/>
    <w:qFormat/>
    <w:uiPriority w:val="99"/>
    <w:pPr>
      <w:widowControl/>
      <w:wordWrap w:val="0"/>
      <w:jc w:val="left"/>
    </w:pPr>
  </w:style>
  <w:style w:type="paragraph" w:customStyle="1" w:styleId="366">
    <w:name w:val="Char1 Char Char1 Char Char Char Char"/>
    <w:basedOn w:val="1"/>
    <w:autoRedefine/>
    <w:qFormat/>
    <w:uiPriority w:val="99"/>
    <w:rPr>
      <w:rFonts w:ascii="Tahoma" w:hAnsi="Tahoma"/>
      <w:sz w:val="24"/>
      <w:szCs w:val="20"/>
    </w:rPr>
  </w:style>
  <w:style w:type="paragraph" w:customStyle="1" w:styleId="367">
    <w:name w:val="plaintext1"/>
    <w:basedOn w:val="1"/>
    <w:autoRedefine/>
    <w:qFormat/>
    <w:uiPriority w:val="99"/>
    <w:pPr>
      <w:widowControl/>
      <w:spacing w:before="100" w:beforeAutospacing="1" w:after="100" w:afterAutospacing="1"/>
      <w:jc w:val="left"/>
    </w:pPr>
    <w:rPr>
      <w:rFonts w:ascii="宋体" w:hAnsi="宋体"/>
      <w:kern w:val="0"/>
      <w:sz w:val="24"/>
    </w:rPr>
  </w:style>
  <w:style w:type="paragraph" w:customStyle="1" w:styleId="368">
    <w:name w:val="Char Char Char Char Char Char1 Char1"/>
    <w:basedOn w:val="1"/>
    <w:autoRedefine/>
    <w:qFormat/>
    <w:uiPriority w:val="99"/>
    <w:pPr>
      <w:widowControl/>
      <w:wordWrap w:val="0"/>
      <w:jc w:val="left"/>
    </w:pPr>
    <w:rPr>
      <w:rFonts w:ascii="Tahoma" w:hAnsi="Tahoma"/>
      <w:sz w:val="24"/>
      <w:szCs w:val="20"/>
    </w:rPr>
  </w:style>
  <w:style w:type="paragraph" w:customStyle="1" w:styleId="369">
    <w:name w:val="标题六"/>
    <w:basedOn w:val="6"/>
    <w:autoRedefine/>
    <w:qFormat/>
    <w:uiPriority w:val="99"/>
    <w:pPr>
      <w:autoSpaceDE/>
      <w:autoSpaceDN/>
      <w:adjustRightInd/>
      <w:spacing w:before="260" w:after="260" w:line="415" w:lineRule="auto"/>
      <w:jc w:val="both"/>
    </w:pPr>
    <w:rPr>
      <w:rFonts w:ascii="Times New Roman"/>
      <w:bCs/>
      <w:kern w:val="2"/>
      <w:sz w:val="28"/>
      <w:szCs w:val="32"/>
      <w:u w:val="none"/>
    </w:rPr>
  </w:style>
  <w:style w:type="paragraph" w:customStyle="1" w:styleId="370">
    <w:name w:val="_Style 23"/>
    <w:next w:val="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71">
    <w:name w:val="第一章"/>
    <w:basedOn w:val="1"/>
    <w:autoRedefine/>
    <w:qFormat/>
    <w:uiPriority w:val="99"/>
    <w:pPr>
      <w:pageBreakBefore/>
      <w:tabs>
        <w:tab w:val="left" w:pos="720"/>
      </w:tabs>
      <w:spacing w:line="360" w:lineRule="auto"/>
      <w:ind w:left="720" w:firstLine="200" w:firstLineChars="200"/>
      <w:jc w:val="left"/>
    </w:pPr>
    <w:rPr>
      <w:rFonts w:eastAsia="黑体"/>
      <w:b/>
      <w:sz w:val="32"/>
    </w:rPr>
  </w:style>
  <w:style w:type="paragraph" w:customStyle="1" w:styleId="372">
    <w:name w:val="样式 正文缩进 + 首行缩进:  2.06 字符"/>
    <w:basedOn w:val="5"/>
    <w:autoRedefine/>
    <w:qFormat/>
    <w:uiPriority w:val="99"/>
    <w:pPr>
      <w:autoSpaceDE/>
      <w:autoSpaceDN/>
      <w:adjustRightInd/>
      <w:spacing w:line="360" w:lineRule="auto"/>
      <w:ind w:right="31" w:rightChars="15" w:firstLine="433" w:firstLineChars="206"/>
      <w:jc w:val="both"/>
    </w:pPr>
    <w:rPr>
      <w:rFonts w:hAnsi="宋体" w:cs="宋体"/>
      <w:szCs w:val="20"/>
    </w:rPr>
  </w:style>
  <w:style w:type="paragraph" w:customStyle="1" w:styleId="373">
    <w:name w:val="1."/>
    <w:basedOn w:val="1"/>
    <w:autoRedefine/>
    <w:qFormat/>
    <w:uiPriority w:val="99"/>
    <w:pPr>
      <w:spacing w:line="360" w:lineRule="auto"/>
    </w:pPr>
    <w:rPr>
      <w:sz w:val="24"/>
    </w:rPr>
  </w:style>
  <w:style w:type="paragraph" w:customStyle="1" w:styleId="374">
    <w:name w:val="首行缩进"/>
    <w:autoRedefine/>
    <w:qFormat/>
    <w:uiPriority w:val="99"/>
    <w:pPr>
      <w:spacing w:line="360" w:lineRule="auto"/>
      <w:ind w:firstLine="480" w:firstLineChars="200"/>
    </w:pPr>
    <w:rPr>
      <w:rFonts w:ascii="Times New Roman" w:hAnsi="Times New Roman" w:eastAsia="宋体" w:cs="Times New Roman"/>
      <w:kern w:val="2"/>
      <w:sz w:val="24"/>
      <w:szCs w:val="24"/>
      <w:lang w:val="en-US" w:eastAsia="zh-CN" w:bidi="ar-SA"/>
    </w:rPr>
  </w:style>
  <w:style w:type="paragraph" w:customStyle="1" w:styleId="375">
    <w:name w:val="WW-正文文本缩进 3"/>
    <w:basedOn w:val="1"/>
    <w:autoRedefine/>
    <w:qFormat/>
    <w:uiPriority w:val="99"/>
    <w:pPr>
      <w:suppressAutoHyphens/>
      <w:spacing w:line="360" w:lineRule="auto"/>
      <w:ind w:left="2" w:firstLine="482"/>
    </w:pPr>
    <w:rPr>
      <w:rFonts w:ascii="宋体" w:hAnsi="宋体"/>
      <w:sz w:val="24"/>
      <w:lang w:val="zh-CN" w:eastAsia="ar-SA"/>
    </w:rPr>
  </w:style>
  <w:style w:type="paragraph" w:customStyle="1" w:styleId="376">
    <w:name w:val="Char Char Char Char Char Char Char Char Char Char Char Char Char"/>
    <w:basedOn w:val="1"/>
    <w:autoRedefine/>
    <w:qFormat/>
    <w:uiPriority w:val="99"/>
    <w:rPr>
      <w:rFonts w:ascii="Tahoma" w:hAnsi="Tahoma"/>
      <w:sz w:val="24"/>
      <w:szCs w:val="20"/>
    </w:rPr>
  </w:style>
  <w:style w:type="paragraph" w:customStyle="1" w:styleId="377">
    <w:name w:val="p0"/>
    <w:basedOn w:val="1"/>
    <w:autoRedefine/>
    <w:qFormat/>
    <w:uiPriority w:val="99"/>
    <w:pPr>
      <w:widowControl/>
      <w:jc w:val="left"/>
    </w:pPr>
    <w:rPr>
      <w:rFonts w:ascii="宋体" w:hAnsi="宋体" w:cs="宋体"/>
      <w:kern w:val="0"/>
      <w:sz w:val="24"/>
      <w:szCs w:val="21"/>
    </w:rPr>
  </w:style>
  <w:style w:type="paragraph" w:customStyle="1" w:styleId="378">
    <w:name w:val="Body Text Indent_b26e1f60-4e99-4b4f-abdd-c44c689b7a4c"/>
    <w:basedOn w:val="1"/>
    <w:autoRedefine/>
    <w:qFormat/>
    <w:uiPriority w:val="99"/>
    <w:pPr>
      <w:spacing w:after="120"/>
      <w:ind w:left="420" w:leftChars="200"/>
    </w:pPr>
    <w:rPr>
      <w:rFonts w:ascii="Calibri" w:hAnsi="Calibri"/>
      <w:sz w:val="24"/>
      <w:szCs w:val="22"/>
    </w:rPr>
  </w:style>
  <w:style w:type="paragraph" w:customStyle="1" w:styleId="379">
    <w:name w:val="默认段落字体 Para Char Char Char Char Char Char Char"/>
    <w:basedOn w:val="18"/>
    <w:autoRedefine/>
    <w:qFormat/>
    <w:uiPriority w:val="99"/>
    <w:pPr>
      <w:adjustRightInd w:val="0"/>
      <w:spacing w:line="436" w:lineRule="exact"/>
      <w:ind w:left="357"/>
      <w:jc w:val="left"/>
      <w:outlineLvl w:val="3"/>
    </w:pPr>
    <w:rPr>
      <w:rFonts w:eastAsia="Times New Roman"/>
      <w:kern w:val="0"/>
      <w:sz w:val="20"/>
      <w:szCs w:val="20"/>
    </w:rPr>
  </w:style>
  <w:style w:type="paragraph" w:customStyle="1" w:styleId="380">
    <w:name w:val="1)"/>
    <w:basedOn w:val="1"/>
    <w:autoRedefine/>
    <w:qFormat/>
    <w:uiPriority w:val="99"/>
    <w:pPr>
      <w:tabs>
        <w:tab w:val="left" w:pos="900"/>
        <w:tab w:val="left" w:pos="964"/>
      </w:tabs>
      <w:spacing w:line="360" w:lineRule="auto"/>
      <w:ind w:left="420" w:hanging="420"/>
    </w:pPr>
    <w:rPr>
      <w:sz w:val="24"/>
    </w:rPr>
  </w:style>
  <w:style w:type="paragraph" w:customStyle="1" w:styleId="381">
    <w:name w:val="Char Char1 Char Char Char Char Char Char Char"/>
    <w:basedOn w:val="1"/>
    <w:autoRedefine/>
    <w:qFormat/>
    <w:uiPriority w:val="99"/>
    <w:rPr>
      <w:rFonts w:ascii="Tahoma" w:hAnsi="Tahoma"/>
      <w:sz w:val="24"/>
      <w:szCs w:val="20"/>
    </w:rPr>
  </w:style>
  <w:style w:type="paragraph" w:customStyle="1" w:styleId="382">
    <w:name w:val="Blockquote"/>
    <w:basedOn w:val="1"/>
    <w:autoRedefine/>
    <w:qFormat/>
    <w:uiPriority w:val="99"/>
    <w:pPr>
      <w:autoSpaceDE w:val="0"/>
      <w:autoSpaceDN w:val="0"/>
      <w:adjustRightInd w:val="0"/>
      <w:spacing w:before="100" w:after="100"/>
      <w:ind w:left="360" w:right="360"/>
      <w:jc w:val="left"/>
    </w:pPr>
    <w:rPr>
      <w:kern w:val="0"/>
      <w:sz w:val="24"/>
      <w:szCs w:val="20"/>
    </w:rPr>
  </w:style>
  <w:style w:type="paragraph" w:customStyle="1" w:styleId="383">
    <w:name w:val="p15"/>
    <w:basedOn w:val="1"/>
    <w:autoRedefine/>
    <w:qFormat/>
    <w:uiPriority w:val="99"/>
    <w:pPr>
      <w:widowControl/>
      <w:jc w:val="left"/>
    </w:pPr>
    <w:rPr>
      <w:rFonts w:ascii="Calibri" w:hAnsi="Calibri"/>
      <w:kern w:val="0"/>
      <w:sz w:val="24"/>
      <w:szCs w:val="22"/>
    </w:rPr>
  </w:style>
  <w:style w:type="paragraph" w:customStyle="1" w:styleId="384">
    <w:name w:val="xl65"/>
    <w:basedOn w:val="1"/>
    <w:autoRedefine/>
    <w:qFormat/>
    <w:uiPriority w:val="99"/>
    <w:pPr>
      <w:widowControl/>
      <w:spacing w:before="100" w:beforeAutospacing="1" w:after="100" w:afterAutospacing="1"/>
      <w:jc w:val="center"/>
    </w:pPr>
    <w:rPr>
      <w:rFonts w:ascii="宋体" w:hAnsi="宋体" w:cs="宋体"/>
      <w:b/>
      <w:bCs/>
      <w:kern w:val="0"/>
      <w:sz w:val="24"/>
    </w:rPr>
  </w:style>
  <w:style w:type="paragraph" w:customStyle="1" w:styleId="385">
    <w:name w:val="xl66"/>
    <w:basedOn w:val="1"/>
    <w:autoRedefine/>
    <w:qFormat/>
    <w:uiPriority w:val="99"/>
    <w:pPr>
      <w:widowControl/>
      <w:spacing w:before="100" w:beforeAutospacing="1" w:after="100" w:afterAutospacing="1"/>
    </w:pPr>
    <w:rPr>
      <w:rFonts w:ascii="宋体" w:hAnsi="宋体" w:cs="宋体"/>
      <w:kern w:val="0"/>
      <w:sz w:val="24"/>
    </w:rPr>
  </w:style>
  <w:style w:type="paragraph" w:customStyle="1" w:styleId="386">
    <w:name w:val="xl67"/>
    <w:basedOn w:val="1"/>
    <w:autoRedefine/>
    <w:qFormat/>
    <w:uiPriority w:val="99"/>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387">
    <w:name w:val="xl68"/>
    <w:basedOn w:val="1"/>
    <w:autoRedefine/>
    <w:qFormat/>
    <w:uiPriority w:val="99"/>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388">
    <w:name w:val="xl69"/>
    <w:basedOn w:val="1"/>
    <w:autoRedefine/>
    <w:qFormat/>
    <w:uiPriority w:val="99"/>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389">
    <w:name w:val="xl70"/>
    <w:basedOn w:val="1"/>
    <w:autoRedefine/>
    <w:qFormat/>
    <w:uiPriority w:val="99"/>
    <w:pPr>
      <w:widowControl/>
      <w:pBdr>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390">
    <w:name w:val="xl71"/>
    <w:basedOn w:val="1"/>
    <w:autoRedefine/>
    <w:qFormat/>
    <w:uiPriority w:val="99"/>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391">
    <w:name w:val="xl72"/>
    <w:basedOn w:val="1"/>
    <w:autoRedefine/>
    <w:qFormat/>
    <w:uiPriority w:val="99"/>
    <w:pPr>
      <w:widowControl/>
      <w:pBdr>
        <w:bottom w:val="single" w:color="auto" w:sz="8" w:space="0"/>
        <w:right w:val="single" w:color="auto" w:sz="8" w:space="0"/>
      </w:pBdr>
      <w:spacing w:before="100" w:beforeAutospacing="1" w:after="100" w:afterAutospacing="1"/>
      <w:jc w:val="left"/>
    </w:pPr>
    <w:rPr>
      <w:rFonts w:ascii="宋体" w:hAnsi="宋体" w:cs="宋体"/>
      <w:kern w:val="0"/>
      <w:sz w:val="24"/>
    </w:rPr>
  </w:style>
  <w:style w:type="paragraph" w:customStyle="1" w:styleId="392">
    <w:name w:val="xl73"/>
    <w:basedOn w:val="1"/>
    <w:autoRedefine/>
    <w:qFormat/>
    <w:uiPriority w:val="99"/>
    <w:pPr>
      <w:widowControl/>
      <w:pBdr>
        <w:bottom w:val="single" w:color="auto" w:sz="8" w:space="0"/>
        <w:right w:val="single" w:color="auto" w:sz="8" w:space="0"/>
      </w:pBdr>
      <w:spacing w:before="100" w:beforeAutospacing="1" w:after="100" w:afterAutospacing="1"/>
      <w:jc w:val="left"/>
    </w:pPr>
    <w:rPr>
      <w:rFonts w:ascii="宋体" w:hAnsi="宋体" w:cs="宋体"/>
      <w:kern w:val="0"/>
      <w:sz w:val="24"/>
    </w:rPr>
  </w:style>
  <w:style w:type="paragraph" w:customStyle="1" w:styleId="393">
    <w:name w:val="xl74"/>
    <w:basedOn w:val="1"/>
    <w:autoRedefine/>
    <w:qFormat/>
    <w:uiPriority w:val="99"/>
    <w:pPr>
      <w:widowControl/>
      <w:pBdr>
        <w:bottom w:val="single" w:color="auto" w:sz="8" w:space="0"/>
        <w:right w:val="single" w:color="auto" w:sz="8" w:space="0"/>
      </w:pBdr>
      <w:spacing w:before="100" w:beforeAutospacing="1" w:after="100" w:afterAutospacing="1"/>
    </w:pPr>
    <w:rPr>
      <w:rFonts w:ascii="宋体" w:hAnsi="宋体" w:cs="宋体"/>
      <w:kern w:val="0"/>
      <w:sz w:val="24"/>
    </w:rPr>
  </w:style>
  <w:style w:type="paragraph" w:customStyle="1" w:styleId="394">
    <w:name w:val="xl75"/>
    <w:basedOn w:val="1"/>
    <w:autoRedefine/>
    <w:qFormat/>
    <w:uiPriority w:val="99"/>
    <w:pPr>
      <w:widowControl/>
      <w:pBdr>
        <w:left w:val="single" w:color="auto" w:sz="8" w:space="0"/>
        <w:right w:val="single" w:color="auto" w:sz="8" w:space="0"/>
      </w:pBdr>
      <w:spacing w:before="100" w:beforeAutospacing="1" w:after="100" w:afterAutospacing="1"/>
    </w:pPr>
    <w:rPr>
      <w:rFonts w:ascii="宋体" w:hAnsi="宋体" w:cs="宋体"/>
      <w:kern w:val="0"/>
      <w:sz w:val="24"/>
    </w:rPr>
  </w:style>
  <w:style w:type="paragraph" w:customStyle="1" w:styleId="395">
    <w:name w:val="xl76"/>
    <w:basedOn w:val="1"/>
    <w:autoRedefine/>
    <w:qFormat/>
    <w:uiPriority w:val="99"/>
    <w:pPr>
      <w:widowControl/>
      <w:pBdr>
        <w:right w:val="single" w:color="auto" w:sz="8" w:space="0"/>
      </w:pBdr>
      <w:spacing w:before="100" w:beforeAutospacing="1" w:after="100" w:afterAutospacing="1"/>
    </w:pPr>
    <w:rPr>
      <w:rFonts w:ascii="宋体" w:hAnsi="宋体" w:cs="宋体"/>
      <w:kern w:val="0"/>
      <w:sz w:val="24"/>
    </w:rPr>
  </w:style>
  <w:style w:type="paragraph" w:customStyle="1" w:styleId="396">
    <w:name w:val="xl77"/>
    <w:basedOn w:val="1"/>
    <w:autoRedefine/>
    <w:qFormat/>
    <w:uiPriority w:val="99"/>
    <w:pPr>
      <w:widowControl/>
      <w:pBdr>
        <w:right w:val="single" w:color="auto" w:sz="8" w:space="0"/>
      </w:pBdr>
      <w:spacing w:before="100" w:beforeAutospacing="1" w:after="100" w:afterAutospacing="1"/>
      <w:jc w:val="center"/>
    </w:pPr>
    <w:rPr>
      <w:rFonts w:ascii="宋体" w:hAnsi="宋体" w:cs="宋体"/>
      <w:kern w:val="0"/>
      <w:sz w:val="24"/>
    </w:rPr>
  </w:style>
  <w:style w:type="paragraph" w:customStyle="1" w:styleId="397">
    <w:name w:val="xl78"/>
    <w:basedOn w:val="1"/>
    <w:autoRedefine/>
    <w:qFormat/>
    <w:uiPriority w:val="99"/>
    <w:pPr>
      <w:widowControl/>
      <w:pBdr>
        <w:right w:val="single" w:color="auto" w:sz="8" w:space="0"/>
      </w:pBdr>
      <w:spacing w:before="100" w:beforeAutospacing="1" w:after="100" w:afterAutospacing="1"/>
      <w:jc w:val="left"/>
    </w:pPr>
    <w:rPr>
      <w:rFonts w:ascii="宋体" w:hAnsi="宋体" w:cs="宋体"/>
      <w:kern w:val="0"/>
      <w:sz w:val="24"/>
    </w:rPr>
  </w:style>
  <w:style w:type="paragraph" w:customStyle="1" w:styleId="398">
    <w:name w:val="xl79"/>
    <w:basedOn w:val="1"/>
    <w:autoRedefine/>
    <w:qFormat/>
    <w:uiPriority w:val="99"/>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399">
    <w:name w:val="xl80"/>
    <w:basedOn w:val="1"/>
    <w:autoRedefine/>
    <w:qFormat/>
    <w:uiPriority w:val="99"/>
    <w:pPr>
      <w:widowControl/>
      <w:pBdr>
        <w:top w:val="single" w:color="auto" w:sz="8" w:space="0"/>
        <w:bottom w:val="single" w:color="auto" w:sz="8" w:space="0"/>
        <w:right w:val="single" w:color="auto" w:sz="8" w:space="0"/>
      </w:pBdr>
      <w:spacing w:before="100" w:beforeAutospacing="1" w:after="100" w:afterAutospacing="1"/>
    </w:pPr>
    <w:rPr>
      <w:rFonts w:ascii="宋体" w:hAnsi="宋体" w:cs="宋体"/>
      <w:kern w:val="0"/>
      <w:sz w:val="24"/>
    </w:rPr>
  </w:style>
  <w:style w:type="paragraph" w:customStyle="1" w:styleId="400">
    <w:name w:val="xl81"/>
    <w:basedOn w:val="1"/>
    <w:autoRedefine/>
    <w:qFormat/>
    <w:uiPriority w:val="99"/>
    <w:pPr>
      <w:widowControl/>
      <w:pBdr>
        <w:top w:val="single" w:color="auto" w:sz="8" w:space="0"/>
        <w:bottom w:val="single" w:color="auto" w:sz="8" w:space="0"/>
        <w:right w:val="single" w:color="auto" w:sz="8" w:space="0"/>
      </w:pBdr>
      <w:spacing w:before="100" w:beforeAutospacing="1" w:after="100" w:afterAutospacing="1"/>
      <w:jc w:val="left"/>
    </w:pPr>
    <w:rPr>
      <w:rFonts w:ascii="宋体" w:hAnsi="宋体" w:cs="宋体"/>
      <w:kern w:val="0"/>
      <w:sz w:val="24"/>
    </w:rPr>
  </w:style>
  <w:style w:type="paragraph" w:customStyle="1" w:styleId="401">
    <w:name w:val="xl82"/>
    <w:basedOn w:val="1"/>
    <w:autoRedefine/>
    <w:qFormat/>
    <w:uiPriority w:val="99"/>
    <w:pPr>
      <w:widowControl/>
      <w:pBdr>
        <w:left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402">
    <w:name w:val="修订21"/>
    <w:autoRedefine/>
    <w:qFormat/>
    <w:uiPriority w:val="99"/>
    <w:rPr>
      <w:rFonts w:ascii="Calibri" w:hAnsi="Calibri" w:eastAsia="宋体" w:cs="Times New Roman"/>
      <w:kern w:val="2"/>
      <w:sz w:val="21"/>
      <w:szCs w:val="22"/>
      <w:lang w:val="en-US" w:eastAsia="zh-CN" w:bidi="ar-SA"/>
    </w:rPr>
  </w:style>
  <w:style w:type="character" w:styleId="403">
    <w:name w:val="Placeholder Text"/>
    <w:autoRedefine/>
    <w:semiHidden/>
    <w:qFormat/>
    <w:uiPriority w:val="99"/>
    <w:rPr>
      <w:color w:val="808080"/>
    </w:rPr>
  </w:style>
  <w:style w:type="character" w:customStyle="1" w:styleId="404">
    <w:name w:val="标题 1 Char1"/>
    <w:autoRedefine/>
    <w:qFormat/>
    <w:locked/>
    <w:uiPriority w:val="0"/>
    <w:rPr>
      <w:rFonts w:ascii="黑体" w:cs="宋体"/>
      <w:b/>
      <w:sz w:val="28"/>
      <w:lang w:val="zh-CN"/>
    </w:rPr>
  </w:style>
  <w:style w:type="character" w:customStyle="1" w:styleId="405">
    <w:name w:val="标题 4 Char1"/>
    <w:autoRedefine/>
    <w:semiHidden/>
    <w:qFormat/>
    <w:locked/>
    <w:uiPriority w:val="0"/>
    <w:rPr>
      <w:rFonts w:ascii="Arial" w:hAnsi="Arial" w:eastAsia="仿宋_GB2312"/>
      <w:b/>
      <w:bCs/>
      <w:sz w:val="28"/>
      <w:szCs w:val="28"/>
      <w:lang w:val="zh-CN" w:eastAsia="zh-CN"/>
    </w:rPr>
  </w:style>
  <w:style w:type="character" w:customStyle="1" w:styleId="406">
    <w:name w:val="标题 5 Char1"/>
    <w:autoRedefine/>
    <w:semiHidden/>
    <w:qFormat/>
    <w:locked/>
    <w:uiPriority w:val="0"/>
    <w:rPr>
      <w:rFonts w:ascii="Calibri" w:hAnsi="Calibri"/>
      <w:b/>
      <w:bCs/>
      <w:sz w:val="28"/>
      <w:szCs w:val="28"/>
      <w:lang w:val="zh-CN" w:eastAsia="zh-CN"/>
    </w:rPr>
  </w:style>
  <w:style w:type="character" w:customStyle="1" w:styleId="407">
    <w:name w:val="标题 6 Char1"/>
    <w:autoRedefine/>
    <w:semiHidden/>
    <w:qFormat/>
    <w:locked/>
    <w:uiPriority w:val="0"/>
    <w:rPr>
      <w:rFonts w:ascii="Arial" w:hAnsi="Arial" w:eastAsia="黑体"/>
      <w:b/>
      <w:bCs/>
      <w:sz w:val="24"/>
      <w:szCs w:val="24"/>
      <w:lang w:val="zh-CN"/>
    </w:rPr>
  </w:style>
  <w:style w:type="character" w:customStyle="1" w:styleId="408">
    <w:name w:val="标题 7 Char2"/>
    <w:autoRedefine/>
    <w:semiHidden/>
    <w:qFormat/>
    <w:locked/>
    <w:uiPriority w:val="99"/>
    <w:rPr>
      <w:b/>
      <w:bCs/>
      <w:sz w:val="24"/>
      <w:szCs w:val="24"/>
      <w:lang w:val="zh-CN"/>
    </w:rPr>
  </w:style>
  <w:style w:type="character" w:customStyle="1" w:styleId="409">
    <w:name w:val="标题 8 Char1"/>
    <w:autoRedefine/>
    <w:semiHidden/>
    <w:qFormat/>
    <w:locked/>
    <w:uiPriority w:val="99"/>
    <w:rPr>
      <w:rFonts w:ascii="Arial" w:hAnsi="Arial" w:eastAsia="黑体"/>
      <w:sz w:val="24"/>
      <w:szCs w:val="24"/>
      <w:lang w:val="zh-CN"/>
    </w:rPr>
  </w:style>
  <w:style w:type="character" w:customStyle="1" w:styleId="410">
    <w:name w:val="标题 9 Char1"/>
    <w:autoRedefine/>
    <w:semiHidden/>
    <w:qFormat/>
    <w:locked/>
    <w:uiPriority w:val="99"/>
    <w:rPr>
      <w:rFonts w:ascii="Arial" w:hAnsi="Arial" w:eastAsia="黑体"/>
      <w:szCs w:val="21"/>
      <w:lang w:val="zh-CN"/>
    </w:rPr>
  </w:style>
  <w:style w:type="character" w:customStyle="1" w:styleId="411">
    <w:name w:val="文档结构图 Char2"/>
    <w:autoRedefine/>
    <w:semiHidden/>
    <w:qFormat/>
    <w:locked/>
    <w:uiPriority w:val="99"/>
    <w:rPr>
      <w:rFonts w:eastAsia="Times New Roman"/>
      <w:szCs w:val="24"/>
      <w:shd w:val="clear" w:color="auto" w:fill="000080"/>
      <w:lang w:val="zh-CN" w:eastAsia="zh-CN"/>
    </w:rPr>
  </w:style>
  <w:style w:type="character" w:customStyle="1" w:styleId="412">
    <w:name w:val="正文文本 3 Char1"/>
    <w:autoRedefine/>
    <w:semiHidden/>
    <w:qFormat/>
    <w:locked/>
    <w:uiPriority w:val="99"/>
    <w:rPr>
      <w:rFonts w:eastAsia="Times New Roman"/>
      <w:sz w:val="16"/>
      <w:szCs w:val="16"/>
      <w:lang w:val="zh-CN" w:eastAsia="zh-CN"/>
    </w:rPr>
  </w:style>
  <w:style w:type="character" w:customStyle="1" w:styleId="413">
    <w:name w:val="正文文本 Char2"/>
    <w:autoRedefine/>
    <w:semiHidden/>
    <w:qFormat/>
    <w:locked/>
    <w:uiPriority w:val="99"/>
    <w:rPr>
      <w:rFonts w:eastAsia="Times New Roman"/>
      <w:sz w:val="30"/>
      <w:lang w:val="zh-CN" w:eastAsia="zh-CN"/>
    </w:rPr>
  </w:style>
  <w:style w:type="character" w:customStyle="1" w:styleId="414">
    <w:name w:val="正文文本缩进 2 Char1"/>
    <w:autoRedefine/>
    <w:semiHidden/>
    <w:qFormat/>
    <w:locked/>
    <w:uiPriority w:val="99"/>
    <w:rPr>
      <w:rFonts w:ascii="宋体" w:hAnsi="MS Sans Serif" w:eastAsia="Times New Roman"/>
      <w:spacing w:val="12"/>
      <w:sz w:val="24"/>
      <w:lang w:val="zh-CN" w:eastAsia="zh-CN"/>
    </w:rPr>
  </w:style>
  <w:style w:type="character" w:customStyle="1" w:styleId="415">
    <w:name w:val="批注框文本 Char2"/>
    <w:autoRedefine/>
    <w:semiHidden/>
    <w:qFormat/>
    <w:locked/>
    <w:uiPriority w:val="99"/>
    <w:rPr>
      <w:rFonts w:eastAsia="Times New Roman"/>
      <w:sz w:val="18"/>
      <w:szCs w:val="18"/>
      <w:lang w:val="zh-CN" w:eastAsia="zh-CN"/>
    </w:rPr>
  </w:style>
  <w:style w:type="character" w:customStyle="1" w:styleId="416">
    <w:name w:val="页脚 Char2"/>
    <w:autoRedefine/>
    <w:semiHidden/>
    <w:qFormat/>
    <w:locked/>
    <w:uiPriority w:val="99"/>
    <w:rPr>
      <w:rFonts w:eastAsia="Times New Roman"/>
      <w:sz w:val="18"/>
      <w:lang w:val="zh-CN" w:eastAsia="zh-CN"/>
    </w:rPr>
  </w:style>
  <w:style w:type="character" w:customStyle="1" w:styleId="417">
    <w:name w:val="副标题 字符1"/>
    <w:link w:val="37"/>
    <w:autoRedefine/>
    <w:qFormat/>
    <w:locked/>
    <w:uiPriority w:val="99"/>
    <w:rPr>
      <w:rFonts w:ascii="Cambria" w:hAnsi="Cambria" w:eastAsia="Times New Roman"/>
      <w:b/>
      <w:bCs/>
      <w:kern w:val="28"/>
      <w:sz w:val="32"/>
      <w:szCs w:val="32"/>
      <w:lang w:val="zh-CN" w:eastAsia="zh-CN"/>
    </w:rPr>
  </w:style>
  <w:style w:type="character" w:customStyle="1" w:styleId="418">
    <w:name w:val="HTML 预设格式 Char2"/>
    <w:autoRedefine/>
    <w:semiHidden/>
    <w:qFormat/>
    <w:locked/>
    <w:uiPriority w:val="0"/>
    <w:rPr>
      <w:rFonts w:ascii="宋体" w:hAnsi="宋体" w:eastAsia="仿宋_GB2312"/>
      <w:sz w:val="24"/>
      <w:szCs w:val="24"/>
      <w:lang w:val="zh-CN" w:eastAsia="zh-CN"/>
    </w:rPr>
  </w:style>
  <w:style w:type="character" w:customStyle="1" w:styleId="419">
    <w:name w:val="标题 Char2"/>
    <w:autoRedefine/>
    <w:qFormat/>
    <w:locked/>
    <w:uiPriority w:val="99"/>
    <w:rPr>
      <w:rFonts w:ascii="Cambria" w:hAnsi="Cambria" w:eastAsia="Times New Roman"/>
      <w:b/>
      <w:bCs/>
      <w:kern w:val="2"/>
      <w:sz w:val="44"/>
      <w:szCs w:val="32"/>
      <w:lang w:val="zh-CN" w:eastAsia="zh-CN"/>
    </w:rPr>
  </w:style>
  <w:style w:type="character" w:customStyle="1" w:styleId="420">
    <w:name w:val="批注主题 Char2"/>
    <w:autoRedefine/>
    <w:semiHidden/>
    <w:qFormat/>
    <w:locked/>
    <w:uiPriority w:val="99"/>
    <w:rPr>
      <w:rFonts w:eastAsia="Times New Roman"/>
      <w:b/>
      <w:bCs/>
      <w:szCs w:val="24"/>
      <w:lang w:val="zh-CN" w:eastAsia="zh-CN"/>
    </w:rPr>
  </w:style>
  <w:style w:type="character" w:customStyle="1" w:styleId="421">
    <w:name w:val="Font Style11"/>
    <w:autoRedefine/>
    <w:qFormat/>
    <w:uiPriority w:val="0"/>
    <w:rPr>
      <w:rFonts w:hint="eastAsia" w:ascii="宋体" w:hAnsi="宋体" w:eastAsia="宋体" w:cs="宋体"/>
      <w:sz w:val="22"/>
      <w:szCs w:val="22"/>
    </w:rPr>
  </w:style>
  <w:style w:type="character" w:customStyle="1" w:styleId="422">
    <w:name w:val="font61"/>
    <w:autoRedefine/>
    <w:qFormat/>
    <w:uiPriority w:val="0"/>
    <w:rPr>
      <w:rFonts w:hint="eastAsia" w:ascii="宋体" w:hAnsi="宋体" w:eastAsia="宋体" w:cs="宋体"/>
      <w:color w:val="000000"/>
      <w:sz w:val="22"/>
      <w:szCs w:val="22"/>
      <w:u w:val="none"/>
    </w:rPr>
  </w:style>
  <w:style w:type="character" w:customStyle="1" w:styleId="423">
    <w:name w:val="不明显强调1"/>
    <w:autoRedefine/>
    <w:qFormat/>
    <w:uiPriority w:val="19"/>
    <w:rPr>
      <w:i/>
      <w:iCs/>
      <w:color w:val="808080"/>
    </w:rPr>
  </w:style>
  <w:style w:type="character" w:customStyle="1" w:styleId="424">
    <w:name w:val="font21"/>
    <w:autoRedefine/>
    <w:qFormat/>
    <w:uiPriority w:val="0"/>
    <w:rPr>
      <w:rFonts w:hint="default" w:ascii="Arial" w:hAnsi="Arial" w:cs="Arial"/>
      <w:color w:val="000000"/>
      <w:sz w:val="20"/>
      <w:szCs w:val="20"/>
      <w:u w:val="none"/>
    </w:rPr>
  </w:style>
  <w:style w:type="character" w:customStyle="1" w:styleId="425">
    <w:name w:val="书籍标题1"/>
    <w:autoRedefine/>
    <w:qFormat/>
    <w:uiPriority w:val="33"/>
    <w:rPr>
      <w:b/>
      <w:bCs/>
      <w:smallCaps/>
      <w:spacing w:val="5"/>
    </w:rPr>
  </w:style>
  <w:style w:type="character" w:customStyle="1" w:styleId="426">
    <w:name w:val="正文文本 Char1"/>
    <w:autoRedefine/>
    <w:qFormat/>
    <w:uiPriority w:val="0"/>
    <w:rPr>
      <w:kern w:val="2"/>
      <w:sz w:val="21"/>
      <w:szCs w:val="22"/>
    </w:rPr>
  </w:style>
  <w:style w:type="character" w:customStyle="1" w:styleId="427">
    <w:name w:val="font01"/>
    <w:autoRedefine/>
    <w:qFormat/>
    <w:uiPriority w:val="0"/>
    <w:rPr>
      <w:rFonts w:hint="default" w:ascii="font-weight : 400" w:hAnsi="font-weight : 400" w:eastAsia="font-weight : 400" w:cs="font-weight : 400"/>
      <w:color w:val="000000"/>
      <w:sz w:val="22"/>
      <w:szCs w:val="22"/>
      <w:u w:val="none"/>
    </w:rPr>
  </w:style>
  <w:style w:type="character" w:customStyle="1" w:styleId="428">
    <w:name w:val="Font Style13"/>
    <w:autoRedefine/>
    <w:qFormat/>
    <w:uiPriority w:val="0"/>
    <w:rPr>
      <w:rFonts w:hint="eastAsia" w:ascii="宋体" w:hAnsi="宋体" w:eastAsia="宋体" w:cs="宋体"/>
      <w:b/>
      <w:bCs/>
      <w:spacing w:val="500"/>
      <w:sz w:val="48"/>
      <w:szCs w:val="48"/>
    </w:rPr>
  </w:style>
  <w:style w:type="character" w:customStyle="1" w:styleId="429">
    <w:name w:val="text1"/>
    <w:autoRedefine/>
    <w:qFormat/>
    <w:uiPriority w:val="0"/>
    <w:rPr>
      <w:spacing w:val="280"/>
      <w:sz w:val="18"/>
      <w:szCs w:val="18"/>
    </w:rPr>
  </w:style>
  <w:style w:type="character" w:customStyle="1" w:styleId="430">
    <w:name w:val="fontstyle31"/>
    <w:autoRedefine/>
    <w:qFormat/>
    <w:uiPriority w:val="0"/>
    <w:rPr>
      <w:rFonts w:hint="default" w:ascii="ArialMT" w:hAnsi="ArialMT" w:eastAsia="ArialMT" w:cs="ArialMT"/>
      <w:color w:val="000000"/>
      <w:sz w:val="24"/>
      <w:szCs w:val="24"/>
    </w:rPr>
  </w:style>
  <w:style w:type="character" w:customStyle="1" w:styleId="431">
    <w:name w:val="Font Style15"/>
    <w:autoRedefine/>
    <w:qFormat/>
    <w:uiPriority w:val="0"/>
    <w:rPr>
      <w:rFonts w:hint="eastAsia" w:ascii="宋体" w:hAnsi="宋体" w:eastAsia="宋体" w:cs="宋体"/>
      <w:b/>
      <w:bCs/>
      <w:sz w:val="20"/>
      <w:szCs w:val="20"/>
    </w:rPr>
  </w:style>
  <w:style w:type="character" w:customStyle="1" w:styleId="432">
    <w:name w:val="fontstyle41"/>
    <w:autoRedefine/>
    <w:qFormat/>
    <w:uiPriority w:val="0"/>
    <w:rPr>
      <w:rFonts w:hint="default" w:ascii="ArialMT" w:hAnsi="ArialMT" w:eastAsia="ArialMT" w:cs="ArialMT"/>
      <w:color w:val="000000"/>
      <w:sz w:val="24"/>
      <w:szCs w:val="24"/>
    </w:rPr>
  </w:style>
  <w:style w:type="character" w:customStyle="1" w:styleId="433">
    <w:name w:val="font81"/>
    <w:autoRedefine/>
    <w:qFormat/>
    <w:uiPriority w:val="0"/>
    <w:rPr>
      <w:rFonts w:hint="default" w:ascii="Times New Roman" w:hAnsi="Times New Roman" w:cs="Times New Roman"/>
      <w:color w:val="000000"/>
      <w:sz w:val="21"/>
      <w:szCs w:val="21"/>
      <w:u w:val="none"/>
    </w:rPr>
  </w:style>
  <w:style w:type="character" w:customStyle="1" w:styleId="434">
    <w:name w:val="样式 正文 +"/>
    <w:autoRedefine/>
    <w:qFormat/>
    <w:uiPriority w:val="0"/>
    <w:rPr>
      <w:rFonts w:hint="default" w:ascii="Times New Roman" w:hAnsi="Times New Roman" w:eastAsia="Times New Roman" w:cs="Times New Roman"/>
      <w:kern w:val="0"/>
      <w:sz w:val="28"/>
    </w:rPr>
  </w:style>
  <w:style w:type="character" w:customStyle="1" w:styleId="435">
    <w:name w:val="日期 Char1"/>
    <w:autoRedefine/>
    <w:qFormat/>
    <w:uiPriority w:val="0"/>
    <w:rPr>
      <w:kern w:val="2"/>
      <w:sz w:val="21"/>
      <w:szCs w:val="22"/>
    </w:rPr>
  </w:style>
  <w:style w:type="character" w:customStyle="1" w:styleId="436">
    <w:name w:val="font71"/>
    <w:autoRedefine/>
    <w:qFormat/>
    <w:uiPriority w:val="0"/>
    <w:rPr>
      <w:rFonts w:hint="default" w:ascii="Times New Roman" w:hAnsi="Times New Roman" w:cs="Times New Roman"/>
      <w:color w:val="000000"/>
      <w:sz w:val="20"/>
      <w:szCs w:val="20"/>
      <w:u w:val="none"/>
    </w:rPr>
  </w:style>
  <w:style w:type="character" w:customStyle="1" w:styleId="437">
    <w:name w:val="明显参考1"/>
    <w:autoRedefine/>
    <w:qFormat/>
    <w:uiPriority w:val="32"/>
    <w:rPr>
      <w:b/>
      <w:bCs/>
      <w:smallCaps/>
      <w:color w:val="C0504D"/>
      <w:spacing w:val="5"/>
      <w:u w:val="single"/>
    </w:rPr>
  </w:style>
  <w:style w:type="character" w:customStyle="1" w:styleId="438">
    <w:name w:val="Font Style16"/>
    <w:autoRedefine/>
    <w:qFormat/>
    <w:uiPriority w:val="0"/>
    <w:rPr>
      <w:rFonts w:hint="default" w:ascii="Times New Roman" w:hAnsi="Times New Roman" w:cs="Times New Roman"/>
      <w:sz w:val="22"/>
      <w:szCs w:val="22"/>
    </w:rPr>
  </w:style>
  <w:style w:type="character" w:customStyle="1" w:styleId="439">
    <w:name w:val="HTML 预设格式 Char1"/>
    <w:autoRedefine/>
    <w:qFormat/>
    <w:uiPriority w:val="0"/>
    <w:rPr>
      <w:rFonts w:hint="default" w:ascii="Courier New" w:hAnsi="Courier New" w:cs="Courier New"/>
      <w:kern w:val="2"/>
    </w:rPr>
  </w:style>
  <w:style w:type="character" w:customStyle="1" w:styleId="440">
    <w:name w:val="不明显参考1"/>
    <w:autoRedefine/>
    <w:qFormat/>
    <w:uiPriority w:val="31"/>
    <w:rPr>
      <w:smallCaps/>
      <w:color w:val="C0504D"/>
      <w:u w:val="single"/>
    </w:rPr>
  </w:style>
  <w:style w:type="character" w:customStyle="1" w:styleId="441">
    <w:name w:val="批注文字 Char Char"/>
    <w:autoRedefine/>
    <w:qFormat/>
    <w:uiPriority w:val="0"/>
    <w:rPr>
      <w:rFonts w:hint="eastAsia" w:ascii="宋体" w:hAnsi="Times New Roman" w:eastAsia="宋体" w:cs="Times New Roman"/>
      <w:sz w:val="28"/>
      <w:szCs w:val="20"/>
    </w:rPr>
  </w:style>
  <w:style w:type="character" w:customStyle="1" w:styleId="442">
    <w:name w:val="批注主题 Char1"/>
    <w:autoRedefine/>
    <w:qFormat/>
    <w:uiPriority w:val="0"/>
    <w:rPr>
      <w:b/>
      <w:bCs/>
      <w:kern w:val="2"/>
      <w:sz w:val="21"/>
      <w:szCs w:val="22"/>
    </w:rPr>
  </w:style>
  <w:style w:type="character" w:customStyle="1" w:styleId="443">
    <w:name w:val="文档结构图 Char1"/>
    <w:autoRedefine/>
    <w:qFormat/>
    <w:uiPriority w:val="0"/>
    <w:rPr>
      <w:rFonts w:hint="eastAsia" w:ascii="宋体" w:hAnsi="宋体" w:eastAsia="宋体"/>
      <w:kern w:val="2"/>
      <w:sz w:val="18"/>
      <w:szCs w:val="18"/>
    </w:rPr>
  </w:style>
  <w:style w:type="character" w:customStyle="1" w:styleId="444">
    <w:name w:val="font141"/>
    <w:autoRedefine/>
    <w:qFormat/>
    <w:uiPriority w:val="0"/>
    <w:rPr>
      <w:rFonts w:hint="eastAsia" w:ascii="宋体" w:hAnsi="宋体" w:eastAsia="宋体" w:cs="宋体"/>
      <w:color w:val="000000"/>
      <w:sz w:val="22"/>
      <w:szCs w:val="22"/>
      <w:u w:val="none"/>
    </w:rPr>
  </w:style>
  <w:style w:type="character" w:customStyle="1" w:styleId="445">
    <w:name w:val="Font Style18"/>
    <w:autoRedefine/>
    <w:qFormat/>
    <w:uiPriority w:val="0"/>
    <w:rPr>
      <w:rFonts w:hint="default" w:ascii="Candara" w:hAnsi="Candara" w:cs="Candara"/>
      <w:spacing w:val="-20"/>
      <w:sz w:val="20"/>
      <w:szCs w:val="20"/>
    </w:rPr>
  </w:style>
  <w:style w:type="character" w:customStyle="1" w:styleId="446">
    <w:name w:val="明显引用 Char1"/>
    <w:autoRedefine/>
    <w:qFormat/>
    <w:uiPriority w:val="30"/>
    <w:rPr>
      <w:rFonts w:hint="default" w:ascii="Calibri" w:hAnsi="Calibri" w:eastAsia="宋体" w:cs="Times New Roman"/>
      <w:b/>
      <w:bCs/>
      <w:i/>
      <w:iCs/>
      <w:color w:val="4F81BD"/>
    </w:rPr>
  </w:style>
  <w:style w:type="character" w:customStyle="1" w:styleId="447">
    <w:name w:val="明显强调1"/>
    <w:autoRedefine/>
    <w:qFormat/>
    <w:uiPriority w:val="21"/>
    <w:rPr>
      <w:b/>
      <w:bCs/>
      <w:i/>
      <w:iCs/>
      <w:color w:val="4F81BD"/>
    </w:rPr>
  </w:style>
  <w:style w:type="character" w:customStyle="1" w:styleId="448">
    <w:name w:val="副标题 Char1"/>
    <w:autoRedefine/>
    <w:qFormat/>
    <w:uiPriority w:val="0"/>
    <w:rPr>
      <w:rFonts w:hint="default" w:ascii="Cambria" w:hAnsi="Cambria" w:cs="Times New Roman"/>
      <w:b/>
      <w:bCs/>
      <w:kern w:val="28"/>
      <w:sz w:val="32"/>
      <w:szCs w:val="32"/>
    </w:rPr>
  </w:style>
  <w:style w:type="character" w:customStyle="1" w:styleId="449">
    <w:name w:val="font41"/>
    <w:autoRedefine/>
    <w:qFormat/>
    <w:uiPriority w:val="0"/>
    <w:rPr>
      <w:rFonts w:hint="eastAsia" w:ascii="宋体" w:hAnsi="宋体" w:eastAsia="宋体" w:cs="宋体"/>
      <w:color w:val="000000"/>
      <w:sz w:val="21"/>
      <w:szCs w:val="21"/>
      <w:u w:val="none"/>
    </w:rPr>
  </w:style>
  <w:style w:type="character" w:customStyle="1" w:styleId="450">
    <w:name w:val="xmfy Char Char Char"/>
    <w:autoRedefine/>
    <w:qFormat/>
    <w:uiPriority w:val="0"/>
    <w:rPr>
      <w:rFonts w:hint="eastAsia" w:ascii="宋体" w:hAnsi="宋体" w:eastAsia="宋体" w:cs="宋体"/>
      <w:kern w:val="2"/>
      <w:sz w:val="28"/>
      <w:szCs w:val="28"/>
      <w:lang w:val="en-US" w:eastAsia="zh-CN" w:bidi="ar-SA"/>
    </w:rPr>
  </w:style>
  <w:style w:type="character" w:customStyle="1" w:styleId="451">
    <w:name w:val="文字加横线"/>
    <w:autoRedefine/>
    <w:qFormat/>
    <w:uiPriority w:val="0"/>
    <w:rPr>
      <w:u w:val="single"/>
    </w:rPr>
  </w:style>
  <w:style w:type="character" w:customStyle="1" w:styleId="452">
    <w:name w:val="fontstyle11"/>
    <w:autoRedefine/>
    <w:qFormat/>
    <w:uiPriority w:val="0"/>
    <w:rPr>
      <w:rFonts w:hint="eastAsia" w:ascii="宋体" w:hAnsi="宋体" w:eastAsia="宋体" w:cs="宋体"/>
      <w:color w:val="000000"/>
      <w:sz w:val="24"/>
      <w:szCs w:val="24"/>
    </w:rPr>
  </w:style>
  <w:style w:type="character" w:customStyle="1" w:styleId="453">
    <w:name w:val="textcontents"/>
    <w:autoRedefine/>
    <w:qFormat/>
    <w:uiPriority w:val="0"/>
    <w:rPr>
      <w:rFonts w:hint="default" w:ascii="Times New Roman" w:hAnsi="Times New Roman" w:cs="Times New Roman"/>
    </w:rPr>
  </w:style>
  <w:style w:type="character" w:customStyle="1" w:styleId="454">
    <w:name w:val="引用 Char1"/>
    <w:autoRedefine/>
    <w:qFormat/>
    <w:uiPriority w:val="29"/>
    <w:rPr>
      <w:rFonts w:hint="default" w:ascii="Calibri" w:hAnsi="Calibri" w:eastAsia="宋体" w:cs="Times New Roman"/>
      <w:i/>
      <w:iCs/>
      <w:color w:val="000000"/>
    </w:rPr>
  </w:style>
  <w:style w:type="character" w:customStyle="1" w:styleId="455">
    <w:name w:val="fontstyle21"/>
    <w:autoRedefine/>
    <w:qFormat/>
    <w:uiPriority w:val="0"/>
    <w:rPr>
      <w:rFonts w:hint="default" w:ascii="Arial-BoldMT" w:hAnsi="Arial-BoldMT" w:eastAsia="Arial-BoldMT" w:cs="Arial-BoldMT"/>
      <w:b/>
      <w:color w:val="000000"/>
      <w:sz w:val="24"/>
      <w:szCs w:val="24"/>
    </w:rPr>
  </w:style>
  <w:style w:type="character" w:customStyle="1" w:styleId="456">
    <w:name w:val="fontstyle01"/>
    <w:autoRedefine/>
    <w:qFormat/>
    <w:uiPriority w:val="0"/>
    <w:rPr>
      <w:rFonts w:hint="eastAsia" w:ascii="宋体" w:hAnsi="宋体" w:eastAsia="宋体" w:cs="宋体"/>
      <w:color w:val="000000"/>
      <w:sz w:val="32"/>
      <w:szCs w:val="32"/>
    </w:rPr>
  </w:style>
  <w:style w:type="character" w:customStyle="1" w:styleId="457">
    <w:name w:val="style11"/>
    <w:autoRedefine/>
    <w:qFormat/>
    <w:uiPriority w:val="0"/>
    <w:rPr>
      <w:color w:val="000000"/>
      <w:sz w:val="18"/>
      <w:szCs w:val="18"/>
    </w:rPr>
  </w:style>
  <w:style w:type="character" w:customStyle="1" w:styleId="458">
    <w:name w:val="font112"/>
    <w:autoRedefine/>
    <w:qFormat/>
    <w:uiPriority w:val="0"/>
    <w:rPr>
      <w:rFonts w:hint="eastAsia" w:ascii="宋体" w:hAnsi="宋体" w:eastAsia="宋体" w:cs="宋体"/>
      <w:color w:val="000000"/>
      <w:sz w:val="20"/>
      <w:szCs w:val="20"/>
      <w:u w:val="none"/>
    </w:rPr>
  </w:style>
  <w:style w:type="character" w:customStyle="1" w:styleId="459">
    <w:name w:val="Font Style14"/>
    <w:autoRedefine/>
    <w:qFormat/>
    <w:uiPriority w:val="0"/>
    <w:rPr>
      <w:rFonts w:hint="eastAsia" w:ascii="宋体" w:hAnsi="宋体" w:eastAsia="宋体" w:cs="宋体"/>
      <w:sz w:val="22"/>
      <w:szCs w:val="22"/>
    </w:rPr>
  </w:style>
  <w:style w:type="character" w:customStyle="1" w:styleId="460">
    <w:name w:val="批注框文本 Char1"/>
    <w:autoRedefine/>
    <w:qFormat/>
    <w:uiPriority w:val="0"/>
    <w:rPr>
      <w:kern w:val="2"/>
      <w:sz w:val="18"/>
      <w:szCs w:val="18"/>
    </w:rPr>
  </w:style>
  <w:style w:type="character" w:customStyle="1" w:styleId="461">
    <w:name w:val="15"/>
    <w:autoRedefine/>
    <w:qFormat/>
    <w:uiPriority w:val="0"/>
    <w:rPr>
      <w:rFonts w:hint="default" w:ascii="Times New Roman" w:hAnsi="Times New Roman" w:cs="Times New Roman"/>
      <w:sz w:val="21"/>
      <w:szCs w:val="21"/>
    </w:rPr>
  </w:style>
  <w:style w:type="character" w:customStyle="1" w:styleId="462">
    <w:name w:val="标题 3 字符1"/>
    <w:autoRedefine/>
    <w:qFormat/>
    <w:locked/>
    <w:uiPriority w:val="9"/>
    <w:rPr>
      <w:b/>
      <w:sz w:val="32"/>
      <w:lang w:val="zh-CN"/>
    </w:rPr>
  </w:style>
  <w:style w:type="character" w:customStyle="1" w:styleId="463">
    <w:name w:val="标题 1 字符"/>
    <w:autoRedefine/>
    <w:qFormat/>
    <w:locked/>
    <w:uiPriority w:val="0"/>
    <w:rPr>
      <w:rFonts w:hint="eastAsia" w:ascii="黑体" w:hAnsi="Times New Roman" w:eastAsia="宋体" w:cs="宋体"/>
      <w:b/>
      <w:sz w:val="28"/>
      <w:lang w:val="zh-CN" w:eastAsia="zh-CN"/>
    </w:rPr>
  </w:style>
  <w:style w:type="character" w:customStyle="1" w:styleId="464">
    <w:name w:val="正文缩进 字符1"/>
    <w:autoRedefine/>
    <w:qFormat/>
    <w:locked/>
    <w:uiPriority w:val="0"/>
    <w:rPr>
      <w:rFonts w:hint="default" w:ascii="Times New Roman" w:hAnsi="Times New Roman" w:eastAsia="宋体" w:cs="Times New Roman"/>
      <w:kern w:val="0"/>
      <w:sz w:val="20"/>
      <w:szCs w:val="20"/>
    </w:rPr>
  </w:style>
  <w:style w:type="character" w:customStyle="1" w:styleId="465">
    <w:name w:val="标题 4 字符"/>
    <w:autoRedefine/>
    <w:qFormat/>
    <w:locked/>
    <w:uiPriority w:val="0"/>
    <w:rPr>
      <w:rFonts w:hint="default" w:ascii="Arial" w:hAnsi="Arial" w:eastAsia="仿宋_GB2312" w:cs="Times New Roman"/>
      <w:b/>
      <w:bCs/>
      <w:sz w:val="28"/>
      <w:szCs w:val="28"/>
    </w:rPr>
  </w:style>
  <w:style w:type="character" w:customStyle="1" w:styleId="466">
    <w:name w:val="标题 5 字符"/>
    <w:autoRedefine/>
    <w:qFormat/>
    <w:locked/>
    <w:uiPriority w:val="0"/>
    <w:rPr>
      <w:rFonts w:hint="default" w:ascii="Calibri" w:hAnsi="Calibri" w:eastAsia="宋体" w:cs="宋体"/>
      <w:b/>
      <w:bCs/>
      <w:sz w:val="28"/>
      <w:szCs w:val="28"/>
    </w:rPr>
  </w:style>
  <w:style w:type="character" w:customStyle="1" w:styleId="467">
    <w:name w:val="标题 6 字符"/>
    <w:autoRedefine/>
    <w:qFormat/>
    <w:locked/>
    <w:uiPriority w:val="0"/>
    <w:rPr>
      <w:rFonts w:hint="default" w:ascii="Arial" w:hAnsi="Arial" w:eastAsia="黑体" w:cs="Times New Roman"/>
      <w:b/>
      <w:bCs/>
      <w:kern w:val="0"/>
      <w:sz w:val="24"/>
      <w:szCs w:val="24"/>
      <w:lang w:val="zh-CN" w:eastAsia="zh-CN"/>
    </w:rPr>
  </w:style>
  <w:style w:type="character" w:customStyle="1" w:styleId="468">
    <w:name w:val="标题 7 字符"/>
    <w:autoRedefine/>
    <w:qFormat/>
    <w:locked/>
    <w:uiPriority w:val="99"/>
    <w:rPr>
      <w:rFonts w:hint="default" w:ascii="Times New Roman" w:hAnsi="Times New Roman" w:eastAsia="宋体" w:cs="Times New Roman"/>
      <w:b/>
      <w:bCs/>
      <w:kern w:val="0"/>
      <w:sz w:val="24"/>
      <w:szCs w:val="24"/>
      <w:lang w:val="zh-CN" w:eastAsia="zh-CN"/>
    </w:rPr>
  </w:style>
  <w:style w:type="character" w:customStyle="1" w:styleId="469">
    <w:name w:val="标题 8 字符"/>
    <w:autoRedefine/>
    <w:qFormat/>
    <w:locked/>
    <w:uiPriority w:val="99"/>
    <w:rPr>
      <w:rFonts w:hint="default" w:ascii="Arial" w:hAnsi="Arial" w:eastAsia="黑体" w:cs="Times New Roman"/>
      <w:kern w:val="0"/>
      <w:sz w:val="24"/>
      <w:szCs w:val="24"/>
      <w:lang w:val="zh-CN" w:eastAsia="zh-CN"/>
    </w:rPr>
  </w:style>
  <w:style w:type="character" w:customStyle="1" w:styleId="470">
    <w:name w:val="标题 9 字符"/>
    <w:autoRedefine/>
    <w:qFormat/>
    <w:locked/>
    <w:uiPriority w:val="99"/>
    <w:rPr>
      <w:rFonts w:hint="default" w:ascii="Arial" w:hAnsi="Arial" w:eastAsia="黑体" w:cs="Times New Roman"/>
      <w:kern w:val="0"/>
      <w:szCs w:val="21"/>
      <w:lang w:val="zh-CN" w:eastAsia="zh-CN"/>
    </w:rPr>
  </w:style>
  <w:style w:type="character" w:customStyle="1" w:styleId="471">
    <w:name w:val="文档结构图 字符"/>
    <w:autoRedefine/>
    <w:qFormat/>
    <w:locked/>
    <w:uiPriority w:val="99"/>
    <w:rPr>
      <w:rFonts w:hint="default" w:ascii="Times New Roman" w:hAnsi="Times New Roman" w:eastAsia="Times New Roman" w:cs="Times New Roman"/>
      <w:szCs w:val="24"/>
      <w:shd w:val="clear" w:color="auto" w:fill="000080"/>
    </w:rPr>
  </w:style>
  <w:style w:type="character" w:customStyle="1" w:styleId="472">
    <w:name w:val="批注文字 字符1"/>
    <w:autoRedefine/>
    <w:qFormat/>
    <w:locked/>
    <w:uiPriority w:val="99"/>
    <w:rPr>
      <w:rFonts w:hint="default" w:ascii="Times New Roman" w:hAnsi="Times New Roman" w:eastAsia="宋体" w:cs="Times New Roman"/>
      <w:szCs w:val="24"/>
    </w:rPr>
  </w:style>
  <w:style w:type="character" w:customStyle="1" w:styleId="473">
    <w:name w:val="正文文本 3 字符"/>
    <w:autoRedefine/>
    <w:qFormat/>
    <w:locked/>
    <w:uiPriority w:val="99"/>
    <w:rPr>
      <w:rFonts w:hint="default" w:ascii="Times New Roman" w:hAnsi="Times New Roman" w:eastAsia="Times New Roman" w:cs="Times New Roman"/>
      <w:sz w:val="16"/>
      <w:szCs w:val="16"/>
    </w:rPr>
  </w:style>
  <w:style w:type="character" w:customStyle="1" w:styleId="474">
    <w:name w:val="正文文本 字符"/>
    <w:autoRedefine/>
    <w:qFormat/>
    <w:locked/>
    <w:uiPriority w:val="99"/>
    <w:rPr>
      <w:rFonts w:hint="default" w:ascii="Times New Roman" w:hAnsi="Times New Roman" w:eastAsia="Times New Roman" w:cs="Times New Roman"/>
      <w:sz w:val="30"/>
      <w:szCs w:val="20"/>
    </w:rPr>
  </w:style>
  <w:style w:type="character" w:customStyle="1" w:styleId="475">
    <w:name w:val="正文文本缩进 字符"/>
    <w:autoRedefine/>
    <w:qFormat/>
    <w:locked/>
    <w:uiPriority w:val="99"/>
    <w:rPr>
      <w:rFonts w:hint="eastAsia" w:ascii="宋体" w:hAnsi="MS Sans Serif" w:eastAsia="Times New Roman" w:cs="Times New Roman"/>
      <w:spacing w:val="12"/>
      <w:kern w:val="0"/>
      <w:sz w:val="24"/>
      <w:szCs w:val="20"/>
    </w:rPr>
  </w:style>
  <w:style w:type="character" w:customStyle="1" w:styleId="476">
    <w:name w:val="日期 字符1"/>
    <w:autoRedefine/>
    <w:qFormat/>
    <w:uiPriority w:val="0"/>
    <w:rPr>
      <w:rFonts w:hint="default" w:ascii="Times New Roman" w:hAnsi="Times New Roman" w:eastAsia="宋体" w:cs="Times New Roman"/>
      <w:sz w:val="24"/>
      <w:szCs w:val="20"/>
    </w:rPr>
  </w:style>
  <w:style w:type="character" w:customStyle="1" w:styleId="477">
    <w:name w:val="正文文本缩进 2 字符"/>
    <w:autoRedefine/>
    <w:qFormat/>
    <w:locked/>
    <w:uiPriority w:val="99"/>
    <w:rPr>
      <w:rFonts w:hint="eastAsia" w:ascii="宋体" w:hAnsi="MS Sans Serif" w:eastAsia="Times New Roman" w:cs="Times New Roman"/>
      <w:spacing w:val="12"/>
      <w:kern w:val="0"/>
      <w:sz w:val="24"/>
      <w:szCs w:val="20"/>
    </w:rPr>
  </w:style>
  <w:style w:type="character" w:customStyle="1" w:styleId="478">
    <w:name w:val="批注框文本 字符1"/>
    <w:autoRedefine/>
    <w:qFormat/>
    <w:locked/>
    <w:uiPriority w:val="0"/>
    <w:rPr>
      <w:rFonts w:hint="default" w:ascii="Times New Roman" w:hAnsi="Times New Roman" w:eastAsia="Times New Roman" w:cs="Times New Roman"/>
      <w:sz w:val="18"/>
      <w:szCs w:val="18"/>
    </w:rPr>
  </w:style>
  <w:style w:type="character" w:customStyle="1" w:styleId="479">
    <w:name w:val="页脚 字符1"/>
    <w:autoRedefine/>
    <w:qFormat/>
    <w:locked/>
    <w:uiPriority w:val="99"/>
    <w:rPr>
      <w:rFonts w:hint="default" w:ascii="Times New Roman" w:hAnsi="Times New Roman" w:eastAsia="Times New Roman" w:cs="Times New Roman"/>
      <w:kern w:val="0"/>
      <w:sz w:val="18"/>
      <w:szCs w:val="20"/>
    </w:rPr>
  </w:style>
  <w:style w:type="character" w:customStyle="1" w:styleId="480">
    <w:name w:val="页眉 字符1"/>
    <w:autoRedefine/>
    <w:qFormat/>
    <w:locked/>
    <w:uiPriority w:val="99"/>
    <w:rPr>
      <w:rFonts w:hint="default" w:ascii="Times New Roman" w:hAnsi="Times New Roman" w:eastAsia="Times New Roman" w:cs="Times New Roman"/>
      <w:kern w:val="0"/>
      <w:sz w:val="18"/>
      <w:szCs w:val="20"/>
    </w:rPr>
  </w:style>
  <w:style w:type="character" w:customStyle="1" w:styleId="481">
    <w:name w:val="副标题 字符"/>
    <w:autoRedefine/>
    <w:qFormat/>
    <w:locked/>
    <w:uiPriority w:val="0"/>
    <w:rPr>
      <w:rFonts w:hint="default" w:ascii="Cambria" w:hAnsi="Cambria" w:eastAsia="Times New Roman" w:cs="Times New Roman"/>
      <w:b/>
      <w:bCs/>
      <w:kern w:val="28"/>
      <w:sz w:val="32"/>
      <w:szCs w:val="32"/>
    </w:rPr>
  </w:style>
  <w:style w:type="character" w:customStyle="1" w:styleId="482">
    <w:name w:val="脚注文本 字符"/>
    <w:autoRedefine/>
    <w:qFormat/>
    <w:uiPriority w:val="0"/>
    <w:rPr>
      <w:rFonts w:hint="default" w:ascii="Times New Roman" w:hAnsi="Times New Roman" w:eastAsia="宋体" w:cs="Times New Roman"/>
      <w:kern w:val="0"/>
      <w:sz w:val="18"/>
      <w:szCs w:val="20"/>
    </w:rPr>
  </w:style>
  <w:style w:type="character" w:customStyle="1" w:styleId="483">
    <w:name w:val="正文文本缩进 3 字符"/>
    <w:autoRedefine/>
    <w:qFormat/>
    <w:uiPriority w:val="99"/>
    <w:rPr>
      <w:rFonts w:hint="eastAsia" w:ascii="宋体" w:hAnsi="MS Sans Serif" w:eastAsia="宋体" w:cs="Times New Roman"/>
      <w:color w:val="000000"/>
      <w:kern w:val="0"/>
      <w:sz w:val="24"/>
      <w:szCs w:val="20"/>
    </w:rPr>
  </w:style>
  <w:style w:type="character" w:customStyle="1" w:styleId="484">
    <w:name w:val="正文文本 2 字符"/>
    <w:autoRedefine/>
    <w:qFormat/>
    <w:uiPriority w:val="99"/>
    <w:rPr>
      <w:rFonts w:hint="eastAsia" w:ascii="宋体" w:hAnsi="宋体" w:eastAsia="宋体" w:cs="Times New Roman"/>
      <w:sz w:val="24"/>
      <w:szCs w:val="24"/>
      <w:u w:val="single"/>
    </w:rPr>
  </w:style>
  <w:style w:type="character" w:customStyle="1" w:styleId="485">
    <w:name w:val="HTML 预设格式 字符"/>
    <w:autoRedefine/>
    <w:qFormat/>
    <w:locked/>
    <w:uiPriority w:val="0"/>
    <w:rPr>
      <w:rFonts w:hint="eastAsia" w:ascii="宋体" w:hAnsi="宋体" w:eastAsia="仿宋_GB2312" w:cs="Times New Roman"/>
      <w:kern w:val="0"/>
      <w:sz w:val="24"/>
      <w:szCs w:val="24"/>
    </w:rPr>
  </w:style>
  <w:style w:type="character" w:customStyle="1" w:styleId="486">
    <w:name w:val="标题 字符"/>
    <w:autoRedefine/>
    <w:qFormat/>
    <w:locked/>
    <w:uiPriority w:val="99"/>
    <w:rPr>
      <w:rFonts w:hint="default" w:ascii="Cambria" w:hAnsi="Cambria" w:eastAsia="Times New Roman"/>
      <w:b/>
      <w:bCs/>
      <w:kern w:val="2"/>
      <w:sz w:val="44"/>
      <w:szCs w:val="32"/>
    </w:rPr>
  </w:style>
  <w:style w:type="character" w:customStyle="1" w:styleId="487">
    <w:name w:val="批注主题 字符1"/>
    <w:autoRedefine/>
    <w:qFormat/>
    <w:locked/>
    <w:uiPriority w:val="0"/>
    <w:rPr>
      <w:rFonts w:hint="default" w:ascii="Times New Roman" w:hAnsi="Times New Roman" w:eastAsia="Times New Roman" w:cs="Times New Roman"/>
      <w:b/>
      <w:bCs/>
      <w:szCs w:val="24"/>
    </w:rPr>
  </w:style>
  <w:style w:type="character" w:customStyle="1" w:styleId="488">
    <w:name w:val="页眉 字符"/>
    <w:autoRedefine/>
    <w:qFormat/>
    <w:uiPriority w:val="99"/>
    <w:rPr>
      <w:sz w:val="18"/>
      <w:szCs w:val="18"/>
    </w:rPr>
  </w:style>
  <w:style w:type="character" w:customStyle="1" w:styleId="489">
    <w:name w:val="页脚 字符"/>
    <w:autoRedefine/>
    <w:qFormat/>
    <w:uiPriority w:val="99"/>
    <w:rPr>
      <w:sz w:val="18"/>
      <w:szCs w:val="18"/>
    </w:rPr>
  </w:style>
  <w:style w:type="character" w:customStyle="1" w:styleId="490">
    <w:name w:val="标题 3 字符"/>
    <w:autoRedefine/>
    <w:qFormat/>
    <w:uiPriority w:val="0"/>
    <w:rPr>
      <w:rFonts w:hint="eastAsia" w:ascii="宋体" w:hAnsi="宋体" w:eastAsia="宋体"/>
      <w:bCs/>
      <w:sz w:val="21"/>
      <w:szCs w:val="21"/>
    </w:rPr>
  </w:style>
  <w:style w:type="character" w:customStyle="1" w:styleId="491">
    <w:name w:val="正文缩进 字符"/>
    <w:autoRedefine/>
    <w:qFormat/>
    <w:locked/>
    <w:uiPriority w:val="99"/>
    <w:rPr>
      <w:rFonts w:hint="default" w:ascii="Times New Roman" w:hAnsi="Times New Roman" w:eastAsia="宋体" w:cs="Times New Roman"/>
      <w:kern w:val="0"/>
      <w:sz w:val="20"/>
      <w:szCs w:val="20"/>
    </w:rPr>
  </w:style>
  <w:style w:type="character" w:customStyle="1" w:styleId="492">
    <w:name w:val="日期 字符"/>
    <w:autoRedefine/>
    <w:qFormat/>
    <w:uiPriority w:val="99"/>
    <w:rPr>
      <w:sz w:val="21"/>
      <w:szCs w:val="22"/>
    </w:rPr>
  </w:style>
  <w:style w:type="character" w:customStyle="1" w:styleId="493">
    <w:name w:val="批注框文本 字符"/>
    <w:autoRedefine/>
    <w:qFormat/>
    <w:uiPriority w:val="99"/>
    <w:rPr>
      <w:sz w:val="18"/>
      <w:szCs w:val="18"/>
    </w:rPr>
  </w:style>
  <w:style w:type="character" w:customStyle="1" w:styleId="494">
    <w:name w:val="批注主题 字符"/>
    <w:autoRedefine/>
    <w:qFormat/>
    <w:uiPriority w:val="99"/>
    <w:rPr>
      <w:b/>
      <w:bCs/>
      <w:kern w:val="2"/>
      <w:sz w:val="21"/>
      <w:szCs w:val="22"/>
    </w:rPr>
  </w:style>
  <w:style w:type="character" w:customStyle="1" w:styleId="495">
    <w:name w:val="标题 7 Char1"/>
    <w:autoRedefine/>
    <w:qFormat/>
    <w:locked/>
    <w:uiPriority w:val="0"/>
    <w:rPr>
      <w:rFonts w:hint="default" w:ascii="Times New Roman" w:hAnsi="Times New Roman" w:eastAsia="宋体" w:cs="Times New Roman"/>
      <w:b/>
      <w:bCs/>
      <w:kern w:val="0"/>
      <w:sz w:val="24"/>
      <w:szCs w:val="24"/>
      <w:lang w:val="zh-CN"/>
    </w:rPr>
  </w:style>
  <w:style w:type="character" w:customStyle="1" w:styleId="496">
    <w:name w:val="批注文字 字符2"/>
    <w:autoRedefine/>
    <w:qFormat/>
    <w:locked/>
    <w:uiPriority w:val="0"/>
    <w:rPr>
      <w:rFonts w:hint="default" w:ascii="Times New Roman" w:hAnsi="Times New Roman" w:eastAsia="宋体" w:cs="Times New Roman"/>
      <w:szCs w:val="24"/>
    </w:rPr>
  </w:style>
  <w:style w:type="character" w:customStyle="1" w:styleId="497">
    <w:name w:val="正文缩进 字符2"/>
    <w:autoRedefine/>
    <w:qFormat/>
    <w:locked/>
    <w:uiPriority w:val="0"/>
    <w:rPr>
      <w:rFonts w:hint="default" w:ascii="Times New Roman" w:hAnsi="Times New Roman" w:eastAsia="宋体" w:cs="Times New Roman"/>
      <w:kern w:val="0"/>
      <w:sz w:val="20"/>
      <w:szCs w:val="20"/>
    </w:rPr>
  </w:style>
  <w:style w:type="character" w:customStyle="1" w:styleId="498">
    <w:name w:val="正文首行缩进 2 Char1"/>
    <w:basedOn w:val="234"/>
    <w:autoRedefine/>
    <w:semiHidden/>
    <w:qFormat/>
    <w:uiPriority w:val="99"/>
    <w:rPr>
      <w:rFonts w:hint="default" w:ascii="Calibri" w:hAnsi="Calibri" w:eastAsia="宋体" w:cs="Calibri"/>
      <w:kern w:val="2"/>
      <w:sz w:val="21"/>
      <w:szCs w:val="22"/>
      <w:lang w:val="en-US" w:eastAsia="zh-CN" w:bidi="ar-SA"/>
    </w:rPr>
  </w:style>
  <w:style w:type="character" w:customStyle="1" w:styleId="499">
    <w:name w:val="正文文本缩进 3 Char1"/>
    <w:autoRedefine/>
    <w:qFormat/>
    <w:uiPriority w:val="0"/>
    <w:rPr>
      <w:kern w:val="2"/>
      <w:sz w:val="16"/>
      <w:szCs w:val="16"/>
    </w:rPr>
  </w:style>
  <w:style w:type="character" w:customStyle="1" w:styleId="500">
    <w:name w:val="结束语 Char1"/>
    <w:autoRedefine/>
    <w:qFormat/>
    <w:uiPriority w:val="0"/>
    <w:rPr>
      <w:kern w:val="2"/>
      <w:sz w:val="21"/>
    </w:rPr>
  </w:style>
  <w:style w:type="character" w:customStyle="1" w:styleId="501">
    <w:name w:val="普通文字 Char2"/>
    <w:autoRedefine/>
    <w:qFormat/>
    <w:uiPriority w:val="0"/>
    <w:rPr>
      <w:rFonts w:hint="eastAsia" w:ascii="宋体" w:hAnsi="Courier New" w:eastAsia="宋体" w:cs="Courier New"/>
      <w:kern w:val="2"/>
      <w:sz w:val="24"/>
      <w:szCs w:val="21"/>
      <w:lang w:val="en-US" w:eastAsia="zh-CN" w:bidi="ar-SA"/>
    </w:rPr>
  </w:style>
  <w:style w:type="character" w:customStyle="1" w:styleId="502">
    <w:name w:val="msonormal"/>
    <w:autoRedefine/>
    <w:qFormat/>
    <w:uiPriority w:val="0"/>
    <w:rPr>
      <w:rFonts w:hint="default" w:ascii="Tahoma" w:hAnsi="Tahoma" w:eastAsia="仿宋_GB2312" w:cs="Tahoma"/>
      <w:kern w:val="2"/>
      <w:sz w:val="24"/>
      <w:lang w:val="en-US" w:eastAsia="ar-SA" w:bidi="ar-SA"/>
    </w:rPr>
  </w:style>
  <w:style w:type="character" w:customStyle="1" w:styleId="503">
    <w:name w:val="正文首行缩进 Char1"/>
    <w:autoRedefine/>
    <w:qFormat/>
    <w:uiPriority w:val="0"/>
    <w:rPr>
      <w:rFonts w:hint="eastAsia" w:ascii="宋体" w:hAnsi="宋体" w:eastAsia="宋体"/>
      <w:kern w:val="2"/>
      <w:sz w:val="21"/>
      <w:szCs w:val="24"/>
    </w:rPr>
  </w:style>
  <w:style w:type="character" w:customStyle="1" w:styleId="504">
    <w:name w:val="WW-默认段落字体"/>
    <w:autoRedefine/>
    <w:qFormat/>
    <w:uiPriority w:val="0"/>
  </w:style>
  <w:style w:type="character" w:customStyle="1" w:styleId="505">
    <w:name w:val="正文文本 3 Char2"/>
    <w:autoRedefine/>
    <w:qFormat/>
    <w:uiPriority w:val="0"/>
    <w:rPr>
      <w:rFonts w:hint="default" w:ascii="Calibri" w:hAnsi="Calibri" w:cs="Calibri"/>
      <w:kern w:val="2"/>
      <w:sz w:val="16"/>
      <w:szCs w:val="16"/>
    </w:rPr>
  </w:style>
  <w:style w:type="character" w:customStyle="1" w:styleId="506">
    <w:name w:val="正文文本缩进 3 Char2"/>
    <w:autoRedefine/>
    <w:qFormat/>
    <w:uiPriority w:val="0"/>
    <w:rPr>
      <w:rFonts w:hint="default" w:ascii="Calibri" w:hAnsi="Calibri" w:cs="Calibri"/>
      <w:kern w:val="2"/>
      <w:sz w:val="16"/>
      <w:szCs w:val="16"/>
    </w:rPr>
  </w:style>
  <w:style w:type="character" w:customStyle="1" w:styleId="507">
    <w:name w:val="正文文本缩进 2 Char2"/>
    <w:autoRedefine/>
    <w:qFormat/>
    <w:uiPriority w:val="0"/>
    <w:rPr>
      <w:rFonts w:hint="default" w:ascii="Calibri" w:hAnsi="Calibri" w:cs="Calibri"/>
      <w:kern w:val="2"/>
      <w:sz w:val="21"/>
      <w:szCs w:val="22"/>
    </w:rPr>
  </w:style>
  <w:style w:type="character" w:customStyle="1" w:styleId="508">
    <w:name w:val="vu61wz24xka"/>
    <w:autoRedefine/>
    <w:qFormat/>
    <w:uiPriority w:val="0"/>
  </w:style>
  <w:style w:type="character" w:customStyle="1" w:styleId="509">
    <w:name w:val="tjdpxq74904"/>
    <w:autoRedefine/>
    <w:qFormat/>
    <w:uiPriority w:val="0"/>
  </w:style>
  <w:style w:type="character" w:customStyle="1" w:styleId="510">
    <w:name w:val="gj6pbv7a4"/>
    <w:autoRedefine/>
    <w:qFormat/>
    <w:uiPriority w:val="0"/>
  </w:style>
  <w:style w:type="character" w:customStyle="1" w:styleId="511">
    <w:name w:val="vqd08s3i"/>
    <w:autoRedefine/>
    <w:qFormat/>
    <w:uiPriority w:val="0"/>
  </w:style>
  <w:style w:type="character" w:customStyle="1" w:styleId="512">
    <w:name w:val="i4dt25oa"/>
    <w:autoRedefine/>
    <w:qFormat/>
    <w:uiPriority w:val="0"/>
  </w:style>
  <w:style w:type="character" w:customStyle="1" w:styleId="513">
    <w:name w:val="bw21zv1o44"/>
    <w:autoRedefine/>
    <w:qFormat/>
    <w:uiPriority w:val="0"/>
  </w:style>
  <w:style w:type="character" w:customStyle="1" w:styleId="514">
    <w:name w:val="font131"/>
    <w:autoRedefine/>
    <w:qFormat/>
    <w:uiPriority w:val="0"/>
    <w:rPr>
      <w:rFonts w:hint="eastAsia" w:ascii="宋体" w:hAnsi="宋体" w:eastAsia="宋体" w:cs="宋体"/>
      <w:color w:val="000000"/>
      <w:sz w:val="24"/>
      <w:szCs w:val="24"/>
      <w:u w:val="none"/>
    </w:rPr>
  </w:style>
  <w:style w:type="paragraph" w:customStyle="1" w:styleId="515">
    <w:name w:val=".Listenabsatz"/>
    <w:basedOn w:val="1"/>
    <w:next w:val="15"/>
    <w:link w:val="516"/>
    <w:autoRedefine/>
    <w:qFormat/>
    <w:uiPriority w:val="34"/>
    <w:pPr>
      <w:ind w:firstLine="420" w:firstLineChars="200"/>
    </w:pPr>
    <w:rPr>
      <w:rFonts w:ascii="等线" w:hAnsi="等线" w:eastAsia="等线"/>
      <w:szCs w:val="22"/>
    </w:rPr>
  </w:style>
  <w:style w:type="character" w:customStyle="1" w:styleId="516">
    <w:name w:val="列表段落 字符"/>
    <w:link w:val="515"/>
    <w:autoRedefine/>
    <w:qFormat/>
    <w:uiPriority w:val="34"/>
    <w:rPr>
      <w:rFonts w:ascii="等线" w:hAnsi="等线" w:eastAsia="等线"/>
      <w:kern w:val="2"/>
      <w:sz w:val="21"/>
      <w:szCs w:val="22"/>
    </w:rPr>
  </w:style>
  <w:style w:type="character" w:customStyle="1" w:styleId="517">
    <w:name w:val="font51"/>
    <w:basedOn w:val="55"/>
    <w:autoRedefine/>
    <w:qFormat/>
    <w:uiPriority w:val="0"/>
    <w:rPr>
      <w:rFonts w:hint="eastAsia" w:ascii="宋体" w:hAnsi="宋体" w:eastAsia="宋体" w:cs="宋体"/>
      <w:color w:val="FF0000"/>
      <w:sz w:val="21"/>
      <w:szCs w:val="21"/>
      <w:u w:val="none"/>
    </w:rPr>
  </w:style>
  <w:style w:type="paragraph" w:customStyle="1" w:styleId="518">
    <w:name w:val="AONormal"/>
    <w:autoRedefine/>
    <w:qFormat/>
    <w:uiPriority w:val="99"/>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519">
    <w:name w:val="普通(网站) Char1"/>
    <w:autoRedefine/>
    <w:qFormat/>
    <w:uiPriority w:val="99"/>
    <w:rPr>
      <w:rFonts w:ascii="宋体" w:hAnsi="宋体"/>
      <w:sz w:val="24"/>
      <w:szCs w:val="24"/>
    </w:rPr>
  </w:style>
  <w:style w:type="character" w:customStyle="1" w:styleId="520">
    <w:name w:val="text-tag"/>
    <w:autoRedefine/>
    <w:qFormat/>
    <w:uiPriority w:val="0"/>
  </w:style>
  <w:style w:type="paragraph" w:customStyle="1" w:styleId="521">
    <w:name w:val="修订3"/>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522">
    <w:name w:val="修订4"/>
    <w:autoRedefine/>
    <w:hidden/>
    <w:semiHidden/>
    <w:qFormat/>
    <w:uiPriority w:val="99"/>
    <w:rPr>
      <w:rFonts w:ascii="Times New Roman" w:hAnsi="Times New Roman" w:eastAsia="宋体" w:cs="Times New Roman"/>
      <w:kern w:val="2"/>
      <w:sz w:val="21"/>
      <w:szCs w:val="24"/>
      <w:lang w:val="en-US" w:eastAsia="zh-CN" w:bidi="ar-SA"/>
    </w:rPr>
  </w:style>
  <w:style w:type="table" w:customStyle="1" w:styleId="523">
    <w:name w:val="网格型1"/>
    <w:basedOn w:val="52"/>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524">
    <w:name w:val="中等深浅网格 1 - 着色 21"/>
    <w:basedOn w:val="52"/>
    <w:autoRedefine/>
    <w:qFormat/>
    <w:uiPriority w:val="0"/>
    <w:rPr>
      <w:kern w:val="2"/>
      <w:sz w:val="21"/>
      <w:szCs w:val="24"/>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cPr>
        <w:tcBorders>
          <w:top w:val="single" w:color="CF7B79"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DFA7A6"/>
      </w:tcPr>
    </w:tblStylePr>
    <w:tblStylePr w:type="band1Horz">
      <w:tcPr>
        <w:shd w:val="clear" w:color="auto" w:fill="DFA7A6"/>
      </w:tcPr>
    </w:tblStylePr>
  </w:style>
  <w:style w:type="table" w:customStyle="1" w:styleId="525">
    <w:name w:val="Table Normal1"/>
    <w:autoRedefine/>
    <w:unhideWhenUsed/>
    <w:qFormat/>
    <w:uiPriority w:val="0"/>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526">
    <w:name w:val="宏文本 字符"/>
    <w:basedOn w:val="55"/>
    <w:link w:val="2"/>
    <w:autoRedefine/>
    <w:qFormat/>
    <w:uiPriority w:val="0"/>
    <w:rPr>
      <w:rFonts w:ascii="Arial Narrow" w:hAnsi="Arial Narrow"/>
    </w:rPr>
  </w:style>
  <w:style w:type="paragraph" w:customStyle="1" w:styleId="527">
    <w:name w:val="tc"/>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28">
    <w:name w:val="Revision"/>
    <w:autoRedefine/>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145</Pages>
  <Words>37569</Words>
  <Characters>39825</Characters>
  <Lines>2489</Lines>
  <Paragraphs>2211</Paragraphs>
  <TotalTime>46</TotalTime>
  <ScaleCrop>false</ScaleCrop>
  <LinksUpToDate>false</LinksUpToDate>
  <CharactersWithSpaces>75183</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2026-04-27T23:53:00Z</dcterms:created>
  <dcterms:modified xsi:type="dcterms:W3CDTF">2026-05-15T05:10:03Z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77FBE9F4DCB4428DA8EB4EBA8BAAAF8D_13</vt:lpwstr>
  </property>
</Properties>
</file>