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F5ADC1">
      <w:pPr>
        <w:spacing w:line="360" w:lineRule="auto"/>
        <w:rPr>
          <w:rFonts w:hint="eastAsia" w:ascii="宋体" w:hAnsi="宋体" w:cstheme="minorEastAsia"/>
          <w:sz w:val="60"/>
          <w:szCs w:val="60"/>
          <w:highlight w:val="none"/>
        </w:rPr>
      </w:pPr>
    </w:p>
    <w:p w14:paraId="39AC002C">
      <w:pPr>
        <w:jc w:val="center"/>
        <w:rPr>
          <w:rFonts w:hint="eastAsia" w:ascii="宋体" w:hAnsi="宋体" w:cstheme="minorEastAsia"/>
          <w:b/>
          <w:bCs/>
          <w:sz w:val="60"/>
          <w:szCs w:val="60"/>
          <w:highlight w:val="none"/>
        </w:rPr>
      </w:pPr>
      <w:r>
        <w:rPr>
          <w:rFonts w:hint="eastAsia" w:ascii="宋体" w:hAnsi="宋体" w:cstheme="minorEastAsia"/>
          <w:b/>
          <w:bCs/>
          <w:sz w:val="60"/>
          <w:szCs w:val="60"/>
          <w:highlight w:val="none"/>
        </w:rPr>
        <w:t>2026年校内分类发展-基建类-校本部屋面防水改造项目</w:t>
      </w:r>
    </w:p>
    <w:p w14:paraId="1B47493E">
      <w:pPr>
        <w:jc w:val="center"/>
        <w:rPr>
          <w:rFonts w:hint="eastAsia" w:ascii="宋体" w:hAnsi="宋体" w:cstheme="minorEastAsia"/>
          <w:b/>
          <w:bCs/>
          <w:sz w:val="60"/>
          <w:szCs w:val="60"/>
          <w:highlight w:val="none"/>
        </w:rPr>
      </w:pPr>
    </w:p>
    <w:p w14:paraId="4018D481">
      <w:pPr>
        <w:jc w:val="center"/>
        <w:rPr>
          <w:rFonts w:hint="eastAsia" w:ascii="宋体" w:hAnsi="宋体" w:cstheme="minorEastAsia"/>
          <w:b/>
          <w:bCs/>
          <w:sz w:val="60"/>
          <w:szCs w:val="60"/>
          <w:highlight w:val="none"/>
        </w:rPr>
      </w:pPr>
    </w:p>
    <w:p w14:paraId="508D0A37">
      <w:pPr>
        <w:jc w:val="center"/>
        <w:rPr>
          <w:rFonts w:hint="eastAsia" w:ascii="宋体" w:hAnsi="宋体" w:cstheme="minorEastAsia"/>
          <w:b/>
          <w:bCs/>
          <w:sz w:val="60"/>
          <w:szCs w:val="60"/>
          <w:highlight w:val="none"/>
        </w:rPr>
      </w:pPr>
    </w:p>
    <w:p w14:paraId="0E97FECF">
      <w:pPr>
        <w:jc w:val="center"/>
        <w:rPr>
          <w:rFonts w:hint="eastAsia" w:ascii="宋体" w:hAnsi="宋体" w:eastAsia="宋体" w:cstheme="minorEastAsia"/>
          <w:b/>
          <w:bCs/>
          <w:sz w:val="60"/>
          <w:szCs w:val="60"/>
          <w:highlight w:val="none"/>
          <w:lang w:val="en-US" w:eastAsia="zh-CN"/>
        </w:rPr>
      </w:pPr>
      <w:r>
        <w:rPr>
          <w:rFonts w:hint="eastAsia" w:ascii="宋体" w:hAnsi="宋体" w:cstheme="minorEastAsia"/>
          <w:b/>
          <w:bCs/>
          <w:sz w:val="60"/>
          <w:szCs w:val="60"/>
          <w:highlight w:val="none"/>
        </w:rPr>
        <w:t>竞争性磋商文件</w:t>
      </w:r>
    </w:p>
    <w:p w14:paraId="4CF3F801">
      <w:pPr>
        <w:spacing w:line="360" w:lineRule="auto"/>
        <w:jc w:val="center"/>
        <w:rPr>
          <w:rFonts w:hint="eastAsia" w:ascii="宋体" w:hAnsi="宋体" w:cstheme="minorEastAsia"/>
          <w:b/>
          <w:bCs/>
          <w:sz w:val="60"/>
          <w:szCs w:val="60"/>
          <w:highlight w:val="none"/>
        </w:rPr>
      </w:pPr>
    </w:p>
    <w:p w14:paraId="23597ECD">
      <w:pPr>
        <w:spacing w:line="360" w:lineRule="auto"/>
        <w:jc w:val="center"/>
        <w:rPr>
          <w:rFonts w:hint="eastAsia" w:ascii="宋体" w:hAnsi="宋体" w:cstheme="minorEastAsia"/>
          <w:b/>
          <w:bCs/>
          <w:sz w:val="60"/>
          <w:szCs w:val="60"/>
          <w:highlight w:val="none"/>
        </w:rPr>
      </w:pPr>
    </w:p>
    <w:p w14:paraId="15A7A06D">
      <w:pPr>
        <w:tabs>
          <w:tab w:val="left" w:pos="5609"/>
        </w:tabs>
        <w:spacing w:line="360" w:lineRule="auto"/>
        <w:ind w:left="2832" w:leftChars="444" w:hanging="1900" w:hangingChars="528"/>
        <w:jc w:val="left"/>
        <w:rPr>
          <w:rFonts w:hint="eastAsia" w:ascii="宋体" w:hAnsi="宋体" w:cstheme="minorEastAsia"/>
          <w:bCs/>
          <w:sz w:val="36"/>
          <w:szCs w:val="36"/>
          <w:highlight w:val="none"/>
        </w:rPr>
      </w:pPr>
      <w:r>
        <w:rPr>
          <w:rFonts w:hint="eastAsia" w:ascii="宋体" w:hAnsi="宋体" w:cstheme="minorEastAsia"/>
          <w:bCs/>
          <w:sz w:val="36"/>
          <w:szCs w:val="36"/>
          <w:highlight w:val="none"/>
        </w:rPr>
        <w:t>项目名称：</w:t>
      </w:r>
      <w:r>
        <w:rPr>
          <w:rFonts w:hint="eastAsia" w:ascii="宋体" w:hAnsi="宋体" w:cstheme="minorEastAsia"/>
          <w:bCs/>
          <w:sz w:val="36"/>
          <w:szCs w:val="36"/>
          <w:highlight w:val="none"/>
        </w:rPr>
        <w:tab/>
      </w:r>
      <w:r>
        <w:rPr>
          <w:rFonts w:hint="eastAsia" w:ascii="宋体" w:hAnsi="宋体" w:cstheme="minorEastAsia"/>
          <w:bCs/>
          <w:sz w:val="36"/>
          <w:szCs w:val="36"/>
          <w:highlight w:val="none"/>
        </w:rPr>
        <w:t>2026年校内分类发展-基建类-校本部屋面防水改造项目</w:t>
      </w:r>
      <w:r>
        <w:rPr>
          <w:rFonts w:hint="eastAsia" w:ascii="宋体" w:hAnsi="宋体" w:cstheme="minorEastAsia"/>
          <w:bCs/>
          <w:sz w:val="36"/>
          <w:szCs w:val="36"/>
          <w:highlight w:val="none"/>
        </w:rPr>
        <w:tab/>
      </w:r>
    </w:p>
    <w:p w14:paraId="5033ADA4">
      <w:pPr>
        <w:tabs>
          <w:tab w:val="left" w:pos="3240"/>
          <w:tab w:val="left" w:pos="3420"/>
        </w:tabs>
        <w:spacing w:line="360" w:lineRule="auto"/>
        <w:ind w:left="2832" w:leftChars="444" w:hanging="1900" w:hangingChars="528"/>
        <w:jc w:val="left"/>
        <w:rPr>
          <w:rFonts w:hint="eastAsia" w:ascii="宋体" w:hAnsi="宋体" w:cstheme="minorEastAsia"/>
          <w:bCs/>
          <w:sz w:val="36"/>
          <w:szCs w:val="36"/>
          <w:highlight w:val="none"/>
        </w:rPr>
      </w:pPr>
      <w:r>
        <w:rPr>
          <w:rFonts w:hint="eastAsia" w:ascii="宋体" w:hAnsi="宋体" w:cstheme="minorEastAsia"/>
          <w:bCs/>
          <w:sz w:val="36"/>
          <w:szCs w:val="36"/>
          <w:highlight w:val="none"/>
        </w:rPr>
        <w:t>项目编号/包号：</w:t>
      </w:r>
      <w:r>
        <w:rPr>
          <w:rFonts w:hint="eastAsia" w:ascii="宋体" w:hAnsi="宋体" w:cstheme="minorEastAsia"/>
          <w:bCs/>
          <w:sz w:val="36"/>
          <w:szCs w:val="36"/>
          <w:highlight w:val="none"/>
        </w:rPr>
        <w:fldChar w:fldCharType="begin"/>
      </w:r>
      <w:r>
        <w:rPr>
          <w:rFonts w:hint="eastAsia" w:ascii="宋体" w:hAnsi="宋体" w:cstheme="minorEastAsia"/>
          <w:bCs/>
          <w:sz w:val="36"/>
          <w:szCs w:val="36"/>
          <w:highlight w:val="none"/>
        </w:rPr>
        <w:instrText xml:space="preserve"> HYPERLINK "http://219.232.204.193:8080/frontend/plan/project_detail.html?projectUuid=54d30818-5ebf-41f4-9943-900eb0ee5225" </w:instrText>
      </w:r>
      <w:r>
        <w:rPr>
          <w:rFonts w:hint="eastAsia" w:ascii="宋体" w:hAnsi="宋体" w:cstheme="minorEastAsia"/>
          <w:bCs/>
          <w:sz w:val="36"/>
          <w:szCs w:val="36"/>
          <w:highlight w:val="none"/>
        </w:rPr>
        <w:fldChar w:fldCharType="separate"/>
      </w:r>
      <w:r>
        <w:rPr>
          <w:rFonts w:hint="eastAsia" w:ascii="宋体" w:hAnsi="宋体" w:cstheme="minorEastAsia"/>
          <w:bCs/>
          <w:sz w:val="36"/>
          <w:szCs w:val="36"/>
          <w:highlight w:val="none"/>
        </w:rPr>
        <w:t>11000026210200178893-XM001</w:t>
      </w:r>
      <w:r>
        <w:rPr>
          <w:rFonts w:hint="eastAsia" w:ascii="宋体" w:hAnsi="宋体" w:cstheme="minorEastAsia"/>
          <w:bCs/>
          <w:sz w:val="36"/>
          <w:szCs w:val="36"/>
          <w:highlight w:val="none"/>
        </w:rPr>
        <w:fldChar w:fldCharType="end"/>
      </w:r>
    </w:p>
    <w:p w14:paraId="5899A110">
      <w:pPr>
        <w:tabs>
          <w:tab w:val="left" w:pos="3240"/>
          <w:tab w:val="left" w:pos="3420"/>
        </w:tabs>
        <w:spacing w:line="360" w:lineRule="auto"/>
        <w:ind w:left="2832" w:leftChars="444" w:hanging="1900" w:hangingChars="528"/>
        <w:jc w:val="left"/>
        <w:rPr>
          <w:rFonts w:hint="eastAsia" w:ascii="宋体" w:hAnsi="宋体" w:cstheme="minorEastAsia"/>
          <w:bCs/>
          <w:sz w:val="36"/>
          <w:szCs w:val="36"/>
          <w:highlight w:val="none"/>
        </w:rPr>
      </w:pPr>
      <w:r>
        <w:rPr>
          <w:rFonts w:hint="eastAsia" w:ascii="宋体" w:hAnsi="宋体" w:cstheme="minorEastAsia"/>
          <w:bCs/>
          <w:sz w:val="36"/>
          <w:szCs w:val="36"/>
          <w:highlight w:val="none"/>
        </w:rPr>
        <w:t>项目代理编号：HCZB-2026-ZB0765</w:t>
      </w:r>
    </w:p>
    <w:p w14:paraId="5BFE7979">
      <w:pPr>
        <w:tabs>
          <w:tab w:val="left" w:pos="3240"/>
          <w:tab w:val="left" w:pos="3420"/>
        </w:tabs>
        <w:spacing w:line="360" w:lineRule="auto"/>
        <w:ind w:left="2832" w:leftChars="444" w:hanging="1900" w:hangingChars="528"/>
        <w:jc w:val="left"/>
        <w:rPr>
          <w:rFonts w:hint="eastAsia" w:ascii="宋体" w:hAnsi="宋体" w:cstheme="minorEastAsia"/>
          <w:bCs/>
          <w:sz w:val="36"/>
          <w:szCs w:val="36"/>
          <w:highlight w:val="none"/>
        </w:rPr>
      </w:pPr>
      <w:r>
        <w:rPr>
          <w:rFonts w:hint="eastAsia" w:ascii="宋体" w:hAnsi="宋体" w:cstheme="minorEastAsia"/>
          <w:bCs/>
          <w:sz w:val="36"/>
          <w:szCs w:val="36"/>
          <w:highlight w:val="none"/>
        </w:rPr>
        <w:t>采 购 人：北京财贸职业学院</w:t>
      </w:r>
    </w:p>
    <w:p w14:paraId="22750BDD">
      <w:pPr>
        <w:tabs>
          <w:tab w:val="left" w:pos="3240"/>
          <w:tab w:val="left" w:pos="3420"/>
        </w:tabs>
        <w:spacing w:line="360" w:lineRule="auto"/>
        <w:ind w:left="2832" w:leftChars="444" w:hanging="1900" w:hangingChars="528"/>
        <w:jc w:val="left"/>
        <w:rPr>
          <w:rFonts w:hint="eastAsia" w:ascii="宋体" w:hAnsi="宋体" w:cstheme="minorEastAsia"/>
          <w:bCs/>
          <w:sz w:val="36"/>
          <w:szCs w:val="36"/>
          <w:highlight w:val="none"/>
        </w:rPr>
      </w:pPr>
      <w:r>
        <w:rPr>
          <w:rFonts w:hint="eastAsia" w:ascii="宋体" w:hAnsi="宋体" w:cstheme="minorEastAsia"/>
          <w:bCs/>
          <w:sz w:val="36"/>
          <w:szCs w:val="36"/>
          <w:highlight w:val="none"/>
        </w:rPr>
        <w:t>采购代理机构：华采招标集团有限公司</w:t>
      </w:r>
    </w:p>
    <w:p w14:paraId="34C5C12B">
      <w:pPr>
        <w:widowControl/>
        <w:jc w:val="left"/>
        <w:rPr>
          <w:rFonts w:hint="eastAsia" w:ascii="宋体" w:hAnsi="宋体" w:cstheme="minorEastAsia"/>
          <w:highlight w:val="none"/>
        </w:rPr>
        <w:sectPr>
          <w:headerReference r:id="rId3" w:type="default"/>
          <w:type w:val="nextColumn"/>
          <w:pgSz w:w="11906" w:h="16838"/>
          <w:pgMar w:top="1418" w:right="1134" w:bottom="1418" w:left="1701" w:header="851" w:footer="992" w:gutter="0"/>
          <w:cols w:space="425" w:num="1"/>
          <w:docGrid w:linePitch="312" w:charSpace="0"/>
        </w:sectPr>
      </w:pPr>
      <w:r>
        <w:rPr>
          <w:rFonts w:hint="eastAsia" w:ascii="宋体" w:hAnsi="宋体" w:cstheme="minorEastAsia"/>
          <w:b/>
          <w:bCs/>
          <w:sz w:val="44"/>
          <w:highlight w:val="none"/>
        </w:rPr>
        <w:br w:type="page"/>
      </w:r>
    </w:p>
    <w:p w14:paraId="35F36DC7">
      <w:pPr>
        <w:pStyle w:val="160"/>
        <w:spacing w:line="360" w:lineRule="auto"/>
        <w:ind w:firstLine="723" w:firstLineChars="200"/>
        <w:rPr>
          <w:rFonts w:hint="eastAsia" w:ascii="宋体" w:hAnsi="宋体"/>
          <w:b/>
          <w:sz w:val="36"/>
          <w:szCs w:val="36"/>
          <w:highlight w:val="none"/>
        </w:rPr>
      </w:pPr>
      <w:bookmarkStart w:id="0" w:name="_Toc74227630"/>
    </w:p>
    <w:p w14:paraId="05EC3272">
      <w:pPr>
        <w:rPr>
          <w:rFonts w:hint="eastAsia" w:ascii="宋体" w:hAnsi="宋体"/>
          <w:highlight w:val="none"/>
        </w:rPr>
      </w:pPr>
    </w:p>
    <w:bookmarkEnd w:id="0"/>
    <w:p w14:paraId="2155DAD8">
      <w:pPr>
        <w:pStyle w:val="160"/>
        <w:spacing w:line="360" w:lineRule="auto"/>
        <w:rPr>
          <w:rFonts w:hint="eastAsia" w:ascii="宋体" w:hAnsi="宋体" w:cstheme="minorEastAsia"/>
          <w:highlight w:val="none"/>
        </w:rPr>
      </w:pPr>
    </w:p>
    <w:p w14:paraId="7950AA13">
      <w:pPr>
        <w:spacing w:line="360" w:lineRule="auto"/>
        <w:jc w:val="center"/>
        <w:outlineLvl w:val="0"/>
        <w:rPr>
          <w:rFonts w:hint="eastAsia" w:ascii="宋体" w:hAnsi="宋体" w:cstheme="minorEastAsia"/>
          <w:b/>
          <w:sz w:val="36"/>
          <w:szCs w:val="36"/>
          <w:highlight w:val="none"/>
        </w:rPr>
      </w:pPr>
      <w:bookmarkStart w:id="1" w:name="_Toc1616"/>
      <w:bookmarkStart w:id="2" w:name="_Toc7957"/>
      <w:r>
        <w:rPr>
          <w:rFonts w:hint="eastAsia" w:ascii="宋体" w:hAnsi="宋体" w:cstheme="minorEastAsia"/>
          <w:b/>
          <w:sz w:val="36"/>
          <w:szCs w:val="36"/>
          <w:highlight w:val="none"/>
        </w:rPr>
        <w:t>目      录</w:t>
      </w:r>
      <w:bookmarkEnd w:id="1"/>
      <w:bookmarkEnd w:id="2"/>
    </w:p>
    <w:p w14:paraId="4AA98D9E">
      <w:pPr>
        <w:rPr>
          <w:rFonts w:hint="eastAsia" w:ascii="宋体" w:hAnsi="宋体" w:cstheme="minorEastAsia"/>
          <w:highlight w:val="none"/>
        </w:rPr>
      </w:pPr>
    </w:p>
    <w:p w14:paraId="530CB7D3">
      <w:pPr>
        <w:rPr>
          <w:rFonts w:hint="eastAsia" w:ascii="宋体" w:hAnsi="宋体" w:cstheme="minorEastAsia"/>
          <w:highlight w:val="none"/>
        </w:rPr>
      </w:pPr>
    </w:p>
    <w:p w14:paraId="2407C187">
      <w:pPr>
        <w:rPr>
          <w:rFonts w:hint="eastAsia" w:ascii="宋体" w:hAnsi="宋体" w:cstheme="minorEastAsia"/>
          <w:highlight w:val="none"/>
        </w:rPr>
      </w:pPr>
    </w:p>
    <w:p w14:paraId="613CE369">
      <w:pPr>
        <w:spacing w:line="480" w:lineRule="auto"/>
        <w:rPr>
          <w:rFonts w:hint="eastAsia" w:ascii="宋体" w:hAnsi="宋体" w:cstheme="minorEastAsia"/>
          <w:highlight w:val="none"/>
        </w:rPr>
      </w:pPr>
    </w:p>
    <w:p w14:paraId="10D0D144">
      <w:pPr>
        <w:pStyle w:val="31"/>
        <w:tabs>
          <w:tab w:val="right" w:leader="dot" w:pos="9072"/>
          <w:tab w:val="clear" w:pos="1050"/>
          <w:tab w:val="clear" w:pos="8937"/>
        </w:tabs>
        <w:spacing w:line="480" w:lineRule="auto"/>
        <w:rPr>
          <w:rFonts w:hint="eastAsia"/>
          <w:highlight w:val="none"/>
        </w:rPr>
      </w:pPr>
      <w:r>
        <w:rPr>
          <w:rFonts w:hint="eastAsia" w:cstheme="minorEastAsia"/>
          <w:b w:val="0"/>
          <w:highlight w:val="none"/>
        </w:rPr>
        <w:fldChar w:fldCharType="begin"/>
      </w:r>
      <w:r>
        <w:rPr>
          <w:rFonts w:hint="eastAsia" w:cstheme="minorEastAsia"/>
          <w:b w:val="0"/>
          <w:highlight w:val="none"/>
        </w:rPr>
        <w:instrText xml:space="preserve"> TOC \o "1-1" \h \z \u </w:instrText>
      </w:r>
      <w:r>
        <w:rPr>
          <w:rFonts w:hint="eastAsia" w:cstheme="minorEastAsia"/>
          <w:b w:val="0"/>
          <w:highlight w:val="none"/>
        </w:rPr>
        <w:fldChar w:fldCharType="separate"/>
      </w:r>
      <w:r>
        <w:rPr>
          <w:highlight w:val="none"/>
        </w:rPr>
        <w:fldChar w:fldCharType="begin"/>
      </w:r>
      <w:r>
        <w:rPr>
          <w:highlight w:val="none"/>
        </w:rPr>
        <w:instrText xml:space="preserve"> HYPERLINK \l "_Toc7957" </w:instrText>
      </w:r>
      <w:r>
        <w:rPr>
          <w:highlight w:val="none"/>
        </w:rPr>
        <w:fldChar w:fldCharType="separate"/>
      </w:r>
      <w:r>
        <w:rPr>
          <w:rFonts w:hint="eastAsia" w:cstheme="minorEastAsia"/>
          <w:szCs w:val="36"/>
          <w:highlight w:val="none"/>
        </w:rPr>
        <w:t>目      录</w:t>
      </w:r>
      <w:r>
        <w:rPr>
          <w:highlight w:val="none"/>
        </w:rPr>
        <w:tab/>
      </w:r>
      <w:r>
        <w:rPr>
          <w:highlight w:val="none"/>
        </w:rPr>
        <w:fldChar w:fldCharType="begin"/>
      </w:r>
      <w:r>
        <w:rPr>
          <w:highlight w:val="none"/>
        </w:rPr>
        <w:instrText xml:space="preserve"> PAGEREF _Toc7957 \h </w:instrText>
      </w:r>
      <w:r>
        <w:rPr>
          <w:highlight w:val="none"/>
        </w:rPr>
        <w:fldChar w:fldCharType="separate"/>
      </w:r>
      <w:r>
        <w:rPr>
          <w:rFonts w:hint="eastAsia"/>
          <w:highlight w:val="none"/>
        </w:rPr>
        <w:t>1</w:t>
      </w:r>
      <w:r>
        <w:rPr>
          <w:highlight w:val="none"/>
        </w:rPr>
        <w:fldChar w:fldCharType="end"/>
      </w:r>
      <w:r>
        <w:rPr>
          <w:highlight w:val="none"/>
        </w:rPr>
        <w:fldChar w:fldCharType="end"/>
      </w:r>
    </w:p>
    <w:p w14:paraId="6C0A8EBC">
      <w:pPr>
        <w:pStyle w:val="31"/>
        <w:tabs>
          <w:tab w:val="right" w:leader="dot" w:pos="9072"/>
          <w:tab w:val="clear" w:pos="1050"/>
          <w:tab w:val="clear" w:pos="8937"/>
        </w:tabs>
        <w:spacing w:line="480" w:lineRule="auto"/>
        <w:rPr>
          <w:rFonts w:hint="eastAsia"/>
          <w:highlight w:val="none"/>
        </w:rPr>
      </w:pPr>
      <w:r>
        <w:rPr>
          <w:highlight w:val="none"/>
        </w:rPr>
        <w:fldChar w:fldCharType="begin"/>
      </w:r>
      <w:r>
        <w:rPr>
          <w:highlight w:val="none"/>
        </w:rPr>
        <w:instrText xml:space="preserve"> HYPERLINK \l "_Toc17666" </w:instrText>
      </w:r>
      <w:r>
        <w:rPr>
          <w:highlight w:val="none"/>
        </w:rPr>
        <w:fldChar w:fldCharType="separate"/>
      </w:r>
      <w:r>
        <w:rPr>
          <w:rFonts w:hint="eastAsia" w:cstheme="minorEastAsia"/>
          <w:szCs w:val="36"/>
          <w:highlight w:val="none"/>
        </w:rPr>
        <w:t>第一章   采购邀请</w:t>
      </w:r>
      <w:r>
        <w:rPr>
          <w:highlight w:val="none"/>
        </w:rPr>
        <w:tab/>
      </w:r>
      <w:r>
        <w:rPr>
          <w:highlight w:val="none"/>
        </w:rPr>
        <w:fldChar w:fldCharType="begin"/>
      </w:r>
      <w:r>
        <w:rPr>
          <w:highlight w:val="none"/>
        </w:rPr>
        <w:instrText xml:space="preserve"> PAGEREF _Toc17666 \h </w:instrText>
      </w:r>
      <w:r>
        <w:rPr>
          <w:highlight w:val="none"/>
        </w:rPr>
        <w:fldChar w:fldCharType="separate"/>
      </w:r>
      <w:r>
        <w:rPr>
          <w:rFonts w:hint="eastAsia"/>
          <w:highlight w:val="none"/>
        </w:rPr>
        <w:t>1</w:t>
      </w:r>
      <w:r>
        <w:rPr>
          <w:highlight w:val="none"/>
        </w:rPr>
        <w:fldChar w:fldCharType="end"/>
      </w:r>
      <w:r>
        <w:rPr>
          <w:highlight w:val="none"/>
        </w:rPr>
        <w:fldChar w:fldCharType="end"/>
      </w:r>
    </w:p>
    <w:p w14:paraId="4F15B39A">
      <w:pPr>
        <w:pStyle w:val="31"/>
        <w:tabs>
          <w:tab w:val="right" w:leader="dot" w:pos="9072"/>
          <w:tab w:val="clear" w:pos="1050"/>
          <w:tab w:val="clear" w:pos="8937"/>
        </w:tabs>
        <w:spacing w:line="480" w:lineRule="auto"/>
        <w:rPr>
          <w:rFonts w:hint="eastAsia"/>
          <w:highlight w:val="none"/>
        </w:rPr>
      </w:pPr>
      <w:r>
        <w:rPr>
          <w:highlight w:val="none"/>
        </w:rPr>
        <w:fldChar w:fldCharType="begin"/>
      </w:r>
      <w:r>
        <w:rPr>
          <w:highlight w:val="none"/>
        </w:rPr>
        <w:instrText xml:space="preserve"> HYPERLINK \l "_Toc24888" </w:instrText>
      </w:r>
      <w:r>
        <w:rPr>
          <w:highlight w:val="none"/>
        </w:rPr>
        <w:fldChar w:fldCharType="separate"/>
      </w:r>
      <w:r>
        <w:rPr>
          <w:rFonts w:hint="eastAsia" w:cstheme="minorEastAsia"/>
          <w:szCs w:val="36"/>
          <w:highlight w:val="none"/>
        </w:rPr>
        <w:t>第二章   供应商须知</w:t>
      </w:r>
      <w:r>
        <w:rPr>
          <w:highlight w:val="none"/>
        </w:rPr>
        <w:tab/>
      </w:r>
      <w:r>
        <w:rPr>
          <w:highlight w:val="none"/>
        </w:rPr>
        <w:fldChar w:fldCharType="begin"/>
      </w:r>
      <w:r>
        <w:rPr>
          <w:highlight w:val="none"/>
        </w:rPr>
        <w:instrText xml:space="preserve"> PAGEREF _Toc24888 \h </w:instrText>
      </w:r>
      <w:r>
        <w:rPr>
          <w:highlight w:val="none"/>
        </w:rPr>
        <w:fldChar w:fldCharType="separate"/>
      </w:r>
      <w:r>
        <w:rPr>
          <w:rFonts w:hint="eastAsia"/>
          <w:highlight w:val="none"/>
        </w:rPr>
        <w:t>6</w:t>
      </w:r>
      <w:r>
        <w:rPr>
          <w:highlight w:val="none"/>
        </w:rPr>
        <w:fldChar w:fldCharType="end"/>
      </w:r>
      <w:r>
        <w:rPr>
          <w:highlight w:val="none"/>
        </w:rPr>
        <w:fldChar w:fldCharType="end"/>
      </w:r>
    </w:p>
    <w:p w14:paraId="56A96D64">
      <w:pPr>
        <w:pStyle w:val="31"/>
        <w:tabs>
          <w:tab w:val="right" w:leader="dot" w:pos="9072"/>
          <w:tab w:val="clear" w:pos="1050"/>
          <w:tab w:val="clear" w:pos="8937"/>
        </w:tabs>
        <w:spacing w:line="480" w:lineRule="auto"/>
        <w:rPr>
          <w:rFonts w:hint="eastAsia"/>
          <w:highlight w:val="none"/>
        </w:rPr>
      </w:pPr>
      <w:r>
        <w:rPr>
          <w:highlight w:val="none"/>
        </w:rPr>
        <w:fldChar w:fldCharType="begin"/>
      </w:r>
      <w:r>
        <w:rPr>
          <w:highlight w:val="none"/>
        </w:rPr>
        <w:instrText xml:space="preserve"> HYPERLINK \l "_Toc27856" </w:instrText>
      </w:r>
      <w:r>
        <w:rPr>
          <w:highlight w:val="none"/>
        </w:rPr>
        <w:fldChar w:fldCharType="separate"/>
      </w:r>
      <w:r>
        <w:rPr>
          <w:rFonts w:hint="eastAsia" w:cstheme="minorEastAsia"/>
          <w:szCs w:val="36"/>
          <w:highlight w:val="none"/>
        </w:rPr>
        <w:t>第三章   评审方法和评审标准</w:t>
      </w:r>
      <w:r>
        <w:rPr>
          <w:highlight w:val="none"/>
        </w:rPr>
        <w:tab/>
      </w:r>
      <w:r>
        <w:rPr>
          <w:highlight w:val="none"/>
        </w:rPr>
        <w:fldChar w:fldCharType="begin"/>
      </w:r>
      <w:r>
        <w:rPr>
          <w:highlight w:val="none"/>
        </w:rPr>
        <w:instrText xml:space="preserve"> PAGEREF _Toc27856 \h </w:instrText>
      </w:r>
      <w:r>
        <w:rPr>
          <w:highlight w:val="none"/>
        </w:rPr>
        <w:fldChar w:fldCharType="separate"/>
      </w:r>
      <w:r>
        <w:rPr>
          <w:rFonts w:hint="eastAsia"/>
          <w:highlight w:val="none"/>
        </w:rPr>
        <w:t>23</w:t>
      </w:r>
      <w:r>
        <w:rPr>
          <w:highlight w:val="none"/>
        </w:rPr>
        <w:fldChar w:fldCharType="end"/>
      </w:r>
      <w:r>
        <w:rPr>
          <w:highlight w:val="none"/>
        </w:rPr>
        <w:fldChar w:fldCharType="end"/>
      </w:r>
    </w:p>
    <w:p w14:paraId="51F4DD88">
      <w:pPr>
        <w:pStyle w:val="31"/>
        <w:tabs>
          <w:tab w:val="right" w:leader="dot" w:pos="9072"/>
          <w:tab w:val="clear" w:pos="1050"/>
          <w:tab w:val="clear" w:pos="8937"/>
        </w:tabs>
        <w:spacing w:line="480" w:lineRule="auto"/>
        <w:rPr>
          <w:rFonts w:hint="eastAsia"/>
          <w:highlight w:val="none"/>
        </w:rPr>
      </w:pPr>
      <w:r>
        <w:rPr>
          <w:highlight w:val="none"/>
        </w:rPr>
        <w:fldChar w:fldCharType="begin"/>
      </w:r>
      <w:r>
        <w:rPr>
          <w:highlight w:val="none"/>
        </w:rPr>
        <w:instrText xml:space="preserve"> HYPERLINK \l "_Toc19149" </w:instrText>
      </w:r>
      <w:r>
        <w:rPr>
          <w:highlight w:val="none"/>
        </w:rPr>
        <w:fldChar w:fldCharType="separate"/>
      </w:r>
      <w:r>
        <w:rPr>
          <w:rFonts w:hint="eastAsia" w:cstheme="minorEastAsia"/>
          <w:szCs w:val="36"/>
          <w:highlight w:val="none"/>
        </w:rPr>
        <w:t>第四章   采购需求</w:t>
      </w:r>
      <w:r>
        <w:rPr>
          <w:highlight w:val="none"/>
        </w:rPr>
        <w:tab/>
      </w:r>
      <w:r>
        <w:rPr>
          <w:highlight w:val="none"/>
        </w:rPr>
        <w:fldChar w:fldCharType="begin"/>
      </w:r>
      <w:r>
        <w:rPr>
          <w:highlight w:val="none"/>
        </w:rPr>
        <w:instrText xml:space="preserve"> PAGEREF _Toc19149 \h </w:instrText>
      </w:r>
      <w:r>
        <w:rPr>
          <w:highlight w:val="none"/>
        </w:rPr>
        <w:fldChar w:fldCharType="separate"/>
      </w:r>
      <w:r>
        <w:rPr>
          <w:rFonts w:hint="eastAsia"/>
          <w:highlight w:val="none"/>
        </w:rPr>
        <w:t>39</w:t>
      </w:r>
      <w:r>
        <w:rPr>
          <w:highlight w:val="none"/>
        </w:rPr>
        <w:fldChar w:fldCharType="end"/>
      </w:r>
      <w:r>
        <w:rPr>
          <w:highlight w:val="none"/>
        </w:rPr>
        <w:fldChar w:fldCharType="end"/>
      </w:r>
    </w:p>
    <w:p w14:paraId="3229DCEA">
      <w:pPr>
        <w:pStyle w:val="31"/>
        <w:tabs>
          <w:tab w:val="right" w:leader="dot" w:pos="9072"/>
          <w:tab w:val="clear" w:pos="1050"/>
          <w:tab w:val="clear" w:pos="8937"/>
        </w:tabs>
        <w:spacing w:line="480" w:lineRule="auto"/>
        <w:rPr>
          <w:rFonts w:hint="eastAsia"/>
          <w:highlight w:val="none"/>
        </w:rPr>
      </w:pPr>
      <w:r>
        <w:rPr>
          <w:highlight w:val="none"/>
        </w:rPr>
        <w:fldChar w:fldCharType="begin"/>
      </w:r>
      <w:r>
        <w:rPr>
          <w:highlight w:val="none"/>
        </w:rPr>
        <w:instrText xml:space="preserve"> HYPERLINK \l "_Toc2618" </w:instrText>
      </w:r>
      <w:r>
        <w:rPr>
          <w:highlight w:val="none"/>
        </w:rPr>
        <w:fldChar w:fldCharType="separate"/>
      </w:r>
      <w:r>
        <w:rPr>
          <w:rFonts w:hint="eastAsia" w:cstheme="minorEastAsia"/>
          <w:szCs w:val="36"/>
          <w:highlight w:val="none"/>
        </w:rPr>
        <w:t>第五章   合同草案条款</w:t>
      </w:r>
      <w:r>
        <w:rPr>
          <w:highlight w:val="none"/>
        </w:rPr>
        <w:tab/>
      </w:r>
      <w:r>
        <w:rPr>
          <w:highlight w:val="none"/>
        </w:rPr>
        <w:fldChar w:fldCharType="begin"/>
      </w:r>
      <w:r>
        <w:rPr>
          <w:highlight w:val="none"/>
        </w:rPr>
        <w:instrText xml:space="preserve"> PAGEREF _Toc2618 \h </w:instrText>
      </w:r>
      <w:r>
        <w:rPr>
          <w:highlight w:val="none"/>
        </w:rPr>
        <w:fldChar w:fldCharType="separate"/>
      </w:r>
      <w:r>
        <w:rPr>
          <w:rFonts w:hint="eastAsia"/>
          <w:highlight w:val="none"/>
        </w:rPr>
        <w:t>40</w:t>
      </w:r>
      <w:r>
        <w:rPr>
          <w:highlight w:val="none"/>
        </w:rPr>
        <w:fldChar w:fldCharType="end"/>
      </w:r>
      <w:r>
        <w:rPr>
          <w:highlight w:val="none"/>
        </w:rPr>
        <w:fldChar w:fldCharType="end"/>
      </w:r>
    </w:p>
    <w:p w14:paraId="07660A17">
      <w:pPr>
        <w:pStyle w:val="31"/>
        <w:tabs>
          <w:tab w:val="right" w:leader="dot" w:pos="9072"/>
          <w:tab w:val="clear" w:pos="1050"/>
          <w:tab w:val="clear" w:pos="8937"/>
        </w:tabs>
        <w:spacing w:line="480" w:lineRule="auto"/>
        <w:rPr>
          <w:rFonts w:hint="eastAsia"/>
          <w:highlight w:val="none"/>
        </w:rPr>
      </w:pPr>
      <w:r>
        <w:rPr>
          <w:highlight w:val="none"/>
        </w:rPr>
        <w:fldChar w:fldCharType="begin"/>
      </w:r>
      <w:r>
        <w:rPr>
          <w:highlight w:val="none"/>
        </w:rPr>
        <w:instrText xml:space="preserve"> HYPERLINK \l "_Toc27824" </w:instrText>
      </w:r>
      <w:r>
        <w:rPr>
          <w:highlight w:val="none"/>
        </w:rPr>
        <w:fldChar w:fldCharType="separate"/>
      </w:r>
      <w:r>
        <w:rPr>
          <w:rFonts w:hint="eastAsia" w:cstheme="minorEastAsia"/>
          <w:szCs w:val="36"/>
          <w:highlight w:val="none"/>
        </w:rPr>
        <w:t>第六章   响应文件格式</w:t>
      </w:r>
      <w:r>
        <w:rPr>
          <w:highlight w:val="none"/>
        </w:rPr>
        <w:tab/>
      </w:r>
      <w:r>
        <w:rPr>
          <w:highlight w:val="none"/>
        </w:rPr>
        <w:fldChar w:fldCharType="begin"/>
      </w:r>
      <w:r>
        <w:rPr>
          <w:highlight w:val="none"/>
        </w:rPr>
        <w:instrText xml:space="preserve"> PAGEREF _Toc27824 \h </w:instrText>
      </w:r>
      <w:r>
        <w:rPr>
          <w:highlight w:val="none"/>
        </w:rPr>
        <w:fldChar w:fldCharType="separate"/>
      </w:r>
      <w:r>
        <w:rPr>
          <w:rFonts w:hint="eastAsia"/>
          <w:highlight w:val="none"/>
        </w:rPr>
        <w:t>39</w:t>
      </w:r>
      <w:r>
        <w:rPr>
          <w:highlight w:val="none"/>
        </w:rPr>
        <w:fldChar w:fldCharType="end"/>
      </w:r>
      <w:r>
        <w:rPr>
          <w:highlight w:val="none"/>
        </w:rPr>
        <w:fldChar w:fldCharType="end"/>
      </w:r>
    </w:p>
    <w:p w14:paraId="7B230760">
      <w:pPr>
        <w:pStyle w:val="31"/>
        <w:spacing w:line="480" w:lineRule="auto"/>
        <w:rPr>
          <w:rFonts w:hint="eastAsia" w:cstheme="minorEastAsia"/>
          <w:b w:val="0"/>
          <w:highlight w:val="none"/>
        </w:rPr>
      </w:pPr>
      <w:r>
        <w:rPr>
          <w:rFonts w:hint="eastAsia" w:cstheme="minorEastAsia"/>
          <w:highlight w:val="none"/>
        </w:rPr>
        <w:fldChar w:fldCharType="end"/>
      </w:r>
    </w:p>
    <w:p w14:paraId="2F010641">
      <w:pPr>
        <w:rPr>
          <w:rFonts w:hint="eastAsia" w:ascii="宋体" w:hAnsi="宋体" w:cstheme="minorEastAsia"/>
          <w:highlight w:val="none"/>
        </w:rPr>
      </w:pPr>
    </w:p>
    <w:p w14:paraId="2C9231B8">
      <w:pPr>
        <w:spacing w:line="360" w:lineRule="auto"/>
        <w:rPr>
          <w:rFonts w:hint="eastAsia" w:ascii="宋体" w:hAnsi="宋体" w:cstheme="minorEastAsia"/>
          <w:sz w:val="24"/>
          <w:highlight w:val="none"/>
        </w:rPr>
      </w:pPr>
      <w:r>
        <w:rPr>
          <w:rFonts w:hint="eastAsia" w:ascii="宋体" w:hAnsi="宋体" w:cstheme="minorEastAsia"/>
          <w:sz w:val="24"/>
          <w:highlight w:val="none"/>
        </w:rPr>
        <w:t>注：采购文件条款中以 “■”形式标记的内容适用于本项目，以“□”形式标记的内容不适用于本项目。</w:t>
      </w:r>
    </w:p>
    <w:p w14:paraId="2A7332FD">
      <w:pPr>
        <w:pStyle w:val="31"/>
        <w:spacing w:line="360" w:lineRule="auto"/>
        <w:rPr>
          <w:rFonts w:hint="eastAsia" w:cstheme="minorEastAsia"/>
          <w:b w:val="0"/>
          <w:highlight w:val="none"/>
        </w:rPr>
      </w:pPr>
    </w:p>
    <w:p w14:paraId="3CEC267B">
      <w:pPr>
        <w:pStyle w:val="31"/>
        <w:spacing w:line="360" w:lineRule="auto"/>
        <w:rPr>
          <w:rFonts w:hint="eastAsia" w:cstheme="minorEastAsia"/>
          <w:b w:val="0"/>
          <w:sz w:val="36"/>
          <w:szCs w:val="36"/>
          <w:highlight w:val="none"/>
        </w:rPr>
      </w:pPr>
    </w:p>
    <w:p w14:paraId="3D0D2C14">
      <w:pPr>
        <w:spacing w:line="360" w:lineRule="auto"/>
        <w:jc w:val="center"/>
        <w:outlineLvl w:val="0"/>
        <w:rPr>
          <w:rFonts w:hint="eastAsia" w:ascii="宋体" w:hAnsi="宋体" w:cstheme="minorEastAsia"/>
          <w:b/>
          <w:sz w:val="36"/>
          <w:szCs w:val="36"/>
          <w:highlight w:val="none"/>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start="1"/>
          <w:cols w:space="720" w:num="1"/>
          <w:titlePg/>
          <w:docGrid w:linePitch="462" w:charSpace="0"/>
        </w:sectPr>
      </w:pPr>
    </w:p>
    <w:p w14:paraId="0116377E">
      <w:pPr>
        <w:spacing w:line="360" w:lineRule="auto"/>
        <w:jc w:val="center"/>
        <w:outlineLvl w:val="0"/>
        <w:rPr>
          <w:rFonts w:hint="eastAsia" w:ascii="宋体" w:hAnsi="宋体" w:cstheme="minorEastAsia"/>
          <w:b/>
          <w:sz w:val="36"/>
          <w:szCs w:val="36"/>
          <w:highlight w:val="none"/>
        </w:rPr>
      </w:pPr>
      <w:bookmarkStart w:id="3" w:name="_Toc25129"/>
      <w:bookmarkStart w:id="4" w:name="_Toc17666"/>
      <w:r>
        <w:rPr>
          <w:rFonts w:hint="eastAsia" w:ascii="宋体" w:hAnsi="宋体" w:cstheme="minorEastAsia"/>
          <w:b/>
          <w:sz w:val="36"/>
          <w:szCs w:val="36"/>
          <w:highlight w:val="none"/>
        </w:rPr>
        <w:t>第一章   采购邀请</w:t>
      </w:r>
      <w:bookmarkEnd w:id="3"/>
      <w:bookmarkEnd w:id="4"/>
      <w:bookmarkStart w:id="5" w:name="_Toc28359079"/>
      <w:bookmarkStart w:id="6" w:name="_Toc28359002"/>
      <w:bookmarkStart w:id="7" w:name="_Toc35393621"/>
      <w:bookmarkStart w:id="8" w:name="_Toc35393790"/>
      <w:bookmarkStart w:id="9" w:name="_Hlk24379207"/>
    </w:p>
    <w:p w14:paraId="01BE9976">
      <w:pPr>
        <w:spacing w:line="360" w:lineRule="auto"/>
        <w:ind w:firstLine="480" w:firstLineChars="200"/>
        <w:rPr>
          <w:rFonts w:hint="eastAsia" w:ascii="宋体" w:hAnsi="宋体" w:cstheme="minorEastAsia"/>
          <w:sz w:val="24"/>
          <w:highlight w:val="none"/>
        </w:rPr>
      </w:pPr>
    </w:p>
    <w:p w14:paraId="6694560A">
      <w:pPr>
        <w:pStyle w:val="3"/>
        <w:spacing w:before="0" w:line="360" w:lineRule="auto"/>
        <w:jc w:val="left"/>
        <w:rPr>
          <w:rFonts w:hint="eastAsia" w:ascii="宋体" w:hAnsi="宋体" w:eastAsia="宋体" w:cstheme="minorEastAsia"/>
          <w:sz w:val="24"/>
          <w:szCs w:val="24"/>
          <w:highlight w:val="none"/>
        </w:rPr>
      </w:pPr>
      <w:r>
        <w:rPr>
          <w:rFonts w:hint="eastAsia" w:ascii="宋体" w:hAnsi="宋体" w:eastAsia="宋体" w:cstheme="minorEastAsia"/>
          <w:sz w:val="24"/>
          <w:szCs w:val="24"/>
          <w:highlight w:val="none"/>
        </w:rPr>
        <w:t>一、项目基本情况</w:t>
      </w:r>
      <w:bookmarkEnd w:id="5"/>
      <w:bookmarkEnd w:id="6"/>
      <w:bookmarkEnd w:id="7"/>
      <w:bookmarkEnd w:id="8"/>
    </w:p>
    <w:p w14:paraId="33BEB5C0">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1.项目编号：</w:t>
      </w:r>
      <w:r>
        <w:rPr>
          <w:rFonts w:hint="eastAsia" w:ascii="宋体" w:hAnsi="宋体" w:cstheme="minorEastAsia"/>
          <w:sz w:val="24"/>
          <w:highlight w:val="none"/>
        </w:rPr>
        <w:fldChar w:fldCharType="begin"/>
      </w:r>
      <w:r>
        <w:rPr>
          <w:rFonts w:hint="eastAsia" w:ascii="宋体" w:hAnsi="宋体" w:cstheme="minorEastAsia"/>
          <w:sz w:val="24"/>
          <w:highlight w:val="none"/>
        </w:rPr>
        <w:instrText xml:space="preserve"> HYPERLINK "http://219.232.204.193:8080/frontend/plan/project_detail.html?projectUuid=54d30818-5ebf-41f4-9943-900eb0ee5225" </w:instrText>
      </w:r>
      <w:r>
        <w:rPr>
          <w:rFonts w:hint="eastAsia" w:ascii="宋体" w:hAnsi="宋体" w:cstheme="minorEastAsia"/>
          <w:sz w:val="24"/>
          <w:highlight w:val="none"/>
        </w:rPr>
        <w:fldChar w:fldCharType="separate"/>
      </w:r>
      <w:r>
        <w:rPr>
          <w:rFonts w:hint="eastAsia" w:ascii="宋体" w:hAnsi="宋体" w:cstheme="minorEastAsia"/>
          <w:sz w:val="24"/>
          <w:highlight w:val="none"/>
        </w:rPr>
        <w:t>11000026210200178893-XM001</w:t>
      </w:r>
      <w:r>
        <w:rPr>
          <w:rFonts w:hint="eastAsia" w:ascii="宋体" w:hAnsi="宋体" w:cstheme="minorEastAsia"/>
          <w:sz w:val="24"/>
          <w:highlight w:val="none"/>
        </w:rPr>
        <w:fldChar w:fldCharType="end"/>
      </w:r>
    </w:p>
    <w:p w14:paraId="460DA8C7">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 xml:space="preserve">  项目代理编号：HCZB-2026-ZB0765</w:t>
      </w:r>
    </w:p>
    <w:p w14:paraId="3D7065D0">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2.项目名称：2026年校内分类发展-基建类-校本部屋面防水改造项目</w:t>
      </w:r>
    </w:p>
    <w:p w14:paraId="31D0A1DD">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3.采购方式：竞争性磋商</w:t>
      </w:r>
    </w:p>
    <w:bookmarkEnd w:id="9"/>
    <w:p w14:paraId="2C1F74BB">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4.项目预算金额：192.972132万元、项目最高限价（如有）：192.972132万元</w:t>
      </w:r>
      <w:r>
        <w:rPr>
          <w:rFonts w:hint="eastAsia" w:ascii="宋体" w:hAnsi="宋体"/>
          <w:highlight w:val="none"/>
        </w:rPr>
        <w:t>；其中暂列金17万元（含税）</w:t>
      </w:r>
    </w:p>
    <w:p w14:paraId="4402523A">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5.采购需求：</w:t>
      </w:r>
    </w:p>
    <w:tbl>
      <w:tblPr>
        <w:tblStyle w:val="4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1520"/>
        <w:gridCol w:w="1661"/>
        <w:gridCol w:w="974"/>
        <w:gridCol w:w="4172"/>
      </w:tblGrid>
      <w:tr w14:paraId="2333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2424978E">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包号</w:t>
            </w:r>
          </w:p>
        </w:tc>
        <w:tc>
          <w:tcPr>
            <w:tcW w:w="843" w:type="pct"/>
            <w:vAlign w:val="center"/>
          </w:tcPr>
          <w:p w14:paraId="15AB53FB">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标的名称</w:t>
            </w:r>
          </w:p>
        </w:tc>
        <w:tc>
          <w:tcPr>
            <w:tcW w:w="921" w:type="pct"/>
            <w:vAlign w:val="center"/>
          </w:tcPr>
          <w:p w14:paraId="410A1970">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采购包预算金额</w:t>
            </w:r>
          </w:p>
          <w:p w14:paraId="19ABBB03">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（万元）</w:t>
            </w:r>
          </w:p>
        </w:tc>
        <w:tc>
          <w:tcPr>
            <w:tcW w:w="540" w:type="pct"/>
            <w:vAlign w:val="center"/>
          </w:tcPr>
          <w:p w14:paraId="652B6B78">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数量</w:t>
            </w:r>
          </w:p>
        </w:tc>
        <w:tc>
          <w:tcPr>
            <w:tcW w:w="2314" w:type="pct"/>
            <w:vAlign w:val="center"/>
          </w:tcPr>
          <w:p w14:paraId="58AA23E6">
            <w:pPr>
              <w:spacing w:line="360" w:lineRule="auto"/>
              <w:jc w:val="center"/>
              <w:rPr>
                <w:rFonts w:hint="eastAsia" w:ascii="宋体" w:hAnsi="宋体" w:cstheme="minorEastAsia"/>
                <w:sz w:val="24"/>
                <w:highlight w:val="none"/>
              </w:rPr>
            </w:pPr>
            <w:r>
              <w:rPr>
                <w:rFonts w:hint="eastAsia" w:ascii="宋体" w:hAnsi="宋体" w:cstheme="minorEastAsia"/>
                <w:sz w:val="24"/>
                <w:highlight w:val="none"/>
              </w:rPr>
              <w:t>简要技术需求或服务要求</w:t>
            </w:r>
          </w:p>
        </w:tc>
      </w:tr>
      <w:tr w14:paraId="15DB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2FDA8F02">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01</w:t>
            </w:r>
          </w:p>
        </w:tc>
        <w:tc>
          <w:tcPr>
            <w:tcW w:w="843" w:type="pct"/>
            <w:vAlign w:val="center"/>
          </w:tcPr>
          <w:p w14:paraId="1B0C1C63">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2026年校内分类发展-基建类-校本部屋面防水改造项目</w:t>
            </w:r>
          </w:p>
        </w:tc>
        <w:tc>
          <w:tcPr>
            <w:tcW w:w="921" w:type="pct"/>
            <w:vAlign w:val="center"/>
          </w:tcPr>
          <w:p w14:paraId="303FB270">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192.972132</w:t>
            </w:r>
          </w:p>
        </w:tc>
        <w:tc>
          <w:tcPr>
            <w:tcW w:w="540" w:type="pct"/>
            <w:vAlign w:val="center"/>
          </w:tcPr>
          <w:p w14:paraId="7DB760B4">
            <w:pPr>
              <w:spacing w:line="360" w:lineRule="auto"/>
              <w:jc w:val="center"/>
              <w:rPr>
                <w:rFonts w:hint="eastAsia" w:ascii="宋体" w:hAnsi="宋体" w:cstheme="minorEastAsia"/>
                <w:bCs/>
                <w:sz w:val="24"/>
                <w:highlight w:val="none"/>
              </w:rPr>
            </w:pPr>
            <w:r>
              <w:rPr>
                <w:rFonts w:hint="eastAsia" w:ascii="宋体" w:hAnsi="宋体" w:cstheme="minorEastAsia"/>
                <w:bCs/>
                <w:sz w:val="24"/>
                <w:highlight w:val="none"/>
              </w:rPr>
              <w:t>1</w:t>
            </w:r>
          </w:p>
        </w:tc>
        <w:tc>
          <w:tcPr>
            <w:tcW w:w="2314" w:type="pct"/>
            <w:vAlign w:val="center"/>
          </w:tcPr>
          <w:p w14:paraId="628320E7">
            <w:pPr>
              <w:spacing w:line="360" w:lineRule="auto"/>
              <w:jc w:val="left"/>
              <w:rPr>
                <w:rFonts w:hint="eastAsia" w:ascii="宋体" w:hAnsi="宋体" w:cstheme="minorEastAsia"/>
                <w:kern w:val="0"/>
                <w:sz w:val="24"/>
                <w:highlight w:val="none"/>
              </w:rPr>
            </w:pPr>
            <w:r>
              <w:rPr>
                <w:rFonts w:hint="eastAsia" w:ascii="宋体" w:hAnsi="宋体" w:cstheme="minorEastAsia"/>
                <w:kern w:val="0"/>
                <w:sz w:val="24"/>
                <w:highlight w:val="none"/>
              </w:rPr>
              <w:t>1、综合楼屋面-重做防水层、找平层、保温层及找坡层等。女儿墙防水重做，出屋面房间立墙、管道等泛水重做；</w:t>
            </w:r>
          </w:p>
          <w:p w14:paraId="1676CBDB">
            <w:pPr>
              <w:spacing w:line="360" w:lineRule="auto"/>
              <w:jc w:val="left"/>
              <w:rPr>
                <w:rFonts w:hint="eastAsia" w:ascii="宋体" w:hAnsi="宋体" w:cstheme="minorEastAsia"/>
                <w:kern w:val="0"/>
                <w:sz w:val="24"/>
                <w:highlight w:val="none"/>
              </w:rPr>
            </w:pPr>
            <w:r>
              <w:rPr>
                <w:rFonts w:hint="eastAsia" w:ascii="宋体" w:hAnsi="宋体" w:cstheme="minorEastAsia"/>
                <w:kern w:val="0"/>
                <w:sz w:val="24"/>
                <w:highlight w:val="none"/>
              </w:rPr>
              <w:t>2、运动场看台-新做聚脲防水面层，其他外墙涂料翻新；看台四周原金属护栏保留，新做金属氟碳漆；原有看台座椅拆除等；</w:t>
            </w:r>
          </w:p>
          <w:p w14:paraId="7625AB4A">
            <w:pPr>
              <w:spacing w:line="360" w:lineRule="auto"/>
              <w:jc w:val="left"/>
              <w:rPr>
                <w:rFonts w:hint="eastAsia" w:ascii="宋体" w:hAnsi="宋体" w:cstheme="minorEastAsia"/>
                <w:kern w:val="0"/>
                <w:sz w:val="24"/>
                <w:highlight w:val="none"/>
              </w:rPr>
            </w:pPr>
            <w:r>
              <w:rPr>
                <w:rFonts w:hint="eastAsia" w:ascii="宋体" w:hAnsi="宋体" w:cstheme="minorEastAsia"/>
                <w:kern w:val="0"/>
                <w:sz w:val="24"/>
                <w:highlight w:val="none"/>
              </w:rPr>
              <w:t>3、国际教育交流厅屋面-原金属彩钢板屋面SBS防水卷材拆除新做，仅更换防水层；</w:t>
            </w:r>
          </w:p>
          <w:p w14:paraId="7AF30BE2">
            <w:pPr>
              <w:spacing w:line="360" w:lineRule="auto"/>
              <w:jc w:val="left"/>
              <w:rPr>
                <w:rFonts w:hint="eastAsia" w:ascii="宋体" w:hAnsi="宋体" w:cstheme="minorEastAsia"/>
                <w:kern w:val="0"/>
                <w:sz w:val="24"/>
                <w:highlight w:val="none"/>
              </w:rPr>
            </w:pPr>
            <w:r>
              <w:rPr>
                <w:rFonts w:hint="eastAsia" w:ascii="宋体" w:hAnsi="宋体" w:cstheme="minorEastAsia"/>
                <w:kern w:val="0"/>
                <w:sz w:val="24"/>
                <w:highlight w:val="none"/>
              </w:rPr>
              <w:t>4.教学楼南门厅防水维修改造等。</w:t>
            </w:r>
          </w:p>
          <w:p w14:paraId="5A787CAB">
            <w:pPr>
              <w:spacing w:line="360" w:lineRule="auto"/>
              <w:jc w:val="left"/>
              <w:rPr>
                <w:rFonts w:hint="eastAsia" w:ascii="宋体" w:hAnsi="宋体" w:cstheme="minorEastAsia"/>
                <w:kern w:val="0"/>
                <w:sz w:val="24"/>
                <w:highlight w:val="none"/>
              </w:rPr>
            </w:pPr>
            <w:r>
              <w:rPr>
                <w:rFonts w:hint="eastAsia" w:ascii="宋体" w:hAnsi="宋体" w:cstheme="minorEastAsia"/>
                <w:kern w:val="0"/>
                <w:sz w:val="24"/>
                <w:highlight w:val="none"/>
              </w:rPr>
              <w:t>具体工程内容详见最终图纸及清单。</w:t>
            </w:r>
          </w:p>
        </w:tc>
      </w:tr>
    </w:tbl>
    <w:p w14:paraId="599C8CA1">
      <w:pPr>
        <w:spacing w:line="360" w:lineRule="auto"/>
        <w:ind w:firstLine="480" w:firstLineChars="200"/>
        <w:rPr>
          <w:rFonts w:hint="eastAsia" w:ascii="宋体" w:hAnsi="宋体" w:cstheme="minorEastAsia"/>
          <w:sz w:val="24"/>
          <w:highlight w:val="none"/>
        </w:rPr>
      </w:pPr>
    </w:p>
    <w:p w14:paraId="4B0663C1">
      <w:pPr>
        <w:spacing w:line="360" w:lineRule="auto"/>
        <w:ind w:firstLine="480" w:firstLineChars="200"/>
        <w:rPr>
          <w:rFonts w:hint="eastAsia" w:ascii="宋体" w:hAnsi="宋体" w:cstheme="minorEastAsia"/>
          <w:sz w:val="24"/>
          <w:highlight w:val="none"/>
          <w:u w:val="single"/>
        </w:rPr>
      </w:pPr>
      <w:r>
        <w:rPr>
          <w:rFonts w:hint="eastAsia" w:ascii="宋体" w:hAnsi="宋体" w:cstheme="minorEastAsia"/>
          <w:sz w:val="24"/>
          <w:highlight w:val="none"/>
        </w:rPr>
        <w:t>6.合同履行期限：</w:t>
      </w:r>
      <w:r>
        <w:rPr>
          <w:rFonts w:hint="eastAsia" w:ascii="宋体" w:hAnsi="宋体"/>
          <w:sz w:val="24"/>
          <w:highlight w:val="none"/>
        </w:rPr>
        <w:t>计划工期</w:t>
      </w:r>
      <w:r>
        <w:rPr>
          <w:rFonts w:hint="eastAsia" w:ascii="宋体" w:hAnsi="宋体"/>
          <w:sz w:val="24"/>
          <w:highlight w:val="none"/>
          <w:u w:val="single"/>
        </w:rPr>
        <w:t>47</w:t>
      </w:r>
      <w:r>
        <w:rPr>
          <w:rFonts w:hint="eastAsia" w:ascii="宋体" w:hAnsi="宋体"/>
          <w:sz w:val="24"/>
          <w:highlight w:val="none"/>
        </w:rPr>
        <w:t>个日历天</w:t>
      </w:r>
      <w:r>
        <w:rPr>
          <w:rFonts w:hint="eastAsia" w:ascii="宋体" w:hAnsi="宋体" w:cstheme="minorEastAsia"/>
          <w:sz w:val="24"/>
          <w:highlight w:val="none"/>
        </w:rPr>
        <w:t>,具体开工时间以合同签订时间为准。</w:t>
      </w:r>
    </w:p>
    <w:p w14:paraId="61AA014D">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 xml:space="preserve">7.本项目是否接受联合体：□是  </w:t>
      </w:r>
      <w:r>
        <w:rPr>
          <w:rFonts w:ascii="Segoe UI Symbol" w:hAnsi="Segoe UI Symbol" w:cs="Segoe UI Symbol"/>
          <w:sz w:val="24"/>
          <w:highlight w:val="none"/>
        </w:rPr>
        <w:t>☑</w:t>
      </w:r>
      <w:r>
        <w:rPr>
          <w:rFonts w:hint="eastAsia" w:ascii="宋体" w:hAnsi="宋体" w:cstheme="minorEastAsia"/>
          <w:sz w:val="24"/>
          <w:highlight w:val="none"/>
        </w:rPr>
        <w:t>否。</w:t>
      </w:r>
    </w:p>
    <w:p w14:paraId="43747FAF">
      <w:pPr>
        <w:spacing w:line="360" w:lineRule="auto"/>
        <w:ind w:firstLine="480" w:firstLineChars="200"/>
        <w:rPr>
          <w:rFonts w:hint="eastAsia" w:ascii="宋体" w:hAnsi="宋体" w:cstheme="minorEastAsia"/>
          <w:sz w:val="24"/>
          <w:highlight w:val="none"/>
        </w:rPr>
      </w:pPr>
    </w:p>
    <w:p w14:paraId="617450E6">
      <w:pPr>
        <w:pStyle w:val="3"/>
        <w:spacing w:before="0" w:line="360" w:lineRule="auto"/>
        <w:jc w:val="left"/>
        <w:rPr>
          <w:rFonts w:hint="eastAsia" w:ascii="宋体" w:hAnsi="宋体" w:eastAsia="宋体" w:cstheme="minorEastAsia"/>
          <w:sz w:val="24"/>
          <w:szCs w:val="24"/>
          <w:highlight w:val="none"/>
        </w:rPr>
      </w:pPr>
      <w:bookmarkStart w:id="10" w:name="_Toc35393622"/>
      <w:bookmarkStart w:id="11" w:name="_Toc28359003"/>
      <w:bookmarkStart w:id="12" w:name="_Toc28359080"/>
      <w:bookmarkStart w:id="13" w:name="_Toc35393791"/>
      <w:r>
        <w:rPr>
          <w:rFonts w:hint="eastAsia" w:ascii="宋体" w:hAnsi="宋体" w:eastAsia="宋体" w:cstheme="minorEastAsia"/>
          <w:sz w:val="24"/>
          <w:szCs w:val="24"/>
          <w:highlight w:val="none"/>
        </w:rPr>
        <w:t>二、申请人的资格要求（须同时满足）</w:t>
      </w:r>
      <w:bookmarkEnd w:id="10"/>
      <w:bookmarkEnd w:id="11"/>
      <w:bookmarkEnd w:id="12"/>
      <w:bookmarkEnd w:id="13"/>
    </w:p>
    <w:p w14:paraId="1C2C7B08">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1.满足《中华人民共和国政府采购法》第二十二条规定；</w:t>
      </w:r>
    </w:p>
    <w:p w14:paraId="1C4CEAAB">
      <w:pPr>
        <w:spacing w:line="360" w:lineRule="auto"/>
        <w:ind w:firstLine="480" w:firstLineChars="200"/>
        <w:rPr>
          <w:rFonts w:hint="eastAsia" w:ascii="宋体" w:hAnsi="宋体" w:cstheme="minorEastAsia"/>
          <w:sz w:val="24"/>
          <w:highlight w:val="none"/>
        </w:rPr>
      </w:pPr>
      <w:bookmarkStart w:id="14" w:name="_Toc28359004"/>
      <w:bookmarkStart w:id="15" w:name="_Toc28359081"/>
      <w:r>
        <w:rPr>
          <w:rFonts w:hint="eastAsia" w:ascii="宋体" w:hAnsi="宋体" w:cstheme="minorEastAsia"/>
          <w:sz w:val="24"/>
          <w:highlight w:val="none"/>
        </w:rPr>
        <w:t>2.落实政府采购政策需满足的资格要求：</w:t>
      </w:r>
    </w:p>
    <w:p w14:paraId="0CD25CF4">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2.1 中小企业政策</w:t>
      </w:r>
    </w:p>
    <w:p w14:paraId="6610E1F4">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□本项目不专门面向中小企业预留采购份额。</w:t>
      </w:r>
    </w:p>
    <w:p w14:paraId="10B96FEE">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☑本项目专门面向  ☑中小 □小微企业  采购。即：提供的货物全部由符合政策要求的中小/小微企业制造、服务全部由符合政策要求的中小/小微企业承接。</w:t>
      </w:r>
    </w:p>
    <w:p w14:paraId="337F0942">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theme="minorEastAsia"/>
          <w:sz w:val="24"/>
          <w:highlight w:val="none"/>
          <w:u w:val="single"/>
          <w:lang w:val="en-US" w:eastAsia="zh-CN"/>
        </w:rPr>
        <w:t xml:space="preserve"> / </w:t>
      </w:r>
      <w:r>
        <w:rPr>
          <w:rFonts w:hint="eastAsia" w:ascii="宋体" w:hAnsi="宋体" w:cstheme="minorEastAsia"/>
          <w:sz w:val="24"/>
          <w:highlight w:val="none"/>
        </w:rPr>
        <w:t>。</w:t>
      </w:r>
    </w:p>
    <w:p w14:paraId="7B723F76">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2.2 其它落实政府采购政策的资格要求（如有）：</w:t>
      </w:r>
      <w:r>
        <w:rPr>
          <w:rFonts w:hint="eastAsia" w:ascii="宋体" w:hAnsi="宋体" w:cstheme="minorEastAsia"/>
          <w:sz w:val="24"/>
          <w:highlight w:val="none"/>
          <w:u w:val="single"/>
        </w:rPr>
        <w:t>无</w:t>
      </w:r>
      <w:r>
        <w:rPr>
          <w:rFonts w:hint="eastAsia" w:ascii="宋体" w:hAnsi="宋体" w:cstheme="minorEastAsia"/>
          <w:sz w:val="24"/>
          <w:highlight w:val="none"/>
        </w:rPr>
        <w:t>。</w:t>
      </w:r>
    </w:p>
    <w:p w14:paraId="5C0756BF">
      <w:pPr>
        <w:spacing w:line="360" w:lineRule="auto"/>
        <w:ind w:firstLine="480" w:firstLineChars="200"/>
        <w:rPr>
          <w:rFonts w:hint="eastAsia" w:ascii="宋体" w:hAnsi="宋体" w:cstheme="minorEastAsia"/>
          <w:i/>
          <w:iCs/>
          <w:sz w:val="24"/>
          <w:highlight w:val="none"/>
          <w:u w:val="single"/>
        </w:rPr>
      </w:pPr>
      <w:r>
        <w:rPr>
          <w:rFonts w:hint="eastAsia" w:ascii="宋体" w:hAnsi="宋体" w:cstheme="minorEastAsia"/>
          <w:sz w:val="24"/>
          <w:highlight w:val="none"/>
        </w:rPr>
        <w:t>3.本项目的特定资格要求：</w:t>
      </w:r>
    </w:p>
    <w:p w14:paraId="31C4E0B5">
      <w:pPr>
        <w:tabs>
          <w:tab w:val="left" w:pos="900"/>
          <w:tab w:val="left" w:pos="1134"/>
          <w:tab w:val="left" w:pos="1589"/>
          <w:tab w:val="left" w:pos="5521"/>
        </w:tabs>
        <w:snapToGrid w:val="0"/>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3.1本项目是否属于政府购买服务：</w:t>
      </w:r>
    </w:p>
    <w:p w14:paraId="25CC611E">
      <w:pPr>
        <w:tabs>
          <w:tab w:val="left" w:pos="900"/>
          <w:tab w:val="left" w:pos="1134"/>
          <w:tab w:val="left" w:pos="1589"/>
          <w:tab w:val="left" w:pos="5521"/>
        </w:tabs>
        <w:snapToGrid w:val="0"/>
        <w:spacing w:line="360" w:lineRule="auto"/>
        <w:ind w:left="991" w:leftChars="472" w:firstLine="2"/>
        <w:rPr>
          <w:rFonts w:hint="eastAsia" w:ascii="宋体" w:hAnsi="宋体" w:cstheme="minorEastAsia"/>
          <w:sz w:val="24"/>
          <w:highlight w:val="none"/>
        </w:rPr>
      </w:pPr>
      <w:r>
        <w:rPr>
          <w:rFonts w:ascii="Segoe UI Symbol" w:hAnsi="Segoe UI Symbol" w:cs="Segoe UI Symbol"/>
          <w:sz w:val="24"/>
          <w:highlight w:val="none"/>
        </w:rPr>
        <w:t>☑</w:t>
      </w:r>
      <w:r>
        <w:rPr>
          <w:rFonts w:hint="eastAsia" w:ascii="宋体" w:hAnsi="宋体" w:cstheme="minorEastAsia"/>
          <w:sz w:val="24"/>
          <w:highlight w:val="none"/>
        </w:rPr>
        <w:t>否</w:t>
      </w:r>
    </w:p>
    <w:p w14:paraId="01E8CBBB">
      <w:pPr>
        <w:tabs>
          <w:tab w:val="left" w:pos="900"/>
          <w:tab w:val="left" w:pos="1134"/>
          <w:tab w:val="left" w:pos="1589"/>
          <w:tab w:val="left" w:pos="5521"/>
        </w:tabs>
        <w:snapToGrid w:val="0"/>
        <w:spacing w:line="360" w:lineRule="auto"/>
        <w:ind w:left="991" w:leftChars="472" w:firstLine="2"/>
        <w:rPr>
          <w:rFonts w:hint="eastAsia" w:ascii="宋体" w:hAnsi="宋体" w:cstheme="minorEastAsia"/>
          <w:sz w:val="24"/>
          <w:highlight w:val="none"/>
        </w:rPr>
      </w:pPr>
      <w:r>
        <w:rPr>
          <w:rFonts w:hint="eastAsia" w:ascii="宋体" w:hAnsi="宋体" w:cstheme="minorEastAsia"/>
          <w:sz w:val="24"/>
          <w:highlight w:val="none"/>
        </w:rPr>
        <w:t>□是，公益一类事业单位、使用事业编制且由财政拨款保障的群团组织，不得作为承接主体；</w:t>
      </w:r>
    </w:p>
    <w:p w14:paraId="05EDA4C5">
      <w:pPr>
        <w:wordWrap w:val="0"/>
        <w:spacing w:line="360" w:lineRule="auto"/>
        <w:ind w:firstLine="484" w:firstLineChars="202"/>
        <w:rPr>
          <w:rFonts w:hint="eastAsia" w:ascii="宋体" w:hAnsi="宋体" w:cstheme="minorEastAsia"/>
          <w:sz w:val="24"/>
          <w:highlight w:val="none"/>
        </w:rPr>
      </w:pPr>
      <w:r>
        <w:rPr>
          <w:rFonts w:hint="eastAsia" w:ascii="宋体" w:hAnsi="宋体" w:cstheme="minorEastAsia"/>
          <w:sz w:val="24"/>
          <w:highlight w:val="none"/>
        </w:rPr>
        <w:t>3.2其他特定资格要求：</w:t>
      </w:r>
    </w:p>
    <w:p w14:paraId="71B055E5">
      <w:pPr>
        <w:wordWrap w:val="0"/>
        <w:spacing w:line="360" w:lineRule="auto"/>
        <w:ind w:firstLine="484" w:firstLineChars="202"/>
        <w:rPr>
          <w:rFonts w:hint="eastAsia" w:ascii="宋体" w:hAnsi="宋体"/>
          <w:sz w:val="24"/>
          <w:highlight w:val="none"/>
          <w:shd w:val="clear" w:color="auto" w:fill="FFFFFF"/>
        </w:rPr>
      </w:pPr>
      <w:r>
        <w:rPr>
          <w:rFonts w:hint="eastAsia" w:ascii="宋体" w:hAnsi="宋体"/>
          <w:sz w:val="24"/>
          <w:highlight w:val="none"/>
          <w:shd w:val="clear" w:color="auto" w:fill="FFFFFF"/>
        </w:rPr>
        <w:t>1.</w:t>
      </w:r>
      <w:r>
        <w:rPr>
          <w:rFonts w:hint="eastAsia" w:ascii="宋体" w:hAnsi="宋体" w:cs="宋体"/>
          <w:color w:val="000000"/>
          <w:kern w:val="0"/>
          <w:sz w:val="24"/>
          <w:highlight w:val="none"/>
          <w:lang w:bidi="ar"/>
        </w:rPr>
        <w:t>供应商须具有有效的建筑工程施工总承包三级（含）以上资质及</w:t>
      </w:r>
      <w:r>
        <w:rPr>
          <w:rFonts w:hint="eastAsia" w:ascii="宋体" w:hAnsi="宋体" w:cs="宋体"/>
          <w:color w:val="000000"/>
          <w:sz w:val="24"/>
          <w:highlight w:val="none"/>
          <w:shd w:val="clear" w:color="auto" w:fill="FFFFFF"/>
        </w:rPr>
        <w:t>有效的《安全生产许可证》</w:t>
      </w:r>
      <w:r>
        <w:rPr>
          <w:rFonts w:hint="eastAsia" w:ascii="宋体" w:hAnsi="宋体"/>
          <w:sz w:val="24"/>
          <w:highlight w:val="none"/>
          <w:shd w:val="clear" w:color="auto" w:fill="FFFFFF"/>
        </w:rPr>
        <w:t>；</w:t>
      </w:r>
    </w:p>
    <w:p w14:paraId="52902972">
      <w:pPr>
        <w:wordWrap w:val="0"/>
        <w:spacing w:line="360" w:lineRule="auto"/>
        <w:ind w:firstLine="484" w:firstLineChars="202"/>
        <w:rPr>
          <w:rFonts w:hint="eastAsia" w:ascii="宋体" w:hAnsi="宋体"/>
          <w:sz w:val="24"/>
          <w:highlight w:val="none"/>
          <w:shd w:val="clear" w:color="auto" w:fill="FFFFFF"/>
        </w:rPr>
      </w:pPr>
      <w:r>
        <w:rPr>
          <w:rFonts w:hint="eastAsia" w:ascii="宋体" w:hAnsi="宋体"/>
          <w:sz w:val="24"/>
          <w:highlight w:val="none"/>
          <w:shd w:val="clear" w:color="auto" w:fill="FFFFFF"/>
        </w:rPr>
        <w:t>2.供应商拟派项目经理须具有有效的建筑工程专业二级（含）以上注册建造师执业资格及有效的安全生产考核合格证书（B本），且未担任其他在施建设工程项目的项目经理，外地来京建筑企业在办理进京备案时，应当一并办理注册建造师备案手续。</w:t>
      </w:r>
    </w:p>
    <w:p w14:paraId="7F92D9F2">
      <w:pPr>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3.单位负责人为同一人或者存在直接控股、管理关系的不同供应商，不得同时参加本项目同一包的投标。</w:t>
      </w:r>
    </w:p>
    <w:p w14:paraId="3FC00975">
      <w:pPr>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4.为本项目某包提供整体设计、规范编制或者项目管理、监理、检测等服务的供应商，不得参加该包的投标。</w:t>
      </w:r>
    </w:p>
    <w:p w14:paraId="4537A0C0">
      <w:pPr>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5.供应商未被列入“信用中国”（www.creditchina.gov.cn）及“中国政府采购网”（www.ccgp.gov.cn）失信被执行人、重大税收违法案件当事人名单。</w:t>
      </w:r>
    </w:p>
    <w:p w14:paraId="2E0291B2">
      <w:pPr>
        <w:spacing w:line="360" w:lineRule="auto"/>
        <w:rPr>
          <w:rFonts w:hint="eastAsia" w:ascii="宋体" w:hAnsi="宋体" w:cstheme="minorEastAsia"/>
          <w:i/>
          <w:iCs/>
          <w:sz w:val="24"/>
          <w:highlight w:val="none"/>
          <w:u w:val="single"/>
        </w:rPr>
      </w:pPr>
    </w:p>
    <w:bookmarkEnd w:id="14"/>
    <w:bookmarkEnd w:id="15"/>
    <w:p w14:paraId="0CB57E96">
      <w:pPr>
        <w:pStyle w:val="3"/>
        <w:widowControl/>
        <w:spacing w:before="0" w:line="360" w:lineRule="auto"/>
        <w:jc w:val="left"/>
        <w:rPr>
          <w:rFonts w:hint="eastAsia" w:ascii="宋体" w:hAnsi="宋体" w:eastAsia="宋体" w:cstheme="minorEastAsia"/>
          <w:sz w:val="24"/>
          <w:szCs w:val="24"/>
          <w:highlight w:val="none"/>
        </w:rPr>
      </w:pPr>
      <w:bookmarkStart w:id="16" w:name="_Toc35393792"/>
      <w:bookmarkStart w:id="17" w:name="_Toc35393623"/>
      <w:r>
        <w:rPr>
          <w:rFonts w:hint="eastAsia" w:ascii="宋体" w:hAnsi="宋体" w:eastAsia="宋体" w:cstheme="minorEastAsia"/>
          <w:sz w:val="24"/>
          <w:szCs w:val="24"/>
          <w:highlight w:val="none"/>
        </w:rPr>
        <w:t>三、获取采购文件</w:t>
      </w:r>
      <w:bookmarkEnd w:id="16"/>
      <w:bookmarkEnd w:id="17"/>
    </w:p>
    <w:p w14:paraId="14B47739">
      <w:pPr>
        <w:adjustRightInd w:val="0"/>
        <w:snapToGrid w:val="0"/>
        <w:spacing w:line="360" w:lineRule="auto"/>
        <w:ind w:firstLine="480" w:firstLineChars="200"/>
        <w:rPr>
          <w:rFonts w:hint="eastAsia" w:ascii="宋体" w:hAnsi="宋体" w:cstheme="minorEastAsia"/>
          <w:sz w:val="24"/>
          <w:highlight w:val="none"/>
          <w:lang w:bidi="ar"/>
        </w:rPr>
      </w:pPr>
      <w:r>
        <w:rPr>
          <w:rFonts w:hint="eastAsia" w:ascii="宋体" w:hAnsi="宋体" w:cstheme="minorEastAsia"/>
          <w:sz w:val="24"/>
          <w:highlight w:val="none"/>
          <w:lang w:bidi="ar"/>
        </w:rPr>
        <w:t>1.时间：</w:t>
      </w:r>
      <w:r>
        <w:rPr>
          <w:rFonts w:hint="eastAsia" w:ascii="宋体" w:hAnsi="宋体" w:cstheme="minorEastAsia"/>
          <w:sz w:val="24"/>
          <w:highlight w:val="none"/>
        </w:rPr>
        <w:t>2026</w:t>
      </w:r>
      <w:r>
        <w:rPr>
          <w:rFonts w:hint="eastAsia" w:ascii="宋体" w:hAnsi="宋体" w:cstheme="minorEastAsia"/>
          <w:sz w:val="24"/>
          <w:highlight w:val="none"/>
          <w:lang w:bidi="ar"/>
        </w:rPr>
        <w:t>年</w:t>
      </w:r>
      <w:r>
        <w:rPr>
          <w:rFonts w:hint="eastAsia" w:ascii="宋体" w:hAnsi="宋体" w:cstheme="minorEastAsia"/>
          <w:sz w:val="24"/>
          <w:highlight w:val="none"/>
          <w:u w:val="single"/>
          <w:lang w:val="en-US" w:eastAsia="zh-CN" w:bidi="ar"/>
        </w:rPr>
        <w:t xml:space="preserve"> 7</w:t>
      </w:r>
      <w:r>
        <w:rPr>
          <w:rFonts w:hint="eastAsia" w:ascii="宋体" w:hAnsi="宋体" w:cstheme="minorEastAsia"/>
          <w:sz w:val="24"/>
          <w:highlight w:val="none"/>
          <w:lang w:bidi="ar"/>
        </w:rPr>
        <w:t>月</w:t>
      </w:r>
      <w:r>
        <w:rPr>
          <w:rFonts w:hint="eastAsia" w:ascii="宋体" w:hAnsi="宋体" w:cstheme="minorEastAsia"/>
          <w:sz w:val="24"/>
          <w:highlight w:val="none"/>
          <w:u w:val="single"/>
          <w:lang w:val="en-US" w:eastAsia="zh-CN" w:bidi="ar"/>
        </w:rPr>
        <w:t>10</w:t>
      </w:r>
      <w:r>
        <w:rPr>
          <w:rFonts w:hint="eastAsia" w:ascii="宋体" w:hAnsi="宋体" w:cstheme="minorEastAsia"/>
          <w:sz w:val="24"/>
          <w:highlight w:val="none"/>
          <w:lang w:bidi="ar"/>
        </w:rPr>
        <w:t>日至</w:t>
      </w:r>
      <w:r>
        <w:rPr>
          <w:rFonts w:hint="eastAsia" w:ascii="宋体" w:hAnsi="宋体" w:cstheme="minorEastAsia"/>
          <w:sz w:val="24"/>
          <w:highlight w:val="none"/>
        </w:rPr>
        <w:t>2026</w:t>
      </w:r>
      <w:r>
        <w:rPr>
          <w:rFonts w:hint="eastAsia" w:ascii="宋体" w:hAnsi="宋体" w:cstheme="minorEastAsia"/>
          <w:sz w:val="24"/>
          <w:highlight w:val="none"/>
          <w:lang w:bidi="ar"/>
        </w:rPr>
        <w:t>年</w:t>
      </w:r>
      <w:r>
        <w:rPr>
          <w:rFonts w:hint="eastAsia" w:ascii="宋体" w:hAnsi="宋体" w:cstheme="minorEastAsia"/>
          <w:sz w:val="24"/>
          <w:highlight w:val="none"/>
          <w:u w:val="single"/>
          <w:lang w:val="en-US" w:eastAsia="zh-CN" w:bidi="ar"/>
        </w:rPr>
        <w:t>7</w:t>
      </w:r>
      <w:r>
        <w:rPr>
          <w:rFonts w:hint="eastAsia" w:ascii="宋体" w:hAnsi="宋体" w:cstheme="minorEastAsia"/>
          <w:sz w:val="24"/>
          <w:highlight w:val="none"/>
          <w:lang w:bidi="ar"/>
        </w:rPr>
        <w:t>月</w:t>
      </w:r>
      <w:r>
        <w:rPr>
          <w:rFonts w:hint="eastAsia" w:ascii="宋体" w:hAnsi="宋体" w:cstheme="minorEastAsia"/>
          <w:sz w:val="24"/>
          <w:highlight w:val="none"/>
          <w:u w:val="single"/>
          <w:lang w:val="en-US" w:eastAsia="zh-CN" w:bidi="ar"/>
        </w:rPr>
        <w:t>17</w:t>
      </w:r>
      <w:r>
        <w:rPr>
          <w:rFonts w:hint="eastAsia" w:ascii="宋体" w:hAnsi="宋体" w:cstheme="minorEastAsia"/>
          <w:sz w:val="24"/>
          <w:highlight w:val="none"/>
          <w:lang w:bidi="ar"/>
        </w:rPr>
        <w:t>日，每天上午</w:t>
      </w:r>
      <w:r>
        <w:rPr>
          <w:rFonts w:hint="eastAsia" w:ascii="宋体" w:hAnsi="宋体" w:cstheme="minorEastAsia"/>
          <w:spacing w:val="-4"/>
          <w:sz w:val="24"/>
          <w:highlight w:val="none"/>
        </w:rPr>
        <w:t>9：00</w:t>
      </w:r>
      <w:r>
        <w:rPr>
          <w:rFonts w:hint="eastAsia" w:ascii="宋体" w:hAnsi="宋体" w:cstheme="minorEastAsia"/>
          <w:spacing w:val="-5"/>
          <w:sz w:val="24"/>
          <w:highlight w:val="none"/>
        </w:rPr>
        <w:t>至</w:t>
      </w:r>
      <w:r>
        <w:rPr>
          <w:rFonts w:hint="eastAsia" w:ascii="宋体" w:hAnsi="宋体" w:cstheme="minorEastAsia"/>
          <w:spacing w:val="-4"/>
          <w:sz w:val="24"/>
          <w:highlight w:val="none"/>
        </w:rPr>
        <w:t>12：00</w:t>
      </w:r>
      <w:r>
        <w:rPr>
          <w:rFonts w:hint="eastAsia" w:ascii="宋体" w:hAnsi="宋体" w:cstheme="minorEastAsia"/>
          <w:spacing w:val="-5"/>
          <w:sz w:val="24"/>
          <w:highlight w:val="none"/>
        </w:rPr>
        <w:t>，下午</w:t>
      </w:r>
      <w:r>
        <w:rPr>
          <w:rFonts w:hint="eastAsia" w:ascii="宋体" w:hAnsi="宋体" w:cstheme="minorEastAsia"/>
          <w:spacing w:val="-4"/>
          <w:sz w:val="24"/>
          <w:highlight w:val="none"/>
        </w:rPr>
        <w:t>13：00</w:t>
      </w:r>
      <w:r>
        <w:rPr>
          <w:rFonts w:hint="eastAsia" w:ascii="宋体" w:hAnsi="宋体" w:cstheme="minorEastAsia"/>
          <w:spacing w:val="-5"/>
          <w:sz w:val="24"/>
          <w:highlight w:val="none"/>
        </w:rPr>
        <w:t>至17：00</w:t>
      </w:r>
      <w:r>
        <w:rPr>
          <w:rFonts w:hint="eastAsia" w:ascii="宋体" w:hAnsi="宋体" w:cstheme="minorEastAsia"/>
          <w:sz w:val="24"/>
          <w:highlight w:val="none"/>
          <w:lang w:bidi="ar"/>
        </w:rPr>
        <w:t>（北京时间，法定节假日除外）。</w:t>
      </w:r>
    </w:p>
    <w:p w14:paraId="70ADD790">
      <w:pPr>
        <w:wordWrap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2.地点：</w:t>
      </w:r>
      <w:r>
        <w:rPr>
          <w:rFonts w:hint="eastAsia" w:ascii="宋体" w:hAnsi="宋体" w:cs="宋体"/>
          <w:sz w:val="24"/>
          <w:highlight w:val="none"/>
          <w:u w:val="single"/>
        </w:rPr>
        <w:t>北京市政府采购电子交易平台</w:t>
      </w:r>
      <w:r>
        <w:rPr>
          <w:rFonts w:hint="eastAsia" w:ascii="宋体" w:hAnsi="宋体" w:cs="宋体"/>
          <w:sz w:val="24"/>
          <w:highlight w:val="none"/>
        </w:rPr>
        <w:t>。</w:t>
      </w:r>
    </w:p>
    <w:p w14:paraId="58339C2F">
      <w:pPr>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3.方式：</w:t>
      </w:r>
      <w:r>
        <w:rPr>
          <w:rFonts w:hint="eastAsia" w:ascii="宋体" w:hAnsi="宋体" w:cs="宋体"/>
          <w:sz w:val="24"/>
          <w:highlight w:val="none"/>
          <w:u w:val="single"/>
        </w:rPr>
        <w:t>供应商使用CA 数字证书或电子营业执照登录北京市政府采购电子交易平</w:t>
      </w:r>
    </w:p>
    <w:p w14:paraId="4EFB8E11">
      <w:pPr>
        <w:spacing w:line="360" w:lineRule="auto"/>
        <w:ind w:firstLine="480" w:firstLineChars="200"/>
        <w:rPr>
          <w:rFonts w:hint="eastAsia" w:ascii="宋体" w:hAnsi="宋体" w:cs="宋体"/>
          <w:sz w:val="24"/>
          <w:highlight w:val="none"/>
        </w:rPr>
      </w:pPr>
      <w:r>
        <w:rPr>
          <w:rFonts w:hint="eastAsia" w:ascii="宋体" w:hAnsi="宋体" w:cs="宋体"/>
          <w:sz w:val="24"/>
          <w:highlight w:val="none"/>
          <w:u w:val="single"/>
        </w:rPr>
        <w:t>台（http://zbcg-bjzc.zhongcy.com/bjczj-portal-site/index.html#/home）获取电子版竞争性磋商文件</w:t>
      </w:r>
      <w:r>
        <w:rPr>
          <w:rFonts w:hint="eastAsia" w:ascii="宋体" w:hAnsi="宋体" w:cs="宋体"/>
          <w:sz w:val="24"/>
          <w:highlight w:val="none"/>
        </w:rPr>
        <w:t>。</w:t>
      </w:r>
    </w:p>
    <w:p w14:paraId="2385F799">
      <w:pPr>
        <w:shd w:val="clear" w:color="auto" w:fill="FFFFFF"/>
        <w:adjustRightInd w:val="0"/>
        <w:snapToGrid w:val="0"/>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4.售价：0元（人民币）。</w:t>
      </w:r>
    </w:p>
    <w:p w14:paraId="46049162">
      <w:pPr>
        <w:widowControl/>
        <w:adjustRightInd w:val="0"/>
        <w:snapToGrid w:val="0"/>
        <w:spacing w:line="360" w:lineRule="auto"/>
        <w:ind w:firstLine="480" w:firstLineChars="200"/>
        <w:jc w:val="left"/>
        <w:rPr>
          <w:rFonts w:hint="eastAsia" w:ascii="宋体" w:hAnsi="宋体" w:cstheme="minorEastAsia"/>
          <w:sz w:val="24"/>
          <w:highlight w:val="none"/>
          <w:lang w:bidi="ar"/>
        </w:rPr>
      </w:pPr>
    </w:p>
    <w:p w14:paraId="1DFED314">
      <w:pPr>
        <w:pStyle w:val="3"/>
        <w:widowControl/>
        <w:spacing w:before="0" w:line="360" w:lineRule="auto"/>
        <w:jc w:val="left"/>
        <w:rPr>
          <w:rFonts w:hint="eastAsia" w:ascii="宋体" w:hAnsi="宋体" w:eastAsia="宋体" w:cstheme="minorEastAsia"/>
          <w:sz w:val="24"/>
          <w:szCs w:val="24"/>
          <w:highlight w:val="none"/>
        </w:rPr>
      </w:pPr>
      <w:bookmarkStart w:id="18" w:name="_Toc28359005"/>
      <w:bookmarkStart w:id="19" w:name="_Toc35393624"/>
      <w:bookmarkStart w:id="20" w:name="_Toc35393793"/>
      <w:bookmarkStart w:id="21" w:name="_Toc28359082"/>
      <w:r>
        <w:rPr>
          <w:rFonts w:hint="eastAsia" w:ascii="宋体" w:hAnsi="宋体" w:eastAsia="宋体" w:cstheme="minorEastAsia"/>
          <w:sz w:val="24"/>
          <w:szCs w:val="24"/>
          <w:highlight w:val="none"/>
        </w:rPr>
        <w:t>四、</w:t>
      </w:r>
      <w:bookmarkEnd w:id="18"/>
      <w:bookmarkEnd w:id="19"/>
      <w:bookmarkEnd w:id="20"/>
      <w:bookmarkEnd w:id="21"/>
      <w:r>
        <w:rPr>
          <w:rFonts w:hint="eastAsia" w:ascii="宋体" w:hAnsi="宋体" w:eastAsia="宋体" w:cstheme="minorEastAsia"/>
          <w:sz w:val="24"/>
          <w:szCs w:val="24"/>
          <w:highlight w:val="none"/>
        </w:rPr>
        <w:t>响应文件提交</w:t>
      </w:r>
    </w:p>
    <w:p w14:paraId="74E79A37">
      <w:pPr>
        <w:spacing w:line="360" w:lineRule="auto"/>
        <w:ind w:firstLine="480" w:firstLineChars="200"/>
        <w:rPr>
          <w:rFonts w:hint="eastAsia" w:ascii="宋体" w:hAnsi="宋体" w:cstheme="minorEastAsia"/>
          <w:bCs/>
          <w:sz w:val="24"/>
          <w:highlight w:val="none"/>
          <w:u w:val="single"/>
        </w:rPr>
      </w:pPr>
      <w:r>
        <w:rPr>
          <w:rFonts w:hint="eastAsia" w:ascii="宋体" w:hAnsi="宋体" w:cstheme="minorEastAsia"/>
          <w:sz w:val="24"/>
          <w:highlight w:val="none"/>
          <w:lang w:bidi="ar"/>
        </w:rPr>
        <w:t>时间：</w:t>
      </w:r>
      <w:r>
        <w:rPr>
          <w:rFonts w:hint="eastAsia" w:ascii="宋体" w:hAnsi="宋体" w:cstheme="minorEastAsia"/>
          <w:sz w:val="24"/>
          <w:highlight w:val="none"/>
        </w:rPr>
        <w:t>2026</w:t>
      </w:r>
      <w:r>
        <w:rPr>
          <w:rFonts w:hint="eastAsia" w:ascii="宋体" w:hAnsi="宋体" w:cstheme="minorEastAsia"/>
          <w:sz w:val="24"/>
          <w:highlight w:val="none"/>
          <w:lang w:bidi="ar"/>
        </w:rPr>
        <w:t>年</w:t>
      </w:r>
      <w:r>
        <w:rPr>
          <w:rFonts w:hint="eastAsia" w:ascii="宋体" w:hAnsi="宋体" w:cstheme="minorEastAsia"/>
          <w:sz w:val="24"/>
          <w:highlight w:val="none"/>
          <w:u w:val="single"/>
          <w:lang w:val="en-US" w:eastAsia="zh-CN" w:bidi="ar"/>
        </w:rPr>
        <w:t xml:space="preserve"> 7</w:t>
      </w:r>
      <w:r>
        <w:rPr>
          <w:rFonts w:hint="eastAsia" w:ascii="宋体" w:hAnsi="宋体" w:cstheme="minorEastAsia"/>
          <w:sz w:val="24"/>
          <w:highlight w:val="none"/>
          <w:lang w:bidi="ar"/>
        </w:rPr>
        <w:t>月</w:t>
      </w:r>
      <w:r>
        <w:rPr>
          <w:rFonts w:hint="eastAsia" w:ascii="宋体" w:hAnsi="宋体" w:cstheme="minorEastAsia"/>
          <w:sz w:val="24"/>
          <w:highlight w:val="none"/>
          <w:u w:val="single"/>
          <w:lang w:val="en-US" w:eastAsia="zh-CN" w:bidi="ar"/>
        </w:rPr>
        <w:t>24</w:t>
      </w:r>
      <w:r>
        <w:rPr>
          <w:rFonts w:hint="eastAsia" w:ascii="宋体" w:hAnsi="宋体" w:cstheme="minorEastAsia"/>
          <w:sz w:val="24"/>
          <w:highlight w:val="none"/>
          <w:lang w:bidi="ar"/>
        </w:rPr>
        <w:t>日</w:t>
      </w:r>
      <w:r>
        <w:rPr>
          <w:rFonts w:hint="eastAsia" w:ascii="宋体" w:hAnsi="宋体" w:cstheme="minorEastAsia"/>
          <w:sz w:val="24"/>
          <w:highlight w:val="none"/>
          <w:u w:val="single"/>
          <w:lang w:val="en-US" w:eastAsia="zh-CN"/>
        </w:rPr>
        <w:t>13</w:t>
      </w:r>
      <w:r>
        <w:rPr>
          <w:rFonts w:hint="eastAsia" w:ascii="宋体" w:hAnsi="宋体" w:cstheme="minorEastAsia"/>
          <w:sz w:val="24"/>
          <w:highlight w:val="none"/>
          <w:lang w:bidi="ar"/>
        </w:rPr>
        <w:t>点</w:t>
      </w:r>
      <w:r>
        <w:rPr>
          <w:rFonts w:hint="eastAsia" w:ascii="宋体" w:hAnsi="宋体" w:cstheme="minorEastAsia"/>
          <w:sz w:val="24"/>
          <w:highlight w:val="none"/>
          <w:u w:val="single"/>
          <w:lang w:val="en-US" w:eastAsia="zh-CN"/>
        </w:rPr>
        <w:t>30</w:t>
      </w:r>
      <w:r>
        <w:rPr>
          <w:rFonts w:hint="eastAsia" w:ascii="宋体" w:hAnsi="宋体" w:cstheme="minorEastAsia"/>
          <w:sz w:val="24"/>
          <w:highlight w:val="none"/>
          <w:lang w:bidi="ar"/>
        </w:rPr>
        <w:t>分</w:t>
      </w:r>
      <w:r>
        <w:rPr>
          <w:rFonts w:hint="eastAsia" w:ascii="宋体" w:hAnsi="宋体" w:cstheme="minorEastAsia"/>
          <w:bCs/>
          <w:sz w:val="24"/>
          <w:highlight w:val="none"/>
          <w:lang w:bidi="ar"/>
        </w:rPr>
        <w:t>（北京时间）</w:t>
      </w:r>
      <w:r>
        <w:rPr>
          <w:rFonts w:hint="eastAsia" w:ascii="宋体" w:hAnsi="宋体" w:cstheme="minorEastAsia"/>
          <w:iCs/>
          <w:sz w:val="24"/>
          <w:highlight w:val="none"/>
          <w:lang w:bidi="ar"/>
        </w:rPr>
        <w:t>。</w:t>
      </w:r>
    </w:p>
    <w:p w14:paraId="78EC7ADA">
      <w:pPr>
        <w:spacing w:line="360" w:lineRule="auto"/>
        <w:ind w:firstLine="480" w:firstLineChars="200"/>
        <w:rPr>
          <w:rFonts w:hint="eastAsia" w:ascii="宋体" w:hAnsi="宋体" w:cstheme="minorEastAsia"/>
          <w:sz w:val="24"/>
          <w:highlight w:val="none"/>
          <w:lang w:val="zh-TW" w:bidi="ar"/>
        </w:rPr>
      </w:pPr>
      <w:r>
        <w:rPr>
          <w:rFonts w:hint="eastAsia" w:ascii="宋体" w:hAnsi="宋体" w:cstheme="minorEastAsia"/>
          <w:sz w:val="24"/>
          <w:highlight w:val="none"/>
          <w:lang w:bidi="ar"/>
        </w:rPr>
        <w:t>地点：</w:t>
      </w:r>
      <w:r>
        <w:rPr>
          <w:rFonts w:hint="eastAsia" w:ascii="宋体" w:hAnsi="宋体" w:cs="宋体"/>
          <w:sz w:val="24"/>
          <w:highlight w:val="none"/>
          <w:u w:val="single"/>
        </w:rPr>
        <w:t>北京市丰台区广安路9号国投财富广场6号楼15层</w:t>
      </w:r>
      <w:r>
        <w:rPr>
          <w:rFonts w:hint="eastAsia" w:ascii="宋体" w:hAnsi="宋体" w:cs="宋体"/>
          <w:sz w:val="24"/>
          <w:highlight w:val="none"/>
          <w:u w:val="single"/>
          <w:lang w:eastAsia="zh-CN"/>
        </w:rPr>
        <w:t>第</w:t>
      </w:r>
      <w:r>
        <w:rPr>
          <w:rFonts w:hint="eastAsia" w:ascii="宋体" w:hAnsi="宋体" w:cs="宋体"/>
          <w:sz w:val="24"/>
          <w:highlight w:val="none"/>
          <w:u w:val="single"/>
          <w:lang w:val="en-US" w:eastAsia="zh-CN"/>
        </w:rPr>
        <w:t>四</w:t>
      </w:r>
      <w:r>
        <w:rPr>
          <w:rFonts w:hint="eastAsia" w:ascii="宋体" w:hAnsi="宋体" w:cs="宋体"/>
          <w:sz w:val="24"/>
          <w:highlight w:val="none"/>
          <w:u w:val="single"/>
          <w:lang w:eastAsia="zh-CN"/>
        </w:rPr>
        <w:t>会议室</w:t>
      </w:r>
      <w:r>
        <w:rPr>
          <w:rFonts w:hint="eastAsia" w:ascii="宋体" w:hAnsi="宋体"/>
          <w:sz w:val="24"/>
          <w:highlight w:val="none"/>
        </w:rPr>
        <w:t>。</w:t>
      </w:r>
    </w:p>
    <w:p w14:paraId="322AACEC">
      <w:pPr>
        <w:spacing w:line="360" w:lineRule="auto"/>
        <w:ind w:firstLine="480" w:firstLineChars="200"/>
        <w:rPr>
          <w:rFonts w:hint="eastAsia" w:ascii="宋体" w:hAnsi="宋体" w:cstheme="minorEastAsia"/>
          <w:sz w:val="24"/>
          <w:highlight w:val="none"/>
          <w:lang w:val="zh-TW" w:bidi="ar"/>
        </w:rPr>
      </w:pPr>
    </w:p>
    <w:p w14:paraId="77510240">
      <w:pPr>
        <w:pStyle w:val="3"/>
        <w:spacing w:before="0" w:line="360" w:lineRule="auto"/>
        <w:jc w:val="left"/>
        <w:rPr>
          <w:rFonts w:hint="eastAsia" w:ascii="宋体" w:hAnsi="宋体" w:eastAsia="宋体" w:cstheme="minorEastAsia"/>
          <w:sz w:val="24"/>
          <w:szCs w:val="24"/>
          <w:highlight w:val="none"/>
        </w:rPr>
      </w:pPr>
      <w:r>
        <w:rPr>
          <w:rFonts w:hint="eastAsia" w:ascii="宋体" w:hAnsi="宋体" w:eastAsia="宋体" w:cstheme="minorEastAsia"/>
          <w:sz w:val="24"/>
          <w:szCs w:val="24"/>
          <w:highlight w:val="none"/>
        </w:rPr>
        <w:t>五、开启</w:t>
      </w:r>
    </w:p>
    <w:p w14:paraId="28E0350E">
      <w:pPr>
        <w:spacing w:line="360" w:lineRule="auto"/>
        <w:ind w:firstLine="480" w:firstLineChars="200"/>
        <w:rPr>
          <w:rFonts w:hint="eastAsia" w:ascii="宋体" w:hAnsi="宋体" w:cstheme="minorEastAsia"/>
          <w:bCs/>
          <w:sz w:val="24"/>
          <w:highlight w:val="none"/>
          <w:u w:val="single"/>
        </w:rPr>
      </w:pPr>
      <w:r>
        <w:rPr>
          <w:rFonts w:hint="eastAsia" w:ascii="宋体" w:hAnsi="宋体" w:cstheme="minorEastAsia"/>
          <w:sz w:val="24"/>
          <w:highlight w:val="none"/>
          <w:lang w:bidi="ar"/>
        </w:rPr>
        <w:t>时间：</w:t>
      </w:r>
      <w:r>
        <w:rPr>
          <w:rFonts w:hint="eastAsia" w:ascii="宋体" w:hAnsi="宋体" w:cstheme="minorEastAsia"/>
          <w:sz w:val="24"/>
          <w:highlight w:val="none"/>
        </w:rPr>
        <w:t>2026</w:t>
      </w:r>
      <w:r>
        <w:rPr>
          <w:rFonts w:hint="eastAsia" w:ascii="宋体" w:hAnsi="宋体" w:cstheme="minorEastAsia"/>
          <w:sz w:val="24"/>
          <w:highlight w:val="none"/>
          <w:lang w:bidi="ar"/>
        </w:rPr>
        <w:t>年</w:t>
      </w:r>
      <w:r>
        <w:rPr>
          <w:rFonts w:hint="eastAsia" w:ascii="宋体" w:hAnsi="宋体" w:cstheme="minorEastAsia"/>
          <w:sz w:val="24"/>
          <w:highlight w:val="none"/>
          <w:u w:val="single"/>
          <w:lang w:val="en-US" w:eastAsia="zh-CN" w:bidi="ar"/>
        </w:rPr>
        <w:t xml:space="preserve"> 7</w:t>
      </w:r>
      <w:r>
        <w:rPr>
          <w:rFonts w:hint="eastAsia" w:ascii="宋体" w:hAnsi="宋体" w:cstheme="minorEastAsia"/>
          <w:sz w:val="24"/>
          <w:highlight w:val="none"/>
          <w:lang w:bidi="ar"/>
        </w:rPr>
        <w:t>月</w:t>
      </w:r>
      <w:r>
        <w:rPr>
          <w:rFonts w:hint="eastAsia" w:ascii="宋体" w:hAnsi="宋体" w:cstheme="minorEastAsia"/>
          <w:sz w:val="24"/>
          <w:highlight w:val="none"/>
          <w:u w:val="single"/>
          <w:lang w:val="en-US" w:eastAsia="zh-CN" w:bidi="ar"/>
        </w:rPr>
        <w:t>24</w:t>
      </w:r>
      <w:r>
        <w:rPr>
          <w:rFonts w:hint="eastAsia" w:ascii="宋体" w:hAnsi="宋体" w:cstheme="minorEastAsia"/>
          <w:sz w:val="24"/>
          <w:highlight w:val="none"/>
          <w:lang w:bidi="ar"/>
        </w:rPr>
        <w:t>日</w:t>
      </w:r>
      <w:r>
        <w:rPr>
          <w:rFonts w:hint="eastAsia" w:ascii="宋体" w:hAnsi="宋体" w:cstheme="minorEastAsia"/>
          <w:sz w:val="24"/>
          <w:highlight w:val="none"/>
          <w:u w:val="single"/>
          <w:lang w:val="en-US" w:eastAsia="zh-CN"/>
        </w:rPr>
        <w:t>13</w:t>
      </w:r>
      <w:r>
        <w:rPr>
          <w:rFonts w:hint="eastAsia" w:ascii="宋体" w:hAnsi="宋体" w:cstheme="minorEastAsia"/>
          <w:sz w:val="24"/>
          <w:highlight w:val="none"/>
          <w:lang w:bidi="ar"/>
        </w:rPr>
        <w:t>点</w:t>
      </w:r>
      <w:r>
        <w:rPr>
          <w:rFonts w:hint="eastAsia" w:ascii="宋体" w:hAnsi="宋体" w:cstheme="minorEastAsia"/>
          <w:sz w:val="24"/>
          <w:highlight w:val="none"/>
          <w:u w:val="single"/>
          <w:lang w:val="en-US" w:eastAsia="zh-CN"/>
        </w:rPr>
        <w:t>30</w:t>
      </w:r>
      <w:r>
        <w:rPr>
          <w:rFonts w:hint="eastAsia" w:ascii="宋体" w:hAnsi="宋体" w:cstheme="minorEastAsia"/>
          <w:sz w:val="24"/>
          <w:highlight w:val="none"/>
          <w:lang w:bidi="ar"/>
        </w:rPr>
        <w:t>分</w:t>
      </w:r>
      <w:r>
        <w:rPr>
          <w:rFonts w:hint="eastAsia" w:ascii="宋体" w:hAnsi="宋体" w:cstheme="minorEastAsia"/>
          <w:bCs/>
          <w:sz w:val="24"/>
          <w:highlight w:val="none"/>
          <w:lang w:bidi="ar"/>
        </w:rPr>
        <w:t>（北京时间）</w:t>
      </w:r>
      <w:r>
        <w:rPr>
          <w:rFonts w:hint="eastAsia" w:ascii="宋体" w:hAnsi="宋体" w:cstheme="minorEastAsia"/>
          <w:iCs/>
          <w:sz w:val="24"/>
          <w:highlight w:val="none"/>
          <w:lang w:bidi="ar"/>
        </w:rPr>
        <w:t>。</w:t>
      </w:r>
    </w:p>
    <w:p w14:paraId="4BAE0461">
      <w:pPr>
        <w:spacing w:line="360" w:lineRule="auto"/>
        <w:ind w:firstLine="480" w:firstLineChars="200"/>
        <w:rPr>
          <w:rFonts w:hint="eastAsia" w:ascii="宋体" w:hAnsi="宋体" w:cstheme="minorEastAsia"/>
          <w:sz w:val="24"/>
          <w:highlight w:val="none"/>
          <w:lang w:val="zh-TW" w:bidi="ar"/>
        </w:rPr>
      </w:pPr>
      <w:r>
        <w:rPr>
          <w:rFonts w:hint="eastAsia" w:ascii="宋体" w:hAnsi="宋体" w:cstheme="minorEastAsia"/>
          <w:sz w:val="24"/>
          <w:highlight w:val="none"/>
          <w:lang w:bidi="ar"/>
        </w:rPr>
        <w:t>地点：</w:t>
      </w:r>
      <w:r>
        <w:rPr>
          <w:rFonts w:hint="eastAsia" w:ascii="宋体" w:hAnsi="宋体" w:cs="宋体"/>
          <w:sz w:val="24"/>
          <w:highlight w:val="none"/>
          <w:u w:val="single"/>
        </w:rPr>
        <w:t>北京市丰台区广安路9号国投财富广场6号楼15层</w:t>
      </w:r>
      <w:r>
        <w:rPr>
          <w:rFonts w:hint="eastAsia" w:ascii="宋体" w:hAnsi="宋体" w:cs="宋体"/>
          <w:sz w:val="24"/>
          <w:highlight w:val="none"/>
          <w:u w:val="single"/>
          <w:lang w:eastAsia="zh-CN"/>
        </w:rPr>
        <w:t>第</w:t>
      </w:r>
      <w:r>
        <w:rPr>
          <w:rFonts w:hint="eastAsia" w:ascii="宋体" w:hAnsi="宋体" w:cs="宋体"/>
          <w:sz w:val="24"/>
          <w:highlight w:val="none"/>
          <w:u w:val="single"/>
          <w:lang w:val="en-US" w:eastAsia="zh-CN"/>
        </w:rPr>
        <w:t>四</w:t>
      </w:r>
      <w:bookmarkStart w:id="1914" w:name="_GoBack"/>
      <w:bookmarkEnd w:id="1914"/>
      <w:r>
        <w:rPr>
          <w:rFonts w:hint="eastAsia" w:ascii="宋体" w:hAnsi="宋体" w:cs="宋体"/>
          <w:sz w:val="24"/>
          <w:highlight w:val="none"/>
          <w:u w:val="single"/>
          <w:lang w:eastAsia="zh-CN"/>
        </w:rPr>
        <w:t>会议室</w:t>
      </w:r>
      <w:r>
        <w:rPr>
          <w:rFonts w:hint="eastAsia" w:ascii="宋体" w:hAnsi="宋体"/>
          <w:sz w:val="24"/>
          <w:highlight w:val="none"/>
        </w:rPr>
        <w:t>。</w:t>
      </w:r>
    </w:p>
    <w:p w14:paraId="0EE3EEEC">
      <w:pPr>
        <w:spacing w:line="360" w:lineRule="auto"/>
        <w:ind w:firstLine="480" w:firstLineChars="200"/>
        <w:rPr>
          <w:rFonts w:hint="eastAsia" w:ascii="宋体" w:hAnsi="宋体" w:cstheme="minorEastAsia"/>
          <w:sz w:val="24"/>
          <w:highlight w:val="none"/>
          <w:lang w:val="zh-TW" w:bidi="ar"/>
        </w:rPr>
      </w:pPr>
    </w:p>
    <w:p w14:paraId="683D529F">
      <w:pPr>
        <w:pStyle w:val="3"/>
        <w:spacing w:before="0" w:line="360" w:lineRule="auto"/>
        <w:jc w:val="left"/>
        <w:rPr>
          <w:rFonts w:hint="eastAsia" w:ascii="宋体" w:hAnsi="宋体" w:eastAsia="宋体" w:cstheme="minorEastAsia"/>
          <w:sz w:val="24"/>
          <w:szCs w:val="24"/>
          <w:highlight w:val="none"/>
        </w:rPr>
      </w:pPr>
      <w:bookmarkStart w:id="22" w:name="_Toc35393625"/>
      <w:bookmarkStart w:id="23" w:name="_Toc35393794"/>
      <w:bookmarkStart w:id="24" w:name="_Toc28359084"/>
      <w:bookmarkStart w:id="25" w:name="_Toc28359007"/>
      <w:r>
        <w:rPr>
          <w:rFonts w:hint="eastAsia" w:ascii="宋体" w:hAnsi="宋体" w:eastAsia="宋体" w:cstheme="minorEastAsia"/>
          <w:sz w:val="24"/>
          <w:szCs w:val="24"/>
          <w:highlight w:val="none"/>
        </w:rPr>
        <w:t>六、公告期限</w:t>
      </w:r>
      <w:bookmarkEnd w:id="22"/>
      <w:bookmarkEnd w:id="23"/>
      <w:bookmarkEnd w:id="24"/>
      <w:bookmarkEnd w:id="25"/>
    </w:p>
    <w:p w14:paraId="3E36A4F3">
      <w:pPr>
        <w:spacing w:line="360" w:lineRule="auto"/>
        <w:ind w:firstLine="480" w:firstLineChars="200"/>
        <w:rPr>
          <w:rFonts w:hint="eastAsia" w:ascii="宋体" w:hAnsi="宋体" w:cstheme="minorEastAsia"/>
          <w:kern w:val="0"/>
          <w:sz w:val="24"/>
          <w:highlight w:val="none"/>
        </w:rPr>
      </w:pPr>
      <w:r>
        <w:rPr>
          <w:rFonts w:hint="eastAsia" w:ascii="宋体" w:hAnsi="宋体" w:cstheme="minorEastAsia"/>
          <w:kern w:val="0"/>
          <w:sz w:val="24"/>
          <w:highlight w:val="none"/>
        </w:rPr>
        <w:t>自本公告发布之日起3个工作日。</w:t>
      </w:r>
    </w:p>
    <w:p w14:paraId="7624EBCC">
      <w:pPr>
        <w:spacing w:line="360" w:lineRule="auto"/>
        <w:ind w:firstLine="480" w:firstLineChars="200"/>
        <w:rPr>
          <w:rFonts w:hint="eastAsia" w:ascii="宋体" w:hAnsi="宋体" w:cstheme="minorEastAsia"/>
          <w:kern w:val="0"/>
          <w:sz w:val="24"/>
          <w:highlight w:val="none"/>
        </w:rPr>
      </w:pPr>
    </w:p>
    <w:p w14:paraId="2EBE1E32">
      <w:pPr>
        <w:pStyle w:val="3"/>
        <w:spacing w:before="0" w:line="360" w:lineRule="auto"/>
        <w:jc w:val="left"/>
        <w:rPr>
          <w:rFonts w:hint="eastAsia" w:ascii="宋体" w:hAnsi="宋体" w:eastAsia="宋体" w:cstheme="minorEastAsia"/>
          <w:sz w:val="24"/>
          <w:szCs w:val="24"/>
          <w:highlight w:val="none"/>
        </w:rPr>
      </w:pPr>
      <w:bookmarkStart w:id="26" w:name="_Toc35393795"/>
      <w:bookmarkStart w:id="27" w:name="_Toc35393626"/>
      <w:r>
        <w:rPr>
          <w:rFonts w:hint="eastAsia" w:ascii="宋体" w:hAnsi="宋体" w:eastAsia="宋体" w:cstheme="minorEastAsia"/>
          <w:sz w:val="24"/>
          <w:szCs w:val="24"/>
          <w:highlight w:val="none"/>
        </w:rPr>
        <w:t>七、其他补充事宜</w:t>
      </w:r>
      <w:bookmarkEnd w:id="26"/>
      <w:bookmarkEnd w:id="27"/>
    </w:p>
    <w:p w14:paraId="5CDDDA4F">
      <w:pPr>
        <w:spacing w:line="360" w:lineRule="auto"/>
        <w:ind w:firstLine="480" w:firstLineChars="200"/>
        <w:rPr>
          <w:rFonts w:hint="eastAsia" w:ascii="宋体" w:hAnsi="宋体" w:cs="宋体"/>
          <w:sz w:val="24"/>
          <w:highlight w:val="none"/>
          <w:u w:val="single"/>
        </w:rPr>
      </w:pPr>
      <w:r>
        <w:rPr>
          <w:rFonts w:hint="eastAsia" w:ascii="宋体" w:hAnsi="宋体" w:cstheme="minorEastAsia"/>
          <w:sz w:val="24"/>
          <w:highlight w:val="none"/>
        </w:rPr>
        <w:t>1.本项目需要落实的政府采购政策：</w:t>
      </w:r>
      <w:r>
        <w:rPr>
          <w:rFonts w:hint="eastAsia" w:ascii="宋体" w:hAnsi="宋体" w:cs="宋体"/>
          <w:sz w:val="24"/>
          <w:highlight w:val="none"/>
          <w:u w:val="single"/>
        </w:rPr>
        <w:t>（1）节能产品强制采购；节能产品、环境标志产品优先采购；扶持不发达地区和少数民族地区；政府采购促进中小企业发展；政府采购支持监狱企业、戒毒企业发展；政府采购促进残疾人就业；政府采购信用担保；进口产品管理等。</w:t>
      </w:r>
    </w:p>
    <w:p w14:paraId="4EAA661C">
      <w:pPr>
        <w:widowControl/>
        <w:adjustRightInd w:val="0"/>
        <w:snapToGrid w:val="0"/>
        <w:spacing w:line="360" w:lineRule="auto"/>
        <w:ind w:firstLine="480" w:firstLineChars="200"/>
        <w:jc w:val="left"/>
        <w:rPr>
          <w:rFonts w:hint="eastAsia" w:ascii="宋体" w:hAnsi="宋体"/>
          <w:bCs/>
          <w:sz w:val="24"/>
          <w:highlight w:val="none"/>
          <w:lang w:bidi="ar"/>
        </w:rPr>
      </w:pPr>
      <w:r>
        <w:rPr>
          <w:rFonts w:ascii="宋体" w:hAnsi="宋体"/>
          <w:sz w:val="24"/>
          <w:highlight w:val="none"/>
        </w:rPr>
        <w:t>2.</w:t>
      </w:r>
      <w:r>
        <w:rPr>
          <w:rFonts w:ascii="宋体" w:hAnsi="宋体"/>
          <w:sz w:val="24"/>
          <w:highlight w:val="none"/>
          <w:lang w:bidi="ar"/>
        </w:rPr>
        <w:t>本项目采用</w:t>
      </w:r>
      <w:r>
        <w:rPr>
          <w:rFonts w:ascii="宋体" w:hAnsi="宋体"/>
          <w:b/>
          <w:bCs/>
          <w:sz w:val="24"/>
          <w:highlight w:val="none"/>
          <w:lang w:bidi="ar"/>
        </w:rPr>
        <w:t>全流程</w:t>
      </w:r>
      <w:r>
        <w:rPr>
          <w:rFonts w:hint="eastAsia" w:ascii="宋体" w:hAnsi="宋体"/>
          <w:b/>
          <w:bCs/>
          <w:sz w:val="24"/>
          <w:highlight w:val="none"/>
          <w:lang w:bidi="ar"/>
        </w:rPr>
        <w:t>线上线下相结合</w:t>
      </w:r>
      <w:r>
        <w:rPr>
          <w:rFonts w:ascii="宋体" w:hAnsi="宋体"/>
          <w:sz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宋体" w:hAnsi="宋体"/>
          <w:bCs/>
          <w:sz w:val="24"/>
          <w:highlight w:val="none"/>
          <w:lang w:bidi="ar"/>
        </w:rPr>
        <w:t>CA数字证书</w:t>
      </w:r>
      <w:r>
        <w:rPr>
          <w:rFonts w:ascii="宋体" w:hAnsi="宋体"/>
          <w:sz w:val="24"/>
          <w:highlight w:val="none"/>
          <w:lang w:bidi="ar"/>
        </w:rPr>
        <w:t>或电子营业执照</w:t>
      </w:r>
      <w:r>
        <w:rPr>
          <w:rFonts w:ascii="宋体" w:hAnsi="宋体"/>
          <w:bCs/>
          <w:sz w:val="24"/>
          <w:highlight w:val="none"/>
          <w:lang w:bidi="ar"/>
        </w:rPr>
        <w:t>情况确认是否符合本项目电子化采购流程要求。</w:t>
      </w:r>
    </w:p>
    <w:p w14:paraId="7A1C2D7D">
      <w:pPr>
        <w:adjustRightInd w:val="0"/>
        <w:snapToGrid w:val="0"/>
        <w:spacing w:line="360" w:lineRule="auto"/>
        <w:ind w:firstLine="480" w:firstLineChars="200"/>
        <w:rPr>
          <w:rFonts w:hint="eastAsia" w:ascii="宋体" w:hAnsi="宋体"/>
          <w:sz w:val="24"/>
          <w:highlight w:val="none"/>
        </w:rPr>
      </w:pPr>
      <w:r>
        <w:rPr>
          <w:rFonts w:ascii="宋体" w:hAnsi="宋体"/>
          <w:sz w:val="24"/>
          <w:highlight w:val="none"/>
          <w:lang w:bidi="ar"/>
        </w:rPr>
        <w:t>CA数字证书服务热线 010-58511086</w:t>
      </w:r>
    </w:p>
    <w:p w14:paraId="260A1524">
      <w:pPr>
        <w:adjustRightInd w:val="0"/>
        <w:snapToGrid w:val="0"/>
        <w:spacing w:line="360" w:lineRule="auto"/>
        <w:ind w:firstLine="480" w:firstLineChars="200"/>
        <w:rPr>
          <w:rFonts w:hint="eastAsia" w:ascii="宋体" w:hAnsi="宋体"/>
          <w:sz w:val="24"/>
          <w:highlight w:val="none"/>
        </w:rPr>
      </w:pPr>
      <w:r>
        <w:rPr>
          <w:rFonts w:ascii="宋体" w:hAnsi="宋体"/>
          <w:sz w:val="24"/>
          <w:highlight w:val="none"/>
          <w:lang w:bidi="ar"/>
        </w:rPr>
        <w:t>电子营业执照服务热线 400-699-7000</w:t>
      </w:r>
    </w:p>
    <w:p w14:paraId="6BD9BBF3">
      <w:pPr>
        <w:adjustRightInd w:val="0"/>
        <w:snapToGrid w:val="0"/>
        <w:spacing w:line="360" w:lineRule="auto"/>
        <w:ind w:firstLine="480" w:firstLineChars="200"/>
        <w:rPr>
          <w:rFonts w:hint="eastAsia" w:ascii="宋体" w:hAnsi="宋体"/>
          <w:sz w:val="24"/>
          <w:highlight w:val="none"/>
        </w:rPr>
      </w:pPr>
      <w:r>
        <w:rPr>
          <w:rFonts w:ascii="宋体" w:hAnsi="宋体"/>
          <w:sz w:val="24"/>
          <w:highlight w:val="none"/>
          <w:lang w:bidi="ar"/>
        </w:rPr>
        <w:t xml:space="preserve">技术支持服务热线    010-86483801    </w:t>
      </w:r>
    </w:p>
    <w:p w14:paraId="1B0C4A1F">
      <w:pPr>
        <w:widowControl/>
        <w:adjustRightInd w:val="0"/>
        <w:snapToGrid w:val="0"/>
        <w:spacing w:line="360" w:lineRule="auto"/>
        <w:ind w:firstLine="480" w:firstLineChars="200"/>
        <w:jc w:val="left"/>
        <w:rPr>
          <w:rFonts w:hint="eastAsia" w:ascii="宋体" w:hAnsi="宋体"/>
          <w:sz w:val="24"/>
          <w:highlight w:val="none"/>
          <w:lang w:bidi="ar"/>
        </w:rPr>
      </w:pPr>
      <w:r>
        <w:rPr>
          <w:rFonts w:hint="eastAsia" w:ascii="宋体" w:hAnsi="宋体"/>
          <w:sz w:val="24"/>
          <w:highlight w:val="none"/>
          <w:lang w:bidi="ar"/>
        </w:rPr>
        <w:t>2</w:t>
      </w:r>
      <w:r>
        <w:rPr>
          <w:rFonts w:ascii="宋体" w:hAnsi="宋体"/>
          <w:sz w:val="24"/>
          <w:highlight w:val="none"/>
          <w:lang w:bidi="ar"/>
        </w:rPr>
        <w:t>.1办理CA数字证书或电子营业执照</w:t>
      </w:r>
    </w:p>
    <w:p w14:paraId="41845004">
      <w:pPr>
        <w:widowControl/>
        <w:adjustRightInd w:val="0"/>
        <w:snapToGrid w:val="0"/>
        <w:spacing w:line="360" w:lineRule="auto"/>
        <w:ind w:firstLine="480" w:firstLineChars="200"/>
        <w:jc w:val="left"/>
        <w:rPr>
          <w:rFonts w:hint="eastAsia" w:ascii="宋体" w:hAnsi="宋体"/>
          <w:sz w:val="24"/>
          <w:highlight w:val="none"/>
        </w:rPr>
      </w:pPr>
      <w:r>
        <w:rPr>
          <w:rFonts w:ascii="宋体" w:hAnsi="宋体"/>
          <w:sz w:val="24"/>
          <w:highlight w:val="none"/>
          <w:lang w:bidi="ar"/>
        </w:rPr>
        <w:t>供应商登录北京市政府采购电子交易平台查阅 “用户指南”—“操作指南”—“市场主体CA办理操作流程指引” /“电子营业执照使用指南”，按照程序要求办理。</w:t>
      </w:r>
    </w:p>
    <w:p w14:paraId="0BFE919B">
      <w:pPr>
        <w:adjustRightInd w:val="0"/>
        <w:snapToGrid w:val="0"/>
        <w:spacing w:line="360" w:lineRule="auto"/>
        <w:ind w:firstLine="480" w:firstLineChars="200"/>
        <w:rPr>
          <w:rFonts w:hint="eastAsia" w:ascii="宋体" w:hAnsi="宋体"/>
          <w:sz w:val="24"/>
          <w:highlight w:val="none"/>
          <w:lang w:bidi="ar"/>
        </w:rPr>
      </w:pPr>
      <w:r>
        <w:rPr>
          <w:rFonts w:hint="eastAsia" w:ascii="宋体" w:hAnsi="宋体"/>
          <w:sz w:val="24"/>
          <w:highlight w:val="none"/>
          <w:lang w:bidi="ar"/>
        </w:rPr>
        <w:t>2</w:t>
      </w:r>
      <w:r>
        <w:rPr>
          <w:rFonts w:ascii="宋体" w:hAnsi="宋体"/>
          <w:sz w:val="24"/>
          <w:highlight w:val="none"/>
          <w:lang w:bidi="ar"/>
        </w:rPr>
        <w:t>.2注册</w:t>
      </w:r>
    </w:p>
    <w:p w14:paraId="4024AD38">
      <w:pPr>
        <w:adjustRightInd w:val="0"/>
        <w:snapToGrid w:val="0"/>
        <w:spacing w:line="360" w:lineRule="auto"/>
        <w:ind w:firstLine="480" w:firstLineChars="200"/>
        <w:rPr>
          <w:rFonts w:hint="eastAsia" w:ascii="宋体" w:hAnsi="宋体"/>
          <w:sz w:val="24"/>
          <w:highlight w:val="none"/>
        </w:rPr>
      </w:pPr>
      <w:r>
        <w:rPr>
          <w:rFonts w:ascii="宋体" w:hAnsi="宋体"/>
          <w:sz w:val="24"/>
          <w:highlight w:val="none"/>
          <w:lang w:bidi="ar"/>
        </w:rPr>
        <w:t>供应商登录北京市政府采购电子交易平台“用户指南”—“操作指南”—“市场主体注册入库操作流程指引”进行自助注册绑定。</w:t>
      </w:r>
    </w:p>
    <w:p w14:paraId="5A1602E0">
      <w:pPr>
        <w:widowControl/>
        <w:adjustRightInd w:val="0"/>
        <w:snapToGrid w:val="0"/>
        <w:spacing w:line="360" w:lineRule="auto"/>
        <w:ind w:firstLine="480" w:firstLineChars="200"/>
        <w:jc w:val="left"/>
        <w:rPr>
          <w:rFonts w:hint="eastAsia" w:ascii="宋体" w:hAnsi="宋体"/>
          <w:sz w:val="24"/>
          <w:highlight w:val="none"/>
          <w:lang w:bidi="ar"/>
        </w:rPr>
      </w:pPr>
      <w:r>
        <w:rPr>
          <w:rFonts w:hint="eastAsia" w:ascii="宋体" w:hAnsi="宋体"/>
          <w:sz w:val="24"/>
          <w:highlight w:val="none"/>
          <w:lang w:bidi="ar"/>
        </w:rPr>
        <w:t>2</w:t>
      </w:r>
      <w:r>
        <w:rPr>
          <w:rFonts w:ascii="宋体" w:hAnsi="宋体"/>
          <w:sz w:val="24"/>
          <w:highlight w:val="none"/>
          <w:lang w:bidi="ar"/>
        </w:rPr>
        <w:t>.3驱动、客户端下载</w:t>
      </w:r>
    </w:p>
    <w:p w14:paraId="19793ACC">
      <w:pPr>
        <w:widowControl/>
        <w:adjustRightInd w:val="0"/>
        <w:snapToGrid w:val="0"/>
        <w:spacing w:line="360" w:lineRule="auto"/>
        <w:ind w:firstLine="480" w:firstLineChars="200"/>
        <w:jc w:val="left"/>
        <w:rPr>
          <w:rFonts w:hint="eastAsia" w:ascii="宋体" w:hAnsi="宋体"/>
          <w:sz w:val="24"/>
          <w:highlight w:val="none"/>
        </w:rPr>
      </w:pPr>
      <w:r>
        <w:rPr>
          <w:rFonts w:ascii="宋体" w:hAnsi="宋体"/>
          <w:sz w:val="24"/>
          <w:highlight w:val="none"/>
          <w:lang w:bidi="ar"/>
        </w:rPr>
        <w:t>供应商登录北京市政府采购电子交易平台“用户指南”—“工具下载”—“招标采购系统文件驱动安装包”下载相关驱动。</w:t>
      </w:r>
    </w:p>
    <w:p w14:paraId="5AD15B68">
      <w:pPr>
        <w:adjustRightInd w:val="0"/>
        <w:snapToGrid w:val="0"/>
        <w:spacing w:line="360" w:lineRule="auto"/>
        <w:ind w:firstLine="480" w:firstLineChars="200"/>
        <w:rPr>
          <w:rFonts w:hint="eastAsia" w:ascii="宋体" w:hAnsi="宋体"/>
          <w:sz w:val="24"/>
          <w:highlight w:val="none"/>
          <w:lang w:bidi="ar"/>
        </w:rPr>
      </w:pPr>
      <w:r>
        <w:rPr>
          <w:rFonts w:ascii="宋体" w:hAnsi="宋体"/>
          <w:sz w:val="24"/>
          <w:highlight w:val="none"/>
          <w:lang w:bidi="ar"/>
        </w:rPr>
        <w:t>供应商登录北京市政府采购电子交易平台“用户指南”—“工具下载”—“投标文件编制工具”下载相关客户端。</w:t>
      </w:r>
    </w:p>
    <w:p w14:paraId="2CAC8092">
      <w:pPr>
        <w:adjustRightInd w:val="0"/>
        <w:snapToGrid w:val="0"/>
        <w:spacing w:line="360" w:lineRule="auto"/>
        <w:ind w:firstLine="480" w:firstLineChars="200"/>
        <w:rPr>
          <w:rFonts w:hint="eastAsia" w:ascii="宋体" w:hAnsi="宋体"/>
          <w:sz w:val="24"/>
          <w:highlight w:val="none"/>
          <w:lang w:bidi="ar"/>
        </w:rPr>
      </w:pPr>
      <w:r>
        <w:rPr>
          <w:rFonts w:hint="eastAsia" w:ascii="宋体" w:hAnsi="宋体"/>
          <w:sz w:val="24"/>
          <w:highlight w:val="none"/>
          <w:lang w:bidi="ar"/>
        </w:rPr>
        <w:t>2</w:t>
      </w:r>
      <w:r>
        <w:rPr>
          <w:rFonts w:ascii="宋体" w:hAnsi="宋体"/>
          <w:sz w:val="24"/>
          <w:highlight w:val="none"/>
          <w:lang w:bidi="ar"/>
        </w:rPr>
        <w:t>.4 获取电子竞争性磋商文件</w:t>
      </w:r>
    </w:p>
    <w:p w14:paraId="70CD2812">
      <w:pPr>
        <w:adjustRightInd w:val="0"/>
        <w:snapToGrid w:val="0"/>
        <w:spacing w:line="360" w:lineRule="auto"/>
        <w:ind w:firstLine="480" w:firstLineChars="200"/>
        <w:rPr>
          <w:rFonts w:hint="eastAsia" w:ascii="宋体" w:hAnsi="宋体"/>
          <w:sz w:val="24"/>
          <w:highlight w:val="none"/>
          <w:lang w:bidi="ar"/>
        </w:rPr>
      </w:pPr>
      <w:r>
        <w:rPr>
          <w:rFonts w:ascii="宋体" w:hAnsi="宋体"/>
          <w:sz w:val="24"/>
          <w:highlight w:val="none"/>
          <w:lang w:bidi="ar"/>
        </w:rPr>
        <w:t>供应商使用CA数字证书或电子营业执照登录北京市政府采购电子交易平台获取电子竞争性磋商文件。</w:t>
      </w:r>
    </w:p>
    <w:p w14:paraId="09871BE0">
      <w:pPr>
        <w:adjustRightInd w:val="0"/>
        <w:snapToGrid w:val="0"/>
        <w:spacing w:line="360" w:lineRule="auto"/>
        <w:ind w:firstLine="480" w:firstLineChars="200"/>
        <w:rPr>
          <w:rFonts w:hint="eastAsia" w:ascii="宋体" w:hAnsi="宋体"/>
          <w:sz w:val="24"/>
          <w:highlight w:val="none"/>
          <w:lang w:bidi="ar"/>
        </w:rPr>
      </w:pPr>
      <w:r>
        <w:rPr>
          <w:rFonts w:ascii="宋体" w:hAnsi="宋体"/>
          <w:sz w:val="24"/>
          <w:highlight w:val="none"/>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w:t>
      </w:r>
      <w:r>
        <w:rPr>
          <w:rFonts w:hint="eastAsia" w:ascii="宋体" w:hAnsi="宋体"/>
          <w:sz w:val="24"/>
          <w:highlight w:val="none"/>
          <w:lang w:bidi="ar"/>
        </w:rPr>
        <w:t>不能参与</w:t>
      </w:r>
      <w:r>
        <w:rPr>
          <w:rFonts w:ascii="宋体" w:hAnsi="宋体"/>
          <w:sz w:val="24"/>
          <w:highlight w:val="none"/>
          <w:lang w:bidi="ar"/>
        </w:rPr>
        <w:t>相应包的</w:t>
      </w:r>
      <w:r>
        <w:rPr>
          <w:rFonts w:hint="eastAsia" w:ascii="宋体" w:hAnsi="宋体"/>
          <w:sz w:val="24"/>
          <w:highlight w:val="none"/>
          <w:lang w:bidi="ar"/>
        </w:rPr>
        <w:t>磋商</w:t>
      </w:r>
      <w:r>
        <w:rPr>
          <w:rFonts w:ascii="宋体" w:hAnsi="宋体"/>
          <w:sz w:val="24"/>
          <w:highlight w:val="none"/>
          <w:lang w:bidi="ar"/>
        </w:rPr>
        <w:t>。</w:t>
      </w:r>
    </w:p>
    <w:p w14:paraId="016302B2">
      <w:pPr>
        <w:spacing w:line="360" w:lineRule="auto"/>
        <w:ind w:firstLine="480" w:firstLineChars="200"/>
        <w:rPr>
          <w:rFonts w:hint="eastAsia" w:ascii="宋体" w:hAnsi="宋体" w:cs="宋体"/>
          <w:sz w:val="24"/>
          <w:highlight w:val="none"/>
          <w:u w:val="single"/>
        </w:rPr>
      </w:pPr>
    </w:p>
    <w:p w14:paraId="04AA3BA8">
      <w:pPr>
        <w:pStyle w:val="3"/>
        <w:spacing w:before="0" w:line="360" w:lineRule="auto"/>
        <w:jc w:val="left"/>
        <w:rPr>
          <w:rFonts w:hint="eastAsia" w:ascii="宋体" w:hAnsi="宋体" w:eastAsia="宋体" w:cstheme="minorEastAsia"/>
          <w:sz w:val="24"/>
          <w:szCs w:val="24"/>
          <w:highlight w:val="none"/>
        </w:rPr>
      </w:pPr>
      <w:bookmarkStart w:id="28" w:name="_Toc28359008"/>
      <w:bookmarkStart w:id="29" w:name="_Toc35393796"/>
      <w:bookmarkStart w:id="30" w:name="_Toc28359085"/>
      <w:bookmarkStart w:id="31" w:name="_Toc35393627"/>
      <w:r>
        <w:rPr>
          <w:rFonts w:hint="eastAsia" w:ascii="宋体" w:hAnsi="宋体" w:eastAsia="宋体" w:cstheme="minorEastAsia"/>
          <w:sz w:val="24"/>
          <w:szCs w:val="24"/>
          <w:highlight w:val="none"/>
        </w:rPr>
        <w:t>八、对本次采购提出询问，请按以下方式联系。</w:t>
      </w:r>
      <w:bookmarkEnd w:id="28"/>
      <w:bookmarkEnd w:id="29"/>
      <w:bookmarkEnd w:id="30"/>
      <w:bookmarkEnd w:id="31"/>
    </w:p>
    <w:p w14:paraId="05F77CAD">
      <w:pPr>
        <w:shd w:val="clear" w:color="auto" w:fill="FFFFFF"/>
        <w:spacing w:line="360" w:lineRule="auto"/>
        <w:ind w:firstLine="482" w:firstLineChars="200"/>
        <w:jc w:val="left"/>
        <w:rPr>
          <w:rFonts w:hint="eastAsia" w:ascii="宋体" w:hAnsi="宋体" w:cstheme="minorEastAsia"/>
          <w:b/>
          <w:sz w:val="24"/>
          <w:highlight w:val="none"/>
        </w:rPr>
      </w:pPr>
      <w:r>
        <w:rPr>
          <w:rFonts w:hint="eastAsia" w:ascii="宋体" w:hAnsi="宋体" w:cstheme="minorEastAsia"/>
          <w:b/>
          <w:sz w:val="24"/>
          <w:highlight w:val="none"/>
        </w:rPr>
        <w:t>1.采购人信息</w:t>
      </w:r>
    </w:p>
    <w:p w14:paraId="0276BD69">
      <w:pPr>
        <w:adjustRightInd w:val="0"/>
        <w:snapToGrid w:val="0"/>
        <w:spacing w:line="360" w:lineRule="auto"/>
        <w:ind w:firstLine="480" w:firstLineChars="200"/>
        <w:rPr>
          <w:rFonts w:hint="eastAsia" w:ascii="宋体" w:hAnsi="宋体" w:cstheme="minorEastAsia"/>
          <w:bCs/>
          <w:sz w:val="24"/>
          <w:highlight w:val="none"/>
        </w:rPr>
      </w:pPr>
      <w:bookmarkStart w:id="32" w:name="_Toc28359009"/>
      <w:bookmarkStart w:id="33" w:name="_Toc28359086"/>
      <w:r>
        <w:rPr>
          <w:rFonts w:hint="eastAsia" w:ascii="宋体" w:hAnsi="宋体" w:cstheme="minorEastAsia"/>
          <w:bCs/>
          <w:sz w:val="24"/>
          <w:highlight w:val="none"/>
        </w:rPr>
        <w:t>名    称：北京财贸职业学院</w:t>
      </w:r>
    </w:p>
    <w:p w14:paraId="204D2057">
      <w:pPr>
        <w:adjustRightInd w:val="0"/>
        <w:snapToGrid w:val="0"/>
        <w:spacing w:line="360" w:lineRule="auto"/>
        <w:ind w:firstLine="480" w:firstLineChars="200"/>
        <w:rPr>
          <w:rFonts w:hint="eastAsia" w:ascii="宋体" w:hAnsi="宋体" w:cstheme="minorEastAsia"/>
          <w:bCs/>
          <w:sz w:val="24"/>
          <w:highlight w:val="none"/>
        </w:rPr>
      </w:pPr>
      <w:r>
        <w:rPr>
          <w:rFonts w:hint="eastAsia" w:ascii="宋体" w:hAnsi="宋体" w:cstheme="minorEastAsia"/>
          <w:bCs/>
          <w:sz w:val="24"/>
          <w:highlight w:val="none"/>
        </w:rPr>
        <w:t>地    址：北京市通州区北关大街88号</w:t>
      </w:r>
    </w:p>
    <w:p w14:paraId="49DE701D">
      <w:pPr>
        <w:adjustRightInd w:val="0"/>
        <w:snapToGrid w:val="0"/>
        <w:spacing w:line="360" w:lineRule="auto"/>
        <w:ind w:firstLine="480" w:firstLineChars="200"/>
        <w:rPr>
          <w:rFonts w:hint="eastAsia" w:ascii="宋体" w:hAnsi="宋体" w:cstheme="minorEastAsia"/>
          <w:bCs/>
          <w:sz w:val="24"/>
          <w:highlight w:val="none"/>
        </w:rPr>
      </w:pPr>
      <w:r>
        <w:rPr>
          <w:rFonts w:hint="eastAsia" w:ascii="宋体" w:hAnsi="宋体" w:cstheme="minorEastAsia"/>
          <w:bCs/>
          <w:sz w:val="24"/>
          <w:highlight w:val="none"/>
        </w:rPr>
        <w:t xml:space="preserve">联系方式：刘老师 010-89532092 </w:t>
      </w:r>
    </w:p>
    <w:p w14:paraId="757FF674">
      <w:pPr>
        <w:adjustRightInd w:val="0"/>
        <w:snapToGrid w:val="0"/>
        <w:spacing w:line="360" w:lineRule="auto"/>
        <w:ind w:firstLine="482" w:firstLineChars="200"/>
        <w:rPr>
          <w:rFonts w:hint="eastAsia" w:ascii="宋体" w:hAnsi="宋体" w:cstheme="minorEastAsia"/>
          <w:bCs/>
          <w:sz w:val="24"/>
          <w:highlight w:val="none"/>
        </w:rPr>
      </w:pPr>
      <w:r>
        <w:rPr>
          <w:rFonts w:hint="eastAsia" w:ascii="宋体" w:hAnsi="宋体" w:cstheme="minorEastAsia"/>
          <w:b/>
          <w:sz w:val="24"/>
          <w:highlight w:val="none"/>
        </w:rPr>
        <w:t>2.采购代理机构信息</w:t>
      </w:r>
      <w:bookmarkEnd w:id="32"/>
      <w:bookmarkEnd w:id="33"/>
      <w:bookmarkStart w:id="34" w:name="_Toc28359087"/>
      <w:bookmarkStart w:id="35" w:name="_Toc28359010"/>
    </w:p>
    <w:p w14:paraId="491EABE3">
      <w:pPr>
        <w:adjustRightInd w:val="0"/>
        <w:snapToGrid w:val="0"/>
        <w:spacing w:line="360" w:lineRule="auto"/>
        <w:ind w:firstLine="480" w:firstLineChars="200"/>
        <w:rPr>
          <w:rFonts w:hint="eastAsia" w:ascii="宋体" w:hAnsi="宋体" w:cstheme="minorEastAsia"/>
          <w:bCs/>
          <w:sz w:val="24"/>
          <w:highlight w:val="none"/>
        </w:rPr>
      </w:pPr>
      <w:r>
        <w:rPr>
          <w:rFonts w:hint="eastAsia" w:ascii="宋体" w:hAnsi="宋体" w:cstheme="minorEastAsia"/>
          <w:sz w:val="24"/>
          <w:highlight w:val="none"/>
        </w:rPr>
        <w:t>名    称：华采招标集团有限公司</w:t>
      </w:r>
    </w:p>
    <w:p w14:paraId="38B50519">
      <w:pPr>
        <w:adjustRightInd w:val="0"/>
        <w:snapToGrid w:val="0"/>
        <w:spacing w:line="360" w:lineRule="auto"/>
        <w:ind w:firstLine="480" w:firstLineChars="200"/>
        <w:rPr>
          <w:rFonts w:hint="eastAsia" w:ascii="宋体" w:hAnsi="宋体" w:cstheme="minorEastAsia"/>
          <w:bCs/>
          <w:sz w:val="24"/>
          <w:highlight w:val="none"/>
        </w:rPr>
      </w:pPr>
      <w:r>
        <w:rPr>
          <w:rFonts w:hint="eastAsia" w:ascii="宋体" w:hAnsi="宋体" w:cstheme="minorEastAsia"/>
          <w:sz w:val="24"/>
          <w:highlight w:val="none"/>
        </w:rPr>
        <w:t>地　　址：北京市丰台区广安路9号国投财富广场6号楼1601室</w:t>
      </w:r>
    </w:p>
    <w:p w14:paraId="13915D90">
      <w:pPr>
        <w:adjustRightInd w:val="0"/>
        <w:snapToGrid w:val="0"/>
        <w:spacing w:line="360" w:lineRule="auto"/>
        <w:ind w:firstLine="480" w:firstLineChars="200"/>
        <w:rPr>
          <w:rFonts w:hint="eastAsia" w:ascii="宋体" w:hAnsi="宋体" w:cstheme="minorEastAsia"/>
          <w:bCs/>
          <w:sz w:val="24"/>
          <w:highlight w:val="none"/>
        </w:rPr>
      </w:pPr>
      <w:r>
        <w:rPr>
          <w:rFonts w:hint="eastAsia" w:ascii="宋体" w:hAnsi="宋体" w:cstheme="minorEastAsia"/>
          <w:sz w:val="24"/>
          <w:highlight w:val="none"/>
        </w:rPr>
        <w:t>联系方式：贾东敏、崔丽洁、姚冲、金珊、刘金秀、赵娜、马凯、白敏娜、谭仕宝、闫淑娟</w:t>
      </w:r>
      <w:r>
        <w:rPr>
          <w:rFonts w:hint="eastAsia" w:ascii="宋体" w:hAnsi="宋体" w:cstheme="minorEastAsia"/>
          <w:iCs/>
          <w:sz w:val="24"/>
          <w:highlight w:val="none"/>
        </w:rPr>
        <w:t xml:space="preserve"> </w:t>
      </w:r>
      <w:r>
        <w:rPr>
          <w:rFonts w:hint="eastAsia" w:ascii="宋体" w:hAnsi="宋体" w:cstheme="minorEastAsia"/>
          <w:sz w:val="24"/>
          <w:highlight w:val="none"/>
        </w:rPr>
        <w:t>186-1228-7813/7807</w:t>
      </w:r>
    </w:p>
    <w:p w14:paraId="4ABF09BF">
      <w:pPr>
        <w:adjustRightInd w:val="0"/>
        <w:snapToGrid w:val="0"/>
        <w:spacing w:line="360" w:lineRule="auto"/>
        <w:ind w:firstLine="482" w:firstLineChars="200"/>
        <w:rPr>
          <w:rFonts w:hint="eastAsia" w:ascii="宋体" w:hAnsi="宋体" w:cstheme="minorEastAsia"/>
          <w:b/>
          <w:sz w:val="24"/>
          <w:highlight w:val="none"/>
        </w:rPr>
      </w:pPr>
      <w:r>
        <w:rPr>
          <w:rFonts w:hint="eastAsia" w:ascii="宋体" w:hAnsi="宋体" w:cstheme="minorEastAsia"/>
          <w:b/>
          <w:sz w:val="24"/>
          <w:highlight w:val="none"/>
        </w:rPr>
        <w:t>3.项目联系方式</w:t>
      </w:r>
      <w:bookmarkEnd w:id="34"/>
      <w:bookmarkEnd w:id="35"/>
    </w:p>
    <w:p w14:paraId="1DE5B337">
      <w:pPr>
        <w:adjustRightInd w:val="0"/>
        <w:snapToGrid w:val="0"/>
        <w:spacing w:line="360" w:lineRule="auto"/>
        <w:ind w:firstLine="480" w:firstLineChars="200"/>
        <w:rPr>
          <w:rFonts w:hint="eastAsia" w:ascii="宋体" w:hAnsi="宋体" w:cstheme="minorEastAsia"/>
          <w:bCs/>
          <w:sz w:val="24"/>
          <w:highlight w:val="none"/>
        </w:rPr>
      </w:pPr>
      <w:r>
        <w:rPr>
          <w:rFonts w:hint="eastAsia" w:ascii="宋体" w:hAnsi="宋体" w:cstheme="minorEastAsia"/>
          <w:sz w:val="24"/>
          <w:highlight w:val="none"/>
        </w:rPr>
        <w:t>项目联系人：贾东敏、崔丽洁、姚冲、金珊、刘金秀、赵娜、马凯、白敏娜、谭仕宝、闫淑娟</w:t>
      </w:r>
    </w:p>
    <w:p w14:paraId="1018FBC2">
      <w:pPr>
        <w:adjustRightInd w:val="0"/>
        <w:snapToGrid w:val="0"/>
        <w:spacing w:line="360" w:lineRule="auto"/>
        <w:ind w:firstLine="480" w:firstLineChars="200"/>
        <w:rPr>
          <w:rFonts w:hint="eastAsia" w:ascii="宋体" w:hAnsi="宋体" w:cstheme="minorEastAsia"/>
          <w:bCs/>
          <w:sz w:val="24"/>
          <w:highlight w:val="none"/>
        </w:rPr>
      </w:pPr>
      <w:r>
        <w:rPr>
          <w:rFonts w:hint="eastAsia" w:ascii="宋体" w:hAnsi="宋体" w:cstheme="minorEastAsia"/>
          <w:sz w:val="24"/>
          <w:highlight w:val="none"/>
        </w:rPr>
        <w:t>电      话： 186-1228-7813/7807</w:t>
      </w:r>
    </w:p>
    <w:p w14:paraId="6AFF6C5D">
      <w:pPr>
        <w:rPr>
          <w:rFonts w:hint="eastAsia" w:ascii="宋体" w:hAnsi="宋体" w:cstheme="minorEastAsia"/>
          <w:b/>
          <w:sz w:val="36"/>
          <w:szCs w:val="36"/>
          <w:highlight w:val="none"/>
        </w:rPr>
      </w:pPr>
      <w:bookmarkStart w:id="36" w:name="_Toc512937850"/>
      <w:bookmarkStart w:id="37" w:name="_Toc127151777"/>
      <w:bookmarkStart w:id="38" w:name="_Toc305158854"/>
      <w:bookmarkStart w:id="39" w:name="_Toc353873938"/>
      <w:bookmarkStart w:id="40" w:name="_Toc226965856"/>
      <w:bookmarkStart w:id="41" w:name="_Toc127161488"/>
      <w:bookmarkStart w:id="42" w:name="_Toc265228423"/>
      <w:bookmarkStart w:id="43" w:name="_Toc150774783"/>
      <w:bookmarkStart w:id="44" w:name="_Toc16927"/>
      <w:bookmarkStart w:id="45" w:name="_Toc195842950"/>
      <w:bookmarkStart w:id="46" w:name="_Toc305158928"/>
      <w:bookmarkStart w:id="47" w:name="_Toc264969275"/>
      <w:bookmarkStart w:id="48" w:name="_Toc353825548"/>
      <w:r>
        <w:rPr>
          <w:rFonts w:hint="eastAsia" w:ascii="宋体" w:hAnsi="宋体" w:cstheme="minorEastAsia"/>
          <w:b/>
          <w:sz w:val="36"/>
          <w:szCs w:val="36"/>
          <w:highlight w:val="none"/>
        </w:rPr>
        <w:br w:type="page"/>
      </w:r>
    </w:p>
    <w:p w14:paraId="37002283">
      <w:pPr>
        <w:spacing w:line="360" w:lineRule="auto"/>
        <w:jc w:val="center"/>
        <w:outlineLvl w:val="0"/>
        <w:rPr>
          <w:rFonts w:hint="eastAsia" w:ascii="宋体" w:hAnsi="宋体" w:cstheme="minorEastAsia"/>
          <w:b/>
          <w:sz w:val="32"/>
          <w:szCs w:val="32"/>
          <w:highlight w:val="none"/>
        </w:rPr>
      </w:pPr>
      <w:bookmarkStart w:id="49" w:name="_Toc24888"/>
      <w:r>
        <w:rPr>
          <w:rFonts w:hint="eastAsia" w:ascii="宋体" w:hAnsi="宋体" w:cstheme="minorEastAsia"/>
          <w:b/>
          <w:sz w:val="36"/>
          <w:szCs w:val="36"/>
          <w:highlight w:val="none"/>
        </w:rPr>
        <w:t>第二章   供应商须知</w:t>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521DA1D">
      <w:pPr>
        <w:pStyle w:val="3"/>
        <w:tabs>
          <w:tab w:val="center" w:pos="4592"/>
          <w:tab w:val="left" w:pos="7860"/>
        </w:tabs>
        <w:spacing w:before="0" w:line="360" w:lineRule="auto"/>
        <w:rPr>
          <w:rFonts w:hint="eastAsia" w:ascii="宋体" w:hAnsi="宋体" w:eastAsia="宋体" w:cstheme="minorEastAsia"/>
          <w:b w:val="0"/>
          <w:sz w:val="28"/>
          <w:highlight w:val="none"/>
        </w:rPr>
      </w:pPr>
      <w:bookmarkStart w:id="50" w:name="_Toc151193617"/>
      <w:bookmarkStart w:id="51" w:name="_Toc151193907"/>
      <w:bookmarkStart w:id="52" w:name="_Toc226309763"/>
      <w:bookmarkStart w:id="53" w:name="_Toc226965792"/>
      <w:bookmarkStart w:id="54" w:name="_Toc164229360"/>
      <w:bookmarkStart w:id="55" w:name="_Toc164608633"/>
      <w:bookmarkStart w:id="56" w:name="_Toc164351613"/>
      <w:bookmarkStart w:id="57" w:name="_Toc127161433"/>
      <w:bookmarkStart w:id="58" w:name="_Toc127151720"/>
      <w:bookmarkStart w:id="59" w:name="_Toc150774619"/>
      <w:bookmarkStart w:id="60" w:name="_Toc150509270"/>
      <w:bookmarkStart w:id="61" w:name="_Toc151193833"/>
      <w:bookmarkStart w:id="62" w:name="_Toc226337215"/>
      <w:bookmarkStart w:id="63" w:name="_Toc195842884"/>
      <w:bookmarkStart w:id="64" w:name="_Toc149720812"/>
      <w:bookmarkStart w:id="65" w:name="_Toc150774724"/>
      <w:bookmarkStart w:id="66" w:name="_Toc151193761"/>
      <w:bookmarkStart w:id="67" w:name="_Toc150480757"/>
      <w:bookmarkStart w:id="68" w:name="_Toc151190146"/>
      <w:bookmarkStart w:id="69" w:name="_Toc151193689"/>
      <w:bookmarkStart w:id="70" w:name="_Toc127151519"/>
      <w:bookmarkStart w:id="71" w:name="_Toc164229214"/>
      <w:bookmarkStart w:id="72" w:name="_Toc142311021"/>
      <w:bookmarkStart w:id="73" w:name="_Toc226965709"/>
      <w:bookmarkStart w:id="74" w:name="_Toc520356144"/>
      <w:bookmarkStart w:id="75" w:name="_Toc164608788"/>
      <w:r>
        <w:rPr>
          <w:rFonts w:hint="eastAsia" w:ascii="宋体" w:hAnsi="宋体" w:eastAsia="宋体" w:cstheme="minorEastAsia"/>
          <w:sz w:val="28"/>
          <w:highlight w:val="none"/>
        </w:rPr>
        <w:t>供应商须知资料表</w:t>
      </w:r>
    </w:p>
    <w:p w14:paraId="5269EC37">
      <w:pPr>
        <w:jc w:val="center"/>
        <w:rPr>
          <w:rFonts w:hint="eastAsia" w:ascii="宋体" w:hAnsi="宋体" w:cstheme="minorEastAsia"/>
          <w:b/>
          <w:sz w:val="28"/>
          <w:szCs w:val="28"/>
          <w:highlight w:val="none"/>
        </w:rPr>
      </w:pPr>
    </w:p>
    <w:p w14:paraId="4E4FF15A">
      <w:pPr>
        <w:spacing w:line="360" w:lineRule="auto"/>
        <w:ind w:firstLine="480"/>
        <w:rPr>
          <w:rFonts w:hint="eastAsia" w:ascii="宋体" w:hAnsi="宋体" w:cstheme="minorEastAsia"/>
          <w:sz w:val="24"/>
          <w:highlight w:val="none"/>
        </w:rPr>
      </w:pPr>
      <w:r>
        <w:rPr>
          <w:rFonts w:hint="eastAsia" w:ascii="宋体" w:hAnsi="宋体" w:cstheme="minorEastAsia"/>
          <w:sz w:val="24"/>
          <w:highlight w:val="none"/>
        </w:rPr>
        <w:t>本表是对供应商须知的具体补充和修改，如有矛盾，均以本资料表为准。</w:t>
      </w:r>
    </w:p>
    <w:tbl>
      <w:tblPr>
        <w:tblStyle w:val="44"/>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183E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44481B5D">
            <w:pPr>
              <w:jc w:val="center"/>
              <w:rPr>
                <w:rFonts w:hint="eastAsia" w:ascii="宋体" w:hAnsi="宋体" w:cstheme="minorEastAsia"/>
                <w:b/>
                <w:bCs/>
                <w:color w:val="auto"/>
                <w:sz w:val="24"/>
                <w:highlight w:val="none"/>
              </w:rPr>
            </w:pPr>
            <w:r>
              <w:rPr>
                <w:rFonts w:hint="eastAsia" w:ascii="宋体" w:hAnsi="宋体" w:cstheme="minorEastAsia"/>
                <w:b/>
                <w:color w:val="auto"/>
                <w:sz w:val="24"/>
                <w:highlight w:val="none"/>
              </w:rPr>
              <w:t>条款号</w:t>
            </w:r>
          </w:p>
        </w:tc>
        <w:tc>
          <w:tcPr>
            <w:tcW w:w="1701" w:type="dxa"/>
            <w:vAlign w:val="center"/>
          </w:tcPr>
          <w:p w14:paraId="5EFDF80E">
            <w:pPr>
              <w:jc w:val="center"/>
              <w:rPr>
                <w:rFonts w:hint="eastAsia" w:ascii="宋体" w:hAnsi="宋体" w:cstheme="minorEastAsia"/>
                <w:b/>
                <w:bCs/>
                <w:color w:val="auto"/>
                <w:sz w:val="24"/>
                <w:highlight w:val="none"/>
              </w:rPr>
            </w:pPr>
            <w:r>
              <w:rPr>
                <w:rFonts w:hint="eastAsia" w:ascii="宋体" w:hAnsi="宋体" w:cstheme="minorEastAsia"/>
                <w:b/>
                <w:bCs/>
                <w:color w:val="auto"/>
                <w:sz w:val="24"/>
                <w:highlight w:val="none"/>
              </w:rPr>
              <w:t>条目</w:t>
            </w:r>
          </w:p>
        </w:tc>
        <w:tc>
          <w:tcPr>
            <w:tcW w:w="7253" w:type="dxa"/>
            <w:vAlign w:val="center"/>
          </w:tcPr>
          <w:p w14:paraId="2C5C2623">
            <w:pPr>
              <w:jc w:val="center"/>
              <w:rPr>
                <w:rFonts w:hint="eastAsia" w:ascii="宋体" w:hAnsi="宋体" w:cstheme="minorEastAsia"/>
                <w:b/>
                <w:bCs/>
                <w:color w:val="auto"/>
                <w:sz w:val="24"/>
                <w:highlight w:val="none"/>
              </w:rPr>
            </w:pPr>
            <w:r>
              <w:rPr>
                <w:rFonts w:hint="eastAsia" w:ascii="宋体" w:hAnsi="宋体" w:cstheme="minorEastAsia"/>
                <w:b/>
                <w:bCs/>
                <w:color w:val="auto"/>
                <w:sz w:val="24"/>
                <w:highlight w:val="none"/>
              </w:rPr>
              <w:t>内容</w:t>
            </w:r>
          </w:p>
        </w:tc>
      </w:tr>
      <w:tr w14:paraId="0A1D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F290A76">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2.2</w:t>
            </w:r>
          </w:p>
        </w:tc>
        <w:tc>
          <w:tcPr>
            <w:tcW w:w="1701" w:type="dxa"/>
            <w:vAlign w:val="center"/>
          </w:tcPr>
          <w:p w14:paraId="470112CD">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项目属性</w:t>
            </w:r>
          </w:p>
        </w:tc>
        <w:tc>
          <w:tcPr>
            <w:tcW w:w="7253" w:type="dxa"/>
            <w:vAlign w:val="center"/>
          </w:tcPr>
          <w:p w14:paraId="74813FB8">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项目属性：</w:t>
            </w:r>
          </w:p>
          <w:p w14:paraId="3AD77174">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□服务</w:t>
            </w:r>
          </w:p>
          <w:p w14:paraId="03F5E840">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□货物</w:t>
            </w:r>
          </w:p>
          <w:p w14:paraId="0EDA9207">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工程</w:t>
            </w:r>
          </w:p>
        </w:tc>
      </w:tr>
      <w:tr w14:paraId="50D0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C319F6E">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2.3</w:t>
            </w:r>
          </w:p>
        </w:tc>
        <w:tc>
          <w:tcPr>
            <w:tcW w:w="1701" w:type="dxa"/>
            <w:vAlign w:val="center"/>
          </w:tcPr>
          <w:p w14:paraId="105D3E41">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科研仪器设备</w:t>
            </w:r>
          </w:p>
        </w:tc>
        <w:tc>
          <w:tcPr>
            <w:tcW w:w="7253" w:type="dxa"/>
            <w:vAlign w:val="center"/>
          </w:tcPr>
          <w:p w14:paraId="5BA88E24">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是否属于科研仪器设备采购项目：</w:t>
            </w:r>
          </w:p>
          <w:p w14:paraId="2C6FAECE">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□是</w:t>
            </w:r>
          </w:p>
          <w:p w14:paraId="01564CCD">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否</w:t>
            </w:r>
          </w:p>
        </w:tc>
      </w:tr>
      <w:tr w14:paraId="7089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2710634D">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3.1</w:t>
            </w:r>
          </w:p>
        </w:tc>
        <w:tc>
          <w:tcPr>
            <w:tcW w:w="1701" w:type="dxa"/>
            <w:vAlign w:val="center"/>
          </w:tcPr>
          <w:p w14:paraId="690E2468">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现场考察</w:t>
            </w:r>
          </w:p>
        </w:tc>
        <w:tc>
          <w:tcPr>
            <w:tcW w:w="7253" w:type="dxa"/>
            <w:vAlign w:val="center"/>
          </w:tcPr>
          <w:p w14:paraId="48218D02">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不组织</w:t>
            </w:r>
          </w:p>
          <w:p w14:paraId="617F6B20">
            <w:pPr>
              <w:jc w:val="left"/>
              <w:rPr>
                <w:rFonts w:hint="eastAsia" w:ascii="宋体" w:hAnsi="宋体" w:cstheme="minorEastAsia"/>
                <w:bCs/>
                <w:color w:val="auto"/>
                <w:sz w:val="24"/>
                <w:highlight w:val="none"/>
              </w:rPr>
            </w:pPr>
            <w:r>
              <w:rPr>
                <w:rFonts w:hint="eastAsia" w:ascii="宋体" w:hAnsi="宋体" w:cstheme="minorEastAsia"/>
                <w:color w:val="auto"/>
                <w:sz w:val="24"/>
                <w:highlight w:val="none"/>
              </w:rPr>
              <w:t>□组织，考察时间：___</w:t>
            </w:r>
            <w:r>
              <w:rPr>
                <w:rFonts w:hint="eastAsia" w:ascii="宋体" w:hAnsi="宋体" w:cstheme="minorEastAsia"/>
                <w:color w:val="auto"/>
                <w:sz w:val="24"/>
                <w:highlight w:val="none"/>
                <w:lang w:bidi="ar"/>
              </w:rPr>
              <w:t>年</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月</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日</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点</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分</w:t>
            </w:r>
          </w:p>
          <w:p w14:paraId="1478B812">
            <w:pPr>
              <w:pStyle w:val="24"/>
              <w:adjustRightInd w:val="0"/>
              <w:snapToGrid w:val="0"/>
              <w:rPr>
                <w:rFonts w:hAnsi="宋体" w:cstheme="minorEastAsia"/>
                <w:color w:val="auto"/>
                <w:sz w:val="24"/>
                <w:szCs w:val="24"/>
                <w:highlight w:val="none"/>
              </w:rPr>
            </w:pPr>
            <w:r>
              <w:rPr>
                <w:rFonts w:hAnsi="宋体" w:cstheme="minorEastAsia"/>
                <w:color w:val="auto"/>
                <w:sz w:val="24"/>
                <w:szCs w:val="24"/>
                <w:highlight w:val="none"/>
              </w:rPr>
              <w:t>考察地点：___________。</w:t>
            </w:r>
          </w:p>
        </w:tc>
      </w:tr>
      <w:tr w14:paraId="640E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21A72DD1">
            <w:pPr>
              <w:pStyle w:val="24"/>
              <w:adjustRightInd w:val="0"/>
              <w:snapToGrid w:val="0"/>
              <w:jc w:val="center"/>
              <w:rPr>
                <w:rFonts w:hAnsi="宋体" w:cstheme="minorEastAsia"/>
                <w:color w:val="auto"/>
                <w:sz w:val="24"/>
                <w:szCs w:val="24"/>
                <w:highlight w:val="none"/>
              </w:rPr>
            </w:pPr>
          </w:p>
        </w:tc>
        <w:tc>
          <w:tcPr>
            <w:tcW w:w="1701" w:type="dxa"/>
            <w:vAlign w:val="center"/>
          </w:tcPr>
          <w:p w14:paraId="3C46D72A">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磋商前答疑会</w:t>
            </w:r>
          </w:p>
        </w:tc>
        <w:tc>
          <w:tcPr>
            <w:tcW w:w="7253" w:type="dxa"/>
            <w:vAlign w:val="center"/>
          </w:tcPr>
          <w:p w14:paraId="78DFC837">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不召开</w:t>
            </w:r>
          </w:p>
          <w:p w14:paraId="15FB0433">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□召开，召开时间：___</w:t>
            </w:r>
            <w:r>
              <w:rPr>
                <w:rFonts w:hint="eastAsia" w:ascii="宋体" w:hAnsi="宋体" w:cstheme="minorEastAsia"/>
                <w:color w:val="auto"/>
                <w:sz w:val="24"/>
                <w:highlight w:val="none"/>
                <w:lang w:bidi="ar"/>
              </w:rPr>
              <w:t>年</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月</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日</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点</w:t>
            </w:r>
            <w:r>
              <w:rPr>
                <w:rFonts w:hint="eastAsia" w:ascii="宋体" w:hAnsi="宋体" w:cstheme="minorEastAsia"/>
                <w:color w:val="auto"/>
                <w:sz w:val="24"/>
                <w:highlight w:val="none"/>
              </w:rPr>
              <w:t>___</w:t>
            </w:r>
            <w:r>
              <w:rPr>
                <w:rFonts w:hint="eastAsia" w:ascii="宋体" w:hAnsi="宋体" w:cstheme="minorEastAsia"/>
                <w:color w:val="auto"/>
                <w:sz w:val="24"/>
                <w:highlight w:val="none"/>
                <w:lang w:bidi="ar"/>
              </w:rPr>
              <w:t>分</w:t>
            </w:r>
          </w:p>
          <w:p w14:paraId="35CC6929">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召开地点：___________。</w:t>
            </w:r>
          </w:p>
        </w:tc>
      </w:tr>
      <w:tr w14:paraId="2BA4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1687975F">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4.3.5</w:t>
            </w:r>
          </w:p>
        </w:tc>
        <w:tc>
          <w:tcPr>
            <w:tcW w:w="1701" w:type="dxa"/>
            <w:vAlign w:val="center"/>
          </w:tcPr>
          <w:p w14:paraId="33134E4A">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标的所属行业</w:t>
            </w:r>
          </w:p>
        </w:tc>
        <w:tc>
          <w:tcPr>
            <w:tcW w:w="7253" w:type="dxa"/>
            <w:vAlign w:val="center"/>
          </w:tcPr>
          <w:p w14:paraId="10A6B4C5">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本项目采购标的对应的中小企业划分标准所属行业：</w:t>
            </w:r>
          </w:p>
          <w:tbl>
            <w:tblPr>
              <w:tblStyle w:val="44"/>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690"/>
              <w:gridCol w:w="3112"/>
            </w:tblGrid>
            <w:tr w14:paraId="2DC1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576621CD">
                  <w:pPr>
                    <w:jc w:val="center"/>
                    <w:rPr>
                      <w:rFonts w:hint="eastAsia" w:ascii="宋体" w:hAnsi="宋体" w:cstheme="minorEastAsia"/>
                      <w:bCs/>
                      <w:color w:val="auto"/>
                      <w:sz w:val="24"/>
                      <w:highlight w:val="none"/>
                    </w:rPr>
                  </w:pPr>
                  <w:r>
                    <w:rPr>
                      <w:rFonts w:hint="eastAsia" w:ascii="宋体" w:hAnsi="宋体" w:cstheme="minorEastAsia"/>
                      <w:bCs/>
                      <w:color w:val="auto"/>
                      <w:sz w:val="24"/>
                      <w:highlight w:val="none"/>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148D1F5C">
                  <w:pPr>
                    <w:jc w:val="center"/>
                    <w:rPr>
                      <w:rFonts w:hint="eastAsia" w:ascii="宋体" w:hAnsi="宋体" w:cstheme="minorEastAsia"/>
                      <w:bCs/>
                      <w:color w:val="auto"/>
                      <w:sz w:val="24"/>
                      <w:highlight w:val="none"/>
                    </w:rPr>
                  </w:pPr>
                  <w:r>
                    <w:rPr>
                      <w:rFonts w:hint="eastAsia" w:ascii="宋体" w:hAnsi="宋体" w:cstheme="minorEastAsia"/>
                      <w:bCs/>
                      <w:color w:val="auto"/>
                      <w:sz w:val="24"/>
                      <w:highlight w:val="none"/>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798EF1EC">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中小企业划分标准所属行业</w:t>
                  </w:r>
                </w:p>
              </w:tc>
            </w:tr>
            <w:tr w14:paraId="328B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493E8A85">
                  <w:pPr>
                    <w:jc w:val="center"/>
                    <w:rPr>
                      <w:rFonts w:hint="eastAsia" w:ascii="宋体" w:hAnsi="宋体" w:cstheme="minorEastAsia"/>
                      <w:bCs/>
                      <w:color w:val="auto"/>
                      <w:sz w:val="24"/>
                      <w:highlight w:val="none"/>
                    </w:rPr>
                  </w:pPr>
                  <w:r>
                    <w:rPr>
                      <w:rFonts w:hint="eastAsia" w:ascii="宋体" w:hAnsi="宋体" w:cstheme="minorEastAsia"/>
                      <w:bCs/>
                      <w:color w:val="auto"/>
                      <w:sz w:val="24"/>
                      <w:highlight w:val="none"/>
                    </w:rPr>
                    <w:t>01</w:t>
                  </w:r>
                </w:p>
              </w:tc>
              <w:tc>
                <w:tcPr>
                  <w:tcW w:w="2058" w:type="pct"/>
                  <w:tcBorders>
                    <w:top w:val="single" w:color="auto" w:sz="4" w:space="0"/>
                    <w:left w:val="single" w:color="auto" w:sz="4" w:space="0"/>
                    <w:bottom w:val="single" w:color="auto" w:sz="4" w:space="0"/>
                    <w:right w:val="single" w:color="auto" w:sz="4" w:space="0"/>
                  </w:tcBorders>
                  <w:vAlign w:val="center"/>
                </w:tcPr>
                <w:p w14:paraId="31D838F0">
                  <w:pPr>
                    <w:jc w:val="center"/>
                    <w:rPr>
                      <w:rFonts w:hint="eastAsia" w:ascii="宋体" w:hAnsi="宋体" w:cstheme="minorEastAsia"/>
                      <w:bCs/>
                      <w:color w:val="auto"/>
                      <w:sz w:val="24"/>
                      <w:highlight w:val="none"/>
                    </w:rPr>
                  </w:pPr>
                  <w:r>
                    <w:rPr>
                      <w:rFonts w:hint="eastAsia" w:ascii="宋体" w:hAnsi="宋体" w:cstheme="minorEastAsia"/>
                      <w:bCs/>
                      <w:color w:val="auto"/>
                      <w:sz w:val="24"/>
                      <w:highlight w:val="none"/>
                    </w:rPr>
                    <w:t>2026年校内分类发展-基建类-校本部屋面防水改造项目</w:t>
                  </w:r>
                </w:p>
              </w:tc>
              <w:tc>
                <w:tcPr>
                  <w:tcW w:w="2382" w:type="pct"/>
                  <w:tcBorders>
                    <w:top w:val="single" w:color="auto" w:sz="4" w:space="0"/>
                    <w:left w:val="single" w:color="auto" w:sz="4" w:space="0"/>
                    <w:bottom w:val="single" w:color="auto" w:sz="4" w:space="0"/>
                    <w:right w:val="single" w:color="auto" w:sz="4" w:space="0"/>
                  </w:tcBorders>
                  <w:vAlign w:val="center"/>
                </w:tcPr>
                <w:p w14:paraId="278134A3">
                  <w:pPr>
                    <w:jc w:val="center"/>
                    <w:rPr>
                      <w:rFonts w:hint="eastAsia" w:ascii="宋体" w:hAnsi="宋体" w:cstheme="minorEastAsia"/>
                      <w:color w:val="auto"/>
                      <w:kern w:val="0"/>
                      <w:sz w:val="24"/>
                      <w:highlight w:val="none"/>
                    </w:rPr>
                  </w:pPr>
                  <w:r>
                    <w:rPr>
                      <w:rFonts w:hint="eastAsia" w:ascii="宋体" w:hAnsi="宋体" w:cstheme="minorEastAsia"/>
                      <w:color w:val="auto"/>
                      <w:kern w:val="0"/>
                      <w:sz w:val="24"/>
                      <w:highlight w:val="none"/>
                    </w:rPr>
                    <w:t>建筑业</w:t>
                  </w:r>
                </w:p>
              </w:tc>
            </w:tr>
          </w:tbl>
          <w:p w14:paraId="7F09C3CA">
            <w:pPr>
              <w:jc w:val="left"/>
              <w:rPr>
                <w:rFonts w:hint="eastAsia" w:ascii="宋体" w:hAnsi="宋体" w:cstheme="minorEastAsia"/>
                <w:color w:val="auto"/>
                <w:sz w:val="24"/>
                <w:highlight w:val="none"/>
              </w:rPr>
            </w:pPr>
          </w:p>
        </w:tc>
      </w:tr>
      <w:tr w14:paraId="472D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76E32517">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10.2</w:t>
            </w:r>
          </w:p>
        </w:tc>
        <w:tc>
          <w:tcPr>
            <w:tcW w:w="1701" w:type="dxa"/>
            <w:vAlign w:val="center"/>
          </w:tcPr>
          <w:p w14:paraId="3BCEC4EA">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报价</w:t>
            </w:r>
          </w:p>
        </w:tc>
        <w:tc>
          <w:tcPr>
            <w:tcW w:w="7253" w:type="dxa"/>
            <w:vAlign w:val="center"/>
          </w:tcPr>
          <w:p w14:paraId="0FAFE0B6">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报价的特殊规定：</w:t>
            </w:r>
          </w:p>
          <w:p w14:paraId="22E8B43F">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无</w:t>
            </w:r>
          </w:p>
          <w:p w14:paraId="2423ABA7">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□有，具体情形：___________。</w:t>
            </w:r>
          </w:p>
        </w:tc>
      </w:tr>
      <w:tr w14:paraId="4D74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42AF9FB">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11.1</w:t>
            </w:r>
          </w:p>
        </w:tc>
        <w:tc>
          <w:tcPr>
            <w:tcW w:w="1701" w:type="dxa"/>
            <w:vMerge w:val="restart"/>
            <w:vAlign w:val="center"/>
          </w:tcPr>
          <w:p w14:paraId="7D760C2D">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磋商保证金</w:t>
            </w:r>
          </w:p>
        </w:tc>
        <w:tc>
          <w:tcPr>
            <w:tcW w:w="7253" w:type="dxa"/>
            <w:vAlign w:val="center"/>
          </w:tcPr>
          <w:p w14:paraId="0E4AA247">
            <w:pPr>
              <w:pStyle w:val="24"/>
              <w:adjustRightInd w:val="0"/>
              <w:snapToGrid w:val="0"/>
              <w:rPr>
                <w:rFonts w:hAnsi="宋体" w:cstheme="minorEastAsia"/>
                <w:color w:val="auto"/>
                <w:sz w:val="24"/>
                <w:szCs w:val="24"/>
                <w:highlight w:val="none"/>
              </w:rPr>
            </w:pPr>
            <w:r>
              <w:rPr>
                <w:rFonts w:hAnsi="宋体" w:cstheme="minorEastAsia"/>
                <w:color w:val="auto"/>
                <w:sz w:val="24"/>
                <w:szCs w:val="24"/>
                <w:highlight w:val="none"/>
              </w:rPr>
              <w:t>磋商保证金金额：</w:t>
            </w:r>
          </w:p>
          <w:p w14:paraId="368EDCEF">
            <w:pPr>
              <w:pStyle w:val="24"/>
              <w:adjustRightInd w:val="0"/>
              <w:snapToGrid w:val="0"/>
              <w:rPr>
                <w:rFonts w:hAnsi="宋体" w:cstheme="minorEastAsia"/>
                <w:color w:val="auto"/>
                <w:sz w:val="24"/>
                <w:szCs w:val="24"/>
                <w:highlight w:val="none"/>
              </w:rPr>
            </w:pPr>
            <w:r>
              <w:rPr>
                <w:rFonts w:hAnsi="宋体" w:cstheme="minorEastAsia"/>
                <w:color w:val="auto"/>
                <w:sz w:val="24"/>
                <w:szCs w:val="24"/>
                <w:highlight w:val="none"/>
              </w:rPr>
              <w:t>01包：</w:t>
            </w:r>
            <w:r>
              <w:rPr>
                <w:rFonts w:hAnsi="宋体" w:cstheme="minorEastAsia"/>
                <w:b/>
                <w:bCs/>
                <w:color w:val="auto"/>
                <w:sz w:val="24"/>
                <w:szCs w:val="24"/>
                <w:highlight w:val="none"/>
                <w:u w:val="single"/>
              </w:rPr>
              <w:t>3000元</w:t>
            </w:r>
            <w:r>
              <w:rPr>
                <w:rFonts w:hAnsi="宋体" w:cstheme="minorEastAsia"/>
                <w:color w:val="auto"/>
                <w:sz w:val="24"/>
                <w:szCs w:val="24"/>
                <w:highlight w:val="none"/>
              </w:rPr>
              <w:t>。</w:t>
            </w:r>
          </w:p>
          <w:p w14:paraId="736216A4">
            <w:pPr>
              <w:adjustRightInd w:val="0"/>
              <w:snapToGrid w:val="0"/>
              <w:jc w:val="left"/>
              <w:rPr>
                <w:rFonts w:hint="eastAsia" w:ascii="宋体" w:hAnsi="宋体" w:cstheme="minorEastAsia"/>
                <w:color w:val="auto"/>
                <w:sz w:val="24"/>
                <w:highlight w:val="none"/>
              </w:rPr>
            </w:pPr>
            <w:r>
              <w:rPr>
                <w:rFonts w:hint="eastAsia" w:ascii="宋体" w:hAnsi="宋体" w:cstheme="minorEastAsia"/>
                <w:color w:val="auto"/>
                <w:sz w:val="24"/>
                <w:highlight w:val="none"/>
              </w:rPr>
              <w:t>磋商保证金收受人信息：</w:t>
            </w:r>
          </w:p>
          <w:p w14:paraId="784625C3">
            <w:pPr>
              <w:adjustRightInd w:val="0"/>
              <w:snapToGrid w:val="0"/>
              <w:jc w:val="left"/>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递交时间：同投标文件递交截止时间</w:t>
            </w:r>
          </w:p>
          <w:p w14:paraId="3623B129">
            <w:pPr>
              <w:adjustRightInd w:val="0"/>
              <w:snapToGrid w:val="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递交地点：华采招标集团有限公司(北京市丰台区广安路9号国投财富广场6号楼1601室）。</w:t>
            </w:r>
          </w:p>
          <w:p w14:paraId="12504D89">
            <w:pPr>
              <w:adjustRightInd w:val="0"/>
              <w:snapToGrid w:val="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提交投标保证金形式：支票、汇票、本票或者金融机构、担保机构出具的保函等非现金形式提交</w:t>
            </w:r>
          </w:p>
          <w:p w14:paraId="2DBB39DE">
            <w:pPr>
              <w:adjustRightInd w:val="0"/>
              <w:snapToGrid w:val="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投标保证金汇款账户： </w:t>
            </w:r>
          </w:p>
          <w:p w14:paraId="02A7BCDD">
            <w:pPr>
              <w:adjustRightInd w:val="0"/>
              <w:snapToGrid w:val="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开户行名称：华采招标集团有限公司</w:t>
            </w:r>
          </w:p>
          <w:p w14:paraId="78051B23">
            <w:pPr>
              <w:adjustRightInd w:val="0"/>
              <w:snapToGrid w:val="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开 户 行：建行北京西客站支行（仅限投标保证金）</w:t>
            </w:r>
          </w:p>
          <w:p w14:paraId="76EEF80A">
            <w:pPr>
              <w:adjustRightInd w:val="0"/>
              <w:snapToGrid w:val="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账    号：1105 0165 5100 0000 0292（汇款时请注明：ZB0765保证金）</w:t>
            </w:r>
          </w:p>
          <w:p w14:paraId="48AE7ECF">
            <w:pPr>
              <w:adjustRightInd w:val="0"/>
              <w:snapToGrid w:val="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行    号：1051 0000 9047</w:t>
            </w:r>
          </w:p>
          <w:p w14:paraId="5FB743B0">
            <w:pPr>
              <w:jc w:val="left"/>
              <w:rPr>
                <w:rFonts w:hint="eastAsia" w:ascii="宋体" w:hAnsi="宋体" w:cstheme="minorEastAsia"/>
                <w:color w:val="auto"/>
                <w:sz w:val="24"/>
                <w:highlight w:val="none"/>
              </w:rPr>
            </w:pPr>
            <w:r>
              <w:rPr>
                <w:rFonts w:hint="eastAsia" w:asciiTheme="minorEastAsia" w:hAnsiTheme="minorEastAsia" w:eastAsiaTheme="minorEastAsia" w:cstheme="minorEastAsia"/>
                <w:b/>
                <w:color w:val="auto"/>
                <w:sz w:val="24"/>
                <w:highlight w:val="none"/>
              </w:rPr>
              <w:t>退还投标保证金形式：北京地区单位支票形式、外埠单位电汇形式</w:t>
            </w:r>
            <w:r>
              <w:rPr>
                <w:rFonts w:hint="eastAsia" w:ascii="宋体" w:hAnsi="宋体" w:cstheme="minorEastAsia"/>
                <w:color w:val="auto"/>
                <w:sz w:val="24"/>
                <w:highlight w:val="none"/>
              </w:rPr>
              <w:t>。</w:t>
            </w:r>
          </w:p>
        </w:tc>
      </w:tr>
      <w:tr w14:paraId="21EA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8FA4093">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11.8.5</w:t>
            </w:r>
          </w:p>
        </w:tc>
        <w:tc>
          <w:tcPr>
            <w:tcW w:w="1701" w:type="dxa"/>
            <w:vMerge w:val="continue"/>
            <w:vAlign w:val="center"/>
          </w:tcPr>
          <w:p w14:paraId="78917671">
            <w:pPr>
              <w:jc w:val="center"/>
              <w:rPr>
                <w:rFonts w:hint="eastAsia" w:ascii="宋体" w:hAnsi="宋体" w:cstheme="minorEastAsia"/>
                <w:color w:val="auto"/>
                <w:sz w:val="24"/>
                <w:highlight w:val="none"/>
              </w:rPr>
            </w:pPr>
          </w:p>
        </w:tc>
        <w:tc>
          <w:tcPr>
            <w:tcW w:w="7253" w:type="dxa"/>
            <w:vAlign w:val="center"/>
          </w:tcPr>
          <w:p w14:paraId="51D4A68F">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磋商保证金不予退还的其他情形：</w:t>
            </w:r>
          </w:p>
          <w:p w14:paraId="4D4E77AE">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无</w:t>
            </w:r>
          </w:p>
          <w:p w14:paraId="6348B1AA">
            <w:pPr>
              <w:pStyle w:val="24"/>
              <w:adjustRightInd w:val="0"/>
              <w:snapToGrid w:val="0"/>
              <w:rPr>
                <w:rFonts w:hAnsi="宋体" w:cstheme="minorEastAsia"/>
                <w:color w:val="auto"/>
                <w:sz w:val="24"/>
                <w:szCs w:val="24"/>
                <w:highlight w:val="none"/>
              </w:rPr>
            </w:pPr>
            <w:r>
              <w:rPr>
                <w:rFonts w:hAnsi="宋体" w:cstheme="minorEastAsia"/>
                <w:color w:val="auto"/>
                <w:sz w:val="24"/>
                <w:szCs w:val="24"/>
                <w:highlight w:val="none"/>
              </w:rPr>
              <w:t>□有，具体情形：___________。</w:t>
            </w:r>
          </w:p>
        </w:tc>
      </w:tr>
      <w:tr w14:paraId="5C16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EE70A86">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12.1</w:t>
            </w:r>
          </w:p>
        </w:tc>
        <w:tc>
          <w:tcPr>
            <w:tcW w:w="1701" w:type="dxa"/>
            <w:vAlign w:val="center"/>
          </w:tcPr>
          <w:p w14:paraId="505B16ED">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响应有效期</w:t>
            </w:r>
          </w:p>
        </w:tc>
        <w:tc>
          <w:tcPr>
            <w:tcW w:w="7253" w:type="dxa"/>
            <w:vAlign w:val="center"/>
          </w:tcPr>
          <w:p w14:paraId="0588B2F7">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自响应文件提交截止之日起算90日历天。</w:t>
            </w:r>
          </w:p>
        </w:tc>
      </w:tr>
      <w:tr w14:paraId="02DA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shd w:val="clear" w:color="auto" w:fill="auto"/>
            <w:vAlign w:val="center"/>
          </w:tcPr>
          <w:p w14:paraId="37F67963">
            <w:pPr>
              <w:pStyle w:val="24"/>
              <w:adjustRightInd w:val="0"/>
              <w:snapToGrid w:val="0"/>
              <w:jc w:val="center"/>
              <w:rPr>
                <w:rFonts w:hint="eastAsia" w:ascii="宋体" w:hAnsi="宋体" w:eastAsia="宋体" w:cs="Times New Roman"/>
                <w:b/>
                <w:bCs/>
                <w:color w:val="auto"/>
                <w:kern w:val="2"/>
                <w:sz w:val="24"/>
                <w:szCs w:val="24"/>
                <w:highlight w:val="none"/>
                <w:lang w:val="en-US" w:eastAsia="zh-CN" w:bidi="ar-SA"/>
              </w:rPr>
            </w:pPr>
            <w:r>
              <w:rPr>
                <w:rFonts w:hAnsi="宋体" w:cstheme="minorEastAsia"/>
                <w:color w:val="auto"/>
                <w:sz w:val="24"/>
                <w:szCs w:val="24"/>
                <w:highlight w:val="none"/>
              </w:rPr>
              <w:t>13.1</w:t>
            </w:r>
          </w:p>
        </w:tc>
        <w:tc>
          <w:tcPr>
            <w:tcW w:w="1701" w:type="dxa"/>
            <w:shd w:val="clear" w:color="auto" w:fill="auto"/>
            <w:vAlign w:val="center"/>
          </w:tcPr>
          <w:p w14:paraId="7D0A714A">
            <w:pPr>
              <w:jc w:val="center"/>
              <w:rPr>
                <w:rFonts w:hint="eastAsia" w:ascii="宋体" w:hAnsi="宋体" w:eastAsia="宋体" w:cs="宋体"/>
                <w:color w:val="auto"/>
                <w:kern w:val="2"/>
                <w:sz w:val="21"/>
                <w:szCs w:val="24"/>
                <w:highlight w:val="none"/>
                <w:lang w:val="en-US" w:eastAsia="zh-CN" w:bidi="ar-SA"/>
              </w:rPr>
            </w:pPr>
            <w:r>
              <w:rPr>
                <w:rFonts w:hint="eastAsia" w:ascii="宋体" w:hAnsi="宋体" w:cstheme="minorEastAsia"/>
                <w:color w:val="auto"/>
                <w:sz w:val="24"/>
                <w:highlight w:val="none"/>
              </w:rPr>
              <w:t>响应文件提交</w:t>
            </w:r>
          </w:p>
        </w:tc>
        <w:tc>
          <w:tcPr>
            <w:tcW w:w="7253" w:type="dxa"/>
            <w:shd w:val="clear" w:color="auto" w:fill="auto"/>
            <w:vAlign w:val="center"/>
          </w:tcPr>
          <w:p w14:paraId="23863322">
            <w:pPr>
              <w:shd w:val="clear" w:color="auto" w:fill="FFFFFF"/>
              <w:jc w:val="left"/>
              <w:rPr>
                <w:rFonts w:hint="eastAsia" w:ascii="宋体" w:hAnsi="宋体" w:cs="宋体"/>
                <w:b/>
                <w:color w:val="auto"/>
                <w:sz w:val="24"/>
                <w:highlight w:val="none"/>
              </w:rPr>
            </w:pPr>
            <w:r>
              <w:rPr>
                <w:rFonts w:hint="eastAsia" w:ascii="宋体" w:hAnsi="宋体" w:cs="宋体"/>
                <w:color w:val="auto"/>
                <w:sz w:val="24"/>
                <w:highlight w:val="none"/>
              </w:rPr>
              <w:t>响应文件提交要求：正本1份、副本3份、电子版1份</w:t>
            </w:r>
            <w:r>
              <w:rPr>
                <w:rFonts w:hint="eastAsia" w:ascii="宋体" w:hAnsi="宋体" w:cs="宋体"/>
                <w:b/>
                <w:color w:val="auto"/>
                <w:sz w:val="24"/>
                <w:highlight w:val="none"/>
              </w:rPr>
              <w:t>（电子文档为正本的盖章扫面件，须与投标文件正本中的所有文字、图片等内容一致）。</w:t>
            </w:r>
          </w:p>
          <w:p w14:paraId="561835B3">
            <w:pPr>
              <w:jc w:val="left"/>
              <w:rPr>
                <w:rFonts w:hint="eastAsia" w:ascii="宋体" w:hAnsi="宋体" w:eastAsia="宋体" w:cs="宋体"/>
                <w:color w:val="auto"/>
                <w:kern w:val="20"/>
                <w:sz w:val="24"/>
                <w:szCs w:val="24"/>
                <w:highlight w:val="none"/>
                <w:lang w:val="zh-CN" w:eastAsia="zh-CN" w:bidi="ar-SA"/>
              </w:rPr>
            </w:pPr>
            <w:r>
              <w:rPr>
                <w:rFonts w:ascii="宋体" w:hAnsi="宋体"/>
                <w:color w:val="auto"/>
                <w:sz w:val="24"/>
                <w:highlight w:val="none"/>
              </w:rPr>
              <w:t>注：每本响应文件一律采用A4纸（图纸、彩页等除外）左侧装订并附有相关页码。装订应牢固可靠，不易散落，不得采用活页式装订，采购人或采购代理机构对因装订不牢造成的文件散失不负责任。</w:t>
            </w:r>
          </w:p>
        </w:tc>
      </w:tr>
      <w:tr w14:paraId="3767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21ADF75">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20.1</w:t>
            </w:r>
          </w:p>
        </w:tc>
        <w:tc>
          <w:tcPr>
            <w:tcW w:w="1701" w:type="dxa"/>
            <w:vAlign w:val="center"/>
          </w:tcPr>
          <w:p w14:paraId="7728BBD7">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确定成交供应商</w:t>
            </w:r>
          </w:p>
        </w:tc>
        <w:tc>
          <w:tcPr>
            <w:tcW w:w="7253" w:type="dxa"/>
            <w:vAlign w:val="center"/>
          </w:tcPr>
          <w:p w14:paraId="53AC190A">
            <w:pPr>
              <w:pStyle w:val="24"/>
              <w:adjustRightInd w:val="0"/>
              <w:snapToGrid w:val="0"/>
              <w:rPr>
                <w:rFonts w:hAnsi="宋体" w:cstheme="minorEastAsia"/>
                <w:color w:val="auto"/>
                <w:sz w:val="24"/>
                <w:szCs w:val="24"/>
                <w:highlight w:val="none"/>
              </w:rPr>
            </w:pPr>
            <w:r>
              <w:rPr>
                <w:rFonts w:hAnsi="宋体" w:cstheme="minorEastAsia"/>
                <w:color w:val="auto"/>
                <w:sz w:val="24"/>
                <w:szCs w:val="24"/>
                <w:highlight w:val="none"/>
              </w:rPr>
              <w:t>采购人是否授权磋商小组直接确定成交供应商：</w:t>
            </w:r>
          </w:p>
          <w:p w14:paraId="3AEAA821">
            <w:pPr>
              <w:pStyle w:val="24"/>
              <w:adjustRightInd w:val="0"/>
              <w:snapToGrid w:val="0"/>
              <w:rPr>
                <w:rFonts w:hAnsi="宋体" w:cstheme="minorEastAsia"/>
                <w:color w:val="auto"/>
                <w:sz w:val="24"/>
                <w:szCs w:val="24"/>
                <w:highlight w:val="none"/>
              </w:rPr>
            </w:pPr>
            <w:r>
              <w:rPr>
                <w:rFonts w:ascii="Segoe UI Symbol" w:hAnsi="Segoe UI Symbol" w:cs="Segoe UI Symbol"/>
                <w:color w:val="auto"/>
                <w:sz w:val="24"/>
                <w:highlight w:val="none"/>
              </w:rPr>
              <w:t>☑</w:t>
            </w:r>
            <w:r>
              <w:rPr>
                <w:rFonts w:hAnsi="宋体" w:cstheme="minorEastAsia"/>
                <w:color w:val="auto"/>
                <w:sz w:val="24"/>
                <w:szCs w:val="24"/>
                <w:highlight w:val="none"/>
              </w:rPr>
              <w:t>否</w:t>
            </w:r>
          </w:p>
          <w:p w14:paraId="122387CA">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□是</w:t>
            </w:r>
          </w:p>
          <w:p w14:paraId="5FE04EF0">
            <w:pPr>
              <w:jc w:val="left"/>
              <w:rPr>
                <w:rFonts w:hint="eastAsia" w:ascii="宋体" w:hAnsi="宋体" w:cstheme="minorEastAsia"/>
                <w:color w:val="auto"/>
                <w:sz w:val="24"/>
                <w:highlight w:val="none"/>
                <w:u w:val="single"/>
              </w:rPr>
            </w:pPr>
            <w:r>
              <w:rPr>
                <w:rFonts w:hint="eastAsia" w:ascii="宋体" w:hAnsi="宋体" w:cstheme="minorEastAsia"/>
                <w:color w:val="auto"/>
                <w:sz w:val="24"/>
                <w:highlight w:val="none"/>
              </w:rPr>
              <w:t>成交候选人并列的，按照以下方式确定成交供应商：</w:t>
            </w:r>
            <w:r>
              <w:rPr>
                <w:rFonts w:hint="eastAsia" w:ascii="宋体" w:hAnsi="宋体" w:cstheme="minorEastAsia"/>
                <w:color w:val="auto"/>
                <w:sz w:val="24"/>
                <w:highlight w:val="none"/>
                <w:u w:val="single"/>
              </w:rPr>
              <w:t>最后报价最低的为成交供应商</w:t>
            </w:r>
            <w:r>
              <w:rPr>
                <w:rFonts w:hint="eastAsia" w:ascii="宋体" w:hAnsi="宋体" w:cstheme="minorEastAsia"/>
                <w:color w:val="auto"/>
                <w:sz w:val="24"/>
                <w:highlight w:val="none"/>
              </w:rPr>
              <w:t>。</w:t>
            </w:r>
          </w:p>
        </w:tc>
      </w:tr>
      <w:tr w14:paraId="4C5C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67BE6D0">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23.5</w:t>
            </w:r>
          </w:p>
        </w:tc>
        <w:tc>
          <w:tcPr>
            <w:tcW w:w="1701" w:type="dxa"/>
            <w:vAlign w:val="center"/>
          </w:tcPr>
          <w:p w14:paraId="501E1F55">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分包</w:t>
            </w:r>
          </w:p>
        </w:tc>
        <w:tc>
          <w:tcPr>
            <w:tcW w:w="7253" w:type="dxa"/>
            <w:vAlign w:val="center"/>
          </w:tcPr>
          <w:p w14:paraId="0B2346F6">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 xml:space="preserve">本项目是否允许分包： </w:t>
            </w:r>
          </w:p>
          <w:p w14:paraId="5C3B65BD">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不允许</w:t>
            </w:r>
          </w:p>
          <w:p w14:paraId="00509B54">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□允许，具体要求：_______。</w:t>
            </w:r>
          </w:p>
          <w:p w14:paraId="34E7A738">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（1）可以分包履行的具体内容：_______；</w:t>
            </w:r>
          </w:p>
          <w:p w14:paraId="3510B961">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（2）允许分包的金额或者比例：_______；</w:t>
            </w:r>
          </w:p>
          <w:p w14:paraId="36014125">
            <w:pPr>
              <w:jc w:val="left"/>
              <w:rPr>
                <w:rFonts w:hint="eastAsia" w:ascii="宋体" w:hAnsi="宋体" w:cstheme="minorEastAsia"/>
                <w:color w:val="auto"/>
                <w:sz w:val="24"/>
                <w:highlight w:val="none"/>
                <w:u w:val="single"/>
              </w:rPr>
            </w:pPr>
            <w:r>
              <w:rPr>
                <w:rFonts w:hint="eastAsia" w:ascii="宋体" w:hAnsi="宋体" w:cstheme="minorEastAsia"/>
                <w:color w:val="auto"/>
                <w:sz w:val="24"/>
                <w:highlight w:val="none"/>
              </w:rPr>
              <w:t>（3）其他要求：_______。</w:t>
            </w:r>
          </w:p>
        </w:tc>
      </w:tr>
      <w:tr w14:paraId="2E0B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E387CFA">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23.6</w:t>
            </w:r>
          </w:p>
        </w:tc>
        <w:tc>
          <w:tcPr>
            <w:tcW w:w="1701" w:type="dxa"/>
            <w:vAlign w:val="center"/>
          </w:tcPr>
          <w:p w14:paraId="3C3BB0E6">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政采贷</w:t>
            </w:r>
          </w:p>
        </w:tc>
        <w:tc>
          <w:tcPr>
            <w:tcW w:w="7253" w:type="dxa"/>
            <w:vAlign w:val="center"/>
          </w:tcPr>
          <w:p w14:paraId="419BEC74">
            <w:pPr>
              <w:jc w:val="left"/>
              <w:rPr>
                <w:rFonts w:hint="eastAsia" w:ascii="宋体" w:hAnsi="宋体" w:cstheme="minorEastAsia"/>
                <w:color w:val="auto"/>
                <w:sz w:val="24"/>
                <w:highlight w:val="none"/>
              </w:rPr>
            </w:pPr>
            <w:r>
              <w:rPr>
                <w:rFonts w:hint="eastAsia" w:ascii="宋体" w:hAnsi="宋体" w:cstheme="minorEastAsia"/>
                <w:color w:val="auto"/>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26A4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2160535">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24.1.1</w:t>
            </w:r>
          </w:p>
        </w:tc>
        <w:tc>
          <w:tcPr>
            <w:tcW w:w="1701" w:type="dxa"/>
            <w:vAlign w:val="center"/>
          </w:tcPr>
          <w:p w14:paraId="10CAED87">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询问</w:t>
            </w:r>
          </w:p>
        </w:tc>
        <w:tc>
          <w:tcPr>
            <w:tcW w:w="7253" w:type="dxa"/>
            <w:vAlign w:val="center"/>
          </w:tcPr>
          <w:p w14:paraId="01229404">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询问提出形式：请与华采招标集团有限公司联系（质疑函请采用政府采购供应商质疑函范本格式，以书面形式在法定质疑期内一次性提出针对同一采购程序环节的质疑）。</w:t>
            </w:r>
          </w:p>
        </w:tc>
      </w:tr>
      <w:tr w14:paraId="383A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EDC0D96">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24.3</w:t>
            </w:r>
          </w:p>
        </w:tc>
        <w:tc>
          <w:tcPr>
            <w:tcW w:w="1701" w:type="dxa"/>
            <w:vAlign w:val="center"/>
          </w:tcPr>
          <w:p w14:paraId="1389B7AF">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联系方式</w:t>
            </w:r>
          </w:p>
        </w:tc>
        <w:tc>
          <w:tcPr>
            <w:tcW w:w="7253" w:type="dxa"/>
            <w:vAlign w:val="center"/>
          </w:tcPr>
          <w:p w14:paraId="12A8A5EA">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接收询问和质疑的联系方式</w:t>
            </w:r>
          </w:p>
          <w:p w14:paraId="5B7CDEA0">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联系部门：</w:t>
            </w:r>
            <w:r>
              <w:rPr>
                <w:rFonts w:hint="eastAsia" w:ascii="宋体" w:hAnsi="宋体" w:cstheme="minorEastAsia"/>
                <w:color w:val="auto"/>
                <w:sz w:val="24"/>
                <w:highlight w:val="none"/>
                <w:u w:val="single"/>
              </w:rPr>
              <w:t>华采招标集团有限公司-南区招标事业部</w:t>
            </w:r>
            <w:r>
              <w:rPr>
                <w:rFonts w:hint="eastAsia" w:ascii="宋体" w:hAnsi="宋体" w:cstheme="minorEastAsia"/>
                <w:color w:val="auto"/>
                <w:sz w:val="24"/>
                <w:highlight w:val="none"/>
              </w:rPr>
              <w:t>；</w:t>
            </w:r>
          </w:p>
          <w:p w14:paraId="60758AD2">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联系电话：</w:t>
            </w:r>
            <w:r>
              <w:rPr>
                <w:rFonts w:hint="eastAsia" w:ascii="宋体" w:hAnsi="宋体" w:cstheme="minorEastAsia"/>
                <w:color w:val="auto"/>
                <w:sz w:val="24"/>
                <w:highlight w:val="none"/>
                <w:u w:val="single"/>
              </w:rPr>
              <w:t>18612287807/7813；</w:t>
            </w:r>
          </w:p>
          <w:p w14:paraId="63702348">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通讯地址：</w:t>
            </w:r>
            <w:r>
              <w:rPr>
                <w:rFonts w:hint="eastAsia" w:ascii="宋体" w:hAnsi="宋体" w:cstheme="minorEastAsia"/>
                <w:color w:val="auto"/>
                <w:sz w:val="24"/>
                <w:highlight w:val="none"/>
                <w:u w:val="single"/>
              </w:rPr>
              <w:t>北京市丰台区广安路9号国投财富广场6号楼1601室。</w:t>
            </w:r>
          </w:p>
        </w:tc>
      </w:tr>
      <w:tr w14:paraId="3E53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988" w:type="dxa"/>
            <w:vAlign w:val="center"/>
          </w:tcPr>
          <w:p w14:paraId="516E5311">
            <w:pPr>
              <w:pStyle w:val="24"/>
              <w:adjustRightInd w:val="0"/>
              <w:snapToGrid w:val="0"/>
              <w:jc w:val="center"/>
              <w:rPr>
                <w:rFonts w:hAnsi="宋体" w:cstheme="minorEastAsia"/>
                <w:color w:val="auto"/>
                <w:sz w:val="24"/>
                <w:szCs w:val="24"/>
                <w:highlight w:val="none"/>
              </w:rPr>
            </w:pPr>
            <w:r>
              <w:rPr>
                <w:rFonts w:hAnsi="宋体" w:cstheme="minorEastAsia"/>
                <w:color w:val="auto"/>
                <w:sz w:val="24"/>
                <w:szCs w:val="24"/>
                <w:highlight w:val="none"/>
              </w:rPr>
              <w:t>25</w:t>
            </w:r>
          </w:p>
        </w:tc>
        <w:tc>
          <w:tcPr>
            <w:tcW w:w="1701" w:type="dxa"/>
            <w:vAlign w:val="center"/>
          </w:tcPr>
          <w:p w14:paraId="23F10AA7">
            <w:pPr>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代理费</w:t>
            </w:r>
          </w:p>
        </w:tc>
        <w:tc>
          <w:tcPr>
            <w:tcW w:w="7253" w:type="dxa"/>
            <w:vAlign w:val="center"/>
          </w:tcPr>
          <w:p w14:paraId="31DC79AE">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收费对象：</w:t>
            </w:r>
          </w:p>
          <w:p w14:paraId="645FCBC3">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□采购人</w:t>
            </w:r>
          </w:p>
          <w:p w14:paraId="010DB1CD">
            <w:pPr>
              <w:jc w:val="left"/>
              <w:rPr>
                <w:rFonts w:hint="eastAsia" w:ascii="宋体" w:hAnsi="宋体" w:cstheme="minorEastAsia"/>
                <w:color w:val="auto"/>
                <w:sz w:val="24"/>
                <w:highlight w:val="none"/>
              </w:rPr>
            </w:pPr>
            <w:r>
              <w:rPr>
                <w:rFonts w:ascii="Segoe UI Symbol" w:hAnsi="Segoe UI Symbol" w:cs="Segoe UI Symbol"/>
                <w:color w:val="auto"/>
                <w:sz w:val="24"/>
                <w:highlight w:val="none"/>
              </w:rPr>
              <w:t>☑</w:t>
            </w:r>
            <w:r>
              <w:rPr>
                <w:rFonts w:hint="eastAsia" w:ascii="宋体" w:hAnsi="宋体" w:cstheme="minorEastAsia"/>
                <w:color w:val="auto"/>
                <w:sz w:val="24"/>
                <w:highlight w:val="none"/>
              </w:rPr>
              <w:t>成交供应商</w:t>
            </w:r>
          </w:p>
          <w:p w14:paraId="25294449">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收费标准：以中标价为基数计取，参照《国家计委关于印发&lt;招标代理服务收费管理暂行办法&gt;的通知》（计价格[2002]1980号）中对应的服务内容及费率进行收费。招标代理服务费以实际中标价为基数计算最终代理服务费；</w:t>
            </w:r>
          </w:p>
          <w:p w14:paraId="3B2D682E">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drawing>
                <wp:inline distT="0" distB="0" distL="114300" distR="114300">
                  <wp:extent cx="3540760" cy="298132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7"/>
                          <a:stretch>
                            <a:fillRect/>
                          </a:stretch>
                        </pic:blipFill>
                        <pic:spPr>
                          <a:xfrm>
                            <a:off x="0" y="0"/>
                            <a:ext cx="3540760" cy="2981325"/>
                          </a:xfrm>
                          <a:prstGeom prst="rect">
                            <a:avLst/>
                          </a:prstGeom>
                          <a:noFill/>
                          <a:ln>
                            <a:noFill/>
                          </a:ln>
                        </pic:spPr>
                      </pic:pic>
                    </a:graphicData>
                  </a:graphic>
                </wp:inline>
              </w:drawing>
            </w:r>
          </w:p>
          <w:p w14:paraId="15009D25">
            <w:pPr>
              <w:jc w:val="left"/>
              <w:rPr>
                <w:rFonts w:hint="eastAsia" w:ascii="宋体" w:hAnsi="宋体" w:cstheme="minorEastAsia"/>
                <w:color w:val="auto"/>
                <w:sz w:val="24"/>
                <w:highlight w:val="none"/>
              </w:rPr>
            </w:pPr>
            <w:r>
              <w:rPr>
                <w:rFonts w:hint="eastAsia" w:ascii="宋体" w:hAnsi="宋体" w:cstheme="minorEastAsia"/>
                <w:color w:val="auto"/>
                <w:sz w:val="24"/>
                <w:highlight w:val="none"/>
              </w:rPr>
              <w:t>缴纳时间：招标完成后，一次性付清。</w:t>
            </w:r>
          </w:p>
        </w:tc>
      </w:tr>
    </w:tbl>
    <w:p w14:paraId="29D22312">
      <w:pPr>
        <w:tabs>
          <w:tab w:val="left" w:pos="5580"/>
        </w:tabs>
        <w:adjustRightInd w:val="0"/>
        <w:spacing w:line="360" w:lineRule="auto"/>
        <w:jc w:val="distribute"/>
        <w:rPr>
          <w:rFonts w:hint="eastAsia" w:ascii="宋体" w:hAnsi="宋体" w:cstheme="minorEastAsia"/>
          <w:sz w:val="24"/>
          <w:highlight w:val="none"/>
        </w:rPr>
        <w:sectPr>
          <w:footerReference r:id="rId10" w:type="first"/>
          <w:footerReference r:id="rId9" w:type="default"/>
          <w:pgSz w:w="11907" w:h="16840"/>
          <w:pgMar w:top="1418" w:right="1134" w:bottom="1418" w:left="1701" w:header="851" w:footer="851" w:gutter="0"/>
          <w:pgNumType w:start="1"/>
          <w:cols w:space="720" w:num="1"/>
          <w:titlePg/>
          <w:docGrid w:linePitch="462" w:charSpace="0"/>
        </w:sectPr>
      </w:pPr>
    </w:p>
    <w:p w14:paraId="1F6D7344">
      <w:pPr>
        <w:spacing w:before="240" w:beforeLines="100" w:after="240" w:afterLines="100"/>
        <w:jc w:val="center"/>
        <w:rPr>
          <w:rFonts w:hint="eastAsia" w:ascii="宋体" w:hAnsi="宋体" w:cstheme="minorEastAsia"/>
          <w:b/>
          <w:sz w:val="28"/>
          <w:szCs w:val="28"/>
          <w:highlight w:val="none"/>
        </w:rPr>
      </w:pPr>
      <w:r>
        <w:rPr>
          <w:rFonts w:hint="eastAsia" w:ascii="宋体" w:hAnsi="宋体" w:cstheme="minorEastAsia"/>
          <w:b/>
          <w:sz w:val="28"/>
          <w:szCs w:val="28"/>
          <w:highlight w:val="none"/>
        </w:rPr>
        <w:t>供应商须知</w:t>
      </w:r>
    </w:p>
    <w:p w14:paraId="0988B6D9">
      <w:pPr>
        <w:pStyle w:val="3"/>
        <w:tabs>
          <w:tab w:val="center" w:pos="4592"/>
          <w:tab w:val="left" w:pos="7860"/>
        </w:tabs>
        <w:spacing w:before="0" w:line="360" w:lineRule="auto"/>
        <w:jc w:val="left"/>
        <w:rPr>
          <w:rFonts w:hint="eastAsia" w:ascii="宋体" w:hAnsi="宋体" w:eastAsia="宋体" w:cstheme="minorEastAsia"/>
          <w:sz w:val="28"/>
          <w:highlight w:val="none"/>
        </w:rPr>
      </w:pPr>
      <w:bookmarkStart w:id="76" w:name="_Toc520356143"/>
      <w:bookmarkStart w:id="77" w:name="_Toc127151518"/>
      <w:r>
        <w:rPr>
          <w:rFonts w:hint="eastAsia" w:ascii="宋体" w:hAnsi="宋体" w:eastAsia="宋体" w:cstheme="minorEastAsia"/>
          <w:sz w:val="28"/>
          <w:highlight w:val="none"/>
        </w:rPr>
        <w:tab/>
      </w:r>
      <w:bookmarkStart w:id="78" w:name="_Toc151193616"/>
      <w:bookmarkStart w:id="79" w:name="_Toc305158860"/>
      <w:bookmarkStart w:id="80" w:name="_Toc151193906"/>
      <w:bookmarkStart w:id="81" w:name="_Toc305158786"/>
      <w:bookmarkStart w:id="82" w:name="_Toc151193760"/>
      <w:bookmarkStart w:id="83" w:name="_Toc226337214"/>
      <w:bookmarkStart w:id="84" w:name="_Toc226965791"/>
      <w:bookmarkStart w:id="85" w:name="_Toc195842883"/>
      <w:bookmarkStart w:id="86" w:name="_Toc142311020"/>
      <w:bookmarkStart w:id="87" w:name="_Toc226309762"/>
      <w:bookmarkStart w:id="88" w:name="_Toc151190145"/>
      <w:bookmarkStart w:id="89" w:name="_Toc150509269"/>
      <w:bookmarkStart w:id="90" w:name="_Toc150774723"/>
      <w:bookmarkStart w:id="91" w:name="_Toc150480756"/>
      <w:bookmarkStart w:id="92" w:name="_Toc264969208"/>
      <w:bookmarkStart w:id="93" w:name="_Toc226965708"/>
      <w:bookmarkStart w:id="94" w:name="_Toc151193688"/>
      <w:bookmarkStart w:id="95" w:name="_Toc265228356"/>
      <w:bookmarkStart w:id="96" w:name="_Toc151193832"/>
      <w:bookmarkStart w:id="97" w:name="_Toc150774618"/>
      <w:r>
        <w:rPr>
          <w:rFonts w:hint="eastAsia" w:ascii="宋体" w:hAnsi="宋体" w:eastAsia="宋体" w:cstheme="minorEastAsia"/>
          <w:sz w:val="28"/>
          <w:highlight w:val="none"/>
        </w:rPr>
        <w:t>一   说  明</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Fonts w:hint="eastAsia" w:ascii="宋体" w:hAnsi="宋体" w:eastAsia="宋体" w:cstheme="minorEastAsia"/>
          <w:sz w:val="28"/>
          <w:highlight w:val="none"/>
        </w:rPr>
        <w:tab/>
      </w:r>
    </w:p>
    <w:p w14:paraId="5368B450">
      <w:pPr>
        <w:numPr>
          <w:ilvl w:val="0"/>
          <w:numId w:val="8"/>
        </w:numPr>
        <w:tabs>
          <w:tab w:val="left" w:pos="360"/>
          <w:tab w:val="clear" w:pos="900"/>
        </w:tabs>
        <w:snapToGrid w:val="0"/>
        <w:spacing w:line="360" w:lineRule="auto"/>
        <w:ind w:left="357" w:hanging="357"/>
        <w:outlineLvl w:val="1"/>
        <w:rPr>
          <w:rFonts w:hint="eastAsia" w:ascii="宋体" w:hAnsi="宋体" w:cstheme="minorEastAsia"/>
          <w:sz w:val="24"/>
          <w:highlight w:val="none"/>
        </w:rPr>
      </w:pPr>
      <w:bookmarkStart w:id="98" w:name="_Toc264969209"/>
      <w:bookmarkStart w:id="99" w:name="_Toc305158861"/>
      <w:bookmarkStart w:id="100" w:name="_Toc265228357"/>
      <w:bookmarkStart w:id="101" w:name="_Toc305158787"/>
      <w:r>
        <w:rPr>
          <w:rFonts w:hint="eastAsia" w:ascii="宋体" w:hAnsi="宋体" w:cstheme="minorEastAsia"/>
          <w:sz w:val="24"/>
          <w:highlight w:val="none"/>
        </w:rPr>
        <w:t>采购人、采购代理机构、供应商</w:t>
      </w:r>
      <w:bookmarkEnd w:id="98"/>
      <w:bookmarkEnd w:id="99"/>
      <w:bookmarkEnd w:id="100"/>
      <w:bookmarkEnd w:id="101"/>
      <w:r>
        <w:rPr>
          <w:rFonts w:hint="eastAsia" w:ascii="宋体" w:hAnsi="宋体" w:cstheme="minorEastAsia"/>
          <w:sz w:val="24"/>
          <w:highlight w:val="none"/>
        </w:rPr>
        <w:t>、联合体</w:t>
      </w:r>
    </w:p>
    <w:p w14:paraId="20573639">
      <w:pPr>
        <w:numPr>
          <w:ilvl w:val="1"/>
          <w:numId w:val="8"/>
        </w:numPr>
        <w:tabs>
          <w:tab w:val="left" w:pos="1080"/>
          <w:tab w:val="left" w:pos="2014"/>
          <w:tab w:val="left" w:pos="5521"/>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采购人、采购代理机构：指依法进行政府采购的国家机关、事业单位、团体组织，及其委托的采购代理机构。本项目采购人、采购代理机构见第一章《采购邀请》。</w:t>
      </w:r>
    </w:p>
    <w:p w14:paraId="53BEDE23">
      <w:pPr>
        <w:numPr>
          <w:ilvl w:val="1"/>
          <w:numId w:val="8"/>
        </w:numPr>
        <w:tabs>
          <w:tab w:val="left" w:pos="1080"/>
          <w:tab w:val="left" w:pos="2014"/>
          <w:tab w:val="left" w:pos="5521"/>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供应商（也称“申请人”）：指向采购人提供货物、工程或者服务的法人、其他组织或者自然人。</w:t>
      </w:r>
    </w:p>
    <w:p w14:paraId="025632BB">
      <w:pPr>
        <w:numPr>
          <w:ilvl w:val="1"/>
          <w:numId w:val="8"/>
        </w:numPr>
        <w:tabs>
          <w:tab w:val="left" w:pos="1080"/>
          <w:tab w:val="left" w:pos="2014"/>
          <w:tab w:val="left" w:pos="5521"/>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联合体：指两个以上的自然人、法人或者其他组织组成一个联合体，以一个供应商的身份共同参加政府采购。</w:t>
      </w:r>
    </w:p>
    <w:p w14:paraId="358E1929">
      <w:pPr>
        <w:numPr>
          <w:ilvl w:val="0"/>
          <w:numId w:val="8"/>
        </w:numPr>
        <w:tabs>
          <w:tab w:val="left" w:pos="360"/>
          <w:tab w:val="clear" w:pos="900"/>
        </w:tabs>
        <w:snapToGrid w:val="0"/>
        <w:spacing w:line="360" w:lineRule="auto"/>
        <w:ind w:left="357" w:hanging="357"/>
        <w:outlineLvl w:val="1"/>
        <w:rPr>
          <w:rFonts w:hint="eastAsia" w:ascii="宋体" w:hAnsi="宋体" w:cstheme="minorEastAsia"/>
          <w:sz w:val="24"/>
          <w:highlight w:val="none"/>
        </w:rPr>
      </w:pPr>
      <w:bookmarkStart w:id="102" w:name="_Toc127161434"/>
      <w:bookmarkStart w:id="103" w:name="_Toc150774620"/>
      <w:bookmarkStart w:id="104" w:name="_Toc164608634"/>
      <w:bookmarkStart w:id="105" w:name="_Toc226337216"/>
      <w:bookmarkStart w:id="106" w:name="_Toc150480758"/>
      <w:bookmarkStart w:id="107" w:name="_Toc127151520"/>
      <w:bookmarkStart w:id="108" w:name="_Toc305158862"/>
      <w:bookmarkStart w:id="109" w:name="_Toc264969210"/>
      <w:bookmarkStart w:id="110" w:name="_Toc265228358"/>
      <w:bookmarkStart w:id="111" w:name="_Toc151193834"/>
      <w:bookmarkStart w:id="112" w:name="_Toc164608789"/>
      <w:bookmarkStart w:id="113" w:name="_Toc142311022"/>
      <w:bookmarkStart w:id="114" w:name="_Toc151193618"/>
      <w:bookmarkStart w:id="115" w:name="_Toc151193908"/>
      <w:bookmarkStart w:id="116" w:name="_Toc151190147"/>
      <w:bookmarkStart w:id="117" w:name="_Toc151193690"/>
      <w:bookmarkStart w:id="118" w:name="_Toc164229215"/>
      <w:bookmarkStart w:id="119" w:name="_Toc149720813"/>
      <w:bookmarkStart w:id="120" w:name="_Toc226309764"/>
      <w:bookmarkStart w:id="121" w:name="_Toc127151721"/>
      <w:bookmarkStart w:id="122" w:name="_Toc195842885"/>
      <w:bookmarkStart w:id="123" w:name="_Toc151193762"/>
      <w:bookmarkStart w:id="124" w:name="_Toc150774725"/>
      <w:bookmarkStart w:id="125" w:name="_Toc305158788"/>
      <w:bookmarkStart w:id="126" w:name="_Toc150509271"/>
      <w:bookmarkStart w:id="127" w:name="_Toc226965710"/>
      <w:bookmarkStart w:id="128" w:name="_Toc226965793"/>
      <w:bookmarkStart w:id="129" w:name="_Toc164351614"/>
      <w:bookmarkStart w:id="130" w:name="_Toc164229361"/>
      <w:r>
        <w:rPr>
          <w:rFonts w:hint="eastAsia" w:ascii="宋体" w:hAnsi="宋体" w:cstheme="minorEastAsia"/>
          <w:sz w:val="24"/>
          <w:highlight w:val="none"/>
        </w:rPr>
        <w:t>资金来源</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hint="eastAsia" w:ascii="宋体" w:hAnsi="宋体" w:cstheme="minorEastAsia"/>
          <w:sz w:val="24"/>
          <w:highlight w:val="none"/>
        </w:rPr>
        <w:t>、项目属性、科研仪器设备采购</w:t>
      </w:r>
    </w:p>
    <w:p w14:paraId="5CE6EB30">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资金来源为财政性资金和/或本项目采购中无法与财政性资金分割的非财政性资金。</w:t>
      </w:r>
    </w:p>
    <w:p w14:paraId="64B38DD7">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项目属性见《供应商须知资料表》。</w:t>
      </w:r>
    </w:p>
    <w:p w14:paraId="003DBE4D">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是否属于科研仪器设备采购见《供应商须知资料表》。</w:t>
      </w:r>
    </w:p>
    <w:p w14:paraId="55BB67D0">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现场考察、磋商前答疑会</w:t>
      </w:r>
    </w:p>
    <w:p w14:paraId="071F4373">
      <w:pPr>
        <w:numPr>
          <w:ilvl w:val="1"/>
          <w:numId w:val="8"/>
        </w:numPr>
        <w:tabs>
          <w:tab w:val="left" w:pos="1080"/>
          <w:tab w:val="left" w:pos="2014"/>
        </w:tabs>
        <w:snapToGrid w:val="0"/>
        <w:spacing w:line="360" w:lineRule="auto"/>
        <w:ind w:left="1080" w:hanging="720"/>
        <w:rPr>
          <w:rFonts w:hint="eastAsia" w:ascii="宋体" w:hAnsi="宋体" w:cstheme="minorEastAsia"/>
          <w:sz w:val="28"/>
          <w:highlight w:val="none"/>
        </w:rPr>
      </w:pPr>
      <w:r>
        <w:rPr>
          <w:rFonts w:hint="eastAsia" w:ascii="宋体" w:hAnsi="宋体" w:cstheme="minorEastAsia"/>
          <w:sz w:val="24"/>
          <w:highlight w:val="none"/>
        </w:rPr>
        <w:t>若《供应商须知资料表》中规定了组织现场考察、召开磋商前答疑会，则供应商应按要求在规定的时间和地点参加。</w:t>
      </w:r>
      <w:bookmarkStart w:id="131" w:name="_Toc151193692"/>
      <w:bookmarkStart w:id="132" w:name="_Toc264969212"/>
      <w:bookmarkStart w:id="133" w:name="_Toc226965712"/>
      <w:bookmarkStart w:id="134" w:name="_Toc142311024"/>
      <w:bookmarkStart w:id="135" w:name="_Toc226337218"/>
      <w:bookmarkStart w:id="136" w:name="_Toc151193764"/>
      <w:bookmarkStart w:id="137" w:name="_Toc305158790"/>
      <w:bookmarkStart w:id="138" w:name="_Toc305158864"/>
      <w:bookmarkStart w:id="139" w:name="_Toc150480760"/>
      <w:bookmarkStart w:id="140" w:name="_Toc150774727"/>
      <w:bookmarkStart w:id="141" w:name="_Toc151193836"/>
      <w:bookmarkStart w:id="142" w:name="_Toc226309766"/>
      <w:bookmarkStart w:id="143" w:name="_Toc151193620"/>
      <w:bookmarkStart w:id="144" w:name="_Toc150774622"/>
      <w:bookmarkStart w:id="145" w:name="_Toc151193910"/>
      <w:bookmarkStart w:id="146" w:name="_Toc195842887"/>
      <w:bookmarkStart w:id="147" w:name="_Toc150509273"/>
      <w:bookmarkStart w:id="148" w:name="_Toc151190149"/>
      <w:bookmarkStart w:id="149" w:name="_Toc127151522"/>
      <w:bookmarkStart w:id="150" w:name="_Toc265228360"/>
      <w:bookmarkStart w:id="151" w:name="_Toc226965795"/>
      <w:bookmarkStart w:id="152" w:name="_Toc520356146"/>
    </w:p>
    <w:p w14:paraId="53C41AD7">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由于未参加现场考察或磋商前答疑会而导致对项目实际情况不了解，影响响应文件编制、报价准确性、综合因素响应不全面等问题的，由供应商自行承担不利评审后果。</w:t>
      </w:r>
    </w:p>
    <w:p w14:paraId="696C9C07">
      <w:pPr>
        <w:numPr>
          <w:ilvl w:val="0"/>
          <w:numId w:val="8"/>
        </w:numPr>
        <w:tabs>
          <w:tab w:val="left" w:pos="360"/>
          <w:tab w:val="clear" w:pos="90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政府采购政策（包括但不限于下列具体政策要求）</w:t>
      </w:r>
    </w:p>
    <w:p w14:paraId="598F35BE">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采购本国货物、工程和服务</w:t>
      </w:r>
    </w:p>
    <w:p w14:paraId="770BE006">
      <w:pPr>
        <w:numPr>
          <w:ilvl w:val="2"/>
          <w:numId w:val="8"/>
        </w:numPr>
        <w:tabs>
          <w:tab w:val="left" w:pos="2014"/>
        </w:tabs>
        <w:snapToGrid w:val="0"/>
        <w:spacing w:line="360" w:lineRule="auto"/>
        <w:rPr>
          <w:rFonts w:hint="eastAsia" w:ascii="宋体" w:hAnsi="宋体" w:cstheme="minorEastAsia"/>
          <w:sz w:val="24"/>
          <w:highlight w:val="none"/>
        </w:rPr>
      </w:pPr>
      <w:r>
        <w:rPr>
          <w:rFonts w:hint="eastAsia" w:ascii="宋体" w:hAnsi="宋体" w:cstheme="minorEastAsia"/>
          <w:kern w:val="0"/>
          <w:sz w:val="24"/>
          <w:highlight w:val="none"/>
        </w:rPr>
        <w:t>政府采购应当采购本国货物、工程和服务。但有《</w:t>
      </w:r>
      <w:r>
        <w:rPr>
          <w:rFonts w:hint="eastAsia" w:ascii="宋体" w:hAnsi="宋体" w:cstheme="minorEastAsia"/>
          <w:b/>
          <w:kern w:val="0"/>
          <w:sz w:val="24"/>
          <w:highlight w:val="none"/>
        </w:rPr>
        <w:t>中华人民共和国政府采购法</w:t>
      </w:r>
      <w:r>
        <w:rPr>
          <w:rFonts w:hint="eastAsia" w:ascii="宋体" w:hAnsi="宋体" w:cstheme="minorEastAsia"/>
          <w:kern w:val="0"/>
          <w:sz w:val="24"/>
          <w:highlight w:val="none"/>
        </w:rPr>
        <w:t>》第十条规定情形的除外。</w:t>
      </w:r>
    </w:p>
    <w:p w14:paraId="31707D2D">
      <w:pPr>
        <w:numPr>
          <w:ilvl w:val="2"/>
          <w:numId w:val="8"/>
        </w:numPr>
        <w:tabs>
          <w:tab w:val="left" w:pos="2014"/>
        </w:tabs>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本项目如接受非本国货物、工程、服务参与响应，则具体要求见第四章《采购需求》。</w:t>
      </w:r>
    </w:p>
    <w:p w14:paraId="499BD89E">
      <w:pPr>
        <w:numPr>
          <w:ilvl w:val="2"/>
          <w:numId w:val="8"/>
        </w:numPr>
        <w:tabs>
          <w:tab w:val="left" w:pos="2014"/>
        </w:tabs>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3ED37904">
      <w:pPr>
        <w:numPr>
          <w:ilvl w:val="1"/>
          <w:numId w:val="8"/>
        </w:numPr>
        <w:tabs>
          <w:tab w:val="left" w:pos="1080"/>
        </w:tabs>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本国产品</w:t>
      </w:r>
    </w:p>
    <w:p w14:paraId="3966F41E">
      <w:pPr>
        <w:tabs>
          <w:tab w:val="left" w:pos="1080"/>
          <w:tab w:val="left" w:pos="2014"/>
        </w:tabs>
        <w:snapToGrid w:val="0"/>
        <w:spacing w:line="360" w:lineRule="auto"/>
        <w:ind w:left="1080"/>
        <w:rPr>
          <w:rFonts w:hint="eastAsia" w:ascii="宋体" w:hAnsi="宋体" w:cstheme="minorEastAsia"/>
          <w:sz w:val="24"/>
          <w:highlight w:val="none"/>
        </w:rPr>
      </w:pPr>
      <w:r>
        <w:rPr>
          <w:rFonts w:hint="eastAsia" w:ascii="宋体" w:hAnsi="宋体" w:cstheme="minor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标准。</w:t>
      </w:r>
    </w:p>
    <w:p w14:paraId="49CBC512">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中小企业、监狱企业及残疾人福利性单位</w:t>
      </w:r>
    </w:p>
    <w:p w14:paraId="5C6D65FB">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中小企业定义：</w:t>
      </w:r>
    </w:p>
    <w:p w14:paraId="2BD35C4C">
      <w:pPr>
        <w:pStyle w:val="75"/>
        <w:numPr>
          <w:ilvl w:val="0"/>
          <w:numId w:val="9"/>
        </w:numPr>
        <w:tabs>
          <w:tab w:val="left" w:pos="1589"/>
          <w:tab w:val="left" w:pos="1980"/>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6EF91F1B">
      <w:pPr>
        <w:pStyle w:val="75"/>
        <w:numPr>
          <w:ilvl w:val="0"/>
          <w:numId w:val="9"/>
        </w:numPr>
        <w:tabs>
          <w:tab w:val="left" w:pos="1589"/>
          <w:tab w:val="left" w:pos="1980"/>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4C61406B">
      <w:pPr>
        <w:pStyle w:val="75"/>
        <w:numPr>
          <w:ilvl w:val="0"/>
          <w:numId w:val="9"/>
        </w:numPr>
        <w:tabs>
          <w:tab w:val="left" w:pos="1589"/>
          <w:tab w:val="left" w:pos="1980"/>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31A37D24">
      <w:pPr>
        <w:pStyle w:val="75"/>
        <w:numPr>
          <w:ilvl w:val="0"/>
          <w:numId w:val="9"/>
        </w:numPr>
        <w:tabs>
          <w:tab w:val="left" w:pos="1589"/>
          <w:tab w:val="left" w:pos="1980"/>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7507DD4E">
      <w:pPr>
        <w:pStyle w:val="75"/>
        <w:numPr>
          <w:ilvl w:val="1"/>
          <w:numId w:val="9"/>
        </w:numPr>
        <w:tabs>
          <w:tab w:val="left" w:pos="900"/>
          <w:tab w:val="left" w:pos="1980"/>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5646B09F">
      <w:pPr>
        <w:pStyle w:val="75"/>
        <w:numPr>
          <w:ilvl w:val="1"/>
          <w:numId w:val="9"/>
        </w:numPr>
        <w:tabs>
          <w:tab w:val="left" w:pos="900"/>
          <w:tab w:val="left" w:pos="1980"/>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13DDE6D5">
      <w:pPr>
        <w:pStyle w:val="75"/>
        <w:numPr>
          <w:ilvl w:val="1"/>
          <w:numId w:val="9"/>
        </w:numPr>
        <w:tabs>
          <w:tab w:val="left" w:pos="900"/>
          <w:tab w:val="left" w:pos="1980"/>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6FB9C0B6">
      <w:pPr>
        <w:pStyle w:val="75"/>
        <w:numPr>
          <w:ilvl w:val="2"/>
          <w:numId w:val="9"/>
        </w:numPr>
        <w:tabs>
          <w:tab w:val="left" w:pos="900"/>
          <w:tab w:val="left" w:pos="1589"/>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5C362410">
      <w:pPr>
        <w:numPr>
          <w:ilvl w:val="3"/>
          <w:numId w:val="9"/>
        </w:numPr>
        <w:tabs>
          <w:tab w:val="left" w:pos="1589"/>
          <w:tab w:val="left" w:pos="1988"/>
          <w:tab w:val="left" w:pos="2035"/>
          <w:tab w:val="left" w:pos="2977"/>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判定依据《中华人民共和国中小企业促进法》、《关于进一步加大政府采购支持中小企业力度的通知》（财库〔2022〕19号）、《政府采购促进中小企业发展管理办法》（财库〔2020〕46号）、《关于印发中小企业划型标准规定的通知》（工信部联企业〔2011〕300 号）、《金融业企业划型标准规定》（银发〔2015〕309 号）等国务院批准的中小企业划分标准执行。</w:t>
      </w:r>
    </w:p>
    <w:p w14:paraId="0F862972">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sz w:val="24"/>
          <w:highlight w:val="none"/>
        </w:rPr>
        <w:t>供应商提供的货物、工程或者服务符合下列情形的，享受中小企业扶持政策：</w:t>
      </w:r>
    </w:p>
    <w:p w14:paraId="7FC289FB">
      <w:pPr>
        <w:tabs>
          <w:tab w:val="left" w:pos="1980"/>
        </w:tabs>
        <w:snapToGrid w:val="0"/>
        <w:spacing w:line="360" w:lineRule="auto"/>
        <w:ind w:left="2835" w:leftChars="1350"/>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（1）在货物采购项目中，货物由中小企业制造，即货物由中小企业生产且使用该中小企业商号或者注册商标；</w:t>
      </w:r>
    </w:p>
    <w:p w14:paraId="6118F53D">
      <w:pPr>
        <w:tabs>
          <w:tab w:val="left" w:pos="1980"/>
        </w:tabs>
        <w:snapToGrid w:val="0"/>
        <w:spacing w:line="360" w:lineRule="auto"/>
        <w:ind w:left="2835" w:leftChars="1350"/>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（2）在工程采购项目中，工程由中小企业承建，即工程施工单位为中小企业；</w:t>
      </w:r>
    </w:p>
    <w:p w14:paraId="3D2FC125">
      <w:pPr>
        <w:tabs>
          <w:tab w:val="left" w:pos="1980"/>
        </w:tabs>
        <w:snapToGrid w:val="0"/>
        <w:spacing w:line="360" w:lineRule="auto"/>
        <w:ind w:left="2835" w:leftChars="1350"/>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697D84EC">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sz w:val="24"/>
          <w:highlight w:val="none"/>
        </w:rPr>
      </w:pPr>
      <w:r>
        <w:rPr>
          <w:rFonts w:hint="eastAsia" w:ascii="宋体" w:hAnsi="宋体" w:cstheme="minorEastAsia"/>
          <w:sz w:val="24"/>
          <w:highlight w:val="none"/>
        </w:rPr>
        <w:t>在货物采购项目中，供应商提供的货物既有中小企业制造货物，也有大型企业制造货物的，不享受中小企业扶持政策。</w:t>
      </w:r>
    </w:p>
    <w:p w14:paraId="37FCB0DD">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sz w:val="24"/>
          <w:highlight w:val="none"/>
        </w:rPr>
      </w:pPr>
      <w:r>
        <w:rPr>
          <w:rFonts w:hint="eastAsia" w:ascii="宋体" w:hAnsi="宋体" w:cstheme="minorEastAsia"/>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3F223EB2">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7AAF9A58">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444D388">
      <w:pPr>
        <w:pStyle w:val="75"/>
        <w:numPr>
          <w:ilvl w:val="2"/>
          <w:numId w:val="9"/>
        </w:numPr>
        <w:tabs>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0A037ECC">
      <w:pPr>
        <w:pStyle w:val="75"/>
        <w:numPr>
          <w:ilvl w:val="2"/>
          <w:numId w:val="9"/>
        </w:numPr>
        <w:tabs>
          <w:tab w:val="left" w:pos="2035"/>
          <w:tab w:val="left" w:pos="2977"/>
        </w:tabs>
        <w:snapToGrid w:val="0"/>
        <w:spacing w:line="360" w:lineRule="auto"/>
        <w:ind w:firstLineChars="0"/>
        <w:rPr>
          <w:rFonts w:hint="eastAsia" w:ascii="宋体" w:hAnsi="宋体" w:cstheme="minorEastAsia"/>
          <w:vanish/>
          <w:color w:val="000000" w:themeColor="text1"/>
          <w:sz w:val="24"/>
          <w:szCs w:val="24"/>
          <w:highlight w:val="none"/>
          <w14:textFill>
            <w14:solidFill>
              <w14:schemeClr w14:val="tx1"/>
            </w14:solidFill>
          </w14:textFill>
        </w:rPr>
      </w:pPr>
    </w:p>
    <w:p w14:paraId="30D5820F">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安置的残疾人占本单位在职职工人数的比例不低于25%（含25%），并且安置的残疾人人数不少于10 人（含10 人）；</w:t>
      </w:r>
    </w:p>
    <w:p w14:paraId="4AADE00F">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sz w:val="24"/>
          <w:highlight w:val="none"/>
        </w:rPr>
        <w:t>依法与安置的每位残疾人签订了一年以上（含一年）的劳动合同或服务协议；</w:t>
      </w:r>
    </w:p>
    <w:p w14:paraId="2F99C254">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sz w:val="24"/>
          <w:highlight w:val="none"/>
        </w:rPr>
        <w:t>为安置的每位残疾人按月足额缴纳了基本养老保险、基本医疗保险、失业保险、工伤保险和生育保险等社会保险费；</w:t>
      </w:r>
    </w:p>
    <w:p w14:paraId="6392A7E6">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sz w:val="24"/>
          <w:highlight w:val="none"/>
        </w:rPr>
        <w:t>通过银行等金融机构向安置的每位残疾人，按月支付了不低于单位所在区县适用的经省级人民政府批准的月最低工资标准的工资；</w:t>
      </w:r>
    </w:p>
    <w:p w14:paraId="774A5060">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sz w:val="24"/>
          <w:highlight w:val="none"/>
        </w:rPr>
        <w:t>提供本单位制造的货物、承担的工程或者服务（以下简称产品），或者提供其他残疾人福利性单位制造的货物（不包括使用非残疾人福利性单位注册商标的货物）；</w:t>
      </w:r>
    </w:p>
    <w:p w14:paraId="2F379536">
      <w:pPr>
        <w:numPr>
          <w:ilvl w:val="3"/>
          <w:numId w:val="9"/>
        </w:numPr>
        <w:tabs>
          <w:tab w:val="left" w:pos="1980"/>
          <w:tab w:val="left" w:pos="2035"/>
          <w:tab w:val="left" w:pos="2885"/>
          <w:tab w:val="left" w:pos="2977"/>
          <w:tab w:val="clear" w:pos="900"/>
        </w:tabs>
        <w:snapToGrid w:val="0"/>
        <w:spacing w:line="360" w:lineRule="auto"/>
        <w:ind w:left="288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3EBE3F4C">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本项目是否专门面向中小企业预留采购份额见第一章《采购邀请》。</w:t>
      </w:r>
    </w:p>
    <w:p w14:paraId="1C0DF408">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采购标的对应的中小企业划分标准所属行业见《供应商须知资料表》。</w:t>
      </w:r>
    </w:p>
    <w:p w14:paraId="6C53D10F">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小微企业价格评审优惠的政策调整：见第三章《评审方法和评审标准》。</w:t>
      </w:r>
    </w:p>
    <w:p w14:paraId="28092B57">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政府采购节能产品、环境标志产品</w:t>
      </w:r>
    </w:p>
    <w:p w14:paraId="7FC2F6DD">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264BE2E8">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2BF51DC1">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如本项目采购产品属于实施政府强制采购品目清单范围的节能产品，则供应商所报产品必须获得国家确定的认证机构出具的、处于有效期之内的节能产品认证证书，</w:t>
      </w:r>
      <w:r>
        <w:rPr>
          <w:rFonts w:hint="eastAsia" w:ascii="宋体" w:hAnsi="宋体" w:cstheme="minorEastAsia"/>
          <w:kern w:val="0"/>
          <w:sz w:val="24"/>
          <w:highlight w:val="none"/>
        </w:rPr>
        <w:t>否则</w:t>
      </w:r>
      <w:r>
        <w:rPr>
          <w:rFonts w:hint="eastAsia" w:ascii="宋体" w:hAnsi="宋体" w:cstheme="minorEastAsia"/>
          <w:b/>
          <w:kern w:val="0"/>
          <w:sz w:val="24"/>
          <w:highlight w:val="none"/>
        </w:rPr>
        <w:t>响应无效</w:t>
      </w:r>
      <w:r>
        <w:rPr>
          <w:rFonts w:hint="eastAsia" w:ascii="宋体" w:hAnsi="宋体" w:cstheme="minorEastAsia"/>
          <w:sz w:val="24"/>
          <w:highlight w:val="none"/>
        </w:rPr>
        <w:t>；</w:t>
      </w:r>
    </w:p>
    <w:p w14:paraId="484EFEF2">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非政府强制采购的节能产品或环境标志产品，依据品目清单和认证证书实施政府优先采购。优先采购的具体规定见第三章《评审方法和评审标准》（如涉及）。</w:t>
      </w:r>
    </w:p>
    <w:p w14:paraId="36E58244">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正版软件</w:t>
      </w:r>
    </w:p>
    <w:p w14:paraId="3B9A120F">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3491591F">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网络安全专用产品</w:t>
      </w:r>
    </w:p>
    <w:p w14:paraId="1FE21327">
      <w:pPr>
        <w:numPr>
          <w:ilvl w:val="2"/>
          <w:numId w:val="8"/>
        </w:numPr>
        <w:tabs>
          <w:tab w:val="left" w:pos="900"/>
          <w:tab w:val="left" w:pos="2014"/>
        </w:tabs>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根据《关于调整网络安全专用产品安全管理有关事项的公告》（2023年第1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7557410A">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推广使用低挥发性有机化合物（VOCs）</w:t>
      </w:r>
    </w:p>
    <w:p w14:paraId="1742BEC8">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hint="eastAsia" w:ascii="宋体" w:hAnsi="宋体" w:cstheme="minorEastAsia"/>
          <w:kern w:val="0"/>
          <w:sz w:val="24"/>
          <w:highlight w:val="none"/>
        </w:rPr>
        <w:t>否则</w:t>
      </w:r>
      <w:r>
        <w:rPr>
          <w:rFonts w:hint="eastAsia" w:ascii="宋体" w:hAnsi="宋体" w:cstheme="minorEastAsia"/>
          <w:b/>
          <w:kern w:val="0"/>
          <w:sz w:val="24"/>
          <w:highlight w:val="none"/>
        </w:rPr>
        <w:t>响应无效</w:t>
      </w:r>
      <w:r>
        <w:rPr>
          <w:rFonts w:hint="eastAsia" w:ascii="宋体" w:hAnsi="宋体" w:cstheme="minorEastAsia"/>
          <w:sz w:val="24"/>
          <w:highlight w:val="none"/>
        </w:rPr>
        <w:t>；属于推荐性标准的，优先采购，具体见第三章《评审方法和评审标准》。</w:t>
      </w:r>
    </w:p>
    <w:p w14:paraId="158EAA1A">
      <w:pPr>
        <w:numPr>
          <w:ilvl w:val="1"/>
          <w:numId w:val="8"/>
        </w:numPr>
        <w:tabs>
          <w:tab w:val="left" w:pos="1080"/>
        </w:tabs>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采购需求标准</w:t>
      </w:r>
    </w:p>
    <w:p w14:paraId="09C3EFFA">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商品包装、快递包装政府采购需求标准（试行）</w:t>
      </w:r>
    </w:p>
    <w:p w14:paraId="78C0B266">
      <w:pPr>
        <w:tabs>
          <w:tab w:val="left" w:pos="900"/>
          <w:tab w:val="left" w:pos="1980"/>
        </w:tabs>
        <w:snapToGrid w:val="0"/>
        <w:spacing w:line="360" w:lineRule="auto"/>
        <w:ind w:left="1985"/>
        <w:rPr>
          <w:rFonts w:hint="eastAsia" w:ascii="宋体" w:hAnsi="宋体" w:cstheme="minorEastAsia"/>
          <w:sz w:val="24"/>
          <w:highlight w:val="none"/>
        </w:rPr>
      </w:pPr>
      <w:r>
        <w:rPr>
          <w:rFonts w:hint="eastAsia" w:ascii="宋体" w:hAnsi="宋体" w:cstheme="minorEastAsia"/>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四章《采购需求》。</w:t>
      </w:r>
    </w:p>
    <w:p w14:paraId="1DE53BEB">
      <w:pPr>
        <w:numPr>
          <w:ilvl w:val="2"/>
          <w:numId w:val="8"/>
        </w:numPr>
        <w:tabs>
          <w:tab w:val="left" w:pos="2014"/>
        </w:tabs>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 xml:space="preserve">其他政府采购需求标准 </w:t>
      </w:r>
    </w:p>
    <w:p w14:paraId="3C0FE370">
      <w:pPr>
        <w:tabs>
          <w:tab w:val="left" w:pos="900"/>
          <w:tab w:val="left" w:pos="1980"/>
        </w:tabs>
        <w:snapToGrid w:val="0"/>
        <w:spacing w:line="360" w:lineRule="auto"/>
        <w:ind w:left="1980"/>
        <w:rPr>
          <w:rFonts w:hint="eastAsia" w:ascii="宋体" w:hAnsi="宋体" w:cstheme="minorEastAsia"/>
          <w:sz w:val="24"/>
          <w:highlight w:val="none"/>
        </w:rPr>
      </w:pPr>
      <w:r>
        <w:rPr>
          <w:rFonts w:hint="eastAsia" w:ascii="宋体" w:hAnsi="宋体" w:cstheme="minorEastAsia"/>
          <w:sz w:val="24"/>
          <w:highlight w:val="none"/>
        </w:rPr>
        <w:t>为贯彻落实《深化政府采购制度改革方案》有关要求，推动政府采购需求标准建设，</w:t>
      </w:r>
      <w:bookmarkStart w:id="153" w:name="_Hlk168431650"/>
      <w:r>
        <w:rPr>
          <w:rFonts w:hint="eastAsia" w:ascii="宋体" w:hAnsi="宋体" w:cstheme="minorEastAsia"/>
          <w:sz w:val="24"/>
          <w:highlight w:val="none"/>
        </w:rPr>
        <w:t>财政部门会同有关部门制定发布的</w:t>
      </w:r>
      <w:bookmarkEnd w:id="153"/>
      <w:r>
        <w:rPr>
          <w:rFonts w:hint="eastAsia" w:ascii="宋体" w:hAnsi="宋体" w:cstheme="minorEastAsia"/>
          <w:sz w:val="24"/>
          <w:highlight w:val="none"/>
        </w:rPr>
        <w:t>其他政府采购需求标准，本项目如涉及，则具体要求见第四章《采购需求》。</w:t>
      </w:r>
    </w:p>
    <w:p w14:paraId="37D06D42">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响应费用</w:t>
      </w:r>
    </w:p>
    <w:p w14:paraId="633CC5DC">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供应商应自行承担所有与准备和参加磋商有关的费用，无论磋商的结果如何，采购人或采购代理机构在任何情况下均无承担这些费用的义务和责任。</w:t>
      </w:r>
    </w:p>
    <w:p w14:paraId="5FB8E89A">
      <w:pPr>
        <w:tabs>
          <w:tab w:val="left" w:pos="1080"/>
        </w:tabs>
        <w:snapToGrid w:val="0"/>
        <w:spacing w:line="360" w:lineRule="auto"/>
        <w:ind w:left="1080"/>
        <w:rPr>
          <w:rFonts w:hint="eastAsia" w:ascii="宋体" w:hAnsi="宋体" w:cstheme="minorEastAsia"/>
          <w:sz w:val="28"/>
          <w:highlight w:val="none"/>
        </w:rPr>
      </w:pPr>
      <w:bookmarkStart w:id="154" w:name="_1.8_计量单位"/>
      <w:bookmarkEnd w:id="154"/>
    </w:p>
    <w:p w14:paraId="5E1699F6">
      <w:pPr>
        <w:pStyle w:val="3"/>
        <w:spacing w:before="0" w:line="360" w:lineRule="auto"/>
        <w:rPr>
          <w:rFonts w:hint="eastAsia" w:ascii="宋体" w:hAnsi="宋体" w:eastAsia="宋体" w:cstheme="minorEastAsia"/>
          <w:sz w:val="28"/>
          <w:highlight w:val="none"/>
        </w:rPr>
      </w:pPr>
      <w:r>
        <w:rPr>
          <w:rFonts w:hint="eastAsia" w:ascii="宋体" w:hAnsi="宋体" w:eastAsia="宋体" w:cstheme="minorEastAsia"/>
          <w:sz w:val="28"/>
          <w:highlight w:val="none"/>
        </w:rPr>
        <w:t>二   竞争性磋商文件</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05A737F0">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155" w:name="_Toc305158865"/>
      <w:bookmarkStart w:id="156" w:name="_Toc151193911"/>
      <w:bookmarkStart w:id="157" w:name="_Toc164608792"/>
      <w:bookmarkStart w:id="158" w:name="_Toc150774623"/>
      <w:bookmarkStart w:id="159" w:name="_Toc151193765"/>
      <w:bookmarkStart w:id="160" w:name="_Toc142311025"/>
      <w:bookmarkStart w:id="161" w:name="_Toc164229364"/>
      <w:bookmarkStart w:id="162" w:name="_Toc164229218"/>
      <w:bookmarkStart w:id="163" w:name="_Toc151193693"/>
      <w:bookmarkStart w:id="164" w:name="_Toc164608637"/>
      <w:bookmarkStart w:id="165" w:name="_Toc151193621"/>
      <w:bookmarkStart w:id="166" w:name="_Toc305158791"/>
      <w:bookmarkStart w:id="167" w:name="_Toc226965713"/>
      <w:bookmarkStart w:id="168" w:name="_Toc150480761"/>
      <w:bookmarkStart w:id="169" w:name="_Toc226965796"/>
      <w:bookmarkStart w:id="170" w:name="_Toc164351617"/>
      <w:bookmarkStart w:id="171" w:name="_Toc265228361"/>
      <w:bookmarkStart w:id="172" w:name="_Toc150509274"/>
      <w:bookmarkStart w:id="173" w:name="_Toc151190150"/>
      <w:bookmarkStart w:id="174" w:name="_Toc127161437"/>
      <w:bookmarkStart w:id="175" w:name="_Toc151193837"/>
      <w:bookmarkStart w:id="176" w:name="_Toc226337219"/>
      <w:bookmarkStart w:id="177" w:name="_Toc264969213"/>
      <w:bookmarkStart w:id="178" w:name="_Toc127151523"/>
      <w:bookmarkStart w:id="179" w:name="_Toc149720816"/>
      <w:bookmarkStart w:id="180" w:name="_Toc195842888"/>
      <w:bookmarkStart w:id="181" w:name="_Toc226309767"/>
      <w:bookmarkStart w:id="182" w:name="_Toc127151724"/>
      <w:bookmarkStart w:id="183" w:name="_Toc150774728"/>
      <w:bookmarkStart w:id="184" w:name="_Toc520356147"/>
      <w:r>
        <w:rPr>
          <w:rFonts w:hint="eastAsia" w:ascii="宋体" w:hAnsi="宋体" w:cstheme="minorEastAsia"/>
          <w:sz w:val="24"/>
          <w:highlight w:val="none"/>
        </w:rPr>
        <w:t>竞争性磋商文件构</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hint="eastAsia" w:ascii="宋体" w:hAnsi="宋体" w:cstheme="minorEastAsia"/>
          <w:sz w:val="24"/>
          <w:highlight w:val="none"/>
        </w:rPr>
        <w:t>成</w:t>
      </w:r>
    </w:p>
    <w:p w14:paraId="33DF07E8">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竞争性磋商文件包括以下部分：</w:t>
      </w:r>
    </w:p>
    <w:p w14:paraId="1F5B210B">
      <w:pPr>
        <w:numPr>
          <w:ilvl w:val="0"/>
          <w:numId w:val="10"/>
        </w:numPr>
        <w:tabs>
          <w:tab w:val="left" w:pos="1980"/>
          <w:tab w:val="left" w:pos="2520"/>
        </w:tabs>
        <w:snapToGrid w:val="0"/>
        <w:spacing w:line="360" w:lineRule="auto"/>
        <w:ind w:left="1440" w:firstLine="5"/>
        <w:rPr>
          <w:rFonts w:hint="eastAsia" w:ascii="宋体" w:hAnsi="宋体" w:cstheme="minorEastAsia"/>
          <w:sz w:val="24"/>
          <w:highlight w:val="none"/>
        </w:rPr>
      </w:pPr>
      <w:r>
        <w:rPr>
          <w:rFonts w:hint="eastAsia" w:ascii="宋体" w:hAnsi="宋体" w:cstheme="minorEastAsia"/>
          <w:sz w:val="24"/>
          <w:highlight w:val="none"/>
        </w:rPr>
        <w:t>采购邀请</w:t>
      </w:r>
    </w:p>
    <w:p w14:paraId="237EAA31">
      <w:pPr>
        <w:numPr>
          <w:ilvl w:val="0"/>
          <w:numId w:val="10"/>
        </w:numPr>
        <w:tabs>
          <w:tab w:val="left" w:pos="1980"/>
          <w:tab w:val="left" w:pos="2520"/>
        </w:tabs>
        <w:snapToGrid w:val="0"/>
        <w:spacing w:line="360" w:lineRule="auto"/>
        <w:ind w:left="1440" w:firstLine="5"/>
        <w:rPr>
          <w:rFonts w:hint="eastAsia" w:ascii="宋体" w:hAnsi="宋体" w:cstheme="minorEastAsia"/>
          <w:sz w:val="24"/>
          <w:highlight w:val="none"/>
        </w:rPr>
      </w:pPr>
      <w:r>
        <w:rPr>
          <w:rFonts w:hint="eastAsia" w:ascii="宋体" w:hAnsi="宋体" w:cstheme="minorEastAsia"/>
          <w:sz w:val="24"/>
          <w:highlight w:val="none"/>
        </w:rPr>
        <w:t>供应商须知</w:t>
      </w:r>
    </w:p>
    <w:p w14:paraId="12AB1A4B">
      <w:pPr>
        <w:numPr>
          <w:ilvl w:val="0"/>
          <w:numId w:val="10"/>
        </w:numPr>
        <w:tabs>
          <w:tab w:val="left" w:pos="1980"/>
          <w:tab w:val="left" w:pos="2520"/>
        </w:tabs>
        <w:snapToGrid w:val="0"/>
        <w:spacing w:line="360" w:lineRule="auto"/>
        <w:ind w:left="1440" w:firstLine="5"/>
        <w:rPr>
          <w:rFonts w:hint="eastAsia" w:ascii="宋体" w:hAnsi="宋体" w:cstheme="minorEastAsia"/>
          <w:sz w:val="24"/>
          <w:highlight w:val="none"/>
        </w:rPr>
      </w:pPr>
      <w:r>
        <w:rPr>
          <w:rFonts w:hint="eastAsia" w:ascii="宋体" w:hAnsi="宋体" w:cstheme="minorEastAsia"/>
          <w:sz w:val="24"/>
          <w:highlight w:val="none"/>
        </w:rPr>
        <w:t>评审方法和评审标准</w:t>
      </w:r>
    </w:p>
    <w:p w14:paraId="147E34BC">
      <w:pPr>
        <w:numPr>
          <w:ilvl w:val="0"/>
          <w:numId w:val="10"/>
        </w:numPr>
        <w:tabs>
          <w:tab w:val="left" w:pos="1980"/>
          <w:tab w:val="left" w:pos="2520"/>
        </w:tabs>
        <w:snapToGrid w:val="0"/>
        <w:spacing w:line="360" w:lineRule="auto"/>
        <w:ind w:left="1440" w:firstLine="5"/>
        <w:rPr>
          <w:rFonts w:hint="eastAsia" w:ascii="宋体" w:hAnsi="宋体" w:cstheme="minorEastAsia"/>
          <w:sz w:val="24"/>
          <w:highlight w:val="none"/>
        </w:rPr>
      </w:pPr>
      <w:r>
        <w:rPr>
          <w:rFonts w:hint="eastAsia" w:ascii="宋体" w:hAnsi="宋体" w:cstheme="minorEastAsia"/>
          <w:sz w:val="24"/>
          <w:highlight w:val="none"/>
        </w:rPr>
        <w:t>采购需求</w:t>
      </w:r>
    </w:p>
    <w:p w14:paraId="770A1884">
      <w:pPr>
        <w:numPr>
          <w:ilvl w:val="0"/>
          <w:numId w:val="10"/>
        </w:numPr>
        <w:tabs>
          <w:tab w:val="left" w:pos="1980"/>
          <w:tab w:val="left" w:pos="2520"/>
        </w:tabs>
        <w:snapToGrid w:val="0"/>
        <w:spacing w:line="360" w:lineRule="auto"/>
        <w:ind w:left="1440" w:firstLine="5"/>
        <w:rPr>
          <w:rFonts w:hint="eastAsia" w:ascii="宋体" w:hAnsi="宋体" w:cstheme="minorEastAsia"/>
          <w:sz w:val="24"/>
          <w:highlight w:val="none"/>
        </w:rPr>
      </w:pPr>
      <w:r>
        <w:rPr>
          <w:rFonts w:hint="eastAsia" w:ascii="宋体" w:hAnsi="宋体" w:cstheme="minorEastAsia"/>
          <w:sz w:val="24"/>
          <w:highlight w:val="none"/>
        </w:rPr>
        <w:t>合同草案条款</w:t>
      </w:r>
    </w:p>
    <w:p w14:paraId="4BAA3FD3">
      <w:pPr>
        <w:numPr>
          <w:ilvl w:val="0"/>
          <w:numId w:val="10"/>
        </w:numPr>
        <w:tabs>
          <w:tab w:val="left" w:pos="1980"/>
          <w:tab w:val="left" w:pos="2520"/>
        </w:tabs>
        <w:snapToGrid w:val="0"/>
        <w:spacing w:line="360" w:lineRule="auto"/>
        <w:ind w:left="1440" w:firstLine="5"/>
        <w:rPr>
          <w:rFonts w:hint="eastAsia" w:ascii="宋体" w:hAnsi="宋体" w:cstheme="minorEastAsia"/>
          <w:sz w:val="24"/>
          <w:highlight w:val="none"/>
        </w:rPr>
      </w:pPr>
      <w:r>
        <w:rPr>
          <w:rFonts w:hint="eastAsia" w:ascii="宋体" w:hAnsi="宋体" w:cstheme="minorEastAsia"/>
          <w:sz w:val="24"/>
          <w:highlight w:val="none"/>
        </w:rPr>
        <w:t>响应文件格式</w:t>
      </w:r>
    </w:p>
    <w:p w14:paraId="0B197FDC">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107FFD66">
      <w:pPr>
        <w:numPr>
          <w:ilvl w:val="0"/>
          <w:numId w:val="8"/>
        </w:numPr>
        <w:tabs>
          <w:tab w:val="left" w:pos="1080"/>
          <w:tab w:val="left" w:pos="2014"/>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对竞争性磋商文件的澄清或修改</w:t>
      </w:r>
    </w:p>
    <w:p w14:paraId="426BCFA2">
      <w:pPr>
        <w:numPr>
          <w:ilvl w:val="1"/>
          <w:numId w:val="8"/>
        </w:numPr>
        <w:tabs>
          <w:tab w:val="left" w:pos="1080"/>
          <w:tab w:val="left" w:pos="1561"/>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14:paraId="51F8EC26">
      <w:pPr>
        <w:numPr>
          <w:ilvl w:val="1"/>
          <w:numId w:val="8"/>
        </w:numPr>
        <w:tabs>
          <w:tab w:val="left" w:pos="1080"/>
          <w:tab w:val="left" w:pos="1561"/>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上述书面通知，按照获取竞争性磋商文件的潜在供应商提供的联系方式发出，因提供的信息有误导致通知延迟或无法通知的，采购人或采购代理机构不承担责任。</w:t>
      </w:r>
    </w:p>
    <w:p w14:paraId="3103AEAA">
      <w:pPr>
        <w:numPr>
          <w:ilvl w:val="1"/>
          <w:numId w:val="8"/>
        </w:numPr>
        <w:tabs>
          <w:tab w:val="left" w:pos="1080"/>
          <w:tab w:val="left" w:pos="1561"/>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ascii="宋体" w:hAnsi="宋体" w:cstheme="minorEastAsia"/>
          <w:kern w:val="0"/>
          <w:sz w:val="24"/>
          <w:highlight w:val="none"/>
        </w:rPr>
        <w:t>以书面形式通知所有获取磋商文件的供应商</w:t>
      </w:r>
      <w:r>
        <w:rPr>
          <w:rFonts w:hint="eastAsia" w:ascii="宋体" w:hAnsi="宋体" w:cstheme="minorEastAsia"/>
          <w:sz w:val="24"/>
          <w:highlight w:val="none"/>
        </w:rPr>
        <w:t>；不足上述时间的，将顺延提交首次响应文件截止时间。</w:t>
      </w:r>
    </w:p>
    <w:p w14:paraId="63C9A130">
      <w:pPr>
        <w:tabs>
          <w:tab w:val="left" w:pos="1080"/>
          <w:tab w:val="left" w:pos="1561"/>
        </w:tabs>
        <w:snapToGrid w:val="0"/>
        <w:spacing w:line="360" w:lineRule="auto"/>
        <w:ind w:left="1080"/>
        <w:rPr>
          <w:rFonts w:hint="eastAsia" w:ascii="宋体" w:hAnsi="宋体" w:cstheme="minorEastAsia"/>
          <w:sz w:val="28"/>
          <w:highlight w:val="none"/>
        </w:rPr>
      </w:pPr>
      <w:bookmarkStart w:id="185" w:name="_Toc516367020"/>
      <w:bookmarkStart w:id="186" w:name="_Toc195842891"/>
      <w:bookmarkStart w:id="187" w:name="_Toc151193696"/>
      <w:bookmarkStart w:id="188" w:name="_Toc151190153"/>
      <w:bookmarkStart w:id="189" w:name="_Toc226965716"/>
      <w:bookmarkStart w:id="190" w:name="_Toc151193624"/>
      <w:bookmarkStart w:id="191" w:name="_Toc226965799"/>
      <w:bookmarkStart w:id="192" w:name="_Toc142311028"/>
      <w:bookmarkStart w:id="193" w:name="_Toc150480764"/>
      <w:bookmarkStart w:id="194" w:name="_Toc151193840"/>
      <w:bookmarkStart w:id="195" w:name="_Toc150774626"/>
      <w:bookmarkStart w:id="196" w:name="_Toc151193768"/>
      <w:bookmarkStart w:id="197" w:name="_Toc150774731"/>
      <w:bookmarkStart w:id="198" w:name="_Toc226309770"/>
      <w:bookmarkStart w:id="199" w:name="_Toc520356150"/>
      <w:bookmarkStart w:id="200" w:name="_Toc265228364"/>
      <w:bookmarkStart w:id="201" w:name="_Toc305158868"/>
      <w:bookmarkStart w:id="202" w:name="_Toc150509277"/>
      <w:bookmarkStart w:id="203" w:name="_Toc305158794"/>
      <w:bookmarkStart w:id="204" w:name="_Toc226337222"/>
      <w:bookmarkStart w:id="205" w:name="_Toc127151526"/>
      <w:bookmarkStart w:id="206" w:name="_Toc151193914"/>
      <w:bookmarkStart w:id="207" w:name="_Toc264969216"/>
    </w:p>
    <w:p w14:paraId="284C2A6B">
      <w:pPr>
        <w:pStyle w:val="3"/>
        <w:spacing w:before="0" w:line="360" w:lineRule="auto"/>
        <w:rPr>
          <w:rFonts w:hint="eastAsia" w:ascii="宋体" w:hAnsi="宋体" w:eastAsia="宋体" w:cstheme="minorEastAsia"/>
          <w:sz w:val="28"/>
          <w:highlight w:val="none"/>
        </w:rPr>
      </w:pPr>
      <w:r>
        <w:rPr>
          <w:rFonts w:hint="eastAsia" w:ascii="宋体" w:hAnsi="宋体" w:eastAsia="宋体" w:cstheme="minorEastAsia"/>
          <w:sz w:val="28"/>
          <w:highlight w:val="none"/>
        </w:rPr>
        <w:t>三   响应文件</w:t>
      </w:r>
      <w:bookmarkEnd w:id="185"/>
      <w:r>
        <w:rPr>
          <w:rFonts w:hint="eastAsia" w:ascii="宋体" w:hAnsi="宋体" w:eastAsia="宋体" w:cstheme="minorEastAsia"/>
          <w:sz w:val="28"/>
          <w:highlight w:val="none"/>
        </w:rPr>
        <w:t>的编制</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0F6F7680">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208" w:name="_Toc226965717"/>
      <w:bookmarkStart w:id="209" w:name="_Toc142311029"/>
      <w:bookmarkStart w:id="210" w:name="_Toc516367021"/>
      <w:bookmarkStart w:id="211" w:name="_Toc264969217"/>
      <w:bookmarkStart w:id="212" w:name="_Toc195842892"/>
      <w:bookmarkStart w:id="213" w:name="_Toc149720820"/>
      <w:bookmarkStart w:id="214" w:name="_Toc150774627"/>
      <w:bookmarkStart w:id="215" w:name="_Toc151193697"/>
      <w:bookmarkStart w:id="216" w:name="_Toc164608796"/>
      <w:bookmarkStart w:id="217" w:name="_Toc127151527"/>
      <w:bookmarkStart w:id="218" w:name="_Toc151193915"/>
      <w:bookmarkStart w:id="219" w:name="_Toc150774732"/>
      <w:bookmarkStart w:id="220" w:name="_Toc164608641"/>
      <w:bookmarkStart w:id="221" w:name="_Toc151190154"/>
      <w:bookmarkStart w:id="222" w:name="_Toc164229222"/>
      <w:bookmarkStart w:id="223" w:name="_Toc127151728"/>
      <w:bookmarkStart w:id="224" w:name="_Toc127161441"/>
      <w:bookmarkStart w:id="225" w:name="_Toc305158869"/>
      <w:bookmarkStart w:id="226" w:name="_Toc151193769"/>
      <w:bookmarkStart w:id="227" w:name="_Toc226309771"/>
      <w:bookmarkStart w:id="228" w:name="_Toc520356151"/>
      <w:bookmarkStart w:id="229" w:name="_Toc305158795"/>
      <w:bookmarkStart w:id="230" w:name="_Toc265228365"/>
      <w:bookmarkStart w:id="231" w:name="_Toc226337223"/>
      <w:bookmarkStart w:id="232" w:name="_Toc150509278"/>
      <w:bookmarkStart w:id="233" w:name="_Toc164229368"/>
      <w:bookmarkStart w:id="234" w:name="_Toc151193625"/>
      <w:bookmarkStart w:id="235" w:name="_Toc226965800"/>
      <w:bookmarkStart w:id="236" w:name="_Toc151193841"/>
      <w:bookmarkStart w:id="237" w:name="_Toc164351621"/>
      <w:bookmarkStart w:id="238" w:name="_Toc150480765"/>
      <w:r>
        <w:rPr>
          <w:rFonts w:hint="eastAsia" w:ascii="宋体" w:hAnsi="宋体" w:cstheme="minorEastAsia"/>
          <w:sz w:val="24"/>
          <w:highlight w:val="none"/>
        </w:rPr>
        <w:t>响应范围、竞争性磋商文件中计量单位的使用</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Fonts w:hint="eastAsia" w:ascii="宋体" w:hAnsi="宋体" w:cstheme="minorEastAsia"/>
          <w:sz w:val="24"/>
          <w:highlight w:val="none"/>
        </w:rPr>
        <w:t>及磋商语言</w:t>
      </w:r>
    </w:p>
    <w:p w14:paraId="16456CDC">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hint="eastAsia" w:ascii="宋体" w:hAnsi="宋体" w:cstheme="minorEastAsia"/>
          <w:b/>
          <w:sz w:val="24"/>
          <w:highlight w:val="none"/>
        </w:rPr>
        <w:t>无效响应</w:t>
      </w:r>
      <w:r>
        <w:rPr>
          <w:rFonts w:hint="eastAsia" w:ascii="宋体" w:hAnsi="宋体" w:cstheme="minorEastAsia"/>
          <w:sz w:val="24"/>
          <w:highlight w:val="none"/>
        </w:rPr>
        <w:t>。</w:t>
      </w:r>
    </w:p>
    <w:p w14:paraId="348D6CD7">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除竞争性磋商文件有特殊要求外，本项目磋商所使用的计量单位，应采用中华人民共和国法定计量单位。</w:t>
      </w:r>
    </w:p>
    <w:p w14:paraId="719409DF">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13AD8171">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239" w:name="_Ref467306195"/>
      <w:bookmarkStart w:id="240" w:name="_Toc516367022"/>
      <w:bookmarkStart w:id="241" w:name="_Ref467306676"/>
      <w:bookmarkStart w:id="242" w:name="_Toc150774628"/>
      <w:bookmarkStart w:id="243" w:name="_Toc164229369"/>
      <w:bookmarkStart w:id="244" w:name="_Toc226309772"/>
      <w:bookmarkStart w:id="245" w:name="_Toc151193626"/>
      <w:bookmarkStart w:id="246" w:name="_Toc264969218"/>
      <w:bookmarkStart w:id="247" w:name="_Toc164608642"/>
      <w:bookmarkStart w:id="248" w:name="_Toc305158870"/>
      <w:bookmarkStart w:id="249" w:name="_Toc142311030"/>
      <w:bookmarkStart w:id="250" w:name="_Toc305158796"/>
      <w:bookmarkStart w:id="251" w:name="_Toc265228366"/>
      <w:bookmarkStart w:id="252" w:name="_Toc226965801"/>
      <w:bookmarkStart w:id="253" w:name="_Toc150480766"/>
      <w:bookmarkStart w:id="254" w:name="_Toc127151528"/>
      <w:bookmarkStart w:id="255" w:name="_Toc226965718"/>
      <w:bookmarkStart w:id="256" w:name="_Toc195842893"/>
      <w:bookmarkStart w:id="257" w:name="_Toc226337224"/>
      <w:bookmarkStart w:id="258" w:name="_Toc164608797"/>
      <w:bookmarkStart w:id="259" w:name="_Toc151193842"/>
      <w:bookmarkStart w:id="260" w:name="_Toc151190155"/>
      <w:bookmarkStart w:id="261" w:name="_Toc127161442"/>
      <w:bookmarkStart w:id="262" w:name="_Toc151193916"/>
      <w:bookmarkStart w:id="263" w:name="_Toc164351622"/>
      <w:bookmarkStart w:id="264" w:name="_Toc164229223"/>
      <w:bookmarkStart w:id="265" w:name="_Toc151193770"/>
      <w:bookmarkStart w:id="266" w:name="_Toc520356152"/>
      <w:bookmarkStart w:id="267" w:name="_Toc127151729"/>
      <w:bookmarkStart w:id="268" w:name="_Toc150774733"/>
      <w:bookmarkStart w:id="269" w:name="_Toc151193698"/>
      <w:bookmarkStart w:id="270" w:name="_Toc149720821"/>
      <w:bookmarkStart w:id="271" w:name="_Toc150509279"/>
      <w:r>
        <w:rPr>
          <w:rFonts w:hint="eastAsia" w:ascii="宋体" w:hAnsi="宋体" w:cstheme="minorEastAsia"/>
          <w:sz w:val="24"/>
          <w:highlight w:val="none"/>
        </w:rPr>
        <w:t>响应文件</w:t>
      </w:r>
      <w:bookmarkEnd w:id="239"/>
      <w:bookmarkEnd w:id="240"/>
      <w:bookmarkEnd w:id="241"/>
      <w:r>
        <w:rPr>
          <w:rFonts w:hint="eastAsia" w:ascii="宋体" w:hAnsi="宋体" w:cstheme="minorEastAsia"/>
          <w:sz w:val="24"/>
          <w:highlight w:val="none"/>
        </w:rPr>
        <w:t>构成</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5E437C7C">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bookmarkStart w:id="272" w:name="_Ref467052588"/>
      <w:r>
        <w:rPr>
          <w:rFonts w:hint="eastAsia" w:ascii="宋体" w:hAnsi="宋体" w:cstheme="minorEastAsia"/>
          <w:sz w:val="24"/>
          <w:highlight w:val="none"/>
        </w:rPr>
        <w:t>供应商应当按照竞争性磋商文件的要求编制响应文件，</w:t>
      </w:r>
      <w:r>
        <w:rPr>
          <w:rFonts w:hint="eastAsia" w:ascii="宋体" w:hAnsi="宋体" w:cstheme="minorEastAsia"/>
          <w:kern w:val="0"/>
          <w:sz w:val="24"/>
          <w:highlight w:val="none"/>
        </w:rPr>
        <w:t>并对其提交的响应文件的真实性、合法性承担法律责任</w:t>
      </w:r>
      <w:r>
        <w:rPr>
          <w:rFonts w:hint="eastAsia" w:ascii="宋体" w:hAnsi="宋体" w:cstheme="minorEastAsia"/>
          <w:sz w:val="24"/>
          <w:highlight w:val="none"/>
        </w:rPr>
        <w:t>。响应文件的部分格式要求，见第六章《响应文件格式》。</w:t>
      </w:r>
    </w:p>
    <w:p w14:paraId="2ECF858E">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kern w:val="0"/>
          <w:sz w:val="24"/>
          <w:highlight w:val="none"/>
        </w:rPr>
        <w:t>对于竞争性磋商文件中标记了“实质性格式”文件的，</w:t>
      </w:r>
      <w:r>
        <w:rPr>
          <w:rFonts w:hint="eastAsia" w:ascii="宋体" w:hAnsi="宋体" w:cstheme="minorEastAsia"/>
          <w:sz w:val="24"/>
          <w:highlight w:val="none"/>
        </w:rPr>
        <w:t>供应商不得改变格式中给定的文字所表达的含义，不得删减格式中的实质性内容，不得自行添加与格式中给定的文字内容相矛盾的内容，不得对应当填写的空格不填写或不实质性响应，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theme="minorEastAsia"/>
          <w:b/>
          <w:kern w:val="0"/>
          <w:sz w:val="24"/>
          <w:highlight w:val="none"/>
        </w:rPr>
        <w:t>否则响应无效</w:t>
      </w:r>
      <w:r>
        <w:rPr>
          <w:rFonts w:hint="eastAsia" w:ascii="宋体" w:hAnsi="宋体" w:cstheme="minorEastAsia"/>
          <w:kern w:val="0"/>
          <w:sz w:val="24"/>
          <w:highlight w:val="none"/>
        </w:rPr>
        <w:t>。未标记“实质性格式”的文件和竞争性磋商文件未提供格式的内容，可由供应商自行编写。</w:t>
      </w:r>
    </w:p>
    <w:p w14:paraId="3D527733">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第三章《评审方法和评审标准》中涉及的证明文件。</w:t>
      </w:r>
    </w:p>
    <w:p w14:paraId="3E615447">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4F512FE0">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供应商认为应附的其他材料。</w:t>
      </w:r>
      <w:bookmarkEnd w:id="272"/>
    </w:p>
    <w:p w14:paraId="581CA1F9">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273" w:name="_Toc164229371"/>
      <w:bookmarkStart w:id="274" w:name="_Toc150509281"/>
      <w:bookmarkStart w:id="275" w:name="_Toc151193918"/>
      <w:bookmarkStart w:id="276" w:name="_Toc151190157"/>
      <w:bookmarkStart w:id="277" w:name="_Toc142311032"/>
      <w:bookmarkStart w:id="278" w:name="_Toc127151530"/>
      <w:bookmarkStart w:id="279" w:name="_Toc127151731"/>
      <w:bookmarkStart w:id="280" w:name="_Toc151193628"/>
      <w:bookmarkStart w:id="281" w:name="_Toc150480768"/>
      <w:bookmarkStart w:id="282" w:name="_Toc150774630"/>
      <w:bookmarkStart w:id="283" w:name="_Toc150774735"/>
      <w:bookmarkStart w:id="284" w:name="_Toc151193772"/>
      <w:bookmarkStart w:id="285" w:name="_Toc164608799"/>
      <w:bookmarkStart w:id="286" w:name="_Toc520356155"/>
      <w:bookmarkStart w:id="287" w:name="_Toc149720823"/>
      <w:bookmarkStart w:id="288" w:name="_Toc151193844"/>
      <w:bookmarkStart w:id="289" w:name="_Toc151193700"/>
      <w:bookmarkStart w:id="290" w:name="_Toc127161444"/>
      <w:bookmarkStart w:id="291" w:name="_Toc164351624"/>
      <w:bookmarkStart w:id="292" w:name="_Toc195842895"/>
      <w:bookmarkStart w:id="293" w:name="_Toc164608644"/>
      <w:bookmarkStart w:id="294" w:name="_Toc164229225"/>
      <w:r>
        <w:rPr>
          <w:rFonts w:hint="eastAsia" w:ascii="宋体" w:hAnsi="宋体" w:cstheme="minorEastAsia"/>
          <w:sz w:val="24"/>
          <w:highlight w:val="none"/>
        </w:rPr>
        <w:t>报价</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0DF1892D">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所有响应均以人民币为计价货币。</w:t>
      </w:r>
    </w:p>
    <w:p w14:paraId="358CADE0">
      <w:pPr>
        <w:numPr>
          <w:ilvl w:val="1"/>
          <w:numId w:val="8"/>
        </w:numPr>
        <w:tabs>
          <w:tab w:val="left" w:pos="1080"/>
        </w:tabs>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供应商的报价应包括为完成本项目所发生的一切费用和税费，采购人将不再支付报价以外的任何费用。供应商的报价应包括但不限于下列内容，《供应商须知资料表》中有特殊规定的，从其规定。</w:t>
      </w:r>
    </w:p>
    <w:p w14:paraId="122B674D">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5FB5759D">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按照竞争性磋商文件要求完成本项目的全部相关费用。</w:t>
      </w:r>
    </w:p>
    <w:p w14:paraId="414C1725">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采购人不得向供应商索要或者接受其给予的赠品、回扣或者与采购无关的其他商品、服务。</w:t>
      </w:r>
    </w:p>
    <w:p w14:paraId="179D8F6D">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供应商不能提供任何有选择性或可调整的最后报价（</w:t>
      </w:r>
      <w:r>
        <w:rPr>
          <w:rFonts w:hint="eastAsia" w:ascii="宋体" w:hAnsi="宋体" w:cstheme="minorEastAsia"/>
          <w:color w:val="000000"/>
          <w:kern w:val="0"/>
          <w:sz w:val="24"/>
          <w:highlight w:val="none"/>
        </w:rPr>
        <w:t>竞争性磋商文件</w:t>
      </w:r>
      <w:r>
        <w:rPr>
          <w:rFonts w:hint="eastAsia" w:ascii="宋体" w:hAnsi="宋体" w:cstheme="minorEastAsia"/>
          <w:sz w:val="24"/>
          <w:highlight w:val="none"/>
        </w:rPr>
        <w:t>另有规定的除外），否则其</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44714E42">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磋商保证金</w:t>
      </w:r>
    </w:p>
    <w:p w14:paraId="354C2115">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bookmarkStart w:id="295" w:name="_Ref467306302"/>
      <w:r>
        <w:rPr>
          <w:rFonts w:hint="eastAsia" w:ascii="宋体" w:hAnsi="宋体" w:cstheme="minorEastAsia"/>
          <w:sz w:val="24"/>
          <w:highlight w:val="none"/>
        </w:rPr>
        <w:t>供应商应按《供应商须知资料表》中规定的金额及要求交纳磋商保证金</w:t>
      </w:r>
      <w:bookmarkEnd w:id="295"/>
      <w:r>
        <w:rPr>
          <w:rFonts w:hint="eastAsia" w:ascii="宋体" w:hAnsi="宋体" w:cstheme="minorEastAsia"/>
          <w:sz w:val="24"/>
          <w:highlight w:val="none"/>
        </w:rPr>
        <w:t>。供应商自愿超额缴纳磋商保证金的，响应文件不做无效处理。</w:t>
      </w:r>
    </w:p>
    <w:p w14:paraId="0784BA4A">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交纳磋商保证金可采用的形式：政府采购法律法规接受的支票、汇票、本票、网上银行支付或者金融机构、担保机构出具的保函等非现金形式。</w:t>
      </w:r>
    </w:p>
    <w:p w14:paraId="31E4AD2E">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磋商保证金到账（保函提交）截止时间同首次响应文件提交截止时间。以支票、汇票、本票、网上银行支付等形式提交磋商保证金的，应在首次响应文件提交截止时间前到账；以金融机构、担保机构出具的纸质保函等形式提交磋商保证金的，应在首次响应文件提交截止时间前将原件提交至采购代理机构；</w:t>
      </w:r>
      <w:bookmarkStart w:id="296" w:name="_Hlk164959831"/>
      <w:r>
        <w:rPr>
          <w:rFonts w:hint="eastAsia" w:ascii="宋体" w:hAnsi="宋体" w:cstheme="minorEastAsia"/>
          <w:sz w:val="24"/>
          <w:highlight w:val="none"/>
        </w:rPr>
        <w:t>以电子保函形式提交磋商保证金的，应在首次响应文件提交截止时间前通过</w:t>
      </w:r>
      <w:r>
        <w:rPr>
          <w:rFonts w:hint="eastAsia" w:ascii="宋体" w:hAnsi="宋体" w:cstheme="minorEastAsia"/>
          <w:sz w:val="24"/>
          <w:highlight w:val="none"/>
          <w:lang w:bidi="ar"/>
        </w:rPr>
        <w:t>北京市政府采购电子交易平台完成电子保函在线办理。</w:t>
      </w:r>
      <w:bookmarkEnd w:id="296"/>
      <w:r>
        <w:rPr>
          <w:rFonts w:hint="eastAsia" w:ascii="宋体" w:hAnsi="宋体" w:cstheme="minorEastAsia"/>
          <w:sz w:val="24"/>
          <w:highlight w:val="none"/>
        </w:rPr>
        <w:t>未按上述要求缴纳保证金的，其</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60130689">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bookmarkStart w:id="297" w:name="_Hlk168432698"/>
      <w:r>
        <w:rPr>
          <w:rFonts w:hint="eastAsia" w:ascii="宋体" w:hAnsi="宋体" w:cstheme="minorEastAsia"/>
          <w:sz w:val="24"/>
          <w:highlight w:val="none"/>
        </w:rPr>
        <w:t>供应商</w:t>
      </w:r>
      <w:r>
        <w:rPr>
          <w:rFonts w:hint="eastAsia" w:ascii="宋体" w:hAnsi="宋体" w:cstheme="minorEastAsia"/>
          <w:color w:val="000000"/>
          <w:sz w:val="24"/>
          <w:highlight w:val="none"/>
        </w:rPr>
        <w:t>除需在响应文件中提供“</w:t>
      </w:r>
      <w:r>
        <w:rPr>
          <w:rFonts w:hint="eastAsia" w:ascii="宋体" w:hAnsi="宋体" w:cstheme="minorEastAsia"/>
          <w:color w:val="000000"/>
          <w:sz w:val="24"/>
          <w:szCs w:val="20"/>
          <w:highlight w:val="none"/>
        </w:rPr>
        <w:t>磋商保证金凭证/交款单据电子件</w:t>
      </w:r>
      <w:r>
        <w:rPr>
          <w:rFonts w:hint="eastAsia" w:ascii="宋体" w:hAnsi="宋体" w:cstheme="minorEastAsia"/>
          <w:color w:val="000000"/>
          <w:sz w:val="24"/>
          <w:highlight w:val="none"/>
        </w:rPr>
        <w:t>”，</w:t>
      </w:r>
      <w:r>
        <w:rPr>
          <w:rFonts w:hint="eastAsia" w:ascii="宋体" w:hAnsi="宋体" w:cstheme="minorEastAsia"/>
          <w:sz w:val="24"/>
          <w:highlight w:val="none"/>
        </w:rPr>
        <w:t>还需在首次响应文件提交截止时间前，通过电子交易平台上传“</w:t>
      </w:r>
      <w:r>
        <w:rPr>
          <w:rFonts w:hint="eastAsia" w:ascii="宋体" w:hAnsi="宋体" w:cstheme="minorEastAsia"/>
          <w:color w:val="000000"/>
          <w:sz w:val="24"/>
          <w:szCs w:val="20"/>
          <w:highlight w:val="none"/>
        </w:rPr>
        <w:t>磋商保证金凭证/交款单据电子件</w:t>
      </w:r>
      <w:r>
        <w:rPr>
          <w:rFonts w:hint="eastAsia" w:ascii="宋体" w:hAnsi="宋体" w:cstheme="minorEastAsia"/>
          <w:sz w:val="24"/>
          <w:highlight w:val="none"/>
        </w:rPr>
        <w:t>”。</w:t>
      </w:r>
    </w:p>
    <w:bookmarkEnd w:id="297"/>
    <w:p w14:paraId="379F8D39">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磋商保证金有效期同响应有效期。</w:t>
      </w:r>
    </w:p>
    <w:p w14:paraId="15A9FED5">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供应商为联合体的，可以由联合体中的一方或者多方共同交纳磋商保证金，其交纳的保证金对联合体各方均具有约束力。</w:t>
      </w:r>
    </w:p>
    <w:p w14:paraId="0BBC21EF">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60AF70DD">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napToGrid w:val="0"/>
          <w:kern w:val="0"/>
          <w:sz w:val="24"/>
          <w:highlight w:val="none"/>
        </w:rPr>
        <w:t>已提交响应文件的供应商，在提交最后报价之前，可以根据磋商情况退出磋商。采购人、采购代理机构将退还退出磋商的供应商的磋商保证金；</w:t>
      </w:r>
    </w:p>
    <w:p w14:paraId="275A4F8B">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成交供应商的磋商保证金，在采购合同签订后5个工作日内退还成交供应商；</w:t>
      </w:r>
    </w:p>
    <w:p w14:paraId="65B02FC2">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未成交供应商的磋商保证金，在成交通知书发出后5个工作日内退还。</w:t>
      </w:r>
    </w:p>
    <w:p w14:paraId="1E58D7AD">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有下列情形之一的，采购人或采购代理机构不予退还磋商保证金：</w:t>
      </w:r>
    </w:p>
    <w:p w14:paraId="1733D406">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供应商在响应文件提交截止时间后撤回响应文件的；</w:t>
      </w:r>
    </w:p>
    <w:p w14:paraId="2F03E73D">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供应商在响应文件中提供虚假材料的；</w:t>
      </w:r>
    </w:p>
    <w:p w14:paraId="7472BBA3">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除因不可抗力或磋商文件认可的情形以外，成交供应商不与采购人签订合同的；</w:t>
      </w:r>
    </w:p>
    <w:p w14:paraId="29EC9DB5">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供应商与采购人、其他供应商或者采购代理机构恶意串通的；</w:t>
      </w:r>
    </w:p>
    <w:p w14:paraId="5E91B7A1">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《供应商须知资料表》规定的其他情形。</w:t>
      </w:r>
    </w:p>
    <w:p w14:paraId="538367C2">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响应有效期</w:t>
      </w:r>
    </w:p>
    <w:p w14:paraId="135B2908">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响应文件应在本竞争性磋商文件《供应商须知资料表》中规定的响应有效期内保持有效，响应有效期少于竞争性磋商文件规定期限的，其</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6D04DAE1">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298" w:name="_Toc226337229"/>
      <w:bookmarkStart w:id="299" w:name="_Toc149720826"/>
      <w:bookmarkStart w:id="300" w:name="_Toc164229374"/>
      <w:bookmarkStart w:id="301" w:name="_Toc127151533"/>
      <w:bookmarkStart w:id="302" w:name="_Toc142311035"/>
      <w:bookmarkStart w:id="303" w:name="_Toc265228371"/>
      <w:bookmarkStart w:id="304" w:name="_Toc151193921"/>
      <w:bookmarkStart w:id="305" w:name="_Toc127151734"/>
      <w:bookmarkStart w:id="306" w:name="_Toc164229228"/>
      <w:bookmarkStart w:id="307" w:name="_Toc151193631"/>
      <w:bookmarkStart w:id="308" w:name="_Toc151193775"/>
      <w:bookmarkStart w:id="309" w:name="_Toc151193703"/>
      <w:bookmarkStart w:id="310" w:name="_Toc264969223"/>
      <w:bookmarkStart w:id="311" w:name="_Toc127161447"/>
      <w:bookmarkStart w:id="312" w:name="_Toc150480771"/>
      <w:bookmarkStart w:id="313" w:name="_Toc150774633"/>
      <w:bookmarkStart w:id="314" w:name="_Toc150509284"/>
      <w:bookmarkStart w:id="315" w:name="_Toc305158801"/>
      <w:bookmarkStart w:id="316" w:name="_Toc195842898"/>
      <w:bookmarkStart w:id="317" w:name="_Toc151190160"/>
      <w:bookmarkStart w:id="318" w:name="_Toc164608647"/>
      <w:bookmarkStart w:id="319" w:name="_Toc150774738"/>
      <w:bookmarkStart w:id="320" w:name="_Toc226965723"/>
      <w:bookmarkStart w:id="321" w:name="_Toc164608802"/>
      <w:bookmarkStart w:id="322" w:name="_Toc151193847"/>
      <w:bookmarkStart w:id="323" w:name="_Toc164351627"/>
      <w:bookmarkStart w:id="324" w:name="_Toc226965806"/>
      <w:bookmarkStart w:id="325" w:name="_Toc305158875"/>
      <w:bookmarkStart w:id="326" w:name="_Toc226309777"/>
      <w:bookmarkStart w:id="327" w:name="_Toc520356158"/>
      <w:r>
        <w:rPr>
          <w:rFonts w:hint="eastAsia" w:ascii="宋体" w:hAnsi="宋体" w:cstheme="minorEastAsia"/>
          <w:sz w:val="24"/>
          <w:highlight w:val="none"/>
        </w:rPr>
        <w:t>响应文件的签署</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Fonts w:hint="eastAsia" w:ascii="宋体" w:hAnsi="宋体" w:cstheme="minorEastAsia"/>
          <w:sz w:val="24"/>
          <w:highlight w:val="none"/>
        </w:rPr>
        <w:t>、盖章</w:t>
      </w:r>
    </w:p>
    <w:p w14:paraId="12AD150C">
      <w:pPr>
        <w:numPr>
          <w:ilvl w:val="1"/>
          <w:numId w:val="8"/>
        </w:numPr>
        <w:tabs>
          <w:tab w:val="left" w:pos="1080"/>
        </w:tabs>
        <w:snapToGrid w:val="0"/>
        <w:spacing w:line="360" w:lineRule="auto"/>
        <w:rPr>
          <w:rFonts w:hint="eastAsia" w:ascii="宋体" w:hAnsi="宋体" w:cstheme="minorEastAsia"/>
          <w:sz w:val="24"/>
          <w:highlight w:val="none"/>
        </w:rPr>
      </w:pPr>
      <w:bookmarkStart w:id="328" w:name="_Toc264969224"/>
      <w:bookmarkStart w:id="329" w:name="_Toc150480772"/>
      <w:bookmarkStart w:id="330" w:name="_Toc151193776"/>
      <w:bookmarkStart w:id="331" w:name="_Toc195842899"/>
      <w:bookmarkStart w:id="332" w:name="_Toc127151534"/>
      <w:bookmarkStart w:id="333" w:name="_Toc226965807"/>
      <w:bookmarkStart w:id="334" w:name="_Toc305158876"/>
      <w:bookmarkStart w:id="335" w:name="_Toc151193848"/>
      <w:bookmarkStart w:id="336" w:name="_Toc151190161"/>
      <w:bookmarkStart w:id="337" w:name="_Toc520356159"/>
      <w:bookmarkStart w:id="338" w:name="_Toc226965724"/>
      <w:bookmarkStart w:id="339" w:name="_Toc151193922"/>
      <w:bookmarkStart w:id="340" w:name="_Toc142311036"/>
      <w:bookmarkStart w:id="341" w:name="_Toc151193632"/>
      <w:bookmarkStart w:id="342" w:name="_Toc150774739"/>
      <w:bookmarkStart w:id="343" w:name="_Toc226309778"/>
      <w:bookmarkStart w:id="344" w:name="_Toc151193704"/>
      <w:bookmarkStart w:id="345" w:name="_Toc226337230"/>
      <w:bookmarkStart w:id="346" w:name="_Toc305158802"/>
      <w:bookmarkStart w:id="347" w:name="_Toc265228372"/>
      <w:bookmarkStart w:id="348" w:name="_Toc150509285"/>
      <w:bookmarkStart w:id="349" w:name="_Toc150774634"/>
      <w:r>
        <w:rPr>
          <w:rFonts w:hint="eastAsia" w:ascii="宋体" w:hAnsi="宋体" w:cstheme="minorEastAsia"/>
          <w:sz w:val="24"/>
          <w:highlight w:val="none"/>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14:paraId="4B4ABF27">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竞争性磋商文件要求盖章的内容，一般通过投标文件编制工具加盖电子签章。</w:t>
      </w:r>
    </w:p>
    <w:p w14:paraId="1349E1AD">
      <w:pPr>
        <w:tabs>
          <w:tab w:val="left" w:pos="900"/>
          <w:tab w:val="left" w:pos="1080"/>
        </w:tabs>
        <w:snapToGrid w:val="0"/>
        <w:spacing w:line="360" w:lineRule="auto"/>
        <w:ind w:left="357"/>
        <w:rPr>
          <w:rFonts w:hint="eastAsia" w:ascii="宋体" w:hAnsi="宋体" w:cstheme="minorEastAsia"/>
          <w:highlight w:val="none"/>
        </w:rPr>
      </w:pPr>
    </w:p>
    <w:p w14:paraId="109930EA">
      <w:pPr>
        <w:pStyle w:val="3"/>
        <w:spacing w:before="0" w:line="360" w:lineRule="auto"/>
        <w:rPr>
          <w:rFonts w:hint="eastAsia" w:ascii="宋体" w:hAnsi="宋体" w:eastAsia="宋体" w:cstheme="minorEastAsia"/>
          <w:sz w:val="28"/>
          <w:highlight w:val="none"/>
        </w:rPr>
      </w:pPr>
      <w:r>
        <w:rPr>
          <w:rFonts w:hint="eastAsia" w:ascii="宋体" w:hAnsi="宋体" w:eastAsia="宋体" w:cstheme="minorEastAsia"/>
          <w:sz w:val="28"/>
          <w:highlight w:val="none"/>
        </w:rPr>
        <w:t>四   响应文件的提交</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2A02980F">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350" w:name="_Toc226309779"/>
      <w:bookmarkStart w:id="351" w:name="_Toc151193923"/>
      <w:bookmarkStart w:id="352" w:name="_Toc520356160"/>
      <w:bookmarkStart w:id="353" w:name="_Toc226965808"/>
      <w:bookmarkStart w:id="354" w:name="_Toc195842900"/>
      <w:bookmarkStart w:id="355" w:name="_Toc151193849"/>
      <w:bookmarkStart w:id="356" w:name="_Toc127151736"/>
      <w:bookmarkStart w:id="357" w:name="_Toc164229230"/>
      <w:bookmarkStart w:id="358" w:name="_Toc151193705"/>
      <w:bookmarkStart w:id="359" w:name="_Toc151193777"/>
      <w:bookmarkStart w:id="360" w:name="_Toc164351629"/>
      <w:bookmarkStart w:id="361" w:name="_Toc150774740"/>
      <w:bookmarkStart w:id="362" w:name="_Toc305158877"/>
      <w:bookmarkStart w:id="363" w:name="_Toc164229376"/>
      <w:bookmarkStart w:id="364" w:name="_Toc164608804"/>
      <w:bookmarkStart w:id="365" w:name="_Toc150774635"/>
      <w:bookmarkStart w:id="366" w:name="_Toc305158803"/>
      <w:bookmarkStart w:id="367" w:name="_Toc265228373"/>
      <w:bookmarkStart w:id="368" w:name="_Toc149720828"/>
      <w:bookmarkStart w:id="369" w:name="_Toc150509286"/>
      <w:bookmarkStart w:id="370" w:name="_Toc151193633"/>
      <w:bookmarkStart w:id="371" w:name="_Toc164608649"/>
      <w:bookmarkStart w:id="372" w:name="_Toc226337231"/>
      <w:bookmarkStart w:id="373" w:name="_Toc150480773"/>
      <w:bookmarkStart w:id="374" w:name="_Toc264969225"/>
      <w:bookmarkStart w:id="375" w:name="_Toc127161449"/>
      <w:bookmarkStart w:id="376" w:name="_Toc151190162"/>
      <w:bookmarkStart w:id="377" w:name="_Toc127151535"/>
      <w:bookmarkStart w:id="378" w:name="_Toc226965725"/>
      <w:bookmarkStart w:id="379" w:name="_Toc142311037"/>
      <w:r>
        <w:rPr>
          <w:rFonts w:hint="eastAsia" w:ascii="宋体" w:hAnsi="宋体" w:cstheme="minorEastAsia"/>
          <w:sz w:val="24"/>
          <w:highlight w:val="none"/>
        </w:rPr>
        <w:t>响应文件的</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Fonts w:hint="eastAsia" w:ascii="宋体" w:hAnsi="宋体" w:cstheme="minorEastAsia"/>
          <w:sz w:val="24"/>
          <w:highlight w:val="none"/>
        </w:rPr>
        <w:t>提交</w:t>
      </w:r>
    </w:p>
    <w:p w14:paraId="3B0DEE83">
      <w:pPr>
        <w:numPr>
          <w:ilvl w:val="1"/>
          <w:numId w:val="8"/>
        </w:numPr>
        <w:shd w:val="clear" w:color="auto" w:fill="FFFFFF"/>
        <w:tabs>
          <w:tab w:val="left" w:pos="1080"/>
          <w:tab w:val="left" w:pos="2014"/>
        </w:tabs>
        <w:snapToGrid w:val="0"/>
        <w:spacing w:line="360" w:lineRule="auto"/>
        <w:rPr>
          <w:rFonts w:hint="eastAsia" w:ascii="宋体" w:hAnsi="宋体" w:cs="宋体"/>
          <w:sz w:val="24"/>
          <w:highlight w:val="none"/>
        </w:rPr>
      </w:pPr>
      <w:r>
        <w:rPr>
          <w:rFonts w:hint="eastAsia" w:ascii="宋体" w:hAnsi="宋体" w:cs="宋体"/>
          <w:b/>
          <w:sz w:val="24"/>
          <w:highlight w:val="none"/>
        </w:rPr>
        <w:t>响应文件一律采用A4纸（图纸、彩页等除外）左侧装订。装订应牢固可靠，不易散落，不得采用活页式装订，采购人或采购代理机构对因装订不牢造成的文件散失不负责任。</w:t>
      </w:r>
    </w:p>
    <w:p w14:paraId="2083FC25">
      <w:pPr>
        <w:numPr>
          <w:ilvl w:val="1"/>
          <w:numId w:val="8"/>
        </w:numPr>
        <w:tabs>
          <w:tab w:val="left" w:pos="1080"/>
          <w:tab w:val="left" w:pos="2014"/>
        </w:tabs>
        <w:snapToGrid w:val="0"/>
        <w:spacing w:line="360" w:lineRule="auto"/>
        <w:rPr>
          <w:rFonts w:hint="eastAsia" w:ascii="宋体" w:hAnsi="宋体"/>
          <w:sz w:val="24"/>
          <w:highlight w:val="none"/>
        </w:rPr>
      </w:pPr>
      <w:r>
        <w:rPr>
          <w:rFonts w:hint="eastAsia" w:ascii="宋体" w:hAnsi="宋体"/>
          <w:sz w:val="24"/>
          <w:highlight w:val="none"/>
        </w:rPr>
        <w:t>所有响应文件必须装入密封的信封，并在封口上加盖供应商的公章。响应文件的正本、副本和电子版应分别封装，并在每一信封或包装的封面上写明：</w:t>
      </w:r>
    </w:p>
    <w:p w14:paraId="026CE825">
      <w:pPr>
        <w:tabs>
          <w:tab w:val="left" w:pos="1080"/>
          <w:tab w:val="left" w:pos="1589"/>
          <w:tab w:val="left" w:pos="2014"/>
        </w:tabs>
        <w:snapToGrid w:val="0"/>
        <w:spacing w:line="360" w:lineRule="auto"/>
        <w:ind w:left="1077"/>
        <w:rPr>
          <w:rFonts w:hint="eastAsia" w:ascii="宋体" w:hAnsi="宋体"/>
          <w:sz w:val="24"/>
          <w:highlight w:val="none"/>
        </w:rPr>
      </w:pPr>
      <w:r>
        <w:rPr>
          <w:rFonts w:hint="eastAsia" w:ascii="宋体" w:hAnsi="宋体"/>
          <w:sz w:val="24"/>
          <w:highlight w:val="none"/>
        </w:rPr>
        <w:t>正本或副本或电子版；</w:t>
      </w:r>
    </w:p>
    <w:p w14:paraId="2712789C">
      <w:pPr>
        <w:tabs>
          <w:tab w:val="left" w:pos="1080"/>
          <w:tab w:val="left" w:pos="1589"/>
          <w:tab w:val="left" w:pos="2014"/>
        </w:tabs>
        <w:snapToGrid w:val="0"/>
        <w:spacing w:line="360" w:lineRule="auto"/>
        <w:ind w:left="1077"/>
        <w:rPr>
          <w:rFonts w:hint="eastAsia" w:ascii="宋体" w:hAnsi="宋体"/>
          <w:sz w:val="24"/>
          <w:highlight w:val="none"/>
        </w:rPr>
      </w:pPr>
      <w:r>
        <w:rPr>
          <w:rFonts w:hint="eastAsia" w:ascii="宋体" w:hAnsi="宋体"/>
          <w:sz w:val="24"/>
          <w:highlight w:val="none"/>
        </w:rPr>
        <w:t>采购人名称；</w:t>
      </w:r>
    </w:p>
    <w:p w14:paraId="0AA9AFC0">
      <w:pPr>
        <w:tabs>
          <w:tab w:val="left" w:pos="1080"/>
          <w:tab w:val="left" w:pos="1589"/>
          <w:tab w:val="left" w:pos="2014"/>
        </w:tabs>
        <w:snapToGrid w:val="0"/>
        <w:spacing w:line="360" w:lineRule="auto"/>
        <w:ind w:left="1077"/>
        <w:rPr>
          <w:rFonts w:hint="eastAsia" w:ascii="宋体" w:hAnsi="宋体"/>
          <w:sz w:val="24"/>
          <w:highlight w:val="none"/>
        </w:rPr>
      </w:pPr>
      <w:r>
        <w:rPr>
          <w:rFonts w:hint="eastAsia" w:ascii="宋体" w:hAnsi="宋体"/>
          <w:sz w:val="24"/>
          <w:highlight w:val="none"/>
        </w:rPr>
        <w:t>磋商地点及时间；</w:t>
      </w:r>
    </w:p>
    <w:p w14:paraId="2AC81046">
      <w:pPr>
        <w:tabs>
          <w:tab w:val="left" w:pos="1080"/>
          <w:tab w:val="left" w:pos="1589"/>
          <w:tab w:val="left" w:pos="2014"/>
        </w:tabs>
        <w:snapToGrid w:val="0"/>
        <w:spacing w:line="360" w:lineRule="auto"/>
        <w:ind w:left="1077"/>
        <w:rPr>
          <w:rFonts w:hint="eastAsia" w:ascii="宋体" w:hAnsi="宋体"/>
          <w:sz w:val="24"/>
          <w:highlight w:val="none"/>
        </w:rPr>
      </w:pPr>
      <w:r>
        <w:rPr>
          <w:rFonts w:hint="eastAsia" w:ascii="宋体" w:hAnsi="宋体"/>
          <w:sz w:val="24"/>
          <w:highlight w:val="none"/>
        </w:rPr>
        <w:t>项目编号；</w:t>
      </w:r>
    </w:p>
    <w:p w14:paraId="582517C2">
      <w:pPr>
        <w:tabs>
          <w:tab w:val="left" w:pos="1080"/>
          <w:tab w:val="left" w:pos="1589"/>
          <w:tab w:val="left" w:pos="2014"/>
        </w:tabs>
        <w:snapToGrid w:val="0"/>
        <w:spacing w:line="360" w:lineRule="auto"/>
        <w:ind w:left="1077"/>
        <w:rPr>
          <w:rFonts w:hint="eastAsia" w:ascii="宋体" w:hAnsi="宋体"/>
          <w:sz w:val="24"/>
          <w:highlight w:val="none"/>
        </w:rPr>
      </w:pPr>
      <w:r>
        <w:rPr>
          <w:rFonts w:hint="eastAsia" w:ascii="宋体" w:hAnsi="宋体"/>
          <w:sz w:val="24"/>
          <w:highlight w:val="none"/>
        </w:rPr>
        <w:t>项目名称；</w:t>
      </w:r>
    </w:p>
    <w:p w14:paraId="220D4E83">
      <w:pPr>
        <w:shd w:val="clear" w:color="auto" w:fill="FFFFFF"/>
        <w:tabs>
          <w:tab w:val="left" w:pos="900"/>
          <w:tab w:val="left" w:pos="1080"/>
          <w:tab w:val="left" w:pos="1589"/>
          <w:tab w:val="left" w:pos="2014"/>
        </w:tabs>
        <w:snapToGrid w:val="0"/>
        <w:spacing w:line="360" w:lineRule="auto"/>
        <w:ind w:firstLine="991" w:firstLineChars="413"/>
        <w:rPr>
          <w:rFonts w:hint="eastAsia" w:ascii="宋体" w:hAnsi="宋体" w:cs="宋体"/>
          <w:sz w:val="24"/>
          <w:highlight w:val="none"/>
        </w:rPr>
      </w:pPr>
      <w:r>
        <w:rPr>
          <w:rFonts w:hint="eastAsia" w:ascii="宋体" w:hAnsi="宋体"/>
          <w:sz w:val="24"/>
          <w:highlight w:val="none"/>
        </w:rPr>
        <w:t>供应商名称及地址。</w:t>
      </w:r>
    </w:p>
    <w:p w14:paraId="7389B3AE">
      <w:pPr>
        <w:numPr>
          <w:ilvl w:val="0"/>
          <w:numId w:val="8"/>
        </w:numPr>
        <w:shd w:val="clear" w:color="auto" w:fill="FFFFFF"/>
        <w:tabs>
          <w:tab w:val="left" w:pos="360"/>
        </w:tabs>
        <w:snapToGrid w:val="0"/>
        <w:spacing w:line="360" w:lineRule="auto"/>
        <w:outlineLvl w:val="2"/>
        <w:rPr>
          <w:rFonts w:hint="eastAsia" w:ascii="宋体" w:hAnsi="宋体" w:cs="宋体"/>
          <w:sz w:val="24"/>
          <w:highlight w:val="none"/>
        </w:rPr>
      </w:pPr>
      <w:bookmarkStart w:id="380" w:name="_Toc150774636"/>
      <w:bookmarkStart w:id="381" w:name="_Toc264969226"/>
      <w:bookmarkStart w:id="382" w:name="_Toc265228374"/>
      <w:bookmarkStart w:id="383" w:name="_Toc127151737"/>
      <w:bookmarkStart w:id="384" w:name="_Toc226337232"/>
      <w:bookmarkStart w:id="385" w:name="_Toc305158804"/>
      <w:bookmarkStart w:id="386" w:name="_Toc142311038"/>
      <w:bookmarkStart w:id="387" w:name="_Toc127151536"/>
      <w:bookmarkStart w:id="388" w:name="_Toc151193850"/>
      <w:bookmarkStart w:id="389" w:name="_Toc151190163"/>
      <w:bookmarkStart w:id="390" w:name="_Toc164608805"/>
      <w:bookmarkStart w:id="391" w:name="_Toc151193924"/>
      <w:bookmarkStart w:id="392" w:name="_Toc151193634"/>
      <w:bookmarkStart w:id="393" w:name="_Toc164229377"/>
      <w:bookmarkStart w:id="394" w:name="_Toc151193778"/>
      <w:bookmarkStart w:id="395" w:name="_Toc226965726"/>
      <w:bookmarkStart w:id="396" w:name="_Toc520356161"/>
      <w:bookmarkStart w:id="397" w:name="_Toc150480774"/>
      <w:bookmarkStart w:id="398" w:name="_Toc195842901"/>
      <w:bookmarkStart w:id="399" w:name="_Toc149720829"/>
      <w:bookmarkStart w:id="400" w:name="_Toc305158878"/>
      <w:bookmarkStart w:id="401" w:name="_Toc150774741"/>
      <w:bookmarkStart w:id="402" w:name="_Toc164229231"/>
      <w:bookmarkStart w:id="403" w:name="_Toc127161450"/>
      <w:bookmarkStart w:id="404" w:name="_Toc164608650"/>
      <w:bookmarkStart w:id="405" w:name="_Toc150509287"/>
      <w:bookmarkStart w:id="406" w:name="_Toc226309780"/>
      <w:bookmarkStart w:id="407" w:name="_Toc151193706"/>
      <w:bookmarkStart w:id="408" w:name="_Toc164351630"/>
      <w:bookmarkStart w:id="409" w:name="_Toc226965809"/>
      <w:r>
        <w:rPr>
          <w:rFonts w:hint="eastAsia" w:ascii="宋体" w:hAnsi="宋体" w:cs="宋体"/>
          <w:sz w:val="24"/>
          <w:highlight w:val="none"/>
        </w:rPr>
        <w:t>响应文件递交截止</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Fonts w:hint="eastAsia" w:ascii="宋体" w:hAnsi="宋体" w:cs="宋体"/>
          <w:sz w:val="24"/>
          <w:highlight w:val="none"/>
        </w:rPr>
        <w:t>时间</w:t>
      </w:r>
    </w:p>
    <w:p w14:paraId="04BF0DFB">
      <w:pPr>
        <w:numPr>
          <w:ilvl w:val="1"/>
          <w:numId w:val="8"/>
        </w:numPr>
        <w:shd w:val="clear" w:color="auto" w:fill="FFFFFF"/>
        <w:tabs>
          <w:tab w:val="left" w:pos="1080"/>
          <w:tab w:val="left" w:pos="2014"/>
        </w:tabs>
        <w:snapToGrid w:val="0"/>
        <w:spacing w:line="360" w:lineRule="auto"/>
        <w:rPr>
          <w:rFonts w:hint="eastAsia" w:ascii="宋体" w:hAnsi="宋体" w:cs="宋体"/>
          <w:sz w:val="24"/>
          <w:highlight w:val="none"/>
        </w:rPr>
      </w:pPr>
      <w:r>
        <w:rPr>
          <w:rFonts w:hint="eastAsia" w:ascii="宋体" w:hAnsi="宋体" w:cs="宋体"/>
          <w:sz w:val="24"/>
          <w:highlight w:val="none"/>
        </w:rPr>
        <w:t>供应商应在竞争性磋商文件要求提交响应文件截止时间前，将响应文件按竞争性磋商邀请中规定的地点递交。</w:t>
      </w:r>
    </w:p>
    <w:p w14:paraId="3087FBB9">
      <w:pPr>
        <w:numPr>
          <w:ilvl w:val="0"/>
          <w:numId w:val="8"/>
        </w:numPr>
        <w:shd w:val="clear" w:color="auto" w:fill="FFFFFF"/>
        <w:tabs>
          <w:tab w:val="left" w:pos="360"/>
        </w:tabs>
        <w:snapToGrid w:val="0"/>
        <w:spacing w:line="360" w:lineRule="auto"/>
        <w:outlineLvl w:val="2"/>
        <w:rPr>
          <w:rFonts w:hint="eastAsia" w:ascii="宋体" w:hAnsi="宋体" w:cs="宋体"/>
          <w:sz w:val="24"/>
          <w:highlight w:val="none"/>
        </w:rPr>
      </w:pPr>
      <w:bookmarkStart w:id="410" w:name="_Toc150509288"/>
      <w:bookmarkStart w:id="411" w:name="_Toc150774742"/>
      <w:bookmarkStart w:id="412" w:name="_Toc151190164"/>
      <w:bookmarkStart w:id="413" w:name="_Toc226337233"/>
      <w:bookmarkStart w:id="414" w:name="_Toc305158805"/>
      <w:bookmarkStart w:id="415" w:name="_Toc150480775"/>
      <w:bookmarkStart w:id="416" w:name="_Toc151193851"/>
      <w:bookmarkStart w:id="417" w:name="_Toc151193635"/>
      <w:bookmarkStart w:id="418" w:name="_Toc164229378"/>
      <w:bookmarkStart w:id="419" w:name="_Toc520356162"/>
      <w:bookmarkStart w:id="420" w:name="_Toc264969227"/>
      <w:bookmarkStart w:id="421" w:name="_Toc164608806"/>
      <w:bookmarkStart w:id="422" w:name="_Toc305158879"/>
      <w:bookmarkStart w:id="423" w:name="_Toc127161451"/>
      <w:bookmarkStart w:id="424" w:name="_Toc151193779"/>
      <w:bookmarkStart w:id="425" w:name="_Toc195842902"/>
      <w:bookmarkStart w:id="426" w:name="_Toc151193707"/>
      <w:bookmarkStart w:id="427" w:name="_Toc127151738"/>
      <w:bookmarkStart w:id="428" w:name="_Toc164351631"/>
      <w:bookmarkStart w:id="429" w:name="_Toc142311039"/>
      <w:bookmarkStart w:id="430" w:name="_Toc150774637"/>
      <w:bookmarkStart w:id="431" w:name="_Toc164608651"/>
      <w:bookmarkStart w:id="432" w:name="_Toc226965810"/>
      <w:bookmarkStart w:id="433" w:name="_Toc265228375"/>
      <w:bookmarkStart w:id="434" w:name="_Toc226965727"/>
      <w:bookmarkStart w:id="435" w:name="_Toc226309781"/>
      <w:bookmarkStart w:id="436" w:name="_Toc151193925"/>
      <w:bookmarkStart w:id="437" w:name="_Toc149720830"/>
      <w:bookmarkStart w:id="438" w:name="_Toc127151537"/>
      <w:bookmarkStart w:id="439" w:name="_Toc164229232"/>
      <w:r>
        <w:rPr>
          <w:rFonts w:hint="eastAsia" w:ascii="宋体" w:hAnsi="宋体" w:cs="宋体"/>
          <w:sz w:val="24"/>
          <w:highlight w:val="none"/>
        </w:rPr>
        <w:t>响应文件的修改与撤回</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14:paraId="6BD0C21E">
      <w:pPr>
        <w:numPr>
          <w:ilvl w:val="1"/>
          <w:numId w:val="8"/>
        </w:numPr>
        <w:shd w:val="clear" w:color="auto" w:fill="FFFFFF"/>
        <w:tabs>
          <w:tab w:val="left" w:pos="1080"/>
          <w:tab w:val="left" w:pos="2014"/>
        </w:tabs>
        <w:snapToGrid w:val="0"/>
        <w:spacing w:line="360" w:lineRule="auto"/>
        <w:rPr>
          <w:rFonts w:hint="eastAsia" w:ascii="宋体" w:hAnsi="宋体" w:cs="宋体"/>
          <w:sz w:val="24"/>
          <w:highlight w:val="none"/>
        </w:rPr>
      </w:pPr>
      <w:r>
        <w:rPr>
          <w:rFonts w:hint="eastAsia" w:ascii="宋体" w:hAnsi="宋体" w:cs="宋体"/>
          <w:sz w:val="24"/>
          <w:highlight w:val="none"/>
        </w:rPr>
        <w:t>提交响应文件截止时间前，供应商可以对所提交的响应文件进行补充、修改或者撤回。磋商保证金的补充、修改或者撤回无需通过电子交易平台，但应就其补充、修改或者撤回通知采购人或采购代理机构。</w:t>
      </w:r>
    </w:p>
    <w:p w14:paraId="42B3F7E7">
      <w:pPr>
        <w:numPr>
          <w:ilvl w:val="1"/>
          <w:numId w:val="8"/>
        </w:numPr>
        <w:shd w:val="clear" w:color="auto" w:fill="FFFFFF"/>
        <w:tabs>
          <w:tab w:val="left" w:pos="1080"/>
          <w:tab w:val="left" w:pos="2014"/>
        </w:tabs>
        <w:snapToGrid w:val="0"/>
        <w:spacing w:line="360" w:lineRule="auto"/>
        <w:rPr>
          <w:rFonts w:hint="eastAsia" w:ascii="宋体" w:hAnsi="宋体" w:cs="宋体"/>
          <w:sz w:val="24"/>
          <w:highlight w:val="none"/>
        </w:rPr>
      </w:pPr>
      <w:r>
        <w:rPr>
          <w:rFonts w:hint="eastAsia" w:ascii="宋体" w:hAnsi="宋体" w:cs="宋体"/>
          <w:sz w:val="24"/>
          <w:highlight w:val="none"/>
        </w:rPr>
        <w:t>供应商对响应文件的补充、修改的内容应当按照竞争性磋商文件要求签署、盖章，作为响应文件的组成部分。补充、修改的内容与响应文件不一致的， 以补充、修改的内容为准。</w:t>
      </w:r>
    </w:p>
    <w:p w14:paraId="4E80BEAE">
      <w:pPr>
        <w:tabs>
          <w:tab w:val="left" w:pos="900"/>
          <w:tab w:val="left" w:pos="1080"/>
          <w:tab w:val="left" w:pos="1589"/>
        </w:tabs>
        <w:snapToGrid w:val="0"/>
        <w:spacing w:line="360" w:lineRule="auto"/>
        <w:ind w:left="357"/>
        <w:rPr>
          <w:rFonts w:hint="eastAsia" w:ascii="宋体" w:hAnsi="宋体" w:cstheme="minorEastAsia"/>
          <w:sz w:val="24"/>
          <w:highlight w:val="none"/>
        </w:rPr>
      </w:pPr>
    </w:p>
    <w:p w14:paraId="5DB5DEA1">
      <w:pPr>
        <w:pStyle w:val="3"/>
        <w:spacing w:before="0" w:line="360" w:lineRule="auto"/>
        <w:rPr>
          <w:rFonts w:hint="eastAsia" w:ascii="宋体" w:hAnsi="宋体" w:eastAsia="宋体" w:cstheme="minorEastAsia"/>
          <w:sz w:val="28"/>
          <w:highlight w:val="none"/>
        </w:rPr>
      </w:pPr>
      <w:bookmarkStart w:id="440" w:name="_Toc151193780"/>
      <w:bookmarkStart w:id="441" w:name="_Toc520356163"/>
      <w:bookmarkStart w:id="442" w:name="_Toc226965728"/>
      <w:bookmarkStart w:id="443" w:name="_Toc151190165"/>
      <w:bookmarkStart w:id="444" w:name="_Toc265228376"/>
      <w:bookmarkStart w:id="445" w:name="_Toc151193636"/>
      <w:bookmarkStart w:id="446" w:name="_Toc151193708"/>
      <w:bookmarkStart w:id="447" w:name="_Toc151193852"/>
      <w:bookmarkStart w:id="448" w:name="_Toc305158880"/>
      <w:bookmarkStart w:id="449" w:name="_Toc150774743"/>
      <w:bookmarkStart w:id="450" w:name="_Toc150509289"/>
      <w:bookmarkStart w:id="451" w:name="_Toc226309782"/>
      <w:bookmarkStart w:id="452" w:name="_Toc226337234"/>
      <w:bookmarkStart w:id="453" w:name="_Toc264969228"/>
      <w:bookmarkStart w:id="454" w:name="_Toc150774638"/>
      <w:bookmarkStart w:id="455" w:name="_Toc305158806"/>
      <w:bookmarkStart w:id="456" w:name="_Toc127151538"/>
      <w:bookmarkStart w:id="457" w:name="_Toc151193926"/>
      <w:bookmarkStart w:id="458" w:name="_Toc142311040"/>
      <w:bookmarkStart w:id="459" w:name="_Toc195842903"/>
      <w:bookmarkStart w:id="460" w:name="_Toc226965811"/>
      <w:bookmarkStart w:id="461" w:name="_Toc150480776"/>
      <w:r>
        <w:rPr>
          <w:rFonts w:hint="eastAsia" w:ascii="宋体" w:hAnsi="宋体" w:eastAsia="宋体" w:cstheme="minorEastAsia"/>
          <w:sz w:val="28"/>
          <w:highlight w:val="none"/>
        </w:rPr>
        <w:t xml:space="preserve">五   </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Fonts w:hint="eastAsia" w:ascii="宋体" w:hAnsi="宋体" w:eastAsia="宋体" w:cstheme="minorEastAsia"/>
          <w:sz w:val="28"/>
          <w:highlight w:val="none"/>
        </w:rPr>
        <w:t>评审</w:t>
      </w:r>
    </w:p>
    <w:p w14:paraId="48FE9277">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响应文件的解密与开启</w:t>
      </w:r>
    </w:p>
    <w:p w14:paraId="163F1E56">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采购人或采购代理机构将按竞争性磋商文件的规定，在响应文件提交截止时间的同一时间和竞争性磋商文件预先确定的地点开启响应文件。</w:t>
      </w:r>
    </w:p>
    <w:p w14:paraId="7B765A7B">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050CD369">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供应商不足3家的，不予开启响应文件，磋商文件有特殊要求的除外。</w:t>
      </w:r>
    </w:p>
    <w:p w14:paraId="12523A10">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bookmarkStart w:id="462" w:name="_Toc520356165"/>
      <w:r>
        <w:rPr>
          <w:rFonts w:hint="eastAsia" w:ascii="宋体" w:hAnsi="宋体" w:cstheme="minorEastAsia"/>
          <w:sz w:val="24"/>
          <w:highlight w:val="none"/>
        </w:rPr>
        <w:t>本项目不公开报价。</w:t>
      </w:r>
    </w:p>
    <w:bookmarkEnd w:id="462"/>
    <w:p w14:paraId="126DFF1D">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磋商小组</w:t>
      </w:r>
    </w:p>
    <w:p w14:paraId="6B7C5C9A">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磋商小组根据政府采购有关规定和本次采购项目的特点进行组建，并负责具体评审与磋商事务，独立履行职责。</w:t>
      </w:r>
      <w:bookmarkStart w:id="463" w:name="_Toc520356166"/>
    </w:p>
    <w:p w14:paraId="3CE65F87">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63"/>
      <w:bookmarkStart w:id="464" w:name="_Toc520356169"/>
    </w:p>
    <w:p w14:paraId="0D20807B">
      <w:pPr>
        <w:numPr>
          <w:ilvl w:val="0"/>
          <w:numId w:val="8"/>
        </w:num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评审方法和评审标准</w:t>
      </w:r>
    </w:p>
    <w:p w14:paraId="47C47CCC">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见第三章《评审方法和评审标准》。</w:t>
      </w:r>
    </w:p>
    <w:p w14:paraId="0C8021DC">
      <w:pPr>
        <w:tabs>
          <w:tab w:val="left" w:pos="360"/>
          <w:tab w:val="left" w:pos="1080"/>
        </w:tabs>
        <w:snapToGrid w:val="0"/>
        <w:spacing w:line="360" w:lineRule="auto"/>
        <w:ind w:left="1080"/>
        <w:rPr>
          <w:rFonts w:hint="eastAsia" w:ascii="宋体" w:hAnsi="宋体" w:cstheme="minorEastAsia"/>
          <w:sz w:val="24"/>
          <w:highlight w:val="none"/>
        </w:rPr>
      </w:pPr>
    </w:p>
    <w:p w14:paraId="20C1D1EC">
      <w:pPr>
        <w:pStyle w:val="3"/>
        <w:spacing w:before="0" w:line="360" w:lineRule="auto"/>
        <w:rPr>
          <w:rFonts w:hint="eastAsia" w:ascii="宋体" w:hAnsi="宋体" w:eastAsia="宋体" w:cstheme="minorEastAsia"/>
          <w:sz w:val="28"/>
          <w:highlight w:val="none"/>
        </w:rPr>
      </w:pPr>
      <w:bookmarkStart w:id="465" w:name="_Toc151193787"/>
      <w:bookmarkStart w:id="466" w:name="_Toc226337241"/>
      <w:bookmarkStart w:id="467" w:name="_Toc150509296"/>
      <w:bookmarkStart w:id="468" w:name="_Toc127151545"/>
      <w:bookmarkStart w:id="469" w:name="_Toc151190172"/>
      <w:bookmarkStart w:id="470" w:name="_Toc305158813"/>
      <w:bookmarkStart w:id="471" w:name="_Toc150774645"/>
      <w:bookmarkStart w:id="472" w:name="_Toc151193859"/>
      <w:bookmarkStart w:id="473" w:name="_Toc142311047"/>
      <w:bookmarkStart w:id="474" w:name="_Toc226309789"/>
      <w:bookmarkStart w:id="475" w:name="_Toc150774750"/>
      <w:bookmarkStart w:id="476" w:name="_Toc265228383"/>
      <w:bookmarkStart w:id="477" w:name="_Toc151193933"/>
      <w:bookmarkStart w:id="478" w:name="_Toc226965818"/>
      <w:bookmarkStart w:id="479" w:name="_Toc150480783"/>
      <w:bookmarkStart w:id="480" w:name="_Toc226965735"/>
      <w:bookmarkStart w:id="481" w:name="_Toc195842910"/>
      <w:bookmarkStart w:id="482" w:name="_Toc151193643"/>
      <w:bookmarkStart w:id="483" w:name="_Toc151193715"/>
      <w:bookmarkStart w:id="484" w:name="_Toc264969235"/>
      <w:bookmarkStart w:id="485" w:name="_Toc305158887"/>
      <w:r>
        <w:rPr>
          <w:rFonts w:hint="eastAsia" w:ascii="宋体" w:hAnsi="宋体" w:eastAsia="宋体" w:cstheme="minorEastAsia"/>
          <w:sz w:val="28"/>
          <w:highlight w:val="none"/>
        </w:rPr>
        <w:t xml:space="preserve">六   </w:t>
      </w:r>
      <w:bookmarkEnd w:id="464"/>
      <w:r>
        <w:rPr>
          <w:rFonts w:hint="eastAsia" w:ascii="宋体" w:hAnsi="宋体" w:eastAsia="宋体" w:cstheme="minorEastAsia"/>
          <w:sz w:val="28"/>
          <w:highlight w:val="none"/>
        </w:rPr>
        <w:t>确定</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rFonts w:hint="eastAsia" w:ascii="宋体" w:hAnsi="宋体" w:eastAsia="宋体" w:cstheme="minorEastAsia"/>
          <w:sz w:val="28"/>
          <w:highlight w:val="none"/>
        </w:rPr>
        <w:t>成交</w:t>
      </w:r>
    </w:p>
    <w:p w14:paraId="6D8575D1">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486" w:name="_Toc127161461"/>
      <w:bookmarkStart w:id="487" w:name="_Toc150774752"/>
      <w:bookmarkStart w:id="488" w:name="_Toc151190174"/>
      <w:bookmarkStart w:id="489" w:name="_Toc195842912"/>
      <w:bookmarkStart w:id="490" w:name="_Toc127151748"/>
      <w:bookmarkStart w:id="491" w:name="_Toc226337243"/>
      <w:bookmarkStart w:id="492" w:name="_Toc264969237"/>
      <w:bookmarkStart w:id="493" w:name="_Toc151193645"/>
      <w:bookmarkStart w:id="494" w:name="_Toc164229388"/>
      <w:bookmarkStart w:id="495" w:name="_Toc149720840"/>
      <w:bookmarkStart w:id="496" w:name="_Toc151193789"/>
      <w:bookmarkStart w:id="497" w:name="_Toc142311049"/>
      <w:bookmarkStart w:id="498" w:name="_Toc127151547"/>
      <w:bookmarkStart w:id="499" w:name="_Toc226965737"/>
      <w:bookmarkStart w:id="500" w:name="_Toc150774647"/>
      <w:bookmarkStart w:id="501" w:name="_Toc265228385"/>
      <w:bookmarkStart w:id="502" w:name="_Toc151193717"/>
      <w:bookmarkStart w:id="503" w:name="_Toc151193935"/>
      <w:bookmarkStart w:id="504" w:name="_Toc305158815"/>
      <w:bookmarkStart w:id="505" w:name="_Toc151193861"/>
      <w:bookmarkStart w:id="506" w:name="_Toc164608816"/>
      <w:bookmarkStart w:id="507" w:name="_Toc164229242"/>
      <w:bookmarkStart w:id="508" w:name="_Toc226309791"/>
      <w:bookmarkStart w:id="509" w:name="_Toc150480785"/>
      <w:bookmarkStart w:id="510" w:name="_Toc164351641"/>
      <w:bookmarkStart w:id="511" w:name="_Toc150509298"/>
      <w:bookmarkStart w:id="512" w:name="_Toc305158889"/>
      <w:bookmarkStart w:id="513" w:name="_Toc226965820"/>
      <w:bookmarkStart w:id="514" w:name="_Toc164608661"/>
      <w:r>
        <w:rPr>
          <w:rFonts w:hint="eastAsia" w:ascii="宋体" w:hAnsi="宋体" w:cstheme="minorEastAsia"/>
          <w:sz w:val="24"/>
          <w:highlight w:val="none"/>
        </w:rPr>
        <w:t>确定成交供应商</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0C63763F">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14:paraId="7BED5A3C">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515" w:name="_Toc305158817"/>
      <w:bookmarkStart w:id="516" w:name="_Toc305158891"/>
      <w:bookmarkStart w:id="517" w:name="_Toc164608663"/>
      <w:bookmarkStart w:id="518" w:name="_Toc151193863"/>
      <w:bookmarkStart w:id="519" w:name="_Toc226337245"/>
      <w:bookmarkStart w:id="520" w:name="_Toc150509300"/>
      <w:bookmarkStart w:id="521" w:name="_Toc226965822"/>
      <w:bookmarkStart w:id="522" w:name="_Toc150774754"/>
      <w:bookmarkStart w:id="523" w:name="_Toc151193937"/>
      <w:bookmarkStart w:id="524" w:name="_Toc164229390"/>
      <w:bookmarkStart w:id="525" w:name="_Toc164351643"/>
      <w:bookmarkStart w:id="526" w:name="_Toc150774649"/>
      <w:bookmarkStart w:id="527" w:name="_Toc151190176"/>
      <w:bookmarkStart w:id="528" w:name="_Toc151193647"/>
      <w:bookmarkStart w:id="529" w:name="_Toc151193719"/>
      <w:bookmarkStart w:id="530" w:name="_Toc142311051"/>
      <w:bookmarkStart w:id="531" w:name="_Toc265228387"/>
      <w:bookmarkStart w:id="532" w:name="_Toc195842914"/>
      <w:bookmarkStart w:id="533" w:name="_Toc127151750"/>
      <w:bookmarkStart w:id="534" w:name="_Toc151193791"/>
      <w:bookmarkStart w:id="535" w:name="_Toc150480787"/>
      <w:bookmarkStart w:id="536" w:name="_Toc226965739"/>
      <w:bookmarkStart w:id="537" w:name="_Toc164229244"/>
      <w:bookmarkStart w:id="538" w:name="_Toc264969239"/>
      <w:bookmarkStart w:id="539" w:name="_Toc164608818"/>
      <w:bookmarkStart w:id="540" w:name="_Toc149720842"/>
      <w:bookmarkStart w:id="541" w:name="_Toc226309793"/>
      <w:bookmarkStart w:id="542" w:name="_Toc127151549"/>
      <w:bookmarkStart w:id="543" w:name="_Toc127161463"/>
      <w:bookmarkStart w:id="544" w:name="_Ref467306425"/>
      <w:bookmarkStart w:id="545" w:name="_Toc520356176"/>
      <w:bookmarkStart w:id="546" w:name="_Ref467307090"/>
      <w:r>
        <w:rPr>
          <w:rFonts w:hint="eastAsia" w:ascii="宋体" w:hAnsi="宋体" w:cstheme="minorEastAsia"/>
          <w:sz w:val="24"/>
          <w:highlight w:val="none"/>
        </w:rPr>
        <w:t>成交公告与成交通知书</w:t>
      </w:r>
      <w:bookmarkEnd w:id="515"/>
      <w:bookmarkEnd w:id="516"/>
    </w:p>
    <w:p w14:paraId="7F5D91F2">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采购人或采购代理机构将</w:t>
      </w:r>
      <w:r>
        <w:rPr>
          <w:rFonts w:hint="eastAsia" w:ascii="宋体" w:hAnsi="宋体" w:cstheme="minorEastAsia"/>
          <w:kern w:val="0"/>
          <w:sz w:val="24"/>
          <w:highlight w:val="none"/>
        </w:rPr>
        <w:t>在成交供应商确定后2个工作日内，在</w:t>
      </w:r>
      <w:r>
        <w:rPr>
          <w:rFonts w:hint="eastAsia" w:ascii="宋体" w:hAnsi="宋体" w:cstheme="minorEastAsia"/>
          <w:sz w:val="24"/>
          <w:highlight w:val="none"/>
        </w:rPr>
        <w:t>北京市政府采购网</w:t>
      </w:r>
      <w:r>
        <w:rPr>
          <w:rFonts w:hint="eastAsia" w:ascii="宋体" w:hAnsi="宋体" w:cstheme="minorEastAsia"/>
          <w:kern w:val="0"/>
          <w:sz w:val="24"/>
          <w:highlight w:val="none"/>
        </w:rPr>
        <w:t>公告成交结果，同时向成交供应商发出成交通知书，</w:t>
      </w:r>
      <w:r>
        <w:rPr>
          <w:rFonts w:hint="eastAsia" w:ascii="宋体" w:hAnsi="宋体" w:cstheme="minorEastAsia"/>
          <w:sz w:val="24"/>
          <w:highlight w:val="none"/>
        </w:rPr>
        <w:t>成交公告期限为1个工作日。</w:t>
      </w:r>
    </w:p>
    <w:p w14:paraId="027AB8FA">
      <w:pPr>
        <w:numPr>
          <w:ilvl w:val="1"/>
          <w:numId w:val="8"/>
        </w:numPr>
        <w:tabs>
          <w:tab w:val="left" w:pos="1080"/>
          <w:tab w:val="left" w:pos="2014"/>
        </w:tabs>
        <w:snapToGrid w:val="0"/>
        <w:spacing w:line="360" w:lineRule="auto"/>
        <w:ind w:left="1080" w:hanging="720"/>
        <w:rPr>
          <w:rFonts w:hint="eastAsia" w:ascii="宋体" w:hAnsi="宋体" w:cstheme="minorEastAsia"/>
          <w:sz w:val="24"/>
          <w:highlight w:val="none"/>
        </w:rPr>
      </w:pPr>
      <w:r>
        <w:rPr>
          <w:rFonts w:hint="eastAsia" w:ascii="宋体" w:hAnsi="宋体" w:cstheme="minorEastAsia"/>
          <w:sz w:val="24"/>
          <w:highlight w:val="none"/>
        </w:rPr>
        <w:t>成交通知书对采购人和成交供应商均具有法律效力。成交通知书发出后，采购人改变成交结果的，或者成交供应商放弃成交项目的，应当依法承担法律责任。</w:t>
      </w:r>
    </w:p>
    <w:p w14:paraId="030508FF">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终止</w:t>
      </w:r>
    </w:p>
    <w:p w14:paraId="12222E94">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出现下列情形之一的，采购人或采购代理机构将终止竞争性磋商采购活动，发布项目终止公告并说明原因，重新开展采购活动：</w:t>
      </w:r>
    </w:p>
    <w:p w14:paraId="4E46854A">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因情况变化，不再符合规定的竞争性磋商采购方式适用情形的；</w:t>
      </w:r>
    </w:p>
    <w:p w14:paraId="085C3CC4">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出现影响采购公正的违法、违规行为的；</w:t>
      </w:r>
    </w:p>
    <w:p w14:paraId="0F11630E">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napToGrid w:val="0"/>
          <w:kern w:val="0"/>
          <w:sz w:val="24"/>
          <w:szCs w:val="20"/>
          <w:highlight w:val="none"/>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14:paraId="0706F974">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bookmarkStart w:id="547" w:name="_Toc164229391"/>
      <w:bookmarkStart w:id="548" w:name="_Ref467307204"/>
      <w:bookmarkStart w:id="549" w:name="_Toc151193864"/>
      <w:bookmarkStart w:id="550" w:name="_Ref467307062"/>
      <w:bookmarkStart w:id="551" w:name="_Ref467306978"/>
      <w:bookmarkStart w:id="552" w:name="_Toc149720843"/>
      <w:bookmarkStart w:id="553" w:name="_Toc151193648"/>
      <w:bookmarkStart w:id="554" w:name="_Toc150774650"/>
      <w:bookmarkStart w:id="555" w:name="_Toc150774755"/>
      <w:bookmarkStart w:id="556" w:name="_Toc151193938"/>
      <w:bookmarkStart w:id="557" w:name="_Toc151190177"/>
      <w:bookmarkStart w:id="558" w:name="_Toc520356175"/>
      <w:bookmarkStart w:id="559" w:name="_Toc164608819"/>
      <w:bookmarkStart w:id="560" w:name="_Toc150480788"/>
      <w:bookmarkStart w:id="561" w:name="_Toc164608664"/>
      <w:bookmarkStart w:id="562" w:name="_Toc164229245"/>
      <w:bookmarkStart w:id="563" w:name="_Toc265228388"/>
      <w:bookmarkStart w:id="564" w:name="_Toc226965823"/>
      <w:bookmarkStart w:id="565" w:name="_Toc226309794"/>
      <w:bookmarkStart w:id="566" w:name="_Toc127151751"/>
      <w:bookmarkStart w:id="567" w:name="_Toc195842915"/>
      <w:bookmarkStart w:id="568" w:name="_Toc127151550"/>
      <w:bookmarkStart w:id="569" w:name="_Toc226337246"/>
      <w:bookmarkStart w:id="570" w:name="_Toc142311052"/>
      <w:bookmarkStart w:id="571" w:name="_Toc150509301"/>
      <w:bookmarkStart w:id="572" w:name="_Toc164351644"/>
      <w:bookmarkStart w:id="573" w:name="_Toc226965740"/>
      <w:bookmarkStart w:id="574" w:name="_Toc264969240"/>
      <w:bookmarkStart w:id="575" w:name="_Toc305158818"/>
      <w:bookmarkStart w:id="576" w:name="_Ref467306377"/>
      <w:bookmarkStart w:id="577" w:name="_Toc305158892"/>
      <w:bookmarkStart w:id="578" w:name="_Toc151193792"/>
      <w:bookmarkStart w:id="579" w:name="_Toc151193720"/>
      <w:bookmarkStart w:id="580" w:name="_Toc127161464"/>
      <w:r>
        <w:rPr>
          <w:rFonts w:hint="eastAsia" w:ascii="宋体" w:hAnsi="宋体" w:cstheme="minorEastAsia"/>
          <w:sz w:val="24"/>
          <w:highlight w:val="none"/>
        </w:rPr>
        <w:t>签订合同</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14:paraId="303E0CF7">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采购人与成交供应商应当在成交通知书发出之日起30日内，按照磋商文件确定的合同文本以及采购标的、规格型号、采购金额、采购数量、技术和服务要求等事项签订政府采购合同。</w:t>
      </w:r>
    </w:p>
    <w:p w14:paraId="1A821F24">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65AB2AC">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联合体成交的，联合体各方应当共同与采购人签订合同，就采购合同约定的事项向采购人承担连带责任。</w:t>
      </w:r>
    </w:p>
    <w:p w14:paraId="08C3E1EC">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政府采购合同不能转包。</w:t>
      </w:r>
    </w:p>
    <w:p w14:paraId="0BF650D1">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hint="eastAsia" w:ascii="宋体" w:hAnsi="宋体" w:cstheme="minorEastAsia"/>
          <w:b/>
          <w:sz w:val="24"/>
          <w:highlight w:val="none"/>
        </w:rPr>
        <w:t>否则响应无效</w:t>
      </w:r>
      <w:r>
        <w:rPr>
          <w:rFonts w:hint="eastAsia" w:ascii="宋体" w:hAnsi="宋体" w:cstheme="minorEastAsia"/>
          <w:sz w:val="24"/>
          <w:highlight w:val="none"/>
        </w:rPr>
        <w:t>。成交供应商就采购项目和分包项目向采购人负责，分包供应商就分包项目承担责任。</w:t>
      </w:r>
    </w:p>
    <w:p w14:paraId="7188113B">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“政采贷”融资指引：详见《供应商须知资料表》。</w:t>
      </w:r>
    </w:p>
    <w:bookmarkEnd w:id="544"/>
    <w:bookmarkEnd w:id="545"/>
    <w:bookmarkEnd w:id="546"/>
    <w:p w14:paraId="1B1784F3">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询问与质疑</w:t>
      </w:r>
    </w:p>
    <w:p w14:paraId="03B337F1">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询问</w:t>
      </w:r>
    </w:p>
    <w:p w14:paraId="0248A811">
      <w:pPr>
        <w:numPr>
          <w:ilvl w:val="2"/>
          <w:numId w:val="8"/>
        </w:numPr>
        <w:snapToGrid w:val="0"/>
        <w:spacing w:line="360" w:lineRule="auto"/>
        <w:rPr>
          <w:rFonts w:hint="eastAsia" w:ascii="宋体" w:hAnsi="宋体" w:cstheme="minorEastAsia"/>
          <w:sz w:val="24"/>
          <w:highlight w:val="none"/>
        </w:rPr>
      </w:pPr>
      <w:bookmarkStart w:id="581" w:name="_Hlk179293422"/>
      <w:r>
        <w:rPr>
          <w:rFonts w:hint="eastAsia" w:ascii="宋体" w:hAnsi="宋体" w:cstheme="minorEastAsia"/>
          <w:sz w:val="24"/>
          <w:highlight w:val="none"/>
        </w:rPr>
        <w:t>供应商对政府采购活动事项有疑问的，可依法向采购人或采购代理机构提出询问，提出形式见《供应商须知资料表》。</w:t>
      </w:r>
      <w:bookmarkEnd w:id="581"/>
    </w:p>
    <w:p w14:paraId="4DA19BEF">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采购人或采购代理机构对供应商依法提出的询问，在3个工作日内作出答复，但答复的内容不得涉及商业秘密。</w:t>
      </w:r>
    </w:p>
    <w:p w14:paraId="65F469AE">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质疑</w:t>
      </w:r>
    </w:p>
    <w:p w14:paraId="315EEB5A">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认为竞争性磋商文件、采购过程、成交结果使自己的权益受到损害的，可以在知道或者应知其权益受到损害之日起7个工作日内，以书面形式向采购人、采购代理机构提出质疑。采购人、采购代理机构在收到质疑函后7个工作日内作出答复。</w:t>
      </w:r>
    </w:p>
    <w:p w14:paraId="7A2FE27B">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质疑函须使用财政部制定的范本文件。供应商为自然人的，质疑函应当由本人签字；供应商为法人或者其他组织的，质疑函应当由法定代表人、主要负责人，或者其授权代表签字或者盖章，并加盖公章。</w:t>
      </w:r>
    </w:p>
    <w:p w14:paraId="11190C2B">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B74B49F">
      <w:pPr>
        <w:numPr>
          <w:ilvl w:val="2"/>
          <w:numId w:val="8"/>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供应商应在法定质疑期内一次性提出针对同一采购程序环节的质疑，法定质疑期内针对同一采购程序环节再次提出的质疑，采购人、采购代理机构有权不予答复。</w:t>
      </w:r>
    </w:p>
    <w:p w14:paraId="3FB78F07">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接收询问和质疑的联系部门、联系电话和通讯地址见《供应商须知资料表》。</w:t>
      </w:r>
    </w:p>
    <w:p w14:paraId="6C0C52DE">
      <w:pPr>
        <w:numPr>
          <w:ilvl w:val="0"/>
          <w:numId w:val="8"/>
        </w:numPr>
        <w:tabs>
          <w:tab w:val="left" w:pos="360"/>
        </w:tabs>
        <w:snapToGrid w:val="0"/>
        <w:spacing w:line="360" w:lineRule="auto"/>
        <w:ind w:left="357" w:hanging="357"/>
        <w:outlineLvl w:val="1"/>
        <w:rPr>
          <w:rFonts w:hint="eastAsia" w:ascii="宋体" w:hAnsi="宋体" w:cstheme="minorEastAsia"/>
          <w:sz w:val="24"/>
          <w:highlight w:val="none"/>
        </w:rPr>
      </w:pPr>
      <w:r>
        <w:rPr>
          <w:rFonts w:hint="eastAsia" w:ascii="宋体" w:hAnsi="宋体" w:cstheme="minorEastAsia"/>
          <w:sz w:val="24"/>
          <w:highlight w:val="none"/>
        </w:rPr>
        <w:t>代理费</w:t>
      </w:r>
    </w:p>
    <w:p w14:paraId="034BB3ED">
      <w:pPr>
        <w:numPr>
          <w:ilvl w:val="1"/>
          <w:numId w:val="8"/>
        </w:numPr>
        <w:tabs>
          <w:tab w:val="left" w:pos="1080"/>
          <w:tab w:val="left" w:pos="2014"/>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收费对象、收费标准及缴纳时间见《供应商须知资料表》。由成交供应商支付的，成交供应商须一次性向采购代理机构缴纳代理费，报价应包含代理费用。</w:t>
      </w:r>
    </w:p>
    <w:p w14:paraId="71029C8C">
      <w:pPr>
        <w:tabs>
          <w:tab w:val="left" w:pos="360"/>
          <w:tab w:val="left" w:pos="1080"/>
        </w:tabs>
        <w:snapToGrid w:val="0"/>
        <w:spacing w:line="360" w:lineRule="auto"/>
        <w:ind w:left="360"/>
        <w:rPr>
          <w:rFonts w:hint="eastAsia" w:ascii="宋体" w:hAnsi="宋体" w:cstheme="minorEastAsia"/>
          <w:sz w:val="24"/>
          <w:highlight w:val="none"/>
        </w:rPr>
      </w:pPr>
    </w:p>
    <w:p w14:paraId="64C673E9">
      <w:pPr>
        <w:spacing w:line="360" w:lineRule="auto"/>
        <w:jc w:val="center"/>
        <w:outlineLvl w:val="0"/>
        <w:rPr>
          <w:rFonts w:hint="eastAsia" w:ascii="宋体" w:hAnsi="宋体" w:cstheme="minorEastAsia"/>
          <w:b/>
          <w:sz w:val="36"/>
          <w:szCs w:val="36"/>
          <w:highlight w:val="none"/>
        </w:rPr>
      </w:pPr>
      <w:bookmarkStart w:id="582" w:name="_Toc353873934"/>
      <w:bookmarkStart w:id="583" w:name="_Toc305158896"/>
      <w:bookmarkStart w:id="584" w:name="_Toc150774759"/>
      <w:bookmarkStart w:id="585" w:name="_Toc305158822"/>
      <w:bookmarkStart w:id="586" w:name="_Toc127151554"/>
      <w:bookmarkStart w:id="587" w:name="_Toc142311056"/>
      <w:bookmarkStart w:id="588" w:name="_Toc150480792"/>
      <w:bookmarkStart w:id="589" w:name="_Toc226965827"/>
      <w:bookmarkStart w:id="590" w:name="_Toc264969244"/>
      <w:bookmarkStart w:id="591" w:name="_Toc353825544"/>
      <w:bookmarkStart w:id="592" w:name="_Toc226337250"/>
      <w:bookmarkStart w:id="593" w:name="_Toc353873664"/>
      <w:bookmarkStart w:id="594" w:name="_Toc265228392"/>
      <w:r>
        <w:rPr>
          <w:rFonts w:hint="eastAsia" w:ascii="宋体" w:hAnsi="宋体" w:cstheme="minorEastAsia"/>
          <w:sz w:val="24"/>
          <w:highlight w:val="none"/>
        </w:rPr>
        <w:br w:type="page"/>
      </w:r>
      <w:bookmarkStart w:id="595" w:name="_Toc27856"/>
      <w:bookmarkStart w:id="596" w:name="_Toc3687"/>
      <w:r>
        <w:rPr>
          <w:rFonts w:hint="eastAsia" w:ascii="宋体" w:hAnsi="宋体" w:cstheme="minorEastAsia"/>
          <w:b/>
          <w:sz w:val="36"/>
          <w:szCs w:val="36"/>
          <w:highlight w:val="none"/>
        </w:rPr>
        <w:t xml:space="preserve">第三章   </w:t>
      </w:r>
      <w:bookmarkEnd w:id="582"/>
      <w:bookmarkEnd w:id="583"/>
      <w:bookmarkEnd w:id="584"/>
      <w:bookmarkEnd w:id="585"/>
      <w:bookmarkEnd w:id="586"/>
      <w:bookmarkEnd w:id="587"/>
      <w:bookmarkEnd w:id="588"/>
      <w:bookmarkEnd w:id="589"/>
      <w:bookmarkEnd w:id="590"/>
      <w:bookmarkEnd w:id="591"/>
      <w:bookmarkEnd w:id="592"/>
      <w:bookmarkEnd w:id="593"/>
      <w:bookmarkEnd w:id="594"/>
      <w:r>
        <w:rPr>
          <w:rFonts w:hint="eastAsia" w:ascii="宋体" w:hAnsi="宋体" w:cstheme="minorEastAsia"/>
          <w:b/>
          <w:sz w:val="36"/>
          <w:szCs w:val="36"/>
          <w:highlight w:val="none"/>
        </w:rPr>
        <w:t>评审方法和评审标准</w:t>
      </w:r>
      <w:bookmarkEnd w:id="595"/>
      <w:bookmarkEnd w:id="596"/>
      <w:bookmarkStart w:id="597" w:name="_Toc487900382"/>
    </w:p>
    <w:p w14:paraId="15C15362">
      <w:pPr>
        <w:pStyle w:val="3"/>
        <w:spacing w:before="0" w:line="360" w:lineRule="auto"/>
        <w:rPr>
          <w:rFonts w:hint="eastAsia" w:ascii="宋体" w:hAnsi="宋体" w:eastAsia="宋体" w:cstheme="minorEastAsia"/>
          <w:sz w:val="24"/>
          <w:szCs w:val="24"/>
          <w:highlight w:val="none"/>
        </w:rPr>
      </w:pPr>
      <w:r>
        <w:rPr>
          <w:rFonts w:hint="eastAsia" w:ascii="宋体" w:hAnsi="宋体" w:eastAsia="宋体" w:cstheme="minorEastAsia"/>
          <w:sz w:val="24"/>
          <w:szCs w:val="24"/>
          <w:highlight w:val="none"/>
        </w:rPr>
        <w:t>一、评审程序和方法</w:t>
      </w:r>
    </w:p>
    <w:p w14:paraId="0D99BA18">
      <w:pPr>
        <w:tabs>
          <w:tab w:val="left" w:pos="1080"/>
        </w:tabs>
        <w:snapToGrid w:val="0"/>
        <w:jc w:val="left"/>
        <w:rPr>
          <w:rFonts w:hint="eastAsia" w:ascii="宋体" w:hAnsi="宋体" w:cstheme="minorEastAsia"/>
          <w:b/>
          <w:sz w:val="24"/>
          <w:highlight w:val="none"/>
        </w:rPr>
      </w:pPr>
      <w:r>
        <w:rPr>
          <w:rFonts w:hint="eastAsia" w:ascii="宋体" w:hAnsi="宋体" w:cstheme="minorEastAsia"/>
          <w:b/>
          <w:sz w:val="24"/>
          <w:highlight w:val="none"/>
        </w:rPr>
        <w:tab/>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597"/>
    <w:p w14:paraId="1A75F6FC">
      <w:pPr>
        <w:numPr>
          <w:ilvl w:val="0"/>
          <w:numId w:val="11"/>
        </w:numPr>
        <w:tabs>
          <w:tab w:val="left" w:pos="360"/>
        </w:tabs>
        <w:snapToGrid w:val="0"/>
        <w:spacing w:line="360" w:lineRule="auto"/>
        <w:outlineLvl w:val="1"/>
        <w:rPr>
          <w:rFonts w:hint="eastAsia" w:ascii="宋体" w:hAnsi="宋体" w:cstheme="minorEastAsia"/>
          <w:sz w:val="24"/>
          <w:highlight w:val="none"/>
        </w:rPr>
      </w:pPr>
      <w:bookmarkStart w:id="598" w:name="_Toc149720834"/>
      <w:bookmarkStart w:id="599" w:name="_Toc164229382"/>
      <w:bookmarkStart w:id="600" w:name="_Toc151193855"/>
      <w:bookmarkStart w:id="601" w:name="_Toc164229236"/>
      <w:bookmarkStart w:id="602" w:name="_Toc164608810"/>
      <w:bookmarkStart w:id="603" w:name="_Toc150509292"/>
      <w:bookmarkStart w:id="604" w:name="_Toc226965731"/>
      <w:bookmarkStart w:id="605" w:name="_Toc226309785"/>
      <w:bookmarkStart w:id="606" w:name="_Toc151193711"/>
      <w:bookmarkStart w:id="607" w:name="_Toc127151541"/>
      <w:bookmarkStart w:id="608" w:name="_Toc150480779"/>
      <w:bookmarkStart w:id="609" w:name="_Toc127151742"/>
      <w:bookmarkStart w:id="610" w:name="_Toc265228379"/>
      <w:bookmarkStart w:id="611" w:name="_Toc142311043"/>
      <w:bookmarkStart w:id="612" w:name="_Toc151193929"/>
      <w:bookmarkStart w:id="613" w:name="_Toc195842906"/>
      <w:bookmarkStart w:id="614" w:name="_Toc127161455"/>
      <w:bookmarkStart w:id="615" w:name="_Toc151193783"/>
      <w:bookmarkStart w:id="616" w:name="_Toc150774746"/>
      <w:bookmarkStart w:id="617" w:name="_Toc226965814"/>
      <w:bookmarkStart w:id="618" w:name="_Toc226337237"/>
      <w:bookmarkStart w:id="619" w:name="_Toc151193639"/>
      <w:bookmarkStart w:id="620" w:name="_Toc164351635"/>
      <w:bookmarkStart w:id="621" w:name="_Toc164608655"/>
      <w:bookmarkStart w:id="622" w:name="_Toc150774641"/>
      <w:bookmarkStart w:id="623" w:name="_Toc151190168"/>
      <w:bookmarkStart w:id="624" w:name="_Toc305158809"/>
      <w:bookmarkStart w:id="625" w:name="_Toc264969231"/>
      <w:bookmarkStart w:id="626" w:name="_Toc305158883"/>
      <w:bookmarkStart w:id="627" w:name="_Toc353825551"/>
      <w:bookmarkStart w:id="628" w:name="_Toc353873941"/>
      <w:bookmarkStart w:id="629" w:name="_Toc150774760"/>
      <w:bookmarkStart w:id="630" w:name="_Toc353825545"/>
      <w:bookmarkStart w:id="631" w:name="_Toc305158897"/>
      <w:bookmarkStart w:id="632" w:name="_Toc305158823"/>
      <w:bookmarkStart w:id="633" w:name="_Toc142311057"/>
      <w:bookmarkStart w:id="634" w:name="_Toc150480793"/>
      <w:bookmarkStart w:id="635" w:name="_Toc195842920"/>
      <w:bookmarkStart w:id="636" w:name="_Toc226965828"/>
      <w:bookmarkStart w:id="637" w:name="_Toc127151555"/>
      <w:bookmarkStart w:id="638" w:name="_Toc226337251"/>
      <w:bookmarkStart w:id="639" w:name="_Toc353873665"/>
      <w:bookmarkStart w:id="640" w:name="_Toc353873935"/>
      <w:bookmarkStart w:id="641" w:name="_Toc264969245"/>
      <w:bookmarkStart w:id="642" w:name="_Toc265228393"/>
      <w:r>
        <w:rPr>
          <w:rFonts w:hint="eastAsia" w:ascii="宋体" w:hAnsi="宋体" w:cstheme="minorEastAsia"/>
          <w:sz w:val="24"/>
          <w:highlight w:val="none"/>
        </w:rPr>
        <w:t>响应文件的</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Pr>
          <w:rFonts w:hint="eastAsia" w:ascii="宋体" w:hAnsi="宋体" w:cstheme="minorEastAsia"/>
          <w:sz w:val="24"/>
          <w:highlight w:val="none"/>
        </w:rPr>
        <w:t>资格审查和符合性审查</w:t>
      </w:r>
    </w:p>
    <w:p w14:paraId="6D9EFB79">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hint="eastAsia" w:ascii="宋体" w:hAnsi="宋体" w:cstheme="minorEastAsia"/>
          <w:b/>
          <w:sz w:val="24"/>
          <w:highlight w:val="none"/>
        </w:rPr>
        <w:t>无效响应</w:t>
      </w:r>
      <w:r>
        <w:rPr>
          <w:rFonts w:hint="eastAsia" w:ascii="宋体" w:hAnsi="宋体" w:cstheme="minorEastAsia"/>
          <w:sz w:val="24"/>
          <w:highlight w:val="none"/>
        </w:rPr>
        <w:t>处理，磋商小组应当告知提交响应文件的供应商。</w:t>
      </w:r>
    </w:p>
    <w:p w14:paraId="5BDEDE59">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《资格审查要求》中对格式有要求的，除竞争性磋商文件另有规定外，均为“实质性格式”文件。</w:t>
      </w:r>
    </w:p>
    <w:p w14:paraId="63C54D12">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《资格审查要求》见下表：</w:t>
      </w:r>
    </w:p>
    <w:p w14:paraId="16FA6995">
      <w:pPr>
        <w:rPr>
          <w:rFonts w:hint="eastAsia" w:ascii="宋体" w:hAnsi="宋体" w:cstheme="minorEastAsia"/>
          <w:b/>
          <w:sz w:val="24"/>
          <w:highlight w:val="none"/>
        </w:rPr>
      </w:pPr>
      <w:r>
        <w:rPr>
          <w:rFonts w:hint="eastAsia" w:ascii="宋体" w:hAnsi="宋体" w:cstheme="minorEastAsia"/>
          <w:b/>
          <w:sz w:val="24"/>
          <w:highlight w:val="none"/>
        </w:rPr>
        <w:br w:type="page"/>
      </w:r>
    </w:p>
    <w:p w14:paraId="39DB2754">
      <w:pPr>
        <w:tabs>
          <w:tab w:val="left" w:pos="900"/>
          <w:tab w:val="left" w:pos="1080"/>
        </w:tabs>
        <w:snapToGrid w:val="0"/>
        <w:spacing w:line="360" w:lineRule="auto"/>
        <w:ind w:left="1077" w:firstLine="2650" w:firstLineChars="1100"/>
        <w:rPr>
          <w:rFonts w:hint="eastAsia" w:ascii="宋体" w:hAnsi="宋体" w:cstheme="minorEastAsia"/>
          <w:b/>
          <w:sz w:val="24"/>
          <w:highlight w:val="none"/>
        </w:rPr>
      </w:pPr>
      <w:r>
        <w:rPr>
          <w:rFonts w:hint="eastAsia" w:ascii="宋体" w:hAnsi="宋体" w:cstheme="minorEastAsia"/>
          <w:b/>
          <w:sz w:val="24"/>
          <w:highlight w:val="none"/>
        </w:rPr>
        <w:t>资格审查要求</w:t>
      </w:r>
    </w:p>
    <w:tbl>
      <w:tblPr>
        <w:tblStyle w:val="4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0"/>
        <w:gridCol w:w="1568"/>
        <w:gridCol w:w="4312"/>
        <w:gridCol w:w="1719"/>
      </w:tblGrid>
      <w:tr w14:paraId="0DD72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2B932217">
            <w:pPr>
              <w:tabs>
                <w:tab w:val="left" w:pos="1080"/>
              </w:tabs>
              <w:snapToGrid w:val="0"/>
              <w:jc w:val="center"/>
              <w:rPr>
                <w:rFonts w:hint="eastAsia" w:ascii="宋体" w:hAnsi="宋体" w:cstheme="minorEastAsia"/>
                <w:b/>
                <w:sz w:val="24"/>
                <w:highlight w:val="none"/>
              </w:rPr>
            </w:pPr>
            <w:bookmarkStart w:id="643" w:name="_Hlt487972895"/>
            <w:bookmarkEnd w:id="643"/>
            <w:r>
              <w:rPr>
                <w:rFonts w:hint="eastAsia" w:ascii="宋体" w:hAnsi="宋体" w:cstheme="minorEastAsia"/>
                <w:b/>
                <w:sz w:val="24"/>
                <w:highlight w:val="none"/>
              </w:rPr>
              <w:t>序号</w:t>
            </w:r>
          </w:p>
        </w:tc>
        <w:tc>
          <w:tcPr>
            <w:tcW w:w="938" w:type="pct"/>
            <w:vAlign w:val="center"/>
          </w:tcPr>
          <w:p w14:paraId="0A294FCF">
            <w:pPr>
              <w:tabs>
                <w:tab w:val="left" w:pos="1080"/>
              </w:tabs>
              <w:snapToGrid w:val="0"/>
              <w:jc w:val="center"/>
              <w:rPr>
                <w:rFonts w:hint="eastAsia" w:ascii="宋体" w:hAnsi="宋体" w:cstheme="minorEastAsia"/>
                <w:b/>
                <w:sz w:val="24"/>
                <w:highlight w:val="none"/>
              </w:rPr>
            </w:pPr>
            <w:r>
              <w:rPr>
                <w:rFonts w:hint="eastAsia" w:ascii="宋体" w:hAnsi="宋体" w:cstheme="minorEastAsia"/>
                <w:b/>
                <w:sz w:val="24"/>
                <w:highlight w:val="none"/>
              </w:rPr>
              <w:t>检查因素</w:t>
            </w:r>
          </w:p>
        </w:tc>
        <w:tc>
          <w:tcPr>
            <w:tcW w:w="2579" w:type="pct"/>
            <w:vAlign w:val="center"/>
          </w:tcPr>
          <w:p w14:paraId="15276984">
            <w:pPr>
              <w:tabs>
                <w:tab w:val="left" w:pos="1080"/>
              </w:tabs>
              <w:snapToGrid w:val="0"/>
              <w:jc w:val="center"/>
              <w:rPr>
                <w:rFonts w:hint="eastAsia" w:ascii="宋体" w:hAnsi="宋体" w:cstheme="minorEastAsia"/>
                <w:b/>
                <w:sz w:val="24"/>
                <w:highlight w:val="none"/>
              </w:rPr>
            </w:pPr>
            <w:r>
              <w:rPr>
                <w:rFonts w:hint="eastAsia" w:ascii="宋体" w:hAnsi="宋体" w:cstheme="minorEastAsia"/>
                <w:b/>
                <w:sz w:val="24"/>
                <w:highlight w:val="none"/>
              </w:rPr>
              <w:t>检查内容</w:t>
            </w:r>
          </w:p>
        </w:tc>
        <w:tc>
          <w:tcPr>
            <w:tcW w:w="1028" w:type="pct"/>
            <w:vAlign w:val="center"/>
          </w:tcPr>
          <w:p w14:paraId="2825D592">
            <w:pPr>
              <w:tabs>
                <w:tab w:val="left" w:pos="1080"/>
              </w:tabs>
              <w:snapToGrid w:val="0"/>
              <w:jc w:val="center"/>
              <w:rPr>
                <w:rFonts w:hint="eastAsia" w:ascii="宋体" w:hAnsi="宋体" w:cstheme="minorEastAsia"/>
                <w:b/>
                <w:sz w:val="24"/>
                <w:highlight w:val="none"/>
              </w:rPr>
            </w:pPr>
            <w:r>
              <w:rPr>
                <w:rFonts w:hint="eastAsia" w:ascii="宋体" w:hAnsi="宋体" w:cstheme="minorEastAsia"/>
                <w:b/>
                <w:sz w:val="24"/>
                <w:highlight w:val="none"/>
              </w:rPr>
              <w:t>格式要求</w:t>
            </w:r>
          </w:p>
        </w:tc>
      </w:tr>
      <w:tr w14:paraId="50C59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621D4B8">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1</w:t>
            </w:r>
          </w:p>
        </w:tc>
        <w:tc>
          <w:tcPr>
            <w:tcW w:w="938" w:type="pct"/>
            <w:vAlign w:val="center"/>
          </w:tcPr>
          <w:p w14:paraId="10A9CB0D">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满足《中华人民共和国政府采购法》第二十二条规定</w:t>
            </w:r>
          </w:p>
        </w:tc>
        <w:tc>
          <w:tcPr>
            <w:tcW w:w="2579" w:type="pct"/>
            <w:vAlign w:val="center"/>
          </w:tcPr>
          <w:p w14:paraId="1E4ED88A">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具体规定见第一章《采购邀请》</w:t>
            </w:r>
          </w:p>
        </w:tc>
        <w:tc>
          <w:tcPr>
            <w:tcW w:w="1028" w:type="pct"/>
            <w:vAlign w:val="center"/>
          </w:tcPr>
          <w:p w14:paraId="41C5A9CC">
            <w:pPr>
              <w:tabs>
                <w:tab w:val="left" w:pos="1080"/>
              </w:tabs>
              <w:snapToGrid w:val="0"/>
              <w:jc w:val="left"/>
              <w:rPr>
                <w:rFonts w:hint="eastAsia" w:ascii="宋体" w:hAnsi="宋体" w:cstheme="minorEastAsia"/>
                <w:sz w:val="24"/>
                <w:highlight w:val="none"/>
              </w:rPr>
            </w:pPr>
          </w:p>
        </w:tc>
      </w:tr>
      <w:tr w14:paraId="07248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1BBB28F">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1-1</w:t>
            </w:r>
          </w:p>
        </w:tc>
        <w:tc>
          <w:tcPr>
            <w:tcW w:w="938" w:type="pct"/>
            <w:vAlign w:val="center"/>
          </w:tcPr>
          <w:p w14:paraId="1BD51411">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营业执照等证明文件</w:t>
            </w:r>
          </w:p>
        </w:tc>
        <w:tc>
          <w:tcPr>
            <w:tcW w:w="2579" w:type="pct"/>
            <w:vAlign w:val="center"/>
          </w:tcPr>
          <w:p w14:paraId="20411D46">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供应商为企业（包括合伙企业）的，应提供有效的“营业执照”；</w:t>
            </w:r>
          </w:p>
          <w:p w14:paraId="5C775601">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供应商为事业单位的，应提供有效的“事业单位法人证书”；</w:t>
            </w:r>
          </w:p>
          <w:p w14:paraId="3B8D1745">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供应商是非企业机构的，应提供有效的“执业许可证”、“登记证书”等证明文件；</w:t>
            </w:r>
          </w:p>
          <w:p w14:paraId="71964FF0">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供应商是个体工商户的，应提供有效的“个体工商户营业执照”；</w:t>
            </w:r>
          </w:p>
          <w:p w14:paraId="5BDE66BB">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供应商是自然人的，应提供有效的自然人身份证明。</w:t>
            </w:r>
          </w:p>
          <w:p w14:paraId="0924A6DA">
            <w:pPr>
              <w:tabs>
                <w:tab w:val="left" w:pos="1080"/>
              </w:tabs>
              <w:snapToGrid w:val="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分支机构参加响应的，应提供该分支机构或其所属法人/其他组织的相应证明文件；同时还应提供其所属法人/其他组织出具的授权其参与本项目的授权书（格式自拟，须加</w:t>
            </w:r>
            <w:r>
              <w:rPr>
                <w:rFonts w:hint="eastAsia" w:ascii="宋体" w:hAnsi="宋体" w:cstheme="minorEastAsia"/>
                <w:sz w:val="24"/>
                <w:highlight w:val="none"/>
              </w:rPr>
              <w:t>盖其所属法人/其他组织的公章）；对于</w:t>
            </w:r>
            <w:r>
              <w:rPr>
                <w:rFonts w:hint="eastAsia" w:ascii="宋体" w:hAnsi="宋体" w:cstheme="minorEastAsia"/>
                <w:iCs/>
                <w:sz w:val="24"/>
                <w:highlight w:val="none"/>
              </w:rPr>
              <w:t>银行、保险、石油石化、电力、电信等行业的分支机构，可以提供上述</w:t>
            </w:r>
            <w:r>
              <w:rPr>
                <w:rFonts w:hint="eastAsia" w:ascii="宋体" w:hAnsi="宋体" w:cstheme="minorEastAsia"/>
                <w:sz w:val="24"/>
                <w:highlight w:val="none"/>
              </w:rPr>
              <w:t>授权，也</w:t>
            </w:r>
            <w:r>
              <w:rPr>
                <w:rFonts w:hint="eastAsia" w:ascii="宋体" w:hAnsi="宋体" w:cstheme="minorEastAsia"/>
                <w:color w:val="000000"/>
                <w:sz w:val="24"/>
                <w:highlight w:val="none"/>
              </w:rPr>
              <w:t>可以提供其所属法人/其他组织的有关文件或制度等能够证明授权其独立开展业务的证明材料。</w:t>
            </w:r>
          </w:p>
        </w:tc>
        <w:tc>
          <w:tcPr>
            <w:tcW w:w="1028" w:type="pct"/>
            <w:vAlign w:val="center"/>
          </w:tcPr>
          <w:p w14:paraId="59FF2937">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提供证明文件的电子件或电子证照</w:t>
            </w:r>
          </w:p>
        </w:tc>
      </w:tr>
      <w:tr w14:paraId="7096E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F07C4C3">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1-2</w:t>
            </w:r>
          </w:p>
        </w:tc>
        <w:tc>
          <w:tcPr>
            <w:tcW w:w="938" w:type="pct"/>
            <w:vAlign w:val="center"/>
          </w:tcPr>
          <w:p w14:paraId="6E0E0A68">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供应商资格声明书</w:t>
            </w:r>
          </w:p>
        </w:tc>
        <w:tc>
          <w:tcPr>
            <w:tcW w:w="2579" w:type="pct"/>
            <w:vAlign w:val="center"/>
          </w:tcPr>
          <w:p w14:paraId="46DDB695">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提供了符合竞争性磋商文件要求的《供应商资格声明书》。</w:t>
            </w:r>
          </w:p>
        </w:tc>
        <w:tc>
          <w:tcPr>
            <w:tcW w:w="1028" w:type="pct"/>
            <w:vAlign w:val="center"/>
          </w:tcPr>
          <w:p w14:paraId="3D9F7ADC">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格式见《响应文件格式》</w:t>
            </w:r>
          </w:p>
        </w:tc>
      </w:tr>
      <w:tr w14:paraId="5073C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62EE14C">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1-3</w:t>
            </w:r>
          </w:p>
        </w:tc>
        <w:tc>
          <w:tcPr>
            <w:tcW w:w="938" w:type="pct"/>
            <w:vAlign w:val="center"/>
          </w:tcPr>
          <w:p w14:paraId="4AE820D0">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供应商信用记录</w:t>
            </w:r>
          </w:p>
        </w:tc>
        <w:tc>
          <w:tcPr>
            <w:tcW w:w="2579" w:type="pct"/>
            <w:vAlign w:val="center"/>
          </w:tcPr>
          <w:p w14:paraId="01F32EAB">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查询渠道：信用中国网站和中国政府采购网（</w:t>
            </w:r>
            <w:r>
              <w:rPr>
                <w:rFonts w:hint="eastAsia" w:ascii="宋体" w:hAnsi="宋体" w:cstheme="minorEastAsia"/>
                <w:highlight w:val="none"/>
              </w:rPr>
              <w:t>www.creditchina.gov.cn</w:t>
            </w:r>
            <w:r>
              <w:rPr>
                <w:rFonts w:hint="eastAsia" w:ascii="宋体" w:hAnsi="宋体" w:cstheme="minorEastAsia"/>
                <w:sz w:val="24"/>
                <w:highlight w:val="none"/>
              </w:rPr>
              <w:t>、</w:t>
            </w:r>
            <w:r>
              <w:rPr>
                <w:rFonts w:hint="eastAsia" w:ascii="宋体" w:hAnsi="宋体" w:cstheme="minorEastAsia"/>
                <w:highlight w:val="none"/>
              </w:rPr>
              <w:t>www.ccgp.gov.cn</w:t>
            </w:r>
            <w:r>
              <w:rPr>
                <w:rFonts w:hint="eastAsia" w:ascii="宋体" w:hAnsi="宋体" w:cstheme="minorEastAsia"/>
                <w:sz w:val="24"/>
                <w:highlight w:val="none"/>
              </w:rPr>
              <w:t>）；</w:t>
            </w:r>
          </w:p>
          <w:p w14:paraId="5439FCF6">
            <w:pPr>
              <w:tabs>
                <w:tab w:val="left" w:pos="900"/>
                <w:tab w:val="left" w:pos="1980"/>
              </w:tabs>
              <w:snapToGrid w:val="0"/>
              <w:rPr>
                <w:rFonts w:hint="eastAsia" w:ascii="宋体" w:hAnsi="宋体" w:cstheme="minorEastAsia"/>
                <w:sz w:val="24"/>
                <w:highlight w:val="none"/>
              </w:rPr>
            </w:pPr>
            <w:r>
              <w:rPr>
                <w:rFonts w:hint="eastAsia" w:ascii="宋体" w:hAnsi="宋体" w:cstheme="minorEastAsia"/>
                <w:sz w:val="24"/>
                <w:highlight w:val="none"/>
              </w:rPr>
              <w:t>截止时点：</w:t>
            </w:r>
            <w:r>
              <w:rPr>
                <w:rFonts w:hint="eastAsia" w:ascii="宋体" w:hAnsi="宋体" w:cstheme="minorEastAsia"/>
                <w:color w:val="000000"/>
                <w:kern w:val="0"/>
                <w:sz w:val="24"/>
                <w:szCs w:val="20"/>
                <w:highlight w:val="none"/>
              </w:rPr>
              <w:t>首次响应文件提交截止时间以后</w:t>
            </w:r>
            <w:r>
              <w:rPr>
                <w:rFonts w:hint="eastAsia" w:ascii="宋体" w:hAnsi="宋体" w:cstheme="minorEastAsia"/>
                <w:sz w:val="24"/>
                <w:highlight w:val="none"/>
              </w:rPr>
              <w:t>、资格审查阶段采购人或采购代理机构的实际查询时间；</w:t>
            </w:r>
          </w:p>
          <w:p w14:paraId="383FF296">
            <w:pPr>
              <w:tabs>
                <w:tab w:val="left" w:pos="900"/>
                <w:tab w:val="left" w:pos="1980"/>
              </w:tabs>
              <w:snapToGrid w:val="0"/>
              <w:rPr>
                <w:rFonts w:hint="eastAsia" w:ascii="宋体" w:hAnsi="宋体" w:cstheme="minorEastAsia"/>
                <w:sz w:val="24"/>
                <w:highlight w:val="none"/>
              </w:rPr>
            </w:pPr>
            <w:r>
              <w:rPr>
                <w:rFonts w:hint="eastAsia" w:ascii="宋体" w:hAnsi="宋体" w:cstheme="minorEastAsia"/>
                <w:sz w:val="24"/>
                <w:highlight w:val="none"/>
              </w:rPr>
              <w:t>信用信息查询记录和证据留存具体方式：查询结果网页打印页作为查询记录和证据，与其他竞争性磋商文件一并保存；</w:t>
            </w:r>
          </w:p>
          <w:p w14:paraId="104F5296">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信用信息的使用原则：经认定的被列入失信被执行人、重大税收违法案件当事人名单、政府采购严重违法失信行为记录名单的供应商，其</w:t>
            </w:r>
            <w:r>
              <w:rPr>
                <w:rFonts w:hint="eastAsia" w:ascii="宋体" w:hAnsi="宋体" w:cstheme="minorEastAsia"/>
                <w:b/>
                <w:sz w:val="24"/>
                <w:highlight w:val="none"/>
              </w:rPr>
              <w:t>响应无效</w:t>
            </w:r>
            <w:r>
              <w:rPr>
                <w:rFonts w:hint="eastAsia" w:ascii="宋体" w:hAnsi="宋体" w:cstheme="minorEastAsia"/>
                <w:sz w:val="24"/>
                <w:highlight w:val="none"/>
              </w:rPr>
              <w:t>。联合体形式磋商的，联合体成员存在不良信用记录，视同联合体存在不良信用记录。</w:t>
            </w:r>
          </w:p>
        </w:tc>
        <w:tc>
          <w:tcPr>
            <w:tcW w:w="1028" w:type="pct"/>
            <w:vAlign w:val="center"/>
          </w:tcPr>
          <w:p w14:paraId="64B193D5">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无须供应商提供，由采购人或采购代理机构查询。</w:t>
            </w:r>
          </w:p>
        </w:tc>
      </w:tr>
      <w:tr w14:paraId="69126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E576633">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1-4</w:t>
            </w:r>
          </w:p>
        </w:tc>
        <w:tc>
          <w:tcPr>
            <w:tcW w:w="938" w:type="pct"/>
            <w:vAlign w:val="center"/>
          </w:tcPr>
          <w:p w14:paraId="6E1360EB">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法律、行政法规规定的其他条件</w:t>
            </w:r>
          </w:p>
        </w:tc>
        <w:tc>
          <w:tcPr>
            <w:tcW w:w="2579" w:type="pct"/>
            <w:vAlign w:val="center"/>
          </w:tcPr>
          <w:p w14:paraId="4214BE11">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法律、行政法规规定的其他条件</w:t>
            </w:r>
          </w:p>
        </w:tc>
        <w:tc>
          <w:tcPr>
            <w:tcW w:w="1028" w:type="pct"/>
            <w:vAlign w:val="center"/>
          </w:tcPr>
          <w:p w14:paraId="2AFFA30C">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w:t>
            </w:r>
          </w:p>
        </w:tc>
      </w:tr>
      <w:tr w14:paraId="491BD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65288B9">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2</w:t>
            </w:r>
          </w:p>
        </w:tc>
        <w:tc>
          <w:tcPr>
            <w:tcW w:w="938" w:type="pct"/>
            <w:vAlign w:val="center"/>
          </w:tcPr>
          <w:p w14:paraId="47CF0CE5">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落实政府采购政策需满足的资格要求</w:t>
            </w:r>
          </w:p>
        </w:tc>
        <w:tc>
          <w:tcPr>
            <w:tcW w:w="2579" w:type="pct"/>
            <w:vAlign w:val="center"/>
          </w:tcPr>
          <w:p w14:paraId="584E3292">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具体要求见第一章《采购邀请》</w:t>
            </w:r>
          </w:p>
        </w:tc>
        <w:tc>
          <w:tcPr>
            <w:tcW w:w="1028" w:type="pct"/>
            <w:vAlign w:val="center"/>
          </w:tcPr>
          <w:p w14:paraId="5789A1E5">
            <w:pPr>
              <w:tabs>
                <w:tab w:val="left" w:pos="1080"/>
              </w:tabs>
              <w:snapToGrid w:val="0"/>
              <w:jc w:val="left"/>
              <w:rPr>
                <w:rFonts w:hint="eastAsia" w:ascii="宋体" w:hAnsi="宋体" w:cstheme="minorEastAsia"/>
                <w:sz w:val="24"/>
                <w:highlight w:val="none"/>
              </w:rPr>
            </w:pPr>
          </w:p>
        </w:tc>
      </w:tr>
      <w:tr w14:paraId="65D60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2879A09">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2-1</w:t>
            </w:r>
          </w:p>
        </w:tc>
        <w:tc>
          <w:tcPr>
            <w:tcW w:w="938" w:type="pct"/>
            <w:vAlign w:val="center"/>
          </w:tcPr>
          <w:p w14:paraId="2577D76F">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中小企业政策证明文件</w:t>
            </w:r>
          </w:p>
        </w:tc>
        <w:tc>
          <w:tcPr>
            <w:tcW w:w="2579" w:type="pct"/>
            <w:vAlign w:val="center"/>
          </w:tcPr>
          <w:p w14:paraId="5B336126">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具体要求见第一章《采购邀请》</w:t>
            </w:r>
          </w:p>
        </w:tc>
        <w:tc>
          <w:tcPr>
            <w:tcW w:w="1028" w:type="pct"/>
            <w:vAlign w:val="center"/>
          </w:tcPr>
          <w:p w14:paraId="2EAA978F">
            <w:pPr>
              <w:tabs>
                <w:tab w:val="left" w:pos="1080"/>
              </w:tabs>
              <w:snapToGrid w:val="0"/>
              <w:jc w:val="left"/>
              <w:rPr>
                <w:rFonts w:hint="eastAsia" w:ascii="宋体" w:hAnsi="宋体" w:cstheme="minorEastAsia"/>
                <w:sz w:val="24"/>
                <w:highlight w:val="none"/>
              </w:rPr>
            </w:pPr>
          </w:p>
        </w:tc>
      </w:tr>
      <w:tr w14:paraId="78916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38A58F1">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2-1-1</w:t>
            </w:r>
          </w:p>
        </w:tc>
        <w:tc>
          <w:tcPr>
            <w:tcW w:w="938" w:type="pct"/>
            <w:vAlign w:val="center"/>
          </w:tcPr>
          <w:p w14:paraId="3D8387CC">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中小企业证明文件</w:t>
            </w:r>
          </w:p>
        </w:tc>
        <w:tc>
          <w:tcPr>
            <w:tcW w:w="2579" w:type="pct"/>
            <w:vAlign w:val="center"/>
          </w:tcPr>
          <w:p w14:paraId="536DC880">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 xml:space="preserve">当本项目（包）涉及预留份额专门面向中小企业采购，提供如下资料： </w:t>
            </w:r>
          </w:p>
          <w:p w14:paraId="786AD14B">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1、供应商单独响应的，应提供《中小企业声明函》或《残疾人福利性单位声明函》或由省级以上监狱管理局、戒毒管理局（含新疆生产建设兵团）出具的属于监狱企业的证明文件。</w:t>
            </w:r>
          </w:p>
          <w:p w14:paraId="77807F35">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2、如磋商文件要求以联合体形式参加或者要求合同分包的，且供应商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采购文件关于预留份额的要求。</w:t>
            </w:r>
          </w:p>
        </w:tc>
        <w:tc>
          <w:tcPr>
            <w:tcW w:w="1028" w:type="pct"/>
            <w:vAlign w:val="center"/>
          </w:tcPr>
          <w:p w14:paraId="2B3AAC15">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格式见《响应文件格式》</w:t>
            </w:r>
          </w:p>
        </w:tc>
      </w:tr>
      <w:tr w14:paraId="33301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8EE6CC4">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2-1-2</w:t>
            </w:r>
          </w:p>
        </w:tc>
        <w:tc>
          <w:tcPr>
            <w:tcW w:w="938" w:type="pct"/>
            <w:vAlign w:val="center"/>
          </w:tcPr>
          <w:p w14:paraId="404D8BCE">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拟分包情况说明及分包意向协议</w:t>
            </w:r>
          </w:p>
        </w:tc>
        <w:tc>
          <w:tcPr>
            <w:tcW w:w="2579" w:type="pct"/>
            <w:vAlign w:val="center"/>
          </w:tcPr>
          <w:p w14:paraId="5D2BB7B7">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如本项目（包）要求通过分包措施预留部分采购份额面向中小企业采购、且供应商因落实政府采购政策拟进行分包的，必须提供；否则无须提供。</w:t>
            </w:r>
          </w:p>
          <w:p w14:paraId="2FB10E42">
            <w:pPr>
              <w:tabs>
                <w:tab w:val="left" w:pos="1080"/>
              </w:tabs>
              <w:snapToGrid w:val="0"/>
              <w:jc w:val="left"/>
              <w:rPr>
                <w:rFonts w:hint="eastAsia" w:ascii="宋体" w:hAnsi="宋体" w:cstheme="minorEastAsia"/>
                <w:b/>
                <w:sz w:val="24"/>
                <w:highlight w:val="none"/>
              </w:rPr>
            </w:pPr>
            <w:r>
              <w:rPr>
                <w:rFonts w:hint="eastAsia" w:ascii="宋体" w:hAnsi="宋体" w:cstheme="minorEastAsia"/>
                <w:sz w:val="24"/>
                <w:highlight w:val="none"/>
              </w:rPr>
              <w:t>对于预留份额专门面向中小企业采购的项目（包），组成联合体或者接受分包合同的中小企业与联合体内其他企业、分包企业之间不得存在直接控股、管理关系。</w:t>
            </w:r>
          </w:p>
        </w:tc>
        <w:tc>
          <w:tcPr>
            <w:tcW w:w="1028" w:type="pct"/>
            <w:vAlign w:val="center"/>
          </w:tcPr>
          <w:p w14:paraId="10B22F5A">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格式见《响应文件格式》</w:t>
            </w:r>
          </w:p>
        </w:tc>
      </w:tr>
      <w:tr w14:paraId="1F2D9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283BBD7">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2-2</w:t>
            </w:r>
          </w:p>
        </w:tc>
        <w:tc>
          <w:tcPr>
            <w:tcW w:w="938" w:type="pct"/>
            <w:vAlign w:val="center"/>
          </w:tcPr>
          <w:p w14:paraId="634CC3E0">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其它落实政府采购政策的资格要求</w:t>
            </w:r>
          </w:p>
        </w:tc>
        <w:tc>
          <w:tcPr>
            <w:tcW w:w="2579" w:type="pct"/>
            <w:vAlign w:val="center"/>
          </w:tcPr>
          <w:p w14:paraId="2C9DB6BE">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如有，见第一章《采购邀请》</w:t>
            </w:r>
          </w:p>
        </w:tc>
        <w:tc>
          <w:tcPr>
            <w:tcW w:w="1028" w:type="pct"/>
            <w:vAlign w:val="center"/>
          </w:tcPr>
          <w:p w14:paraId="36A6CF67">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提供证明文件的电子件或电子证照</w:t>
            </w:r>
          </w:p>
        </w:tc>
      </w:tr>
      <w:tr w14:paraId="683F6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5ECF132">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3</w:t>
            </w:r>
          </w:p>
        </w:tc>
        <w:tc>
          <w:tcPr>
            <w:tcW w:w="938" w:type="pct"/>
            <w:vAlign w:val="center"/>
          </w:tcPr>
          <w:p w14:paraId="605453DC">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本项目的特定资格要求</w:t>
            </w:r>
          </w:p>
        </w:tc>
        <w:tc>
          <w:tcPr>
            <w:tcW w:w="2579" w:type="pct"/>
            <w:vAlign w:val="center"/>
          </w:tcPr>
          <w:p w14:paraId="2FBC3D97">
            <w:pPr>
              <w:tabs>
                <w:tab w:val="left" w:pos="1080"/>
              </w:tabs>
              <w:snapToGrid w:val="0"/>
              <w:jc w:val="left"/>
              <w:rPr>
                <w:rFonts w:hint="eastAsia" w:ascii="宋体" w:hAnsi="宋体" w:cstheme="minorEastAsia"/>
                <w:sz w:val="24"/>
                <w:highlight w:val="none"/>
              </w:rPr>
            </w:pPr>
            <w:r>
              <w:rPr>
                <w:rFonts w:hint="eastAsia" w:ascii="宋体" w:hAnsi="宋体" w:cstheme="minorEastAsia"/>
                <w:sz w:val="24"/>
                <w:highlight w:val="none"/>
              </w:rPr>
              <w:t>如有，见第一章《采购邀请》</w:t>
            </w:r>
          </w:p>
        </w:tc>
        <w:tc>
          <w:tcPr>
            <w:tcW w:w="1028" w:type="pct"/>
            <w:vAlign w:val="center"/>
          </w:tcPr>
          <w:p w14:paraId="2F0A1F93">
            <w:pPr>
              <w:tabs>
                <w:tab w:val="left" w:pos="1080"/>
              </w:tabs>
              <w:snapToGrid w:val="0"/>
              <w:jc w:val="left"/>
              <w:rPr>
                <w:rFonts w:hint="eastAsia" w:ascii="宋体" w:hAnsi="宋体" w:cstheme="minorEastAsia"/>
                <w:sz w:val="24"/>
                <w:highlight w:val="none"/>
              </w:rPr>
            </w:pPr>
          </w:p>
        </w:tc>
      </w:tr>
      <w:tr w14:paraId="0FF52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6D5DF2B">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3-1</w:t>
            </w:r>
          </w:p>
        </w:tc>
        <w:tc>
          <w:tcPr>
            <w:tcW w:w="938" w:type="pct"/>
            <w:vAlign w:val="center"/>
          </w:tcPr>
          <w:p w14:paraId="11E15628">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本项目对于联合体的要求</w:t>
            </w:r>
          </w:p>
        </w:tc>
        <w:tc>
          <w:tcPr>
            <w:tcW w:w="2579" w:type="pct"/>
            <w:vAlign w:val="center"/>
          </w:tcPr>
          <w:p w14:paraId="16D1BABE">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146565EA">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2、联合体各成员单位均须提供本表中序号1-1、1-2的证明文件。联合体各成员单位均应满足本表3-2项规定。</w:t>
            </w:r>
          </w:p>
          <w:p w14:paraId="7C8627DA">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3、本表序号3-3项规定的其他特定资格要求中的每一小项要求，联合体各方中至少应当有一方符合本表中其他资格要求并提供证明文件。</w:t>
            </w:r>
          </w:p>
          <w:p w14:paraId="0DEC849C">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4、联合体中有同类资质的供应商按照联合体分工承担相同工作的，应当按照资质等级较低的供应商确定资质等级。</w:t>
            </w:r>
          </w:p>
          <w:p w14:paraId="50278512">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5、以联合体形式参加政府采购活动的，联合体各方不得再单独参加或者与其他供应商另外组成联合体参加同一合同项下的政府采购活动。</w:t>
            </w:r>
          </w:p>
          <w:p w14:paraId="7CDAB5F1">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6、若联合体中任一成员单位中途退出，则该联合体的</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362BEF10">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 xml:space="preserve">7、本项目不接受联合体响应时，供应商不得为联合体。 </w:t>
            </w:r>
          </w:p>
        </w:tc>
        <w:tc>
          <w:tcPr>
            <w:tcW w:w="1028" w:type="pct"/>
            <w:vAlign w:val="center"/>
          </w:tcPr>
          <w:p w14:paraId="36BB904F">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提供《联合协议》原件的电子件</w:t>
            </w:r>
          </w:p>
          <w:p w14:paraId="6898A859">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格式见《响应文件格式》</w:t>
            </w:r>
          </w:p>
        </w:tc>
      </w:tr>
      <w:tr w14:paraId="24434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CCE905B">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3-2</w:t>
            </w:r>
          </w:p>
        </w:tc>
        <w:tc>
          <w:tcPr>
            <w:tcW w:w="938" w:type="pct"/>
            <w:vAlign w:val="center"/>
          </w:tcPr>
          <w:p w14:paraId="2BE378F2">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政府购买服务承接主体的要求</w:t>
            </w:r>
          </w:p>
        </w:tc>
        <w:tc>
          <w:tcPr>
            <w:tcW w:w="2579" w:type="pct"/>
            <w:vAlign w:val="center"/>
          </w:tcPr>
          <w:p w14:paraId="74C1BC14">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如本项目属于政府购买服务，供应商不属于公益一类事业单位、使用事业编制且由财政拨款保障的群团组织。</w:t>
            </w:r>
          </w:p>
        </w:tc>
        <w:tc>
          <w:tcPr>
            <w:tcW w:w="1028" w:type="pct"/>
            <w:vAlign w:val="center"/>
          </w:tcPr>
          <w:p w14:paraId="3684B5CD">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格式见《响应文件格式》“1-2 供应商资格声明书”</w:t>
            </w:r>
          </w:p>
        </w:tc>
      </w:tr>
      <w:tr w14:paraId="6F47F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E06504B">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3-3</w:t>
            </w:r>
          </w:p>
        </w:tc>
        <w:tc>
          <w:tcPr>
            <w:tcW w:w="938" w:type="pct"/>
            <w:vAlign w:val="center"/>
          </w:tcPr>
          <w:p w14:paraId="1DD0FD72">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其他特定资格要求</w:t>
            </w:r>
          </w:p>
        </w:tc>
        <w:tc>
          <w:tcPr>
            <w:tcW w:w="2579" w:type="pct"/>
            <w:vAlign w:val="center"/>
          </w:tcPr>
          <w:p w14:paraId="253574CF">
            <w:pPr>
              <w:tabs>
                <w:tab w:val="left" w:pos="1080"/>
              </w:tabs>
              <w:snapToGrid w:val="0"/>
              <w:rPr>
                <w:rFonts w:hint="eastAsia" w:ascii="宋体" w:hAnsi="宋体" w:cstheme="minorEastAsia"/>
                <w:sz w:val="24"/>
                <w:highlight w:val="none"/>
              </w:rPr>
            </w:pPr>
            <w:r>
              <w:rPr>
                <w:rFonts w:hint="eastAsia" w:ascii="宋体" w:hAnsi="宋体" w:cstheme="minorEastAsia"/>
                <w:color w:val="000000"/>
                <w:sz w:val="24"/>
                <w:highlight w:val="none"/>
              </w:rPr>
              <w:t>如有，见</w:t>
            </w:r>
            <w:r>
              <w:rPr>
                <w:rFonts w:hint="eastAsia" w:ascii="宋体" w:hAnsi="宋体" w:cstheme="minorEastAsia"/>
                <w:sz w:val="24"/>
                <w:highlight w:val="none"/>
              </w:rPr>
              <w:t>第一章《采购邀请》</w:t>
            </w:r>
          </w:p>
          <w:p w14:paraId="0BFC37AC">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注：如联合体中有同类资质的供应商按照联合体分工承担相同工作的，均应当提供资质证书电子件或电子证照。</w:t>
            </w:r>
          </w:p>
        </w:tc>
        <w:tc>
          <w:tcPr>
            <w:tcW w:w="1028" w:type="pct"/>
            <w:vAlign w:val="center"/>
          </w:tcPr>
          <w:p w14:paraId="031ECBE6">
            <w:pPr>
              <w:tabs>
                <w:tab w:val="left" w:pos="1080"/>
              </w:tabs>
              <w:snapToGrid w:val="0"/>
              <w:rPr>
                <w:rFonts w:hint="eastAsia" w:ascii="宋体" w:hAnsi="宋体" w:cstheme="minorEastAsia"/>
                <w:sz w:val="24"/>
                <w:highlight w:val="none"/>
              </w:rPr>
            </w:pPr>
            <w:r>
              <w:rPr>
                <w:rFonts w:hint="eastAsia" w:ascii="宋体" w:hAnsi="宋体" w:cstheme="minorEastAsia"/>
                <w:sz w:val="24"/>
                <w:highlight w:val="none"/>
              </w:rPr>
              <w:t>提供证明文件的电子件或电子证照</w:t>
            </w:r>
          </w:p>
        </w:tc>
      </w:tr>
      <w:tr w14:paraId="1EC68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3A3CDED">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4</w:t>
            </w:r>
          </w:p>
        </w:tc>
        <w:tc>
          <w:tcPr>
            <w:tcW w:w="938" w:type="pct"/>
            <w:vAlign w:val="center"/>
          </w:tcPr>
          <w:p w14:paraId="792285A7">
            <w:pPr>
              <w:tabs>
                <w:tab w:val="left" w:pos="1080"/>
              </w:tabs>
              <w:snapToGrid w:val="0"/>
              <w:rPr>
                <w:rFonts w:hint="eastAsia" w:ascii="宋体" w:hAnsi="宋体" w:cstheme="minorEastAsia"/>
                <w:sz w:val="24"/>
                <w:highlight w:val="none"/>
              </w:rPr>
            </w:pPr>
            <w:r>
              <w:rPr>
                <w:rFonts w:hint="eastAsia" w:ascii="宋体" w:hAnsi="宋体" w:cstheme="minorEastAsia"/>
                <w:color w:val="000000"/>
                <w:kern w:val="0"/>
                <w:sz w:val="24"/>
                <w:highlight w:val="none"/>
              </w:rPr>
              <w:t>磋商保证金</w:t>
            </w:r>
          </w:p>
        </w:tc>
        <w:tc>
          <w:tcPr>
            <w:tcW w:w="2579" w:type="pct"/>
            <w:vAlign w:val="center"/>
          </w:tcPr>
          <w:p w14:paraId="025AEC1E">
            <w:pPr>
              <w:tabs>
                <w:tab w:val="left" w:pos="1080"/>
              </w:tabs>
              <w:snapToGrid w:val="0"/>
              <w:rPr>
                <w:rFonts w:hint="eastAsia" w:ascii="宋体" w:hAnsi="宋体" w:cstheme="minorEastAsia"/>
                <w:color w:val="000000"/>
                <w:sz w:val="24"/>
                <w:highlight w:val="none"/>
              </w:rPr>
            </w:pPr>
            <w:r>
              <w:rPr>
                <w:rFonts w:hint="eastAsia" w:ascii="宋体" w:hAnsi="宋体" w:cstheme="minorEastAsia"/>
                <w:color w:val="000000"/>
                <w:kern w:val="0"/>
                <w:sz w:val="24"/>
                <w:highlight w:val="none"/>
              </w:rPr>
              <w:t>按照竞争性磋商文件的要求提交磋商保证金。</w:t>
            </w:r>
          </w:p>
        </w:tc>
        <w:tc>
          <w:tcPr>
            <w:tcW w:w="1028" w:type="pct"/>
            <w:vAlign w:val="center"/>
          </w:tcPr>
          <w:p w14:paraId="01343DED">
            <w:pPr>
              <w:tabs>
                <w:tab w:val="left" w:pos="1080"/>
              </w:tabs>
              <w:snapToGrid w:val="0"/>
              <w:rPr>
                <w:rFonts w:hint="eastAsia" w:ascii="宋体" w:hAnsi="宋体" w:cstheme="minorEastAsia"/>
                <w:sz w:val="24"/>
                <w:highlight w:val="none"/>
              </w:rPr>
            </w:pPr>
          </w:p>
        </w:tc>
      </w:tr>
      <w:tr w14:paraId="3887F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C2B7BB9">
            <w:pPr>
              <w:tabs>
                <w:tab w:val="left" w:pos="1080"/>
              </w:tabs>
              <w:snapToGrid w:val="0"/>
              <w:jc w:val="center"/>
              <w:rPr>
                <w:rFonts w:hint="eastAsia" w:ascii="宋体" w:hAnsi="宋体" w:cstheme="minorEastAsia"/>
                <w:sz w:val="24"/>
                <w:highlight w:val="none"/>
              </w:rPr>
            </w:pPr>
            <w:r>
              <w:rPr>
                <w:rFonts w:hint="eastAsia" w:ascii="宋体" w:hAnsi="宋体" w:cstheme="minorEastAsia"/>
                <w:sz w:val="24"/>
                <w:highlight w:val="none"/>
              </w:rPr>
              <w:t>5</w:t>
            </w:r>
          </w:p>
        </w:tc>
        <w:tc>
          <w:tcPr>
            <w:tcW w:w="938" w:type="pct"/>
            <w:vAlign w:val="center"/>
          </w:tcPr>
          <w:p w14:paraId="0E8594DF">
            <w:pPr>
              <w:tabs>
                <w:tab w:val="left" w:pos="1080"/>
              </w:tabs>
              <w:snapToGrid w:val="0"/>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获取磋商文件</w:t>
            </w:r>
          </w:p>
        </w:tc>
        <w:tc>
          <w:tcPr>
            <w:tcW w:w="2579" w:type="pct"/>
            <w:vAlign w:val="center"/>
          </w:tcPr>
          <w:p w14:paraId="19A88610">
            <w:pPr>
              <w:tabs>
                <w:tab w:val="left" w:pos="1080"/>
              </w:tabs>
              <w:snapToGrid w:val="0"/>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在规定期限内通过北京市政府采购电子交易平台获取所参与包的磋商文件。</w:t>
            </w:r>
          </w:p>
          <w:p w14:paraId="1599FF0F">
            <w:pPr>
              <w:tabs>
                <w:tab w:val="left" w:pos="1080"/>
              </w:tabs>
              <w:snapToGrid w:val="0"/>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注：如本项目接受联合体，且供应商为联合体时，联合体中任一成员获取文件即视为满足要求。</w:t>
            </w:r>
          </w:p>
        </w:tc>
        <w:tc>
          <w:tcPr>
            <w:tcW w:w="1028" w:type="pct"/>
            <w:vAlign w:val="center"/>
          </w:tcPr>
          <w:p w14:paraId="769A29E4">
            <w:pPr>
              <w:tabs>
                <w:tab w:val="left" w:pos="1080"/>
              </w:tabs>
              <w:snapToGrid w:val="0"/>
              <w:rPr>
                <w:rFonts w:hint="eastAsia" w:ascii="宋体" w:hAnsi="宋体" w:cstheme="minorEastAsia"/>
                <w:sz w:val="24"/>
                <w:highlight w:val="none"/>
              </w:rPr>
            </w:pPr>
          </w:p>
        </w:tc>
      </w:tr>
    </w:tbl>
    <w:p w14:paraId="31BCACB9">
      <w:pPr>
        <w:widowControl/>
        <w:jc w:val="left"/>
        <w:rPr>
          <w:rFonts w:hint="eastAsia" w:ascii="宋体" w:hAnsi="宋体" w:cstheme="minorEastAsia"/>
          <w:sz w:val="24"/>
          <w:highlight w:val="none"/>
        </w:rPr>
      </w:pPr>
    </w:p>
    <w:p w14:paraId="32AD8379">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《符合性审查要求》见下表：</w:t>
      </w:r>
    </w:p>
    <w:p w14:paraId="3C00C63C">
      <w:pPr>
        <w:widowControl/>
        <w:spacing w:line="360" w:lineRule="auto"/>
        <w:jc w:val="center"/>
        <w:rPr>
          <w:rFonts w:hint="eastAsia" w:ascii="宋体" w:hAnsi="宋体" w:cstheme="minorEastAsia"/>
          <w:b/>
          <w:color w:val="000000"/>
          <w:kern w:val="0"/>
          <w:sz w:val="24"/>
          <w:highlight w:val="none"/>
        </w:rPr>
      </w:pPr>
      <w:r>
        <w:rPr>
          <w:rFonts w:hint="eastAsia" w:ascii="宋体" w:hAnsi="宋体" w:cstheme="minorEastAsia"/>
          <w:b/>
          <w:color w:val="000000"/>
          <w:kern w:val="0"/>
          <w:sz w:val="24"/>
          <w:highlight w:val="none"/>
        </w:rPr>
        <w:t>符合性审查要求</w:t>
      </w:r>
    </w:p>
    <w:tbl>
      <w:tblPr>
        <w:tblStyle w:val="4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1690"/>
        <w:gridCol w:w="4560"/>
        <w:gridCol w:w="1623"/>
      </w:tblGrid>
      <w:tr w14:paraId="52E9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291" w:type="pct"/>
            <w:shd w:val="clear" w:color="000000" w:fill="FFFFFF"/>
            <w:vAlign w:val="center"/>
          </w:tcPr>
          <w:p w14:paraId="60623736">
            <w:pPr>
              <w:widowControl/>
              <w:jc w:val="center"/>
              <w:rPr>
                <w:rFonts w:hint="eastAsia" w:ascii="宋体" w:hAnsi="宋体" w:cstheme="minorEastAsia"/>
                <w:b/>
                <w:color w:val="000000"/>
                <w:kern w:val="0"/>
                <w:sz w:val="24"/>
                <w:highlight w:val="none"/>
              </w:rPr>
            </w:pPr>
            <w:r>
              <w:rPr>
                <w:rFonts w:hint="eastAsia" w:ascii="宋体" w:hAnsi="宋体" w:cstheme="minorEastAsia"/>
                <w:b/>
                <w:color w:val="000000"/>
                <w:kern w:val="0"/>
                <w:sz w:val="24"/>
                <w:highlight w:val="none"/>
              </w:rPr>
              <w:t>序号</w:t>
            </w:r>
          </w:p>
        </w:tc>
        <w:tc>
          <w:tcPr>
            <w:tcW w:w="1010" w:type="pct"/>
            <w:shd w:val="clear" w:color="000000" w:fill="FFFFFF"/>
            <w:vAlign w:val="center"/>
          </w:tcPr>
          <w:p w14:paraId="32ED00D6">
            <w:pPr>
              <w:widowControl/>
              <w:jc w:val="center"/>
              <w:rPr>
                <w:rFonts w:hint="eastAsia" w:ascii="宋体" w:hAnsi="宋体" w:cstheme="minorEastAsia"/>
                <w:b/>
                <w:color w:val="000000"/>
                <w:kern w:val="0"/>
                <w:sz w:val="24"/>
                <w:highlight w:val="none"/>
              </w:rPr>
            </w:pPr>
            <w:r>
              <w:rPr>
                <w:rFonts w:hint="eastAsia" w:ascii="宋体" w:hAnsi="宋体" w:cstheme="minorEastAsia"/>
                <w:b/>
                <w:sz w:val="24"/>
                <w:highlight w:val="none"/>
              </w:rPr>
              <w:t>检查</w:t>
            </w:r>
            <w:r>
              <w:rPr>
                <w:rFonts w:hint="eastAsia" w:ascii="宋体" w:hAnsi="宋体" w:cstheme="minorEastAsia"/>
                <w:b/>
                <w:color w:val="000000"/>
                <w:kern w:val="0"/>
                <w:sz w:val="24"/>
                <w:highlight w:val="none"/>
              </w:rPr>
              <w:t>因素</w:t>
            </w:r>
          </w:p>
        </w:tc>
        <w:tc>
          <w:tcPr>
            <w:tcW w:w="2726" w:type="pct"/>
            <w:shd w:val="clear" w:color="000000" w:fill="FFFFFF"/>
            <w:vAlign w:val="center"/>
          </w:tcPr>
          <w:p w14:paraId="4945F300">
            <w:pPr>
              <w:widowControl/>
              <w:jc w:val="center"/>
              <w:rPr>
                <w:rFonts w:hint="eastAsia" w:ascii="宋体" w:hAnsi="宋体" w:cstheme="minorEastAsia"/>
                <w:b/>
                <w:color w:val="000000"/>
                <w:kern w:val="0"/>
                <w:sz w:val="24"/>
                <w:highlight w:val="none"/>
              </w:rPr>
            </w:pPr>
            <w:r>
              <w:rPr>
                <w:rFonts w:hint="eastAsia" w:ascii="宋体" w:hAnsi="宋体" w:cstheme="minorEastAsia"/>
                <w:b/>
                <w:sz w:val="24"/>
                <w:highlight w:val="none"/>
              </w:rPr>
              <w:t>检查</w:t>
            </w:r>
            <w:r>
              <w:rPr>
                <w:rFonts w:hint="eastAsia" w:ascii="宋体" w:hAnsi="宋体" w:cstheme="minorEastAsia"/>
                <w:b/>
                <w:color w:val="000000"/>
                <w:kern w:val="0"/>
                <w:sz w:val="24"/>
                <w:highlight w:val="none"/>
              </w:rPr>
              <w:t>内容</w:t>
            </w:r>
          </w:p>
        </w:tc>
        <w:tc>
          <w:tcPr>
            <w:tcW w:w="970" w:type="pct"/>
            <w:shd w:val="clear" w:color="000000" w:fill="FFFFFF"/>
            <w:vAlign w:val="center"/>
          </w:tcPr>
          <w:p w14:paraId="1B881800">
            <w:pPr>
              <w:widowControl/>
              <w:jc w:val="center"/>
              <w:rPr>
                <w:rFonts w:hint="eastAsia" w:ascii="宋体" w:hAnsi="宋体" w:cstheme="minorEastAsia"/>
                <w:b/>
                <w:color w:val="000000"/>
                <w:kern w:val="0"/>
                <w:sz w:val="24"/>
                <w:highlight w:val="none"/>
              </w:rPr>
            </w:pPr>
            <w:r>
              <w:rPr>
                <w:rFonts w:hint="eastAsia" w:ascii="宋体" w:hAnsi="宋体" w:cstheme="minorEastAsia"/>
                <w:b/>
                <w:color w:val="000000"/>
                <w:kern w:val="0"/>
                <w:sz w:val="24"/>
                <w:highlight w:val="none"/>
              </w:rPr>
              <w:t>是否允许澄清、</w:t>
            </w:r>
          </w:p>
          <w:p w14:paraId="4F0D790A">
            <w:pPr>
              <w:widowControl/>
              <w:jc w:val="center"/>
              <w:rPr>
                <w:rFonts w:hint="eastAsia" w:ascii="宋体" w:hAnsi="宋体" w:cstheme="minorEastAsia"/>
                <w:b/>
                <w:color w:val="000000"/>
                <w:kern w:val="0"/>
                <w:sz w:val="24"/>
                <w:highlight w:val="none"/>
              </w:rPr>
            </w:pPr>
            <w:r>
              <w:rPr>
                <w:rFonts w:hint="eastAsia" w:ascii="宋体" w:hAnsi="宋体" w:cstheme="minorEastAsia"/>
                <w:b/>
                <w:color w:val="000000"/>
                <w:kern w:val="0"/>
                <w:sz w:val="24"/>
                <w:highlight w:val="none"/>
              </w:rPr>
              <w:t>说明或者更正</w:t>
            </w:r>
          </w:p>
        </w:tc>
      </w:tr>
      <w:tr w14:paraId="5F83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5985DFDF">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w:t>
            </w:r>
          </w:p>
        </w:tc>
        <w:tc>
          <w:tcPr>
            <w:tcW w:w="1010" w:type="pct"/>
            <w:shd w:val="clear" w:color="000000" w:fill="FFFFFF"/>
            <w:vAlign w:val="center"/>
          </w:tcPr>
          <w:p w14:paraId="7FEA59AE">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授权委托书</w:t>
            </w:r>
          </w:p>
        </w:tc>
        <w:tc>
          <w:tcPr>
            <w:tcW w:w="2726" w:type="pct"/>
            <w:shd w:val="clear" w:color="000000" w:fill="FFFFFF"/>
            <w:vAlign w:val="center"/>
          </w:tcPr>
          <w:p w14:paraId="5C7F6916">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按竞争性磋商文件要求提供授权委托书；</w:t>
            </w:r>
          </w:p>
        </w:tc>
        <w:tc>
          <w:tcPr>
            <w:tcW w:w="970" w:type="pct"/>
            <w:shd w:val="clear" w:color="000000" w:fill="FFFFFF"/>
            <w:vAlign w:val="center"/>
          </w:tcPr>
          <w:p w14:paraId="1EEF5B05">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1429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5349E77F">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2</w:t>
            </w:r>
          </w:p>
        </w:tc>
        <w:tc>
          <w:tcPr>
            <w:tcW w:w="1010" w:type="pct"/>
            <w:shd w:val="clear" w:color="000000" w:fill="FFFFFF"/>
            <w:vAlign w:val="center"/>
          </w:tcPr>
          <w:p w14:paraId="5542C58F">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响应完整性</w:t>
            </w:r>
          </w:p>
        </w:tc>
        <w:tc>
          <w:tcPr>
            <w:tcW w:w="2726" w:type="pct"/>
            <w:shd w:val="clear" w:color="000000" w:fill="FFFFFF"/>
            <w:vAlign w:val="center"/>
          </w:tcPr>
          <w:p w14:paraId="7DA1D14B">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不存在将一个采购包中的内容拆开响应；</w:t>
            </w:r>
          </w:p>
        </w:tc>
        <w:tc>
          <w:tcPr>
            <w:tcW w:w="970" w:type="pct"/>
            <w:shd w:val="clear" w:color="000000" w:fill="FFFFFF"/>
            <w:vAlign w:val="center"/>
          </w:tcPr>
          <w:p w14:paraId="43E71BFD">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17CA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1868B303">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3</w:t>
            </w:r>
          </w:p>
        </w:tc>
        <w:tc>
          <w:tcPr>
            <w:tcW w:w="1010" w:type="pct"/>
            <w:shd w:val="clear" w:color="000000" w:fill="FFFFFF"/>
            <w:vAlign w:val="center"/>
          </w:tcPr>
          <w:p w14:paraId="03A8447F">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磋商报价</w:t>
            </w:r>
          </w:p>
        </w:tc>
        <w:tc>
          <w:tcPr>
            <w:tcW w:w="2726" w:type="pct"/>
            <w:shd w:val="clear" w:color="000000" w:fill="FFFFFF"/>
            <w:vAlign w:val="center"/>
          </w:tcPr>
          <w:p w14:paraId="69587DC6">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不存在报价超过竞争性磋商文件中规定的项目/采购包预算金额或者项目/采购包最高限价；</w:t>
            </w:r>
          </w:p>
        </w:tc>
        <w:tc>
          <w:tcPr>
            <w:tcW w:w="970" w:type="pct"/>
            <w:shd w:val="clear" w:color="000000" w:fill="FFFFFF"/>
            <w:vAlign w:val="center"/>
          </w:tcPr>
          <w:p w14:paraId="02DDF345">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1B39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45D847FE">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4</w:t>
            </w:r>
          </w:p>
        </w:tc>
        <w:tc>
          <w:tcPr>
            <w:tcW w:w="1010" w:type="pct"/>
            <w:shd w:val="clear" w:color="000000" w:fill="FFFFFF"/>
            <w:vAlign w:val="center"/>
          </w:tcPr>
          <w:p w14:paraId="154EB09F">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报价唯一性</w:t>
            </w:r>
          </w:p>
        </w:tc>
        <w:tc>
          <w:tcPr>
            <w:tcW w:w="2726" w:type="pct"/>
            <w:shd w:val="clear" w:color="000000" w:fill="FFFFFF"/>
            <w:vAlign w:val="center"/>
          </w:tcPr>
          <w:p w14:paraId="06DA72F8">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不存在响应文件出现可选择性或可调整的报价（竞争性磋商文件另有规定的除外）；</w:t>
            </w:r>
          </w:p>
        </w:tc>
        <w:tc>
          <w:tcPr>
            <w:tcW w:w="970" w:type="pct"/>
            <w:shd w:val="clear" w:color="000000" w:fill="FFFFFF"/>
            <w:vAlign w:val="center"/>
          </w:tcPr>
          <w:p w14:paraId="05795835">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01AA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0CE25C3D">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5</w:t>
            </w:r>
          </w:p>
        </w:tc>
        <w:tc>
          <w:tcPr>
            <w:tcW w:w="1010" w:type="pct"/>
            <w:shd w:val="clear" w:color="000000" w:fill="FFFFFF"/>
            <w:vAlign w:val="center"/>
          </w:tcPr>
          <w:p w14:paraId="62F93E77">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磋商有效期</w:t>
            </w:r>
          </w:p>
        </w:tc>
        <w:tc>
          <w:tcPr>
            <w:tcW w:w="2726" w:type="pct"/>
            <w:shd w:val="clear" w:color="000000" w:fill="FFFFFF"/>
            <w:vAlign w:val="center"/>
          </w:tcPr>
          <w:p w14:paraId="0EDE3ED0">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不存在响应文件中承诺的有效期少于竞争性磋商文件中载明的有效期的；</w:t>
            </w:r>
          </w:p>
        </w:tc>
        <w:tc>
          <w:tcPr>
            <w:tcW w:w="970" w:type="pct"/>
            <w:shd w:val="clear" w:color="000000" w:fill="FFFFFF"/>
            <w:vAlign w:val="center"/>
          </w:tcPr>
          <w:p w14:paraId="7F1C7465">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0A7D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7C910F62">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6</w:t>
            </w:r>
          </w:p>
        </w:tc>
        <w:tc>
          <w:tcPr>
            <w:tcW w:w="1010" w:type="pct"/>
            <w:shd w:val="clear" w:color="000000" w:fill="FFFFFF"/>
            <w:vAlign w:val="center"/>
          </w:tcPr>
          <w:p w14:paraId="64081E3C">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签署、盖章</w:t>
            </w:r>
          </w:p>
        </w:tc>
        <w:tc>
          <w:tcPr>
            <w:tcW w:w="2726" w:type="pct"/>
            <w:shd w:val="clear" w:color="000000" w:fill="FFFFFF"/>
            <w:vAlign w:val="center"/>
          </w:tcPr>
          <w:p w14:paraId="267CBDF0">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《商务技术文件》按照竞争性磋商文件要求签署、盖章的；</w:t>
            </w:r>
          </w:p>
        </w:tc>
        <w:tc>
          <w:tcPr>
            <w:tcW w:w="970" w:type="pct"/>
            <w:shd w:val="clear" w:color="000000" w:fill="FFFFFF"/>
            <w:vAlign w:val="center"/>
          </w:tcPr>
          <w:p w14:paraId="1A8F675F">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196F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094E8899">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7</w:t>
            </w:r>
          </w:p>
        </w:tc>
        <w:tc>
          <w:tcPr>
            <w:tcW w:w="1010" w:type="pct"/>
            <w:shd w:val="clear" w:color="000000" w:fill="FFFFFF"/>
            <w:vAlign w:val="center"/>
          </w:tcPr>
          <w:p w14:paraId="24DB1340">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实质性格式</w:t>
            </w:r>
          </w:p>
        </w:tc>
        <w:tc>
          <w:tcPr>
            <w:tcW w:w="2726" w:type="pct"/>
            <w:shd w:val="clear" w:color="000000" w:fill="FFFFFF"/>
            <w:vAlign w:val="center"/>
          </w:tcPr>
          <w:p w14:paraId="037E4489">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按竞争性磋商文件要求提供了标记为“实质性格式”的文件；</w:t>
            </w:r>
          </w:p>
        </w:tc>
        <w:tc>
          <w:tcPr>
            <w:tcW w:w="970" w:type="pct"/>
            <w:shd w:val="clear" w:color="000000" w:fill="FFFFFF"/>
            <w:vAlign w:val="center"/>
          </w:tcPr>
          <w:p w14:paraId="1E17FDC9">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308E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6E9E2720">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8</w:t>
            </w:r>
          </w:p>
        </w:tc>
        <w:tc>
          <w:tcPr>
            <w:tcW w:w="1010" w:type="pct"/>
            <w:shd w:val="clear" w:color="000000" w:fill="FFFFFF"/>
            <w:vAlign w:val="center"/>
          </w:tcPr>
          <w:p w14:paraId="444FE72B">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工期、质量标准</w:t>
            </w:r>
          </w:p>
        </w:tc>
        <w:tc>
          <w:tcPr>
            <w:tcW w:w="2726" w:type="pct"/>
            <w:shd w:val="clear" w:color="000000" w:fill="FFFFFF"/>
            <w:vAlign w:val="center"/>
          </w:tcPr>
          <w:p w14:paraId="48642FDE">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工期、质量标准满足磋商文件要求。</w:t>
            </w:r>
          </w:p>
        </w:tc>
        <w:tc>
          <w:tcPr>
            <w:tcW w:w="970" w:type="pct"/>
            <w:shd w:val="clear" w:color="000000" w:fill="FFFFFF"/>
            <w:vAlign w:val="center"/>
          </w:tcPr>
          <w:p w14:paraId="468D29EB">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5C1B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53B4EA0F">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9</w:t>
            </w:r>
          </w:p>
        </w:tc>
        <w:tc>
          <w:tcPr>
            <w:tcW w:w="1010" w:type="pct"/>
            <w:shd w:val="clear" w:color="000000" w:fill="FFFFFF"/>
            <w:vAlign w:val="center"/>
          </w:tcPr>
          <w:p w14:paraId="5E843690">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分包承担主</w:t>
            </w:r>
          </w:p>
          <w:p w14:paraId="112E087C">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体资质（如有）</w:t>
            </w:r>
          </w:p>
        </w:tc>
        <w:tc>
          <w:tcPr>
            <w:tcW w:w="2726" w:type="pct"/>
            <w:shd w:val="clear" w:color="000000" w:fill="FFFFFF"/>
            <w:vAlign w:val="center"/>
          </w:tcPr>
          <w:p w14:paraId="2E082C2E">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分包承担主体具备《供应商须知资料表》载明的资质条件且提供了资质证书电子件(如有)；</w:t>
            </w:r>
          </w:p>
        </w:tc>
        <w:tc>
          <w:tcPr>
            <w:tcW w:w="970" w:type="pct"/>
            <w:shd w:val="clear" w:color="000000" w:fill="FFFFFF"/>
            <w:vAlign w:val="center"/>
          </w:tcPr>
          <w:p w14:paraId="0A939DDB">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5F08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2966B275">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10</w:t>
            </w:r>
          </w:p>
        </w:tc>
        <w:tc>
          <w:tcPr>
            <w:tcW w:w="1010" w:type="pct"/>
            <w:shd w:val="clear" w:color="000000" w:fill="FFFFFF"/>
            <w:vAlign w:val="center"/>
          </w:tcPr>
          <w:p w14:paraId="63D90AB1">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分包意向协议（如有）</w:t>
            </w:r>
          </w:p>
        </w:tc>
        <w:tc>
          <w:tcPr>
            <w:tcW w:w="2726" w:type="pct"/>
            <w:shd w:val="clear" w:color="000000" w:fill="FFFFFF"/>
            <w:vAlign w:val="center"/>
          </w:tcPr>
          <w:p w14:paraId="187C207D">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按竞争性磋商文件规定签订并提供分包意向协议复印件或扫描件的；（如有）</w:t>
            </w:r>
          </w:p>
        </w:tc>
        <w:tc>
          <w:tcPr>
            <w:tcW w:w="970" w:type="pct"/>
            <w:shd w:val="clear" w:color="000000" w:fill="FFFFFF"/>
            <w:vAlign w:val="center"/>
          </w:tcPr>
          <w:p w14:paraId="6CF71C5F">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2C1E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5DAC4892">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11</w:t>
            </w:r>
          </w:p>
        </w:tc>
        <w:tc>
          <w:tcPr>
            <w:tcW w:w="1010" w:type="pct"/>
            <w:shd w:val="clear" w:color="000000" w:fill="FFFFFF"/>
            <w:vAlign w:val="center"/>
          </w:tcPr>
          <w:p w14:paraId="35690246">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报价的修正</w:t>
            </w:r>
          </w:p>
          <w:p w14:paraId="18890D3A">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（如有）</w:t>
            </w:r>
          </w:p>
        </w:tc>
        <w:tc>
          <w:tcPr>
            <w:tcW w:w="2726" w:type="pct"/>
            <w:shd w:val="clear" w:color="000000" w:fill="FFFFFF"/>
            <w:vAlign w:val="center"/>
          </w:tcPr>
          <w:p w14:paraId="5CCD1CB8">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不存在响应文件报价出现前后不一致，供应商对修正后的报价不予确认的；（如有）</w:t>
            </w:r>
          </w:p>
        </w:tc>
        <w:tc>
          <w:tcPr>
            <w:tcW w:w="970" w:type="pct"/>
            <w:shd w:val="clear" w:color="000000" w:fill="FFFFFF"/>
            <w:vAlign w:val="center"/>
          </w:tcPr>
          <w:p w14:paraId="43D3B6F4">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3B35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shd w:val="clear" w:color="000000" w:fill="FFFFFF"/>
            <w:vAlign w:val="center"/>
          </w:tcPr>
          <w:p w14:paraId="2B60BD1B">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12</w:t>
            </w:r>
          </w:p>
        </w:tc>
        <w:tc>
          <w:tcPr>
            <w:tcW w:w="1010" w:type="pct"/>
            <w:shd w:val="clear" w:color="000000" w:fill="FFFFFF"/>
            <w:vAlign w:val="center"/>
          </w:tcPr>
          <w:p w14:paraId="394380F0">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报价合理性</w:t>
            </w:r>
          </w:p>
        </w:tc>
        <w:tc>
          <w:tcPr>
            <w:tcW w:w="2726" w:type="pct"/>
            <w:shd w:val="clear" w:color="000000" w:fill="FFFFFF"/>
            <w:vAlign w:val="center"/>
          </w:tcPr>
          <w:p w14:paraId="6DB63FA4">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不存在供应商的报价明显低于其他通过符合性审查供应商的报价，有可能影响产品质量或者不能诚信履约的，且未能应评标委员会要求证明其报价合理性的；</w:t>
            </w:r>
          </w:p>
        </w:tc>
        <w:tc>
          <w:tcPr>
            <w:tcW w:w="970" w:type="pct"/>
            <w:shd w:val="clear" w:color="000000" w:fill="FFFFFF"/>
            <w:vAlign w:val="center"/>
          </w:tcPr>
          <w:p w14:paraId="03B46939">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2879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vAlign w:val="center"/>
          </w:tcPr>
          <w:p w14:paraId="09AC5971">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13</w:t>
            </w:r>
          </w:p>
        </w:tc>
        <w:tc>
          <w:tcPr>
            <w:tcW w:w="1010" w:type="pct"/>
            <w:vAlign w:val="center"/>
          </w:tcPr>
          <w:p w14:paraId="33EFEC97">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进口产品</w:t>
            </w:r>
          </w:p>
          <w:p w14:paraId="16541A99">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（如有）</w:t>
            </w:r>
          </w:p>
        </w:tc>
        <w:tc>
          <w:tcPr>
            <w:tcW w:w="2726" w:type="pct"/>
          </w:tcPr>
          <w:p w14:paraId="338D2CD6">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不存在竞争性磋商文件不接受进口产品响应的内容，供应商所投产品为进口产品的；</w:t>
            </w:r>
          </w:p>
        </w:tc>
        <w:tc>
          <w:tcPr>
            <w:tcW w:w="970" w:type="pct"/>
            <w:shd w:val="clear" w:color="000000" w:fill="FFFFFF"/>
            <w:vAlign w:val="center"/>
          </w:tcPr>
          <w:p w14:paraId="49FDCBA2">
            <w:pPr>
              <w:widowControl/>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不允许</w:t>
            </w:r>
          </w:p>
        </w:tc>
      </w:tr>
      <w:tr w14:paraId="3FA9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91" w:type="pct"/>
            <w:vAlign w:val="center"/>
          </w:tcPr>
          <w:p w14:paraId="66BB18A5">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14</w:t>
            </w:r>
          </w:p>
        </w:tc>
        <w:tc>
          <w:tcPr>
            <w:tcW w:w="1010" w:type="pct"/>
            <w:vAlign w:val="center"/>
          </w:tcPr>
          <w:p w14:paraId="32AD4DE1">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国家有关部门对供应商的响应产品有强制性规定或要求的（如有）</w:t>
            </w:r>
          </w:p>
        </w:tc>
        <w:tc>
          <w:tcPr>
            <w:tcW w:w="2726" w:type="pct"/>
          </w:tcPr>
          <w:p w14:paraId="3D9185B5">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国家有关部门对供应商的响应产品有强制性规定或要求的（如相应技术、安全、节能和环保等），供应商的响应产品应符合相应规定或要求，并提供证明文件电子件： </w:t>
            </w:r>
          </w:p>
          <w:p w14:paraId="12C349D9">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1）采购的产品若属于《节能产品政府采购品目清单》范围中政府强制采购产品，则供应商所报产品必须获得国家确定的认证机构出具的、处于有效期之内的节能产品认证证书； </w:t>
            </w:r>
          </w:p>
          <w:p w14:paraId="68F4BC2F">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2）响应产品如涉及计算机信息系统安全专用产品的，须提供公安部颁发的计算机信息系统安全专用产品销售许可证； </w:t>
            </w:r>
          </w:p>
          <w:p w14:paraId="0FE43350">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3）响应产品如有属于开展国家信息安全产品认证产品范围的，须提供由中国网络安全审查技术与认证中心（原中国信息安全认证中心）按国家标准认证颁发的有效认证证书等）； </w:t>
            </w:r>
          </w:p>
          <w:p w14:paraId="40914E8B">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4）国家有特殊信息安全要求的项目，采购产品涉及无线局域网产品和含有无线局域网功能的计算机、通信设备、打印机、复印机、投影仪等产品的，响应产品须为符合国家无线局域网安全标准(GB 15629.11/1102)并通过国家产品认证的产品； </w:t>
            </w:r>
          </w:p>
          <w:p w14:paraId="217EF31B">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5）项目中涉及涂料、胶黏剂、油墨、清洗剂等挥发性有机物产品，且属于强制性标准的，供应商应执行符合本市和国家的VOCs 含量限制标准。</w:t>
            </w:r>
          </w:p>
        </w:tc>
        <w:tc>
          <w:tcPr>
            <w:tcW w:w="970" w:type="pct"/>
            <w:shd w:val="clear" w:color="000000" w:fill="FFFFFF"/>
            <w:vAlign w:val="center"/>
          </w:tcPr>
          <w:p w14:paraId="1E4106A9">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4C9C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91" w:type="pct"/>
            <w:vAlign w:val="center"/>
          </w:tcPr>
          <w:p w14:paraId="5D5D72A4">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15</w:t>
            </w:r>
          </w:p>
        </w:tc>
        <w:tc>
          <w:tcPr>
            <w:tcW w:w="1010" w:type="pct"/>
            <w:vAlign w:val="center"/>
          </w:tcPr>
          <w:p w14:paraId="6503F40A">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公平竞争</w:t>
            </w:r>
          </w:p>
        </w:tc>
        <w:tc>
          <w:tcPr>
            <w:tcW w:w="2726" w:type="pct"/>
          </w:tcPr>
          <w:p w14:paraId="63B60423">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供应商遵循公平竞争的原则，不存在恶意串通，妨碍其他供应商的竞争行为，不存在损害采购人或者其他供应商的合法权益情形的；</w:t>
            </w:r>
          </w:p>
        </w:tc>
        <w:tc>
          <w:tcPr>
            <w:tcW w:w="970" w:type="pct"/>
            <w:shd w:val="clear" w:color="000000" w:fill="FFFFFF"/>
            <w:vAlign w:val="center"/>
          </w:tcPr>
          <w:p w14:paraId="58C9B11E">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5E7B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vAlign w:val="center"/>
          </w:tcPr>
          <w:p w14:paraId="33049903">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16</w:t>
            </w:r>
          </w:p>
        </w:tc>
        <w:tc>
          <w:tcPr>
            <w:tcW w:w="1010" w:type="pct"/>
            <w:vAlign w:val="center"/>
          </w:tcPr>
          <w:p w14:paraId="526ECD53">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串通响应</w:t>
            </w:r>
          </w:p>
        </w:tc>
        <w:tc>
          <w:tcPr>
            <w:tcW w:w="2726" w:type="pct"/>
          </w:tcPr>
          <w:p w14:paraId="7FC7BCB2">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不存在视为供应商串通响应的情形； </w:t>
            </w:r>
          </w:p>
          <w:p w14:paraId="2C9EE6CF">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（一）不同供应商的响应文件由同一单位或者个人编制； </w:t>
            </w:r>
          </w:p>
          <w:p w14:paraId="67096DA3">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（二）不同供应商委托同一单位或者个人办理响应事宜； </w:t>
            </w:r>
          </w:p>
          <w:p w14:paraId="6FBFE944">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（三）不同供应商的响应文件载明的项目管理成员或者联系人员为同一人； </w:t>
            </w:r>
          </w:p>
          <w:p w14:paraId="3064DADA">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 xml:space="preserve">（四）不同供应商的响应文件异常一致或者响应报价呈规律性差异； </w:t>
            </w:r>
          </w:p>
          <w:p w14:paraId="282CAE7F">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（五）不同供应商的响应文件相互混装；</w:t>
            </w:r>
          </w:p>
          <w:p w14:paraId="552EF4AF">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（六）不同供应商的响应保证金从同一单位或者个人的账户转出；</w:t>
            </w:r>
          </w:p>
        </w:tc>
        <w:tc>
          <w:tcPr>
            <w:tcW w:w="970" w:type="pct"/>
            <w:shd w:val="clear" w:color="000000" w:fill="FFFFFF"/>
            <w:vAlign w:val="center"/>
          </w:tcPr>
          <w:p w14:paraId="056DC069">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4C5C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vAlign w:val="center"/>
          </w:tcPr>
          <w:p w14:paraId="347A73FB">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17</w:t>
            </w:r>
          </w:p>
        </w:tc>
        <w:tc>
          <w:tcPr>
            <w:tcW w:w="1010" w:type="pct"/>
            <w:vAlign w:val="center"/>
          </w:tcPr>
          <w:p w14:paraId="58C03900">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附加条件</w:t>
            </w:r>
          </w:p>
        </w:tc>
        <w:tc>
          <w:tcPr>
            <w:tcW w:w="2726" w:type="pct"/>
          </w:tcPr>
          <w:p w14:paraId="6157A684">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不存在响应文件含有采购人不能接受的附加条件的；</w:t>
            </w:r>
          </w:p>
        </w:tc>
        <w:tc>
          <w:tcPr>
            <w:tcW w:w="970" w:type="pct"/>
            <w:shd w:val="clear" w:color="000000" w:fill="FFFFFF"/>
            <w:vAlign w:val="center"/>
          </w:tcPr>
          <w:p w14:paraId="7A9BF6E8">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lang w:bidi="ar"/>
              </w:rPr>
              <w:t>不允许</w:t>
            </w:r>
          </w:p>
        </w:tc>
      </w:tr>
      <w:tr w14:paraId="63B0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vAlign w:val="center"/>
          </w:tcPr>
          <w:p w14:paraId="05E2FDF4">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18</w:t>
            </w:r>
          </w:p>
        </w:tc>
        <w:tc>
          <w:tcPr>
            <w:tcW w:w="1010" w:type="pct"/>
            <w:vAlign w:val="center"/>
          </w:tcPr>
          <w:p w14:paraId="703525B2">
            <w:pPr>
              <w:widowControl/>
              <w:jc w:val="center"/>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其他无效情形</w:t>
            </w:r>
          </w:p>
        </w:tc>
        <w:tc>
          <w:tcPr>
            <w:tcW w:w="2726" w:type="pct"/>
          </w:tcPr>
          <w:p w14:paraId="41F41660">
            <w:pPr>
              <w:widowControl/>
              <w:jc w:val="left"/>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不存在供应商、响应文件不符合法律、法规和竞争性磋商文件规定的其他无效情形。</w:t>
            </w:r>
          </w:p>
        </w:tc>
        <w:tc>
          <w:tcPr>
            <w:tcW w:w="970" w:type="pct"/>
            <w:shd w:val="clear" w:color="000000" w:fill="FFFFFF"/>
            <w:vAlign w:val="center"/>
          </w:tcPr>
          <w:p w14:paraId="4C0B2C54">
            <w:pPr>
              <w:widowControl/>
              <w:rPr>
                <w:rFonts w:hint="eastAsia" w:ascii="宋体" w:hAnsi="宋体" w:cstheme="minorEastAsia"/>
                <w:color w:val="000000"/>
                <w:kern w:val="0"/>
                <w:sz w:val="24"/>
                <w:highlight w:val="none"/>
              </w:rPr>
            </w:pPr>
            <w:r>
              <w:rPr>
                <w:rFonts w:hint="eastAsia" w:ascii="宋体" w:hAnsi="宋体" w:cstheme="minorEastAsia"/>
                <w:color w:val="000000"/>
                <w:kern w:val="0"/>
                <w:sz w:val="24"/>
                <w:highlight w:val="none"/>
              </w:rPr>
              <w:t>不允许</w:t>
            </w:r>
          </w:p>
        </w:tc>
      </w:tr>
    </w:tbl>
    <w:p w14:paraId="7A52BF7D">
      <w:pPr>
        <w:tabs>
          <w:tab w:val="left" w:pos="900"/>
          <w:tab w:val="left" w:pos="1080"/>
          <w:tab w:val="left" w:pos="1589"/>
        </w:tabs>
        <w:snapToGrid w:val="0"/>
        <w:spacing w:line="360" w:lineRule="auto"/>
        <w:rPr>
          <w:rFonts w:hint="eastAsia" w:ascii="宋体" w:hAnsi="宋体" w:cstheme="minorEastAsia"/>
          <w:sz w:val="24"/>
          <w:highlight w:val="none"/>
        </w:rPr>
      </w:pPr>
    </w:p>
    <w:p w14:paraId="50CAB5AF">
      <w:pPr>
        <w:numPr>
          <w:ilvl w:val="0"/>
          <w:numId w:val="11"/>
        </w:num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磋商、响应文件有关事项的澄清、说明或者更正和最后报价</w:t>
      </w:r>
    </w:p>
    <w:p w14:paraId="0119315B">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磋商小组所有成员将集中与单一供应商分别进行磋商，并给予所有参加磋商的供应商平等的磋商机会。</w:t>
      </w:r>
    </w:p>
    <w:p w14:paraId="5DA8D032">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kern w:val="0"/>
          <w:sz w:val="24"/>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6ECD51E6">
      <w:pPr>
        <w:numPr>
          <w:ilvl w:val="1"/>
          <w:numId w:val="11"/>
        </w:numPr>
        <w:tabs>
          <w:tab w:val="left" w:pos="1080"/>
          <w:tab w:val="left" w:pos="1872"/>
        </w:tabs>
        <w:snapToGrid w:val="0"/>
        <w:spacing w:line="360" w:lineRule="auto"/>
        <w:ind w:left="1077" w:hanging="720"/>
        <w:rPr>
          <w:rFonts w:hint="eastAsia" w:ascii="宋体" w:hAnsi="宋体" w:cstheme="minorEastAsia"/>
          <w:kern w:val="0"/>
          <w:sz w:val="24"/>
          <w:highlight w:val="none"/>
        </w:rPr>
      </w:pPr>
      <w:r>
        <w:rPr>
          <w:rFonts w:hint="eastAsia" w:ascii="宋体" w:hAnsi="宋体" w:cstheme="minorEastAsia"/>
          <w:kern w:val="0"/>
          <w:sz w:val="24"/>
          <w:highlight w:val="none"/>
        </w:rPr>
        <w:t>对磋商文件作出的实质性变动是磋商文件的有效组成部分，磋商小组应当及时以书面形式同时通知所有参加磋商的供应商。</w:t>
      </w:r>
    </w:p>
    <w:p w14:paraId="5B07B54E">
      <w:pPr>
        <w:numPr>
          <w:ilvl w:val="1"/>
          <w:numId w:val="11"/>
        </w:numPr>
        <w:tabs>
          <w:tab w:val="left" w:pos="1080"/>
          <w:tab w:val="left" w:pos="1872"/>
        </w:tabs>
        <w:snapToGrid w:val="0"/>
        <w:spacing w:line="360" w:lineRule="auto"/>
        <w:ind w:left="1077" w:hanging="720"/>
        <w:rPr>
          <w:rFonts w:hint="eastAsia" w:ascii="宋体" w:hAnsi="宋体" w:cstheme="minorEastAsia"/>
          <w:kern w:val="0"/>
          <w:sz w:val="24"/>
          <w:highlight w:val="none"/>
        </w:rPr>
      </w:pPr>
      <w:r>
        <w:rPr>
          <w:rFonts w:hint="eastAsia" w:ascii="宋体" w:hAnsi="宋体" w:cstheme="minorEastAsia"/>
          <w:kern w:val="0"/>
          <w:sz w:val="24"/>
          <w:highlight w:val="none"/>
        </w:rPr>
        <w:t>供应商应当按照磋商文件的变动情况和磋商小组的要求重新提交响应文件，并由其法定代表人（</w:t>
      </w:r>
      <w:r>
        <w:rPr>
          <w:rFonts w:hint="eastAsia" w:ascii="宋体" w:hAnsi="宋体" w:cstheme="minorEastAsia"/>
          <w:color w:val="000000"/>
          <w:sz w:val="24"/>
          <w:szCs w:val="20"/>
          <w:highlight w:val="none"/>
        </w:rPr>
        <w:t>若供应商为事业单位或其他组织或分支机构，可为单位负责人</w:t>
      </w:r>
      <w:r>
        <w:rPr>
          <w:rFonts w:hint="eastAsia" w:ascii="宋体" w:hAnsi="宋体" w:cstheme="minorEastAsia"/>
          <w:kern w:val="0"/>
          <w:sz w:val="24"/>
          <w:highlight w:val="none"/>
        </w:rPr>
        <w:t>）或授权代表签字或者加盖公章。由授权代表签字的，应当附授权委托书。供应商为自然人的，应当由本人签字并附身份证明。</w:t>
      </w:r>
    </w:p>
    <w:p w14:paraId="70EF3E12">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响应文件的澄清、说明或者更正：</w:t>
      </w:r>
    </w:p>
    <w:p w14:paraId="60D7767D">
      <w:pPr>
        <w:numPr>
          <w:ilvl w:val="2"/>
          <w:numId w:val="11"/>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w:t>
      </w:r>
    </w:p>
    <w:p w14:paraId="08AF3F61">
      <w:pPr>
        <w:numPr>
          <w:ilvl w:val="2"/>
          <w:numId w:val="11"/>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磋商小组对响应文件进行审查，如发现供应商提交的响应文件存在不满足《符合性审查要求》的内容，如属于表中“不允许”澄清、说明或者更正的内容，则供应商响应文件按</w:t>
      </w:r>
      <w:r>
        <w:rPr>
          <w:rFonts w:hint="eastAsia" w:ascii="宋体" w:hAnsi="宋体" w:cstheme="minorEastAsia"/>
          <w:b/>
          <w:sz w:val="24"/>
          <w:highlight w:val="none"/>
        </w:rPr>
        <w:t>无效处理</w:t>
      </w:r>
      <w:r>
        <w:rPr>
          <w:rFonts w:hint="eastAsia" w:ascii="宋体" w:hAnsi="宋体" w:cstheme="minorEastAsia"/>
          <w:sz w:val="24"/>
          <w:highlight w:val="none"/>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hint="eastAsia" w:ascii="宋体" w:hAnsi="宋体" w:cstheme="minorEastAsia"/>
          <w:b/>
          <w:sz w:val="24"/>
          <w:highlight w:val="none"/>
        </w:rPr>
        <w:t>无效处理</w:t>
      </w:r>
      <w:r>
        <w:rPr>
          <w:rFonts w:hint="eastAsia" w:ascii="宋体" w:hAnsi="宋体" w:cstheme="minorEastAsia"/>
          <w:sz w:val="24"/>
          <w:highlight w:val="none"/>
        </w:rPr>
        <w:t>。</w:t>
      </w:r>
    </w:p>
    <w:p w14:paraId="7D0CA05C">
      <w:pPr>
        <w:numPr>
          <w:ilvl w:val="2"/>
          <w:numId w:val="11"/>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hint="eastAsia" w:ascii="宋体" w:hAnsi="宋体" w:cstheme="minorEastAsia"/>
          <w:kern w:val="0"/>
          <w:sz w:val="24"/>
          <w:highlight w:val="none"/>
        </w:rPr>
        <w:t>（</w:t>
      </w:r>
      <w:r>
        <w:rPr>
          <w:rFonts w:hint="eastAsia" w:ascii="宋体" w:hAnsi="宋体" w:cstheme="minorEastAsia"/>
          <w:color w:val="000000"/>
          <w:sz w:val="24"/>
          <w:szCs w:val="20"/>
          <w:highlight w:val="none"/>
        </w:rPr>
        <w:t>若供应商为事业单位或其他组织或分支机构，可为单位负责人</w:t>
      </w:r>
      <w:r>
        <w:rPr>
          <w:rFonts w:hint="eastAsia" w:ascii="宋体" w:hAnsi="宋体" w:cstheme="minorEastAsia"/>
          <w:kern w:val="0"/>
          <w:sz w:val="24"/>
          <w:highlight w:val="none"/>
        </w:rPr>
        <w:t>）</w:t>
      </w:r>
      <w:r>
        <w:rPr>
          <w:rFonts w:hint="eastAsia" w:ascii="宋体" w:hAnsi="宋体" w:cstheme="minorEastAsia"/>
          <w:sz w:val="24"/>
          <w:highlight w:val="none"/>
        </w:rPr>
        <w:t>或其授权代表签字或者加盖公章。由授权代表签字的，应当附授权委托书。供应商为自然人的，应当由本人签字并附身份证明。澄清、说明或者更正文件将作为响应文件内容的一部分。</w:t>
      </w:r>
    </w:p>
    <w:p w14:paraId="02B7DFC5">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磋商结束后，磋商小组将要求所有实质性响应的供应商在规定时间内提交最后报价。最后报价时间为磋商小组指定的时间，具体时间根据磋商进度另行通知。</w:t>
      </w:r>
    </w:p>
    <w:p w14:paraId="52A80564">
      <w:pPr>
        <w:numPr>
          <w:ilvl w:val="1"/>
          <w:numId w:val="11"/>
        </w:numPr>
        <w:tabs>
          <w:tab w:val="left" w:pos="1080"/>
          <w:tab w:val="left" w:pos="1872"/>
        </w:tabs>
        <w:snapToGrid w:val="0"/>
        <w:spacing w:line="360" w:lineRule="auto"/>
        <w:ind w:left="1077" w:hanging="720"/>
        <w:rPr>
          <w:rFonts w:hint="eastAsia" w:ascii="宋体" w:hAnsi="宋体" w:cstheme="minorEastAsia"/>
          <w:snapToGrid w:val="0"/>
          <w:sz w:val="24"/>
          <w:highlight w:val="none"/>
        </w:rPr>
      </w:pPr>
      <w:bookmarkStart w:id="644" w:name="_Hlk220085436"/>
      <w:r>
        <w:rPr>
          <w:rFonts w:hint="eastAsia" w:ascii="宋体" w:hAnsi="宋体" w:cstheme="minorEastAsia"/>
          <w:snapToGrid w:val="0"/>
          <w:sz w:val="24"/>
          <w:highlight w:val="none"/>
        </w:rPr>
        <w:t>异常低价处理</w:t>
      </w:r>
    </w:p>
    <w:p w14:paraId="64088542">
      <w:pPr>
        <w:numPr>
          <w:ilvl w:val="2"/>
          <w:numId w:val="11"/>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政府采购评审中出现下列情形之一的，评审委员会应当启动异常低价投标（响应）审查程序：</w:t>
      </w:r>
    </w:p>
    <w:p w14:paraId="431C90FD">
      <w:pPr>
        <w:snapToGrid w:val="0"/>
        <w:spacing w:line="360" w:lineRule="auto"/>
        <w:ind w:left="1980"/>
        <w:rPr>
          <w:rFonts w:hint="eastAsia" w:ascii="宋体" w:hAnsi="宋体" w:cstheme="minorEastAsia"/>
          <w:sz w:val="24"/>
          <w:highlight w:val="none"/>
        </w:rPr>
      </w:pPr>
      <w:r>
        <w:rPr>
          <w:rFonts w:hint="eastAsia" w:ascii="宋体" w:hAnsi="宋体" w:cstheme="minorEastAsia"/>
          <w:sz w:val="24"/>
          <w:highlight w:val="none"/>
        </w:rPr>
        <w:t>（1）投标（响应）报价低于全部通过符合性审查供应商投标（响应）报价平均值</w:t>
      </w:r>
      <w:r>
        <w:rPr>
          <w:rFonts w:hint="eastAsia" w:ascii="宋体" w:hAnsi="宋体" w:cstheme="minorEastAsia"/>
          <w:sz w:val="24"/>
          <w:highlight w:val="none"/>
          <w:u w:val="single"/>
        </w:rPr>
        <w:t>50</w:t>
      </w:r>
      <w:r>
        <w:rPr>
          <w:rFonts w:hint="eastAsia" w:ascii="宋体" w:hAnsi="宋体" w:cstheme="minorEastAsia"/>
          <w:sz w:val="24"/>
          <w:highlight w:val="none"/>
        </w:rPr>
        <w:t>%的，即投标（响应）报价&lt;全部通过符合性审查供应商投标（响应）报价平均值×</w:t>
      </w:r>
      <w:r>
        <w:rPr>
          <w:rFonts w:hint="eastAsia" w:ascii="宋体" w:hAnsi="宋体" w:cstheme="minorEastAsia"/>
          <w:sz w:val="24"/>
          <w:highlight w:val="none"/>
          <w:u w:val="single"/>
        </w:rPr>
        <w:t>50</w:t>
      </w:r>
      <w:r>
        <w:rPr>
          <w:rFonts w:hint="eastAsia" w:ascii="宋体" w:hAnsi="宋体" w:cstheme="minorEastAsia"/>
          <w:sz w:val="24"/>
          <w:highlight w:val="none"/>
        </w:rPr>
        <w:t>%；</w:t>
      </w:r>
    </w:p>
    <w:p w14:paraId="78694042">
      <w:pPr>
        <w:snapToGrid w:val="0"/>
        <w:spacing w:line="360" w:lineRule="auto"/>
        <w:ind w:left="1980"/>
        <w:rPr>
          <w:rFonts w:hint="eastAsia" w:ascii="宋体" w:hAnsi="宋体" w:cstheme="minorEastAsia"/>
          <w:sz w:val="24"/>
          <w:highlight w:val="none"/>
        </w:rPr>
      </w:pPr>
      <w:r>
        <w:rPr>
          <w:rFonts w:hint="eastAsia" w:ascii="宋体" w:hAnsi="宋体" w:cstheme="minorEastAsia"/>
          <w:sz w:val="24"/>
          <w:highlight w:val="none"/>
        </w:rPr>
        <w:t>（2）投标（响应）报价低于通过符合性审查的次低报价供应商投标（响应）报价</w:t>
      </w:r>
      <w:r>
        <w:rPr>
          <w:rFonts w:hint="eastAsia" w:ascii="宋体" w:hAnsi="宋体" w:cstheme="minorEastAsia"/>
          <w:sz w:val="24"/>
          <w:highlight w:val="none"/>
          <w:u w:val="single"/>
        </w:rPr>
        <w:t>50</w:t>
      </w:r>
      <w:r>
        <w:rPr>
          <w:rFonts w:hint="eastAsia" w:ascii="宋体" w:hAnsi="宋体" w:cstheme="minorEastAsia"/>
          <w:sz w:val="24"/>
          <w:highlight w:val="none"/>
        </w:rPr>
        <w:t>%的，即投标（响应）报价&lt;通过符合性审查的次低报价供应商投标（响应）报价×</w:t>
      </w:r>
      <w:r>
        <w:rPr>
          <w:rFonts w:hint="eastAsia" w:ascii="宋体" w:hAnsi="宋体" w:cstheme="minorEastAsia"/>
          <w:sz w:val="24"/>
          <w:highlight w:val="none"/>
          <w:u w:val="single"/>
        </w:rPr>
        <w:t>50</w:t>
      </w:r>
      <w:r>
        <w:rPr>
          <w:rFonts w:hint="eastAsia" w:ascii="宋体" w:hAnsi="宋体" w:cstheme="minorEastAsia"/>
          <w:sz w:val="24"/>
          <w:highlight w:val="none"/>
        </w:rPr>
        <w:t>_%；</w:t>
      </w:r>
    </w:p>
    <w:p w14:paraId="5D2C0DE9">
      <w:pPr>
        <w:snapToGrid w:val="0"/>
        <w:spacing w:line="360" w:lineRule="auto"/>
        <w:ind w:left="1980"/>
        <w:rPr>
          <w:rFonts w:hint="eastAsia" w:ascii="宋体" w:hAnsi="宋体" w:cstheme="minorEastAsia"/>
          <w:sz w:val="24"/>
          <w:highlight w:val="none"/>
        </w:rPr>
      </w:pPr>
      <w:r>
        <w:rPr>
          <w:rFonts w:hint="eastAsia" w:ascii="宋体" w:hAnsi="宋体" w:cstheme="minorEastAsia"/>
          <w:sz w:val="24"/>
          <w:highlight w:val="none"/>
        </w:rPr>
        <w:t>（3）投标（响应）报价低于采购项目最高限价</w:t>
      </w:r>
      <w:r>
        <w:rPr>
          <w:rFonts w:hint="eastAsia" w:ascii="宋体" w:hAnsi="宋体" w:cstheme="minorEastAsia"/>
          <w:sz w:val="24"/>
          <w:highlight w:val="none"/>
          <w:u w:val="single"/>
        </w:rPr>
        <w:t>45</w:t>
      </w:r>
      <w:r>
        <w:rPr>
          <w:rFonts w:hint="eastAsia" w:ascii="宋体" w:hAnsi="宋体" w:cstheme="minorEastAsia"/>
          <w:sz w:val="24"/>
          <w:highlight w:val="none"/>
        </w:rPr>
        <w:t>%的，即投标（响应）报价&lt;采购项目最高限价×</w:t>
      </w:r>
      <w:r>
        <w:rPr>
          <w:rFonts w:hint="eastAsia" w:ascii="宋体" w:hAnsi="宋体" w:cstheme="minorEastAsia"/>
          <w:sz w:val="24"/>
          <w:highlight w:val="none"/>
          <w:u w:val="single"/>
        </w:rPr>
        <w:t>45</w:t>
      </w:r>
      <w:r>
        <w:rPr>
          <w:rFonts w:hint="eastAsia" w:ascii="宋体" w:hAnsi="宋体" w:cstheme="minorEastAsia"/>
          <w:sz w:val="24"/>
          <w:highlight w:val="none"/>
        </w:rPr>
        <w:t>%；未设定最高限价的采购项目，以采购项目预算金额作为最高限价；</w:t>
      </w:r>
    </w:p>
    <w:p w14:paraId="649C8F45">
      <w:pPr>
        <w:snapToGrid w:val="0"/>
        <w:spacing w:line="360" w:lineRule="auto"/>
        <w:ind w:left="1980"/>
        <w:rPr>
          <w:rFonts w:hint="eastAsia" w:ascii="宋体" w:hAnsi="宋体" w:cstheme="minorEastAsia"/>
          <w:sz w:val="24"/>
          <w:highlight w:val="none"/>
        </w:rPr>
      </w:pPr>
      <w:r>
        <w:rPr>
          <w:rFonts w:hint="eastAsia" w:ascii="宋体" w:hAnsi="宋体" w:cstheme="minorEastAsia"/>
          <w:sz w:val="24"/>
          <w:highlight w:val="none"/>
        </w:rPr>
        <w:t>（4）评审委员会基于专业判断，认为供应商报价过低，有可能影响产品质量或者不能诚信履约的其他情形。</w:t>
      </w:r>
    </w:p>
    <w:p w14:paraId="1970F7FD">
      <w:pPr>
        <w:numPr>
          <w:ilvl w:val="2"/>
          <w:numId w:val="11"/>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11E5501">
      <w:pPr>
        <w:numPr>
          <w:ilvl w:val="2"/>
          <w:numId w:val="11"/>
        </w:numPr>
        <w:snapToGrid w:val="0"/>
        <w:spacing w:line="360" w:lineRule="auto"/>
        <w:rPr>
          <w:rFonts w:hint="eastAsia" w:ascii="宋体" w:hAnsi="宋体" w:cstheme="minorEastAsia"/>
          <w:sz w:val="24"/>
          <w:highlight w:val="none"/>
        </w:rPr>
      </w:pPr>
      <w:r>
        <w:rPr>
          <w:rFonts w:hint="eastAsia" w:ascii="宋体" w:hAnsi="宋体" w:cstheme="minorEastAsia"/>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F2BB088">
      <w:pPr>
        <w:numPr>
          <w:ilvl w:val="2"/>
          <w:numId w:val="11"/>
        </w:numPr>
        <w:snapToGrid w:val="0"/>
        <w:spacing w:line="360" w:lineRule="auto"/>
        <w:rPr>
          <w:rFonts w:hint="eastAsia" w:ascii="宋体" w:hAnsi="宋体" w:cstheme="minorEastAsia"/>
          <w:sz w:val="24"/>
          <w:highlight w:val="none"/>
        </w:rPr>
      </w:pPr>
      <w:bookmarkStart w:id="645" w:name="_Hlk190337965"/>
      <w:r>
        <w:rPr>
          <w:rFonts w:hint="eastAsia" w:ascii="宋体" w:hAnsi="宋体" w:cstheme="minorEastAsia"/>
          <w:sz w:val="24"/>
          <w:highlight w:val="none"/>
        </w:rPr>
        <w:t>上述投标（响应）报价指按照本章3.2修正后的报价</w:t>
      </w:r>
      <w:bookmarkEnd w:id="645"/>
      <w:r>
        <w:rPr>
          <w:rFonts w:hint="eastAsia" w:ascii="宋体" w:hAnsi="宋体" w:cstheme="minorEastAsia"/>
          <w:sz w:val="24"/>
          <w:highlight w:val="none"/>
        </w:rPr>
        <w:t>。</w:t>
      </w:r>
      <w:bookmarkEnd w:id="644"/>
    </w:p>
    <w:p w14:paraId="61BA4D1A">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napToGrid w:val="0"/>
          <w:sz w:val="24"/>
          <w:highlight w:val="none"/>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cstheme="minorEastAsia"/>
          <w:sz w:val="24"/>
          <w:highlight w:val="none"/>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3FAF506A">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最后报价是供应商响应文件的有效组成部分。</w:t>
      </w:r>
    </w:p>
    <w:p w14:paraId="213DA5E1">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已提交响应文件的供应商，在提交最后报价之前，可以根据磋商情况退出磋商。</w:t>
      </w:r>
    </w:p>
    <w:p w14:paraId="20CF3984">
      <w:pPr>
        <w:numPr>
          <w:ilvl w:val="0"/>
          <w:numId w:val="11"/>
        </w:num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最后报价的算术修正及政策调整</w:t>
      </w:r>
    </w:p>
    <w:p w14:paraId="0089BC06">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最后报价须包含竞争性磋商文件全部内容，如最后分项报价表有缺漏视为已含在其他各项报价中，将不对最后报价进行调整。磋商小组有权要求供应商在评审现场合理的时间内对此进行书面确认，供应商不确认的，视为将一个采购包中的内容拆分响应，其</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47119A27">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最后报价出现前后不一致的，按照下列规定修正：</w:t>
      </w:r>
    </w:p>
    <w:p w14:paraId="023873D7">
      <w:pPr>
        <w:numPr>
          <w:ilvl w:val="2"/>
          <w:numId w:val="11"/>
        </w:numPr>
        <w:tabs>
          <w:tab w:val="left" w:pos="1080"/>
          <w:tab w:val="left" w:pos="1589"/>
          <w:tab w:val="left" w:pos="2035"/>
          <w:tab w:val="left" w:pos="2114"/>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竞争性磋商文件对于报价修正是否另有规定：</w:t>
      </w:r>
    </w:p>
    <w:p w14:paraId="6619C1C8">
      <w:pPr>
        <w:tabs>
          <w:tab w:val="left" w:pos="1080"/>
          <w:tab w:val="left" w:pos="1589"/>
          <w:tab w:val="left" w:pos="2035"/>
          <w:tab w:val="left" w:pos="2114"/>
        </w:tabs>
        <w:snapToGrid w:val="0"/>
        <w:spacing w:line="360" w:lineRule="auto"/>
        <w:ind w:left="2035"/>
        <w:rPr>
          <w:rFonts w:hint="eastAsia" w:ascii="宋体" w:hAnsi="宋体" w:cstheme="minorEastAsia"/>
          <w:sz w:val="24"/>
          <w:highlight w:val="none"/>
          <w:u w:val="single"/>
        </w:rPr>
      </w:pPr>
      <w:r>
        <w:rPr>
          <w:rFonts w:hint="eastAsia" w:ascii="宋体" w:hAnsi="宋体" w:cstheme="minorEastAsia"/>
          <w:sz w:val="24"/>
          <w:highlight w:val="none"/>
        </w:rPr>
        <w:t>□有，具体规定为：___________</w:t>
      </w:r>
    </w:p>
    <w:p w14:paraId="79BC2472">
      <w:pPr>
        <w:tabs>
          <w:tab w:val="left" w:pos="1080"/>
          <w:tab w:val="left" w:pos="1589"/>
          <w:tab w:val="left" w:pos="2035"/>
          <w:tab w:val="left" w:pos="2114"/>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☑无，按下述3.2.2-3.2.5项规定修正。</w:t>
      </w:r>
    </w:p>
    <w:p w14:paraId="52C491E5">
      <w:pPr>
        <w:numPr>
          <w:ilvl w:val="2"/>
          <w:numId w:val="11"/>
        </w:numPr>
        <w:tabs>
          <w:tab w:val="left" w:pos="2035"/>
          <w:tab w:val="left" w:pos="2114"/>
          <w:tab w:val="left" w:pos="2977"/>
        </w:tabs>
        <w:snapToGrid w:val="0"/>
        <w:spacing w:line="360" w:lineRule="auto"/>
        <w:ind w:left="203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大写金额和小写金额不一致的，以大写金额为准；</w:t>
      </w:r>
    </w:p>
    <w:p w14:paraId="74EFF805">
      <w:pPr>
        <w:numPr>
          <w:ilvl w:val="2"/>
          <w:numId w:val="11"/>
        </w:numPr>
        <w:tabs>
          <w:tab w:val="left" w:pos="2035"/>
          <w:tab w:val="left" w:pos="2114"/>
          <w:tab w:val="left" w:pos="2977"/>
        </w:tabs>
        <w:snapToGrid w:val="0"/>
        <w:spacing w:line="360" w:lineRule="auto"/>
        <w:ind w:left="203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单价金额小数点或者百分比有明显错位的，以总价为准，并修改单价；</w:t>
      </w:r>
    </w:p>
    <w:p w14:paraId="30107076">
      <w:pPr>
        <w:numPr>
          <w:ilvl w:val="2"/>
          <w:numId w:val="11"/>
        </w:numPr>
        <w:tabs>
          <w:tab w:val="left" w:pos="2035"/>
          <w:tab w:val="left" w:pos="2114"/>
          <w:tab w:val="left" w:pos="2977"/>
        </w:tabs>
        <w:snapToGrid w:val="0"/>
        <w:spacing w:line="360" w:lineRule="auto"/>
        <w:ind w:left="2035"/>
        <w:rPr>
          <w:rFonts w:hint="eastAsia" w:ascii="宋体" w:hAnsi="宋体" w:cstheme="minorEastAsia"/>
          <w:color w:val="000000" w:themeColor="text1"/>
          <w:sz w:val="24"/>
          <w:highlight w:val="none"/>
          <w14:textFill>
            <w14:solidFill>
              <w14:schemeClr w14:val="tx1"/>
            </w14:solidFill>
          </w14:textFill>
        </w:rPr>
      </w:pPr>
      <w:r>
        <w:rPr>
          <w:rFonts w:hint="eastAsia" w:ascii="宋体" w:hAnsi="宋体" w:cstheme="minorEastAsia"/>
          <w:color w:val="000000" w:themeColor="text1"/>
          <w:sz w:val="24"/>
          <w:highlight w:val="none"/>
          <w14:textFill>
            <w14:solidFill>
              <w14:schemeClr w14:val="tx1"/>
            </w14:solidFill>
          </w14:textFill>
        </w:rPr>
        <w:t>总价金额与按单价汇总金额不一致的，以单价金额计算结果为准。</w:t>
      </w:r>
    </w:p>
    <w:p w14:paraId="5D5CFE28">
      <w:pPr>
        <w:numPr>
          <w:ilvl w:val="2"/>
          <w:numId w:val="11"/>
        </w:numPr>
        <w:tabs>
          <w:tab w:val="left" w:pos="1080"/>
          <w:tab w:val="left" w:pos="1589"/>
          <w:tab w:val="left" w:pos="2035"/>
          <w:tab w:val="left" w:pos="2114"/>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同时出现两种以上不一致的，按照前款规定的顺序修正。</w:t>
      </w:r>
    </w:p>
    <w:p w14:paraId="30EBA025">
      <w:pPr>
        <w:numPr>
          <w:ilvl w:val="2"/>
          <w:numId w:val="11"/>
        </w:numPr>
        <w:tabs>
          <w:tab w:val="left" w:pos="1080"/>
          <w:tab w:val="left" w:pos="1589"/>
          <w:tab w:val="left" w:pos="2035"/>
          <w:tab w:val="left" w:pos="2114"/>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修正后的报价经供应商书面确认后产生约束力，供应商不确认的，</w:t>
      </w:r>
      <w:r>
        <w:rPr>
          <w:rFonts w:hint="eastAsia" w:ascii="宋体" w:hAnsi="宋体" w:cstheme="minorEastAsia"/>
          <w:b/>
          <w:sz w:val="24"/>
          <w:highlight w:val="none"/>
        </w:rPr>
        <w:t>其响应无效</w:t>
      </w:r>
      <w:r>
        <w:rPr>
          <w:rFonts w:hint="eastAsia" w:ascii="宋体" w:hAnsi="宋体" w:cstheme="minorEastAsia"/>
          <w:sz w:val="24"/>
          <w:highlight w:val="none"/>
        </w:rPr>
        <w:t>。</w:t>
      </w:r>
    </w:p>
    <w:p w14:paraId="7F7D6499">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落实政府采购政策的价格调整：只有符合第二章《供应商须知》4.3条规定情形的，可以享受中小企业扶持政策，用扣除后的价格参加评审；否则，评审时价格不予扣除。</w:t>
      </w:r>
    </w:p>
    <w:p w14:paraId="5F501925">
      <w:pPr>
        <w:numPr>
          <w:ilvl w:val="2"/>
          <w:numId w:val="11"/>
        </w:numPr>
        <w:tabs>
          <w:tab w:val="left" w:pos="1080"/>
          <w:tab w:val="left" w:pos="1589"/>
          <w:tab w:val="left" w:pos="2035"/>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对于未预留份额专门面向中小企业采购的采购项目，以及预留份额项目中的非预留部分采购包，对小微企业报价给予</w:t>
      </w:r>
      <w:r>
        <w:rPr>
          <w:rFonts w:hint="eastAsia" w:ascii="宋体" w:hAnsi="宋体" w:cstheme="minorEastAsia"/>
          <w:sz w:val="24"/>
          <w:highlight w:val="none"/>
          <w:u w:val="single"/>
        </w:rPr>
        <w:t>3</w:t>
      </w:r>
      <w:r>
        <w:rPr>
          <w:rFonts w:hint="eastAsia" w:ascii="宋体" w:hAnsi="宋体" w:cstheme="minorEastAsia"/>
          <w:sz w:val="24"/>
          <w:highlight w:val="none"/>
        </w:rPr>
        <w:t>%的扣除，用扣除后的价格参加评审。</w:t>
      </w:r>
    </w:p>
    <w:p w14:paraId="4C062A7D">
      <w:pPr>
        <w:numPr>
          <w:ilvl w:val="2"/>
          <w:numId w:val="11"/>
        </w:numPr>
        <w:tabs>
          <w:tab w:val="left" w:pos="1080"/>
          <w:tab w:val="left" w:pos="1589"/>
          <w:tab w:val="left" w:pos="2035"/>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ascii="宋体" w:hAnsi="宋体" w:cstheme="minorEastAsia"/>
          <w:sz w:val="24"/>
          <w:highlight w:val="none"/>
          <w:u w:val="single"/>
        </w:rPr>
        <w:t>2</w:t>
      </w:r>
      <w:r>
        <w:rPr>
          <w:rFonts w:hint="eastAsia" w:ascii="宋体" w:hAnsi="宋体" w:cstheme="minorEastAsia"/>
          <w:sz w:val="24"/>
          <w:highlight w:val="none"/>
        </w:rPr>
        <w:t>%的扣除，用扣除后的价格参加评审。</w:t>
      </w:r>
    </w:p>
    <w:p w14:paraId="758B307C">
      <w:pPr>
        <w:numPr>
          <w:ilvl w:val="2"/>
          <w:numId w:val="11"/>
        </w:numPr>
        <w:tabs>
          <w:tab w:val="left" w:pos="1080"/>
          <w:tab w:val="left" w:pos="1589"/>
          <w:tab w:val="left" w:pos="2035"/>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组成联合体或者接受分包的小微企业与联合体内其他企业、分包企业之间存在直接控股、管理关系的，不享受价格扣除优惠政策。</w:t>
      </w:r>
    </w:p>
    <w:p w14:paraId="394493EF">
      <w:pPr>
        <w:numPr>
          <w:ilvl w:val="2"/>
          <w:numId w:val="11"/>
        </w:numPr>
        <w:tabs>
          <w:tab w:val="left" w:pos="1080"/>
          <w:tab w:val="left" w:pos="1589"/>
          <w:tab w:val="left" w:pos="2035"/>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价格扣除比例对小型企业和微型企业同等对待，不作区分。</w:t>
      </w:r>
    </w:p>
    <w:p w14:paraId="095F962F">
      <w:pPr>
        <w:numPr>
          <w:ilvl w:val="2"/>
          <w:numId w:val="11"/>
        </w:numPr>
        <w:tabs>
          <w:tab w:val="left" w:pos="1080"/>
          <w:tab w:val="left" w:pos="1589"/>
          <w:tab w:val="left" w:pos="2035"/>
        </w:tabs>
        <w:snapToGrid w:val="0"/>
        <w:spacing w:line="360" w:lineRule="auto"/>
        <w:ind w:left="2035"/>
        <w:rPr>
          <w:rFonts w:hint="eastAsia" w:ascii="宋体" w:hAnsi="宋体" w:cstheme="minorEastAsia"/>
          <w:sz w:val="24"/>
          <w:highlight w:val="none"/>
        </w:rPr>
      </w:pPr>
      <w:r>
        <w:rPr>
          <w:rFonts w:hint="eastAsia" w:ascii="宋体" w:hAnsi="宋体" w:cstheme="minorEastAsia"/>
          <w:color w:val="000000" w:themeColor="text1"/>
          <w:sz w:val="24"/>
          <w:highlight w:val="none"/>
          <w14:textFill>
            <w14:solidFill>
              <w14:schemeClr w14:val="tx1"/>
            </w14:solidFill>
          </w14:textFill>
        </w:rPr>
        <w:t>中小企业参加政府采购活动，应当按照竞争性磋商文件给定的格式出具《中小企业声明函》，否则不得享受相关中小企业扶持政策。</w:t>
      </w:r>
    </w:p>
    <w:p w14:paraId="4D4CAC32">
      <w:pPr>
        <w:numPr>
          <w:ilvl w:val="2"/>
          <w:numId w:val="11"/>
        </w:numPr>
        <w:tabs>
          <w:tab w:val="left" w:pos="1080"/>
          <w:tab w:val="left" w:pos="1589"/>
          <w:tab w:val="left" w:pos="2035"/>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监狱企业提供了由省级以上监狱管理局、戒毒管理局（含新疆生产建设兵团）出具的属于监狱企业的证明文件的，视同小微企业。</w:t>
      </w:r>
    </w:p>
    <w:p w14:paraId="3281E3A2">
      <w:pPr>
        <w:numPr>
          <w:ilvl w:val="2"/>
          <w:numId w:val="11"/>
        </w:numPr>
        <w:tabs>
          <w:tab w:val="left" w:pos="1080"/>
          <w:tab w:val="left" w:pos="1589"/>
          <w:tab w:val="left" w:pos="2035"/>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残疾人福利性单位按竞争性磋商文件要求提供了《残疾人福利性单位声明函》的，视同小微企业。</w:t>
      </w:r>
    </w:p>
    <w:p w14:paraId="579A2AF3">
      <w:pPr>
        <w:numPr>
          <w:ilvl w:val="2"/>
          <w:numId w:val="11"/>
        </w:numPr>
        <w:tabs>
          <w:tab w:val="left" w:pos="1080"/>
          <w:tab w:val="left" w:pos="1589"/>
          <w:tab w:val="left" w:pos="2014"/>
        </w:tabs>
        <w:snapToGrid w:val="0"/>
        <w:spacing w:line="360" w:lineRule="auto"/>
        <w:ind w:left="2035"/>
        <w:rPr>
          <w:rFonts w:hint="eastAsia" w:ascii="宋体" w:hAnsi="宋体" w:cstheme="minorEastAsia"/>
          <w:sz w:val="24"/>
          <w:highlight w:val="none"/>
        </w:rPr>
      </w:pPr>
      <w:r>
        <w:rPr>
          <w:rFonts w:hint="eastAsia" w:ascii="宋体" w:hAnsi="宋体" w:cstheme="minorEastAsia"/>
          <w:sz w:val="24"/>
          <w:highlight w:val="none"/>
        </w:rPr>
        <w:t>若供应商同时属于小型或微型企业、监狱企业、残疾人福利性单位中的两种及以上，将不重复享受小微企业价格扣减的优惠政策。</w:t>
      </w:r>
    </w:p>
    <w:p w14:paraId="2B0493D9">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支持本国产品政府采购的价格调整：只有符合第二章《供应商须知》4.2条规定情形的，可以享受本国产品支持政策，用扣除后的价格参加评审；否则，评审时价格不予扣除。</w:t>
      </w:r>
    </w:p>
    <w:p w14:paraId="0174ED69">
      <w:pPr>
        <w:numPr>
          <w:ilvl w:val="2"/>
          <w:numId w:val="11"/>
        </w:numPr>
        <w:tabs>
          <w:tab w:val="left" w:pos="1080"/>
          <w:tab w:val="left" w:pos="2100"/>
          <w:tab w:val="clear" w:pos="1980"/>
        </w:tabs>
        <w:snapToGrid w:val="0"/>
        <w:spacing w:line="360" w:lineRule="auto"/>
        <w:ind w:left="2088" w:leftChars="502" w:hanging="1034" w:hangingChars="431"/>
        <w:rPr>
          <w:rFonts w:hint="eastAsia" w:ascii="宋体" w:hAnsi="宋体" w:cstheme="minorEastAsia"/>
          <w:sz w:val="24"/>
          <w:highlight w:val="none"/>
        </w:rPr>
      </w:pPr>
      <w:r>
        <w:rPr>
          <w:rFonts w:hint="eastAsia" w:ascii="宋体" w:hAnsi="宋体" w:cstheme="minorEastAsia"/>
          <w:sz w:val="24"/>
          <w:highlight w:val="none"/>
        </w:rPr>
        <w:t>本项目既有本国产品又有非本国产品参与竞争的，依法对本国产品给予价格评审优惠，对本国产品的报价给予20%的价格扣除，用扣除后的价格参与评审。</w:t>
      </w:r>
    </w:p>
    <w:p w14:paraId="1CDC1D49">
      <w:pPr>
        <w:numPr>
          <w:ilvl w:val="2"/>
          <w:numId w:val="11"/>
        </w:numPr>
        <w:tabs>
          <w:tab w:val="left" w:pos="1080"/>
          <w:tab w:val="left" w:pos="2100"/>
          <w:tab w:val="clear" w:pos="1980"/>
        </w:tabs>
        <w:snapToGrid w:val="0"/>
        <w:spacing w:line="360" w:lineRule="auto"/>
        <w:ind w:left="2088" w:leftChars="502" w:hanging="1034" w:hangingChars="431"/>
        <w:rPr>
          <w:rFonts w:hint="eastAsia" w:ascii="宋体" w:hAnsi="宋体" w:cstheme="minorEastAsia"/>
          <w:sz w:val="24"/>
          <w:highlight w:val="none"/>
        </w:rPr>
      </w:pPr>
      <w:r>
        <w:rPr>
          <w:rFonts w:hint="eastAsia" w:ascii="宋体" w:hAnsi="宋体" w:cstheme="minor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D842078">
      <w:pPr>
        <w:numPr>
          <w:ilvl w:val="2"/>
          <w:numId w:val="11"/>
        </w:numPr>
        <w:tabs>
          <w:tab w:val="left" w:pos="1080"/>
          <w:tab w:val="left" w:pos="2100"/>
          <w:tab w:val="clear" w:pos="1980"/>
        </w:tabs>
        <w:snapToGrid w:val="0"/>
        <w:spacing w:line="360" w:lineRule="auto"/>
        <w:ind w:left="2088" w:leftChars="502" w:hanging="1034" w:hangingChars="431"/>
        <w:rPr>
          <w:rFonts w:hint="eastAsia" w:ascii="宋体" w:hAnsi="宋体" w:cstheme="minorEastAsia"/>
          <w:sz w:val="24"/>
          <w:highlight w:val="none"/>
        </w:rPr>
      </w:pPr>
      <w:r>
        <w:rPr>
          <w:rFonts w:hint="eastAsia" w:ascii="宋体" w:hAnsi="宋体" w:cstheme="minorEastAsia"/>
          <w:sz w:val="24"/>
          <w:highlight w:val="none"/>
        </w:rPr>
        <w:t>供应商提供本国产品参加政府采购活动的，应当按照采购文件给定的格式出具《关于符合本国产品标准的声明函》或提供财政部会同有关部门规定的有关证明文件，否则视为非本国产品。</w:t>
      </w:r>
    </w:p>
    <w:p w14:paraId="3BC35D8B">
      <w:pPr>
        <w:numPr>
          <w:ilvl w:val="0"/>
          <w:numId w:val="11"/>
        </w:num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磋商环节及提交最后报价后如出现以下情况的，供应商的</w:t>
      </w:r>
      <w:r>
        <w:rPr>
          <w:rFonts w:hint="eastAsia" w:ascii="宋体" w:hAnsi="宋体" w:cstheme="minorEastAsia"/>
          <w:b/>
          <w:sz w:val="24"/>
          <w:highlight w:val="none"/>
        </w:rPr>
        <w:t>响应文件无效</w:t>
      </w:r>
      <w:r>
        <w:rPr>
          <w:rFonts w:hint="eastAsia" w:ascii="宋体" w:hAnsi="宋体" w:cstheme="minorEastAsia"/>
          <w:sz w:val="24"/>
          <w:highlight w:val="none"/>
        </w:rPr>
        <w:t>：</w:t>
      </w:r>
    </w:p>
    <w:p w14:paraId="356E850A">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供应商对实质性变动不予确认的；</w:t>
      </w:r>
    </w:p>
    <w:p w14:paraId="735EBD3A">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不满足磋商文件★号条款或磋商文件技术指标超出磋商文件《采购需求》中主要技术参数允许偏差的最大范围的（如有）；</w:t>
      </w:r>
    </w:p>
    <w:p w14:paraId="161D337B">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未按照磋商小组规定的时间、逾期提交最后报价的；</w:t>
      </w:r>
    </w:p>
    <w:p w14:paraId="56026A60">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如供应商的最后报价超过竞争性磋商文件中规定的项目/采购包预算金额或者项目/采购包最高限价的；</w:t>
      </w:r>
    </w:p>
    <w:p w14:paraId="01A9CE38">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响应文件中出现可选择性或可调整的报价的（竞争性磋商文件另有规定的除外）；</w:t>
      </w:r>
    </w:p>
    <w:p w14:paraId="7019AAC3">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最后报价出现前后不一致，供应商对修正后的报价不予确认的；</w:t>
      </w:r>
    </w:p>
    <w:p w14:paraId="5033F35A">
      <w:pPr>
        <w:numPr>
          <w:ilvl w:val="1"/>
          <w:numId w:val="11"/>
        </w:numPr>
        <w:tabs>
          <w:tab w:val="left" w:pos="1080"/>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其他：</w:t>
      </w:r>
      <w:r>
        <w:rPr>
          <w:rFonts w:hint="eastAsia" w:ascii="宋体" w:hAnsi="宋体" w:cstheme="minorEastAsia"/>
          <w:sz w:val="24"/>
          <w:highlight w:val="none"/>
          <w:u w:val="single"/>
        </w:rPr>
        <w:t>无</w:t>
      </w:r>
      <w:r>
        <w:rPr>
          <w:rFonts w:hint="eastAsia" w:ascii="宋体" w:hAnsi="宋体" w:cstheme="minorEastAsia"/>
          <w:sz w:val="24"/>
          <w:highlight w:val="none"/>
        </w:rPr>
        <w:t>。</w:t>
      </w:r>
    </w:p>
    <w:bookmarkEnd w:id="627"/>
    <w:bookmarkEnd w:id="628"/>
    <w:p w14:paraId="31DB7B9D">
      <w:pPr>
        <w:numPr>
          <w:ilvl w:val="0"/>
          <w:numId w:val="11"/>
        </w:num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评审方法和评审标准</w:t>
      </w:r>
    </w:p>
    <w:p w14:paraId="72782100">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27E053F9">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竞争性磋商文件中没有规定的评审标准不得作为评审依据。</w:t>
      </w:r>
    </w:p>
    <w:p w14:paraId="5F366D50">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非政府强制采购的节能产品或环境标志产品，依据品目清单和认证证书实施政府优先采购。优先采购的具体规定（如涉及）______。</w:t>
      </w:r>
    </w:p>
    <w:p w14:paraId="28E85612">
      <w:pPr>
        <w:numPr>
          <w:ilvl w:val="0"/>
          <w:numId w:val="11"/>
        </w:num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确定</w:t>
      </w:r>
      <w:bookmarkStart w:id="646" w:name="_Toc164229241"/>
      <w:bookmarkStart w:id="647" w:name="_Toc151193860"/>
      <w:bookmarkStart w:id="648" w:name="_Toc151193788"/>
      <w:bookmarkStart w:id="649" w:name="_Toc150774751"/>
      <w:bookmarkStart w:id="650" w:name="_Toc305158888"/>
      <w:bookmarkStart w:id="651" w:name="_Toc127161460"/>
      <w:bookmarkStart w:id="652" w:name="_Toc265228384"/>
      <w:bookmarkStart w:id="653" w:name="_Toc150509297"/>
      <w:bookmarkStart w:id="654" w:name="_Toc226337242"/>
      <w:bookmarkStart w:id="655" w:name="_Toc164229387"/>
      <w:bookmarkStart w:id="656" w:name="_Toc164608815"/>
      <w:bookmarkStart w:id="657" w:name="_Ref467307010"/>
      <w:bookmarkStart w:id="658" w:name="_Toc264969236"/>
      <w:bookmarkStart w:id="659" w:name="_Toc151193716"/>
      <w:bookmarkStart w:id="660" w:name="_Toc151193644"/>
      <w:bookmarkStart w:id="661" w:name="_Toc226965736"/>
      <w:bookmarkStart w:id="662" w:name="_Toc151193934"/>
      <w:bookmarkStart w:id="663" w:name="_Toc195842911"/>
      <w:bookmarkStart w:id="664" w:name="_Toc164351640"/>
      <w:bookmarkStart w:id="665" w:name="_Toc164608660"/>
      <w:bookmarkStart w:id="666" w:name="_Toc226309790"/>
      <w:bookmarkStart w:id="667" w:name="_Toc142311048"/>
      <w:bookmarkStart w:id="668" w:name="_Toc520356170"/>
      <w:bookmarkStart w:id="669" w:name="_Toc150774646"/>
      <w:bookmarkStart w:id="670" w:name="_Toc149720839"/>
      <w:bookmarkStart w:id="671" w:name="_Toc305158814"/>
      <w:bookmarkStart w:id="672" w:name="_Toc150480784"/>
      <w:bookmarkStart w:id="673" w:name="_Toc127151546"/>
      <w:bookmarkStart w:id="674" w:name="_Toc226965819"/>
      <w:bookmarkStart w:id="675" w:name="_Toc127151747"/>
      <w:bookmarkStart w:id="676" w:name="_Toc151190173"/>
      <w:r>
        <w:rPr>
          <w:rFonts w:hint="eastAsia" w:ascii="宋体" w:hAnsi="宋体" w:cstheme="minorEastAsia"/>
          <w:sz w:val="24"/>
          <w:highlight w:val="none"/>
        </w:rPr>
        <w:t>成交候选人名单</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6131E48D">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508FE092">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kern w:val="0"/>
          <w:sz w:val="24"/>
          <w:szCs w:val="20"/>
          <w:highlight w:val="none"/>
        </w:rPr>
        <w:t>磋商小组根据上述供应商排序，依次推荐排序前</w:t>
      </w:r>
      <w:r>
        <w:rPr>
          <w:rFonts w:hint="eastAsia" w:ascii="宋体" w:hAnsi="宋体" w:cstheme="minorEastAsia"/>
          <w:sz w:val="24"/>
          <w:highlight w:val="none"/>
          <w:u w:val="single"/>
        </w:rPr>
        <w:t>3</w:t>
      </w:r>
      <w:r>
        <w:rPr>
          <w:rFonts w:hint="eastAsia" w:ascii="宋体" w:hAnsi="宋体" w:cstheme="minorEastAsia"/>
          <w:sz w:val="24"/>
          <w:highlight w:val="none"/>
        </w:rPr>
        <w:t>名</w:t>
      </w:r>
      <w:r>
        <w:rPr>
          <w:rFonts w:hint="eastAsia" w:ascii="宋体" w:hAnsi="宋体" w:cstheme="minorEastAsia"/>
          <w:kern w:val="0"/>
          <w:sz w:val="24"/>
          <w:szCs w:val="20"/>
          <w:highlight w:val="none"/>
        </w:rPr>
        <w:t>的供应商为</w:t>
      </w:r>
      <w:r>
        <w:rPr>
          <w:rFonts w:hint="eastAsia" w:ascii="宋体" w:hAnsi="宋体" w:cstheme="minorEastAsia"/>
          <w:snapToGrid w:val="0"/>
          <w:kern w:val="0"/>
          <w:sz w:val="24"/>
          <w:szCs w:val="21"/>
          <w:highlight w:val="none"/>
        </w:rPr>
        <w:t>成交候选供应商</w:t>
      </w:r>
      <w:r>
        <w:rPr>
          <w:rFonts w:hint="eastAsia" w:ascii="宋体" w:hAnsi="宋体" w:cstheme="minorEastAsia"/>
          <w:kern w:val="0"/>
          <w:sz w:val="24"/>
          <w:szCs w:val="20"/>
          <w:highlight w:val="none"/>
        </w:rPr>
        <w:t>（若在磋商文件允许的情形下提交最后报价的供应商为二家，则依次推荐二名供应商为成交候选供应商），并编写评审报告。</w:t>
      </w:r>
    </w:p>
    <w:p w14:paraId="5A0BC6E3">
      <w:pPr>
        <w:numPr>
          <w:ilvl w:val="1"/>
          <w:numId w:val="11"/>
        </w:numPr>
        <w:tabs>
          <w:tab w:val="left" w:pos="1080"/>
          <w:tab w:val="left" w:pos="1872"/>
        </w:tabs>
        <w:snapToGrid w:val="0"/>
        <w:spacing w:line="360" w:lineRule="auto"/>
        <w:ind w:left="1077" w:hanging="720"/>
        <w:rPr>
          <w:rFonts w:hint="eastAsia" w:ascii="宋体" w:hAnsi="宋体" w:cstheme="minorEastAsia"/>
          <w:sz w:val="24"/>
          <w:highlight w:val="none"/>
        </w:rPr>
      </w:pPr>
      <w:r>
        <w:rPr>
          <w:rFonts w:hint="eastAsia" w:ascii="宋体" w:hAnsi="宋体" w:cstheme="minorEastAsia"/>
          <w:sz w:val="24"/>
          <w:highlight w:val="none"/>
        </w:rPr>
        <w:t>磋商小组要对评分汇总情况进行复核，特别是对排名第一的、报价最低的、响应文件被认定为无效的情形进行重点复核。</w:t>
      </w:r>
    </w:p>
    <w:p w14:paraId="44B03BDB">
      <w:pPr>
        <w:numPr>
          <w:ilvl w:val="0"/>
          <w:numId w:val="11"/>
        </w:num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报告违法行为</w:t>
      </w:r>
    </w:p>
    <w:p w14:paraId="0B9134DC">
      <w:pPr>
        <w:widowControl/>
        <w:numPr>
          <w:ilvl w:val="1"/>
          <w:numId w:val="11"/>
        </w:numPr>
        <w:tabs>
          <w:tab w:val="left" w:pos="1080"/>
          <w:tab w:val="left" w:pos="1872"/>
        </w:tabs>
        <w:snapToGrid w:val="0"/>
        <w:spacing w:line="360" w:lineRule="auto"/>
        <w:ind w:left="1077" w:hanging="720"/>
        <w:jc w:val="left"/>
        <w:rPr>
          <w:rFonts w:hint="eastAsia" w:ascii="宋体" w:hAnsi="宋体" w:cstheme="minorEastAsia"/>
          <w:b/>
          <w:sz w:val="24"/>
          <w:highlight w:val="none"/>
        </w:rPr>
      </w:pPr>
      <w:r>
        <w:rPr>
          <w:rFonts w:hint="eastAsia" w:ascii="宋体" w:hAnsi="宋体" w:cstheme="minorEastAsia"/>
          <w:sz w:val="24"/>
          <w:highlight w:val="none"/>
        </w:rPr>
        <w:t>磋商小组在评审过程中发现供应商有行贿、提供虚假材料或者串通等违法行为时，应当及时向财政部门报告。</w:t>
      </w:r>
      <w:r>
        <w:rPr>
          <w:rFonts w:hint="eastAsia" w:ascii="宋体" w:hAnsi="宋体" w:cstheme="minorEastAsia"/>
          <w:b/>
          <w:sz w:val="24"/>
          <w:highlight w:val="none"/>
        </w:rPr>
        <w:br w:type="page"/>
      </w:r>
    </w:p>
    <w:p w14:paraId="1A7BCA6D">
      <w:pPr>
        <w:pStyle w:val="3"/>
        <w:spacing w:before="0" w:line="360" w:lineRule="auto"/>
        <w:rPr>
          <w:rFonts w:hint="eastAsia" w:ascii="宋体" w:hAnsi="宋体" w:eastAsia="宋体" w:cstheme="minorEastAsia"/>
          <w:sz w:val="24"/>
          <w:szCs w:val="24"/>
          <w:highlight w:val="none"/>
        </w:rPr>
      </w:pPr>
      <w:r>
        <w:rPr>
          <w:rFonts w:hint="eastAsia" w:ascii="宋体" w:hAnsi="宋体" w:eastAsia="宋体" w:cstheme="minorEastAsia"/>
          <w:sz w:val="24"/>
          <w:szCs w:val="24"/>
          <w:highlight w:val="none"/>
        </w:rPr>
        <w:t>二、评审标准</w:t>
      </w:r>
    </w:p>
    <w:tbl>
      <w:tblPr>
        <w:tblStyle w:val="4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500"/>
        <w:gridCol w:w="1361"/>
        <w:gridCol w:w="6514"/>
      </w:tblGrid>
      <w:tr w14:paraId="58433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shd w:val="clear" w:color="auto" w:fill="auto"/>
            <w:vAlign w:val="center"/>
          </w:tcPr>
          <w:p w14:paraId="70D5FCD3">
            <w:pPr>
              <w:spacing w:line="276" w:lineRule="auto"/>
              <w:ind w:firstLine="28"/>
              <w:jc w:val="center"/>
              <w:rPr>
                <w:rFonts w:hint="eastAsia" w:ascii="宋体" w:hAnsi="宋体" w:cstheme="minorEastAsia"/>
                <w:b/>
                <w:color w:val="auto"/>
                <w:sz w:val="24"/>
                <w:highlight w:val="none"/>
              </w:rPr>
            </w:pPr>
            <w:r>
              <w:rPr>
                <w:rFonts w:hint="eastAsia" w:ascii="宋体" w:hAnsi="宋体" w:cstheme="minorEastAsia"/>
                <w:b/>
                <w:color w:val="auto"/>
                <w:sz w:val="24"/>
                <w:highlight w:val="none"/>
              </w:rPr>
              <w:t>评审内容</w:t>
            </w:r>
          </w:p>
        </w:tc>
        <w:tc>
          <w:tcPr>
            <w:tcW w:w="500" w:type="dxa"/>
            <w:shd w:val="clear" w:color="auto" w:fill="auto"/>
            <w:vAlign w:val="center"/>
          </w:tcPr>
          <w:p w14:paraId="5C51187F">
            <w:pPr>
              <w:spacing w:line="276" w:lineRule="auto"/>
              <w:ind w:firstLine="28"/>
              <w:jc w:val="center"/>
              <w:rPr>
                <w:rFonts w:hint="eastAsia" w:ascii="宋体" w:hAnsi="宋体" w:cstheme="minorEastAsia"/>
                <w:b/>
                <w:color w:val="auto"/>
                <w:sz w:val="24"/>
                <w:highlight w:val="none"/>
              </w:rPr>
            </w:pPr>
            <w:r>
              <w:rPr>
                <w:rFonts w:hint="eastAsia" w:ascii="宋体" w:hAnsi="宋体" w:cstheme="minorEastAsia"/>
                <w:b/>
                <w:color w:val="auto"/>
                <w:sz w:val="24"/>
                <w:highlight w:val="none"/>
              </w:rPr>
              <w:t>分值</w:t>
            </w:r>
          </w:p>
        </w:tc>
        <w:tc>
          <w:tcPr>
            <w:tcW w:w="1361" w:type="dxa"/>
            <w:shd w:val="clear" w:color="auto" w:fill="auto"/>
            <w:vAlign w:val="center"/>
          </w:tcPr>
          <w:p w14:paraId="2E25A511">
            <w:pPr>
              <w:spacing w:line="276" w:lineRule="auto"/>
              <w:ind w:firstLine="28"/>
              <w:jc w:val="center"/>
              <w:rPr>
                <w:rFonts w:hint="eastAsia" w:ascii="宋体" w:hAnsi="宋体" w:cstheme="minorEastAsia"/>
                <w:b/>
                <w:color w:val="auto"/>
                <w:sz w:val="24"/>
                <w:highlight w:val="none"/>
              </w:rPr>
            </w:pPr>
            <w:r>
              <w:rPr>
                <w:rFonts w:hint="eastAsia" w:ascii="宋体" w:hAnsi="宋体" w:cstheme="minorEastAsia"/>
                <w:b/>
                <w:color w:val="auto"/>
                <w:sz w:val="24"/>
                <w:highlight w:val="none"/>
              </w:rPr>
              <w:t>明细</w:t>
            </w:r>
          </w:p>
        </w:tc>
        <w:tc>
          <w:tcPr>
            <w:tcW w:w="6514" w:type="dxa"/>
            <w:shd w:val="clear" w:color="auto" w:fill="auto"/>
            <w:vAlign w:val="center"/>
          </w:tcPr>
          <w:p w14:paraId="753A4A59">
            <w:pPr>
              <w:pStyle w:val="248"/>
              <w:spacing w:before="0" w:after="0" w:line="276" w:lineRule="auto"/>
              <w:rPr>
                <w:rFonts w:hint="eastAsia" w:ascii="宋体" w:hAnsi="宋体" w:eastAsia="宋体" w:cstheme="minorEastAsia"/>
                <w:color w:val="auto"/>
                <w:szCs w:val="24"/>
                <w:highlight w:val="none"/>
              </w:rPr>
            </w:pPr>
            <w:r>
              <w:rPr>
                <w:rFonts w:hint="eastAsia" w:ascii="宋体" w:hAnsi="宋体" w:eastAsia="宋体" w:cstheme="minorEastAsia"/>
                <w:color w:val="auto"/>
                <w:highlight w:val="none"/>
              </w:rPr>
              <w:t>评分标准</w:t>
            </w:r>
          </w:p>
        </w:tc>
      </w:tr>
      <w:tr w14:paraId="2EC1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53" w:type="dxa"/>
            <w:shd w:val="clear" w:color="auto" w:fill="auto"/>
            <w:vAlign w:val="center"/>
          </w:tcPr>
          <w:p w14:paraId="319FE29F">
            <w:pPr>
              <w:spacing w:line="276" w:lineRule="auto"/>
              <w:ind w:firstLine="28"/>
              <w:jc w:val="center"/>
              <w:rPr>
                <w:rFonts w:hint="eastAsia" w:ascii="宋体" w:hAnsi="宋体" w:cstheme="minorEastAsia"/>
                <w:b/>
                <w:bCs/>
                <w:color w:val="auto"/>
                <w:sz w:val="24"/>
                <w:highlight w:val="none"/>
              </w:rPr>
            </w:pPr>
            <w:r>
              <w:rPr>
                <w:rFonts w:hint="eastAsia" w:ascii="宋体" w:hAnsi="宋体" w:cstheme="minorEastAsia"/>
                <w:b/>
                <w:bCs/>
                <w:color w:val="auto"/>
                <w:sz w:val="24"/>
                <w:highlight w:val="none"/>
              </w:rPr>
              <w:t>报价部分</w:t>
            </w:r>
          </w:p>
        </w:tc>
        <w:tc>
          <w:tcPr>
            <w:tcW w:w="500" w:type="dxa"/>
            <w:shd w:val="clear" w:color="auto" w:fill="auto"/>
            <w:vAlign w:val="center"/>
          </w:tcPr>
          <w:p w14:paraId="2CA7BC30">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15</w:t>
            </w:r>
          </w:p>
        </w:tc>
        <w:tc>
          <w:tcPr>
            <w:tcW w:w="1361" w:type="dxa"/>
            <w:shd w:val="clear" w:color="auto" w:fill="auto"/>
            <w:vAlign w:val="center"/>
          </w:tcPr>
          <w:p w14:paraId="1E38A6CB">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报价</w:t>
            </w:r>
          </w:p>
        </w:tc>
        <w:tc>
          <w:tcPr>
            <w:tcW w:w="6514" w:type="dxa"/>
            <w:shd w:val="clear" w:color="auto" w:fill="auto"/>
            <w:vAlign w:val="center"/>
          </w:tcPr>
          <w:p w14:paraId="57351F1A">
            <w:pPr>
              <w:spacing w:line="276" w:lineRule="auto"/>
              <w:ind w:firstLine="28"/>
              <w:jc w:val="left"/>
              <w:rPr>
                <w:rFonts w:hint="eastAsia" w:ascii="宋体" w:hAnsi="宋体" w:cstheme="minorEastAsia"/>
                <w:color w:val="auto"/>
                <w:sz w:val="24"/>
                <w:highlight w:val="none"/>
              </w:rPr>
            </w:pPr>
            <w:r>
              <w:rPr>
                <w:rFonts w:hint="eastAsia" w:ascii="宋体" w:hAnsi="宋体" w:cstheme="minorEastAsia"/>
                <w:color w:val="auto"/>
                <w:sz w:val="24"/>
                <w:highlight w:val="none"/>
              </w:rPr>
              <w:t>满足磋商文件要求的最后报价最低的供应商的价格为磋商基准价，其价格分为满分。其他供应商的价格分统一按照下列公式计算：</w:t>
            </w:r>
          </w:p>
          <w:p w14:paraId="302A4C5F">
            <w:pPr>
              <w:spacing w:line="276" w:lineRule="auto"/>
              <w:ind w:left="-38"/>
              <w:rPr>
                <w:rFonts w:hint="eastAsia" w:ascii="宋体" w:hAnsi="宋体" w:cstheme="minorEastAsia"/>
                <w:color w:val="auto"/>
                <w:sz w:val="24"/>
                <w:highlight w:val="none"/>
              </w:rPr>
            </w:pPr>
            <w:r>
              <w:rPr>
                <w:rFonts w:hint="eastAsia" w:ascii="宋体" w:hAnsi="宋体" w:cstheme="minorEastAsia"/>
                <w:color w:val="auto"/>
                <w:sz w:val="24"/>
                <w:highlight w:val="none"/>
              </w:rPr>
              <w:t>磋商报价得分=（磋商基准价/最后报价）×分值</w:t>
            </w:r>
          </w:p>
        </w:tc>
      </w:tr>
      <w:tr w14:paraId="303D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53" w:type="dxa"/>
            <w:vMerge w:val="restart"/>
            <w:shd w:val="clear" w:color="auto" w:fill="auto"/>
            <w:vAlign w:val="center"/>
          </w:tcPr>
          <w:p w14:paraId="2660EB92">
            <w:pPr>
              <w:spacing w:line="276" w:lineRule="auto"/>
              <w:ind w:firstLine="28"/>
              <w:jc w:val="center"/>
              <w:rPr>
                <w:rFonts w:hint="eastAsia" w:ascii="宋体" w:hAnsi="宋体" w:cstheme="minorEastAsia"/>
                <w:b/>
                <w:bCs/>
                <w:color w:val="auto"/>
                <w:sz w:val="24"/>
                <w:highlight w:val="none"/>
              </w:rPr>
            </w:pPr>
            <w:r>
              <w:rPr>
                <w:rFonts w:hint="eastAsia" w:ascii="宋体" w:hAnsi="宋体" w:cstheme="minorEastAsia"/>
                <w:b/>
                <w:bCs/>
                <w:color w:val="auto"/>
                <w:sz w:val="24"/>
                <w:highlight w:val="none"/>
              </w:rPr>
              <w:t>商务部分</w:t>
            </w:r>
          </w:p>
        </w:tc>
        <w:tc>
          <w:tcPr>
            <w:tcW w:w="500" w:type="dxa"/>
            <w:shd w:val="clear" w:color="auto" w:fill="auto"/>
            <w:vAlign w:val="center"/>
          </w:tcPr>
          <w:p w14:paraId="6F39FC47">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15</w:t>
            </w:r>
          </w:p>
        </w:tc>
        <w:tc>
          <w:tcPr>
            <w:tcW w:w="1361" w:type="dxa"/>
            <w:shd w:val="clear" w:color="auto" w:fill="auto"/>
            <w:vAlign w:val="center"/>
          </w:tcPr>
          <w:p w14:paraId="1E90317F">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项目业绩</w:t>
            </w:r>
          </w:p>
        </w:tc>
        <w:tc>
          <w:tcPr>
            <w:tcW w:w="6514" w:type="dxa"/>
            <w:shd w:val="clear" w:color="auto" w:fill="auto"/>
            <w:vAlign w:val="center"/>
          </w:tcPr>
          <w:p w14:paraId="1CC798CD">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供应商提供（2023年06月01日-2026年05月31日，以合同签订时间为准）已完成的同类业绩，每提供一份得3分，最高得15分。需提供合同协议书或工程竣工验收证书复印件并加盖单位章。未按要求提供不得分。</w:t>
            </w:r>
          </w:p>
        </w:tc>
      </w:tr>
      <w:tr w14:paraId="6A7A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53" w:type="dxa"/>
            <w:vMerge w:val="continue"/>
            <w:shd w:val="clear" w:color="auto" w:fill="auto"/>
            <w:vAlign w:val="center"/>
          </w:tcPr>
          <w:p w14:paraId="6269429F">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7B2DAE44">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16</w:t>
            </w:r>
          </w:p>
        </w:tc>
        <w:tc>
          <w:tcPr>
            <w:tcW w:w="1361" w:type="dxa"/>
            <w:shd w:val="clear" w:color="auto" w:fill="auto"/>
            <w:vAlign w:val="center"/>
          </w:tcPr>
          <w:p w14:paraId="2283651C">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拟派人员</w:t>
            </w:r>
          </w:p>
        </w:tc>
        <w:tc>
          <w:tcPr>
            <w:tcW w:w="6514" w:type="dxa"/>
            <w:shd w:val="clear" w:color="auto" w:fill="auto"/>
            <w:vAlign w:val="center"/>
          </w:tcPr>
          <w:p w14:paraId="7A6B84A8">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(1)拟派项目经理具有高级职称得3分；中级职称得2分；初级职称得1分；其他情况得0分。</w:t>
            </w:r>
          </w:p>
          <w:p w14:paraId="491A6924">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注:须提供职称证书复印件并加盖公章。</w:t>
            </w:r>
          </w:p>
          <w:p w14:paraId="0BEA2678">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(2)提供2023年06月01日以来(以签订合同时间为准)以项目经理身份承担过的与本项目类似的业绩，每提供1个得1分，最高得3分。</w:t>
            </w:r>
          </w:p>
          <w:p w14:paraId="277E54B0">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注:需提供能够证明上述项目业绩真实性的材料(须体现项目经理姓名)并加盖公章。</w:t>
            </w:r>
          </w:p>
          <w:p w14:paraId="18F153D0">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(3)供应商拟派其他施工管理人员</w:t>
            </w:r>
          </w:p>
          <w:p w14:paraId="3FEA4968">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3.1人员种类:造价人员、施工人员、质检人员、安全人员、材料人员，每提供1项得1分，最高得5分</w:t>
            </w:r>
          </w:p>
          <w:p w14:paraId="1A0F0389">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3.2工作经验:上述5类人员均具有2年以上工作经验的得5分，否则不得分。</w:t>
            </w:r>
          </w:p>
          <w:p w14:paraId="4D074FB2">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注:1.同一人员担任2项或2项以上工作的，按1项计算(不重复得分)。多人承担同一岗位工作的，按1项计算。</w:t>
            </w:r>
          </w:p>
          <w:p w14:paraId="25CAA722">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2.工作经验出具承诺书并加盖供应商单位公章，承诺书格式自拟。</w:t>
            </w:r>
          </w:p>
        </w:tc>
      </w:tr>
      <w:tr w14:paraId="624F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253" w:type="dxa"/>
            <w:vMerge w:val="continue"/>
            <w:shd w:val="clear" w:color="auto" w:fill="auto"/>
            <w:vAlign w:val="center"/>
          </w:tcPr>
          <w:p w14:paraId="4BD670AB">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7CAD2277">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2</w:t>
            </w:r>
          </w:p>
        </w:tc>
        <w:tc>
          <w:tcPr>
            <w:tcW w:w="1361" w:type="dxa"/>
            <w:shd w:val="clear" w:color="auto" w:fill="auto"/>
            <w:vAlign w:val="center"/>
          </w:tcPr>
          <w:p w14:paraId="191020F9">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对竟争性磋商文件商务条款的响应程度</w:t>
            </w:r>
          </w:p>
        </w:tc>
        <w:tc>
          <w:tcPr>
            <w:tcW w:w="6514" w:type="dxa"/>
            <w:shd w:val="clear" w:color="auto" w:fill="auto"/>
            <w:vAlign w:val="center"/>
          </w:tcPr>
          <w:p w14:paraId="1ACDC01C">
            <w:pPr>
              <w:pStyle w:val="248"/>
              <w:adjustRightInd w:val="0"/>
              <w:snapToGrid w:val="0"/>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根据供应商对磋商文件商务条款的响应程度进行评审，全部满足磋商文件商务条款(无负偏离)得2分，否则不得分。</w:t>
            </w:r>
          </w:p>
        </w:tc>
      </w:tr>
      <w:tr w14:paraId="7CB2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restart"/>
            <w:shd w:val="clear" w:color="auto" w:fill="auto"/>
            <w:vAlign w:val="center"/>
          </w:tcPr>
          <w:p w14:paraId="47E71187">
            <w:pPr>
              <w:spacing w:line="276" w:lineRule="auto"/>
              <w:ind w:firstLine="28"/>
              <w:jc w:val="center"/>
              <w:rPr>
                <w:rFonts w:hint="eastAsia" w:ascii="宋体" w:hAnsi="宋体" w:cstheme="minorEastAsia"/>
                <w:b/>
                <w:bCs/>
                <w:color w:val="auto"/>
                <w:sz w:val="24"/>
                <w:highlight w:val="none"/>
              </w:rPr>
            </w:pPr>
            <w:r>
              <w:rPr>
                <w:rFonts w:hint="eastAsia" w:ascii="宋体" w:hAnsi="宋体" w:cstheme="minorEastAsia"/>
                <w:b/>
                <w:bCs/>
                <w:color w:val="auto"/>
                <w:sz w:val="24"/>
                <w:highlight w:val="none"/>
              </w:rPr>
              <w:t>技术部分</w:t>
            </w:r>
          </w:p>
        </w:tc>
        <w:tc>
          <w:tcPr>
            <w:tcW w:w="500" w:type="dxa"/>
            <w:shd w:val="clear" w:color="auto" w:fill="auto"/>
            <w:vAlign w:val="center"/>
          </w:tcPr>
          <w:p w14:paraId="06983A78">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7</w:t>
            </w:r>
          </w:p>
        </w:tc>
        <w:tc>
          <w:tcPr>
            <w:tcW w:w="1361" w:type="dxa"/>
            <w:shd w:val="clear" w:color="auto" w:fill="auto"/>
            <w:vAlign w:val="center"/>
          </w:tcPr>
          <w:p w14:paraId="1907B994">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施工方案</w:t>
            </w:r>
          </w:p>
        </w:tc>
        <w:tc>
          <w:tcPr>
            <w:tcW w:w="6514" w:type="dxa"/>
            <w:shd w:val="clear" w:color="auto" w:fill="auto"/>
            <w:vAlign w:val="center"/>
          </w:tcPr>
          <w:p w14:paraId="127F08EF">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根据方案内容全面、方案科学、有针对性，合理性打分：</w:t>
            </w:r>
          </w:p>
          <w:p w14:paraId="58672E24">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施工方案内容全面、方案科学、针对性强：7分；</w:t>
            </w:r>
          </w:p>
          <w:p w14:paraId="096210F2">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施工方案内容全面、方案科学、针对性较强：5分；</w:t>
            </w:r>
          </w:p>
          <w:p w14:paraId="1230BCAE">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 xml:space="preserve">施工方案内容基本全面、方案科学、针对性一般：3分； </w:t>
            </w:r>
          </w:p>
          <w:p w14:paraId="72C30B7E">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施工方案内容不科学、不合理、无针对性：1分；</w:t>
            </w:r>
          </w:p>
          <w:p w14:paraId="3F9CC806">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未提供0分</w:t>
            </w:r>
          </w:p>
        </w:tc>
      </w:tr>
      <w:tr w14:paraId="764B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650DC550">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5C5770E4">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7</w:t>
            </w:r>
          </w:p>
        </w:tc>
        <w:tc>
          <w:tcPr>
            <w:tcW w:w="1361" w:type="dxa"/>
            <w:shd w:val="clear" w:color="auto" w:fill="auto"/>
            <w:vAlign w:val="center"/>
          </w:tcPr>
          <w:p w14:paraId="2192CB13">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技术措施</w:t>
            </w:r>
          </w:p>
        </w:tc>
        <w:tc>
          <w:tcPr>
            <w:tcW w:w="6514" w:type="dxa"/>
            <w:shd w:val="clear" w:color="auto" w:fill="auto"/>
            <w:vAlign w:val="center"/>
          </w:tcPr>
          <w:p w14:paraId="4D5DCF84">
            <w:pPr>
              <w:widowControl/>
              <w:spacing w:line="276" w:lineRule="auto"/>
              <w:jc w:val="left"/>
              <w:rPr>
                <w:rFonts w:hint="eastAsia" w:ascii="宋体" w:hAnsi="宋体" w:cstheme="minorEastAsia"/>
                <w:color w:val="auto"/>
                <w:sz w:val="24"/>
                <w:highlight w:val="none"/>
              </w:rPr>
            </w:pPr>
            <w:r>
              <w:rPr>
                <w:rFonts w:hint="eastAsia" w:ascii="宋体" w:hAnsi="宋体" w:cstheme="minorEastAsia"/>
                <w:color w:val="auto"/>
                <w:sz w:val="24"/>
                <w:highlight w:val="none"/>
              </w:rPr>
              <w:t>技术措施内容全面、方案科学、有针对性，合理性打分：</w:t>
            </w:r>
          </w:p>
          <w:p w14:paraId="17854F21">
            <w:pPr>
              <w:widowControl/>
              <w:spacing w:line="276" w:lineRule="auto"/>
              <w:jc w:val="left"/>
              <w:rPr>
                <w:rFonts w:hint="eastAsia" w:ascii="宋体" w:hAnsi="宋体" w:cstheme="minorEastAsia"/>
                <w:color w:val="auto"/>
                <w:sz w:val="24"/>
                <w:highlight w:val="none"/>
              </w:rPr>
            </w:pPr>
            <w:r>
              <w:rPr>
                <w:rFonts w:hint="eastAsia" w:ascii="宋体" w:hAnsi="宋体" w:cstheme="minorEastAsia"/>
                <w:color w:val="auto"/>
                <w:sz w:val="24"/>
                <w:highlight w:val="none"/>
              </w:rPr>
              <w:t>技术措施内容全面、方案科学、针对性强：7分；</w:t>
            </w:r>
          </w:p>
          <w:p w14:paraId="70395371">
            <w:pPr>
              <w:widowControl/>
              <w:spacing w:line="276" w:lineRule="auto"/>
              <w:jc w:val="left"/>
              <w:rPr>
                <w:rFonts w:hint="eastAsia" w:ascii="宋体" w:hAnsi="宋体" w:cstheme="minorEastAsia"/>
                <w:color w:val="auto"/>
                <w:sz w:val="24"/>
                <w:highlight w:val="none"/>
              </w:rPr>
            </w:pPr>
            <w:r>
              <w:rPr>
                <w:rFonts w:hint="eastAsia" w:ascii="宋体" w:hAnsi="宋体" w:cstheme="minorEastAsia"/>
                <w:color w:val="auto"/>
                <w:sz w:val="24"/>
                <w:highlight w:val="none"/>
              </w:rPr>
              <w:t>技术措施内容全面、方案科学、针对性较强：5分；</w:t>
            </w:r>
          </w:p>
          <w:p w14:paraId="62430791">
            <w:pPr>
              <w:widowControl/>
              <w:spacing w:line="276" w:lineRule="auto"/>
              <w:jc w:val="left"/>
              <w:rPr>
                <w:rFonts w:hint="eastAsia" w:ascii="宋体" w:hAnsi="宋体" w:cstheme="minorEastAsia"/>
                <w:color w:val="auto"/>
                <w:sz w:val="24"/>
                <w:highlight w:val="none"/>
              </w:rPr>
            </w:pPr>
            <w:r>
              <w:rPr>
                <w:rFonts w:hint="eastAsia" w:ascii="宋体" w:hAnsi="宋体" w:cstheme="minorEastAsia"/>
                <w:color w:val="auto"/>
                <w:sz w:val="24"/>
                <w:highlight w:val="none"/>
              </w:rPr>
              <w:t>技术措施内容基本全面、方案科学、针对性一般：3分；</w:t>
            </w:r>
          </w:p>
          <w:p w14:paraId="408626B5">
            <w:pPr>
              <w:widowControl/>
              <w:spacing w:line="276" w:lineRule="auto"/>
              <w:jc w:val="left"/>
              <w:rPr>
                <w:rFonts w:hint="eastAsia" w:ascii="宋体" w:hAnsi="宋体" w:cstheme="minorEastAsia"/>
                <w:color w:val="auto"/>
                <w:sz w:val="24"/>
                <w:highlight w:val="none"/>
              </w:rPr>
            </w:pPr>
            <w:r>
              <w:rPr>
                <w:rFonts w:hint="eastAsia" w:ascii="宋体" w:hAnsi="宋体" w:cstheme="minorEastAsia"/>
                <w:color w:val="auto"/>
                <w:sz w:val="24"/>
                <w:highlight w:val="none"/>
              </w:rPr>
              <w:t>技术措施内容不科学、不合理、无针对性：1分；</w:t>
            </w:r>
          </w:p>
          <w:p w14:paraId="7587D035">
            <w:pPr>
              <w:widowControl/>
              <w:spacing w:line="276" w:lineRule="auto"/>
              <w:jc w:val="left"/>
              <w:rPr>
                <w:rFonts w:hint="eastAsia" w:ascii="宋体" w:hAnsi="宋体" w:cstheme="minorEastAsia"/>
                <w:color w:val="auto"/>
                <w:sz w:val="24"/>
                <w:highlight w:val="none"/>
              </w:rPr>
            </w:pPr>
            <w:r>
              <w:rPr>
                <w:rFonts w:hint="eastAsia" w:ascii="宋体" w:hAnsi="宋体" w:cstheme="minorEastAsia"/>
                <w:color w:val="auto"/>
                <w:sz w:val="24"/>
                <w:highlight w:val="none"/>
              </w:rPr>
              <w:t>未提供0分.</w:t>
            </w:r>
          </w:p>
        </w:tc>
      </w:tr>
      <w:tr w14:paraId="1D86F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47D50CB8">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5355C8D5">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7</w:t>
            </w:r>
          </w:p>
        </w:tc>
        <w:tc>
          <w:tcPr>
            <w:tcW w:w="1361" w:type="dxa"/>
            <w:shd w:val="clear" w:color="auto" w:fill="auto"/>
            <w:vAlign w:val="center"/>
          </w:tcPr>
          <w:p w14:paraId="1D0672FD">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质量保证措施</w:t>
            </w:r>
          </w:p>
        </w:tc>
        <w:tc>
          <w:tcPr>
            <w:tcW w:w="6514" w:type="dxa"/>
            <w:shd w:val="clear" w:color="auto" w:fill="auto"/>
            <w:vAlign w:val="center"/>
          </w:tcPr>
          <w:p w14:paraId="3EF34697">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质量保证措施内容全面、方案科学、有针对性，合理性打分：</w:t>
            </w:r>
          </w:p>
          <w:p w14:paraId="1B76250F">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质量保证措施内容全面、方案科学、针对性强：7分；</w:t>
            </w:r>
          </w:p>
          <w:p w14:paraId="1E787F6D">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质量保证措施内容全面、方案科学、针对性较强：5分；</w:t>
            </w:r>
          </w:p>
          <w:p w14:paraId="0FBD3D4F">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质量保证措施内容基本全面、方案科学、针对性一般：3分；</w:t>
            </w:r>
          </w:p>
          <w:p w14:paraId="69E5C8D4">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质量保证措施内容不科学、不合理、无针对性：1分；</w:t>
            </w:r>
          </w:p>
          <w:p w14:paraId="2F5651A5">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未提供0分.</w:t>
            </w:r>
          </w:p>
        </w:tc>
      </w:tr>
      <w:tr w14:paraId="1CAF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5EE26E14">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2FA5D314">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7</w:t>
            </w:r>
          </w:p>
        </w:tc>
        <w:tc>
          <w:tcPr>
            <w:tcW w:w="1361" w:type="dxa"/>
            <w:shd w:val="clear" w:color="auto" w:fill="auto"/>
            <w:vAlign w:val="center"/>
          </w:tcPr>
          <w:p w14:paraId="079F69A1">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安全生产、文明施工措施</w:t>
            </w:r>
          </w:p>
          <w:p w14:paraId="09A40448">
            <w:pPr>
              <w:spacing w:after="14" w:line="276" w:lineRule="auto"/>
              <w:ind w:right="27"/>
              <w:jc w:val="center"/>
              <w:rPr>
                <w:rFonts w:hint="eastAsia" w:ascii="宋体" w:hAnsi="宋体" w:cstheme="minorEastAsia"/>
                <w:color w:val="auto"/>
                <w:sz w:val="24"/>
                <w:highlight w:val="none"/>
              </w:rPr>
            </w:pPr>
          </w:p>
        </w:tc>
        <w:tc>
          <w:tcPr>
            <w:tcW w:w="6514" w:type="dxa"/>
            <w:shd w:val="clear" w:color="auto" w:fill="auto"/>
            <w:vAlign w:val="center"/>
          </w:tcPr>
          <w:p w14:paraId="7E7A7373">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安全生产、文明施工措施内容全面、方案科学、有针对性，合理性打分：</w:t>
            </w:r>
          </w:p>
          <w:p w14:paraId="7444F9DF">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安全生产、文明施工措施内容全面、方案科学、针对性强：7分；</w:t>
            </w:r>
          </w:p>
          <w:p w14:paraId="1532D74D">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安全生产、文明施工措施内容全面、方案科学、针对性较强：5分；</w:t>
            </w:r>
          </w:p>
          <w:p w14:paraId="5A7A5F0A">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安全生产、文明施工措施内容基本全面、方案科学、针对性一般：3分；</w:t>
            </w:r>
          </w:p>
          <w:p w14:paraId="239CFA12">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安全生产、文明施工措施内容不科学、不合理、无针对性：1分；</w:t>
            </w:r>
          </w:p>
          <w:p w14:paraId="58324C8B">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未提供0分.</w:t>
            </w:r>
          </w:p>
        </w:tc>
      </w:tr>
      <w:tr w14:paraId="4BF3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0EF6D20F">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2DE54B3D">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7</w:t>
            </w:r>
          </w:p>
        </w:tc>
        <w:tc>
          <w:tcPr>
            <w:tcW w:w="1361" w:type="dxa"/>
            <w:shd w:val="clear" w:color="auto" w:fill="auto"/>
            <w:vAlign w:val="center"/>
          </w:tcPr>
          <w:p w14:paraId="50842911">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进度计划及保证措施</w:t>
            </w:r>
          </w:p>
          <w:p w14:paraId="79285D12">
            <w:pPr>
              <w:spacing w:after="14" w:line="276" w:lineRule="auto"/>
              <w:ind w:right="27"/>
              <w:jc w:val="center"/>
              <w:rPr>
                <w:rFonts w:hint="eastAsia" w:ascii="宋体" w:hAnsi="宋体" w:cstheme="minorEastAsia"/>
                <w:color w:val="auto"/>
                <w:sz w:val="24"/>
                <w:highlight w:val="none"/>
              </w:rPr>
            </w:pPr>
          </w:p>
        </w:tc>
        <w:tc>
          <w:tcPr>
            <w:tcW w:w="6514" w:type="dxa"/>
            <w:shd w:val="clear" w:color="auto" w:fill="auto"/>
            <w:vAlign w:val="center"/>
          </w:tcPr>
          <w:p w14:paraId="75BB94C1">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进度计划及保证措施内容全面、方案科学、有针对性，合理性打分：</w:t>
            </w:r>
          </w:p>
          <w:p w14:paraId="1C876AF6">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进度计划及保证措施内容全面、方案科学、针对性强：7分；</w:t>
            </w:r>
          </w:p>
          <w:p w14:paraId="121F16BE">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进度计划及保证措施内容全面、方案科学、针对性较强：5分；</w:t>
            </w:r>
          </w:p>
          <w:p w14:paraId="4DB8336A">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进度计划及保证措施内容基本全面、方案科学、针对性一般：3分；</w:t>
            </w:r>
          </w:p>
          <w:p w14:paraId="2E9952C9">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进度计划及保证措施内容不科学、不合理、无针对性：1分；</w:t>
            </w:r>
          </w:p>
          <w:p w14:paraId="4B09A45D">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未提供0分.</w:t>
            </w:r>
          </w:p>
        </w:tc>
      </w:tr>
      <w:tr w14:paraId="0E21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518C9E1C">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1A9A6760">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7</w:t>
            </w:r>
          </w:p>
        </w:tc>
        <w:tc>
          <w:tcPr>
            <w:tcW w:w="1361" w:type="dxa"/>
            <w:shd w:val="clear" w:color="auto" w:fill="auto"/>
            <w:vAlign w:val="center"/>
          </w:tcPr>
          <w:p w14:paraId="307C8121">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 xml:space="preserve">紧急情况 </w:t>
            </w:r>
          </w:p>
          <w:p w14:paraId="33728BC2">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 xml:space="preserve">的处理措 </w:t>
            </w:r>
          </w:p>
          <w:p w14:paraId="4C6850DE">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 xml:space="preserve">施、预案 </w:t>
            </w:r>
          </w:p>
          <w:p w14:paraId="58F321C0">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 xml:space="preserve">以及安全 </w:t>
            </w:r>
          </w:p>
          <w:p w14:paraId="02629912">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 xml:space="preserve">管理的措 </w:t>
            </w:r>
          </w:p>
          <w:p w14:paraId="1B97049C">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施</w:t>
            </w:r>
          </w:p>
        </w:tc>
        <w:tc>
          <w:tcPr>
            <w:tcW w:w="6514" w:type="dxa"/>
            <w:shd w:val="clear" w:color="auto" w:fill="auto"/>
            <w:vAlign w:val="center"/>
          </w:tcPr>
          <w:p w14:paraId="0B988994">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紧急情况的处理措施、预案以及安全管理的措施科学、可行、针对性强：7分；</w:t>
            </w:r>
          </w:p>
          <w:p w14:paraId="75E2A005">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紧急情况的处理措施、预案以及安全管理的措施较合理、较可行、细节待完善：5分；</w:t>
            </w:r>
          </w:p>
          <w:p w14:paraId="1221D4EF">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紧急情况的处理措施、预案以及安全管理的措施欠合理，基本可行，基本满足工程需要：3分；</w:t>
            </w:r>
          </w:p>
          <w:p w14:paraId="36F284B4">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紧急情况的处理措施、预案以及安全管理的措施不满足工程需要：1分；</w:t>
            </w:r>
          </w:p>
          <w:p w14:paraId="10D9C9DB">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未提供0分。</w:t>
            </w:r>
          </w:p>
        </w:tc>
      </w:tr>
      <w:tr w14:paraId="0007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388E035F">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3B242EDA">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7</w:t>
            </w:r>
          </w:p>
        </w:tc>
        <w:tc>
          <w:tcPr>
            <w:tcW w:w="1361" w:type="dxa"/>
            <w:shd w:val="clear" w:color="auto" w:fill="auto"/>
            <w:vAlign w:val="center"/>
          </w:tcPr>
          <w:p w14:paraId="762624C7">
            <w:pPr>
              <w:spacing w:after="14" w:line="276" w:lineRule="auto"/>
              <w:ind w:right="27"/>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 xml:space="preserve">拟投入本项目施工设备、人员及劳动力配置 </w:t>
            </w:r>
          </w:p>
        </w:tc>
        <w:tc>
          <w:tcPr>
            <w:tcW w:w="6514" w:type="dxa"/>
            <w:shd w:val="clear" w:color="auto" w:fill="auto"/>
            <w:vAlign w:val="center"/>
          </w:tcPr>
          <w:p w14:paraId="305DE05A">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本项目施工设备、人员及劳动力配置计划方案合理：</w:t>
            </w:r>
          </w:p>
          <w:p w14:paraId="1C74B27E">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施工设备、人员及劳动力配置计划方案全面、针对性强：7分；</w:t>
            </w:r>
          </w:p>
          <w:p w14:paraId="43F03E6D">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施工设备、人员及劳动力配置计划方案较全面科学、针对性较强：5分；</w:t>
            </w:r>
          </w:p>
          <w:p w14:paraId="7297AD57">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施工设备、人员及劳动力配置计划方案基本合理、针对性一般：3分；</w:t>
            </w:r>
          </w:p>
          <w:p w14:paraId="3FE1E954">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施工设备、人员及劳动力配置计划方案不科学、不合理、无针对性：1分；</w:t>
            </w:r>
          </w:p>
          <w:p w14:paraId="58C105C5">
            <w:pPr>
              <w:pStyle w:val="248"/>
              <w:spacing w:before="0" w:after="0" w:line="276" w:lineRule="auto"/>
              <w:jc w:val="left"/>
              <w:rPr>
                <w:rFonts w:hint="eastAsia" w:ascii="宋体" w:hAnsi="宋体" w:eastAsia="宋体" w:cstheme="minorEastAsia"/>
                <w:b w:val="0"/>
                <w:color w:val="auto"/>
                <w:szCs w:val="24"/>
                <w:highlight w:val="none"/>
              </w:rPr>
            </w:pPr>
            <w:r>
              <w:rPr>
                <w:rFonts w:hint="eastAsia" w:ascii="宋体" w:hAnsi="宋体" w:eastAsia="宋体" w:cstheme="minorEastAsia"/>
                <w:b w:val="0"/>
                <w:color w:val="auto"/>
                <w:szCs w:val="24"/>
                <w:highlight w:val="none"/>
              </w:rPr>
              <w:t>未提供0分.</w:t>
            </w:r>
          </w:p>
        </w:tc>
      </w:tr>
      <w:tr w14:paraId="3663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restart"/>
            <w:shd w:val="clear" w:color="auto" w:fill="auto"/>
            <w:vAlign w:val="center"/>
          </w:tcPr>
          <w:p w14:paraId="26B5994D">
            <w:pPr>
              <w:spacing w:line="276" w:lineRule="auto"/>
              <w:ind w:firstLine="28"/>
              <w:jc w:val="center"/>
              <w:rPr>
                <w:rFonts w:hint="eastAsia" w:ascii="宋体" w:hAnsi="宋体" w:cstheme="minorEastAsia"/>
                <w:b/>
                <w:bCs/>
                <w:color w:val="auto"/>
                <w:sz w:val="24"/>
                <w:highlight w:val="none"/>
              </w:rPr>
            </w:pPr>
            <w:r>
              <w:rPr>
                <w:rFonts w:hint="eastAsia" w:ascii="宋体" w:hAnsi="宋体" w:cstheme="minorEastAsia"/>
                <w:b/>
                <w:bCs/>
                <w:color w:val="auto"/>
                <w:sz w:val="24"/>
                <w:highlight w:val="none"/>
              </w:rPr>
              <w:t>政策性得分</w:t>
            </w:r>
          </w:p>
        </w:tc>
        <w:tc>
          <w:tcPr>
            <w:tcW w:w="500" w:type="dxa"/>
            <w:shd w:val="clear" w:color="auto" w:fill="auto"/>
            <w:vAlign w:val="center"/>
          </w:tcPr>
          <w:p w14:paraId="403068B0">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1</w:t>
            </w:r>
          </w:p>
        </w:tc>
        <w:tc>
          <w:tcPr>
            <w:tcW w:w="1361" w:type="dxa"/>
            <w:shd w:val="clear" w:color="auto" w:fill="auto"/>
            <w:vAlign w:val="center"/>
          </w:tcPr>
          <w:p w14:paraId="703DED3A">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环境标志产品</w:t>
            </w:r>
          </w:p>
        </w:tc>
        <w:tc>
          <w:tcPr>
            <w:tcW w:w="6514" w:type="dxa"/>
            <w:shd w:val="clear" w:color="auto" w:fill="auto"/>
            <w:vAlign w:val="center"/>
          </w:tcPr>
          <w:p w14:paraId="3BD3A923">
            <w:pPr>
              <w:spacing w:line="276" w:lineRule="auto"/>
              <w:ind w:left="-38"/>
              <w:rPr>
                <w:rFonts w:hint="eastAsia" w:ascii="宋体" w:hAnsi="宋体" w:cstheme="minorEastAsia"/>
                <w:color w:val="auto"/>
                <w:sz w:val="24"/>
                <w:highlight w:val="none"/>
              </w:rPr>
            </w:pPr>
            <w:r>
              <w:rPr>
                <w:rFonts w:hint="eastAsia" w:ascii="宋体" w:hAnsi="宋体" w:cstheme="minorEastAsia"/>
                <w:color w:val="auto"/>
                <w:sz w:val="24"/>
                <w:highlight w:val="none"/>
              </w:rPr>
              <w:t>供应商所投货物列入财政部、生态环境部发布的“环境标志产品政府采购品目清单”，具有中国环境标志产品认证证书（有效期内），每有一类货物得0.5分，最高得1分（供应商提供相关证明材料）。</w:t>
            </w:r>
          </w:p>
          <w:p w14:paraId="5E9546BC">
            <w:pPr>
              <w:spacing w:line="276" w:lineRule="auto"/>
              <w:ind w:left="-38"/>
              <w:rPr>
                <w:rFonts w:hint="eastAsia" w:ascii="宋体" w:hAnsi="宋体" w:cstheme="minorEastAsia"/>
                <w:color w:val="auto"/>
                <w:sz w:val="24"/>
                <w:highlight w:val="none"/>
              </w:rPr>
            </w:pPr>
          </w:p>
        </w:tc>
      </w:tr>
      <w:tr w14:paraId="676F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7723375E">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1D100331">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1</w:t>
            </w:r>
          </w:p>
        </w:tc>
        <w:tc>
          <w:tcPr>
            <w:tcW w:w="1361" w:type="dxa"/>
            <w:shd w:val="clear" w:color="auto" w:fill="auto"/>
            <w:vAlign w:val="center"/>
          </w:tcPr>
          <w:p w14:paraId="0A5733F7">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节能产品</w:t>
            </w:r>
          </w:p>
        </w:tc>
        <w:tc>
          <w:tcPr>
            <w:tcW w:w="6514" w:type="dxa"/>
            <w:shd w:val="clear" w:color="auto" w:fill="auto"/>
            <w:vAlign w:val="center"/>
          </w:tcPr>
          <w:p w14:paraId="50B4798F">
            <w:pPr>
              <w:spacing w:line="276" w:lineRule="auto"/>
              <w:ind w:left="-38"/>
              <w:rPr>
                <w:rFonts w:hint="eastAsia" w:ascii="宋体" w:hAnsi="宋体" w:cstheme="minorEastAsia"/>
                <w:color w:val="auto"/>
                <w:sz w:val="24"/>
                <w:highlight w:val="none"/>
              </w:rPr>
            </w:pPr>
            <w:r>
              <w:rPr>
                <w:rFonts w:hint="eastAsia" w:ascii="宋体" w:hAnsi="宋体" w:cstheme="minorEastAsia"/>
                <w:color w:val="auto"/>
                <w:sz w:val="24"/>
                <w:highlight w:val="none"/>
              </w:rPr>
              <w:t>供应商所投货物列入财政部、发展改革委发布的“节能产品政府采购品目清单”，且认证证书在有效截止日期内，每有一类货物得0.5分，最高得1分（供应商提供相关证明材料）。</w:t>
            </w:r>
          </w:p>
          <w:p w14:paraId="4E7130F1">
            <w:pPr>
              <w:spacing w:line="276" w:lineRule="auto"/>
              <w:ind w:left="-38"/>
              <w:rPr>
                <w:rFonts w:hint="eastAsia" w:ascii="宋体" w:hAnsi="宋体" w:cstheme="minorEastAsia"/>
                <w:color w:val="auto"/>
                <w:sz w:val="24"/>
                <w:highlight w:val="none"/>
              </w:rPr>
            </w:pPr>
            <w:r>
              <w:rPr>
                <w:rFonts w:hint="eastAsia" w:ascii="宋体" w:hAnsi="宋体" w:cstheme="minorEastAsia"/>
                <w:color w:val="auto"/>
                <w:sz w:val="24"/>
                <w:highlight w:val="none"/>
              </w:rPr>
              <w:t>属于政府采购强制节能的产品除外。</w:t>
            </w:r>
          </w:p>
        </w:tc>
      </w:tr>
      <w:tr w14:paraId="6336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3" w:type="dxa"/>
            <w:vMerge w:val="continue"/>
            <w:shd w:val="clear" w:color="auto" w:fill="auto"/>
            <w:vAlign w:val="center"/>
          </w:tcPr>
          <w:p w14:paraId="5ABA2C32">
            <w:pPr>
              <w:spacing w:line="276" w:lineRule="auto"/>
              <w:ind w:firstLine="28"/>
              <w:jc w:val="center"/>
              <w:rPr>
                <w:rFonts w:hint="eastAsia" w:ascii="宋体" w:hAnsi="宋体" w:cstheme="minorEastAsia"/>
                <w:b/>
                <w:bCs/>
                <w:color w:val="auto"/>
                <w:sz w:val="24"/>
                <w:highlight w:val="none"/>
              </w:rPr>
            </w:pPr>
          </w:p>
        </w:tc>
        <w:tc>
          <w:tcPr>
            <w:tcW w:w="500" w:type="dxa"/>
            <w:shd w:val="clear" w:color="auto" w:fill="auto"/>
            <w:vAlign w:val="center"/>
          </w:tcPr>
          <w:p w14:paraId="333E5D25">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1</w:t>
            </w:r>
          </w:p>
        </w:tc>
        <w:tc>
          <w:tcPr>
            <w:tcW w:w="1361" w:type="dxa"/>
            <w:shd w:val="clear" w:color="auto" w:fill="auto"/>
            <w:vAlign w:val="center"/>
          </w:tcPr>
          <w:p w14:paraId="7A882C41">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低挥发性有机化合物含量涂料产品</w:t>
            </w:r>
          </w:p>
        </w:tc>
        <w:tc>
          <w:tcPr>
            <w:tcW w:w="6514" w:type="dxa"/>
            <w:shd w:val="clear" w:color="auto" w:fill="auto"/>
            <w:vAlign w:val="center"/>
          </w:tcPr>
          <w:p w14:paraId="5516B552">
            <w:pPr>
              <w:spacing w:line="276" w:lineRule="auto"/>
              <w:ind w:left="-38"/>
              <w:rPr>
                <w:rFonts w:hint="eastAsia" w:ascii="宋体" w:hAnsi="宋体" w:cstheme="minorEastAsia"/>
                <w:color w:val="auto"/>
                <w:sz w:val="24"/>
                <w:highlight w:val="none"/>
              </w:rPr>
            </w:pPr>
            <w:r>
              <w:rPr>
                <w:rFonts w:hint="eastAsia" w:ascii="宋体" w:hAnsi="宋体" w:cstheme="minorEastAsia"/>
                <w:color w:val="auto"/>
                <w:sz w:val="24"/>
                <w:highlight w:val="none"/>
              </w:rPr>
              <w:t>依据《北京市财政局北京市生态环境局关于政府采购推广使用低挥发性有机化合物(VOC:)有关事项的通知》(京财采购(2020)2381号)要求，本项目中涉及的产品属于推荐性标准的，供应商提供符合北京市和国家的WOCs含量限值标准的承诺书并加盖供应商公章，得1分；否则不得分。</w:t>
            </w:r>
          </w:p>
        </w:tc>
      </w:tr>
      <w:tr w14:paraId="7D90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53" w:type="dxa"/>
            <w:gridSpan w:val="2"/>
            <w:shd w:val="clear" w:color="auto" w:fill="auto"/>
            <w:vAlign w:val="center"/>
          </w:tcPr>
          <w:p w14:paraId="1B07D885">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合计</w:t>
            </w:r>
          </w:p>
        </w:tc>
        <w:tc>
          <w:tcPr>
            <w:tcW w:w="1361" w:type="dxa"/>
            <w:shd w:val="clear" w:color="auto" w:fill="auto"/>
            <w:vAlign w:val="center"/>
          </w:tcPr>
          <w:p w14:paraId="170A1DB1">
            <w:pPr>
              <w:spacing w:line="276" w:lineRule="auto"/>
              <w:ind w:firstLine="28"/>
              <w:jc w:val="center"/>
              <w:rPr>
                <w:rFonts w:hint="eastAsia" w:ascii="宋体" w:hAnsi="宋体" w:cstheme="minorEastAsia"/>
                <w:color w:val="auto"/>
                <w:sz w:val="24"/>
                <w:highlight w:val="none"/>
              </w:rPr>
            </w:pPr>
            <w:r>
              <w:rPr>
                <w:rFonts w:hint="eastAsia" w:ascii="宋体" w:hAnsi="宋体" w:cstheme="minorEastAsia"/>
                <w:color w:val="auto"/>
                <w:sz w:val="24"/>
                <w:highlight w:val="none"/>
              </w:rPr>
              <w:t>100</w:t>
            </w:r>
          </w:p>
        </w:tc>
        <w:tc>
          <w:tcPr>
            <w:tcW w:w="6514" w:type="dxa"/>
            <w:shd w:val="clear" w:color="auto" w:fill="auto"/>
            <w:vAlign w:val="center"/>
          </w:tcPr>
          <w:p w14:paraId="7A21CBB1">
            <w:pPr>
              <w:spacing w:line="276" w:lineRule="auto"/>
              <w:rPr>
                <w:rFonts w:hint="eastAsia" w:ascii="宋体" w:hAnsi="宋体" w:cstheme="minorEastAsia"/>
                <w:color w:val="auto"/>
                <w:sz w:val="24"/>
                <w:highlight w:val="none"/>
              </w:rPr>
            </w:pPr>
          </w:p>
        </w:tc>
      </w:tr>
    </w:tbl>
    <w:p w14:paraId="21E0ECB1">
      <w:pPr>
        <w:tabs>
          <w:tab w:val="left" w:pos="360"/>
          <w:tab w:val="left" w:pos="1080"/>
        </w:tabs>
        <w:snapToGrid w:val="0"/>
        <w:spacing w:line="360" w:lineRule="auto"/>
        <w:ind w:left="1080"/>
        <w:rPr>
          <w:rFonts w:hint="eastAsia" w:ascii="宋体" w:hAnsi="宋体" w:cstheme="minorEastAsia"/>
          <w:color w:val="000000"/>
          <w:sz w:val="24"/>
          <w:highlight w:val="none"/>
        </w:rPr>
      </w:pPr>
    </w:p>
    <w:p w14:paraId="06C61A5C">
      <w:pPr>
        <w:widowControl/>
        <w:jc w:val="left"/>
        <w:rPr>
          <w:rFonts w:hint="eastAsia" w:ascii="宋体" w:hAnsi="宋体" w:cstheme="minorEastAsia"/>
          <w:b/>
          <w:sz w:val="36"/>
          <w:szCs w:val="36"/>
          <w:highlight w:val="none"/>
        </w:rPr>
      </w:pPr>
    </w:p>
    <w:p w14:paraId="2637E838">
      <w:pPr>
        <w:rPr>
          <w:rFonts w:hint="eastAsia" w:ascii="宋体" w:hAnsi="宋体" w:cstheme="minorEastAsia"/>
          <w:b/>
          <w:sz w:val="36"/>
          <w:szCs w:val="36"/>
          <w:highlight w:val="none"/>
        </w:rPr>
      </w:pPr>
      <w:bookmarkStart w:id="677" w:name="_Toc19149"/>
      <w:bookmarkStart w:id="678" w:name="_Toc20737"/>
      <w:r>
        <w:rPr>
          <w:rFonts w:hint="eastAsia" w:ascii="宋体" w:hAnsi="宋体" w:cstheme="minorEastAsia"/>
          <w:b/>
          <w:sz w:val="36"/>
          <w:szCs w:val="36"/>
          <w:highlight w:val="none"/>
        </w:rPr>
        <w:br w:type="page"/>
      </w:r>
    </w:p>
    <w:p w14:paraId="4B6A3484">
      <w:pPr>
        <w:spacing w:line="360" w:lineRule="auto"/>
        <w:jc w:val="center"/>
        <w:outlineLvl w:val="0"/>
        <w:rPr>
          <w:rFonts w:hint="eastAsia" w:ascii="宋体" w:hAnsi="宋体" w:cstheme="minorEastAsia"/>
          <w:b/>
          <w:sz w:val="36"/>
          <w:szCs w:val="36"/>
          <w:highlight w:val="none"/>
        </w:rPr>
      </w:pPr>
      <w:r>
        <w:rPr>
          <w:rFonts w:hint="eastAsia" w:ascii="宋体" w:hAnsi="宋体" w:cstheme="minorEastAsia"/>
          <w:b/>
          <w:sz w:val="36"/>
          <w:szCs w:val="36"/>
          <w:highlight w:val="none"/>
        </w:rPr>
        <w:t>第四章   采购需求</w:t>
      </w:r>
      <w:bookmarkEnd w:id="677"/>
      <w:bookmarkEnd w:id="678"/>
    </w:p>
    <w:p w14:paraId="41F76BB4">
      <w:pPr>
        <w:adjustRightInd w:val="0"/>
        <w:snapToGrid w:val="0"/>
        <w:spacing w:line="360" w:lineRule="auto"/>
        <w:ind w:firstLine="482" w:firstLineChars="200"/>
        <w:rPr>
          <w:rFonts w:hint="eastAsia" w:ascii="宋体" w:hAnsi="宋体"/>
          <w:b/>
          <w:sz w:val="24"/>
          <w:highlight w:val="none"/>
        </w:rPr>
      </w:pPr>
      <w:bookmarkStart w:id="679" w:name="_Toc3778"/>
      <w:bookmarkStart w:id="680" w:name="_Toc27824"/>
      <w:r>
        <w:rPr>
          <w:rFonts w:hint="eastAsia" w:ascii="宋体" w:hAnsi="宋体"/>
          <w:b/>
          <w:sz w:val="24"/>
          <w:highlight w:val="none"/>
        </w:rPr>
        <w:t>一、项目概况：</w:t>
      </w:r>
    </w:p>
    <w:p w14:paraId="1187826A">
      <w:pPr>
        <w:adjustRightInd w:val="0"/>
        <w:snapToGrid w:val="0"/>
        <w:spacing w:line="360" w:lineRule="auto"/>
        <w:ind w:firstLine="480" w:firstLineChars="200"/>
        <w:rPr>
          <w:rFonts w:hint="eastAsia" w:ascii="宋体" w:hAnsi="宋体"/>
          <w:sz w:val="24"/>
          <w:highlight w:val="none"/>
        </w:rPr>
      </w:pPr>
      <w:r>
        <w:rPr>
          <w:rFonts w:hint="eastAsia" w:ascii="宋体" w:hAnsi="宋体"/>
          <w:sz w:val="24"/>
          <w:highlight w:val="none"/>
        </w:rPr>
        <w:t>1.1项目名称：2026年校内分类发展-基建类-校本部屋面防水改造项目</w:t>
      </w:r>
    </w:p>
    <w:p w14:paraId="5DE35F04">
      <w:pPr>
        <w:adjustRightInd w:val="0"/>
        <w:snapToGrid w:val="0"/>
        <w:spacing w:line="360" w:lineRule="auto"/>
        <w:ind w:firstLine="480" w:firstLineChars="200"/>
        <w:rPr>
          <w:rFonts w:hint="eastAsia" w:ascii="宋体" w:hAnsi="宋体"/>
          <w:sz w:val="24"/>
          <w:highlight w:val="none"/>
        </w:rPr>
      </w:pPr>
      <w:r>
        <w:rPr>
          <w:rFonts w:hint="eastAsia" w:ascii="宋体" w:hAnsi="宋体"/>
          <w:sz w:val="24"/>
          <w:highlight w:val="none"/>
        </w:rPr>
        <w:t>1.2采购单位：北京财贸职业学院</w:t>
      </w:r>
    </w:p>
    <w:p w14:paraId="6837A372">
      <w:pPr>
        <w:adjustRightInd w:val="0"/>
        <w:snapToGrid w:val="0"/>
        <w:spacing w:line="360" w:lineRule="auto"/>
        <w:ind w:firstLine="480" w:firstLineChars="200"/>
        <w:rPr>
          <w:rFonts w:hint="eastAsia" w:ascii="宋体" w:hAnsi="宋体"/>
          <w:sz w:val="24"/>
          <w:highlight w:val="none"/>
        </w:rPr>
      </w:pPr>
      <w:r>
        <w:rPr>
          <w:rFonts w:hint="eastAsia" w:ascii="宋体" w:hAnsi="宋体"/>
          <w:sz w:val="24"/>
          <w:highlight w:val="none"/>
        </w:rPr>
        <w:t>1.3项目地点：北京市通州区北关大街8</w:t>
      </w:r>
      <w:r>
        <w:rPr>
          <w:rFonts w:ascii="宋体" w:hAnsi="宋体"/>
          <w:sz w:val="24"/>
          <w:highlight w:val="none"/>
        </w:rPr>
        <w:t>8</w:t>
      </w:r>
      <w:r>
        <w:rPr>
          <w:rFonts w:hint="eastAsia" w:ascii="宋体" w:hAnsi="宋体"/>
          <w:sz w:val="24"/>
          <w:highlight w:val="none"/>
        </w:rPr>
        <w:t>号</w:t>
      </w:r>
    </w:p>
    <w:p w14:paraId="2558B081">
      <w:pPr>
        <w:widowControl/>
        <w:adjustRightInd w:val="0"/>
        <w:snapToGrid w:val="0"/>
        <w:spacing w:line="360" w:lineRule="auto"/>
        <w:ind w:firstLine="480" w:firstLineChars="200"/>
        <w:jc w:val="left"/>
        <w:textAlignment w:val="center"/>
        <w:rPr>
          <w:rFonts w:hint="eastAsia" w:ascii="宋体" w:hAnsi="宋体"/>
          <w:sz w:val="24"/>
          <w:highlight w:val="none"/>
        </w:rPr>
      </w:pPr>
      <w:r>
        <w:rPr>
          <w:rFonts w:hint="eastAsia" w:ascii="宋体" w:hAnsi="宋体"/>
          <w:sz w:val="24"/>
          <w:highlight w:val="none"/>
        </w:rPr>
        <w:t>1.4本工程的招标范围</w:t>
      </w:r>
      <w:r>
        <w:rPr>
          <w:rFonts w:ascii="宋体" w:hAnsi="宋体"/>
          <w:sz w:val="24"/>
          <w:highlight w:val="none"/>
        </w:rPr>
        <w:t xml:space="preserve"> </w:t>
      </w:r>
      <w:r>
        <w:rPr>
          <w:rFonts w:hint="eastAsia" w:ascii="宋体" w:hAnsi="宋体"/>
          <w:sz w:val="24"/>
          <w:highlight w:val="none"/>
        </w:rPr>
        <w:t>：</w:t>
      </w:r>
    </w:p>
    <w:p w14:paraId="04D92E38">
      <w:pPr>
        <w:pStyle w:val="20"/>
        <w:adjustRightInd w:val="0"/>
        <w:snapToGrid w:val="0"/>
        <w:spacing w:line="360" w:lineRule="auto"/>
        <w:ind w:left="0" w:leftChars="0" w:firstLine="480" w:firstLineChars="200"/>
        <w:rPr>
          <w:rFonts w:hint="eastAsia" w:ascii="宋体" w:hAnsi="宋体"/>
          <w:sz w:val="24"/>
          <w:highlight w:val="none"/>
        </w:rPr>
      </w:pPr>
      <w:r>
        <w:rPr>
          <w:rFonts w:hint="eastAsia" w:ascii="宋体" w:hAnsi="宋体"/>
          <w:sz w:val="24"/>
          <w:highlight w:val="none"/>
        </w:rPr>
        <w:t>1、综合楼屋面-重做防水层、找平层、保温层及找坡层等。女儿墙防水重做，出屋面房间立墙、管道等泛水重做；</w:t>
      </w:r>
    </w:p>
    <w:p w14:paraId="54495FD7">
      <w:pPr>
        <w:pStyle w:val="20"/>
        <w:adjustRightInd w:val="0"/>
        <w:snapToGrid w:val="0"/>
        <w:spacing w:line="360" w:lineRule="auto"/>
        <w:ind w:left="0" w:leftChars="0" w:firstLine="480" w:firstLineChars="200"/>
        <w:rPr>
          <w:rFonts w:hint="eastAsia" w:ascii="宋体" w:hAnsi="宋体"/>
          <w:sz w:val="24"/>
          <w:highlight w:val="none"/>
        </w:rPr>
      </w:pPr>
      <w:r>
        <w:rPr>
          <w:rFonts w:hint="eastAsia" w:ascii="宋体" w:hAnsi="宋体"/>
          <w:sz w:val="24"/>
          <w:highlight w:val="none"/>
        </w:rPr>
        <w:t>2、运动场看台-新做聚脲防水面层，其他外墙涂料翻新；看台四周原金属护栏保留，新做金属氟碳漆；原有看台座椅拆除等；</w:t>
      </w:r>
    </w:p>
    <w:p w14:paraId="039A2FFD">
      <w:pPr>
        <w:pStyle w:val="20"/>
        <w:adjustRightInd w:val="0"/>
        <w:snapToGrid w:val="0"/>
        <w:spacing w:line="360" w:lineRule="auto"/>
        <w:ind w:left="0" w:leftChars="0" w:firstLine="480" w:firstLineChars="200"/>
        <w:rPr>
          <w:rFonts w:hint="eastAsia" w:ascii="宋体" w:hAnsi="宋体"/>
          <w:sz w:val="24"/>
          <w:highlight w:val="none"/>
        </w:rPr>
      </w:pPr>
      <w:r>
        <w:rPr>
          <w:rFonts w:hint="eastAsia" w:ascii="宋体" w:hAnsi="宋体"/>
          <w:sz w:val="24"/>
          <w:highlight w:val="none"/>
        </w:rPr>
        <w:t>3、国际教育交流厅屋面-原金属彩钢板屋面SBS防水卷材拆除新做，仅更换防水层；</w:t>
      </w:r>
    </w:p>
    <w:p w14:paraId="7A042B1D">
      <w:pPr>
        <w:pStyle w:val="20"/>
        <w:adjustRightInd w:val="0"/>
        <w:snapToGrid w:val="0"/>
        <w:spacing w:line="360" w:lineRule="auto"/>
        <w:ind w:left="0" w:leftChars="0" w:firstLine="480" w:firstLineChars="200"/>
        <w:rPr>
          <w:rFonts w:hint="eastAsia" w:ascii="宋体" w:hAnsi="宋体"/>
          <w:sz w:val="24"/>
          <w:highlight w:val="none"/>
        </w:rPr>
      </w:pPr>
      <w:r>
        <w:rPr>
          <w:rFonts w:hint="eastAsia" w:ascii="宋体" w:hAnsi="宋体"/>
          <w:sz w:val="24"/>
          <w:highlight w:val="none"/>
        </w:rPr>
        <w:t>4.教学楼南门厅防水维修改造等。</w:t>
      </w:r>
    </w:p>
    <w:p w14:paraId="7146353F">
      <w:pPr>
        <w:pStyle w:val="20"/>
        <w:adjustRightInd w:val="0"/>
        <w:snapToGrid w:val="0"/>
        <w:spacing w:line="360" w:lineRule="auto"/>
        <w:ind w:left="0" w:leftChars="0" w:firstLine="480" w:firstLineChars="200"/>
        <w:rPr>
          <w:rFonts w:hint="eastAsia" w:ascii="宋体" w:hAnsi="宋体"/>
          <w:sz w:val="24"/>
          <w:highlight w:val="none"/>
        </w:rPr>
      </w:pPr>
      <w:r>
        <w:rPr>
          <w:rFonts w:hint="eastAsia" w:ascii="宋体" w:hAnsi="宋体"/>
          <w:sz w:val="24"/>
          <w:highlight w:val="none"/>
        </w:rPr>
        <w:t>具体工程内容详见最终图纸及清单。</w:t>
      </w:r>
    </w:p>
    <w:p w14:paraId="6EC8B53C">
      <w:pPr>
        <w:pStyle w:val="20"/>
        <w:adjustRightInd w:val="0"/>
        <w:snapToGrid w:val="0"/>
        <w:spacing w:line="360" w:lineRule="auto"/>
        <w:ind w:left="48" w:leftChars="23" w:firstLine="480" w:firstLineChars="200"/>
        <w:rPr>
          <w:rFonts w:hint="eastAsia" w:ascii="宋体" w:hAnsi="宋体"/>
          <w:b/>
          <w:bCs/>
          <w:sz w:val="24"/>
          <w:highlight w:val="none"/>
        </w:rPr>
      </w:pPr>
      <w:r>
        <w:rPr>
          <w:rFonts w:hint="eastAsia" w:ascii="宋体" w:hAnsi="宋体"/>
          <w:sz w:val="24"/>
          <w:highlight w:val="none"/>
        </w:rPr>
        <w:t>1.5</w:t>
      </w:r>
      <w:r>
        <w:rPr>
          <w:rFonts w:hint="eastAsia" w:ascii="宋体" w:hAnsi="宋体"/>
          <w:b/>
          <w:sz w:val="24"/>
          <w:highlight w:val="none"/>
        </w:rPr>
        <w:t>★</w:t>
      </w:r>
      <w:r>
        <w:rPr>
          <w:rFonts w:hint="eastAsia" w:ascii="宋体" w:hAnsi="宋体"/>
          <w:sz w:val="24"/>
          <w:highlight w:val="none"/>
        </w:rPr>
        <w:t>本工程费用预算：</w:t>
      </w:r>
      <w:r>
        <w:rPr>
          <w:rFonts w:hint="eastAsia" w:ascii="宋体" w:hAnsi="宋体"/>
          <w:b/>
          <w:bCs/>
          <w:sz w:val="24"/>
          <w:highlight w:val="none"/>
        </w:rPr>
        <w:t>不超过192.972132万元【其中暂列金17万元（含税）】</w:t>
      </w:r>
    </w:p>
    <w:p w14:paraId="62D8260D">
      <w:pPr>
        <w:pStyle w:val="20"/>
        <w:adjustRightInd w:val="0"/>
        <w:snapToGrid w:val="0"/>
        <w:spacing w:line="360" w:lineRule="auto"/>
        <w:ind w:left="46" w:leftChars="22" w:firstLine="480" w:firstLineChars="200"/>
        <w:rPr>
          <w:rFonts w:hint="eastAsia" w:ascii="宋体" w:hAnsi="宋体"/>
          <w:sz w:val="24"/>
          <w:highlight w:val="none"/>
        </w:rPr>
      </w:pPr>
      <w:r>
        <w:rPr>
          <w:rFonts w:hint="eastAsia" w:ascii="宋体" w:hAnsi="宋体"/>
          <w:sz w:val="24"/>
          <w:highlight w:val="none"/>
        </w:rPr>
        <w:t>1.6计划工期</w:t>
      </w:r>
      <w:r>
        <w:rPr>
          <w:rFonts w:hint="eastAsia" w:ascii="宋体" w:hAnsi="宋体"/>
          <w:sz w:val="24"/>
          <w:highlight w:val="none"/>
          <w:u w:val="single"/>
        </w:rPr>
        <w:t>47</w:t>
      </w:r>
      <w:r>
        <w:rPr>
          <w:rFonts w:hint="eastAsia" w:ascii="宋体" w:hAnsi="宋体"/>
          <w:sz w:val="24"/>
          <w:highlight w:val="none"/>
        </w:rPr>
        <w:t>个日历天</w:t>
      </w:r>
    </w:p>
    <w:p w14:paraId="6E1104A2">
      <w:pPr>
        <w:pStyle w:val="20"/>
        <w:adjustRightInd w:val="0"/>
        <w:snapToGrid w:val="0"/>
        <w:spacing w:line="360" w:lineRule="auto"/>
        <w:ind w:left="46" w:leftChars="22" w:firstLine="480" w:firstLineChars="200"/>
        <w:rPr>
          <w:rFonts w:hint="eastAsia" w:ascii="宋体" w:hAnsi="宋体"/>
          <w:sz w:val="24"/>
          <w:highlight w:val="none"/>
        </w:rPr>
      </w:pPr>
      <w:r>
        <w:rPr>
          <w:rFonts w:hint="eastAsia" w:ascii="宋体" w:hAnsi="宋体"/>
          <w:sz w:val="24"/>
          <w:highlight w:val="none"/>
        </w:rPr>
        <w:t>1.7工程量清单详见附件</w:t>
      </w:r>
    </w:p>
    <w:p w14:paraId="4A3506D4">
      <w:pPr>
        <w:pStyle w:val="20"/>
        <w:adjustRightInd w:val="0"/>
        <w:snapToGrid w:val="0"/>
        <w:spacing w:line="360" w:lineRule="auto"/>
        <w:ind w:left="46" w:leftChars="22" w:firstLine="480" w:firstLineChars="200"/>
        <w:rPr>
          <w:rFonts w:hint="eastAsia" w:ascii="宋体" w:hAnsi="宋体"/>
          <w:sz w:val="24"/>
          <w:highlight w:val="none"/>
        </w:rPr>
      </w:pPr>
      <w:r>
        <w:rPr>
          <w:rFonts w:hint="eastAsia" w:ascii="宋体" w:hAnsi="宋体"/>
          <w:sz w:val="24"/>
          <w:highlight w:val="none"/>
        </w:rPr>
        <w:t>1.8工程图纸详见附件</w:t>
      </w:r>
    </w:p>
    <w:p w14:paraId="7E764B25">
      <w:pPr>
        <w:adjustRightInd w:val="0"/>
        <w:snapToGrid w:val="0"/>
        <w:spacing w:line="360" w:lineRule="auto"/>
        <w:ind w:firstLine="482" w:firstLineChars="200"/>
        <w:rPr>
          <w:rFonts w:hint="eastAsia" w:ascii="宋体" w:hAnsi="宋体"/>
          <w:b/>
          <w:sz w:val="24"/>
          <w:highlight w:val="none"/>
        </w:rPr>
      </w:pPr>
      <w:r>
        <w:rPr>
          <w:rFonts w:hint="eastAsia" w:ascii="宋体" w:hAnsi="宋体"/>
          <w:b/>
          <w:sz w:val="24"/>
          <w:highlight w:val="none"/>
        </w:rPr>
        <w:t xml:space="preserve">二、技术规范及要求： </w:t>
      </w:r>
    </w:p>
    <w:p w14:paraId="69188BB9">
      <w:pPr>
        <w:adjustRightInd w:val="0"/>
        <w:snapToGrid w:val="0"/>
        <w:spacing w:line="360" w:lineRule="auto"/>
        <w:ind w:firstLine="482" w:firstLineChars="200"/>
        <w:rPr>
          <w:rFonts w:hint="eastAsia" w:ascii="宋体" w:hAnsi="宋体"/>
          <w:b/>
          <w:sz w:val="24"/>
          <w:highlight w:val="none"/>
        </w:rPr>
      </w:pPr>
      <w:r>
        <w:rPr>
          <w:rFonts w:hint="eastAsia" w:ascii="宋体" w:hAnsi="宋体"/>
          <w:b/>
          <w:sz w:val="24"/>
          <w:highlight w:val="none"/>
        </w:rPr>
        <w:t>3</w:t>
      </w:r>
      <w:r>
        <w:rPr>
          <w:rFonts w:ascii="宋体" w:hAnsi="宋体"/>
          <w:b/>
          <w:sz w:val="24"/>
          <w:highlight w:val="none"/>
        </w:rPr>
        <w:t>.1</w:t>
      </w:r>
      <w:r>
        <w:rPr>
          <w:rFonts w:hint="eastAsia" w:ascii="宋体" w:hAnsi="宋体"/>
          <w:b/>
          <w:sz w:val="24"/>
          <w:highlight w:val="none"/>
        </w:rPr>
        <w:t xml:space="preserve">总体要求 </w:t>
      </w:r>
    </w:p>
    <w:p w14:paraId="230D9CA4">
      <w:pPr>
        <w:adjustRightInd w:val="0"/>
        <w:snapToGrid w:val="0"/>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1.服务期：拟定2026年7月至2026年8月期间，具体开工时间以合同签订时间为准。</w:t>
      </w:r>
    </w:p>
    <w:p w14:paraId="5C72FD5B">
      <w:pPr>
        <w:pStyle w:val="42"/>
        <w:adjustRightInd w:val="0"/>
        <w:snapToGrid w:val="0"/>
        <w:spacing w:before="0" w:line="360" w:lineRule="auto"/>
        <w:ind w:firstLine="480" w:firstLineChars="200"/>
        <w:rPr>
          <w:rFonts w:hint="eastAsia"/>
          <w:szCs w:val="20"/>
          <w:highlight w:val="none"/>
        </w:rPr>
      </w:pPr>
      <w:r>
        <w:rPr>
          <w:rFonts w:hint="eastAsia"/>
          <w:bCs/>
          <w:highlight w:val="none"/>
        </w:rPr>
        <w:t>2.</w:t>
      </w:r>
      <w:r>
        <w:rPr>
          <w:rFonts w:hint="eastAsia"/>
          <w:szCs w:val="20"/>
          <w:highlight w:val="none"/>
        </w:rPr>
        <w:t>工程质量标准：合格。</w:t>
      </w:r>
    </w:p>
    <w:p w14:paraId="426E7722">
      <w:pPr>
        <w:pStyle w:val="42"/>
        <w:adjustRightInd w:val="0"/>
        <w:snapToGrid w:val="0"/>
        <w:spacing w:before="0" w:line="360" w:lineRule="auto"/>
        <w:ind w:firstLine="480" w:firstLineChars="200"/>
        <w:rPr>
          <w:rFonts w:hint="eastAsia"/>
          <w:highlight w:val="none"/>
          <w:lang w:val="en-US"/>
        </w:rPr>
      </w:pPr>
      <w:r>
        <w:rPr>
          <w:rFonts w:hint="eastAsia" w:ascii="Times New Roman" w:hAnsi="Times New Roman"/>
          <w:szCs w:val="20"/>
          <w:highlight w:val="none"/>
          <w:lang w:val="en-US"/>
        </w:rPr>
        <w:t>3.施工现场安全生产标准化管理目标等级要求：达标</w:t>
      </w:r>
    </w:p>
    <w:p w14:paraId="6D476ED7">
      <w:pPr>
        <w:adjustRightInd w:val="0"/>
        <w:snapToGrid w:val="0"/>
        <w:spacing w:line="360" w:lineRule="auto"/>
        <w:ind w:firstLine="482" w:firstLineChars="200"/>
        <w:rPr>
          <w:rFonts w:hint="eastAsia" w:ascii="宋体" w:hAnsi="宋体"/>
          <w:b/>
          <w:sz w:val="24"/>
          <w:highlight w:val="none"/>
        </w:rPr>
      </w:pPr>
      <w:r>
        <w:rPr>
          <w:rFonts w:hint="eastAsia" w:ascii="宋体" w:hAnsi="宋体"/>
          <w:b/>
          <w:sz w:val="24"/>
          <w:highlight w:val="none"/>
        </w:rPr>
        <w:t>3</w:t>
      </w:r>
      <w:r>
        <w:rPr>
          <w:rFonts w:ascii="宋体" w:hAnsi="宋体"/>
          <w:b/>
          <w:sz w:val="24"/>
          <w:highlight w:val="none"/>
        </w:rPr>
        <w:t>.2</w:t>
      </w:r>
      <w:r>
        <w:rPr>
          <w:rFonts w:hint="eastAsia" w:ascii="宋体" w:hAnsi="宋体"/>
          <w:b/>
          <w:sz w:val="24"/>
          <w:highlight w:val="none"/>
        </w:rPr>
        <w:t>具体要求</w:t>
      </w:r>
    </w:p>
    <w:p w14:paraId="131C6299">
      <w:pPr>
        <w:adjustRightInd w:val="0"/>
        <w:snapToGrid w:val="0"/>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具体内容详见图纸和清单。</w:t>
      </w:r>
    </w:p>
    <w:p w14:paraId="1EFE1BD9">
      <w:pPr>
        <w:pStyle w:val="20"/>
        <w:adjustRightInd w:val="0"/>
        <w:snapToGrid w:val="0"/>
        <w:spacing w:line="360" w:lineRule="auto"/>
        <w:ind w:left="420"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附件1：图纸（另附）</w:t>
      </w:r>
    </w:p>
    <w:p w14:paraId="203AE8EB">
      <w:pPr>
        <w:pStyle w:val="20"/>
        <w:adjustRightInd w:val="0"/>
        <w:snapToGrid w:val="0"/>
        <w:spacing w:line="360" w:lineRule="auto"/>
        <w:ind w:left="420" w:firstLine="480" w:firstLineChars="200"/>
        <w:rPr>
          <w:highlight w:val="none"/>
        </w:rPr>
      </w:pPr>
      <w:r>
        <w:rPr>
          <w:rFonts w:hint="eastAsia" w:ascii="宋体" w:hAnsi="宋体"/>
          <w:sz w:val="24"/>
          <w:highlight w:val="none"/>
          <w:shd w:val="clear" w:color="auto" w:fill="FFFFFF"/>
        </w:rPr>
        <w:t>附件2：清单（另附）</w:t>
      </w:r>
    </w:p>
    <w:p w14:paraId="3DE63652">
      <w:pPr>
        <w:spacing w:line="360" w:lineRule="auto"/>
        <w:jc w:val="center"/>
        <w:outlineLvl w:val="0"/>
        <w:rPr>
          <w:rFonts w:hint="eastAsia" w:ascii="宋体" w:hAnsi="宋体" w:cstheme="minorEastAsia"/>
          <w:b/>
          <w:sz w:val="36"/>
          <w:szCs w:val="36"/>
          <w:highlight w:val="none"/>
        </w:rPr>
      </w:pPr>
      <w:r>
        <w:rPr>
          <w:rFonts w:hint="eastAsia" w:ascii="宋体" w:hAnsi="宋体" w:cstheme="minorEastAsia"/>
          <w:b/>
          <w:sz w:val="36"/>
          <w:szCs w:val="36"/>
          <w:highlight w:val="none"/>
        </w:rPr>
        <w:br w:type="page"/>
      </w:r>
      <w:bookmarkStart w:id="681" w:name="_Toc3855"/>
      <w:bookmarkStart w:id="682" w:name="_Toc2618"/>
      <w:r>
        <w:rPr>
          <w:rFonts w:hint="eastAsia" w:ascii="宋体" w:hAnsi="宋体" w:cstheme="minorEastAsia"/>
          <w:b/>
          <w:sz w:val="36"/>
          <w:szCs w:val="36"/>
          <w:highlight w:val="none"/>
        </w:rPr>
        <w:t>第五章   合同草案条款</w:t>
      </w:r>
      <w:bookmarkEnd w:id="681"/>
      <w:bookmarkEnd w:id="682"/>
    </w:p>
    <w:p w14:paraId="0F59439A">
      <w:pPr>
        <w:tabs>
          <w:tab w:val="left" w:pos="900"/>
          <w:tab w:val="left" w:pos="1080"/>
        </w:tabs>
        <w:snapToGrid w:val="0"/>
        <w:spacing w:line="360" w:lineRule="auto"/>
        <w:jc w:val="center"/>
        <w:rPr>
          <w:rFonts w:hint="eastAsia" w:ascii="宋体" w:hAnsi="宋体" w:cstheme="minorEastAsia"/>
          <w:b/>
          <w:bCs/>
          <w:kern w:val="0"/>
          <w:sz w:val="18"/>
          <w:szCs w:val="18"/>
          <w:highlight w:val="none"/>
        </w:rPr>
      </w:pPr>
      <w:r>
        <w:rPr>
          <w:rFonts w:hint="eastAsia" w:ascii="宋体" w:hAnsi="宋体" w:cstheme="minorEastAsia"/>
          <w:b/>
          <w:bCs/>
          <w:kern w:val="0"/>
          <w:sz w:val="18"/>
          <w:szCs w:val="18"/>
          <w:highlight w:val="none"/>
        </w:rPr>
        <w:t>（以采购人最终签订合同为准）</w:t>
      </w:r>
    </w:p>
    <w:p w14:paraId="56092161">
      <w:pPr>
        <w:jc w:val="center"/>
        <w:rPr>
          <w:rFonts w:hint="eastAsia" w:ascii="宋体" w:hAnsi="宋体"/>
          <w:b/>
          <w:sz w:val="36"/>
          <w:szCs w:val="36"/>
          <w:highlight w:val="none"/>
        </w:rPr>
      </w:pPr>
      <w:bookmarkStart w:id="683" w:name="_Hlk145519020"/>
      <w:r>
        <w:rPr>
          <w:rFonts w:hint="eastAsia" w:ascii="宋体" w:hAnsi="宋体"/>
          <w:b/>
          <w:sz w:val="36"/>
          <w:szCs w:val="36"/>
          <w:highlight w:val="none"/>
        </w:rPr>
        <w:t>北京财贸职业学院</w:t>
      </w:r>
    </w:p>
    <w:p w14:paraId="17CAAF67">
      <w:pPr>
        <w:jc w:val="center"/>
        <w:rPr>
          <w:rFonts w:hint="eastAsia" w:ascii="宋体" w:hAnsi="宋体"/>
          <w:b/>
          <w:sz w:val="36"/>
          <w:szCs w:val="36"/>
          <w:highlight w:val="none"/>
        </w:rPr>
      </w:pPr>
      <w:bookmarkStart w:id="684" w:name="OLE_LINK23"/>
      <w:bookmarkStart w:id="685" w:name="OLE_LINK22"/>
      <w:bookmarkStart w:id="686" w:name="OLE_LINK24"/>
      <w:bookmarkStart w:id="687" w:name="OLE_LINK21"/>
      <w:bookmarkStart w:id="688" w:name="OLE_LINK19"/>
      <w:bookmarkStart w:id="689" w:name="OLE_LINK20"/>
      <w:r>
        <w:rPr>
          <w:rFonts w:hint="eastAsia" w:ascii="宋体" w:hAnsi="宋体" w:cs="宋体"/>
          <w:b/>
          <w:sz w:val="36"/>
          <w:szCs w:val="36"/>
          <w:highlight w:val="none"/>
          <w:u w:val="single"/>
        </w:rPr>
        <w:t>***工程</w:t>
      </w:r>
      <w:bookmarkEnd w:id="684"/>
      <w:bookmarkEnd w:id="685"/>
      <w:bookmarkEnd w:id="686"/>
      <w:bookmarkEnd w:id="687"/>
    </w:p>
    <w:bookmarkEnd w:id="688"/>
    <w:bookmarkEnd w:id="689"/>
    <w:p w14:paraId="1F8DC254">
      <w:pPr>
        <w:jc w:val="center"/>
        <w:rPr>
          <w:rFonts w:hint="eastAsia" w:ascii="宋体" w:hAnsi="宋体"/>
          <w:b/>
          <w:sz w:val="36"/>
          <w:szCs w:val="36"/>
          <w:highlight w:val="none"/>
        </w:rPr>
      </w:pPr>
    </w:p>
    <w:p w14:paraId="1156AF9F">
      <w:pPr>
        <w:jc w:val="center"/>
        <w:rPr>
          <w:rFonts w:hint="eastAsia" w:ascii="宋体" w:hAnsi="宋体"/>
          <w:b/>
          <w:sz w:val="36"/>
          <w:szCs w:val="36"/>
          <w:highlight w:val="none"/>
        </w:rPr>
      </w:pPr>
    </w:p>
    <w:p w14:paraId="65602DE3">
      <w:pPr>
        <w:jc w:val="center"/>
        <w:rPr>
          <w:rFonts w:hint="eastAsia" w:ascii="宋体" w:hAnsi="宋体"/>
          <w:b/>
          <w:sz w:val="36"/>
          <w:szCs w:val="36"/>
          <w:highlight w:val="none"/>
        </w:rPr>
      </w:pPr>
    </w:p>
    <w:p w14:paraId="0731EA94">
      <w:pPr>
        <w:jc w:val="center"/>
        <w:rPr>
          <w:rFonts w:hint="eastAsia" w:ascii="宋体" w:hAnsi="宋体"/>
          <w:b/>
          <w:sz w:val="36"/>
          <w:szCs w:val="36"/>
          <w:highlight w:val="none"/>
        </w:rPr>
      </w:pPr>
    </w:p>
    <w:p w14:paraId="300E020E">
      <w:pPr>
        <w:jc w:val="center"/>
        <w:rPr>
          <w:rFonts w:hint="eastAsia" w:ascii="宋体" w:hAnsi="宋体"/>
          <w:b/>
          <w:sz w:val="44"/>
          <w:szCs w:val="44"/>
          <w:highlight w:val="none"/>
        </w:rPr>
      </w:pPr>
      <w:r>
        <w:rPr>
          <w:rFonts w:hint="eastAsia" w:ascii="宋体" w:hAnsi="宋体"/>
          <w:b/>
          <w:sz w:val="44"/>
          <w:szCs w:val="44"/>
          <w:highlight w:val="none"/>
        </w:rPr>
        <w:t>施工合同文件</w:t>
      </w:r>
    </w:p>
    <w:p w14:paraId="4F82A440">
      <w:pPr>
        <w:jc w:val="center"/>
        <w:rPr>
          <w:rFonts w:hint="eastAsia" w:ascii="宋体" w:hAnsi="宋体"/>
          <w:b/>
          <w:sz w:val="36"/>
          <w:szCs w:val="36"/>
          <w:highlight w:val="none"/>
        </w:rPr>
      </w:pPr>
    </w:p>
    <w:p w14:paraId="4E160AC3">
      <w:pPr>
        <w:jc w:val="center"/>
        <w:rPr>
          <w:rFonts w:hint="eastAsia" w:ascii="宋体" w:hAnsi="宋体"/>
          <w:b/>
          <w:sz w:val="36"/>
          <w:szCs w:val="36"/>
          <w:highlight w:val="none"/>
        </w:rPr>
      </w:pPr>
    </w:p>
    <w:p w14:paraId="0C766694">
      <w:pPr>
        <w:jc w:val="center"/>
        <w:rPr>
          <w:rFonts w:hint="eastAsia" w:ascii="宋体" w:hAnsi="宋体"/>
          <w:b/>
          <w:sz w:val="36"/>
          <w:szCs w:val="36"/>
          <w:highlight w:val="none"/>
        </w:rPr>
      </w:pPr>
    </w:p>
    <w:p w14:paraId="071A10A5">
      <w:pPr>
        <w:jc w:val="center"/>
        <w:rPr>
          <w:rFonts w:hint="eastAsia" w:ascii="宋体" w:hAnsi="宋体"/>
          <w:b/>
          <w:sz w:val="36"/>
          <w:szCs w:val="36"/>
          <w:highlight w:val="none"/>
        </w:rPr>
      </w:pPr>
    </w:p>
    <w:p w14:paraId="7A0D04FA">
      <w:pPr>
        <w:jc w:val="center"/>
        <w:rPr>
          <w:rFonts w:hint="eastAsia" w:ascii="宋体" w:hAnsi="宋体"/>
          <w:b/>
          <w:sz w:val="36"/>
          <w:szCs w:val="36"/>
          <w:highlight w:val="none"/>
        </w:rPr>
      </w:pPr>
    </w:p>
    <w:p w14:paraId="1DF0C8B8">
      <w:pPr>
        <w:jc w:val="center"/>
        <w:rPr>
          <w:rFonts w:hint="eastAsia" w:ascii="宋体" w:hAnsi="宋体"/>
          <w:b/>
          <w:sz w:val="36"/>
          <w:szCs w:val="36"/>
          <w:highlight w:val="none"/>
        </w:rPr>
      </w:pPr>
    </w:p>
    <w:p w14:paraId="5CE123EE">
      <w:pPr>
        <w:jc w:val="center"/>
        <w:rPr>
          <w:rFonts w:hint="eastAsia" w:ascii="宋体" w:hAnsi="宋体"/>
          <w:b/>
          <w:sz w:val="44"/>
          <w:szCs w:val="44"/>
          <w:highlight w:val="none"/>
        </w:rPr>
      </w:pPr>
    </w:p>
    <w:p w14:paraId="1DD8D8E6">
      <w:pPr>
        <w:jc w:val="center"/>
        <w:rPr>
          <w:rFonts w:hint="eastAsia" w:ascii="宋体" w:hAnsi="宋体"/>
          <w:b/>
          <w:sz w:val="44"/>
          <w:szCs w:val="44"/>
          <w:highlight w:val="none"/>
        </w:rPr>
      </w:pPr>
    </w:p>
    <w:p w14:paraId="3D3800CE">
      <w:pPr>
        <w:jc w:val="center"/>
        <w:rPr>
          <w:rFonts w:hint="eastAsia" w:ascii="宋体" w:hAnsi="宋体"/>
          <w:b/>
          <w:sz w:val="44"/>
          <w:szCs w:val="44"/>
          <w:highlight w:val="none"/>
        </w:rPr>
      </w:pPr>
    </w:p>
    <w:p w14:paraId="13BA7A9D">
      <w:pPr>
        <w:jc w:val="center"/>
        <w:rPr>
          <w:rFonts w:hint="eastAsia" w:ascii="宋体" w:hAnsi="宋体"/>
          <w:b/>
          <w:sz w:val="44"/>
          <w:szCs w:val="44"/>
          <w:highlight w:val="none"/>
        </w:rPr>
      </w:pPr>
    </w:p>
    <w:p w14:paraId="463826A9">
      <w:pPr>
        <w:jc w:val="center"/>
        <w:rPr>
          <w:rFonts w:hint="eastAsia" w:ascii="宋体" w:hAnsi="宋体"/>
          <w:b/>
          <w:sz w:val="44"/>
          <w:szCs w:val="44"/>
          <w:highlight w:val="none"/>
        </w:rPr>
      </w:pPr>
    </w:p>
    <w:p w14:paraId="4E823ECE">
      <w:pPr>
        <w:jc w:val="center"/>
        <w:rPr>
          <w:rFonts w:hint="eastAsia" w:ascii="宋体" w:hAnsi="宋体"/>
          <w:sz w:val="28"/>
          <w:szCs w:val="28"/>
          <w:highlight w:val="none"/>
        </w:rPr>
      </w:pPr>
    </w:p>
    <w:p w14:paraId="37569142">
      <w:pPr>
        <w:ind w:firstLine="1687" w:firstLineChars="600"/>
        <w:jc w:val="left"/>
        <w:rPr>
          <w:rFonts w:hint="eastAsia" w:ascii="宋体" w:hAnsi="宋体"/>
          <w:b/>
          <w:sz w:val="28"/>
          <w:szCs w:val="28"/>
          <w:highlight w:val="none"/>
        </w:rPr>
      </w:pPr>
      <w:r>
        <w:rPr>
          <w:rFonts w:hint="eastAsia" w:ascii="宋体" w:hAnsi="宋体"/>
          <w:b/>
          <w:sz w:val="28"/>
          <w:szCs w:val="28"/>
          <w:highlight w:val="none"/>
        </w:rPr>
        <w:t>发包人：北京财贸职业学院</w:t>
      </w:r>
    </w:p>
    <w:p w14:paraId="74B18FFA">
      <w:pPr>
        <w:ind w:firstLine="1687" w:firstLineChars="600"/>
        <w:jc w:val="left"/>
        <w:rPr>
          <w:rFonts w:hint="eastAsia" w:ascii="宋体" w:hAnsi="宋体"/>
          <w:b/>
          <w:sz w:val="28"/>
          <w:szCs w:val="28"/>
          <w:highlight w:val="none"/>
        </w:rPr>
      </w:pPr>
    </w:p>
    <w:p w14:paraId="3A4606DC">
      <w:pPr>
        <w:ind w:firstLine="1687" w:firstLineChars="600"/>
        <w:jc w:val="left"/>
        <w:rPr>
          <w:rFonts w:hint="eastAsia" w:ascii="宋体" w:hAnsi="宋体"/>
          <w:b/>
          <w:sz w:val="28"/>
          <w:szCs w:val="28"/>
          <w:highlight w:val="none"/>
        </w:rPr>
      </w:pPr>
      <w:r>
        <w:rPr>
          <w:rFonts w:hint="eastAsia" w:ascii="宋体" w:hAnsi="宋体"/>
          <w:b/>
          <w:sz w:val="28"/>
          <w:szCs w:val="28"/>
          <w:highlight w:val="none"/>
        </w:rPr>
        <w:t>承包人：</w:t>
      </w:r>
      <w:bookmarkStart w:id="690" w:name="OLE_LINK16"/>
      <w:bookmarkStart w:id="691" w:name="OLE_LINK17"/>
      <w:bookmarkStart w:id="692" w:name="OLE_LINK26"/>
      <w:r>
        <w:rPr>
          <w:rFonts w:hint="eastAsia" w:ascii="宋体" w:hAnsi="宋体"/>
          <w:b/>
          <w:sz w:val="28"/>
          <w:szCs w:val="28"/>
          <w:highlight w:val="none"/>
        </w:rPr>
        <w:t xml:space="preserve">********* </w:t>
      </w:r>
      <w:bookmarkEnd w:id="690"/>
      <w:bookmarkEnd w:id="691"/>
      <w:bookmarkEnd w:id="692"/>
    </w:p>
    <w:p w14:paraId="71B1B8A5">
      <w:pPr>
        <w:jc w:val="center"/>
        <w:rPr>
          <w:rFonts w:hint="eastAsia" w:ascii="宋体" w:hAnsi="宋体"/>
          <w:b/>
          <w:sz w:val="28"/>
          <w:szCs w:val="28"/>
          <w:highlight w:val="none"/>
        </w:rPr>
      </w:pPr>
    </w:p>
    <w:p w14:paraId="3A223216">
      <w:pPr>
        <w:jc w:val="center"/>
        <w:rPr>
          <w:rFonts w:hint="eastAsia" w:ascii="宋体" w:hAnsi="宋体"/>
          <w:b/>
          <w:sz w:val="28"/>
          <w:szCs w:val="28"/>
          <w:highlight w:val="none"/>
        </w:rPr>
      </w:pPr>
    </w:p>
    <w:p w14:paraId="5ECCAF34">
      <w:pPr>
        <w:jc w:val="center"/>
        <w:rPr>
          <w:rFonts w:hint="eastAsia" w:ascii="宋体" w:hAnsi="宋体"/>
          <w:b/>
          <w:sz w:val="28"/>
          <w:szCs w:val="28"/>
          <w:highlight w:val="none"/>
        </w:rPr>
      </w:pPr>
      <w:r>
        <w:rPr>
          <w:rFonts w:hint="eastAsia" w:ascii="宋体" w:hAnsi="宋体"/>
          <w:b/>
          <w:sz w:val="28"/>
          <w:szCs w:val="28"/>
          <w:highlight w:val="none"/>
        </w:rPr>
        <w:t xml:space="preserve">2026年 </w:t>
      </w:r>
      <w:r>
        <w:rPr>
          <w:rFonts w:ascii="宋体" w:hAnsi="宋体"/>
          <w:b/>
          <w:sz w:val="28"/>
          <w:szCs w:val="28"/>
          <w:highlight w:val="none"/>
        </w:rPr>
        <w:t xml:space="preserve">  </w:t>
      </w:r>
      <w:r>
        <w:rPr>
          <w:rFonts w:hint="eastAsia" w:ascii="宋体" w:hAnsi="宋体"/>
          <w:b/>
          <w:sz w:val="28"/>
          <w:szCs w:val="28"/>
          <w:highlight w:val="none"/>
        </w:rPr>
        <w:t>月</w:t>
      </w:r>
    </w:p>
    <w:p w14:paraId="2148ADF3">
      <w:pPr>
        <w:jc w:val="center"/>
        <w:rPr>
          <w:rFonts w:hint="eastAsia" w:ascii="宋体" w:hAnsi="宋体"/>
          <w:b/>
          <w:sz w:val="44"/>
          <w:szCs w:val="44"/>
          <w:highlight w:val="none"/>
        </w:rPr>
      </w:pPr>
      <w:r>
        <w:rPr>
          <w:rFonts w:ascii="宋体" w:hAnsi="宋体"/>
          <w:b/>
          <w:sz w:val="44"/>
          <w:szCs w:val="44"/>
          <w:highlight w:val="none"/>
        </w:rPr>
        <w:br w:type="page"/>
      </w:r>
      <w:r>
        <w:rPr>
          <w:rFonts w:hint="eastAsia" w:ascii="宋体" w:hAnsi="宋体"/>
          <w:b/>
          <w:sz w:val="44"/>
          <w:szCs w:val="44"/>
          <w:highlight w:val="none"/>
        </w:rPr>
        <w:t>目录</w:t>
      </w:r>
    </w:p>
    <w:p w14:paraId="4355CCF9">
      <w:pPr>
        <w:jc w:val="center"/>
        <w:rPr>
          <w:rFonts w:hint="eastAsia" w:ascii="宋体" w:hAnsi="宋体"/>
          <w:b/>
          <w:sz w:val="44"/>
          <w:szCs w:val="44"/>
          <w:highlight w:val="none"/>
        </w:rPr>
      </w:pPr>
    </w:p>
    <w:p w14:paraId="3DABF2F7">
      <w:pPr>
        <w:jc w:val="center"/>
        <w:rPr>
          <w:rFonts w:hint="eastAsia" w:ascii="宋体" w:hAnsi="宋体"/>
          <w:b/>
          <w:sz w:val="30"/>
          <w:szCs w:val="30"/>
          <w:highlight w:val="none"/>
        </w:rPr>
      </w:pPr>
    </w:p>
    <w:p w14:paraId="2DCC5917">
      <w:pPr>
        <w:jc w:val="left"/>
        <w:rPr>
          <w:rFonts w:hint="eastAsia" w:ascii="宋体" w:hAnsi="宋体"/>
          <w:b/>
          <w:sz w:val="30"/>
          <w:szCs w:val="30"/>
          <w:highlight w:val="none"/>
        </w:rPr>
      </w:pPr>
      <w:r>
        <w:rPr>
          <w:rFonts w:ascii="宋体" w:hAnsi="宋体"/>
          <w:b/>
          <w:sz w:val="30"/>
          <w:szCs w:val="30"/>
          <w:highlight w:val="none"/>
        </w:rPr>
        <w:t>第一</w:t>
      </w:r>
      <w:r>
        <w:rPr>
          <w:rFonts w:hint="eastAsia" w:ascii="宋体" w:hAnsi="宋体"/>
          <w:b/>
          <w:sz w:val="30"/>
          <w:szCs w:val="30"/>
          <w:highlight w:val="none"/>
        </w:rPr>
        <w:t xml:space="preserve">节 </w:t>
      </w:r>
      <w:r>
        <w:rPr>
          <w:rFonts w:ascii="宋体" w:hAnsi="宋体"/>
          <w:b/>
          <w:sz w:val="30"/>
          <w:szCs w:val="30"/>
          <w:highlight w:val="none"/>
        </w:rPr>
        <w:t>合同协议书</w:t>
      </w:r>
    </w:p>
    <w:p w14:paraId="0E9A7D9F">
      <w:pPr>
        <w:jc w:val="left"/>
        <w:rPr>
          <w:rFonts w:hint="eastAsia" w:ascii="宋体" w:hAnsi="宋体"/>
          <w:b/>
          <w:sz w:val="30"/>
          <w:szCs w:val="30"/>
          <w:highlight w:val="none"/>
        </w:rPr>
      </w:pPr>
    </w:p>
    <w:p w14:paraId="42AFD3FC">
      <w:pPr>
        <w:spacing w:after="120"/>
        <w:rPr>
          <w:rFonts w:hint="eastAsia" w:ascii="宋体" w:hAnsi="宋体"/>
          <w:b/>
          <w:sz w:val="32"/>
          <w:szCs w:val="20"/>
          <w:highlight w:val="none"/>
        </w:rPr>
      </w:pPr>
    </w:p>
    <w:p w14:paraId="5213ED70">
      <w:pPr>
        <w:jc w:val="left"/>
        <w:rPr>
          <w:rFonts w:hint="eastAsia" w:ascii="宋体" w:hAnsi="宋体"/>
          <w:b/>
          <w:sz w:val="30"/>
          <w:szCs w:val="30"/>
          <w:highlight w:val="none"/>
        </w:rPr>
      </w:pPr>
      <w:r>
        <w:rPr>
          <w:rFonts w:hint="eastAsia" w:ascii="宋体" w:hAnsi="宋体"/>
          <w:b/>
          <w:sz w:val="30"/>
          <w:szCs w:val="30"/>
          <w:highlight w:val="none"/>
        </w:rPr>
        <w:t>第二节 合同条款通用部分</w:t>
      </w:r>
    </w:p>
    <w:p w14:paraId="39B23305">
      <w:pPr>
        <w:jc w:val="left"/>
        <w:rPr>
          <w:rFonts w:hint="eastAsia" w:ascii="宋体" w:hAnsi="宋体"/>
          <w:b/>
          <w:sz w:val="30"/>
          <w:szCs w:val="30"/>
          <w:highlight w:val="none"/>
        </w:rPr>
      </w:pPr>
    </w:p>
    <w:p w14:paraId="3FF9AFA5">
      <w:pPr>
        <w:jc w:val="left"/>
        <w:rPr>
          <w:rFonts w:hint="eastAsia" w:ascii="宋体" w:hAnsi="宋体"/>
          <w:b/>
          <w:sz w:val="30"/>
          <w:szCs w:val="30"/>
          <w:highlight w:val="none"/>
        </w:rPr>
      </w:pPr>
    </w:p>
    <w:p w14:paraId="3480C5C1">
      <w:pPr>
        <w:jc w:val="left"/>
        <w:rPr>
          <w:rFonts w:hint="eastAsia" w:ascii="宋体" w:hAnsi="宋体"/>
          <w:b/>
          <w:sz w:val="30"/>
          <w:szCs w:val="30"/>
          <w:highlight w:val="none"/>
        </w:rPr>
      </w:pPr>
      <w:r>
        <w:rPr>
          <w:rFonts w:hint="eastAsia" w:ascii="宋体" w:hAnsi="宋体"/>
          <w:b/>
          <w:sz w:val="30"/>
          <w:szCs w:val="30"/>
          <w:highlight w:val="none"/>
        </w:rPr>
        <w:t>第三节 合同条款专用部分</w:t>
      </w:r>
    </w:p>
    <w:p w14:paraId="77741685">
      <w:pPr>
        <w:jc w:val="left"/>
        <w:rPr>
          <w:rFonts w:hint="eastAsia" w:ascii="宋体" w:hAnsi="宋体"/>
          <w:b/>
          <w:sz w:val="30"/>
          <w:szCs w:val="30"/>
          <w:highlight w:val="none"/>
        </w:rPr>
      </w:pPr>
    </w:p>
    <w:p w14:paraId="00443538">
      <w:pPr>
        <w:jc w:val="left"/>
        <w:rPr>
          <w:rFonts w:hint="eastAsia" w:ascii="宋体" w:hAnsi="宋体"/>
          <w:b/>
          <w:sz w:val="30"/>
          <w:szCs w:val="30"/>
          <w:highlight w:val="none"/>
        </w:rPr>
      </w:pPr>
    </w:p>
    <w:p w14:paraId="0AE07853">
      <w:pPr>
        <w:jc w:val="left"/>
        <w:rPr>
          <w:rFonts w:hint="eastAsia" w:ascii="宋体" w:hAnsi="宋体"/>
          <w:b/>
          <w:sz w:val="30"/>
          <w:szCs w:val="30"/>
          <w:highlight w:val="none"/>
        </w:rPr>
      </w:pPr>
      <w:r>
        <w:rPr>
          <w:rFonts w:hint="eastAsia" w:ascii="宋体" w:hAnsi="宋体"/>
          <w:b/>
          <w:sz w:val="30"/>
          <w:szCs w:val="30"/>
          <w:highlight w:val="none"/>
        </w:rPr>
        <w:t>第四节 工程质量保证书</w:t>
      </w:r>
    </w:p>
    <w:p w14:paraId="1CEA4F8E">
      <w:pPr>
        <w:jc w:val="left"/>
        <w:rPr>
          <w:rFonts w:hint="eastAsia" w:ascii="宋体" w:hAnsi="宋体"/>
          <w:b/>
          <w:sz w:val="30"/>
          <w:szCs w:val="30"/>
          <w:highlight w:val="none"/>
        </w:rPr>
      </w:pPr>
    </w:p>
    <w:p w14:paraId="491CC22D">
      <w:pPr>
        <w:jc w:val="left"/>
        <w:rPr>
          <w:rFonts w:hint="eastAsia" w:ascii="宋体" w:hAnsi="宋体"/>
          <w:b/>
          <w:sz w:val="30"/>
          <w:szCs w:val="30"/>
          <w:highlight w:val="none"/>
        </w:rPr>
      </w:pPr>
    </w:p>
    <w:p w14:paraId="38A05AC5">
      <w:pPr>
        <w:jc w:val="left"/>
        <w:rPr>
          <w:rFonts w:hint="eastAsia" w:ascii="宋体" w:hAnsi="宋体"/>
          <w:b/>
          <w:sz w:val="30"/>
          <w:szCs w:val="30"/>
          <w:highlight w:val="none"/>
        </w:rPr>
      </w:pPr>
      <w:r>
        <w:rPr>
          <w:rFonts w:hint="eastAsia" w:ascii="宋体" w:hAnsi="宋体"/>
          <w:b/>
          <w:sz w:val="30"/>
          <w:szCs w:val="30"/>
          <w:highlight w:val="none"/>
        </w:rPr>
        <w:t>第五节 工程廉政责任书</w:t>
      </w:r>
    </w:p>
    <w:p w14:paraId="360172AF">
      <w:pPr>
        <w:jc w:val="left"/>
        <w:rPr>
          <w:rFonts w:hint="eastAsia" w:ascii="宋体" w:hAnsi="宋体"/>
          <w:b/>
          <w:sz w:val="30"/>
          <w:szCs w:val="30"/>
          <w:highlight w:val="none"/>
        </w:rPr>
      </w:pPr>
    </w:p>
    <w:p w14:paraId="7973FC35">
      <w:pPr>
        <w:jc w:val="left"/>
        <w:rPr>
          <w:rFonts w:hint="eastAsia" w:ascii="宋体" w:hAnsi="宋体"/>
          <w:b/>
          <w:sz w:val="30"/>
          <w:szCs w:val="30"/>
          <w:highlight w:val="none"/>
        </w:rPr>
      </w:pPr>
    </w:p>
    <w:p w14:paraId="22286795">
      <w:pPr>
        <w:jc w:val="left"/>
        <w:rPr>
          <w:rFonts w:hint="eastAsia" w:ascii="宋体" w:hAnsi="宋体"/>
          <w:b/>
          <w:sz w:val="30"/>
          <w:szCs w:val="30"/>
          <w:highlight w:val="none"/>
        </w:rPr>
      </w:pPr>
      <w:r>
        <w:rPr>
          <w:rFonts w:hint="eastAsia" w:ascii="宋体" w:hAnsi="宋体"/>
          <w:b/>
          <w:sz w:val="30"/>
          <w:szCs w:val="30"/>
          <w:highlight w:val="none"/>
        </w:rPr>
        <w:t>第六节 中标通知书</w:t>
      </w:r>
    </w:p>
    <w:p w14:paraId="6CBB0D87">
      <w:pPr>
        <w:jc w:val="left"/>
        <w:rPr>
          <w:rFonts w:hint="eastAsia" w:ascii="宋体" w:hAnsi="宋体"/>
          <w:b/>
          <w:sz w:val="30"/>
          <w:szCs w:val="30"/>
          <w:highlight w:val="none"/>
        </w:rPr>
      </w:pPr>
    </w:p>
    <w:p w14:paraId="4B3EE3B8">
      <w:pPr>
        <w:jc w:val="left"/>
        <w:rPr>
          <w:rFonts w:hint="eastAsia" w:ascii="宋体" w:hAnsi="宋体"/>
          <w:b/>
          <w:sz w:val="30"/>
          <w:szCs w:val="30"/>
          <w:highlight w:val="none"/>
        </w:rPr>
      </w:pPr>
    </w:p>
    <w:p w14:paraId="2D634A7B">
      <w:pPr>
        <w:jc w:val="left"/>
        <w:rPr>
          <w:rFonts w:hint="eastAsia" w:ascii="宋体" w:hAnsi="宋体"/>
          <w:b/>
          <w:sz w:val="30"/>
          <w:szCs w:val="30"/>
          <w:highlight w:val="none"/>
        </w:rPr>
      </w:pPr>
      <w:r>
        <w:rPr>
          <w:rFonts w:hint="eastAsia" w:ascii="宋体" w:hAnsi="宋体"/>
          <w:b/>
          <w:sz w:val="30"/>
          <w:szCs w:val="30"/>
          <w:highlight w:val="none"/>
        </w:rPr>
        <w:t>第七节 施工安全协议书</w:t>
      </w:r>
    </w:p>
    <w:p w14:paraId="1333C807">
      <w:pPr>
        <w:jc w:val="left"/>
        <w:rPr>
          <w:rFonts w:hint="eastAsia" w:ascii="宋体" w:hAnsi="宋体"/>
          <w:b/>
          <w:sz w:val="30"/>
          <w:szCs w:val="30"/>
          <w:highlight w:val="none"/>
        </w:rPr>
      </w:pPr>
    </w:p>
    <w:p w14:paraId="5B5F58CA">
      <w:pPr>
        <w:jc w:val="left"/>
        <w:rPr>
          <w:rFonts w:hint="eastAsia" w:ascii="宋体" w:hAnsi="宋体"/>
          <w:b/>
          <w:sz w:val="30"/>
          <w:szCs w:val="30"/>
          <w:highlight w:val="none"/>
        </w:rPr>
      </w:pPr>
    </w:p>
    <w:p w14:paraId="37F7134D">
      <w:pPr>
        <w:jc w:val="left"/>
        <w:rPr>
          <w:rFonts w:hint="eastAsia" w:ascii="宋体" w:hAnsi="宋体"/>
          <w:b/>
          <w:sz w:val="30"/>
          <w:szCs w:val="30"/>
          <w:highlight w:val="none"/>
        </w:rPr>
      </w:pPr>
      <w:r>
        <w:rPr>
          <w:rFonts w:hint="eastAsia" w:ascii="宋体" w:hAnsi="宋体"/>
          <w:b/>
          <w:sz w:val="30"/>
          <w:szCs w:val="30"/>
          <w:highlight w:val="none"/>
        </w:rPr>
        <w:t>第八节 合同附件</w:t>
      </w:r>
    </w:p>
    <w:p w14:paraId="4358BCEB">
      <w:pPr>
        <w:jc w:val="center"/>
        <w:rPr>
          <w:rFonts w:hint="eastAsia" w:ascii="宋体" w:hAnsi="宋体"/>
          <w:b/>
          <w:sz w:val="44"/>
          <w:szCs w:val="44"/>
          <w:highlight w:val="none"/>
        </w:rPr>
      </w:pPr>
      <w:r>
        <w:rPr>
          <w:rFonts w:ascii="宋体" w:hAnsi="宋体"/>
          <w:b/>
          <w:sz w:val="30"/>
          <w:szCs w:val="30"/>
          <w:highlight w:val="none"/>
        </w:rPr>
        <w:br w:type="page"/>
      </w:r>
    </w:p>
    <w:p w14:paraId="47672651">
      <w:pPr>
        <w:jc w:val="center"/>
        <w:rPr>
          <w:rFonts w:hint="eastAsia" w:ascii="宋体" w:hAnsi="宋体"/>
          <w:b/>
          <w:sz w:val="44"/>
          <w:szCs w:val="44"/>
          <w:highlight w:val="none"/>
        </w:rPr>
      </w:pPr>
    </w:p>
    <w:p w14:paraId="0C1BD118">
      <w:pPr>
        <w:jc w:val="center"/>
        <w:rPr>
          <w:rFonts w:hint="eastAsia" w:ascii="宋体" w:hAnsi="宋体"/>
          <w:b/>
          <w:sz w:val="44"/>
          <w:szCs w:val="44"/>
          <w:highlight w:val="none"/>
        </w:rPr>
      </w:pPr>
    </w:p>
    <w:p w14:paraId="21F2FD12">
      <w:pPr>
        <w:jc w:val="center"/>
        <w:rPr>
          <w:rFonts w:hint="eastAsia" w:ascii="宋体" w:hAnsi="宋体"/>
          <w:b/>
          <w:sz w:val="44"/>
          <w:szCs w:val="44"/>
          <w:highlight w:val="none"/>
        </w:rPr>
      </w:pPr>
    </w:p>
    <w:p w14:paraId="06FA32EF">
      <w:pPr>
        <w:jc w:val="center"/>
        <w:rPr>
          <w:rFonts w:hint="eastAsia" w:ascii="宋体" w:hAnsi="宋体"/>
          <w:b/>
          <w:sz w:val="44"/>
          <w:szCs w:val="44"/>
          <w:highlight w:val="none"/>
        </w:rPr>
      </w:pPr>
      <w:r>
        <w:rPr>
          <w:rFonts w:ascii="宋体" w:hAnsi="宋体"/>
          <w:b/>
          <w:sz w:val="44"/>
          <w:szCs w:val="44"/>
          <w:highlight w:val="none"/>
        </w:rPr>
        <w:t>第一</w:t>
      </w:r>
      <w:r>
        <w:rPr>
          <w:rFonts w:hint="eastAsia" w:ascii="宋体" w:hAnsi="宋体"/>
          <w:b/>
          <w:sz w:val="44"/>
          <w:szCs w:val="44"/>
          <w:highlight w:val="none"/>
        </w:rPr>
        <w:t xml:space="preserve">节 </w:t>
      </w:r>
      <w:r>
        <w:rPr>
          <w:rFonts w:ascii="宋体" w:hAnsi="宋体"/>
          <w:b/>
          <w:sz w:val="44"/>
          <w:szCs w:val="44"/>
          <w:highlight w:val="none"/>
        </w:rPr>
        <w:t>合同协议书</w:t>
      </w:r>
    </w:p>
    <w:p w14:paraId="773E0104">
      <w:pPr>
        <w:jc w:val="center"/>
        <w:rPr>
          <w:rFonts w:hint="eastAsia" w:ascii="宋体" w:hAnsi="宋体"/>
          <w:b/>
          <w:sz w:val="44"/>
          <w:szCs w:val="44"/>
          <w:highlight w:val="none"/>
        </w:rPr>
      </w:pPr>
    </w:p>
    <w:p w14:paraId="3F399D09">
      <w:pPr>
        <w:spacing w:line="440" w:lineRule="exact"/>
        <w:jc w:val="center"/>
        <w:rPr>
          <w:rFonts w:hint="eastAsia" w:ascii="宋体" w:hAnsi="宋体"/>
          <w:sz w:val="28"/>
          <w:szCs w:val="28"/>
          <w:highlight w:val="none"/>
        </w:rPr>
      </w:pPr>
      <w:r>
        <w:rPr>
          <w:rFonts w:ascii="宋体" w:hAnsi="宋体"/>
          <w:sz w:val="28"/>
          <w:highlight w:val="none"/>
        </w:rPr>
        <w:br w:type="page"/>
      </w:r>
      <w:r>
        <w:rPr>
          <w:rFonts w:hint="eastAsia" w:ascii="宋体" w:hAnsi="宋体" w:cs="宋体"/>
          <w:sz w:val="28"/>
          <w:szCs w:val="28"/>
          <w:highlight w:val="none"/>
        </w:rPr>
        <w:t>合同协议书</w:t>
      </w:r>
    </w:p>
    <w:p w14:paraId="45C18008">
      <w:pPr>
        <w:spacing w:line="440" w:lineRule="exact"/>
        <w:rPr>
          <w:rFonts w:hint="eastAsia" w:ascii="宋体" w:hAnsi="宋体"/>
          <w:highlight w:val="none"/>
        </w:rPr>
      </w:pPr>
      <w:r>
        <w:rPr>
          <w:rFonts w:ascii="宋体" w:hAnsi="宋体"/>
          <w:szCs w:val="21"/>
          <w:highlight w:val="none"/>
        </w:rPr>
        <w:t xml:space="preserve">                                                    </w:t>
      </w:r>
    </w:p>
    <w:p w14:paraId="5F1FD5F9">
      <w:pPr>
        <w:spacing w:line="360" w:lineRule="auto"/>
        <w:jc w:val="left"/>
        <w:rPr>
          <w:rFonts w:hint="eastAsia" w:ascii="宋体" w:hAnsi="宋体"/>
          <w:b/>
          <w:bCs/>
          <w:szCs w:val="18"/>
          <w:highlight w:val="none"/>
          <w:u w:val="single"/>
        </w:rPr>
      </w:pPr>
      <w:r>
        <w:rPr>
          <w:rFonts w:ascii="宋体" w:hAnsi="宋体"/>
          <w:b/>
          <w:bCs/>
          <w:szCs w:val="18"/>
          <w:highlight w:val="none"/>
        </w:rPr>
        <w:t>发包人（全称）：</w:t>
      </w:r>
      <w:r>
        <w:rPr>
          <w:rFonts w:ascii="宋体" w:hAnsi="宋体"/>
          <w:b/>
          <w:bCs/>
          <w:szCs w:val="18"/>
          <w:highlight w:val="none"/>
          <w:u w:val="single"/>
        </w:rPr>
        <w:t>北京财贸职业学院</w:t>
      </w:r>
    </w:p>
    <w:p w14:paraId="0E5B6FED">
      <w:pPr>
        <w:spacing w:line="400" w:lineRule="exact"/>
        <w:rPr>
          <w:rFonts w:hint="eastAsia" w:ascii="宋体" w:hAnsi="宋体"/>
          <w:b/>
          <w:bCs/>
          <w:szCs w:val="18"/>
          <w:highlight w:val="none"/>
          <w:u w:val="single"/>
        </w:rPr>
      </w:pPr>
      <w:r>
        <w:rPr>
          <w:rFonts w:ascii="宋体" w:hAnsi="宋体"/>
          <w:b/>
          <w:bCs/>
          <w:szCs w:val="18"/>
          <w:highlight w:val="none"/>
        </w:rPr>
        <w:t>承包人（全称）：</w:t>
      </w:r>
      <w:r>
        <w:rPr>
          <w:rFonts w:hint="eastAsia" w:ascii="宋体" w:hAnsi="宋体"/>
          <w:b/>
          <w:bCs/>
          <w:szCs w:val="18"/>
          <w:highlight w:val="none"/>
          <w:u w:val="single"/>
        </w:rPr>
        <w:t xml:space="preserve">***** </w:t>
      </w:r>
    </w:p>
    <w:p w14:paraId="057CB368">
      <w:pPr>
        <w:spacing w:line="400" w:lineRule="exact"/>
        <w:ind w:firstLine="490"/>
        <w:rPr>
          <w:rFonts w:hint="eastAsia" w:ascii="宋体" w:hAnsi="宋体"/>
          <w:highlight w:val="none"/>
        </w:rPr>
      </w:pPr>
    </w:p>
    <w:p w14:paraId="2B562BC5">
      <w:pPr>
        <w:spacing w:line="360" w:lineRule="auto"/>
        <w:rPr>
          <w:rFonts w:hint="eastAsia" w:ascii="宋体" w:hAnsi="宋体"/>
          <w:highlight w:val="none"/>
        </w:rPr>
      </w:pPr>
      <w:r>
        <w:rPr>
          <w:rFonts w:ascii="宋体" w:hAnsi="宋体"/>
          <w:szCs w:val="21"/>
          <w:highlight w:val="none"/>
        </w:rPr>
        <w:t>发包人为建设</w:t>
      </w:r>
      <w:r>
        <w:rPr>
          <w:rFonts w:hint="eastAsia" w:ascii="宋体" w:hAnsi="宋体"/>
          <w:b/>
          <w:bCs/>
          <w:szCs w:val="18"/>
          <w:highlight w:val="none"/>
          <w:u w:val="single"/>
        </w:rPr>
        <w:t>*****工程</w:t>
      </w:r>
      <w:r>
        <w:rPr>
          <w:rFonts w:ascii="宋体" w:hAnsi="宋体"/>
          <w:szCs w:val="21"/>
          <w:highlight w:val="none"/>
        </w:rPr>
        <w:t>（以下简称“本工程”）。</w:t>
      </w:r>
      <w:r>
        <w:rPr>
          <w:rFonts w:ascii="宋体" w:hAnsi="宋体"/>
          <w:highlight w:val="none"/>
        </w:rPr>
        <w:t>依照《中华人民共和国招标投标法》、《</w:t>
      </w:r>
      <w:r>
        <w:rPr>
          <w:rFonts w:hint="eastAsia" w:ascii="宋体" w:hAnsi="宋体"/>
          <w:highlight w:val="none"/>
        </w:rPr>
        <w:t>中华人民共和国民法典</w:t>
      </w:r>
      <w:r>
        <w:rPr>
          <w:rFonts w:ascii="宋体" w:hAnsi="宋体"/>
          <w:highlight w:val="none"/>
        </w:rPr>
        <w:t>》、《中华人民共和国建筑法》、及其他有关法律、行政法规，遵循平等、自愿、公平和诚实信用的原则，双方共同达成并订立如下协议。</w:t>
      </w:r>
    </w:p>
    <w:p w14:paraId="07A2F455">
      <w:pPr>
        <w:spacing w:line="360" w:lineRule="auto"/>
        <w:rPr>
          <w:rFonts w:hint="eastAsia" w:ascii="宋体" w:hAnsi="宋体"/>
          <w:highlight w:val="none"/>
        </w:rPr>
      </w:pPr>
      <w:r>
        <w:rPr>
          <w:rFonts w:hint="eastAsia" w:ascii="宋体" w:hAnsi="宋体" w:cs="宋体"/>
          <w:highlight w:val="none"/>
        </w:rPr>
        <w:t>一、工程概况</w:t>
      </w:r>
    </w:p>
    <w:p w14:paraId="4A399136">
      <w:pPr>
        <w:spacing w:line="360" w:lineRule="auto"/>
        <w:rPr>
          <w:rFonts w:hint="eastAsia" w:ascii="宋体" w:hAnsi="宋体"/>
          <w:highlight w:val="none"/>
          <w:u w:val="single"/>
        </w:rPr>
      </w:pPr>
      <w:r>
        <w:rPr>
          <w:rFonts w:ascii="宋体" w:hAnsi="宋体"/>
          <w:highlight w:val="none"/>
        </w:rPr>
        <w:t>工程名称：</w:t>
      </w:r>
      <w:r>
        <w:rPr>
          <w:rFonts w:hint="eastAsia" w:ascii="宋体" w:hAnsi="宋体"/>
          <w:szCs w:val="18"/>
          <w:highlight w:val="none"/>
          <w:u w:val="single"/>
        </w:rPr>
        <w:t>北京财贸职业学院*******</w:t>
      </w:r>
      <w:r>
        <w:rPr>
          <w:rFonts w:ascii="宋体" w:hAnsi="宋体"/>
          <w:highlight w:val="none"/>
        </w:rPr>
        <w:t>（项目名称）</w:t>
      </w:r>
    </w:p>
    <w:p w14:paraId="171BFBBC">
      <w:pPr>
        <w:spacing w:line="360" w:lineRule="auto"/>
        <w:rPr>
          <w:rFonts w:hint="eastAsia" w:ascii="宋体" w:hAnsi="宋体"/>
          <w:highlight w:val="none"/>
          <w:u w:val="single"/>
        </w:rPr>
      </w:pPr>
      <w:r>
        <w:rPr>
          <w:rFonts w:ascii="宋体" w:hAnsi="宋体"/>
          <w:highlight w:val="none"/>
        </w:rPr>
        <w:t>工程地点：</w:t>
      </w:r>
      <w:r>
        <w:rPr>
          <w:rFonts w:ascii="宋体" w:hAnsi="宋体"/>
          <w:highlight w:val="none"/>
          <w:u w:val="single"/>
        </w:rPr>
        <w:t xml:space="preserve">       </w:t>
      </w:r>
      <w:r>
        <w:rPr>
          <w:rFonts w:hint="eastAsia" w:ascii="宋体" w:hAnsi="宋体"/>
          <w:highlight w:val="none"/>
          <w:u w:val="single"/>
        </w:rPr>
        <w:t>北京市通州区</w:t>
      </w:r>
      <w:r>
        <w:rPr>
          <w:rFonts w:ascii="宋体" w:hAnsi="宋体"/>
          <w:highlight w:val="none"/>
          <w:u w:val="single"/>
        </w:rPr>
        <w:t xml:space="preserve">      </w:t>
      </w:r>
    </w:p>
    <w:p w14:paraId="067FD51E">
      <w:pPr>
        <w:spacing w:line="360" w:lineRule="auto"/>
        <w:rPr>
          <w:rFonts w:hint="eastAsia" w:ascii="宋体" w:hAnsi="宋体"/>
          <w:szCs w:val="21"/>
          <w:highlight w:val="none"/>
          <w:u w:val="single"/>
        </w:rPr>
      </w:pPr>
      <w:r>
        <w:rPr>
          <w:rFonts w:ascii="宋体" w:hAnsi="宋体"/>
          <w:highlight w:val="none"/>
        </w:rPr>
        <w:t>工程内容：</w:t>
      </w:r>
      <w:r>
        <w:rPr>
          <w:rFonts w:hint="eastAsia" w:ascii="宋体" w:hAnsi="宋体"/>
          <w:highlight w:val="none"/>
          <w:u w:val="single"/>
        </w:rPr>
        <w:t xml:space="preserve">                               </w:t>
      </w:r>
      <w:r>
        <w:rPr>
          <w:rFonts w:ascii="宋体" w:hAnsi="宋体"/>
          <w:highlight w:val="none"/>
          <w:u w:val="single"/>
        </w:rPr>
        <w:t xml:space="preserve">   </w:t>
      </w:r>
      <w:r>
        <w:rPr>
          <w:rFonts w:hint="eastAsia" w:ascii="宋体" w:hAnsi="宋体"/>
          <w:highlight w:val="none"/>
          <w:u w:val="single"/>
        </w:rPr>
        <w:t xml:space="preserve"> </w:t>
      </w:r>
    </w:p>
    <w:p w14:paraId="6AE055BA">
      <w:pPr>
        <w:rPr>
          <w:rFonts w:hint="eastAsia" w:ascii="宋体" w:hAnsi="宋体"/>
          <w:highlight w:val="none"/>
          <w:u w:val="single"/>
        </w:rPr>
      </w:pPr>
      <w:r>
        <w:rPr>
          <w:rFonts w:ascii="宋体" w:hAnsi="宋体"/>
          <w:highlight w:val="none"/>
        </w:rPr>
        <w:t>工程立项批准文号：</w:t>
      </w:r>
      <w:r>
        <w:rPr>
          <w:rFonts w:ascii="宋体" w:hAnsi="宋体"/>
          <w:highlight w:val="none"/>
          <w:u w:val="single"/>
        </w:rPr>
        <w:t xml:space="preserve">             </w:t>
      </w:r>
      <w:r>
        <w:rPr>
          <w:rFonts w:ascii="宋体" w:hAnsi="宋体"/>
          <w:b/>
          <w:sz w:val="18"/>
          <w:szCs w:val="18"/>
          <w:highlight w:val="none"/>
          <w:u w:val="single"/>
        </w:rPr>
        <w:t>/</w:t>
      </w:r>
      <w:r>
        <w:rPr>
          <w:rFonts w:ascii="宋体" w:hAnsi="宋体"/>
          <w:highlight w:val="none"/>
          <w:u w:val="single"/>
        </w:rPr>
        <w:t xml:space="preserve">             </w:t>
      </w:r>
    </w:p>
    <w:p w14:paraId="0D073C6F">
      <w:pPr>
        <w:spacing w:line="360" w:lineRule="auto"/>
        <w:rPr>
          <w:rFonts w:hint="eastAsia" w:ascii="宋体" w:hAnsi="宋体"/>
          <w:highlight w:val="none"/>
          <w:u w:val="single"/>
        </w:rPr>
      </w:pPr>
      <w:r>
        <w:rPr>
          <w:rFonts w:ascii="宋体" w:hAnsi="宋体"/>
          <w:highlight w:val="none"/>
        </w:rPr>
        <w:t>资金来源：</w:t>
      </w:r>
      <w:r>
        <w:rPr>
          <w:rFonts w:ascii="宋体" w:hAnsi="宋体"/>
          <w:highlight w:val="none"/>
          <w:u w:val="single"/>
        </w:rPr>
        <w:t xml:space="preserve">   </w:t>
      </w:r>
      <w:r>
        <w:rPr>
          <w:rFonts w:hint="eastAsia" w:ascii="宋体" w:hAnsi="宋体"/>
          <w:highlight w:val="none"/>
          <w:u w:val="single"/>
        </w:rPr>
        <w:t xml:space="preserve">  </w:t>
      </w:r>
      <w:r>
        <w:rPr>
          <w:rFonts w:ascii="宋体" w:hAnsi="宋体"/>
          <w:highlight w:val="none"/>
          <w:u w:val="single"/>
        </w:rPr>
        <w:t xml:space="preserve"> </w:t>
      </w:r>
      <w:r>
        <w:rPr>
          <w:rFonts w:hint="eastAsia" w:ascii="宋体" w:hAnsi="宋体"/>
          <w:highlight w:val="none"/>
          <w:u w:val="single"/>
        </w:rPr>
        <w:t xml:space="preserve">  财政资金         </w:t>
      </w:r>
      <w:r>
        <w:rPr>
          <w:rFonts w:ascii="宋体" w:hAnsi="宋体"/>
          <w:highlight w:val="none"/>
          <w:u w:val="single"/>
        </w:rPr>
        <w:t xml:space="preserve">          </w:t>
      </w:r>
      <w:r>
        <w:rPr>
          <w:rFonts w:ascii="宋体" w:hAnsi="宋体"/>
          <w:highlight w:val="none"/>
        </w:rPr>
        <w:t xml:space="preserve"> </w:t>
      </w:r>
    </w:p>
    <w:p w14:paraId="1C24558E">
      <w:pPr>
        <w:spacing w:line="360" w:lineRule="auto"/>
        <w:rPr>
          <w:rFonts w:hint="eastAsia" w:ascii="宋体" w:hAnsi="宋体"/>
          <w:highlight w:val="none"/>
        </w:rPr>
      </w:pPr>
      <w:r>
        <w:rPr>
          <w:rFonts w:hint="eastAsia" w:ascii="宋体" w:hAnsi="宋体" w:cs="宋体"/>
          <w:highlight w:val="none"/>
        </w:rPr>
        <w:t>二、工程承包范围</w:t>
      </w:r>
    </w:p>
    <w:p w14:paraId="7B5CCFE8">
      <w:pPr>
        <w:spacing w:line="360" w:lineRule="auto"/>
        <w:rPr>
          <w:rFonts w:hint="eastAsia" w:ascii="宋体" w:hAnsi="宋体"/>
          <w:highlight w:val="none"/>
        </w:rPr>
      </w:pPr>
      <w:r>
        <w:rPr>
          <w:rFonts w:ascii="宋体" w:hAnsi="宋体"/>
          <w:highlight w:val="none"/>
        </w:rPr>
        <w:t>承包范围：</w:t>
      </w:r>
      <w:r>
        <w:rPr>
          <w:rFonts w:ascii="宋体" w:hAnsi="宋体"/>
          <w:szCs w:val="18"/>
          <w:highlight w:val="none"/>
          <w:u w:val="single"/>
        </w:rPr>
        <w:t>完成工程量清单</w:t>
      </w:r>
      <w:r>
        <w:rPr>
          <w:rFonts w:hint="eastAsia" w:ascii="宋体" w:hAnsi="宋体"/>
          <w:szCs w:val="18"/>
          <w:highlight w:val="none"/>
          <w:u w:val="single"/>
        </w:rPr>
        <w:t>及图纸</w:t>
      </w:r>
      <w:r>
        <w:rPr>
          <w:rFonts w:ascii="宋体" w:hAnsi="宋体"/>
          <w:szCs w:val="18"/>
          <w:highlight w:val="none"/>
          <w:u w:val="single"/>
        </w:rPr>
        <w:t>所列内容。</w:t>
      </w:r>
      <w:r>
        <w:rPr>
          <w:rFonts w:hint="eastAsia" w:ascii="宋体" w:hAnsi="宋体"/>
          <w:highlight w:val="none"/>
          <w:u w:val="single"/>
        </w:rPr>
        <w:t xml:space="preserve"> </w:t>
      </w:r>
    </w:p>
    <w:p w14:paraId="34E895F0">
      <w:pPr>
        <w:spacing w:line="360" w:lineRule="auto"/>
        <w:rPr>
          <w:rFonts w:hint="eastAsia" w:ascii="宋体" w:hAnsi="宋体"/>
          <w:b/>
          <w:highlight w:val="none"/>
          <w:u w:val="single"/>
        </w:rPr>
      </w:pPr>
      <w:r>
        <w:rPr>
          <w:rFonts w:ascii="宋体" w:hAnsi="宋体"/>
          <w:highlight w:val="none"/>
        </w:rPr>
        <w:t>详细承包范围见“技术标准和要求”。</w:t>
      </w:r>
    </w:p>
    <w:p w14:paraId="1C27F3A2">
      <w:pPr>
        <w:spacing w:line="360" w:lineRule="auto"/>
        <w:rPr>
          <w:rFonts w:hint="eastAsia" w:ascii="宋体" w:hAnsi="宋体"/>
          <w:highlight w:val="none"/>
        </w:rPr>
      </w:pPr>
      <w:r>
        <w:rPr>
          <w:rFonts w:hint="eastAsia" w:ascii="宋体" w:hAnsi="宋体" w:cs="宋体"/>
          <w:highlight w:val="none"/>
        </w:rPr>
        <w:t>三、合同工期</w:t>
      </w:r>
    </w:p>
    <w:p w14:paraId="0BAC6839">
      <w:pPr>
        <w:spacing w:line="360" w:lineRule="auto"/>
        <w:rPr>
          <w:rFonts w:hint="eastAsia" w:ascii="宋体" w:hAnsi="宋体"/>
          <w:highlight w:val="none"/>
        </w:rPr>
      </w:pPr>
      <w:r>
        <w:rPr>
          <w:rFonts w:ascii="宋体" w:hAnsi="宋体"/>
          <w:highlight w:val="none"/>
        </w:rPr>
        <w:t>工期总日历天数</w:t>
      </w:r>
      <w:r>
        <w:rPr>
          <w:rFonts w:hint="eastAsia" w:ascii="宋体" w:hAnsi="宋体"/>
          <w:highlight w:val="none"/>
          <w:u w:val="single"/>
        </w:rPr>
        <w:t xml:space="preserve">   </w:t>
      </w:r>
      <w:r>
        <w:rPr>
          <w:rFonts w:ascii="宋体" w:hAnsi="宋体"/>
          <w:highlight w:val="none"/>
        </w:rPr>
        <w:t>天，自监理人发出的开工通知中载明的开工日期起算。</w:t>
      </w:r>
    </w:p>
    <w:p w14:paraId="22EF7DE2">
      <w:pPr>
        <w:spacing w:line="360" w:lineRule="auto"/>
        <w:rPr>
          <w:rFonts w:hint="eastAsia" w:ascii="宋体" w:hAnsi="宋体"/>
          <w:highlight w:val="none"/>
        </w:rPr>
      </w:pPr>
      <w:r>
        <w:rPr>
          <w:rFonts w:hint="eastAsia" w:ascii="宋体" w:hAnsi="宋体" w:cs="宋体"/>
          <w:highlight w:val="none"/>
        </w:rPr>
        <w:t>四、质量标准</w:t>
      </w:r>
    </w:p>
    <w:p w14:paraId="6B8EFAF7">
      <w:pPr>
        <w:spacing w:line="360" w:lineRule="auto"/>
        <w:rPr>
          <w:rFonts w:hint="eastAsia" w:ascii="宋体" w:hAnsi="宋体"/>
          <w:highlight w:val="none"/>
          <w:u w:val="single"/>
        </w:rPr>
      </w:pPr>
      <w:r>
        <w:rPr>
          <w:rFonts w:ascii="宋体" w:hAnsi="宋体"/>
          <w:highlight w:val="none"/>
        </w:rPr>
        <w:t>工程质量标准：</w:t>
      </w:r>
      <w:r>
        <w:rPr>
          <w:rFonts w:ascii="宋体" w:hAnsi="宋体"/>
          <w:highlight w:val="none"/>
          <w:u w:val="single"/>
        </w:rPr>
        <w:t xml:space="preserve">    合格                                           </w:t>
      </w:r>
      <w:r>
        <w:rPr>
          <w:rFonts w:ascii="宋体" w:hAnsi="宋体"/>
          <w:highlight w:val="none"/>
        </w:rPr>
        <w:t xml:space="preserve"> </w:t>
      </w:r>
    </w:p>
    <w:p w14:paraId="53CEB71B">
      <w:pPr>
        <w:spacing w:line="360" w:lineRule="auto"/>
        <w:rPr>
          <w:rFonts w:hint="eastAsia" w:ascii="宋体" w:hAnsi="宋体"/>
          <w:highlight w:val="none"/>
        </w:rPr>
      </w:pPr>
      <w:r>
        <w:rPr>
          <w:rFonts w:hint="eastAsia" w:ascii="宋体" w:hAnsi="宋体" w:cs="宋体"/>
          <w:highlight w:val="none"/>
        </w:rPr>
        <w:t>五、合同形式</w:t>
      </w:r>
    </w:p>
    <w:p w14:paraId="0EE80E8D">
      <w:pPr>
        <w:spacing w:line="360" w:lineRule="auto"/>
        <w:rPr>
          <w:rFonts w:hint="eastAsia" w:ascii="宋体" w:hAnsi="宋体"/>
          <w:b/>
          <w:highlight w:val="none"/>
          <w:u w:val="single"/>
        </w:rPr>
      </w:pPr>
      <w:r>
        <w:rPr>
          <w:rFonts w:ascii="宋体" w:hAnsi="宋体"/>
          <w:highlight w:val="none"/>
        </w:rPr>
        <w:t xml:space="preserve">本合同采用 </w:t>
      </w:r>
      <w:r>
        <w:rPr>
          <w:rFonts w:ascii="宋体" w:hAnsi="宋体"/>
          <w:highlight w:val="none"/>
          <w:u w:val="single"/>
        </w:rPr>
        <w:t xml:space="preserve">     </w:t>
      </w:r>
      <w:r>
        <w:rPr>
          <w:rFonts w:hint="eastAsia" w:ascii="宋体" w:hAnsi="宋体"/>
          <w:highlight w:val="none"/>
          <w:u w:val="single"/>
        </w:rPr>
        <w:t>以清单报价为基准的固定综合单价</w:t>
      </w:r>
      <w:r>
        <w:rPr>
          <w:rFonts w:ascii="宋体" w:hAnsi="宋体"/>
          <w:highlight w:val="none"/>
          <w:u w:val="single"/>
        </w:rPr>
        <w:t xml:space="preserve">     </w:t>
      </w:r>
      <w:r>
        <w:rPr>
          <w:rFonts w:ascii="宋体" w:hAnsi="宋体"/>
          <w:highlight w:val="none"/>
        </w:rPr>
        <w:t>合同形式。</w:t>
      </w:r>
    </w:p>
    <w:p w14:paraId="7952D943">
      <w:pPr>
        <w:spacing w:line="360" w:lineRule="auto"/>
        <w:rPr>
          <w:rFonts w:hint="eastAsia" w:ascii="宋体" w:hAnsi="宋体"/>
          <w:bCs/>
          <w:highlight w:val="none"/>
        </w:rPr>
      </w:pPr>
      <w:r>
        <w:rPr>
          <w:rFonts w:hint="eastAsia" w:ascii="宋体" w:hAnsi="宋体" w:cs="宋体"/>
          <w:bCs/>
          <w:highlight w:val="none"/>
        </w:rPr>
        <w:t>六、签约合同价</w:t>
      </w:r>
    </w:p>
    <w:p w14:paraId="5B6E1E71">
      <w:pPr>
        <w:spacing w:line="360" w:lineRule="auto"/>
        <w:rPr>
          <w:rFonts w:hint="eastAsia" w:ascii="宋体" w:hAnsi="宋体"/>
          <w:highlight w:val="none"/>
        </w:rPr>
      </w:pPr>
      <w:r>
        <w:rPr>
          <w:rFonts w:ascii="宋体" w:hAnsi="宋体"/>
          <w:highlight w:val="none"/>
        </w:rPr>
        <w:t>1.签约合同价为：</w:t>
      </w:r>
    </w:p>
    <w:p w14:paraId="42DB4CCB">
      <w:pPr>
        <w:spacing w:line="360" w:lineRule="auto"/>
        <w:rPr>
          <w:rFonts w:hint="eastAsia" w:ascii="宋体" w:hAnsi="宋体"/>
          <w:highlight w:val="none"/>
        </w:rPr>
      </w:pPr>
      <w:r>
        <w:rPr>
          <w:rFonts w:hint="eastAsia" w:ascii="宋体" w:hAnsi="宋体"/>
          <w:highlight w:val="none"/>
        </w:rPr>
        <w:t>人民币（大写）</w:t>
      </w:r>
      <w:r>
        <w:rPr>
          <w:rFonts w:hint="eastAsia" w:ascii="宋体" w:hAnsi="宋体"/>
          <w:highlight w:val="none"/>
          <w:u w:val="single"/>
        </w:rPr>
        <w:t xml:space="preserve">                </w:t>
      </w:r>
      <w:r>
        <w:rPr>
          <w:rFonts w:hint="eastAsia" w:ascii="宋体" w:hAnsi="宋体"/>
          <w:highlight w:val="none"/>
        </w:rPr>
        <w:t xml:space="preserve"> (</w:t>
      </w:r>
      <w:r>
        <w:rPr>
          <w:rFonts w:ascii="宋体" w:hAnsi="宋体" w:cs="Calibri"/>
          <w:highlight w:val="none"/>
        </w:rPr>
        <w:t>¥</w:t>
      </w:r>
      <w:r>
        <w:rPr>
          <w:rFonts w:hint="eastAsia" w:ascii="宋体" w:hAnsi="宋体"/>
          <w:highlight w:val="none"/>
        </w:rPr>
        <w:t xml:space="preserve"> </w:t>
      </w:r>
      <w:r>
        <w:rPr>
          <w:rFonts w:hint="eastAsia" w:ascii="宋体" w:hAnsi="宋体"/>
          <w:highlight w:val="none"/>
          <w:u w:val="single"/>
        </w:rPr>
        <w:t xml:space="preserve">           </w:t>
      </w:r>
      <w:r>
        <w:rPr>
          <w:rFonts w:hint="eastAsia" w:ascii="宋体" w:hAnsi="宋体"/>
          <w:highlight w:val="none"/>
        </w:rPr>
        <w:t>元)；</w:t>
      </w:r>
    </w:p>
    <w:p w14:paraId="3B449F7E">
      <w:pPr>
        <w:spacing w:line="360" w:lineRule="auto"/>
        <w:rPr>
          <w:rFonts w:hint="eastAsia" w:ascii="宋体" w:hAnsi="宋体"/>
          <w:highlight w:val="none"/>
        </w:rPr>
      </w:pPr>
      <w:r>
        <w:rPr>
          <w:rFonts w:hint="eastAsia" w:ascii="宋体" w:hAnsi="宋体"/>
          <w:highlight w:val="none"/>
        </w:rPr>
        <w:t>其中：</w:t>
      </w:r>
    </w:p>
    <w:p w14:paraId="794AA9F9">
      <w:pPr>
        <w:spacing w:line="360" w:lineRule="auto"/>
        <w:rPr>
          <w:rFonts w:hint="eastAsia" w:ascii="宋体" w:hAnsi="宋体"/>
          <w:highlight w:val="none"/>
        </w:rPr>
      </w:pPr>
      <w:r>
        <w:rPr>
          <w:rFonts w:hint="eastAsia" w:ascii="宋体" w:hAnsi="宋体"/>
          <w:highlight w:val="none"/>
        </w:rPr>
        <w:t>（</w:t>
      </w:r>
      <w:r>
        <w:rPr>
          <w:rFonts w:ascii="宋体" w:hAnsi="宋体"/>
          <w:highlight w:val="none"/>
        </w:rPr>
        <w:t>1）安全文明施工费：</w:t>
      </w:r>
    </w:p>
    <w:p w14:paraId="6A24E9C0">
      <w:pPr>
        <w:spacing w:line="360" w:lineRule="auto"/>
        <w:rPr>
          <w:rFonts w:hint="eastAsia" w:ascii="宋体" w:hAnsi="宋体"/>
          <w:highlight w:val="none"/>
        </w:rPr>
      </w:pPr>
      <w:r>
        <w:rPr>
          <w:rFonts w:hint="eastAsia" w:ascii="宋体" w:hAnsi="宋体"/>
          <w:highlight w:val="none"/>
        </w:rPr>
        <w:t>人民币（大写）</w:t>
      </w:r>
      <w:r>
        <w:rPr>
          <w:rFonts w:hint="eastAsia" w:ascii="宋体" w:hAnsi="宋体"/>
          <w:highlight w:val="none"/>
          <w:u w:val="single"/>
        </w:rPr>
        <w:t xml:space="preserve">              </w:t>
      </w:r>
      <w:r>
        <w:rPr>
          <w:rFonts w:hint="eastAsia" w:ascii="宋体" w:hAnsi="宋体"/>
          <w:highlight w:val="none"/>
        </w:rPr>
        <w:t xml:space="preserve"> (</w:t>
      </w:r>
      <w:r>
        <w:rPr>
          <w:rFonts w:ascii="宋体" w:hAnsi="宋体" w:cs="Calibri"/>
          <w:highlight w:val="none"/>
        </w:rPr>
        <w:t>¥</w:t>
      </w:r>
      <w:r>
        <w:rPr>
          <w:rFonts w:hint="eastAsia" w:ascii="宋体" w:hAnsi="宋体"/>
          <w:highlight w:val="none"/>
          <w:u w:val="single"/>
        </w:rPr>
        <w:t xml:space="preserve">          </w:t>
      </w:r>
      <w:r>
        <w:rPr>
          <w:rFonts w:hint="eastAsia" w:ascii="宋体" w:hAnsi="宋体"/>
          <w:highlight w:val="none"/>
        </w:rPr>
        <w:t>元)；</w:t>
      </w:r>
    </w:p>
    <w:p w14:paraId="5439ABFD">
      <w:pPr>
        <w:spacing w:line="360" w:lineRule="auto"/>
        <w:rPr>
          <w:rFonts w:hint="eastAsia" w:ascii="宋体" w:hAnsi="宋体"/>
          <w:highlight w:val="none"/>
        </w:rPr>
      </w:pPr>
      <w:r>
        <w:rPr>
          <w:rFonts w:hint="eastAsia" w:ascii="宋体" w:hAnsi="宋体"/>
          <w:highlight w:val="none"/>
        </w:rPr>
        <w:t>（</w:t>
      </w:r>
      <w:r>
        <w:rPr>
          <w:rFonts w:ascii="宋体" w:hAnsi="宋体"/>
          <w:highlight w:val="none"/>
        </w:rPr>
        <w:t>2）材料和工程设备暂估价金额：</w:t>
      </w:r>
    </w:p>
    <w:p w14:paraId="6D6F1580">
      <w:pPr>
        <w:spacing w:line="360" w:lineRule="auto"/>
        <w:rPr>
          <w:rFonts w:hint="eastAsia" w:ascii="宋体" w:hAnsi="宋体"/>
          <w:highlight w:val="none"/>
        </w:rPr>
      </w:pPr>
      <w:r>
        <w:rPr>
          <w:rFonts w:hint="eastAsia" w:ascii="宋体" w:hAnsi="宋体"/>
          <w:highlight w:val="none"/>
        </w:rPr>
        <w:t>人民币（大写）</w:t>
      </w:r>
      <w:r>
        <w:rPr>
          <w:rFonts w:hint="eastAsia" w:ascii="宋体" w:hAnsi="宋体"/>
          <w:highlight w:val="none"/>
          <w:u w:val="single"/>
        </w:rPr>
        <w:t xml:space="preserve">              </w:t>
      </w:r>
      <w:r>
        <w:rPr>
          <w:rFonts w:hint="eastAsia" w:ascii="宋体" w:hAnsi="宋体"/>
          <w:highlight w:val="none"/>
        </w:rPr>
        <w:t xml:space="preserve"> (</w:t>
      </w:r>
      <w:r>
        <w:rPr>
          <w:rFonts w:ascii="宋体" w:hAnsi="宋体" w:cs="Calibri"/>
          <w:highlight w:val="none"/>
        </w:rPr>
        <w:t>¥</w:t>
      </w:r>
      <w:r>
        <w:rPr>
          <w:rFonts w:hint="eastAsia" w:ascii="宋体" w:hAnsi="宋体"/>
          <w:highlight w:val="none"/>
          <w:u w:val="single"/>
        </w:rPr>
        <w:t xml:space="preserve">          </w:t>
      </w:r>
      <w:r>
        <w:rPr>
          <w:rFonts w:hint="eastAsia" w:ascii="宋体" w:hAnsi="宋体"/>
          <w:highlight w:val="none"/>
        </w:rPr>
        <w:t>元)；</w:t>
      </w:r>
    </w:p>
    <w:p w14:paraId="7F5BBE5D">
      <w:pPr>
        <w:spacing w:line="360" w:lineRule="auto"/>
        <w:rPr>
          <w:rFonts w:hint="eastAsia" w:ascii="宋体" w:hAnsi="宋体"/>
          <w:highlight w:val="none"/>
        </w:rPr>
      </w:pPr>
      <w:r>
        <w:rPr>
          <w:rFonts w:hint="eastAsia" w:ascii="宋体" w:hAnsi="宋体"/>
          <w:highlight w:val="none"/>
        </w:rPr>
        <w:t>（</w:t>
      </w:r>
      <w:r>
        <w:rPr>
          <w:rFonts w:ascii="宋体" w:hAnsi="宋体"/>
          <w:highlight w:val="none"/>
        </w:rPr>
        <w:t>3）专业工程暂估价金额：</w:t>
      </w:r>
    </w:p>
    <w:p w14:paraId="7F6752E4">
      <w:pPr>
        <w:spacing w:line="360" w:lineRule="auto"/>
        <w:rPr>
          <w:rFonts w:hint="eastAsia" w:ascii="宋体" w:hAnsi="宋体"/>
          <w:highlight w:val="none"/>
        </w:rPr>
      </w:pPr>
      <w:r>
        <w:rPr>
          <w:rFonts w:hint="eastAsia" w:ascii="宋体" w:hAnsi="宋体"/>
          <w:highlight w:val="none"/>
        </w:rPr>
        <w:t>人民币（大写）</w:t>
      </w:r>
      <w:r>
        <w:rPr>
          <w:rFonts w:hint="eastAsia" w:ascii="宋体" w:hAnsi="宋体"/>
          <w:highlight w:val="none"/>
          <w:u w:val="single"/>
        </w:rPr>
        <w:t xml:space="preserve">              </w:t>
      </w:r>
      <w:r>
        <w:rPr>
          <w:rFonts w:hint="eastAsia" w:ascii="宋体" w:hAnsi="宋体"/>
          <w:highlight w:val="none"/>
        </w:rPr>
        <w:t xml:space="preserve"> (</w:t>
      </w:r>
      <w:r>
        <w:rPr>
          <w:rFonts w:ascii="宋体" w:hAnsi="宋体" w:cs="Calibri"/>
          <w:highlight w:val="none"/>
        </w:rPr>
        <w:t>¥</w:t>
      </w:r>
      <w:r>
        <w:rPr>
          <w:rFonts w:hint="eastAsia" w:ascii="宋体" w:hAnsi="宋体"/>
          <w:highlight w:val="none"/>
        </w:rPr>
        <w:t xml:space="preserve"> </w:t>
      </w:r>
      <w:r>
        <w:rPr>
          <w:rFonts w:hint="eastAsia" w:ascii="宋体" w:hAnsi="宋体"/>
          <w:highlight w:val="none"/>
          <w:u w:val="single"/>
        </w:rPr>
        <w:t xml:space="preserve">         </w:t>
      </w:r>
      <w:r>
        <w:rPr>
          <w:rFonts w:hint="eastAsia" w:ascii="宋体" w:hAnsi="宋体"/>
          <w:highlight w:val="none"/>
        </w:rPr>
        <w:t>元)；</w:t>
      </w:r>
    </w:p>
    <w:p w14:paraId="77E51C76">
      <w:pPr>
        <w:spacing w:line="360" w:lineRule="auto"/>
        <w:rPr>
          <w:rFonts w:hint="eastAsia" w:ascii="宋体" w:hAnsi="宋体"/>
          <w:highlight w:val="none"/>
          <w:u w:val="single"/>
        </w:rPr>
      </w:pPr>
      <w:r>
        <w:rPr>
          <w:rFonts w:hint="eastAsia" w:ascii="宋体" w:hAnsi="宋体"/>
          <w:highlight w:val="none"/>
        </w:rPr>
        <w:t>（</w:t>
      </w:r>
      <w:r>
        <w:rPr>
          <w:rFonts w:ascii="宋体" w:hAnsi="宋体"/>
          <w:highlight w:val="none"/>
        </w:rPr>
        <w:t>4）暂列金额：</w:t>
      </w:r>
      <w:r>
        <w:rPr>
          <w:rFonts w:hint="eastAsia" w:ascii="宋体" w:hAnsi="宋体"/>
          <w:highlight w:val="none"/>
          <w:u w:val="single"/>
        </w:rPr>
        <w:t xml:space="preserve"> 17</w:t>
      </w:r>
      <w:r>
        <w:rPr>
          <w:rFonts w:ascii="宋体" w:hAnsi="宋体"/>
          <w:highlight w:val="none"/>
          <w:u w:val="single"/>
        </w:rPr>
        <w:t>0000</w:t>
      </w:r>
      <w:r>
        <w:rPr>
          <w:rFonts w:hint="eastAsia" w:ascii="宋体" w:hAnsi="宋体"/>
          <w:highlight w:val="none"/>
          <w:u w:val="single"/>
        </w:rPr>
        <w:t xml:space="preserve">元（含税）  </w:t>
      </w:r>
    </w:p>
    <w:p w14:paraId="23561456">
      <w:pPr>
        <w:spacing w:line="360" w:lineRule="auto"/>
        <w:rPr>
          <w:rFonts w:hint="eastAsia" w:ascii="宋体" w:hAnsi="宋体"/>
          <w:highlight w:val="none"/>
        </w:rPr>
      </w:pPr>
      <w:r>
        <w:rPr>
          <w:rFonts w:hint="eastAsia" w:ascii="宋体" w:hAnsi="宋体"/>
          <w:highlight w:val="none"/>
        </w:rPr>
        <w:t>人民币（大写）</w:t>
      </w:r>
      <w:r>
        <w:rPr>
          <w:rFonts w:hint="eastAsia" w:ascii="宋体" w:hAnsi="宋体"/>
          <w:highlight w:val="none"/>
          <w:u w:val="single"/>
        </w:rPr>
        <w:t xml:space="preserve">             </w:t>
      </w:r>
      <w:r>
        <w:rPr>
          <w:rFonts w:hint="eastAsia" w:ascii="宋体" w:hAnsi="宋体"/>
          <w:highlight w:val="none"/>
        </w:rPr>
        <w:t xml:space="preserve">  (</w:t>
      </w:r>
      <w:r>
        <w:rPr>
          <w:rFonts w:ascii="宋体" w:hAnsi="宋体" w:cs="Calibri"/>
          <w:highlight w:val="none"/>
        </w:rPr>
        <w:t>¥</w:t>
      </w:r>
      <w:r>
        <w:rPr>
          <w:rFonts w:hint="eastAsia" w:ascii="宋体" w:hAnsi="宋体"/>
          <w:highlight w:val="none"/>
          <w:u w:val="single"/>
        </w:rPr>
        <w:t xml:space="preserve">          </w:t>
      </w:r>
      <w:r>
        <w:rPr>
          <w:rFonts w:hint="eastAsia" w:ascii="宋体" w:hAnsi="宋体"/>
          <w:highlight w:val="none"/>
        </w:rPr>
        <w:t>元)。</w:t>
      </w:r>
    </w:p>
    <w:p w14:paraId="7C0DB2A4">
      <w:pPr>
        <w:spacing w:line="360" w:lineRule="auto"/>
        <w:rPr>
          <w:rFonts w:hint="eastAsia" w:ascii="宋体" w:hAnsi="宋体"/>
          <w:bCs/>
          <w:highlight w:val="none"/>
        </w:rPr>
      </w:pPr>
      <w:r>
        <w:rPr>
          <w:rFonts w:hint="eastAsia" w:ascii="宋体" w:hAnsi="宋体" w:cs="宋体"/>
          <w:bCs/>
          <w:highlight w:val="none"/>
        </w:rPr>
        <w:t>七、承包人项目经理：</w:t>
      </w:r>
    </w:p>
    <w:p w14:paraId="2A01B83C">
      <w:pPr>
        <w:spacing w:line="360" w:lineRule="auto"/>
        <w:rPr>
          <w:rFonts w:hint="eastAsia" w:ascii="宋体" w:hAnsi="宋体"/>
          <w:szCs w:val="21"/>
          <w:highlight w:val="none"/>
        </w:rPr>
      </w:pPr>
      <w:r>
        <w:rPr>
          <w:rFonts w:ascii="宋体" w:hAnsi="宋体"/>
          <w:szCs w:val="21"/>
          <w:highlight w:val="none"/>
        </w:rPr>
        <w:t>姓名：</w:t>
      </w:r>
      <w:r>
        <w:rPr>
          <w:rFonts w:hint="eastAsia" w:ascii="宋体" w:hAnsi="宋体"/>
          <w:szCs w:val="21"/>
          <w:highlight w:val="none"/>
          <w:u w:val="single"/>
        </w:rPr>
        <w:t xml:space="preserve">         </w:t>
      </w:r>
      <w:r>
        <w:rPr>
          <w:rFonts w:ascii="宋体" w:hAnsi="宋体"/>
          <w:szCs w:val="21"/>
          <w:highlight w:val="none"/>
        </w:rPr>
        <w:t xml:space="preserve">；        </w:t>
      </w:r>
      <w:r>
        <w:rPr>
          <w:rFonts w:hint="eastAsia" w:ascii="宋体" w:hAnsi="宋体"/>
          <w:szCs w:val="21"/>
          <w:highlight w:val="none"/>
        </w:rPr>
        <w:t xml:space="preserve">  </w:t>
      </w:r>
      <w:r>
        <w:rPr>
          <w:rFonts w:ascii="宋体" w:hAnsi="宋体"/>
          <w:szCs w:val="21"/>
          <w:highlight w:val="none"/>
        </w:rPr>
        <w:t>职称：</w:t>
      </w:r>
      <w:r>
        <w:rPr>
          <w:rFonts w:hint="eastAsia" w:ascii="宋体" w:hAnsi="宋体"/>
          <w:szCs w:val="21"/>
          <w:highlight w:val="none"/>
          <w:u w:val="single"/>
        </w:rPr>
        <w:t xml:space="preserve">       </w:t>
      </w:r>
      <w:r>
        <w:rPr>
          <w:rFonts w:ascii="宋体" w:hAnsi="宋体"/>
          <w:szCs w:val="21"/>
          <w:highlight w:val="none"/>
        </w:rPr>
        <w:t>；</w:t>
      </w:r>
    </w:p>
    <w:p w14:paraId="60C91B5B">
      <w:pPr>
        <w:spacing w:line="360" w:lineRule="auto"/>
        <w:rPr>
          <w:rFonts w:hint="eastAsia" w:ascii="宋体" w:hAnsi="宋体"/>
          <w:szCs w:val="21"/>
          <w:highlight w:val="none"/>
        </w:rPr>
      </w:pPr>
      <w:r>
        <w:rPr>
          <w:rFonts w:ascii="宋体" w:hAnsi="宋体"/>
          <w:szCs w:val="21"/>
          <w:highlight w:val="none"/>
        </w:rPr>
        <w:t>身份证号：</w:t>
      </w:r>
      <w:r>
        <w:rPr>
          <w:rFonts w:hint="eastAsia" w:ascii="宋体" w:hAnsi="宋体"/>
          <w:szCs w:val="21"/>
          <w:highlight w:val="none"/>
          <w:u w:val="single"/>
        </w:rPr>
        <w:t xml:space="preserve">                     </w:t>
      </w:r>
      <w:r>
        <w:rPr>
          <w:rFonts w:ascii="宋体" w:hAnsi="宋体"/>
          <w:szCs w:val="21"/>
          <w:highlight w:val="none"/>
        </w:rPr>
        <w:t>；        建造师执业资格证书号：</w:t>
      </w:r>
      <w:r>
        <w:rPr>
          <w:rFonts w:hint="eastAsia" w:ascii="宋体" w:hAnsi="宋体"/>
          <w:szCs w:val="21"/>
          <w:highlight w:val="none"/>
          <w:u w:val="single"/>
        </w:rPr>
        <w:t xml:space="preserve">           </w:t>
      </w:r>
      <w:r>
        <w:rPr>
          <w:rFonts w:ascii="宋体" w:hAnsi="宋体"/>
          <w:szCs w:val="21"/>
          <w:highlight w:val="none"/>
        </w:rPr>
        <w:t>；</w:t>
      </w:r>
    </w:p>
    <w:p w14:paraId="00F5C310">
      <w:pPr>
        <w:spacing w:line="360" w:lineRule="auto"/>
        <w:rPr>
          <w:rFonts w:hint="eastAsia" w:ascii="宋体" w:hAnsi="宋体"/>
          <w:szCs w:val="21"/>
          <w:highlight w:val="none"/>
        </w:rPr>
      </w:pPr>
      <w:r>
        <w:rPr>
          <w:rFonts w:ascii="宋体" w:hAnsi="宋体"/>
          <w:szCs w:val="21"/>
          <w:highlight w:val="none"/>
        </w:rPr>
        <w:t>建造师注册证书号:</w:t>
      </w:r>
      <w:r>
        <w:rPr>
          <w:rFonts w:hint="eastAsia" w:ascii="宋体" w:hAnsi="宋体"/>
          <w:szCs w:val="21"/>
          <w:highlight w:val="none"/>
          <w:u w:val="single"/>
        </w:rPr>
        <w:t xml:space="preserve">                 </w:t>
      </w:r>
      <w:r>
        <w:rPr>
          <w:rFonts w:ascii="宋体" w:hAnsi="宋体"/>
          <w:szCs w:val="21"/>
          <w:highlight w:val="none"/>
        </w:rPr>
        <w:t>。</w:t>
      </w:r>
    </w:p>
    <w:p w14:paraId="727589F2">
      <w:pPr>
        <w:spacing w:line="360" w:lineRule="auto"/>
        <w:rPr>
          <w:rFonts w:hint="eastAsia" w:ascii="宋体" w:hAnsi="宋体"/>
          <w:szCs w:val="21"/>
          <w:highlight w:val="none"/>
        </w:rPr>
      </w:pPr>
      <w:r>
        <w:rPr>
          <w:rFonts w:ascii="宋体" w:hAnsi="宋体"/>
          <w:szCs w:val="21"/>
          <w:highlight w:val="none"/>
        </w:rPr>
        <w:t>安全生产考核合格证书号：</w:t>
      </w:r>
      <w:r>
        <w:rPr>
          <w:rFonts w:hint="eastAsia" w:ascii="宋体" w:hAnsi="宋体"/>
          <w:szCs w:val="21"/>
          <w:highlight w:val="none"/>
          <w:u w:val="single"/>
        </w:rPr>
        <w:t xml:space="preserve">                            </w:t>
      </w:r>
      <w:r>
        <w:rPr>
          <w:rFonts w:ascii="宋体" w:hAnsi="宋体"/>
          <w:szCs w:val="21"/>
          <w:highlight w:val="none"/>
          <w:u w:val="single"/>
        </w:rPr>
        <w:t xml:space="preserve"> </w:t>
      </w:r>
      <w:r>
        <w:rPr>
          <w:rFonts w:ascii="宋体" w:hAnsi="宋体"/>
          <w:szCs w:val="21"/>
          <w:highlight w:val="none"/>
        </w:rPr>
        <w:t>。</w:t>
      </w:r>
    </w:p>
    <w:p w14:paraId="3D936E98">
      <w:pPr>
        <w:spacing w:line="360" w:lineRule="auto"/>
        <w:rPr>
          <w:rFonts w:hint="eastAsia" w:ascii="宋体" w:hAnsi="宋体"/>
          <w:szCs w:val="21"/>
          <w:highlight w:val="none"/>
        </w:rPr>
      </w:pPr>
      <w:r>
        <w:rPr>
          <w:rFonts w:hint="eastAsia" w:ascii="宋体" w:hAnsi="宋体"/>
          <w:szCs w:val="21"/>
          <w:highlight w:val="none"/>
        </w:rPr>
        <w:t>关于项目经理每月在施工现场的时间要求：</w:t>
      </w:r>
    </w:p>
    <w:p w14:paraId="43475988">
      <w:pPr>
        <w:spacing w:line="360" w:lineRule="auto"/>
        <w:rPr>
          <w:rFonts w:hint="eastAsia" w:ascii="宋体" w:hAnsi="宋体"/>
          <w:highlight w:val="none"/>
        </w:rPr>
      </w:pPr>
      <w:r>
        <w:rPr>
          <w:rFonts w:hint="eastAsia" w:ascii="宋体" w:hAnsi="宋体" w:cs="宋体"/>
          <w:highlight w:val="none"/>
        </w:rPr>
        <w:t>八、合同文件的组成</w:t>
      </w:r>
    </w:p>
    <w:p w14:paraId="409AB1F3">
      <w:pPr>
        <w:spacing w:line="360" w:lineRule="auto"/>
        <w:rPr>
          <w:rFonts w:hint="eastAsia" w:ascii="宋体" w:hAnsi="宋体"/>
          <w:szCs w:val="21"/>
          <w:highlight w:val="none"/>
        </w:rPr>
      </w:pPr>
      <w:r>
        <w:rPr>
          <w:rFonts w:ascii="宋体" w:hAnsi="宋体"/>
          <w:szCs w:val="21"/>
          <w:highlight w:val="none"/>
        </w:rPr>
        <w:t>下列文件共同构成合同文件：</w:t>
      </w:r>
    </w:p>
    <w:p w14:paraId="3F891E2C">
      <w:pPr>
        <w:spacing w:line="360" w:lineRule="auto"/>
        <w:rPr>
          <w:rFonts w:hint="eastAsia" w:ascii="宋体" w:hAnsi="宋体"/>
          <w:highlight w:val="none"/>
        </w:rPr>
      </w:pPr>
      <w:r>
        <w:rPr>
          <w:rFonts w:ascii="宋体" w:hAnsi="宋体"/>
          <w:highlight w:val="none"/>
        </w:rPr>
        <w:t>1、中标通知书；</w:t>
      </w:r>
    </w:p>
    <w:p w14:paraId="05AA4F0A">
      <w:pPr>
        <w:spacing w:line="360" w:lineRule="auto"/>
        <w:rPr>
          <w:rFonts w:hint="eastAsia" w:ascii="宋体" w:hAnsi="宋体"/>
          <w:highlight w:val="none"/>
        </w:rPr>
      </w:pPr>
      <w:r>
        <w:rPr>
          <w:rFonts w:ascii="宋体" w:hAnsi="宋体"/>
          <w:highlight w:val="none"/>
        </w:rPr>
        <w:t>2、</w:t>
      </w:r>
      <w:r>
        <w:rPr>
          <w:rFonts w:ascii="宋体" w:hAnsi="宋体"/>
          <w:szCs w:val="21"/>
          <w:highlight w:val="none"/>
        </w:rPr>
        <w:t>投标函及投标函附录</w:t>
      </w:r>
      <w:r>
        <w:rPr>
          <w:rFonts w:ascii="宋体" w:hAnsi="宋体"/>
          <w:highlight w:val="none"/>
        </w:rPr>
        <w:t>；</w:t>
      </w:r>
    </w:p>
    <w:p w14:paraId="4C857F98">
      <w:pPr>
        <w:spacing w:line="360" w:lineRule="auto"/>
        <w:rPr>
          <w:rFonts w:hint="eastAsia" w:ascii="宋体" w:hAnsi="宋体"/>
          <w:highlight w:val="none"/>
        </w:rPr>
      </w:pPr>
      <w:r>
        <w:rPr>
          <w:rFonts w:ascii="宋体" w:hAnsi="宋体"/>
          <w:highlight w:val="none"/>
        </w:rPr>
        <w:t>3、专用合同条款；</w:t>
      </w:r>
    </w:p>
    <w:p w14:paraId="4177DE76">
      <w:pPr>
        <w:spacing w:line="360" w:lineRule="auto"/>
        <w:rPr>
          <w:rFonts w:hint="eastAsia" w:ascii="宋体" w:hAnsi="宋体"/>
          <w:highlight w:val="none"/>
        </w:rPr>
      </w:pPr>
      <w:r>
        <w:rPr>
          <w:rFonts w:ascii="宋体" w:hAnsi="宋体"/>
          <w:highlight w:val="none"/>
        </w:rPr>
        <w:t>4、通用合同条款；</w:t>
      </w:r>
    </w:p>
    <w:p w14:paraId="40FA16A7">
      <w:pPr>
        <w:spacing w:line="360" w:lineRule="auto"/>
        <w:rPr>
          <w:rFonts w:hint="eastAsia" w:ascii="宋体" w:hAnsi="宋体"/>
          <w:highlight w:val="none"/>
        </w:rPr>
      </w:pPr>
      <w:r>
        <w:rPr>
          <w:rFonts w:ascii="宋体" w:hAnsi="宋体"/>
          <w:highlight w:val="none"/>
        </w:rPr>
        <w:t>5、</w:t>
      </w:r>
      <w:r>
        <w:rPr>
          <w:rFonts w:ascii="宋体" w:hAnsi="宋体"/>
          <w:szCs w:val="21"/>
          <w:highlight w:val="none"/>
        </w:rPr>
        <w:t>技术标准和要求；</w:t>
      </w:r>
    </w:p>
    <w:p w14:paraId="76D0355C">
      <w:pPr>
        <w:spacing w:line="360" w:lineRule="auto"/>
        <w:rPr>
          <w:rFonts w:hint="eastAsia" w:ascii="宋体" w:hAnsi="宋体"/>
          <w:highlight w:val="none"/>
        </w:rPr>
      </w:pPr>
      <w:r>
        <w:rPr>
          <w:rFonts w:ascii="宋体" w:hAnsi="宋体"/>
          <w:highlight w:val="none"/>
        </w:rPr>
        <w:t>6、图纸</w:t>
      </w:r>
      <w:r>
        <w:rPr>
          <w:rFonts w:hint="eastAsia" w:ascii="宋体" w:hAnsi="宋体"/>
          <w:highlight w:val="none"/>
        </w:rPr>
        <w:t>（如涉及）</w:t>
      </w:r>
      <w:r>
        <w:rPr>
          <w:rFonts w:ascii="宋体" w:hAnsi="宋体"/>
          <w:highlight w:val="none"/>
        </w:rPr>
        <w:t>；</w:t>
      </w:r>
    </w:p>
    <w:p w14:paraId="0AD70944">
      <w:pPr>
        <w:spacing w:line="360" w:lineRule="auto"/>
        <w:rPr>
          <w:rFonts w:hint="eastAsia" w:ascii="宋体" w:hAnsi="宋体"/>
          <w:highlight w:val="none"/>
        </w:rPr>
      </w:pPr>
      <w:r>
        <w:rPr>
          <w:rFonts w:ascii="宋体" w:hAnsi="宋体"/>
          <w:highlight w:val="none"/>
        </w:rPr>
        <w:t>7、已标价工程量清单；</w:t>
      </w:r>
    </w:p>
    <w:p w14:paraId="2A97AFCB">
      <w:pPr>
        <w:spacing w:line="360" w:lineRule="auto"/>
        <w:rPr>
          <w:rFonts w:hint="eastAsia" w:ascii="宋体" w:hAnsi="宋体"/>
          <w:highlight w:val="none"/>
        </w:rPr>
      </w:pPr>
      <w:r>
        <w:rPr>
          <w:rFonts w:ascii="宋体" w:hAnsi="宋体"/>
          <w:highlight w:val="none"/>
        </w:rPr>
        <w:t>8、其他合同文件。</w:t>
      </w:r>
    </w:p>
    <w:p w14:paraId="00353FCE">
      <w:pPr>
        <w:spacing w:line="360" w:lineRule="auto"/>
        <w:rPr>
          <w:rFonts w:hint="eastAsia" w:ascii="宋体" w:hAnsi="宋体"/>
          <w:szCs w:val="21"/>
          <w:highlight w:val="none"/>
        </w:rPr>
      </w:pPr>
      <w:r>
        <w:rPr>
          <w:rFonts w:ascii="宋体" w:hAnsi="宋体"/>
          <w:szCs w:val="21"/>
          <w:highlight w:val="none"/>
        </w:rPr>
        <w:t>上述文件互相补充和解释，如有不明确或不一致之处，以合同约定次序在先者为准。</w:t>
      </w:r>
    </w:p>
    <w:p w14:paraId="1CAF851F">
      <w:pPr>
        <w:spacing w:line="360" w:lineRule="auto"/>
        <w:rPr>
          <w:rFonts w:hint="eastAsia" w:ascii="宋体" w:hAnsi="宋体"/>
          <w:highlight w:val="none"/>
        </w:rPr>
      </w:pPr>
      <w:r>
        <w:rPr>
          <w:rFonts w:ascii="宋体" w:hAnsi="宋体"/>
          <w:highlight w:val="none"/>
        </w:rPr>
        <w:t>九、本协议书中有关词语定义与合同条款中的定义相同。</w:t>
      </w:r>
    </w:p>
    <w:p w14:paraId="16465FD7">
      <w:pPr>
        <w:spacing w:line="360" w:lineRule="auto"/>
        <w:rPr>
          <w:rFonts w:hint="eastAsia" w:ascii="宋体" w:hAnsi="宋体"/>
          <w:highlight w:val="none"/>
        </w:rPr>
      </w:pPr>
      <w:r>
        <w:rPr>
          <w:rFonts w:ascii="宋体" w:hAnsi="宋体"/>
          <w:highlight w:val="none"/>
        </w:rPr>
        <w:t>十、承包人承诺按照合同约定进行施工、竣工、交付并承担质量缺陷保修责任。</w:t>
      </w:r>
    </w:p>
    <w:p w14:paraId="18658FD7">
      <w:pPr>
        <w:spacing w:line="360" w:lineRule="auto"/>
        <w:rPr>
          <w:rFonts w:hint="eastAsia" w:ascii="宋体" w:hAnsi="宋体"/>
          <w:highlight w:val="none"/>
        </w:rPr>
      </w:pPr>
      <w:r>
        <w:rPr>
          <w:rFonts w:ascii="宋体" w:hAnsi="宋体"/>
          <w:highlight w:val="none"/>
        </w:rPr>
        <w:t>十一、发包人承诺按照合同约定的条件、期限和方式向承包人支付合同价款。</w:t>
      </w:r>
    </w:p>
    <w:p w14:paraId="20BB0940">
      <w:pPr>
        <w:spacing w:line="360" w:lineRule="auto"/>
        <w:rPr>
          <w:rFonts w:hint="eastAsia" w:ascii="宋体" w:hAnsi="宋体"/>
          <w:highlight w:val="none"/>
          <w:u w:val="single"/>
        </w:rPr>
      </w:pPr>
      <w:r>
        <w:rPr>
          <w:rFonts w:ascii="宋体" w:hAnsi="宋体"/>
          <w:highlight w:val="none"/>
        </w:rPr>
        <w:t>十二、本协议书连同其他合同文件正本一式两份，合同双方各执一份；副本一式</w:t>
      </w:r>
      <w:r>
        <w:rPr>
          <w:rFonts w:ascii="宋体" w:hAnsi="宋体"/>
          <w:highlight w:val="none"/>
          <w:u w:val="single"/>
        </w:rPr>
        <w:t xml:space="preserve"> </w:t>
      </w:r>
      <w:r>
        <w:rPr>
          <w:rFonts w:hint="eastAsia" w:ascii="宋体" w:hAnsi="宋体"/>
          <w:highlight w:val="none"/>
          <w:u w:val="single"/>
        </w:rPr>
        <w:t>四份</w:t>
      </w:r>
      <w:r>
        <w:rPr>
          <w:rFonts w:ascii="宋体" w:hAnsi="宋体"/>
          <w:highlight w:val="none"/>
          <w:u w:val="single"/>
        </w:rPr>
        <w:t xml:space="preserve"> </w:t>
      </w:r>
    </w:p>
    <w:p w14:paraId="228B67EF">
      <w:pPr>
        <w:spacing w:line="360" w:lineRule="auto"/>
        <w:rPr>
          <w:rFonts w:hint="eastAsia" w:ascii="宋体" w:hAnsi="宋体"/>
          <w:highlight w:val="none"/>
        </w:rPr>
      </w:pPr>
      <w:r>
        <w:rPr>
          <w:rFonts w:ascii="宋体" w:hAnsi="宋体"/>
          <w:highlight w:val="none"/>
        </w:rPr>
        <w:t>份，其中一份在合同报送建设行政主管部门备案时留存。</w:t>
      </w:r>
    </w:p>
    <w:p w14:paraId="26F83E6A">
      <w:pPr>
        <w:spacing w:line="360" w:lineRule="auto"/>
        <w:rPr>
          <w:rFonts w:hint="eastAsia" w:ascii="宋体" w:hAnsi="宋体"/>
          <w:highlight w:val="none"/>
        </w:rPr>
      </w:pPr>
      <w:r>
        <w:rPr>
          <w:rFonts w:ascii="宋体" w:hAnsi="宋体"/>
          <w:highlight w:val="none"/>
        </w:rPr>
        <w:t>十三、合同未尽事宜，双方另行签订补充协议，但不得背离本协议第八条所约定的合同文件的实质性内容。补充协议是合同文件的组成部分。</w:t>
      </w:r>
    </w:p>
    <w:p w14:paraId="45416D84">
      <w:pPr>
        <w:tabs>
          <w:tab w:val="left" w:pos="1695"/>
        </w:tabs>
        <w:adjustRightInd w:val="0"/>
        <w:snapToGrid w:val="0"/>
        <w:spacing w:line="360" w:lineRule="auto"/>
        <w:ind w:firstLine="480"/>
        <w:rPr>
          <w:rFonts w:hint="eastAsia" w:ascii="宋体" w:hAnsi="宋体"/>
          <w:szCs w:val="21"/>
          <w:highlight w:val="none"/>
        </w:rPr>
      </w:pPr>
    </w:p>
    <w:p w14:paraId="14B401AF">
      <w:pPr>
        <w:tabs>
          <w:tab w:val="left" w:pos="5085"/>
        </w:tabs>
        <w:adjustRightInd w:val="0"/>
        <w:snapToGrid w:val="0"/>
        <w:spacing w:line="480" w:lineRule="auto"/>
        <w:ind w:left="5985" w:hanging="5985" w:hangingChars="2850"/>
        <w:rPr>
          <w:rFonts w:hint="eastAsia" w:ascii="宋体" w:hAnsi="宋体"/>
          <w:highlight w:val="none"/>
        </w:rPr>
      </w:pPr>
      <w:r>
        <w:rPr>
          <w:rFonts w:ascii="宋体" w:hAnsi="宋体"/>
          <w:highlight w:val="none"/>
        </w:rPr>
        <w:t>发包人：（公章）</w:t>
      </w:r>
      <w:r>
        <w:rPr>
          <w:rFonts w:ascii="宋体" w:hAnsi="宋体"/>
          <w:highlight w:val="none"/>
          <w:u w:val="single"/>
        </w:rPr>
        <w:t>北京财贸职业学院</w:t>
      </w:r>
      <w:r>
        <w:rPr>
          <w:rFonts w:hint="eastAsia" w:ascii="宋体" w:hAnsi="宋体"/>
          <w:highlight w:val="none"/>
          <w:u w:val="single"/>
        </w:rPr>
        <w:t xml:space="preserve">      </w:t>
      </w:r>
      <w:r>
        <w:rPr>
          <w:rFonts w:hint="eastAsia" w:ascii="宋体" w:hAnsi="宋体"/>
          <w:highlight w:val="none"/>
        </w:rPr>
        <w:t xml:space="preserve">      </w:t>
      </w:r>
      <w:r>
        <w:rPr>
          <w:rFonts w:ascii="宋体" w:hAnsi="宋体"/>
          <w:highlight w:val="none"/>
        </w:rPr>
        <w:t xml:space="preserve"> 承包人：（公章）</w:t>
      </w:r>
      <w:r>
        <w:rPr>
          <w:rFonts w:hint="eastAsia" w:ascii="宋体" w:hAnsi="宋体"/>
          <w:highlight w:val="none"/>
          <w:u w:val="single"/>
        </w:rPr>
        <w:t xml:space="preserve">********** </w:t>
      </w:r>
      <w:r>
        <w:rPr>
          <w:rFonts w:hint="eastAsia" w:ascii="宋体" w:hAnsi="宋体"/>
          <w:szCs w:val="21"/>
          <w:highlight w:val="none"/>
          <w:u w:val="single"/>
        </w:rPr>
        <w:t xml:space="preserve"> </w:t>
      </w:r>
    </w:p>
    <w:p w14:paraId="0DC650BB">
      <w:pPr>
        <w:spacing w:line="360" w:lineRule="auto"/>
        <w:ind w:left="5040" w:hanging="5040" w:hangingChars="2400"/>
        <w:rPr>
          <w:rFonts w:hint="eastAsia" w:ascii="宋体" w:hAnsi="宋体"/>
          <w:highlight w:val="none"/>
        </w:rPr>
      </w:pPr>
      <w:r>
        <w:rPr>
          <w:rFonts w:ascii="宋体" w:hAnsi="宋体"/>
          <w:highlight w:val="none"/>
        </w:rPr>
        <w:t>住所：</w:t>
      </w:r>
      <w:r>
        <w:rPr>
          <w:rFonts w:hint="eastAsia" w:ascii="宋体" w:hAnsi="宋体"/>
          <w:highlight w:val="none"/>
          <w:u w:val="single"/>
        </w:rPr>
        <w:t xml:space="preserve">北京市通州区北关大街88号     </w:t>
      </w:r>
      <w:r>
        <w:rPr>
          <w:rFonts w:hint="eastAsia" w:ascii="宋体" w:hAnsi="宋体"/>
          <w:highlight w:val="none"/>
        </w:rPr>
        <w:t xml:space="preserve">       </w:t>
      </w:r>
      <w:r>
        <w:rPr>
          <w:rFonts w:ascii="宋体" w:hAnsi="宋体"/>
          <w:highlight w:val="none"/>
        </w:rPr>
        <w:t>住所：</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p>
    <w:p w14:paraId="4D3327F1">
      <w:pPr>
        <w:spacing w:line="360" w:lineRule="auto"/>
        <w:rPr>
          <w:rFonts w:hint="eastAsia" w:ascii="宋体" w:hAnsi="宋体"/>
          <w:highlight w:val="none"/>
          <w:u w:val="single"/>
        </w:rPr>
      </w:pPr>
      <w:r>
        <w:rPr>
          <w:rFonts w:ascii="宋体" w:hAnsi="宋体"/>
          <w:highlight w:val="none"/>
        </w:rPr>
        <w:t>法定代表人：</w:t>
      </w:r>
      <w:r>
        <w:rPr>
          <w:rFonts w:hint="eastAsia" w:ascii="宋体" w:hAnsi="宋体"/>
          <w:highlight w:val="none"/>
        </w:rPr>
        <w:t xml:space="preserve">                             </w:t>
      </w:r>
      <w:r>
        <w:rPr>
          <w:rFonts w:ascii="宋体" w:hAnsi="宋体"/>
          <w:highlight w:val="none"/>
        </w:rPr>
        <w:t>法定代表人：</w:t>
      </w:r>
      <w:r>
        <w:rPr>
          <w:rFonts w:hint="eastAsia" w:ascii="宋体" w:hAnsi="宋体"/>
          <w:highlight w:val="none"/>
          <w:u w:val="single"/>
        </w:rPr>
        <w:t xml:space="preserve">                </w:t>
      </w:r>
    </w:p>
    <w:p w14:paraId="3B2C2B5B">
      <w:pPr>
        <w:spacing w:line="360" w:lineRule="auto"/>
        <w:rPr>
          <w:rFonts w:hint="eastAsia" w:ascii="宋体" w:hAnsi="宋体"/>
          <w:highlight w:val="none"/>
        </w:rPr>
      </w:pPr>
      <w:r>
        <w:rPr>
          <w:rFonts w:ascii="宋体" w:hAnsi="宋体"/>
          <w:highlight w:val="none"/>
        </w:rPr>
        <w:t>或委托代表人：</w:t>
      </w:r>
      <w:r>
        <w:rPr>
          <w:rFonts w:hint="eastAsia" w:ascii="宋体" w:hAnsi="宋体"/>
          <w:highlight w:val="none"/>
        </w:rPr>
        <w:t xml:space="preserve">                           </w:t>
      </w:r>
      <w:r>
        <w:rPr>
          <w:rFonts w:ascii="宋体" w:hAnsi="宋体"/>
          <w:highlight w:val="none"/>
        </w:rPr>
        <w:t>或委托代表人：</w:t>
      </w:r>
      <w:r>
        <w:rPr>
          <w:rFonts w:hint="eastAsia" w:ascii="宋体" w:hAnsi="宋体"/>
          <w:highlight w:val="none"/>
        </w:rPr>
        <w:t xml:space="preserve"> </w:t>
      </w:r>
      <w:r>
        <w:rPr>
          <w:rFonts w:hint="eastAsia" w:ascii="宋体" w:hAnsi="宋体"/>
          <w:highlight w:val="none"/>
          <w:u w:val="single"/>
        </w:rPr>
        <w:t xml:space="preserve">            </w:t>
      </w:r>
    </w:p>
    <w:p w14:paraId="4D7324BC">
      <w:pPr>
        <w:spacing w:line="360" w:lineRule="auto"/>
        <w:rPr>
          <w:rFonts w:hint="eastAsia" w:ascii="宋体" w:hAnsi="宋体"/>
          <w:highlight w:val="none"/>
        </w:rPr>
      </w:pPr>
      <w:r>
        <w:rPr>
          <w:rFonts w:ascii="宋体" w:hAnsi="宋体"/>
          <w:highlight w:val="none"/>
        </w:rPr>
        <w:t>电话：</w:t>
      </w:r>
      <w:r>
        <w:rPr>
          <w:rFonts w:ascii="宋体" w:hAnsi="宋体"/>
          <w:highlight w:val="none"/>
          <w:u w:val="single"/>
        </w:rPr>
        <w:t xml:space="preserve">        </w:t>
      </w:r>
      <w:r>
        <w:rPr>
          <w:rFonts w:hint="eastAsia" w:ascii="宋体" w:hAnsi="宋体"/>
          <w:highlight w:val="none"/>
          <w:u w:val="single"/>
        </w:rPr>
        <w:t xml:space="preserve">   </w:t>
      </w:r>
      <w:r>
        <w:rPr>
          <w:rFonts w:hint="eastAsia" w:ascii="宋体" w:hAnsi="宋体"/>
          <w:highlight w:val="none"/>
        </w:rPr>
        <w:t xml:space="preserve">                        </w:t>
      </w:r>
      <w:r>
        <w:rPr>
          <w:rFonts w:ascii="宋体" w:hAnsi="宋体"/>
          <w:highlight w:val="none"/>
        </w:rPr>
        <w:t>电话：</w:t>
      </w:r>
      <w:r>
        <w:rPr>
          <w:rFonts w:hint="eastAsia" w:ascii="宋体" w:hAnsi="宋体"/>
          <w:highlight w:val="none"/>
          <w:u w:val="single"/>
        </w:rPr>
        <w:t xml:space="preserve">             </w:t>
      </w:r>
      <w:r>
        <w:rPr>
          <w:rFonts w:ascii="宋体" w:hAnsi="宋体"/>
          <w:highlight w:val="none"/>
          <w:u w:val="single"/>
        </w:rPr>
        <w:t xml:space="preserve">   </w:t>
      </w:r>
      <w:r>
        <w:rPr>
          <w:rFonts w:hint="eastAsia" w:ascii="宋体" w:hAnsi="宋体"/>
          <w:highlight w:val="none"/>
          <w:u w:val="single"/>
        </w:rPr>
        <w:t xml:space="preserve">    </w:t>
      </w:r>
      <w:r>
        <w:rPr>
          <w:rFonts w:hint="eastAsia" w:ascii="宋体" w:hAnsi="宋体"/>
          <w:szCs w:val="21"/>
          <w:highlight w:val="none"/>
          <w:u w:val="single"/>
        </w:rPr>
        <w:t xml:space="preserve"> </w:t>
      </w:r>
    </w:p>
    <w:p w14:paraId="3D5CC17D">
      <w:pPr>
        <w:spacing w:line="360" w:lineRule="auto"/>
        <w:rPr>
          <w:rFonts w:hint="eastAsia" w:ascii="宋体" w:hAnsi="宋体"/>
          <w:highlight w:val="none"/>
        </w:rPr>
      </w:pPr>
      <w:r>
        <w:rPr>
          <w:rFonts w:ascii="宋体" w:hAnsi="宋体"/>
          <w:highlight w:val="none"/>
        </w:rPr>
        <w:t>传真：</w:t>
      </w:r>
      <w:r>
        <w:rPr>
          <w:rFonts w:ascii="宋体" w:hAnsi="宋体"/>
          <w:highlight w:val="none"/>
          <w:u w:val="single"/>
        </w:rPr>
        <w:t xml:space="preserve">           </w:t>
      </w:r>
      <w:r>
        <w:rPr>
          <w:rFonts w:ascii="宋体" w:hAnsi="宋体"/>
          <w:highlight w:val="none"/>
        </w:rPr>
        <w:t xml:space="preserve">              </w:t>
      </w:r>
      <w:r>
        <w:rPr>
          <w:rFonts w:hint="eastAsia" w:ascii="宋体" w:hAnsi="宋体"/>
          <w:highlight w:val="none"/>
        </w:rPr>
        <w:t xml:space="preserve">          </w:t>
      </w:r>
      <w:r>
        <w:rPr>
          <w:rFonts w:ascii="宋体" w:hAnsi="宋体"/>
          <w:highlight w:val="none"/>
        </w:rPr>
        <w:t>传真：</w:t>
      </w:r>
      <w:r>
        <w:rPr>
          <w:rFonts w:hint="eastAsia" w:ascii="宋体" w:hAnsi="宋体"/>
          <w:highlight w:val="none"/>
          <w:u w:val="single"/>
        </w:rPr>
        <w:t xml:space="preserve">              </w:t>
      </w:r>
      <w:r>
        <w:rPr>
          <w:rFonts w:ascii="宋体" w:hAnsi="宋体"/>
          <w:highlight w:val="none"/>
          <w:u w:val="single"/>
        </w:rPr>
        <w:t xml:space="preserve"> </w:t>
      </w:r>
      <w:r>
        <w:rPr>
          <w:rFonts w:hint="eastAsia" w:ascii="宋体" w:hAnsi="宋体"/>
          <w:highlight w:val="none"/>
          <w:u w:val="single"/>
        </w:rPr>
        <w:t xml:space="preserve">      </w:t>
      </w:r>
    </w:p>
    <w:p w14:paraId="47C9ABB3">
      <w:pPr>
        <w:spacing w:line="360" w:lineRule="auto"/>
        <w:rPr>
          <w:rFonts w:hint="eastAsia" w:ascii="宋体" w:hAnsi="宋体"/>
          <w:highlight w:val="none"/>
          <w:u w:val="single"/>
        </w:rPr>
      </w:pPr>
      <w:r>
        <w:rPr>
          <w:rFonts w:ascii="宋体" w:hAnsi="宋体"/>
          <w:highlight w:val="none"/>
        </w:rPr>
        <w:t>开户银行：</w:t>
      </w:r>
      <w:r>
        <w:rPr>
          <w:rFonts w:hint="eastAsia" w:ascii="宋体" w:hAnsi="宋体"/>
          <w:highlight w:val="none"/>
          <w:u w:val="single"/>
        </w:rPr>
        <w:t xml:space="preserve"> </w:t>
      </w:r>
      <w:r>
        <w:rPr>
          <w:rFonts w:ascii="宋体" w:hAnsi="宋体"/>
          <w:highlight w:val="none"/>
          <w:u w:val="single"/>
        </w:rPr>
        <w:t xml:space="preserve">                         </w:t>
      </w:r>
      <w:r>
        <w:rPr>
          <w:rFonts w:hint="eastAsia" w:ascii="宋体" w:hAnsi="宋体"/>
          <w:highlight w:val="none"/>
        </w:rPr>
        <w:t xml:space="preserve">     </w:t>
      </w:r>
      <w:r>
        <w:rPr>
          <w:rFonts w:ascii="宋体" w:hAnsi="宋体"/>
          <w:highlight w:val="none"/>
        </w:rPr>
        <w:t>开户银行：</w:t>
      </w:r>
      <w:r>
        <w:rPr>
          <w:rFonts w:hint="eastAsia" w:ascii="宋体" w:hAnsi="宋体"/>
          <w:highlight w:val="none"/>
          <w:u w:val="single"/>
        </w:rPr>
        <w:t xml:space="preserve">                 </w:t>
      </w:r>
    </w:p>
    <w:p w14:paraId="6FBF1048">
      <w:pPr>
        <w:spacing w:line="360" w:lineRule="auto"/>
        <w:rPr>
          <w:rFonts w:hint="eastAsia" w:ascii="宋体" w:hAnsi="宋体"/>
          <w:highlight w:val="none"/>
        </w:rPr>
      </w:pPr>
      <w:r>
        <w:rPr>
          <w:rFonts w:ascii="宋体" w:hAnsi="宋体"/>
          <w:highlight w:val="none"/>
        </w:rPr>
        <w:t>账号：</w:t>
      </w:r>
      <w:r>
        <w:rPr>
          <w:rFonts w:ascii="宋体" w:hAnsi="宋体"/>
          <w:highlight w:val="none"/>
          <w:u w:val="single"/>
        </w:rPr>
        <w:t xml:space="preserve">                   </w:t>
      </w:r>
      <w:r>
        <w:rPr>
          <w:rFonts w:ascii="宋体" w:hAnsi="宋体"/>
          <w:highlight w:val="none"/>
        </w:rPr>
        <w:t xml:space="preserve">        </w:t>
      </w:r>
      <w:r>
        <w:rPr>
          <w:rFonts w:hint="eastAsia" w:ascii="宋体" w:hAnsi="宋体"/>
          <w:highlight w:val="none"/>
        </w:rPr>
        <w:t xml:space="preserve">        </w:t>
      </w:r>
      <w:r>
        <w:rPr>
          <w:rFonts w:ascii="宋体" w:hAnsi="宋体"/>
          <w:highlight w:val="none"/>
        </w:rPr>
        <w:t>账号：</w:t>
      </w:r>
      <w:r>
        <w:rPr>
          <w:rFonts w:hint="eastAsia" w:ascii="宋体" w:hAnsi="宋体"/>
          <w:highlight w:val="none"/>
          <w:u w:val="single"/>
        </w:rPr>
        <w:t xml:space="preserve">                   </w:t>
      </w:r>
    </w:p>
    <w:p w14:paraId="0803F3D3">
      <w:pPr>
        <w:rPr>
          <w:rFonts w:hint="eastAsia" w:ascii="宋体" w:hAnsi="宋体"/>
          <w:szCs w:val="21"/>
          <w:highlight w:val="none"/>
          <w:u w:val="single"/>
        </w:rPr>
      </w:pPr>
      <w:r>
        <w:rPr>
          <w:rFonts w:ascii="宋体" w:hAnsi="宋体"/>
          <w:highlight w:val="none"/>
        </w:rPr>
        <w:t>邮政编码：</w:t>
      </w:r>
      <w:r>
        <w:rPr>
          <w:rFonts w:ascii="宋体" w:hAnsi="宋体"/>
          <w:highlight w:val="none"/>
          <w:u w:val="single"/>
        </w:rPr>
        <w:t xml:space="preserve">     </w:t>
      </w:r>
      <w:r>
        <w:rPr>
          <w:rFonts w:hint="eastAsia" w:ascii="宋体" w:hAnsi="宋体"/>
          <w:highlight w:val="none"/>
          <w:u w:val="single"/>
        </w:rPr>
        <w:t xml:space="preserve"> </w:t>
      </w:r>
      <w:r>
        <w:rPr>
          <w:rFonts w:hint="eastAsia" w:ascii="宋体" w:hAnsi="宋体"/>
          <w:highlight w:val="none"/>
        </w:rPr>
        <w:t xml:space="preserve">                        </w:t>
      </w:r>
      <w:r>
        <w:rPr>
          <w:rFonts w:ascii="宋体" w:hAnsi="宋体"/>
          <w:highlight w:val="none"/>
        </w:rPr>
        <w:t>邮政编码：</w:t>
      </w:r>
      <w:r>
        <w:rPr>
          <w:rFonts w:hint="eastAsia" w:ascii="宋体" w:hAnsi="宋体"/>
          <w:highlight w:val="none"/>
          <w:u w:val="single"/>
        </w:rPr>
        <w:t xml:space="preserve">                 </w:t>
      </w:r>
    </w:p>
    <w:p w14:paraId="6F790AC8">
      <w:pPr>
        <w:spacing w:before="240" w:beforeLines="100" w:after="240" w:afterLines="100" w:line="400" w:lineRule="exact"/>
        <w:rPr>
          <w:rFonts w:hint="eastAsia" w:ascii="宋体" w:hAnsi="宋体"/>
          <w:b/>
          <w:bCs/>
          <w:szCs w:val="21"/>
          <w:highlight w:val="none"/>
        </w:rPr>
      </w:pPr>
      <w:r>
        <w:rPr>
          <w:rFonts w:hint="eastAsia" w:ascii="宋体" w:hAnsi="宋体"/>
          <w:b/>
          <w:bCs/>
          <w:szCs w:val="21"/>
          <w:highlight w:val="none"/>
        </w:rPr>
        <w:t>合同签订日期：</w:t>
      </w:r>
      <w:r>
        <w:rPr>
          <w:rFonts w:hint="eastAsia" w:ascii="宋体" w:hAnsi="宋体"/>
          <w:b/>
          <w:bCs/>
          <w:szCs w:val="21"/>
          <w:highlight w:val="none"/>
          <w:u w:val="single"/>
        </w:rPr>
        <w:t xml:space="preserve">       </w:t>
      </w:r>
      <w:r>
        <w:rPr>
          <w:rFonts w:hint="eastAsia" w:ascii="宋体" w:hAnsi="宋体"/>
          <w:b/>
          <w:bCs/>
          <w:szCs w:val="21"/>
          <w:highlight w:val="none"/>
        </w:rPr>
        <w:t>年</w:t>
      </w:r>
      <w:r>
        <w:rPr>
          <w:rFonts w:hint="eastAsia" w:ascii="宋体" w:hAnsi="宋体"/>
          <w:b/>
          <w:bCs/>
          <w:szCs w:val="21"/>
          <w:highlight w:val="none"/>
          <w:u w:val="single"/>
        </w:rPr>
        <w:t xml:space="preserve">      </w:t>
      </w:r>
      <w:r>
        <w:rPr>
          <w:rFonts w:hint="eastAsia" w:ascii="宋体" w:hAnsi="宋体"/>
          <w:b/>
          <w:bCs/>
          <w:szCs w:val="21"/>
          <w:highlight w:val="none"/>
        </w:rPr>
        <w:t>月</w:t>
      </w:r>
      <w:r>
        <w:rPr>
          <w:rFonts w:hint="eastAsia" w:ascii="宋体" w:hAnsi="宋体"/>
          <w:b/>
          <w:bCs/>
          <w:szCs w:val="21"/>
          <w:highlight w:val="none"/>
          <w:u w:val="single"/>
        </w:rPr>
        <w:t xml:space="preserve">      </w:t>
      </w:r>
      <w:r>
        <w:rPr>
          <w:rFonts w:hint="eastAsia" w:ascii="宋体" w:hAnsi="宋体"/>
          <w:b/>
          <w:bCs/>
          <w:szCs w:val="21"/>
          <w:highlight w:val="none"/>
        </w:rPr>
        <w:t>日</w:t>
      </w:r>
    </w:p>
    <w:p w14:paraId="0DD755BF">
      <w:pPr>
        <w:tabs>
          <w:tab w:val="left" w:pos="1695"/>
        </w:tabs>
        <w:adjustRightInd w:val="0"/>
        <w:snapToGrid w:val="0"/>
        <w:spacing w:line="360" w:lineRule="auto"/>
        <w:rPr>
          <w:rFonts w:hint="eastAsia" w:ascii="宋体" w:hAnsi="宋体"/>
          <w:szCs w:val="21"/>
          <w:highlight w:val="none"/>
          <w:u w:val="single"/>
        </w:rPr>
      </w:pPr>
      <w:r>
        <w:rPr>
          <w:rFonts w:ascii="宋体" w:hAnsi="宋体"/>
          <w:szCs w:val="21"/>
          <w:highlight w:val="none"/>
          <w:u w:val="single"/>
        </w:rPr>
        <w:t xml:space="preserve"> </w:t>
      </w:r>
      <w:r>
        <w:rPr>
          <w:rFonts w:ascii="宋体" w:hAnsi="宋体"/>
          <w:sz w:val="24"/>
          <w:szCs w:val="20"/>
          <w:highlight w:val="none"/>
        </w:rPr>
        <w:br w:type="page"/>
      </w:r>
    </w:p>
    <w:p w14:paraId="32643F24">
      <w:pPr>
        <w:jc w:val="center"/>
        <w:rPr>
          <w:rFonts w:hint="eastAsia" w:ascii="宋体" w:hAnsi="宋体"/>
          <w:b/>
          <w:sz w:val="44"/>
          <w:szCs w:val="44"/>
          <w:highlight w:val="none"/>
        </w:rPr>
      </w:pPr>
    </w:p>
    <w:p w14:paraId="099F35F9">
      <w:pPr>
        <w:jc w:val="center"/>
        <w:rPr>
          <w:rFonts w:hint="eastAsia" w:ascii="宋体" w:hAnsi="宋体"/>
          <w:b/>
          <w:sz w:val="44"/>
          <w:szCs w:val="44"/>
          <w:highlight w:val="none"/>
        </w:rPr>
      </w:pPr>
    </w:p>
    <w:p w14:paraId="7F384ED4">
      <w:pPr>
        <w:jc w:val="center"/>
        <w:rPr>
          <w:rFonts w:hint="eastAsia" w:ascii="宋体" w:hAnsi="宋体"/>
          <w:b/>
          <w:sz w:val="44"/>
          <w:szCs w:val="44"/>
          <w:highlight w:val="none"/>
        </w:rPr>
      </w:pPr>
    </w:p>
    <w:p w14:paraId="5030947B">
      <w:pPr>
        <w:jc w:val="center"/>
        <w:rPr>
          <w:rFonts w:hint="eastAsia" w:ascii="宋体" w:hAnsi="宋体"/>
          <w:b/>
          <w:sz w:val="44"/>
          <w:szCs w:val="44"/>
          <w:highlight w:val="none"/>
        </w:rPr>
      </w:pPr>
    </w:p>
    <w:p w14:paraId="714F4E13">
      <w:pPr>
        <w:jc w:val="center"/>
        <w:rPr>
          <w:rFonts w:hint="eastAsia" w:ascii="宋体" w:hAnsi="宋体"/>
          <w:b/>
          <w:sz w:val="44"/>
          <w:szCs w:val="44"/>
          <w:highlight w:val="none"/>
        </w:rPr>
      </w:pPr>
      <w:r>
        <w:rPr>
          <w:rFonts w:ascii="宋体" w:hAnsi="宋体"/>
          <w:b/>
          <w:sz w:val="44"/>
          <w:szCs w:val="44"/>
          <w:highlight w:val="none"/>
        </w:rPr>
        <w:t>第</w:t>
      </w:r>
      <w:r>
        <w:rPr>
          <w:rFonts w:hint="eastAsia" w:ascii="宋体" w:hAnsi="宋体"/>
          <w:b/>
          <w:sz w:val="44"/>
          <w:szCs w:val="44"/>
          <w:highlight w:val="none"/>
        </w:rPr>
        <w:t>二节 合同条款通用部分</w:t>
      </w:r>
    </w:p>
    <w:p w14:paraId="4FC43709">
      <w:pPr>
        <w:jc w:val="center"/>
        <w:rPr>
          <w:rFonts w:hint="eastAsia" w:ascii="宋体" w:hAnsi="宋体"/>
          <w:b/>
          <w:sz w:val="44"/>
          <w:szCs w:val="44"/>
          <w:highlight w:val="none"/>
        </w:rPr>
      </w:pPr>
    </w:p>
    <w:p w14:paraId="0294346A">
      <w:pPr>
        <w:widowControl/>
        <w:jc w:val="center"/>
        <w:rPr>
          <w:rFonts w:hint="eastAsia" w:ascii="宋体" w:hAnsi="宋体"/>
          <w:sz w:val="28"/>
          <w:szCs w:val="28"/>
          <w:highlight w:val="none"/>
        </w:rPr>
      </w:pPr>
      <w:r>
        <w:rPr>
          <w:rFonts w:ascii="宋体" w:hAnsi="宋体"/>
          <w:sz w:val="28"/>
          <w:highlight w:val="none"/>
        </w:rPr>
        <w:br w:type="page"/>
      </w:r>
      <w:r>
        <w:rPr>
          <w:rFonts w:hint="eastAsia" w:ascii="宋体" w:hAnsi="宋体" w:cs="宋体"/>
          <w:sz w:val="28"/>
          <w:szCs w:val="28"/>
          <w:highlight w:val="none"/>
        </w:rPr>
        <w:t>通用合同条款</w:t>
      </w:r>
    </w:p>
    <w:p w14:paraId="5B862F0A">
      <w:pPr>
        <w:spacing w:line="400" w:lineRule="exact"/>
        <w:rPr>
          <w:rFonts w:hint="eastAsia" w:ascii="宋体" w:hAnsi="宋体"/>
          <w:highlight w:val="none"/>
        </w:rPr>
      </w:pPr>
    </w:p>
    <w:p w14:paraId="251E2B2E">
      <w:pPr>
        <w:keepNext/>
        <w:keepLines/>
        <w:spacing w:line="400" w:lineRule="exact"/>
        <w:outlineLvl w:val="1"/>
        <w:rPr>
          <w:rFonts w:hint="eastAsia" w:ascii="宋体" w:hAnsi="宋体" w:cs="仿宋_GB2312"/>
          <w:sz w:val="28"/>
          <w:szCs w:val="20"/>
          <w:highlight w:val="none"/>
        </w:rPr>
      </w:pPr>
      <w:bookmarkStart w:id="693" w:name="_Toc442365614"/>
      <w:bookmarkStart w:id="694" w:name="_Toc338944704"/>
      <w:bookmarkStart w:id="695" w:name="_Toc342296262"/>
      <w:bookmarkStart w:id="696" w:name="_Toc448758522"/>
      <w:bookmarkStart w:id="697" w:name="_Toc448758422"/>
      <w:bookmarkStart w:id="698" w:name="_Toc469660017"/>
      <w:bookmarkStart w:id="699" w:name="_Toc159950612"/>
      <w:r>
        <w:rPr>
          <w:rFonts w:ascii="宋体" w:hAnsi="宋体" w:cs="仿宋_GB2312"/>
          <w:sz w:val="28"/>
          <w:szCs w:val="20"/>
          <w:highlight w:val="none"/>
        </w:rPr>
        <w:t>1. 一般约定</w:t>
      </w:r>
      <w:bookmarkEnd w:id="693"/>
      <w:bookmarkEnd w:id="694"/>
      <w:bookmarkEnd w:id="695"/>
      <w:bookmarkEnd w:id="696"/>
      <w:bookmarkEnd w:id="697"/>
      <w:bookmarkEnd w:id="698"/>
      <w:bookmarkEnd w:id="699"/>
    </w:p>
    <w:p w14:paraId="7C1C8F99">
      <w:pPr>
        <w:keepNext/>
        <w:keepLines/>
        <w:spacing w:line="400" w:lineRule="exact"/>
        <w:outlineLvl w:val="2"/>
        <w:rPr>
          <w:rFonts w:hint="eastAsia" w:ascii="宋体" w:hAnsi="宋体"/>
          <w:sz w:val="24"/>
          <w:szCs w:val="20"/>
          <w:highlight w:val="none"/>
        </w:rPr>
      </w:pPr>
      <w:bookmarkStart w:id="700" w:name="_Toc338944705"/>
      <w:bookmarkStart w:id="701" w:name="_Toc342296263"/>
      <w:bookmarkStart w:id="702" w:name="_Toc159950613"/>
      <w:r>
        <w:rPr>
          <w:rFonts w:ascii="宋体" w:hAnsi="宋体"/>
          <w:sz w:val="24"/>
          <w:szCs w:val="20"/>
          <w:highlight w:val="none"/>
        </w:rPr>
        <w:t>1.1 词语定义</w:t>
      </w:r>
      <w:bookmarkEnd w:id="700"/>
      <w:bookmarkEnd w:id="701"/>
      <w:bookmarkEnd w:id="702"/>
    </w:p>
    <w:p w14:paraId="4A324AFE">
      <w:pPr>
        <w:spacing w:line="400" w:lineRule="exact"/>
        <w:ind w:firstLine="420" w:firstLineChars="200"/>
        <w:rPr>
          <w:rFonts w:hint="eastAsia" w:ascii="宋体" w:hAnsi="宋体"/>
          <w:highlight w:val="none"/>
        </w:rPr>
      </w:pPr>
      <w:r>
        <w:rPr>
          <w:rFonts w:ascii="宋体" w:hAnsi="宋体"/>
          <w:highlight w:val="none"/>
        </w:rPr>
        <w:t>通用合同条款、专用合同条款中的下列词语应具有本款所赋予的含义。</w:t>
      </w:r>
    </w:p>
    <w:p w14:paraId="6E1A2403">
      <w:pPr>
        <w:spacing w:line="400" w:lineRule="exact"/>
        <w:ind w:firstLine="420" w:firstLineChars="200"/>
        <w:rPr>
          <w:rFonts w:hint="eastAsia" w:ascii="宋体" w:hAnsi="宋体"/>
          <w:highlight w:val="none"/>
        </w:rPr>
      </w:pPr>
      <w:r>
        <w:rPr>
          <w:rFonts w:ascii="宋体" w:hAnsi="宋体"/>
          <w:highlight w:val="none"/>
        </w:rPr>
        <w:t xml:space="preserve">1.1.1 </w:t>
      </w:r>
      <w:r>
        <w:rPr>
          <w:rFonts w:hint="eastAsia" w:ascii="宋体" w:hAnsi="宋体" w:cs="宋体"/>
          <w:highlight w:val="none"/>
        </w:rPr>
        <w:t>合同</w:t>
      </w:r>
    </w:p>
    <w:p w14:paraId="78052D16">
      <w:pPr>
        <w:spacing w:line="400" w:lineRule="exact"/>
        <w:ind w:firstLine="718" w:firstLineChars="342"/>
        <w:rPr>
          <w:rFonts w:hint="eastAsia" w:ascii="宋体" w:hAnsi="宋体"/>
          <w:highlight w:val="none"/>
        </w:rPr>
      </w:pPr>
      <w:r>
        <w:rPr>
          <w:rFonts w:ascii="宋体" w:hAnsi="宋体"/>
          <w:highlight w:val="none"/>
        </w:rPr>
        <w:t>1.1.1.1 合同文件（或称合同）：指合同协议书、中标通知书、投标函及投标函附录、专用合同条款、通用合同条款、技术标准和要求、图纸、已标价工程量清单，以及其他合同文件。</w:t>
      </w:r>
    </w:p>
    <w:p w14:paraId="5E7DBADC">
      <w:pPr>
        <w:spacing w:line="400" w:lineRule="exact"/>
        <w:ind w:firstLine="718" w:firstLineChars="342"/>
        <w:rPr>
          <w:rFonts w:hint="eastAsia" w:ascii="宋体" w:hAnsi="宋体"/>
          <w:highlight w:val="none"/>
        </w:rPr>
      </w:pPr>
      <w:r>
        <w:rPr>
          <w:rFonts w:ascii="宋体" w:hAnsi="宋体"/>
          <w:highlight w:val="none"/>
        </w:rPr>
        <w:t>1.1.1.2 合同协议书：指第1.5款所指的合同协议书。</w:t>
      </w:r>
    </w:p>
    <w:p w14:paraId="68133533">
      <w:pPr>
        <w:spacing w:line="400" w:lineRule="exact"/>
        <w:ind w:firstLine="718" w:firstLineChars="342"/>
        <w:rPr>
          <w:rFonts w:hint="eastAsia" w:ascii="宋体" w:hAnsi="宋体"/>
          <w:highlight w:val="none"/>
        </w:rPr>
      </w:pPr>
      <w:r>
        <w:rPr>
          <w:rFonts w:ascii="宋体" w:hAnsi="宋体"/>
          <w:highlight w:val="none"/>
        </w:rPr>
        <w:t>1.1.1.3 中标通知书：指发包人通知承包人中标的函件。</w:t>
      </w:r>
    </w:p>
    <w:p w14:paraId="1821F97F">
      <w:pPr>
        <w:spacing w:line="400" w:lineRule="exact"/>
        <w:ind w:firstLine="718" w:firstLineChars="342"/>
        <w:rPr>
          <w:rFonts w:hint="eastAsia" w:ascii="宋体" w:hAnsi="宋体"/>
          <w:dstrike/>
          <w:szCs w:val="21"/>
          <w:highlight w:val="none"/>
        </w:rPr>
      </w:pPr>
      <w:r>
        <w:rPr>
          <w:rFonts w:ascii="宋体" w:hAnsi="宋体"/>
          <w:highlight w:val="none"/>
        </w:rPr>
        <w:t>1.1.1.4 投标函：指构成合同文件组成部分的由承包人填写并签署的投标函。</w:t>
      </w:r>
    </w:p>
    <w:p w14:paraId="7807753F">
      <w:pPr>
        <w:spacing w:line="400" w:lineRule="exact"/>
        <w:ind w:firstLine="718" w:firstLineChars="342"/>
        <w:rPr>
          <w:rFonts w:hint="eastAsia" w:ascii="宋体" w:hAnsi="宋体"/>
          <w:highlight w:val="none"/>
        </w:rPr>
      </w:pPr>
      <w:r>
        <w:rPr>
          <w:rFonts w:ascii="宋体" w:hAnsi="宋体"/>
          <w:highlight w:val="none"/>
        </w:rPr>
        <w:t>1.1.1.5 投标函附录：指附在投标函后构成合同文件的投标函附录。</w:t>
      </w:r>
    </w:p>
    <w:p w14:paraId="673B9423">
      <w:pPr>
        <w:spacing w:line="400" w:lineRule="exact"/>
        <w:ind w:firstLine="718" w:firstLineChars="342"/>
        <w:rPr>
          <w:rFonts w:hint="eastAsia" w:ascii="宋体" w:hAnsi="宋体"/>
          <w:highlight w:val="none"/>
        </w:rPr>
      </w:pPr>
      <w:r>
        <w:rPr>
          <w:rFonts w:ascii="宋体" w:hAnsi="宋体"/>
          <w:highlight w:val="none"/>
        </w:rPr>
        <w:t>1.1.1.6 技术标准和要求：指构成合同文件组成部分的名为技术标准和要求的文件，包括合同双方当事人约定对其所作的修改或补充。</w:t>
      </w:r>
    </w:p>
    <w:p w14:paraId="4A2CB39B">
      <w:pPr>
        <w:spacing w:line="400" w:lineRule="exact"/>
        <w:ind w:firstLine="718" w:firstLineChars="342"/>
        <w:rPr>
          <w:rFonts w:hint="eastAsia" w:ascii="宋体" w:hAnsi="宋体"/>
          <w:highlight w:val="none"/>
        </w:rPr>
      </w:pPr>
      <w:r>
        <w:rPr>
          <w:rFonts w:ascii="宋体" w:hAnsi="宋体"/>
          <w:highlight w:val="none"/>
        </w:rPr>
        <w:t>1.1.1.7图纸：指包含在合同中的工程图纸，以及由发包人按合同约定提供的任何补充和修改的图纸，包括配套的说明。</w:t>
      </w:r>
    </w:p>
    <w:p w14:paraId="3F515FE6">
      <w:pPr>
        <w:spacing w:line="400" w:lineRule="exact"/>
        <w:ind w:firstLine="718" w:firstLineChars="342"/>
        <w:rPr>
          <w:rFonts w:hint="eastAsia" w:ascii="宋体" w:hAnsi="宋体"/>
          <w:highlight w:val="none"/>
        </w:rPr>
      </w:pPr>
      <w:r>
        <w:rPr>
          <w:rFonts w:ascii="宋体" w:hAnsi="宋体"/>
          <w:highlight w:val="none"/>
        </w:rPr>
        <w:t>1.1.1.8 已标价工程量清单：指构成合同文件组成部分的由承包人按照规定的格式和要求填写并标明价格的工程量清单。</w:t>
      </w:r>
    </w:p>
    <w:p w14:paraId="2CF9CDCE">
      <w:pPr>
        <w:spacing w:line="400" w:lineRule="exact"/>
        <w:ind w:firstLine="718" w:firstLineChars="342"/>
        <w:rPr>
          <w:rFonts w:hint="eastAsia" w:ascii="宋体" w:hAnsi="宋体"/>
          <w:highlight w:val="none"/>
        </w:rPr>
      </w:pPr>
      <w:r>
        <w:rPr>
          <w:rFonts w:ascii="宋体" w:hAnsi="宋体"/>
          <w:highlight w:val="none"/>
        </w:rPr>
        <w:t>1.1.1.9 其他合同文件：指经合同双方当事人确认构成合同文件的其他文件。</w:t>
      </w:r>
    </w:p>
    <w:p w14:paraId="1DF181F8">
      <w:pPr>
        <w:spacing w:line="400" w:lineRule="exact"/>
        <w:ind w:firstLine="420" w:firstLineChars="200"/>
        <w:rPr>
          <w:rFonts w:hint="eastAsia" w:ascii="宋体" w:hAnsi="宋体"/>
          <w:highlight w:val="none"/>
        </w:rPr>
      </w:pPr>
      <w:r>
        <w:rPr>
          <w:rFonts w:ascii="宋体" w:hAnsi="宋体"/>
          <w:highlight w:val="none"/>
        </w:rPr>
        <w:t xml:space="preserve">1.1.2 </w:t>
      </w:r>
      <w:r>
        <w:rPr>
          <w:rFonts w:hint="eastAsia" w:ascii="宋体" w:hAnsi="宋体" w:cs="宋体"/>
          <w:highlight w:val="none"/>
        </w:rPr>
        <w:t>合同当事人和人员</w:t>
      </w:r>
    </w:p>
    <w:p w14:paraId="3E071ED4">
      <w:pPr>
        <w:spacing w:line="400" w:lineRule="exact"/>
        <w:ind w:firstLine="718" w:firstLineChars="342"/>
        <w:rPr>
          <w:rFonts w:hint="eastAsia" w:ascii="宋体" w:hAnsi="宋体"/>
          <w:highlight w:val="none"/>
        </w:rPr>
      </w:pPr>
      <w:r>
        <w:rPr>
          <w:rFonts w:ascii="宋体" w:hAnsi="宋体"/>
          <w:highlight w:val="none"/>
        </w:rPr>
        <w:t>1.1.2.1 合同当事人:指发包人和（或）承包人。</w:t>
      </w:r>
    </w:p>
    <w:p w14:paraId="0409223E">
      <w:pPr>
        <w:spacing w:line="400" w:lineRule="exact"/>
        <w:ind w:firstLine="718" w:firstLineChars="342"/>
        <w:rPr>
          <w:rFonts w:hint="eastAsia" w:ascii="宋体" w:hAnsi="宋体"/>
          <w:highlight w:val="none"/>
        </w:rPr>
      </w:pPr>
      <w:r>
        <w:rPr>
          <w:rFonts w:ascii="宋体" w:hAnsi="宋体"/>
          <w:highlight w:val="none"/>
        </w:rPr>
        <w:t>1.1.2.2 发包人：指专用合同条款中指明并与承包人在合同协议书中签字的当事人。</w:t>
      </w:r>
    </w:p>
    <w:p w14:paraId="4D40E33D">
      <w:pPr>
        <w:spacing w:line="400" w:lineRule="exact"/>
        <w:ind w:firstLine="718" w:firstLineChars="342"/>
        <w:rPr>
          <w:rFonts w:hint="eastAsia" w:ascii="宋体" w:hAnsi="宋体"/>
          <w:highlight w:val="none"/>
        </w:rPr>
      </w:pPr>
      <w:r>
        <w:rPr>
          <w:rFonts w:ascii="宋体" w:hAnsi="宋体"/>
          <w:highlight w:val="none"/>
        </w:rPr>
        <w:t>1.1.2.3 承包人：指与发包人签订合同协议书的当事人。</w:t>
      </w:r>
    </w:p>
    <w:p w14:paraId="3F7CD845">
      <w:pPr>
        <w:spacing w:line="400" w:lineRule="exact"/>
        <w:ind w:firstLine="718" w:firstLineChars="342"/>
        <w:rPr>
          <w:rFonts w:hint="eastAsia" w:ascii="宋体" w:hAnsi="宋体"/>
          <w:highlight w:val="none"/>
        </w:rPr>
      </w:pPr>
      <w:r>
        <w:rPr>
          <w:rFonts w:ascii="宋体" w:hAnsi="宋体"/>
          <w:highlight w:val="none"/>
        </w:rPr>
        <w:t>1.1.2.4 承包人项目经理：指承包人派驻施工场地的全权负责人。</w:t>
      </w:r>
    </w:p>
    <w:p w14:paraId="1E0664D4">
      <w:pPr>
        <w:spacing w:line="400" w:lineRule="exact"/>
        <w:ind w:firstLine="718" w:firstLineChars="342"/>
        <w:rPr>
          <w:rFonts w:hint="eastAsia" w:ascii="宋体" w:hAnsi="宋体"/>
          <w:highlight w:val="none"/>
        </w:rPr>
      </w:pPr>
      <w:r>
        <w:rPr>
          <w:rFonts w:ascii="宋体" w:hAnsi="宋体"/>
          <w:highlight w:val="none"/>
        </w:rPr>
        <w:t>1.1.2.5 分包人：指从承包人处分包合同中某一部分工程，并与其签订分包合同的分包人。</w:t>
      </w:r>
    </w:p>
    <w:p w14:paraId="6066624E">
      <w:pPr>
        <w:spacing w:line="400" w:lineRule="exact"/>
        <w:ind w:firstLine="718" w:firstLineChars="342"/>
        <w:rPr>
          <w:rFonts w:hint="eastAsia" w:ascii="宋体" w:hAnsi="宋体"/>
          <w:highlight w:val="none"/>
        </w:rPr>
      </w:pPr>
      <w:r>
        <w:rPr>
          <w:rFonts w:ascii="宋体" w:hAnsi="宋体"/>
          <w:highlight w:val="none"/>
        </w:rPr>
        <w:t>1.1.2.6 监理人：指在专用合同条款中指明的，受发包人委托对合同履行实施管理的法人或其他组织。</w:t>
      </w:r>
    </w:p>
    <w:p w14:paraId="7CDABB23">
      <w:pPr>
        <w:spacing w:line="400" w:lineRule="exact"/>
        <w:ind w:firstLine="718" w:firstLineChars="342"/>
        <w:rPr>
          <w:rFonts w:hint="eastAsia" w:ascii="宋体" w:hAnsi="宋体"/>
          <w:highlight w:val="none"/>
        </w:rPr>
      </w:pPr>
      <w:r>
        <w:rPr>
          <w:rFonts w:ascii="宋体" w:hAnsi="宋体"/>
          <w:highlight w:val="none"/>
        </w:rPr>
        <w:t>1.1.2.7 总监理工程师（总监）：指由监理人委派常驻施工场地对合同履行实施管理的全权负责人。</w:t>
      </w:r>
    </w:p>
    <w:p w14:paraId="1BE2749E">
      <w:pPr>
        <w:spacing w:line="400" w:lineRule="exact"/>
        <w:ind w:firstLine="420" w:firstLineChars="200"/>
        <w:rPr>
          <w:rFonts w:hint="eastAsia" w:ascii="宋体" w:hAnsi="宋体"/>
          <w:highlight w:val="none"/>
        </w:rPr>
      </w:pPr>
      <w:r>
        <w:rPr>
          <w:rFonts w:ascii="宋体" w:hAnsi="宋体"/>
          <w:highlight w:val="none"/>
        </w:rPr>
        <w:t xml:space="preserve">1.1.3 </w:t>
      </w:r>
      <w:r>
        <w:rPr>
          <w:rFonts w:hint="eastAsia" w:ascii="宋体" w:hAnsi="宋体" w:cs="宋体"/>
          <w:highlight w:val="none"/>
        </w:rPr>
        <w:t>工程和设备</w:t>
      </w:r>
    </w:p>
    <w:p w14:paraId="2584A082">
      <w:pPr>
        <w:spacing w:line="400" w:lineRule="exact"/>
        <w:ind w:firstLine="718" w:firstLineChars="342"/>
        <w:rPr>
          <w:rFonts w:hint="eastAsia" w:ascii="宋体" w:hAnsi="宋体"/>
          <w:highlight w:val="none"/>
        </w:rPr>
      </w:pPr>
      <w:r>
        <w:rPr>
          <w:rFonts w:ascii="宋体" w:hAnsi="宋体"/>
          <w:highlight w:val="none"/>
        </w:rPr>
        <w:t>1.1.3.1 工程：指永久工程和（或）临时工程。</w:t>
      </w:r>
    </w:p>
    <w:p w14:paraId="47BB63B7">
      <w:pPr>
        <w:spacing w:line="400" w:lineRule="exact"/>
        <w:ind w:firstLine="718" w:firstLineChars="342"/>
        <w:rPr>
          <w:rFonts w:hint="eastAsia" w:ascii="宋体" w:hAnsi="宋体"/>
          <w:highlight w:val="none"/>
        </w:rPr>
      </w:pPr>
      <w:r>
        <w:rPr>
          <w:rFonts w:ascii="宋体" w:hAnsi="宋体"/>
          <w:highlight w:val="none"/>
        </w:rPr>
        <w:t>1.1.3.2 永久工程：指按合同约定建造并移交给发包人的工程，包括工程设备。</w:t>
      </w:r>
    </w:p>
    <w:p w14:paraId="1AB11E71">
      <w:pPr>
        <w:spacing w:line="400" w:lineRule="exact"/>
        <w:ind w:firstLine="718" w:firstLineChars="342"/>
        <w:rPr>
          <w:rFonts w:hint="eastAsia" w:ascii="宋体" w:hAnsi="宋体"/>
          <w:highlight w:val="none"/>
        </w:rPr>
      </w:pPr>
      <w:r>
        <w:rPr>
          <w:rFonts w:ascii="宋体" w:hAnsi="宋体"/>
          <w:highlight w:val="none"/>
        </w:rPr>
        <w:t>1.1.3.3 临时工程：指为完成合同约定的永久工程所修建的各类临时性工程，不包括施工设备。</w:t>
      </w:r>
    </w:p>
    <w:p w14:paraId="7C9186AE">
      <w:pPr>
        <w:spacing w:line="400" w:lineRule="exact"/>
        <w:ind w:firstLine="718" w:firstLineChars="342"/>
        <w:rPr>
          <w:rFonts w:hint="eastAsia" w:ascii="宋体" w:hAnsi="宋体"/>
          <w:highlight w:val="none"/>
        </w:rPr>
      </w:pPr>
      <w:r>
        <w:rPr>
          <w:rFonts w:ascii="宋体" w:hAnsi="宋体"/>
          <w:highlight w:val="none"/>
        </w:rPr>
        <w:t>1.1.3.4 单位工程：指专用合同条款中指明特定范围的永久工程。</w:t>
      </w:r>
    </w:p>
    <w:p w14:paraId="591E28C8">
      <w:pPr>
        <w:spacing w:line="400" w:lineRule="exact"/>
        <w:ind w:firstLine="718" w:firstLineChars="342"/>
        <w:rPr>
          <w:rFonts w:hint="eastAsia" w:ascii="宋体" w:hAnsi="宋体"/>
          <w:highlight w:val="none"/>
        </w:rPr>
      </w:pPr>
      <w:r>
        <w:rPr>
          <w:rFonts w:ascii="宋体" w:hAnsi="宋体"/>
          <w:highlight w:val="none"/>
        </w:rPr>
        <w:t>1.1.3.5 工程设备：指构成或计划构成永久工程一部分的机电设备、金属结构设备、仪器装置及其他类似的设备和装置。</w:t>
      </w:r>
    </w:p>
    <w:p w14:paraId="344C665C">
      <w:pPr>
        <w:spacing w:line="400" w:lineRule="exact"/>
        <w:ind w:firstLine="718" w:firstLineChars="342"/>
        <w:rPr>
          <w:rFonts w:hint="eastAsia" w:ascii="宋体" w:hAnsi="宋体"/>
          <w:highlight w:val="none"/>
        </w:rPr>
      </w:pPr>
      <w:r>
        <w:rPr>
          <w:rFonts w:ascii="宋体" w:hAnsi="宋体"/>
          <w:highlight w:val="none"/>
        </w:rPr>
        <w:t>1.1.3.6 施工设备：指为完成合同约定的各项工作所需的设备、器具和其他物品，不包括临时工程和材料。</w:t>
      </w:r>
    </w:p>
    <w:p w14:paraId="4C384756">
      <w:pPr>
        <w:spacing w:line="400" w:lineRule="exact"/>
        <w:ind w:firstLine="718" w:firstLineChars="342"/>
        <w:rPr>
          <w:rFonts w:hint="eastAsia" w:ascii="宋体" w:hAnsi="宋体"/>
          <w:highlight w:val="none"/>
        </w:rPr>
      </w:pPr>
      <w:r>
        <w:rPr>
          <w:rFonts w:ascii="宋体" w:hAnsi="宋体"/>
          <w:highlight w:val="none"/>
        </w:rPr>
        <w:t>1.1.3.7 临时设施：指为完成合同约定的各项工作所服务的临时性生产和生活设施。</w:t>
      </w:r>
    </w:p>
    <w:p w14:paraId="3600DD5F">
      <w:pPr>
        <w:spacing w:line="400" w:lineRule="exact"/>
        <w:ind w:firstLine="718" w:firstLineChars="342"/>
        <w:rPr>
          <w:rFonts w:hint="eastAsia" w:ascii="宋体" w:hAnsi="宋体"/>
          <w:highlight w:val="none"/>
        </w:rPr>
      </w:pPr>
      <w:r>
        <w:rPr>
          <w:rFonts w:ascii="宋体" w:hAnsi="宋体"/>
          <w:highlight w:val="none"/>
        </w:rPr>
        <w:t>1.1.3.8 承包人设备：指承包人自带的施工设备。</w:t>
      </w:r>
    </w:p>
    <w:p w14:paraId="77F28804">
      <w:pPr>
        <w:spacing w:line="400" w:lineRule="exact"/>
        <w:ind w:firstLine="718" w:firstLineChars="342"/>
        <w:rPr>
          <w:rFonts w:hint="eastAsia" w:ascii="宋体" w:hAnsi="宋体"/>
          <w:highlight w:val="none"/>
        </w:rPr>
      </w:pPr>
      <w:r>
        <w:rPr>
          <w:rFonts w:ascii="宋体" w:hAnsi="宋体"/>
          <w:highlight w:val="none"/>
        </w:rPr>
        <w:t>1.1.3.9 施工场地（或称工地、现场）：指用于合同工程施工的场所，以及在合同中指定作为施工场地组成部分的其他场所，包括永久占地和临时占地。</w:t>
      </w:r>
    </w:p>
    <w:p w14:paraId="48D7CF58">
      <w:pPr>
        <w:spacing w:line="400" w:lineRule="exact"/>
        <w:ind w:firstLine="718" w:firstLineChars="342"/>
        <w:rPr>
          <w:rFonts w:hint="eastAsia" w:ascii="宋体" w:hAnsi="宋体"/>
          <w:highlight w:val="none"/>
        </w:rPr>
      </w:pPr>
      <w:r>
        <w:rPr>
          <w:rFonts w:ascii="宋体" w:hAnsi="宋体"/>
          <w:highlight w:val="none"/>
        </w:rPr>
        <w:t>1.1.3.10 永久占地：指专用合同条款中指明为实施合同工程需永久占用的土地。</w:t>
      </w:r>
    </w:p>
    <w:p w14:paraId="3CDD8638">
      <w:pPr>
        <w:spacing w:line="400" w:lineRule="exact"/>
        <w:ind w:firstLine="718" w:firstLineChars="342"/>
        <w:rPr>
          <w:rFonts w:hint="eastAsia" w:ascii="宋体" w:hAnsi="宋体"/>
          <w:highlight w:val="none"/>
        </w:rPr>
      </w:pPr>
      <w:r>
        <w:rPr>
          <w:rFonts w:ascii="宋体" w:hAnsi="宋体"/>
          <w:highlight w:val="none"/>
        </w:rPr>
        <w:t>1.1.3.11 临时占地：指专用合同条款中指明为实施合同工程需临时占用的土地。</w:t>
      </w:r>
    </w:p>
    <w:p w14:paraId="6BE81CF5">
      <w:pPr>
        <w:spacing w:line="400" w:lineRule="exact"/>
        <w:ind w:firstLine="420" w:firstLineChars="200"/>
        <w:rPr>
          <w:rFonts w:hint="eastAsia" w:ascii="宋体" w:hAnsi="宋体"/>
          <w:highlight w:val="none"/>
        </w:rPr>
      </w:pPr>
      <w:r>
        <w:rPr>
          <w:rFonts w:ascii="宋体" w:hAnsi="宋体"/>
          <w:highlight w:val="none"/>
        </w:rPr>
        <w:t xml:space="preserve">1.1.4 </w:t>
      </w:r>
      <w:r>
        <w:rPr>
          <w:rFonts w:hint="eastAsia" w:ascii="宋体" w:hAnsi="宋体" w:cs="宋体"/>
          <w:highlight w:val="none"/>
        </w:rPr>
        <w:t>日期</w:t>
      </w:r>
    </w:p>
    <w:p w14:paraId="46D7CCED">
      <w:pPr>
        <w:spacing w:line="400" w:lineRule="exact"/>
        <w:ind w:firstLine="718" w:firstLineChars="342"/>
        <w:rPr>
          <w:rFonts w:hint="eastAsia" w:ascii="宋体" w:hAnsi="宋体"/>
          <w:highlight w:val="none"/>
        </w:rPr>
      </w:pPr>
      <w:r>
        <w:rPr>
          <w:rFonts w:ascii="宋体" w:hAnsi="宋体"/>
          <w:highlight w:val="none"/>
        </w:rPr>
        <w:t>1.1.4.1 开工通知：指监理人按第11.1款通知承包人开工的函件。</w:t>
      </w:r>
    </w:p>
    <w:p w14:paraId="33752EF3">
      <w:pPr>
        <w:spacing w:line="400" w:lineRule="exact"/>
        <w:ind w:firstLine="718" w:firstLineChars="342"/>
        <w:rPr>
          <w:rFonts w:hint="eastAsia" w:ascii="宋体" w:hAnsi="宋体"/>
          <w:highlight w:val="none"/>
        </w:rPr>
      </w:pPr>
      <w:r>
        <w:rPr>
          <w:rFonts w:ascii="宋体" w:hAnsi="宋体"/>
          <w:highlight w:val="none"/>
        </w:rPr>
        <w:t>1.1.4.2 开工日期：指监理人按第11.1款发出的开工通知中写明的开工日期。</w:t>
      </w:r>
    </w:p>
    <w:p w14:paraId="7006FDDB">
      <w:pPr>
        <w:spacing w:line="400" w:lineRule="exact"/>
        <w:ind w:firstLine="718" w:firstLineChars="342"/>
        <w:rPr>
          <w:rFonts w:hint="eastAsia" w:ascii="宋体" w:hAnsi="宋体"/>
          <w:highlight w:val="none"/>
        </w:rPr>
      </w:pPr>
      <w:r>
        <w:rPr>
          <w:rFonts w:ascii="宋体" w:hAnsi="宋体"/>
          <w:highlight w:val="none"/>
        </w:rPr>
        <w:t>1.1.4.3工期：指承包人在投标函中承诺的完成合同工程所需的期限，包括按第11.3款、第11.4款和第11.6款约定所作的变更。</w:t>
      </w:r>
    </w:p>
    <w:p w14:paraId="23CE47DC">
      <w:pPr>
        <w:spacing w:line="400" w:lineRule="exact"/>
        <w:ind w:firstLine="718" w:firstLineChars="342"/>
        <w:rPr>
          <w:rFonts w:hint="eastAsia" w:ascii="宋体" w:hAnsi="宋体"/>
          <w:highlight w:val="none"/>
        </w:rPr>
      </w:pPr>
      <w:r>
        <w:rPr>
          <w:rFonts w:ascii="宋体" w:hAnsi="宋体"/>
          <w:highlight w:val="none"/>
        </w:rPr>
        <w:t>1.1.4.4 竣工日期：指第1.1.4.3目约定工期届满时的日期。实际竣工日期以工程接收证书中写明的日期为准。</w:t>
      </w:r>
    </w:p>
    <w:p w14:paraId="2D5D5AE8">
      <w:pPr>
        <w:spacing w:line="400" w:lineRule="exact"/>
        <w:ind w:firstLine="718" w:firstLineChars="342"/>
        <w:rPr>
          <w:rFonts w:hint="eastAsia" w:ascii="宋体" w:hAnsi="宋体"/>
          <w:highlight w:val="none"/>
        </w:rPr>
      </w:pPr>
      <w:r>
        <w:rPr>
          <w:rFonts w:ascii="宋体" w:hAnsi="宋体"/>
          <w:highlight w:val="none"/>
        </w:rPr>
        <w:t>1.1.4.5 缺陷责任期：指履行第19.2款约定的缺陷责任的期限，具体期限由专用合同条款约定，包括根据第19.3款约定所作的延长。</w:t>
      </w:r>
    </w:p>
    <w:p w14:paraId="53AB12F9">
      <w:pPr>
        <w:spacing w:line="400" w:lineRule="exact"/>
        <w:ind w:firstLine="718" w:firstLineChars="342"/>
        <w:rPr>
          <w:rFonts w:hint="eastAsia" w:ascii="宋体" w:hAnsi="宋体"/>
          <w:highlight w:val="none"/>
        </w:rPr>
      </w:pPr>
      <w:r>
        <w:rPr>
          <w:rFonts w:ascii="宋体" w:hAnsi="宋体"/>
          <w:highlight w:val="none"/>
        </w:rPr>
        <w:t>1.1.4.6 基准日期：指投标截止时间前28天的日期。</w:t>
      </w:r>
    </w:p>
    <w:p w14:paraId="441831F4">
      <w:pPr>
        <w:spacing w:line="400" w:lineRule="exact"/>
        <w:ind w:firstLine="718" w:firstLineChars="342"/>
        <w:rPr>
          <w:rFonts w:hint="eastAsia" w:ascii="宋体" w:hAnsi="宋体"/>
          <w:highlight w:val="none"/>
        </w:rPr>
      </w:pPr>
      <w:r>
        <w:rPr>
          <w:rFonts w:ascii="宋体" w:hAnsi="宋体"/>
          <w:highlight w:val="none"/>
        </w:rPr>
        <w:t>1.1.4.7 天：除特别指明外，指日历天。合同中按天计算时间的，开始当天不计入，从次日开始计算。期限最后一天的截止时间为当天24:00。</w:t>
      </w:r>
    </w:p>
    <w:p w14:paraId="1FA4DBCB">
      <w:pPr>
        <w:spacing w:line="400" w:lineRule="exact"/>
        <w:ind w:firstLine="420" w:firstLineChars="200"/>
        <w:rPr>
          <w:rFonts w:hint="eastAsia" w:ascii="宋体" w:hAnsi="宋体"/>
          <w:highlight w:val="none"/>
        </w:rPr>
      </w:pPr>
      <w:r>
        <w:rPr>
          <w:rFonts w:ascii="宋体" w:hAnsi="宋体"/>
          <w:highlight w:val="none"/>
        </w:rPr>
        <w:t xml:space="preserve">1.1.5 </w:t>
      </w:r>
      <w:r>
        <w:rPr>
          <w:rFonts w:hint="eastAsia" w:ascii="宋体" w:hAnsi="宋体" w:cs="宋体"/>
          <w:highlight w:val="none"/>
        </w:rPr>
        <w:t>合同价格和费用</w:t>
      </w:r>
    </w:p>
    <w:p w14:paraId="7D2C2771">
      <w:pPr>
        <w:spacing w:line="400" w:lineRule="exact"/>
        <w:ind w:firstLine="718" w:firstLineChars="342"/>
        <w:rPr>
          <w:rFonts w:hint="eastAsia" w:ascii="宋体" w:hAnsi="宋体"/>
          <w:highlight w:val="none"/>
        </w:rPr>
      </w:pPr>
      <w:r>
        <w:rPr>
          <w:rFonts w:ascii="宋体" w:hAnsi="宋体"/>
          <w:highlight w:val="none"/>
        </w:rPr>
        <w:t>1.1.5.1 签约合同价：指签定合同时合同协议书中写明的，包括了暂列金额、暂估价的合同总金额。</w:t>
      </w:r>
    </w:p>
    <w:p w14:paraId="608BBE29">
      <w:pPr>
        <w:spacing w:line="400" w:lineRule="exact"/>
        <w:ind w:firstLine="718" w:firstLineChars="342"/>
        <w:rPr>
          <w:rFonts w:hint="eastAsia" w:ascii="宋体" w:hAnsi="宋体"/>
          <w:highlight w:val="none"/>
        </w:rPr>
      </w:pPr>
      <w:r>
        <w:rPr>
          <w:rFonts w:ascii="宋体" w:hAnsi="宋体"/>
          <w:highlight w:val="none"/>
        </w:rPr>
        <w:t>1.1.5.2 合同价格：指承包人按合同约定完成了包括缺陷责任期内的全部承包工作后，发包人应付给承包人的金额，包括在履行合同过程中按合同约定进行的变更和调整。</w:t>
      </w:r>
    </w:p>
    <w:p w14:paraId="3AB727A4">
      <w:pPr>
        <w:spacing w:line="400" w:lineRule="exact"/>
        <w:ind w:firstLine="718" w:firstLineChars="342"/>
        <w:rPr>
          <w:rFonts w:hint="eastAsia" w:ascii="宋体" w:hAnsi="宋体"/>
          <w:highlight w:val="none"/>
        </w:rPr>
      </w:pPr>
      <w:r>
        <w:rPr>
          <w:rFonts w:ascii="宋体" w:hAnsi="宋体"/>
          <w:highlight w:val="none"/>
        </w:rPr>
        <w:t>1.1.5.3 费用：指为履行合同所发生的或将要发生的所有合理开支，包括管理费和应分摊的其他费用，但不包括利润。</w:t>
      </w:r>
    </w:p>
    <w:p w14:paraId="45B2E7CA">
      <w:pPr>
        <w:spacing w:line="400" w:lineRule="exact"/>
        <w:ind w:firstLine="718" w:firstLineChars="342"/>
        <w:rPr>
          <w:rFonts w:hint="eastAsia" w:ascii="宋体" w:hAnsi="宋体"/>
          <w:highlight w:val="none"/>
        </w:rPr>
      </w:pPr>
      <w:r>
        <w:rPr>
          <w:rFonts w:ascii="宋体" w:hAnsi="宋体"/>
          <w:highlight w:val="none"/>
        </w:rPr>
        <w:t>1.1.5.4 暂列金额：指已标价工程量清单中所列的暂列金额，用于在签订协议书时尚未确定或不可预见变更的施工及其所需材料、工程设备、服务等的金额，包括以计日工方式支付的金额。</w:t>
      </w:r>
    </w:p>
    <w:p w14:paraId="5D48141D">
      <w:pPr>
        <w:spacing w:line="400" w:lineRule="exact"/>
        <w:ind w:firstLine="718" w:firstLineChars="342"/>
        <w:rPr>
          <w:rFonts w:hint="eastAsia" w:ascii="宋体" w:hAnsi="宋体"/>
          <w:highlight w:val="none"/>
        </w:rPr>
      </w:pPr>
      <w:r>
        <w:rPr>
          <w:rFonts w:ascii="宋体" w:hAnsi="宋体"/>
          <w:highlight w:val="none"/>
        </w:rPr>
        <w:t>1.1.5.5暂估价：指发包人在工程量清单中给定的用于支付必然发生但暂时不能确定价格的材料、设备以及专业工程的金额。</w:t>
      </w:r>
    </w:p>
    <w:p w14:paraId="6CFCACF8">
      <w:pPr>
        <w:spacing w:line="400" w:lineRule="exact"/>
        <w:ind w:firstLine="718" w:firstLineChars="342"/>
        <w:rPr>
          <w:rFonts w:hint="eastAsia" w:ascii="宋体" w:hAnsi="宋体"/>
          <w:highlight w:val="none"/>
        </w:rPr>
      </w:pPr>
      <w:r>
        <w:rPr>
          <w:rFonts w:ascii="宋体" w:hAnsi="宋体"/>
          <w:highlight w:val="none"/>
        </w:rPr>
        <w:t>1.1.5.6 计日工：指对零星工作采取的一种计价方式，按合同中的计日工子目及其单价计价付款。</w:t>
      </w:r>
    </w:p>
    <w:p w14:paraId="5155C9C3">
      <w:pPr>
        <w:spacing w:line="400" w:lineRule="exact"/>
        <w:ind w:firstLine="718" w:firstLineChars="342"/>
        <w:rPr>
          <w:rFonts w:hint="eastAsia" w:ascii="宋体" w:hAnsi="宋体"/>
          <w:highlight w:val="none"/>
        </w:rPr>
      </w:pPr>
      <w:r>
        <w:rPr>
          <w:rFonts w:ascii="宋体" w:hAnsi="宋体"/>
          <w:highlight w:val="none"/>
        </w:rPr>
        <w:t>1.1.5.7 质量保证金（或称保留金）：指按第17.4.1项约定用于保证在缺陷责任期内履行缺陷修复义务的金额。</w:t>
      </w:r>
    </w:p>
    <w:p w14:paraId="72ECBE48">
      <w:pPr>
        <w:spacing w:line="400" w:lineRule="exact"/>
        <w:ind w:firstLine="420" w:firstLineChars="200"/>
        <w:rPr>
          <w:rFonts w:hint="eastAsia" w:ascii="宋体" w:hAnsi="宋体"/>
          <w:highlight w:val="none"/>
        </w:rPr>
      </w:pPr>
      <w:r>
        <w:rPr>
          <w:rFonts w:ascii="宋体" w:hAnsi="宋体"/>
          <w:highlight w:val="none"/>
        </w:rPr>
        <w:t xml:space="preserve">1.1.6 </w:t>
      </w:r>
      <w:r>
        <w:rPr>
          <w:rFonts w:hint="eastAsia" w:ascii="宋体" w:hAnsi="宋体" w:cs="宋体"/>
          <w:highlight w:val="none"/>
        </w:rPr>
        <w:t>其他</w:t>
      </w:r>
    </w:p>
    <w:p w14:paraId="6A6E6DA7">
      <w:pPr>
        <w:spacing w:line="400" w:lineRule="exact"/>
        <w:ind w:firstLine="718" w:firstLineChars="342"/>
        <w:rPr>
          <w:rFonts w:hint="eastAsia" w:ascii="宋体" w:hAnsi="宋体"/>
          <w:highlight w:val="none"/>
        </w:rPr>
      </w:pPr>
      <w:r>
        <w:rPr>
          <w:rFonts w:ascii="宋体" w:hAnsi="宋体"/>
          <w:highlight w:val="none"/>
        </w:rPr>
        <w:t>1.1.6.1 书面形式：指合同文件、信函、电报、传真等可以有形地表现所载内容的形式。</w:t>
      </w:r>
    </w:p>
    <w:p w14:paraId="4ED9A188">
      <w:pPr>
        <w:keepNext/>
        <w:keepLines/>
        <w:spacing w:line="400" w:lineRule="exact"/>
        <w:outlineLvl w:val="2"/>
        <w:rPr>
          <w:rFonts w:hint="eastAsia" w:ascii="宋体" w:hAnsi="宋体"/>
          <w:sz w:val="24"/>
          <w:szCs w:val="20"/>
          <w:highlight w:val="none"/>
        </w:rPr>
      </w:pPr>
      <w:bookmarkStart w:id="703" w:name="_Toc144974581"/>
      <w:bookmarkStart w:id="704" w:name="_Toc152042391"/>
      <w:bookmarkStart w:id="705" w:name="_Toc338944706"/>
      <w:bookmarkStart w:id="706" w:name="_Toc342296264"/>
      <w:bookmarkStart w:id="707" w:name="_Toc159950614"/>
      <w:bookmarkStart w:id="708" w:name="_Toc152045613"/>
      <w:bookmarkStart w:id="709" w:name="_Toc179632631"/>
      <w:r>
        <w:rPr>
          <w:rFonts w:ascii="宋体" w:hAnsi="宋体"/>
          <w:sz w:val="24"/>
          <w:szCs w:val="20"/>
          <w:highlight w:val="none"/>
        </w:rPr>
        <w:t>1.2 语言文字</w:t>
      </w:r>
      <w:bookmarkEnd w:id="703"/>
      <w:bookmarkEnd w:id="704"/>
      <w:bookmarkEnd w:id="705"/>
      <w:bookmarkEnd w:id="706"/>
      <w:bookmarkEnd w:id="707"/>
      <w:bookmarkEnd w:id="708"/>
      <w:bookmarkEnd w:id="709"/>
    </w:p>
    <w:p w14:paraId="7464A07E">
      <w:pPr>
        <w:spacing w:line="400" w:lineRule="exact"/>
        <w:ind w:firstLine="420" w:firstLineChars="200"/>
        <w:rPr>
          <w:rFonts w:hint="eastAsia" w:ascii="宋体" w:hAnsi="宋体"/>
          <w:highlight w:val="none"/>
        </w:rPr>
      </w:pPr>
      <w:r>
        <w:rPr>
          <w:rFonts w:ascii="宋体" w:hAnsi="宋体"/>
          <w:highlight w:val="none"/>
        </w:rPr>
        <w:t>除专用术语外，合同使用的语言文字为中文。必要时专用术语应附有中文注释。</w:t>
      </w:r>
    </w:p>
    <w:p w14:paraId="082EAB88">
      <w:pPr>
        <w:keepNext/>
        <w:keepLines/>
        <w:spacing w:line="400" w:lineRule="exact"/>
        <w:outlineLvl w:val="2"/>
        <w:rPr>
          <w:rFonts w:hint="eastAsia" w:ascii="宋体" w:hAnsi="宋体"/>
          <w:sz w:val="24"/>
          <w:szCs w:val="20"/>
          <w:highlight w:val="none"/>
        </w:rPr>
      </w:pPr>
      <w:bookmarkStart w:id="710" w:name="_Toc338944707"/>
      <w:bookmarkStart w:id="711" w:name="_Toc179632632"/>
      <w:bookmarkStart w:id="712" w:name="_Toc152042392"/>
      <w:bookmarkStart w:id="713" w:name="_Toc159950615"/>
      <w:bookmarkStart w:id="714" w:name="_Toc144974582"/>
      <w:bookmarkStart w:id="715" w:name="_Toc342296265"/>
      <w:bookmarkStart w:id="716" w:name="_Toc152045614"/>
      <w:r>
        <w:rPr>
          <w:rFonts w:ascii="宋体" w:hAnsi="宋体"/>
          <w:sz w:val="24"/>
          <w:szCs w:val="20"/>
          <w:highlight w:val="none"/>
        </w:rPr>
        <w:t>1.3 法律</w:t>
      </w:r>
      <w:bookmarkEnd w:id="710"/>
      <w:bookmarkEnd w:id="711"/>
      <w:bookmarkEnd w:id="712"/>
      <w:bookmarkEnd w:id="713"/>
      <w:bookmarkEnd w:id="714"/>
      <w:bookmarkEnd w:id="715"/>
      <w:bookmarkEnd w:id="716"/>
    </w:p>
    <w:p w14:paraId="7AAEC745">
      <w:pPr>
        <w:spacing w:line="400" w:lineRule="exact"/>
        <w:ind w:firstLine="420" w:firstLineChars="200"/>
        <w:rPr>
          <w:rFonts w:hint="eastAsia" w:ascii="宋体" w:hAnsi="宋体"/>
          <w:highlight w:val="none"/>
        </w:rPr>
      </w:pPr>
      <w:r>
        <w:rPr>
          <w:rFonts w:ascii="宋体" w:hAnsi="宋体"/>
          <w:highlight w:val="none"/>
        </w:rPr>
        <w:t>适用于合同的法律包括中华人民共和国法律、行政法规、部门规章，以及工程所在地的地方法规、自治条例、单行条例和地方政府规章。</w:t>
      </w:r>
    </w:p>
    <w:p w14:paraId="2752D485">
      <w:pPr>
        <w:keepNext/>
        <w:keepLines/>
        <w:spacing w:line="400" w:lineRule="exact"/>
        <w:outlineLvl w:val="2"/>
        <w:rPr>
          <w:rFonts w:hint="eastAsia" w:ascii="宋体" w:hAnsi="宋体"/>
          <w:sz w:val="24"/>
          <w:szCs w:val="20"/>
          <w:highlight w:val="none"/>
        </w:rPr>
      </w:pPr>
      <w:bookmarkStart w:id="717" w:name="_Toc342296266"/>
      <w:bookmarkStart w:id="718" w:name="_Toc338944708"/>
      <w:bookmarkStart w:id="719" w:name="_Toc159950616"/>
      <w:r>
        <w:rPr>
          <w:rFonts w:ascii="宋体" w:hAnsi="宋体"/>
          <w:sz w:val="24"/>
          <w:szCs w:val="20"/>
          <w:highlight w:val="none"/>
        </w:rPr>
        <w:t>1.4 合同文件的优先顺序</w:t>
      </w:r>
      <w:bookmarkEnd w:id="717"/>
      <w:bookmarkEnd w:id="718"/>
      <w:bookmarkEnd w:id="719"/>
    </w:p>
    <w:p w14:paraId="1164EE4B">
      <w:pPr>
        <w:spacing w:line="400" w:lineRule="exact"/>
        <w:ind w:firstLine="420" w:firstLineChars="200"/>
        <w:rPr>
          <w:rFonts w:hint="eastAsia" w:ascii="宋体" w:hAnsi="宋体"/>
          <w:highlight w:val="none"/>
        </w:rPr>
      </w:pPr>
      <w:r>
        <w:rPr>
          <w:rFonts w:ascii="宋体" w:hAnsi="宋体"/>
          <w:highlight w:val="none"/>
        </w:rPr>
        <w:t>组成合同的各项文件应互相解释，互为说明。除专用合同条款另有约定外，解释合同文件的优先顺序如下：</w:t>
      </w:r>
    </w:p>
    <w:p w14:paraId="42450B07">
      <w:pPr>
        <w:spacing w:line="400" w:lineRule="exact"/>
        <w:ind w:firstLine="359" w:firstLineChars="171"/>
        <w:rPr>
          <w:rFonts w:hint="eastAsia" w:ascii="宋体" w:hAnsi="宋体"/>
          <w:highlight w:val="none"/>
        </w:rPr>
      </w:pPr>
      <w:r>
        <w:rPr>
          <w:rFonts w:ascii="宋体" w:hAnsi="宋体"/>
          <w:highlight w:val="none"/>
        </w:rPr>
        <w:t>（1）合同协议书；</w:t>
      </w:r>
    </w:p>
    <w:p w14:paraId="3E6CCC57">
      <w:pPr>
        <w:spacing w:line="400" w:lineRule="exact"/>
        <w:ind w:firstLine="359" w:firstLineChars="171"/>
        <w:rPr>
          <w:rFonts w:hint="eastAsia" w:ascii="宋体" w:hAnsi="宋体"/>
          <w:highlight w:val="none"/>
        </w:rPr>
      </w:pPr>
      <w:r>
        <w:rPr>
          <w:rFonts w:ascii="宋体" w:hAnsi="宋体"/>
          <w:highlight w:val="none"/>
        </w:rPr>
        <w:t>（2）中标通知书；</w:t>
      </w:r>
    </w:p>
    <w:p w14:paraId="01BA615F">
      <w:pPr>
        <w:spacing w:line="400" w:lineRule="exact"/>
        <w:ind w:firstLine="359" w:firstLineChars="171"/>
        <w:rPr>
          <w:rFonts w:hint="eastAsia" w:ascii="宋体" w:hAnsi="宋体"/>
          <w:highlight w:val="none"/>
        </w:rPr>
      </w:pPr>
      <w:r>
        <w:rPr>
          <w:rFonts w:ascii="宋体" w:hAnsi="宋体"/>
          <w:highlight w:val="none"/>
        </w:rPr>
        <w:t>（3）投标函及投标函附录；</w:t>
      </w:r>
    </w:p>
    <w:p w14:paraId="2990D93C">
      <w:pPr>
        <w:spacing w:line="400" w:lineRule="exact"/>
        <w:ind w:firstLine="359" w:firstLineChars="171"/>
        <w:rPr>
          <w:rFonts w:hint="eastAsia" w:ascii="宋体" w:hAnsi="宋体"/>
          <w:highlight w:val="none"/>
        </w:rPr>
      </w:pPr>
      <w:r>
        <w:rPr>
          <w:rFonts w:ascii="宋体" w:hAnsi="宋体"/>
          <w:highlight w:val="none"/>
        </w:rPr>
        <w:t>（4）专用合同条款；</w:t>
      </w:r>
    </w:p>
    <w:p w14:paraId="0E33FC3B">
      <w:pPr>
        <w:spacing w:line="400" w:lineRule="exact"/>
        <w:ind w:firstLine="359" w:firstLineChars="171"/>
        <w:rPr>
          <w:rFonts w:hint="eastAsia" w:ascii="宋体" w:hAnsi="宋体"/>
          <w:highlight w:val="none"/>
        </w:rPr>
      </w:pPr>
      <w:r>
        <w:rPr>
          <w:rFonts w:ascii="宋体" w:hAnsi="宋体"/>
          <w:highlight w:val="none"/>
        </w:rPr>
        <w:t>（5）通用合同条款；</w:t>
      </w:r>
    </w:p>
    <w:p w14:paraId="65058E72">
      <w:pPr>
        <w:spacing w:line="400" w:lineRule="exact"/>
        <w:ind w:firstLine="359" w:firstLineChars="171"/>
        <w:rPr>
          <w:rFonts w:hint="eastAsia" w:ascii="宋体" w:hAnsi="宋体"/>
          <w:highlight w:val="none"/>
        </w:rPr>
      </w:pPr>
      <w:r>
        <w:rPr>
          <w:rFonts w:ascii="宋体" w:hAnsi="宋体"/>
          <w:highlight w:val="none"/>
        </w:rPr>
        <w:t>（6）技术标准和要求；</w:t>
      </w:r>
    </w:p>
    <w:p w14:paraId="12096425">
      <w:pPr>
        <w:spacing w:line="400" w:lineRule="exact"/>
        <w:ind w:firstLine="359" w:firstLineChars="171"/>
        <w:rPr>
          <w:rFonts w:hint="eastAsia" w:ascii="宋体" w:hAnsi="宋体"/>
          <w:highlight w:val="none"/>
        </w:rPr>
      </w:pPr>
      <w:r>
        <w:rPr>
          <w:rFonts w:ascii="宋体" w:hAnsi="宋体"/>
          <w:highlight w:val="none"/>
        </w:rPr>
        <w:t>（7）图纸；</w:t>
      </w:r>
    </w:p>
    <w:p w14:paraId="01698CF2">
      <w:pPr>
        <w:spacing w:line="400" w:lineRule="exact"/>
        <w:ind w:firstLine="359" w:firstLineChars="171"/>
        <w:rPr>
          <w:rFonts w:hint="eastAsia" w:ascii="宋体" w:hAnsi="宋体"/>
          <w:highlight w:val="none"/>
        </w:rPr>
      </w:pPr>
      <w:r>
        <w:rPr>
          <w:rFonts w:ascii="宋体" w:hAnsi="宋体"/>
          <w:highlight w:val="none"/>
        </w:rPr>
        <w:t>（8）已标价工程量清单；</w:t>
      </w:r>
    </w:p>
    <w:p w14:paraId="4C134C32">
      <w:pPr>
        <w:spacing w:line="400" w:lineRule="exact"/>
        <w:ind w:firstLine="359" w:firstLineChars="171"/>
        <w:rPr>
          <w:rFonts w:hint="eastAsia" w:ascii="宋体" w:hAnsi="宋体"/>
          <w:highlight w:val="none"/>
        </w:rPr>
      </w:pPr>
      <w:r>
        <w:rPr>
          <w:rFonts w:ascii="宋体" w:hAnsi="宋体"/>
          <w:highlight w:val="none"/>
        </w:rPr>
        <w:t>（9）其他合同文件。</w:t>
      </w:r>
    </w:p>
    <w:p w14:paraId="6F38F950">
      <w:pPr>
        <w:keepNext/>
        <w:keepLines/>
        <w:spacing w:line="400" w:lineRule="exact"/>
        <w:outlineLvl w:val="2"/>
        <w:rPr>
          <w:rFonts w:hint="eastAsia" w:ascii="宋体" w:hAnsi="宋体"/>
          <w:sz w:val="24"/>
          <w:szCs w:val="20"/>
          <w:highlight w:val="none"/>
        </w:rPr>
      </w:pPr>
      <w:bookmarkStart w:id="720" w:name="_Toc342296267"/>
      <w:bookmarkStart w:id="721" w:name="_Toc159950617"/>
      <w:bookmarkStart w:id="722" w:name="_Toc338944709"/>
      <w:r>
        <w:rPr>
          <w:rFonts w:ascii="宋体" w:hAnsi="宋体"/>
          <w:sz w:val="24"/>
          <w:szCs w:val="20"/>
          <w:highlight w:val="none"/>
        </w:rPr>
        <w:t>1.5 合同协议书</w:t>
      </w:r>
      <w:bookmarkEnd w:id="720"/>
      <w:bookmarkEnd w:id="721"/>
      <w:bookmarkEnd w:id="722"/>
    </w:p>
    <w:p w14:paraId="6AFA9847">
      <w:pPr>
        <w:spacing w:line="400" w:lineRule="exact"/>
        <w:ind w:firstLine="420" w:firstLineChars="200"/>
        <w:rPr>
          <w:rFonts w:hint="eastAsia" w:ascii="宋体" w:hAnsi="宋体"/>
          <w:highlight w:val="none"/>
        </w:rPr>
      </w:pPr>
      <w:r>
        <w:rPr>
          <w:rFonts w:ascii="宋体" w:hAnsi="宋体"/>
          <w:highlight w:val="none"/>
        </w:rPr>
        <w:t>承包人按中标通知书规定的时间与发包人签订合同协议书。除法律另有规定或合同另有约定外，发包人和承包人的法定代表人或其委托代理人在合同协议书上签字并盖单位章后，合同生效。</w:t>
      </w:r>
    </w:p>
    <w:p w14:paraId="56E48D8A">
      <w:pPr>
        <w:keepNext/>
        <w:keepLines/>
        <w:spacing w:line="400" w:lineRule="exact"/>
        <w:outlineLvl w:val="2"/>
        <w:rPr>
          <w:rFonts w:hint="eastAsia" w:ascii="宋体" w:hAnsi="宋体"/>
          <w:sz w:val="24"/>
          <w:szCs w:val="20"/>
          <w:highlight w:val="none"/>
        </w:rPr>
      </w:pPr>
      <w:bookmarkStart w:id="723" w:name="_Toc342296268"/>
      <w:bookmarkStart w:id="724" w:name="_Toc338944710"/>
      <w:bookmarkStart w:id="725" w:name="_Toc159950618"/>
      <w:r>
        <w:rPr>
          <w:rFonts w:ascii="宋体" w:hAnsi="宋体"/>
          <w:sz w:val="24"/>
          <w:szCs w:val="20"/>
          <w:highlight w:val="none"/>
        </w:rPr>
        <w:t>1.6 图纸和承包人文件</w:t>
      </w:r>
      <w:bookmarkEnd w:id="723"/>
      <w:bookmarkEnd w:id="724"/>
      <w:bookmarkEnd w:id="725"/>
    </w:p>
    <w:p w14:paraId="3BA53025">
      <w:pPr>
        <w:spacing w:line="400" w:lineRule="exact"/>
        <w:ind w:firstLine="420" w:firstLineChars="200"/>
        <w:rPr>
          <w:rFonts w:hint="eastAsia" w:ascii="宋体" w:hAnsi="宋体"/>
          <w:highlight w:val="none"/>
        </w:rPr>
      </w:pPr>
      <w:r>
        <w:rPr>
          <w:rFonts w:ascii="宋体" w:hAnsi="宋体"/>
          <w:highlight w:val="none"/>
        </w:rPr>
        <w:t>1.6.1</w:t>
      </w:r>
      <w:r>
        <w:rPr>
          <w:rFonts w:hint="eastAsia" w:ascii="宋体" w:hAnsi="宋体" w:cs="宋体"/>
          <w:highlight w:val="none"/>
        </w:rPr>
        <w:t>图纸的提供</w:t>
      </w:r>
      <w:r>
        <w:rPr>
          <w:rFonts w:hint="eastAsia" w:ascii="宋体" w:hAnsi="宋体"/>
          <w:highlight w:val="none"/>
        </w:rPr>
        <w:t>和交底</w:t>
      </w:r>
    </w:p>
    <w:p w14:paraId="380B1C27">
      <w:pPr>
        <w:spacing w:line="400" w:lineRule="exact"/>
        <w:ind w:firstLine="420" w:firstLineChars="200"/>
        <w:rPr>
          <w:rFonts w:hint="eastAsia" w:ascii="宋体" w:hAnsi="宋体"/>
          <w:highlight w:val="none"/>
        </w:rPr>
      </w:pPr>
      <w:r>
        <w:rPr>
          <w:rFonts w:hint="eastAsia" w:ascii="宋体" w:hAnsi="宋体"/>
          <w:highlight w:val="none"/>
        </w:rPr>
        <w:t>发包人应按照专用合同条款约定的期限、数量和内容向承包人免费提供图纸，并组织承包人、监理人和设计人进行图纸会审和设计交底。</w:t>
      </w:r>
      <w:r>
        <w:rPr>
          <w:rFonts w:ascii="宋体" w:hAnsi="宋体"/>
          <w:highlight w:val="none"/>
        </w:rPr>
        <w:t xml:space="preserve">。由于发包人未按时提供图纸造成工期延误的，按第11.3款的约定办理。1.6.2 </w:t>
      </w:r>
      <w:r>
        <w:rPr>
          <w:rFonts w:hint="eastAsia" w:ascii="宋体" w:hAnsi="宋体" w:cs="宋体"/>
          <w:highlight w:val="none"/>
        </w:rPr>
        <w:t>承包人提供的文件</w:t>
      </w:r>
    </w:p>
    <w:p w14:paraId="27DDA6A4">
      <w:pPr>
        <w:spacing w:line="400" w:lineRule="exact"/>
        <w:rPr>
          <w:rFonts w:hint="eastAsia" w:ascii="宋体" w:hAnsi="宋体"/>
          <w:highlight w:val="none"/>
        </w:rPr>
      </w:pPr>
      <w:r>
        <w:rPr>
          <w:rFonts w:ascii="宋体" w:hAnsi="宋体"/>
          <w:highlight w:val="none"/>
        </w:rPr>
        <w:t>　　</w:t>
      </w:r>
      <w:r>
        <w:rPr>
          <w:rFonts w:hint="eastAsia" w:ascii="宋体" w:hAnsi="宋体"/>
          <w:highlight w:val="none"/>
        </w:rPr>
        <w:t>承包人应按照专用合同条款的约定提供应当由其编制的与工程施工有关的文件，其中应</w:t>
      </w:r>
      <w:r>
        <w:rPr>
          <w:rFonts w:ascii="宋体" w:hAnsi="宋体"/>
          <w:highlight w:val="none"/>
        </w:rPr>
        <w:t>包括部分工程的大样图、加工图等</w:t>
      </w:r>
      <w:r>
        <w:rPr>
          <w:rFonts w:hint="eastAsia" w:ascii="宋体" w:hAnsi="宋体"/>
          <w:highlight w:val="none"/>
        </w:rPr>
        <w:t>。同时按照专用合同条款约定的期限、数量和形式提交监理人，由监理人报送发包人。除专用合同条款另有约定外，监理人应在收到承包人文件后</w:t>
      </w:r>
      <w:r>
        <w:rPr>
          <w:rFonts w:ascii="宋体" w:hAnsi="宋体"/>
          <w:highlight w:val="none"/>
        </w:rPr>
        <w:t>7天内审查完毕，监理人对承包人文件有异议的，承包人应予以修改，并重新报送监理人</w:t>
      </w:r>
      <w:r>
        <w:rPr>
          <w:rFonts w:hint="eastAsia" w:ascii="宋体" w:hAnsi="宋体"/>
          <w:highlight w:val="none"/>
        </w:rPr>
        <w:t>。</w:t>
      </w:r>
    </w:p>
    <w:p w14:paraId="4D7AA886">
      <w:pPr>
        <w:spacing w:line="400" w:lineRule="exact"/>
        <w:ind w:firstLine="420" w:firstLineChars="200"/>
        <w:rPr>
          <w:rFonts w:hint="eastAsia" w:ascii="宋体" w:hAnsi="宋体"/>
          <w:highlight w:val="none"/>
        </w:rPr>
      </w:pPr>
      <w:r>
        <w:rPr>
          <w:rFonts w:ascii="宋体" w:hAnsi="宋体"/>
          <w:highlight w:val="none"/>
        </w:rPr>
        <w:t xml:space="preserve">1.6.3 </w:t>
      </w:r>
      <w:r>
        <w:rPr>
          <w:rFonts w:hint="eastAsia" w:ascii="宋体" w:hAnsi="宋体" w:cs="宋体"/>
          <w:highlight w:val="none"/>
        </w:rPr>
        <w:t>图纸的修改</w:t>
      </w:r>
    </w:p>
    <w:p w14:paraId="18FFBB49">
      <w:pPr>
        <w:spacing w:line="400" w:lineRule="exact"/>
        <w:ind w:firstLine="420" w:firstLineChars="200"/>
        <w:rPr>
          <w:rFonts w:hint="eastAsia" w:ascii="宋体" w:hAnsi="宋体"/>
          <w:highlight w:val="none"/>
        </w:rPr>
      </w:pPr>
      <w:r>
        <w:rPr>
          <w:rFonts w:ascii="宋体" w:hAnsi="宋体"/>
          <w:highlight w:val="none"/>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14:paraId="72A48BC0">
      <w:pPr>
        <w:spacing w:line="400" w:lineRule="exact"/>
        <w:ind w:firstLine="420" w:firstLineChars="200"/>
        <w:rPr>
          <w:rFonts w:hint="eastAsia" w:ascii="宋体" w:hAnsi="宋体"/>
          <w:highlight w:val="none"/>
        </w:rPr>
      </w:pPr>
      <w:r>
        <w:rPr>
          <w:rFonts w:ascii="宋体" w:hAnsi="宋体"/>
          <w:highlight w:val="none"/>
        </w:rPr>
        <w:t xml:space="preserve">1.6.4 </w:t>
      </w:r>
      <w:r>
        <w:rPr>
          <w:rFonts w:hint="eastAsia" w:ascii="宋体" w:hAnsi="宋体" w:cs="宋体"/>
          <w:highlight w:val="none"/>
        </w:rPr>
        <w:t>图纸的错误</w:t>
      </w:r>
    </w:p>
    <w:p w14:paraId="5DE487B6">
      <w:pPr>
        <w:spacing w:line="400" w:lineRule="exact"/>
        <w:ind w:firstLine="420" w:firstLineChars="200"/>
        <w:rPr>
          <w:rFonts w:hint="eastAsia" w:ascii="宋体" w:hAnsi="宋体"/>
          <w:highlight w:val="none"/>
        </w:rPr>
      </w:pPr>
      <w:r>
        <w:rPr>
          <w:rFonts w:hint="eastAsia" w:ascii="宋体" w:hAnsi="宋体"/>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05259AAC">
      <w:pPr>
        <w:spacing w:line="400" w:lineRule="exact"/>
        <w:ind w:firstLine="420" w:firstLineChars="200"/>
        <w:rPr>
          <w:rFonts w:hint="eastAsia" w:ascii="宋体" w:hAnsi="宋体"/>
          <w:highlight w:val="none"/>
        </w:rPr>
      </w:pPr>
      <w:r>
        <w:rPr>
          <w:rFonts w:ascii="宋体" w:hAnsi="宋体"/>
          <w:highlight w:val="none"/>
        </w:rPr>
        <w:t xml:space="preserve">1.6.5 </w:t>
      </w:r>
      <w:r>
        <w:rPr>
          <w:rFonts w:hint="eastAsia" w:ascii="宋体" w:hAnsi="宋体" w:cs="宋体"/>
          <w:highlight w:val="none"/>
        </w:rPr>
        <w:t>图纸和承包人文件的保管</w:t>
      </w:r>
    </w:p>
    <w:p w14:paraId="2D6E5800">
      <w:pPr>
        <w:spacing w:line="400" w:lineRule="exact"/>
        <w:ind w:firstLine="420" w:firstLineChars="200"/>
        <w:rPr>
          <w:rFonts w:hint="eastAsia" w:ascii="宋体" w:hAnsi="宋体"/>
          <w:highlight w:val="none"/>
        </w:rPr>
      </w:pPr>
      <w:r>
        <w:rPr>
          <w:rFonts w:ascii="宋体" w:hAnsi="宋体"/>
          <w:highlight w:val="none"/>
        </w:rPr>
        <w:t>监理人和承包人均应在施工场地各保存一套完整的包含第1.6.1项、第1.6.2项、第1.6.3项约定内容的图纸和承包人文件</w:t>
      </w:r>
      <w:r>
        <w:rPr>
          <w:rFonts w:hint="eastAsia" w:ascii="宋体" w:hAnsi="宋体"/>
          <w:highlight w:val="none"/>
        </w:rPr>
        <w:t>，，供发包人、监理人及有关人员进行工程检查时使用。</w:t>
      </w:r>
    </w:p>
    <w:p w14:paraId="133F308A">
      <w:pPr>
        <w:keepNext/>
        <w:keepLines/>
        <w:spacing w:line="400" w:lineRule="exact"/>
        <w:outlineLvl w:val="2"/>
        <w:rPr>
          <w:rFonts w:hint="eastAsia" w:ascii="宋体" w:hAnsi="宋体"/>
          <w:sz w:val="24"/>
          <w:szCs w:val="20"/>
          <w:highlight w:val="none"/>
        </w:rPr>
      </w:pPr>
      <w:bookmarkStart w:id="726" w:name="_Toc342296269"/>
      <w:bookmarkStart w:id="727" w:name="_Toc159950619"/>
      <w:bookmarkStart w:id="728" w:name="_Toc338944711"/>
      <w:r>
        <w:rPr>
          <w:rFonts w:ascii="宋体" w:hAnsi="宋体"/>
          <w:sz w:val="24"/>
          <w:szCs w:val="20"/>
          <w:highlight w:val="none"/>
        </w:rPr>
        <w:t>1.7 联络</w:t>
      </w:r>
      <w:bookmarkEnd w:id="726"/>
      <w:bookmarkEnd w:id="727"/>
      <w:bookmarkEnd w:id="728"/>
    </w:p>
    <w:p w14:paraId="76BEB868">
      <w:pPr>
        <w:spacing w:line="400" w:lineRule="exact"/>
        <w:ind w:firstLine="420" w:firstLineChars="200"/>
        <w:rPr>
          <w:rFonts w:hint="eastAsia" w:ascii="宋体" w:hAnsi="宋体"/>
          <w:highlight w:val="none"/>
        </w:rPr>
      </w:pPr>
      <w:r>
        <w:rPr>
          <w:rFonts w:ascii="宋体" w:hAnsi="宋体"/>
          <w:highlight w:val="none"/>
        </w:rPr>
        <w:t>1.7.1 与合同有关的通知、批准、证明、证书、指示、要求、请求、同意、意见、确定和决定等，均应采用书面形式。</w:t>
      </w:r>
    </w:p>
    <w:p w14:paraId="6195AF0A">
      <w:pPr>
        <w:spacing w:line="400" w:lineRule="exact"/>
        <w:ind w:firstLine="420" w:firstLineChars="200"/>
        <w:rPr>
          <w:rFonts w:hint="eastAsia" w:ascii="宋体" w:hAnsi="宋体"/>
          <w:highlight w:val="none"/>
        </w:rPr>
      </w:pPr>
      <w:r>
        <w:rPr>
          <w:rFonts w:ascii="宋体" w:hAnsi="宋体"/>
          <w:highlight w:val="none"/>
        </w:rPr>
        <w:t>1.7.2 第1.7.1项中的通知、批准、证明、证书、指示、要求、请求、同意、意见、确定和决定等来往函件，均应在合同约定的期限内送达指定地点和接收人，并办理签收手续。</w:t>
      </w:r>
    </w:p>
    <w:p w14:paraId="1C0C500E">
      <w:pPr>
        <w:keepNext/>
        <w:keepLines/>
        <w:spacing w:line="400" w:lineRule="exact"/>
        <w:outlineLvl w:val="2"/>
        <w:rPr>
          <w:rFonts w:hint="eastAsia" w:ascii="宋体" w:hAnsi="宋体"/>
          <w:sz w:val="24"/>
          <w:szCs w:val="20"/>
          <w:highlight w:val="none"/>
        </w:rPr>
      </w:pPr>
      <w:bookmarkStart w:id="729" w:name="_Toc338944712"/>
      <w:bookmarkStart w:id="730" w:name="_Toc179632637"/>
      <w:bookmarkStart w:id="731" w:name="_Toc159950620"/>
      <w:bookmarkStart w:id="732" w:name="_Toc152045619"/>
      <w:bookmarkStart w:id="733" w:name="_Toc144974587"/>
      <w:bookmarkStart w:id="734" w:name="_Toc152042397"/>
      <w:bookmarkStart w:id="735" w:name="_Toc342296270"/>
      <w:r>
        <w:rPr>
          <w:rFonts w:ascii="宋体" w:hAnsi="宋体"/>
          <w:sz w:val="24"/>
          <w:szCs w:val="20"/>
          <w:highlight w:val="none"/>
        </w:rPr>
        <w:t>1.8 转让</w:t>
      </w:r>
      <w:bookmarkEnd w:id="729"/>
      <w:bookmarkEnd w:id="730"/>
      <w:bookmarkEnd w:id="731"/>
      <w:bookmarkEnd w:id="732"/>
      <w:bookmarkEnd w:id="733"/>
      <w:bookmarkEnd w:id="734"/>
      <w:bookmarkEnd w:id="735"/>
    </w:p>
    <w:p w14:paraId="61EFA5BB">
      <w:pPr>
        <w:spacing w:line="400" w:lineRule="exact"/>
        <w:ind w:firstLine="420" w:firstLineChars="200"/>
        <w:rPr>
          <w:rFonts w:hint="eastAsia" w:ascii="宋体" w:hAnsi="宋体"/>
          <w:highlight w:val="none"/>
        </w:rPr>
      </w:pPr>
      <w:r>
        <w:rPr>
          <w:rFonts w:ascii="宋体" w:hAnsi="宋体"/>
          <w:highlight w:val="none"/>
        </w:rPr>
        <w:t>除合同另有约定外，未经对方当事人同意，一方当事人不得将合同权利全部或部分转让给第三人，也不得全部或部分转移合同义务。</w:t>
      </w:r>
    </w:p>
    <w:p w14:paraId="7CBAD7A4">
      <w:pPr>
        <w:keepNext/>
        <w:keepLines/>
        <w:spacing w:line="400" w:lineRule="exact"/>
        <w:outlineLvl w:val="2"/>
        <w:rPr>
          <w:rFonts w:hint="eastAsia" w:ascii="宋体" w:hAnsi="宋体"/>
          <w:sz w:val="24"/>
          <w:szCs w:val="20"/>
          <w:highlight w:val="none"/>
        </w:rPr>
      </w:pPr>
      <w:bookmarkStart w:id="736" w:name="_Toc342296271"/>
      <w:bookmarkStart w:id="737" w:name="_Toc159950621"/>
      <w:bookmarkStart w:id="738" w:name="_Toc144974588"/>
      <w:bookmarkStart w:id="739" w:name="_Toc152042398"/>
      <w:bookmarkStart w:id="740" w:name="_Toc179632638"/>
      <w:bookmarkStart w:id="741" w:name="_Toc152045620"/>
      <w:bookmarkStart w:id="742" w:name="_Toc338944713"/>
      <w:r>
        <w:rPr>
          <w:rFonts w:ascii="宋体" w:hAnsi="宋体"/>
          <w:sz w:val="24"/>
          <w:szCs w:val="20"/>
          <w:highlight w:val="none"/>
        </w:rPr>
        <w:t>1.9 严禁贿赂</w:t>
      </w:r>
      <w:bookmarkEnd w:id="736"/>
      <w:bookmarkEnd w:id="737"/>
      <w:bookmarkEnd w:id="738"/>
      <w:bookmarkEnd w:id="739"/>
      <w:bookmarkEnd w:id="740"/>
      <w:bookmarkEnd w:id="741"/>
      <w:bookmarkEnd w:id="742"/>
    </w:p>
    <w:p w14:paraId="0143D5EA">
      <w:pPr>
        <w:spacing w:line="400" w:lineRule="exact"/>
        <w:ind w:firstLine="420" w:firstLineChars="200"/>
        <w:rPr>
          <w:rFonts w:hint="eastAsia" w:ascii="宋体" w:hAnsi="宋体"/>
          <w:highlight w:val="none"/>
        </w:rPr>
      </w:pPr>
      <w:r>
        <w:rPr>
          <w:rFonts w:ascii="宋体" w:hAnsi="宋体"/>
          <w:highlight w:val="none"/>
        </w:rPr>
        <w:t>合同双方当事人不得以贿赂或变相贿赂的方式，谋取不当利益或损害对方权益。因贿赂造成对方损失的，行为人应赔偿损失，并承担相应的法律责任。</w:t>
      </w:r>
    </w:p>
    <w:p w14:paraId="5D62900D">
      <w:pPr>
        <w:spacing w:line="400" w:lineRule="exact"/>
        <w:ind w:firstLine="420" w:firstLineChars="200"/>
        <w:rPr>
          <w:rFonts w:hint="eastAsia" w:ascii="宋体" w:hAnsi="宋体"/>
          <w:highlight w:val="none"/>
        </w:rPr>
      </w:pPr>
      <w:r>
        <w:rPr>
          <w:rFonts w:hint="eastAsia" w:ascii="宋体" w:hAnsi="宋体"/>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75BC8DBA">
      <w:pPr>
        <w:keepNext/>
        <w:keepLines/>
        <w:spacing w:line="400" w:lineRule="exact"/>
        <w:outlineLvl w:val="2"/>
        <w:rPr>
          <w:rFonts w:hint="eastAsia" w:ascii="宋体" w:hAnsi="宋体"/>
          <w:sz w:val="24"/>
          <w:szCs w:val="20"/>
          <w:highlight w:val="none"/>
        </w:rPr>
      </w:pPr>
      <w:bookmarkStart w:id="743" w:name="_Toc152045621"/>
      <w:bookmarkStart w:id="744" w:name="_Toc159950622"/>
      <w:bookmarkStart w:id="745" w:name="_Toc144974589"/>
      <w:bookmarkStart w:id="746" w:name="_Toc338944714"/>
      <w:bookmarkStart w:id="747" w:name="_Toc152042399"/>
      <w:bookmarkStart w:id="748" w:name="_Toc342296272"/>
      <w:bookmarkStart w:id="749" w:name="_Toc179632639"/>
      <w:r>
        <w:rPr>
          <w:rFonts w:ascii="宋体" w:hAnsi="宋体"/>
          <w:sz w:val="24"/>
          <w:szCs w:val="20"/>
          <w:highlight w:val="none"/>
        </w:rPr>
        <w:t>1.10 化石、文物</w:t>
      </w:r>
      <w:bookmarkEnd w:id="743"/>
      <w:bookmarkEnd w:id="744"/>
      <w:bookmarkEnd w:id="745"/>
      <w:bookmarkEnd w:id="746"/>
      <w:bookmarkEnd w:id="747"/>
      <w:bookmarkEnd w:id="748"/>
      <w:bookmarkEnd w:id="749"/>
    </w:p>
    <w:p w14:paraId="1D4D5F32">
      <w:pPr>
        <w:spacing w:line="400" w:lineRule="exact"/>
        <w:ind w:firstLine="420" w:firstLineChars="200"/>
        <w:rPr>
          <w:rFonts w:hint="eastAsia" w:ascii="宋体" w:hAnsi="宋体"/>
          <w:highlight w:val="none"/>
        </w:rPr>
      </w:pPr>
      <w:r>
        <w:rPr>
          <w:rFonts w:ascii="宋体" w:hAnsi="宋体"/>
          <w:highlight w:val="none"/>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1F678C6C">
      <w:pPr>
        <w:spacing w:line="400" w:lineRule="exact"/>
        <w:ind w:firstLine="420" w:firstLineChars="200"/>
        <w:rPr>
          <w:rFonts w:hint="eastAsia" w:ascii="宋体" w:hAnsi="宋体"/>
          <w:highlight w:val="none"/>
        </w:rPr>
      </w:pPr>
      <w:r>
        <w:rPr>
          <w:rFonts w:ascii="宋体" w:hAnsi="宋体"/>
          <w:highlight w:val="none"/>
        </w:rPr>
        <w:t>1.10.2 承包人发现文物后不及时报告或隐瞒不报，致使文物丢失或损坏的，应赔偿损失，并承担相应的法律责任。</w:t>
      </w:r>
    </w:p>
    <w:p w14:paraId="1C264AB5">
      <w:pPr>
        <w:keepNext/>
        <w:keepLines/>
        <w:spacing w:line="400" w:lineRule="exact"/>
        <w:outlineLvl w:val="2"/>
        <w:rPr>
          <w:rFonts w:hint="eastAsia" w:ascii="宋体" w:hAnsi="宋体"/>
          <w:sz w:val="24"/>
          <w:szCs w:val="20"/>
          <w:highlight w:val="none"/>
        </w:rPr>
      </w:pPr>
      <w:bookmarkStart w:id="750" w:name="_Toc152042400"/>
      <w:bookmarkStart w:id="751" w:name="_Toc152045622"/>
      <w:bookmarkStart w:id="752" w:name="_Toc144974590"/>
      <w:bookmarkStart w:id="753" w:name="_Toc179632640"/>
      <w:bookmarkStart w:id="754" w:name="_Toc342296273"/>
      <w:bookmarkStart w:id="755" w:name="_Toc338944715"/>
      <w:bookmarkStart w:id="756" w:name="_Toc159950623"/>
      <w:r>
        <w:rPr>
          <w:rFonts w:ascii="宋体" w:hAnsi="宋体"/>
          <w:sz w:val="24"/>
          <w:szCs w:val="20"/>
          <w:highlight w:val="none"/>
        </w:rPr>
        <w:t>1.11 专利技术</w:t>
      </w:r>
      <w:bookmarkEnd w:id="750"/>
      <w:bookmarkEnd w:id="751"/>
      <w:bookmarkEnd w:id="752"/>
      <w:bookmarkEnd w:id="753"/>
      <w:bookmarkEnd w:id="754"/>
      <w:bookmarkEnd w:id="755"/>
      <w:bookmarkEnd w:id="756"/>
    </w:p>
    <w:p w14:paraId="7600E2B6">
      <w:pPr>
        <w:spacing w:line="400" w:lineRule="exact"/>
        <w:ind w:firstLine="420" w:firstLineChars="200"/>
        <w:rPr>
          <w:rFonts w:hint="eastAsia" w:ascii="宋体" w:hAnsi="宋体"/>
          <w:highlight w:val="none"/>
        </w:rPr>
      </w:pPr>
      <w:r>
        <w:rPr>
          <w:rFonts w:ascii="宋体" w:hAnsi="宋体"/>
          <w:highlight w:val="none"/>
        </w:rPr>
        <w:t>1.11.1 承包人在使用任何材料、承包人设备、工程设备或采用施工工艺时，因侵犯专利权或其他知识产权所引起的责任，由承包人承担，但由于遵照发包人提供的设计或技术标准和要求引起的除外。</w:t>
      </w:r>
    </w:p>
    <w:p w14:paraId="4B31A94B">
      <w:pPr>
        <w:spacing w:line="400" w:lineRule="exact"/>
        <w:ind w:firstLine="420" w:firstLineChars="200"/>
        <w:rPr>
          <w:rFonts w:hint="eastAsia" w:ascii="宋体" w:hAnsi="宋体"/>
          <w:highlight w:val="none"/>
        </w:rPr>
      </w:pPr>
      <w:r>
        <w:rPr>
          <w:rFonts w:ascii="宋体" w:hAnsi="宋体"/>
          <w:highlight w:val="none"/>
        </w:rPr>
        <w:t>1.11.2 承包人在投标文件中采用专利技术的，专利技术的使用费包含在投标报价内。</w:t>
      </w:r>
    </w:p>
    <w:p w14:paraId="65899DCE">
      <w:pPr>
        <w:spacing w:line="400" w:lineRule="exact"/>
        <w:ind w:firstLine="420" w:firstLineChars="200"/>
        <w:rPr>
          <w:rFonts w:hint="eastAsia" w:ascii="宋体" w:hAnsi="宋体"/>
          <w:highlight w:val="none"/>
        </w:rPr>
      </w:pPr>
      <w:r>
        <w:rPr>
          <w:rFonts w:ascii="宋体" w:hAnsi="宋体"/>
          <w:highlight w:val="none"/>
        </w:rPr>
        <w:t>1.11.3 承包人的技术秘密和声明需要保密的资料和信息，发包人和监理人不得为合同以外的目的泄露给他人。</w:t>
      </w:r>
    </w:p>
    <w:p w14:paraId="69ADDCE7">
      <w:pPr>
        <w:keepNext/>
        <w:keepLines/>
        <w:spacing w:line="400" w:lineRule="exact"/>
        <w:outlineLvl w:val="2"/>
        <w:rPr>
          <w:rFonts w:hint="eastAsia" w:ascii="宋体" w:hAnsi="宋体"/>
          <w:sz w:val="24"/>
          <w:szCs w:val="20"/>
          <w:highlight w:val="none"/>
        </w:rPr>
      </w:pPr>
      <w:bookmarkStart w:id="757" w:name="_Toc152045623"/>
      <w:bookmarkStart w:id="758" w:name="_Toc342296274"/>
      <w:bookmarkStart w:id="759" w:name="_Toc152042401"/>
      <w:bookmarkStart w:id="760" w:name="_Toc179632641"/>
      <w:bookmarkStart w:id="761" w:name="_Toc144974591"/>
      <w:bookmarkStart w:id="762" w:name="_Toc338944716"/>
      <w:bookmarkStart w:id="763" w:name="_Toc159950624"/>
      <w:r>
        <w:rPr>
          <w:rFonts w:ascii="宋体" w:hAnsi="宋体"/>
          <w:sz w:val="24"/>
          <w:szCs w:val="20"/>
          <w:highlight w:val="none"/>
        </w:rPr>
        <w:t>1.12 图纸和文件的保密</w:t>
      </w:r>
      <w:bookmarkEnd w:id="757"/>
      <w:bookmarkEnd w:id="758"/>
      <w:bookmarkEnd w:id="759"/>
      <w:bookmarkEnd w:id="760"/>
      <w:bookmarkEnd w:id="761"/>
      <w:bookmarkEnd w:id="762"/>
      <w:bookmarkEnd w:id="763"/>
    </w:p>
    <w:p w14:paraId="6A1F73C8">
      <w:pPr>
        <w:spacing w:line="400" w:lineRule="exact"/>
        <w:ind w:firstLine="420" w:firstLineChars="200"/>
        <w:rPr>
          <w:rFonts w:hint="eastAsia" w:ascii="宋体" w:hAnsi="宋体"/>
          <w:highlight w:val="none"/>
        </w:rPr>
      </w:pPr>
      <w:r>
        <w:rPr>
          <w:rFonts w:ascii="宋体" w:hAnsi="宋体"/>
          <w:highlight w:val="none"/>
        </w:rPr>
        <w:t>1.12.1 发包人提供的图纸和文件，未经发包人同意，承包人不得为合同以外的目的泄露给他人或公开发表与引用。</w:t>
      </w:r>
    </w:p>
    <w:p w14:paraId="5D8269A2">
      <w:pPr>
        <w:spacing w:line="400" w:lineRule="exact"/>
        <w:ind w:firstLine="420" w:firstLineChars="200"/>
        <w:rPr>
          <w:rFonts w:hint="eastAsia" w:ascii="宋体" w:hAnsi="宋体"/>
          <w:highlight w:val="none"/>
        </w:rPr>
      </w:pPr>
      <w:r>
        <w:rPr>
          <w:rFonts w:ascii="宋体" w:hAnsi="宋体"/>
          <w:highlight w:val="none"/>
        </w:rPr>
        <w:t>1.12.2 承包人提供的文件，未经承包人同意，发包人和监理人不得为合同以外的目的泄露给他人或公开发表与引用。</w:t>
      </w:r>
    </w:p>
    <w:p w14:paraId="4E94B7B9">
      <w:pPr>
        <w:keepNext/>
        <w:keepLines/>
        <w:spacing w:line="400" w:lineRule="exact"/>
        <w:outlineLvl w:val="2"/>
        <w:rPr>
          <w:rFonts w:hint="eastAsia" w:ascii="宋体" w:hAnsi="宋体"/>
          <w:sz w:val="24"/>
          <w:szCs w:val="20"/>
          <w:highlight w:val="none"/>
        </w:rPr>
      </w:pPr>
      <w:bookmarkStart w:id="764" w:name="_Toc159950625"/>
      <w:r>
        <w:rPr>
          <w:rFonts w:ascii="宋体" w:hAnsi="宋体"/>
          <w:sz w:val="24"/>
          <w:szCs w:val="20"/>
          <w:highlight w:val="none"/>
        </w:rPr>
        <w:t>1.13</w:t>
      </w:r>
      <w:r>
        <w:rPr>
          <w:rFonts w:hint="eastAsia" w:ascii="宋体" w:hAnsi="宋体"/>
          <w:sz w:val="24"/>
          <w:szCs w:val="20"/>
          <w:highlight w:val="none"/>
        </w:rPr>
        <w:t>交通运输</w:t>
      </w:r>
      <w:bookmarkEnd w:id="764"/>
    </w:p>
    <w:p w14:paraId="12DF606C">
      <w:pPr>
        <w:spacing w:line="400" w:lineRule="exact"/>
        <w:ind w:firstLine="420" w:firstLineChars="200"/>
        <w:rPr>
          <w:rFonts w:hint="eastAsia" w:ascii="宋体" w:hAnsi="宋体"/>
          <w:highlight w:val="none"/>
        </w:rPr>
      </w:pPr>
      <w:r>
        <w:rPr>
          <w:rFonts w:ascii="宋体" w:hAnsi="宋体"/>
          <w:highlight w:val="none"/>
        </w:rPr>
        <w:t xml:space="preserve">1.13.1 </w:t>
      </w:r>
      <w:r>
        <w:rPr>
          <w:rFonts w:hint="eastAsia" w:ascii="宋体" w:hAnsi="宋体"/>
          <w:highlight w:val="none"/>
        </w:rPr>
        <w:t>除专用合同条款另有约定外，发包人应根据施工需要，负责取得出入施工现场所需的校内手续，承包人应协助发包人办理修建场内外道路等其他基础设施的手续。</w:t>
      </w:r>
    </w:p>
    <w:p w14:paraId="1A26CDEE">
      <w:pPr>
        <w:keepNext/>
        <w:keepLines/>
        <w:spacing w:line="400" w:lineRule="exact"/>
        <w:outlineLvl w:val="1"/>
        <w:rPr>
          <w:rFonts w:hint="eastAsia" w:ascii="宋体" w:hAnsi="宋体" w:cs="仿宋_GB2312"/>
          <w:highlight w:val="none"/>
        </w:rPr>
      </w:pPr>
      <w:bookmarkStart w:id="765" w:name="_Toc159950626"/>
      <w:r>
        <w:rPr>
          <w:rFonts w:ascii="宋体" w:hAnsi="宋体" w:cs="仿宋_GB2312"/>
          <w:highlight w:val="none"/>
        </w:rPr>
        <w:t>1.13.2</w:t>
      </w:r>
      <w:r>
        <w:rPr>
          <w:rFonts w:hint="eastAsia" w:ascii="宋体" w:hAnsi="宋体" w:cs="仿宋_GB2312"/>
          <w:highlight w:val="none"/>
        </w:rPr>
        <w:t>承包人应在投标、订立合同前查勘施工现场，并根据工程规模及技术参数合理预见工程施工所需的进出施工现场的方式、手段、路径等，并在投标文件中体现。因承包人未合理预见所增加的费用和（或）延误的工期由承包人自行承担。</w:t>
      </w:r>
      <w:bookmarkStart w:id="766" w:name="_Toc342296275"/>
      <w:bookmarkStart w:id="767" w:name="_Toc338944717"/>
      <w:bookmarkStart w:id="768" w:name="_Toc469660018"/>
      <w:bookmarkStart w:id="769" w:name="_Toc442365615"/>
      <w:bookmarkStart w:id="770" w:name="_Toc448758423"/>
      <w:bookmarkStart w:id="771" w:name="_Toc448758523"/>
      <w:r>
        <w:rPr>
          <w:rFonts w:ascii="宋体" w:hAnsi="宋体" w:cs="仿宋_GB2312"/>
          <w:highlight w:val="none"/>
        </w:rPr>
        <w:t>2. 发包人义务</w:t>
      </w:r>
      <w:bookmarkEnd w:id="765"/>
      <w:bookmarkEnd w:id="766"/>
      <w:bookmarkEnd w:id="767"/>
      <w:bookmarkEnd w:id="768"/>
      <w:bookmarkEnd w:id="769"/>
      <w:bookmarkEnd w:id="770"/>
      <w:bookmarkEnd w:id="771"/>
    </w:p>
    <w:p w14:paraId="6EE9BDE3">
      <w:pPr>
        <w:keepNext/>
        <w:keepLines/>
        <w:spacing w:line="400" w:lineRule="exact"/>
        <w:outlineLvl w:val="2"/>
        <w:rPr>
          <w:rFonts w:hint="eastAsia" w:ascii="宋体" w:hAnsi="宋体" w:cs="仿宋_GB2312"/>
          <w:highlight w:val="none"/>
        </w:rPr>
      </w:pPr>
      <w:bookmarkStart w:id="772" w:name="_Toc338944718"/>
      <w:bookmarkStart w:id="773" w:name="_Toc342296276"/>
      <w:bookmarkStart w:id="774" w:name="_Toc144974593"/>
      <w:bookmarkStart w:id="775" w:name="_Toc152042403"/>
      <w:bookmarkStart w:id="776" w:name="_Toc179632643"/>
      <w:bookmarkStart w:id="777" w:name="_Toc152045625"/>
      <w:bookmarkStart w:id="778" w:name="_Toc159950627"/>
      <w:r>
        <w:rPr>
          <w:rFonts w:ascii="宋体" w:hAnsi="宋体" w:cs="仿宋_GB2312"/>
          <w:highlight w:val="none"/>
        </w:rPr>
        <w:t>2.1 遵守法律</w:t>
      </w:r>
      <w:bookmarkEnd w:id="772"/>
      <w:bookmarkEnd w:id="773"/>
      <w:bookmarkEnd w:id="774"/>
      <w:bookmarkEnd w:id="775"/>
      <w:bookmarkEnd w:id="776"/>
      <w:bookmarkEnd w:id="777"/>
      <w:bookmarkEnd w:id="778"/>
    </w:p>
    <w:p w14:paraId="789197A5">
      <w:pPr>
        <w:spacing w:line="400" w:lineRule="exact"/>
        <w:ind w:firstLine="420" w:firstLineChars="200"/>
        <w:rPr>
          <w:rFonts w:hint="eastAsia" w:ascii="宋体" w:hAnsi="宋体"/>
          <w:highlight w:val="none"/>
        </w:rPr>
      </w:pPr>
      <w:r>
        <w:rPr>
          <w:rFonts w:hint="eastAsia" w:ascii="宋体" w:hAnsi="宋体"/>
          <w:highlight w:val="none"/>
        </w:rPr>
        <w:t>发包人应要求在施工现场的发包人人员遵守法律及有关安全、质量、环境保护、文明施工等规定，并保障承包人免于承受因发包人人员未遵守上述要求给承包人造成的损失和责任。</w:t>
      </w:r>
    </w:p>
    <w:p w14:paraId="36A80287">
      <w:pPr>
        <w:spacing w:line="400" w:lineRule="exact"/>
        <w:ind w:firstLine="420" w:firstLineChars="200"/>
        <w:rPr>
          <w:rFonts w:hint="eastAsia" w:ascii="宋体" w:hAnsi="宋体"/>
          <w:highlight w:val="none"/>
        </w:rPr>
      </w:pPr>
      <w:r>
        <w:rPr>
          <w:rFonts w:hint="eastAsia" w:ascii="宋体" w:hAnsi="宋体"/>
          <w:highlight w:val="none"/>
        </w:rPr>
        <w:t>发包人人员包括发包人代表及其他由发包人派驻施工现场的人员。</w:t>
      </w:r>
    </w:p>
    <w:p w14:paraId="48AF4398">
      <w:pPr>
        <w:keepNext/>
        <w:keepLines/>
        <w:spacing w:line="400" w:lineRule="exact"/>
        <w:outlineLvl w:val="2"/>
        <w:rPr>
          <w:rFonts w:hint="eastAsia" w:ascii="宋体" w:hAnsi="宋体"/>
          <w:sz w:val="24"/>
          <w:szCs w:val="20"/>
          <w:highlight w:val="none"/>
        </w:rPr>
      </w:pPr>
      <w:bookmarkStart w:id="779" w:name="_Toc152042404"/>
      <w:bookmarkStart w:id="780" w:name="_Toc342296277"/>
      <w:bookmarkStart w:id="781" w:name="_Toc152045626"/>
      <w:bookmarkStart w:id="782" w:name="_Toc144974594"/>
      <w:bookmarkStart w:id="783" w:name="_Toc179632644"/>
      <w:bookmarkStart w:id="784" w:name="_Toc159950628"/>
      <w:bookmarkStart w:id="785" w:name="_Toc338944719"/>
      <w:r>
        <w:rPr>
          <w:rFonts w:ascii="宋体" w:hAnsi="宋体"/>
          <w:sz w:val="24"/>
          <w:szCs w:val="20"/>
          <w:highlight w:val="none"/>
        </w:rPr>
        <w:t>2.2 发出开工通知</w:t>
      </w:r>
      <w:bookmarkEnd w:id="779"/>
      <w:bookmarkEnd w:id="780"/>
      <w:bookmarkEnd w:id="781"/>
      <w:bookmarkEnd w:id="782"/>
      <w:bookmarkEnd w:id="783"/>
      <w:bookmarkEnd w:id="784"/>
      <w:bookmarkEnd w:id="785"/>
    </w:p>
    <w:p w14:paraId="29D9E08C">
      <w:pPr>
        <w:spacing w:line="400" w:lineRule="exact"/>
        <w:ind w:firstLine="420" w:firstLineChars="200"/>
        <w:rPr>
          <w:rFonts w:hint="eastAsia" w:ascii="宋体" w:hAnsi="宋体"/>
          <w:highlight w:val="none"/>
        </w:rPr>
      </w:pPr>
      <w:r>
        <w:rPr>
          <w:rFonts w:ascii="宋体" w:hAnsi="宋体"/>
          <w:highlight w:val="none"/>
        </w:rPr>
        <w:t>发包人应委托监理人按第11.1款的约定向承包人发出开工通知。</w:t>
      </w:r>
    </w:p>
    <w:p w14:paraId="18220C65">
      <w:pPr>
        <w:keepNext/>
        <w:keepLines/>
        <w:spacing w:line="400" w:lineRule="exact"/>
        <w:outlineLvl w:val="2"/>
        <w:rPr>
          <w:rFonts w:hint="eastAsia" w:ascii="宋体" w:hAnsi="宋体"/>
          <w:sz w:val="24"/>
          <w:szCs w:val="20"/>
          <w:highlight w:val="none"/>
        </w:rPr>
      </w:pPr>
      <w:bookmarkStart w:id="786" w:name="_Toc159950629"/>
      <w:bookmarkStart w:id="787" w:name="_Toc342296278"/>
      <w:bookmarkStart w:id="788" w:name="_Toc338944720"/>
      <w:r>
        <w:rPr>
          <w:rFonts w:ascii="宋体" w:hAnsi="宋体"/>
          <w:sz w:val="24"/>
          <w:szCs w:val="20"/>
          <w:highlight w:val="none"/>
        </w:rPr>
        <w:t>2.3 提供施工场地</w:t>
      </w:r>
      <w:bookmarkEnd w:id="786"/>
      <w:bookmarkEnd w:id="787"/>
      <w:bookmarkEnd w:id="788"/>
    </w:p>
    <w:p w14:paraId="3E24E961">
      <w:pPr>
        <w:spacing w:line="400" w:lineRule="exact"/>
        <w:ind w:firstLine="420" w:firstLineChars="200"/>
        <w:rPr>
          <w:rFonts w:hint="eastAsia" w:ascii="宋体" w:hAnsi="宋体"/>
          <w:highlight w:val="none"/>
        </w:rPr>
      </w:pPr>
      <w:r>
        <w:rPr>
          <w:rFonts w:ascii="宋体" w:hAnsi="宋体"/>
          <w:highlight w:val="none"/>
        </w:rPr>
        <w:t>发包人应按专用合同条款约定向承包人提供施工场地，以及施工场地内地下管线和地下设施等有关资料，并保证资料的真实、准确、完整。</w:t>
      </w:r>
    </w:p>
    <w:p w14:paraId="5A194DCE">
      <w:pPr>
        <w:keepNext/>
        <w:keepLines/>
        <w:spacing w:line="400" w:lineRule="exact"/>
        <w:outlineLvl w:val="2"/>
        <w:rPr>
          <w:rFonts w:hint="eastAsia" w:ascii="宋体" w:hAnsi="宋体"/>
          <w:sz w:val="24"/>
          <w:szCs w:val="20"/>
          <w:highlight w:val="none"/>
        </w:rPr>
      </w:pPr>
      <w:bookmarkStart w:id="789" w:name="_Toc338944721"/>
      <w:bookmarkStart w:id="790" w:name="_Toc144974596"/>
      <w:bookmarkStart w:id="791" w:name="_Toc152042406"/>
      <w:bookmarkStart w:id="792" w:name="_Toc159950630"/>
      <w:bookmarkStart w:id="793" w:name="_Toc179632646"/>
      <w:bookmarkStart w:id="794" w:name="_Toc152045628"/>
      <w:bookmarkStart w:id="795" w:name="_Toc342296279"/>
      <w:r>
        <w:rPr>
          <w:rFonts w:ascii="宋体" w:hAnsi="宋体"/>
          <w:sz w:val="24"/>
          <w:szCs w:val="20"/>
          <w:highlight w:val="none"/>
        </w:rPr>
        <w:t>2.4 协助承包人办理证件和批件</w:t>
      </w:r>
      <w:bookmarkEnd w:id="789"/>
      <w:bookmarkEnd w:id="790"/>
      <w:bookmarkEnd w:id="791"/>
      <w:bookmarkEnd w:id="792"/>
      <w:bookmarkEnd w:id="793"/>
      <w:bookmarkEnd w:id="794"/>
      <w:bookmarkEnd w:id="795"/>
    </w:p>
    <w:p w14:paraId="58670A21">
      <w:pPr>
        <w:spacing w:line="400" w:lineRule="exact"/>
        <w:ind w:firstLine="420" w:firstLineChars="200"/>
        <w:rPr>
          <w:rFonts w:hint="eastAsia" w:ascii="宋体" w:hAnsi="宋体"/>
          <w:highlight w:val="none"/>
        </w:rPr>
      </w:pPr>
      <w:r>
        <w:rPr>
          <w:rFonts w:ascii="宋体" w:hAnsi="宋体"/>
          <w:highlight w:val="none"/>
        </w:rPr>
        <w:t>发包人应协助承包人办理法律规定的有关施工证件和批件。</w:t>
      </w:r>
    </w:p>
    <w:p w14:paraId="1E45FFF1">
      <w:pPr>
        <w:keepNext/>
        <w:keepLines/>
        <w:spacing w:line="400" w:lineRule="exact"/>
        <w:outlineLvl w:val="2"/>
        <w:rPr>
          <w:rFonts w:hint="eastAsia" w:ascii="宋体" w:hAnsi="宋体"/>
          <w:sz w:val="24"/>
          <w:szCs w:val="20"/>
          <w:highlight w:val="none"/>
        </w:rPr>
      </w:pPr>
      <w:bookmarkStart w:id="796" w:name="_Toc159950631"/>
      <w:bookmarkStart w:id="797" w:name="_Toc338944722"/>
      <w:bookmarkStart w:id="798" w:name="_Toc342296280"/>
      <w:r>
        <w:rPr>
          <w:rFonts w:ascii="宋体" w:hAnsi="宋体"/>
          <w:sz w:val="24"/>
          <w:szCs w:val="20"/>
          <w:highlight w:val="none"/>
        </w:rPr>
        <w:t>2.5 组织设计交底</w:t>
      </w:r>
      <w:bookmarkEnd w:id="796"/>
      <w:bookmarkEnd w:id="797"/>
      <w:bookmarkEnd w:id="798"/>
    </w:p>
    <w:p w14:paraId="6ED418FE">
      <w:pPr>
        <w:spacing w:line="400" w:lineRule="exact"/>
        <w:ind w:firstLine="420" w:firstLineChars="200"/>
        <w:rPr>
          <w:rFonts w:hint="eastAsia" w:ascii="宋体" w:hAnsi="宋体"/>
          <w:highlight w:val="none"/>
        </w:rPr>
      </w:pPr>
      <w:r>
        <w:rPr>
          <w:rFonts w:ascii="宋体" w:hAnsi="宋体"/>
          <w:highlight w:val="none"/>
        </w:rPr>
        <w:t>发包人应根据合同进度计划，组织设计单位向承包人进行设计交底。</w:t>
      </w:r>
    </w:p>
    <w:p w14:paraId="648590B8">
      <w:pPr>
        <w:keepNext/>
        <w:keepLines/>
        <w:spacing w:line="400" w:lineRule="exact"/>
        <w:outlineLvl w:val="2"/>
        <w:rPr>
          <w:rFonts w:hint="eastAsia" w:ascii="宋体" w:hAnsi="宋体"/>
          <w:sz w:val="24"/>
          <w:szCs w:val="20"/>
          <w:highlight w:val="none"/>
        </w:rPr>
      </w:pPr>
      <w:bookmarkStart w:id="799" w:name="_Toc338944723"/>
      <w:bookmarkStart w:id="800" w:name="_Toc342296281"/>
      <w:bookmarkStart w:id="801" w:name="_Toc159950632"/>
      <w:r>
        <w:rPr>
          <w:rFonts w:ascii="宋体" w:hAnsi="宋体"/>
          <w:sz w:val="24"/>
          <w:szCs w:val="20"/>
          <w:highlight w:val="none"/>
        </w:rPr>
        <w:t>2.6 支付合同价款</w:t>
      </w:r>
      <w:bookmarkEnd w:id="799"/>
      <w:bookmarkEnd w:id="800"/>
      <w:bookmarkEnd w:id="801"/>
    </w:p>
    <w:p w14:paraId="21FA3CFD">
      <w:pPr>
        <w:spacing w:line="400" w:lineRule="exact"/>
        <w:ind w:firstLine="420" w:firstLineChars="200"/>
        <w:rPr>
          <w:rFonts w:hint="eastAsia" w:ascii="宋体" w:hAnsi="宋体"/>
          <w:highlight w:val="none"/>
        </w:rPr>
      </w:pPr>
      <w:r>
        <w:rPr>
          <w:rFonts w:ascii="宋体" w:hAnsi="宋体"/>
          <w:highlight w:val="none"/>
        </w:rPr>
        <w:t>发包人应按合同约定向承包人及时支付合同价款。</w:t>
      </w:r>
    </w:p>
    <w:p w14:paraId="5A53057D">
      <w:pPr>
        <w:keepNext/>
        <w:keepLines/>
        <w:spacing w:line="400" w:lineRule="exact"/>
        <w:outlineLvl w:val="2"/>
        <w:rPr>
          <w:rFonts w:hint="eastAsia" w:ascii="宋体" w:hAnsi="宋体"/>
          <w:sz w:val="24"/>
          <w:szCs w:val="20"/>
          <w:highlight w:val="none"/>
        </w:rPr>
      </w:pPr>
      <w:bookmarkStart w:id="802" w:name="_Toc152042409"/>
      <w:bookmarkStart w:id="803" w:name="_Toc159950633"/>
      <w:bookmarkStart w:id="804" w:name="_Toc338944724"/>
      <w:bookmarkStart w:id="805" w:name="_Toc179632649"/>
      <w:bookmarkStart w:id="806" w:name="_Toc144974599"/>
      <w:bookmarkStart w:id="807" w:name="_Toc152045631"/>
      <w:bookmarkStart w:id="808" w:name="_Toc342296282"/>
      <w:r>
        <w:rPr>
          <w:rFonts w:ascii="宋体" w:hAnsi="宋体"/>
          <w:sz w:val="24"/>
          <w:szCs w:val="20"/>
          <w:highlight w:val="none"/>
        </w:rPr>
        <w:t>2.7 组织竣工验收</w:t>
      </w:r>
      <w:bookmarkEnd w:id="802"/>
      <w:bookmarkEnd w:id="803"/>
      <w:bookmarkEnd w:id="804"/>
      <w:bookmarkEnd w:id="805"/>
      <w:bookmarkEnd w:id="806"/>
      <w:bookmarkEnd w:id="807"/>
      <w:bookmarkEnd w:id="808"/>
    </w:p>
    <w:p w14:paraId="25DD048F">
      <w:pPr>
        <w:spacing w:line="400" w:lineRule="exact"/>
        <w:ind w:firstLine="420" w:firstLineChars="200"/>
        <w:rPr>
          <w:rFonts w:hint="eastAsia" w:ascii="宋体" w:hAnsi="宋体"/>
          <w:highlight w:val="none"/>
        </w:rPr>
      </w:pPr>
      <w:r>
        <w:rPr>
          <w:rFonts w:ascii="宋体" w:hAnsi="宋体"/>
          <w:highlight w:val="none"/>
        </w:rPr>
        <w:t>发包人应按合同约定及时组织竣工验收。</w:t>
      </w:r>
    </w:p>
    <w:p w14:paraId="7327431C">
      <w:pPr>
        <w:keepNext/>
        <w:keepLines/>
        <w:spacing w:line="400" w:lineRule="exact"/>
        <w:outlineLvl w:val="2"/>
        <w:rPr>
          <w:rFonts w:hint="eastAsia" w:ascii="宋体" w:hAnsi="宋体"/>
          <w:sz w:val="24"/>
          <w:szCs w:val="20"/>
          <w:highlight w:val="none"/>
        </w:rPr>
      </w:pPr>
      <w:bookmarkStart w:id="809" w:name="_Toc342296283"/>
      <w:bookmarkStart w:id="810" w:name="_Toc159950634"/>
      <w:bookmarkStart w:id="811" w:name="_Toc338944725"/>
      <w:r>
        <w:rPr>
          <w:rFonts w:ascii="宋体" w:hAnsi="宋体"/>
          <w:sz w:val="24"/>
          <w:szCs w:val="20"/>
          <w:highlight w:val="none"/>
        </w:rPr>
        <w:t>2.8 其他义务</w:t>
      </w:r>
      <w:bookmarkEnd w:id="809"/>
      <w:bookmarkEnd w:id="810"/>
      <w:bookmarkEnd w:id="811"/>
    </w:p>
    <w:p w14:paraId="23384706">
      <w:pPr>
        <w:spacing w:line="400" w:lineRule="exact"/>
        <w:ind w:firstLine="420" w:firstLineChars="200"/>
        <w:rPr>
          <w:rFonts w:hint="eastAsia" w:ascii="宋体" w:hAnsi="宋体"/>
          <w:highlight w:val="none"/>
        </w:rPr>
      </w:pPr>
      <w:r>
        <w:rPr>
          <w:rFonts w:ascii="宋体" w:hAnsi="宋体"/>
          <w:highlight w:val="none"/>
        </w:rPr>
        <w:t>发包人应履行合同约定的其他义务。</w:t>
      </w:r>
    </w:p>
    <w:p w14:paraId="6A1C6A65">
      <w:pPr>
        <w:keepNext/>
        <w:keepLines/>
        <w:spacing w:line="400" w:lineRule="exact"/>
        <w:outlineLvl w:val="1"/>
        <w:rPr>
          <w:rFonts w:hint="eastAsia" w:ascii="宋体" w:hAnsi="宋体" w:cs="仿宋_GB2312"/>
          <w:sz w:val="28"/>
          <w:szCs w:val="20"/>
          <w:highlight w:val="none"/>
        </w:rPr>
      </w:pPr>
      <w:bookmarkStart w:id="812" w:name="_Toc442365616"/>
      <w:bookmarkStart w:id="813" w:name="_Toc159950635"/>
      <w:bookmarkStart w:id="814" w:name="_Toc448758424"/>
      <w:bookmarkStart w:id="815" w:name="_Toc342296284"/>
      <w:bookmarkStart w:id="816" w:name="_Toc338944726"/>
      <w:bookmarkStart w:id="817" w:name="_Toc469660019"/>
      <w:bookmarkStart w:id="818" w:name="_Toc448758524"/>
      <w:r>
        <w:rPr>
          <w:rFonts w:ascii="宋体" w:hAnsi="宋体" w:cs="仿宋_GB2312"/>
          <w:sz w:val="28"/>
          <w:szCs w:val="20"/>
          <w:highlight w:val="none"/>
        </w:rPr>
        <w:t>3. 监理人</w:t>
      </w:r>
      <w:bookmarkEnd w:id="812"/>
      <w:bookmarkEnd w:id="813"/>
      <w:bookmarkEnd w:id="814"/>
      <w:bookmarkEnd w:id="815"/>
      <w:bookmarkEnd w:id="816"/>
      <w:bookmarkEnd w:id="817"/>
      <w:bookmarkEnd w:id="818"/>
    </w:p>
    <w:p w14:paraId="393E0814">
      <w:pPr>
        <w:keepNext/>
        <w:keepLines/>
        <w:spacing w:line="400" w:lineRule="exact"/>
        <w:outlineLvl w:val="2"/>
        <w:rPr>
          <w:rFonts w:hint="eastAsia" w:ascii="宋体" w:hAnsi="宋体"/>
          <w:sz w:val="24"/>
          <w:szCs w:val="20"/>
          <w:highlight w:val="none"/>
        </w:rPr>
      </w:pPr>
      <w:bookmarkStart w:id="819" w:name="_Toc159950636"/>
      <w:bookmarkStart w:id="820" w:name="_Toc342296285"/>
      <w:bookmarkStart w:id="821" w:name="_Toc338944727"/>
      <w:r>
        <w:rPr>
          <w:rFonts w:ascii="宋体" w:hAnsi="宋体"/>
          <w:sz w:val="24"/>
          <w:szCs w:val="20"/>
          <w:highlight w:val="none"/>
        </w:rPr>
        <w:t>3.1 监理人的职责和权力</w:t>
      </w:r>
      <w:bookmarkEnd w:id="819"/>
      <w:bookmarkEnd w:id="820"/>
      <w:bookmarkEnd w:id="821"/>
    </w:p>
    <w:p w14:paraId="0C07FF1E">
      <w:pPr>
        <w:spacing w:line="400" w:lineRule="exact"/>
        <w:ind w:firstLine="420" w:firstLineChars="200"/>
        <w:rPr>
          <w:rFonts w:hint="eastAsia" w:ascii="宋体" w:hAnsi="宋体"/>
          <w:highlight w:val="none"/>
        </w:rPr>
      </w:pPr>
      <w:r>
        <w:rPr>
          <w:rFonts w:ascii="宋体" w:hAnsi="宋体"/>
          <w:highlight w:val="none"/>
        </w:rPr>
        <w:t>3.1.1 监理人受发包人委托，享有合同约定的权力。监理人在行使某项权力前需要经发包人事先批准而通用合同条款没有指明的，应在专用合同条款中指明。</w:t>
      </w:r>
    </w:p>
    <w:p w14:paraId="7161F8EA">
      <w:pPr>
        <w:spacing w:line="400" w:lineRule="exact"/>
        <w:ind w:firstLine="420" w:firstLineChars="200"/>
        <w:rPr>
          <w:rFonts w:hint="eastAsia" w:ascii="宋体" w:hAnsi="宋体"/>
          <w:highlight w:val="none"/>
        </w:rPr>
      </w:pPr>
      <w:r>
        <w:rPr>
          <w:rFonts w:ascii="宋体" w:hAnsi="宋体"/>
          <w:highlight w:val="none"/>
        </w:rPr>
        <w:t>3.1.2 监理人发出的任何指示应视为已得到发包人的批准，但监理人无权免除或变更合同约定的发包人和承包人的权利、义务和责任。</w:t>
      </w:r>
    </w:p>
    <w:p w14:paraId="7FF9E707">
      <w:pPr>
        <w:spacing w:line="400" w:lineRule="exact"/>
        <w:ind w:firstLine="420" w:firstLineChars="200"/>
        <w:rPr>
          <w:rFonts w:hint="eastAsia" w:ascii="宋体" w:hAnsi="宋体"/>
          <w:highlight w:val="none"/>
        </w:rPr>
      </w:pPr>
      <w:r>
        <w:rPr>
          <w:rFonts w:ascii="宋体" w:hAnsi="宋体"/>
          <w:highlight w:val="none"/>
        </w:rPr>
        <w:t>3.1.3 合同约定应由承包人承担的义务和责任，不因监理人对承包人提交文件的审查或批准，对工程、材料和设备的检查和检验，以及为实施监理作出的指示等职务行为而减轻或解除。</w:t>
      </w:r>
    </w:p>
    <w:p w14:paraId="3196E9DC">
      <w:pPr>
        <w:keepNext/>
        <w:keepLines/>
        <w:spacing w:line="400" w:lineRule="exact"/>
        <w:outlineLvl w:val="2"/>
        <w:rPr>
          <w:rFonts w:hint="eastAsia" w:ascii="宋体" w:hAnsi="宋体"/>
          <w:sz w:val="24"/>
          <w:szCs w:val="20"/>
          <w:highlight w:val="none"/>
        </w:rPr>
      </w:pPr>
      <w:bookmarkStart w:id="822" w:name="_Toc179632653"/>
      <w:bookmarkStart w:id="823" w:name="_Toc144974603"/>
      <w:bookmarkStart w:id="824" w:name="_Toc159950637"/>
      <w:bookmarkStart w:id="825" w:name="_Toc152042413"/>
      <w:bookmarkStart w:id="826" w:name="_Toc152045635"/>
      <w:bookmarkStart w:id="827" w:name="_Toc342296286"/>
      <w:bookmarkStart w:id="828" w:name="_Toc338944728"/>
      <w:r>
        <w:rPr>
          <w:rFonts w:ascii="宋体" w:hAnsi="宋体"/>
          <w:sz w:val="24"/>
          <w:szCs w:val="20"/>
          <w:highlight w:val="none"/>
        </w:rPr>
        <w:t>3.2 总监理工程师</w:t>
      </w:r>
      <w:bookmarkEnd w:id="822"/>
      <w:bookmarkEnd w:id="823"/>
      <w:bookmarkEnd w:id="824"/>
      <w:bookmarkEnd w:id="825"/>
      <w:bookmarkEnd w:id="826"/>
      <w:bookmarkEnd w:id="827"/>
      <w:bookmarkEnd w:id="828"/>
    </w:p>
    <w:p w14:paraId="56415B1C">
      <w:pPr>
        <w:spacing w:line="400" w:lineRule="exact"/>
        <w:ind w:firstLine="420" w:firstLineChars="200"/>
        <w:rPr>
          <w:rFonts w:hint="eastAsia" w:ascii="宋体" w:hAnsi="宋体"/>
          <w:highlight w:val="none"/>
        </w:rPr>
      </w:pPr>
      <w:r>
        <w:rPr>
          <w:rFonts w:ascii="宋体" w:hAnsi="宋体"/>
          <w:highlight w:val="none"/>
        </w:rPr>
        <w:t>发包人应在发出开工通知前将总监理工程师的任命通知承包人。总监理工程师更换时，应在调离14天前通知承包人。总监理工程师短期离开施工场地的，应委派代表代行其职责，并通知承包人。</w:t>
      </w:r>
    </w:p>
    <w:p w14:paraId="521832CD">
      <w:pPr>
        <w:keepNext/>
        <w:keepLines/>
        <w:spacing w:line="400" w:lineRule="exact"/>
        <w:outlineLvl w:val="2"/>
        <w:rPr>
          <w:rFonts w:hint="eastAsia" w:ascii="宋体" w:hAnsi="宋体"/>
          <w:sz w:val="24"/>
          <w:szCs w:val="20"/>
          <w:highlight w:val="none"/>
        </w:rPr>
      </w:pPr>
      <w:bookmarkStart w:id="829" w:name="_Toc159950638"/>
      <w:bookmarkStart w:id="830" w:name="_Toc342296287"/>
      <w:bookmarkStart w:id="831" w:name="_Toc338944729"/>
      <w:r>
        <w:rPr>
          <w:rFonts w:ascii="宋体" w:hAnsi="宋体"/>
          <w:sz w:val="24"/>
          <w:szCs w:val="20"/>
          <w:highlight w:val="none"/>
        </w:rPr>
        <w:t>3.3 监理人员</w:t>
      </w:r>
      <w:bookmarkEnd w:id="829"/>
      <w:bookmarkEnd w:id="830"/>
      <w:bookmarkEnd w:id="831"/>
    </w:p>
    <w:p w14:paraId="710B4CB7">
      <w:pPr>
        <w:spacing w:line="400" w:lineRule="exact"/>
        <w:ind w:firstLine="420" w:firstLineChars="200"/>
        <w:rPr>
          <w:rFonts w:hint="eastAsia" w:ascii="宋体" w:hAnsi="宋体"/>
          <w:highlight w:val="none"/>
        </w:rPr>
      </w:pPr>
      <w:r>
        <w:rPr>
          <w:rFonts w:ascii="宋体" w:hAnsi="宋体"/>
          <w:highlight w:val="none"/>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09E52D47">
      <w:pPr>
        <w:spacing w:line="400" w:lineRule="exact"/>
        <w:ind w:firstLine="420" w:firstLineChars="200"/>
        <w:rPr>
          <w:rFonts w:hint="eastAsia" w:ascii="宋体" w:hAnsi="宋体"/>
          <w:highlight w:val="none"/>
        </w:rPr>
      </w:pPr>
      <w:r>
        <w:rPr>
          <w:rFonts w:ascii="宋体" w:hAnsi="宋体"/>
          <w:highlight w:val="none"/>
        </w:rPr>
        <w:t>3.3.2 监理人员对承包人的任何工作、工程或其采用的材料和工程设备未在约定的或合理的期限内提出否定意见的，视为已获批准，但不影响监理人在以后拒绝该项工作、工程、材料或工程设备的权利。</w:t>
      </w:r>
    </w:p>
    <w:p w14:paraId="27ED2E96">
      <w:pPr>
        <w:spacing w:line="400" w:lineRule="exact"/>
        <w:ind w:firstLine="420" w:firstLineChars="200"/>
        <w:rPr>
          <w:rFonts w:hint="eastAsia" w:ascii="宋体" w:hAnsi="宋体"/>
          <w:highlight w:val="none"/>
        </w:rPr>
      </w:pPr>
      <w:r>
        <w:rPr>
          <w:rFonts w:ascii="宋体" w:hAnsi="宋体"/>
          <w:highlight w:val="none"/>
        </w:rPr>
        <w:t>3.3.3 承包人对总监理工程师授权的监理人员发出的指示有疑问的，可向总监理工程师提出书面异议，总监理工程师应在48小时内对该指示予以确认、更改或撤销。</w:t>
      </w:r>
    </w:p>
    <w:p w14:paraId="359062D6">
      <w:pPr>
        <w:spacing w:line="400" w:lineRule="exact"/>
        <w:ind w:firstLine="420" w:firstLineChars="200"/>
        <w:rPr>
          <w:rFonts w:hint="eastAsia" w:ascii="宋体" w:hAnsi="宋体"/>
          <w:highlight w:val="none"/>
        </w:rPr>
      </w:pPr>
      <w:r>
        <w:rPr>
          <w:rFonts w:ascii="宋体" w:hAnsi="宋体"/>
          <w:highlight w:val="none"/>
        </w:rPr>
        <w:t>3.3.4 除专用合同条款另有约定外，总监理工程师不应将第3.5款约定应由总监理工程师作出确定的权力授权或委托给其他监理人员。</w:t>
      </w:r>
    </w:p>
    <w:p w14:paraId="3B27C53A">
      <w:pPr>
        <w:keepNext/>
        <w:keepLines/>
        <w:spacing w:line="400" w:lineRule="exact"/>
        <w:outlineLvl w:val="2"/>
        <w:rPr>
          <w:rFonts w:hint="eastAsia" w:ascii="宋体" w:hAnsi="宋体"/>
          <w:sz w:val="24"/>
          <w:szCs w:val="20"/>
          <w:highlight w:val="none"/>
        </w:rPr>
      </w:pPr>
      <w:bookmarkStart w:id="832" w:name="_Toc159950639"/>
      <w:bookmarkStart w:id="833" w:name="_Toc338944730"/>
      <w:bookmarkStart w:id="834" w:name="_Toc342296288"/>
      <w:r>
        <w:rPr>
          <w:rFonts w:ascii="宋体" w:hAnsi="宋体"/>
          <w:sz w:val="24"/>
          <w:szCs w:val="20"/>
          <w:highlight w:val="none"/>
        </w:rPr>
        <w:t>3.4 监理人的指示</w:t>
      </w:r>
      <w:bookmarkEnd w:id="832"/>
      <w:bookmarkEnd w:id="833"/>
      <w:bookmarkEnd w:id="834"/>
    </w:p>
    <w:p w14:paraId="75B0B117">
      <w:pPr>
        <w:spacing w:line="400" w:lineRule="exact"/>
        <w:ind w:firstLine="420" w:firstLineChars="200"/>
        <w:rPr>
          <w:rFonts w:hint="eastAsia" w:ascii="宋体" w:hAnsi="宋体"/>
          <w:highlight w:val="none"/>
        </w:rPr>
      </w:pPr>
      <w:r>
        <w:rPr>
          <w:rFonts w:ascii="宋体" w:hAnsi="宋体"/>
          <w:highlight w:val="none"/>
        </w:rPr>
        <w:t>3.4.1 监理人应按第3.1款的约定向承包人发出指示，监理人的指示应盖有监理人授权的施工场地机构章，并由总监理工程师或总监理工程师按第3.3.1项约定授权的监理人员签字。</w:t>
      </w:r>
    </w:p>
    <w:p w14:paraId="28278E17">
      <w:pPr>
        <w:spacing w:line="400" w:lineRule="exact"/>
        <w:ind w:firstLine="420" w:firstLineChars="200"/>
        <w:rPr>
          <w:rFonts w:hint="eastAsia" w:ascii="宋体" w:hAnsi="宋体"/>
          <w:highlight w:val="none"/>
        </w:rPr>
      </w:pPr>
      <w:r>
        <w:rPr>
          <w:rFonts w:ascii="宋体" w:hAnsi="宋体"/>
          <w:highlight w:val="none"/>
        </w:rPr>
        <w:t>3.4.2 承包人收到监理人按第3.4.1项作出的指示后应遵照执行。指示构成变更的，应按第15条处理。</w:t>
      </w:r>
    </w:p>
    <w:p w14:paraId="7E746432">
      <w:pPr>
        <w:spacing w:line="400" w:lineRule="exact"/>
        <w:ind w:firstLine="420" w:firstLineChars="200"/>
        <w:rPr>
          <w:rFonts w:hint="eastAsia" w:ascii="宋体" w:hAnsi="宋体"/>
          <w:highlight w:val="none"/>
        </w:rPr>
      </w:pPr>
      <w:r>
        <w:rPr>
          <w:rFonts w:ascii="宋体" w:hAnsi="宋体"/>
          <w:highlight w:val="none"/>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76E27949">
      <w:pPr>
        <w:spacing w:line="400" w:lineRule="exact"/>
        <w:ind w:firstLine="420" w:firstLineChars="200"/>
        <w:rPr>
          <w:rFonts w:hint="eastAsia" w:ascii="宋体" w:hAnsi="宋体"/>
          <w:highlight w:val="none"/>
        </w:rPr>
      </w:pPr>
      <w:r>
        <w:rPr>
          <w:rFonts w:ascii="宋体" w:hAnsi="宋体"/>
          <w:highlight w:val="none"/>
        </w:rPr>
        <w:t>3.4.4 除合同另有约定外，承包人只从总监理工程师或按第3.3.1项被授权的监理人员处取得指示。</w:t>
      </w:r>
    </w:p>
    <w:p w14:paraId="29DA5748">
      <w:pPr>
        <w:spacing w:line="400" w:lineRule="exact"/>
        <w:ind w:firstLine="420" w:firstLineChars="200"/>
        <w:rPr>
          <w:rFonts w:hint="eastAsia" w:ascii="宋体" w:hAnsi="宋体"/>
          <w:highlight w:val="none"/>
        </w:rPr>
      </w:pPr>
      <w:r>
        <w:rPr>
          <w:rFonts w:ascii="宋体" w:hAnsi="宋体"/>
          <w:highlight w:val="none"/>
        </w:rPr>
        <w:t xml:space="preserve">3.4.5 由于监理人未能按合同约定发出指示、指示延误或指示错误而导致承包人费用增加和（或）工期延误的，由发包人承担赔偿责任。 </w:t>
      </w:r>
    </w:p>
    <w:p w14:paraId="078996A1">
      <w:pPr>
        <w:keepNext/>
        <w:keepLines/>
        <w:spacing w:line="400" w:lineRule="exact"/>
        <w:outlineLvl w:val="2"/>
        <w:rPr>
          <w:rFonts w:hint="eastAsia" w:ascii="宋体" w:hAnsi="宋体"/>
          <w:sz w:val="24"/>
          <w:szCs w:val="20"/>
          <w:highlight w:val="none"/>
        </w:rPr>
      </w:pPr>
      <w:bookmarkStart w:id="835" w:name="_Toc152042416"/>
      <w:bookmarkStart w:id="836" w:name="_Toc152045638"/>
      <w:bookmarkStart w:id="837" w:name="_Toc159950640"/>
      <w:bookmarkStart w:id="838" w:name="_Toc144974606"/>
      <w:bookmarkStart w:id="839" w:name="_Toc342296289"/>
      <w:bookmarkStart w:id="840" w:name="_Toc179632656"/>
      <w:bookmarkStart w:id="841" w:name="_Toc338944731"/>
      <w:r>
        <w:rPr>
          <w:rFonts w:ascii="宋体" w:hAnsi="宋体"/>
          <w:sz w:val="24"/>
          <w:szCs w:val="20"/>
          <w:highlight w:val="none"/>
        </w:rPr>
        <w:t>3.5 商定或确定</w:t>
      </w:r>
      <w:bookmarkEnd w:id="835"/>
      <w:bookmarkEnd w:id="836"/>
      <w:bookmarkEnd w:id="837"/>
      <w:bookmarkEnd w:id="838"/>
      <w:bookmarkEnd w:id="839"/>
      <w:bookmarkEnd w:id="840"/>
      <w:bookmarkEnd w:id="841"/>
    </w:p>
    <w:p w14:paraId="3F04ECAE">
      <w:pPr>
        <w:spacing w:line="400" w:lineRule="exact"/>
        <w:ind w:firstLine="420" w:firstLineChars="200"/>
        <w:rPr>
          <w:rFonts w:hint="eastAsia" w:ascii="宋体" w:hAnsi="宋体"/>
          <w:highlight w:val="none"/>
        </w:rPr>
      </w:pPr>
      <w:r>
        <w:rPr>
          <w:rFonts w:ascii="宋体" w:hAnsi="宋体"/>
          <w:highlight w:val="none"/>
        </w:rPr>
        <w:t>3.5.1合同约定总监理工程师应按照本款对任何事项进行商定或确定时，总监理工程师应与合同当事人协商，尽量达成一致。不能达成一致的，总监理工程师应认真研究后审慎确定。</w:t>
      </w:r>
    </w:p>
    <w:p w14:paraId="4A2C3DCF">
      <w:pPr>
        <w:spacing w:line="400" w:lineRule="exact"/>
        <w:ind w:firstLine="420" w:firstLineChars="200"/>
        <w:rPr>
          <w:rFonts w:hint="eastAsia" w:ascii="宋体" w:hAnsi="宋体"/>
          <w:highlight w:val="none"/>
        </w:rPr>
      </w:pPr>
      <w:r>
        <w:rPr>
          <w:rFonts w:ascii="宋体" w:hAnsi="宋体"/>
          <w:highlight w:val="none"/>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2BAB5BAB">
      <w:pPr>
        <w:keepNext/>
        <w:keepLines/>
        <w:spacing w:line="400" w:lineRule="exact"/>
        <w:outlineLvl w:val="1"/>
        <w:rPr>
          <w:rFonts w:hint="eastAsia" w:ascii="宋体" w:hAnsi="宋体" w:cs="仿宋_GB2312"/>
          <w:sz w:val="28"/>
          <w:szCs w:val="20"/>
          <w:highlight w:val="none"/>
        </w:rPr>
      </w:pPr>
      <w:bookmarkStart w:id="842" w:name="_Toc442365617"/>
      <w:bookmarkStart w:id="843" w:name="_Toc159950641"/>
      <w:bookmarkStart w:id="844" w:name="_Toc338944732"/>
      <w:bookmarkStart w:id="845" w:name="_Toc448758425"/>
      <w:bookmarkStart w:id="846" w:name="_Toc469660020"/>
      <w:bookmarkStart w:id="847" w:name="_Toc448758525"/>
      <w:bookmarkStart w:id="848" w:name="_Toc342296290"/>
      <w:r>
        <w:rPr>
          <w:rFonts w:ascii="宋体" w:hAnsi="宋体" w:cs="仿宋_GB2312"/>
          <w:sz w:val="28"/>
          <w:szCs w:val="20"/>
          <w:highlight w:val="none"/>
        </w:rPr>
        <w:t>4. 承包人</w:t>
      </w:r>
      <w:bookmarkEnd w:id="842"/>
      <w:bookmarkEnd w:id="843"/>
      <w:bookmarkEnd w:id="844"/>
      <w:bookmarkEnd w:id="845"/>
      <w:bookmarkEnd w:id="846"/>
      <w:bookmarkEnd w:id="847"/>
      <w:bookmarkEnd w:id="848"/>
    </w:p>
    <w:p w14:paraId="388A8233">
      <w:pPr>
        <w:keepNext/>
        <w:keepLines/>
        <w:spacing w:line="400" w:lineRule="exact"/>
        <w:outlineLvl w:val="2"/>
        <w:rPr>
          <w:rFonts w:hint="eastAsia" w:ascii="宋体" w:hAnsi="宋体"/>
          <w:sz w:val="24"/>
          <w:szCs w:val="20"/>
          <w:highlight w:val="none"/>
        </w:rPr>
      </w:pPr>
      <w:bookmarkStart w:id="849" w:name="_Toc338944733"/>
      <w:bookmarkStart w:id="850" w:name="_Toc342296291"/>
      <w:bookmarkStart w:id="851" w:name="_Toc159950642"/>
      <w:r>
        <w:rPr>
          <w:rFonts w:ascii="宋体" w:hAnsi="宋体"/>
          <w:sz w:val="24"/>
          <w:szCs w:val="20"/>
          <w:highlight w:val="none"/>
        </w:rPr>
        <w:t>4.1 承包人的一般义务</w:t>
      </w:r>
      <w:bookmarkEnd w:id="849"/>
      <w:bookmarkEnd w:id="850"/>
      <w:bookmarkEnd w:id="851"/>
    </w:p>
    <w:p w14:paraId="5D9D587C">
      <w:pPr>
        <w:spacing w:line="400" w:lineRule="exact"/>
        <w:ind w:firstLine="420" w:firstLineChars="200"/>
        <w:rPr>
          <w:rFonts w:hint="eastAsia" w:ascii="宋体" w:hAnsi="宋体"/>
          <w:highlight w:val="none"/>
        </w:rPr>
      </w:pPr>
      <w:r>
        <w:rPr>
          <w:rFonts w:ascii="宋体" w:hAnsi="宋体"/>
          <w:highlight w:val="none"/>
        </w:rPr>
        <w:t xml:space="preserve">4.1.1 </w:t>
      </w:r>
      <w:r>
        <w:rPr>
          <w:rFonts w:hint="eastAsia" w:ascii="宋体" w:hAnsi="宋体" w:cs="宋体"/>
          <w:highlight w:val="none"/>
        </w:rPr>
        <w:t>遵守法律</w:t>
      </w:r>
    </w:p>
    <w:p w14:paraId="55F6EA88">
      <w:pPr>
        <w:spacing w:line="400" w:lineRule="exact"/>
        <w:ind w:firstLine="420" w:firstLineChars="200"/>
        <w:rPr>
          <w:rFonts w:hint="eastAsia" w:ascii="宋体" w:hAnsi="宋体"/>
          <w:highlight w:val="none"/>
        </w:rPr>
      </w:pPr>
      <w:r>
        <w:rPr>
          <w:rFonts w:ascii="宋体" w:hAnsi="宋体"/>
          <w:highlight w:val="none"/>
        </w:rPr>
        <w:t>承包人在履行合同过程中应遵守法律，并保证发包人免于承担因承包人违反法律而引起的任何责任。</w:t>
      </w:r>
    </w:p>
    <w:p w14:paraId="60BB0D8C">
      <w:pPr>
        <w:spacing w:line="400" w:lineRule="exact"/>
        <w:ind w:firstLine="420" w:firstLineChars="200"/>
        <w:rPr>
          <w:rFonts w:hint="eastAsia" w:ascii="宋体" w:hAnsi="宋体"/>
          <w:highlight w:val="none"/>
        </w:rPr>
      </w:pPr>
      <w:r>
        <w:rPr>
          <w:rFonts w:ascii="宋体" w:hAnsi="宋体"/>
          <w:highlight w:val="none"/>
        </w:rPr>
        <w:t xml:space="preserve">4.1.2 </w:t>
      </w:r>
      <w:r>
        <w:rPr>
          <w:rFonts w:hint="eastAsia" w:ascii="宋体" w:hAnsi="宋体" w:cs="宋体"/>
          <w:highlight w:val="none"/>
        </w:rPr>
        <w:t>依法纳税</w:t>
      </w:r>
    </w:p>
    <w:p w14:paraId="5DAB4CED">
      <w:pPr>
        <w:spacing w:line="400" w:lineRule="exact"/>
        <w:ind w:firstLine="420" w:firstLineChars="200"/>
        <w:rPr>
          <w:rFonts w:hint="eastAsia" w:ascii="宋体" w:hAnsi="宋体"/>
          <w:highlight w:val="none"/>
        </w:rPr>
      </w:pPr>
      <w:r>
        <w:rPr>
          <w:rFonts w:ascii="宋体" w:hAnsi="宋体"/>
          <w:highlight w:val="none"/>
        </w:rPr>
        <w:t>承包人应按有关法律规定纳税，应缴纳的税金包括在合同价格内。</w:t>
      </w:r>
    </w:p>
    <w:p w14:paraId="309BF442">
      <w:pPr>
        <w:spacing w:line="400" w:lineRule="exact"/>
        <w:ind w:firstLine="420" w:firstLineChars="200"/>
        <w:rPr>
          <w:rFonts w:hint="eastAsia" w:ascii="宋体" w:hAnsi="宋体"/>
          <w:highlight w:val="none"/>
        </w:rPr>
      </w:pPr>
      <w:r>
        <w:rPr>
          <w:rFonts w:ascii="宋体" w:hAnsi="宋体"/>
          <w:highlight w:val="none"/>
        </w:rPr>
        <w:t xml:space="preserve">4.1.3 </w:t>
      </w:r>
      <w:r>
        <w:rPr>
          <w:rFonts w:hint="eastAsia" w:ascii="宋体" w:hAnsi="宋体" w:cs="宋体"/>
          <w:highlight w:val="none"/>
        </w:rPr>
        <w:t>完成各项承包工作</w:t>
      </w:r>
    </w:p>
    <w:p w14:paraId="24163414">
      <w:pPr>
        <w:spacing w:line="400" w:lineRule="exact"/>
        <w:rPr>
          <w:rFonts w:hint="eastAsia" w:ascii="宋体" w:hAnsi="宋体"/>
          <w:highlight w:val="none"/>
        </w:rPr>
      </w:pPr>
      <w:r>
        <w:rPr>
          <w:rFonts w:hint="eastAsia" w:ascii="宋体" w:hAnsi="宋体"/>
          <w:highlight w:val="none"/>
        </w:rPr>
        <w:t>承包人应</w:t>
      </w:r>
      <w:r>
        <w:rPr>
          <w:rFonts w:ascii="宋体" w:hAnsi="宋体"/>
          <w:highlight w:val="none"/>
        </w:rPr>
        <w:t>办理法律规定应由承包人办理的许可和批准，并将办理结果书面报送发包人留存；按法律规定和合同约定完成工程，并在保修期内承担保修义务</w:t>
      </w:r>
      <w:r>
        <w:rPr>
          <w:rFonts w:hint="eastAsia" w:ascii="宋体" w:hAnsi="宋体"/>
          <w:highlight w:val="none"/>
        </w:rPr>
        <w:t>。除专用合同条款另有约定外，承包人应提供为完成合同工作所需的劳务、材料、施工设备、工程设备和其他物品，并按合同约定负责临时设施的设计、建造、运行、维护、管理和拆除。</w:t>
      </w:r>
    </w:p>
    <w:p w14:paraId="7B881467">
      <w:pPr>
        <w:spacing w:line="400" w:lineRule="exact"/>
        <w:ind w:firstLine="420" w:firstLineChars="200"/>
        <w:rPr>
          <w:rFonts w:hint="eastAsia" w:ascii="宋体" w:hAnsi="宋体"/>
          <w:highlight w:val="none"/>
        </w:rPr>
      </w:pPr>
      <w:r>
        <w:rPr>
          <w:rFonts w:ascii="宋体" w:hAnsi="宋体"/>
          <w:highlight w:val="none"/>
        </w:rPr>
        <w:t xml:space="preserve">4.1.4 </w:t>
      </w:r>
      <w:r>
        <w:rPr>
          <w:rFonts w:hint="eastAsia" w:ascii="宋体" w:hAnsi="宋体" w:cs="宋体"/>
          <w:highlight w:val="none"/>
        </w:rPr>
        <w:t>对施工作业和施工方法的完备性负责</w:t>
      </w:r>
    </w:p>
    <w:p w14:paraId="44B09745">
      <w:pPr>
        <w:spacing w:line="400" w:lineRule="exact"/>
        <w:ind w:firstLine="420" w:firstLineChars="200"/>
        <w:rPr>
          <w:rFonts w:hint="eastAsia" w:ascii="宋体" w:hAnsi="宋体"/>
          <w:highlight w:val="none"/>
        </w:rPr>
      </w:pPr>
      <w:r>
        <w:rPr>
          <w:rFonts w:ascii="宋体" w:hAnsi="宋体"/>
          <w:highlight w:val="none"/>
        </w:rPr>
        <w:t>承包人应按合同约定的工作内容和施工进度要求，编制施工组织设计和施工措施计划，并对所有施工作业和施工方法的完备性和安全可靠性负责。</w:t>
      </w:r>
    </w:p>
    <w:p w14:paraId="5A25DA3B">
      <w:pPr>
        <w:spacing w:line="400" w:lineRule="exact"/>
        <w:ind w:firstLine="420" w:firstLineChars="200"/>
        <w:rPr>
          <w:rFonts w:hint="eastAsia" w:ascii="宋体" w:hAnsi="宋体"/>
          <w:highlight w:val="none"/>
        </w:rPr>
      </w:pPr>
      <w:r>
        <w:rPr>
          <w:rFonts w:ascii="宋体" w:hAnsi="宋体"/>
          <w:highlight w:val="none"/>
        </w:rPr>
        <w:t xml:space="preserve">4.1.5 </w:t>
      </w:r>
      <w:r>
        <w:rPr>
          <w:rFonts w:hint="eastAsia" w:ascii="宋体" w:hAnsi="宋体" w:cs="宋体"/>
          <w:highlight w:val="none"/>
        </w:rPr>
        <w:t>保证工程施工和人员的安全</w:t>
      </w:r>
    </w:p>
    <w:p w14:paraId="47035C6F">
      <w:pPr>
        <w:spacing w:line="400" w:lineRule="exact"/>
        <w:ind w:firstLine="420" w:firstLineChars="200"/>
        <w:rPr>
          <w:rFonts w:hint="eastAsia" w:ascii="宋体" w:hAnsi="宋体"/>
          <w:highlight w:val="none"/>
        </w:rPr>
      </w:pPr>
      <w:r>
        <w:rPr>
          <w:rFonts w:ascii="宋体" w:hAnsi="宋体"/>
          <w:highlight w:val="none"/>
        </w:rPr>
        <w:t>承包人应按法律规定和合同约定采取施工安全和环境保护措施，办理工伤保险，确保工程及人员、材料、设备和设施的安全；防止因工程施工造成的人身伤害和财产损失。</w:t>
      </w:r>
    </w:p>
    <w:p w14:paraId="4CE3B357">
      <w:pPr>
        <w:spacing w:line="400" w:lineRule="exact"/>
        <w:ind w:firstLine="420" w:firstLineChars="200"/>
        <w:rPr>
          <w:rFonts w:hint="eastAsia" w:ascii="宋体" w:hAnsi="宋体"/>
          <w:highlight w:val="none"/>
        </w:rPr>
      </w:pPr>
      <w:r>
        <w:rPr>
          <w:rFonts w:ascii="宋体" w:hAnsi="宋体"/>
          <w:highlight w:val="none"/>
        </w:rPr>
        <w:t xml:space="preserve">4.1.6 </w:t>
      </w:r>
      <w:r>
        <w:rPr>
          <w:rFonts w:hint="eastAsia" w:ascii="宋体" w:hAnsi="宋体" w:cs="宋体"/>
          <w:highlight w:val="none"/>
        </w:rPr>
        <w:t>负责施工场地及其周边环境与生态的保护工作</w:t>
      </w:r>
    </w:p>
    <w:p w14:paraId="592AD3D9">
      <w:pPr>
        <w:spacing w:line="400" w:lineRule="exact"/>
        <w:ind w:firstLine="420" w:firstLineChars="200"/>
        <w:rPr>
          <w:rFonts w:hint="eastAsia" w:ascii="宋体" w:hAnsi="宋体"/>
          <w:highlight w:val="none"/>
        </w:rPr>
      </w:pPr>
      <w:r>
        <w:rPr>
          <w:rFonts w:ascii="宋体" w:hAnsi="宋体"/>
          <w:highlight w:val="none"/>
        </w:rPr>
        <w:t>承包人应按照第9.4款约定负责施工场地及其周边环境与生态的保护工作。</w:t>
      </w:r>
    </w:p>
    <w:p w14:paraId="3CA14623">
      <w:pPr>
        <w:spacing w:line="400" w:lineRule="exact"/>
        <w:ind w:firstLine="420" w:firstLineChars="200"/>
        <w:rPr>
          <w:rFonts w:hint="eastAsia" w:ascii="宋体" w:hAnsi="宋体"/>
          <w:highlight w:val="none"/>
        </w:rPr>
      </w:pPr>
      <w:r>
        <w:rPr>
          <w:rFonts w:ascii="宋体" w:hAnsi="宋体"/>
          <w:highlight w:val="none"/>
        </w:rPr>
        <w:t xml:space="preserve">4.1.7 </w:t>
      </w:r>
      <w:r>
        <w:rPr>
          <w:rFonts w:hint="eastAsia" w:ascii="宋体" w:hAnsi="宋体" w:cs="宋体"/>
          <w:highlight w:val="none"/>
        </w:rPr>
        <w:t>避免施工对公众与他人的利益造成损害</w:t>
      </w:r>
    </w:p>
    <w:p w14:paraId="0F1F0D7C">
      <w:pPr>
        <w:spacing w:line="400" w:lineRule="exact"/>
        <w:ind w:firstLine="420" w:firstLineChars="200"/>
        <w:rPr>
          <w:rFonts w:hint="eastAsia" w:ascii="宋体" w:hAnsi="宋体"/>
          <w:highlight w:val="none"/>
        </w:rPr>
      </w:pPr>
      <w:r>
        <w:rPr>
          <w:rFonts w:ascii="宋体" w:hAnsi="宋体"/>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EDA72BD">
      <w:pPr>
        <w:spacing w:line="400" w:lineRule="exact"/>
        <w:ind w:firstLine="420" w:firstLineChars="200"/>
        <w:rPr>
          <w:rFonts w:hint="eastAsia" w:ascii="宋体" w:hAnsi="宋体"/>
          <w:highlight w:val="none"/>
        </w:rPr>
      </w:pPr>
      <w:r>
        <w:rPr>
          <w:rFonts w:ascii="宋体" w:hAnsi="宋体"/>
          <w:highlight w:val="none"/>
        </w:rPr>
        <w:t xml:space="preserve">4.1.8 </w:t>
      </w:r>
      <w:r>
        <w:rPr>
          <w:rFonts w:hint="eastAsia" w:ascii="宋体" w:hAnsi="宋体" w:cs="宋体"/>
          <w:highlight w:val="none"/>
        </w:rPr>
        <w:t>为他人提供方便</w:t>
      </w:r>
    </w:p>
    <w:p w14:paraId="47F4DAB7">
      <w:pPr>
        <w:spacing w:line="400" w:lineRule="exact"/>
        <w:ind w:firstLine="420" w:firstLineChars="200"/>
        <w:rPr>
          <w:rFonts w:hint="eastAsia" w:ascii="宋体" w:hAnsi="宋体"/>
          <w:highlight w:val="none"/>
        </w:rPr>
      </w:pPr>
      <w:r>
        <w:rPr>
          <w:rFonts w:ascii="宋体" w:hAnsi="宋体"/>
          <w:highlight w:val="none"/>
        </w:rPr>
        <w:t>承包人应按监理人的指示为他人在施工场地或附近实施与工程有关的其他各项工作提供可能的条件。除合同另有约定外，提供有关条件的内容和可能发生的费用，由监理人按第3.5款商定或确定。</w:t>
      </w:r>
    </w:p>
    <w:p w14:paraId="0FD65DDC">
      <w:pPr>
        <w:spacing w:line="400" w:lineRule="exact"/>
        <w:ind w:firstLine="420" w:firstLineChars="200"/>
        <w:rPr>
          <w:rFonts w:hint="eastAsia" w:ascii="宋体" w:hAnsi="宋体"/>
          <w:highlight w:val="none"/>
        </w:rPr>
      </w:pPr>
      <w:r>
        <w:rPr>
          <w:rFonts w:ascii="宋体" w:hAnsi="宋体"/>
          <w:highlight w:val="none"/>
        </w:rPr>
        <w:t xml:space="preserve">4.1.9 </w:t>
      </w:r>
      <w:r>
        <w:rPr>
          <w:rFonts w:hint="eastAsia" w:ascii="宋体" w:hAnsi="宋体" w:cs="宋体"/>
          <w:highlight w:val="none"/>
        </w:rPr>
        <w:t>工程的维护和照管</w:t>
      </w:r>
    </w:p>
    <w:p w14:paraId="6184497E">
      <w:pPr>
        <w:spacing w:line="400" w:lineRule="exact"/>
        <w:ind w:firstLine="420" w:firstLineChars="200"/>
        <w:rPr>
          <w:rFonts w:hint="eastAsia" w:ascii="宋体" w:hAnsi="宋体"/>
          <w:highlight w:val="none"/>
        </w:rPr>
      </w:pPr>
      <w:r>
        <w:rPr>
          <w:rFonts w:hint="eastAsia" w:ascii="宋体" w:hAnsi="宋体"/>
          <w:highlight w:val="none"/>
        </w:rPr>
        <w:t>（</w:t>
      </w:r>
      <w:r>
        <w:rPr>
          <w:rFonts w:ascii="宋体" w:hAnsi="宋体"/>
          <w:highlight w:val="none"/>
        </w:rPr>
        <w:t>1）除专用合同条款另有约定外，自发包人向承包人移交施工现场之日起，承</w:t>
      </w:r>
      <w:r>
        <w:rPr>
          <w:rFonts w:hint="eastAsia" w:ascii="宋体" w:hAnsi="宋体"/>
          <w:highlight w:val="none"/>
        </w:rPr>
        <w:t>包人应负责照管工程及工程相关的材料、工程设备，直到颁发工程接收证书之日止。</w:t>
      </w:r>
    </w:p>
    <w:p w14:paraId="20FC9D26">
      <w:pPr>
        <w:spacing w:line="400" w:lineRule="exact"/>
        <w:ind w:firstLine="420" w:firstLineChars="200"/>
        <w:rPr>
          <w:rFonts w:hint="eastAsia" w:ascii="宋体" w:hAnsi="宋体"/>
          <w:highlight w:val="none"/>
        </w:rPr>
      </w:pPr>
      <w:r>
        <w:rPr>
          <w:rFonts w:hint="eastAsia" w:ascii="宋体" w:hAnsi="宋体"/>
          <w:highlight w:val="none"/>
        </w:rPr>
        <w:t>（</w:t>
      </w:r>
      <w:r>
        <w:rPr>
          <w:rFonts w:ascii="宋体" w:hAnsi="宋体"/>
          <w:highlight w:val="none"/>
        </w:rPr>
        <w:t>2）在承包人负责照管期间，因承包人原因造成工程、材料、工程设备损坏的，由承包人负责修复或更换，并承担由此增加的费用和（或）延误的工期。</w:t>
      </w:r>
    </w:p>
    <w:p w14:paraId="773B11AB">
      <w:pPr>
        <w:spacing w:line="400" w:lineRule="exact"/>
        <w:ind w:firstLine="420" w:firstLineChars="200"/>
        <w:rPr>
          <w:rFonts w:hint="eastAsia" w:ascii="宋体" w:hAnsi="宋体"/>
          <w:highlight w:val="none"/>
        </w:rPr>
      </w:pPr>
      <w:r>
        <w:rPr>
          <w:rFonts w:hint="eastAsia" w:ascii="宋体" w:hAnsi="宋体"/>
          <w:highlight w:val="none"/>
        </w:rPr>
        <w:t>（</w:t>
      </w:r>
      <w:r>
        <w:rPr>
          <w:rFonts w:ascii="宋体" w:hAnsi="宋体"/>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20CEFD8E">
      <w:pPr>
        <w:snapToGrid w:val="0"/>
        <w:ind w:firstLine="480" w:firstLineChars="200"/>
        <w:rPr>
          <w:rFonts w:hint="eastAsia" w:ascii="宋体" w:hAnsi="宋体"/>
          <w:sz w:val="24"/>
          <w:highlight w:val="none"/>
        </w:rPr>
      </w:pPr>
    </w:p>
    <w:p w14:paraId="0E4C5ECB">
      <w:pPr>
        <w:spacing w:line="400" w:lineRule="exact"/>
        <w:ind w:firstLine="420" w:firstLineChars="200"/>
        <w:rPr>
          <w:rFonts w:hint="eastAsia" w:ascii="宋体" w:hAnsi="宋体"/>
          <w:highlight w:val="none"/>
        </w:rPr>
      </w:pPr>
      <w:r>
        <w:rPr>
          <w:rFonts w:ascii="宋体" w:hAnsi="宋体"/>
          <w:highlight w:val="none"/>
        </w:rPr>
        <w:t>4.1.10 工程</w:t>
      </w:r>
      <w:r>
        <w:rPr>
          <w:rFonts w:hint="eastAsia" w:ascii="宋体" w:hAnsi="宋体"/>
          <w:highlight w:val="none"/>
        </w:rPr>
        <w:t>款的使用</w:t>
      </w:r>
    </w:p>
    <w:p w14:paraId="320FEC46">
      <w:pPr>
        <w:spacing w:line="400" w:lineRule="exact"/>
        <w:ind w:firstLine="420" w:firstLineChars="200"/>
        <w:rPr>
          <w:rFonts w:hint="eastAsia" w:ascii="宋体" w:hAnsi="宋体"/>
          <w:highlight w:val="none"/>
        </w:rPr>
      </w:pPr>
      <w:r>
        <w:rPr>
          <w:rFonts w:hint="eastAsia" w:ascii="宋体" w:hAnsi="宋体"/>
          <w:highlight w:val="none"/>
        </w:rPr>
        <w:t>将发包人按合同约定支付的各项价款专用于合同工程，且应及时支付其雇用人员工资，并及时向分包人支付合同价款；</w:t>
      </w:r>
    </w:p>
    <w:p w14:paraId="3AF47CCB">
      <w:pPr>
        <w:spacing w:line="400" w:lineRule="exact"/>
        <w:ind w:firstLine="420" w:firstLineChars="200"/>
        <w:rPr>
          <w:rFonts w:hint="eastAsia" w:ascii="宋体" w:hAnsi="宋体"/>
          <w:highlight w:val="none"/>
        </w:rPr>
      </w:pPr>
      <w:r>
        <w:rPr>
          <w:rFonts w:ascii="宋体" w:hAnsi="宋体"/>
          <w:highlight w:val="none"/>
        </w:rPr>
        <w:t>4.1.11 工程</w:t>
      </w:r>
      <w:r>
        <w:rPr>
          <w:rFonts w:hint="eastAsia" w:ascii="宋体" w:hAnsi="宋体"/>
          <w:highlight w:val="none"/>
        </w:rPr>
        <w:t>资料管理</w:t>
      </w:r>
    </w:p>
    <w:p w14:paraId="3CB5FF16">
      <w:pPr>
        <w:spacing w:line="400" w:lineRule="exact"/>
        <w:ind w:firstLine="420" w:firstLineChars="200"/>
        <w:rPr>
          <w:rFonts w:hint="eastAsia" w:ascii="宋体" w:hAnsi="宋体"/>
          <w:highlight w:val="none"/>
        </w:rPr>
      </w:pPr>
      <w:r>
        <w:rPr>
          <w:rFonts w:hint="eastAsia" w:ascii="宋体" w:hAnsi="宋体"/>
          <w:highlight w:val="none"/>
        </w:rPr>
        <w:t>承包人应按照法律规定和合同约定编制竣工资料，及时按照双方合同约定时间，配合发包人完成竣工所需资料立卷及归档，并按专用合同条款约定的竣工资料的套数、内容、时间等要求移交发包人，并保证其真实可靠性。</w:t>
      </w:r>
    </w:p>
    <w:p w14:paraId="04F13E5F">
      <w:pPr>
        <w:spacing w:line="400" w:lineRule="exact"/>
        <w:ind w:firstLine="420" w:firstLineChars="200"/>
        <w:rPr>
          <w:rFonts w:hint="eastAsia" w:ascii="宋体" w:hAnsi="宋体"/>
          <w:highlight w:val="none"/>
        </w:rPr>
      </w:pPr>
      <w:r>
        <w:rPr>
          <w:rFonts w:ascii="宋体" w:hAnsi="宋体"/>
          <w:highlight w:val="none"/>
        </w:rPr>
        <w:t xml:space="preserve">4.1.12 </w:t>
      </w:r>
      <w:r>
        <w:rPr>
          <w:rFonts w:hint="eastAsia" w:ascii="宋体" w:hAnsi="宋体" w:cs="宋体"/>
          <w:highlight w:val="none"/>
        </w:rPr>
        <w:t>其他义务</w:t>
      </w:r>
    </w:p>
    <w:p w14:paraId="69BE52E4">
      <w:pPr>
        <w:spacing w:line="400" w:lineRule="exact"/>
        <w:ind w:firstLine="420" w:firstLineChars="200"/>
        <w:rPr>
          <w:rFonts w:hint="eastAsia" w:ascii="宋体" w:hAnsi="宋体"/>
          <w:highlight w:val="none"/>
        </w:rPr>
      </w:pPr>
      <w:r>
        <w:rPr>
          <w:rFonts w:ascii="宋体" w:hAnsi="宋体"/>
          <w:highlight w:val="none"/>
        </w:rPr>
        <w:t>承包人应履行合同约定的其他义务。</w:t>
      </w:r>
    </w:p>
    <w:p w14:paraId="16230094">
      <w:pPr>
        <w:keepNext/>
        <w:keepLines/>
        <w:spacing w:line="400" w:lineRule="exact"/>
        <w:outlineLvl w:val="2"/>
        <w:rPr>
          <w:rFonts w:hint="eastAsia" w:ascii="宋体" w:hAnsi="宋体"/>
          <w:sz w:val="24"/>
          <w:szCs w:val="20"/>
          <w:highlight w:val="none"/>
        </w:rPr>
      </w:pPr>
      <w:bookmarkStart w:id="852" w:name="_Toc144974609"/>
      <w:bookmarkStart w:id="853" w:name="_Toc159950643"/>
      <w:bookmarkStart w:id="854" w:name="_Toc152042419"/>
      <w:bookmarkStart w:id="855" w:name="_Toc338944734"/>
      <w:bookmarkStart w:id="856" w:name="_Toc342296292"/>
      <w:bookmarkStart w:id="857" w:name="_Toc152045641"/>
      <w:bookmarkStart w:id="858" w:name="_Toc179632659"/>
      <w:r>
        <w:rPr>
          <w:rFonts w:ascii="宋体" w:hAnsi="宋体"/>
          <w:sz w:val="24"/>
          <w:szCs w:val="20"/>
          <w:highlight w:val="none"/>
        </w:rPr>
        <w:t>4.2 履约担保</w:t>
      </w:r>
      <w:bookmarkEnd w:id="852"/>
      <w:bookmarkEnd w:id="853"/>
      <w:bookmarkEnd w:id="854"/>
      <w:bookmarkEnd w:id="855"/>
      <w:bookmarkEnd w:id="856"/>
      <w:bookmarkEnd w:id="857"/>
      <w:bookmarkEnd w:id="858"/>
    </w:p>
    <w:p w14:paraId="31C057D1">
      <w:pPr>
        <w:spacing w:line="400" w:lineRule="exact"/>
        <w:ind w:firstLine="420" w:firstLineChars="200"/>
        <w:rPr>
          <w:rFonts w:hint="eastAsia" w:ascii="宋体" w:hAnsi="宋体"/>
          <w:highlight w:val="none"/>
        </w:rPr>
      </w:pPr>
      <w:r>
        <w:rPr>
          <w:rFonts w:ascii="宋体" w:hAnsi="宋体"/>
          <w:highlight w:val="none"/>
        </w:rPr>
        <w:t>承包人应保证其履约担保在发包人颁发工程接收证书前一直有效。发包人应在工程接收证书颁发后28天内把履约担保退还给承包人。</w:t>
      </w:r>
    </w:p>
    <w:p w14:paraId="2FC0A387">
      <w:pPr>
        <w:keepNext/>
        <w:keepLines/>
        <w:spacing w:line="400" w:lineRule="exact"/>
        <w:outlineLvl w:val="2"/>
        <w:rPr>
          <w:rFonts w:hint="eastAsia" w:ascii="宋体" w:hAnsi="宋体"/>
          <w:sz w:val="24"/>
          <w:szCs w:val="20"/>
          <w:highlight w:val="none"/>
        </w:rPr>
      </w:pPr>
      <w:bookmarkStart w:id="859" w:name="_Toc159950644"/>
      <w:bookmarkStart w:id="860" w:name="_Toc342296293"/>
      <w:bookmarkStart w:id="861" w:name="_Toc338944735"/>
      <w:r>
        <w:rPr>
          <w:rFonts w:ascii="宋体" w:hAnsi="宋体"/>
          <w:sz w:val="24"/>
          <w:szCs w:val="20"/>
          <w:highlight w:val="none"/>
        </w:rPr>
        <w:t>4.3 分包</w:t>
      </w:r>
      <w:bookmarkEnd w:id="859"/>
      <w:bookmarkEnd w:id="860"/>
      <w:bookmarkEnd w:id="861"/>
    </w:p>
    <w:p w14:paraId="2180616B">
      <w:pPr>
        <w:spacing w:line="400" w:lineRule="exact"/>
        <w:ind w:firstLine="420" w:firstLineChars="200"/>
        <w:rPr>
          <w:rFonts w:hint="eastAsia" w:ascii="宋体" w:hAnsi="宋体"/>
          <w:highlight w:val="none"/>
        </w:rPr>
      </w:pPr>
      <w:r>
        <w:rPr>
          <w:rFonts w:ascii="宋体" w:hAnsi="宋体"/>
          <w:highlight w:val="none"/>
        </w:rPr>
        <w:t>4.3.1 承包人不得将其承包的全部工程转包给第三人，或将其承包的全部工程肢解后以分包的名义转包给第三人。</w:t>
      </w:r>
    </w:p>
    <w:p w14:paraId="687531C9">
      <w:pPr>
        <w:spacing w:line="400" w:lineRule="exact"/>
        <w:ind w:firstLine="420" w:firstLineChars="200"/>
        <w:rPr>
          <w:rFonts w:hint="eastAsia" w:ascii="宋体" w:hAnsi="宋体"/>
          <w:highlight w:val="none"/>
        </w:rPr>
      </w:pPr>
      <w:r>
        <w:rPr>
          <w:rFonts w:ascii="宋体" w:hAnsi="宋体"/>
          <w:highlight w:val="none"/>
        </w:rPr>
        <w:t>4.3.2 承包人不得将工程主体、关键性工作分包给第三人。除专用合同条款另有约定外，未经发包人同意，承包人不得将工程的其他部分或工作分包给第三人。</w:t>
      </w:r>
    </w:p>
    <w:p w14:paraId="752C7F8B">
      <w:pPr>
        <w:spacing w:line="400" w:lineRule="exact"/>
        <w:ind w:firstLine="420" w:firstLineChars="200"/>
        <w:rPr>
          <w:rFonts w:hint="eastAsia" w:ascii="宋体" w:hAnsi="宋体"/>
          <w:highlight w:val="none"/>
        </w:rPr>
      </w:pPr>
      <w:r>
        <w:rPr>
          <w:rFonts w:ascii="宋体" w:hAnsi="宋体"/>
          <w:highlight w:val="none"/>
        </w:rPr>
        <w:t>4.3.3 分包人的资格能力应与其分包工程的标准和规模相适应。</w:t>
      </w:r>
    </w:p>
    <w:p w14:paraId="52D07F04">
      <w:pPr>
        <w:spacing w:line="400" w:lineRule="exact"/>
        <w:ind w:firstLine="420" w:firstLineChars="200"/>
        <w:rPr>
          <w:rFonts w:hint="eastAsia" w:ascii="宋体" w:hAnsi="宋体"/>
          <w:highlight w:val="none"/>
        </w:rPr>
      </w:pPr>
      <w:r>
        <w:rPr>
          <w:rFonts w:ascii="宋体" w:hAnsi="宋体"/>
          <w:highlight w:val="none"/>
        </w:rPr>
        <w:t>4.3.4 按投标函附录约定分包工程的，承包人应向发包人和监理人提交分包合同副本。</w:t>
      </w:r>
    </w:p>
    <w:p w14:paraId="2A98A0B3">
      <w:pPr>
        <w:spacing w:line="400" w:lineRule="exact"/>
        <w:ind w:firstLine="420" w:firstLineChars="200"/>
        <w:rPr>
          <w:rFonts w:hint="eastAsia" w:ascii="宋体" w:hAnsi="宋体"/>
          <w:highlight w:val="none"/>
        </w:rPr>
      </w:pPr>
      <w:r>
        <w:rPr>
          <w:rFonts w:ascii="宋体" w:hAnsi="宋体"/>
          <w:highlight w:val="none"/>
        </w:rPr>
        <w:t>4.3.5 承包人应与分包人就分包工程向发包人承担连带责任。</w:t>
      </w:r>
    </w:p>
    <w:p w14:paraId="2D76A967">
      <w:pPr>
        <w:keepNext/>
        <w:keepLines/>
        <w:spacing w:line="400" w:lineRule="exact"/>
        <w:outlineLvl w:val="2"/>
        <w:rPr>
          <w:rFonts w:hint="eastAsia" w:ascii="宋体" w:hAnsi="宋体"/>
          <w:sz w:val="24"/>
          <w:szCs w:val="20"/>
          <w:highlight w:val="none"/>
        </w:rPr>
      </w:pPr>
      <w:bookmarkStart w:id="862" w:name="_Toc159950645"/>
      <w:r>
        <w:rPr>
          <w:rFonts w:ascii="宋体" w:hAnsi="宋体"/>
          <w:sz w:val="24"/>
          <w:szCs w:val="20"/>
          <w:highlight w:val="none"/>
        </w:rPr>
        <w:t>4.3.6</w:t>
      </w:r>
      <w:r>
        <w:rPr>
          <w:rFonts w:hint="eastAsia" w:ascii="宋体" w:hAnsi="宋体"/>
          <w:sz w:val="24"/>
          <w:szCs w:val="20"/>
          <w:highlight w:val="none"/>
        </w:rPr>
        <w:t>承包人应向监理人提交分包人的主要施工管理人员表，并对分包人的施工人员进行实名制管理。</w:t>
      </w:r>
      <w:bookmarkEnd w:id="862"/>
      <w:bookmarkStart w:id="863" w:name="_Toc338944736"/>
      <w:bookmarkStart w:id="864" w:name="_Toc342296294"/>
      <w:bookmarkStart w:id="865" w:name="_Toc152045643"/>
      <w:bookmarkStart w:id="866" w:name="_Toc152042421"/>
      <w:bookmarkStart w:id="867" w:name="_Toc179632661"/>
      <w:bookmarkStart w:id="868" w:name="_Toc144974611"/>
    </w:p>
    <w:p w14:paraId="023CE003">
      <w:pPr>
        <w:keepNext/>
        <w:keepLines/>
        <w:spacing w:line="400" w:lineRule="exact"/>
        <w:outlineLvl w:val="2"/>
        <w:rPr>
          <w:rFonts w:hint="eastAsia" w:ascii="宋体" w:hAnsi="宋体"/>
          <w:sz w:val="24"/>
          <w:szCs w:val="20"/>
          <w:highlight w:val="none"/>
        </w:rPr>
      </w:pPr>
      <w:bookmarkStart w:id="869" w:name="_Toc159950646"/>
      <w:r>
        <w:rPr>
          <w:rFonts w:ascii="宋体" w:hAnsi="宋体"/>
          <w:sz w:val="24"/>
          <w:szCs w:val="20"/>
          <w:highlight w:val="none"/>
        </w:rPr>
        <w:t>4.4 联合体</w:t>
      </w:r>
      <w:bookmarkEnd w:id="863"/>
      <w:bookmarkEnd w:id="864"/>
      <w:bookmarkEnd w:id="865"/>
      <w:bookmarkEnd w:id="866"/>
      <w:bookmarkEnd w:id="867"/>
      <w:bookmarkEnd w:id="868"/>
      <w:bookmarkEnd w:id="869"/>
    </w:p>
    <w:p w14:paraId="34FF58EF">
      <w:pPr>
        <w:spacing w:line="400" w:lineRule="exact"/>
        <w:ind w:firstLine="420" w:firstLineChars="200"/>
        <w:rPr>
          <w:rFonts w:hint="eastAsia" w:ascii="宋体" w:hAnsi="宋体"/>
          <w:highlight w:val="none"/>
        </w:rPr>
      </w:pPr>
      <w:r>
        <w:rPr>
          <w:rFonts w:ascii="宋体" w:hAnsi="宋体"/>
          <w:highlight w:val="none"/>
        </w:rPr>
        <w:t>4.4.1 联合体各方应共同与发包人签订合同协议书。联合体各方应为履行合同承担连带责任。</w:t>
      </w:r>
    </w:p>
    <w:p w14:paraId="70F3E590">
      <w:pPr>
        <w:spacing w:line="400" w:lineRule="exact"/>
        <w:ind w:firstLine="420" w:firstLineChars="200"/>
        <w:rPr>
          <w:rFonts w:hint="eastAsia" w:ascii="宋体" w:hAnsi="宋体"/>
          <w:highlight w:val="none"/>
        </w:rPr>
      </w:pPr>
      <w:r>
        <w:rPr>
          <w:rFonts w:ascii="宋体" w:hAnsi="宋体"/>
          <w:highlight w:val="none"/>
        </w:rPr>
        <w:t>4.4.2 联合体协议经发包人确认后作为合同附件。在履行合同过程中，未经发包人同意，不得修改联合体协议。</w:t>
      </w:r>
    </w:p>
    <w:p w14:paraId="594AF5C4">
      <w:pPr>
        <w:spacing w:line="400" w:lineRule="exact"/>
        <w:ind w:firstLine="420" w:firstLineChars="200"/>
        <w:rPr>
          <w:rFonts w:hint="eastAsia" w:ascii="宋体" w:hAnsi="宋体"/>
          <w:highlight w:val="none"/>
        </w:rPr>
      </w:pPr>
      <w:r>
        <w:rPr>
          <w:rFonts w:ascii="宋体" w:hAnsi="宋体"/>
          <w:highlight w:val="none"/>
        </w:rPr>
        <w:t>4.4.3 联合体牵头人负责与发包人和监理人联系，并接受指示，负责组织联合体各成员全面履行合同。</w:t>
      </w:r>
    </w:p>
    <w:p w14:paraId="686A2A6E">
      <w:pPr>
        <w:keepNext/>
        <w:keepLines/>
        <w:spacing w:line="400" w:lineRule="exact"/>
        <w:outlineLvl w:val="2"/>
        <w:rPr>
          <w:rFonts w:hint="eastAsia" w:ascii="宋体" w:hAnsi="宋体"/>
          <w:sz w:val="24"/>
          <w:szCs w:val="20"/>
          <w:highlight w:val="none"/>
        </w:rPr>
      </w:pPr>
      <w:bookmarkStart w:id="870" w:name="_Toc159950647"/>
      <w:bookmarkStart w:id="871" w:name="_Toc342296295"/>
      <w:bookmarkStart w:id="872" w:name="_Toc338944737"/>
      <w:r>
        <w:rPr>
          <w:rFonts w:ascii="宋体" w:hAnsi="宋体"/>
          <w:sz w:val="24"/>
          <w:szCs w:val="20"/>
          <w:highlight w:val="none"/>
        </w:rPr>
        <w:t>4.5 承包人项目经理</w:t>
      </w:r>
      <w:bookmarkEnd w:id="870"/>
      <w:bookmarkEnd w:id="871"/>
      <w:bookmarkEnd w:id="872"/>
    </w:p>
    <w:p w14:paraId="06B099A0">
      <w:pPr>
        <w:spacing w:line="400" w:lineRule="exact"/>
        <w:ind w:firstLine="420" w:firstLineChars="200"/>
        <w:rPr>
          <w:rFonts w:hint="eastAsia" w:ascii="宋体" w:hAnsi="宋体"/>
          <w:highlight w:val="none"/>
        </w:rPr>
      </w:pPr>
      <w:r>
        <w:rPr>
          <w:rFonts w:ascii="宋体" w:hAnsi="宋体"/>
          <w:highlight w:val="none"/>
        </w:rPr>
        <w:t>4.5.1</w:t>
      </w:r>
      <w:r>
        <w:rPr>
          <w:rFonts w:hint="eastAsia" w:ascii="宋体" w:hAnsi="宋体"/>
          <w:highlight w:val="none"/>
        </w:rPr>
        <w:t>项目经理应为合同当事人所确认的人选，</w:t>
      </w:r>
      <w:r>
        <w:rPr>
          <w:rFonts w:ascii="宋体" w:hAnsi="宋体"/>
          <w:highlight w:val="none"/>
        </w:rPr>
        <w:t>并在约定的期限内到职</w:t>
      </w:r>
      <w:r>
        <w:rPr>
          <w:rFonts w:hint="eastAsia" w:ascii="宋体" w:hAnsi="宋体"/>
          <w:highlight w:val="none"/>
        </w:rPr>
        <w:t>。项目经理的姓名、职称、注册执业证书编号、联系方式及授权范围等应在专用合同条款中明确。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37C75F43">
      <w:pPr>
        <w:spacing w:line="400" w:lineRule="exact"/>
        <w:ind w:firstLine="420" w:firstLineChars="200"/>
        <w:rPr>
          <w:rFonts w:hint="eastAsia" w:ascii="宋体" w:hAnsi="宋体"/>
          <w:highlight w:val="none"/>
        </w:rPr>
      </w:pPr>
      <w:r>
        <w:rPr>
          <w:rFonts w:hint="eastAsia" w:ascii="宋体" w:hAnsi="宋体"/>
          <w:highlight w:val="none"/>
        </w:rPr>
        <w:t>项目经理应常驻施工现场，且每月在施工现场时间不得少于专用合同条款约定的天数。项目经理不得同时担任其他项目的项目经理。项目经理确需离开施工现场时，应事先14天通知监理人，并取得发包人的书面同意。项目经理的通知中应当载明临时代行其职责的人员的注册执业资格、管理经验等资料，该人员应具备履行相应职责的能力。</w:t>
      </w:r>
    </w:p>
    <w:p w14:paraId="7B4613E8">
      <w:pPr>
        <w:spacing w:line="400" w:lineRule="exact"/>
        <w:ind w:firstLine="420" w:firstLineChars="200"/>
        <w:rPr>
          <w:rFonts w:hint="eastAsia" w:ascii="宋体" w:hAnsi="宋体"/>
          <w:highlight w:val="none"/>
        </w:rPr>
      </w:pPr>
      <w:r>
        <w:rPr>
          <w:rFonts w:ascii="宋体" w:hAnsi="宋体"/>
          <w:highlight w:val="none"/>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6D3D2FC6">
      <w:pPr>
        <w:spacing w:line="400" w:lineRule="exact"/>
        <w:ind w:firstLine="420" w:firstLineChars="200"/>
        <w:rPr>
          <w:rFonts w:hint="eastAsia" w:ascii="宋体" w:hAnsi="宋体"/>
          <w:highlight w:val="none"/>
        </w:rPr>
      </w:pPr>
      <w:r>
        <w:rPr>
          <w:rFonts w:ascii="宋体" w:hAnsi="宋体"/>
          <w:highlight w:val="none"/>
        </w:rPr>
        <w:t>4.5.3承包人为履行合同发出的一切函件均应盖有承包人授权的施工场地管理机构章，并由承包人项目经理或其授权代表签字。</w:t>
      </w:r>
    </w:p>
    <w:p w14:paraId="67E53D9F">
      <w:pPr>
        <w:spacing w:line="400" w:lineRule="exact"/>
        <w:ind w:firstLine="420" w:firstLineChars="200"/>
        <w:rPr>
          <w:rFonts w:hint="eastAsia" w:ascii="宋体" w:hAnsi="宋体"/>
          <w:highlight w:val="none"/>
        </w:rPr>
      </w:pPr>
      <w:r>
        <w:rPr>
          <w:rFonts w:ascii="宋体" w:hAnsi="宋体"/>
          <w:highlight w:val="none"/>
        </w:rPr>
        <w:t>4.5.4 承包人项目经理可以授权其下属人员履行其某项职责，但事先应将这些人员的姓名和授权范围通知监理人。</w:t>
      </w:r>
    </w:p>
    <w:p w14:paraId="68E0A33A">
      <w:pPr>
        <w:keepNext/>
        <w:keepLines/>
        <w:spacing w:line="400" w:lineRule="exact"/>
        <w:outlineLvl w:val="2"/>
        <w:rPr>
          <w:rFonts w:hint="eastAsia" w:ascii="宋体" w:hAnsi="宋体"/>
          <w:sz w:val="24"/>
          <w:szCs w:val="20"/>
          <w:highlight w:val="none"/>
        </w:rPr>
      </w:pPr>
      <w:bookmarkStart w:id="873" w:name="_Toc342296296"/>
      <w:bookmarkStart w:id="874" w:name="_Toc159950648"/>
      <w:bookmarkStart w:id="875" w:name="_Toc338944738"/>
      <w:bookmarkStart w:id="876" w:name="_Toc179632663"/>
      <w:bookmarkStart w:id="877" w:name="_Toc144974613"/>
      <w:bookmarkStart w:id="878" w:name="_Toc152042423"/>
      <w:bookmarkStart w:id="879" w:name="_Toc152045645"/>
      <w:r>
        <w:rPr>
          <w:rFonts w:ascii="宋体" w:hAnsi="宋体"/>
          <w:sz w:val="24"/>
          <w:szCs w:val="20"/>
          <w:highlight w:val="none"/>
        </w:rPr>
        <w:t>4.6 承包人人员的管理</w:t>
      </w:r>
      <w:bookmarkEnd w:id="873"/>
      <w:bookmarkEnd w:id="874"/>
      <w:bookmarkEnd w:id="875"/>
      <w:bookmarkEnd w:id="876"/>
      <w:bookmarkEnd w:id="877"/>
      <w:bookmarkEnd w:id="878"/>
      <w:bookmarkEnd w:id="879"/>
    </w:p>
    <w:p w14:paraId="6E9C13D2">
      <w:pPr>
        <w:spacing w:line="400" w:lineRule="exact"/>
        <w:ind w:firstLine="420" w:firstLineChars="200"/>
        <w:rPr>
          <w:rFonts w:hint="eastAsia" w:ascii="宋体" w:hAnsi="宋体"/>
          <w:highlight w:val="none"/>
        </w:rPr>
      </w:pPr>
      <w:r>
        <w:rPr>
          <w:rFonts w:ascii="宋体" w:hAnsi="宋体"/>
          <w:highlight w:val="none"/>
        </w:rPr>
        <w:t>4.6.1 承包人应在接到开工通知后28天内，向监理人提交承包人在施工场地的管理机构以及人员安排的报告，其内容应包括管理机构的设置、各主要岗位的技术和管理人员名单及其资格，以及各工种技术工人的安排状况。</w:t>
      </w:r>
      <w:r>
        <w:rPr>
          <w:rFonts w:hint="eastAsia" w:ascii="宋体" w:hAnsi="宋体"/>
          <w:highlight w:val="none"/>
        </w:rPr>
        <w:t>并同时提交主要施工管理人员与承包人之间的劳动关系证明和缴纳社会保险的有效证明。</w:t>
      </w:r>
      <w:r>
        <w:rPr>
          <w:rFonts w:ascii="宋体" w:hAnsi="宋体"/>
          <w:highlight w:val="none"/>
        </w:rPr>
        <w:t>承包人应向监理人提交施工场地人员变动情况的报告。</w:t>
      </w:r>
    </w:p>
    <w:p w14:paraId="53641CED">
      <w:pPr>
        <w:spacing w:line="400" w:lineRule="exact"/>
        <w:ind w:firstLine="420" w:firstLineChars="200"/>
        <w:rPr>
          <w:rFonts w:hint="eastAsia" w:ascii="宋体" w:hAnsi="宋体"/>
          <w:highlight w:val="none"/>
        </w:rPr>
      </w:pPr>
      <w:r>
        <w:rPr>
          <w:rFonts w:ascii="宋体" w:hAnsi="宋体"/>
          <w:highlight w:val="none"/>
        </w:rPr>
        <w:t>4.6.2 为完成合同约定的各项工作，承包人应向施工场地派遣或雇佣足够数量的下列人员：</w:t>
      </w:r>
    </w:p>
    <w:p w14:paraId="1324E4C9">
      <w:pPr>
        <w:spacing w:line="400" w:lineRule="exact"/>
        <w:rPr>
          <w:rFonts w:hint="eastAsia" w:ascii="宋体" w:hAnsi="宋体"/>
          <w:highlight w:val="none"/>
        </w:rPr>
      </w:pPr>
      <w:r>
        <w:rPr>
          <w:rFonts w:ascii="宋体" w:hAnsi="宋体"/>
          <w:highlight w:val="none"/>
        </w:rPr>
        <w:t>（1）具有相应资格的专业技工和合格的普工；</w:t>
      </w:r>
    </w:p>
    <w:p w14:paraId="10B2F24F">
      <w:pPr>
        <w:spacing w:line="400" w:lineRule="exact"/>
        <w:rPr>
          <w:rFonts w:hint="eastAsia" w:ascii="宋体" w:hAnsi="宋体"/>
          <w:highlight w:val="none"/>
        </w:rPr>
      </w:pPr>
      <w:r>
        <w:rPr>
          <w:rFonts w:ascii="宋体" w:hAnsi="宋体"/>
          <w:highlight w:val="none"/>
        </w:rPr>
        <w:t>（2）具有相应施工经验的技术人员；</w:t>
      </w:r>
    </w:p>
    <w:p w14:paraId="4F7C4517">
      <w:pPr>
        <w:spacing w:line="400" w:lineRule="exact"/>
        <w:rPr>
          <w:rFonts w:hint="eastAsia" w:ascii="宋体" w:hAnsi="宋体"/>
          <w:highlight w:val="none"/>
        </w:rPr>
      </w:pPr>
      <w:r>
        <w:rPr>
          <w:rFonts w:ascii="宋体" w:hAnsi="宋体"/>
          <w:highlight w:val="none"/>
        </w:rPr>
        <w:t>（3）具有相应岗位资格的各级管理人员。</w:t>
      </w:r>
    </w:p>
    <w:p w14:paraId="36841315">
      <w:pPr>
        <w:spacing w:line="400" w:lineRule="exact"/>
        <w:rPr>
          <w:rFonts w:hint="eastAsia" w:ascii="宋体" w:hAnsi="宋体"/>
          <w:highlight w:val="none"/>
        </w:rPr>
      </w:pPr>
      <w:r>
        <w:rPr>
          <w:rFonts w:ascii="宋体" w:hAnsi="宋体"/>
          <w:highlight w:val="none"/>
        </w:rPr>
        <w:t>4.6.3 承包人安排在施工场地的主要管理人员和技术骨干应相对稳定。承包人更换主要管理人员和技术骨干时，应取得监理人的同意。</w:t>
      </w:r>
    </w:p>
    <w:p w14:paraId="22602B6D">
      <w:pPr>
        <w:spacing w:line="400" w:lineRule="exact"/>
        <w:ind w:firstLine="420" w:firstLineChars="200"/>
        <w:rPr>
          <w:rFonts w:hint="eastAsia" w:ascii="宋体" w:hAnsi="宋体"/>
          <w:highlight w:val="none"/>
        </w:rPr>
      </w:pPr>
      <w:r>
        <w:rPr>
          <w:rFonts w:ascii="宋体" w:hAnsi="宋体"/>
          <w:highlight w:val="none"/>
        </w:rPr>
        <w:t>4.6.4 特殊岗位的工作人员均应持有相应的资格证明，监理人有权随时检查。监理人认为有必要时，可进行现场考核。</w:t>
      </w:r>
    </w:p>
    <w:p w14:paraId="227EE321">
      <w:pPr>
        <w:keepNext/>
        <w:keepLines/>
        <w:spacing w:line="400" w:lineRule="exact"/>
        <w:outlineLvl w:val="2"/>
        <w:rPr>
          <w:rFonts w:hint="eastAsia" w:ascii="宋体" w:hAnsi="宋体"/>
          <w:sz w:val="24"/>
          <w:szCs w:val="20"/>
          <w:highlight w:val="none"/>
        </w:rPr>
      </w:pPr>
      <w:bookmarkStart w:id="880" w:name="_Toc144974614"/>
      <w:bookmarkStart w:id="881" w:name="_Toc152045646"/>
      <w:bookmarkStart w:id="882" w:name="_Toc159950649"/>
      <w:bookmarkStart w:id="883" w:name="_Toc342296297"/>
      <w:bookmarkStart w:id="884" w:name="_Toc338944739"/>
      <w:bookmarkStart w:id="885" w:name="_Toc152042424"/>
      <w:bookmarkStart w:id="886" w:name="_Toc179632664"/>
      <w:r>
        <w:rPr>
          <w:rFonts w:ascii="宋体" w:hAnsi="宋体"/>
          <w:sz w:val="24"/>
          <w:szCs w:val="20"/>
          <w:highlight w:val="none"/>
        </w:rPr>
        <w:t>4.7 撤换承包人项目经理和其他人员</w:t>
      </w:r>
      <w:bookmarkEnd w:id="880"/>
      <w:bookmarkEnd w:id="881"/>
      <w:bookmarkEnd w:id="882"/>
      <w:bookmarkEnd w:id="883"/>
      <w:bookmarkEnd w:id="884"/>
      <w:bookmarkEnd w:id="885"/>
      <w:bookmarkEnd w:id="886"/>
    </w:p>
    <w:p w14:paraId="51E5BA86">
      <w:pPr>
        <w:spacing w:line="400" w:lineRule="exact"/>
        <w:rPr>
          <w:rFonts w:hint="eastAsia" w:ascii="宋体" w:hAnsi="宋体"/>
          <w:highlight w:val="none"/>
        </w:rPr>
      </w:pPr>
      <w:r>
        <w:rPr>
          <w:rFonts w:ascii="宋体" w:hAnsi="宋体"/>
          <w:highlight w:val="none"/>
        </w:rPr>
        <w:t>承包人应对其项目经理和其他人员进行有效管理。</w:t>
      </w:r>
      <w:r>
        <w:rPr>
          <w:rFonts w:hint="eastAsia" w:ascii="宋体" w:hAnsi="宋体"/>
          <w:highlight w:val="none"/>
        </w:rPr>
        <w:t>发包人对于承包人主要施工管理人员的资格或能力有异议的，要求撤换不能按照合同约定履行职责及义务的主要施工管理人员的，承包人应当撤换。承包人无正当理由拒绝撤换的，应按照专用合同条款的约定承担违约责任。</w:t>
      </w:r>
    </w:p>
    <w:p w14:paraId="33275132">
      <w:pPr>
        <w:spacing w:line="400" w:lineRule="exact"/>
        <w:ind w:firstLine="420" w:firstLineChars="200"/>
        <w:rPr>
          <w:rFonts w:hint="eastAsia" w:ascii="宋体" w:hAnsi="宋体"/>
          <w:highlight w:val="none"/>
        </w:rPr>
      </w:pPr>
      <w:r>
        <w:rPr>
          <w:rFonts w:ascii="宋体" w:hAnsi="宋体"/>
          <w:highlight w:val="none"/>
        </w:rPr>
        <w:t>监理人要求撤换不能胜任本职工作、行为不端或玩忽职守的承包人项目经理和其他人员的，承包人应予以撤换。</w:t>
      </w:r>
    </w:p>
    <w:p w14:paraId="509F14A3">
      <w:pPr>
        <w:keepNext/>
        <w:keepLines/>
        <w:spacing w:line="400" w:lineRule="exact"/>
        <w:outlineLvl w:val="2"/>
        <w:rPr>
          <w:rFonts w:hint="eastAsia" w:ascii="宋体" w:hAnsi="宋体"/>
          <w:sz w:val="24"/>
          <w:szCs w:val="20"/>
          <w:highlight w:val="none"/>
        </w:rPr>
      </w:pPr>
      <w:bookmarkStart w:id="887" w:name="_Toc179632665"/>
      <w:bookmarkStart w:id="888" w:name="_Toc342296298"/>
      <w:bookmarkStart w:id="889" w:name="_Toc144974615"/>
      <w:bookmarkStart w:id="890" w:name="_Toc338944740"/>
      <w:bookmarkStart w:id="891" w:name="_Toc152042425"/>
      <w:bookmarkStart w:id="892" w:name="_Toc159950650"/>
      <w:bookmarkStart w:id="893" w:name="_Toc152045647"/>
      <w:r>
        <w:rPr>
          <w:rFonts w:ascii="宋体" w:hAnsi="宋体"/>
          <w:sz w:val="24"/>
          <w:szCs w:val="20"/>
          <w:highlight w:val="none"/>
        </w:rPr>
        <w:t>4.8 保障承包人人员的合法权益</w:t>
      </w:r>
      <w:bookmarkEnd w:id="887"/>
      <w:bookmarkEnd w:id="888"/>
      <w:bookmarkEnd w:id="889"/>
      <w:bookmarkEnd w:id="890"/>
      <w:bookmarkEnd w:id="891"/>
      <w:bookmarkEnd w:id="892"/>
      <w:bookmarkEnd w:id="893"/>
    </w:p>
    <w:p w14:paraId="42901012">
      <w:pPr>
        <w:spacing w:line="400" w:lineRule="exact"/>
        <w:ind w:firstLine="420" w:firstLineChars="200"/>
        <w:rPr>
          <w:rFonts w:hint="eastAsia" w:ascii="宋体" w:hAnsi="宋体"/>
          <w:highlight w:val="none"/>
        </w:rPr>
      </w:pPr>
      <w:r>
        <w:rPr>
          <w:rFonts w:ascii="宋体" w:hAnsi="宋体"/>
          <w:highlight w:val="none"/>
        </w:rPr>
        <w:t>4.8.1 承包人应与其雇佣的人员签订劳动合同，并按时发放工资。</w:t>
      </w:r>
    </w:p>
    <w:p w14:paraId="5CC01745">
      <w:pPr>
        <w:spacing w:line="400" w:lineRule="exact"/>
        <w:ind w:firstLine="420" w:firstLineChars="200"/>
        <w:rPr>
          <w:rFonts w:hint="eastAsia" w:ascii="宋体" w:hAnsi="宋体"/>
          <w:highlight w:val="none"/>
        </w:rPr>
      </w:pPr>
      <w:r>
        <w:rPr>
          <w:rFonts w:ascii="宋体" w:hAnsi="宋体"/>
          <w:highlight w:val="none"/>
        </w:rPr>
        <w:t>4.8.2 承包人应按劳动法的规定安排工作时间，保证其雇佣人员享有休息和休假的权利。因工程施工的特殊需要占用休假日或延长工作时间的，应不超过法律规定的限度，并按法律规定给予补休或付酬。</w:t>
      </w:r>
    </w:p>
    <w:p w14:paraId="41C59B1C">
      <w:pPr>
        <w:spacing w:line="400" w:lineRule="exact"/>
        <w:ind w:firstLine="420" w:firstLineChars="200"/>
        <w:rPr>
          <w:rFonts w:hint="eastAsia" w:ascii="宋体" w:hAnsi="宋体"/>
          <w:highlight w:val="none"/>
        </w:rPr>
      </w:pPr>
      <w:r>
        <w:rPr>
          <w:rFonts w:ascii="宋体" w:hAnsi="宋体"/>
          <w:highlight w:val="none"/>
        </w:rPr>
        <w:t>4.8.3 承包人应为其雇佣人员提供必要的食宿条件，以及符合环境保护和卫生要求的生活环境，在远离城镇的施工场地，还应配备必要的伤病防治和急救的医务人员与医疗设施。</w:t>
      </w:r>
    </w:p>
    <w:p w14:paraId="7F0804F4">
      <w:pPr>
        <w:spacing w:line="400" w:lineRule="exact"/>
        <w:ind w:firstLine="420" w:firstLineChars="200"/>
        <w:rPr>
          <w:rFonts w:hint="eastAsia" w:ascii="宋体" w:hAnsi="宋体"/>
          <w:highlight w:val="none"/>
        </w:rPr>
      </w:pPr>
      <w:r>
        <w:rPr>
          <w:rFonts w:ascii="宋体" w:hAnsi="宋体"/>
          <w:highlight w:val="none"/>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06BA0475">
      <w:pPr>
        <w:spacing w:line="400" w:lineRule="exact"/>
        <w:ind w:firstLine="420" w:firstLineChars="200"/>
        <w:rPr>
          <w:rFonts w:hint="eastAsia" w:ascii="宋体" w:hAnsi="宋体"/>
          <w:highlight w:val="none"/>
        </w:rPr>
      </w:pPr>
      <w:r>
        <w:rPr>
          <w:rFonts w:ascii="宋体" w:hAnsi="宋体"/>
          <w:highlight w:val="none"/>
        </w:rPr>
        <w:t>4.8.5 承包人应按有关法律规定和合同约定，为其雇佣人员办理保险。</w:t>
      </w:r>
    </w:p>
    <w:p w14:paraId="2646CDDF">
      <w:pPr>
        <w:spacing w:line="400" w:lineRule="exact"/>
        <w:ind w:firstLine="420" w:firstLineChars="200"/>
        <w:rPr>
          <w:rFonts w:hint="eastAsia" w:ascii="宋体" w:hAnsi="宋体"/>
          <w:highlight w:val="none"/>
        </w:rPr>
      </w:pPr>
      <w:r>
        <w:rPr>
          <w:rFonts w:ascii="宋体" w:hAnsi="宋体"/>
          <w:highlight w:val="none"/>
        </w:rPr>
        <w:t>4.8.6 承包人应负责处理其雇佣人员因工伤亡事故的善后事宜。</w:t>
      </w:r>
    </w:p>
    <w:p w14:paraId="0CB73EFC">
      <w:pPr>
        <w:keepNext/>
        <w:keepLines/>
        <w:spacing w:line="400" w:lineRule="exact"/>
        <w:outlineLvl w:val="2"/>
        <w:rPr>
          <w:rFonts w:hint="eastAsia" w:ascii="宋体" w:hAnsi="宋体"/>
          <w:sz w:val="24"/>
          <w:szCs w:val="20"/>
          <w:highlight w:val="none"/>
        </w:rPr>
      </w:pPr>
      <w:bookmarkStart w:id="894" w:name="_Toc144974616"/>
      <w:bookmarkStart w:id="895" w:name="_Toc152045648"/>
      <w:bookmarkStart w:id="896" w:name="_Toc159950651"/>
      <w:bookmarkStart w:id="897" w:name="_Toc342296299"/>
      <w:bookmarkStart w:id="898" w:name="_Toc152042426"/>
      <w:bookmarkStart w:id="899" w:name="_Toc338944741"/>
      <w:bookmarkStart w:id="900" w:name="_Toc179632666"/>
      <w:r>
        <w:rPr>
          <w:rFonts w:ascii="宋体" w:hAnsi="宋体"/>
          <w:sz w:val="24"/>
          <w:szCs w:val="20"/>
          <w:highlight w:val="none"/>
        </w:rPr>
        <w:t>4.9 工程价款应专款专用</w:t>
      </w:r>
      <w:bookmarkEnd w:id="894"/>
      <w:bookmarkEnd w:id="895"/>
      <w:bookmarkEnd w:id="896"/>
      <w:bookmarkEnd w:id="897"/>
      <w:bookmarkEnd w:id="898"/>
      <w:bookmarkEnd w:id="899"/>
      <w:bookmarkEnd w:id="900"/>
    </w:p>
    <w:p w14:paraId="4C1AD2C3">
      <w:pPr>
        <w:spacing w:line="400" w:lineRule="exact"/>
        <w:ind w:firstLine="420" w:firstLineChars="200"/>
        <w:rPr>
          <w:rFonts w:hint="eastAsia" w:ascii="宋体" w:hAnsi="宋体"/>
          <w:highlight w:val="none"/>
        </w:rPr>
      </w:pPr>
      <w:r>
        <w:rPr>
          <w:rFonts w:ascii="宋体" w:hAnsi="宋体"/>
          <w:highlight w:val="none"/>
        </w:rPr>
        <w:t>发包人按合同约定支付给承包人的各项价款应专用于合同工程。</w:t>
      </w:r>
    </w:p>
    <w:p w14:paraId="6CD33CD8">
      <w:pPr>
        <w:keepNext/>
        <w:keepLines/>
        <w:spacing w:line="400" w:lineRule="exact"/>
        <w:outlineLvl w:val="2"/>
        <w:rPr>
          <w:rFonts w:hint="eastAsia" w:ascii="宋体" w:hAnsi="宋体"/>
          <w:sz w:val="24"/>
          <w:szCs w:val="20"/>
          <w:highlight w:val="none"/>
        </w:rPr>
      </w:pPr>
      <w:bookmarkStart w:id="901" w:name="_Toc152042427"/>
      <w:bookmarkStart w:id="902" w:name="_Toc338944742"/>
      <w:bookmarkStart w:id="903" w:name="_Toc152045649"/>
      <w:bookmarkStart w:id="904" w:name="_Toc144974617"/>
      <w:bookmarkStart w:id="905" w:name="_Toc159950652"/>
      <w:bookmarkStart w:id="906" w:name="_Toc179632667"/>
      <w:bookmarkStart w:id="907" w:name="_Toc342296300"/>
      <w:r>
        <w:rPr>
          <w:rFonts w:ascii="宋体" w:hAnsi="宋体"/>
          <w:sz w:val="24"/>
          <w:szCs w:val="20"/>
          <w:highlight w:val="none"/>
        </w:rPr>
        <w:t>4.10 承包人现场查勘</w:t>
      </w:r>
      <w:bookmarkEnd w:id="901"/>
      <w:bookmarkEnd w:id="902"/>
      <w:bookmarkEnd w:id="903"/>
      <w:bookmarkEnd w:id="904"/>
      <w:bookmarkEnd w:id="905"/>
      <w:bookmarkEnd w:id="906"/>
      <w:bookmarkEnd w:id="907"/>
      <w:r>
        <w:rPr>
          <w:rFonts w:ascii="宋体" w:hAnsi="宋体"/>
          <w:sz w:val="24"/>
          <w:szCs w:val="20"/>
          <w:highlight w:val="none"/>
        </w:rPr>
        <w:t xml:space="preserve"> </w:t>
      </w:r>
    </w:p>
    <w:p w14:paraId="46A8E330">
      <w:pPr>
        <w:spacing w:line="400" w:lineRule="exact"/>
        <w:ind w:firstLine="420" w:firstLineChars="200"/>
        <w:rPr>
          <w:rFonts w:hint="eastAsia" w:ascii="宋体" w:hAnsi="宋体"/>
          <w:highlight w:val="none"/>
        </w:rPr>
      </w:pPr>
      <w:r>
        <w:rPr>
          <w:rFonts w:ascii="宋体" w:hAnsi="宋体"/>
          <w:highlight w:val="none"/>
        </w:rPr>
        <w:t>4.10.1 发包人应将其持有的现场地质勘探资料、水文气象资料提供给承包人，并对其准确性负责。但承包人应对其阅读上述有关资料后所作出的解释和推断负责。</w:t>
      </w:r>
    </w:p>
    <w:p w14:paraId="6C5C8102">
      <w:pPr>
        <w:spacing w:line="400" w:lineRule="exact"/>
        <w:ind w:firstLine="420" w:firstLineChars="200"/>
        <w:rPr>
          <w:rFonts w:hint="eastAsia" w:ascii="宋体" w:hAnsi="宋体"/>
          <w:highlight w:val="none"/>
        </w:rPr>
      </w:pPr>
      <w:r>
        <w:rPr>
          <w:rFonts w:ascii="宋体" w:hAnsi="宋体"/>
          <w:highlight w:val="none"/>
        </w:rPr>
        <w:t>4.10.2 承包人应对施工场地和周围环境进行查勘，并收集有关地质、水文、气象条件、交通条件、风俗习惯以及其他为完成合同工作有关的当地资料。在全部合同工作中，应视为承包人已充分估计了应承担的责任和风险。</w:t>
      </w:r>
      <w:r>
        <w:rPr>
          <w:rFonts w:hint="eastAsia" w:ascii="宋体" w:hAnsi="宋体"/>
          <w:highlight w:val="none"/>
        </w:rPr>
        <w:t>因承包人未能充分查勘、了解前述情况或未能充分估计前述情况所可能产生后果的，承包人承担由此增加的费用和（或）延误的工期。</w:t>
      </w:r>
    </w:p>
    <w:p w14:paraId="4A28E5C0">
      <w:pPr>
        <w:spacing w:line="400" w:lineRule="exact"/>
        <w:ind w:firstLine="420" w:firstLineChars="200"/>
        <w:rPr>
          <w:rFonts w:hint="eastAsia" w:ascii="宋体" w:hAnsi="宋体"/>
          <w:highlight w:val="none"/>
        </w:rPr>
      </w:pPr>
      <w:r>
        <w:rPr>
          <w:rFonts w:ascii="宋体" w:hAnsi="宋体"/>
          <w:highlight w:val="none"/>
        </w:rPr>
        <w:t>4.10.3</w:t>
      </w:r>
      <w:r>
        <w:rPr>
          <w:rFonts w:hint="eastAsia" w:ascii="宋体" w:hAnsi="宋体"/>
          <w:highlight w:val="none"/>
        </w:rPr>
        <w:t>承包人应对施工场地区域内的天气进行实时监控，发包人有义务对恶劣天气对承包人进行提醒管理。若遭遇风雨雷电等天气，发包人应提前做好防护准备与措施，保证恶劣天气对施工现场的损害达到最小。若因承包人无视天气因素或没有做好充足准备导致施工现场破坏严重、工期拖延情况严重，应有承包人承担相应责任。</w:t>
      </w:r>
    </w:p>
    <w:p w14:paraId="67A9E4C1">
      <w:pPr>
        <w:spacing w:line="400" w:lineRule="exact"/>
        <w:ind w:firstLine="420" w:firstLineChars="200"/>
        <w:rPr>
          <w:rFonts w:hint="eastAsia" w:ascii="宋体" w:hAnsi="宋体"/>
          <w:highlight w:val="none"/>
        </w:rPr>
      </w:pPr>
      <w:bookmarkStart w:id="908" w:name="_Toc338944743"/>
      <w:bookmarkStart w:id="909" w:name="_Toc342296301"/>
      <w:r>
        <w:rPr>
          <w:rFonts w:ascii="宋体" w:hAnsi="宋体"/>
          <w:highlight w:val="none"/>
        </w:rPr>
        <w:t>4.11 不利物质条件</w:t>
      </w:r>
      <w:bookmarkEnd w:id="908"/>
      <w:bookmarkEnd w:id="909"/>
    </w:p>
    <w:p w14:paraId="41C1DE82">
      <w:pPr>
        <w:spacing w:line="400" w:lineRule="exact"/>
        <w:ind w:firstLine="420" w:firstLineChars="200"/>
        <w:rPr>
          <w:rFonts w:hint="eastAsia" w:ascii="宋体" w:hAnsi="宋体"/>
          <w:highlight w:val="none"/>
        </w:rPr>
      </w:pPr>
      <w:r>
        <w:rPr>
          <w:rFonts w:ascii="宋体" w:hAnsi="宋体"/>
          <w:highlight w:val="none"/>
        </w:rPr>
        <w:t>4.11.1 不利物质条件，除专用合同条款另有约定外，是指承包人在施工场地遇到的不可预见的自然物质条件、非自然的物质障碍和污染物，包括地下和水文条件，但不包括气候条件。</w:t>
      </w:r>
    </w:p>
    <w:p w14:paraId="53149302">
      <w:pPr>
        <w:spacing w:line="400" w:lineRule="exact"/>
        <w:ind w:firstLine="420" w:firstLineChars="200"/>
        <w:rPr>
          <w:rFonts w:hint="eastAsia" w:ascii="宋体" w:hAnsi="宋体"/>
          <w:highlight w:val="none"/>
        </w:rPr>
      </w:pPr>
      <w:r>
        <w:rPr>
          <w:rFonts w:ascii="宋体" w:hAnsi="宋体"/>
          <w:highlight w:val="none"/>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28D28E32">
      <w:pPr>
        <w:keepNext/>
        <w:keepLines/>
        <w:spacing w:line="400" w:lineRule="exact"/>
        <w:outlineLvl w:val="1"/>
        <w:rPr>
          <w:rFonts w:hint="eastAsia" w:ascii="宋体" w:hAnsi="宋体" w:cs="仿宋_GB2312"/>
          <w:sz w:val="28"/>
          <w:szCs w:val="20"/>
          <w:highlight w:val="none"/>
        </w:rPr>
      </w:pPr>
      <w:bookmarkStart w:id="910" w:name="_Toc338944744"/>
      <w:bookmarkStart w:id="911" w:name="_Toc159950653"/>
      <w:bookmarkStart w:id="912" w:name="_Toc342296302"/>
      <w:bookmarkStart w:id="913" w:name="_Toc442365618"/>
      <w:bookmarkStart w:id="914" w:name="_Toc448758426"/>
      <w:bookmarkStart w:id="915" w:name="_Toc448758526"/>
      <w:bookmarkStart w:id="916" w:name="_Toc469660021"/>
      <w:r>
        <w:rPr>
          <w:rFonts w:ascii="宋体" w:hAnsi="宋体" w:cs="仿宋_GB2312"/>
          <w:sz w:val="28"/>
          <w:szCs w:val="20"/>
          <w:highlight w:val="none"/>
        </w:rPr>
        <w:t>5. 材料和工程设备</w:t>
      </w:r>
      <w:bookmarkEnd w:id="910"/>
      <w:bookmarkEnd w:id="911"/>
      <w:bookmarkEnd w:id="912"/>
      <w:bookmarkEnd w:id="913"/>
      <w:bookmarkEnd w:id="914"/>
      <w:bookmarkEnd w:id="915"/>
      <w:bookmarkEnd w:id="916"/>
    </w:p>
    <w:p w14:paraId="7C7315AF">
      <w:pPr>
        <w:keepNext/>
        <w:keepLines/>
        <w:spacing w:line="400" w:lineRule="exact"/>
        <w:outlineLvl w:val="2"/>
        <w:rPr>
          <w:rFonts w:hint="eastAsia" w:ascii="宋体" w:hAnsi="宋体"/>
          <w:sz w:val="24"/>
          <w:szCs w:val="20"/>
          <w:highlight w:val="none"/>
        </w:rPr>
      </w:pPr>
      <w:bookmarkStart w:id="917" w:name="_Toc338944745"/>
      <w:bookmarkStart w:id="918" w:name="_Toc342296303"/>
      <w:bookmarkStart w:id="919" w:name="_Toc159950654"/>
      <w:r>
        <w:rPr>
          <w:rFonts w:ascii="宋体" w:hAnsi="宋体"/>
          <w:sz w:val="24"/>
          <w:szCs w:val="20"/>
          <w:highlight w:val="none"/>
        </w:rPr>
        <w:t>5.1 承包人提供的材料和工程设备</w:t>
      </w:r>
      <w:bookmarkEnd w:id="917"/>
      <w:bookmarkEnd w:id="918"/>
      <w:bookmarkEnd w:id="919"/>
    </w:p>
    <w:p w14:paraId="1A67240C">
      <w:pPr>
        <w:spacing w:line="400" w:lineRule="exact"/>
        <w:ind w:firstLine="420" w:firstLineChars="200"/>
        <w:rPr>
          <w:rFonts w:hint="eastAsia" w:ascii="宋体" w:hAnsi="宋体"/>
          <w:highlight w:val="none"/>
        </w:rPr>
      </w:pPr>
      <w:r>
        <w:rPr>
          <w:rFonts w:ascii="宋体" w:hAnsi="宋体"/>
          <w:highlight w:val="none"/>
        </w:rPr>
        <w:t>5.1.1 除专用合同条款另有约定外，承包人提供的材料和工程设备均由承包人负责采购、运输和保管。承包人应对其采购的材料和工程设备负责。</w:t>
      </w:r>
    </w:p>
    <w:p w14:paraId="1824D081">
      <w:pPr>
        <w:spacing w:line="400" w:lineRule="exact"/>
        <w:ind w:firstLine="420" w:firstLineChars="200"/>
        <w:rPr>
          <w:rFonts w:hint="eastAsia" w:ascii="宋体" w:hAnsi="宋体"/>
          <w:highlight w:val="none"/>
        </w:rPr>
      </w:pPr>
      <w:r>
        <w:rPr>
          <w:rFonts w:ascii="宋体" w:hAnsi="宋体"/>
          <w:highlight w:val="none"/>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157930C5">
      <w:pPr>
        <w:spacing w:line="400" w:lineRule="exact"/>
        <w:ind w:firstLine="420" w:firstLineChars="200"/>
        <w:rPr>
          <w:rFonts w:hint="eastAsia" w:ascii="宋体" w:hAnsi="宋体"/>
          <w:highlight w:val="none"/>
        </w:rPr>
      </w:pPr>
      <w:r>
        <w:rPr>
          <w:rFonts w:ascii="宋体" w:hAnsi="宋体"/>
          <w:highlight w:val="none"/>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3A608099">
      <w:pPr>
        <w:keepNext/>
        <w:keepLines/>
        <w:spacing w:line="400" w:lineRule="exact"/>
        <w:outlineLvl w:val="2"/>
        <w:rPr>
          <w:rFonts w:hint="eastAsia" w:ascii="宋体" w:hAnsi="宋体"/>
          <w:sz w:val="24"/>
          <w:szCs w:val="20"/>
          <w:highlight w:val="none"/>
        </w:rPr>
      </w:pPr>
      <w:bookmarkStart w:id="920" w:name="_Toc338944746"/>
      <w:bookmarkStart w:id="921" w:name="_Toc342296304"/>
      <w:bookmarkStart w:id="922" w:name="_Toc159950655"/>
      <w:r>
        <w:rPr>
          <w:rFonts w:ascii="宋体" w:hAnsi="宋体"/>
          <w:sz w:val="24"/>
          <w:szCs w:val="20"/>
          <w:highlight w:val="none"/>
        </w:rPr>
        <w:t>5.2 发包人提供的材料和工程设备</w:t>
      </w:r>
      <w:bookmarkEnd w:id="920"/>
      <w:bookmarkEnd w:id="921"/>
      <w:bookmarkEnd w:id="922"/>
    </w:p>
    <w:p w14:paraId="79E5ECD9">
      <w:pPr>
        <w:spacing w:line="400" w:lineRule="exact"/>
        <w:ind w:firstLine="420" w:firstLineChars="200"/>
        <w:rPr>
          <w:rFonts w:hint="eastAsia" w:ascii="宋体" w:hAnsi="宋体"/>
          <w:highlight w:val="none"/>
        </w:rPr>
      </w:pPr>
      <w:r>
        <w:rPr>
          <w:rFonts w:ascii="宋体" w:hAnsi="宋体"/>
          <w:highlight w:val="none"/>
        </w:rPr>
        <w:t>5.2.1 发包人提供的材料和工程设备，应在专用合同条款中写明材料和工程设备的名称、规格、数量、价格、交货方式、交货地点和计划交货日期等。</w:t>
      </w:r>
    </w:p>
    <w:p w14:paraId="1A6F3E63">
      <w:pPr>
        <w:spacing w:line="400" w:lineRule="exact"/>
        <w:ind w:firstLine="420" w:firstLineChars="200"/>
        <w:rPr>
          <w:rFonts w:hint="eastAsia" w:ascii="宋体" w:hAnsi="宋体"/>
          <w:highlight w:val="none"/>
        </w:rPr>
      </w:pPr>
      <w:r>
        <w:rPr>
          <w:rFonts w:ascii="宋体" w:hAnsi="宋体"/>
          <w:highlight w:val="none"/>
        </w:rPr>
        <w:t>5.2.2 承包人应根据合同进度计划的安排，向监理人报送要求发包人交货的日期计划。发包人应按照监理人与合同双方当事人商定的交货日期，向承包人提交材料和工程设备。</w:t>
      </w:r>
    </w:p>
    <w:p w14:paraId="5500898B">
      <w:pPr>
        <w:spacing w:line="400" w:lineRule="exact"/>
        <w:ind w:firstLine="420" w:firstLineChars="200"/>
        <w:rPr>
          <w:rFonts w:hint="eastAsia" w:ascii="宋体" w:hAnsi="宋体"/>
          <w:highlight w:val="none"/>
        </w:rPr>
      </w:pPr>
      <w:r>
        <w:rPr>
          <w:rFonts w:ascii="宋体" w:hAnsi="宋体"/>
          <w:highlight w:val="none"/>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15B6D7D3">
      <w:pPr>
        <w:spacing w:line="400" w:lineRule="exact"/>
        <w:ind w:firstLine="420" w:firstLineChars="200"/>
        <w:rPr>
          <w:rFonts w:hint="eastAsia" w:ascii="宋体" w:hAnsi="宋体"/>
          <w:highlight w:val="none"/>
        </w:rPr>
      </w:pPr>
      <w:r>
        <w:rPr>
          <w:rFonts w:ascii="宋体" w:hAnsi="宋体"/>
          <w:highlight w:val="none"/>
        </w:rPr>
        <w:t xml:space="preserve">5.2.4 发包人要求向承包人提前交货的，承包人不得拒绝，但发包人应承担承包人由此增加的费用。 </w:t>
      </w:r>
    </w:p>
    <w:p w14:paraId="716B63D6">
      <w:pPr>
        <w:spacing w:line="400" w:lineRule="exact"/>
        <w:ind w:firstLine="420" w:firstLineChars="200"/>
        <w:rPr>
          <w:rFonts w:hint="eastAsia" w:ascii="宋体" w:hAnsi="宋体"/>
          <w:highlight w:val="none"/>
        </w:rPr>
      </w:pPr>
      <w:r>
        <w:rPr>
          <w:rFonts w:ascii="宋体" w:hAnsi="宋体"/>
          <w:highlight w:val="none"/>
        </w:rPr>
        <w:t xml:space="preserve">5.2.5 承包人要求更改交货日期或地点的，应事先报请监理人批准。由于承包人要求更改交货时间或地点所增加的费用和（或）工期延误由承包人承担。 </w:t>
      </w:r>
    </w:p>
    <w:p w14:paraId="1CB6433A">
      <w:pPr>
        <w:spacing w:line="400" w:lineRule="exact"/>
        <w:ind w:firstLine="420" w:firstLineChars="200"/>
        <w:rPr>
          <w:rFonts w:hint="eastAsia" w:ascii="宋体" w:hAnsi="宋体"/>
          <w:highlight w:val="none"/>
        </w:rPr>
      </w:pPr>
      <w:r>
        <w:rPr>
          <w:rFonts w:ascii="宋体" w:hAnsi="宋体"/>
          <w:highlight w:val="none"/>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051DC10A">
      <w:pPr>
        <w:keepNext/>
        <w:keepLines/>
        <w:spacing w:line="400" w:lineRule="exact"/>
        <w:outlineLvl w:val="2"/>
        <w:rPr>
          <w:rFonts w:hint="eastAsia" w:ascii="宋体" w:hAnsi="宋体"/>
          <w:sz w:val="24"/>
          <w:szCs w:val="20"/>
          <w:highlight w:val="none"/>
        </w:rPr>
      </w:pPr>
      <w:bookmarkStart w:id="923" w:name="_Toc152042432"/>
      <w:bookmarkStart w:id="924" w:name="_Toc152045654"/>
      <w:bookmarkStart w:id="925" w:name="_Toc179632672"/>
      <w:bookmarkStart w:id="926" w:name="_Toc338944747"/>
      <w:bookmarkStart w:id="927" w:name="_Toc342296305"/>
      <w:bookmarkStart w:id="928" w:name="_Toc144974622"/>
      <w:bookmarkStart w:id="929" w:name="_Toc159950656"/>
      <w:r>
        <w:rPr>
          <w:rFonts w:ascii="宋体" w:hAnsi="宋体"/>
          <w:sz w:val="24"/>
          <w:szCs w:val="20"/>
          <w:highlight w:val="none"/>
        </w:rPr>
        <w:t>5.3 材料和工程设备专用于合同工程</w:t>
      </w:r>
      <w:bookmarkEnd w:id="923"/>
      <w:bookmarkEnd w:id="924"/>
      <w:bookmarkEnd w:id="925"/>
      <w:bookmarkEnd w:id="926"/>
      <w:bookmarkEnd w:id="927"/>
      <w:bookmarkEnd w:id="928"/>
      <w:bookmarkEnd w:id="929"/>
    </w:p>
    <w:p w14:paraId="3E509E7C">
      <w:pPr>
        <w:spacing w:line="400" w:lineRule="exact"/>
        <w:ind w:firstLine="420" w:firstLineChars="200"/>
        <w:rPr>
          <w:rFonts w:hint="eastAsia" w:ascii="宋体" w:hAnsi="宋体"/>
          <w:highlight w:val="none"/>
        </w:rPr>
      </w:pPr>
      <w:r>
        <w:rPr>
          <w:rFonts w:ascii="宋体" w:hAnsi="宋体"/>
          <w:highlight w:val="none"/>
        </w:rPr>
        <w:t>5.3.1运入施工场地的材料、工程设备，包括备品备件、安装专用工器具与随机资料，必须专用于合同工程，</w:t>
      </w:r>
      <w:r>
        <w:rPr>
          <w:rFonts w:hint="eastAsia" w:ascii="宋体" w:hAnsi="宋体"/>
          <w:highlight w:val="none"/>
        </w:rPr>
        <w:t>且入场前均要通知监理人与发包人工程师进行检查。且</w:t>
      </w:r>
      <w:r>
        <w:rPr>
          <w:rFonts w:ascii="宋体" w:hAnsi="宋体"/>
          <w:highlight w:val="none"/>
        </w:rPr>
        <w:t>未经监理人同意，承包人不得</w:t>
      </w:r>
      <w:r>
        <w:rPr>
          <w:rFonts w:hint="eastAsia" w:ascii="宋体" w:hAnsi="宋体"/>
          <w:highlight w:val="none"/>
        </w:rPr>
        <w:t>将5.3.1条涉及的材料设备等</w:t>
      </w:r>
      <w:r>
        <w:rPr>
          <w:rFonts w:ascii="宋体" w:hAnsi="宋体"/>
          <w:highlight w:val="none"/>
        </w:rPr>
        <w:t>运出施工场地或挪作他用。</w:t>
      </w:r>
    </w:p>
    <w:p w14:paraId="24EA3318">
      <w:pPr>
        <w:spacing w:line="400" w:lineRule="exact"/>
        <w:ind w:firstLine="420" w:firstLineChars="200"/>
        <w:rPr>
          <w:rFonts w:hint="eastAsia" w:ascii="宋体" w:hAnsi="宋体"/>
          <w:highlight w:val="none"/>
        </w:rPr>
      </w:pPr>
      <w:r>
        <w:rPr>
          <w:rFonts w:ascii="宋体" w:hAnsi="宋体"/>
          <w:highlight w:val="none"/>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3C71D608">
      <w:pPr>
        <w:keepNext/>
        <w:keepLines/>
        <w:spacing w:line="400" w:lineRule="exact"/>
        <w:outlineLvl w:val="2"/>
        <w:rPr>
          <w:rFonts w:hint="eastAsia" w:ascii="宋体" w:hAnsi="宋体"/>
          <w:sz w:val="24"/>
          <w:szCs w:val="20"/>
          <w:highlight w:val="none"/>
        </w:rPr>
      </w:pPr>
      <w:bookmarkStart w:id="930" w:name="_Toc159950657"/>
      <w:bookmarkStart w:id="931" w:name="_Toc152045655"/>
      <w:bookmarkStart w:id="932" w:name="_Toc152042433"/>
      <w:bookmarkStart w:id="933" w:name="_Toc342296306"/>
      <w:bookmarkStart w:id="934" w:name="_Toc338944748"/>
      <w:bookmarkStart w:id="935" w:name="_Toc144974623"/>
      <w:bookmarkStart w:id="936" w:name="_Toc179632673"/>
      <w:r>
        <w:rPr>
          <w:rFonts w:ascii="宋体" w:hAnsi="宋体"/>
          <w:sz w:val="24"/>
          <w:szCs w:val="20"/>
          <w:highlight w:val="none"/>
        </w:rPr>
        <w:t>5.4 禁止使用不合格的材料和工程设备</w:t>
      </w:r>
      <w:bookmarkEnd w:id="930"/>
      <w:bookmarkEnd w:id="931"/>
      <w:bookmarkEnd w:id="932"/>
      <w:bookmarkEnd w:id="933"/>
      <w:bookmarkEnd w:id="934"/>
      <w:bookmarkEnd w:id="935"/>
      <w:bookmarkEnd w:id="936"/>
    </w:p>
    <w:p w14:paraId="4F32AF79">
      <w:pPr>
        <w:spacing w:line="400" w:lineRule="exact"/>
        <w:ind w:firstLine="420" w:firstLineChars="200"/>
        <w:rPr>
          <w:rFonts w:hint="eastAsia" w:ascii="宋体" w:hAnsi="宋体"/>
          <w:highlight w:val="none"/>
        </w:rPr>
      </w:pPr>
      <w:r>
        <w:rPr>
          <w:rFonts w:ascii="宋体" w:hAnsi="宋体"/>
          <w:highlight w:val="none"/>
        </w:rPr>
        <w:t>5.4.1 监理人有权拒绝承包人提供的不合格材料或工程设备，并要求承包人立即进行更换。监理人应在更换后再次进行检查和检验，由此增加的费用和（或）工期延误由承包人承担。</w:t>
      </w:r>
    </w:p>
    <w:p w14:paraId="3D9B8593">
      <w:pPr>
        <w:spacing w:line="400" w:lineRule="exact"/>
        <w:ind w:firstLine="420" w:firstLineChars="200"/>
        <w:rPr>
          <w:rFonts w:hint="eastAsia" w:ascii="宋体" w:hAnsi="宋体"/>
          <w:highlight w:val="none"/>
        </w:rPr>
      </w:pPr>
      <w:r>
        <w:rPr>
          <w:rFonts w:ascii="宋体" w:hAnsi="宋体"/>
          <w:highlight w:val="none"/>
        </w:rPr>
        <w:t>5.4.2 监理人发现承包人使用了不合格的材料和工程设备，应即时发出指示要求承包人立即改正，并禁止在工程中继续使用不合格的材料和工程设备。</w:t>
      </w:r>
    </w:p>
    <w:p w14:paraId="15C172D3">
      <w:pPr>
        <w:spacing w:line="400" w:lineRule="exact"/>
        <w:ind w:firstLine="420" w:firstLineChars="200"/>
        <w:rPr>
          <w:rFonts w:hint="eastAsia" w:ascii="宋体" w:hAnsi="宋体"/>
          <w:highlight w:val="none"/>
        </w:rPr>
      </w:pPr>
      <w:r>
        <w:rPr>
          <w:rFonts w:ascii="宋体" w:hAnsi="宋体"/>
          <w:highlight w:val="none"/>
        </w:rPr>
        <w:t>5.4.3 发包人提供的材料或工程设备不符合合同要求的，承包人有权拒绝，并可要求发包人更换，由此增加的费用和（或）工期延误由发包人承担。</w:t>
      </w:r>
    </w:p>
    <w:p w14:paraId="460A50DB">
      <w:pPr>
        <w:keepNext/>
        <w:keepLines/>
        <w:spacing w:line="400" w:lineRule="exact"/>
        <w:outlineLvl w:val="1"/>
        <w:rPr>
          <w:rFonts w:hint="eastAsia" w:ascii="宋体" w:hAnsi="宋体" w:cs="仿宋_GB2312"/>
          <w:sz w:val="28"/>
          <w:szCs w:val="20"/>
          <w:highlight w:val="none"/>
        </w:rPr>
      </w:pPr>
      <w:bookmarkStart w:id="937" w:name="_Toc448758427"/>
      <w:bookmarkStart w:id="938" w:name="_Toc342296307"/>
      <w:bookmarkStart w:id="939" w:name="_Toc442365619"/>
      <w:bookmarkStart w:id="940" w:name="_Toc448758527"/>
      <w:bookmarkStart w:id="941" w:name="_Toc159950658"/>
      <w:bookmarkStart w:id="942" w:name="_Toc469660022"/>
      <w:bookmarkStart w:id="943" w:name="_Toc338944749"/>
      <w:r>
        <w:rPr>
          <w:rFonts w:ascii="宋体" w:hAnsi="宋体" w:cs="仿宋_GB2312"/>
          <w:sz w:val="28"/>
          <w:szCs w:val="20"/>
          <w:highlight w:val="none"/>
        </w:rPr>
        <w:t>6. 施工设备和临时设施</w:t>
      </w:r>
      <w:bookmarkEnd w:id="937"/>
      <w:bookmarkEnd w:id="938"/>
      <w:bookmarkEnd w:id="939"/>
      <w:bookmarkEnd w:id="940"/>
      <w:bookmarkEnd w:id="941"/>
      <w:bookmarkEnd w:id="942"/>
      <w:bookmarkEnd w:id="943"/>
    </w:p>
    <w:p w14:paraId="10407AF1">
      <w:pPr>
        <w:keepNext/>
        <w:keepLines/>
        <w:spacing w:line="400" w:lineRule="exact"/>
        <w:outlineLvl w:val="2"/>
        <w:rPr>
          <w:rFonts w:hint="eastAsia" w:ascii="宋体" w:hAnsi="宋体"/>
          <w:sz w:val="24"/>
          <w:szCs w:val="20"/>
          <w:highlight w:val="none"/>
        </w:rPr>
      </w:pPr>
      <w:bookmarkStart w:id="944" w:name="_Toc342296308"/>
      <w:bookmarkStart w:id="945" w:name="_Toc159950659"/>
      <w:bookmarkStart w:id="946" w:name="_Toc338944750"/>
      <w:r>
        <w:rPr>
          <w:rFonts w:ascii="宋体" w:hAnsi="宋体"/>
          <w:sz w:val="24"/>
          <w:szCs w:val="20"/>
          <w:highlight w:val="none"/>
        </w:rPr>
        <w:t>6.1 承包人提供的施工设备和临时设施</w:t>
      </w:r>
      <w:bookmarkEnd w:id="944"/>
      <w:bookmarkEnd w:id="945"/>
      <w:bookmarkEnd w:id="946"/>
    </w:p>
    <w:p w14:paraId="5DBA9807">
      <w:pPr>
        <w:spacing w:line="400" w:lineRule="exact"/>
        <w:ind w:firstLine="420" w:firstLineChars="200"/>
        <w:rPr>
          <w:rFonts w:hint="eastAsia" w:ascii="宋体" w:hAnsi="宋体"/>
          <w:highlight w:val="none"/>
        </w:rPr>
      </w:pPr>
      <w:r>
        <w:rPr>
          <w:rFonts w:ascii="宋体" w:hAnsi="宋体"/>
          <w:highlight w:val="none"/>
        </w:rPr>
        <w:t>6.1.1 承包人应按合同进度计划的要求，及时配置施工设备和修建临时设施。进入施工场地的承包人设备需经监理人核查后才能投入使用。承包人更换合同约定的承包人设备的，应报监理人批准。</w:t>
      </w:r>
    </w:p>
    <w:p w14:paraId="1C37650A">
      <w:pPr>
        <w:spacing w:line="400" w:lineRule="exact"/>
        <w:ind w:firstLine="420" w:firstLineChars="200"/>
        <w:rPr>
          <w:rFonts w:hint="eastAsia" w:ascii="宋体" w:hAnsi="宋体"/>
          <w:highlight w:val="none"/>
        </w:rPr>
      </w:pPr>
      <w:r>
        <w:rPr>
          <w:rFonts w:ascii="宋体" w:hAnsi="宋体"/>
          <w:highlight w:val="none"/>
        </w:rPr>
        <w:t>6.1.2除专用合同条款另有约定外，承包人应自行承担修建临时设施的费用，需要临时占地的，应由发包人办理申请手续并承担相应费用。</w:t>
      </w:r>
    </w:p>
    <w:p w14:paraId="0549BB7D">
      <w:pPr>
        <w:keepNext/>
        <w:keepLines/>
        <w:spacing w:line="400" w:lineRule="exact"/>
        <w:outlineLvl w:val="2"/>
        <w:rPr>
          <w:rFonts w:hint="eastAsia" w:ascii="宋体" w:hAnsi="宋体"/>
          <w:sz w:val="24"/>
          <w:szCs w:val="20"/>
          <w:highlight w:val="none"/>
        </w:rPr>
      </w:pPr>
      <w:bookmarkStart w:id="947" w:name="_Toc159950660"/>
      <w:bookmarkStart w:id="948" w:name="_Toc342296309"/>
      <w:bookmarkStart w:id="949" w:name="_Toc338944751"/>
      <w:r>
        <w:rPr>
          <w:rFonts w:ascii="宋体" w:hAnsi="宋体"/>
          <w:sz w:val="24"/>
          <w:szCs w:val="20"/>
          <w:highlight w:val="none"/>
        </w:rPr>
        <w:t>6.2 发包人提供的施工设备和临时设施</w:t>
      </w:r>
      <w:bookmarkEnd w:id="947"/>
      <w:bookmarkEnd w:id="948"/>
      <w:bookmarkEnd w:id="949"/>
    </w:p>
    <w:p w14:paraId="209C1BD0">
      <w:pPr>
        <w:spacing w:line="400" w:lineRule="exact"/>
        <w:ind w:firstLine="420" w:firstLineChars="200"/>
        <w:rPr>
          <w:rFonts w:hint="eastAsia" w:ascii="宋体" w:hAnsi="宋体"/>
          <w:highlight w:val="none"/>
        </w:rPr>
      </w:pPr>
      <w:r>
        <w:rPr>
          <w:rFonts w:ascii="宋体" w:hAnsi="宋体"/>
          <w:highlight w:val="none"/>
        </w:rPr>
        <w:t>发包人提供的施工设备或临时设施在专用合同条款中约定。</w:t>
      </w:r>
    </w:p>
    <w:p w14:paraId="32F9F309">
      <w:pPr>
        <w:keepNext/>
        <w:keepLines/>
        <w:spacing w:line="400" w:lineRule="exact"/>
        <w:outlineLvl w:val="2"/>
        <w:rPr>
          <w:rFonts w:hint="eastAsia" w:ascii="宋体" w:hAnsi="宋体"/>
          <w:sz w:val="24"/>
          <w:szCs w:val="20"/>
          <w:highlight w:val="none"/>
        </w:rPr>
      </w:pPr>
      <w:bookmarkStart w:id="950" w:name="_Toc144974627"/>
      <w:bookmarkStart w:id="951" w:name="_Toc338944752"/>
      <w:bookmarkStart w:id="952" w:name="_Toc159950661"/>
      <w:bookmarkStart w:id="953" w:name="_Toc152045659"/>
      <w:bookmarkStart w:id="954" w:name="_Toc152042437"/>
      <w:bookmarkStart w:id="955" w:name="_Toc342296310"/>
      <w:bookmarkStart w:id="956" w:name="_Toc179632677"/>
      <w:r>
        <w:rPr>
          <w:rFonts w:ascii="宋体" w:hAnsi="宋体"/>
          <w:sz w:val="24"/>
          <w:szCs w:val="20"/>
          <w:highlight w:val="none"/>
        </w:rPr>
        <w:t>6.3 要求承包人增加或更换施工设备</w:t>
      </w:r>
      <w:bookmarkEnd w:id="950"/>
      <w:bookmarkEnd w:id="951"/>
      <w:bookmarkEnd w:id="952"/>
      <w:bookmarkEnd w:id="953"/>
      <w:bookmarkEnd w:id="954"/>
      <w:bookmarkEnd w:id="955"/>
      <w:bookmarkEnd w:id="956"/>
    </w:p>
    <w:p w14:paraId="0A84FFCB">
      <w:pPr>
        <w:spacing w:line="400" w:lineRule="exact"/>
        <w:ind w:firstLine="420" w:firstLineChars="200"/>
        <w:rPr>
          <w:rFonts w:hint="eastAsia" w:ascii="宋体" w:hAnsi="宋体"/>
          <w:highlight w:val="none"/>
        </w:rPr>
      </w:pPr>
      <w:r>
        <w:rPr>
          <w:rFonts w:ascii="宋体" w:hAnsi="宋体"/>
          <w:highlight w:val="none"/>
        </w:rPr>
        <w:t>承包人使用的施工设备不能满足合同进度计划和（或）质量要求时，监理人有权要求承包人增加或更换施工设备，承包人应及时增加或更换，由此增加的费用和（或）工期延误由承包人承担。</w:t>
      </w:r>
    </w:p>
    <w:p w14:paraId="3190745C">
      <w:pPr>
        <w:keepNext/>
        <w:keepLines/>
        <w:spacing w:line="400" w:lineRule="exact"/>
        <w:outlineLvl w:val="2"/>
        <w:rPr>
          <w:rFonts w:hint="eastAsia" w:ascii="宋体" w:hAnsi="宋体"/>
          <w:sz w:val="24"/>
          <w:szCs w:val="20"/>
          <w:highlight w:val="none"/>
        </w:rPr>
      </w:pPr>
      <w:bookmarkStart w:id="957" w:name="_Toc338944753"/>
      <w:bookmarkStart w:id="958" w:name="_Toc159950662"/>
      <w:bookmarkStart w:id="959" w:name="_Toc342296311"/>
      <w:r>
        <w:rPr>
          <w:rFonts w:ascii="宋体" w:hAnsi="宋体"/>
          <w:sz w:val="24"/>
          <w:szCs w:val="20"/>
          <w:highlight w:val="none"/>
        </w:rPr>
        <w:t>6.4 施工设备和临时设施专用于合同工程</w:t>
      </w:r>
      <w:bookmarkEnd w:id="957"/>
      <w:bookmarkEnd w:id="958"/>
      <w:bookmarkEnd w:id="959"/>
    </w:p>
    <w:p w14:paraId="66E1315E">
      <w:pPr>
        <w:spacing w:line="400" w:lineRule="exact"/>
        <w:ind w:firstLine="420" w:firstLineChars="200"/>
        <w:rPr>
          <w:rFonts w:hint="eastAsia" w:ascii="宋体" w:hAnsi="宋体"/>
          <w:highlight w:val="none"/>
        </w:rPr>
      </w:pPr>
      <w:r>
        <w:rPr>
          <w:rFonts w:ascii="宋体" w:hAnsi="宋体"/>
          <w:highlight w:val="none"/>
        </w:rPr>
        <w:t>6.4.1除合同另有约定外，运入施工场地的所有施工设备以及在施工场地建设的临时设施应专用于合同工程。未经监理人同意，不得将上述施工设备和临时设施中的任何部分运出施工场地或挪作他用。</w:t>
      </w:r>
    </w:p>
    <w:p w14:paraId="13FC8742">
      <w:pPr>
        <w:spacing w:line="400" w:lineRule="exact"/>
        <w:ind w:firstLine="420" w:firstLineChars="200"/>
        <w:rPr>
          <w:rFonts w:hint="eastAsia" w:ascii="宋体" w:hAnsi="宋体"/>
          <w:highlight w:val="none"/>
        </w:rPr>
      </w:pPr>
      <w:r>
        <w:rPr>
          <w:rFonts w:ascii="宋体" w:hAnsi="宋体"/>
          <w:highlight w:val="none"/>
        </w:rPr>
        <w:t>6.4.2 经监理人同意，承包人可根据合同进度计划撤走闲置的施工设备。</w:t>
      </w:r>
    </w:p>
    <w:p w14:paraId="3EA4D07D">
      <w:pPr>
        <w:keepNext/>
        <w:keepLines/>
        <w:spacing w:line="400" w:lineRule="exact"/>
        <w:outlineLvl w:val="1"/>
        <w:rPr>
          <w:rFonts w:hint="eastAsia" w:ascii="宋体" w:hAnsi="宋体" w:cs="仿宋_GB2312"/>
          <w:sz w:val="28"/>
          <w:szCs w:val="20"/>
          <w:highlight w:val="none"/>
        </w:rPr>
      </w:pPr>
      <w:bookmarkStart w:id="960" w:name="_Toc342296312"/>
      <w:bookmarkStart w:id="961" w:name="_Toc448758528"/>
      <w:bookmarkStart w:id="962" w:name="_Toc159950663"/>
      <w:bookmarkStart w:id="963" w:name="_Toc338944754"/>
      <w:bookmarkStart w:id="964" w:name="_Toc442365620"/>
      <w:bookmarkStart w:id="965" w:name="_Toc448758428"/>
      <w:bookmarkStart w:id="966" w:name="_Toc469660023"/>
      <w:r>
        <w:rPr>
          <w:rFonts w:ascii="宋体" w:hAnsi="宋体" w:cs="仿宋_GB2312"/>
          <w:sz w:val="28"/>
          <w:szCs w:val="20"/>
          <w:highlight w:val="none"/>
        </w:rPr>
        <w:t>7. 交通运输</w:t>
      </w:r>
      <w:bookmarkEnd w:id="960"/>
      <w:bookmarkEnd w:id="961"/>
      <w:bookmarkEnd w:id="962"/>
      <w:bookmarkEnd w:id="963"/>
      <w:bookmarkEnd w:id="964"/>
      <w:bookmarkEnd w:id="965"/>
      <w:bookmarkEnd w:id="966"/>
    </w:p>
    <w:p w14:paraId="7B25D7C5">
      <w:pPr>
        <w:keepNext/>
        <w:keepLines/>
        <w:spacing w:line="400" w:lineRule="exact"/>
        <w:outlineLvl w:val="2"/>
        <w:rPr>
          <w:rFonts w:hint="eastAsia" w:ascii="宋体" w:hAnsi="宋体"/>
          <w:sz w:val="24"/>
          <w:szCs w:val="20"/>
          <w:highlight w:val="none"/>
        </w:rPr>
      </w:pPr>
      <w:bookmarkStart w:id="967" w:name="_Toc338944755"/>
      <w:bookmarkStart w:id="968" w:name="_Toc342296313"/>
      <w:bookmarkStart w:id="969" w:name="_Toc159950664"/>
      <w:r>
        <w:rPr>
          <w:rFonts w:ascii="宋体" w:hAnsi="宋体"/>
          <w:sz w:val="24"/>
          <w:szCs w:val="20"/>
          <w:highlight w:val="none"/>
        </w:rPr>
        <w:t>7.1 道路通行权和场外设施</w:t>
      </w:r>
      <w:bookmarkEnd w:id="967"/>
      <w:bookmarkEnd w:id="968"/>
      <w:bookmarkEnd w:id="969"/>
    </w:p>
    <w:p w14:paraId="7F3AA198">
      <w:pPr>
        <w:spacing w:line="400" w:lineRule="exact"/>
        <w:ind w:firstLine="420" w:firstLineChars="200"/>
        <w:rPr>
          <w:rFonts w:hint="eastAsia" w:ascii="宋体" w:hAnsi="宋体"/>
          <w:highlight w:val="none"/>
        </w:rPr>
      </w:pPr>
      <w:r>
        <w:rPr>
          <w:rFonts w:ascii="宋体" w:hAnsi="宋体"/>
          <w:highlight w:val="none"/>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1601DC8F">
      <w:pPr>
        <w:keepNext/>
        <w:keepLines/>
        <w:spacing w:line="400" w:lineRule="exact"/>
        <w:outlineLvl w:val="2"/>
        <w:rPr>
          <w:rFonts w:hint="eastAsia" w:ascii="宋体" w:hAnsi="宋体"/>
          <w:sz w:val="24"/>
          <w:szCs w:val="20"/>
          <w:highlight w:val="none"/>
        </w:rPr>
      </w:pPr>
      <w:bookmarkStart w:id="970" w:name="_Toc159950665"/>
      <w:bookmarkStart w:id="971" w:name="_Toc342296314"/>
      <w:bookmarkStart w:id="972" w:name="_Toc338944756"/>
      <w:r>
        <w:rPr>
          <w:rFonts w:ascii="宋体" w:hAnsi="宋体"/>
          <w:sz w:val="24"/>
          <w:szCs w:val="20"/>
          <w:highlight w:val="none"/>
        </w:rPr>
        <w:t>7.2 场内施工道路</w:t>
      </w:r>
      <w:bookmarkEnd w:id="970"/>
      <w:bookmarkEnd w:id="971"/>
      <w:bookmarkEnd w:id="972"/>
    </w:p>
    <w:p w14:paraId="693127BD">
      <w:pPr>
        <w:spacing w:line="400" w:lineRule="exact"/>
        <w:ind w:firstLine="420" w:firstLineChars="200"/>
        <w:rPr>
          <w:rFonts w:hint="eastAsia" w:ascii="宋体" w:hAnsi="宋体"/>
          <w:highlight w:val="none"/>
        </w:rPr>
      </w:pPr>
      <w:r>
        <w:rPr>
          <w:rFonts w:ascii="宋体" w:hAnsi="宋体"/>
          <w:highlight w:val="none"/>
        </w:rPr>
        <w:t>7.2.1 除专用合同条款另有约定外，承包人应负责修建、维修、养护和管理施工所需的临时道路和交通设施，包括维修、养护和管理发包人提供的道路和交通设施，并承担相应费用。</w:t>
      </w:r>
    </w:p>
    <w:p w14:paraId="415EA625">
      <w:pPr>
        <w:spacing w:line="400" w:lineRule="exact"/>
        <w:ind w:firstLine="420" w:firstLineChars="200"/>
        <w:rPr>
          <w:rFonts w:hint="eastAsia" w:ascii="宋体" w:hAnsi="宋体"/>
          <w:highlight w:val="none"/>
        </w:rPr>
      </w:pPr>
      <w:r>
        <w:rPr>
          <w:rFonts w:ascii="宋体" w:hAnsi="宋体"/>
          <w:highlight w:val="none"/>
        </w:rPr>
        <w:t>7.2.2 除专用合同条款另有约定外，承包人修建的临时道路和交通设施应免费提供发包人和监理人使用。</w:t>
      </w:r>
    </w:p>
    <w:p w14:paraId="02FB749B">
      <w:pPr>
        <w:keepNext/>
        <w:keepLines/>
        <w:spacing w:line="400" w:lineRule="exact"/>
        <w:outlineLvl w:val="2"/>
        <w:rPr>
          <w:rFonts w:hint="eastAsia" w:ascii="宋体" w:hAnsi="宋体"/>
          <w:sz w:val="24"/>
          <w:szCs w:val="20"/>
          <w:highlight w:val="none"/>
        </w:rPr>
      </w:pPr>
      <w:bookmarkStart w:id="973" w:name="_Toc159950666"/>
      <w:bookmarkStart w:id="974" w:name="_Toc179632682"/>
      <w:bookmarkStart w:id="975" w:name="_Toc338944757"/>
      <w:bookmarkStart w:id="976" w:name="_Toc342296315"/>
      <w:bookmarkStart w:id="977" w:name="_Toc152042442"/>
      <w:bookmarkStart w:id="978" w:name="_Toc144974632"/>
      <w:bookmarkStart w:id="979" w:name="_Toc152045664"/>
      <w:r>
        <w:rPr>
          <w:rFonts w:ascii="宋体" w:hAnsi="宋体"/>
          <w:sz w:val="24"/>
          <w:szCs w:val="20"/>
          <w:highlight w:val="none"/>
        </w:rPr>
        <w:t>7.3 场外交通</w:t>
      </w:r>
      <w:bookmarkEnd w:id="973"/>
      <w:bookmarkEnd w:id="974"/>
      <w:bookmarkEnd w:id="975"/>
      <w:bookmarkEnd w:id="976"/>
      <w:bookmarkEnd w:id="977"/>
      <w:bookmarkEnd w:id="978"/>
      <w:bookmarkEnd w:id="979"/>
    </w:p>
    <w:p w14:paraId="6E955DCE">
      <w:pPr>
        <w:spacing w:line="400" w:lineRule="exact"/>
        <w:ind w:firstLine="420" w:firstLineChars="200"/>
        <w:rPr>
          <w:rFonts w:hint="eastAsia" w:ascii="宋体" w:hAnsi="宋体"/>
          <w:highlight w:val="none"/>
        </w:rPr>
      </w:pPr>
      <w:r>
        <w:rPr>
          <w:rFonts w:ascii="宋体" w:hAnsi="宋体"/>
          <w:highlight w:val="none"/>
        </w:rPr>
        <w:t>7.3.1 承包人车辆外出行驶所需的场外公共道路的通行费、养路费和税款等由承包人承担。</w:t>
      </w:r>
    </w:p>
    <w:p w14:paraId="20E5C621">
      <w:pPr>
        <w:spacing w:line="400" w:lineRule="exact"/>
        <w:ind w:firstLine="420" w:firstLineChars="200"/>
        <w:rPr>
          <w:rFonts w:hint="eastAsia" w:ascii="宋体" w:hAnsi="宋体"/>
          <w:highlight w:val="none"/>
        </w:rPr>
      </w:pPr>
      <w:r>
        <w:rPr>
          <w:rFonts w:ascii="宋体" w:hAnsi="宋体"/>
          <w:highlight w:val="none"/>
        </w:rPr>
        <w:t>7.3.2 承包人应遵守有关交通法规，严格按照道路和桥梁的限制荷重安全行驶，并服从交通管理部门的检查和监督。</w:t>
      </w:r>
    </w:p>
    <w:p w14:paraId="0D9FF607">
      <w:pPr>
        <w:keepNext/>
        <w:keepLines/>
        <w:spacing w:line="400" w:lineRule="exact"/>
        <w:outlineLvl w:val="2"/>
        <w:rPr>
          <w:rFonts w:hint="eastAsia" w:ascii="宋体" w:hAnsi="宋体"/>
          <w:sz w:val="24"/>
          <w:szCs w:val="20"/>
          <w:highlight w:val="none"/>
        </w:rPr>
      </w:pPr>
      <w:bookmarkStart w:id="980" w:name="_Toc338944758"/>
      <w:bookmarkStart w:id="981" w:name="_Toc342296316"/>
      <w:bookmarkStart w:id="982" w:name="_Toc159950667"/>
      <w:r>
        <w:rPr>
          <w:rFonts w:ascii="宋体" w:hAnsi="宋体"/>
          <w:sz w:val="24"/>
          <w:szCs w:val="20"/>
          <w:highlight w:val="none"/>
        </w:rPr>
        <w:t>7.4 超大件和超重件的运输</w:t>
      </w:r>
      <w:bookmarkEnd w:id="980"/>
      <w:bookmarkEnd w:id="981"/>
      <w:bookmarkEnd w:id="982"/>
    </w:p>
    <w:p w14:paraId="01889D80">
      <w:pPr>
        <w:spacing w:line="400" w:lineRule="exact"/>
        <w:ind w:firstLine="420" w:firstLineChars="200"/>
        <w:rPr>
          <w:rFonts w:hint="eastAsia" w:ascii="宋体" w:hAnsi="宋体"/>
          <w:highlight w:val="none"/>
        </w:rPr>
      </w:pPr>
      <w:r>
        <w:rPr>
          <w:rFonts w:ascii="宋体" w:hAnsi="宋体"/>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8C8256A">
      <w:pPr>
        <w:keepNext/>
        <w:keepLines/>
        <w:spacing w:line="400" w:lineRule="exact"/>
        <w:outlineLvl w:val="2"/>
        <w:rPr>
          <w:rFonts w:hint="eastAsia" w:ascii="宋体" w:hAnsi="宋体"/>
          <w:sz w:val="24"/>
          <w:szCs w:val="20"/>
          <w:highlight w:val="none"/>
        </w:rPr>
      </w:pPr>
      <w:bookmarkStart w:id="983" w:name="_Toc159950668"/>
      <w:bookmarkStart w:id="984" w:name="_Toc338944759"/>
      <w:bookmarkStart w:id="985" w:name="_Toc342296317"/>
      <w:r>
        <w:rPr>
          <w:rFonts w:ascii="宋体" w:hAnsi="宋体"/>
          <w:sz w:val="24"/>
          <w:szCs w:val="20"/>
          <w:highlight w:val="none"/>
        </w:rPr>
        <w:t>7.5 道路和桥梁的损坏责任</w:t>
      </w:r>
      <w:bookmarkEnd w:id="983"/>
      <w:bookmarkEnd w:id="984"/>
      <w:bookmarkEnd w:id="985"/>
    </w:p>
    <w:p w14:paraId="6F5114C7">
      <w:pPr>
        <w:spacing w:line="400" w:lineRule="exact"/>
        <w:ind w:firstLine="420" w:firstLineChars="200"/>
        <w:rPr>
          <w:rFonts w:hint="eastAsia" w:ascii="宋体" w:hAnsi="宋体"/>
          <w:highlight w:val="none"/>
        </w:rPr>
      </w:pPr>
      <w:r>
        <w:rPr>
          <w:rFonts w:ascii="宋体" w:hAnsi="宋体"/>
          <w:highlight w:val="none"/>
        </w:rPr>
        <w:t>因承包人运输造成施工场地内外公共道路和桥梁损坏的，由承包人承担修复损坏的全部费用和可能引起的赔偿。</w:t>
      </w:r>
    </w:p>
    <w:p w14:paraId="3D19604D">
      <w:pPr>
        <w:keepNext/>
        <w:keepLines/>
        <w:spacing w:line="400" w:lineRule="exact"/>
        <w:outlineLvl w:val="2"/>
        <w:rPr>
          <w:rFonts w:hint="eastAsia" w:ascii="宋体" w:hAnsi="宋体"/>
          <w:sz w:val="24"/>
          <w:szCs w:val="20"/>
          <w:highlight w:val="none"/>
        </w:rPr>
      </w:pPr>
      <w:bookmarkStart w:id="986" w:name="_Toc152045667"/>
      <w:bookmarkStart w:id="987" w:name="_Toc342296318"/>
      <w:bookmarkStart w:id="988" w:name="_Toc159950669"/>
      <w:bookmarkStart w:id="989" w:name="_Toc338944760"/>
      <w:bookmarkStart w:id="990" w:name="_Toc152042445"/>
      <w:bookmarkStart w:id="991" w:name="_Toc179632685"/>
      <w:bookmarkStart w:id="992" w:name="_Toc144974635"/>
      <w:r>
        <w:rPr>
          <w:rFonts w:ascii="宋体" w:hAnsi="宋体"/>
          <w:sz w:val="24"/>
          <w:szCs w:val="20"/>
          <w:highlight w:val="none"/>
        </w:rPr>
        <w:t>7.6 水路和航空运输</w:t>
      </w:r>
      <w:bookmarkEnd w:id="986"/>
      <w:bookmarkEnd w:id="987"/>
      <w:bookmarkEnd w:id="988"/>
      <w:bookmarkEnd w:id="989"/>
      <w:bookmarkEnd w:id="990"/>
      <w:bookmarkEnd w:id="991"/>
      <w:bookmarkEnd w:id="992"/>
    </w:p>
    <w:p w14:paraId="26438441">
      <w:pPr>
        <w:spacing w:line="400" w:lineRule="exact"/>
        <w:ind w:firstLine="420" w:firstLineChars="200"/>
        <w:rPr>
          <w:rFonts w:hint="eastAsia" w:ascii="宋体" w:hAnsi="宋体"/>
          <w:highlight w:val="none"/>
        </w:rPr>
      </w:pPr>
      <w:r>
        <w:rPr>
          <w:rFonts w:ascii="宋体" w:hAnsi="宋体"/>
          <w:highlight w:val="none"/>
        </w:rPr>
        <w:t xml:space="preserve">本条上述各款的内容适用于水路运输和航空运输，其中“道路”一词的涵义包括河道、航线、船闸、机场、码头、堤防以及水路或航空运输中其他相似结构物；“车辆”一词的涵义包括船舶和飞机等。 </w:t>
      </w:r>
    </w:p>
    <w:p w14:paraId="5FF7208B">
      <w:pPr>
        <w:keepNext/>
        <w:keepLines/>
        <w:spacing w:line="400" w:lineRule="exact"/>
        <w:outlineLvl w:val="1"/>
        <w:rPr>
          <w:rFonts w:hint="eastAsia" w:ascii="宋体" w:hAnsi="宋体" w:cs="仿宋_GB2312"/>
          <w:sz w:val="28"/>
          <w:szCs w:val="20"/>
          <w:highlight w:val="none"/>
        </w:rPr>
      </w:pPr>
      <w:bookmarkStart w:id="993" w:name="_Toc442365621"/>
      <w:bookmarkStart w:id="994" w:name="_Toc159950670"/>
      <w:bookmarkStart w:id="995" w:name="_Toc448758429"/>
      <w:bookmarkStart w:id="996" w:name="_Toc469660024"/>
      <w:bookmarkStart w:id="997" w:name="_Toc342296319"/>
      <w:bookmarkStart w:id="998" w:name="_Toc448758529"/>
      <w:bookmarkStart w:id="999" w:name="_Toc338944761"/>
      <w:r>
        <w:rPr>
          <w:rFonts w:ascii="宋体" w:hAnsi="宋体" w:cs="仿宋_GB2312"/>
          <w:sz w:val="28"/>
          <w:szCs w:val="20"/>
          <w:highlight w:val="none"/>
        </w:rPr>
        <w:t>8. 测量放线</w:t>
      </w:r>
      <w:bookmarkEnd w:id="993"/>
      <w:bookmarkEnd w:id="994"/>
      <w:bookmarkEnd w:id="995"/>
      <w:bookmarkEnd w:id="996"/>
      <w:bookmarkEnd w:id="997"/>
      <w:bookmarkEnd w:id="998"/>
      <w:bookmarkEnd w:id="999"/>
    </w:p>
    <w:p w14:paraId="0374326C">
      <w:pPr>
        <w:keepNext/>
        <w:keepLines/>
        <w:spacing w:line="400" w:lineRule="exact"/>
        <w:outlineLvl w:val="2"/>
        <w:rPr>
          <w:rFonts w:hint="eastAsia" w:ascii="宋体" w:hAnsi="宋体"/>
          <w:sz w:val="24"/>
          <w:szCs w:val="20"/>
          <w:highlight w:val="none"/>
        </w:rPr>
      </w:pPr>
      <w:bookmarkStart w:id="1000" w:name="_Toc159950671"/>
      <w:bookmarkStart w:id="1001" w:name="_Toc342296320"/>
      <w:bookmarkStart w:id="1002" w:name="_Toc338944762"/>
      <w:r>
        <w:rPr>
          <w:rFonts w:ascii="宋体" w:hAnsi="宋体"/>
          <w:sz w:val="24"/>
          <w:szCs w:val="20"/>
          <w:highlight w:val="none"/>
        </w:rPr>
        <w:t>8.1 施工控制网</w:t>
      </w:r>
      <w:bookmarkEnd w:id="1000"/>
      <w:bookmarkEnd w:id="1001"/>
      <w:bookmarkEnd w:id="1002"/>
    </w:p>
    <w:p w14:paraId="6F8209E2">
      <w:pPr>
        <w:spacing w:line="400" w:lineRule="exact"/>
        <w:ind w:firstLine="420" w:firstLineChars="200"/>
        <w:rPr>
          <w:rFonts w:hint="eastAsia" w:ascii="宋体" w:hAnsi="宋体"/>
          <w:highlight w:val="none"/>
        </w:rPr>
      </w:pPr>
      <w:r>
        <w:rPr>
          <w:rFonts w:ascii="宋体" w:hAnsi="宋体"/>
          <w:highlight w:val="none"/>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73B6B281">
      <w:pPr>
        <w:spacing w:line="400" w:lineRule="exact"/>
        <w:ind w:firstLine="420" w:firstLineChars="200"/>
        <w:rPr>
          <w:rFonts w:hint="eastAsia" w:ascii="宋体" w:hAnsi="宋体"/>
          <w:highlight w:val="none"/>
        </w:rPr>
      </w:pPr>
      <w:r>
        <w:rPr>
          <w:rFonts w:ascii="宋体" w:hAnsi="宋体"/>
          <w:highlight w:val="none"/>
        </w:rPr>
        <w:t>8.1.2承包人应负责管理施工控制网点。施工控制网点丢失或损坏的，承包人应及时修复。承包人应承担施工控制网点的管理与修复费用，并在工程竣工后将施工控制网点移交发包人。</w:t>
      </w:r>
    </w:p>
    <w:p w14:paraId="065E7C68">
      <w:pPr>
        <w:keepNext/>
        <w:keepLines/>
        <w:spacing w:line="400" w:lineRule="exact"/>
        <w:outlineLvl w:val="2"/>
        <w:rPr>
          <w:rFonts w:hint="eastAsia" w:ascii="宋体" w:hAnsi="宋体"/>
          <w:sz w:val="24"/>
          <w:szCs w:val="20"/>
          <w:highlight w:val="none"/>
        </w:rPr>
      </w:pPr>
      <w:bookmarkStart w:id="1003" w:name="_Toc342296321"/>
      <w:bookmarkStart w:id="1004" w:name="_Toc144974638"/>
      <w:bookmarkStart w:id="1005" w:name="_Toc159950672"/>
      <w:bookmarkStart w:id="1006" w:name="_Toc152045670"/>
      <w:bookmarkStart w:id="1007" w:name="_Toc179632688"/>
      <w:bookmarkStart w:id="1008" w:name="_Toc338944763"/>
      <w:bookmarkStart w:id="1009" w:name="_Toc152042448"/>
      <w:r>
        <w:rPr>
          <w:rFonts w:ascii="宋体" w:hAnsi="宋体"/>
          <w:sz w:val="24"/>
          <w:szCs w:val="20"/>
          <w:highlight w:val="none"/>
        </w:rPr>
        <w:t>8.2 施工测量</w:t>
      </w:r>
      <w:bookmarkEnd w:id="1003"/>
      <w:bookmarkEnd w:id="1004"/>
      <w:bookmarkEnd w:id="1005"/>
      <w:bookmarkEnd w:id="1006"/>
      <w:bookmarkEnd w:id="1007"/>
      <w:bookmarkEnd w:id="1008"/>
      <w:bookmarkEnd w:id="1009"/>
    </w:p>
    <w:p w14:paraId="13E31BAB">
      <w:pPr>
        <w:spacing w:line="400" w:lineRule="exact"/>
        <w:ind w:firstLine="420" w:firstLineChars="200"/>
        <w:rPr>
          <w:rFonts w:hint="eastAsia" w:ascii="宋体" w:hAnsi="宋体"/>
          <w:highlight w:val="none"/>
        </w:rPr>
      </w:pPr>
      <w:r>
        <w:rPr>
          <w:rFonts w:ascii="宋体" w:hAnsi="宋体"/>
          <w:highlight w:val="none"/>
        </w:rPr>
        <w:t>8.2.1承包人应负责施工过程中的全部施工测量放线工作，并配置合格的人员、仪器、设备和其他物品。</w:t>
      </w:r>
    </w:p>
    <w:p w14:paraId="4FD3AD6A">
      <w:pPr>
        <w:spacing w:line="400" w:lineRule="exact"/>
        <w:ind w:firstLine="420" w:firstLineChars="200"/>
        <w:rPr>
          <w:rFonts w:hint="eastAsia" w:ascii="宋体" w:hAnsi="宋体"/>
          <w:highlight w:val="none"/>
        </w:rPr>
      </w:pPr>
      <w:r>
        <w:rPr>
          <w:rFonts w:ascii="宋体" w:hAnsi="宋体"/>
          <w:highlight w:val="none"/>
        </w:rPr>
        <w:t>8.2.2监理人可以指示承包人进行抽样复测，当复测中发现错误或出现超过合同约定的误差时，承包人应按监理人指示进行修正或补测，并承担相应的复测费用。</w:t>
      </w:r>
    </w:p>
    <w:p w14:paraId="71766AB5">
      <w:pPr>
        <w:keepNext/>
        <w:keepLines/>
        <w:spacing w:line="400" w:lineRule="exact"/>
        <w:outlineLvl w:val="2"/>
        <w:rPr>
          <w:rFonts w:hint="eastAsia" w:ascii="宋体" w:hAnsi="宋体"/>
          <w:sz w:val="24"/>
          <w:szCs w:val="20"/>
          <w:highlight w:val="none"/>
        </w:rPr>
      </w:pPr>
      <w:bookmarkStart w:id="1010" w:name="_Toc159950673"/>
      <w:bookmarkStart w:id="1011" w:name="_Toc338944764"/>
      <w:bookmarkStart w:id="1012" w:name="_Toc179632689"/>
      <w:bookmarkStart w:id="1013" w:name="_Toc342296322"/>
      <w:bookmarkStart w:id="1014" w:name="_Toc144974639"/>
      <w:bookmarkStart w:id="1015" w:name="_Toc152045671"/>
      <w:bookmarkStart w:id="1016" w:name="_Toc152042449"/>
      <w:r>
        <w:rPr>
          <w:rFonts w:ascii="宋体" w:hAnsi="宋体"/>
          <w:sz w:val="24"/>
          <w:szCs w:val="20"/>
          <w:highlight w:val="none"/>
        </w:rPr>
        <w:t>8.3 基准资料错误的责任</w:t>
      </w:r>
      <w:bookmarkEnd w:id="1010"/>
      <w:bookmarkEnd w:id="1011"/>
      <w:bookmarkEnd w:id="1012"/>
      <w:bookmarkEnd w:id="1013"/>
      <w:bookmarkEnd w:id="1014"/>
      <w:bookmarkEnd w:id="1015"/>
      <w:bookmarkEnd w:id="1016"/>
    </w:p>
    <w:p w14:paraId="72CC6E2B">
      <w:pPr>
        <w:spacing w:line="400" w:lineRule="exact"/>
        <w:ind w:firstLine="420" w:firstLineChars="200"/>
        <w:rPr>
          <w:rFonts w:hint="eastAsia" w:ascii="宋体" w:hAnsi="宋体"/>
          <w:highlight w:val="none"/>
        </w:rPr>
      </w:pPr>
      <w:r>
        <w:rPr>
          <w:rFonts w:ascii="宋体" w:hAnsi="宋体"/>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3B4F5383">
      <w:pPr>
        <w:keepNext/>
        <w:keepLines/>
        <w:spacing w:line="400" w:lineRule="exact"/>
        <w:outlineLvl w:val="2"/>
        <w:rPr>
          <w:rFonts w:hint="eastAsia" w:ascii="宋体" w:hAnsi="宋体"/>
          <w:sz w:val="24"/>
          <w:szCs w:val="20"/>
          <w:highlight w:val="none"/>
        </w:rPr>
      </w:pPr>
      <w:bookmarkStart w:id="1017" w:name="_Toc338944765"/>
      <w:bookmarkStart w:id="1018" w:name="_Toc152045672"/>
      <w:bookmarkStart w:id="1019" w:name="_Toc152042450"/>
      <w:bookmarkStart w:id="1020" w:name="_Toc179632690"/>
      <w:bookmarkStart w:id="1021" w:name="_Toc144974640"/>
      <w:bookmarkStart w:id="1022" w:name="_Toc159950674"/>
      <w:bookmarkStart w:id="1023" w:name="_Toc342296323"/>
      <w:r>
        <w:rPr>
          <w:rFonts w:ascii="宋体" w:hAnsi="宋体"/>
          <w:sz w:val="24"/>
          <w:szCs w:val="20"/>
          <w:highlight w:val="none"/>
        </w:rPr>
        <w:t>8.4 监理人使用施工控制网</w:t>
      </w:r>
      <w:bookmarkEnd w:id="1017"/>
      <w:bookmarkEnd w:id="1018"/>
      <w:bookmarkEnd w:id="1019"/>
      <w:bookmarkEnd w:id="1020"/>
      <w:bookmarkEnd w:id="1021"/>
      <w:bookmarkEnd w:id="1022"/>
      <w:bookmarkEnd w:id="1023"/>
    </w:p>
    <w:p w14:paraId="58498871">
      <w:pPr>
        <w:spacing w:line="400" w:lineRule="exact"/>
        <w:ind w:firstLine="420" w:firstLineChars="200"/>
        <w:rPr>
          <w:rFonts w:hint="eastAsia" w:ascii="宋体" w:hAnsi="宋体"/>
          <w:highlight w:val="none"/>
        </w:rPr>
      </w:pPr>
      <w:r>
        <w:rPr>
          <w:rFonts w:ascii="宋体" w:hAnsi="宋体"/>
          <w:highlight w:val="none"/>
        </w:rPr>
        <w:t>监理人需要使用施工控制网的，承包人应提供必要的协助，发包人不再为此支付费用。</w:t>
      </w:r>
    </w:p>
    <w:p w14:paraId="55DAFF8A">
      <w:pPr>
        <w:spacing w:line="400" w:lineRule="exact"/>
        <w:rPr>
          <w:rFonts w:hint="eastAsia" w:ascii="宋体" w:hAnsi="宋体" w:cs="仿宋_GB2312"/>
          <w:highlight w:val="none"/>
        </w:rPr>
      </w:pPr>
      <w:bookmarkStart w:id="1024" w:name="_Toc448758430"/>
      <w:bookmarkStart w:id="1025" w:name="_Toc338944766"/>
      <w:bookmarkStart w:id="1026" w:name="_Toc469660025"/>
      <w:bookmarkStart w:id="1027" w:name="_Toc342296324"/>
      <w:bookmarkStart w:id="1028" w:name="_Toc448758530"/>
      <w:bookmarkStart w:id="1029" w:name="_Toc442365622"/>
      <w:r>
        <w:rPr>
          <w:rFonts w:ascii="宋体" w:hAnsi="宋体" w:cs="仿宋_GB2312"/>
          <w:highlight w:val="none"/>
        </w:rPr>
        <w:t>9. 施工安全、治安保卫</w:t>
      </w:r>
      <w:r>
        <w:rPr>
          <w:rFonts w:hint="eastAsia" w:ascii="宋体" w:hAnsi="宋体" w:cs="仿宋_GB2312"/>
          <w:highlight w:val="none"/>
        </w:rPr>
        <w:t>，</w:t>
      </w:r>
      <w:r>
        <w:rPr>
          <w:rFonts w:ascii="宋体" w:hAnsi="宋体" w:cs="仿宋_GB2312"/>
          <w:highlight w:val="none"/>
        </w:rPr>
        <w:t>环境保护</w:t>
      </w:r>
      <w:bookmarkEnd w:id="1024"/>
      <w:bookmarkEnd w:id="1025"/>
      <w:bookmarkEnd w:id="1026"/>
      <w:bookmarkEnd w:id="1027"/>
      <w:bookmarkEnd w:id="1028"/>
      <w:bookmarkEnd w:id="1029"/>
      <w:r>
        <w:rPr>
          <w:rFonts w:hint="eastAsia" w:ascii="宋体" w:hAnsi="宋体" w:cs="仿宋_GB2312"/>
          <w:highlight w:val="none"/>
        </w:rPr>
        <w:t>以及安全文明施工</w:t>
      </w:r>
    </w:p>
    <w:p w14:paraId="75DD3F78">
      <w:pPr>
        <w:spacing w:line="400" w:lineRule="exact"/>
        <w:rPr>
          <w:rFonts w:hint="eastAsia" w:ascii="宋体" w:hAnsi="宋体"/>
          <w:highlight w:val="none"/>
        </w:rPr>
      </w:pPr>
      <w:bookmarkStart w:id="1030" w:name="_Toc144974642"/>
      <w:bookmarkStart w:id="1031" w:name="_Toc342296325"/>
      <w:bookmarkStart w:id="1032" w:name="_Toc179632692"/>
      <w:bookmarkStart w:id="1033" w:name="_Toc152045674"/>
      <w:bookmarkStart w:id="1034" w:name="_Toc152042452"/>
      <w:bookmarkStart w:id="1035" w:name="_Toc338944767"/>
      <w:r>
        <w:rPr>
          <w:rFonts w:ascii="宋体" w:hAnsi="宋体"/>
          <w:highlight w:val="none"/>
        </w:rPr>
        <w:t>9.1 发包人的施工安全责任</w:t>
      </w:r>
      <w:bookmarkEnd w:id="1030"/>
      <w:bookmarkEnd w:id="1031"/>
      <w:bookmarkEnd w:id="1032"/>
      <w:bookmarkEnd w:id="1033"/>
      <w:bookmarkEnd w:id="1034"/>
      <w:bookmarkEnd w:id="1035"/>
    </w:p>
    <w:p w14:paraId="7451F6C7">
      <w:pPr>
        <w:spacing w:line="400" w:lineRule="exact"/>
        <w:rPr>
          <w:rFonts w:hint="eastAsia" w:ascii="宋体" w:hAnsi="宋体"/>
          <w:highlight w:val="none"/>
        </w:rPr>
      </w:pPr>
      <w:r>
        <w:rPr>
          <w:rFonts w:ascii="宋体" w:hAnsi="宋体"/>
          <w:highlight w:val="none"/>
        </w:rPr>
        <w:t>9.1.1 发包人应按合同约定履行安全职责，授权监理人按合同约定的安全工作内容监督、检查承包人安全工作的实施，组织承包人和有关单位进行安全检查。</w:t>
      </w:r>
    </w:p>
    <w:p w14:paraId="20A0ABC1">
      <w:pPr>
        <w:spacing w:line="400" w:lineRule="exact"/>
        <w:ind w:firstLine="420" w:firstLineChars="200"/>
        <w:rPr>
          <w:rFonts w:hint="eastAsia" w:ascii="宋体" w:hAnsi="宋体"/>
          <w:highlight w:val="none"/>
        </w:rPr>
      </w:pPr>
      <w:r>
        <w:rPr>
          <w:rFonts w:ascii="宋体" w:hAnsi="宋体"/>
          <w:highlight w:val="none"/>
        </w:rPr>
        <w:t>9.1.2 发包人应对其现场机构雇佣的全部人员的工伤事故承担责任，但由于承包人原因造成发包人人员工伤的，应由承包人承担责任。</w:t>
      </w:r>
    </w:p>
    <w:p w14:paraId="155E76E4">
      <w:pPr>
        <w:spacing w:line="400" w:lineRule="exact"/>
        <w:ind w:firstLine="420" w:firstLineChars="200"/>
        <w:rPr>
          <w:rFonts w:hint="eastAsia" w:ascii="宋体" w:hAnsi="宋体"/>
          <w:highlight w:val="none"/>
        </w:rPr>
      </w:pPr>
      <w:r>
        <w:rPr>
          <w:rFonts w:ascii="宋体" w:hAnsi="宋体"/>
          <w:highlight w:val="none"/>
        </w:rPr>
        <w:t>9.1.3 发包人应负责赔偿以下各种情况造成的第三者人身伤亡和财产损失：</w:t>
      </w:r>
    </w:p>
    <w:p w14:paraId="3EC3B3FE">
      <w:pPr>
        <w:spacing w:line="400" w:lineRule="exact"/>
        <w:ind w:firstLine="420" w:firstLineChars="200"/>
        <w:rPr>
          <w:rFonts w:hint="eastAsia" w:ascii="宋体" w:hAnsi="宋体"/>
          <w:highlight w:val="none"/>
        </w:rPr>
      </w:pPr>
      <w:r>
        <w:rPr>
          <w:rFonts w:ascii="宋体" w:hAnsi="宋体"/>
          <w:highlight w:val="none"/>
        </w:rPr>
        <w:t>（1） 工程或工程的任何部分对土地的占用所造成的第三者财产损失；</w:t>
      </w:r>
    </w:p>
    <w:p w14:paraId="6F6496D1">
      <w:pPr>
        <w:spacing w:line="400" w:lineRule="exact"/>
        <w:ind w:firstLine="420" w:firstLineChars="200"/>
        <w:rPr>
          <w:rFonts w:hint="eastAsia" w:ascii="宋体" w:hAnsi="宋体"/>
          <w:highlight w:val="none"/>
        </w:rPr>
      </w:pPr>
      <w:r>
        <w:rPr>
          <w:rFonts w:ascii="宋体" w:hAnsi="宋体"/>
          <w:highlight w:val="none"/>
        </w:rPr>
        <w:t>（2） 由于发包人原因在施工场地及其毗邻地带造成的第三者人身伤亡和财产损失。</w:t>
      </w:r>
    </w:p>
    <w:p w14:paraId="11A141D0">
      <w:pPr>
        <w:keepNext/>
        <w:keepLines/>
        <w:spacing w:line="400" w:lineRule="exact"/>
        <w:outlineLvl w:val="2"/>
        <w:rPr>
          <w:rFonts w:hint="eastAsia" w:ascii="宋体" w:hAnsi="宋体"/>
          <w:sz w:val="24"/>
          <w:szCs w:val="20"/>
          <w:highlight w:val="none"/>
        </w:rPr>
      </w:pPr>
      <w:bookmarkStart w:id="1036" w:name="_Toc159950675"/>
      <w:bookmarkStart w:id="1037" w:name="_Toc342296326"/>
      <w:bookmarkStart w:id="1038" w:name="_Toc338944768"/>
      <w:r>
        <w:rPr>
          <w:rFonts w:ascii="宋体" w:hAnsi="宋体"/>
          <w:sz w:val="24"/>
          <w:szCs w:val="20"/>
          <w:highlight w:val="none"/>
        </w:rPr>
        <w:t>9.2 承包人的施工安全责任</w:t>
      </w:r>
      <w:bookmarkEnd w:id="1036"/>
      <w:bookmarkEnd w:id="1037"/>
      <w:bookmarkEnd w:id="1038"/>
    </w:p>
    <w:p w14:paraId="26FA3DF5">
      <w:pPr>
        <w:spacing w:line="400" w:lineRule="exact"/>
        <w:ind w:firstLine="420" w:firstLineChars="200"/>
        <w:rPr>
          <w:rFonts w:hint="eastAsia" w:ascii="宋体" w:hAnsi="宋体"/>
          <w:highlight w:val="none"/>
        </w:rPr>
      </w:pPr>
      <w:r>
        <w:rPr>
          <w:rFonts w:ascii="宋体" w:hAnsi="宋体"/>
          <w:highlight w:val="none"/>
        </w:rPr>
        <w:t>9.2.1 承包人应按合同约定履行安全职责,执行监理人有关安全工作的指示,并在专用合同条款约定的期限内，按合同约定的安全工作内容，编制施工安全措施计划报送监理人审批。</w:t>
      </w:r>
    </w:p>
    <w:p w14:paraId="30B116D8">
      <w:pPr>
        <w:spacing w:line="400" w:lineRule="exact"/>
        <w:ind w:firstLine="420" w:firstLineChars="200"/>
        <w:rPr>
          <w:rFonts w:hint="eastAsia" w:ascii="宋体" w:hAnsi="宋体"/>
          <w:highlight w:val="none"/>
        </w:rPr>
      </w:pPr>
      <w:r>
        <w:rPr>
          <w:rFonts w:ascii="宋体" w:hAnsi="宋体"/>
          <w:highlight w:val="none"/>
        </w:rPr>
        <w:t>9.2.2 承包人应加强施工作业安全管理，特别应加强易燃、易爆材料、火工器材、有毒与腐蚀性材料和其他危险品的管理，以及对爆破作业和地下工程施工等危险作业的管理。</w:t>
      </w:r>
    </w:p>
    <w:p w14:paraId="3F0B2AB2">
      <w:pPr>
        <w:spacing w:line="400" w:lineRule="exact"/>
        <w:ind w:firstLine="420" w:firstLineChars="200"/>
        <w:rPr>
          <w:rFonts w:hint="eastAsia" w:ascii="宋体" w:hAnsi="宋体"/>
          <w:highlight w:val="none"/>
        </w:rPr>
      </w:pPr>
      <w:r>
        <w:rPr>
          <w:rFonts w:ascii="宋体" w:hAnsi="宋体"/>
          <w:highlight w:val="none"/>
        </w:rPr>
        <w:t>9.2.3 承包人应严格按照国家安全标准制定施工安全操作规程，配备必要的安全生产和劳动保护设施，加强对承包人人员的安全教育，并发放安全工作手册和劳动保护用具。</w:t>
      </w:r>
    </w:p>
    <w:p w14:paraId="714BB661">
      <w:pPr>
        <w:spacing w:line="400" w:lineRule="exact"/>
        <w:ind w:firstLine="420" w:firstLineChars="200"/>
        <w:rPr>
          <w:rFonts w:hint="eastAsia" w:ascii="宋体" w:hAnsi="宋体"/>
          <w:highlight w:val="none"/>
        </w:rPr>
      </w:pPr>
      <w:r>
        <w:rPr>
          <w:rFonts w:ascii="宋体" w:hAnsi="宋体"/>
          <w:highlight w:val="none"/>
        </w:rPr>
        <w:t>9.2.4 承包人应按监理人的指示制定应对灾害的紧急预案，报送监理人审批。承包人还应按预案做好安全检查，配置必要的救助物资和器材，切实保护好有关人员的人身和财产安全。</w:t>
      </w:r>
    </w:p>
    <w:p w14:paraId="44C2B686">
      <w:pPr>
        <w:spacing w:line="400" w:lineRule="exact"/>
        <w:ind w:firstLine="420" w:firstLineChars="200"/>
        <w:rPr>
          <w:rFonts w:hint="eastAsia" w:ascii="宋体" w:hAnsi="宋体"/>
          <w:highlight w:val="none"/>
        </w:rPr>
      </w:pPr>
      <w:r>
        <w:rPr>
          <w:rFonts w:ascii="宋体" w:hAnsi="宋体"/>
          <w:highlight w:val="none"/>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3EA04D9D">
      <w:pPr>
        <w:spacing w:line="400" w:lineRule="exact"/>
        <w:ind w:firstLine="420" w:firstLineChars="200"/>
        <w:rPr>
          <w:rFonts w:hint="eastAsia" w:ascii="宋体" w:hAnsi="宋体"/>
          <w:highlight w:val="none"/>
        </w:rPr>
      </w:pPr>
      <w:r>
        <w:rPr>
          <w:rFonts w:ascii="宋体" w:hAnsi="宋体"/>
          <w:highlight w:val="none"/>
        </w:rPr>
        <w:t>9.2.6 承包人应对其履行合同所雇佣的全部人员，包括分包人人员的工伤事故承担责任，但由于发包人原因造成承包人人员工伤事故的，应由发包人承担责任。</w:t>
      </w:r>
    </w:p>
    <w:p w14:paraId="624B27BC">
      <w:pPr>
        <w:spacing w:line="400" w:lineRule="exact"/>
        <w:ind w:firstLine="420" w:firstLineChars="200"/>
        <w:rPr>
          <w:rFonts w:hint="eastAsia" w:ascii="宋体" w:hAnsi="宋体"/>
          <w:highlight w:val="none"/>
        </w:rPr>
      </w:pPr>
      <w:r>
        <w:rPr>
          <w:rFonts w:ascii="宋体" w:hAnsi="宋体"/>
          <w:highlight w:val="none"/>
        </w:rPr>
        <w:t>9.2.7 由于承包人原因在施工场地内及其毗邻地带造成的第三者人员伤亡和财产损失，由承包人负责赔偿。</w:t>
      </w:r>
    </w:p>
    <w:p w14:paraId="77DEE04D">
      <w:pPr>
        <w:spacing w:line="400" w:lineRule="exact"/>
        <w:ind w:firstLine="420" w:firstLineChars="200"/>
        <w:rPr>
          <w:rFonts w:hint="eastAsia" w:ascii="宋体" w:hAnsi="宋体"/>
          <w:highlight w:val="none"/>
        </w:rPr>
      </w:pPr>
      <w:r>
        <w:rPr>
          <w:rFonts w:hint="eastAsia" w:ascii="宋体" w:hAnsi="宋体"/>
          <w:highlight w:val="none"/>
        </w:rPr>
        <w:t>9.2.8 承包人应签署《施工安全协议书》（第七节），并严格按照第七节《施工安全协议书》中内容执行。</w:t>
      </w:r>
    </w:p>
    <w:p w14:paraId="6286D384">
      <w:pPr>
        <w:keepNext/>
        <w:keepLines/>
        <w:spacing w:line="400" w:lineRule="exact"/>
        <w:outlineLvl w:val="2"/>
        <w:rPr>
          <w:rFonts w:hint="eastAsia" w:ascii="宋体" w:hAnsi="宋体"/>
          <w:sz w:val="24"/>
          <w:szCs w:val="20"/>
          <w:highlight w:val="none"/>
        </w:rPr>
      </w:pPr>
      <w:bookmarkStart w:id="1039" w:name="_Toc159950676"/>
      <w:bookmarkStart w:id="1040" w:name="_Toc342296327"/>
      <w:bookmarkStart w:id="1041" w:name="_Toc338944769"/>
      <w:r>
        <w:rPr>
          <w:rFonts w:ascii="宋体" w:hAnsi="宋体"/>
          <w:sz w:val="24"/>
          <w:szCs w:val="20"/>
          <w:highlight w:val="none"/>
        </w:rPr>
        <w:t>9.3 治安保卫</w:t>
      </w:r>
      <w:bookmarkEnd w:id="1039"/>
      <w:bookmarkEnd w:id="1040"/>
      <w:bookmarkEnd w:id="1041"/>
    </w:p>
    <w:p w14:paraId="4CDBE298">
      <w:pPr>
        <w:spacing w:line="400" w:lineRule="exact"/>
        <w:ind w:firstLine="420" w:firstLineChars="200"/>
        <w:rPr>
          <w:rFonts w:hint="eastAsia" w:ascii="宋体" w:hAnsi="宋体"/>
          <w:highlight w:val="none"/>
        </w:rPr>
      </w:pPr>
      <w:r>
        <w:rPr>
          <w:rFonts w:ascii="宋体" w:hAnsi="宋体"/>
          <w:highlight w:val="none"/>
        </w:rPr>
        <w:t>9.3.1 除合同另有约定外，发包人应与当地公安部门协商，在现场建立治安管理机构或联防组织，统一管理施工场地的治安保卫事项，履行合同工程的治安保卫职责。</w:t>
      </w:r>
    </w:p>
    <w:p w14:paraId="0F679CF4">
      <w:pPr>
        <w:spacing w:line="400" w:lineRule="exact"/>
        <w:ind w:firstLine="420" w:firstLineChars="200"/>
        <w:rPr>
          <w:rFonts w:hint="eastAsia" w:ascii="宋体" w:hAnsi="宋体"/>
          <w:highlight w:val="none"/>
        </w:rPr>
      </w:pPr>
      <w:r>
        <w:rPr>
          <w:rFonts w:ascii="宋体" w:hAnsi="宋体"/>
          <w:highlight w:val="none"/>
        </w:rPr>
        <w:t>9.3.2 发包人和承包人除应协助现场治安管理机构或联防组织维护施工场地的社会治安外，还应做好包括生活区在内的各自管辖区的治安保卫工作。</w:t>
      </w:r>
    </w:p>
    <w:p w14:paraId="227D02A3">
      <w:pPr>
        <w:spacing w:line="400" w:lineRule="exact"/>
        <w:ind w:firstLine="420" w:firstLineChars="200"/>
        <w:rPr>
          <w:rFonts w:hint="eastAsia" w:ascii="宋体" w:hAnsi="宋体"/>
          <w:highlight w:val="none"/>
        </w:rPr>
      </w:pPr>
      <w:r>
        <w:rPr>
          <w:rFonts w:ascii="宋体" w:hAnsi="宋体"/>
          <w:highlight w:val="none"/>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23167982">
      <w:pPr>
        <w:keepNext/>
        <w:keepLines/>
        <w:spacing w:line="400" w:lineRule="exact"/>
        <w:outlineLvl w:val="2"/>
        <w:rPr>
          <w:rFonts w:hint="eastAsia" w:ascii="宋体" w:hAnsi="宋体"/>
          <w:sz w:val="24"/>
          <w:szCs w:val="20"/>
          <w:highlight w:val="none"/>
        </w:rPr>
      </w:pPr>
      <w:bookmarkStart w:id="1042" w:name="_Toc159950677"/>
      <w:bookmarkStart w:id="1043" w:name="_Toc342296328"/>
      <w:bookmarkStart w:id="1044" w:name="_Toc338944770"/>
      <w:r>
        <w:rPr>
          <w:rFonts w:ascii="宋体" w:hAnsi="宋体"/>
          <w:sz w:val="24"/>
          <w:szCs w:val="20"/>
          <w:highlight w:val="none"/>
        </w:rPr>
        <w:t>9.4 环境保护</w:t>
      </w:r>
      <w:bookmarkEnd w:id="1042"/>
      <w:bookmarkEnd w:id="1043"/>
      <w:bookmarkEnd w:id="1044"/>
    </w:p>
    <w:p w14:paraId="1B38FDA7">
      <w:pPr>
        <w:spacing w:line="400" w:lineRule="exact"/>
        <w:ind w:firstLine="420" w:firstLineChars="200"/>
        <w:rPr>
          <w:rFonts w:hint="eastAsia" w:ascii="宋体" w:hAnsi="宋体"/>
          <w:highlight w:val="none"/>
        </w:rPr>
      </w:pPr>
      <w:r>
        <w:rPr>
          <w:rFonts w:ascii="宋体" w:hAnsi="宋体"/>
          <w:highlight w:val="none"/>
        </w:rPr>
        <w:t>9.4.1 承包人在施工过程中，应遵守有关环境保护的法律，履行合同约定的环境保护义务，并对违反法律和合同约定义务所造成的环境破坏、人身伤害和财产损失负责。</w:t>
      </w:r>
    </w:p>
    <w:p w14:paraId="4C1B018B">
      <w:pPr>
        <w:spacing w:line="400" w:lineRule="exact"/>
        <w:ind w:firstLine="420" w:firstLineChars="200"/>
        <w:rPr>
          <w:rFonts w:hint="eastAsia" w:ascii="宋体" w:hAnsi="宋体"/>
          <w:highlight w:val="none"/>
        </w:rPr>
      </w:pPr>
      <w:r>
        <w:rPr>
          <w:rFonts w:ascii="宋体" w:hAnsi="宋体"/>
          <w:highlight w:val="none"/>
        </w:rPr>
        <w:t>9.4.2 承包人应按合同约定的环保工作内容，编制施工环保措施计划，报送监理人审批。</w:t>
      </w:r>
    </w:p>
    <w:p w14:paraId="1E38C5F2">
      <w:pPr>
        <w:spacing w:line="400" w:lineRule="exact"/>
        <w:ind w:firstLine="420" w:firstLineChars="200"/>
        <w:rPr>
          <w:rFonts w:hint="eastAsia" w:ascii="宋体" w:hAnsi="宋体"/>
          <w:highlight w:val="none"/>
        </w:rPr>
      </w:pPr>
      <w:r>
        <w:rPr>
          <w:rFonts w:ascii="宋体" w:hAnsi="宋体"/>
          <w:highlight w:val="none"/>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64B78637">
      <w:pPr>
        <w:spacing w:line="400" w:lineRule="exact"/>
        <w:ind w:firstLine="420" w:firstLineChars="200"/>
        <w:rPr>
          <w:rFonts w:hint="eastAsia" w:ascii="宋体" w:hAnsi="宋体"/>
          <w:highlight w:val="none"/>
        </w:rPr>
      </w:pPr>
      <w:r>
        <w:rPr>
          <w:rFonts w:ascii="宋体" w:hAnsi="宋体"/>
          <w:highlight w:val="none"/>
        </w:rPr>
        <w:t>9.4.4 承包人应按合同约定采取有效措施，对施工开挖的边坡及时进行支护,维护排水设施，并进行水土保护，避免因施工造成的地质灾害。</w:t>
      </w:r>
    </w:p>
    <w:p w14:paraId="3B5654B3">
      <w:pPr>
        <w:spacing w:line="400" w:lineRule="exact"/>
        <w:ind w:firstLine="420" w:firstLineChars="200"/>
        <w:rPr>
          <w:rFonts w:hint="eastAsia" w:ascii="宋体" w:hAnsi="宋体"/>
          <w:highlight w:val="none"/>
        </w:rPr>
      </w:pPr>
      <w:r>
        <w:rPr>
          <w:rFonts w:ascii="宋体" w:hAnsi="宋体"/>
          <w:highlight w:val="none"/>
        </w:rPr>
        <w:t>9.4.5 承包人应按国家饮用水管理标准定期对饮用水源进行监测，防止施工活动污染饮用水源。</w:t>
      </w:r>
    </w:p>
    <w:p w14:paraId="0AAD7567">
      <w:pPr>
        <w:spacing w:line="400" w:lineRule="exact"/>
        <w:ind w:firstLine="420" w:firstLineChars="200"/>
        <w:rPr>
          <w:rFonts w:hint="eastAsia" w:ascii="宋体" w:hAnsi="宋体"/>
          <w:highlight w:val="none"/>
        </w:rPr>
      </w:pPr>
      <w:r>
        <w:rPr>
          <w:rFonts w:ascii="宋体" w:hAnsi="宋体"/>
          <w:highlight w:val="none"/>
        </w:rPr>
        <w:t>9.4.6 承包人应按合同约定，加强对噪声、粉尘、废气、废水和废油的控制，努力降低噪声，控制粉尘和废气浓度，做好废水和废油的治理和排放。</w:t>
      </w:r>
    </w:p>
    <w:p w14:paraId="7B1CC787">
      <w:pPr>
        <w:keepNext/>
        <w:keepLines/>
        <w:spacing w:line="400" w:lineRule="exact"/>
        <w:outlineLvl w:val="2"/>
        <w:rPr>
          <w:rFonts w:hint="eastAsia" w:ascii="宋体" w:hAnsi="宋体"/>
          <w:sz w:val="24"/>
          <w:szCs w:val="20"/>
          <w:highlight w:val="none"/>
        </w:rPr>
      </w:pPr>
      <w:bookmarkStart w:id="1045" w:name="_Toc152045678"/>
      <w:bookmarkStart w:id="1046" w:name="_Toc179632696"/>
      <w:bookmarkStart w:id="1047" w:name="_Toc144974646"/>
      <w:bookmarkStart w:id="1048" w:name="_Toc159950678"/>
      <w:bookmarkStart w:id="1049" w:name="_Toc342296329"/>
      <w:bookmarkStart w:id="1050" w:name="_Toc152042456"/>
      <w:bookmarkStart w:id="1051" w:name="_Toc338944771"/>
      <w:r>
        <w:rPr>
          <w:rFonts w:ascii="宋体" w:hAnsi="宋体"/>
          <w:sz w:val="24"/>
          <w:szCs w:val="20"/>
          <w:highlight w:val="none"/>
        </w:rPr>
        <w:t>9.5 事故处理</w:t>
      </w:r>
      <w:bookmarkEnd w:id="1045"/>
      <w:bookmarkEnd w:id="1046"/>
      <w:bookmarkEnd w:id="1047"/>
      <w:bookmarkEnd w:id="1048"/>
      <w:bookmarkEnd w:id="1049"/>
      <w:bookmarkEnd w:id="1050"/>
      <w:bookmarkEnd w:id="1051"/>
    </w:p>
    <w:p w14:paraId="62E9EB89">
      <w:pPr>
        <w:spacing w:line="400" w:lineRule="exact"/>
        <w:ind w:firstLine="420" w:firstLineChars="200"/>
        <w:rPr>
          <w:rFonts w:hint="eastAsia" w:ascii="宋体" w:hAnsi="宋体"/>
          <w:highlight w:val="none"/>
        </w:rPr>
      </w:pPr>
      <w:r>
        <w:rPr>
          <w:rFonts w:ascii="宋体" w:hAnsi="宋体"/>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38BBD5E3">
      <w:pPr>
        <w:keepNext/>
        <w:keepLines/>
        <w:spacing w:line="400" w:lineRule="exact"/>
        <w:outlineLvl w:val="2"/>
        <w:rPr>
          <w:rFonts w:hint="eastAsia" w:ascii="宋体" w:hAnsi="宋体"/>
          <w:sz w:val="24"/>
          <w:szCs w:val="20"/>
          <w:highlight w:val="none"/>
        </w:rPr>
      </w:pPr>
      <w:bookmarkStart w:id="1052" w:name="_Toc159950679"/>
      <w:r>
        <w:rPr>
          <w:rFonts w:ascii="宋体" w:hAnsi="宋体"/>
          <w:sz w:val="24"/>
          <w:szCs w:val="20"/>
          <w:highlight w:val="none"/>
        </w:rPr>
        <w:t xml:space="preserve">9.5 </w:t>
      </w:r>
      <w:r>
        <w:rPr>
          <w:rFonts w:hint="eastAsia" w:ascii="宋体" w:hAnsi="宋体"/>
          <w:sz w:val="24"/>
          <w:szCs w:val="20"/>
          <w:highlight w:val="none"/>
        </w:rPr>
        <w:t>安全文明施工</w:t>
      </w:r>
      <w:bookmarkEnd w:id="1052"/>
    </w:p>
    <w:p w14:paraId="60BBF6B6">
      <w:pPr>
        <w:spacing w:line="400" w:lineRule="exact"/>
        <w:ind w:firstLine="420" w:firstLineChars="200"/>
        <w:rPr>
          <w:rFonts w:hint="eastAsia" w:ascii="宋体" w:hAnsi="宋体"/>
          <w:highlight w:val="none"/>
        </w:rPr>
      </w:pPr>
      <w:r>
        <w:rPr>
          <w:rFonts w:ascii="宋体" w:hAnsi="宋体"/>
          <w:highlight w:val="none"/>
        </w:rPr>
        <w:t xml:space="preserve">9.5.1 </w:t>
      </w:r>
      <w:r>
        <w:rPr>
          <w:rFonts w:hint="eastAsia" w:ascii="宋体" w:hAnsi="宋体"/>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02A666EF">
      <w:pPr>
        <w:spacing w:line="400" w:lineRule="exact"/>
        <w:ind w:firstLine="420" w:firstLineChars="200"/>
        <w:rPr>
          <w:rFonts w:hint="eastAsia" w:ascii="宋体" w:hAnsi="宋体"/>
          <w:highlight w:val="none"/>
        </w:rPr>
      </w:pPr>
      <w:r>
        <w:rPr>
          <w:rFonts w:hint="eastAsia" w:ascii="宋体" w:hAnsi="宋体"/>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5919C7A9">
      <w:pPr>
        <w:spacing w:line="400" w:lineRule="exact"/>
        <w:ind w:firstLine="420" w:firstLineChars="200"/>
        <w:rPr>
          <w:rFonts w:hint="eastAsia" w:ascii="宋体" w:hAnsi="宋体"/>
          <w:highlight w:val="none"/>
        </w:rPr>
      </w:pPr>
      <w:r>
        <w:rPr>
          <w:rFonts w:ascii="宋体" w:hAnsi="宋体"/>
          <w:highlight w:val="none"/>
        </w:rPr>
        <w:t xml:space="preserve">9.5.2 </w:t>
      </w:r>
      <w:r>
        <w:rPr>
          <w:rFonts w:hint="eastAsia" w:ascii="宋体" w:hAnsi="宋体"/>
          <w:highlight w:val="none"/>
        </w:rPr>
        <w:t>安全文明施工费由发包人承担，发包人不得以任何形式扣减该部分费用。因基准日期后合同所适用的法律或政府有关规定发生变化，增加的安全文明施工费由发包人承担。</w:t>
      </w:r>
    </w:p>
    <w:p w14:paraId="444393F5">
      <w:pPr>
        <w:spacing w:line="400" w:lineRule="exact"/>
        <w:ind w:firstLine="420" w:firstLineChars="200"/>
        <w:rPr>
          <w:rFonts w:hint="eastAsia" w:ascii="宋体" w:hAnsi="宋体"/>
          <w:highlight w:val="none"/>
        </w:rPr>
      </w:pPr>
      <w:r>
        <w:rPr>
          <w:rFonts w:hint="eastAsia" w:ascii="宋体" w:hAnsi="宋体"/>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4496D12">
      <w:pPr>
        <w:spacing w:line="400" w:lineRule="exact"/>
        <w:ind w:firstLine="420" w:firstLineChars="200"/>
        <w:rPr>
          <w:rFonts w:hint="eastAsia" w:ascii="宋体" w:hAnsi="宋体"/>
          <w:highlight w:val="none"/>
        </w:rPr>
      </w:pPr>
      <w:r>
        <w:rPr>
          <w:rFonts w:hint="eastAsia" w:ascii="宋体" w:hAnsi="宋体"/>
          <w:highlight w:val="none"/>
        </w:rPr>
        <w:t>除专用合同条款另有约定外，发包人应在开工后</w:t>
      </w:r>
      <w:r>
        <w:rPr>
          <w:rFonts w:ascii="宋体" w:hAnsi="宋体"/>
          <w:highlight w:val="none"/>
        </w:rPr>
        <w:t>28天内预付安全文明施工费总额的50%，其余部分与进度款同期支付。发包人逾期支付安全文明施工费超过7天的，承包人有权向发包人发出要求预付的催告通知，发包人收到通知后7天内仍未支付的，承包人有权暂停施工。</w:t>
      </w:r>
    </w:p>
    <w:p w14:paraId="14574212">
      <w:pPr>
        <w:spacing w:line="400" w:lineRule="exact"/>
        <w:ind w:firstLine="420" w:firstLineChars="200"/>
        <w:rPr>
          <w:rFonts w:hint="eastAsia" w:ascii="宋体" w:hAnsi="宋体"/>
          <w:highlight w:val="none"/>
        </w:rPr>
      </w:pPr>
    </w:p>
    <w:p w14:paraId="01F1081B">
      <w:pPr>
        <w:spacing w:line="400" w:lineRule="exact"/>
        <w:ind w:firstLine="420" w:firstLineChars="200"/>
        <w:rPr>
          <w:rFonts w:hint="eastAsia" w:ascii="宋体" w:hAnsi="宋体"/>
          <w:highlight w:val="none"/>
        </w:rPr>
      </w:pPr>
      <w:r>
        <w:rPr>
          <w:rFonts w:hint="eastAsia" w:ascii="宋体" w:hAnsi="宋体"/>
          <w:highlight w:val="none"/>
        </w:rPr>
        <w:t>安全文明施工费应专款专用，应在财务账目中单独列项备查，不得挪作他用，否则发包人有权责令其限期改正；逾期未改正的，可以责令其暂停施工，由此增加的费用和（或）延误的工期由承包人承担。且安全文明施工费应根据相关施工措施和市场价格测算确定，但不得低于规定的费用标准（费率）计算的金额，且不得作为让利因素。施工现场安全生产标准化管理目标应符合合同约定中等级要求，且不得低于</w:t>
      </w:r>
      <w:r>
        <w:rPr>
          <w:rFonts w:ascii="宋体" w:hAnsi="宋体"/>
          <w:highlight w:val="none"/>
        </w:rPr>
        <w:t>达标标准。</w:t>
      </w:r>
    </w:p>
    <w:p w14:paraId="1F51608D">
      <w:pPr>
        <w:keepNext/>
        <w:keepLines/>
        <w:spacing w:line="400" w:lineRule="exact"/>
        <w:outlineLvl w:val="1"/>
        <w:rPr>
          <w:rFonts w:hint="eastAsia" w:ascii="宋体" w:hAnsi="宋体" w:cs="仿宋_GB2312"/>
          <w:sz w:val="28"/>
          <w:szCs w:val="20"/>
          <w:highlight w:val="none"/>
        </w:rPr>
      </w:pPr>
      <w:bookmarkStart w:id="1053" w:name="_Toc448758431"/>
      <w:bookmarkStart w:id="1054" w:name="_Toc442365623"/>
      <w:bookmarkStart w:id="1055" w:name="_Toc448758531"/>
      <w:bookmarkStart w:id="1056" w:name="_Toc338944772"/>
      <w:bookmarkStart w:id="1057" w:name="_Toc342296330"/>
      <w:bookmarkStart w:id="1058" w:name="_Toc469660026"/>
      <w:bookmarkStart w:id="1059" w:name="_Toc159950680"/>
      <w:r>
        <w:rPr>
          <w:rFonts w:ascii="宋体" w:hAnsi="宋体" w:cs="仿宋_GB2312"/>
          <w:sz w:val="28"/>
          <w:szCs w:val="20"/>
          <w:highlight w:val="none"/>
        </w:rPr>
        <w:t>10. 进度计划</w:t>
      </w:r>
      <w:bookmarkEnd w:id="1053"/>
      <w:bookmarkEnd w:id="1054"/>
      <w:bookmarkEnd w:id="1055"/>
      <w:bookmarkEnd w:id="1056"/>
      <w:bookmarkEnd w:id="1057"/>
      <w:bookmarkEnd w:id="1058"/>
      <w:bookmarkEnd w:id="1059"/>
    </w:p>
    <w:p w14:paraId="41D52420">
      <w:pPr>
        <w:keepNext/>
        <w:keepLines/>
        <w:spacing w:line="400" w:lineRule="exact"/>
        <w:outlineLvl w:val="2"/>
        <w:rPr>
          <w:rFonts w:hint="eastAsia" w:ascii="宋体" w:hAnsi="宋体"/>
          <w:sz w:val="24"/>
          <w:szCs w:val="20"/>
          <w:highlight w:val="none"/>
        </w:rPr>
      </w:pPr>
      <w:bookmarkStart w:id="1060" w:name="_Toc338944773"/>
      <w:bookmarkStart w:id="1061" w:name="_Toc342296331"/>
      <w:bookmarkStart w:id="1062" w:name="_Toc159950681"/>
      <w:r>
        <w:rPr>
          <w:rFonts w:ascii="宋体" w:hAnsi="宋体"/>
          <w:sz w:val="24"/>
          <w:szCs w:val="20"/>
          <w:highlight w:val="none"/>
        </w:rPr>
        <w:t>10.1 合同进度计划</w:t>
      </w:r>
      <w:bookmarkEnd w:id="1060"/>
      <w:bookmarkEnd w:id="1061"/>
      <w:bookmarkEnd w:id="1062"/>
    </w:p>
    <w:p w14:paraId="66F650C7">
      <w:pPr>
        <w:spacing w:line="400" w:lineRule="exact"/>
        <w:ind w:firstLine="420" w:firstLineChars="200"/>
        <w:rPr>
          <w:rFonts w:hint="eastAsia" w:ascii="宋体" w:hAnsi="宋体"/>
          <w:highlight w:val="none"/>
        </w:rPr>
      </w:pPr>
      <w:r>
        <w:rPr>
          <w:rFonts w:ascii="宋体" w:hAnsi="宋体"/>
          <w:highlight w:val="none"/>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2902BCC3">
      <w:pPr>
        <w:keepNext/>
        <w:keepLines/>
        <w:spacing w:line="400" w:lineRule="exact"/>
        <w:outlineLvl w:val="2"/>
        <w:rPr>
          <w:rFonts w:hint="eastAsia" w:ascii="宋体" w:hAnsi="宋体"/>
          <w:sz w:val="24"/>
          <w:szCs w:val="20"/>
          <w:highlight w:val="none"/>
        </w:rPr>
      </w:pPr>
      <w:bookmarkStart w:id="1063" w:name="_Toc342296332"/>
      <w:bookmarkStart w:id="1064" w:name="_Toc338944774"/>
      <w:bookmarkStart w:id="1065" w:name="_Toc159950682"/>
      <w:r>
        <w:rPr>
          <w:rFonts w:ascii="宋体" w:hAnsi="宋体"/>
          <w:sz w:val="24"/>
          <w:szCs w:val="20"/>
          <w:highlight w:val="none"/>
        </w:rPr>
        <w:t>10.2 合同进度计划的修订</w:t>
      </w:r>
      <w:bookmarkEnd w:id="1063"/>
      <w:bookmarkEnd w:id="1064"/>
      <w:bookmarkEnd w:id="1065"/>
    </w:p>
    <w:p w14:paraId="7D439150">
      <w:pPr>
        <w:spacing w:line="400" w:lineRule="exact"/>
        <w:ind w:firstLine="420" w:firstLineChars="200"/>
        <w:rPr>
          <w:rFonts w:hint="eastAsia" w:ascii="宋体" w:hAnsi="宋体"/>
          <w:highlight w:val="none"/>
        </w:rPr>
      </w:pPr>
      <w:r>
        <w:rPr>
          <w:rFonts w:ascii="宋体" w:hAnsi="宋体"/>
          <w:highlight w:val="none"/>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6999311B">
      <w:pPr>
        <w:keepNext/>
        <w:keepLines/>
        <w:spacing w:line="400" w:lineRule="exact"/>
        <w:outlineLvl w:val="1"/>
        <w:rPr>
          <w:rFonts w:hint="eastAsia" w:ascii="宋体" w:hAnsi="宋体" w:cs="仿宋_GB2312"/>
          <w:sz w:val="28"/>
          <w:szCs w:val="20"/>
          <w:highlight w:val="none"/>
        </w:rPr>
      </w:pPr>
      <w:bookmarkStart w:id="1066" w:name="_Toc338944775"/>
      <w:bookmarkStart w:id="1067" w:name="_Toc448758432"/>
      <w:bookmarkStart w:id="1068" w:name="_Toc159950683"/>
      <w:bookmarkStart w:id="1069" w:name="_Toc469660027"/>
      <w:bookmarkStart w:id="1070" w:name="_Toc448758532"/>
      <w:bookmarkStart w:id="1071" w:name="_Toc442365624"/>
      <w:bookmarkStart w:id="1072" w:name="_Toc342296333"/>
      <w:r>
        <w:rPr>
          <w:rFonts w:ascii="宋体" w:hAnsi="宋体" w:cs="仿宋_GB2312"/>
          <w:sz w:val="28"/>
          <w:szCs w:val="20"/>
          <w:highlight w:val="none"/>
        </w:rPr>
        <w:t>11. 开工和竣工</w:t>
      </w:r>
      <w:bookmarkEnd w:id="1066"/>
      <w:bookmarkEnd w:id="1067"/>
      <w:bookmarkEnd w:id="1068"/>
      <w:bookmarkEnd w:id="1069"/>
      <w:bookmarkEnd w:id="1070"/>
      <w:bookmarkEnd w:id="1071"/>
      <w:bookmarkEnd w:id="1072"/>
    </w:p>
    <w:p w14:paraId="296AB5D4">
      <w:pPr>
        <w:keepNext/>
        <w:keepLines/>
        <w:spacing w:line="400" w:lineRule="exact"/>
        <w:outlineLvl w:val="2"/>
        <w:rPr>
          <w:rFonts w:hint="eastAsia" w:ascii="宋体" w:hAnsi="宋体"/>
          <w:sz w:val="24"/>
          <w:szCs w:val="20"/>
          <w:highlight w:val="none"/>
        </w:rPr>
      </w:pPr>
      <w:bookmarkStart w:id="1073" w:name="_Toc159950684"/>
      <w:bookmarkStart w:id="1074" w:name="_Toc338944776"/>
      <w:bookmarkStart w:id="1075" w:name="_Toc342296334"/>
      <w:bookmarkStart w:id="1076" w:name="_Toc144974651"/>
      <w:bookmarkStart w:id="1077" w:name="_Toc179632701"/>
      <w:bookmarkStart w:id="1078" w:name="_Toc152042461"/>
      <w:bookmarkStart w:id="1079" w:name="_Toc152045683"/>
      <w:r>
        <w:rPr>
          <w:rFonts w:ascii="宋体" w:hAnsi="宋体"/>
          <w:sz w:val="24"/>
          <w:szCs w:val="20"/>
          <w:highlight w:val="none"/>
        </w:rPr>
        <w:t>11.1 开工</w:t>
      </w:r>
      <w:bookmarkEnd w:id="1073"/>
      <w:bookmarkEnd w:id="1074"/>
      <w:bookmarkEnd w:id="1075"/>
      <w:bookmarkEnd w:id="1076"/>
      <w:bookmarkEnd w:id="1077"/>
      <w:bookmarkEnd w:id="1078"/>
      <w:bookmarkEnd w:id="1079"/>
    </w:p>
    <w:p w14:paraId="24AD2436">
      <w:pPr>
        <w:spacing w:line="400" w:lineRule="exact"/>
        <w:ind w:firstLine="420" w:firstLineChars="200"/>
        <w:rPr>
          <w:rFonts w:hint="eastAsia" w:ascii="宋体" w:hAnsi="宋体"/>
          <w:highlight w:val="none"/>
        </w:rPr>
      </w:pPr>
      <w:r>
        <w:rPr>
          <w:rFonts w:ascii="宋体" w:hAnsi="宋体"/>
          <w:highlight w:val="none"/>
        </w:rPr>
        <w:t>11.1.1 监理人应在开工日期7天前向承包人发出开工通知。监理人在发出开工通知前应获得发包人同意。工期自监理人发出的开工通知中载明的开工日期起计算。承包人应在开工日期后尽快施工。</w:t>
      </w:r>
    </w:p>
    <w:p w14:paraId="485580C4">
      <w:pPr>
        <w:spacing w:line="400" w:lineRule="exact"/>
        <w:ind w:firstLine="420" w:firstLineChars="200"/>
        <w:rPr>
          <w:rFonts w:hint="eastAsia" w:ascii="宋体" w:hAnsi="宋体"/>
          <w:highlight w:val="none"/>
          <w:shd w:val="pct10" w:color="auto" w:fill="FFFFFF"/>
        </w:rPr>
      </w:pPr>
      <w:r>
        <w:rPr>
          <w:rFonts w:ascii="宋体" w:hAnsi="宋体"/>
          <w:highlight w:val="none"/>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159FEE6B">
      <w:pPr>
        <w:keepNext/>
        <w:keepLines/>
        <w:spacing w:line="400" w:lineRule="exact"/>
        <w:outlineLvl w:val="2"/>
        <w:rPr>
          <w:rFonts w:hint="eastAsia" w:ascii="宋体" w:hAnsi="宋体"/>
          <w:sz w:val="24"/>
          <w:szCs w:val="20"/>
          <w:highlight w:val="none"/>
        </w:rPr>
      </w:pPr>
      <w:bookmarkStart w:id="1080" w:name="_Toc338944777"/>
      <w:bookmarkStart w:id="1081" w:name="_Toc152045684"/>
      <w:bookmarkStart w:id="1082" w:name="_Toc144974652"/>
      <w:bookmarkStart w:id="1083" w:name="_Toc342296335"/>
      <w:bookmarkStart w:id="1084" w:name="_Toc159950685"/>
      <w:bookmarkStart w:id="1085" w:name="_Toc152042462"/>
      <w:bookmarkStart w:id="1086" w:name="_Toc179632702"/>
      <w:r>
        <w:rPr>
          <w:rFonts w:ascii="宋体" w:hAnsi="宋体"/>
          <w:sz w:val="24"/>
          <w:szCs w:val="20"/>
          <w:highlight w:val="none"/>
        </w:rPr>
        <w:t>11.2 竣工</w:t>
      </w:r>
      <w:bookmarkEnd w:id="1080"/>
      <w:bookmarkEnd w:id="1081"/>
      <w:bookmarkEnd w:id="1082"/>
      <w:bookmarkEnd w:id="1083"/>
      <w:bookmarkEnd w:id="1084"/>
      <w:bookmarkEnd w:id="1085"/>
      <w:bookmarkEnd w:id="1086"/>
    </w:p>
    <w:p w14:paraId="10A13B6E">
      <w:pPr>
        <w:spacing w:line="400" w:lineRule="exact"/>
        <w:ind w:firstLine="420" w:firstLineChars="200"/>
        <w:rPr>
          <w:rFonts w:hint="eastAsia" w:ascii="宋体" w:hAnsi="宋体"/>
          <w:highlight w:val="none"/>
        </w:rPr>
      </w:pPr>
      <w:r>
        <w:rPr>
          <w:rFonts w:ascii="宋体" w:hAnsi="宋体"/>
          <w:highlight w:val="none"/>
        </w:rPr>
        <w:t>承包人应在第1.1.4.3目约定的期限内完成合同工程。实际竣工日期在接收证书中写明。</w:t>
      </w:r>
    </w:p>
    <w:p w14:paraId="3E0ED9D8">
      <w:pPr>
        <w:keepNext/>
        <w:keepLines/>
        <w:spacing w:line="400" w:lineRule="exact"/>
        <w:outlineLvl w:val="2"/>
        <w:rPr>
          <w:rFonts w:hint="eastAsia" w:ascii="宋体" w:hAnsi="宋体"/>
          <w:sz w:val="24"/>
          <w:szCs w:val="20"/>
          <w:highlight w:val="none"/>
        </w:rPr>
      </w:pPr>
      <w:bookmarkStart w:id="1087" w:name="_Toc159950686"/>
      <w:bookmarkStart w:id="1088" w:name="_Toc338944778"/>
      <w:bookmarkStart w:id="1089" w:name="_Toc342296336"/>
      <w:r>
        <w:rPr>
          <w:rFonts w:ascii="宋体" w:hAnsi="宋体"/>
          <w:sz w:val="24"/>
          <w:szCs w:val="20"/>
          <w:highlight w:val="none"/>
        </w:rPr>
        <w:t>11.3 发包人的工期延误</w:t>
      </w:r>
      <w:bookmarkEnd w:id="1087"/>
      <w:bookmarkEnd w:id="1088"/>
      <w:bookmarkEnd w:id="1089"/>
    </w:p>
    <w:p w14:paraId="1B1B9E8A">
      <w:pPr>
        <w:spacing w:line="400" w:lineRule="exact"/>
        <w:ind w:firstLine="420" w:firstLineChars="200"/>
        <w:rPr>
          <w:rFonts w:hint="eastAsia" w:ascii="宋体" w:hAnsi="宋体"/>
          <w:highlight w:val="none"/>
        </w:rPr>
      </w:pPr>
      <w:r>
        <w:rPr>
          <w:rFonts w:ascii="宋体" w:hAnsi="宋体"/>
          <w:highlight w:val="none"/>
        </w:rPr>
        <w:t>在履行合同过程中，由于发包人的下列原因造成工期延误的，承包人有权要求发包人延长工期和（或）增加费用，并支付合理利润。需要修订合同进度计划的，按照第10.2款的约定办理。</w:t>
      </w:r>
    </w:p>
    <w:p w14:paraId="314E18F1">
      <w:pPr>
        <w:spacing w:line="400" w:lineRule="exact"/>
        <w:ind w:firstLine="359" w:firstLineChars="171"/>
        <w:rPr>
          <w:rFonts w:hint="eastAsia" w:ascii="宋体" w:hAnsi="宋体"/>
          <w:highlight w:val="none"/>
        </w:rPr>
      </w:pPr>
      <w:r>
        <w:rPr>
          <w:rFonts w:ascii="宋体" w:hAnsi="宋体"/>
          <w:highlight w:val="none"/>
        </w:rPr>
        <w:t>（1）增加合同工作内容；</w:t>
      </w:r>
    </w:p>
    <w:p w14:paraId="2AAC6258">
      <w:pPr>
        <w:spacing w:line="400" w:lineRule="exact"/>
        <w:ind w:firstLine="359" w:firstLineChars="171"/>
        <w:rPr>
          <w:rFonts w:hint="eastAsia" w:ascii="宋体" w:hAnsi="宋体"/>
          <w:highlight w:val="none"/>
        </w:rPr>
      </w:pPr>
      <w:r>
        <w:rPr>
          <w:rFonts w:ascii="宋体" w:hAnsi="宋体"/>
          <w:highlight w:val="none"/>
        </w:rPr>
        <w:t>（2）改变合同中任何一项工作的质量要求或其他特性；</w:t>
      </w:r>
    </w:p>
    <w:p w14:paraId="5035D954">
      <w:pPr>
        <w:spacing w:line="400" w:lineRule="exact"/>
        <w:ind w:firstLine="359" w:firstLineChars="171"/>
        <w:rPr>
          <w:rFonts w:hint="eastAsia" w:ascii="宋体" w:hAnsi="宋体"/>
          <w:highlight w:val="none"/>
        </w:rPr>
      </w:pPr>
      <w:r>
        <w:rPr>
          <w:rFonts w:ascii="宋体" w:hAnsi="宋体"/>
          <w:highlight w:val="none"/>
        </w:rPr>
        <w:t>（3）发包人迟延提供材料、工程设备或变更交货地点的；</w:t>
      </w:r>
    </w:p>
    <w:p w14:paraId="1502BF5B">
      <w:pPr>
        <w:spacing w:line="400" w:lineRule="exact"/>
        <w:ind w:firstLine="359" w:firstLineChars="171"/>
        <w:rPr>
          <w:rFonts w:hint="eastAsia" w:ascii="宋体" w:hAnsi="宋体"/>
          <w:highlight w:val="none"/>
        </w:rPr>
      </w:pPr>
      <w:r>
        <w:rPr>
          <w:rFonts w:ascii="宋体" w:hAnsi="宋体"/>
          <w:highlight w:val="none"/>
        </w:rPr>
        <w:t>（4）因发包人原因导致的暂停施工；</w:t>
      </w:r>
    </w:p>
    <w:p w14:paraId="4FDD0F8D">
      <w:pPr>
        <w:spacing w:line="400" w:lineRule="exact"/>
        <w:ind w:firstLine="359" w:firstLineChars="171"/>
        <w:rPr>
          <w:rFonts w:hint="eastAsia" w:ascii="宋体" w:hAnsi="宋体"/>
          <w:highlight w:val="none"/>
        </w:rPr>
      </w:pPr>
      <w:r>
        <w:rPr>
          <w:rFonts w:ascii="宋体" w:hAnsi="宋体"/>
          <w:highlight w:val="none"/>
        </w:rPr>
        <w:t>（5）提供图纸延误；</w:t>
      </w:r>
    </w:p>
    <w:p w14:paraId="4880C692">
      <w:pPr>
        <w:spacing w:line="400" w:lineRule="exact"/>
        <w:ind w:firstLine="359" w:firstLineChars="171"/>
        <w:rPr>
          <w:rFonts w:hint="eastAsia" w:ascii="宋体" w:hAnsi="宋体"/>
          <w:highlight w:val="none"/>
        </w:rPr>
      </w:pPr>
      <w:r>
        <w:rPr>
          <w:rFonts w:ascii="宋体" w:hAnsi="宋体"/>
          <w:highlight w:val="none"/>
        </w:rPr>
        <w:t>（6）未按合同约定及时支付预付款、进度款；</w:t>
      </w:r>
    </w:p>
    <w:p w14:paraId="036A2175">
      <w:pPr>
        <w:spacing w:line="400" w:lineRule="exact"/>
        <w:ind w:firstLine="359" w:firstLineChars="171"/>
        <w:rPr>
          <w:rFonts w:hint="eastAsia" w:ascii="宋体" w:hAnsi="宋体"/>
          <w:highlight w:val="none"/>
        </w:rPr>
      </w:pPr>
      <w:r>
        <w:rPr>
          <w:rFonts w:ascii="宋体" w:hAnsi="宋体"/>
          <w:highlight w:val="none"/>
        </w:rPr>
        <w:t>（7）发包人造成工期延误的其他原因。</w:t>
      </w:r>
    </w:p>
    <w:p w14:paraId="58F36C25">
      <w:pPr>
        <w:keepNext/>
        <w:keepLines/>
        <w:spacing w:line="400" w:lineRule="exact"/>
        <w:outlineLvl w:val="2"/>
        <w:rPr>
          <w:rFonts w:hint="eastAsia" w:ascii="宋体" w:hAnsi="宋体"/>
          <w:sz w:val="24"/>
          <w:szCs w:val="20"/>
          <w:highlight w:val="none"/>
        </w:rPr>
      </w:pPr>
      <w:bookmarkStart w:id="1090" w:name="_Toc159950687"/>
      <w:bookmarkStart w:id="1091" w:name="_Toc342296337"/>
      <w:bookmarkStart w:id="1092" w:name="_Toc338944779"/>
      <w:r>
        <w:rPr>
          <w:rFonts w:ascii="宋体" w:hAnsi="宋体"/>
          <w:sz w:val="24"/>
          <w:szCs w:val="20"/>
          <w:highlight w:val="none"/>
        </w:rPr>
        <w:t>11.4 异常恶劣的气候条件</w:t>
      </w:r>
      <w:bookmarkEnd w:id="1090"/>
      <w:bookmarkEnd w:id="1091"/>
      <w:bookmarkEnd w:id="1092"/>
    </w:p>
    <w:p w14:paraId="228CD727">
      <w:pPr>
        <w:spacing w:line="400" w:lineRule="exact"/>
        <w:ind w:firstLine="359" w:firstLineChars="171"/>
        <w:rPr>
          <w:rFonts w:hint="eastAsia" w:ascii="宋体" w:hAnsi="宋体"/>
          <w:highlight w:val="none"/>
        </w:rPr>
      </w:pPr>
      <w:r>
        <w:rPr>
          <w:rFonts w:ascii="宋体" w:hAnsi="宋体"/>
          <w:highlight w:val="none"/>
        </w:rPr>
        <w:t>由于出现专用合同条款规定的异常恶劣气候的条件导致工期延误的，承包人有权要求发包人延长工期。</w:t>
      </w:r>
    </w:p>
    <w:p w14:paraId="47A297A8">
      <w:pPr>
        <w:keepNext/>
        <w:keepLines/>
        <w:spacing w:line="400" w:lineRule="exact"/>
        <w:outlineLvl w:val="2"/>
        <w:rPr>
          <w:rFonts w:hint="eastAsia" w:ascii="宋体" w:hAnsi="宋体"/>
          <w:sz w:val="24"/>
          <w:szCs w:val="20"/>
          <w:highlight w:val="none"/>
        </w:rPr>
      </w:pPr>
      <w:bookmarkStart w:id="1093" w:name="_Toc338944780"/>
      <w:bookmarkStart w:id="1094" w:name="_Toc342296338"/>
      <w:bookmarkStart w:id="1095" w:name="_Toc159950688"/>
      <w:r>
        <w:rPr>
          <w:rFonts w:ascii="宋体" w:hAnsi="宋体"/>
          <w:sz w:val="24"/>
          <w:szCs w:val="20"/>
          <w:highlight w:val="none"/>
        </w:rPr>
        <w:t>11.5 承包人的工期延误</w:t>
      </w:r>
      <w:bookmarkEnd w:id="1093"/>
      <w:bookmarkEnd w:id="1094"/>
      <w:bookmarkEnd w:id="1095"/>
    </w:p>
    <w:p w14:paraId="2DD23625">
      <w:pPr>
        <w:spacing w:line="400" w:lineRule="exact"/>
        <w:ind w:firstLine="420" w:firstLineChars="200"/>
        <w:rPr>
          <w:rFonts w:hint="eastAsia" w:ascii="宋体" w:hAnsi="宋体"/>
          <w:highlight w:val="none"/>
        </w:rPr>
      </w:pPr>
      <w:r>
        <w:rPr>
          <w:rFonts w:ascii="宋体" w:hAnsi="宋体"/>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6DE62B1E">
      <w:pPr>
        <w:keepNext/>
        <w:keepLines/>
        <w:spacing w:line="400" w:lineRule="exact"/>
        <w:outlineLvl w:val="2"/>
        <w:rPr>
          <w:rFonts w:hint="eastAsia" w:ascii="宋体" w:hAnsi="宋体"/>
          <w:sz w:val="24"/>
          <w:szCs w:val="20"/>
          <w:highlight w:val="none"/>
        </w:rPr>
      </w:pPr>
      <w:bookmarkStart w:id="1096" w:name="_Toc159950689"/>
      <w:bookmarkStart w:id="1097" w:name="_Toc338944781"/>
      <w:bookmarkStart w:id="1098" w:name="_Toc342296339"/>
      <w:r>
        <w:rPr>
          <w:rFonts w:ascii="宋体" w:hAnsi="宋体"/>
          <w:sz w:val="24"/>
          <w:szCs w:val="20"/>
          <w:highlight w:val="none"/>
        </w:rPr>
        <w:t>11.6 工期提前</w:t>
      </w:r>
      <w:bookmarkEnd w:id="1096"/>
      <w:bookmarkEnd w:id="1097"/>
      <w:bookmarkEnd w:id="1098"/>
    </w:p>
    <w:p w14:paraId="52F74B7F">
      <w:pPr>
        <w:spacing w:line="400" w:lineRule="exact"/>
        <w:ind w:firstLine="420" w:firstLineChars="200"/>
        <w:rPr>
          <w:rFonts w:hint="eastAsia" w:ascii="宋体" w:hAnsi="宋体"/>
          <w:highlight w:val="none"/>
        </w:rPr>
      </w:pPr>
      <w:r>
        <w:rPr>
          <w:rFonts w:ascii="宋体" w:hAnsi="宋体"/>
          <w:highlight w:val="none"/>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42B8A4FA">
      <w:pPr>
        <w:keepNext/>
        <w:keepLines/>
        <w:spacing w:line="400" w:lineRule="exact"/>
        <w:outlineLvl w:val="1"/>
        <w:rPr>
          <w:rFonts w:hint="eastAsia" w:ascii="宋体" w:hAnsi="宋体" w:cs="仿宋_GB2312"/>
          <w:sz w:val="28"/>
          <w:szCs w:val="20"/>
          <w:highlight w:val="none"/>
        </w:rPr>
      </w:pPr>
      <w:bookmarkStart w:id="1099" w:name="_Toc448758433"/>
      <w:bookmarkStart w:id="1100" w:name="_Toc338944782"/>
      <w:bookmarkStart w:id="1101" w:name="_Toc442365625"/>
      <w:bookmarkStart w:id="1102" w:name="_Toc448758533"/>
      <w:bookmarkStart w:id="1103" w:name="_Toc159950690"/>
      <w:bookmarkStart w:id="1104" w:name="_Toc342296340"/>
      <w:bookmarkStart w:id="1105" w:name="_Toc469660028"/>
      <w:r>
        <w:rPr>
          <w:rFonts w:ascii="宋体" w:hAnsi="宋体" w:cs="仿宋_GB2312"/>
          <w:sz w:val="28"/>
          <w:szCs w:val="20"/>
          <w:highlight w:val="none"/>
        </w:rPr>
        <w:t>12. 暂停施工</w:t>
      </w:r>
      <w:bookmarkEnd w:id="1099"/>
      <w:bookmarkEnd w:id="1100"/>
      <w:bookmarkEnd w:id="1101"/>
      <w:bookmarkEnd w:id="1102"/>
      <w:bookmarkEnd w:id="1103"/>
      <w:bookmarkEnd w:id="1104"/>
      <w:bookmarkEnd w:id="1105"/>
    </w:p>
    <w:p w14:paraId="5001D77A">
      <w:pPr>
        <w:keepNext/>
        <w:keepLines/>
        <w:spacing w:line="400" w:lineRule="exact"/>
        <w:outlineLvl w:val="2"/>
        <w:rPr>
          <w:rFonts w:hint="eastAsia" w:ascii="宋体" w:hAnsi="宋体"/>
          <w:sz w:val="24"/>
          <w:szCs w:val="20"/>
          <w:highlight w:val="none"/>
        </w:rPr>
      </w:pPr>
      <w:bookmarkStart w:id="1106" w:name="_Toc338944783"/>
      <w:bookmarkStart w:id="1107" w:name="_Toc342296341"/>
      <w:bookmarkStart w:id="1108" w:name="_Toc159950691"/>
      <w:r>
        <w:rPr>
          <w:rFonts w:ascii="宋体" w:hAnsi="宋体"/>
          <w:sz w:val="24"/>
          <w:szCs w:val="20"/>
          <w:highlight w:val="none"/>
        </w:rPr>
        <w:t>12.1 承包人暂停施工的责任</w:t>
      </w:r>
      <w:bookmarkEnd w:id="1106"/>
      <w:bookmarkEnd w:id="1107"/>
      <w:bookmarkEnd w:id="1108"/>
    </w:p>
    <w:p w14:paraId="23E9D184">
      <w:pPr>
        <w:spacing w:line="400" w:lineRule="exact"/>
        <w:ind w:firstLine="420" w:firstLineChars="200"/>
        <w:rPr>
          <w:rFonts w:hint="eastAsia" w:ascii="宋体" w:hAnsi="宋体"/>
          <w:highlight w:val="none"/>
        </w:rPr>
      </w:pPr>
      <w:r>
        <w:rPr>
          <w:rFonts w:ascii="宋体" w:hAnsi="宋体"/>
          <w:highlight w:val="none"/>
        </w:rPr>
        <w:t>因下列暂停施工增加的费用和（或）工期延误由承包人承担：</w:t>
      </w:r>
    </w:p>
    <w:p w14:paraId="5CFB615F">
      <w:pPr>
        <w:spacing w:line="400" w:lineRule="exact"/>
        <w:ind w:firstLine="359" w:firstLineChars="171"/>
        <w:rPr>
          <w:rFonts w:hint="eastAsia" w:ascii="宋体" w:hAnsi="宋体"/>
          <w:highlight w:val="none"/>
        </w:rPr>
      </w:pPr>
      <w:r>
        <w:rPr>
          <w:rFonts w:ascii="宋体" w:hAnsi="宋体"/>
          <w:highlight w:val="none"/>
        </w:rPr>
        <w:t>（1）承包人违约引起的暂停施工；</w:t>
      </w:r>
    </w:p>
    <w:p w14:paraId="2A03541B">
      <w:pPr>
        <w:spacing w:line="400" w:lineRule="exact"/>
        <w:ind w:firstLine="359" w:firstLineChars="171"/>
        <w:rPr>
          <w:rFonts w:hint="eastAsia" w:ascii="宋体" w:hAnsi="宋体"/>
          <w:highlight w:val="none"/>
        </w:rPr>
      </w:pPr>
      <w:r>
        <w:rPr>
          <w:rFonts w:ascii="宋体" w:hAnsi="宋体"/>
          <w:highlight w:val="none"/>
        </w:rPr>
        <w:t>（2）由于承包人原因为工程合理施工和安全保障所必需的暂停施工；</w:t>
      </w:r>
    </w:p>
    <w:p w14:paraId="28880AF5">
      <w:pPr>
        <w:spacing w:line="400" w:lineRule="exact"/>
        <w:ind w:firstLine="359" w:firstLineChars="171"/>
        <w:rPr>
          <w:rFonts w:hint="eastAsia" w:ascii="宋体" w:hAnsi="宋体"/>
          <w:highlight w:val="none"/>
        </w:rPr>
      </w:pPr>
      <w:r>
        <w:rPr>
          <w:rFonts w:ascii="宋体" w:hAnsi="宋体"/>
          <w:highlight w:val="none"/>
        </w:rPr>
        <w:t>（3）承包人擅自暂停施工；</w:t>
      </w:r>
    </w:p>
    <w:p w14:paraId="4B33530D">
      <w:pPr>
        <w:spacing w:line="400" w:lineRule="exact"/>
        <w:ind w:firstLine="359" w:firstLineChars="171"/>
        <w:rPr>
          <w:rFonts w:hint="eastAsia" w:ascii="宋体" w:hAnsi="宋体"/>
          <w:highlight w:val="none"/>
        </w:rPr>
      </w:pPr>
      <w:r>
        <w:rPr>
          <w:rFonts w:ascii="宋体" w:hAnsi="宋体"/>
          <w:highlight w:val="none"/>
        </w:rPr>
        <w:t>（4）承包人其他原因引起的暂停施工；</w:t>
      </w:r>
    </w:p>
    <w:p w14:paraId="647F6F2C">
      <w:pPr>
        <w:spacing w:line="400" w:lineRule="exact"/>
        <w:ind w:firstLine="359" w:firstLineChars="171"/>
        <w:rPr>
          <w:rFonts w:hint="eastAsia" w:ascii="宋体" w:hAnsi="宋体"/>
          <w:highlight w:val="none"/>
        </w:rPr>
      </w:pPr>
      <w:r>
        <w:rPr>
          <w:rFonts w:ascii="宋体" w:hAnsi="宋体"/>
          <w:highlight w:val="none"/>
        </w:rPr>
        <w:t>（5）专用合同条款约定由承包人承担的其他暂停施工。</w:t>
      </w:r>
    </w:p>
    <w:p w14:paraId="3E310F27">
      <w:pPr>
        <w:keepNext/>
        <w:keepLines/>
        <w:spacing w:line="400" w:lineRule="exact"/>
        <w:outlineLvl w:val="2"/>
        <w:rPr>
          <w:rFonts w:hint="eastAsia" w:ascii="宋体" w:hAnsi="宋体"/>
          <w:sz w:val="24"/>
          <w:szCs w:val="20"/>
          <w:highlight w:val="none"/>
        </w:rPr>
      </w:pPr>
      <w:bookmarkStart w:id="1109" w:name="_Toc159950692"/>
      <w:bookmarkStart w:id="1110" w:name="_Toc342296342"/>
      <w:bookmarkStart w:id="1111" w:name="_Toc144974660"/>
      <w:bookmarkStart w:id="1112" w:name="_Toc152045691"/>
      <w:bookmarkStart w:id="1113" w:name="_Toc152042469"/>
      <w:bookmarkStart w:id="1114" w:name="_Toc179632709"/>
      <w:bookmarkStart w:id="1115" w:name="_Toc338944784"/>
      <w:r>
        <w:rPr>
          <w:rFonts w:ascii="宋体" w:hAnsi="宋体"/>
          <w:sz w:val="24"/>
          <w:szCs w:val="20"/>
          <w:highlight w:val="none"/>
        </w:rPr>
        <w:t>12.2 发包人暂停施工的责任</w:t>
      </w:r>
      <w:bookmarkEnd w:id="1109"/>
      <w:bookmarkEnd w:id="1110"/>
      <w:bookmarkEnd w:id="1111"/>
      <w:bookmarkEnd w:id="1112"/>
      <w:bookmarkEnd w:id="1113"/>
      <w:bookmarkEnd w:id="1114"/>
      <w:bookmarkEnd w:id="1115"/>
    </w:p>
    <w:p w14:paraId="5E0CF40F">
      <w:pPr>
        <w:spacing w:line="400" w:lineRule="exact"/>
        <w:ind w:firstLine="420" w:firstLineChars="200"/>
        <w:rPr>
          <w:rFonts w:hint="eastAsia" w:ascii="宋体" w:hAnsi="宋体"/>
          <w:highlight w:val="none"/>
        </w:rPr>
      </w:pPr>
      <w:r>
        <w:rPr>
          <w:rFonts w:ascii="宋体" w:hAnsi="宋体"/>
          <w:highlight w:val="none"/>
        </w:rPr>
        <w:t>由于发包人原因引起的暂停施工造成工期延误的，承包人有权要求发包人延长工期和（或）增加费用，并支付合理利润。</w:t>
      </w:r>
    </w:p>
    <w:p w14:paraId="1DB113C9">
      <w:pPr>
        <w:keepNext/>
        <w:keepLines/>
        <w:spacing w:line="400" w:lineRule="exact"/>
        <w:outlineLvl w:val="2"/>
        <w:rPr>
          <w:rFonts w:hint="eastAsia" w:ascii="宋体" w:hAnsi="宋体"/>
          <w:sz w:val="24"/>
          <w:szCs w:val="20"/>
          <w:highlight w:val="none"/>
        </w:rPr>
      </w:pPr>
      <w:bookmarkStart w:id="1116" w:name="_Toc144974661"/>
      <w:bookmarkStart w:id="1117" w:name="_Toc152042470"/>
      <w:bookmarkStart w:id="1118" w:name="_Toc152045692"/>
      <w:bookmarkStart w:id="1119" w:name="_Toc342296343"/>
      <w:bookmarkStart w:id="1120" w:name="_Toc159950693"/>
      <w:bookmarkStart w:id="1121" w:name="_Toc338944785"/>
      <w:bookmarkStart w:id="1122" w:name="_Toc179632710"/>
      <w:r>
        <w:rPr>
          <w:rFonts w:ascii="宋体" w:hAnsi="宋体"/>
          <w:sz w:val="24"/>
          <w:szCs w:val="20"/>
          <w:highlight w:val="none"/>
        </w:rPr>
        <w:t>12.3 监理人暂停施工指示</w:t>
      </w:r>
      <w:bookmarkEnd w:id="1116"/>
      <w:bookmarkEnd w:id="1117"/>
      <w:bookmarkEnd w:id="1118"/>
      <w:bookmarkEnd w:id="1119"/>
      <w:bookmarkEnd w:id="1120"/>
      <w:bookmarkEnd w:id="1121"/>
      <w:bookmarkEnd w:id="1122"/>
    </w:p>
    <w:p w14:paraId="78051D08">
      <w:pPr>
        <w:spacing w:line="400" w:lineRule="exact"/>
        <w:ind w:firstLine="420" w:firstLineChars="200"/>
        <w:rPr>
          <w:rFonts w:hint="eastAsia" w:ascii="宋体" w:hAnsi="宋体"/>
          <w:highlight w:val="none"/>
        </w:rPr>
      </w:pPr>
      <w:r>
        <w:rPr>
          <w:rFonts w:ascii="宋体" w:hAnsi="宋体"/>
          <w:highlight w:val="none"/>
        </w:rPr>
        <w:t>12.3.1 监理人认为有必要时，可向承包人作出暂停施工的指示，承包人应按监理人指示暂停施工。不论由于何种原因引起的暂停施工，暂停施工期间承包人应负责妥善保护工程并提供安全保障。</w:t>
      </w:r>
    </w:p>
    <w:p w14:paraId="1C5276F1">
      <w:pPr>
        <w:spacing w:line="400" w:lineRule="exact"/>
        <w:ind w:firstLine="420" w:firstLineChars="200"/>
        <w:rPr>
          <w:rFonts w:hint="eastAsia" w:ascii="宋体" w:hAnsi="宋体"/>
          <w:highlight w:val="none"/>
        </w:rPr>
      </w:pPr>
      <w:r>
        <w:rPr>
          <w:rFonts w:ascii="宋体" w:hAnsi="宋体"/>
          <w:highlight w:val="none"/>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0CE08997">
      <w:pPr>
        <w:keepNext/>
        <w:keepLines/>
        <w:spacing w:line="400" w:lineRule="exact"/>
        <w:outlineLvl w:val="2"/>
        <w:rPr>
          <w:rFonts w:hint="eastAsia" w:ascii="宋体" w:hAnsi="宋体"/>
          <w:sz w:val="24"/>
          <w:szCs w:val="20"/>
          <w:highlight w:val="none"/>
        </w:rPr>
      </w:pPr>
      <w:bookmarkStart w:id="1123" w:name="_Toc342296344"/>
      <w:bookmarkStart w:id="1124" w:name="_Toc179632711"/>
      <w:bookmarkStart w:id="1125" w:name="_Toc152045693"/>
      <w:bookmarkStart w:id="1126" w:name="_Toc144974662"/>
      <w:bookmarkStart w:id="1127" w:name="_Toc159950694"/>
      <w:bookmarkStart w:id="1128" w:name="_Toc338944786"/>
      <w:bookmarkStart w:id="1129" w:name="_Toc152042471"/>
      <w:r>
        <w:rPr>
          <w:rFonts w:ascii="宋体" w:hAnsi="宋体"/>
          <w:sz w:val="24"/>
          <w:szCs w:val="20"/>
          <w:highlight w:val="none"/>
        </w:rPr>
        <w:t>12.4 暂停施工后的复工</w:t>
      </w:r>
      <w:bookmarkEnd w:id="1123"/>
      <w:bookmarkEnd w:id="1124"/>
      <w:bookmarkEnd w:id="1125"/>
      <w:bookmarkEnd w:id="1126"/>
      <w:bookmarkEnd w:id="1127"/>
      <w:bookmarkEnd w:id="1128"/>
      <w:bookmarkEnd w:id="1129"/>
    </w:p>
    <w:p w14:paraId="0B621858">
      <w:pPr>
        <w:spacing w:line="400" w:lineRule="exact"/>
        <w:ind w:firstLine="420" w:firstLineChars="200"/>
        <w:rPr>
          <w:rFonts w:hint="eastAsia" w:ascii="宋体" w:hAnsi="宋体"/>
          <w:highlight w:val="none"/>
        </w:rPr>
      </w:pPr>
      <w:r>
        <w:rPr>
          <w:rFonts w:ascii="宋体" w:hAnsi="宋体"/>
          <w:highlight w:val="none"/>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0B4CCC2D">
      <w:pPr>
        <w:spacing w:line="400" w:lineRule="exact"/>
        <w:ind w:firstLine="420" w:firstLineChars="200"/>
        <w:rPr>
          <w:rFonts w:hint="eastAsia" w:ascii="宋体" w:hAnsi="宋体"/>
          <w:highlight w:val="none"/>
        </w:rPr>
      </w:pPr>
      <w:r>
        <w:rPr>
          <w:rFonts w:ascii="宋体" w:hAnsi="宋体"/>
          <w:highlight w:val="none"/>
        </w:rPr>
        <w:t>12.4.2 承包人无故拖延和拒绝复工的，由此增加的费用和工期延误由承包人承担；因发包人原因无法按时复工的，承包人有权要求发包人延长工期和（或）增加费用，并支付合理利润。</w:t>
      </w:r>
    </w:p>
    <w:p w14:paraId="0AFD2E26">
      <w:pPr>
        <w:keepNext/>
        <w:keepLines/>
        <w:spacing w:line="400" w:lineRule="exact"/>
        <w:outlineLvl w:val="2"/>
        <w:rPr>
          <w:rFonts w:hint="eastAsia" w:ascii="宋体" w:hAnsi="宋体"/>
          <w:sz w:val="24"/>
          <w:szCs w:val="20"/>
          <w:highlight w:val="none"/>
        </w:rPr>
      </w:pPr>
      <w:bookmarkStart w:id="1130" w:name="_Toc159950695"/>
      <w:bookmarkStart w:id="1131" w:name="_Toc152045694"/>
      <w:bookmarkStart w:id="1132" w:name="_Toc152042472"/>
      <w:bookmarkStart w:id="1133" w:name="_Toc144974663"/>
      <w:bookmarkStart w:id="1134" w:name="_Toc179632712"/>
      <w:bookmarkStart w:id="1135" w:name="_Toc342296345"/>
      <w:bookmarkStart w:id="1136" w:name="_Toc338944787"/>
      <w:r>
        <w:rPr>
          <w:rFonts w:ascii="宋体" w:hAnsi="宋体"/>
          <w:sz w:val="24"/>
          <w:szCs w:val="20"/>
          <w:highlight w:val="none"/>
        </w:rPr>
        <w:t>12.5 暂停施工持续56天以上</w:t>
      </w:r>
      <w:bookmarkEnd w:id="1130"/>
      <w:bookmarkEnd w:id="1131"/>
      <w:bookmarkEnd w:id="1132"/>
      <w:bookmarkEnd w:id="1133"/>
      <w:bookmarkEnd w:id="1134"/>
      <w:bookmarkEnd w:id="1135"/>
      <w:bookmarkEnd w:id="1136"/>
    </w:p>
    <w:p w14:paraId="73C5D1F2">
      <w:pPr>
        <w:spacing w:line="400" w:lineRule="exact"/>
        <w:ind w:firstLine="411" w:firstLineChars="196"/>
        <w:rPr>
          <w:rFonts w:hint="eastAsia" w:ascii="宋体" w:hAnsi="宋体"/>
          <w:highlight w:val="none"/>
        </w:rPr>
      </w:pPr>
      <w:r>
        <w:rPr>
          <w:rFonts w:ascii="宋体" w:hAnsi="宋体"/>
          <w:highlight w:val="none"/>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7F0796DD">
      <w:pPr>
        <w:spacing w:line="400" w:lineRule="exact"/>
        <w:ind w:firstLine="420" w:firstLineChars="200"/>
        <w:rPr>
          <w:rFonts w:hint="eastAsia" w:ascii="宋体" w:hAnsi="宋体"/>
          <w:highlight w:val="none"/>
        </w:rPr>
      </w:pPr>
      <w:r>
        <w:rPr>
          <w:rFonts w:ascii="宋体" w:hAnsi="宋体"/>
          <w:highlight w:val="none"/>
        </w:rPr>
        <w:t>12.5.2 由于承包人责任引起的暂停施工，如承包人在收到监理人暂停施工指示后56天内不认真采取有效的复工措施，造成工期延误，可视为承包人违约，应按第22.1款的规定办理。</w:t>
      </w:r>
    </w:p>
    <w:p w14:paraId="6634312C">
      <w:pPr>
        <w:spacing w:line="400" w:lineRule="exact"/>
        <w:rPr>
          <w:rFonts w:hint="eastAsia" w:ascii="宋体" w:hAnsi="宋体"/>
          <w:sz w:val="24"/>
          <w:highlight w:val="none"/>
        </w:rPr>
      </w:pPr>
      <w:r>
        <w:rPr>
          <w:rFonts w:hint="eastAsia" w:ascii="宋体" w:hAnsi="宋体"/>
          <w:sz w:val="24"/>
          <w:highlight w:val="none"/>
        </w:rPr>
        <w:t>12.6暂停施工期间的工程照管和措施</w:t>
      </w:r>
    </w:p>
    <w:p w14:paraId="4FFEA730">
      <w:pPr>
        <w:spacing w:line="400" w:lineRule="exact"/>
        <w:ind w:firstLine="420" w:firstLineChars="200"/>
        <w:rPr>
          <w:rFonts w:hint="eastAsia" w:ascii="宋体" w:hAnsi="宋体"/>
          <w:highlight w:val="none"/>
        </w:rPr>
      </w:pPr>
      <w:r>
        <w:rPr>
          <w:rFonts w:ascii="宋体" w:hAnsi="宋体"/>
          <w:highlight w:val="none"/>
        </w:rPr>
        <w:t>12.5.1</w:t>
      </w:r>
      <w:r>
        <w:rPr>
          <w:rFonts w:hint="eastAsia" w:ascii="宋体" w:hAnsi="宋体"/>
          <w:highlight w:val="none"/>
        </w:rPr>
        <w:t>暂停施工期间，承包人应负责妥善照管工程并提供安全保障，由此增加的费用由责任方承担。</w:t>
      </w:r>
    </w:p>
    <w:p w14:paraId="649B33B8">
      <w:pPr>
        <w:spacing w:line="400" w:lineRule="exact"/>
        <w:ind w:firstLine="420" w:firstLineChars="200"/>
        <w:rPr>
          <w:rFonts w:hint="eastAsia" w:ascii="宋体" w:hAnsi="宋体"/>
          <w:sz w:val="24"/>
          <w:highlight w:val="none"/>
        </w:rPr>
      </w:pPr>
      <w:r>
        <w:rPr>
          <w:rFonts w:hint="eastAsia" w:ascii="宋体" w:hAnsi="宋体"/>
          <w:highlight w:val="none"/>
        </w:rPr>
        <w:t>12.5.2暂停施工期间，发包人和承包人均应采取必要的措施确保工程质量及安全，防止因暂停施工扩大损失。</w:t>
      </w:r>
    </w:p>
    <w:p w14:paraId="10A89F86">
      <w:pPr>
        <w:keepNext/>
        <w:keepLines/>
        <w:spacing w:line="400" w:lineRule="exact"/>
        <w:outlineLvl w:val="1"/>
        <w:rPr>
          <w:rFonts w:hint="eastAsia" w:ascii="宋体" w:hAnsi="宋体" w:cs="仿宋_GB2312"/>
          <w:sz w:val="28"/>
          <w:szCs w:val="20"/>
          <w:highlight w:val="none"/>
        </w:rPr>
      </w:pPr>
      <w:bookmarkStart w:id="1137" w:name="_Toc159950696"/>
      <w:bookmarkStart w:id="1138" w:name="_Toc469660029"/>
      <w:bookmarkStart w:id="1139" w:name="_Toc448758534"/>
      <w:bookmarkStart w:id="1140" w:name="_Toc442365626"/>
      <w:bookmarkStart w:id="1141" w:name="_Toc342296346"/>
      <w:bookmarkStart w:id="1142" w:name="_Toc448758434"/>
      <w:bookmarkStart w:id="1143" w:name="_Toc338944788"/>
      <w:r>
        <w:rPr>
          <w:rFonts w:ascii="宋体" w:hAnsi="宋体" w:cs="仿宋_GB2312"/>
          <w:sz w:val="28"/>
          <w:szCs w:val="20"/>
          <w:highlight w:val="none"/>
        </w:rPr>
        <w:t>13. 工程质量</w:t>
      </w:r>
      <w:bookmarkEnd w:id="1137"/>
      <w:bookmarkEnd w:id="1138"/>
      <w:bookmarkEnd w:id="1139"/>
      <w:bookmarkEnd w:id="1140"/>
      <w:bookmarkEnd w:id="1141"/>
      <w:bookmarkEnd w:id="1142"/>
      <w:bookmarkEnd w:id="1143"/>
    </w:p>
    <w:p w14:paraId="09E7A80A">
      <w:pPr>
        <w:keepNext/>
        <w:keepLines/>
        <w:spacing w:line="400" w:lineRule="exact"/>
        <w:outlineLvl w:val="2"/>
        <w:rPr>
          <w:rFonts w:hint="eastAsia" w:ascii="宋体" w:hAnsi="宋体"/>
          <w:sz w:val="24"/>
          <w:szCs w:val="20"/>
          <w:highlight w:val="none"/>
        </w:rPr>
      </w:pPr>
      <w:bookmarkStart w:id="1144" w:name="_Toc152045696"/>
      <w:bookmarkStart w:id="1145" w:name="_Toc342296347"/>
      <w:bookmarkStart w:id="1146" w:name="_Toc144974665"/>
      <w:bookmarkStart w:id="1147" w:name="_Toc159950697"/>
      <w:bookmarkStart w:id="1148" w:name="_Toc338944789"/>
      <w:bookmarkStart w:id="1149" w:name="_Toc152042474"/>
      <w:bookmarkStart w:id="1150" w:name="_Toc179632714"/>
      <w:r>
        <w:rPr>
          <w:rFonts w:ascii="宋体" w:hAnsi="宋体"/>
          <w:sz w:val="24"/>
          <w:szCs w:val="20"/>
          <w:highlight w:val="none"/>
        </w:rPr>
        <w:t>13.1 工程质量要求</w:t>
      </w:r>
      <w:bookmarkEnd w:id="1144"/>
      <w:bookmarkEnd w:id="1145"/>
      <w:bookmarkEnd w:id="1146"/>
      <w:bookmarkEnd w:id="1147"/>
      <w:bookmarkEnd w:id="1148"/>
      <w:bookmarkEnd w:id="1149"/>
      <w:bookmarkEnd w:id="1150"/>
    </w:p>
    <w:p w14:paraId="36495BC6">
      <w:pPr>
        <w:spacing w:line="400" w:lineRule="exact"/>
        <w:ind w:firstLine="420" w:firstLineChars="200"/>
        <w:rPr>
          <w:rFonts w:hint="eastAsia" w:ascii="宋体" w:hAnsi="宋体"/>
          <w:highlight w:val="none"/>
        </w:rPr>
      </w:pPr>
      <w:r>
        <w:rPr>
          <w:rFonts w:ascii="宋体" w:hAnsi="宋体"/>
          <w:highlight w:val="none"/>
        </w:rPr>
        <w:t>13.1.1 工程质量验收按合同约定验收标准执行。</w:t>
      </w:r>
    </w:p>
    <w:p w14:paraId="605D08C3">
      <w:pPr>
        <w:spacing w:line="400" w:lineRule="exact"/>
        <w:ind w:firstLine="420" w:firstLineChars="200"/>
        <w:rPr>
          <w:rFonts w:hint="eastAsia" w:ascii="宋体" w:hAnsi="宋体"/>
          <w:highlight w:val="none"/>
        </w:rPr>
      </w:pPr>
      <w:r>
        <w:rPr>
          <w:rFonts w:ascii="宋体" w:hAnsi="宋体"/>
          <w:highlight w:val="none"/>
        </w:rPr>
        <w:t>13.1.2 因承包人原因造成工程质量达不到合同约定验收标准的，监理人有权要求承包人返工直至符合合同要求为止，由此造成的费用增加和（或）工期延误由承包人承担。</w:t>
      </w:r>
    </w:p>
    <w:p w14:paraId="1AA13C69">
      <w:pPr>
        <w:spacing w:line="400" w:lineRule="exact"/>
        <w:ind w:firstLine="420" w:firstLineChars="200"/>
        <w:rPr>
          <w:rFonts w:hint="eastAsia" w:ascii="宋体" w:hAnsi="宋体"/>
          <w:highlight w:val="none"/>
        </w:rPr>
      </w:pPr>
      <w:r>
        <w:rPr>
          <w:rFonts w:ascii="宋体" w:hAnsi="宋体"/>
          <w:highlight w:val="none"/>
        </w:rPr>
        <w:t>13.1.3 因发包人原因造成工程质量达不到合同约定验收标准的，发包人应承担由于承包人返工造成的费用增加和（或）工期延误，并支付承包人合理利润。</w:t>
      </w:r>
    </w:p>
    <w:p w14:paraId="01991D6C">
      <w:pPr>
        <w:keepNext/>
        <w:keepLines/>
        <w:spacing w:line="400" w:lineRule="exact"/>
        <w:outlineLvl w:val="2"/>
        <w:rPr>
          <w:rFonts w:hint="eastAsia" w:ascii="宋体" w:hAnsi="宋体"/>
          <w:sz w:val="24"/>
          <w:szCs w:val="20"/>
          <w:highlight w:val="none"/>
        </w:rPr>
      </w:pPr>
      <w:bookmarkStart w:id="1151" w:name="_Toc342296348"/>
      <w:bookmarkStart w:id="1152" w:name="_Toc338944790"/>
      <w:bookmarkStart w:id="1153" w:name="_Toc159950698"/>
      <w:r>
        <w:rPr>
          <w:rFonts w:ascii="宋体" w:hAnsi="宋体"/>
          <w:sz w:val="24"/>
          <w:szCs w:val="20"/>
          <w:highlight w:val="none"/>
        </w:rPr>
        <w:t>13.2 承包人的质量管理</w:t>
      </w:r>
      <w:bookmarkEnd w:id="1151"/>
      <w:bookmarkEnd w:id="1152"/>
      <w:bookmarkEnd w:id="1153"/>
    </w:p>
    <w:p w14:paraId="2970253F">
      <w:pPr>
        <w:spacing w:line="400" w:lineRule="exact"/>
        <w:ind w:firstLine="420" w:firstLineChars="200"/>
        <w:rPr>
          <w:rFonts w:hint="eastAsia" w:ascii="宋体" w:hAnsi="宋体"/>
          <w:highlight w:val="none"/>
        </w:rPr>
      </w:pPr>
      <w:r>
        <w:rPr>
          <w:rFonts w:ascii="宋体" w:hAnsi="宋体"/>
          <w:highlight w:val="none"/>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4CCD53FD">
      <w:pPr>
        <w:spacing w:line="400" w:lineRule="exact"/>
        <w:ind w:firstLine="420" w:firstLineChars="200"/>
        <w:rPr>
          <w:rFonts w:hint="eastAsia" w:ascii="宋体" w:hAnsi="宋体"/>
          <w:highlight w:val="none"/>
        </w:rPr>
      </w:pPr>
      <w:r>
        <w:rPr>
          <w:rFonts w:ascii="宋体" w:hAnsi="宋体"/>
          <w:highlight w:val="none"/>
        </w:rPr>
        <w:t>13.2.2 承包人应加强对施工人员的质量教育和技术培训，定期考核施工人员的劳动技能，严格执行规范和操作规程。</w:t>
      </w:r>
    </w:p>
    <w:p w14:paraId="77787F2E">
      <w:pPr>
        <w:keepNext/>
        <w:keepLines/>
        <w:spacing w:line="400" w:lineRule="exact"/>
        <w:outlineLvl w:val="2"/>
        <w:rPr>
          <w:rFonts w:hint="eastAsia" w:ascii="宋体" w:hAnsi="宋体"/>
          <w:sz w:val="24"/>
          <w:szCs w:val="20"/>
          <w:highlight w:val="none"/>
        </w:rPr>
      </w:pPr>
      <w:bookmarkStart w:id="1154" w:name="_Toc342296349"/>
      <w:bookmarkStart w:id="1155" w:name="_Toc338944791"/>
      <w:bookmarkStart w:id="1156" w:name="_Toc159950699"/>
      <w:r>
        <w:rPr>
          <w:rFonts w:ascii="宋体" w:hAnsi="宋体"/>
          <w:sz w:val="24"/>
          <w:szCs w:val="20"/>
          <w:highlight w:val="none"/>
        </w:rPr>
        <w:t>13.3 承包人的质量检查</w:t>
      </w:r>
      <w:bookmarkEnd w:id="1154"/>
      <w:bookmarkEnd w:id="1155"/>
      <w:bookmarkEnd w:id="1156"/>
    </w:p>
    <w:p w14:paraId="7F72DA0C">
      <w:pPr>
        <w:spacing w:line="400" w:lineRule="exact"/>
        <w:ind w:firstLine="420" w:firstLineChars="200"/>
        <w:rPr>
          <w:rFonts w:hint="eastAsia" w:ascii="宋体" w:hAnsi="宋体"/>
          <w:highlight w:val="none"/>
        </w:rPr>
      </w:pPr>
      <w:r>
        <w:rPr>
          <w:rFonts w:ascii="宋体" w:hAnsi="宋体"/>
          <w:highlight w:val="none"/>
        </w:rPr>
        <w:t>承包人应按合同约定对材料、工程设备以及工程的所有部位及其施工工艺进行全过程的质量检查和检验，并作详细记录，编制工程质量报表，报送监理人审查。</w:t>
      </w:r>
    </w:p>
    <w:p w14:paraId="4DA2C1AC">
      <w:pPr>
        <w:keepNext/>
        <w:keepLines/>
        <w:spacing w:line="400" w:lineRule="exact"/>
        <w:outlineLvl w:val="2"/>
        <w:rPr>
          <w:rFonts w:hint="eastAsia" w:ascii="宋体" w:hAnsi="宋体"/>
          <w:sz w:val="24"/>
          <w:szCs w:val="20"/>
          <w:highlight w:val="none"/>
        </w:rPr>
      </w:pPr>
      <w:bookmarkStart w:id="1157" w:name="_Toc342296350"/>
      <w:bookmarkStart w:id="1158" w:name="_Toc159950700"/>
      <w:bookmarkStart w:id="1159" w:name="_Toc338944792"/>
      <w:r>
        <w:rPr>
          <w:rFonts w:ascii="宋体" w:hAnsi="宋体"/>
          <w:sz w:val="24"/>
          <w:szCs w:val="20"/>
          <w:highlight w:val="none"/>
        </w:rPr>
        <w:t>13.4 监理人的质量检查</w:t>
      </w:r>
      <w:bookmarkEnd w:id="1157"/>
      <w:bookmarkEnd w:id="1158"/>
      <w:bookmarkEnd w:id="1159"/>
    </w:p>
    <w:p w14:paraId="4C8141B4">
      <w:pPr>
        <w:spacing w:line="400" w:lineRule="exact"/>
        <w:ind w:firstLine="420" w:firstLineChars="200"/>
        <w:rPr>
          <w:rFonts w:hint="eastAsia" w:ascii="宋体" w:hAnsi="宋体"/>
          <w:highlight w:val="none"/>
        </w:rPr>
      </w:pPr>
      <w:r>
        <w:rPr>
          <w:rFonts w:ascii="宋体" w:hAnsi="宋体"/>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679B23D2">
      <w:pPr>
        <w:keepNext/>
        <w:keepLines/>
        <w:spacing w:line="400" w:lineRule="exact"/>
        <w:outlineLvl w:val="2"/>
        <w:rPr>
          <w:rFonts w:hint="eastAsia" w:ascii="宋体" w:hAnsi="宋体"/>
          <w:sz w:val="24"/>
          <w:szCs w:val="20"/>
          <w:highlight w:val="none"/>
        </w:rPr>
      </w:pPr>
      <w:bookmarkStart w:id="1160" w:name="_Toc338944793"/>
      <w:bookmarkStart w:id="1161" w:name="_Toc342296351"/>
      <w:bookmarkStart w:id="1162" w:name="_Toc159950701"/>
      <w:r>
        <w:rPr>
          <w:rFonts w:ascii="宋体" w:hAnsi="宋体"/>
          <w:sz w:val="24"/>
          <w:szCs w:val="20"/>
          <w:highlight w:val="none"/>
        </w:rPr>
        <w:t>13.5 工程隐蔽部位覆盖前的检查</w:t>
      </w:r>
      <w:bookmarkEnd w:id="1160"/>
      <w:bookmarkEnd w:id="1161"/>
      <w:bookmarkEnd w:id="1162"/>
    </w:p>
    <w:p w14:paraId="17DC4CE4">
      <w:pPr>
        <w:spacing w:line="400" w:lineRule="exact"/>
        <w:ind w:firstLine="420" w:firstLineChars="200"/>
        <w:rPr>
          <w:rFonts w:hint="eastAsia" w:ascii="宋体" w:hAnsi="宋体"/>
          <w:highlight w:val="none"/>
        </w:rPr>
      </w:pPr>
      <w:r>
        <w:rPr>
          <w:rFonts w:ascii="宋体" w:hAnsi="宋体"/>
          <w:highlight w:val="none"/>
        </w:rPr>
        <w:t xml:space="preserve">13.5.1 </w:t>
      </w:r>
      <w:r>
        <w:rPr>
          <w:rFonts w:hint="eastAsia" w:ascii="宋体" w:hAnsi="宋体" w:cs="宋体"/>
          <w:highlight w:val="none"/>
        </w:rPr>
        <w:t>通知监理人检查</w:t>
      </w:r>
    </w:p>
    <w:p w14:paraId="2F0A6CC2">
      <w:pPr>
        <w:spacing w:line="400" w:lineRule="exact"/>
        <w:ind w:firstLine="420" w:firstLineChars="200"/>
        <w:rPr>
          <w:rFonts w:hint="eastAsia" w:ascii="宋体" w:hAnsi="宋体"/>
          <w:highlight w:val="none"/>
        </w:rPr>
      </w:pPr>
      <w:r>
        <w:rPr>
          <w:rFonts w:ascii="宋体" w:hAnsi="宋体"/>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1358E256">
      <w:pPr>
        <w:spacing w:line="400" w:lineRule="exact"/>
        <w:ind w:firstLine="420" w:firstLineChars="200"/>
        <w:rPr>
          <w:rFonts w:hint="eastAsia" w:ascii="宋体" w:hAnsi="宋体"/>
          <w:highlight w:val="none"/>
        </w:rPr>
      </w:pPr>
      <w:r>
        <w:rPr>
          <w:rFonts w:ascii="宋体" w:hAnsi="宋体"/>
          <w:highlight w:val="none"/>
        </w:rPr>
        <w:t xml:space="preserve">13.5.2 </w:t>
      </w:r>
      <w:r>
        <w:rPr>
          <w:rFonts w:hint="eastAsia" w:ascii="宋体" w:hAnsi="宋体" w:cs="宋体"/>
          <w:highlight w:val="none"/>
        </w:rPr>
        <w:t>监理人未到场检查</w:t>
      </w:r>
    </w:p>
    <w:p w14:paraId="7A03C61C">
      <w:pPr>
        <w:spacing w:line="400" w:lineRule="exact"/>
        <w:ind w:firstLine="420" w:firstLineChars="200"/>
        <w:rPr>
          <w:rFonts w:hint="eastAsia" w:ascii="宋体" w:hAnsi="宋体"/>
          <w:highlight w:val="none"/>
        </w:rPr>
      </w:pPr>
      <w:r>
        <w:rPr>
          <w:rFonts w:ascii="宋体" w:hAnsi="宋体"/>
          <w:highlight w:val="none"/>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414F4AB1">
      <w:pPr>
        <w:spacing w:line="400" w:lineRule="exact"/>
        <w:ind w:firstLine="420" w:firstLineChars="200"/>
        <w:rPr>
          <w:rFonts w:hint="eastAsia" w:ascii="宋体" w:hAnsi="宋体"/>
          <w:highlight w:val="none"/>
        </w:rPr>
      </w:pPr>
      <w:r>
        <w:rPr>
          <w:rFonts w:ascii="宋体" w:hAnsi="宋体"/>
          <w:highlight w:val="none"/>
        </w:rPr>
        <w:t xml:space="preserve">13.5.3 </w:t>
      </w:r>
      <w:r>
        <w:rPr>
          <w:rFonts w:hint="eastAsia" w:ascii="宋体" w:hAnsi="宋体" w:cs="宋体"/>
          <w:highlight w:val="none"/>
        </w:rPr>
        <w:t>监理人重新检查</w:t>
      </w:r>
    </w:p>
    <w:p w14:paraId="7DD1E6CC">
      <w:pPr>
        <w:spacing w:line="400" w:lineRule="exact"/>
        <w:ind w:firstLine="420" w:firstLineChars="200"/>
        <w:rPr>
          <w:rFonts w:hint="eastAsia" w:ascii="宋体" w:hAnsi="宋体"/>
          <w:highlight w:val="none"/>
        </w:rPr>
      </w:pPr>
      <w:r>
        <w:rPr>
          <w:rFonts w:ascii="宋体" w:hAnsi="宋体"/>
          <w:highlight w:val="none"/>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B34734B">
      <w:pPr>
        <w:spacing w:line="400" w:lineRule="exact"/>
        <w:ind w:firstLine="420" w:firstLineChars="200"/>
        <w:rPr>
          <w:rFonts w:hint="eastAsia" w:ascii="宋体" w:hAnsi="宋体"/>
          <w:highlight w:val="none"/>
        </w:rPr>
      </w:pPr>
      <w:r>
        <w:rPr>
          <w:rFonts w:ascii="宋体" w:hAnsi="宋体"/>
          <w:highlight w:val="none"/>
        </w:rPr>
        <w:t xml:space="preserve">13.5.4 </w:t>
      </w:r>
      <w:r>
        <w:rPr>
          <w:rFonts w:hint="eastAsia" w:ascii="宋体" w:hAnsi="宋体" w:cs="宋体"/>
          <w:highlight w:val="none"/>
        </w:rPr>
        <w:t>承包人私自覆盖</w:t>
      </w:r>
    </w:p>
    <w:p w14:paraId="50027982">
      <w:pPr>
        <w:spacing w:line="400" w:lineRule="exact"/>
        <w:ind w:firstLine="420" w:firstLineChars="200"/>
        <w:rPr>
          <w:rFonts w:hint="eastAsia" w:ascii="宋体" w:hAnsi="宋体"/>
          <w:highlight w:val="none"/>
        </w:rPr>
      </w:pPr>
      <w:r>
        <w:rPr>
          <w:rFonts w:ascii="宋体" w:hAnsi="宋体"/>
          <w:highlight w:val="none"/>
        </w:rPr>
        <w:t>承包人未通知监理人到场检查，私自将工程隐蔽部位覆盖的，监理人有权指示承包人钻孔探测或揭开检查，由此增加的费用和（或）工期延误由承包人承担。</w:t>
      </w:r>
    </w:p>
    <w:p w14:paraId="72ED7EC4">
      <w:pPr>
        <w:keepNext/>
        <w:keepLines/>
        <w:spacing w:line="400" w:lineRule="exact"/>
        <w:outlineLvl w:val="2"/>
        <w:rPr>
          <w:rFonts w:hint="eastAsia" w:ascii="宋体" w:hAnsi="宋体"/>
          <w:sz w:val="24"/>
          <w:szCs w:val="20"/>
          <w:highlight w:val="none"/>
        </w:rPr>
      </w:pPr>
      <w:bookmarkStart w:id="1163" w:name="_Toc338944794"/>
      <w:bookmarkStart w:id="1164" w:name="_Toc179632719"/>
      <w:bookmarkStart w:id="1165" w:name="_Toc144974670"/>
      <w:bookmarkStart w:id="1166" w:name="_Toc152045701"/>
      <w:bookmarkStart w:id="1167" w:name="_Toc152042479"/>
      <w:bookmarkStart w:id="1168" w:name="_Toc342296352"/>
      <w:bookmarkStart w:id="1169" w:name="_Toc159950702"/>
      <w:r>
        <w:rPr>
          <w:rFonts w:ascii="宋体" w:hAnsi="宋体"/>
          <w:sz w:val="24"/>
          <w:szCs w:val="20"/>
          <w:highlight w:val="none"/>
        </w:rPr>
        <w:t>13.6 清除不合格工程</w:t>
      </w:r>
      <w:bookmarkEnd w:id="1163"/>
      <w:bookmarkEnd w:id="1164"/>
      <w:bookmarkEnd w:id="1165"/>
      <w:bookmarkEnd w:id="1166"/>
      <w:bookmarkEnd w:id="1167"/>
      <w:bookmarkEnd w:id="1168"/>
      <w:bookmarkEnd w:id="1169"/>
    </w:p>
    <w:p w14:paraId="66B6C860">
      <w:pPr>
        <w:spacing w:line="400" w:lineRule="exact"/>
        <w:ind w:firstLine="420" w:firstLineChars="200"/>
        <w:rPr>
          <w:rFonts w:hint="eastAsia" w:ascii="宋体" w:hAnsi="宋体"/>
          <w:highlight w:val="none"/>
        </w:rPr>
      </w:pPr>
      <w:r>
        <w:rPr>
          <w:rFonts w:ascii="宋体" w:hAnsi="宋体"/>
          <w:highlight w:val="none"/>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0BA2DC49">
      <w:pPr>
        <w:spacing w:line="400" w:lineRule="exact"/>
        <w:ind w:firstLine="420" w:firstLineChars="200"/>
        <w:rPr>
          <w:rFonts w:hint="eastAsia" w:ascii="宋体" w:hAnsi="宋体"/>
          <w:highlight w:val="none"/>
        </w:rPr>
      </w:pPr>
      <w:r>
        <w:rPr>
          <w:rFonts w:ascii="宋体" w:hAnsi="宋体"/>
          <w:highlight w:val="none"/>
        </w:rPr>
        <w:t>13.6.2 由于发包人提供的材料或工程设备不合格造成的工程不合格，需要承包人采取措施补救的，发包人应承担由此增加的费用和（或）工期延误，并支付承包人合理利润。</w:t>
      </w:r>
    </w:p>
    <w:p w14:paraId="503C4C24">
      <w:pPr>
        <w:keepNext/>
        <w:keepLines/>
        <w:spacing w:line="400" w:lineRule="exact"/>
        <w:outlineLvl w:val="1"/>
        <w:rPr>
          <w:rFonts w:hint="eastAsia" w:ascii="宋体" w:hAnsi="宋体" w:cs="仿宋_GB2312"/>
          <w:sz w:val="28"/>
          <w:szCs w:val="20"/>
          <w:highlight w:val="none"/>
        </w:rPr>
      </w:pPr>
      <w:bookmarkStart w:id="1170" w:name="_Toc342296353"/>
      <w:bookmarkStart w:id="1171" w:name="_Toc442365627"/>
      <w:bookmarkStart w:id="1172" w:name="_Toc469660030"/>
      <w:bookmarkStart w:id="1173" w:name="_Toc338944795"/>
      <w:bookmarkStart w:id="1174" w:name="_Toc152045702"/>
      <w:bookmarkStart w:id="1175" w:name="_Toc152042480"/>
      <w:bookmarkStart w:id="1176" w:name="_Toc144974671"/>
      <w:bookmarkStart w:id="1177" w:name="_Toc448758535"/>
      <w:bookmarkStart w:id="1178" w:name="_Toc448758435"/>
      <w:bookmarkStart w:id="1179" w:name="_Toc159950703"/>
      <w:bookmarkStart w:id="1180" w:name="_Toc179632720"/>
      <w:r>
        <w:rPr>
          <w:rFonts w:ascii="宋体" w:hAnsi="宋体" w:cs="仿宋_GB2312"/>
          <w:sz w:val="28"/>
          <w:szCs w:val="20"/>
          <w:highlight w:val="none"/>
        </w:rPr>
        <w:t>14. 试验和检验</w:t>
      </w:r>
      <w:bookmarkEnd w:id="1170"/>
      <w:bookmarkEnd w:id="1171"/>
      <w:bookmarkEnd w:id="1172"/>
      <w:bookmarkEnd w:id="1173"/>
      <w:bookmarkEnd w:id="1174"/>
      <w:bookmarkEnd w:id="1175"/>
      <w:bookmarkEnd w:id="1176"/>
      <w:bookmarkEnd w:id="1177"/>
      <w:bookmarkEnd w:id="1178"/>
      <w:bookmarkEnd w:id="1179"/>
      <w:bookmarkEnd w:id="1180"/>
    </w:p>
    <w:p w14:paraId="6A620D4F">
      <w:pPr>
        <w:keepNext/>
        <w:keepLines/>
        <w:spacing w:line="400" w:lineRule="exact"/>
        <w:outlineLvl w:val="2"/>
        <w:rPr>
          <w:rFonts w:hint="eastAsia" w:ascii="宋体" w:hAnsi="宋体"/>
          <w:sz w:val="24"/>
          <w:szCs w:val="20"/>
          <w:highlight w:val="none"/>
        </w:rPr>
      </w:pPr>
      <w:bookmarkStart w:id="1181" w:name="_Toc152045703"/>
      <w:bookmarkStart w:id="1182" w:name="_Toc338944796"/>
      <w:bookmarkStart w:id="1183" w:name="_Toc159950704"/>
      <w:bookmarkStart w:id="1184" w:name="_Toc342296354"/>
      <w:bookmarkStart w:id="1185" w:name="_Toc179632721"/>
      <w:bookmarkStart w:id="1186" w:name="_Toc144974672"/>
      <w:bookmarkStart w:id="1187" w:name="_Toc152042481"/>
      <w:r>
        <w:rPr>
          <w:rFonts w:ascii="宋体" w:hAnsi="宋体"/>
          <w:sz w:val="24"/>
          <w:szCs w:val="20"/>
          <w:highlight w:val="none"/>
        </w:rPr>
        <w:t>14.1 材料、工程设备和工程的试验和检验</w:t>
      </w:r>
      <w:bookmarkEnd w:id="1181"/>
      <w:bookmarkEnd w:id="1182"/>
      <w:bookmarkEnd w:id="1183"/>
      <w:bookmarkEnd w:id="1184"/>
      <w:bookmarkEnd w:id="1185"/>
      <w:bookmarkEnd w:id="1186"/>
      <w:bookmarkEnd w:id="1187"/>
    </w:p>
    <w:p w14:paraId="566E3402">
      <w:pPr>
        <w:spacing w:line="400" w:lineRule="exact"/>
        <w:ind w:firstLine="420" w:firstLineChars="200"/>
        <w:rPr>
          <w:rFonts w:hint="eastAsia" w:ascii="宋体" w:hAnsi="宋体"/>
          <w:highlight w:val="none"/>
        </w:rPr>
      </w:pPr>
      <w:r>
        <w:rPr>
          <w:rFonts w:ascii="宋体" w:hAnsi="宋体"/>
          <w:highlight w:val="none"/>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ECE19DD">
      <w:pPr>
        <w:spacing w:line="400" w:lineRule="exact"/>
        <w:ind w:firstLine="420" w:firstLineChars="200"/>
        <w:rPr>
          <w:rFonts w:hint="eastAsia" w:ascii="宋体" w:hAnsi="宋体"/>
          <w:highlight w:val="none"/>
        </w:rPr>
      </w:pPr>
      <w:r>
        <w:rPr>
          <w:rFonts w:ascii="宋体" w:hAnsi="宋体"/>
          <w:highlight w:val="none"/>
        </w:rPr>
        <w:t>14.1.2 监理人未按合同约定派员参加试验和检验的，除监理人另有指示外，承包人可自行试验和检验，并应立即将试验和检验结果报送监理人，监理人应签字确认。</w:t>
      </w:r>
    </w:p>
    <w:p w14:paraId="3C2D9CB8">
      <w:pPr>
        <w:spacing w:line="400" w:lineRule="exact"/>
        <w:ind w:firstLine="420" w:firstLineChars="200"/>
        <w:rPr>
          <w:rFonts w:hint="eastAsia" w:ascii="宋体" w:hAnsi="宋体"/>
          <w:highlight w:val="none"/>
        </w:rPr>
      </w:pPr>
      <w:r>
        <w:rPr>
          <w:rFonts w:ascii="宋体" w:hAnsi="宋体"/>
          <w:highlight w:val="none"/>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253284A7">
      <w:pPr>
        <w:keepNext/>
        <w:keepLines/>
        <w:spacing w:line="400" w:lineRule="exact"/>
        <w:outlineLvl w:val="2"/>
        <w:rPr>
          <w:rFonts w:hint="eastAsia" w:ascii="宋体" w:hAnsi="宋体"/>
          <w:sz w:val="24"/>
          <w:szCs w:val="20"/>
          <w:highlight w:val="none"/>
        </w:rPr>
      </w:pPr>
      <w:bookmarkStart w:id="1188" w:name="_Toc159950705"/>
      <w:bookmarkStart w:id="1189" w:name="_Toc152042482"/>
      <w:bookmarkStart w:id="1190" w:name="_Toc342296355"/>
      <w:bookmarkStart w:id="1191" w:name="_Toc152045704"/>
      <w:bookmarkStart w:id="1192" w:name="_Toc338944797"/>
      <w:bookmarkStart w:id="1193" w:name="_Toc179632722"/>
      <w:bookmarkStart w:id="1194" w:name="_Toc144974673"/>
      <w:r>
        <w:rPr>
          <w:rFonts w:ascii="宋体" w:hAnsi="宋体"/>
          <w:sz w:val="24"/>
          <w:szCs w:val="20"/>
          <w:highlight w:val="none"/>
        </w:rPr>
        <w:t>14.2 现场材料试验</w:t>
      </w:r>
      <w:bookmarkEnd w:id="1188"/>
      <w:bookmarkEnd w:id="1189"/>
      <w:bookmarkEnd w:id="1190"/>
      <w:bookmarkEnd w:id="1191"/>
      <w:bookmarkEnd w:id="1192"/>
      <w:bookmarkEnd w:id="1193"/>
      <w:bookmarkEnd w:id="1194"/>
    </w:p>
    <w:p w14:paraId="2DB4C383">
      <w:pPr>
        <w:spacing w:line="400" w:lineRule="exact"/>
        <w:ind w:firstLine="420" w:firstLineChars="200"/>
        <w:rPr>
          <w:rFonts w:hint="eastAsia" w:ascii="宋体" w:hAnsi="宋体"/>
          <w:highlight w:val="none"/>
        </w:rPr>
      </w:pPr>
      <w:r>
        <w:rPr>
          <w:rFonts w:ascii="宋体" w:hAnsi="宋体"/>
          <w:highlight w:val="none"/>
        </w:rPr>
        <w:t>14.2.1 承包人根据合同约定或监理人指示进行的现场材料试验，应由承包人提供试验场所、试验人员、试验设备器材以及其他必要的试验条件。</w:t>
      </w:r>
    </w:p>
    <w:p w14:paraId="0D019BB8">
      <w:pPr>
        <w:spacing w:line="400" w:lineRule="exact"/>
        <w:ind w:firstLine="420" w:firstLineChars="200"/>
        <w:rPr>
          <w:rFonts w:hint="eastAsia" w:ascii="宋体" w:hAnsi="宋体"/>
          <w:highlight w:val="none"/>
        </w:rPr>
      </w:pPr>
      <w:r>
        <w:rPr>
          <w:rFonts w:ascii="宋体" w:hAnsi="宋体"/>
          <w:highlight w:val="none"/>
        </w:rPr>
        <w:t>14.2.2 监理人在必要时可以使用承包人的试验场所、试验设备器材以及其他试验条件，进行以工程质量检查为目的的复核性材料试验，承包人应予以协助。</w:t>
      </w:r>
    </w:p>
    <w:p w14:paraId="111D01CD">
      <w:pPr>
        <w:keepNext/>
        <w:keepLines/>
        <w:spacing w:line="400" w:lineRule="exact"/>
        <w:outlineLvl w:val="2"/>
        <w:rPr>
          <w:rFonts w:hint="eastAsia" w:ascii="宋体" w:hAnsi="宋体"/>
          <w:sz w:val="24"/>
          <w:szCs w:val="20"/>
          <w:highlight w:val="none"/>
        </w:rPr>
      </w:pPr>
      <w:bookmarkStart w:id="1195" w:name="_Toc342296356"/>
      <w:bookmarkStart w:id="1196" w:name="_Toc152042483"/>
      <w:bookmarkStart w:id="1197" w:name="_Toc338944798"/>
      <w:bookmarkStart w:id="1198" w:name="_Toc179632723"/>
      <w:bookmarkStart w:id="1199" w:name="_Toc159950706"/>
      <w:bookmarkStart w:id="1200" w:name="_Toc144974674"/>
      <w:bookmarkStart w:id="1201" w:name="_Toc152045705"/>
      <w:r>
        <w:rPr>
          <w:rFonts w:ascii="宋体" w:hAnsi="宋体"/>
          <w:sz w:val="24"/>
          <w:szCs w:val="20"/>
          <w:highlight w:val="none"/>
        </w:rPr>
        <w:t>14.3 现场工艺试验</w:t>
      </w:r>
      <w:bookmarkEnd w:id="1195"/>
      <w:bookmarkEnd w:id="1196"/>
      <w:bookmarkEnd w:id="1197"/>
      <w:bookmarkEnd w:id="1198"/>
      <w:bookmarkEnd w:id="1199"/>
      <w:bookmarkEnd w:id="1200"/>
      <w:bookmarkEnd w:id="1201"/>
    </w:p>
    <w:p w14:paraId="1B9DE5D9">
      <w:pPr>
        <w:spacing w:line="400" w:lineRule="exact"/>
        <w:ind w:firstLine="420" w:firstLineChars="200"/>
        <w:rPr>
          <w:rFonts w:hint="eastAsia" w:ascii="宋体" w:hAnsi="宋体"/>
          <w:highlight w:val="none"/>
        </w:rPr>
      </w:pPr>
      <w:r>
        <w:rPr>
          <w:rFonts w:ascii="宋体" w:hAnsi="宋体"/>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3588373D">
      <w:pPr>
        <w:keepNext/>
        <w:keepLines/>
        <w:spacing w:line="400" w:lineRule="exact"/>
        <w:outlineLvl w:val="1"/>
        <w:rPr>
          <w:rFonts w:hint="eastAsia" w:ascii="宋体" w:hAnsi="宋体" w:cs="仿宋_GB2312"/>
          <w:sz w:val="28"/>
          <w:szCs w:val="20"/>
          <w:highlight w:val="none"/>
        </w:rPr>
      </w:pPr>
      <w:bookmarkStart w:id="1202" w:name="_Toc469660031"/>
      <w:bookmarkStart w:id="1203" w:name="_Toc448758536"/>
      <w:bookmarkStart w:id="1204" w:name="_Toc159950707"/>
      <w:bookmarkStart w:id="1205" w:name="_Toc442365628"/>
      <w:bookmarkStart w:id="1206" w:name="_Toc342296357"/>
      <w:bookmarkStart w:id="1207" w:name="_Toc448758436"/>
      <w:bookmarkStart w:id="1208" w:name="_Toc338944799"/>
      <w:r>
        <w:rPr>
          <w:rFonts w:ascii="宋体" w:hAnsi="宋体" w:cs="仿宋_GB2312"/>
          <w:sz w:val="28"/>
          <w:szCs w:val="20"/>
          <w:highlight w:val="none"/>
        </w:rPr>
        <w:t>15. 变更</w:t>
      </w:r>
      <w:bookmarkEnd w:id="1202"/>
      <w:bookmarkEnd w:id="1203"/>
      <w:bookmarkEnd w:id="1204"/>
      <w:bookmarkEnd w:id="1205"/>
      <w:bookmarkEnd w:id="1206"/>
      <w:bookmarkEnd w:id="1207"/>
      <w:bookmarkEnd w:id="1208"/>
    </w:p>
    <w:p w14:paraId="0C37C9A1">
      <w:pPr>
        <w:keepNext/>
        <w:keepLines/>
        <w:spacing w:line="400" w:lineRule="exact"/>
        <w:outlineLvl w:val="2"/>
        <w:rPr>
          <w:rFonts w:hint="eastAsia" w:ascii="宋体" w:hAnsi="宋体"/>
          <w:sz w:val="24"/>
          <w:szCs w:val="20"/>
          <w:highlight w:val="none"/>
        </w:rPr>
      </w:pPr>
      <w:bookmarkStart w:id="1209" w:name="_Toc338944800"/>
      <w:bookmarkStart w:id="1210" w:name="_Toc159950708"/>
      <w:bookmarkStart w:id="1211" w:name="_Toc342296358"/>
      <w:r>
        <w:rPr>
          <w:rFonts w:ascii="宋体" w:hAnsi="宋体"/>
          <w:sz w:val="24"/>
          <w:szCs w:val="20"/>
          <w:highlight w:val="none"/>
        </w:rPr>
        <w:t>15.1 变更的范围和内容</w:t>
      </w:r>
      <w:bookmarkEnd w:id="1209"/>
      <w:bookmarkEnd w:id="1210"/>
      <w:bookmarkEnd w:id="1211"/>
    </w:p>
    <w:p w14:paraId="1CEDD86C">
      <w:pPr>
        <w:spacing w:line="400" w:lineRule="exact"/>
        <w:ind w:firstLine="420" w:firstLineChars="200"/>
        <w:rPr>
          <w:rFonts w:hint="eastAsia" w:ascii="宋体" w:hAnsi="宋体"/>
          <w:highlight w:val="none"/>
        </w:rPr>
      </w:pPr>
      <w:r>
        <w:rPr>
          <w:rFonts w:ascii="宋体" w:hAnsi="宋体"/>
          <w:highlight w:val="none"/>
        </w:rPr>
        <w:t>除专用合同条款另有约定外，在履行合同中发生以下情形之一，应按照本条规定进行变更。</w:t>
      </w:r>
    </w:p>
    <w:p w14:paraId="20E7FB5E">
      <w:pPr>
        <w:spacing w:line="400" w:lineRule="exact"/>
        <w:ind w:firstLine="359" w:firstLineChars="171"/>
        <w:rPr>
          <w:rFonts w:hint="eastAsia" w:ascii="宋体" w:hAnsi="宋体"/>
          <w:highlight w:val="none"/>
        </w:rPr>
      </w:pPr>
      <w:r>
        <w:rPr>
          <w:rFonts w:ascii="宋体" w:hAnsi="宋体"/>
          <w:highlight w:val="none"/>
        </w:rPr>
        <w:t>（1）取消合同中任何一项工作，但被取消的工作不能转由发包人或其他人实施；</w:t>
      </w:r>
    </w:p>
    <w:p w14:paraId="75408B02">
      <w:pPr>
        <w:spacing w:line="400" w:lineRule="exact"/>
        <w:ind w:firstLine="359" w:firstLineChars="171"/>
        <w:rPr>
          <w:rFonts w:hint="eastAsia" w:ascii="宋体" w:hAnsi="宋体"/>
          <w:highlight w:val="none"/>
        </w:rPr>
      </w:pPr>
      <w:r>
        <w:rPr>
          <w:rFonts w:ascii="宋体" w:hAnsi="宋体"/>
          <w:highlight w:val="none"/>
        </w:rPr>
        <w:t>（2）改变合同中任何一项工作的质量或其他特性；</w:t>
      </w:r>
    </w:p>
    <w:p w14:paraId="37A14343">
      <w:pPr>
        <w:spacing w:line="400" w:lineRule="exact"/>
        <w:ind w:firstLine="359" w:firstLineChars="171"/>
        <w:rPr>
          <w:rFonts w:hint="eastAsia" w:ascii="宋体" w:hAnsi="宋体"/>
          <w:highlight w:val="none"/>
        </w:rPr>
      </w:pPr>
      <w:r>
        <w:rPr>
          <w:rFonts w:ascii="宋体" w:hAnsi="宋体"/>
          <w:highlight w:val="none"/>
        </w:rPr>
        <w:t>（3）改变合同工程的基线、标高、位置或尺寸；</w:t>
      </w:r>
    </w:p>
    <w:p w14:paraId="6EDC868F">
      <w:pPr>
        <w:spacing w:line="400" w:lineRule="exact"/>
        <w:ind w:firstLine="359" w:firstLineChars="171"/>
        <w:rPr>
          <w:rFonts w:hint="eastAsia" w:ascii="宋体" w:hAnsi="宋体"/>
          <w:highlight w:val="none"/>
        </w:rPr>
      </w:pPr>
      <w:r>
        <w:rPr>
          <w:rFonts w:ascii="宋体" w:hAnsi="宋体"/>
          <w:highlight w:val="none"/>
        </w:rPr>
        <w:t>（4）改变合同中任何一项工作的施工时间或改变已批准的施工工艺或顺序；</w:t>
      </w:r>
    </w:p>
    <w:p w14:paraId="69C12369">
      <w:pPr>
        <w:spacing w:line="400" w:lineRule="exact"/>
        <w:ind w:firstLine="359" w:firstLineChars="171"/>
        <w:rPr>
          <w:rFonts w:hint="eastAsia" w:ascii="宋体" w:hAnsi="宋体"/>
          <w:highlight w:val="none"/>
        </w:rPr>
      </w:pPr>
      <w:r>
        <w:rPr>
          <w:rFonts w:ascii="宋体" w:hAnsi="宋体"/>
          <w:highlight w:val="none"/>
        </w:rPr>
        <w:t>（5）为完成工程需要追加的额外工作。</w:t>
      </w:r>
    </w:p>
    <w:p w14:paraId="045656A7">
      <w:pPr>
        <w:keepNext/>
        <w:keepLines/>
        <w:spacing w:line="400" w:lineRule="exact"/>
        <w:outlineLvl w:val="2"/>
        <w:rPr>
          <w:rFonts w:hint="eastAsia" w:ascii="宋体" w:hAnsi="宋体"/>
          <w:sz w:val="24"/>
          <w:szCs w:val="20"/>
          <w:highlight w:val="none"/>
        </w:rPr>
      </w:pPr>
      <w:bookmarkStart w:id="1212" w:name="_Toc152045708"/>
      <w:bookmarkStart w:id="1213" w:name="_Toc152042486"/>
      <w:bookmarkStart w:id="1214" w:name="_Toc159950709"/>
      <w:bookmarkStart w:id="1215" w:name="_Toc179632726"/>
      <w:bookmarkStart w:id="1216" w:name="_Toc342296359"/>
      <w:bookmarkStart w:id="1217" w:name="_Toc144974677"/>
      <w:bookmarkStart w:id="1218" w:name="_Toc338944801"/>
      <w:r>
        <w:rPr>
          <w:rFonts w:ascii="宋体" w:hAnsi="宋体"/>
          <w:sz w:val="24"/>
          <w:szCs w:val="20"/>
          <w:highlight w:val="none"/>
        </w:rPr>
        <w:t>15.2 变更权</w:t>
      </w:r>
      <w:bookmarkEnd w:id="1212"/>
      <w:bookmarkEnd w:id="1213"/>
      <w:bookmarkEnd w:id="1214"/>
      <w:bookmarkEnd w:id="1215"/>
      <w:bookmarkEnd w:id="1216"/>
      <w:bookmarkEnd w:id="1217"/>
      <w:bookmarkEnd w:id="1218"/>
    </w:p>
    <w:p w14:paraId="43249F21">
      <w:pPr>
        <w:spacing w:line="400" w:lineRule="exact"/>
        <w:ind w:firstLine="420" w:firstLineChars="200"/>
        <w:rPr>
          <w:rFonts w:hint="eastAsia" w:ascii="宋体" w:hAnsi="宋体"/>
          <w:highlight w:val="none"/>
        </w:rPr>
      </w:pPr>
      <w:r>
        <w:rPr>
          <w:rFonts w:ascii="宋体" w:hAnsi="宋体"/>
          <w:highlight w:val="none"/>
        </w:rPr>
        <w:t>在履行合同过程中，经发包人同意，监理人可按第15.3款约定的变更程序向承包人作出变更指示，承包人应遵照执行。没有监理人的变更指示，承包人不得擅自变更。</w:t>
      </w:r>
    </w:p>
    <w:p w14:paraId="78288CFF">
      <w:pPr>
        <w:keepNext/>
        <w:keepLines/>
        <w:spacing w:line="400" w:lineRule="exact"/>
        <w:outlineLvl w:val="2"/>
        <w:rPr>
          <w:rFonts w:hint="eastAsia" w:ascii="宋体" w:hAnsi="宋体"/>
          <w:sz w:val="24"/>
          <w:szCs w:val="20"/>
          <w:highlight w:val="none"/>
        </w:rPr>
      </w:pPr>
      <w:bookmarkStart w:id="1219" w:name="_Toc342296360"/>
      <w:bookmarkStart w:id="1220" w:name="_Toc159950710"/>
      <w:bookmarkStart w:id="1221" w:name="_Toc338944802"/>
      <w:r>
        <w:rPr>
          <w:rFonts w:ascii="宋体" w:hAnsi="宋体"/>
          <w:sz w:val="24"/>
          <w:szCs w:val="20"/>
          <w:highlight w:val="none"/>
        </w:rPr>
        <w:t>15.3 变更程序</w:t>
      </w:r>
      <w:bookmarkEnd w:id="1219"/>
      <w:bookmarkEnd w:id="1220"/>
      <w:bookmarkEnd w:id="1221"/>
    </w:p>
    <w:p w14:paraId="6E3B817D">
      <w:pPr>
        <w:spacing w:line="400" w:lineRule="exact"/>
        <w:ind w:firstLine="420" w:firstLineChars="200"/>
        <w:rPr>
          <w:rFonts w:hint="eastAsia" w:ascii="宋体" w:hAnsi="宋体"/>
          <w:highlight w:val="none"/>
        </w:rPr>
      </w:pPr>
      <w:r>
        <w:rPr>
          <w:rFonts w:ascii="宋体" w:hAnsi="宋体"/>
          <w:highlight w:val="none"/>
        </w:rPr>
        <w:t xml:space="preserve">15.3.1 </w:t>
      </w:r>
      <w:r>
        <w:rPr>
          <w:rFonts w:hint="eastAsia" w:ascii="宋体" w:hAnsi="宋体" w:cs="宋体"/>
          <w:highlight w:val="none"/>
        </w:rPr>
        <w:t>变更的提出</w:t>
      </w:r>
    </w:p>
    <w:p w14:paraId="34EFDA65">
      <w:pPr>
        <w:spacing w:line="400" w:lineRule="exact"/>
        <w:ind w:firstLine="420" w:firstLineChars="200"/>
        <w:rPr>
          <w:rFonts w:hint="eastAsia" w:ascii="宋体" w:hAnsi="宋体"/>
          <w:highlight w:val="none"/>
        </w:rPr>
      </w:pPr>
      <w:r>
        <w:rPr>
          <w:rFonts w:ascii="宋体" w:hAnsi="宋体"/>
          <w:highlight w:val="none"/>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0C36E58B">
      <w:pPr>
        <w:spacing w:line="400" w:lineRule="exact"/>
        <w:ind w:firstLine="420" w:firstLineChars="200"/>
        <w:rPr>
          <w:rFonts w:hint="eastAsia" w:ascii="宋体" w:hAnsi="宋体"/>
          <w:highlight w:val="none"/>
        </w:rPr>
      </w:pPr>
      <w:r>
        <w:rPr>
          <w:rFonts w:ascii="宋体" w:hAnsi="宋体"/>
          <w:highlight w:val="none"/>
        </w:rPr>
        <w:t>（2）在合同履行过程中，发生第15.1款约定情形的，监理人应按照第15.3.3项约定向承包人发出变更指示。</w:t>
      </w:r>
    </w:p>
    <w:p w14:paraId="7F60D7CD">
      <w:pPr>
        <w:spacing w:line="400" w:lineRule="exact"/>
        <w:ind w:firstLine="420" w:firstLineChars="200"/>
        <w:rPr>
          <w:rFonts w:hint="eastAsia" w:ascii="宋体" w:hAnsi="宋体"/>
          <w:highlight w:val="none"/>
        </w:rPr>
      </w:pPr>
      <w:r>
        <w:rPr>
          <w:rFonts w:ascii="宋体" w:hAnsi="宋体"/>
          <w:highlight w:val="none"/>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2A258FC9">
      <w:pPr>
        <w:spacing w:line="400" w:lineRule="exact"/>
        <w:ind w:firstLine="420" w:firstLineChars="200"/>
        <w:rPr>
          <w:rFonts w:hint="eastAsia" w:ascii="宋体" w:hAnsi="宋体"/>
          <w:highlight w:val="none"/>
        </w:rPr>
      </w:pPr>
      <w:r>
        <w:rPr>
          <w:rFonts w:ascii="宋体" w:hAnsi="宋体"/>
          <w:highlight w:val="none"/>
        </w:rPr>
        <w:t>（4）若承包人收到监理人的变更意向书后认为难以实施此项变更，应立即通知监理人，说明原因并附详细依据。监理人与承包人和发包人协商后确定撤销、改变或不改变原变更意向书。</w:t>
      </w:r>
    </w:p>
    <w:p w14:paraId="3287FCB3">
      <w:pPr>
        <w:spacing w:line="400" w:lineRule="exact"/>
        <w:ind w:firstLine="420" w:firstLineChars="200"/>
        <w:rPr>
          <w:rFonts w:hint="eastAsia" w:ascii="宋体" w:hAnsi="宋体"/>
          <w:highlight w:val="none"/>
        </w:rPr>
      </w:pPr>
      <w:r>
        <w:rPr>
          <w:rFonts w:ascii="宋体" w:hAnsi="宋体"/>
          <w:highlight w:val="none"/>
        </w:rPr>
        <w:t xml:space="preserve">15.3.2 </w:t>
      </w:r>
      <w:r>
        <w:rPr>
          <w:rFonts w:hint="eastAsia" w:ascii="宋体" w:hAnsi="宋体" w:cs="宋体"/>
          <w:highlight w:val="none"/>
        </w:rPr>
        <w:t>变更估价</w:t>
      </w:r>
    </w:p>
    <w:p w14:paraId="2CC8E5A1">
      <w:pPr>
        <w:spacing w:line="400" w:lineRule="exact"/>
        <w:ind w:firstLine="420" w:firstLineChars="200"/>
        <w:rPr>
          <w:rFonts w:hint="eastAsia" w:ascii="宋体" w:hAnsi="宋体"/>
          <w:highlight w:val="none"/>
        </w:rPr>
      </w:pPr>
      <w:r>
        <w:rPr>
          <w:rFonts w:ascii="宋体" w:hAnsi="宋体"/>
          <w:highlight w:val="none"/>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76F2A7BF">
      <w:pPr>
        <w:spacing w:line="400" w:lineRule="exact"/>
        <w:ind w:firstLine="420" w:firstLineChars="200"/>
        <w:rPr>
          <w:rFonts w:hint="eastAsia" w:ascii="宋体" w:hAnsi="宋体"/>
          <w:highlight w:val="none"/>
        </w:rPr>
      </w:pPr>
      <w:r>
        <w:rPr>
          <w:rFonts w:ascii="宋体" w:hAnsi="宋体"/>
          <w:highlight w:val="none"/>
        </w:rPr>
        <w:t>（2）变更工作影响工期的，承包人应提出调整工期的具体细节。监理人认为有必要时，可要求承包人提交要求提前或延长工期的施工进度计划及相应施工措施等详细资料。</w:t>
      </w:r>
    </w:p>
    <w:p w14:paraId="735B16A2">
      <w:pPr>
        <w:spacing w:line="400" w:lineRule="exact"/>
        <w:ind w:firstLine="420" w:firstLineChars="200"/>
        <w:rPr>
          <w:rFonts w:hint="eastAsia" w:ascii="宋体" w:hAnsi="宋体"/>
          <w:highlight w:val="none"/>
        </w:rPr>
      </w:pPr>
      <w:r>
        <w:rPr>
          <w:rFonts w:ascii="宋体" w:hAnsi="宋体"/>
          <w:highlight w:val="none"/>
        </w:rPr>
        <w:t>（3）除专用合同条款对期限另有约定外，监理人收到承包人变更报价书后的14天内，根据第15.4款约定的估价原则，按照第3.5款商定或确定变更价格。</w:t>
      </w:r>
    </w:p>
    <w:p w14:paraId="539A9EFD">
      <w:pPr>
        <w:spacing w:line="400" w:lineRule="exact"/>
        <w:ind w:firstLine="420" w:firstLineChars="200"/>
        <w:rPr>
          <w:rFonts w:hint="eastAsia" w:ascii="宋体" w:hAnsi="宋体"/>
          <w:highlight w:val="none"/>
        </w:rPr>
      </w:pPr>
      <w:r>
        <w:rPr>
          <w:rFonts w:ascii="宋体" w:hAnsi="宋体"/>
          <w:highlight w:val="none"/>
        </w:rPr>
        <w:t xml:space="preserve">15.3.3 </w:t>
      </w:r>
      <w:r>
        <w:rPr>
          <w:rFonts w:hint="eastAsia" w:ascii="宋体" w:hAnsi="宋体" w:cs="宋体"/>
          <w:highlight w:val="none"/>
        </w:rPr>
        <w:t>变更指示</w:t>
      </w:r>
    </w:p>
    <w:p w14:paraId="598D153D">
      <w:pPr>
        <w:spacing w:line="400" w:lineRule="exact"/>
        <w:ind w:firstLine="420" w:firstLineChars="200"/>
        <w:rPr>
          <w:rFonts w:hint="eastAsia" w:ascii="宋体" w:hAnsi="宋体"/>
          <w:highlight w:val="none"/>
        </w:rPr>
      </w:pPr>
      <w:r>
        <w:rPr>
          <w:rFonts w:ascii="宋体" w:hAnsi="宋体"/>
          <w:highlight w:val="none"/>
        </w:rPr>
        <w:t>（1）变更指示只能由监理人发出。</w:t>
      </w:r>
    </w:p>
    <w:p w14:paraId="18DF91B5">
      <w:pPr>
        <w:spacing w:line="400" w:lineRule="exact"/>
        <w:ind w:firstLine="420" w:firstLineChars="200"/>
        <w:rPr>
          <w:rFonts w:hint="eastAsia" w:ascii="宋体" w:hAnsi="宋体"/>
          <w:highlight w:val="none"/>
        </w:rPr>
      </w:pPr>
      <w:r>
        <w:rPr>
          <w:rFonts w:ascii="宋体" w:hAnsi="宋体"/>
          <w:highlight w:val="none"/>
        </w:rPr>
        <w:t>（2）变更指示应说明变更的目的、范围、变更内容以及变更的工程量及其进度和技术要求，并附有关图纸和文件。承包人收到变更指示后，应按变更指示进行变更工作。</w:t>
      </w:r>
    </w:p>
    <w:p w14:paraId="25CA97FE">
      <w:pPr>
        <w:keepNext/>
        <w:keepLines/>
        <w:spacing w:line="400" w:lineRule="exact"/>
        <w:outlineLvl w:val="2"/>
        <w:rPr>
          <w:rFonts w:hint="eastAsia" w:ascii="宋体" w:hAnsi="宋体"/>
          <w:sz w:val="24"/>
          <w:szCs w:val="20"/>
          <w:highlight w:val="none"/>
        </w:rPr>
      </w:pPr>
      <w:bookmarkStart w:id="1222" w:name="_Toc159950711"/>
      <w:bookmarkStart w:id="1223" w:name="_Toc338944803"/>
      <w:bookmarkStart w:id="1224" w:name="_Toc342296361"/>
      <w:r>
        <w:rPr>
          <w:rFonts w:ascii="宋体" w:hAnsi="宋体"/>
          <w:sz w:val="24"/>
          <w:szCs w:val="20"/>
          <w:highlight w:val="none"/>
        </w:rPr>
        <w:t>15.4 变更的估价原则</w:t>
      </w:r>
      <w:bookmarkEnd w:id="1222"/>
      <w:bookmarkEnd w:id="1223"/>
      <w:bookmarkEnd w:id="1224"/>
    </w:p>
    <w:p w14:paraId="580C905D">
      <w:pPr>
        <w:spacing w:line="400" w:lineRule="exact"/>
        <w:ind w:firstLine="420" w:firstLineChars="200"/>
        <w:rPr>
          <w:rFonts w:hint="eastAsia" w:ascii="宋体" w:hAnsi="宋体"/>
          <w:highlight w:val="none"/>
        </w:rPr>
      </w:pPr>
      <w:r>
        <w:rPr>
          <w:rFonts w:ascii="宋体" w:hAnsi="宋体"/>
          <w:highlight w:val="none"/>
        </w:rPr>
        <w:t>除专用合同条款另有约定外，因变更引起的价格调整按照本款约定处理。</w:t>
      </w:r>
    </w:p>
    <w:p w14:paraId="0B6A3731">
      <w:pPr>
        <w:spacing w:line="400" w:lineRule="exact"/>
        <w:ind w:firstLine="420" w:firstLineChars="200"/>
        <w:rPr>
          <w:rFonts w:hint="eastAsia" w:ascii="宋体" w:hAnsi="宋体"/>
          <w:highlight w:val="none"/>
        </w:rPr>
      </w:pPr>
      <w:r>
        <w:rPr>
          <w:rFonts w:ascii="宋体" w:hAnsi="宋体"/>
          <w:highlight w:val="none"/>
        </w:rPr>
        <w:t>15.4.1 已标价工程量清单中有适用于变更工作的子目的，采用该子目的单价。</w:t>
      </w:r>
    </w:p>
    <w:p w14:paraId="59570065">
      <w:pPr>
        <w:spacing w:line="400" w:lineRule="exact"/>
        <w:ind w:firstLine="420" w:firstLineChars="200"/>
        <w:rPr>
          <w:rFonts w:hint="eastAsia" w:ascii="宋体" w:hAnsi="宋体"/>
          <w:highlight w:val="none"/>
        </w:rPr>
      </w:pPr>
      <w:r>
        <w:rPr>
          <w:rFonts w:ascii="宋体" w:hAnsi="宋体"/>
          <w:highlight w:val="none"/>
        </w:rPr>
        <w:t>15.4.2 已标价工程量清单中无适用于变更工作的子目，但有类似子目的，可在合理范围内参照类似子目的单价，由监理人按第3.5款商定或确定变更工作的单价。</w:t>
      </w:r>
    </w:p>
    <w:p w14:paraId="725FEF53">
      <w:pPr>
        <w:spacing w:line="400" w:lineRule="exact"/>
        <w:ind w:firstLine="420" w:firstLineChars="200"/>
        <w:rPr>
          <w:rFonts w:hint="eastAsia" w:ascii="宋体" w:hAnsi="宋体"/>
          <w:highlight w:val="none"/>
        </w:rPr>
      </w:pPr>
      <w:r>
        <w:rPr>
          <w:rFonts w:ascii="宋体" w:hAnsi="宋体"/>
          <w:highlight w:val="none"/>
        </w:rPr>
        <w:t>15.4.3 已标价工程量清单中无适用或类似子目的单价，可按照成本加利润的原则，由监理人按第3.5款商定或确定变更工作的单价。</w:t>
      </w:r>
    </w:p>
    <w:p w14:paraId="11B2B710">
      <w:pPr>
        <w:keepNext/>
        <w:keepLines/>
        <w:spacing w:line="400" w:lineRule="exact"/>
        <w:outlineLvl w:val="2"/>
        <w:rPr>
          <w:rFonts w:hint="eastAsia" w:ascii="宋体" w:hAnsi="宋体"/>
          <w:sz w:val="24"/>
          <w:szCs w:val="20"/>
          <w:highlight w:val="none"/>
        </w:rPr>
      </w:pPr>
      <w:bookmarkStart w:id="1225" w:name="_Toc159950712"/>
      <w:bookmarkStart w:id="1226" w:name="_Toc338944804"/>
      <w:bookmarkStart w:id="1227" w:name="_Toc342296362"/>
      <w:r>
        <w:rPr>
          <w:rFonts w:ascii="宋体" w:hAnsi="宋体"/>
          <w:sz w:val="24"/>
          <w:szCs w:val="20"/>
          <w:highlight w:val="none"/>
        </w:rPr>
        <w:t>15.5 承包人的合理化建议</w:t>
      </w:r>
      <w:bookmarkEnd w:id="1225"/>
      <w:bookmarkEnd w:id="1226"/>
      <w:bookmarkEnd w:id="1227"/>
    </w:p>
    <w:p w14:paraId="0EBAF63E">
      <w:pPr>
        <w:spacing w:line="400" w:lineRule="exact"/>
        <w:ind w:firstLine="420" w:firstLineChars="200"/>
        <w:rPr>
          <w:rFonts w:hint="eastAsia" w:ascii="宋体" w:hAnsi="宋体"/>
          <w:highlight w:val="none"/>
        </w:rPr>
      </w:pPr>
      <w:r>
        <w:rPr>
          <w:rFonts w:ascii="宋体" w:hAnsi="宋体"/>
          <w:highlight w:val="none"/>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5E60072E">
      <w:pPr>
        <w:spacing w:line="400" w:lineRule="exact"/>
        <w:ind w:firstLine="420" w:firstLineChars="200"/>
        <w:rPr>
          <w:rFonts w:hint="eastAsia" w:ascii="宋体" w:hAnsi="宋体"/>
          <w:highlight w:val="none"/>
        </w:rPr>
      </w:pPr>
      <w:r>
        <w:rPr>
          <w:rFonts w:ascii="宋体" w:hAnsi="宋体"/>
          <w:highlight w:val="none"/>
        </w:rPr>
        <w:t>15.5.2 承包人提出的合理化建议降低了合同价格、缩短了工期或者提高了工程经济效益的，发包人可按国家有关规定在专用合同条款中约定给予奖励。</w:t>
      </w:r>
    </w:p>
    <w:p w14:paraId="2522AB12">
      <w:pPr>
        <w:keepNext/>
        <w:keepLines/>
        <w:spacing w:line="400" w:lineRule="exact"/>
        <w:outlineLvl w:val="2"/>
        <w:rPr>
          <w:rFonts w:hint="eastAsia" w:ascii="宋体" w:hAnsi="宋体"/>
          <w:sz w:val="24"/>
          <w:szCs w:val="20"/>
          <w:highlight w:val="none"/>
        </w:rPr>
      </w:pPr>
      <w:bookmarkStart w:id="1228" w:name="_Toc159950713"/>
      <w:bookmarkStart w:id="1229" w:name="_Toc152042490"/>
      <w:bookmarkStart w:id="1230" w:name="_Toc144974681"/>
      <w:bookmarkStart w:id="1231" w:name="_Toc152045712"/>
      <w:bookmarkStart w:id="1232" w:name="_Toc342296363"/>
      <w:bookmarkStart w:id="1233" w:name="_Toc338944805"/>
      <w:bookmarkStart w:id="1234" w:name="_Toc179632730"/>
      <w:r>
        <w:rPr>
          <w:rFonts w:ascii="宋体" w:hAnsi="宋体"/>
          <w:sz w:val="24"/>
          <w:szCs w:val="20"/>
          <w:highlight w:val="none"/>
        </w:rPr>
        <w:t>15.6 暂列金额</w:t>
      </w:r>
      <w:bookmarkEnd w:id="1228"/>
      <w:bookmarkEnd w:id="1229"/>
      <w:bookmarkEnd w:id="1230"/>
      <w:bookmarkEnd w:id="1231"/>
      <w:bookmarkEnd w:id="1232"/>
      <w:bookmarkEnd w:id="1233"/>
      <w:bookmarkEnd w:id="1234"/>
    </w:p>
    <w:p w14:paraId="2F4A28F8">
      <w:pPr>
        <w:spacing w:line="400" w:lineRule="exact"/>
        <w:ind w:firstLine="420" w:firstLineChars="200"/>
        <w:rPr>
          <w:rFonts w:hint="eastAsia" w:ascii="宋体" w:hAnsi="宋体"/>
          <w:highlight w:val="none"/>
        </w:rPr>
      </w:pPr>
      <w:r>
        <w:rPr>
          <w:rFonts w:ascii="宋体" w:hAnsi="宋体"/>
          <w:highlight w:val="none"/>
        </w:rPr>
        <w:t>暂列金额只能按照监理人的指示使用，并对合同价格进行相应调整。</w:t>
      </w:r>
    </w:p>
    <w:p w14:paraId="595ACD5D">
      <w:pPr>
        <w:keepNext/>
        <w:keepLines/>
        <w:spacing w:line="400" w:lineRule="exact"/>
        <w:outlineLvl w:val="2"/>
        <w:rPr>
          <w:rFonts w:hint="eastAsia" w:ascii="宋体" w:hAnsi="宋体"/>
          <w:sz w:val="24"/>
          <w:szCs w:val="20"/>
          <w:highlight w:val="none"/>
        </w:rPr>
      </w:pPr>
      <w:bookmarkStart w:id="1235" w:name="_Toc338944806"/>
      <w:bookmarkStart w:id="1236" w:name="_Toc152045713"/>
      <w:bookmarkStart w:id="1237" w:name="_Toc342296364"/>
      <w:bookmarkStart w:id="1238" w:name="_Toc152042491"/>
      <w:bookmarkStart w:id="1239" w:name="_Toc144974682"/>
      <w:bookmarkStart w:id="1240" w:name="_Toc159950714"/>
      <w:bookmarkStart w:id="1241" w:name="_Toc179632731"/>
      <w:r>
        <w:rPr>
          <w:rFonts w:ascii="宋体" w:hAnsi="宋体"/>
          <w:sz w:val="24"/>
          <w:szCs w:val="20"/>
          <w:highlight w:val="none"/>
        </w:rPr>
        <w:t>15.7 计日工</w:t>
      </w:r>
      <w:bookmarkEnd w:id="1235"/>
      <w:bookmarkEnd w:id="1236"/>
      <w:bookmarkEnd w:id="1237"/>
      <w:bookmarkEnd w:id="1238"/>
      <w:bookmarkEnd w:id="1239"/>
      <w:bookmarkEnd w:id="1240"/>
      <w:bookmarkEnd w:id="1241"/>
    </w:p>
    <w:p w14:paraId="5DD76DD9">
      <w:pPr>
        <w:spacing w:line="400" w:lineRule="exact"/>
        <w:ind w:firstLine="420" w:firstLineChars="200"/>
        <w:rPr>
          <w:rFonts w:hint="eastAsia" w:ascii="宋体" w:hAnsi="宋体"/>
          <w:highlight w:val="none"/>
          <w:shd w:val="pct10" w:color="auto" w:fill="FFFFFF"/>
        </w:rPr>
      </w:pPr>
      <w:r>
        <w:rPr>
          <w:rFonts w:ascii="宋体" w:hAnsi="宋体"/>
          <w:highlight w:val="none"/>
        </w:rPr>
        <w:t>15.7.1 发包人认为有必要时，</w:t>
      </w:r>
      <w:r>
        <w:rPr>
          <w:rFonts w:ascii="宋体" w:hAnsi="宋体"/>
          <w:szCs w:val="21"/>
          <w:highlight w:val="none"/>
        </w:rPr>
        <w:t>由</w:t>
      </w:r>
      <w:r>
        <w:rPr>
          <w:rFonts w:ascii="宋体" w:hAnsi="宋体"/>
          <w:highlight w:val="none"/>
        </w:rPr>
        <w:t>监理人通知承包人以计日工方式实施变更的零星工作。其价款按列入已标价工程量清单中的计日工计价子目及其单价进行计算。</w:t>
      </w:r>
    </w:p>
    <w:p w14:paraId="508CDF80">
      <w:pPr>
        <w:spacing w:line="400" w:lineRule="exact"/>
        <w:ind w:firstLine="420" w:firstLineChars="200"/>
        <w:rPr>
          <w:rFonts w:hint="eastAsia" w:ascii="宋体" w:hAnsi="宋体"/>
          <w:highlight w:val="none"/>
        </w:rPr>
      </w:pPr>
      <w:r>
        <w:rPr>
          <w:rFonts w:ascii="宋体" w:hAnsi="宋体"/>
          <w:highlight w:val="none"/>
        </w:rPr>
        <w:t>15.7.2 采用计日工计价的任何一项变更工作，应从暂列金额中支付，承包人应在该项变更的实施过程中，每天提交以下报表和有关凭证报送监理人审批：</w:t>
      </w:r>
    </w:p>
    <w:p w14:paraId="030977CA">
      <w:pPr>
        <w:spacing w:line="400" w:lineRule="exact"/>
        <w:ind w:firstLine="718" w:firstLineChars="342"/>
        <w:rPr>
          <w:rFonts w:hint="eastAsia" w:ascii="宋体" w:hAnsi="宋体"/>
          <w:highlight w:val="none"/>
        </w:rPr>
      </w:pPr>
      <w:r>
        <w:rPr>
          <w:rFonts w:ascii="宋体" w:hAnsi="宋体"/>
          <w:highlight w:val="none"/>
        </w:rPr>
        <w:t>（1）工作名称、内容和数量；</w:t>
      </w:r>
    </w:p>
    <w:p w14:paraId="0AA7827E">
      <w:pPr>
        <w:spacing w:line="400" w:lineRule="exact"/>
        <w:ind w:firstLine="718" w:firstLineChars="342"/>
        <w:rPr>
          <w:rFonts w:hint="eastAsia" w:ascii="宋体" w:hAnsi="宋体"/>
          <w:highlight w:val="none"/>
        </w:rPr>
      </w:pPr>
      <w:r>
        <w:rPr>
          <w:rFonts w:ascii="宋体" w:hAnsi="宋体"/>
          <w:highlight w:val="none"/>
        </w:rPr>
        <w:t>（2）投入该工作所有人员的姓名、工种、级别和耗用工时；</w:t>
      </w:r>
    </w:p>
    <w:p w14:paraId="213C0B79">
      <w:pPr>
        <w:spacing w:line="400" w:lineRule="exact"/>
        <w:ind w:firstLine="718" w:firstLineChars="342"/>
        <w:rPr>
          <w:rFonts w:hint="eastAsia" w:ascii="宋体" w:hAnsi="宋体"/>
          <w:highlight w:val="none"/>
        </w:rPr>
      </w:pPr>
      <w:r>
        <w:rPr>
          <w:rFonts w:ascii="宋体" w:hAnsi="宋体"/>
          <w:highlight w:val="none"/>
        </w:rPr>
        <w:t>（3）投入该工作的材料类别和数量；</w:t>
      </w:r>
    </w:p>
    <w:p w14:paraId="5C8DB58E">
      <w:pPr>
        <w:spacing w:line="400" w:lineRule="exact"/>
        <w:ind w:firstLine="718" w:firstLineChars="342"/>
        <w:rPr>
          <w:rFonts w:hint="eastAsia" w:ascii="宋体" w:hAnsi="宋体"/>
          <w:highlight w:val="none"/>
        </w:rPr>
      </w:pPr>
      <w:r>
        <w:rPr>
          <w:rFonts w:ascii="宋体" w:hAnsi="宋体"/>
          <w:highlight w:val="none"/>
        </w:rPr>
        <w:t>（4）投入该工作的施工设备型号、台数和耗用台时；</w:t>
      </w:r>
    </w:p>
    <w:p w14:paraId="28B4C179">
      <w:pPr>
        <w:spacing w:line="400" w:lineRule="exact"/>
        <w:ind w:firstLine="718" w:firstLineChars="342"/>
        <w:rPr>
          <w:rFonts w:hint="eastAsia" w:ascii="宋体" w:hAnsi="宋体"/>
          <w:highlight w:val="none"/>
        </w:rPr>
      </w:pPr>
      <w:r>
        <w:rPr>
          <w:rFonts w:ascii="宋体" w:hAnsi="宋体"/>
          <w:highlight w:val="none"/>
        </w:rPr>
        <w:t>（5）监理人要求提交的其他资料和凭证。</w:t>
      </w:r>
    </w:p>
    <w:p w14:paraId="3E634F0E">
      <w:pPr>
        <w:spacing w:line="400" w:lineRule="exact"/>
        <w:ind w:firstLine="420" w:firstLineChars="200"/>
        <w:rPr>
          <w:rFonts w:hint="eastAsia" w:ascii="宋体" w:hAnsi="宋体"/>
          <w:highlight w:val="none"/>
        </w:rPr>
      </w:pPr>
      <w:r>
        <w:rPr>
          <w:rFonts w:ascii="宋体" w:hAnsi="宋体"/>
          <w:highlight w:val="none"/>
        </w:rPr>
        <w:t>15.7.3 计日工由承包人汇总后，按第17.3.2项的约定列入进度付款申请单，由监理人复核并经发包人同意后列入进度付款。</w:t>
      </w:r>
    </w:p>
    <w:p w14:paraId="77E13ACA">
      <w:pPr>
        <w:keepNext/>
        <w:keepLines/>
        <w:spacing w:line="400" w:lineRule="exact"/>
        <w:outlineLvl w:val="2"/>
        <w:rPr>
          <w:rFonts w:hint="eastAsia" w:ascii="宋体" w:hAnsi="宋体"/>
          <w:sz w:val="24"/>
          <w:szCs w:val="20"/>
          <w:highlight w:val="none"/>
        </w:rPr>
      </w:pPr>
      <w:bookmarkStart w:id="1242" w:name="_Toc338944807"/>
      <w:bookmarkStart w:id="1243" w:name="_Toc342296365"/>
      <w:bookmarkStart w:id="1244" w:name="_Toc159950715"/>
      <w:r>
        <w:rPr>
          <w:rFonts w:ascii="宋体" w:hAnsi="宋体"/>
          <w:sz w:val="24"/>
          <w:szCs w:val="20"/>
          <w:highlight w:val="none"/>
        </w:rPr>
        <w:t>15.8 暂估价</w:t>
      </w:r>
      <w:bookmarkEnd w:id="1242"/>
      <w:bookmarkEnd w:id="1243"/>
      <w:bookmarkEnd w:id="1244"/>
    </w:p>
    <w:p w14:paraId="2EE4F4F6">
      <w:pPr>
        <w:spacing w:line="400" w:lineRule="exact"/>
        <w:rPr>
          <w:rFonts w:hint="eastAsia" w:ascii="宋体" w:hAnsi="宋体"/>
          <w:highlight w:val="none"/>
        </w:rPr>
      </w:pPr>
      <w:r>
        <w:rPr>
          <w:rFonts w:ascii="宋体" w:hAnsi="宋体"/>
          <w:highlight w:val="none"/>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14:paraId="66C4DC4A">
      <w:pPr>
        <w:spacing w:line="400" w:lineRule="exact"/>
        <w:ind w:firstLine="420" w:firstLineChars="200"/>
        <w:rPr>
          <w:rFonts w:hint="eastAsia" w:ascii="宋体" w:hAnsi="宋体"/>
          <w:highlight w:val="none"/>
        </w:rPr>
      </w:pPr>
      <w:r>
        <w:rPr>
          <w:rFonts w:ascii="宋体" w:hAnsi="宋体"/>
          <w:highlight w:val="none"/>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2E96CBFB">
      <w:pPr>
        <w:spacing w:line="400" w:lineRule="exact"/>
        <w:ind w:firstLine="420" w:firstLineChars="200"/>
        <w:rPr>
          <w:rFonts w:hint="eastAsia" w:ascii="宋体" w:hAnsi="宋体"/>
          <w:highlight w:val="none"/>
        </w:rPr>
      </w:pPr>
      <w:r>
        <w:rPr>
          <w:rFonts w:ascii="宋体" w:hAnsi="宋体"/>
          <w:highlight w:val="none"/>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7A1D4234">
      <w:pPr>
        <w:keepNext/>
        <w:keepLines/>
        <w:spacing w:line="400" w:lineRule="exact"/>
        <w:outlineLvl w:val="1"/>
        <w:rPr>
          <w:rFonts w:hint="eastAsia" w:ascii="宋体" w:hAnsi="宋体" w:cs="仿宋_GB2312"/>
          <w:sz w:val="28"/>
          <w:szCs w:val="20"/>
          <w:highlight w:val="none"/>
        </w:rPr>
      </w:pPr>
      <w:bookmarkStart w:id="1245" w:name="_Toc448758437"/>
      <w:bookmarkStart w:id="1246" w:name="_Toc469660032"/>
      <w:bookmarkStart w:id="1247" w:name="_Toc442365629"/>
      <w:bookmarkStart w:id="1248" w:name="_Toc448758537"/>
      <w:bookmarkStart w:id="1249" w:name="_Toc338944808"/>
      <w:bookmarkStart w:id="1250" w:name="_Toc159950716"/>
      <w:bookmarkStart w:id="1251" w:name="_Toc342296366"/>
      <w:r>
        <w:rPr>
          <w:rFonts w:ascii="宋体" w:hAnsi="宋体" w:cs="仿宋_GB2312"/>
          <w:sz w:val="28"/>
          <w:szCs w:val="20"/>
          <w:highlight w:val="none"/>
        </w:rPr>
        <w:t>16. 价格调整</w:t>
      </w:r>
      <w:bookmarkEnd w:id="1245"/>
      <w:bookmarkEnd w:id="1246"/>
      <w:bookmarkEnd w:id="1247"/>
      <w:bookmarkEnd w:id="1248"/>
      <w:bookmarkEnd w:id="1249"/>
      <w:bookmarkEnd w:id="1250"/>
      <w:bookmarkEnd w:id="1251"/>
    </w:p>
    <w:p w14:paraId="1991C15E">
      <w:pPr>
        <w:keepNext/>
        <w:keepLines/>
        <w:spacing w:line="400" w:lineRule="exact"/>
        <w:outlineLvl w:val="2"/>
        <w:rPr>
          <w:rFonts w:hint="eastAsia" w:ascii="宋体" w:hAnsi="宋体"/>
          <w:sz w:val="24"/>
          <w:szCs w:val="20"/>
          <w:highlight w:val="none"/>
        </w:rPr>
      </w:pPr>
      <w:bookmarkStart w:id="1252" w:name="_Toc338944809"/>
      <w:bookmarkStart w:id="1253" w:name="_Toc342296367"/>
      <w:bookmarkStart w:id="1254" w:name="_Toc159950717"/>
      <w:r>
        <w:rPr>
          <w:rFonts w:ascii="宋体" w:hAnsi="宋体"/>
          <w:sz w:val="24"/>
          <w:szCs w:val="20"/>
          <w:highlight w:val="none"/>
        </w:rPr>
        <w:t>16.1 物价波动引起的价格调整</w:t>
      </w:r>
      <w:bookmarkEnd w:id="1252"/>
      <w:bookmarkEnd w:id="1253"/>
      <w:bookmarkEnd w:id="1254"/>
    </w:p>
    <w:p w14:paraId="38E66DD5">
      <w:pPr>
        <w:rPr>
          <w:rFonts w:hint="eastAsia" w:ascii="宋体" w:hAnsi="宋体"/>
          <w:highlight w:val="none"/>
        </w:rPr>
      </w:pPr>
      <w:r>
        <w:rPr>
          <w:rFonts w:ascii="宋体" w:hAnsi="宋体"/>
          <w:highlight w:val="none"/>
        </w:rPr>
        <w:t>除专用合同条款另有约定外，因物价波动引起的价格调整按照本款约定处理。</w:t>
      </w:r>
    </w:p>
    <w:p w14:paraId="28B3629D">
      <w:pPr>
        <w:rPr>
          <w:rFonts w:hint="eastAsia" w:ascii="宋体" w:hAnsi="宋体"/>
          <w:highlight w:val="none"/>
        </w:rPr>
      </w:pPr>
      <w:r>
        <w:rPr>
          <w:rFonts w:ascii="宋体" w:hAnsi="宋体"/>
          <w:highlight w:val="none"/>
        </w:rPr>
        <w:t xml:space="preserve">16.1.1 </w:t>
      </w:r>
      <w:r>
        <w:rPr>
          <w:rFonts w:hint="eastAsia" w:ascii="宋体" w:hAnsi="宋体" w:cs="宋体"/>
          <w:highlight w:val="none"/>
        </w:rPr>
        <w:t>采用价格指数调整价格差额</w:t>
      </w:r>
    </w:p>
    <w:p w14:paraId="43B4DE3F">
      <w:pPr>
        <w:rPr>
          <w:rFonts w:hint="eastAsia" w:ascii="宋体" w:hAnsi="宋体"/>
          <w:highlight w:val="none"/>
        </w:rPr>
      </w:pPr>
      <w:r>
        <w:rPr>
          <w:rFonts w:ascii="宋体" w:hAnsi="宋体"/>
          <w:highlight w:val="none"/>
        </w:rPr>
        <w:t>16.1.1.1 价格调整公式</w:t>
      </w:r>
    </w:p>
    <w:p w14:paraId="4EF24DAF">
      <w:pPr>
        <w:rPr>
          <w:rFonts w:hint="eastAsia" w:ascii="宋体" w:hAnsi="宋体"/>
          <w:highlight w:val="none"/>
        </w:rPr>
      </w:pPr>
      <w:r>
        <w:rPr>
          <w:rFonts w:ascii="宋体" w:hAnsi="宋体"/>
          <w:highlight w:val="none"/>
        </w:rPr>
        <w:t>因人工、材料和设备等价格波动影响合同价格时，根据投标函附录中的价格指数和权重表约定的数据，按以下公式计算差额并调整合同价格。</w:t>
      </w:r>
    </w:p>
    <w:p w14:paraId="6E105D72">
      <w:pPr>
        <w:rPr>
          <w:rFonts w:hint="eastAsia" w:ascii="宋体" w:hAnsi="宋体"/>
          <w:highlight w:val="none"/>
        </w:rPr>
      </w:pPr>
      <w:r>
        <w:rPr>
          <w:rFonts w:ascii="宋体" w:hAnsi="宋体"/>
          <w:b/>
          <w:bCs/>
          <w:kern w:val="0"/>
          <w:sz w:val="19"/>
          <w:szCs w:val="19"/>
          <w:highlight w:val="none"/>
          <w:lang w:val="zh-CN"/>
        </w:rPr>
        <w:t xml:space="preserve">        </w:t>
      </w:r>
      <w:r>
        <w:rPr>
          <w:rFonts w:ascii="宋体" w:hAnsi="宋体"/>
          <w:position w:val="-34"/>
          <w:highlight w:val="none"/>
        </w:rPr>
        <w:drawing>
          <wp:inline distT="0" distB="0" distL="114300" distR="114300">
            <wp:extent cx="3891280" cy="507365"/>
            <wp:effectExtent l="0" t="0" r="1397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8"/>
                    <a:stretch>
                      <a:fillRect/>
                    </a:stretch>
                  </pic:blipFill>
                  <pic:spPr>
                    <a:xfrm>
                      <a:off x="0" y="0"/>
                      <a:ext cx="3891280" cy="507365"/>
                    </a:xfrm>
                    <a:prstGeom prst="rect">
                      <a:avLst/>
                    </a:prstGeom>
                    <a:noFill/>
                    <a:ln>
                      <a:noFill/>
                    </a:ln>
                  </pic:spPr>
                </pic:pic>
              </a:graphicData>
            </a:graphic>
          </wp:inline>
        </w:drawing>
      </w:r>
    </w:p>
    <w:p w14:paraId="30C2F876">
      <w:pPr>
        <w:rPr>
          <w:rFonts w:hint="eastAsia" w:ascii="宋体" w:hAnsi="宋体"/>
          <w:highlight w:val="none"/>
        </w:rPr>
      </w:pPr>
      <w:r>
        <w:rPr>
          <w:rFonts w:ascii="宋体" w:hAnsi="宋体"/>
          <w:highlight w:val="none"/>
        </w:rPr>
        <w:t xml:space="preserve"> </w:t>
      </w:r>
    </w:p>
    <w:p w14:paraId="35040B76">
      <w:pPr>
        <w:rPr>
          <w:rFonts w:hint="eastAsia" w:ascii="宋体" w:hAnsi="宋体"/>
          <w:highlight w:val="none"/>
        </w:rPr>
      </w:pPr>
      <w:r>
        <w:rPr>
          <w:rFonts w:ascii="宋体" w:hAnsi="宋体"/>
          <w:highlight w:val="none"/>
        </w:rPr>
        <w:t xml:space="preserve">式中： </w:t>
      </w:r>
      <w:r>
        <w:rPr>
          <w:rFonts w:hint="eastAsia" w:ascii="宋体" w:hAnsi="宋体" w:cs="Cambria"/>
          <w:highlight w:val="none"/>
        </w:rPr>
        <w:t>△</w:t>
      </w:r>
      <w:r>
        <w:rPr>
          <w:rFonts w:ascii="宋体" w:hAnsi="宋体"/>
          <w:highlight w:val="none"/>
        </w:rPr>
        <w:t>P -- 需调整的价格差额；</w:t>
      </w:r>
    </w:p>
    <w:p w14:paraId="13FA0186">
      <w:pPr>
        <w:rPr>
          <w:rFonts w:hint="eastAsia" w:ascii="宋体" w:hAnsi="宋体"/>
          <w:highlight w:val="none"/>
        </w:rPr>
      </w:pPr>
      <w:r>
        <w:rPr>
          <w:rFonts w:ascii="宋体" w:hAnsi="宋体"/>
          <w:highlight w:val="none"/>
        </w:rPr>
        <w:tab/>
      </w:r>
      <w:r>
        <w:rPr>
          <w:rFonts w:ascii="宋体" w:hAnsi="宋体"/>
          <w:highlight w:val="none"/>
        </w:rPr>
        <w:t>P</w:t>
      </w:r>
      <w:r>
        <w:rPr>
          <w:rFonts w:ascii="宋体" w:hAnsi="宋体"/>
          <w:szCs w:val="21"/>
          <w:highlight w:val="none"/>
          <w:vertAlign w:val="subscript"/>
        </w:rPr>
        <w:t>0</w:t>
      </w:r>
      <w:r>
        <w:rPr>
          <w:rFonts w:ascii="宋体" w:hAnsi="宋体"/>
          <w:highlight w:val="none"/>
        </w:rPr>
        <w:t xml:space="preserve">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7EEBD77D">
      <w:pPr>
        <w:rPr>
          <w:rFonts w:hint="eastAsia" w:ascii="宋体" w:hAnsi="宋体"/>
          <w:highlight w:val="none"/>
        </w:rPr>
      </w:pPr>
      <w:r>
        <w:rPr>
          <w:rFonts w:ascii="宋体" w:hAnsi="宋体"/>
          <w:highlight w:val="none"/>
        </w:rPr>
        <w:tab/>
      </w:r>
      <w:bookmarkStart w:id="1255" w:name="_Toc152042495"/>
      <w:bookmarkStart w:id="1256" w:name="_Toc144974686"/>
      <w:r>
        <w:rPr>
          <w:rFonts w:ascii="宋体" w:hAnsi="宋体"/>
          <w:highlight w:val="none"/>
        </w:rPr>
        <w:t>A -- 定值权重(即不调部分的权重)；</w:t>
      </w:r>
      <w:bookmarkEnd w:id="1255"/>
      <w:bookmarkEnd w:id="1256"/>
    </w:p>
    <w:p w14:paraId="2A10B3F9">
      <w:pPr>
        <w:rPr>
          <w:rFonts w:hint="eastAsia" w:ascii="宋体" w:hAnsi="宋体"/>
          <w:highlight w:val="none"/>
        </w:rPr>
      </w:pPr>
      <w:r>
        <w:rPr>
          <w:rFonts w:ascii="宋体" w:hAnsi="宋体"/>
          <w:highlight w:val="none"/>
        </w:rPr>
        <w:tab/>
      </w:r>
      <w:r>
        <w:rPr>
          <w:rFonts w:ascii="宋体" w:hAnsi="宋体"/>
          <w:highlight w:val="none"/>
        </w:rPr>
        <w:t>B</w:t>
      </w:r>
      <w:r>
        <w:rPr>
          <w:rFonts w:ascii="宋体" w:hAnsi="宋体"/>
          <w:szCs w:val="21"/>
          <w:highlight w:val="none"/>
          <w:vertAlign w:val="subscript"/>
        </w:rPr>
        <w:t>1</w:t>
      </w:r>
      <w:r>
        <w:rPr>
          <w:rFonts w:ascii="宋体" w:hAnsi="宋体"/>
          <w:sz w:val="15"/>
          <w:szCs w:val="15"/>
          <w:highlight w:val="none"/>
        </w:rPr>
        <w:t>;</w:t>
      </w:r>
      <w:r>
        <w:rPr>
          <w:rFonts w:ascii="宋体" w:hAnsi="宋体"/>
          <w:highlight w:val="none"/>
        </w:rPr>
        <w:t xml:space="preserve"> B</w:t>
      </w:r>
      <w:r>
        <w:rPr>
          <w:rFonts w:ascii="宋体" w:hAnsi="宋体"/>
          <w:szCs w:val="21"/>
          <w:highlight w:val="none"/>
          <w:vertAlign w:val="subscript"/>
        </w:rPr>
        <w:t>2</w:t>
      </w:r>
      <w:r>
        <w:rPr>
          <w:rFonts w:ascii="宋体" w:hAnsi="宋体"/>
          <w:highlight w:val="none"/>
        </w:rPr>
        <w:t xml:space="preserve"> ;B</w:t>
      </w:r>
      <w:r>
        <w:rPr>
          <w:rFonts w:ascii="宋体" w:hAnsi="宋体"/>
          <w:szCs w:val="21"/>
          <w:highlight w:val="none"/>
          <w:vertAlign w:val="subscript"/>
        </w:rPr>
        <w:t>3</w:t>
      </w:r>
      <w:r>
        <w:rPr>
          <w:rFonts w:ascii="宋体" w:hAnsi="宋体"/>
          <w:sz w:val="15"/>
          <w:szCs w:val="15"/>
          <w:highlight w:val="none"/>
        </w:rPr>
        <w:t>·····</w:t>
      </w:r>
      <w:r>
        <w:rPr>
          <w:rFonts w:ascii="宋体" w:hAnsi="宋体"/>
          <w:highlight w:val="none"/>
        </w:rPr>
        <w:t>B</w:t>
      </w:r>
      <w:r>
        <w:rPr>
          <w:rFonts w:ascii="宋体" w:hAnsi="宋体"/>
          <w:szCs w:val="21"/>
          <w:highlight w:val="none"/>
          <w:vertAlign w:val="subscript"/>
        </w:rPr>
        <w:t>n</w:t>
      </w:r>
      <w:r>
        <w:rPr>
          <w:rFonts w:ascii="宋体" w:hAnsi="宋体"/>
          <w:highlight w:val="none"/>
        </w:rPr>
        <w:t xml:space="preserve"> -- 各可调因子的变值权重(即可调部分的权重)为各可调因子在投标函投标总报价中所占的比例；</w:t>
      </w:r>
    </w:p>
    <w:p w14:paraId="1187460D">
      <w:pPr>
        <w:rPr>
          <w:rFonts w:hint="eastAsia" w:ascii="宋体" w:hAnsi="宋体"/>
          <w:highlight w:val="none"/>
        </w:rPr>
      </w:pPr>
      <w:r>
        <w:rPr>
          <w:rFonts w:ascii="宋体" w:hAnsi="宋体"/>
          <w:highlight w:val="none"/>
        </w:rPr>
        <w:tab/>
      </w:r>
      <w:r>
        <w:rPr>
          <w:rFonts w:ascii="宋体" w:hAnsi="宋体"/>
          <w:highlight w:val="none"/>
        </w:rPr>
        <w:t>F</w:t>
      </w:r>
      <w:r>
        <w:rPr>
          <w:rFonts w:ascii="宋体" w:hAnsi="宋体"/>
          <w:szCs w:val="21"/>
          <w:highlight w:val="none"/>
          <w:vertAlign w:val="subscript"/>
        </w:rPr>
        <w:t>t1</w:t>
      </w:r>
      <w:r>
        <w:rPr>
          <w:rFonts w:ascii="宋体" w:hAnsi="宋体"/>
          <w:highlight w:val="none"/>
        </w:rPr>
        <w:t xml:space="preserve"> ;F</w:t>
      </w:r>
      <w:r>
        <w:rPr>
          <w:rFonts w:ascii="宋体" w:hAnsi="宋体"/>
          <w:szCs w:val="21"/>
          <w:highlight w:val="none"/>
          <w:vertAlign w:val="subscript"/>
        </w:rPr>
        <w:t>t2</w:t>
      </w:r>
      <w:r>
        <w:rPr>
          <w:rFonts w:ascii="宋体" w:hAnsi="宋体"/>
          <w:highlight w:val="none"/>
        </w:rPr>
        <w:t xml:space="preserve"> ;F</w:t>
      </w:r>
      <w:r>
        <w:rPr>
          <w:rFonts w:ascii="宋体" w:hAnsi="宋体"/>
          <w:szCs w:val="21"/>
          <w:highlight w:val="none"/>
          <w:vertAlign w:val="subscript"/>
        </w:rPr>
        <w:t>t3</w:t>
      </w:r>
      <w:r>
        <w:rPr>
          <w:rFonts w:ascii="宋体" w:hAnsi="宋体"/>
          <w:sz w:val="15"/>
          <w:szCs w:val="15"/>
          <w:highlight w:val="none"/>
        </w:rPr>
        <w:t>·····</w:t>
      </w:r>
      <w:r>
        <w:rPr>
          <w:rFonts w:ascii="宋体" w:hAnsi="宋体"/>
          <w:highlight w:val="none"/>
        </w:rPr>
        <w:t>F</w:t>
      </w:r>
      <w:r>
        <w:rPr>
          <w:rFonts w:ascii="宋体" w:hAnsi="宋体"/>
          <w:szCs w:val="21"/>
          <w:highlight w:val="none"/>
          <w:vertAlign w:val="subscript"/>
        </w:rPr>
        <w:t>tn</w:t>
      </w:r>
      <w:r>
        <w:rPr>
          <w:rFonts w:ascii="宋体" w:hAnsi="宋体"/>
          <w:highlight w:val="none"/>
        </w:rPr>
        <w:t xml:space="preserve"> -- 各可调因子的现行价格指数，指第17.3.3项、第17.5.2项和第17.6.2项约定的付款证书相关周期最后一天的前42天的各可调因子的价格指数；</w:t>
      </w:r>
    </w:p>
    <w:p w14:paraId="4557E739">
      <w:pPr>
        <w:rPr>
          <w:rFonts w:hint="eastAsia" w:ascii="宋体" w:hAnsi="宋体"/>
          <w:highlight w:val="none"/>
        </w:rPr>
      </w:pPr>
      <w:r>
        <w:rPr>
          <w:rFonts w:ascii="宋体" w:hAnsi="宋体"/>
          <w:highlight w:val="none"/>
        </w:rPr>
        <w:tab/>
      </w:r>
      <w:r>
        <w:rPr>
          <w:rFonts w:ascii="宋体" w:hAnsi="宋体"/>
          <w:highlight w:val="none"/>
        </w:rPr>
        <w:t>F</w:t>
      </w:r>
      <w:r>
        <w:rPr>
          <w:rFonts w:ascii="宋体" w:hAnsi="宋体"/>
          <w:szCs w:val="21"/>
          <w:highlight w:val="none"/>
          <w:vertAlign w:val="subscript"/>
        </w:rPr>
        <w:t>o1</w:t>
      </w:r>
      <w:r>
        <w:rPr>
          <w:rFonts w:ascii="宋体" w:hAnsi="宋体"/>
          <w:highlight w:val="none"/>
        </w:rPr>
        <w:t>; F</w:t>
      </w:r>
      <w:r>
        <w:rPr>
          <w:rFonts w:ascii="宋体" w:hAnsi="宋体"/>
          <w:szCs w:val="21"/>
          <w:highlight w:val="none"/>
          <w:vertAlign w:val="subscript"/>
        </w:rPr>
        <w:t>o2</w:t>
      </w:r>
      <w:r>
        <w:rPr>
          <w:rFonts w:ascii="宋体" w:hAnsi="宋体"/>
          <w:sz w:val="15"/>
          <w:szCs w:val="15"/>
          <w:highlight w:val="none"/>
        </w:rPr>
        <w:t>;</w:t>
      </w:r>
      <w:r>
        <w:rPr>
          <w:rFonts w:ascii="宋体" w:hAnsi="宋体"/>
          <w:highlight w:val="none"/>
        </w:rPr>
        <w:t xml:space="preserve"> F</w:t>
      </w:r>
      <w:r>
        <w:rPr>
          <w:rFonts w:ascii="宋体" w:hAnsi="宋体"/>
          <w:szCs w:val="21"/>
          <w:highlight w:val="none"/>
          <w:vertAlign w:val="subscript"/>
        </w:rPr>
        <w:t>o3</w:t>
      </w:r>
      <w:r>
        <w:rPr>
          <w:rFonts w:ascii="宋体" w:hAnsi="宋体"/>
          <w:sz w:val="15"/>
          <w:szCs w:val="15"/>
          <w:highlight w:val="none"/>
        </w:rPr>
        <w:t>·····</w:t>
      </w:r>
      <w:r>
        <w:rPr>
          <w:rFonts w:ascii="宋体" w:hAnsi="宋体"/>
          <w:highlight w:val="none"/>
        </w:rPr>
        <w:t>F</w:t>
      </w:r>
      <w:r>
        <w:rPr>
          <w:rFonts w:ascii="宋体" w:hAnsi="宋体"/>
          <w:szCs w:val="21"/>
          <w:highlight w:val="none"/>
          <w:vertAlign w:val="subscript"/>
        </w:rPr>
        <w:t>on</w:t>
      </w:r>
      <w:r>
        <w:rPr>
          <w:rFonts w:ascii="宋体" w:hAnsi="宋体"/>
          <w:highlight w:val="none"/>
        </w:rPr>
        <w:t xml:space="preserve"> -- 各可调因子的基本价格指数，指基准日期的各可调因子的价格指数。</w:t>
      </w:r>
    </w:p>
    <w:p w14:paraId="79F89324">
      <w:pPr>
        <w:rPr>
          <w:rFonts w:hint="eastAsia" w:ascii="宋体" w:hAnsi="宋体"/>
          <w:highlight w:val="none"/>
        </w:rPr>
      </w:pPr>
      <w:r>
        <w:rPr>
          <w:rFonts w:ascii="宋体" w:hAnsi="宋体"/>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04DE69BF">
      <w:pPr>
        <w:rPr>
          <w:rFonts w:hint="eastAsia" w:ascii="宋体" w:hAnsi="宋体"/>
          <w:highlight w:val="none"/>
        </w:rPr>
      </w:pPr>
      <w:r>
        <w:rPr>
          <w:rFonts w:ascii="宋体" w:hAnsi="宋体"/>
          <w:highlight w:val="none"/>
        </w:rPr>
        <w:t>16.1.1.2 暂时确定调整差额</w:t>
      </w:r>
    </w:p>
    <w:p w14:paraId="33513FEB">
      <w:pPr>
        <w:rPr>
          <w:rFonts w:hint="eastAsia" w:ascii="宋体" w:hAnsi="宋体"/>
          <w:highlight w:val="none"/>
        </w:rPr>
      </w:pPr>
      <w:r>
        <w:rPr>
          <w:rFonts w:ascii="宋体" w:hAnsi="宋体"/>
          <w:highlight w:val="none"/>
        </w:rPr>
        <w:t>在计算调整差额时得不到现行价格指数的，可暂用上一次价格指数计算，并在以后的付款中再按实际价格指数进行调整。</w:t>
      </w:r>
    </w:p>
    <w:p w14:paraId="1506E2A8">
      <w:pPr>
        <w:rPr>
          <w:rFonts w:hint="eastAsia" w:ascii="宋体" w:hAnsi="宋体"/>
          <w:highlight w:val="none"/>
        </w:rPr>
      </w:pPr>
      <w:r>
        <w:rPr>
          <w:rFonts w:ascii="宋体" w:hAnsi="宋体"/>
          <w:highlight w:val="none"/>
        </w:rPr>
        <w:t>16.1.1.3 权重的调整</w:t>
      </w:r>
    </w:p>
    <w:p w14:paraId="29D34501">
      <w:pPr>
        <w:rPr>
          <w:rFonts w:hint="eastAsia" w:ascii="宋体" w:hAnsi="宋体"/>
          <w:highlight w:val="none"/>
        </w:rPr>
      </w:pPr>
      <w:r>
        <w:rPr>
          <w:rFonts w:ascii="宋体" w:hAnsi="宋体"/>
          <w:highlight w:val="none"/>
        </w:rPr>
        <w:t>按第15.1款约定的变更导致原定合同中的权重不合理时，由监理人与承包人和发包人协商后进行调整。</w:t>
      </w:r>
    </w:p>
    <w:p w14:paraId="7166B904">
      <w:pPr>
        <w:rPr>
          <w:rFonts w:hint="eastAsia" w:ascii="宋体" w:hAnsi="宋体"/>
          <w:highlight w:val="none"/>
        </w:rPr>
      </w:pPr>
      <w:r>
        <w:rPr>
          <w:rFonts w:ascii="宋体" w:hAnsi="宋体"/>
          <w:highlight w:val="none"/>
        </w:rPr>
        <w:t>16.1.1.4 承包人工期延误后的价格调整</w:t>
      </w:r>
    </w:p>
    <w:p w14:paraId="256F8B78">
      <w:pPr>
        <w:rPr>
          <w:rFonts w:hint="eastAsia" w:ascii="宋体" w:hAnsi="宋体"/>
          <w:highlight w:val="none"/>
        </w:rPr>
      </w:pPr>
      <w:r>
        <w:rPr>
          <w:rFonts w:ascii="宋体" w:hAnsi="宋体"/>
          <w:highlight w:val="none"/>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20D88C09">
      <w:pPr>
        <w:rPr>
          <w:rFonts w:hint="eastAsia" w:ascii="宋体" w:hAnsi="宋体"/>
          <w:highlight w:val="none"/>
        </w:rPr>
      </w:pPr>
      <w:r>
        <w:rPr>
          <w:rFonts w:ascii="宋体" w:hAnsi="宋体"/>
          <w:highlight w:val="none"/>
        </w:rPr>
        <w:t xml:space="preserve">16.1.2 </w:t>
      </w:r>
      <w:r>
        <w:rPr>
          <w:rFonts w:hint="eastAsia" w:ascii="宋体" w:hAnsi="宋体" w:cs="宋体"/>
          <w:highlight w:val="none"/>
        </w:rPr>
        <w:t>采用造价信息调整价格差额</w:t>
      </w:r>
    </w:p>
    <w:p w14:paraId="28ACE1E3">
      <w:pPr>
        <w:rPr>
          <w:rFonts w:hint="eastAsia" w:ascii="宋体" w:hAnsi="宋体"/>
          <w:highlight w:val="none"/>
        </w:rPr>
      </w:pPr>
      <w:r>
        <w:rPr>
          <w:rFonts w:ascii="宋体" w:hAnsi="宋体"/>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14670BA5">
      <w:pPr>
        <w:keepNext/>
        <w:keepLines/>
        <w:spacing w:line="400" w:lineRule="exact"/>
        <w:outlineLvl w:val="2"/>
        <w:rPr>
          <w:rFonts w:hint="eastAsia" w:ascii="宋体" w:hAnsi="宋体"/>
          <w:sz w:val="24"/>
          <w:szCs w:val="20"/>
          <w:highlight w:val="none"/>
        </w:rPr>
      </w:pPr>
      <w:bookmarkStart w:id="1257" w:name="_Toc152042496"/>
      <w:bookmarkStart w:id="1258" w:name="_Toc152045717"/>
      <w:bookmarkStart w:id="1259" w:name="_Toc338944810"/>
      <w:bookmarkStart w:id="1260" w:name="_Toc179632735"/>
      <w:bookmarkStart w:id="1261" w:name="_Toc159950718"/>
      <w:bookmarkStart w:id="1262" w:name="_Toc144974688"/>
      <w:bookmarkStart w:id="1263" w:name="_Toc342296368"/>
      <w:r>
        <w:rPr>
          <w:rFonts w:ascii="宋体" w:hAnsi="宋体"/>
          <w:sz w:val="24"/>
          <w:szCs w:val="20"/>
          <w:highlight w:val="none"/>
        </w:rPr>
        <w:t>16.2 法律变化引起的价格调整</w:t>
      </w:r>
      <w:bookmarkEnd w:id="1257"/>
      <w:bookmarkEnd w:id="1258"/>
      <w:bookmarkEnd w:id="1259"/>
      <w:bookmarkEnd w:id="1260"/>
      <w:bookmarkEnd w:id="1261"/>
      <w:bookmarkEnd w:id="1262"/>
      <w:bookmarkEnd w:id="1263"/>
    </w:p>
    <w:p w14:paraId="11D0D1B0">
      <w:pPr>
        <w:spacing w:line="400" w:lineRule="exact"/>
        <w:ind w:firstLine="420" w:firstLineChars="200"/>
        <w:rPr>
          <w:rFonts w:hint="eastAsia" w:ascii="宋体" w:hAnsi="宋体"/>
          <w:highlight w:val="none"/>
        </w:rPr>
      </w:pPr>
      <w:r>
        <w:rPr>
          <w:rFonts w:ascii="宋体" w:hAnsi="宋体"/>
          <w:highlight w:val="none"/>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08D37F18">
      <w:pPr>
        <w:keepNext/>
        <w:keepLines/>
        <w:spacing w:line="400" w:lineRule="exact"/>
        <w:outlineLvl w:val="1"/>
        <w:rPr>
          <w:rFonts w:hint="eastAsia" w:ascii="宋体" w:hAnsi="宋体" w:cs="仿宋_GB2312"/>
          <w:sz w:val="28"/>
          <w:szCs w:val="20"/>
          <w:highlight w:val="none"/>
        </w:rPr>
      </w:pPr>
      <w:bookmarkStart w:id="1264" w:name="_Toc342296369"/>
      <w:bookmarkStart w:id="1265" w:name="_Toc448758438"/>
      <w:bookmarkStart w:id="1266" w:name="_Toc159950719"/>
      <w:bookmarkStart w:id="1267" w:name="_Toc469660033"/>
      <w:bookmarkStart w:id="1268" w:name="_Toc448758538"/>
      <w:bookmarkStart w:id="1269" w:name="_Toc442365630"/>
      <w:bookmarkStart w:id="1270" w:name="_Toc338944811"/>
      <w:r>
        <w:rPr>
          <w:rFonts w:ascii="宋体" w:hAnsi="宋体" w:cs="仿宋_GB2312"/>
          <w:sz w:val="28"/>
          <w:szCs w:val="20"/>
          <w:highlight w:val="none"/>
        </w:rPr>
        <w:t>17. 计量与支付</w:t>
      </w:r>
      <w:bookmarkEnd w:id="1264"/>
      <w:bookmarkEnd w:id="1265"/>
      <w:bookmarkEnd w:id="1266"/>
      <w:bookmarkEnd w:id="1267"/>
      <w:bookmarkEnd w:id="1268"/>
      <w:bookmarkEnd w:id="1269"/>
      <w:bookmarkEnd w:id="1270"/>
    </w:p>
    <w:p w14:paraId="10C8519B">
      <w:pPr>
        <w:keepNext/>
        <w:keepLines/>
        <w:spacing w:line="400" w:lineRule="exact"/>
        <w:outlineLvl w:val="2"/>
        <w:rPr>
          <w:rFonts w:hint="eastAsia" w:ascii="宋体" w:hAnsi="宋体"/>
          <w:sz w:val="24"/>
          <w:szCs w:val="20"/>
          <w:highlight w:val="none"/>
        </w:rPr>
      </w:pPr>
      <w:bookmarkStart w:id="1271" w:name="_Toc342296370"/>
      <w:bookmarkStart w:id="1272" w:name="_Toc159950720"/>
      <w:bookmarkStart w:id="1273" w:name="_Toc338944812"/>
      <w:r>
        <w:rPr>
          <w:rFonts w:ascii="宋体" w:hAnsi="宋体"/>
          <w:sz w:val="24"/>
          <w:szCs w:val="20"/>
          <w:highlight w:val="none"/>
        </w:rPr>
        <w:t>17.1 计量</w:t>
      </w:r>
      <w:bookmarkEnd w:id="1271"/>
      <w:bookmarkEnd w:id="1272"/>
      <w:bookmarkEnd w:id="1273"/>
    </w:p>
    <w:p w14:paraId="0BAE07B8">
      <w:pPr>
        <w:spacing w:line="400" w:lineRule="exact"/>
        <w:ind w:firstLine="420" w:firstLineChars="200"/>
        <w:rPr>
          <w:rFonts w:hint="eastAsia" w:ascii="宋体" w:hAnsi="宋体"/>
          <w:highlight w:val="none"/>
        </w:rPr>
      </w:pPr>
      <w:r>
        <w:rPr>
          <w:rFonts w:ascii="宋体" w:hAnsi="宋体"/>
          <w:highlight w:val="none"/>
        </w:rPr>
        <w:t xml:space="preserve">17.1.1 </w:t>
      </w:r>
      <w:r>
        <w:rPr>
          <w:rFonts w:hint="eastAsia" w:ascii="宋体" w:hAnsi="宋体" w:cs="宋体"/>
          <w:highlight w:val="none"/>
        </w:rPr>
        <w:t>计量单位</w:t>
      </w:r>
    </w:p>
    <w:p w14:paraId="32DBF3C2">
      <w:pPr>
        <w:spacing w:line="400" w:lineRule="exact"/>
        <w:ind w:firstLine="420" w:firstLineChars="200"/>
        <w:rPr>
          <w:rFonts w:hint="eastAsia" w:ascii="宋体" w:hAnsi="宋体"/>
          <w:highlight w:val="none"/>
        </w:rPr>
      </w:pPr>
      <w:r>
        <w:rPr>
          <w:rFonts w:ascii="宋体" w:hAnsi="宋体"/>
          <w:highlight w:val="none"/>
        </w:rPr>
        <w:t>计量采用国家法定的计量单位。</w:t>
      </w:r>
    </w:p>
    <w:p w14:paraId="12380A4C">
      <w:pPr>
        <w:spacing w:line="400" w:lineRule="exact"/>
        <w:ind w:firstLine="420" w:firstLineChars="200"/>
        <w:rPr>
          <w:rFonts w:hint="eastAsia" w:ascii="宋体" w:hAnsi="宋体"/>
          <w:highlight w:val="none"/>
        </w:rPr>
      </w:pPr>
      <w:r>
        <w:rPr>
          <w:rFonts w:ascii="宋体" w:hAnsi="宋体"/>
          <w:highlight w:val="none"/>
        </w:rPr>
        <w:t xml:space="preserve">17.1.2 </w:t>
      </w:r>
      <w:r>
        <w:rPr>
          <w:rFonts w:hint="eastAsia" w:ascii="宋体" w:hAnsi="宋体" w:cs="宋体"/>
          <w:highlight w:val="none"/>
        </w:rPr>
        <w:t>计量方法</w:t>
      </w:r>
    </w:p>
    <w:p w14:paraId="7C59E722">
      <w:pPr>
        <w:spacing w:line="400" w:lineRule="exact"/>
        <w:ind w:firstLine="420" w:firstLineChars="200"/>
        <w:rPr>
          <w:rFonts w:hint="eastAsia" w:ascii="宋体" w:hAnsi="宋体"/>
          <w:highlight w:val="none"/>
        </w:rPr>
      </w:pPr>
      <w:r>
        <w:rPr>
          <w:rFonts w:ascii="宋体" w:hAnsi="宋体"/>
          <w:highlight w:val="none"/>
        </w:rPr>
        <w:t>工程量清单中的工程量计算规则应按有关国家标准、行业标准的规定，并在合同中约定执行。</w:t>
      </w:r>
    </w:p>
    <w:p w14:paraId="3A10583E">
      <w:pPr>
        <w:spacing w:line="400" w:lineRule="exact"/>
        <w:ind w:firstLine="420" w:firstLineChars="200"/>
        <w:rPr>
          <w:rFonts w:hint="eastAsia" w:ascii="宋体" w:hAnsi="宋体"/>
          <w:highlight w:val="none"/>
        </w:rPr>
      </w:pPr>
      <w:r>
        <w:rPr>
          <w:rFonts w:ascii="宋体" w:hAnsi="宋体"/>
          <w:highlight w:val="none"/>
        </w:rPr>
        <w:t xml:space="preserve">17.1.3 </w:t>
      </w:r>
      <w:r>
        <w:rPr>
          <w:rFonts w:hint="eastAsia" w:ascii="宋体" w:hAnsi="宋体" w:cs="宋体"/>
          <w:highlight w:val="none"/>
        </w:rPr>
        <w:t>计量周期</w:t>
      </w:r>
    </w:p>
    <w:p w14:paraId="7A605954">
      <w:pPr>
        <w:spacing w:line="400" w:lineRule="exact"/>
        <w:ind w:firstLine="420" w:firstLineChars="200"/>
        <w:rPr>
          <w:rFonts w:hint="eastAsia" w:ascii="宋体" w:hAnsi="宋体"/>
          <w:highlight w:val="none"/>
        </w:rPr>
      </w:pPr>
      <w:r>
        <w:rPr>
          <w:rFonts w:ascii="宋体" w:hAnsi="宋体"/>
          <w:highlight w:val="none"/>
        </w:rPr>
        <w:t>除专用合同条款另有约定外，单价子目已完成工程量按月计量，总价子目的计量周期按批准的支付分解报告确定。</w:t>
      </w:r>
    </w:p>
    <w:p w14:paraId="123B460E">
      <w:pPr>
        <w:spacing w:line="400" w:lineRule="exact"/>
        <w:ind w:firstLine="420" w:firstLineChars="200"/>
        <w:rPr>
          <w:rFonts w:hint="eastAsia" w:ascii="宋体" w:hAnsi="宋体"/>
          <w:highlight w:val="none"/>
        </w:rPr>
      </w:pPr>
      <w:r>
        <w:rPr>
          <w:rFonts w:ascii="宋体" w:hAnsi="宋体"/>
          <w:highlight w:val="none"/>
        </w:rPr>
        <w:t xml:space="preserve">17.1.4 </w:t>
      </w:r>
      <w:r>
        <w:rPr>
          <w:rFonts w:hint="eastAsia" w:ascii="宋体" w:hAnsi="宋体" w:cs="宋体"/>
          <w:highlight w:val="none"/>
        </w:rPr>
        <w:t>单价子目的计量</w:t>
      </w:r>
    </w:p>
    <w:p w14:paraId="5829211F">
      <w:pPr>
        <w:spacing w:line="400" w:lineRule="exact"/>
        <w:ind w:firstLine="283" w:firstLineChars="135"/>
        <w:rPr>
          <w:rFonts w:hint="eastAsia" w:ascii="宋体" w:hAnsi="宋体"/>
          <w:highlight w:val="none"/>
        </w:rPr>
      </w:pPr>
      <w:r>
        <w:rPr>
          <w:rFonts w:ascii="宋体" w:hAnsi="宋体"/>
          <w:highlight w:val="none"/>
        </w:rPr>
        <w:t>（1）已标价工程量清单中的单价子目工程量为估算工程量。结算工程量是承包人实际完成的，并按合同约定的计量方法进行计量的工程量。</w:t>
      </w:r>
    </w:p>
    <w:p w14:paraId="4FF0410F">
      <w:pPr>
        <w:spacing w:line="400" w:lineRule="exact"/>
        <w:ind w:firstLine="283" w:firstLineChars="135"/>
        <w:rPr>
          <w:rFonts w:hint="eastAsia" w:ascii="宋体" w:hAnsi="宋体"/>
          <w:highlight w:val="none"/>
        </w:rPr>
      </w:pPr>
      <w:r>
        <w:rPr>
          <w:rFonts w:ascii="宋体" w:hAnsi="宋体"/>
          <w:highlight w:val="none"/>
        </w:rPr>
        <w:t>（2）承包人对已完成的工程进行计量，向监理人提交进度付款申请单、已完成工程量报表和有关计量资料。</w:t>
      </w:r>
    </w:p>
    <w:p w14:paraId="38DB31FC">
      <w:pPr>
        <w:spacing w:line="400" w:lineRule="exact"/>
        <w:ind w:firstLine="283" w:firstLineChars="135"/>
        <w:rPr>
          <w:rFonts w:hint="eastAsia" w:ascii="宋体" w:hAnsi="宋体"/>
          <w:highlight w:val="none"/>
        </w:rPr>
      </w:pPr>
      <w:r>
        <w:rPr>
          <w:rFonts w:ascii="宋体" w:hAnsi="宋体"/>
          <w:highlight w:val="none"/>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2CCC6E6D">
      <w:pPr>
        <w:spacing w:line="400" w:lineRule="exact"/>
        <w:ind w:firstLine="283" w:firstLineChars="135"/>
        <w:rPr>
          <w:rFonts w:hint="eastAsia" w:ascii="宋体" w:hAnsi="宋体"/>
          <w:highlight w:val="none"/>
        </w:rPr>
      </w:pPr>
      <w:r>
        <w:rPr>
          <w:rFonts w:ascii="宋体" w:hAnsi="宋体"/>
          <w:highlight w:val="none"/>
        </w:rPr>
        <w:t>（4）监理人认为有必要时，可通知承包人共同进行联合测量、计量，承包人应遵照执行。</w:t>
      </w:r>
    </w:p>
    <w:p w14:paraId="0E53CA33">
      <w:pPr>
        <w:spacing w:line="400" w:lineRule="exact"/>
        <w:ind w:firstLine="283" w:firstLineChars="135"/>
        <w:rPr>
          <w:rFonts w:hint="eastAsia" w:ascii="宋体" w:hAnsi="宋体"/>
          <w:highlight w:val="none"/>
        </w:rPr>
      </w:pPr>
      <w:r>
        <w:rPr>
          <w:rFonts w:ascii="宋体" w:hAnsi="宋体"/>
          <w:highlight w:val="none"/>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5FEDB79A">
      <w:pPr>
        <w:spacing w:line="400" w:lineRule="exact"/>
        <w:ind w:firstLine="283" w:firstLineChars="135"/>
        <w:rPr>
          <w:rFonts w:hint="eastAsia" w:ascii="宋体" w:hAnsi="宋体"/>
          <w:highlight w:val="none"/>
        </w:rPr>
      </w:pPr>
      <w:r>
        <w:rPr>
          <w:rFonts w:ascii="宋体" w:hAnsi="宋体"/>
          <w:highlight w:val="none"/>
        </w:rPr>
        <w:t>（6）监理人应在收到承包人提交的工程量报表后的7天内进行复核，监理人未在约定时间内复核的，承包人提交的工程量报表中的工程量视为承包人实际完成的工程量，据此计算工程价款。</w:t>
      </w:r>
    </w:p>
    <w:p w14:paraId="57400415">
      <w:pPr>
        <w:spacing w:line="400" w:lineRule="exact"/>
        <w:ind w:firstLine="420" w:firstLineChars="200"/>
        <w:rPr>
          <w:rFonts w:hint="eastAsia" w:ascii="宋体" w:hAnsi="宋体"/>
          <w:highlight w:val="none"/>
        </w:rPr>
      </w:pPr>
      <w:r>
        <w:rPr>
          <w:rFonts w:ascii="宋体" w:hAnsi="宋体"/>
          <w:highlight w:val="none"/>
        </w:rPr>
        <w:t xml:space="preserve">17.1.5 </w:t>
      </w:r>
      <w:r>
        <w:rPr>
          <w:rFonts w:hint="eastAsia" w:ascii="宋体" w:hAnsi="宋体" w:cs="宋体"/>
          <w:highlight w:val="none"/>
        </w:rPr>
        <w:t>总价子目的计量</w:t>
      </w:r>
    </w:p>
    <w:p w14:paraId="0CE785B2">
      <w:pPr>
        <w:spacing w:line="400" w:lineRule="exact"/>
        <w:ind w:firstLine="630" w:firstLineChars="300"/>
        <w:rPr>
          <w:rFonts w:hint="eastAsia" w:ascii="宋体" w:hAnsi="宋体"/>
          <w:highlight w:val="none"/>
        </w:rPr>
      </w:pPr>
      <w:r>
        <w:rPr>
          <w:rFonts w:ascii="宋体" w:hAnsi="宋体"/>
          <w:highlight w:val="none"/>
        </w:rPr>
        <w:t>除专用合同条款另有约定外，总价子目的分解和计量按照下述约定进行。</w:t>
      </w:r>
    </w:p>
    <w:p w14:paraId="4F106D3B">
      <w:pPr>
        <w:spacing w:line="400" w:lineRule="exact"/>
        <w:ind w:firstLine="424" w:firstLineChars="202"/>
        <w:rPr>
          <w:rFonts w:hint="eastAsia" w:ascii="宋体" w:hAnsi="宋体"/>
          <w:highlight w:val="none"/>
        </w:rPr>
      </w:pPr>
      <w:r>
        <w:rPr>
          <w:rFonts w:ascii="宋体" w:hAnsi="宋体"/>
          <w:highlight w:val="none"/>
        </w:rPr>
        <w:t>（1）总价子目的计量和支付应以总价为基础，不因第16.1款中的因素而进行调整。承包人实际完成的工程量，是进行工程目标管理和控制进度支付的依据。</w:t>
      </w:r>
    </w:p>
    <w:p w14:paraId="1A30F659">
      <w:pPr>
        <w:spacing w:line="400" w:lineRule="exact"/>
        <w:ind w:firstLine="424" w:firstLineChars="202"/>
        <w:rPr>
          <w:rFonts w:hint="eastAsia" w:ascii="宋体" w:hAnsi="宋体"/>
          <w:highlight w:val="none"/>
        </w:rPr>
      </w:pPr>
      <w:r>
        <w:rPr>
          <w:rFonts w:ascii="宋体" w:hAnsi="宋体"/>
          <w:highlight w:val="none"/>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79BDDD40">
      <w:pPr>
        <w:spacing w:line="400" w:lineRule="exact"/>
        <w:ind w:firstLine="424" w:firstLineChars="202"/>
        <w:rPr>
          <w:rFonts w:hint="eastAsia" w:ascii="宋体" w:hAnsi="宋体"/>
          <w:highlight w:val="none"/>
        </w:rPr>
      </w:pPr>
      <w:r>
        <w:rPr>
          <w:rFonts w:ascii="宋体" w:hAnsi="宋体"/>
          <w:highlight w:val="none"/>
        </w:rPr>
        <w:t>（3）监理人对承包人提交的上述资料进行复核，以确定分阶段实际完成的工程量和工程形象目标。对其有异议的，可要求承包人按第8.2款约定进行共同复核和抽样复测。</w:t>
      </w:r>
    </w:p>
    <w:p w14:paraId="6E11A40A">
      <w:pPr>
        <w:spacing w:line="400" w:lineRule="exact"/>
        <w:ind w:firstLine="424" w:firstLineChars="202"/>
        <w:rPr>
          <w:rFonts w:hint="eastAsia" w:ascii="宋体" w:hAnsi="宋体"/>
          <w:highlight w:val="none"/>
        </w:rPr>
      </w:pPr>
      <w:r>
        <w:rPr>
          <w:rFonts w:ascii="宋体" w:hAnsi="宋体"/>
          <w:highlight w:val="none"/>
        </w:rPr>
        <w:t xml:space="preserve">（4）除按照第15条约定的变更外，总价子目的工程量是承包人用于结算的最终工程量。 </w:t>
      </w:r>
    </w:p>
    <w:p w14:paraId="5025146F">
      <w:pPr>
        <w:keepNext/>
        <w:keepLines/>
        <w:spacing w:line="400" w:lineRule="exact"/>
        <w:outlineLvl w:val="2"/>
        <w:rPr>
          <w:rFonts w:hint="eastAsia" w:ascii="宋体" w:hAnsi="宋体"/>
          <w:sz w:val="24"/>
          <w:szCs w:val="20"/>
          <w:highlight w:val="none"/>
        </w:rPr>
      </w:pPr>
      <w:bookmarkStart w:id="1274" w:name="_Toc338944813"/>
      <w:bookmarkStart w:id="1275" w:name="_Toc342296371"/>
      <w:bookmarkStart w:id="1276" w:name="_Toc159950721"/>
      <w:r>
        <w:rPr>
          <w:rFonts w:ascii="宋体" w:hAnsi="宋体"/>
          <w:sz w:val="24"/>
          <w:szCs w:val="20"/>
          <w:highlight w:val="none"/>
        </w:rPr>
        <w:t>17.2 预付款</w:t>
      </w:r>
      <w:bookmarkEnd w:id="1274"/>
      <w:bookmarkEnd w:id="1275"/>
      <w:bookmarkEnd w:id="1276"/>
    </w:p>
    <w:p w14:paraId="7128DD42">
      <w:pPr>
        <w:spacing w:line="400" w:lineRule="exact"/>
        <w:ind w:firstLine="420" w:firstLineChars="200"/>
        <w:rPr>
          <w:rFonts w:hint="eastAsia" w:ascii="宋体" w:hAnsi="宋体"/>
          <w:highlight w:val="none"/>
        </w:rPr>
      </w:pPr>
      <w:r>
        <w:rPr>
          <w:rFonts w:ascii="宋体" w:hAnsi="宋体"/>
          <w:highlight w:val="none"/>
        </w:rPr>
        <w:t xml:space="preserve">17.2.1 </w:t>
      </w:r>
      <w:r>
        <w:rPr>
          <w:rFonts w:hint="eastAsia" w:ascii="宋体" w:hAnsi="宋体" w:cs="宋体"/>
          <w:highlight w:val="none"/>
        </w:rPr>
        <w:t>预付款</w:t>
      </w:r>
    </w:p>
    <w:p w14:paraId="670AB9CD">
      <w:pPr>
        <w:spacing w:line="400" w:lineRule="exact"/>
        <w:ind w:firstLine="420" w:firstLineChars="200"/>
        <w:rPr>
          <w:rFonts w:hint="eastAsia" w:ascii="宋体" w:hAnsi="宋体"/>
          <w:highlight w:val="none"/>
        </w:rPr>
      </w:pPr>
      <w:r>
        <w:rPr>
          <w:rFonts w:ascii="宋体" w:hAnsi="宋体"/>
          <w:highlight w:val="none"/>
        </w:rPr>
        <w:t>预付款用于承包人为合同工程施工购置材料、工程设备、施工设备、修建临时设施以及组织施工队伍进场等。预付款的额度和预付办法在专用合同条款中约定。预付款必须专用于合同工程。</w:t>
      </w:r>
    </w:p>
    <w:p w14:paraId="1E063A5B">
      <w:pPr>
        <w:spacing w:line="400" w:lineRule="exact"/>
        <w:ind w:firstLine="420" w:firstLineChars="200"/>
        <w:rPr>
          <w:rFonts w:hint="eastAsia" w:ascii="宋体" w:hAnsi="宋体"/>
          <w:highlight w:val="none"/>
        </w:rPr>
      </w:pPr>
      <w:r>
        <w:rPr>
          <w:rFonts w:ascii="宋体" w:hAnsi="宋体"/>
          <w:highlight w:val="none"/>
        </w:rPr>
        <w:t xml:space="preserve">17.2.2 </w:t>
      </w:r>
      <w:r>
        <w:rPr>
          <w:rFonts w:hint="eastAsia" w:ascii="宋体" w:hAnsi="宋体" w:cs="宋体"/>
          <w:highlight w:val="none"/>
        </w:rPr>
        <w:t>预付款保函</w:t>
      </w:r>
    </w:p>
    <w:p w14:paraId="025CFCB6">
      <w:pPr>
        <w:spacing w:line="400" w:lineRule="exact"/>
        <w:ind w:firstLine="420" w:firstLineChars="200"/>
        <w:rPr>
          <w:rFonts w:hint="eastAsia" w:ascii="宋体" w:hAnsi="宋体"/>
          <w:highlight w:val="none"/>
        </w:rPr>
      </w:pPr>
      <w:r>
        <w:rPr>
          <w:rFonts w:ascii="宋体" w:hAnsi="宋体"/>
          <w:highlight w:val="none"/>
        </w:rPr>
        <w:t>除专用合同条款另有约定外，承包人应在收到预付款的同时向发包人提交预付款保函，预付款保函的担保金额应与预付款金额相同。保函的担保金额可根据预付款扣回的金额相应递减。</w:t>
      </w:r>
    </w:p>
    <w:p w14:paraId="4D5D2A9C">
      <w:pPr>
        <w:spacing w:line="400" w:lineRule="exact"/>
        <w:ind w:firstLine="420" w:firstLineChars="200"/>
        <w:rPr>
          <w:rFonts w:hint="eastAsia" w:ascii="宋体" w:hAnsi="宋体"/>
          <w:highlight w:val="none"/>
        </w:rPr>
      </w:pPr>
      <w:r>
        <w:rPr>
          <w:rFonts w:ascii="宋体" w:hAnsi="宋体"/>
          <w:highlight w:val="none"/>
        </w:rPr>
        <w:t xml:space="preserve">17.2.3 </w:t>
      </w:r>
      <w:r>
        <w:rPr>
          <w:rFonts w:hint="eastAsia" w:ascii="宋体" w:hAnsi="宋体" w:cs="宋体"/>
          <w:highlight w:val="none"/>
        </w:rPr>
        <w:t>预付款的扣回与还清</w:t>
      </w:r>
    </w:p>
    <w:p w14:paraId="7967DE76">
      <w:pPr>
        <w:spacing w:line="400" w:lineRule="exact"/>
        <w:ind w:firstLine="420" w:firstLineChars="200"/>
        <w:rPr>
          <w:rFonts w:hint="eastAsia" w:ascii="宋体" w:hAnsi="宋体"/>
          <w:highlight w:val="none"/>
        </w:rPr>
      </w:pPr>
      <w:r>
        <w:rPr>
          <w:rFonts w:ascii="宋体" w:hAnsi="宋体"/>
          <w:highlight w:val="none"/>
        </w:rPr>
        <w:t>预付款在进度付款中扣回，扣回办法在专用合同条款中约定。在颁发工程接收证书前，由于不可抗力或其他原因解除合同时，预付款尚未扣清的，尚未扣清的预付款余额应作为承包人的到期应付款。</w:t>
      </w:r>
    </w:p>
    <w:p w14:paraId="00E9A4C5">
      <w:pPr>
        <w:keepNext/>
        <w:keepLines/>
        <w:spacing w:line="400" w:lineRule="exact"/>
        <w:outlineLvl w:val="2"/>
        <w:rPr>
          <w:rFonts w:hint="eastAsia" w:ascii="宋体" w:hAnsi="宋体"/>
          <w:sz w:val="24"/>
          <w:szCs w:val="20"/>
          <w:highlight w:val="none"/>
        </w:rPr>
      </w:pPr>
      <w:bookmarkStart w:id="1277" w:name="_Toc159950722"/>
      <w:bookmarkStart w:id="1278" w:name="_Toc342296372"/>
      <w:bookmarkStart w:id="1279" w:name="_Toc338944814"/>
      <w:r>
        <w:rPr>
          <w:rFonts w:ascii="宋体" w:hAnsi="宋体"/>
          <w:sz w:val="24"/>
          <w:szCs w:val="20"/>
          <w:highlight w:val="none"/>
        </w:rPr>
        <w:t>17.3 工程进度付款</w:t>
      </w:r>
      <w:bookmarkEnd w:id="1277"/>
      <w:bookmarkEnd w:id="1278"/>
      <w:bookmarkEnd w:id="1279"/>
    </w:p>
    <w:p w14:paraId="32A81AEF">
      <w:pPr>
        <w:spacing w:line="400" w:lineRule="exact"/>
        <w:ind w:firstLine="420" w:firstLineChars="200"/>
        <w:rPr>
          <w:rFonts w:hint="eastAsia" w:ascii="宋体" w:hAnsi="宋体"/>
          <w:highlight w:val="none"/>
        </w:rPr>
      </w:pPr>
      <w:r>
        <w:rPr>
          <w:rFonts w:ascii="宋体" w:hAnsi="宋体"/>
          <w:highlight w:val="none"/>
        </w:rPr>
        <w:t xml:space="preserve">17.3.1 </w:t>
      </w:r>
      <w:r>
        <w:rPr>
          <w:rFonts w:hint="eastAsia" w:ascii="宋体" w:hAnsi="宋体" w:cs="宋体"/>
          <w:highlight w:val="none"/>
        </w:rPr>
        <w:t>付款周期</w:t>
      </w:r>
    </w:p>
    <w:p w14:paraId="2D2E9676">
      <w:pPr>
        <w:spacing w:line="400" w:lineRule="exact"/>
        <w:ind w:firstLine="420" w:firstLineChars="200"/>
        <w:rPr>
          <w:rFonts w:hint="eastAsia" w:ascii="宋体" w:hAnsi="宋体"/>
          <w:highlight w:val="none"/>
        </w:rPr>
      </w:pPr>
      <w:r>
        <w:rPr>
          <w:rFonts w:ascii="宋体" w:hAnsi="宋体"/>
          <w:highlight w:val="none"/>
        </w:rPr>
        <w:t>付款周期同计量周期。</w:t>
      </w:r>
    </w:p>
    <w:p w14:paraId="5FE7E6E5">
      <w:pPr>
        <w:spacing w:line="400" w:lineRule="exact"/>
        <w:ind w:firstLine="420" w:firstLineChars="200"/>
        <w:rPr>
          <w:rFonts w:hint="eastAsia" w:ascii="宋体" w:hAnsi="宋体"/>
          <w:highlight w:val="none"/>
        </w:rPr>
      </w:pPr>
      <w:r>
        <w:rPr>
          <w:rFonts w:ascii="宋体" w:hAnsi="宋体"/>
          <w:highlight w:val="none"/>
        </w:rPr>
        <w:t xml:space="preserve">17.3.2 </w:t>
      </w:r>
      <w:r>
        <w:rPr>
          <w:rFonts w:hint="eastAsia" w:ascii="宋体" w:hAnsi="宋体" w:cs="宋体"/>
          <w:highlight w:val="none"/>
        </w:rPr>
        <w:t>进度付款申请单</w:t>
      </w:r>
    </w:p>
    <w:p w14:paraId="7A2FDAAE">
      <w:pPr>
        <w:spacing w:line="400" w:lineRule="exact"/>
        <w:ind w:firstLine="420" w:firstLineChars="200"/>
        <w:rPr>
          <w:rFonts w:hint="eastAsia" w:ascii="宋体" w:hAnsi="宋体"/>
          <w:dstrike/>
          <w:szCs w:val="21"/>
          <w:highlight w:val="none"/>
        </w:rPr>
      </w:pPr>
      <w:r>
        <w:rPr>
          <w:rFonts w:ascii="宋体" w:hAnsi="宋体"/>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610FD33D">
      <w:pPr>
        <w:spacing w:line="400" w:lineRule="exact"/>
        <w:ind w:firstLine="420" w:firstLineChars="200"/>
        <w:rPr>
          <w:rFonts w:hint="eastAsia" w:ascii="宋体" w:hAnsi="宋体"/>
          <w:highlight w:val="none"/>
        </w:rPr>
      </w:pPr>
      <w:r>
        <w:rPr>
          <w:rFonts w:ascii="宋体" w:hAnsi="宋体"/>
          <w:highlight w:val="none"/>
        </w:rPr>
        <w:t>（1）截至本次付款周期末已实施工程的价款；</w:t>
      </w:r>
    </w:p>
    <w:p w14:paraId="1B1EE3F8">
      <w:pPr>
        <w:spacing w:line="400" w:lineRule="exact"/>
        <w:ind w:firstLine="420" w:firstLineChars="200"/>
        <w:rPr>
          <w:rFonts w:hint="eastAsia" w:ascii="宋体" w:hAnsi="宋体"/>
          <w:highlight w:val="none"/>
        </w:rPr>
      </w:pPr>
      <w:r>
        <w:rPr>
          <w:rFonts w:ascii="宋体" w:hAnsi="宋体"/>
          <w:highlight w:val="none"/>
        </w:rPr>
        <w:t>（2）根据第15条应增加和扣减的变更金额；</w:t>
      </w:r>
    </w:p>
    <w:p w14:paraId="681F4C9A">
      <w:pPr>
        <w:spacing w:line="400" w:lineRule="exact"/>
        <w:ind w:firstLine="420" w:firstLineChars="200"/>
        <w:rPr>
          <w:rFonts w:hint="eastAsia" w:ascii="宋体" w:hAnsi="宋体"/>
          <w:highlight w:val="none"/>
        </w:rPr>
      </w:pPr>
      <w:r>
        <w:rPr>
          <w:rFonts w:ascii="宋体" w:hAnsi="宋体"/>
          <w:highlight w:val="none"/>
        </w:rPr>
        <w:t>（3）根据第23条应增加和扣减的索赔金额；</w:t>
      </w:r>
    </w:p>
    <w:p w14:paraId="33122E2E">
      <w:pPr>
        <w:spacing w:line="400" w:lineRule="exact"/>
        <w:ind w:firstLine="420" w:firstLineChars="200"/>
        <w:rPr>
          <w:rFonts w:hint="eastAsia" w:ascii="宋体" w:hAnsi="宋体"/>
          <w:highlight w:val="none"/>
        </w:rPr>
      </w:pPr>
      <w:r>
        <w:rPr>
          <w:rFonts w:ascii="宋体" w:hAnsi="宋体"/>
          <w:highlight w:val="none"/>
        </w:rPr>
        <w:t>（4）根据第17.2款约定应支付的预付款和扣减的返还预付款；</w:t>
      </w:r>
    </w:p>
    <w:p w14:paraId="7B26E9CB">
      <w:pPr>
        <w:spacing w:line="400" w:lineRule="exact"/>
        <w:ind w:firstLine="420" w:firstLineChars="200"/>
        <w:rPr>
          <w:rFonts w:hint="eastAsia" w:ascii="宋体" w:hAnsi="宋体"/>
          <w:highlight w:val="none"/>
        </w:rPr>
      </w:pPr>
      <w:r>
        <w:rPr>
          <w:rFonts w:ascii="宋体" w:hAnsi="宋体"/>
          <w:highlight w:val="none"/>
        </w:rPr>
        <w:t>（5）根据第17.4.1项约定应扣减的质量保证金；</w:t>
      </w:r>
    </w:p>
    <w:p w14:paraId="70F8BD7A">
      <w:pPr>
        <w:spacing w:line="400" w:lineRule="exact"/>
        <w:ind w:firstLine="420" w:firstLineChars="200"/>
        <w:rPr>
          <w:rFonts w:hint="eastAsia" w:ascii="宋体" w:hAnsi="宋体"/>
          <w:highlight w:val="none"/>
        </w:rPr>
      </w:pPr>
      <w:r>
        <w:rPr>
          <w:rFonts w:ascii="宋体" w:hAnsi="宋体"/>
          <w:highlight w:val="none"/>
        </w:rPr>
        <w:t>（6）根据合同应增加和扣减的其他金额。</w:t>
      </w:r>
    </w:p>
    <w:p w14:paraId="26B337F0">
      <w:pPr>
        <w:spacing w:line="400" w:lineRule="exact"/>
        <w:ind w:firstLine="420" w:firstLineChars="200"/>
        <w:rPr>
          <w:rFonts w:hint="eastAsia" w:ascii="宋体" w:hAnsi="宋体"/>
          <w:highlight w:val="none"/>
        </w:rPr>
      </w:pPr>
      <w:r>
        <w:rPr>
          <w:rFonts w:ascii="宋体" w:hAnsi="宋体"/>
          <w:highlight w:val="none"/>
        </w:rPr>
        <w:t xml:space="preserve">17.3.3 </w:t>
      </w:r>
      <w:r>
        <w:rPr>
          <w:rFonts w:hint="eastAsia" w:ascii="宋体" w:hAnsi="宋体" w:cs="宋体"/>
          <w:highlight w:val="none"/>
        </w:rPr>
        <w:t>进度付款证书和支付时间</w:t>
      </w:r>
    </w:p>
    <w:p w14:paraId="3B83F7A8">
      <w:pPr>
        <w:spacing w:line="400" w:lineRule="exact"/>
        <w:ind w:firstLine="424" w:firstLineChars="202"/>
        <w:rPr>
          <w:rFonts w:hint="eastAsia" w:ascii="宋体" w:hAnsi="宋体"/>
          <w:highlight w:val="none"/>
        </w:rPr>
      </w:pPr>
      <w:r>
        <w:rPr>
          <w:rFonts w:ascii="宋体" w:hAnsi="宋体"/>
          <w:highlight w:val="none"/>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027EFA5">
      <w:pPr>
        <w:spacing w:line="400" w:lineRule="exact"/>
        <w:ind w:firstLine="424" w:firstLineChars="202"/>
        <w:rPr>
          <w:rFonts w:hint="eastAsia" w:ascii="宋体" w:hAnsi="宋体"/>
          <w:highlight w:val="none"/>
        </w:rPr>
      </w:pPr>
      <w:r>
        <w:rPr>
          <w:rFonts w:ascii="宋体" w:hAnsi="宋体"/>
          <w:highlight w:val="none"/>
        </w:rPr>
        <w:t>（2）发包人应在监理人收到进度付款申请单后的28天内，将进度应付款支付给承包人。发包人不按期支付的，按专用合同条款的约定支付逾期付款违约金。</w:t>
      </w:r>
    </w:p>
    <w:p w14:paraId="1AFCD97C">
      <w:pPr>
        <w:spacing w:line="400" w:lineRule="exact"/>
        <w:ind w:firstLine="424" w:firstLineChars="202"/>
        <w:rPr>
          <w:rFonts w:hint="eastAsia" w:ascii="宋体" w:hAnsi="宋体"/>
          <w:highlight w:val="none"/>
        </w:rPr>
      </w:pPr>
      <w:r>
        <w:rPr>
          <w:rFonts w:ascii="宋体" w:hAnsi="宋体"/>
          <w:highlight w:val="none"/>
        </w:rPr>
        <w:t>（3）监理人出具进度付款证书，不应视为监理人已同意、批准或接受了承包人完成的该部分工作。</w:t>
      </w:r>
    </w:p>
    <w:p w14:paraId="2DD66FA3">
      <w:pPr>
        <w:spacing w:line="400" w:lineRule="exact"/>
        <w:ind w:firstLine="424" w:firstLineChars="202"/>
        <w:rPr>
          <w:rFonts w:hint="eastAsia" w:ascii="宋体" w:hAnsi="宋体"/>
          <w:highlight w:val="none"/>
        </w:rPr>
      </w:pPr>
      <w:r>
        <w:rPr>
          <w:rFonts w:ascii="宋体" w:hAnsi="宋体"/>
          <w:highlight w:val="none"/>
        </w:rPr>
        <w:t>（4）进度付款涉及政府投资资金的，按照国库集中支付等国家相关规定和专用合同条款的约定办理。</w:t>
      </w:r>
    </w:p>
    <w:p w14:paraId="1542CC34">
      <w:pPr>
        <w:spacing w:line="400" w:lineRule="exact"/>
        <w:ind w:firstLine="420" w:firstLineChars="200"/>
        <w:rPr>
          <w:rFonts w:hint="eastAsia" w:ascii="宋体" w:hAnsi="宋体"/>
          <w:highlight w:val="none"/>
        </w:rPr>
      </w:pPr>
      <w:r>
        <w:rPr>
          <w:rFonts w:ascii="宋体" w:hAnsi="宋体"/>
          <w:highlight w:val="none"/>
        </w:rPr>
        <w:t xml:space="preserve">17.3.4 </w:t>
      </w:r>
      <w:r>
        <w:rPr>
          <w:rFonts w:hint="eastAsia" w:ascii="宋体" w:hAnsi="宋体" w:cs="宋体"/>
          <w:highlight w:val="none"/>
        </w:rPr>
        <w:t>工程进度付款的修正</w:t>
      </w:r>
    </w:p>
    <w:p w14:paraId="35620D54">
      <w:pPr>
        <w:spacing w:line="400" w:lineRule="exact"/>
        <w:ind w:firstLine="420" w:firstLineChars="200"/>
        <w:rPr>
          <w:rFonts w:hint="eastAsia" w:ascii="宋体" w:hAnsi="宋体"/>
          <w:highlight w:val="none"/>
        </w:rPr>
      </w:pPr>
      <w:r>
        <w:rPr>
          <w:rFonts w:ascii="宋体" w:hAnsi="宋体"/>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7E221530">
      <w:pPr>
        <w:keepNext/>
        <w:keepLines/>
        <w:spacing w:line="400" w:lineRule="exact"/>
        <w:outlineLvl w:val="2"/>
        <w:rPr>
          <w:rFonts w:hint="eastAsia" w:ascii="宋体" w:hAnsi="宋体"/>
          <w:sz w:val="24"/>
          <w:szCs w:val="20"/>
          <w:highlight w:val="none"/>
        </w:rPr>
      </w:pPr>
      <w:bookmarkStart w:id="1280" w:name="_Toc338944815"/>
      <w:bookmarkStart w:id="1281" w:name="_Toc342296373"/>
      <w:bookmarkStart w:id="1282" w:name="_Toc159950723"/>
      <w:r>
        <w:rPr>
          <w:rFonts w:ascii="宋体" w:hAnsi="宋体"/>
          <w:sz w:val="24"/>
          <w:szCs w:val="20"/>
          <w:highlight w:val="none"/>
        </w:rPr>
        <w:t>17.4 质量保证金</w:t>
      </w:r>
      <w:bookmarkEnd w:id="1280"/>
      <w:bookmarkEnd w:id="1281"/>
      <w:bookmarkEnd w:id="1282"/>
    </w:p>
    <w:p w14:paraId="44738D0F">
      <w:pPr>
        <w:spacing w:line="400" w:lineRule="exact"/>
        <w:ind w:firstLine="420" w:firstLineChars="200"/>
        <w:rPr>
          <w:rFonts w:hint="eastAsia" w:ascii="宋体" w:hAnsi="宋体"/>
          <w:highlight w:val="none"/>
        </w:rPr>
      </w:pPr>
      <w:r>
        <w:rPr>
          <w:rFonts w:ascii="宋体" w:hAnsi="宋体"/>
          <w:highlight w:val="none"/>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1DC55730">
      <w:pPr>
        <w:spacing w:line="400" w:lineRule="exact"/>
        <w:ind w:firstLine="420" w:firstLineChars="200"/>
        <w:rPr>
          <w:rFonts w:hint="eastAsia" w:ascii="宋体" w:hAnsi="宋体"/>
          <w:highlight w:val="none"/>
        </w:rPr>
      </w:pPr>
      <w:r>
        <w:rPr>
          <w:rFonts w:ascii="宋体" w:hAnsi="宋体"/>
          <w:highlight w:val="none"/>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68DE002D">
      <w:pPr>
        <w:spacing w:line="400" w:lineRule="exact"/>
        <w:ind w:firstLine="420" w:firstLineChars="200"/>
        <w:rPr>
          <w:rFonts w:hint="eastAsia" w:ascii="宋体" w:hAnsi="宋体"/>
          <w:highlight w:val="none"/>
        </w:rPr>
      </w:pPr>
      <w:r>
        <w:rPr>
          <w:rFonts w:ascii="宋体" w:hAnsi="宋体"/>
          <w:highlight w:val="none"/>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63A1B357">
      <w:pPr>
        <w:keepNext/>
        <w:keepLines/>
        <w:spacing w:line="400" w:lineRule="exact"/>
        <w:outlineLvl w:val="2"/>
        <w:rPr>
          <w:rFonts w:hint="eastAsia" w:ascii="宋体" w:hAnsi="宋体"/>
          <w:sz w:val="24"/>
          <w:szCs w:val="20"/>
          <w:highlight w:val="none"/>
        </w:rPr>
      </w:pPr>
      <w:bookmarkStart w:id="1283" w:name="_Toc338944816"/>
      <w:bookmarkStart w:id="1284" w:name="_Toc342296374"/>
      <w:bookmarkStart w:id="1285" w:name="_Toc159950724"/>
      <w:r>
        <w:rPr>
          <w:rFonts w:ascii="宋体" w:hAnsi="宋体"/>
          <w:sz w:val="24"/>
          <w:szCs w:val="20"/>
          <w:highlight w:val="none"/>
        </w:rPr>
        <w:t>17.5 竣工结算</w:t>
      </w:r>
      <w:bookmarkEnd w:id="1283"/>
      <w:bookmarkEnd w:id="1284"/>
      <w:bookmarkEnd w:id="1285"/>
    </w:p>
    <w:p w14:paraId="648887C8">
      <w:pPr>
        <w:spacing w:line="400" w:lineRule="exact"/>
        <w:ind w:firstLine="420" w:firstLineChars="200"/>
        <w:rPr>
          <w:rFonts w:hint="eastAsia" w:ascii="宋体" w:hAnsi="宋体"/>
          <w:highlight w:val="none"/>
        </w:rPr>
      </w:pPr>
      <w:r>
        <w:rPr>
          <w:rFonts w:ascii="宋体" w:hAnsi="宋体"/>
          <w:highlight w:val="none"/>
        </w:rPr>
        <w:t xml:space="preserve">17.5.1 </w:t>
      </w:r>
      <w:r>
        <w:rPr>
          <w:rFonts w:hint="eastAsia" w:ascii="宋体" w:hAnsi="宋体" w:cs="宋体"/>
          <w:highlight w:val="none"/>
        </w:rPr>
        <w:t>竣工付款申请单</w:t>
      </w:r>
    </w:p>
    <w:p w14:paraId="0D4683D4">
      <w:pPr>
        <w:spacing w:line="400" w:lineRule="exact"/>
        <w:ind w:firstLine="718" w:firstLineChars="342"/>
        <w:rPr>
          <w:rFonts w:hint="eastAsia" w:ascii="宋体" w:hAnsi="宋体"/>
          <w:highlight w:val="none"/>
        </w:rPr>
      </w:pPr>
      <w:r>
        <w:rPr>
          <w:rFonts w:ascii="宋体" w:hAnsi="宋体"/>
          <w:highlight w:val="none"/>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797A9A01">
      <w:pPr>
        <w:spacing w:line="400" w:lineRule="exact"/>
        <w:ind w:firstLine="718" w:firstLineChars="342"/>
        <w:rPr>
          <w:rFonts w:hint="eastAsia" w:ascii="宋体" w:hAnsi="宋体"/>
          <w:highlight w:val="none"/>
        </w:rPr>
      </w:pPr>
      <w:r>
        <w:rPr>
          <w:rFonts w:ascii="宋体" w:hAnsi="宋体"/>
          <w:highlight w:val="none"/>
        </w:rPr>
        <w:t>（2）监理人对竣工付款申请单有异议的，有权要求承包人进行修正和提供补充资料。经监理人和承包人协商后，由承包人向监理人提交修正后的竣工付款申请单。</w:t>
      </w:r>
    </w:p>
    <w:p w14:paraId="230C04C0">
      <w:pPr>
        <w:spacing w:line="400" w:lineRule="exact"/>
        <w:ind w:firstLine="420" w:firstLineChars="200"/>
        <w:rPr>
          <w:rFonts w:hint="eastAsia" w:ascii="宋体" w:hAnsi="宋体"/>
          <w:highlight w:val="none"/>
        </w:rPr>
      </w:pPr>
      <w:r>
        <w:rPr>
          <w:rFonts w:ascii="宋体" w:hAnsi="宋体"/>
          <w:highlight w:val="none"/>
        </w:rPr>
        <w:t xml:space="preserve">17.5.2 </w:t>
      </w:r>
      <w:r>
        <w:rPr>
          <w:rFonts w:hint="eastAsia" w:ascii="宋体" w:hAnsi="宋体" w:cs="宋体"/>
          <w:highlight w:val="none"/>
        </w:rPr>
        <w:t>竣工付款证书及支付时间</w:t>
      </w:r>
    </w:p>
    <w:p w14:paraId="2F7E4DCE">
      <w:pPr>
        <w:spacing w:line="400" w:lineRule="exact"/>
        <w:ind w:firstLine="424" w:firstLineChars="202"/>
        <w:rPr>
          <w:rFonts w:hint="eastAsia" w:ascii="宋体" w:hAnsi="宋体"/>
          <w:highlight w:val="none"/>
        </w:rPr>
      </w:pPr>
      <w:r>
        <w:rPr>
          <w:rFonts w:ascii="宋体" w:hAnsi="宋体"/>
          <w:highlight w:val="none"/>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39E2A5D4">
      <w:pPr>
        <w:spacing w:line="400" w:lineRule="exact"/>
        <w:ind w:firstLine="424" w:firstLineChars="202"/>
        <w:rPr>
          <w:rFonts w:hint="eastAsia" w:ascii="宋体" w:hAnsi="宋体"/>
          <w:highlight w:val="none"/>
        </w:rPr>
      </w:pPr>
      <w:r>
        <w:rPr>
          <w:rFonts w:ascii="宋体" w:hAnsi="宋体"/>
          <w:highlight w:val="none"/>
        </w:rPr>
        <w:t>（2）发包人应在监理人出具竣工付款证书后的14天内，将应支付款支付给承包人。发包人不按期支付的，按第17.3.3（2）目的约定，将逾期付款违约金支付给承包人。</w:t>
      </w:r>
    </w:p>
    <w:p w14:paraId="31C87223">
      <w:pPr>
        <w:spacing w:line="400" w:lineRule="exact"/>
        <w:ind w:firstLine="424" w:firstLineChars="202"/>
        <w:rPr>
          <w:rFonts w:hint="eastAsia" w:ascii="宋体" w:hAnsi="宋体"/>
          <w:highlight w:val="none"/>
        </w:rPr>
      </w:pPr>
      <w:r>
        <w:rPr>
          <w:rFonts w:ascii="宋体" w:hAnsi="宋体"/>
          <w:highlight w:val="none"/>
        </w:rPr>
        <w:t>（3）承包人对发包人签认的竣工付款证书有异议的，发包人可出具竣工付款申请单中承包人已同意部分的临时付款证书。存在争议的部分，按第24条的约定办理。</w:t>
      </w:r>
    </w:p>
    <w:p w14:paraId="36E058E9">
      <w:pPr>
        <w:spacing w:line="400" w:lineRule="exact"/>
        <w:ind w:firstLine="424" w:firstLineChars="202"/>
        <w:rPr>
          <w:rFonts w:hint="eastAsia" w:ascii="宋体" w:hAnsi="宋体"/>
          <w:highlight w:val="none"/>
        </w:rPr>
      </w:pPr>
      <w:r>
        <w:rPr>
          <w:rFonts w:ascii="宋体" w:hAnsi="宋体"/>
          <w:highlight w:val="none"/>
        </w:rPr>
        <w:t>（4）竣工付款涉及政府投资资金的，按第17.3.3（４）目的约定办理。</w:t>
      </w:r>
    </w:p>
    <w:p w14:paraId="33FA9FF1">
      <w:pPr>
        <w:keepNext/>
        <w:keepLines/>
        <w:spacing w:line="400" w:lineRule="exact"/>
        <w:outlineLvl w:val="2"/>
        <w:rPr>
          <w:rFonts w:hint="eastAsia" w:ascii="宋体" w:hAnsi="宋体"/>
          <w:sz w:val="24"/>
          <w:szCs w:val="20"/>
          <w:highlight w:val="none"/>
        </w:rPr>
      </w:pPr>
      <w:bookmarkStart w:id="1286" w:name="_Toc338944817"/>
      <w:bookmarkStart w:id="1287" w:name="_Toc342296375"/>
      <w:bookmarkStart w:id="1288" w:name="_Toc159950725"/>
      <w:r>
        <w:rPr>
          <w:rFonts w:ascii="宋体" w:hAnsi="宋体"/>
          <w:sz w:val="24"/>
          <w:szCs w:val="20"/>
          <w:highlight w:val="none"/>
        </w:rPr>
        <w:t>17.6 最终结清</w:t>
      </w:r>
      <w:bookmarkEnd w:id="1286"/>
      <w:bookmarkEnd w:id="1287"/>
      <w:bookmarkEnd w:id="1288"/>
    </w:p>
    <w:p w14:paraId="65E74091">
      <w:pPr>
        <w:spacing w:line="400" w:lineRule="exact"/>
        <w:ind w:firstLine="420" w:firstLineChars="200"/>
        <w:rPr>
          <w:rFonts w:hint="eastAsia" w:ascii="宋体" w:hAnsi="宋体"/>
          <w:highlight w:val="none"/>
        </w:rPr>
      </w:pPr>
      <w:r>
        <w:rPr>
          <w:rFonts w:ascii="宋体" w:hAnsi="宋体"/>
          <w:highlight w:val="none"/>
        </w:rPr>
        <w:t xml:space="preserve">17.6.1 </w:t>
      </w:r>
      <w:r>
        <w:rPr>
          <w:rFonts w:hint="eastAsia" w:ascii="宋体" w:hAnsi="宋体" w:cs="宋体"/>
          <w:highlight w:val="none"/>
        </w:rPr>
        <w:t>最终结清申请单</w:t>
      </w:r>
    </w:p>
    <w:p w14:paraId="0DB2C065">
      <w:pPr>
        <w:spacing w:line="400" w:lineRule="exact"/>
        <w:ind w:firstLine="718" w:firstLineChars="342"/>
        <w:rPr>
          <w:rFonts w:hint="eastAsia" w:ascii="宋体" w:hAnsi="宋体"/>
          <w:highlight w:val="none"/>
        </w:rPr>
      </w:pPr>
      <w:r>
        <w:rPr>
          <w:rFonts w:ascii="宋体" w:hAnsi="宋体"/>
          <w:highlight w:val="none"/>
        </w:rPr>
        <w:t>（1）缺陷责任期终止证书签发后，承包人可按专用合同条款约定的份数和期限向监理人提交最终结清申请单，并提供相关证明材料。</w:t>
      </w:r>
    </w:p>
    <w:p w14:paraId="0AA6A1ED">
      <w:pPr>
        <w:spacing w:line="400" w:lineRule="exact"/>
        <w:ind w:firstLine="718" w:firstLineChars="342"/>
        <w:rPr>
          <w:rFonts w:hint="eastAsia" w:ascii="宋体" w:hAnsi="宋体"/>
          <w:highlight w:val="none"/>
        </w:rPr>
      </w:pPr>
      <w:r>
        <w:rPr>
          <w:rFonts w:ascii="宋体" w:hAnsi="宋体"/>
          <w:highlight w:val="none"/>
        </w:rPr>
        <w:t>（2）发包人对最终结清申请单内容有异议的，有权要求承包人进行修正和提供补充资料，由承包人向监理人提交修正后的最终结清申请单。</w:t>
      </w:r>
    </w:p>
    <w:p w14:paraId="7DB82660">
      <w:pPr>
        <w:spacing w:line="400" w:lineRule="exact"/>
        <w:ind w:firstLine="420" w:firstLineChars="200"/>
        <w:rPr>
          <w:rFonts w:hint="eastAsia" w:ascii="宋体" w:hAnsi="宋体"/>
          <w:highlight w:val="none"/>
        </w:rPr>
      </w:pPr>
      <w:r>
        <w:rPr>
          <w:rFonts w:ascii="宋体" w:hAnsi="宋体"/>
          <w:highlight w:val="none"/>
        </w:rPr>
        <w:t xml:space="preserve">17.6.2 </w:t>
      </w:r>
      <w:r>
        <w:rPr>
          <w:rFonts w:hint="eastAsia" w:ascii="宋体" w:hAnsi="宋体" w:cs="宋体"/>
          <w:highlight w:val="none"/>
        </w:rPr>
        <w:t>最终结清证书和支付时间</w:t>
      </w:r>
    </w:p>
    <w:p w14:paraId="379C0744">
      <w:pPr>
        <w:spacing w:line="400" w:lineRule="exact"/>
        <w:ind w:firstLine="718" w:firstLineChars="342"/>
        <w:rPr>
          <w:rFonts w:hint="eastAsia" w:ascii="宋体" w:hAnsi="宋体"/>
          <w:highlight w:val="none"/>
        </w:rPr>
      </w:pPr>
      <w:r>
        <w:rPr>
          <w:rFonts w:ascii="宋体" w:hAnsi="宋体"/>
          <w:highlight w:val="none"/>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6A16B463">
      <w:pPr>
        <w:spacing w:line="400" w:lineRule="exact"/>
        <w:ind w:firstLine="718" w:firstLineChars="342"/>
        <w:rPr>
          <w:rFonts w:hint="eastAsia" w:ascii="宋体" w:hAnsi="宋体"/>
          <w:highlight w:val="none"/>
        </w:rPr>
      </w:pPr>
      <w:r>
        <w:rPr>
          <w:rFonts w:ascii="宋体" w:hAnsi="宋体"/>
          <w:highlight w:val="none"/>
        </w:rPr>
        <w:t>（2）发包人应在监理人出具最终结清证书后的14天内，将应支付款支付给承包人。发包人不按期支付的，按第17.3.3（2）目的约定，将逾期付款违约金支付给承包人。</w:t>
      </w:r>
    </w:p>
    <w:p w14:paraId="51EFEEFA">
      <w:pPr>
        <w:spacing w:line="400" w:lineRule="exact"/>
        <w:ind w:firstLine="718" w:firstLineChars="342"/>
        <w:rPr>
          <w:rFonts w:hint="eastAsia" w:ascii="宋体" w:hAnsi="宋体"/>
          <w:highlight w:val="none"/>
        </w:rPr>
      </w:pPr>
      <w:r>
        <w:rPr>
          <w:rFonts w:ascii="宋体" w:hAnsi="宋体"/>
          <w:highlight w:val="none"/>
        </w:rPr>
        <w:t>（3）承包人对发包人签认的最终结清证书有异议的，按第24条的约定办理。</w:t>
      </w:r>
    </w:p>
    <w:p w14:paraId="5E426552">
      <w:pPr>
        <w:spacing w:line="400" w:lineRule="exact"/>
        <w:ind w:firstLine="718" w:firstLineChars="342"/>
        <w:rPr>
          <w:rFonts w:hint="eastAsia" w:ascii="宋体" w:hAnsi="宋体"/>
          <w:highlight w:val="none"/>
        </w:rPr>
      </w:pPr>
      <w:r>
        <w:rPr>
          <w:rFonts w:ascii="宋体" w:hAnsi="宋体"/>
          <w:highlight w:val="none"/>
        </w:rPr>
        <w:t>（4）最终结清付款涉及政府投资资金的，按第17.3.3（４）目的约定办理。</w:t>
      </w:r>
    </w:p>
    <w:p w14:paraId="11B53124">
      <w:pPr>
        <w:keepNext/>
        <w:keepLines/>
        <w:spacing w:line="400" w:lineRule="exact"/>
        <w:outlineLvl w:val="1"/>
        <w:rPr>
          <w:rFonts w:hint="eastAsia" w:ascii="宋体" w:hAnsi="宋体" w:cs="仿宋_GB2312"/>
          <w:sz w:val="28"/>
          <w:szCs w:val="20"/>
          <w:highlight w:val="none"/>
        </w:rPr>
      </w:pPr>
      <w:bookmarkStart w:id="1289" w:name="_Toc342296376"/>
      <w:bookmarkStart w:id="1290" w:name="_Toc448758439"/>
      <w:bookmarkStart w:id="1291" w:name="_Toc469660034"/>
      <w:bookmarkStart w:id="1292" w:name="_Toc448758539"/>
      <w:bookmarkStart w:id="1293" w:name="_Toc442365631"/>
      <w:bookmarkStart w:id="1294" w:name="_Toc159950726"/>
      <w:bookmarkStart w:id="1295" w:name="_Toc338944818"/>
      <w:r>
        <w:rPr>
          <w:rFonts w:ascii="宋体" w:hAnsi="宋体" w:cs="仿宋_GB2312"/>
          <w:sz w:val="28"/>
          <w:szCs w:val="20"/>
          <w:highlight w:val="none"/>
        </w:rPr>
        <w:t>18. 竣工验收</w:t>
      </w:r>
      <w:bookmarkEnd w:id="1289"/>
      <w:bookmarkEnd w:id="1290"/>
      <w:bookmarkEnd w:id="1291"/>
      <w:bookmarkEnd w:id="1292"/>
      <w:bookmarkEnd w:id="1293"/>
      <w:bookmarkEnd w:id="1294"/>
      <w:bookmarkEnd w:id="1295"/>
    </w:p>
    <w:p w14:paraId="764F3AEA">
      <w:pPr>
        <w:keepNext/>
        <w:keepLines/>
        <w:spacing w:line="400" w:lineRule="exact"/>
        <w:outlineLvl w:val="2"/>
        <w:rPr>
          <w:rFonts w:hint="eastAsia" w:ascii="宋体" w:hAnsi="宋体"/>
          <w:sz w:val="24"/>
          <w:szCs w:val="20"/>
          <w:highlight w:val="none"/>
        </w:rPr>
      </w:pPr>
      <w:bookmarkStart w:id="1296" w:name="_Toc152045726"/>
      <w:bookmarkStart w:id="1297" w:name="_Toc144974697"/>
      <w:bookmarkStart w:id="1298" w:name="_Toc179632744"/>
      <w:bookmarkStart w:id="1299" w:name="_Toc342296377"/>
      <w:bookmarkStart w:id="1300" w:name="_Toc152042505"/>
      <w:bookmarkStart w:id="1301" w:name="_Toc159950727"/>
      <w:bookmarkStart w:id="1302" w:name="_Toc338944819"/>
      <w:r>
        <w:rPr>
          <w:rFonts w:ascii="宋体" w:hAnsi="宋体"/>
          <w:sz w:val="24"/>
          <w:szCs w:val="20"/>
          <w:highlight w:val="none"/>
        </w:rPr>
        <w:t>18.1 竣工验收的含义</w:t>
      </w:r>
      <w:bookmarkEnd w:id="1296"/>
      <w:bookmarkEnd w:id="1297"/>
      <w:bookmarkEnd w:id="1298"/>
      <w:bookmarkEnd w:id="1299"/>
      <w:bookmarkEnd w:id="1300"/>
      <w:bookmarkEnd w:id="1301"/>
      <w:bookmarkEnd w:id="1302"/>
    </w:p>
    <w:p w14:paraId="0A29C25D">
      <w:pPr>
        <w:spacing w:line="400" w:lineRule="exact"/>
        <w:ind w:firstLine="420" w:firstLineChars="200"/>
        <w:rPr>
          <w:rFonts w:hint="eastAsia" w:ascii="宋体" w:hAnsi="宋体"/>
          <w:highlight w:val="none"/>
        </w:rPr>
      </w:pPr>
      <w:r>
        <w:rPr>
          <w:rFonts w:ascii="宋体" w:hAnsi="宋体"/>
          <w:highlight w:val="none"/>
        </w:rPr>
        <w:t>18.1.1 竣工验收指承包人完成了全部合同工作后，发包人按合同要求进行的验收。</w:t>
      </w:r>
    </w:p>
    <w:p w14:paraId="5FBB7BDA">
      <w:pPr>
        <w:spacing w:line="400" w:lineRule="exact"/>
        <w:ind w:firstLine="420" w:firstLineChars="200"/>
        <w:rPr>
          <w:rFonts w:hint="eastAsia" w:ascii="宋体" w:hAnsi="宋体"/>
          <w:highlight w:val="none"/>
        </w:rPr>
      </w:pPr>
      <w:r>
        <w:rPr>
          <w:rFonts w:ascii="宋体" w:hAnsi="宋体"/>
          <w:highlight w:val="none"/>
        </w:rPr>
        <w:t>18.1.2 国家验收是政府有关部门根据法律、规范、规程和政策要求，针对发包人全面组织实施的整个工程正式交付投运前的验收。</w:t>
      </w:r>
    </w:p>
    <w:p w14:paraId="2362579D">
      <w:pPr>
        <w:spacing w:line="400" w:lineRule="exact"/>
        <w:ind w:firstLine="420" w:firstLineChars="200"/>
        <w:rPr>
          <w:rFonts w:hint="eastAsia" w:ascii="宋体" w:hAnsi="宋体"/>
          <w:highlight w:val="none"/>
        </w:rPr>
      </w:pPr>
      <w:r>
        <w:rPr>
          <w:rFonts w:ascii="宋体" w:hAnsi="宋体"/>
          <w:highlight w:val="none"/>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4525A5C1">
      <w:pPr>
        <w:keepNext/>
        <w:keepLines/>
        <w:spacing w:line="400" w:lineRule="exact"/>
        <w:outlineLvl w:val="2"/>
        <w:rPr>
          <w:rFonts w:hint="eastAsia" w:ascii="宋体" w:hAnsi="宋体"/>
          <w:sz w:val="24"/>
          <w:szCs w:val="20"/>
          <w:highlight w:val="none"/>
        </w:rPr>
      </w:pPr>
      <w:bookmarkStart w:id="1303" w:name="_Toc159950728"/>
      <w:bookmarkStart w:id="1304" w:name="_Toc338944820"/>
      <w:bookmarkStart w:id="1305" w:name="_Toc342296378"/>
      <w:r>
        <w:rPr>
          <w:rFonts w:ascii="宋体" w:hAnsi="宋体"/>
          <w:sz w:val="24"/>
          <w:szCs w:val="20"/>
          <w:highlight w:val="none"/>
        </w:rPr>
        <w:t>18.2 竣工验收申请报告</w:t>
      </w:r>
      <w:bookmarkEnd w:id="1303"/>
      <w:bookmarkEnd w:id="1304"/>
      <w:bookmarkEnd w:id="1305"/>
    </w:p>
    <w:p w14:paraId="2A809E74">
      <w:pPr>
        <w:spacing w:line="400" w:lineRule="exact"/>
        <w:ind w:firstLine="420" w:firstLineChars="200"/>
        <w:rPr>
          <w:rFonts w:hint="eastAsia" w:ascii="宋体" w:hAnsi="宋体"/>
          <w:highlight w:val="none"/>
        </w:rPr>
      </w:pPr>
      <w:r>
        <w:rPr>
          <w:rFonts w:ascii="宋体" w:hAnsi="宋体"/>
          <w:highlight w:val="none"/>
        </w:rPr>
        <w:t>当工程具备以下条件时，承包人即可向监理人报送竣工验收申请报告：</w:t>
      </w:r>
    </w:p>
    <w:p w14:paraId="696A8310">
      <w:pPr>
        <w:spacing w:line="400" w:lineRule="exact"/>
        <w:ind w:firstLine="359" w:firstLineChars="171"/>
        <w:rPr>
          <w:rFonts w:hint="eastAsia" w:ascii="宋体" w:hAnsi="宋体"/>
          <w:highlight w:val="none"/>
        </w:rPr>
      </w:pPr>
      <w:r>
        <w:rPr>
          <w:rFonts w:ascii="宋体" w:hAnsi="宋体"/>
          <w:highlight w:val="none"/>
        </w:rPr>
        <w:t>（1）除监理人同意列入缺陷责任期内完成的尾工（甩项）工程和缺陷修补工作外，合同范围内的全部单位工程以及有关工作，包括合同要求的试验、试运行以及检验和验收均已完成，并符合合同要求；</w:t>
      </w:r>
    </w:p>
    <w:p w14:paraId="7F7D803C">
      <w:pPr>
        <w:spacing w:line="400" w:lineRule="exact"/>
        <w:ind w:firstLine="359" w:firstLineChars="171"/>
        <w:rPr>
          <w:rFonts w:hint="eastAsia" w:ascii="宋体" w:hAnsi="宋体"/>
          <w:highlight w:val="none"/>
        </w:rPr>
      </w:pPr>
      <w:r>
        <w:rPr>
          <w:rFonts w:ascii="宋体" w:hAnsi="宋体"/>
          <w:highlight w:val="none"/>
        </w:rPr>
        <w:t xml:space="preserve">（2）已按合同约定的内容和份数备齐了符合要求的竣工资料； </w:t>
      </w:r>
    </w:p>
    <w:p w14:paraId="3F626A33">
      <w:pPr>
        <w:spacing w:line="400" w:lineRule="exact"/>
        <w:ind w:firstLine="359" w:firstLineChars="171"/>
        <w:rPr>
          <w:rFonts w:hint="eastAsia" w:ascii="宋体" w:hAnsi="宋体"/>
          <w:highlight w:val="none"/>
        </w:rPr>
      </w:pPr>
      <w:r>
        <w:rPr>
          <w:rFonts w:ascii="宋体" w:hAnsi="宋体"/>
          <w:highlight w:val="none"/>
        </w:rPr>
        <w:t>（3）已按监理人的要求编制了在缺陷责任期内完成的尾工（甩项）工程和缺陷修补工作清单以及相应施工计划；</w:t>
      </w:r>
    </w:p>
    <w:p w14:paraId="208083B8">
      <w:pPr>
        <w:spacing w:line="400" w:lineRule="exact"/>
        <w:ind w:firstLine="359" w:firstLineChars="171"/>
        <w:rPr>
          <w:rFonts w:hint="eastAsia" w:ascii="宋体" w:hAnsi="宋体"/>
          <w:highlight w:val="none"/>
        </w:rPr>
      </w:pPr>
      <w:r>
        <w:rPr>
          <w:rFonts w:ascii="宋体" w:hAnsi="宋体"/>
          <w:highlight w:val="none"/>
        </w:rPr>
        <w:t>（4）监理人要求在竣工验收前应完成的其他工作；</w:t>
      </w:r>
    </w:p>
    <w:p w14:paraId="0C6832FA">
      <w:pPr>
        <w:spacing w:line="400" w:lineRule="exact"/>
        <w:ind w:firstLine="359" w:firstLineChars="171"/>
        <w:rPr>
          <w:rFonts w:hint="eastAsia" w:ascii="宋体" w:hAnsi="宋体"/>
          <w:highlight w:val="none"/>
        </w:rPr>
      </w:pPr>
      <w:r>
        <w:rPr>
          <w:rFonts w:ascii="宋体" w:hAnsi="宋体"/>
          <w:highlight w:val="none"/>
        </w:rPr>
        <w:t>（5）监理人要求提交的竣工验收资料清单。</w:t>
      </w:r>
    </w:p>
    <w:p w14:paraId="7AE96F89">
      <w:pPr>
        <w:keepNext/>
        <w:keepLines/>
        <w:spacing w:line="400" w:lineRule="exact"/>
        <w:outlineLvl w:val="2"/>
        <w:rPr>
          <w:rFonts w:hint="eastAsia" w:ascii="宋体" w:hAnsi="宋体"/>
          <w:sz w:val="24"/>
          <w:szCs w:val="20"/>
          <w:highlight w:val="none"/>
        </w:rPr>
      </w:pPr>
      <w:bookmarkStart w:id="1306" w:name="_Toc342296379"/>
      <w:bookmarkStart w:id="1307" w:name="_Toc338944821"/>
      <w:bookmarkStart w:id="1308" w:name="_Toc159950729"/>
      <w:r>
        <w:rPr>
          <w:rFonts w:ascii="宋体" w:hAnsi="宋体"/>
          <w:sz w:val="24"/>
          <w:szCs w:val="20"/>
          <w:highlight w:val="none"/>
        </w:rPr>
        <w:t>18.3 验收</w:t>
      </w:r>
      <w:bookmarkEnd w:id="1306"/>
      <w:bookmarkEnd w:id="1307"/>
      <w:bookmarkEnd w:id="1308"/>
    </w:p>
    <w:p w14:paraId="6C045930">
      <w:pPr>
        <w:spacing w:line="400" w:lineRule="exact"/>
        <w:ind w:firstLine="420" w:firstLineChars="200"/>
        <w:rPr>
          <w:rFonts w:hint="eastAsia" w:ascii="宋体" w:hAnsi="宋体"/>
          <w:highlight w:val="none"/>
        </w:rPr>
      </w:pPr>
      <w:r>
        <w:rPr>
          <w:rFonts w:ascii="宋体" w:hAnsi="宋体"/>
          <w:highlight w:val="none"/>
        </w:rPr>
        <w:t>监理人收到承包人按第18.2款约定提交的竣工验收申请报告后，应审查申请报告的各项内容，并按以下不同情况进行处理。</w:t>
      </w:r>
    </w:p>
    <w:p w14:paraId="2D23C055">
      <w:pPr>
        <w:spacing w:line="400" w:lineRule="exact"/>
        <w:ind w:firstLine="420" w:firstLineChars="200"/>
        <w:rPr>
          <w:rFonts w:hint="eastAsia" w:ascii="宋体" w:hAnsi="宋体"/>
          <w:highlight w:val="none"/>
        </w:rPr>
      </w:pPr>
      <w:r>
        <w:rPr>
          <w:rFonts w:ascii="宋体" w:hAnsi="宋体"/>
          <w:highlight w:val="none"/>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55E2F704">
      <w:pPr>
        <w:spacing w:line="400" w:lineRule="exact"/>
        <w:ind w:firstLine="420" w:firstLineChars="200"/>
        <w:rPr>
          <w:rFonts w:hint="eastAsia" w:ascii="宋体" w:hAnsi="宋体"/>
          <w:highlight w:val="none"/>
        </w:rPr>
      </w:pPr>
      <w:r>
        <w:rPr>
          <w:rFonts w:ascii="宋体" w:hAnsi="宋体"/>
          <w:highlight w:val="none"/>
        </w:rPr>
        <w:t>18.3.2 监理人审查后认为已具备竣工验收条件的，应在收到竣工验收申请报告后的28天内提请发包人进行工程验收。</w:t>
      </w:r>
    </w:p>
    <w:p w14:paraId="3BFE8BA1">
      <w:pPr>
        <w:spacing w:line="400" w:lineRule="exact"/>
        <w:ind w:firstLine="420" w:firstLineChars="200"/>
        <w:rPr>
          <w:rFonts w:hint="eastAsia" w:ascii="宋体" w:hAnsi="宋体"/>
          <w:highlight w:val="none"/>
        </w:rPr>
      </w:pPr>
      <w:r>
        <w:rPr>
          <w:rFonts w:ascii="宋体" w:hAnsi="宋体"/>
          <w:highlight w:val="none"/>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6D36747C">
      <w:pPr>
        <w:spacing w:line="400" w:lineRule="exact"/>
        <w:ind w:firstLine="420" w:firstLineChars="200"/>
        <w:rPr>
          <w:rFonts w:hint="eastAsia" w:ascii="宋体" w:hAnsi="宋体"/>
          <w:highlight w:val="none"/>
        </w:rPr>
      </w:pPr>
      <w:r>
        <w:rPr>
          <w:rFonts w:ascii="宋体" w:hAnsi="宋体"/>
          <w:highlight w:val="none"/>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1216D5E1">
      <w:pPr>
        <w:spacing w:line="400" w:lineRule="exact"/>
        <w:ind w:firstLine="420" w:firstLineChars="200"/>
        <w:rPr>
          <w:rFonts w:hint="eastAsia" w:ascii="宋体" w:hAnsi="宋体"/>
          <w:highlight w:val="none"/>
        </w:rPr>
      </w:pPr>
      <w:r>
        <w:rPr>
          <w:rFonts w:ascii="宋体" w:hAnsi="宋体"/>
          <w:highlight w:val="none"/>
        </w:rPr>
        <w:t>18.3.5 除专用合同条款另有约定外，经验收合格工程的实际竣工日期，以提交竣工验收申请报告的日期为准，并在工程接收证书中写明。</w:t>
      </w:r>
    </w:p>
    <w:p w14:paraId="2992C96E">
      <w:pPr>
        <w:spacing w:line="400" w:lineRule="exact"/>
        <w:ind w:firstLine="420" w:firstLineChars="200"/>
        <w:rPr>
          <w:rFonts w:hint="eastAsia" w:ascii="宋体" w:hAnsi="宋体"/>
          <w:highlight w:val="none"/>
        </w:rPr>
      </w:pPr>
      <w:r>
        <w:rPr>
          <w:rFonts w:ascii="宋体" w:hAnsi="宋体"/>
          <w:highlight w:val="none"/>
        </w:rPr>
        <w:t>18.3.6 发包人在收到承包人竣工验收申请报告56天后未进行验收的，视为验收合格，实际竣工日期以提交竣工验收申请报告的日期为准，但发包人由于不可抗力不能进行验收的除外。</w:t>
      </w:r>
    </w:p>
    <w:p w14:paraId="78AF3090">
      <w:pPr>
        <w:keepNext/>
        <w:keepLines/>
        <w:spacing w:line="400" w:lineRule="exact"/>
        <w:outlineLvl w:val="2"/>
        <w:rPr>
          <w:rFonts w:hint="eastAsia" w:ascii="宋体" w:hAnsi="宋体"/>
          <w:sz w:val="24"/>
          <w:szCs w:val="20"/>
          <w:highlight w:val="none"/>
        </w:rPr>
      </w:pPr>
      <w:bookmarkStart w:id="1309" w:name="_Toc338944822"/>
      <w:bookmarkStart w:id="1310" w:name="_Toc152042508"/>
      <w:bookmarkStart w:id="1311" w:name="_Toc342296380"/>
      <w:bookmarkStart w:id="1312" w:name="_Toc152045729"/>
      <w:bookmarkStart w:id="1313" w:name="_Toc144974700"/>
      <w:bookmarkStart w:id="1314" w:name="_Toc179632747"/>
      <w:bookmarkStart w:id="1315" w:name="_Toc159950730"/>
      <w:r>
        <w:rPr>
          <w:rFonts w:ascii="宋体" w:hAnsi="宋体"/>
          <w:sz w:val="24"/>
          <w:szCs w:val="20"/>
          <w:highlight w:val="none"/>
        </w:rPr>
        <w:t>18.4 单位工程验收</w:t>
      </w:r>
      <w:bookmarkEnd w:id="1309"/>
      <w:bookmarkEnd w:id="1310"/>
      <w:bookmarkEnd w:id="1311"/>
      <w:bookmarkEnd w:id="1312"/>
      <w:bookmarkEnd w:id="1313"/>
      <w:bookmarkEnd w:id="1314"/>
      <w:bookmarkEnd w:id="1315"/>
    </w:p>
    <w:p w14:paraId="47F5EF95">
      <w:pPr>
        <w:spacing w:line="400" w:lineRule="exact"/>
        <w:ind w:firstLine="420" w:firstLineChars="200"/>
        <w:rPr>
          <w:rFonts w:hint="eastAsia" w:ascii="宋体" w:hAnsi="宋体"/>
          <w:highlight w:val="none"/>
        </w:rPr>
      </w:pPr>
      <w:r>
        <w:rPr>
          <w:rFonts w:ascii="宋体" w:hAnsi="宋体"/>
          <w:highlight w:val="none"/>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3DF9125C">
      <w:pPr>
        <w:spacing w:line="400" w:lineRule="exact"/>
        <w:ind w:firstLine="420" w:firstLineChars="200"/>
        <w:rPr>
          <w:rFonts w:hint="eastAsia" w:ascii="宋体" w:hAnsi="宋体"/>
          <w:highlight w:val="none"/>
        </w:rPr>
      </w:pPr>
      <w:r>
        <w:rPr>
          <w:rFonts w:ascii="宋体" w:hAnsi="宋体"/>
          <w:highlight w:val="none"/>
        </w:rPr>
        <w:t>18.4.2 发包人在全部工程竣工前，使用已接收的单位工程导致承包人费用增加的，发包人应承担由此增加的费用和（或）工期延误，并支付承包人合理利润。</w:t>
      </w:r>
    </w:p>
    <w:p w14:paraId="2D9C84F9">
      <w:pPr>
        <w:keepNext/>
        <w:keepLines/>
        <w:spacing w:line="400" w:lineRule="exact"/>
        <w:outlineLvl w:val="2"/>
        <w:rPr>
          <w:rFonts w:hint="eastAsia" w:ascii="宋体" w:hAnsi="宋体"/>
          <w:sz w:val="24"/>
          <w:szCs w:val="20"/>
          <w:highlight w:val="none"/>
        </w:rPr>
      </w:pPr>
      <w:bookmarkStart w:id="1316" w:name="_Toc159950731"/>
      <w:bookmarkStart w:id="1317" w:name="_Toc342296381"/>
      <w:bookmarkStart w:id="1318" w:name="_Toc338944823"/>
      <w:r>
        <w:rPr>
          <w:rFonts w:ascii="宋体" w:hAnsi="宋体"/>
          <w:sz w:val="24"/>
          <w:szCs w:val="20"/>
          <w:highlight w:val="none"/>
        </w:rPr>
        <w:t>18.5 施工期运行</w:t>
      </w:r>
      <w:bookmarkEnd w:id="1316"/>
      <w:bookmarkEnd w:id="1317"/>
      <w:bookmarkEnd w:id="1318"/>
    </w:p>
    <w:p w14:paraId="032A4FB1">
      <w:pPr>
        <w:spacing w:line="400" w:lineRule="exact"/>
        <w:ind w:firstLine="420" w:firstLineChars="200"/>
        <w:rPr>
          <w:rFonts w:hint="eastAsia" w:ascii="宋体" w:hAnsi="宋体"/>
          <w:highlight w:val="none"/>
        </w:rPr>
      </w:pPr>
      <w:r>
        <w:rPr>
          <w:rFonts w:ascii="宋体" w:hAnsi="宋体"/>
          <w:highlight w:val="none"/>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5E673C3D">
      <w:pPr>
        <w:spacing w:line="400" w:lineRule="exact"/>
        <w:ind w:firstLine="420" w:firstLineChars="200"/>
        <w:rPr>
          <w:rFonts w:hint="eastAsia" w:ascii="宋体" w:hAnsi="宋体"/>
          <w:highlight w:val="none"/>
        </w:rPr>
      </w:pPr>
      <w:r>
        <w:rPr>
          <w:rFonts w:ascii="宋体" w:hAnsi="宋体"/>
          <w:highlight w:val="none"/>
        </w:rPr>
        <w:t>18.5.2 在施工期运行中发现工程或工程设备损坏或存在缺陷的，由承包人按第19.2款约定进行修复。</w:t>
      </w:r>
    </w:p>
    <w:p w14:paraId="0F9C40E0">
      <w:pPr>
        <w:keepNext/>
        <w:keepLines/>
        <w:spacing w:line="400" w:lineRule="exact"/>
        <w:outlineLvl w:val="2"/>
        <w:rPr>
          <w:rFonts w:hint="eastAsia" w:ascii="宋体" w:hAnsi="宋体"/>
          <w:sz w:val="24"/>
          <w:szCs w:val="20"/>
          <w:highlight w:val="none"/>
        </w:rPr>
      </w:pPr>
      <w:bookmarkStart w:id="1319" w:name="_Toc342296382"/>
      <w:bookmarkStart w:id="1320" w:name="_Toc159950732"/>
      <w:bookmarkStart w:id="1321" w:name="_Toc338944824"/>
      <w:r>
        <w:rPr>
          <w:rFonts w:ascii="宋体" w:hAnsi="宋体"/>
          <w:sz w:val="24"/>
          <w:szCs w:val="20"/>
          <w:highlight w:val="none"/>
        </w:rPr>
        <w:t>18.6 试运行</w:t>
      </w:r>
      <w:bookmarkEnd w:id="1319"/>
      <w:bookmarkEnd w:id="1320"/>
      <w:bookmarkEnd w:id="1321"/>
    </w:p>
    <w:p w14:paraId="079D56AA">
      <w:pPr>
        <w:spacing w:line="400" w:lineRule="exact"/>
        <w:ind w:firstLine="420" w:firstLineChars="200"/>
        <w:rPr>
          <w:rFonts w:hint="eastAsia" w:ascii="宋体" w:hAnsi="宋体"/>
          <w:highlight w:val="none"/>
        </w:rPr>
      </w:pPr>
      <w:r>
        <w:rPr>
          <w:rFonts w:ascii="宋体" w:hAnsi="宋体"/>
          <w:highlight w:val="none"/>
        </w:rPr>
        <w:t>18.6.1 除专用合同条款另有约定外，承包人应按专用合同条款约定进行工程及工程设备试运行，负责提供试运行所需的人员、器材和必要的条件，并承担全部试运行费用。</w:t>
      </w:r>
    </w:p>
    <w:p w14:paraId="6370C842">
      <w:pPr>
        <w:spacing w:line="400" w:lineRule="exact"/>
        <w:ind w:firstLine="420" w:firstLineChars="200"/>
        <w:rPr>
          <w:rFonts w:hint="eastAsia" w:ascii="宋体" w:hAnsi="宋体"/>
          <w:highlight w:val="none"/>
        </w:rPr>
      </w:pPr>
      <w:r>
        <w:rPr>
          <w:rFonts w:ascii="宋体" w:hAnsi="宋体"/>
          <w:highlight w:val="none"/>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419F91BC">
      <w:pPr>
        <w:keepNext/>
        <w:keepLines/>
        <w:spacing w:line="400" w:lineRule="exact"/>
        <w:outlineLvl w:val="2"/>
        <w:rPr>
          <w:rFonts w:hint="eastAsia" w:ascii="宋体" w:hAnsi="宋体"/>
          <w:sz w:val="24"/>
          <w:szCs w:val="20"/>
          <w:highlight w:val="none"/>
        </w:rPr>
      </w:pPr>
      <w:bookmarkStart w:id="1322" w:name="_Toc159950733"/>
      <w:bookmarkStart w:id="1323" w:name="_Toc338944825"/>
      <w:bookmarkStart w:id="1324" w:name="_Toc342296383"/>
      <w:r>
        <w:rPr>
          <w:rFonts w:ascii="宋体" w:hAnsi="宋体"/>
          <w:sz w:val="24"/>
          <w:szCs w:val="20"/>
          <w:highlight w:val="none"/>
        </w:rPr>
        <w:t>18.7 竣工清场</w:t>
      </w:r>
      <w:bookmarkEnd w:id="1322"/>
      <w:bookmarkEnd w:id="1323"/>
      <w:bookmarkEnd w:id="1324"/>
    </w:p>
    <w:p w14:paraId="1E9E8A53">
      <w:pPr>
        <w:spacing w:line="400" w:lineRule="exact"/>
        <w:ind w:firstLine="420" w:firstLineChars="200"/>
        <w:rPr>
          <w:rFonts w:hint="eastAsia" w:ascii="宋体" w:hAnsi="宋体"/>
          <w:highlight w:val="none"/>
        </w:rPr>
      </w:pPr>
      <w:r>
        <w:rPr>
          <w:rFonts w:ascii="宋体" w:hAnsi="宋体"/>
          <w:highlight w:val="none"/>
        </w:rPr>
        <w:t>18.7.1 除合同另有约定外，工程接收证书颁发后，承包人应按以下要求对施工场地进行清理，直至监理人检验合格为止。竣工清场费用由承包人承担。</w:t>
      </w:r>
    </w:p>
    <w:p w14:paraId="6422FC40">
      <w:pPr>
        <w:spacing w:line="400" w:lineRule="exact"/>
        <w:ind w:firstLine="718" w:firstLineChars="342"/>
        <w:rPr>
          <w:rFonts w:hint="eastAsia" w:ascii="宋体" w:hAnsi="宋体"/>
          <w:highlight w:val="none"/>
        </w:rPr>
      </w:pPr>
      <w:r>
        <w:rPr>
          <w:rFonts w:ascii="宋体" w:hAnsi="宋体"/>
          <w:highlight w:val="none"/>
        </w:rPr>
        <w:t>（1）施工场地内残留的垃圾已全部清除出场；</w:t>
      </w:r>
    </w:p>
    <w:p w14:paraId="3055BA2A">
      <w:pPr>
        <w:spacing w:line="400" w:lineRule="exact"/>
        <w:ind w:firstLine="718" w:firstLineChars="342"/>
        <w:rPr>
          <w:rFonts w:hint="eastAsia" w:ascii="宋体" w:hAnsi="宋体"/>
          <w:highlight w:val="none"/>
        </w:rPr>
      </w:pPr>
      <w:r>
        <w:rPr>
          <w:rFonts w:ascii="宋体" w:hAnsi="宋体"/>
          <w:highlight w:val="none"/>
        </w:rPr>
        <w:t>（2）临时工程已拆除，场地已按合同要求进行清理、平整或复原；</w:t>
      </w:r>
    </w:p>
    <w:p w14:paraId="7FBFDC95">
      <w:pPr>
        <w:spacing w:line="400" w:lineRule="exact"/>
        <w:ind w:firstLine="718" w:firstLineChars="342"/>
        <w:rPr>
          <w:rFonts w:hint="eastAsia" w:ascii="宋体" w:hAnsi="宋体"/>
          <w:highlight w:val="none"/>
        </w:rPr>
      </w:pPr>
      <w:r>
        <w:rPr>
          <w:rFonts w:ascii="宋体" w:hAnsi="宋体"/>
          <w:highlight w:val="none"/>
        </w:rPr>
        <w:t>（3）按合同约定应撤离的承包人设备和剩余的材料，包括废弃的施工设备和材料，已按计划撤离施工场地；</w:t>
      </w:r>
    </w:p>
    <w:p w14:paraId="4E4D164D">
      <w:pPr>
        <w:spacing w:line="400" w:lineRule="exact"/>
        <w:ind w:firstLine="718" w:firstLineChars="342"/>
        <w:rPr>
          <w:rFonts w:hint="eastAsia" w:ascii="宋体" w:hAnsi="宋体"/>
          <w:highlight w:val="none"/>
        </w:rPr>
      </w:pPr>
      <w:r>
        <w:rPr>
          <w:rFonts w:ascii="宋体" w:hAnsi="宋体"/>
          <w:highlight w:val="none"/>
        </w:rPr>
        <w:t>（4）工程建筑物周边及其附近道路、河道的施工堆积物，已按监理人指示全部清理；</w:t>
      </w:r>
    </w:p>
    <w:p w14:paraId="074CE779">
      <w:pPr>
        <w:spacing w:line="400" w:lineRule="exact"/>
        <w:ind w:firstLine="718" w:firstLineChars="342"/>
        <w:rPr>
          <w:rFonts w:hint="eastAsia" w:ascii="宋体" w:hAnsi="宋体"/>
          <w:highlight w:val="none"/>
        </w:rPr>
      </w:pPr>
      <w:r>
        <w:rPr>
          <w:rFonts w:ascii="宋体" w:hAnsi="宋体"/>
          <w:highlight w:val="none"/>
        </w:rPr>
        <w:t>（5）监理人指示的其他场地清理工作已全部完成。</w:t>
      </w:r>
    </w:p>
    <w:p w14:paraId="67FF62B4">
      <w:pPr>
        <w:spacing w:line="400" w:lineRule="exact"/>
        <w:ind w:firstLine="420" w:firstLineChars="200"/>
        <w:rPr>
          <w:rFonts w:hint="eastAsia" w:ascii="宋体" w:hAnsi="宋体"/>
          <w:highlight w:val="none"/>
        </w:rPr>
      </w:pPr>
      <w:r>
        <w:rPr>
          <w:rFonts w:ascii="宋体" w:hAnsi="宋体"/>
          <w:highlight w:val="none"/>
        </w:rPr>
        <w:t>18.7.2 承包人未按监理人的要求恢复临时占地，或者场地清理未达到合同约定的，发包人有权委托其他人恢复或清理，所发生的金额从拟支付给承包人的款项中扣除。</w:t>
      </w:r>
    </w:p>
    <w:p w14:paraId="58F12521">
      <w:pPr>
        <w:keepNext/>
        <w:keepLines/>
        <w:spacing w:line="400" w:lineRule="exact"/>
        <w:outlineLvl w:val="2"/>
        <w:rPr>
          <w:rFonts w:hint="eastAsia" w:ascii="宋体" w:hAnsi="宋体"/>
          <w:sz w:val="24"/>
          <w:szCs w:val="20"/>
          <w:highlight w:val="none"/>
        </w:rPr>
      </w:pPr>
      <w:bookmarkStart w:id="1325" w:name="_Toc159950734"/>
      <w:bookmarkStart w:id="1326" w:name="_Toc342296384"/>
      <w:bookmarkStart w:id="1327" w:name="_Toc338944826"/>
      <w:r>
        <w:rPr>
          <w:rFonts w:ascii="宋体" w:hAnsi="宋体"/>
          <w:sz w:val="24"/>
          <w:szCs w:val="20"/>
          <w:highlight w:val="none"/>
        </w:rPr>
        <w:t>18.8 施工队伍的撤离</w:t>
      </w:r>
      <w:bookmarkEnd w:id="1325"/>
      <w:bookmarkEnd w:id="1326"/>
      <w:bookmarkEnd w:id="1327"/>
    </w:p>
    <w:p w14:paraId="40DF980C">
      <w:pPr>
        <w:spacing w:line="400" w:lineRule="exact"/>
        <w:ind w:firstLine="420" w:firstLineChars="200"/>
        <w:rPr>
          <w:rFonts w:hint="eastAsia" w:ascii="宋体" w:hAnsi="宋体"/>
          <w:highlight w:val="none"/>
        </w:rPr>
      </w:pPr>
      <w:r>
        <w:rPr>
          <w:rFonts w:ascii="宋体" w:hAnsi="宋体"/>
          <w:highlight w:val="none"/>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069065BB">
      <w:pPr>
        <w:keepNext/>
        <w:keepLines/>
        <w:spacing w:line="400" w:lineRule="exact"/>
        <w:outlineLvl w:val="1"/>
        <w:rPr>
          <w:rFonts w:hint="eastAsia" w:ascii="宋体" w:hAnsi="宋体" w:cs="仿宋_GB2312"/>
          <w:sz w:val="28"/>
          <w:szCs w:val="20"/>
          <w:highlight w:val="none"/>
        </w:rPr>
      </w:pPr>
      <w:bookmarkStart w:id="1328" w:name="_Toc342296385"/>
      <w:bookmarkStart w:id="1329" w:name="_Toc159950735"/>
      <w:bookmarkStart w:id="1330" w:name="_Toc448758540"/>
      <w:bookmarkStart w:id="1331" w:name="_Toc469660035"/>
      <w:bookmarkStart w:id="1332" w:name="_Toc442365632"/>
      <w:bookmarkStart w:id="1333" w:name="_Toc448758440"/>
      <w:bookmarkStart w:id="1334" w:name="_Toc338944827"/>
      <w:r>
        <w:rPr>
          <w:rFonts w:ascii="宋体" w:hAnsi="宋体" w:cs="仿宋_GB2312"/>
          <w:sz w:val="28"/>
          <w:szCs w:val="20"/>
          <w:highlight w:val="none"/>
        </w:rPr>
        <w:t>19. 缺陷责任与保修责任</w:t>
      </w:r>
      <w:bookmarkEnd w:id="1328"/>
      <w:bookmarkEnd w:id="1329"/>
      <w:bookmarkEnd w:id="1330"/>
      <w:bookmarkEnd w:id="1331"/>
      <w:bookmarkEnd w:id="1332"/>
      <w:bookmarkEnd w:id="1333"/>
      <w:bookmarkEnd w:id="1334"/>
    </w:p>
    <w:p w14:paraId="428BA4A5">
      <w:pPr>
        <w:keepNext/>
        <w:keepLines/>
        <w:spacing w:line="400" w:lineRule="exact"/>
        <w:outlineLvl w:val="2"/>
        <w:rPr>
          <w:rFonts w:hint="eastAsia" w:ascii="宋体" w:hAnsi="宋体"/>
          <w:sz w:val="24"/>
          <w:szCs w:val="20"/>
          <w:highlight w:val="none"/>
        </w:rPr>
      </w:pPr>
      <w:bookmarkStart w:id="1335" w:name="_Toc152045735"/>
      <w:bookmarkStart w:id="1336" w:name="_Toc159950736"/>
      <w:bookmarkStart w:id="1337" w:name="_Toc338944828"/>
      <w:bookmarkStart w:id="1338" w:name="_Toc179632753"/>
      <w:bookmarkStart w:id="1339" w:name="_Toc152042514"/>
      <w:bookmarkStart w:id="1340" w:name="_Toc342296386"/>
      <w:bookmarkStart w:id="1341" w:name="_Toc144974706"/>
      <w:r>
        <w:rPr>
          <w:rFonts w:ascii="宋体" w:hAnsi="宋体"/>
          <w:sz w:val="24"/>
          <w:szCs w:val="20"/>
          <w:highlight w:val="none"/>
        </w:rPr>
        <w:t>19.1 缺陷责任期的起算时间</w:t>
      </w:r>
      <w:bookmarkEnd w:id="1335"/>
      <w:bookmarkEnd w:id="1336"/>
      <w:bookmarkEnd w:id="1337"/>
      <w:bookmarkEnd w:id="1338"/>
      <w:bookmarkEnd w:id="1339"/>
      <w:bookmarkEnd w:id="1340"/>
      <w:bookmarkEnd w:id="1341"/>
    </w:p>
    <w:p w14:paraId="6A2EC297">
      <w:pPr>
        <w:spacing w:line="400" w:lineRule="exact"/>
        <w:ind w:firstLine="420" w:firstLineChars="200"/>
        <w:rPr>
          <w:rFonts w:hint="eastAsia" w:ascii="宋体" w:hAnsi="宋体"/>
          <w:highlight w:val="none"/>
        </w:rPr>
      </w:pPr>
      <w:r>
        <w:rPr>
          <w:rFonts w:ascii="宋体" w:hAnsi="宋体"/>
          <w:highlight w:val="none"/>
        </w:rPr>
        <w:t>缺陷责任期自实际竣工日期起计算。在全部工程竣工验收前，已经发包人提前验收的单位工程，其缺陷责任期的起算日期相应提前。</w:t>
      </w:r>
    </w:p>
    <w:p w14:paraId="2CF9DBB7">
      <w:pPr>
        <w:keepNext/>
        <w:keepLines/>
        <w:spacing w:line="400" w:lineRule="exact"/>
        <w:outlineLvl w:val="2"/>
        <w:rPr>
          <w:rFonts w:hint="eastAsia" w:ascii="宋体" w:hAnsi="宋体"/>
          <w:sz w:val="24"/>
          <w:szCs w:val="20"/>
          <w:highlight w:val="none"/>
        </w:rPr>
      </w:pPr>
      <w:bookmarkStart w:id="1342" w:name="_Toc152042515"/>
      <w:bookmarkStart w:id="1343" w:name="_Toc338944829"/>
      <w:bookmarkStart w:id="1344" w:name="_Toc144974707"/>
      <w:bookmarkStart w:id="1345" w:name="_Toc179632754"/>
      <w:bookmarkStart w:id="1346" w:name="_Toc342296387"/>
      <w:bookmarkStart w:id="1347" w:name="_Toc152045736"/>
      <w:bookmarkStart w:id="1348" w:name="_Toc159950737"/>
      <w:r>
        <w:rPr>
          <w:rFonts w:ascii="宋体" w:hAnsi="宋体"/>
          <w:sz w:val="24"/>
          <w:szCs w:val="20"/>
          <w:highlight w:val="none"/>
        </w:rPr>
        <w:t>19.2 缺陷责任</w:t>
      </w:r>
      <w:bookmarkEnd w:id="1342"/>
      <w:bookmarkEnd w:id="1343"/>
      <w:bookmarkEnd w:id="1344"/>
      <w:bookmarkEnd w:id="1345"/>
      <w:bookmarkEnd w:id="1346"/>
      <w:bookmarkEnd w:id="1347"/>
      <w:bookmarkEnd w:id="1348"/>
    </w:p>
    <w:p w14:paraId="7FA035C1">
      <w:pPr>
        <w:spacing w:line="400" w:lineRule="exact"/>
        <w:ind w:firstLine="420" w:firstLineChars="200"/>
        <w:rPr>
          <w:rFonts w:hint="eastAsia" w:ascii="宋体" w:hAnsi="宋体"/>
          <w:highlight w:val="none"/>
        </w:rPr>
      </w:pPr>
      <w:r>
        <w:rPr>
          <w:rFonts w:ascii="宋体" w:hAnsi="宋体"/>
          <w:highlight w:val="none"/>
        </w:rPr>
        <w:t>19.2.1 承包人应在缺陷责任期内对已交付使用的工程承担缺陷责任。</w:t>
      </w:r>
    </w:p>
    <w:p w14:paraId="217F1223">
      <w:pPr>
        <w:spacing w:line="400" w:lineRule="exact"/>
        <w:ind w:firstLine="420" w:firstLineChars="200"/>
        <w:rPr>
          <w:rFonts w:hint="eastAsia" w:ascii="宋体" w:hAnsi="宋体"/>
          <w:highlight w:val="none"/>
        </w:rPr>
      </w:pPr>
      <w:r>
        <w:rPr>
          <w:rFonts w:ascii="宋体" w:hAnsi="宋体"/>
          <w:highlight w:val="none"/>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251710AC">
      <w:pPr>
        <w:spacing w:line="400" w:lineRule="exact"/>
        <w:ind w:firstLine="420" w:firstLineChars="200"/>
        <w:rPr>
          <w:rFonts w:hint="eastAsia" w:ascii="宋体" w:hAnsi="宋体"/>
          <w:highlight w:val="none"/>
        </w:rPr>
      </w:pPr>
      <w:r>
        <w:rPr>
          <w:rFonts w:ascii="宋体" w:hAnsi="宋体"/>
          <w:highlight w:val="none"/>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08068F57">
      <w:pPr>
        <w:spacing w:line="400" w:lineRule="exact"/>
        <w:ind w:firstLine="420" w:firstLineChars="200"/>
        <w:rPr>
          <w:rFonts w:hint="eastAsia" w:ascii="宋体" w:hAnsi="宋体"/>
          <w:highlight w:val="none"/>
        </w:rPr>
      </w:pPr>
      <w:r>
        <w:rPr>
          <w:rFonts w:ascii="宋体" w:hAnsi="宋体"/>
          <w:highlight w:val="none"/>
        </w:rPr>
        <w:t>19.2.4 承包人不能在合理时间内修复缺陷的，发包人可自行修复或委托其他人修复，所需费用和利润的承担，按第19.2.3项约定办理。</w:t>
      </w:r>
    </w:p>
    <w:p w14:paraId="7C761166">
      <w:pPr>
        <w:keepNext/>
        <w:keepLines/>
        <w:spacing w:line="400" w:lineRule="exact"/>
        <w:outlineLvl w:val="2"/>
        <w:rPr>
          <w:rFonts w:hint="eastAsia" w:ascii="宋体" w:hAnsi="宋体"/>
          <w:sz w:val="24"/>
          <w:szCs w:val="20"/>
          <w:highlight w:val="none"/>
        </w:rPr>
      </w:pPr>
      <w:bookmarkStart w:id="1349" w:name="_Toc152045737"/>
      <w:bookmarkStart w:id="1350" w:name="_Toc159950738"/>
      <w:bookmarkStart w:id="1351" w:name="_Toc338944830"/>
      <w:bookmarkStart w:id="1352" w:name="_Toc144974708"/>
      <w:bookmarkStart w:id="1353" w:name="_Toc342296388"/>
      <w:bookmarkStart w:id="1354" w:name="_Toc179632755"/>
      <w:bookmarkStart w:id="1355" w:name="_Toc152042516"/>
      <w:r>
        <w:rPr>
          <w:rFonts w:ascii="宋体" w:hAnsi="宋体"/>
          <w:sz w:val="24"/>
          <w:szCs w:val="20"/>
          <w:highlight w:val="none"/>
        </w:rPr>
        <w:t>19.3 缺陷责任期的延长</w:t>
      </w:r>
      <w:bookmarkEnd w:id="1349"/>
      <w:bookmarkEnd w:id="1350"/>
      <w:bookmarkEnd w:id="1351"/>
      <w:bookmarkEnd w:id="1352"/>
      <w:bookmarkEnd w:id="1353"/>
      <w:bookmarkEnd w:id="1354"/>
      <w:bookmarkEnd w:id="1355"/>
    </w:p>
    <w:p w14:paraId="6FD03050">
      <w:pPr>
        <w:spacing w:line="400" w:lineRule="exact"/>
        <w:ind w:firstLine="420" w:firstLineChars="200"/>
        <w:rPr>
          <w:rFonts w:hint="eastAsia" w:ascii="宋体" w:hAnsi="宋体"/>
          <w:highlight w:val="none"/>
        </w:rPr>
      </w:pPr>
      <w:r>
        <w:rPr>
          <w:rFonts w:ascii="宋体" w:hAnsi="宋体"/>
          <w:highlight w:val="none"/>
        </w:rPr>
        <w:t>由于承包人原因造成某项缺陷或损坏使某项工程或工程设备不能按原定目标使用而需要再次检查、检验和修复的，发包人有权要求承包人相应延长缺陷责任期，但缺陷责任期最长不超过2年。</w:t>
      </w:r>
    </w:p>
    <w:p w14:paraId="76044EEE">
      <w:pPr>
        <w:keepNext/>
        <w:keepLines/>
        <w:spacing w:line="400" w:lineRule="exact"/>
        <w:outlineLvl w:val="2"/>
        <w:rPr>
          <w:rFonts w:hint="eastAsia" w:ascii="宋体" w:hAnsi="宋体"/>
          <w:sz w:val="24"/>
          <w:szCs w:val="20"/>
          <w:highlight w:val="none"/>
        </w:rPr>
      </w:pPr>
      <w:bookmarkStart w:id="1356" w:name="_Toc342296389"/>
      <w:bookmarkStart w:id="1357" w:name="_Toc144974709"/>
      <w:bookmarkStart w:id="1358" w:name="_Toc159950739"/>
      <w:bookmarkStart w:id="1359" w:name="_Toc152045738"/>
      <w:bookmarkStart w:id="1360" w:name="_Toc152042517"/>
      <w:bookmarkStart w:id="1361" w:name="_Toc179632756"/>
      <w:bookmarkStart w:id="1362" w:name="_Toc338944831"/>
      <w:r>
        <w:rPr>
          <w:rFonts w:ascii="宋体" w:hAnsi="宋体"/>
          <w:sz w:val="24"/>
          <w:szCs w:val="20"/>
          <w:highlight w:val="none"/>
        </w:rPr>
        <w:t>19.4 进一步试验和试运行</w:t>
      </w:r>
      <w:bookmarkEnd w:id="1356"/>
      <w:bookmarkEnd w:id="1357"/>
      <w:bookmarkEnd w:id="1358"/>
      <w:bookmarkEnd w:id="1359"/>
      <w:bookmarkEnd w:id="1360"/>
      <w:bookmarkEnd w:id="1361"/>
      <w:bookmarkEnd w:id="1362"/>
    </w:p>
    <w:p w14:paraId="4BBCF83F">
      <w:pPr>
        <w:spacing w:line="400" w:lineRule="exact"/>
        <w:ind w:firstLine="420" w:firstLineChars="200"/>
        <w:rPr>
          <w:rFonts w:hint="eastAsia" w:ascii="宋体" w:hAnsi="宋体"/>
          <w:highlight w:val="none"/>
        </w:rPr>
      </w:pPr>
      <w:r>
        <w:rPr>
          <w:rFonts w:ascii="宋体" w:hAnsi="宋体"/>
          <w:highlight w:val="none"/>
        </w:rPr>
        <w:t>任何一项缺陷或损坏修复后，经检查证明其影响了工程或工程设备的使用性能，承包人应重新进行合同约定的试验和试运行，试验和试运行的全部费用应由责任方承担。</w:t>
      </w:r>
    </w:p>
    <w:p w14:paraId="66286993">
      <w:pPr>
        <w:keepNext/>
        <w:keepLines/>
        <w:spacing w:line="400" w:lineRule="exact"/>
        <w:outlineLvl w:val="2"/>
        <w:rPr>
          <w:rFonts w:hint="eastAsia" w:ascii="宋体" w:hAnsi="宋体"/>
          <w:sz w:val="24"/>
          <w:szCs w:val="20"/>
          <w:highlight w:val="none"/>
        </w:rPr>
      </w:pPr>
      <w:bookmarkStart w:id="1363" w:name="_Toc144974710"/>
      <w:bookmarkStart w:id="1364" w:name="_Toc338944832"/>
      <w:bookmarkStart w:id="1365" w:name="_Toc152045739"/>
      <w:bookmarkStart w:id="1366" w:name="_Toc342296390"/>
      <w:bookmarkStart w:id="1367" w:name="_Toc179632757"/>
      <w:bookmarkStart w:id="1368" w:name="_Toc159950740"/>
      <w:bookmarkStart w:id="1369" w:name="_Toc152042518"/>
      <w:r>
        <w:rPr>
          <w:rFonts w:ascii="宋体" w:hAnsi="宋体"/>
          <w:sz w:val="24"/>
          <w:szCs w:val="20"/>
          <w:highlight w:val="none"/>
        </w:rPr>
        <w:t>19.5 承包人的进入权</w:t>
      </w:r>
      <w:bookmarkEnd w:id="1363"/>
      <w:bookmarkEnd w:id="1364"/>
      <w:bookmarkEnd w:id="1365"/>
      <w:bookmarkEnd w:id="1366"/>
      <w:bookmarkEnd w:id="1367"/>
      <w:bookmarkEnd w:id="1368"/>
      <w:bookmarkEnd w:id="1369"/>
    </w:p>
    <w:p w14:paraId="1497FA3B">
      <w:pPr>
        <w:spacing w:line="400" w:lineRule="exact"/>
        <w:ind w:firstLine="420" w:firstLineChars="200"/>
        <w:rPr>
          <w:rFonts w:hint="eastAsia" w:ascii="宋体" w:hAnsi="宋体"/>
          <w:highlight w:val="none"/>
        </w:rPr>
      </w:pPr>
      <w:r>
        <w:rPr>
          <w:rFonts w:ascii="宋体" w:hAnsi="宋体"/>
          <w:highlight w:val="none"/>
        </w:rPr>
        <w:t>缺陷责任期内承包人为缺陷修复工作需要，有权进入工程现场，但应遵守发包人的保安和保密规定。</w:t>
      </w:r>
    </w:p>
    <w:p w14:paraId="4128E73B">
      <w:pPr>
        <w:keepNext/>
        <w:keepLines/>
        <w:spacing w:line="400" w:lineRule="exact"/>
        <w:outlineLvl w:val="2"/>
        <w:rPr>
          <w:rFonts w:hint="eastAsia" w:ascii="宋体" w:hAnsi="宋体"/>
          <w:sz w:val="24"/>
          <w:szCs w:val="20"/>
          <w:highlight w:val="none"/>
        </w:rPr>
      </w:pPr>
      <w:bookmarkStart w:id="1370" w:name="_Toc152045740"/>
      <w:bookmarkStart w:id="1371" w:name="_Toc342296391"/>
      <w:bookmarkStart w:id="1372" w:name="_Toc179632758"/>
      <w:bookmarkStart w:id="1373" w:name="_Toc144974711"/>
      <w:bookmarkStart w:id="1374" w:name="_Toc338944833"/>
      <w:bookmarkStart w:id="1375" w:name="_Toc159950741"/>
      <w:bookmarkStart w:id="1376" w:name="_Toc152042519"/>
      <w:r>
        <w:rPr>
          <w:rFonts w:ascii="宋体" w:hAnsi="宋体"/>
          <w:sz w:val="24"/>
          <w:szCs w:val="20"/>
          <w:highlight w:val="none"/>
        </w:rPr>
        <w:t>19.6 缺陷责任期终止证书</w:t>
      </w:r>
      <w:bookmarkEnd w:id="1370"/>
      <w:bookmarkEnd w:id="1371"/>
      <w:bookmarkEnd w:id="1372"/>
      <w:bookmarkEnd w:id="1373"/>
      <w:bookmarkEnd w:id="1374"/>
      <w:bookmarkEnd w:id="1375"/>
      <w:bookmarkEnd w:id="1376"/>
    </w:p>
    <w:p w14:paraId="3E6AFA39">
      <w:pPr>
        <w:spacing w:line="400" w:lineRule="exact"/>
        <w:ind w:firstLine="420" w:firstLineChars="200"/>
        <w:rPr>
          <w:rFonts w:hint="eastAsia" w:ascii="宋体" w:hAnsi="宋体"/>
          <w:highlight w:val="none"/>
        </w:rPr>
      </w:pPr>
      <w:r>
        <w:rPr>
          <w:rFonts w:ascii="宋体" w:hAnsi="宋体"/>
          <w:highlight w:val="none"/>
        </w:rPr>
        <w:t>在第1.1.4.5目约定的缺陷责任期，包括根据第19.3款延长的期限终止后14天内，由监理人向承包人出具经发包人签认的缺陷责任期终止证书，并退还剩余的质量保证金。</w:t>
      </w:r>
    </w:p>
    <w:p w14:paraId="2B8E333C">
      <w:pPr>
        <w:keepNext/>
        <w:keepLines/>
        <w:spacing w:line="400" w:lineRule="exact"/>
        <w:outlineLvl w:val="2"/>
        <w:rPr>
          <w:rFonts w:hint="eastAsia" w:ascii="宋体" w:hAnsi="宋体"/>
          <w:sz w:val="24"/>
          <w:szCs w:val="20"/>
          <w:highlight w:val="none"/>
        </w:rPr>
      </w:pPr>
      <w:bookmarkStart w:id="1377" w:name="_Toc338944834"/>
      <w:bookmarkStart w:id="1378" w:name="_Toc342296392"/>
      <w:bookmarkStart w:id="1379" w:name="_Toc159950742"/>
      <w:r>
        <w:rPr>
          <w:rFonts w:ascii="宋体" w:hAnsi="宋体"/>
          <w:sz w:val="24"/>
          <w:szCs w:val="20"/>
          <w:highlight w:val="none"/>
        </w:rPr>
        <w:t>19.7 保修责任</w:t>
      </w:r>
      <w:bookmarkEnd w:id="1377"/>
      <w:bookmarkEnd w:id="1378"/>
      <w:bookmarkEnd w:id="1379"/>
    </w:p>
    <w:p w14:paraId="155541D5">
      <w:pPr>
        <w:spacing w:line="400" w:lineRule="exact"/>
        <w:ind w:firstLine="420" w:firstLineChars="200"/>
        <w:rPr>
          <w:rFonts w:hint="eastAsia" w:ascii="宋体" w:hAnsi="宋体"/>
          <w:highlight w:val="none"/>
        </w:rPr>
      </w:pPr>
      <w:r>
        <w:rPr>
          <w:rFonts w:ascii="宋体" w:hAnsi="宋体"/>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4C1ADB89">
      <w:pPr>
        <w:keepNext/>
        <w:keepLines/>
        <w:spacing w:line="400" w:lineRule="exact"/>
        <w:outlineLvl w:val="1"/>
        <w:rPr>
          <w:rFonts w:hint="eastAsia" w:ascii="宋体" w:hAnsi="宋体" w:cs="仿宋_GB2312"/>
          <w:sz w:val="28"/>
          <w:szCs w:val="20"/>
          <w:highlight w:val="none"/>
        </w:rPr>
      </w:pPr>
      <w:bookmarkStart w:id="1380" w:name="_Toc442365633"/>
      <w:bookmarkStart w:id="1381" w:name="_Toc342296393"/>
      <w:bookmarkStart w:id="1382" w:name="_Toc469660036"/>
      <w:bookmarkStart w:id="1383" w:name="_Toc448758541"/>
      <w:bookmarkStart w:id="1384" w:name="_Toc448758441"/>
      <w:bookmarkStart w:id="1385" w:name="_Toc338944835"/>
      <w:bookmarkStart w:id="1386" w:name="_Toc159950743"/>
      <w:r>
        <w:rPr>
          <w:rFonts w:ascii="宋体" w:hAnsi="宋体" w:cs="仿宋_GB2312"/>
          <w:sz w:val="28"/>
          <w:szCs w:val="20"/>
          <w:highlight w:val="none"/>
        </w:rPr>
        <w:t>20. 保险</w:t>
      </w:r>
      <w:bookmarkEnd w:id="1380"/>
      <w:bookmarkEnd w:id="1381"/>
      <w:bookmarkEnd w:id="1382"/>
      <w:bookmarkEnd w:id="1383"/>
      <w:bookmarkEnd w:id="1384"/>
      <w:bookmarkEnd w:id="1385"/>
      <w:bookmarkEnd w:id="1386"/>
    </w:p>
    <w:p w14:paraId="4C315DEC">
      <w:pPr>
        <w:keepNext/>
        <w:keepLines/>
        <w:spacing w:line="400" w:lineRule="exact"/>
        <w:outlineLvl w:val="2"/>
        <w:rPr>
          <w:rFonts w:hint="eastAsia" w:ascii="宋体" w:hAnsi="宋体"/>
          <w:sz w:val="24"/>
          <w:szCs w:val="20"/>
          <w:highlight w:val="none"/>
        </w:rPr>
      </w:pPr>
      <w:bookmarkStart w:id="1387" w:name="_Toc338944836"/>
      <w:bookmarkStart w:id="1388" w:name="_Toc159950744"/>
      <w:bookmarkStart w:id="1389" w:name="_Toc342296394"/>
      <w:r>
        <w:rPr>
          <w:rFonts w:ascii="宋体" w:hAnsi="宋体"/>
          <w:sz w:val="24"/>
          <w:szCs w:val="20"/>
          <w:highlight w:val="none"/>
        </w:rPr>
        <w:t>20.1 工程保险</w:t>
      </w:r>
      <w:bookmarkEnd w:id="1387"/>
      <w:bookmarkEnd w:id="1388"/>
      <w:bookmarkEnd w:id="1389"/>
    </w:p>
    <w:p w14:paraId="22FF3156">
      <w:pPr>
        <w:spacing w:line="400" w:lineRule="exact"/>
        <w:ind w:firstLine="420" w:firstLineChars="200"/>
        <w:rPr>
          <w:rFonts w:hint="eastAsia" w:ascii="宋体" w:hAnsi="宋体"/>
          <w:highlight w:val="none"/>
        </w:rPr>
      </w:pPr>
      <w:r>
        <w:rPr>
          <w:rFonts w:ascii="宋体" w:hAnsi="宋体"/>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3B4E226A">
      <w:pPr>
        <w:keepNext/>
        <w:keepLines/>
        <w:spacing w:line="400" w:lineRule="exact"/>
        <w:outlineLvl w:val="2"/>
        <w:rPr>
          <w:rFonts w:hint="eastAsia" w:ascii="宋体" w:hAnsi="宋体"/>
          <w:sz w:val="24"/>
          <w:szCs w:val="20"/>
          <w:highlight w:val="none"/>
        </w:rPr>
      </w:pPr>
      <w:bookmarkStart w:id="1390" w:name="_Toc342296395"/>
      <w:bookmarkStart w:id="1391" w:name="_Toc338944837"/>
      <w:bookmarkStart w:id="1392" w:name="_Toc159950745"/>
      <w:r>
        <w:rPr>
          <w:rFonts w:ascii="宋体" w:hAnsi="宋体"/>
          <w:sz w:val="24"/>
          <w:szCs w:val="20"/>
          <w:highlight w:val="none"/>
        </w:rPr>
        <w:t>20.2 人员工伤事故的保险</w:t>
      </w:r>
      <w:bookmarkEnd w:id="1390"/>
      <w:bookmarkEnd w:id="1391"/>
      <w:bookmarkEnd w:id="1392"/>
    </w:p>
    <w:p w14:paraId="70BDA739">
      <w:pPr>
        <w:spacing w:line="400" w:lineRule="exact"/>
        <w:ind w:firstLine="420" w:firstLineChars="200"/>
        <w:rPr>
          <w:rFonts w:hint="eastAsia" w:ascii="宋体" w:hAnsi="宋体"/>
          <w:highlight w:val="none"/>
        </w:rPr>
      </w:pPr>
      <w:r>
        <w:rPr>
          <w:rFonts w:ascii="宋体" w:hAnsi="宋体"/>
          <w:highlight w:val="none"/>
        </w:rPr>
        <w:t xml:space="preserve">20.2.1 </w:t>
      </w:r>
      <w:r>
        <w:rPr>
          <w:rFonts w:hint="eastAsia" w:ascii="宋体" w:hAnsi="宋体" w:cs="宋体"/>
          <w:highlight w:val="none"/>
        </w:rPr>
        <w:t>承包人员工伤事故的保险</w:t>
      </w:r>
    </w:p>
    <w:p w14:paraId="2DE2F971">
      <w:pPr>
        <w:spacing w:line="400" w:lineRule="exact"/>
        <w:ind w:firstLine="420" w:firstLineChars="200"/>
        <w:rPr>
          <w:rFonts w:hint="eastAsia" w:ascii="宋体" w:hAnsi="宋体"/>
          <w:highlight w:val="none"/>
        </w:rPr>
      </w:pPr>
      <w:r>
        <w:rPr>
          <w:rFonts w:ascii="宋体" w:hAnsi="宋体"/>
          <w:highlight w:val="none"/>
        </w:rPr>
        <w:t>承包人应依照有关法律规定参加工伤保险，为其履行合同所雇佣的全部人员，缴纳工伤保险费，并要求其分包人也进行此项保险。</w:t>
      </w:r>
    </w:p>
    <w:p w14:paraId="7321935C">
      <w:pPr>
        <w:spacing w:line="400" w:lineRule="exact"/>
        <w:ind w:firstLine="420" w:firstLineChars="200"/>
        <w:rPr>
          <w:rFonts w:hint="eastAsia" w:ascii="宋体" w:hAnsi="宋体"/>
          <w:highlight w:val="none"/>
        </w:rPr>
      </w:pPr>
      <w:r>
        <w:rPr>
          <w:rFonts w:ascii="宋体" w:hAnsi="宋体"/>
          <w:highlight w:val="none"/>
        </w:rPr>
        <w:t xml:space="preserve">20.2.2 </w:t>
      </w:r>
      <w:r>
        <w:rPr>
          <w:rFonts w:hint="eastAsia" w:ascii="宋体" w:hAnsi="宋体" w:cs="宋体"/>
          <w:highlight w:val="none"/>
        </w:rPr>
        <w:t>发包人员工伤事故的保险</w:t>
      </w:r>
    </w:p>
    <w:p w14:paraId="35670D3D">
      <w:pPr>
        <w:spacing w:line="400" w:lineRule="exact"/>
        <w:ind w:firstLine="420" w:firstLineChars="200"/>
        <w:rPr>
          <w:rFonts w:hint="eastAsia" w:ascii="宋体" w:hAnsi="宋体"/>
          <w:highlight w:val="none"/>
        </w:rPr>
      </w:pPr>
      <w:r>
        <w:rPr>
          <w:rFonts w:ascii="宋体" w:hAnsi="宋体"/>
          <w:highlight w:val="none"/>
        </w:rPr>
        <w:t>发包人应依照有关法律规定参加工伤保险，为其现场机构雇佣的全部人员，缴纳工伤保险费，并要求其监理人也进行此项保险。</w:t>
      </w:r>
    </w:p>
    <w:p w14:paraId="35FB8E9F">
      <w:pPr>
        <w:keepNext/>
        <w:keepLines/>
        <w:spacing w:line="400" w:lineRule="exact"/>
        <w:outlineLvl w:val="2"/>
        <w:rPr>
          <w:rFonts w:hint="eastAsia" w:ascii="宋体" w:hAnsi="宋体"/>
          <w:sz w:val="24"/>
          <w:szCs w:val="20"/>
          <w:highlight w:val="none"/>
        </w:rPr>
      </w:pPr>
      <w:bookmarkStart w:id="1393" w:name="_Toc152045745"/>
      <w:bookmarkStart w:id="1394" w:name="_Toc179632763"/>
      <w:bookmarkStart w:id="1395" w:name="_Toc159950746"/>
      <w:bookmarkStart w:id="1396" w:name="_Toc338944838"/>
      <w:bookmarkStart w:id="1397" w:name="_Toc342296396"/>
      <w:bookmarkStart w:id="1398" w:name="_Toc152042524"/>
      <w:bookmarkStart w:id="1399" w:name="_Toc144974716"/>
      <w:r>
        <w:rPr>
          <w:rFonts w:ascii="宋体" w:hAnsi="宋体"/>
          <w:sz w:val="24"/>
          <w:szCs w:val="20"/>
          <w:highlight w:val="none"/>
        </w:rPr>
        <w:t>20.3 人身意外伤害险</w:t>
      </w:r>
      <w:bookmarkEnd w:id="1393"/>
      <w:bookmarkEnd w:id="1394"/>
      <w:bookmarkEnd w:id="1395"/>
      <w:bookmarkEnd w:id="1396"/>
      <w:bookmarkEnd w:id="1397"/>
      <w:bookmarkEnd w:id="1398"/>
      <w:bookmarkEnd w:id="1399"/>
    </w:p>
    <w:p w14:paraId="75910AD5">
      <w:pPr>
        <w:spacing w:line="400" w:lineRule="exact"/>
        <w:ind w:firstLine="420" w:firstLineChars="200"/>
        <w:rPr>
          <w:rFonts w:hint="eastAsia" w:ascii="宋体" w:hAnsi="宋体"/>
          <w:highlight w:val="none"/>
        </w:rPr>
      </w:pPr>
      <w:r>
        <w:rPr>
          <w:rFonts w:ascii="宋体" w:hAnsi="宋体"/>
          <w:highlight w:val="none"/>
        </w:rPr>
        <w:t>20.3.1 发包人应在整个施工期间为其现场机构雇用的全部人员，投保人身意外伤害险，缴纳保险费，并要求其监理人也进行此项保险。</w:t>
      </w:r>
    </w:p>
    <w:p w14:paraId="16F3884C">
      <w:pPr>
        <w:spacing w:line="400" w:lineRule="exact"/>
        <w:ind w:firstLine="420" w:firstLineChars="200"/>
        <w:rPr>
          <w:rFonts w:hint="eastAsia" w:ascii="宋体" w:hAnsi="宋体"/>
          <w:highlight w:val="none"/>
        </w:rPr>
      </w:pPr>
      <w:r>
        <w:rPr>
          <w:rFonts w:ascii="宋体" w:hAnsi="宋体"/>
          <w:highlight w:val="none"/>
        </w:rPr>
        <w:t>20.3.2 承包人应在整个施工期间为其现场机构雇用的全部人员，投保人身意外伤害险，缴纳保险费，并要求其分包人也进行此项保险。</w:t>
      </w:r>
    </w:p>
    <w:p w14:paraId="66D89DCA">
      <w:pPr>
        <w:keepNext/>
        <w:keepLines/>
        <w:spacing w:line="400" w:lineRule="exact"/>
        <w:outlineLvl w:val="2"/>
        <w:rPr>
          <w:rFonts w:hint="eastAsia" w:ascii="宋体" w:hAnsi="宋体"/>
          <w:sz w:val="24"/>
          <w:szCs w:val="20"/>
          <w:highlight w:val="none"/>
        </w:rPr>
      </w:pPr>
      <w:bookmarkStart w:id="1400" w:name="_Toc338944839"/>
      <w:bookmarkStart w:id="1401" w:name="_Toc159950747"/>
      <w:bookmarkStart w:id="1402" w:name="_Toc342296397"/>
      <w:r>
        <w:rPr>
          <w:rFonts w:ascii="宋体" w:hAnsi="宋体"/>
          <w:sz w:val="24"/>
          <w:szCs w:val="20"/>
          <w:highlight w:val="none"/>
        </w:rPr>
        <w:t>20.4 第三者责任险</w:t>
      </w:r>
      <w:bookmarkEnd w:id="1400"/>
      <w:bookmarkEnd w:id="1401"/>
      <w:bookmarkEnd w:id="1402"/>
    </w:p>
    <w:p w14:paraId="5633B487">
      <w:pPr>
        <w:spacing w:line="400" w:lineRule="exact"/>
        <w:ind w:firstLine="420" w:firstLineChars="200"/>
        <w:rPr>
          <w:rFonts w:hint="eastAsia" w:ascii="宋体" w:hAnsi="宋体"/>
          <w:highlight w:val="none"/>
        </w:rPr>
      </w:pPr>
      <w:r>
        <w:rPr>
          <w:rFonts w:ascii="宋体" w:hAnsi="宋体"/>
          <w:highlight w:val="none"/>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298AD859">
      <w:pPr>
        <w:spacing w:line="400" w:lineRule="exact"/>
        <w:ind w:firstLine="420" w:firstLineChars="200"/>
        <w:rPr>
          <w:rFonts w:hint="eastAsia" w:ascii="宋体" w:hAnsi="宋体"/>
          <w:highlight w:val="none"/>
        </w:rPr>
      </w:pPr>
      <w:r>
        <w:rPr>
          <w:rFonts w:ascii="宋体" w:hAnsi="宋体"/>
          <w:highlight w:val="none"/>
        </w:rPr>
        <w:t>20.4.2 在缺陷责任期终止证书颁发前，承包人应以承包人和发包人的共同名义，投保第20.4.1项约定的第三者责任险，其保险费率、保险金额等有关内容在专用合同条款中约定。</w:t>
      </w:r>
    </w:p>
    <w:p w14:paraId="1FB63A0A">
      <w:pPr>
        <w:keepNext/>
        <w:keepLines/>
        <w:spacing w:line="400" w:lineRule="exact"/>
        <w:outlineLvl w:val="2"/>
        <w:rPr>
          <w:rFonts w:hint="eastAsia" w:ascii="宋体" w:hAnsi="宋体"/>
          <w:sz w:val="24"/>
          <w:szCs w:val="20"/>
          <w:highlight w:val="none"/>
        </w:rPr>
      </w:pPr>
      <w:bookmarkStart w:id="1403" w:name="_Toc342296398"/>
      <w:bookmarkStart w:id="1404" w:name="_Toc338944840"/>
      <w:bookmarkStart w:id="1405" w:name="_Toc159950748"/>
      <w:r>
        <w:rPr>
          <w:rFonts w:ascii="宋体" w:hAnsi="宋体"/>
          <w:sz w:val="24"/>
          <w:szCs w:val="20"/>
          <w:highlight w:val="none"/>
        </w:rPr>
        <w:t>20.5 其他保险</w:t>
      </w:r>
      <w:bookmarkEnd w:id="1403"/>
      <w:bookmarkEnd w:id="1404"/>
      <w:bookmarkEnd w:id="1405"/>
    </w:p>
    <w:p w14:paraId="101EF2E1">
      <w:pPr>
        <w:spacing w:line="400" w:lineRule="exact"/>
        <w:ind w:firstLine="420" w:firstLineChars="200"/>
        <w:rPr>
          <w:rFonts w:hint="eastAsia" w:ascii="宋体" w:hAnsi="宋体"/>
          <w:highlight w:val="none"/>
        </w:rPr>
      </w:pPr>
      <w:r>
        <w:rPr>
          <w:rFonts w:ascii="宋体" w:hAnsi="宋体"/>
          <w:highlight w:val="none"/>
        </w:rPr>
        <w:t>除专用合同条款另有约定外，承包人应为其施工设备、进场的材料和工程设备等办理保险。</w:t>
      </w:r>
    </w:p>
    <w:p w14:paraId="7A6A68E0">
      <w:pPr>
        <w:keepNext/>
        <w:keepLines/>
        <w:spacing w:line="400" w:lineRule="exact"/>
        <w:outlineLvl w:val="2"/>
        <w:rPr>
          <w:rFonts w:hint="eastAsia" w:ascii="宋体" w:hAnsi="宋体"/>
          <w:sz w:val="24"/>
          <w:szCs w:val="20"/>
          <w:highlight w:val="none"/>
        </w:rPr>
      </w:pPr>
      <w:bookmarkStart w:id="1406" w:name="_Toc159950749"/>
      <w:bookmarkStart w:id="1407" w:name="_Toc342296399"/>
      <w:bookmarkStart w:id="1408" w:name="_Toc338944841"/>
      <w:r>
        <w:rPr>
          <w:rFonts w:ascii="宋体" w:hAnsi="宋体"/>
          <w:sz w:val="24"/>
          <w:szCs w:val="20"/>
          <w:highlight w:val="none"/>
        </w:rPr>
        <w:t>20.6 对各项保险的一般要求</w:t>
      </w:r>
      <w:bookmarkEnd w:id="1406"/>
      <w:bookmarkEnd w:id="1407"/>
      <w:bookmarkEnd w:id="1408"/>
    </w:p>
    <w:p w14:paraId="40CCACCB">
      <w:pPr>
        <w:spacing w:line="400" w:lineRule="exact"/>
        <w:ind w:firstLine="420" w:firstLineChars="200"/>
        <w:rPr>
          <w:rFonts w:hint="eastAsia" w:ascii="宋体" w:hAnsi="宋体"/>
          <w:highlight w:val="none"/>
        </w:rPr>
      </w:pPr>
      <w:r>
        <w:rPr>
          <w:rFonts w:ascii="宋体" w:hAnsi="宋体"/>
          <w:highlight w:val="none"/>
        </w:rPr>
        <w:t xml:space="preserve">20.6.1 </w:t>
      </w:r>
      <w:r>
        <w:rPr>
          <w:rFonts w:hint="eastAsia" w:ascii="宋体" w:hAnsi="宋体" w:cs="宋体"/>
          <w:highlight w:val="none"/>
        </w:rPr>
        <w:t>保险凭证</w:t>
      </w:r>
    </w:p>
    <w:p w14:paraId="26B317B2">
      <w:pPr>
        <w:spacing w:line="400" w:lineRule="exact"/>
        <w:ind w:firstLine="420" w:firstLineChars="200"/>
        <w:rPr>
          <w:rFonts w:hint="eastAsia" w:ascii="宋体" w:hAnsi="宋体"/>
          <w:highlight w:val="none"/>
        </w:rPr>
      </w:pPr>
      <w:r>
        <w:rPr>
          <w:rFonts w:ascii="宋体" w:hAnsi="宋体"/>
          <w:highlight w:val="none"/>
        </w:rPr>
        <w:t>承包人应在专用合同条款约定的期限内向发包人提交各项保险生效的证据和保险单副本，保险单必须与专用合同条款约定的条件保持一致。</w:t>
      </w:r>
    </w:p>
    <w:p w14:paraId="00C6F460">
      <w:pPr>
        <w:spacing w:line="400" w:lineRule="exact"/>
        <w:ind w:firstLine="420" w:firstLineChars="200"/>
        <w:rPr>
          <w:rFonts w:hint="eastAsia" w:ascii="宋体" w:hAnsi="宋体"/>
          <w:highlight w:val="none"/>
        </w:rPr>
      </w:pPr>
      <w:r>
        <w:rPr>
          <w:rFonts w:ascii="宋体" w:hAnsi="宋体"/>
          <w:highlight w:val="none"/>
        </w:rPr>
        <w:t xml:space="preserve">20.6.2 </w:t>
      </w:r>
      <w:r>
        <w:rPr>
          <w:rFonts w:hint="eastAsia" w:ascii="宋体" w:hAnsi="宋体" w:cs="宋体"/>
          <w:highlight w:val="none"/>
        </w:rPr>
        <w:t>保险合同条款的变动</w:t>
      </w:r>
    </w:p>
    <w:p w14:paraId="212916C1">
      <w:pPr>
        <w:spacing w:line="400" w:lineRule="exact"/>
        <w:ind w:firstLine="420" w:firstLineChars="200"/>
        <w:rPr>
          <w:rFonts w:hint="eastAsia" w:ascii="宋体" w:hAnsi="宋体"/>
          <w:highlight w:val="none"/>
        </w:rPr>
      </w:pPr>
      <w:r>
        <w:rPr>
          <w:rFonts w:ascii="宋体" w:hAnsi="宋体"/>
          <w:highlight w:val="none"/>
        </w:rPr>
        <w:t>承包人需要变动保险合同条款时，应事先征得发包人同意，并通知监理人。保险人作出变动的，承包人应在收到保险人通知后立即通知发包人和监理人。</w:t>
      </w:r>
    </w:p>
    <w:p w14:paraId="4CA78752">
      <w:pPr>
        <w:spacing w:line="400" w:lineRule="exact"/>
        <w:ind w:firstLine="420" w:firstLineChars="200"/>
        <w:rPr>
          <w:rFonts w:hint="eastAsia" w:ascii="宋体" w:hAnsi="宋体"/>
          <w:highlight w:val="none"/>
        </w:rPr>
      </w:pPr>
      <w:r>
        <w:rPr>
          <w:rFonts w:ascii="宋体" w:hAnsi="宋体"/>
          <w:highlight w:val="none"/>
        </w:rPr>
        <w:t xml:space="preserve">20.6.3 </w:t>
      </w:r>
      <w:r>
        <w:rPr>
          <w:rFonts w:hint="eastAsia" w:ascii="宋体" w:hAnsi="宋体" w:cs="宋体"/>
          <w:highlight w:val="none"/>
        </w:rPr>
        <w:t>持续保险</w:t>
      </w:r>
    </w:p>
    <w:p w14:paraId="3B777390">
      <w:pPr>
        <w:spacing w:line="400" w:lineRule="exact"/>
        <w:ind w:firstLine="420" w:firstLineChars="200"/>
        <w:rPr>
          <w:rFonts w:hint="eastAsia" w:ascii="宋体" w:hAnsi="宋体"/>
          <w:highlight w:val="none"/>
        </w:rPr>
      </w:pPr>
      <w:r>
        <w:rPr>
          <w:rFonts w:ascii="宋体" w:hAnsi="宋体"/>
          <w:highlight w:val="none"/>
        </w:rPr>
        <w:t>承包人应与保险人保持联系，使保险人能够随时了解工程实施中的变动，并确保按保险合同条款要求持续保险。</w:t>
      </w:r>
    </w:p>
    <w:p w14:paraId="3781939D">
      <w:pPr>
        <w:spacing w:line="400" w:lineRule="exact"/>
        <w:ind w:firstLine="420" w:firstLineChars="200"/>
        <w:rPr>
          <w:rFonts w:hint="eastAsia" w:ascii="宋体" w:hAnsi="宋体"/>
          <w:highlight w:val="none"/>
        </w:rPr>
      </w:pPr>
      <w:r>
        <w:rPr>
          <w:rFonts w:ascii="宋体" w:hAnsi="宋体"/>
          <w:highlight w:val="none"/>
        </w:rPr>
        <w:t xml:space="preserve">20.6.4 </w:t>
      </w:r>
      <w:r>
        <w:rPr>
          <w:rFonts w:hint="eastAsia" w:ascii="宋体" w:hAnsi="宋体" w:cs="宋体"/>
          <w:highlight w:val="none"/>
        </w:rPr>
        <w:t>保险金不足的补偿</w:t>
      </w:r>
    </w:p>
    <w:p w14:paraId="00E0F208">
      <w:pPr>
        <w:spacing w:line="400" w:lineRule="exact"/>
        <w:ind w:firstLine="420" w:firstLineChars="200"/>
        <w:rPr>
          <w:rFonts w:hint="eastAsia" w:ascii="宋体" w:hAnsi="宋体"/>
          <w:highlight w:val="none"/>
        </w:rPr>
      </w:pPr>
      <w:r>
        <w:rPr>
          <w:rFonts w:ascii="宋体" w:hAnsi="宋体"/>
          <w:highlight w:val="none"/>
        </w:rPr>
        <w:t>保险金不足以补偿损失的，应由承包人和（或）发包人按合同约定负责补偿。</w:t>
      </w:r>
    </w:p>
    <w:p w14:paraId="69172BDD">
      <w:pPr>
        <w:spacing w:line="400" w:lineRule="exact"/>
        <w:ind w:firstLine="420" w:firstLineChars="200"/>
        <w:rPr>
          <w:rFonts w:hint="eastAsia" w:ascii="宋体" w:hAnsi="宋体"/>
          <w:highlight w:val="none"/>
        </w:rPr>
      </w:pPr>
      <w:r>
        <w:rPr>
          <w:rFonts w:ascii="宋体" w:hAnsi="宋体"/>
          <w:highlight w:val="none"/>
        </w:rPr>
        <w:t xml:space="preserve">20.6.5 </w:t>
      </w:r>
      <w:r>
        <w:rPr>
          <w:rFonts w:hint="eastAsia" w:ascii="宋体" w:hAnsi="宋体" w:cs="宋体"/>
          <w:highlight w:val="none"/>
        </w:rPr>
        <w:t>未按约定投保的补救</w:t>
      </w:r>
    </w:p>
    <w:p w14:paraId="78DF81A1">
      <w:pPr>
        <w:spacing w:line="400" w:lineRule="exact"/>
        <w:ind w:firstLine="420" w:firstLineChars="200"/>
        <w:rPr>
          <w:rFonts w:hint="eastAsia" w:ascii="宋体" w:hAnsi="宋体"/>
          <w:highlight w:val="none"/>
        </w:rPr>
      </w:pPr>
      <w:r>
        <w:rPr>
          <w:rFonts w:ascii="宋体" w:hAnsi="宋体"/>
          <w:highlight w:val="none"/>
        </w:rPr>
        <w:t>（1）由于负有投保义务的一方当事人未按合同约定办理保险，或未能使保险持续有效的，另一方当事人可代为办理，所需费用由对方当事人承担。</w:t>
      </w:r>
    </w:p>
    <w:p w14:paraId="5B28FCAB">
      <w:pPr>
        <w:spacing w:line="400" w:lineRule="exact"/>
        <w:ind w:firstLine="420" w:firstLineChars="200"/>
        <w:rPr>
          <w:rFonts w:hint="eastAsia" w:ascii="宋体" w:hAnsi="宋体"/>
          <w:highlight w:val="none"/>
        </w:rPr>
      </w:pPr>
      <w:r>
        <w:rPr>
          <w:rFonts w:ascii="宋体" w:hAnsi="宋体"/>
          <w:highlight w:val="none"/>
        </w:rPr>
        <w:t>（2）由于负有投保义务的一方当事人未按合同约定办理某项保险，导致受益人未能得到保险人的赔偿，原应从该项保险得到的保险金应由负有投保义务的一方当事人支付。</w:t>
      </w:r>
    </w:p>
    <w:p w14:paraId="2D7CDEDF">
      <w:pPr>
        <w:spacing w:line="400" w:lineRule="exact"/>
        <w:ind w:firstLine="420" w:firstLineChars="200"/>
        <w:rPr>
          <w:rFonts w:hint="eastAsia" w:ascii="宋体" w:hAnsi="宋体"/>
          <w:highlight w:val="none"/>
        </w:rPr>
      </w:pPr>
      <w:r>
        <w:rPr>
          <w:rFonts w:ascii="宋体" w:hAnsi="宋体"/>
          <w:highlight w:val="none"/>
        </w:rPr>
        <w:t xml:space="preserve">20.6.6 </w:t>
      </w:r>
      <w:r>
        <w:rPr>
          <w:rFonts w:hint="eastAsia" w:ascii="宋体" w:hAnsi="宋体" w:cs="宋体"/>
          <w:highlight w:val="none"/>
        </w:rPr>
        <w:t>报告义务</w:t>
      </w:r>
    </w:p>
    <w:p w14:paraId="12B6BAFD">
      <w:pPr>
        <w:spacing w:line="400" w:lineRule="exact"/>
        <w:ind w:firstLine="420" w:firstLineChars="200"/>
        <w:rPr>
          <w:rFonts w:hint="eastAsia" w:ascii="宋体" w:hAnsi="宋体"/>
          <w:highlight w:val="none"/>
        </w:rPr>
      </w:pPr>
      <w:r>
        <w:rPr>
          <w:rFonts w:ascii="宋体" w:hAnsi="宋体"/>
          <w:highlight w:val="none"/>
        </w:rPr>
        <w:t>当保险事故发生时，投保人应按照保险单规定的条件和期限及时向保险人报告。</w:t>
      </w:r>
    </w:p>
    <w:p w14:paraId="0AEC148F">
      <w:pPr>
        <w:keepNext/>
        <w:keepLines/>
        <w:spacing w:line="400" w:lineRule="exact"/>
        <w:outlineLvl w:val="1"/>
        <w:rPr>
          <w:rFonts w:hint="eastAsia" w:ascii="宋体" w:hAnsi="宋体" w:cs="仿宋_GB2312"/>
          <w:sz w:val="28"/>
          <w:szCs w:val="20"/>
          <w:highlight w:val="none"/>
        </w:rPr>
      </w:pPr>
      <w:bookmarkStart w:id="1409" w:name="_Toc159950750"/>
      <w:bookmarkStart w:id="1410" w:name="_Toc448758542"/>
      <w:bookmarkStart w:id="1411" w:name="_Toc442365634"/>
      <w:bookmarkStart w:id="1412" w:name="_Toc448758442"/>
      <w:bookmarkStart w:id="1413" w:name="_Toc338944842"/>
      <w:bookmarkStart w:id="1414" w:name="_Toc342296400"/>
      <w:bookmarkStart w:id="1415" w:name="_Toc469660037"/>
      <w:r>
        <w:rPr>
          <w:rFonts w:ascii="宋体" w:hAnsi="宋体" w:cs="仿宋_GB2312"/>
          <w:sz w:val="28"/>
          <w:szCs w:val="20"/>
          <w:highlight w:val="none"/>
        </w:rPr>
        <w:t>21. 不可抗力</w:t>
      </w:r>
      <w:bookmarkEnd w:id="1409"/>
      <w:bookmarkEnd w:id="1410"/>
      <w:bookmarkEnd w:id="1411"/>
      <w:bookmarkEnd w:id="1412"/>
      <w:bookmarkEnd w:id="1413"/>
      <w:bookmarkEnd w:id="1414"/>
      <w:bookmarkEnd w:id="1415"/>
    </w:p>
    <w:p w14:paraId="0CB35E3A">
      <w:pPr>
        <w:keepNext/>
        <w:keepLines/>
        <w:spacing w:line="400" w:lineRule="exact"/>
        <w:outlineLvl w:val="2"/>
        <w:rPr>
          <w:rFonts w:hint="eastAsia" w:ascii="宋体" w:hAnsi="宋体"/>
          <w:sz w:val="24"/>
          <w:szCs w:val="20"/>
          <w:highlight w:val="none"/>
        </w:rPr>
      </w:pPr>
      <w:bookmarkStart w:id="1416" w:name="_Toc338944843"/>
      <w:bookmarkStart w:id="1417" w:name="_Toc342296401"/>
      <w:bookmarkStart w:id="1418" w:name="_Toc159950751"/>
      <w:r>
        <w:rPr>
          <w:rFonts w:ascii="宋体" w:hAnsi="宋体"/>
          <w:sz w:val="24"/>
          <w:szCs w:val="20"/>
          <w:highlight w:val="none"/>
        </w:rPr>
        <w:t>21.1 不可抗力的确认</w:t>
      </w:r>
      <w:bookmarkEnd w:id="1416"/>
      <w:bookmarkEnd w:id="1417"/>
      <w:bookmarkEnd w:id="1418"/>
    </w:p>
    <w:p w14:paraId="178201D7">
      <w:pPr>
        <w:spacing w:line="400" w:lineRule="exact"/>
        <w:ind w:firstLine="420" w:firstLineChars="200"/>
        <w:rPr>
          <w:rFonts w:hint="eastAsia" w:ascii="宋体" w:hAnsi="宋体"/>
          <w:highlight w:val="none"/>
        </w:rPr>
      </w:pPr>
      <w:r>
        <w:rPr>
          <w:rFonts w:ascii="宋体" w:hAnsi="宋体"/>
          <w:highlight w:val="none"/>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0B0E5C42">
      <w:pPr>
        <w:spacing w:line="400" w:lineRule="exact"/>
        <w:ind w:firstLine="420" w:firstLineChars="200"/>
        <w:rPr>
          <w:rFonts w:hint="eastAsia" w:ascii="宋体" w:hAnsi="宋体"/>
          <w:highlight w:val="none"/>
        </w:rPr>
      </w:pPr>
      <w:r>
        <w:rPr>
          <w:rFonts w:ascii="宋体" w:hAnsi="宋体"/>
          <w:highlight w:val="none"/>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605A348A">
      <w:pPr>
        <w:keepNext/>
        <w:keepLines/>
        <w:spacing w:line="400" w:lineRule="exact"/>
        <w:outlineLvl w:val="2"/>
        <w:rPr>
          <w:rFonts w:hint="eastAsia" w:ascii="宋体" w:hAnsi="宋体"/>
          <w:sz w:val="24"/>
          <w:szCs w:val="20"/>
          <w:highlight w:val="none"/>
        </w:rPr>
      </w:pPr>
      <w:bookmarkStart w:id="1419" w:name="_Toc159950752"/>
      <w:bookmarkStart w:id="1420" w:name="_Toc342296402"/>
      <w:bookmarkStart w:id="1421" w:name="_Toc338944844"/>
      <w:bookmarkStart w:id="1422" w:name="_Toc152042530"/>
      <w:bookmarkStart w:id="1423" w:name="_Toc144974722"/>
      <w:bookmarkStart w:id="1424" w:name="_Toc179632769"/>
      <w:bookmarkStart w:id="1425" w:name="_Toc152045751"/>
      <w:r>
        <w:rPr>
          <w:rFonts w:ascii="宋体" w:hAnsi="宋体"/>
          <w:sz w:val="24"/>
          <w:szCs w:val="20"/>
          <w:highlight w:val="none"/>
        </w:rPr>
        <w:t>21.2 不可抗力的通知</w:t>
      </w:r>
      <w:bookmarkEnd w:id="1419"/>
      <w:bookmarkEnd w:id="1420"/>
      <w:bookmarkEnd w:id="1421"/>
      <w:bookmarkEnd w:id="1422"/>
      <w:bookmarkEnd w:id="1423"/>
      <w:bookmarkEnd w:id="1424"/>
      <w:bookmarkEnd w:id="1425"/>
    </w:p>
    <w:p w14:paraId="06A381D5">
      <w:pPr>
        <w:spacing w:line="400" w:lineRule="exact"/>
        <w:ind w:firstLine="420" w:firstLineChars="200"/>
        <w:rPr>
          <w:rFonts w:hint="eastAsia" w:ascii="宋体" w:hAnsi="宋体"/>
          <w:highlight w:val="none"/>
        </w:rPr>
      </w:pPr>
      <w:r>
        <w:rPr>
          <w:rFonts w:ascii="宋体" w:hAnsi="宋体"/>
          <w:highlight w:val="none"/>
        </w:rPr>
        <w:t>21.2.1 合同一方当事人遇到不可抗力事件，使其履行合同义务受到阻碍时，应立即通知合同另一方当事人和监理人，书面说明不可抗力和受阻碍的详细情况，并提供必要的证明。</w:t>
      </w:r>
    </w:p>
    <w:p w14:paraId="547616BD">
      <w:pPr>
        <w:spacing w:line="400" w:lineRule="exact"/>
        <w:ind w:firstLine="420" w:firstLineChars="200"/>
        <w:rPr>
          <w:rFonts w:hint="eastAsia" w:ascii="宋体" w:hAnsi="宋体"/>
          <w:highlight w:val="none"/>
        </w:rPr>
      </w:pPr>
      <w:r>
        <w:rPr>
          <w:rFonts w:ascii="宋体" w:hAnsi="宋体"/>
          <w:highlight w:val="none"/>
        </w:rPr>
        <w:t>21.2.2 如不可抗力持续发生，合同一方当事人应及时向合同另一方当事人和监理人提交中间报告，说明不可抗力和履行合同受阻的情况，并于不可抗力事件结束后28天内提交最终报告及有关资料。</w:t>
      </w:r>
    </w:p>
    <w:p w14:paraId="2891B62E">
      <w:pPr>
        <w:keepNext/>
        <w:keepLines/>
        <w:spacing w:line="400" w:lineRule="exact"/>
        <w:outlineLvl w:val="2"/>
        <w:rPr>
          <w:rFonts w:hint="eastAsia" w:ascii="宋体" w:hAnsi="宋体"/>
          <w:sz w:val="24"/>
          <w:szCs w:val="20"/>
          <w:highlight w:val="none"/>
        </w:rPr>
      </w:pPr>
      <w:bookmarkStart w:id="1426" w:name="_Toc342296403"/>
      <w:bookmarkStart w:id="1427" w:name="_Toc338944845"/>
      <w:bookmarkStart w:id="1428" w:name="_Toc159950753"/>
      <w:r>
        <w:rPr>
          <w:rFonts w:ascii="宋体" w:hAnsi="宋体"/>
          <w:sz w:val="24"/>
          <w:szCs w:val="20"/>
          <w:highlight w:val="none"/>
        </w:rPr>
        <w:t>21.3 不可抗力后果及其处理</w:t>
      </w:r>
      <w:bookmarkEnd w:id="1426"/>
      <w:bookmarkEnd w:id="1427"/>
      <w:bookmarkEnd w:id="1428"/>
    </w:p>
    <w:p w14:paraId="562E0103">
      <w:pPr>
        <w:spacing w:line="400" w:lineRule="exact"/>
        <w:ind w:firstLine="420" w:firstLineChars="200"/>
        <w:rPr>
          <w:rFonts w:hint="eastAsia" w:ascii="宋体" w:hAnsi="宋体"/>
          <w:highlight w:val="none"/>
        </w:rPr>
      </w:pPr>
      <w:r>
        <w:rPr>
          <w:rFonts w:ascii="宋体" w:hAnsi="宋体"/>
          <w:highlight w:val="none"/>
        </w:rPr>
        <w:t xml:space="preserve">21.3.1 </w:t>
      </w:r>
      <w:r>
        <w:rPr>
          <w:rFonts w:hint="eastAsia" w:ascii="宋体" w:hAnsi="宋体" w:cs="宋体"/>
          <w:highlight w:val="none"/>
        </w:rPr>
        <w:t>不可抗力造成损害的责任</w:t>
      </w:r>
    </w:p>
    <w:p w14:paraId="3B7DBA2E">
      <w:pPr>
        <w:spacing w:line="400" w:lineRule="exact"/>
        <w:ind w:firstLine="420" w:firstLineChars="200"/>
        <w:rPr>
          <w:rFonts w:hint="eastAsia" w:ascii="宋体" w:hAnsi="宋体"/>
          <w:highlight w:val="none"/>
        </w:rPr>
      </w:pPr>
      <w:r>
        <w:rPr>
          <w:rFonts w:ascii="宋体" w:hAnsi="宋体"/>
          <w:highlight w:val="none"/>
        </w:rPr>
        <w:t>除专用合同条款另有约定外，不可抗力导致的人员伤亡、财产损失、费用增加和（或）工期延误等后果，由合同双方按以下原则承担：</w:t>
      </w:r>
    </w:p>
    <w:p w14:paraId="2C7488D9">
      <w:pPr>
        <w:spacing w:line="400" w:lineRule="exact"/>
        <w:ind w:firstLine="718" w:firstLineChars="342"/>
        <w:rPr>
          <w:rFonts w:hint="eastAsia" w:ascii="宋体" w:hAnsi="宋体"/>
          <w:highlight w:val="none"/>
        </w:rPr>
      </w:pPr>
      <w:r>
        <w:rPr>
          <w:rFonts w:ascii="宋体" w:hAnsi="宋体"/>
          <w:highlight w:val="none"/>
        </w:rPr>
        <w:t>（1）永久工程，包括已运至施工场地的材料和工程设备的损害，以及因工程损害造成的第三者人员伤亡和财产损失由发包人承担；</w:t>
      </w:r>
    </w:p>
    <w:p w14:paraId="566BE6BC">
      <w:pPr>
        <w:spacing w:line="400" w:lineRule="exact"/>
        <w:ind w:firstLine="718" w:firstLineChars="342"/>
        <w:rPr>
          <w:rFonts w:hint="eastAsia" w:ascii="宋体" w:hAnsi="宋体"/>
          <w:highlight w:val="none"/>
        </w:rPr>
      </w:pPr>
      <w:r>
        <w:rPr>
          <w:rFonts w:ascii="宋体" w:hAnsi="宋体"/>
          <w:highlight w:val="none"/>
        </w:rPr>
        <w:t>（2）承包人设备的损坏由承包人承担；</w:t>
      </w:r>
    </w:p>
    <w:p w14:paraId="3A2EE88C">
      <w:pPr>
        <w:spacing w:line="400" w:lineRule="exact"/>
        <w:ind w:firstLine="718" w:firstLineChars="342"/>
        <w:rPr>
          <w:rFonts w:hint="eastAsia" w:ascii="宋体" w:hAnsi="宋体"/>
          <w:highlight w:val="none"/>
        </w:rPr>
      </w:pPr>
      <w:r>
        <w:rPr>
          <w:rFonts w:ascii="宋体" w:hAnsi="宋体"/>
          <w:highlight w:val="none"/>
        </w:rPr>
        <w:t>（3）发包人和承包人各自承担其人员伤亡和其他财产损失及其相关费用；</w:t>
      </w:r>
    </w:p>
    <w:p w14:paraId="6D2C828C">
      <w:pPr>
        <w:spacing w:line="400" w:lineRule="exact"/>
        <w:ind w:firstLine="718" w:firstLineChars="342"/>
        <w:rPr>
          <w:rFonts w:hint="eastAsia" w:ascii="宋体" w:hAnsi="宋体"/>
          <w:highlight w:val="none"/>
        </w:rPr>
      </w:pPr>
      <w:r>
        <w:rPr>
          <w:rFonts w:ascii="宋体" w:hAnsi="宋体"/>
          <w:highlight w:val="none"/>
        </w:rPr>
        <w:t>（4）承包人的停工损失由承包人承担，但停工期间应监理人要求照管工程和清理、修复工程的金额由发包人承担；</w:t>
      </w:r>
    </w:p>
    <w:p w14:paraId="18E71078">
      <w:pPr>
        <w:spacing w:line="400" w:lineRule="exact"/>
        <w:ind w:firstLine="718" w:firstLineChars="342"/>
        <w:rPr>
          <w:rFonts w:hint="eastAsia" w:ascii="宋体" w:hAnsi="宋体"/>
          <w:highlight w:val="none"/>
        </w:rPr>
      </w:pPr>
      <w:r>
        <w:rPr>
          <w:rFonts w:ascii="宋体" w:hAnsi="宋体"/>
          <w:highlight w:val="none"/>
        </w:rPr>
        <w:t>（5）不能按期竣工的，应合理延长工期，承包人不需支付逾期竣工违约金。发包人要求赶工的，承包人应采取赶工措施，赶工费用由发包人承担。</w:t>
      </w:r>
    </w:p>
    <w:p w14:paraId="3EA3684C">
      <w:pPr>
        <w:spacing w:line="400" w:lineRule="exact"/>
        <w:ind w:firstLine="420" w:firstLineChars="200"/>
        <w:rPr>
          <w:rFonts w:hint="eastAsia" w:ascii="宋体" w:hAnsi="宋体"/>
          <w:highlight w:val="none"/>
        </w:rPr>
      </w:pPr>
      <w:r>
        <w:rPr>
          <w:rFonts w:ascii="宋体" w:hAnsi="宋体"/>
          <w:highlight w:val="none"/>
        </w:rPr>
        <w:t xml:space="preserve">21.3.2 </w:t>
      </w:r>
      <w:r>
        <w:rPr>
          <w:rFonts w:hint="eastAsia" w:ascii="宋体" w:hAnsi="宋体" w:cs="宋体"/>
          <w:highlight w:val="none"/>
        </w:rPr>
        <w:t>延迟履行期间发生的不可抗力</w:t>
      </w:r>
    </w:p>
    <w:p w14:paraId="291637D7">
      <w:pPr>
        <w:spacing w:line="400" w:lineRule="exact"/>
        <w:ind w:firstLine="420" w:firstLineChars="200"/>
        <w:rPr>
          <w:rFonts w:hint="eastAsia" w:ascii="宋体" w:hAnsi="宋体"/>
          <w:highlight w:val="none"/>
        </w:rPr>
      </w:pPr>
      <w:r>
        <w:rPr>
          <w:rFonts w:ascii="宋体" w:hAnsi="宋体"/>
          <w:highlight w:val="none"/>
        </w:rPr>
        <w:t>合同一方当事人延迟履行，在延迟履行期间发生不可抗力的，不免除其责任。</w:t>
      </w:r>
    </w:p>
    <w:p w14:paraId="29AA7635">
      <w:pPr>
        <w:spacing w:line="400" w:lineRule="exact"/>
        <w:ind w:firstLine="420" w:firstLineChars="200"/>
        <w:rPr>
          <w:rFonts w:hint="eastAsia" w:ascii="宋体" w:hAnsi="宋体"/>
          <w:highlight w:val="none"/>
        </w:rPr>
      </w:pPr>
      <w:r>
        <w:rPr>
          <w:rFonts w:ascii="宋体" w:hAnsi="宋体"/>
          <w:highlight w:val="none"/>
        </w:rPr>
        <w:t xml:space="preserve">21.3.3 </w:t>
      </w:r>
      <w:r>
        <w:rPr>
          <w:rFonts w:hint="eastAsia" w:ascii="宋体" w:hAnsi="宋体" w:cs="宋体"/>
          <w:highlight w:val="none"/>
        </w:rPr>
        <w:t>避免和减少不可抗力损失</w:t>
      </w:r>
    </w:p>
    <w:p w14:paraId="4A8EEC30">
      <w:pPr>
        <w:spacing w:line="400" w:lineRule="exact"/>
        <w:ind w:firstLine="420" w:firstLineChars="200"/>
        <w:rPr>
          <w:rFonts w:hint="eastAsia" w:ascii="宋体" w:hAnsi="宋体"/>
          <w:highlight w:val="none"/>
        </w:rPr>
      </w:pPr>
      <w:r>
        <w:rPr>
          <w:rFonts w:ascii="宋体" w:hAnsi="宋体"/>
          <w:highlight w:val="none"/>
        </w:rPr>
        <w:t>不可抗力发生后，发包人和承包人均应采取措施尽量避免和减少损失的扩大，任何一方没有采取有效措施导致损失扩大的，应对扩大的损失承担责任。</w:t>
      </w:r>
    </w:p>
    <w:p w14:paraId="5CA370EB">
      <w:pPr>
        <w:spacing w:line="400" w:lineRule="exact"/>
        <w:ind w:firstLine="420" w:firstLineChars="200"/>
        <w:rPr>
          <w:rFonts w:hint="eastAsia" w:ascii="宋体" w:hAnsi="宋体"/>
          <w:highlight w:val="none"/>
        </w:rPr>
      </w:pPr>
      <w:r>
        <w:rPr>
          <w:rFonts w:ascii="宋体" w:hAnsi="宋体"/>
          <w:highlight w:val="none"/>
        </w:rPr>
        <w:t xml:space="preserve">21.3.4 </w:t>
      </w:r>
      <w:r>
        <w:rPr>
          <w:rFonts w:hint="eastAsia" w:ascii="宋体" w:hAnsi="宋体" w:cs="宋体"/>
          <w:highlight w:val="none"/>
        </w:rPr>
        <w:t>因不可抗力解除合同</w:t>
      </w:r>
    </w:p>
    <w:p w14:paraId="338EF585">
      <w:pPr>
        <w:spacing w:line="400" w:lineRule="exact"/>
        <w:ind w:firstLine="420" w:firstLineChars="200"/>
        <w:rPr>
          <w:rFonts w:hint="eastAsia" w:ascii="宋体" w:hAnsi="宋体"/>
          <w:highlight w:val="none"/>
        </w:rPr>
      </w:pPr>
      <w:r>
        <w:rPr>
          <w:rFonts w:ascii="宋体" w:hAnsi="宋体"/>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41154E2D">
      <w:pPr>
        <w:keepNext/>
        <w:keepLines/>
        <w:spacing w:line="400" w:lineRule="exact"/>
        <w:outlineLvl w:val="1"/>
        <w:rPr>
          <w:rFonts w:hint="eastAsia" w:ascii="宋体" w:hAnsi="宋体" w:cs="仿宋_GB2312"/>
          <w:sz w:val="28"/>
          <w:szCs w:val="20"/>
          <w:highlight w:val="none"/>
        </w:rPr>
      </w:pPr>
      <w:bookmarkStart w:id="1429" w:name="_Toc159950754"/>
      <w:bookmarkStart w:id="1430" w:name="_Toc144974724"/>
      <w:bookmarkStart w:id="1431" w:name="_Toc342296404"/>
      <w:bookmarkStart w:id="1432" w:name="_Toc469660038"/>
      <w:bookmarkStart w:id="1433" w:name="_Toc448758543"/>
      <w:bookmarkStart w:id="1434" w:name="_Toc442365635"/>
      <w:bookmarkStart w:id="1435" w:name="_Toc152042532"/>
      <w:bookmarkStart w:id="1436" w:name="_Toc448758443"/>
      <w:bookmarkStart w:id="1437" w:name="_Toc179632771"/>
      <w:bookmarkStart w:id="1438" w:name="_Toc338944846"/>
      <w:bookmarkStart w:id="1439" w:name="_Toc152045753"/>
      <w:r>
        <w:rPr>
          <w:rFonts w:ascii="宋体" w:hAnsi="宋体" w:cs="仿宋_GB2312"/>
          <w:sz w:val="28"/>
          <w:szCs w:val="20"/>
          <w:highlight w:val="none"/>
        </w:rPr>
        <w:t>22. 违约</w:t>
      </w:r>
      <w:bookmarkEnd w:id="1429"/>
      <w:bookmarkEnd w:id="1430"/>
      <w:bookmarkEnd w:id="1431"/>
      <w:bookmarkEnd w:id="1432"/>
      <w:bookmarkEnd w:id="1433"/>
      <w:bookmarkEnd w:id="1434"/>
      <w:bookmarkEnd w:id="1435"/>
      <w:bookmarkEnd w:id="1436"/>
      <w:bookmarkEnd w:id="1437"/>
      <w:bookmarkEnd w:id="1438"/>
      <w:bookmarkEnd w:id="1439"/>
    </w:p>
    <w:p w14:paraId="3B31A2C4">
      <w:pPr>
        <w:keepNext/>
        <w:keepLines/>
        <w:spacing w:line="400" w:lineRule="exact"/>
        <w:outlineLvl w:val="2"/>
        <w:rPr>
          <w:rFonts w:hint="eastAsia" w:ascii="宋体" w:hAnsi="宋体"/>
          <w:sz w:val="24"/>
          <w:szCs w:val="20"/>
          <w:highlight w:val="none"/>
        </w:rPr>
      </w:pPr>
      <w:bookmarkStart w:id="1440" w:name="_Toc144974725"/>
      <w:bookmarkStart w:id="1441" w:name="_Toc179632772"/>
      <w:bookmarkStart w:id="1442" w:name="_Toc342296405"/>
      <w:bookmarkStart w:id="1443" w:name="_Toc159950755"/>
      <w:bookmarkStart w:id="1444" w:name="_Toc338944847"/>
      <w:bookmarkStart w:id="1445" w:name="_Toc152045754"/>
      <w:bookmarkStart w:id="1446" w:name="_Toc152042533"/>
      <w:r>
        <w:rPr>
          <w:rFonts w:ascii="宋体" w:hAnsi="宋体"/>
          <w:sz w:val="24"/>
          <w:szCs w:val="20"/>
          <w:highlight w:val="none"/>
        </w:rPr>
        <w:t>22.1 承包人违约</w:t>
      </w:r>
      <w:bookmarkEnd w:id="1440"/>
      <w:bookmarkEnd w:id="1441"/>
      <w:bookmarkEnd w:id="1442"/>
      <w:bookmarkEnd w:id="1443"/>
      <w:bookmarkEnd w:id="1444"/>
      <w:bookmarkEnd w:id="1445"/>
      <w:bookmarkEnd w:id="1446"/>
    </w:p>
    <w:p w14:paraId="498BCBFC">
      <w:pPr>
        <w:spacing w:line="400" w:lineRule="exact"/>
        <w:ind w:firstLine="420" w:firstLineChars="200"/>
        <w:rPr>
          <w:rFonts w:hint="eastAsia" w:ascii="宋体" w:hAnsi="宋体"/>
          <w:highlight w:val="none"/>
        </w:rPr>
      </w:pPr>
      <w:r>
        <w:rPr>
          <w:rFonts w:ascii="宋体" w:hAnsi="宋体"/>
          <w:highlight w:val="none"/>
        </w:rPr>
        <w:t xml:space="preserve">22.1.1 </w:t>
      </w:r>
      <w:r>
        <w:rPr>
          <w:rFonts w:hint="eastAsia" w:ascii="宋体" w:hAnsi="宋体" w:cs="宋体"/>
          <w:highlight w:val="none"/>
        </w:rPr>
        <w:t>承包人违约的情形</w:t>
      </w:r>
    </w:p>
    <w:p w14:paraId="03FAABFA">
      <w:pPr>
        <w:spacing w:line="400" w:lineRule="exact"/>
        <w:ind w:firstLine="420" w:firstLineChars="200"/>
        <w:rPr>
          <w:rFonts w:hint="eastAsia" w:ascii="宋体" w:hAnsi="宋体"/>
          <w:highlight w:val="none"/>
        </w:rPr>
      </w:pPr>
      <w:r>
        <w:rPr>
          <w:rFonts w:ascii="宋体" w:hAnsi="宋体"/>
          <w:highlight w:val="none"/>
        </w:rPr>
        <w:t>在履行合同过程中发生的下列情况属承包人违约：</w:t>
      </w:r>
    </w:p>
    <w:p w14:paraId="4E121DD2">
      <w:pPr>
        <w:spacing w:line="400" w:lineRule="exact"/>
        <w:ind w:firstLine="718" w:firstLineChars="342"/>
        <w:rPr>
          <w:rFonts w:hint="eastAsia" w:ascii="宋体" w:hAnsi="宋体"/>
          <w:highlight w:val="none"/>
        </w:rPr>
      </w:pPr>
      <w:r>
        <w:rPr>
          <w:rFonts w:ascii="宋体" w:hAnsi="宋体"/>
          <w:highlight w:val="none"/>
        </w:rPr>
        <w:t>（1）承包人违反第1.8款或第4.3款的约定，私自将合同的全部或部分权利转让给其他人，或私自将合同的全部或部分义务转移给其他人；</w:t>
      </w:r>
    </w:p>
    <w:p w14:paraId="11D4A57C">
      <w:pPr>
        <w:spacing w:line="400" w:lineRule="exact"/>
        <w:ind w:firstLine="718" w:firstLineChars="342"/>
        <w:rPr>
          <w:rFonts w:hint="eastAsia" w:ascii="宋体" w:hAnsi="宋体"/>
          <w:highlight w:val="none"/>
        </w:rPr>
      </w:pPr>
      <w:r>
        <w:rPr>
          <w:rFonts w:ascii="宋体" w:hAnsi="宋体"/>
          <w:highlight w:val="none"/>
        </w:rPr>
        <w:t>（2）承包人违反第5.3款或第6.4款的约定，未经监理人批准，私自将已按合同约定进入施工场地的施工设备、临时设施或材料撤离施工场地；</w:t>
      </w:r>
    </w:p>
    <w:p w14:paraId="56E68C9C">
      <w:pPr>
        <w:spacing w:line="400" w:lineRule="exact"/>
        <w:ind w:firstLine="718" w:firstLineChars="342"/>
        <w:rPr>
          <w:rFonts w:hint="eastAsia" w:ascii="宋体" w:hAnsi="宋体"/>
          <w:highlight w:val="none"/>
        </w:rPr>
      </w:pPr>
      <w:r>
        <w:rPr>
          <w:rFonts w:ascii="宋体" w:hAnsi="宋体"/>
          <w:highlight w:val="none"/>
        </w:rPr>
        <w:t>（3）承包人违反第5.4款的约定使用了不合格材料或工程设备，工程质量达不到标准要求，又拒绝清除不合格工程；</w:t>
      </w:r>
    </w:p>
    <w:p w14:paraId="0299ACF4">
      <w:pPr>
        <w:spacing w:line="400" w:lineRule="exact"/>
        <w:ind w:firstLine="718" w:firstLineChars="342"/>
        <w:rPr>
          <w:rFonts w:hint="eastAsia" w:ascii="宋体" w:hAnsi="宋体"/>
          <w:highlight w:val="none"/>
        </w:rPr>
      </w:pPr>
      <w:r>
        <w:rPr>
          <w:rFonts w:ascii="宋体" w:hAnsi="宋体"/>
          <w:highlight w:val="none"/>
        </w:rPr>
        <w:t>（4）承包人未能按合同进度计划及时完成合同约定的工作，已造成或预期造成工期延误；</w:t>
      </w:r>
    </w:p>
    <w:p w14:paraId="2D942D40">
      <w:pPr>
        <w:spacing w:line="400" w:lineRule="exact"/>
        <w:ind w:firstLine="718" w:firstLineChars="342"/>
        <w:rPr>
          <w:rFonts w:hint="eastAsia" w:ascii="宋体" w:hAnsi="宋体"/>
          <w:highlight w:val="none"/>
        </w:rPr>
      </w:pPr>
      <w:r>
        <w:rPr>
          <w:rFonts w:ascii="宋体" w:hAnsi="宋体"/>
          <w:highlight w:val="none"/>
        </w:rPr>
        <w:t>（5）承包人在缺陷责任期内，未能对工程接收证书所列的缺陷清单的内容或缺陷责任期内发生的缺陷进行修复，而又拒绝按监理人指示再进行修补；</w:t>
      </w:r>
    </w:p>
    <w:p w14:paraId="46A7CFC2">
      <w:pPr>
        <w:spacing w:line="400" w:lineRule="exact"/>
        <w:ind w:firstLine="718" w:firstLineChars="342"/>
        <w:rPr>
          <w:rFonts w:hint="eastAsia" w:ascii="宋体" w:hAnsi="宋体"/>
          <w:highlight w:val="none"/>
        </w:rPr>
      </w:pPr>
      <w:r>
        <w:rPr>
          <w:rFonts w:ascii="宋体" w:hAnsi="宋体"/>
          <w:highlight w:val="none"/>
        </w:rPr>
        <w:t>（6）承包人无法继续履行或明确表示不履行或实质上已停止履行合同；</w:t>
      </w:r>
    </w:p>
    <w:p w14:paraId="245C1A78">
      <w:pPr>
        <w:spacing w:line="400" w:lineRule="exact"/>
        <w:ind w:firstLine="718" w:firstLineChars="342"/>
        <w:rPr>
          <w:rFonts w:hint="eastAsia" w:ascii="宋体" w:hAnsi="宋体"/>
          <w:highlight w:val="none"/>
        </w:rPr>
      </w:pPr>
      <w:r>
        <w:rPr>
          <w:rFonts w:ascii="宋体" w:hAnsi="宋体"/>
          <w:highlight w:val="none"/>
        </w:rPr>
        <w:t>（7）承包人不按合同约定履行义务的其他情况。</w:t>
      </w:r>
    </w:p>
    <w:p w14:paraId="33DD2908">
      <w:pPr>
        <w:spacing w:line="400" w:lineRule="exact"/>
        <w:ind w:firstLine="420" w:firstLineChars="200"/>
        <w:rPr>
          <w:rFonts w:hint="eastAsia" w:ascii="宋体" w:hAnsi="宋体"/>
          <w:highlight w:val="none"/>
        </w:rPr>
      </w:pPr>
      <w:r>
        <w:rPr>
          <w:rFonts w:ascii="宋体" w:hAnsi="宋体"/>
          <w:highlight w:val="none"/>
        </w:rPr>
        <w:t xml:space="preserve">22.1.2 </w:t>
      </w:r>
      <w:r>
        <w:rPr>
          <w:rFonts w:hint="eastAsia" w:ascii="宋体" w:hAnsi="宋体" w:cs="宋体"/>
          <w:highlight w:val="none"/>
        </w:rPr>
        <w:t>对承包人违约的处理</w:t>
      </w:r>
    </w:p>
    <w:p w14:paraId="7CCF362B">
      <w:pPr>
        <w:spacing w:line="400" w:lineRule="exact"/>
        <w:ind w:firstLine="718" w:firstLineChars="342"/>
        <w:rPr>
          <w:rFonts w:hint="eastAsia" w:ascii="宋体" w:hAnsi="宋体"/>
          <w:highlight w:val="none"/>
        </w:rPr>
      </w:pPr>
      <w:r>
        <w:rPr>
          <w:rFonts w:ascii="宋体" w:hAnsi="宋体"/>
          <w:highlight w:val="none"/>
        </w:rPr>
        <w:t>（1）承包人发生第22.1.1（6）目约定的违约情况时，发包人可通知承包人立即解除合同，并按有关法律处理。</w:t>
      </w:r>
    </w:p>
    <w:p w14:paraId="1F7826CD">
      <w:pPr>
        <w:spacing w:line="400" w:lineRule="exact"/>
        <w:ind w:firstLine="718" w:firstLineChars="342"/>
        <w:rPr>
          <w:rFonts w:hint="eastAsia" w:ascii="宋体" w:hAnsi="宋体"/>
          <w:highlight w:val="none"/>
        </w:rPr>
      </w:pPr>
      <w:r>
        <w:rPr>
          <w:rFonts w:ascii="宋体" w:hAnsi="宋体"/>
          <w:highlight w:val="none"/>
        </w:rPr>
        <w:t>（2）承包人发生除第22.1.1（6）目约定以外的其他违约情况时，监理人可向承包人发出整改通知，要求其在指定的期限内改正。承包人应承担其违约所引起的费用增加和（或）工期延误。</w:t>
      </w:r>
    </w:p>
    <w:p w14:paraId="72A917BD">
      <w:pPr>
        <w:spacing w:line="400" w:lineRule="exact"/>
        <w:ind w:firstLine="718" w:firstLineChars="342"/>
        <w:rPr>
          <w:rFonts w:hint="eastAsia" w:ascii="宋体" w:hAnsi="宋体"/>
          <w:highlight w:val="none"/>
        </w:rPr>
      </w:pPr>
      <w:r>
        <w:rPr>
          <w:rFonts w:ascii="宋体" w:hAnsi="宋体"/>
          <w:highlight w:val="none"/>
        </w:rPr>
        <w:t>（3）经检查证明承包人已采取了有效措施纠正违约行为，具备复工条件的，可由监理人签发复工通知复工。</w:t>
      </w:r>
    </w:p>
    <w:p w14:paraId="25686018">
      <w:pPr>
        <w:spacing w:line="400" w:lineRule="exact"/>
        <w:ind w:firstLine="420" w:firstLineChars="200"/>
        <w:rPr>
          <w:rFonts w:hint="eastAsia" w:ascii="宋体" w:hAnsi="宋体"/>
          <w:highlight w:val="none"/>
        </w:rPr>
      </w:pPr>
      <w:r>
        <w:rPr>
          <w:rFonts w:ascii="宋体" w:hAnsi="宋体"/>
          <w:highlight w:val="none"/>
        </w:rPr>
        <w:t xml:space="preserve">22.1.3 </w:t>
      </w:r>
      <w:r>
        <w:rPr>
          <w:rFonts w:hint="eastAsia" w:ascii="宋体" w:hAnsi="宋体" w:cs="宋体"/>
          <w:highlight w:val="none"/>
        </w:rPr>
        <w:t>承包人违约解除合同</w:t>
      </w:r>
    </w:p>
    <w:p w14:paraId="7C48F2C9">
      <w:pPr>
        <w:spacing w:line="400" w:lineRule="exact"/>
        <w:ind w:firstLine="420" w:firstLineChars="200"/>
        <w:rPr>
          <w:rFonts w:hint="eastAsia" w:ascii="宋体" w:hAnsi="宋体"/>
          <w:highlight w:val="none"/>
        </w:rPr>
      </w:pPr>
      <w:r>
        <w:rPr>
          <w:rFonts w:ascii="宋体" w:hAnsi="宋体"/>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6C9899B8">
      <w:pPr>
        <w:spacing w:line="400" w:lineRule="exact"/>
        <w:ind w:firstLine="420" w:firstLineChars="200"/>
        <w:rPr>
          <w:rFonts w:hint="eastAsia" w:ascii="宋体" w:hAnsi="宋体"/>
          <w:highlight w:val="none"/>
        </w:rPr>
      </w:pPr>
      <w:r>
        <w:rPr>
          <w:rFonts w:ascii="宋体" w:hAnsi="宋体"/>
          <w:highlight w:val="none"/>
        </w:rPr>
        <w:t xml:space="preserve">22.1.4 </w:t>
      </w:r>
      <w:r>
        <w:rPr>
          <w:rFonts w:hint="eastAsia" w:ascii="宋体" w:hAnsi="宋体" w:cs="宋体"/>
          <w:highlight w:val="none"/>
        </w:rPr>
        <w:t>合同解除后的估价、付款和结清</w:t>
      </w:r>
    </w:p>
    <w:p w14:paraId="4F3E58EB">
      <w:pPr>
        <w:spacing w:line="400" w:lineRule="exact"/>
        <w:ind w:firstLine="718" w:firstLineChars="342"/>
        <w:rPr>
          <w:rFonts w:hint="eastAsia" w:ascii="宋体" w:hAnsi="宋体"/>
          <w:highlight w:val="none"/>
        </w:rPr>
      </w:pPr>
      <w:r>
        <w:rPr>
          <w:rFonts w:ascii="宋体" w:hAnsi="宋体"/>
          <w:highlight w:val="none"/>
        </w:rPr>
        <w:t xml:space="preserve">（1）合同解除后，监理人按第3.5款商定或确定承包人实际完成工作的价值，以及承包人已提供的材料、施工设备、工程设备和临时工程等的价值。 </w:t>
      </w:r>
    </w:p>
    <w:p w14:paraId="0A6AD4BD">
      <w:pPr>
        <w:spacing w:line="400" w:lineRule="exact"/>
        <w:ind w:firstLine="718" w:firstLineChars="342"/>
        <w:rPr>
          <w:rFonts w:hint="eastAsia" w:ascii="宋体" w:hAnsi="宋体"/>
          <w:highlight w:val="none"/>
        </w:rPr>
      </w:pPr>
      <w:r>
        <w:rPr>
          <w:rFonts w:ascii="宋体" w:hAnsi="宋体"/>
          <w:highlight w:val="none"/>
        </w:rPr>
        <w:t xml:space="preserve">（2）合同解除后，发包人应暂停对承包人的一切付款，查清各项付款和已扣款金额，包括承包人应支付的违约金。 </w:t>
      </w:r>
    </w:p>
    <w:p w14:paraId="2E637419">
      <w:pPr>
        <w:spacing w:line="400" w:lineRule="exact"/>
        <w:ind w:firstLine="718" w:firstLineChars="342"/>
        <w:rPr>
          <w:rFonts w:hint="eastAsia" w:ascii="宋体" w:hAnsi="宋体"/>
          <w:highlight w:val="none"/>
        </w:rPr>
      </w:pPr>
      <w:r>
        <w:rPr>
          <w:rFonts w:ascii="宋体" w:hAnsi="宋体"/>
          <w:highlight w:val="none"/>
        </w:rPr>
        <w:t>（3）合同解除后，发包人应按第23.4款的约定向承包人索赔由于解除合同给发包人造成的损失。</w:t>
      </w:r>
    </w:p>
    <w:p w14:paraId="5276744E">
      <w:pPr>
        <w:spacing w:line="400" w:lineRule="exact"/>
        <w:ind w:firstLine="718" w:firstLineChars="342"/>
        <w:rPr>
          <w:rFonts w:hint="eastAsia" w:ascii="宋体" w:hAnsi="宋体"/>
          <w:highlight w:val="none"/>
        </w:rPr>
      </w:pPr>
      <w:r>
        <w:rPr>
          <w:rFonts w:ascii="宋体" w:hAnsi="宋体"/>
          <w:highlight w:val="none"/>
        </w:rPr>
        <w:t>（4）合同双方确认上述往来款项后，出具最终结清付款证书，结清全部合同款项。</w:t>
      </w:r>
    </w:p>
    <w:p w14:paraId="7BEE1413">
      <w:pPr>
        <w:spacing w:line="400" w:lineRule="exact"/>
        <w:ind w:firstLine="718" w:firstLineChars="342"/>
        <w:rPr>
          <w:rFonts w:hint="eastAsia" w:ascii="宋体" w:hAnsi="宋体"/>
          <w:highlight w:val="none"/>
        </w:rPr>
      </w:pPr>
      <w:r>
        <w:rPr>
          <w:rFonts w:ascii="宋体" w:hAnsi="宋体"/>
          <w:highlight w:val="none"/>
        </w:rPr>
        <w:t>（5）发包人和承包人未能就解除合同后的结清达成一致而形成争议的，按第24条的约定办理。</w:t>
      </w:r>
    </w:p>
    <w:p w14:paraId="13524DD9">
      <w:pPr>
        <w:spacing w:line="400" w:lineRule="exact"/>
        <w:ind w:firstLine="420" w:firstLineChars="200"/>
        <w:rPr>
          <w:rFonts w:hint="eastAsia" w:ascii="宋体" w:hAnsi="宋体"/>
          <w:highlight w:val="none"/>
        </w:rPr>
      </w:pPr>
      <w:r>
        <w:rPr>
          <w:rFonts w:ascii="宋体" w:hAnsi="宋体"/>
          <w:highlight w:val="none"/>
        </w:rPr>
        <w:t xml:space="preserve">22.1.5 </w:t>
      </w:r>
      <w:r>
        <w:rPr>
          <w:rFonts w:hint="eastAsia" w:ascii="宋体" w:hAnsi="宋体" w:cs="宋体"/>
          <w:highlight w:val="none"/>
        </w:rPr>
        <w:t>协议利益的转让</w:t>
      </w:r>
    </w:p>
    <w:p w14:paraId="3C54113C">
      <w:pPr>
        <w:spacing w:line="400" w:lineRule="exact"/>
        <w:ind w:firstLine="420" w:firstLineChars="200"/>
        <w:rPr>
          <w:rFonts w:hint="eastAsia" w:ascii="宋体" w:hAnsi="宋体"/>
          <w:highlight w:val="none"/>
        </w:rPr>
      </w:pPr>
      <w:r>
        <w:rPr>
          <w:rFonts w:ascii="宋体" w:hAnsi="宋体"/>
          <w:highlight w:val="none"/>
        </w:rPr>
        <w:t xml:space="preserve">因承包人违约解除合同的，发包人有权要求承包人将其为实施合同而签订的材料和设备的订货协议或任何服务协议利益转让给发包人，并在解除合同后的14天内，依法办理转让手续。 </w:t>
      </w:r>
    </w:p>
    <w:p w14:paraId="74E785C7">
      <w:pPr>
        <w:spacing w:line="400" w:lineRule="exact"/>
        <w:ind w:firstLine="420" w:firstLineChars="200"/>
        <w:rPr>
          <w:rFonts w:hint="eastAsia" w:ascii="宋体" w:hAnsi="宋体"/>
          <w:highlight w:val="none"/>
        </w:rPr>
      </w:pPr>
      <w:r>
        <w:rPr>
          <w:rFonts w:ascii="宋体" w:hAnsi="宋体"/>
          <w:highlight w:val="none"/>
        </w:rPr>
        <w:t xml:space="preserve">22.1.6 </w:t>
      </w:r>
      <w:r>
        <w:rPr>
          <w:rFonts w:hint="eastAsia" w:ascii="宋体" w:hAnsi="宋体" w:cs="宋体"/>
          <w:highlight w:val="none"/>
        </w:rPr>
        <w:t>紧急情况下无能力或不愿进行抢救</w:t>
      </w:r>
    </w:p>
    <w:p w14:paraId="5C6BD7E1">
      <w:pPr>
        <w:spacing w:line="400" w:lineRule="exact"/>
        <w:ind w:firstLine="420" w:firstLineChars="200"/>
        <w:rPr>
          <w:rFonts w:hint="eastAsia" w:ascii="宋体" w:hAnsi="宋体"/>
          <w:highlight w:val="none"/>
        </w:rPr>
      </w:pPr>
      <w:r>
        <w:rPr>
          <w:rFonts w:ascii="宋体" w:hAnsi="宋体"/>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53BC628A">
      <w:pPr>
        <w:keepNext/>
        <w:keepLines/>
        <w:spacing w:line="400" w:lineRule="exact"/>
        <w:outlineLvl w:val="2"/>
        <w:rPr>
          <w:rFonts w:hint="eastAsia" w:ascii="宋体" w:hAnsi="宋体"/>
          <w:sz w:val="24"/>
          <w:szCs w:val="20"/>
          <w:highlight w:val="none"/>
        </w:rPr>
      </w:pPr>
      <w:bookmarkStart w:id="1447" w:name="_Toc342296406"/>
      <w:bookmarkStart w:id="1448" w:name="_Toc144974726"/>
      <w:bookmarkStart w:id="1449" w:name="_Toc179632773"/>
      <w:bookmarkStart w:id="1450" w:name="_Toc338944848"/>
      <w:bookmarkStart w:id="1451" w:name="_Toc152042534"/>
      <w:bookmarkStart w:id="1452" w:name="_Toc152045755"/>
      <w:bookmarkStart w:id="1453" w:name="_Toc159950756"/>
      <w:r>
        <w:rPr>
          <w:rFonts w:ascii="宋体" w:hAnsi="宋体"/>
          <w:sz w:val="24"/>
          <w:szCs w:val="20"/>
          <w:highlight w:val="none"/>
        </w:rPr>
        <w:t>22.2 发包人违约</w:t>
      </w:r>
      <w:bookmarkEnd w:id="1447"/>
      <w:bookmarkEnd w:id="1448"/>
      <w:bookmarkEnd w:id="1449"/>
      <w:bookmarkEnd w:id="1450"/>
      <w:bookmarkEnd w:id="1451"/>
      <w:bookmarkEnd w:id="1452"/>
      <w:bookmarkEnd w:id="1453"/>
    </w:p>
    <w:p w14:paraId="55028ACF">
      <w:pPr>
        <w:spacing w:line="400" w:lineRule="exact"/>
        <w:ind w:firstLine="420" w:firstLineChars="200"/>
        <w:rPr>
          <w:rFonts w:hint="eastAsia" w:ascii="宋体" w:hAnsi="宋体"/>
          <w:highlight w:val="none"/>
        </w:rPr>
      </w:pPr>
      <w:r>
        <w:rPr>
          <w:rFonts w:ascii="宋体" w:hAnsi="宋体"/>
          <w:highlight w:val="none"/>
        </w:rPr>
        <w:t xml:space="preserve">22.2.1 </w:t>
      </w:r>
      <w:r>
        <w:rPr>
          <w:rFonts w:hint="eastAsia" w:ascii="宋体" w:hAnsi="宋体" w:cs="宋体"/>
          <w:highlight w:val="none"/>
        </w:rPr>
        <w:t>发包人违约的情形</w:t>
      </w:r>
    </w:p>
    <w:p w14:paraId="010FE59E">
      <w:pPr>
        <w:spacing w:line="400" w:lineRule="exact"/>
        <w:ind w:firstLine="420" w:firstLineChars="200"/>
        <w:rPr>
          <w:rFonts w:hint="eastAsia" w:ascii="宋体" w:hAnsi="宋体"/>
          <w:highlight w:val="none"/>
        </w:rPr>
      </w:pPr>
      <w:r>
        <w:rPr>
          <w:rFonts w:ascii="宋体" w:hAnsi="宋体"/>
          <w:highlight w:val="none"/>
        </w:rPr>
        <w:t>在履行合同过程中发生的下列情形，属发包人违约：</w:t>
      </w:r>
    </w:p>
    <w:p w14:paraId="5D1C894E">
      <w:pPr>
        <w:spacing w:line="400" w:lineRule="exact"/>
        <w:ind w:firstLine="718" w:firstLineChars="342"/>
        <w:rPr>
          <w:rFonts w:hint="eastAsia" w:ascii="宋体" w:hAnsi="宋体"/>
          <w:highlight w:val="none"/>
        </w:rPr>
      </w:pPr>
      <w:r>
        <w:rPr>
          <w:rFonts w:ascii="宋体" w:hAnsi="宋体"/>
          <w:highlight w:val="none"/>
        </w:rPr>
        <w:t>（1）发包人未能按合同约定支付预付款或合同价款，或拖延、拒绝批准付款申请和支付凭证，导致付款延误的；</w:t>
      </w:r>
    </w:p>
    <w:p w14:paraId="204E1613">
      <w:pPr>
        <w:spacing w:line="400" w:lineRule="exact"/>
        <w:ind w:firstLine="718" w:firstLineChars="342"/>
        <w:rPr>
          <w:rFonts w:hint="eastAsia" w:ascii="宋体" w:hAnsi="宋体"/>
          <w:highlight w:val="none"/>
        </w:rPr>
      </w:pPr>
      <w:r>
        <w:rPr>
          <w:rFonts w:ascii="宋体" w:hAnsi="宋体"/>
          <w:highlight w:val="none"/>
        </w:rPr>
        <w:t>（2）发包人原因造成停工的；</w:t>
      </w:r>
    </w:p>
    <w:p w14:paraId="36B717CB">
      <w:pPr>
        <w:spacing w:line="400" w:lineRule="exact"/>
        <w:ind w:firstLine="718" w:firstLineChars="342"/>
        <w:rPr>
          <w:rFonts w:hint="eastAsia" w:ascii="宋体" w:hAnsi="宋体"/>
          <w:highlight w:val="none"/>
        </w:rPr>
      </w:pPr>
      <w:r>
        <w:rPr>
          <w:rFonts w:ascii="宋体" w:hAnsi="宋体"/>
          <w:highlight w:val="none"/>
        </w:rPr>
        <w:t>（3）监理人无正当理由没有在约定期限内发出复工指示，导致承包人无法复工的；</w:t>
      </w:r>
    </w:p>
    <w:p w14:paraId="2B4C4A2E">
      <w:pPr>
        <w:spacing w:line="400" w:lineRule="exact"/>
        <w:ind w:firstLine="718" w:firstLineChars="342"/>
        <w:rPr>
          <w:rFonts w:hint="eastAsia" w:ascii="宋体" w:hAnsi="宋体"/>
          <w:highlight w:val="none"/>
        </w:rPr>
      </w:pPr>
      <w:r>
        <w:rPr>
          <w:rFonts w:ascii="宋体" w:hAnsi="宋体"/>
          <w:highlight w:val="none"/>
        </w:rPr>
        <w:t>（4）发包人无法继续履行或明确表示不履行或实质上已停止履行合同的；</w:t>
      </w:r>
    </w:p>
    <w:p w14:paraId="2FA64C56">
      <w:pPr>
        <w:spacing w:line="400" w:lineRule="exact"/>
        <w:ind w:firstLine="718" w:firstLineChars="342"/>
        <w:rPr>
          <w:rFonts w:hint="eastAsia" w:ascii="宋体" w:hAnsi="宋体"/>
          <w:highlight w:val="none"/>
        </w:rPr>
      </w:pPr>
      <w:r>
        <w:rPr>
          <w:rFonts w:ascii="宋体" w:hAnsi="宋体"/>
          <w:highlight w:val="none"/>
        </w:rPr>
        <w:t>（5）发包人不履行合同约定其他义务的。</w:t>
      </w:r>
    </w:p>
    <w:p w14:paraId="4FE56914">
      <w:pPr>
        <w:spacing w:line="400" w:lineRule="exact"/>
        <w:ind w:firstLine="420" w:firstLineChars="200"/>
        <w:rPr>
          <w:rFonts w:hint="eastAsia" w:ascii="宋体" w:hAnsi="宋体"/>
          <w:highlight w:val="none"/>
        </w:rPr>
      </w:pPr>
      <w:r>
        <w:rPr>
          <w:rFonts w:ascii="宋体" w:hAnsi="宋体"/>
          <w:highlight w:val="none"/>
        </w:rPr>
        <w:t xml:space="preserve">22.2.2 </w:t>
      </w:r>
      <w:r>
        <w:rPr>
          <w:rFonts w:hint="eastAsia" w:ascii="宋体" w:hAnsi="宋体" w:cs="宋体"/>
          <w:highlight w:val="none"/>
        </w:rPr>
        <w:t>承包人有权暂停施工</w:t>
      </w:r>
    </w:p>
    <w:p w14:paraId="017E2EBF">
      <w:pPr>
        <w:spacing w:line="400" w:lineRule="exact"/>
        <w:ind w:firstLine="420" w:firstLineChars="200"/>
        <w:rPr>
          <w:rFonts w:hint="eastAsia" w:ascii="宋体" w:hAnsi="宋体"/>
          <w:highlight w:val="none"/>
        </w:rPr>
      </w:pPr>
      <w:r>
        <w:rPr>
          <w:rFonts w:ascii="宋体" w:hAnsi="宋体"/>
          <w:highlight w:val="none"/>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1C7BB2E6">
      <w:pPr>
        <w:spacing w:line="400" w:lineRule="exact"/>
        <w:ind w:firstLine="420" w:firstLineChars="200"/>
        <w:rPr>
          <w:rFonts w:hint="eastAsia" w:ascii="宋体" w:hAnsi="宋体"/>
          <w:highlight w:val="none"/>
        </w:rPr>
      </w:pPr>
      <w:r>
        <w:rPr>
          <w:rFonts w:ascii="宋体" w:hAnsi="宋体"/>
          <w:highlight w:val="none"/>
        </w:rPr>
        <w:t xml:space="preserve">22.2.3 </w:t>
      </w:r>
      <w:r>
        <w:rPr>
          <w:rFonts w:hint="eastAsia" w:ascii="宋体" w:hAnsi="宋体" w:cs="宋体"/>
          <w:highlight w:val="none"/>
        </w:rPr>
        <w:t>发包人违约解除合同</w:t>
      </w:r>
      <w:r>
        <w:rPr>
          <w:rFonts w:ascii="宋体" w:hAnsi="宋体"/>
          <w:highlight w:val="none"/>
        </w:rPr>
        <w:t xml:space="preserve"> </w:t>
      </w:r>
    </w:p>
    <w:p w14:paraId="5F53A6B5">
      <w:pPr>
        <w:spacing w:line="400" w:lineRule="exact"/>
        <w:ind w:firstLine="718" w:firstLineChars="342"/>
        <w:rPr>
          <w:rFonts w:hint="eastAsia" w:ascii="宋体" w:hAnsi="宋体"/>
          <w:highlight w:val="none"/>
        </w:rPr>
      </w:pPr>
      <w:r>
        <w:rPr>
          <w:rFonts w:ascii="宋体" w:hAnsi="宋体"/>
          <w:highlight w:val="none"/>
        </w:rPr>
        <w:t xml:space="preserve">（1）发生第22.2.1（4）目的违约情况时，承包人可书面通知发包人解除合同。   </w:t>
      </w:r>
    </w:p>
    <w:p w14:paraId="510CF130">
      <w:pPr>
        <w:spacing w:line="400" w:lineRule="exact"/>
        <w:ind w:firstLine="718" w:firstLineChars="342"/>
        <w:rPr>
          <w:rFonts w:hint="eastAsia" w:ascii="宋体" w:hAnsi="宋体"/>
          <w:highlight w:val="none"/>
        </w:rPr>
      </w:pPr>
      <w:r>
        <w:rPr>
          <w:rFonts w:ascii="宋体" w:hAnsi="宋体"/>
          <w:highlight w:val="none"/>
        </w:rPr>
        <w:t>（2）承包人按22.2.2项暂停施工28天后，发包人仍不纠正违约行为的，承包人可向发包人发出解除合同通知。但承包人的这一行动不免除发包人承担的违约责任，也不影响承包人根据合同约定享有的索赔权利。</w:t>
      </w:r>
    </w:p>
    <w:p w14:paraId="5CAFA1AC">
      <w:pPr>
        <w:spacing w:line="400" w:lineRule="exact"/>
        <w:ind w:firstLine="420" w:firstLineChars="200"/>
        <w:rPr>
          <w:rFonts w:hint="eastAsia" w:ascii="宋体" w:hAnsi="宋体"/>
          <w:highlight w:val="none"/>
        </w:rPr>
      </w:pPr>
      <w:r>
        <w:rPr>
          <w:rFonts w:ascii="宋体" w:hAnsi="宋体"/>
          <w:highlight w:val="none"/>
        </w:rPr>
        <w:t xml:space="preserve">22.2.4 </w:t>
      </w:r>
      <w:r>
        <w:rPr>
          <w:rFonts w:hint="eastAsia" w:ascii="宋体" w:hAnsi="宋体" w:cs="宋体"/>
          <w:highlight w:val="none"/>
        </w:rPr>
        <w:t>解除合同后的付款</w:t>
      </w:r>
    </w:p>
    <w:p w14:paraId="44962249">
      <w:pPr>
        <w:spacing w:line="400" w:lineRule="exact"/>
        <w:ind w:firstLine="420" w:firstLineChars="200"/>
        <w:rPr>
          <w:rFonts w:hint="eastAsia" w:ascii="宋体" w:hAnsi="宋体"/>
          <w:highlight w:val="none"/>
        </w:rPr>
      </w:pPr>
      <w:r>
        <w:rPr>
          <w:rFonts w:ascii="宋体" w:hAnsi="宋体"/>
          <w:highlight w:val="none"/>
        </w:rPr>
        <w:t>因发包人违约解除合同的，发包人应在解除合同后28天内向承包人支付下列金额，承包人应在此期限内及时向发包人提交要求支付下列金额的有关资料和凭证：</w:t>
      </w:r>
    </w:p>
    <w:p w14:paraId="4D5EB5A2">
      <w:pPr>
        <w:spacing w:line="400" w:lineRule="exact"/>
        <w:ind w:firstLine="718" w:firstLineChars="342"/>
        <w:rPr>
          <w:rFonts w:hint="eastAsia" w:ascii="宋体" w:hAnsi="宋体"/>
          <w:highlight w:val="none"/>
        </w:rPr>
      </w:pPr>
      <w:r>
        <w:rPr>
          <w:rFonts w:ascii="宋体" w:hAnsi="宋体"/>
          <w:highlight w:val="none"/>
        </w:rPr>
        <w:t>（1）合同解除日以前所完成工作的价款；</w:t>
      </w:r>
    </w:p>
    <w:p w14:paraId="6B7D719C">
      <w:pPr>
        <w:spacing w:line="400" w:lineRule="exact"/>
        <w:ind w:firstLine="718" w:firstLineChars="342"/>
        <w:rPr>
          <w:rFonts w:hint="eastAsia" w:ascii="宋体" w:hAnsi="宋体"/>
          <w:highlight w:val="none"/>
        </w:rPr>
      </w:pPr>
      <w:r>
        <w:rPr>
          <w:rFonts w:ascii="宋体" w:hAnsi="宋体"/>
          <w:highlight w:val="none"/>
        </w:rPr>
        <w:t>（2）承包人为该工程施工订购并已付款的材料、工程设备和其他物品的金额。发包人付还后，该材料、工程设备和其他物品归发包人所有；</w:t>
      </w:r>
    </w:p>
    <w:p w14:paraId="39E5C918">
      <w:pPr>
        <w:spacing w:line="400" w:lineRule="exact"/>
        <w:ind w:firstLine="718" w:firstLineChars="342"/>
        <w:rPr>
          <w:rFonts w:hint="eastAsia" w:ascii="宋体" w:hAnsi="宋体"/>
          <w:highlight w:val="none"/>
        </w:rPr>
      </w:pPr>
      <w:r>
        <w:rPr>
          <w:rFonts w:ascii="宋体" w:hAnsi="宋体"/>
          <w:highlight w:val="none"/>
        </w:rPr>
        <w:t>（3）承包人为完成工程所发生的，而发包人未支付的金额；</w:t>
      </w:r>
    </w:p>
    <w:p w14:paraId="704F045D">
      <w:pPr>
        <w:spacing w:line="400" w:lineRule="exact"/>
        <w:ind w:firstLine="718" w:firstLineChars="342"/>
        <w:rPr>
          <w:rFonts w:hint="eastAsia" w:ascii="宋体" w:hAnsi="宋体"/>
          <w:highlight w:val="none"/>
        </w:rPr>
      </w:pPr>
      <w:r>
        <w:rPr>
          <w:rFonts w:ascii="宋体" w:hAnsi="宋体"/>
          <w:highlight w:val="none"/>
        </w:rPr>
        <w:t>（4）承包人撤离施工场地以及遣散承包人人员的金额；</w:t>
      </w:r>
    </w:p>
    <w:p w14:paraId="00730E20">
      <w:pPr>
        <w:spacing w:line="400" w:lineRule="exact"/>
        <w:ind w:firstLine="718" w:firstLineChars="342"/>
        <w:rPr>
          <w:rFonts w:hint="eastAsia" w:ascii="宋体" w:hAnsi="宋体"/>
          <w:highlight w:val="none"/>
        </w:rPr>
      </w:pPr>
      <w:r>
        <w:rPr>
          <w:rFonts w:ascii="宋体" w:hAnsi="宋体"/>
          <w:highlight w:val="none"/>
        </w:rPr>
        <w:t>（5）由于解除合同应赔偿的承包人损失；</w:t>
      </w:r>
    </w:p>
    <w:p w14:paraId="37A920CE">
      <w:pPr>
        <w:spacing w:line="400" w:lineRule="exact"/>
        <w:ind w:firstLine="718" w:firstLineChars="342"/>
        <w:rPr>
          <w:rFonts w:hint="eastAsia" w:ascii="宋体" w:hAnsi="宋体"/>
          <w:highlight w:val="none"/>
        </w:rPr>
      </w:pPr>
      <w:r>
        <w:rPr>
          <w:rFonts w:ascii="宋体" w:hAnsi="宋体"/>
          <w:highlight w:val="none"/>
        </w:rPr>
        <w:t>（6）按合同约定在合同解除日前应支付给承包人的其他金额。</w:t>
      </w:r>
    </w:p>
    <w:p w14:paraId="3856E185">
      <w:pPr>
        <w:spacing w:line="400" w:lineRule="exact"/>
        <w:ind w:firstLine="420" w:firstLineChars="200"/>
        <w:rPr>
          <w:rFonts w:hint="eastAsia" w:ascii="宋体" w:hAnsi="宋体"/>
          <w:highlight w:val="none"/>
        </w:rPr>
      </w:pPr>
      <w:r>
        <w:rPr>
          <w:rFonts w:ascii="宋体" w:hAnsi="宋体"/>
          <w:highlight w:val="none"/>
        </w:rPr>
        <w:t>发包人应按本项约定支付上述金额并退还质量保证金和履约担保，但有权要求承包人支付应偿还给发包人的各项金额。</w:t>
      </w:r>
    </w:p>
    <w:p w14:paraId="1CA2CD62">
      <w:pPr>
        <w:spacing w:line="400" w:lineRule="exact"/>
        <w:ind w:firstLine="420" w:firstLineChars="200"/>
        <w:rPr>
          <w:rFonts w:hint="eastAsia" w:ascii="宋体" w:hAnsi="宋体"/>
          <w:highlight w:val="none"/>
        </w:rPr>
      </w:pPr>
      <w:r>
        <w:rPr>
          <w:rFonts w:ascii="宋体" w:hAnsi="宋体"/>
          <w:highlight w:val="none"/>
        </w:rPr>
        <w:t xml:space="preserve">22.2.5 </w:t>
      </w:r>
      <w:r>
        <w:rPr>
          <w:rFonts w:hint="eastAsia" w:ascii="宋体" w:hAnsi="宋体" w:cs="宋体"/>
          <w:highlight w:val="none"/>
        </w:rPr>
        <w:t>解除合同后的承包人撤离</w:t>
      </w:r>
    </w:p>
    <w:p w14:paraId="169C2D93">
      <w:pPr>
        <w:spacing w:line="400" w:lineRule="exact"/>
        <w:ind w:firstLine="420" w:firstLineChars="200"/>
        <w:rPr>
          <w:rFonts w:hint="eastAsia" w:ascii="宋体" w:hAnsi="宋体"/>
          <w:highlight w:val="none"/>
        </w:rPr>
      </w:pPr>
      <w:r>
        <w:rPr>
          <w:rFonts w:ascii="宋体" w:hAnsi="宋体"/>
          <w:highlight w:val="none"/>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5DCCFF99">
      <w:pPr>
        <w:keepNext/>
        <w:keepLines/>
        <w:spacing w:line="400" w:lineRule="exact"/>
        <w:outlineLvl w:val="2"/>
        <w:rPr>
          <w:rFonts w:hint="eastAsia" w:ascii="宋体" w:hAnsi="宋体"/>
          <w:sz w:val="24"/>
          <w:szCs w:val="20"/>
          <w:highlight w:val="none"/>
        </w:rPr>
      </w:pPr>
      <w:bookmarkStart w:id="1454" w:name="_Toc342296407"/>
      <w:bookmarkStart w:id="1455" w:name="_Toc152042535"/>
      <w:bookmarkStart w:id="1456" w:name="_Toc152045756"/>
      <w:bookmarkStart w:id="1457" w:name="_Toc338944849"/>
      <w:bookmarkStart w:id="1458" w:name="_Toc179632774"/>
      <w:bookmarkStart w:id="1459" w:name="_Toc159950757"/>
      <w:r>
        <w:rPr>
          <w:rFonts w:ascii="宋体" w:hAnsi="宋体"/>
          <w:sz w:val="24"/>
          <w:szCs w:val="20"/>
          <w:highlight w:val="none"/>
        </w:rPr>
        <w:t>22.3 第三人造成的违约</w:t>
      </w:r>
      <w:bookmarkEnd w:id="1454"/>
      <w:bookmarkEnd w:id="1455"/>
      <w:bookmarkEnd w:id="1456"/>
      <w:bookmarkEnd w:id="1457"/>
      <w:bookmarkEnd w:id="1458"/>
      <w:bookmarkEnd w:id="1459"/>
    </w:p>
    <w:p w14:paraId="508F0291">
      <w:pPr>
        <w:spacing w:line="400" w:lineRule="exact"/>
        <w:ind w:firstLine="420" w:firstLineChars="200"/>
        <w:rPr>
          <w:rFonts w:hint="eastAsia" w:ascii="宋体" w:hAnsi="宋体"/>
          <w:highlight w:val="none"/>
        </w:rPr>
      </w:pPr>
      <w:r>
        <w:rPr>
          <w:rFonts w:ascii="宋体" w:hAnsi="宋体"/>
          <w:highlight w:val="none"/>
        </w:rPr>
        <w:t>在履行合同过程中，一方当事人因第三人的原因造成违约的，应当向对方当事人承担违约责任。一方当事人和第三人之间的纠纷，依照法律规定或者按照约定解决。</w:t>
      </w:r>
    </w:p>
    <w:p w14:paraId="67DA0F08">
      <w:pPr>
        <w:keepNext/>
        <w:keepLines/>
        <w:spacing w:line="400" w:lineRule="exact"/>
        <w:outlineLvl w:val="1"/>
        <w:rPr>
          <w:rFonts w:hint="eastAsia" w:ascii="宋体" w:hAnsi="宋体" w:cs="仿宋_GB2312"/>
          <w:sz w:val="28"/>
          <w:szCs w:val="20"/>
          <w:highlight w:val="none"/>
        </w:rPr>
      </w:pPr>
      <w:bookmarkStart w:id="1460" w:name="_Toc152045757"/>
      <w:bookmarkStart w:id="1461" w:name="_Toc152042536"/>
      <w:bookmarkStart w:id="1462" w:name="_Toc179632775"/>
      <w:bookmarkStart w:id="1463" w:name="_Toc338944850"/>
      <w:bookmarkStart w:id="1464" w:name="_Toc159950758"/>
      <w:bookmarkStart w:id="1465" w:name="_Toc442365636"/>
      <w:bookmarkStart w:id="1466" w:name="_Toc144974727"/>
      <w:bookmarkStart w:id="1467" w:name="_Toc448758444"/>
      <w:bookmarkStart w:id="1468" w:name="_Toc342296408"/>
      <w:bookmarkStart w:id="1469" w:name="_Toc469660039"/>
      <w:bookmarkStart w:id="1470" w:name="_Toc448758544"/>
      <w:r>
        <w:rPr>
          <w:rFonts w:ascii="宋体" w:hAnsi="宋体" w:cs="仿宋_GB2312"/>
          <w:sz w:val="28"/>
          <w:szCs w:val="20"/>
          <w:highlight w:val="none"/>
        </w:rPr>
        <w:t>23. 索赔</w:t>
      </w:r>
      <w:bookmarkEnd w:id="1460"/>
      <w:bookmarkEnd w:id="1461"/>
      <w:bookmarkEnd w:id="1462"/>
      <w:bookmarkEnd w:id="1463"/>
      <w:bookmarkEnd w:id="1464"/>
      <w:bookmarkEnd w:id="1465"/>
      <w:bookmarkEnd w:id="1466"/>
      <w:bookmarkEnd w:id="1467"/>
      <w:bookmarkEnd w:id="1468"/>
      <w:bookmarkEnd w:id="1469"/>
      <w:bookmarkEnd w:id="1470"/>
    </w:p>
    <w:p w14:paraId="56A2D2B1">
      <w:pPr>
        <w:keepNext/>
        <w:keepLines/>
        <w:spacing w:line="400" w:lineRule="exact"/>
        <w:outlineLvl w:val="2"/>
        <w:rPr>
          <w:rFonts w:hint="eastAsia" w:ascii="宋体" w:hAnsi="宋体"/>
          <w:sz w:val="24"/>
          <w:szCs w:val="20"/>
          <w:highlight w:val="none"/>
        </w:rPr>
      </w:pPr>
      <w:bookmarkStart w:id="1471" w:name="_Toc342296409"/>
      <w:bookmarkStart w:id="1472" w:name="_Toc152042537"/>
      <w:bookmarkStart w:id="1473" w:name="_Toc179632776"/>
      <w:bookmarkStart w:id="1474" w:name="_Toc338944851"/>
      <w:bookmarkStart w:id="1475" w:name="_Toc144974728"/>
      <w:bookmarkStart w:id="1476" w:name="_Toc159950759"/>
      <w:bookmarkStart w:id="1477" w:name="_Toc152045758"/>
      <w:r>
        <w:rPr>
          <w:rFonts w:ascii="宋体" w:hAnsi="宋体"/>
          <w:sz w:val="24"/>
          <w:szCs w:val="20"/>
          <w:highlight w:val="none"/>
        </w:rPr>
        <w:t>23.1 承包人索赔的提出</w:t>
      </w:r>
      <w:bookmarkEnd w:id="1471"/>
      <w:bookmarkEnd w:id="1472"/>
      <w:bookmarkEnd w:id="1473"/>
      <w:bookmarkEnd w:id="1474"/>
      <w:bookmarkEnd w:id="1475"/>
      <w:bookmarkEnd w:id="1476"/>
      <w:bookmarkEnd w:id="1477"/>
    </w:p>
    <w:p w14:paraId="72A48EDD">
      <w:pPr>
        <w:spacing w:line="400" w:lineRule="exact"/>
        <w:ind w:firstLine="420" w:firstLineChars="200"/>
        <w:rPr>
          <w:rFonts w:hint="eastAsia" w:ascii="宋体" w:hAnsi="宋体"/>
          <w:highlight w:val="none"/>
        </w:rPr>
      </w:pPr>
      <w:r>
        <w:rPr>
          <w:rFonts w:ascii="宋体" w:hAnsi="宋体"/>
          <w:highlight w:val="none"/>
        </w:rPr>
        <w:t>根据合同约定，承包人认为有权得到追加付款和（或）延长工期的，应按以下程序向发包人提出索赔：</w:t>
      </w:r>
    </w:p>
    <w:p w14:paraId="68BBF978">
      <w:pPr>
        <w:spacing w:line="400" w:lineRule="exact"/>
        <w:ind w:firstLine="359" w:firstLineChars="171"/>
        <w:rPr>
          <w:rFonts w:hint="eastAsia" w:ascii="宋体" w:hAnsi="宋体"/>
          <w:highlight w:val="none"/>
        </w:rPr>
      </w:pPr>
      <w:r>
        <w:rPr>
          <w:rFonts w:ascii="宋体" w:hAnsi="宋体"/>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4B654697">
      <w:pPr>
        <w:spacing w:line="400" w:lineRule="exact"/>
        <w:ind w:firstLine="359" w:firstLineChars="171"/>
        <w:rPr>
          <w:rFonts w:hint="eastAsia" w:ascii="宋体" w:hAnsi="宋体"/>
          <w:highlight w:val="none"/>
        </w:rPr>
      </w:pPr>
      <w:r>
        <w:rPr>
          <w:rFonts w:ascii="宋体" w:hAnsi="宋体"/>
          <w:highlight w:val="none"/>
        </w:rPr>
        <w:t>（2）承包人应在发出索赔意向通知书后28天内，向监理人正式递交索赔通知书。索赔通知书应详细说明索赔理由以及要求追加的付款金额和（或）延长的工期，并附必要的记录和证明材料；</w:t>
      </w:r>
    </w:p>
    <w:p w14:paraId="27C95A94">
      <w:pPr>
        <w:spacing w:line="400" w:lineRule="exact"/>
        <w:ind w:firstLine="359" w:firstLineChars="171"/>
        <w:rPr>
          <w:rFonts w:hint="eastAsia" w:ascii="宋体" w:hAnsi="宋体"/>
          <w:highlight w:val="none"/>
        </w:rPr>
      </w:pPr>
      <w:r>
        <w:rPr>
          <w:rFonts w:ascii="宋体" w:hAnsi="宋体"/>
          <w:highlight w:val="none"/>
        </w:rPr>
        <w:t>（3）索赔事件具有连续影响的，承包人应按合理时间间隔继续递交延续索赔通知，说明连续影响的实际情况和记录，列出累计的追加付款金额和（或）工期延长天数；</w:t>
      </w:r>
    </w:p>
    <w:p w14:paraId="17EE8E64">
      <w:pPr>
        <w:spacing w:line="400" w:lineRule="exact"/>
        <w:ind w:firstLine="359" w:firstLineChars="171"/>
        <w:rPr>
          <w:rFonts w:hint="eastAsia" w:ascii="宋体" w:hAnsi="宋体"/>
          <w:highlight w:val="none"/>
        </w:rPr>
      </w:pPr>
      <w:r>
        <w:rPr>
          <w:rFonts w:ascii="宋体" w:hAnsi="宋体"/>
          <w:highlight w:val="none"/>
        </w:rPr>
        <w:t>（4）在索赔事件影响结束后的28天内，承包人应向监理人递交最终索赔通知书，说明最终要求索赔的追加付款金额和延长的工期，并附必要的记录和证明材料。</w:t>
      </w:r>
    </w:p>
    <w:p w14:paraId="2C2143CD">
      <w:pPr>
        <w:keepNext/>
        <w:keepLines/>
        <w:spacing w:line="400" w:lineRule="exact"/>
        <w:outlineLvl w:val="2"/>
        <w:rPr>
          <w:rFonts w:hint="eastAsia" w:ascii="宋体" w:hAnsi="宋体"/>
          <w:sz w:val="24"/>
          <w:szCs w:val="20"/>
          <w:highlight w:val="none"/>
        </w:rPr>
      </w:pPr>
      <w:bookmarkStart w:id="1478" w:name="_Toc159950760"/>
      <w:bookmarkStart w:id="1479" w:name="_Toc152045759"/>
      <w:bookmarkStart w:id="1480" w:name="_Toc179632777"/>
      <w:bookmarkStart w:id="1481" w:name="_Toc152042538"/>
      <w:bookmarkStart w:id="1482" w:name="_Toc144974729"/>
      <w:bookmarkStart w:id="1483" w:name="_Toc338944852"/>
      <w:bookmarkStart w:id="1484" w:name="_Toc342296410"/>
      <w:r>
        <w:rPr>
          <w:rFonts w:ascii="宋体" w:hAnsi="宋体"/>
          <w:sz w:val="24"/>
          <w:szCs w:val="20"/>
          <w:highlight w:val="none"/>
        </w:rPr>
        <w:t>23.2 承包人索赔处理程序</w:t>
      </w:r>
      <w:bookmarkEnd w:id="1478"/>
      <w:bookmarkEnd w:id="1479"/>
      <w:bookmarkEnd w:id="1480"/>
      <w:bookmarkEnd w:id="1481"/>
      <w:bookmarkEnd w:id="1482"/>
      <w:bookmarkEnd w:id="1483"/>
      <w:bookmarkEnd w:id="1484"/>
    </w:p>
    <w:p w14:paraId="2423284E">
      <w:pPr>
        <w:spacing w:line="400" w:lineRule="exact"/>
        <w:ind w:firstLine="359" w:firstLineChars="171"/>
        <w:rPr>
          <w:rFonts w:hint="eastAsia" w:ascii="宋体" w:hAnsi="宋体"/>
          <w:highlight w:val="none"/>
        </w:rPr>
      </w:pPr>
      <w:r>
        <w:rPr>
          <w:rFonts w:ascii="宋体" w:hAnsi="宋体"/>
          <w:highlight w:val="none"/>
        </w:rPr>
        <w:t>（1）监理人收到承包人提交的索赔通知书后，应及时审查索赔通知书的内容、查验承包人的记录和证明材料，必要时监理人可要求承包人提交全部原始记录副本。</w:t>
      </w:r>
    </w:p>
    <w:p w14:paraId="5517AC7B">
      <w:pPr>
        <w:spacing w:line="400" w:lineRule="exact"/>
        <w:ind w:firstLine="359" w:firstLineChars="171"/>
        <w:rPr>
          <w:rFonts w:hint="eastAsia" w:ascii="宋体" w:hAnsi="宋体"/>
          <w:highlight w:val="none"/>
        </w:rPr>
      </w:pPr>
      <w:r>
        <w:rPr>
          <w:rFonts w:ascii="宋体" w:hAnsi="宋体"/>
          <w:highlight w:val="none"/>
        </w:rPr>
        <w:t>（2）监理人应按第3.5款商定或确定追加的付款和（或）延长的工期，并在收到上述索赔通知书或有关索赔的进一步证明材料后的42天内，将索赔处理结果答复承包人。</w:t>
      </w:r>
    </w:p>
    <w:p w14:paraId="3EE53758">
      <w:pPr>
        <w:spacing w:line="400" w:lineRule="exact"/>
        <w:ind w:firstLine="359" w:firstLineChars="171"/>
        <w:rPr>
          <w:rFonts w:hint="eastAsia" w:ascii="宋体" w:hAnsi="宋体"/>
          <w:highlight w:val="none"/>
        </w:rPr>
      </w:pPr>
      <w:r>
        <w:rPr>
          <w:rFonts w:ascii="宋体" w:hAnsi="宋体"/>
          <w:highlight w:val="none"/>
        </w:rPr>
        <w:t>（3）承包人接受索赔处理结果的，发包人应在作出索赔处理结果答复后28天内完成赔付。承包人不接受索赔处理结果的，按第24条的约定办理。</w:t>
      </w:r>
    </w:p>
    <w:p w14:paraId="1D62931D">
      <w:pPr>
        <w:keepNext/>
        <w:keepLines/>
        <w:spacing w:line="400" w:lineRule="exact"/>
        <w:outlineLvl w:val="2"/>
        <w:rPr>
          <w:rFonts w:hint="eastAsia" w:ascii="宋体" w:hAnsi="宋体"/>
          <w:sz w:val="24"/>
          <w:szCs w:val="20"/>
          <w:highlight w:val="none"/>
        </w:rPr>
      </w:pPr>
      <w:bookmarkStart w:id="1485" w:name="_Toc179632778"/>
      <w:bookmarkStart w:id="1486" w:name="_Toc338944853"/>
      <w:bookmarkStart w:id="1487" w:name="_Toc152045760"/>
      <w:bookmarkStart w:id="1488" w:name="_Toc159950761"/>
      <w:bookmarkStart w:id="1489" w:name="_Toc342296411"/>
      <w:bookmarkStart w:id="1490" w:name="_Toc152042539"/>
      <w:bookmarkStart w:id="1491" w:name="_Toc144974730"/>
      <w:r>
        <w:rPr>
          <w:rFonts w:ascii="宋体" w:hAnsi="宋体"/>
          <w:sz w:val="24"/>
          <w:szCs w:val="20"/>
          <w:highlight w:val="none"/>
        </w:rPr>
        <w:t>23.3 承包人提出索赔的期限</w:t>
      </w:r>
      <w:bookmarkEnd w:id="1485"/>
      <w:bookmarkEnd w:id="1486"/>
      <w:bookmarkEnd w:id="1487"/>
      <w:bookmarkEnd w:id="1488"/>
      <w:bookmarkEnd w:id="1489"/>
      <w:bookmarkEnd w:id="1490"/>
      <w:bookmarkEnd w:id="1491"/>
    </w:p>
    <w:p w14:paraId="3BB97731">
      <w:pPr>
        <w:spacing w:line="400" w:lineRule="exact"/>
        <w:ind w:firstLine="420" w:firstLineChars="200"/>
        <w:rPr>
          <w:rFonts w:hint="eastAsia" w:ascii="宋体" w:hAnsi="宋体"/>
          <w:highlight w:val="none"/>
        </w:rPr>
      </w:pPr>
      <w:r>
        <w:rPr>
          <w:rFonts w:ascii="宋体" w:hAnsi="宋体"/>
          <w:highlight w:val="none"/>
        </w:rPr>
        <w:t>23.3.1 承包人按第17.5款的约定接受了竣工付款证书后，应被认为已无权再提出在合同工程接收证书颁发前所发生的任何索赔。</w:t>
      </w:r>
    </w:p>
    <w:p w14:paraId="1BBFC347">
      <w:pPr>
        <w:spacing w:line="400" w:lineRule="exact"/>
        <w:ind w:firstLine="420" w:firstLineChars="200"/>
        <w:rPr>
          <w:rFonts w:hint="eastAsia" w:ascii="宋体" w:hAnsi="宋体"/>
          <w:highlight w:val="none"/>
          <w:shd w:val="pct10" w:color="auto" w:fill="FFFFFF"/>
        </w:rPr>
      </w:pPr>
      <w:r>
        <w:rPr>
          <w:rFonts w:ascii="宋体" w:hAnsi="宋体"/>
          <w:highlight w:val="none"/>
        </w:rPr>
        <w:t xml:space="preserve">23.3.2 承包人按第17.6款的约定提交的最终结清申请单中，只限于提出工程接收证书颁发后发生的索赔。提出索赔的期限自接受最终结清证书时终止。 </w:t>
      </w:r>
    </w:p>
    <w:p w14:paraId="1B1CFB6D">
      <w:pPr>
        <w:keepNext/>
        <w:keepLines/>
        <w:spacing w:line="400" w:lineRule="exact"/>
        <w:outlineLvl w:val="2"/>
        <w:rPr>
          <w:rFonts w:hint="eastAsia" w:ascii="宋体" w:hAnsi="宋体"/>
          <w:sz w:val="24"/>
          <w:szCs w:val="20"/>
          <w:highlight w:val="none"/>
        </w:rPr>
      </w:pPr>
      <w:bookmarkStart w:id="1492" w:name="_Toc159950762"/>
      <w:bookmarkStart w:id="1493" w:name="_Toc144974731"/>
      <w:bookmarkStart w:id="1494" w:name="_Toc152045761"/>
      <w:bookmarkStart w:id="1495" w:name="_Toc338944854"/>
      <w:bookmarkStart w:id="1496" w:name="_Toc342296412"/>
      <w:bookmarkStart w:id="1497" w:name="_Toc179632779"/>
      <w:bookmarkStart w:id="1498" w:name="_Toc152042540"/>
      <w:r>
        <w:rPr>
          <w:rFonts w:ascii="宋体" w:hAnsi="宋体"/>
          <w:sz w:val="24"/>
          <w:szCs w:val="20"/>
          <w:highlight w:val="none"/>
        </w:rPr>
        <w:t>23.4 发包人的索赔</w:t>
      </w:r>
      <w:bookmarkEnd w:id="1492"/>
      <w:bookmarkEnd w:id="1493"/>
      <w:bookmarkEnd w:id="1494"/>
      <w:bookmarkEnd w:id="1495"/>
      <w:bookmarkEnd w:id="1496"/>
      <w:bookmarkEnd w:id="1497"/>
      <w:bookmarkEnd w:id="1498"/>
    </w:p>
    <w:p w14:paraId="0660982A">
      <w:pPr>
        <w:spacing w:line="400" w:lineRule="exact"/>
        <w:ind w:firstLine="420" w:firstLineChars="200"/>
        <w:rPr>
          <w:rFonts w:hint="eastAsia" w:ascii="宋体" w:hAnsi="宋体"/>
          <w:highlight w:val="none"/>
        </w:rPr>
      </w:pPr>
      <w:r>
        <w:rPr>
          <w:rFonts w:ascii="宋体" w:hAnsi="宋体"/>
          <w:highlight w:val="none"/>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5E24CBE9">
      <w:pPr>
        <w:spacing w:line="400" w:lineRule="exact"/>
        <w:ind w:firstLine="420" w:firstLineChars="200"/>
        <w:rPr>
          <w:rFonts w:hint="eastAsia" w:ascii="宋体" w:hAnsi="宋体"/>
          <w:highlight w:val="none"/>
        </w:rPr>
      </w:pPr>
      <w:r>
        <w:rPr>
          <w:rFonts w:ascii="宋体" w:hAnsi="宋体"/>
          <w:highlight w:val="none"/>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767CABC4">
      <w:pPr>
        <w:keepNext/>
        <w:keepLines/>
        <w:spacing w:line="400" w:lineRule="exact"/>
        <w:outlineLvl w:val="1"/>
        <w:rPr>
          <w:rFonts w:hint="eastAsia" w:ascii="宋体" w:hAnsi="宋体" w:cs="仿宋_GB2312"/>
          <w:sz w:val="28"/>
          <w:szCs w:val="20"/>
          <w:highlight w:val="none"/>
        </w:rPr>
      </w:pPr>
      <w:bookmarkStart w:id="1499" w:name="_Toc159950763"/>
      <w:bookmarkStart w:id="1500" w:name="_Toc469660040"/>
      <w:bookmarkStart w:id="1501" w:name="_Toc448758545"/>
      <w:bookmarkStart w:id="1502" w:name="_Toc338944855"/>
      <w:bookmarkStart w:id="1503" w:name="_Toc448758445"/>
      <w:bookmarkStart w:id="1504" w:name="_Toc442365637"/>
      <w:bookmarkStart w:id="1505" w:name="_Toc342296413"/>
      <w:r>
        <w:rPr>
          <w:rFonts w:ascii="宋体" w:hAnsi="宋体" w:cs="仿宋_GB2312"/>
          <w:sz w:val="28"/>
          <w:szCs w:val="20"/>
          <w:highlight w:val="none"/>
        </w:rPr>
        <w:t>24. 争议的解决</w:t>
      </w:r>
      <w:bookmarkEnd w:id="1499"/>
      <w:bookmarkEnd w:id="1500"/>
      <w:bookmarkEnd w:id="1501"/>
      <w:bookmarkEnd w:id="1502"/>
      <w:bookmarkEnd w:id="1503"/>
      <w:bookmarkEnd w:id="1504"/>
      <w:bookmarkEnd w:id="1505"/>
    </w:p>
    <w:p w14:paraId="7375FB77">
      <w:pPr>
        <w:keepNext/>
        <w:keepLines/>
        <w:spacing w:line="400" w:lineRule="exact"/>
        <w:outlineLvl w:val="2"/>
        <w:rPr>
          <w:rFonts w:hint="eastAsia" w:ascii="宋体" w:hAnsi="宋体"/>
          <w:sz w:val="24"/>
          <w:szCs w:val="20"/>
          <w:highlight w:val="none"/>
        </w:rPr>
      </w:pPr>
      <w:bookmarkStart w:id="1506" w:name="_Toc338944856"/>
      <w:bookmarkStart w:id="1507" w:name="_Toc342296414"/>
      <w:bookmarkStart w:id="1508" w:name="_Toc159950764"/>
      <w:r>
        <w:rPr>
          <w:rFonts w:ascii="宋体" w:hAnsi="宋体"/>
          <w:sz w:val="24"/>
          <w:szCs w:val="20"/>
          <w:highlight w:val="none"/>
        </w:rPr>
        <w:t>24.1 争议的解决方式</w:t>
      </w:r>
      <w:bookmarkEnd w:id="1506"/>
      <w:bookmarkEnd w:id="1507"/>
      <w:bookmarkEnd w:id="1508"/>
    </w:p>
    <w:p w14:paraId="4FEE8254">
      <w:pPr>
        <w:spacing w:line="400" w:lineRule="exact"/>
        <w:ind w:firstLine="420" w:firstLineChars="200"/>
        <w:rPr>
          <w:rFonts w:hint="eastAsia" w:ascii="宋体" w:hAnsi="宋体"/>
          <w:highlight w:val="none"/>
        </w:rPr>
      </w:pPr>
      <w:r>
        <w:rPr>
          <w:rFonts w:ascii="宋体" w:hAnsi="宋体"/>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2D4F4EF1">
      <w:pPr>
        <w:spacing w:line="400" w:lineRule="exact"/>
        <w:ind w:firstLine="420" w:firstLineChars="200"/>
        <w:rPr>
          <w:rFonts w:hint="eastAsia" w:ascii="宋体" w:hAnsi="宋体"/>
          <w:highlight w:val="none"/>
        </w:rPr>
      </w:pPr>
      <w:r>
        <w:rPr>
          <w:rFonts w:ascii="宋体" w:hAnsi="宋体"/>
          <w:highlight w:val="none"/>
        </w:rPr>
        <w:t>（1）向约定的仲裁委员会申请仲裁；</w:t>
      </w:r>
    </w:p>
    <w:p w14:paraId="5273E910">
      <w:pPr>
        <w:spacing w:line="400" w:lineRule="exact"/>
        <w:ind w:firstLine="420" w:firstLineChars="200"/>
        <w:rPr>
          <w:rFonts w:hint="eastAsia" w:ascii="宋体" w:hAnsi="宋体"/>
          <w:highlight w:val="none"/>
        </w:rPr>
      </w:pPr>
      <w:r>
        <w:rPr>
          <w:rFonts w:ascii="宋体" w:hAnsi="宋体"/>
          <w:highlight w:val="none"/>
        </w:rPr>
        <w:t>（2）向有管辖权的人民法院提起诉讼。</w:t>
      </w:r>
    </w:p>
    <w:p w14:paraId="509366C0">
      <w:pPr>
        <w:keepNext/>
        <w:keepLines/>
        <w:spacing w:line="400" w:lineRule="exact"/>
        <w:outlineLvl w:val="2"/>
        <w:rPr>
          <w:rFonts w:hint="eastAsia" w:ascii="宋体" w:hAnsi="宋体"/>
          <w:sz w:val="24"/>
          <w:szCs w:val="20"/>
          <w:highlight w:val="none"/>
        </w:rPr>
      </w:pPr>
      <w:bookmarkStart w:id="1509" w:name="_Toc342296415"/>
      <w:bookmarkStart w:id="1510" w:name="_Toc338944857"/>
      <w:bookmarkStart w:id="1511" w:name="_Toc159950765"/>
      <w:r>
        <w:rPr>
          <w:rFonts w:ascii="宋体" w:hAnsi="宋体"/>
          <w:sz w:val="24"/>
          <w:szCs w:val="20"/>
          <w:highlight w:val="none"/>
        </w:rPr>
        <w:t>24.2 友好解决</w:t>
      </w:r>
      <w:bookmarkEnd w:id="1509"/>
      <w:bookmarkEnd w:id="1510"/>
      <w:bookmarkEnd w:id="1511"/>
    </w:p>
    <w:p w14:paraId="4F7E0107">
      <w:pPr>
        <w:spacing w:line="400" w:lineRule="exact"/>
        <w:ind w:firstLine="420" w:firstLineChars="200"/>
        <w:rPr>
          <w:rFonts w:hint="eastAsia" w:ascii="宋体" w:hAnsi="宋体"/>
          <w:highlight w:val="none"/>
        </w:rPr>
      </w:pPr>
      <w:r>
        <w:rPr>
          <w:rFonts w:ascii="宋体" w:hAnsi="宋体"/>
          <w:highlight w:val="none"/>
        </w:rPr>
        <w:t>在提请争议评审、仲裁或者诉讼前，以及在争议评审、仲裁或诉讼过程中，发包人和承包人均可共同努力友好协商解决争议。</w:t>
      </w:r>
    </w:p>
    <w:p w14:paraId="64332E7E">
      <w:pPr>
        <w:keepNext/>
        <w:keepLines/>
        <w:spacing w:line="400" w:lineRule="exact"/>
        <w:outlineLvl w:val="2"/>
        <w:rPr>
          <w:rFonts w:hint="eastAsia" w:ascii="宋体" w:hAnsi="宋体"/>
          <w:sz w:val="24"/>
          <w:szCs w:val="20"/>
          <w:highlight w:val="none"/>
        </w:rPr>
      </w:pPr>
      <w:bookmarkStart w:id="1512" w:name="_Toc159950766"/>
      <w:bookmarkStart w:id="1513" w:name="_Toc342296416"/>
      <w:bookmarkStart w:id="1514" w:name="_Toc338944858"/>
      <w:r>
        <w:rPr>
          <w:rFonts w:ascii="宋体" w:hAnsi="宋体"/>
          <w:sz w:val="24"/>
          <w:szCs w:val="20"/>
          <w:highlight w:val="none"/>
        </w:rPr>
        <w:t>24.3 争议评审</w:t>
      </w:r>
      <w:bookmarkEnd w:id="1512"/>
      <w:bookmarkEnd w:id="1513"/>
      <w:bookmarkEnd w:id="1514"/>
    </w:p>
    <w:p w14:paraId="2C947BD1">
      <w:pPr>
        <w:spacing w:line="400" w:lineRule="exact"/>
        <w:ind w:firstLine="420" w:firstLineChars="200"/>
        <w:rPr>
          <w:rFonts w:hint="eastAsia" w:ascii="宋体" w:hAnsi="宋体"/>
          <w:highlight w:val="none"/>
        </w:rPr>
      </w:pPr>
      <w:r>
        <w:rPr>
          <w:rFonts w:ascii="宋体" w:hAnsi="宋体"/>
          <w:highlight w:val="none"/>
        </w:rPr>
        <w:t>24.3.1 采用争议评审的，发包人和承包人应在开工日后的28天内或在争议发生后，协商成立争议评审组。争议评审组由有合同管理和工程实践经验的专家组成。</w:t>
      </w:r>
    </w:p>
    <w:p w14:paraId="0111536B">
      <w:pPr>
        <w:spacing w:line="400" w:lineRule="exact"/>
        <w:ind w:firstLine="420" w:firstLineChars="200"/>
        <w:rPr>
          <w:rFonts w:hint="eastAsia" w:ascii="宋体" w:hAnsi="宋体"/>
          <w:highlight w:val="none"/>
        </w:rPr>
      </w:pPr>
      <w:r>
        <w:rPr>
          <w:rFonts w:ascii="宋体" w:hAnsi="宋体"/>
          <w:highlight w:val="none"/>
        </w:rPr>
        <w:t>24.3.2 合同双方的争议，应首先由申请人向争议评审组提交一份详细的评审申请报告，并附必要的文件、图纸和证明材料，申请人还应将上述报告的副本同时提交给被申请人和监理人。</w:t>
      </w:r>
    </w:p>
    <w:p w14:paraId="152E498D">
      <w:pPr>
        <w:spacing w:line="400" w:lineRule="exact"/>
        <w:ind w:firstLine="420" w:firstLineChars="200"/>
        <w:rPr>
          <w:rFonts w:hint="eastAsia" w:ascii="宋体" w:hAnsi="宋体"/>
          <w:highlight w:val="none"/>
        </w:rPr>
      </w:pPr>
      <w:r>
        <w:rPr>
          <w:rFonts w:ascii="宋体" w:hAnsi="宋体"/>
          <w:highlight w:val="none"/>
        </w:rPr>
        <w:t>24.3.3 被申请人在收到申请人评审申请报告副本后的28天内，向争议评审组提交一份答辩报告，并附证明材料。被申请人应将答辩报告的副本同时提交给申请人和监理人。</w:t>
      </w:r>
    </w:p>
    <w:p w14:paraId="1236DFAC">
      <w:pPr>
        <w:spacing w:line="400" w:lineRule="exact"/>
        <w:ind w:firstLine="420" w:firstLineChars="200"/>
        <w:rPr>
          <w:rFonts w:hint="eastAsia" w:ascii="宋体" w:hAnsi="宋体"/>
          <w:highlight w:val="none"/>
        </w:rPr>
      </w:pPr>
      <w:r>
        <w:rPr>
          <w:rFonts w:ascii="宋体" w:hAnsi="宋体"/>
          <w:highlight w:val="none"/>
        </w:rPr>
        <w:t>24.3.4 除专用合同条款另有约定外，争议评审组在收到合同双方报告后的14天内，邀请双方代表和有关人员举行调查会，向双方调查争议细节；必要时争议评审组可要求双方进一步提供补充材料。</w:t>
      </w:r>
    </w:p>
    <w:p w14:paraId="4849C061">
      <w:pPr>
        <w:spacing w:line="400" w:lineRule="exact"/>
        <w:ind w:firstLine="420" w:firstLineChars="200"/>
        <w:rPr>
          <w:rFonts w:hint="eastAsia" w:ascii="宋体" w:hAnsi="宋体"/>
          <w:highlight w:val="none"/>
        </w:rPr>
      </w:pPr>
      <w:r>
        <w:rPr>
          <w:rFonts w:ascii="宋体" w:hAnsi="宋体"/>
          <w:highlight w:val="none"/>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5850269D">
      <w:pPr>
        <w:spacing w:line="400" w:lineRule="exact"/>
        <w:ind w:firstLine="420" w:firstLineChars="200"/>
        <w:rPr>
          <w:rFonts w:hint="eastAsia" w:ascii="宋体" w:hAnsi="宋体"/>
          <w:highlight w:val="none"/>
        </w:rPr>
      </w:pPr>
      <w:r>
        <w:rPr>
          <w:rFonts w:ascii="宋体" w:hAnsi="宋体"/>
          <w:highlight w:val="none"/>
        </w:rPr>
        <w:t>24.3.6 发包人和承包人接受评审意见的，由监理人根据评审意见拟定执行协议，经争议双方签字后作为合同的补充文件，并遵照执行。</w:t>
      </w:r>
    </w:p>
    <w:p w14:paraId="1DF02CA5">
      <w:pPr>
        <w:spacing w:line="400" w:lineRule="exact"/>
        <w:ind w:firstLine="420" w:firstLineChars="200"/>
        <w:rPr>
          <w:rFonts w:hint="eastAsia" w:ascii="宋体" w:hAnsi="宋体"/>
          <w:highlight w:val="none"/>
        </w:rPr>
      </w:pPr>
      <w:r>
        <w:rPr>
          <w:rFonts w:ascii="宋体" w:hAnsi="宋体"/>
          <w:highlight w:val="none"/>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72077B33">
      <w:pPr>
        <w:rPr>
          <w:rFonts w:hint="eastAsia" w:ascii="宋体" w:hAnsi="宋体"/>
          <w:highlight w:val="none"/>
        </w:rPr>
      </w:pPr>
    </w:p>
    <w:p w14:paraId="149D965A">
      <w:pPr>
        <w:rPr>
          <w:rFonts w:hint="eastAsia" w:ascii="宋体" w:hAnsi="宋体"/>
          <w:highlight w:val="none"/>
        </w:rPr>
      </w:pPr>
    </w:p>
    <w:p w14:paraId="1D070BA8">
      <w:pPr>
        <w:rPr>
          <w:rFonts w:hint="eastAsia" w:ascii="宋体" w:hAnsi="宋体"/>
          <w:highlight w:val="none"/>
        </w:rPr>
        <w:sectPr>
          <w:headerReference r:id="rId11" w:type="default"/>
          <w:footerReference r:id="rId12" w:type="default"/>
          <w:pgSz w:w="11906" w:h="16838"/>
          <w:pgMar w:top="1440" w:right="1740" w:bottom="1440" w:left="1797" w:header="851" w:footer="992" w:gutter="0"/>
          <w:cols w:space="720" w:num="1"/>
          <w:docGrid w:linePitch="312" w:charSpace="0"/>
        </w:sectPr>
      </w:pPr>
    </w:p>
    <w:p w14:paraId="1BD8E322">
      <w:pPr>
        <w:rPr>
          <w:rFonts w:hint="eastAsia" w:ascii="宋体" w:hAnsi="宋体"/>
          <w:highlight w:val="none"/>
        </w:rPr>
      </w:pPr>
    </w:p>
    <w:p w14:paraId="4599F68F">
      <w:pPr>
        <w:jc w:val="center"/>
        <w:rPr>
          <w:rFonts w:hint="eastAsia" w:ascii="宋体" w:hAnsi="宋体"/>
          <w:b/>
          <w:sz w:val="44"/>
          <w:szCs w:val="44"/>
          <w:highlight w:val="none"/>
        </w:rPr>
      </w:pPr>
    </w:p>
    <w:p w14:paraId="056E3231">
      <w:pPr>
        <w:jc w:val="center"/>
        <w:rPr>
          <w:rFonts w:hint="eastAsia" w:ascii="宋体" w:hAnsi="宋体"/>
          <w:b/>
          <w:sz w:val="44"/>
          <w:szCs w:val="44"/>
          <w:highlight w:val="none"/>
        </w:rPr>
      </w:pPr>
    </w:p>
    <w:p w14:paraId="61A786A3">
      <w:pPr>
        <w:jc w:val="center"/>
        <w:rPr>
          <w:rFonts w:hint="eastAsia" w:ascii="宋体" w:hAnsi="宋体"/>
          <w:b/>
          <w:sz w:val="44"/>
          <w:szCs w:val="44"/>
          <w:highlight w:val="none"/>
        </w:rPr>
      </w:pPr>
    </w:p>
    <w:p w14:paraId="06A7B251">
      <w:pPr>
        <w:jc w:val="center"/>
        <w:rPr>
          <w:rFonts w:hint="eastAsia" w:ascii="宋体" w:hAnsi="宋体"/>
          <w:b/>
          <w:sz w:val="44"/>
          <w:szCs w:val="44"/>
          <w:highlight w:val="none"/>
        </w:rPr>
      </w:pPr>
    </w:p>
    <w:p w14:paraId="315CBB87">
      <w:pPr>
        <w:jc w:val="center"/>
        <w:rPr>
          <w:rFonts w:hint="eastAsia" w:ascii="宋体" w:hAnsi="宋体"/>
          <w:b/>
          <w:sz w:val="44"/>
          <w:szCs w:val="44"/>
          <w:highlight w:val="none"/>
        </w:rPr>
      </w:pPr>
    </w:p>
    <w:p w14:paraId="0515A270">
      <w:pPr>
        <w:jc w:val="center"/>
        <w:rPr>
          <w:rFonts w:hint="eastAsia" w:ascii="宋体" w:hAnsi="宋体"/>
          <w:b/>
          <w:sz w:val="44"/>
          <w:szCs w:val="44"/>
          <w:highlight w:val="none"/>
        </w:rPr>
      </w:pPr>
      <w:r>
        <w:rPr>
          <w:rFonts w:ascii="宋体" w:hAnsi="宋体"/>
          <w:b/>
          <w:sz w:val="44"/>
          <w:szCs w:val="44"/>
          <w:highlight w:val="none"/>
        </w:rPr>
        <w:t>第</w:t>
      </w:r>
      <w:r>
        <w:rPr>
          <w:rFonts w:hint="eastAsia" w:ascii="宋体" w:hAnsi="宋体"/>
          <w:b/>
          <w:sz w:val="44"/>
          <w:szCs w:val="44"/>
          <w:highlight w:val="none"/>
        </w:rPr>
        <w:t xml:space="preserve">三节 </w:t>
      </w:r>
      <w:r>
        <w:rPr>
          <w:rFonts w:ascii="宋体" w:hAnsi="宋体"/>
          <w:b/>
          <w:sz w:val="44"/>
          <w:szCs w:val="44"/>
          <w:highlight w:val="none"/>
        </w:rPr>
        <w:t>合同</w:t>
      </w:r>
      <w:r>
        <w:rPr>
          <w:rFonts w:hint="eastAsia" w:ascii="宋体" w:hAnsi="宋体"/>
          <w:b/>
          <w:sz w:val="44"/>
          <w:szCs w:val="44"/>
          <w:highlight w:val="none"/>
        </w:rPr>
        <w:t>条款专用部分</w:t>
      </w:r>
    </w:p>
    <w:p w14:paraId="1E9C2541">
      <w:pPr>
        <w:jc w:val="center"/>
        <w:rPr>
          <w:rFonts w:hint="eastAsia" w:ascii="宋体" w:hAnsi="宋体"/>
          <w:b/>
          <w:sz w:val="44"/>
          <w:szCs w:val="44"/>
          <w:highlight w:val="none"/>
        </w:rPr>
      </w:pPr>
    </w:p>
    <w:p w14:paraId="0F728D71">
      <w:pPr>
        <w:jc w:val="center"/>
        <w:rPr>
          <w:rFonts w:hint="eastAsia" w:ascii="宋体" w:hAnsi="宋体" w:cs="等线"/>
          <w:b/>
          <w:highlight w:val="none"/>
        </w:rPr>
      </w:pPr>
      <w:r>
        <w:rPr>
          <w:rFonts w:ascii="宋体" w:hAnsi="宋体"/>
          <w:sz w:val="28"/>
          <w:highlight w:val="none"/>
        </w:rPr>
        <w:br w:type="page"/>
      </w:r>
      <w:r>
        <w:rPr>
          <w:rFonts w:hint="eastAsia" w:ascii="宋体" w:hAnsi="宋体" w:cs="等线"/>
          <w:b/>
          <w:highlight w:val="none"/>
        </w:rPr>
        <w:t>第三节 合同条款专用部分</w:t>
      </w:r>
    </w:p>
    <w:p w14:paraId="02F40E3A">
      <w:pPr>
        <w:rPr>
          <w:rFonts w:hint="eastAsia" w:ascii="宋体" w:hAnsi="宋体" w:cs="等线"/>
          <w:highlight w:val="none"/>
        </w:rPr>
      </w:pPr>
    </w:p>
    <w:p w14:paraId="7075554B">
      <w:pPr>
        <w:jc w:val="center"/>
        <w:rPr>
          <w:rFonts w:hint="eastAsia" w:ascii="宋体" w:hAnsi="宋体" w:cs="等线"/>
          <w:b/>
          <w:highlight w:val="none"/>
        </w:rPr>
      </w:pPr>
      <w:r>
        <w:rPr>
          <w:rFonts w:hint="eastAsia" w:ascii="宋体" w:hAnsi="宋体" w:cs="等线"/>
          <w:b/>
          <w:highlight w:val="none"/>
        </w:rPr>
        <w:t>专用合同条款</w:t>
      </w:r>
    </w:p>
    <w:p w14:paraId="51BBCB48">
      <w:pPr>
        <w:keepNext/>
        <w:keepLines/>
        <w:spacing w:line="400" w:lineRule="exact"/>
        <w:outlineLvl w:val="1"/>
        <w:rPr>
          <w:rFonts w:hint="eastAsia" w:ascii="宋体" w:hAnsi="宋体" w:cs="等线"/>
          <w:sz w:val="24"/>
          <w:highlight w:val="none"/>
        </w:rPr>
      </w:pPr>
      <w:bookmarkStart w:id="1515" w:name="_Toc13815"/>
      <w:bookmarkStart w:id="1516" w:name="_Toc159950767"/>
      <w:bookmarkStart w:id="1517" w:name="_Toc38732148"/>
      <w:bookmarkStart w:id="1518" w:name="_Toc16123"/>
      <w:r>
        <w:rPr>
          <w:rFonts w:hint="eastAsia" w:ascii="宋体" w:hAnsi="宋体" w:cs="等线"/>
          <w:sz w:val="24"/>
          <w:highlight w:val="none"/>
        </w:rPr>
        <w:t>1. 一般约定</w:t>
      </w:r>
      <w:bookmarkEnd w:id="1515"/>
      <w:bookmarkEnd w:id="1516"/>
      <w:bookmarkEnd w:id="1517"/>
      <w:bookmarkEnd w:id="1518"/>
    </w:p>
    <w:p w14:paraId="2AB373F4">
      <w:pPr>
        <w:keepNext/>
        <w:keepLines/>
        <w:spacing w:line="400" w:lineRule="exact"/>
        <w:outlineLvl w:val="2"/>
        <w:rPr>
          <w:rFonts w:hint="eastAsia" w:ascii="宋体" w:hAnsi="宋体" w:cs="等线"/>
          <w:sz w:val="24"/>
          <w:highlight w:val="none"/>
        </w:rPr>
      </w:pPr>
      <w:bookmarkStart w:id="1519" w:name="_Toc38732149"/>
      <w:bookmarkStart w:id="1520" w:name="_Toc159950768"/>
      <w:bookmarkStart w:id="1521" w:name="_Toc17764"/>
      <w:r>
        <w:rPr>
          <w:rFonts w:hint="eastAsia" w:ascii="宋体" w:hAnsi="宋体" w:cs="等线"/>
          <w:sz w:val="24"/>
          <w:highlight w:val="none"/>
        </w:rPr>
        <w:t>1.1 词语定义</w:t>
      </w:r>
      <w:bookmarkEnd w:id="1519"/>
      <w:bookmarkEnd w:id="1520"/>
      <w:bookmarkEnd w:id="1521"/>
    </w:p>
    <w:p w14:paraId="4CFB78C0">
      <w:pPr>
        <w:spacing w:line="360" w:lineRule="auto"/>
        <w:ind w:firstLine="420" w:firstLineChars="200"/>
        <w:rPr>
          <w:rFonts w:hint="eastAsia" w:ascii="宋体" w:hAnsi="宋体" w:cs="等线"/>
          <w:highlight w:val="none"/>
        </w:rPr>
      </w:pPr>
      <w:r>
        <w:rPr>
          <w:rFonts w:hint="eastAsia" w:ascii="宋体" w:hAnsi="宋体" w:cs="等线"/>
          <w:highlight w:val="none"/>
        </w:rPr>
        <w:t>1.1.2合同当事人和人员</w:t>
      </w:r>
    </w:p>
    <w:p w14:paraId="5971A2F0">
      <w:pPr>
        <w:spacing w:line="360" w:lineRule="auto"/>
        <w:ind w:firstLine="420" w:firstLineChars="200"/>
        <w:rPr>
          <w:rFonts w:hint="eastAsia" w:ascii="宋体" w:hAnsi="宋体" w:cs="等线"/>
          <w:highlight w:val="none"/>
        </w:rPr>
      </w:pPr>
      <w:r>
        <w:rPr>
          <w:rFonts w:hint="eastAsia" w:ascii="宋体" w:hAnsi="宋体" w:cs="等线"/>
          <w:highlight w:val="none"/>
        </w:rPr>
        <w:t>1.1.2.2发包人：</w:t>
      </w:r>
      <w:r>
        <w:rPr>
          <w:rFonts w:hint="eastAsia" w:ascii="宋体" w:hAnsi="宋体" w:cs="等线"/>
          <w:highlight w:val="none"/>
          <w:u w:val="single"/>
        </w:rPr>
        <w:t xml:space="preserve">     北京财贸职业学院                         </w:t>
      </w:r>
      <w:r>
        <w:rPr>
          <w:rFonts w:hint="eastAsia" w:ascii="宋体" w:hAnsi="宋体" w:cs="等线"/>
          <w:highlight w:val="none"/>
        </w:rPr>
        <w:t>。</w:t>
      </w:r>
    </w:p>
    <w:p w14:paraId="75917C5F">
      <w:pPr>
        <w:spacing w:line="360" w:lineRule="auto"/>
        <w:ind w:firstLine="420" w:firstLineChars="200"/>
        <w:rPr>
          <w:rFonts w:hint="eastAsia" w:ascii="宋体" w:hAnsi="宋体" w:cs="等线"/>
          <w:highlight w:val="none"/>
        </w:rPr>
      </w:pPr>
      <w:r>
        <w:rPr>
          <w:rFonts w:hint="eastAsia" w:ascii="宋体" w:hAnsi="宋体" w:cs="等线"/>
          <w:highlight w:val="none"/>
        </w:rPr>
        <w:t>1.1.2.4发包人代表：指发包人指定的派驻施工场地（现场）的全权代表。</w:t>
      </w:r>
    </w:p>
    <w:p w14:paraId="49FC71C5">
      <w:pPr>
        <w:spacing w:line="360" w:lineRule="auto"/>
        <w:ind w:firstLine="420" w:firstLineChars="200"/>
        <w:rPr>
          <w:rFonts w:hint="eastAsia" w:ascii="宋体" w:hAnsi="宋体" w:cs="等线"/>
          <w:highlight w:val="none"/>
        </w:rPr>
      </w:pPr>
      <w:r>
        <w:rPr>
          <w:rFonts w:hint="eastAsia" w:ascii="宋体" w:hAnsi="宋体" w:cs="等线"/>
          <w:highlight w:val="none"/>
        </w:rPr>
        <w:t>姓    名：</w:t>
      </w:r>
      <w:r>
        <w:rPr>
          <w:rFonts w:hint="eastAsia" w:ascii="宋体" w:hAnsi="宋体" w:cs="等线"/>
          <w:highlight w:val="none"/>
          <w:u w:val="single"/>
        </w:rPr>
        <w:t xml:space="preserve">      </w:t>
      </w:r>
      <w:r>
        <w:rPr>
          <w:rFonts w:ascii="宋体" w:hAnsi="宋体" w:cs="等线"/>
          <w:highlight w:val="none"/>
          <w:u w:val="single"/>
        </w:rPr>
        <w:t xml:space="preserve">      </w:t>
      </w:r>
      <w:r>
        <w:rPr>
          <w:rFonts w:hint="eastAsia" w:ascii="宋体" w:hAnsi="宋体" w:cs="等线"/>
          <w:highlight w:val="none"/>
          <w:u w:val="single"/>
        </w:rPr>
        <w:t xml:space="preserve">                                   </w:t>
      </w:r>
      <w:r>
        <w:rPr>
          <w:rFonts w:hint="eastAsia" w:ascii="宋体" w:hAnsi="宋体" w:cs="等线"/>
          <w:highlight w:val="none"/>
        </w:rPr>
        <w:t>。</w:t>
      </w:r>
    </w:p>
    <w:p w14:paraId="3BCA3CFC">
      <w:pPr>
        <w:spacing w:line="360" w:lineRule="auto"/>
        <w:ind w:firstLine="420" w:firstLineChars="200"/>
        <w:rPr>
          <w:rFonts w:hint="eastAsia" w:ascii="宋体" w:hAnsi="宋体" w:cs="等线"/>
          <w:highlight w:val="none"/>
        </w:rPr>
      </w:pPr>
      <w:r>
        <w:rPr>
          <w:rFonts w:hint="eastAsia" w:ascii="宋体" w:hAnsi="宋体" w:cs="等线"/>
          <w:highlight w:val="none"/>
        </w:rPr>
        <w:t>职    称：</w:t>
      </w:r>
      <w:r>
        <w:rPr>
          <w:rFonts w:hint="eastAsia" w:ascii="宋体" w:hAnsi="宋体" w:cs="等线"/>
          <w:highlight w:val="none"/>
          <w:u w:val="single"/>
        </w:rPr>
        <w:t xml:space="preserve">      </w:t>
      </w:r>
      <w:r>
        <w:rPr>
          <w:rFonts w:ascii="宋体" w:hAnsi="宋体" w:cs="等线"/>
          <w:highlight w:val="none"/>
          <w:u w:val="single"/>
        </w:rPr>
        <w:t xml:space="preserve">          </w:t>
      </w:r>
      <w:r>
        <w:rPr>
          <w:rFonts w:hint="eastAsia" w:ascii="宋体" w:hAnsi="宋体" w:cs="等线"/>
          <w:highlight w:val="none"/>
          <w:u w:val="single"/>
        </w:rPr>
        <w:t xml:space="preserve">                               </w:t>
      </w:r>
      <w:r>
        <w:rPr>
          <w:rFonts w:hint="eastAsia" w:ascii="宋体" w:hAnsi="宋体" w:cs="等线"/>
          <w:highlight w:val="none"/>
        </w:rPr>
        <w:t>。</w:t>
      </w:r>
    </w:p>
    <w:p w14:paraId="5BBFA325">
      <w:pPr>
        <w:spacing w:line="360" w:lineRule="auto"/>
        <w:ind w:firstLine="420" w:firstLineChars="200"/>
        <w:rPr>
          <w:rFonts w:hint="eastAsia" w:ascii="宋体" w:hAnsi="宋体" w:cs="等线"/>
          <w:highlight w:val="none"/>
        </w:rPr>
      </w:pPr>
      <w:r>
        <w:rPr>
          <w:rFonts w:hint="eastAsia" w:ascii="宋体" w:hAnsi="宋体" w:cs="等线"/>
          <w:highlight w:val="none"/>
        </w:rPr>
        <w:t>联系电话：</w:t>
      </w:r>
      <w:r>
        <w:rPr>
          <w:rFonts w:hint="eastAsia" w:ascii="宋体" w:hAnsi="宋体" w:cs="等线"/>
          <w:highlight w:val="none"/>
          <w:u w:val="single"/>
        </w:rPr>
        <w:t xml:space="preserve">     </w:t>
      </w:r>
      <w:r>
        <w:rPr>
          <w:rFonts w:ascii="宋体" w:hAnsi="宋体" w:cs="等线"/>
          <w:highlight w:val="none"/>
          <w:u w:val="single"/>
        </w:rPr>
        <w:t xml:space="preserve">                </w:t>
      </w:r>
      <w:r>
        <w:rPr>
          <w:rFonts w:hint="eastAsia" w:ascii="宋体" w:hAnsi="宋体" w:cs="等线"/>
          <w:highlight w:val="none"/>
          <w:u w:val="single"/>
        </w:rPr>
        <w:t xml:space="preserve">                         </w:t>
      </w:r>
      <w:r>
        <w:rPr>
          <w:rFonts w:hint="eastAsia" w:ascii="宋体" w:hAnsi="宋体" w:cs="等线"/>
          <w:highlight w:val="none"/>
        </w:rPr>
        <w:t>。</w:t>
      </w:r>
    </w:p>
    <w:p w14:paraId="4FC34BF1">
      <w:pPr>
        <w:spacing w:line="360" w:lineRule="auto"/>
        <w:ind w:firstLine="420" w:firstLineChars="200"/>
        <w:rPr>
          <w:rFonts w:hint="eastAsia" w:ascii="宋体" w:hAnsi="宋体" w:cs="等线"/>
          <w:highlight w:val="none"/>
        </w:rPr>
      </w:pPr>
      <w:r>
        <w:rPr>
          <w:rFonts w:hint="eastAsia" w:ascii="宋体" w:hAnsi="宋体" w:cs="等线"/>
          <w:highlight w:val="none"/>
        </w:rPr>
        <w:t>电子信箱：</w:t>
      </w:r>
      <w:r>
        <w:rPr>
          <w:rFonts w:hint="eastAsia" w:ascii="宋体" w:hAnsi="宋体" w:cs="等线"/>
          <w:highlight w:val="none"/>
          <w:u w:val="single"/>
        </w:rPr>
        <w:t xml:space="preserve">     </w:t>
      </w:r>
      <w:r>
        <w:rPr>
          <w:rFonts w:ascii="宋体" w:hAnsi="宋体" w:cs="等线"/>
          <w:highlight w:val="none"/>
          <w:u w:val="single"/>
        </w:rPr>
        <w:t xml:space="preserve">                      </w:t>
      </w:r>
      <w:r>
        <w:rPr>
          <w:rFonts w:hint="eastAsia" w:ascii="宋体" w:hAnsi="宋体" w:cs="等线"/>
          <w:highlight w:val="none"/>
          <w:u w:val="single"/>
        </w:rPr>
        <w:t xml:space="preserve">                   </w:t>
      </w:r>
      <w:r>
        <w:rPr>
          <w:rFonts w:hint="eastAsia" w:ascii="宋体" w:hAnsi="宋体" w:cs="等线"/>
          <w:highlight w:val="none"/>
        </w:rPr>
        <w:t>。</w:t>
      </w:r>
    </w:p>
    <w:p w14:paraId="746EBB74">
      <w:pPr>
        <w:spacing w:line="360" w:lineRule="auto"/>
        <w:ind w:firstLine="420" w:firstLineChars="200"/>
        <w:rPr>
          <w:rFonts w:hint="eastAsia" w:ascii="宋体" w:hAnsi="宋体" w:cs="等线"/>
          <w:highlight w:val="none"/>
        </w:rPr>
      </w:pPr>
      <w:r>
        <w:rPr>
          <w:rFonts w:hint="eastAsia" w:ascii="宋体" w:hAnsi="宋体" w:cs="等线"/>
          <w:highlight w:val="none"/>
        </w:rPr>
        <w:t>通信地址：</w:t>
      </w:r>
      <w:r>
        <w:rPr>
          <w:rFonts w:hint="eastAsia" w:ascii="宋体" w:hAnsi="宋体" w:cs="等线"/>
          <w:highlight w:val="none"/>
          <w:u w:val="single"/>
        </w:rPr>
        <w:t xml:space="preserve">  </w:t>
      </w:r>
      <w:r>
        <w:rPr>
          <w:rFonts w:ascii="宋体" w:hAnsi="宋体" w:cs="等线"/>
          <w:highlight w:val="none"/>
          <w:u w:val="single"/>
        </w:rPr>
        <w:t xml:space="preserve">                                     </w:t>
      </w:r>
      <w:r>
        <w:rPr>
          <w:rFonts w:hint="eastAsia" w:ascii="宋体" w:hAnsi="宋体" w:cs="等线"/>
          <w:highlight w:val="none"/>
          <w:u w:val="single"/>
        </w:rPr>
        <w:t xml:space="preserve">       </w:t>
      </w:r>
      <w:r>
        <w:rPr>
          <w:rFonts w:hint="eastAsia" w:ascii="宋体" w:hAnsi="宋体" w:cs="等线"/>
          <w:highlight w:val="none"/>
        </w:rPr>
        <w:t>。</w:t>
      </w:r>
    </w:p>
    <w:p w14:paraId="70593F54">
      <w:pPr>
        <w:spacing w:line="360" w:lineRule="auto"/>
        <w:ind w:firstLine="420" w:firstLineChars="200"/>
        <w:rPr>
          <w:rFonts w:hint="eastAsia" w:ascii="宋体" w:hAnsi="宋体" w:cs="等线"/>
          <w:highlight w:val="none"/>
        </w:rPr>
      </w:pPr>
      <w:r>
        <w:rPr>
          <w:rFonts w:hint="eastAsia" w:ascii="宋体" w:hAnsi="宋体" w:cs="等线"/>
          <w:highlight w:val="none"/>
        </w:rPr>
        <w:t>1.1.2.6监理人：</w:t>
      </w:r>
    </w:p>
    <w:p w14:paraId="3793EBE0">
      <w:pPr>
        <w:spacing w:line="360" w:lineRule="auto"/>
        <w:ind w:firstLine="420" w:firstLineChars="200"/>
        <w:rPr>
          <w:rFonts w:hint="eastAsia" w:ascii="宋体" w:hAnsi="宋体" w:cs="等线"/>
          <w:highlight w:val="none"/>
        </w:rPr>
      </w:pPr>
      <w:r>
        <w:rPr>
          <w:rFonts w:hint="eastAsia" w:ascii="宋体" w:hAnsi="宋体" w:cs="等线"/>
          <w:highlight w:val="none"/>
        </w:rPr>
        <w:t>名    称：</w:t>
      </w:r>
      <w:r>
        <w:rPr>
          <w:rFonts w:hint="eastAsia" w:ascii="宋体" w:hAnsi="宋体" w:cs="等线"/>
          <w:highlight w:val="none"/>
          <w:u w:val="single"/>
        </w:rPr>
        <w:t xml:space="preserve">              /               </w:t>
      </w:r>
      <w:r>
        <w:rPr>
          <w:rFonts w:hint="eastAsia" w:ascii="宋体" w:hAnsi="宋体" w:cs="等线"/>
          <w:highlight w:val="none"/>
        </w:rPr>
        <w:t>；</w:t>
      </w:r>
    </w:p>
    <w:p w14:paraId="2A4E9EA3">
      <w:pPr>
        <w:spacing w:line="360" w:lineRule="auto"/>
        <w:ind w:firstLine="420" w:firstLineChars="200"/>
        <w:rPr>
          <w:rFonts w:hint="eastAsia" w:ascii="宋体" w:hAnsi="宋体" w:cs="等线"/>
          <w:highlight w:val="none"/>
        </w:rPr>
      </w:pPr>
      <w:r>
        <w:rPr>
          <w:rFonts w:hint="eastAsia" w:ascii="宋体" w:hAnsi="宋体" w:cs="等线"/>
          <w:highlight w:val="none"/>
        </w:rPr>
        <w:t>资质类别和等级：</w:t>
      </w:r>
      <w:r>
        <w:rPr>
          <w:rFonts w:hint="eastAsia" w:ascii="宋体" w:hAnsi="宋体" w:cs="等线"/>
          <w:highlight w:val="none"/>
          <w:u w:val="single"/>
        </w:rPr>
        <w:t xml:space="preserve">         /              </w:t>
      </w:r>
      <w:r>
        <w:rPr>
          <w:rFonts w:hint="eastAsia" w:ascii="宋体" w:hAnsi="宋体" w:cs="等线"/>
          <w:highlight w:val="none"/>
        </w:rPr>
        <w:t>；</w:t>
      </w:r>
    </w:p>
    <w:p w14:paraId="268D6AFA">
      <w:pPr>
        <w:spacing w:line="360" w:lineRule="auto"/>
        <w:ind w:firstLine="420" w:firstLineChars="200"/>
        <w:rPr>
          <w:rFonts w:hint="eastAsia" w:ascii="宋体" w:hAnsi="宋体" w:cs="等线"/>
          <w:highlight w:val="none"/>
        </w:rPr>
      </w:pPr>
      <w:r>
        <w:rPr>
          <w:rFonts w:hint="eastAsia" w:ascii="宋体" w:hAnsi="宋体" w:cs="等线"/>
          <w:highlight w:val="none"/>
        </w:rPr>
        <w:t>联系电话：</w:t>
      </w:r>
      <w:r>
        <w:rPr>
          <w:rFonts w:hint="eastAsia" w:ascii="宋体" w:hAnsi="宋体" w:cs="等线"/>
          <w:highlight w:val="none"/>
          <w:u w:val="single"/>
        </w:rPr>
        <w:t xml:space="preserve">               /              </w:t>
      </w:r>
      <w:r>
        <w:rPr>
          <w:rFonts w:hint="eastAsia" w:ascii="宋体" w:hAnsi="宋体" w:cs="等线"/>
          <w:highlight w:val="none"/>
        </w:rPr>
        <w:t>；</w:t>
      </w:r>
    </w:p>
    <w:p w14:paraId="06EC45C2">
      <w:pPr>
        <w:spacing w:line="360" w:lineRule="auto"/>
        <w:ind w:firstLine="420" w:firstLineChars="200"/>
        <w:rPr>
          <w:rFonts w:hint="eastAsia" w:ascii="宋体" w:hAnsi="宋体" w:cs="等线"/>
          <w:highlight w:val="none"/>
        </w:rPr>
      </w:pPr>
      <w:r>
        <w:rPr>
          <w:rFonts w:hint="eastAsia" w:ascii="宋体" w:hAnsi="宋体" w:cs="等线"/>
          <w:highlight w:val="none"/>
        </w:rPr>
        <w:t>电子信箱：</w:t>
      </w:r>
      <w:r>
        <w:rPr>
          <w:rFonts w:hint="eastAsia" w:ascii="宋体" w:hAnsi="宋体" w:cs="等线"/>
          <w:highlight w:val="none"/>
          <w:u w:val="single"/>
        </w:rPr>
        <w:t xml:space="preserve">               /              </w:t>
      </w:r>
      <w:r>
        <w:rPr>
          <w:rFonts w:hint="eastAsia" w:ascii="宋体" w:hAnsi="宋体" w:cs="等线"/>
          <w:highlight w:val="none"/>
        </w:rPr>
        <w:t>；</w:t>
      </w:r>
    </w:p>
    <w:p w14:paraId="29F03481">
      <w:pPr>
        <w:spacing w:line="360" w:lineRule="auto"/>
        <w:ind w:firstLine="420" w:firstLineChars="200"/>
        <w:rPr>
          <w:rFonts w:hint="eastAsia" w:ascii="宋体" w:hAnsi="宋体" w:cs="等线"/>
          <w:highlight w:val="none"/>
        </w:rPr>
      </w:pPr>
      <w:r>
        <w:rPr>
          <w:rFonts w:hint="eastAsia" w:ascii="宋体" w:hAnsi="宋体" w:cs="等线"/>
          <w:highlight w:val="none"/>
        </w:rPr>
        <w:t>通信地址：</w:t>
      </w:r>
      <w:r>
        <w:rPr>
          <w:rFonts w:hint="eastAsia" w:ascii="宋体" w:hAnsi="宋体" w:cs="等线"/>
          <w:highlight w:val="none"/>
          <w:u w:val="single"/>
        </w:rPr>
        <w:t xml:space="preserve">             /                </w:t>
      </w:r>
      <w:r>
        <w:rPr>
          <w:rFonts w:hint="eastAsia" w:ascii="宋体" w:hAnsi="宋体" w:cs="等线"/>
          <w:highlight w:val="none"/>
        </w:rPr>
        <w:t>。</w:t>
      </w:r>
    </w:p>
    <w:p w14:paraId="44BB38F9">
      <w:pPr>
        <w:spacing w:line="360" w:lineRule="auto"/>
        <w:ind w:firstLine="420" w:firstLineChars="200"/>
        <w:rPr>
          <w:rFonts w:hint="eastAsia" w:ascii="宋体" w:hAnsi="宋体" w:cs="等线"/>
          <w:highlight w:val="none"/>
        </w:rPr>
      </w:pPr>
      <w:r>
        <w:rPr>
          <w:rFonts w:hint="eastAsia" w:ascii="宋体" w:hAnsi="宋体" w:cs="等线"/>
          <w:highlight w:val="none"/>
        </w:rPr>
        <w:t>1.1.2.8 设计人：</w:t>
      </w:r>
    </w:p>
    <w:p w14:paraId="4327FB01">
      <w:pPr>
        <w:spacing w:line="360" w:lineRule="auto"/>
        <w:ind w:firstLine="420" w:firstLineChars="200"/>
        <w:rPr>
          <w:rFonts w:hint="eastAsia" w:ascii="宋体" w:hAnsi="宋体" w:cs="等线"/>
          <w:highlight w:val="none"/>
        </w:rPr>
      </w:pPr>
      <w:r>
        <w:rPr>
          <w:rFonts w:hint="eastAsia" w:ascii="宋体" w:hAnsi="宋体" w:cs="等线"/>
          <w:highlight w:val="none"/>
        </w:rPr>
        <w:t>名    称：</w:t>
      </w:r>
      <w:r>
        <w:rPr>
          <w:rFonts w:hint="eastAsia" w:ascii="宋体" w:hAnsi="宋体" w:cs="等线"/>
          <w:highlight w:val="none"/>
          <w:u w:val="single"/>
        </w:rPr>
        <w:t xml:space="preserve">                             </w:t>
      </w:r>
      <w:r>
        <w:rPr>
          <w:rFonts w:hint="eastAsia" w:ascii="宋体" w:hAnsi="宋体" w:cs="等线"/>
          <w:highlight w:val="none"/>
        </w:rPr>
        <w:t>；</w:t>
      </w:r>
    </w:p>
    <w:p w14:paraId="53C0F68D">
      <w:pPr>
        <w:spacing w:line="360" w:lineRule="auto"/>
        <w:ind w:firstLine="420" w:firstLineChars="200"/>
        <w:rPr>
          <w:rFonts w:hint="eastAsia" w:ascii="宋体" w:hAnsi="宋体" w:cs="等线"/>
          <w:highlight w:val="none"/>
        </w:rPr>
      </w:pPr>
      <w:r>
        <w:rPr>
          <w:rFonts w:hint="eastAsia" w:ascii="宋体" w:hAnsi="宋体" w:cs="等线"/>
          <w:highlight w:val="none"/>
        </w:rPr>
        <w:t>资质类别和等级：</w:t>
      </w:r>
      <w:r>
        <w:rPr>
          <w:rFonts w:hint="eastAsia" w:ascii="宋体" w:hAnsi="宋体" w:cs="等线"/>
          <w:highlight w:val="none"/>
          <w:u w:val="single"/>
        </w:rPr>
        <w:t xml:space="preserve">                       </w:t>
      </w:r>
      <w:r>
        <w:rPr>
          <w:rFonts w:hint="eastAsia" w:ascii="宋体" w:hAnsi="宋体" w:cs="等线"/>
          <w:highlight w:val="none"/>
        </w:rPr>
        <w:t>；</w:t>
      </w:r>
    </w:p>
    <w:p w14:paraId="704B9501">
      <w:pPr>
        <w:spacing w:line="360" w:lineRule="auto"/>
        <w:ind w:firstLine="420" w:firstLineChars="200"/>
        <w:rPr>
          <w:rFonts w:hint="eastAsia" w:ascii="宋体" w:hAnsi="宋体" w:cs="等线"/>
          <w:highlight w:val="none"/>
        </w:rPr>
      </w:pPr>
      <w:r>
        <w:rPr>
          <w:rFonts w:hint="eastAsia" w:ascii="宋体" w:hAnsi="宋体" w:cs="等线"/>
          <w:highlight w:val="none"/>
        </w:rPr>
        <w:t>联系电话：</w:t>
      </w:r>
      <w:r>
        <w:rPr>
          <w:rFonts w:hint="eastAsia" w:ascii="宋体" w:hAnsi="宋体" w:cs="等线"/>
          <w:highlight w:val="none"/>
          <w:u w:val="single"/>
        </w:rPr>
        <w:t xml:space="preserve">                             </w:t>
      </w:r>
      <w:r>
        <w:rPr>
          <w:rFonts w:hint="eastAsia" w:ascii="宋体" w:hAnsi="宋体" w:cs="等线"/>
          <w:highlight w:val="none"/>
        </w:rPr>
        <w:t>；</w:t>
      </w:r>
    </w:p>
    <w:p w14:paraId="48798097">
      <w:pPr>
        <w:spacing w:line="360" w:lineRule="auto"/>
        <w:ind w:firstLine="420" w:firstLineChars="200"/>
        <w:rPr>
          <w:rFonts w:hint="eastAsia" w:ascii="宋体" w:hAnsi="宋体" w:cs="等线"/>
          <w:highlight w:val="none"/>
        </w:rPr>
      </w:pPr>
      <w:r>
        <w:rPr>
          <w:rFonts w:hint="eastAsia" w:ascii="宋体" w:hAnsi="宋体" w:cs="等线"/>
          <w:highlight w:val="none"/>
        </w:rPr>
        <w:t>电子信箱：</w:t>
      </w:r>
      <w:r>
        <w:rPr>
          <w:rFonts w:hint="eastAsia" w:ascii="宋体" w:hAnsi="宋体" w:cs="等线"/>
          <w:highlight w:val="none"/>
          <w:u w:val="single"/>
        </w:rPr>
        <w:t xml:space="preserve">                             </w:t>
      </w:r>
      <w:r>
        <w:rPr>
          <w:rFonts w:hint="eastAsia" w:ascii="宋体" w:hAnsi="宋体" w:cs="等线"/>
          <w:highlight w:val="none"/>
        </w:rPr>
        <w:t>；</w:t>
      </w:r>
    </w:p>
    <w:p w14:paraId="66C9F5CC">
      <w:pPr>
        <w:spacing w:line="360" w:lineRule="auto"/>
        <w:ind w:firstLine="420" w:firstLineChars="200"/>
        <w:rPr>
          <w:rFonts w:hint="eastAsia" w:ascii="宋体" w:hAnsi="宋体" w:cs="等线"/>
          <w:highlight w:val="none"/>
        </w:rPr>
      </w:pPr>
      <w:r>
        <w:rPr>
          <w:rFonts w:hint="eastAsia" w:ascii="宋体" w:hAnsi="宋体" w:cs="等线"/>
          <w:highlight w:val="none"/>
        </w:rPr>
        <w:t>通信地址：</w:t>
      </w:r>
      <w:r>
        <w:rPr>
          <w:rFonts w:hint="eastAsia" w:ascii="宋体" w:hAnsi="宋体" w:cs="等线"/>
          <w:highlight w:val="none"/>
          <w:u w:val="single"/>
        </w:rPr>
        <w:t xml:space="preserve">                             </w:t>
      </w:r>
      <w:r>
        <w:rPr>
          <w:rFonts w:hint="eastAsia" w:ascii="宋体" w:hAnsi="宋体" w:cs="等线"/>
          <w:highlight w:val="none"/>
        </w:rPr>
        <w:t>。</w:t>
      </w:r>
    </w:p>
    <w:p w14:paraId="375FCF0F">
      <w:pPr>
        <w:spacing w:line="360" w:lineRule="auto"/>
        <w:ind w:firstLine="420" w:firstLineChars="200"/>
        <w:rPr>
          <w:rFonts w:hint="eastAsia" w:ascii="宋体" w:hAnsi="宋体" w:cs="等线"/>
          <w:highlight w:val="none"/>
        </w:rPr>
      </w:pPr>
      <w:r>
        <w:rPr>
          <w:rFonts w:hint="eastAsia" w:ascii="宋体" w:hAnsi="宋体" w:cs="等线"/>
          <w:highlight w:val="none"/>
        </w:rPr>
        <w:t>1.1.2.9承包人：</w:t>
      </w:r>
    </w:p>
    <w:p w14:paraId="18E70A41">
      <w:pPr>
        <w:spacing w:line="360" w:lineRule="auto"/>
        <w:ind w:firstLine="420" w:firstLineChars="200"/>
        <w:rPr>
          <w:rFonts w:hint="eastAsia" w:ascii="宋体" w:hAnsi="宋体" w:cs="等线"/>
          <w:highlight w:val="none"/>
        </w:rPr>
      </w:pPr>
      <w:r>
        <w:rPr>
          <w:rFonts w:hint="eastAsia" w:ascii="宋体" w:hAnsi="宋体" w:cs="等线"/>
          <w:highlight w:val="none"/>
        </w:rPr>
        <w:t>承包人项目经理项目经理：</w:t>
      </w:r>
    </w:p>
    <w:p w14:paraId="0F10E255">
      <w:pPr>
        <w:spacing w:line="360" w:lineRule="auto"/>
        <w:ind w:firstLine="420" w:firstLineChars="200"/>
        <w:rPr>
          <w:rFonts w:hint="eastAsia" w:ascii="宋体" w:hAnsi="宋体" w:cs="等线"/>
          <w:highlight w:val="none"/>
        </w:rPr>
      </w:pPr>
      <w:r>
        <w:rPr>
          <w:rFonts w:hint="eastAsia" w:ascii="宋体" w:hAnsi="宋体" w:cs="等线"/>
          <w:highlight w:val="none"/>
        </w:rPr>
        <w:t>姓    名：</w:t>
      </w:r>
      <w:r>
        <w:rPr>
          <w:rFonts w:hint="eastAsia" w:ascii="宋体" w:hAnsi="宋体" w:cs="等线"/>
          <w:highlight w:val="none"/>
          <w:u w:val="single"/>
        </w:rPr>
        <w:t xml:space="preserve">                             </w:t>
      </w:r>
      <w:r>
        <w:rPr>
          <w:rFonts w:hint="eastAsia" w:ascii="宋体" w:hAnsi="宋体" w:cs="等线"/>
          <w:highlight w:val="none"/>
        </w:rPr>
        <w:t>；</w:t>
      </w:r>
    </w:p>
    <w:p w14:paraId="502081B1">
      <w:pPr>
        <w:spacing w:line="360" w:lineRule="auto"/>
        <w:ind w:firstLine="420" w:firstLineChars="200"/>
        <w:rPr>
          <w:rFonts w:hint="eastAsia" w:ascii="宋体" w:hAnsi="宋体" w:cs="等线"/>
          <w:highlight w:val="none"/>
        </w:rPr>
      </w:pPr>
      <w:r>
        <w:rPr>
          <w:rFonts w:hint="eastAsia" w:ascii="宋体" w:hAnsi="宋体" w:cs="等线"/>
          <w:highlight w:val="none"/>
        </w:rPr>
        <w:t>身份证号：</w:t>
      </w:r>
      <w:r>
        <w:rPr>
          <w:rFonts w:hint="eastAsia" w:ascii="宋体" w:hAnsi="宋体" w:cs="等线"/>
          <w:highlight w:val="none"/>
          <w:u w:val="single"/>
        </w:rPr>
        <w:t xml:space="preserve">                             </w:t>
      </w:r>
      <w:r>
        <w:rPr>
          <w:rFonts w:hint="eastAsia" w:ascii="宋体" w:hAnsi="宋体" w:cs="等线"/>
          <w:highlight w:val="none"/>
        </w:rPr>
        <w:t>；</w:t>
      </w:r>
    </w:p>
    <w:p w14:paraId="13739595">
      <w:pPr>
        <w:spacing w:line="360" w:lineRule="auto"/>
        <w:ind w:firstLine="420" w:firstLineChars="200"/>
        <w:rPr>
          <w:rFonts w:hint="eastAsia" w:ascii="宋体" w:hAnsi="宋体" w:cs="等线"/>
          <w:highlight w:val="none"/>
        </w:rPr>
      </w:pPr>
      <w:r>
        <w:rPr>
          <w:rFonts w:hint="eastAsia" w:ascii="宋体" w:hAnsi="宋体" w:cs="等线"/>
          <w:highlight w:val="none"/>
        </w:rPr>
        <w:t>建造师执业资格等级：</w:t>
      </w:r>
      <w:r>
        <w:rPr>
          <w:rFonts w:hint="eastAsia" w:ascii="宋体" w:hAnsi="宋体" w:cs="等线"/>
          <w:highlight w:val="none"/>
          <w:u w:val="single"/>
        </w:rPr>
        <w:t xml:space="preserve">                   </w:t>
      </w:r>
      <w:r>
        <w:rPr>
          <w:rFonts w:hint="eastAsia" w:ascii="宋体" w:hAnsi="宋体" w:cs="等线"/>
          <w:highlight w:val="none"/>
        </w:rPr>
        <w:t>；</w:t>
      </w:r>
    </w:p>
    <w:p w14:paraId="3D9BB7C4">
      <w:pPr>
        <w:spacing w:line="360" w:lineRule="auto"/>
        <w:ind w:firstLine="420" w:firstLineChars="200"/>
        <w:rPr>
          <w:rFonts w:hint="eastAsia" w:ascii="宋体" w:hAnsi="宋体" w:cs="等线"/>
          <w:highlight w:val="none"/>
        </w:rPr>
      </w:pPr>
      <w:r>
        <w:rPr>
          <w:rFonts w:hint="eastAsia" w:ascii="宋体" w:hAnsi="宋体" w:cs="等线"/>
          <w:highlight w:val="none"/>
        </w:rPr>
        <w:t>建造师注册证书号：</w:t>
      </w:r>
      <w:r>
        <w:rPr>
          <w:rFonts w:hint="eastAsia" w:ascii="宋体" w:hAnsi="宋体" w:cs="等线"/>
          <w:highlight w:val="none"/>
          <w:u w:val="single"/>
        </w:rPr>
        <w:t xml:space="preserve">                     </w:t>
      </w:r>
      <w:r>
        <w:rPr>
          <w:rFonts w:hint="eastAsia" w:ascii="宋体" w:hAnsi="宋体" w:cs="等线"/>
          <w:highlight w:val="none"/>
        </w:rPr>
        <w:t>；</w:t>
      </w:r>
    </w:p>
    <w:p w14:paraId="67AE3991">
      <w:pPr>
        <w:spacing w:line="360" w:lineRule="auto"/>
        <w:ind w:firstLine="420" w:firstLineChars="200"/>
        <w:rPr>
          <w:rFonts w:hint="eastAsia" w:ascii="宋体" w:hAnsi="宋体" w:cs="等线"/>
          <w:highlight w:val="none"/>
        </w:rPr>
      </w:pPr>
      <w:r>
        <w:rPr>
          <w:rFonts w:hint="eastAsia" w:ascii="宋体" w:hAnsi="宋体" w:cs="等线"/>
          <w:highlight w:val="none"/>
        </w:rPr>
        <w:t>建造师执业印章号：</w:t>
      </w:r>
      <w:r>
        <w:rPr>
          <w:rFonts w:hint="eastAsia" w:ascii="宋体" w:hAnsi="宋体" w:cs="等线"/>
          <w:highlight w:val="none"/>
          <w:u w:val="single"/>
        </w:rPr>
        <w:t xml:space="preserve">                     </w:t>
      </w:r>
      <w:r>
        <w:rPr>
          <w:rFonts w:hint="eastAsia" w:ascii="宋体" w:hAnsi="宋体" w:cs="等线"/>
          <w:highlight w:val="none"/>
        </w:rPr>
        <w:t>；</w:t>
      </w:r>
    </w:p>
    <w:p w14:paraId="3CC0E05E">
      <w:pPr>
        <w:spacing w:line="360" w:lineRule="auto"/>
        <w:ind w:firstLine="420" w:firstLineChars="200"/>
        <w:rPr>
          <w:rFonts w:hint="eastAsia" w:ascii="宋体" w:hAnsi="宋体" w:cs="等线"/>
          <w:highlight w:val="none"/>
        </w:rPr>
      </w:pPr>
      <w:r>
        <w:rPr>
          <w:rFonts w:hint="eastAsia" w:ascii="宋体" w:hAnsi="宋体" w:cs="等线"/>
          <w:highlight w:val="none"/>
        </w:rPr>
        <w:t>安全生产考核合格证书号：</w:t>
      </w:r>
      <w:r>
        <w:rPr>
          <w:rFonts w:hint="eastAsia" w:ascii="宋体" w:hAnsi="宋体" w:cs="等线"/>
          <w:highlight w:val="none"/>
          <w:u w:val="single"/>
        </w:rPr>
        <w:t xml:space="preserve">               </w:t>
      </w:r>
      <w:r>
        <w:rPr>
          <w:rFonts w:hint="eastAsia" w:ascii="宋体" w:hAnsi="宋体" w:cs="等线"/>
          <w:highlight w:val="none"/>
        </w:rPr>
        <w:t>；</w:t>
      </w:r>
    </w:p>
    <w:p w14:paraId="67ECCE60">
      <w:pPr>
        <w:spacing w:line="360" w:lineRule="auto"/>
        <w:ind w:firstLine="420" w:firstLineChars="200"/>
        <w:rPr>
          <w:rFonts w:hint="eastAsia" w:ascii="宋体" w:hAnsi="宋体" w:cs="等线"/>
          <w:highlight w:val="none"/>
        </w:rPr>
      </w:pPr>
      <w:r>
        <w:rPr>
          <w:rFonts w:hint="eastAsia" w:ascii="宋体" w:hAnsi="宋体" w:cs="等线"/>
          <w:highlight w:val="none"/>
        </w:rPr>
        <w:t>联系电话：</w:t>
      </w:r>
      <w:r>
        <w:rPr>
          <w:rFonts w:hint="eastAsia" w:ascii="宋体" w:hAnsi="宋体" w:cs="等线"/>
          <w:highlight w:val="none"/>
          <w:u w:val="single"/>
        </w:rPr>
        <w:t xml:space="preserve">                             </w:t>
      </w:r>
      <w:r>
        <w:rPr>
          <w:rFonts w:hint="eastAsia" w:ascii="宋体" w:hAnsi="宋体" w:cs="等线"/>
          <w:highlight w:val="none"/>
        </w:rPr>
        <w:t>；</w:t>
      </w:r>
    </w:p>
    <w:p w14:paraId="6D55EA66">
      <w:pPr>
        <w:spacing w:line="360" w:lineRule="auto"/>
        <w:ind w:firstLine="420" w:firstLineChars="200"/>
        <w:rPr>
          <w:rFonts w:hint="eastAsia" w:ascii="宋体" w:hAnsi="宋体" w:cs="等线"/>
          <w:highlight w:val="none"/>
        </w:rPr>
      </w:pPr>
      <w:r>
        <w:rPr>
          <w:rFonts w:hint="eastAsia" w:ascii="宋体" w:hAnsi="宋体" w:cs="等线"/>
          <w:highlight w:val="none"/>
        </w:rPr>
        <w:t>电子信箱：</w:t>
      </w:r>
      <w:r>
        <w:rPr>
          <w:rFonts w:hint="eastAsia" w:ascii="宋体" w:hAnsi="宋体" w:cs="等线"/>
          <w:highlight w:val="none"/>
          <w:u w:val="single"/>
        </w:rPr>
        <w:t xml:space="preserve">                             </w:t>
      </w:r>
      <w:r>
        <w:rPr>
          <w:rFonts w:hint="eastAsia" w:ascii="宋体" w:hAnsi="宋体" w:cs="等线"/>
          <w:highlight w:val="none"/>
        </w:rPr>
        <w:t>；</w:t>
      </w:r>
    </w:p>
    <w:p w14:paraId="4C593EA8">
      <w:pPr>
        <w:spacing w:line="360" w:lineRule="auto"/>
        <w:ind w:firstLine="420" w:firstLineChars="200"/>
        <w:rPr>
          <w:rFonts w:hint="eastAsia" w:ascii="宋体" w:hAnsi="宋体" w:cs="等线"/>
          <w:highlight w:val="none"/>
        </w:rPr>
      </w:pPr>
      <w:r>
        <w:rPr>
          <w:rFonts w:hint="eastAsia" w:ascii="宋体" w:hAnsi="宋体" w:cs="等线"/>
          <w:highlight w:val="none"/>
        </w:rPr>
        <w:t>通信地址：</w:t>
      </w:r>
      <w:r>
        <w:rPr>
          <w:rFonts w:hint="eastAsia" w:ascii="宋体" w:hAnsi="宋体" w:cs="等线"/>
          <w:highlight w:val="none"/>
          <w:u w:val="single"/>
        </w:rPr>
        <w:t xml:space="preserve">                             </w:t>
      </w:r>
      <w:r>
        <w:rPr>
          <w:rFonts w:hint="eastAsia" w:ascii="宋体" w:hAnsi="宋体" w:cs="等线"/>
          <w:highlight w:val="none"/>
        </w:rPr>
        <w:t>；</w:t>
      </w:r>
    </w:p>
    <w:p w14:paraId="7AD9607E">
      <w:pPr>
        <w:spacing w:line="360" w:lineRule="auto"/>
        <w:ind w:firstLine="420" w:firstLineChars="200"/>
        <w:rPr>
          <w:rFonts w:hint="eastAsia" w:ascii="宋体" w:hAnsi="宋体" w:cs="等线"/>
          <w:highlight w:val="none"/>
        </w:rPr>
      </w:pPr>
      <w:r>
        <w:rPr>
          <w:rFonts w:hint="eastAsia" w:ascii="宋体" w:hAnsi="宋体" w:cs="等线"/>
          <w:highlight w:val="none"/>
        </w:rPr>
        <w:t>承包人对项目经理的授权范围如下：</w:t>
      </w:r>
      <w:r>
        <w:rPr>
          <w:rFonts w:hint="eastAsia" w:ascii="宋体" w:hAnsi="宋体" w:cs="等线"/>
          <w:highlight w:val="none"/>
          <w:u w:val="single"/>
        </w:rPr>
        <w:t xml:space="preserve">                             </w:t>
      </w:r>
      <w:r>
        <w:rPr>
          <w:rFonts w:hint="eastAsia" w:ascii="宋体" w:hAnsi="宋体" w:cs="等线"/>
          <w:highlight w:val="none"/>
        </w:rPr>
        <w:t xml:space="preserve"> 。</w:t>
      </w:r>
    </w:p>
    <w:p w14:paraId="43181FB8">
      <w:pPr>
        <w:spacing w:line="360" w:lineRule="auto"/>
        <w:ind w:firstLine="420" w:firstLineChars="200"/>
        <w:rPr>
          <w:rFonts w:hint="eastAsia" w:ascii="宋体" w:hAnsi="宋体" w:cs="等线"/>
          <w:highlight w:val="none"/>
        </w:rPr>
      </w:pPr>
      <w:r>
        <w:rPr>
          <w:rFonts w:hint="eastAsia" w:ascii="宋体" w:hAnsi="宋体" w:cs="等线"/>
          <w:highlight w:val="none"/>
        </w:rPr>
        <w:t>关于项目经理每月在施工现场的时间要求：</w:t>
      </w:r>
      <w:r>
        <w:rPr>
          <w:rFonts w:hint="eastAsia" w:ascii="宋体" w:hAnsi="宋体" w:cs="等线"/>
          <w:highlight w:val="none"/>
          <w:u w:val="single"/>
        </w:rPr>
        <w:t xml:space="preserve">                        </w:t>
      </w:r>
      <w:r>
        <w:rPr>
          <w:rFonts w:hint="eastAsia" w:ascii="宋体" w:hAnsi="宋体" w:cs="等线"/>
          <w:highlight w:val="none"/>
        </w:rPr>
        <w:t>。</w:t>
      </w:r>
    </w:p>
    <w:p w14:paraId="5C72A79B">
      <w:pPr>
        <w:spacing w:line="360" w:lineRule="auto"/>
        <w:ind w:firstLine="420" w:firstLineChars="200"/>
        <w:rPr>
          <w:rFonts w:hint="eastAsia" w:ascii="宋体" w:hAnsi="宋体" w:cs="等线"/>
          <w:highlight w:val="none"/>
        </w:rPr>
      </w:pPr>
      <w:r>
        <w:rPr>
          <w:rFonts w:hint="eastAsia" w:ascii="宋体" w:hAnsi="宋体" w:cs="等线"/>
          <w:highlight w:val="none"/>
        </w:rPr>
        <w:t>承包人未提交劳动合同，以及没有为项目经理缴纳社会保险证明的违约责任：</w:t>
      </w:r>
      <w:r>
        <w:rPr>
          <w:rFonts w:hint="eastAsia" w:ascii="宋体" w:hAnsi="宋体" w:cs="等线"/>
          <w:highlight w:val="none"/>
          <w:u w:val="single"/>
        </w:rPr>
        <w:t xml:space="preserve">     </w:t>
      </w:r>
      <w:r>
        <w:rPr>
          <w:rFonts w:hint="eastAsia" w:ascii="宋体" w:hAnsi="宋体" w:cs="等线"/>
          <w:highlight w:val="none"/>
        </w:rPr>
        <w:t>。</w:t>
      </w:r>
    </w:p>
    <w:p w14:paraId="508C8F04">
      <w:pPr>
        <w:spacing w:line="360" w:lineRule="auto"/>
        <w:ind w:firstLine="420" w:firstLineChars="200"/>
        <w:rPr>
          <w:rFonts w:hint="eastAsia" w:ascii="宋体" w:hAnsi="宋体" w:cs="等线"/>
          <w:highlight w:val="none"/>
        </w:rPr>
      </w:pPr>
      <w:r>
        <w:rPr>
          <w:rFonts w:hint="eastAsia" w:ascii="宋体" w:hAnsi="宋体" w:cs="等线"/>
          <w:highlight w:val="none"/>
        </w:rPr>
        <w:t>项目经理未经批准，擅自离开施工现场的违约责任：</w:t>
      </w:r>
      <w:r>
        <w:rPr>
          <w:rFonts w:hint="eastAsia" w:ascii="宋体" w:hAnsi="宋体" w:cs="等线"/>
          <w:highlight w:val="none"/>
          <w:u w:val="single"/>
        </w:rPr>
        <w:t xml:space="preserve">                 </w:t>
      </w:r>
      <w:r>
        <w:rPr>
          <w:rFonts w:hint="eastAsia" w:ascii="宋体" w:hAnsi="宋体" w:cs="等线"/>
          <w:highlight w:val="none"/>
        </w:rPr>
        <w:t>。</w:t>
      </w:r>
    </w:p>
    <w:p w14:paraId="228FE1F0">
      <w:pPr>
        <w:spacing w:line="360" w:lineRule="auto"/>
        <w:ind w:firstLine="420" w:firstLineChars="200"/>
        <w:rPr>
          <w:rFonts w:hint="eastAsia" w:ascii="宋体" w:hAnsi="宋体" w:cs="等线"/>
          <w:highlight w:val="none"/>
        </w:rPr>
      </w:pPr>
      <w:r>
        <w:rPr>
          <w:rFonts w:hint="eastAsia" w:ascii="宋体" w:hAnsi="宋体" w:cs="等线"/>
          <w:highlight w:val="none"/>
        </w:rPr>
        <w:t>3.2.3 承包人擅自更换项目经理的违约责任：</w:t>
      </w:r>
      <w:r>
        <w:rPr>
          <w:rFonts w:hint="eastAsia" w:ascii="宋体" w:hAnsi="宋体" w:cs="等线"/>
          <w:highlight w:val="none"/>
          <w:u w:val="single"/>
        </w:rPr>
        <w:t xml:space="preserve">                       </w:t>
      </w:r>
      <w:r>
        <w:rPr>
          <w:rFonts w:hint="eastAsia" w:ascii="宋体" w:hAnsi="宋体" w:cs="等线"/>
          <w:highlight w:val="none"/>
        </w:rPr>
        <w:t>。</w:t>
      </w:r>
    </w:p>
    <w:p w14:paraId="00DB4F05">
      <w:pPr>
        <w:spacing w:line="360" w:lineRule="auto"/>
        <w:ind w:firstLine="420" w:firstLineChars="200"/>
        <w:rPr>
          <w:rFonts w:hint="eastAsia" w:ascii="宋体" w:hAnsi="宋体" w:cs="等线"/>
          <w:highlight w:val="none"/>
        </w:rPr>
      </w:pPr>
      <w:r>
        <w:rPr>
          <w:rFonts w:hint="eastAsia" w:ascii="宋体" w:hAnsi="宋体" w:cs="等线"/>
          <w:highlight w:val="none"/>
        </w:rPr>
        <w:t>1.1.2.9专业分包人：指根据合同条款第15.8.1项的约定，由发包人和承包人以招标方式选择的分包人。</w:t>
      </w:r>
    </w:p>
    <w:p w14:paraId="3310C383">
      <w:pPr>
        <w:spacing w:line="360" w:lineRule="auto"/>
        <w:ind w:firstLine="420" w:firstLineChars="200"/>
        <w:rPr>
          <w:rFonts w:hint="eastAsia" w:ascii="宋体" w:hAnsi="宋体" w:cs="等线"/>
          <w:highlight w:val="none"/>
        </w:rPr>
      </w:pPr>
      <w:r>
        <w:rPr>
          <w:rFonts w:hint="eastAsia" w:ascii="宋体" w:hAnsi="宋体" w:cs="等线"/>
          <w:highlight w:val="none"/>
        </w:rPr>
        <w:t>1.1.2.10专项供应商：指根据合同条款第15.8.1项的约定，由发包人和承包人以招标方式选择的供应商。</w:t>
      </w:r>
    </w:p>
    <w:p w14:paraId="116D81C8">
      <w:pPr>
        <w:spacing w:line="360" w:lineRule="auto"/>
        <w:ind w:firstLine="420" w:firstLineChars="200"/>
        <w:rPr>
          <w:rFonts w:hint="eastAsia" w:ascii="宋体" w:hAnsi="宋体" w:cs="等线"/>
          <w:highlight w:val="none"/>
          <w:u w:val="single"/>
        </w:rPr>
      </w:pPr>
      <w:r>
        <w:rPr>
          <w:rFonts w:hint="eastAsia" w:ascii="宋体" w:hAnsi="宋体" w:cs="等线"/>
          <w:highlight w:val="none"/>
        </w:rPr>
        <w:t>1.1.2.11独立承包人：指与发包人直接订立工程承包合同，负责实施与工程有关的其他工作的当事人。</w:t>
      </w:r>
    </w:p>
    <w:p w14:paraId="6CABA508">
      <w:pPr>
        <w:spacing w:line="360" w:lineRule="auto"/>
        <w:ind w:firstLine="420" w:firstLineChars="200"/>
        <w:rPr>
          <w:rFonts w:hint="eastAsia" w:ascii="宋体" w:hAnsi="宋体" w:cs="等线"/>
          <w:highlight w:val="none"/>
        </w:rPr>
      </w:pPr>
      <w:r>
        <w:rPr>
          <w:rFonts w:hint="eastAsia" w:ascii="宋体" w:hAnsi="宋体" w:cs="等线"/>
          <w:highlight w:val="none"/>
        </w:rPr>
        <w:t>1.1.3工程和设备</w:t>
      </w:r>
    </w:p>
    <w:p w14:paraId="3E9777CE">
      <w:pPr>
        <w:spacing w:line="360" w:lineRule="auto"/>
        <w:ind w:firstLine="420" w:firstLineChars="200"/>
        <w:rPr>
          <w:rFonts w:hint="eastAsia" w:ascii="宋体" w:hAnsi="宋体" w:cs="等线"/>
          <w:highlight w:val="none"/>
        </w:rPr>
      </w:pPr>
      <w:r>
        <w:rPr>
          <w:rFonts w:hint="eastAsia" w:ascii="宋体" w:hAnsi="宋体" w:cs="等线"/>
          <w:highlight w:val="none"/>
        </w:rPr>
        <w:t>1.1.3.2永久工程：指按合同约定建造并移交给发包人的工程，包括工程设备       。</w:t>
      </w:r>
    </w:p>
    <w:p w14:paraId="05BAF1C0">
      <w:pPr>
        <w:spacing w:line="360" w:lineRule="auto"/>
        <w:ind w:firstLine="420" w:firstLineChars="200"/>
        <w:rPr>
          <w:rFonts w:hint="eastAsia" w:ascii="宋体" w:hAnsi="宋体" w:cs="等线"/>
          <w:highlight w:val="none"/>
        </w:rPr>
      </w:pPr>
      <w:r>
        <w:rPr>
          <w:rFonts w:hint="eastAsia" w:ascii="宋体" w:hAnsi="宋体" w:cs="等线"/>
          <w:highlight w:val="none"/>
        </w:rPr>
        <w:t>1.1.3.3临时工程：承包人为完成永久工程所修建的临时性工程，并在本工程竣工后或在发包人要求时，承包人需予以全部拆除的工程。包括临时性围挡、施工照明工程等    。</w:t>
      </w:r>
    </w:p>
    <w:p w14:paraId="7DC16AF4">
      <w:pPr>
        <w:spacing w:line="360" w:lineRule="auto"/>
        <w:ind w:firstLine="420" w:firstLineChars="200"/>
        <w:rPr>
          <w:rFonts w:hint="eastAsia" w:ascii="宋体" w:hAnsi="宋体" w:cs="等线"/>
          <w:highlight w:val="none"/>
        </w:rPr>
      </w:pPr>
      <w:r>
        <w:rPr>
          <w:rFonts w:hint="eastAsia" w:ascii="宋体" w:hAnsi="宋体" w:cs="等线"/>
          <w:highlight w:val="none"/>
        </w:rPr>
        <w:t>1.1.3.4单位工程：指具有相对独立的设计文件，能够独立组织施工并能形成独立使用功能的永久工程的组成部分。</w:t>
      </w:r>
    </w:p>
    <w:p w14:paraId="6DDF4FC8">
      <w:pPr>
        <w:spacing w:line="360" w:lineRule="auto"/>
        <w:ind w:firstLine="420" w:firstLineChars="200"/>
        <w:rPr>
          <w:rFonts w:hint="eastAsia" w:ascii="宋体" w:hAnsi="宋体" w:cs="等线"/>
          <w:highlight w:val="none"/>
        </w:rPr>
      </w:pPr>
      <w:r>
        <w:rPr>
          <w:rFonts w:hint="eastAsia" w:ascii="宋体" w:hAnsi="宋体" w:cs="等线"/>
          <w:highlight w:val="none"/>
        </w:rPr>
        <w:t>1.1.3.10永久占地：指为实施本合同工程而需要的一切永久占用的土地，包括道路两侧路权范围内的用地  。</w:t>
      </w:r>
    </w:p>
    <w:p w14:paraId="25B7F694">
      <w:pPr>
        <w:spacing w:line="360" w:lineRule="auto"/>
        <w:ind w:firstLine="420" w:firstLineChars="200"/>
        <w:rPr>
          <w:rFonts w:hint="eastAsia" w:ascii="宋体" w:hAnsi="宋体" w:cs="等线"/>
          <w:highlight w:val="none"/>
        </w:rPr>
      </w:pPr>
      <w:r>
        <w:rPr>
          <w:rFonts w:hint="eastAsia" w:ascii="宋体" w:hAnsi="宋体" w:cs="等线"/>
          <w:highlight w:val="none"/>
        </w:rPr>
        <w:t>1.1.3.11临时占地：指为实施本合同工程而需要的一切临时占用的土地，包括施工所用的现场临时出入通道，以及生产(办公)、生活等临时设施用地等  。</w:t>
      </w:r>
    </w:p>
    <w:p w14:paraId="26D2DCAE">
      <w:pPr>
        <w:spacing w:line="360" w:lineRule="auto"/>
        <w:ind w:firstLine="420" w:firstLineChars="200"/>
        <w:rPr>
          <w:rFonts w:hint="eastAsia" w:ascii="宋体" w:hAnsi="宋体" w:cs="等线"/>
          <w:highlight w:val="none"/>
        </w:rPr>
      </w:pPr>
      <w:r>
        <w:rPr>
          <w:rFonts w:hint="eastAsia" w:ascii="宋体" w:hAnsi="宋体" w:cs="等线"/>
          <w:highlight w:val="none"/>
        </w:rPr>
        <w:t>1.1.4日期</w:t>
      </w:r>
    </w:p>
    <w:p w14:paraId="100F13D0">
      <w:pPr>
        <w:spacing w:line="360" w:lineRule="auto"/>
        <w:ind w:firstLine="420" w:firstLineChars="200"/>
        <w:rPr>
          <w:rFonts w:hint="eastAsia" w:ascii="宋体" w:hAnsi="宋体" w:cs="等线"/>
          <w:highlight w:val="none"/>
          <w:u w:val="single"/>
        </w:rPr>
      </w:pPr>
      <w:r>
        <w:rPr>
          <w:rFonts w:hint="eastAsia" w:ascii="宋体" w:hAnsi="宋体" w:cs="等线"/>
          <w:highlight w:val="none"/>
        </w:rPr>
        <w:t>1.1.4.5缺陷责任期期限：</w:t>
      </w:r>
      <w:r>
        <w:rPr>
          <w:rFonts w:hint="eastAsia" w:ascii="宋体" w:hAnsi="宋体" w:cs="等线"/>
          <w:highlight w:val="none"/>
          <w:u w:val="single"/>
        </w:rPr>
        <w:t xml:space="preserve">  24   </w:t>
      </w:r>
      <w:r>
        <w:rPr>
          <w:rFonts w:hint="eastAsia" w:ascii="宋体" w:hAnsi="宋体" w:cs="等线"/>
          <w:highlight w:val="none"/>
        </w:rPr>
        <w:t>个月，涉及防水施工项目为</w:t>
      </w:r>
      <w:r>
        <w:rPr>
          <w:rFonts w:hint="eastAsia" w:ascii="宋体" w:hAnsi="宋体" w:cs="等线"/>
          <w:highlight w:val="none"/>
          <w:u w:val="single"/>
        </w:rPr>
        <w:t xml:space="preserve">   5   </w:t>
      </w:r>
      <w:r>
        <w:rPr>
          <w:rFonts w:hint="eastAsia" w:ascii="宋体" w:hAnsi="宋体" w:cs="等线"/>
          <w:highlight w:val="none"/>
        </w:rPr>
        <w:t>年。</w:t>
      </w:r>
    </w:p>
    <w:p w14:paraId="3BA4C57E">
      <w:pPr>
        <w:spacing w:line="360" w:lineRule="auto"/>
        <w:ind w:firstLine="420" w:firstLineChars="200"/>
        <w:rPr>
          <w:rFonts w:hint="eastAsia" w:ascii="宋体" w:hAnsi="宋体" w:cs="等线"/>
          <w:highlight w:val="none"/>
        </w:rPr>
      </w:pPr>
      <w:r>
        <w:rPr>
          <w:rFonts w:hint="eastAsia" w:ascii="宋体" w:hAnsi="宋体" w:cs="等线"/>
          <w:highlight w:val="none"/>
        </w:rPr>
        <w:t>1.1.4.8保修期：是根据现行有关法律规定，在合同条款第19.7款中约定的由承包人负责对合同约定的保修范围内发生的质量问题履行保修义务并对造成的损失承担赔偿责任的期限。</w:t>
      </w:r>
    </w:p>
    <w:p w14:paraId="41AD52A6">
      <w:pPr>
        <w:spacing w:line="360" w:lineRule="auto"/>
        <w:ind w:firstLine="420" w:firstLineChars="200"/>
        <w:rPr>
          <w:rFonts w:hint="eastAsia" w:ascii="宋体" w:hAnsi="宋体" w:cs="等线"/>
          <w:highlight w:val="none"/>
        </w:rPr>
      </w:pPr>
      <w:r>
        <w:rPr>
          <w:rFonts w:hint="eastAsia" w:ascii="宋体" w:hAnsi="宋体" w:cs="等线"/>
          <w:highlight w:val="none"/>
        </w:rPr>
        <w:t>1.1.6其他</w:t>
      </w:r>
    </w:p>
    <w:p w14:paraId="5EDEE00A">
      <w:pPr>
        <w:spacing w:line="360" w:lineRule="auto"/>
        <w:ind w:firstLine="420" w:firstLineChars="200"/>
        <w:rPr>
          <w:rFonts w:hint="eastAsia" w:ascii="宋体" w:hAnsi="宋体" w:cs="等线"/>
          <w:highlight w:val="none"/>
        </w:rPr>
      </w:pPr>
      <w:r>
        <w:rPr>
          <w:rFonts w:hint="eastAsia" w:ascii="宋体" w:hAnsi="宋体" w:cs="等线"/>
          <w:highlight w:val="none"/>
        </w:rPr>
        <w:t>1.1.6.2材料：指构成或将构成永久工程组成部分的各类物品(工程设备除外)，包括合同中可能约定的承包人仅负责供应的材料。</w:t>
      </w:r>
    </w:p>
    <w:p w14:paraId="687CD9CA">
      <w:pPr>
        <w:spacing w:line="360" w:lineRule="auto"/>
        <w:ind w:firstLine="420" w:firstLineChars="200"/>
        <w:rPr>
          <w:rFonts w:hint="eastAsia" w:ascii="宋体" w:hAnsi="宋体" w:cs="等线"/>
          <w:highlight w:val="none"/>
        </w:rPr>
      </w:pPr>
      <w:r>
        <w:rPr>
          <w:rFonts w:hint="eastAsia" w:ascii="宋体" w:hAnsi="宋体" w:cs="等线"/>
          <w:highlight w:val="none"/>
        </w:rPr>
        <w:t>1.1.6.3争议评审组：是由发包人和承包人共同聘请的人员组成的独立、公正的第三方临时性组织，一般由一名或者三名合同管理和（或）工程管理专家组成。争议评审组负责对发包人和（或）承包人提请进行评审的本合同项下的争议进行评审并在规定的期限内给出评审意见，合同双方在规定的期限内均未对评审意见提出异议时，评审意见对合同双方有最终约束力。发包人和承包人应当分别与接受聘请的争议评审专家签订聘用协议，就评审的争议范围、评审意见效力等必要事项做出约定。</w:t>
      </w:r>
    </w:p>
    <w:p w14:paraId="5738AC98">
      <w:pPr>
        <w:spacing w:line="360" w:lineRule="auto"/>
        <w:ind w:firstLine="420" w:firstLineChars="200"/>
        <w:rPr>
          <w:rFonts w:hint="eastAsia" w:ascii="宋体" w:hAnsi="宋体" w:cs="等线"/>
          <w:highlight w:val="none"/>
        </w:rPr>
      </w:pPr>
      <w:r>
        <w:rPr>
          <w:rFonts w:hint="eastAsia" w:ascii="宋体" w:hAnsi="宋体" w:cs="等线"/>
          <w:highlight w:val="none"/>
        </w:rPr>
        <w:t>1.1.6.4 除另有特别指明外，专用合同条款中使用的措辞“合同条款”指通用合同条款和（或）专用合同条款。</w:t>
      </w:r>
    </w:p>
    <w:p w14:paraId="47F72BCC">
      <w:pPr>
        <w:keepNext/>
        <w:keepLines/>
        <w:spacing w:line="360" w:lineRule="auto"/>
        <w:outlineLvl w:val="2"/>
        <w:rPr>
          <w:rFonts w:hint="eastAsia" w:ascii="宋体" w:hAnsi="宋体" w:cs="等线"/>
          <w:sz w:val="24"/>
          <w:highlight w:val="none"/>
        </w:rPr>
      </w:pPr>
      <w:bookmarkStart w:id="1522" w:name="_Toc159950769"/>
      <w:bookmarkStart w:id="1523" w:name="_Toc38732150"/>
      <w:bookmarkStart w:id="1524" w:name="_Toc29917"/>
      <w:r>
        <w:rPr>
          <w:rFonts w:hint="eastAsia" w:ascii="宋体" w:hAnsi="宋体" w:cs="等线"/>
          <w:sz w:val="24"/>
          <w:highlight w:val="none"/>
        </w:rPr>
        <w:t>1.4 合同文件的优先顺序</w:t>
      </w:r>
      <w:bookmarkEnd w:id="1522"/>
      <w:bookmarkEnd w:id="1523"/>
      <w:bookmarkEnd w:id="1524"/>
    </w:p>
    <w:p w14:paraId="2B4FAED4">
      <w:pPr>
        <w:spacing w:line="360" w:lineRule="auto"/>
        <w:ind w:firstLine="482"/>
        <w:rPr>
          <w:rFonts w:hint="eastAsia" w:ascii="宋体" w:hAnsi="宋体" w:cs="等线"/>
          <w:highlight w:val="none"/>
        </w:rPr>
      </w:pPr>
      <w:r>
        <w:rPr>
          <w:rFonts w:hint="eastAsia" w:ascii="宋体" w:hAnsi="宋体" w:cs="等线"/>
          <w:highlight w:val="none"/>
        </w:rPr>
        <w:t>合同文件的优先解释顺序如下：</w:t>
      </w:r>
    </w:p>
    <w:p w14:paraId="1435155D">
      <w:pPr>
        <w:spacing w:line="360" w:lineRule="auto"/>
        <w:ind w:firstLine="482"/>
        <w:rPr>
          <w:rFonts w:hint="eastAsia" w:ascii="宋体" w:hAnsi="宋体" w:cs="等线"/>
          <w:highlight w:val="none"/>
        </w:rPr>
      </w:pPr>
      <w:r>
        <w:rPr>
          <w:rFonts w:hint="eastAsia" w:ascii="宋体" w:hAnsi="宋体" w:cs="等线"/>
          <w:highlight w:val="none"/>
        </w:rPr>
        <w:t>（1）合同协议书；</w:t>
      </w:r>
    </w:p>
    <w:p w14:paraId="19138B92">
      <w:pPr>
        <w:spacing w:line="360" w:lineRule="auto"/>
        <w:ind w:firstLine="482"/>
        <w:rPr>
          <w:rFonts w:hint="eastAsia" w:ascii="宋体" w:hAnsi="宋体" w:cs="等线"/>
          <w:highlight w:val="none"/>
        </w:rPr>
      </w:pPr>
      <w:r>
        <w:rPr>
          <w:rFonts w:hint="eastAsia" w:ascii="宋体" w:hAnsi="宋体" w:cs="等线"/>
          <w:highlight w:val="none"/>
        </w:rPr>
        <w:t>（2）中标通知书；</w:t>
      </w:r>
    </w:p>
    <w:p w14:paraId="145C21AB">
      <w:pPr>
        <w:spacing w:line="360" w:lineRule="auto"/>
        <w:ind w:firstLine="482"/>
        <w:rPr>
          <w:rFonts w:hint="eastAsia" w:ascii="宋体" w:hAnsi="宋体" w:cs="等线"/>
          <w:highlight w:val="none"/>
        </w:rPr>
      </w:pPr>
      <w:r>
        <w:rPr>
          <w:rFonts w:hint="eastAsia" w:ascii="宋体" w:hAnsi="宋体" w:cs="等线"/>
          <w:highlight w:val="none"/>
        </w:rPr>
        <w:t>（3）投标函及投标函附录；</w:t>
      </w:r>
    </w:p>
    <w:p w14:paraId="6695B15C">
      <w:pPr>
        <w:spacing w:line="360" w:lineRule="auto"/>
        <w:ind w:firstLine="482"/>
        <w:rPr>
          <w:rFonts w:hint="eastAsia" w:ascii="宋体" w:hAnsi="宋体" w:cs="等线"/>
          <w:highlight w:val="none"/>
        </w:rPr>
      </w:pPr>
      <w:r>
        <w:rPr>
          <w:rFonts w:hint="eastAsia" w:ascii="宋体" w:hAnsi="宋体" w:cs="等线"/>
          <w:highlight w:val="none"/>
        </w:rPr>
        <w:t>（4）专用合同条款；</w:t>
      </w:r>
    </w:p>
    <w:p w14:paraId="47FC7462">
      <w:pPr>
        <w:spacing w:line="360" w:lineRule="auto"/>
        <w:ind w:firstLine="482"/>
        <w:rPr>
          <w:rFonts w:hint="eastAsia" w:ascii="宋体" w:hAnsi="宋体" w:cs="等线"/>
          <w:highlight w:val="none"/>
        </w:rPr>
      </w:pPr>
      <w:r>
        <w:rPr>
          <w:rFonts w:hint="eastAsia" w:ascii="宋体" w:hAnsi="宋体" w:cs="等线"/>
          <w:highlight w:val="none"/>
        </w:rPr>
        <w:t>（5）通用合同条款；</w:t>
      </w:r>
    </w:p>
    <w:p w14:paraId="4FA8F9F3">
      <w:pPr>
        <w:spacing w:line="360" w:lineRule="auto"/>
        <w:ind w:firstLine="482"/>
        <w:rPr>
          <w:rFonts w:hint="eastAsia" w:ascii="宋体" w:hAnsi="宋体" w:cs="等线"/>
          <w:highlight w:val="none"/>
        </w:rPr>
      </w:pPr>
      <w:r>
        <w:rPr>
          <w:rFonts w:hint="eastAsia" w:ascii="宋体" w:hAnsi="宋体" w:cs="等线"/>
          <w:highlight w:val="none"/>
        </w:rPr>
        <w:t>（6）</w:t>
      </w:r>
      <w:r>
        <w:rPr>
          <w:rFonts w:hint="eastAsia" w:ascii="宋体" w:hAnsi="宋体" w:cs="等线"/>
          <w:highlight w:val="none"/>
          <w:u w:val="single"/>
        </w:rPr>
        <w:t>已标价工程量清单</w:t>
      </w:r>
      <w:r>
        <w:rPr>
          <w:rFonts w:hint="eastAsia" w:ascii="宋体" w:hAnsi="宋体" w:cs="等线"/>
          <w:highlight w:val="none"/>
        </w:rPr>
        <w:t>；</w:t>
      </w:r>
    </w:p>
    <w:p w14:paraId="5EEE617B">
      <w:pPr>
        <w:spacing w:line="360" w:lineRule="auto"/>
        <w:ind w:firstLine="482"/>
        <w:rPr>
          <w:rFonts w:hint="eastAsia" w:ascii="宋体" w:hAnsi="宋体" w:cs="等线"/>
          <w:highlight w:val="none"/>
        </w:rPr>
      </w:pPr>
      <w:r>
        <w:rPr>
          <w:rFonts w:hint="eastAsia" w:ascii="宋体" w:hAnsi="宋体" w:cs="等线"/>
          <w:highlight w:val="none"/>
        </w:rPr>
        <w:t>（7）</w:t>
      </w:r>
      <w:r>
        <w:rPr>
          <w:rFonts w:hint="eastAsia" w:ascii="宋体" w:hAnsi="宋体" w:cs="等线"/>
          <w:highlight w:val="none"/>
          <w:u w:val="single"/>
        </w:rPr>
        <w:t>技术标准和要求</w:t>
      </w:r>
      <w:r>
        <w:rPr>
          <w:rFonts w:hint="eastAsia" w:ascii="宋体" w:hAnsi="宋体" w:cs="等线"/>
          <w:highlight w:val="none"/>
        </w:rPr>
        <w:t>；</w:t>
      </w:r>
    </w:p>
    <w:p w14:paraId="661150AC">
      <w:pPr>
        <w:spacing w:line="360" w:lineRule="auto"/>
        <w:ind w:firstLine="482"/>
        <w:rPr>
          <w:rFonts w:hint="eastAsia" w:ascii="宋体" w:hAnsi="宋体" w:cs="等线"/>
          <w:highlight w:val="none"/>
        </w:rPr>
      </w:pPr>
      <w:r>
        <w:rPr>
          <w:rFonts w:hint="eastAsia" w:ascii="宋体" w:hAnsi="宋体" w:cs="等线"/>
          <w:highlight w:val="none"/>
        </w:rPr>
        <w:t>（8）</w:t>
      </w:r>
      <w:r>
        <w:rPr>
          <w:rFonts w:hint="eastAsia" w:ascii="宋体" w:hAnsi="宋体" w:cs="等线"/>
          <w:highlight w:val="none"/>
          <w:u w:val="single"/>
        </w:rPr>
        <w:t xml:space="preserve">施工组织设计 </w:t>
      </w:r>
      <w:r>
        <w:rPr>
          <w:rFonts w:hint="eastAsia" w:ascii="宋体" w:hAnsi="宋体" w:cs="等线"/>
          <w:highlight w:val="none"/>
        </w:rPr>
        <w:t>。</w:t>
      </w:r>
    </w:p>
    <w:p w14:paraId="4F289A75">
      <w:pPr>
        <w:spacing w:line="360" w:lineRule="auto"/>
        <w:ind w:firstLine="480"/>
        <w:rPr>
          <w:rFonts w:hint="eastAsia" w:ascii="宋体" w:hAnsi="宋体" w:cs="等线"/>
          <w:highlight w:val="none"/>
        </w:rPr>
      </w:pPr>
      <w:r>
        <w:rPr>
          <w:rFonts w:hint="eastAsia" w:ascii="宋体" w:hAnsi="宋体" w:cs="等线"/>
          <w:highlight w:val="none"/>
        </w:rPr>
        <w:t>（说明：（6）、（7）、（8）填空内容分别限于技术标准和要求、已标价工程量清单三者之一。）</w:t>
      </w:r>
    </w:p>
    <w:p w14:paraId="50B90365">
      <w:pPr>
        <w:spacing w:line="360" w:lineRule="auto"/>
        <w:ind w:firstLine="420" w:firstLineChars="200"/>
        <w:rPr>
          <w:rFonts w:hint="eastAsia" w:ascii="宋体" w:hAnsi="宋体" w:cs="等线"/>
          <w:highlight w:val="none"/>
        </w:rPr>
      </w:pPr>
      <w:r>
        <w:rPr>
          <w:rFonts w:hint="eastAsia" w:ascii="宋体" w:hAnsi="宋体" w:cs="等线"/>
          <w:highlight w:val="none"/>
        </w:rPr>
        <w:t>合同协议书中约定采用总价合同形式的，除非合同另有约定，已标价工程量清单中的各项工程量对合同双方不具合同约束力。</w:t>
      </w:r>
    </w:p>
    <w:p w14:paraId="4B3000B1">
      <w:pPr>
        <w:spacing w:line="360" w:lineRule="auto"/>
        <w:ind w:firstLine="420" w:firstLineChars="200"/>
        <w:rPr>
          <w:rFonts w:hint="eastAsia" w:ascii="宋体" w:hAnsi="宋体" w:cs="等线"/>
          <w:highlight w:val="none"/>
        </w:rPr>
      </w:pPr>
      <w:r>
        <w:rPr>
          <w:rFonts w:hint="eastAsia" w:ascii="宋体" w:hAnsi="宋体" w:cs="等线"/>
          <w:highlight w:val="none"/>
        </w:rPr>
        <w:t>图纸与技术标准和要求之间有矛盾或者不一致的，以其中要求较严格的标准为准。</w:t>
      </w:r>
    </w:p>
    <w:p w14:paraId="77D24BBF">
      <w:pPr>
        <w:spacing w:line="360" w:lineRule="auto"/>
        <w:ind w:firstLine="420" w:firstLineChars="200"/>
        <w:rPr>
          <w:rFonts w:hint="eastAsia" w:ascii="宋体" w:hAnsi="宋体" w:cs="等线"/>
          <w:highlight w:val="none"/>
        </w:rPr>
      </w:pPr>
      <w:r>
        <w:rPr>
          <w:rFonts w:hint="eastAsia" w:ascii="宋体" w:hAnsi="宋体" w:cs="等线"/>
          <w:highlight w:val="none"/>
        </w:rPr>
        <w:t>合同双方在合同履行过程中签订的补充协议亦构成合同文件的组成部分，其解释顺序视其内容与其他合同文件的相互关系而定。</w:t>
      </w:r>
    </w:p>
    <w:p w14:paraId="58C1EB2B">
      <w:pPr>
        <w:keepNext/>
        <w:keepLines/>
        <w:spacing w:line="360" w:lineRule="auto"/>
        <w:outlineLvl w:val="2"/>
        <w:rPr>
          <w:rFonts w:hint="eastAsia" w:ascii="宋体" w:hAnsi="宋体" w:cs="等线"/>
          <w:sz w:val="24"/>
          <w:highlight w:val="none"/>
        </w:rPr>
      </w:pPr>
      <w:bookmarkStart w:id="1525" w:name="_Toc18405"/>
      <w:bookmarkStart w:id="1526" w:name="_Toc159950770"/>
      <w:bookmarkStart w:id="1527" w:name="_Toc38732151"/>
      <w:r>
        <w:rPr>
          <w:rFonts w:hint="eastAsia" w:ascii="宋体" w:hAnsi="宋体" w:cs="等线"/>
          <w:sz w:val="24"/>
          <w:highlight w:val="none"/>
        </w:rPr>
        <w:t>1.5 合同协议书</w:t>
      </w:r>
      <w:bookmarkEnd w:id="1525"/>
      <w:bookmarkEnd w:id="1526"/>
      <w:bookmarkEnd w:id="1527"/>
    </w:p>
    <w:p w14:paraId="434BCED6">
      <w:pPr>
        <w:spacing w:line="360" w:lineRule="auto"/>
        <w:ind w:firstLine="420" w:firstLineChars="200"/>
        <w:rPr>
          <w:rFonts w:hint="eastAsia" w:ascii="宋体" w:hAnsi="宋体" w:cs="等线"/>
          <w:highlight w:val="none"/>
          <w:u w:val="single"/>
        </w:rPr>
      </w:pPr>
      <w:r>
        <w:rPr>
          <w:rFonts w:hint="eastAsia" w:ascii="宋体" w:hAnsi="宋体" w:cs="等线"/>
          <w:highlight w:val="none"/>
        </w:rPr>
        <w:t>合同生效的条件：</w:t>
      </w:r>
      <w:r>
        <w:rPr>
          <w:rFonts w:hint="eastAsia" w:ascii="宋体" w:hAnsi="宋体" w:cs="等线"/>
          <w:highlight w:val="none"/>
          <w:u w:val="single"/>
        </w:rPr>
        <w:t xml:space="preserve"> 自发包人和承包人的法定代表人或其委托代理人在合同协议书上签字并盖单位章后</w:t>
      </w:r>
      <w:r>
        <w:rPr>
          <w:rFonts w:hint="eastAsia" w:ascii="宋体" w:hAnsi="宋体" w:cs="等线"/>
          <w:highlight w:val="none"/>
        </w:rPr>
        <w:t>。</w:t>
      </w:r>
    </w:p>
    <w:p w14:paraId="216B1331">
      <w:pPr>
        <w:keepNext/>
        <w:keepLines/>
        <w:spacing w:line="360" w:lineRule="auto"/>
        <w:outlineLvl w:val="2"/>
        <w:rPr>
          <w:rFonts w:hint="eastAsia" w:ascii="宋体" w:hAnsi="宋体" w:cs="等线"/>
          <w:sz w:val="24"/>
          <w:highlight w:val="none"/>
        </w:rPr>
      </w:pPr>
      <w:bookmarkStart w:id="1528" w:name="_Toc38732152"/>
      <w:bookmarkStart w:id="1529" w:name="_Toc31330"/>
      <w:bookmarkStart w:id="1530" w:name="_Toc159950771"/>
      <w:r>
        <w:rPr>
          <w:rFonts w:hint="eastAsia" w:ascii="宋体" w:hAnsi="宋体" w:cs="等线"/>
          <w:sz w:val="24"/>
          <w:highlight w:val="none"/>
        </w:rPr>
        <w:t>1.6 图纸和承包人文件</w:t>
      </w:r>
      <w:bookmarkEnd w:id="1528"/>
      <w:bookmarkEnd w:id="1529"/>
      <w:bookmarkEnd w:id="1530"/>
    </w:p>
    <w:p w14:paraId="46927822">
      <w:pPr>
        <w:spacing w:line="360" w:lineRule="auto"/>
        <w:ind w:firstLine="420" w:firstLineChars="200"/>
        <w:rPr>
          <w:rFonts w:hint="eastAsia" w:ascii="宋体" w:hAnsi="宋体" w:cs="等线"/>
          <w:highlight w:val="none"/>
        </w:rPr>
      </w:pPr>
      <w:r>
        <w:rPr>
          <w:rFonts w:hint="eastAsia" w:ascii="宋体" w:hAnsi="宋体" w:cs="等线"/>
          <w:highlight w:val="none"/>
        </w:rPr>
        <w:t>1.6.1图纸的提供（本项目不适用）</w:t>
      </w:r>
    </w:p>
    <w:p w14:paraId="30A599E2">
      <w:pPr>
        <w:spacing w:line="360" w:lineRule="auto"/>
        <w:ind w:firstLine="315" w:firstLineChars="150"/>
        <w:rPr>
          <w:rFonts w:hint="eastAsia" w:ascii="宋体" w:hAnsi="宋体" w:cs="等线"/>
          <w:highlight w:val="none"/>
        </w:rPr>
      </w:pPr>
      <w:r>
        <w:rPr>
          <w:rFonts w:hint="eastAsia" w:ascii="宋体" w:hAnsi="宋体" w:cs="等线"/>
          <w:highlight w:val="none"/>
        </w:rPr>
        <w:t>（1） 发包人按照合同条款本项的约定向承包人提供图纸。承包人需要增加图纸套数的，发包人应代为复制，复制费用由承包人承担。</w:t>
      </w:r>
    </w:p>
    <w:p w14:paraId="722C6AC6">
      <w:pPr>
        <w:spacing w:line="360" w:lineRule="auto"/>
        <w:ind w:firstLine="315" w:firstLineChars="150"/>
        <w:rPr>
          <w:rFonts w:hint="eastAsia" w:ascii="宋体" w:hAnsi="宋体" w:cs="等线"/>
          <w:highlight w:val="none"/>
        </w:rPr>
      </w:pPr>
      <w:r>
        <w:rPr>
          <w:rFonts w:hint="eastAsia" w:ascii="宋体" w:hAnsi="宋体" w:cs="等线"/>
          <w:highlight w:val="none"/>
        </w:rPr>
        <w:t>（2） 在监理人批准合同条款第10.1款约定的合同进度计划或者合同条款10.2款约定的合同进度计划修改后7天内,承包人应当根据合同进度计划和本项约定的图纸提供期限和数量，编制或者修改图纸供应计划并报送监理人，其中应当载明承包人对各区段最新版本图纸(包括合同条款第1.6.3项约定的图纸修改图)的最迟需求时间，监理人应当在收到图纸供应计划后7天内批复或提出修改意见，否则该图纸供应计划视为得到批准。经监理人批准的最新的图纸供应计划对合同双方有合同约束力，作为发包人或者监理人向承包人提供图纸的主要依据。发包人或者监理人不按照图纸供应计划提供图纸而导致承包人费用增加和（或）工期延误的，由发包人承担赔偿责任。承包人未按照本目约定的时间向监理人提交图纸供应计划,致使发包人或者监理人未能在合理的时间内提供相应图纸或者承包人未按照图纸供应计划组织施工所造成的费用增加和（或）工期延误由承包人承担。</w:t>
      </w:r>
    </w:p>
    <w:p w14:paraId="3EF502D3">
      <w:pPr>
        <w:spacing w:line="360" w:lineRule="auto"/>
        <w:ind w:firstLine="315" w:firstLineChars="150"/>
        <w:rPr>
          <w:rFonts w:hint="eastAsia" w:ascii="宋体" w:hAnsi="宋体" w:cs="等线"/>
          <w:highlight w:val="none"/>
        </w:rPr>
      </w:pPr>
      <w:r>
        <w:rPr>
          <w:rFonts w:hint="eastAsia" w:ascii="宋体" w:hAnsi="宋体" w:cs="等线"/>
          <w:highlight w:val="none"/>
        </w:rPr>
        <w:t>（3）发包人提供图纸的期限：</w:t>
      </w:r>
      <w:r>
        <w:rPr>
          <w:rFonts w:hint="eastAsia" w:ascii="宋体" w:hAnsi="宋体" w:cs="等线"/>
          <w:highlight w:val="none"/>
          <w:u w:val="single"/>
        </w:rPr>
        <w:t xml:space="preserve">      /                      </w:t>
      </w:r>
      <w:r>
        <w:rPr>
          <w:rFonts w:hint="eastAsia" w:ascii="宋体" w:hAnsi="宋体" w:cs="等线"/>
          <w:highlight w:val="none"/>
        </w:rPr>
        <w:t>。</w:t>
      </w:r>
    </w:p>
    <w:p w14:paraId="4F005370">
      <w:pPr>
        <w:spacing w:line="360" w:lineRule="auto"/>
        <w:ind w:firstLine="315" w:firstLineChars="150"/>
        <w:rPr>
          <w:rFonts w:hint="eastAsia" w:ascii="宋体" w:hAnsi="宋体" w:cs="等线"/>
          <w:highlight w:val="none"/>
        </w:rPr>
      </w:pPr>
      <w:r>
        <w:rPr>
          <w:rFonts w:hint="eastAsia" w:ascii="宋体" w:hAnsi="宋体" w:cs="等线"/>
          <w:highlight w:val="none"/>
        </w:rPr>
        <w:t>（4）发包人提供图纸的数量：</w:t>
      </w:r>
      <w:r>
        <w:rPr>
          <w:rFonts w:hint="eastAsia" w:ascii="宋体" w:hAnsi="宋体" w:cs="等线"/>
          <w:highlight w:val="none"/>
          <w:u w:val="single"/>
        </w:rPr>
        <w:t xml:space="preserve">      </w:t>
      </w:r>
      <w:r>
        <w:rPr>
          <w:rFonts w:ascii="宋体" w:hAnsi="宋体" w:cs="等线"/>
          <w:highlight w:val="none"/>
          <w:u w:val="single"/>
        </w:rPr>
        <w:t>/</w:t>
      </w:r>
      <w:r>
        <w:rPr>
          <w:rFonts w:hint="eastAsia" w:ascii="宋体" w:hAnsi="宋体" w:cs="等线"/>
          <w:highlight w:val="none"/>
          <w:u w:val="single"/>
        </w:rPr>
        <w:t xml:space="preserve">                      </w:t>
      </w:r>
      <w:r>
        <w:rPr>
          <w:rFonts w:hint="eastAsia" w:ascii="宋体" w:hAnsi="宋体" w:cs="等线"/>
          <w:highlight w:val="none"/>
        </w:rPr>
        <w:t>。</w:t>
      </w:r>
    </w:p>
    <w:p w14:paraId="65C7CAC3">
      <w:pPr>
        <w:spacing w:line="360" w:lineRule="auto"/>
        <w:ind w:firstLine="420" w:firstLineChars="200"/>
        <w:rPr>
          <w:rFonts w:hint="eastAsia" w:ascii="宋体" w:hAnsi="宋体" w:cs="等线"/>
          <w:highlight w:val="none"/>
        </w:rPr>
      </w:pPr>
      <w:r>
        <w:rPr>
          <w:rFonts w:hint="eastAsia" w:ascii="宋体" w:hAnsi="宋体" w:cs="等线"/>
          <w:highlight w:val="none"/>
        </w:rPr>
        <w:t>1.6.2 承包人提供的文件</w:t>
      </w:r>
    </w:p>
    <w:p w14:paraId="0A3B92E7">
      <w:pPr>
        <w:spacing w:line="360" w:lineRule="auto"/>
        <w:ind w:firstLine="315" w:firstLineChars="150"/>
        <w:rPr>
          <w:rFonts w:hint="eastAsia" w:ascii="宋体" w:hAnsi="宋体" w:cs="等线"/>
          <w:highlight w:val="none"/>
          <w:u w:val="single"/>
        </w:rPr>
      </w:pPr>
      <w:r>
        <w:rPr>
          <w:rFonts w:hint="eastAsia" w:ascii="宋体" w:hAnsi="宋体" w:cs="等线"/>
          <w:highlight w:val="none"/>
        </w:rPr>
        <w:t>（1）除专用合同条款第4.1.10(1)目约定的由承包人提供的设计文件外，本项约定的其他应由承包人提供的文件，包括必要的加工图和大样图，均不是合同计量与支付的依据文件。由承包人提供的文件范围：</w:t>
      </w:r>
      <w:r>
        <w:rPr>
          <w:rFonts w:hint="eastAsia" w:ascii="宋体" w:hAnsi="宋体" w:cs="等线"/>
          <w:highlight w:val="none"/>
          <w:u w:val="single"/>
        </w:rPr>
        <w:t xml:space="preserve">A:承包人在开工前，图纸会审时可对施工图（如涉及）、工程量清单中的缺项、漏项、设计不明确等问题提出。B：根据本项目实际情况调整后的施工组织设计、分包计划、分包及材料设备招标采购计划等。承包人所提交的施工组织设计不能低于承包人在投标施工方案内所说明的所有工程内容和承诺的标准。因承包人提交的施工方案不能通过监理工程师审查而造成工期延误，承包人自行承担。C: 承包人应按照监理人同意的格式和详细程度，提交工程进度计划，并获得监理人的批准。该进度计划不得对随投标文件提交的施工组织设计中相应内容做出实质性变动。D:工程竣工图纸（如涉及），工程验收资料 </w:t>
      </w:r>
      <w:r>
        <w:rPr>
          <w:rFonts w:hint="eastAsia" w:ascii="宋体" w:hAnsi="宋体" w:cs="等线"/>
          <w:highlight w:val="none"/>
        </w:rPr>
        <w:t>。</w:t>
      </w:r>
    </w:p>
    <w:p w14:paraId="37E7249C">
      <w:pPr>
        <w:spacing w:line="360" w:lineRule="auto"/>
        <w:ind w:firstLine="315" w:firstLineChars="150"/>
        <w:rPr>
          <w:rFonts w:hint="eastAsia" w:ascii="宋体" w:hAnsi="宋体" w:cs="等线"/>
          <w:highlight w:val="none"/>
          <w:u w:val="single"/>
        </w:rPr>
      </w:pPr>
      <w:r>
        <w:rPr>
          <w:rFonts w:hint="eastAsia" w:ascii="宋体" w:hAnsi="宋体" w:cs="等线"/>
          <w:highlight w:val="none"/>
        </w:rPr>
        <w:t>（2）承包人提供文件的期限：</w:t>
      </w:r>
      <w:r>
        <w:rPr>
          <w:rFonts w:hint="eastAsia" w:ascii="宋体" w:hAnsi="宋体" w:cs="等线"/>
          <w:highlight w:val="none"/>
          <w:u w:val="single"/>
        </w:rPr>
        <w:t xml:space="preserve">  合同签订后10日内；竣工验收完成后10个日内</w:t>
      </w:r>
      <w:r>
        <w:rPr>
          <w:rFonts w:hint="eastAsia" w:ascii="宋体" w:hAnsi="宋体" w:cs="等线"/>
          <w:highlight w:val="none"/>
        </w:rPr>
        <w:t>。</w:t>
      </w:r>
    </w:p>
    <w:p w14:paraId="39124AC2">
      <w:pPr>
        <w:spacing w:line="360" w:lineRule="auto"/>
        <w:ind w:firstLine="315" w:firstLineChars="150"/>
        <w:rPr>
          <w:rFonts w:hint="eastAsia" w:ascii="宋体" w:hAnsi="宋体" w:cs="等线"/>
          <w:highlight w:val="none"/>
          <w:u w:val="single"/>
        </w:rPr>
      </w:pPr>
      <w:r>
        <w:rPr>
          <w:rFonts w:hint="eastAsia" w:ascii="宋体" w:hAnsi="宋体" w:cs="等线"/>
          <w:highlight w:val="none"/>
        </w:rPr>
        <w:t>（3）承包人提供文件的数量：</w:t>
      </w:r>
      <w:r>
        <w:rPr>
          <w:rFonts w:hint="eastAsia" w:ascii="宋体" w:hAnsi="宋体" w:cs="等线"/>
          <w:highlight w:val="none"/>
          <w:u w:val="single"/>
        </w:rPr>
        <w:t xml:space="preserve">   一式三份  </w:t>
      </w:r>
      <w:r>
        <w:rPr>
          <w:rFonts w:hint="eastAsia" w:ascii="宋体" w:hAnsi="宋体" w:cs="等线"/>
          <w:highlight w:val="none"/>
        </w:rPr>
        <w:t>。</w:t>
      </w:r>
    </w:p>
    <w:p w14:paraId="649844BA">
      <w:pPr>
        <w:spacing w:line="360" w:lineRule="auto"/>
        <w:ind w:firstLine="315" w:firstLineChars="150"/>
        <w:rPr>
          <w:rFonts w:hint="eastAsia" w:ascii="宋体" w:hAnsi="宋体" w:cs="等线"/>
          <w:highlight w:val="none"/>
        </w:rPr>
      </w:pPr>
      <w:r>
        <w:rPr>
          <w:rFonts w:hint="eastAsia" w:ascii="宋体" w:hAnsi="宋体" w:cs="等线"/>
          <w:highlight w:val="none"/>
        </w:rPr>
        <w:t>（4）监理人批复承包人提供文件的期限：</w:t>
      </w:r>
      <w:r>
        <w:rPr>
          <w:rFonts w:hint="eastAsia" w:ascii="宋体" w:hAnsi="宋体" w:cs="等线"/>
          <w:highlight w:val="none"/>
          <w:u w:val="single"/>
        </w:rPr>
        <w:t xml:space="preserve">  收到承包人提供的文件后7日内   </w:t>
      </w:r>
      <w:r>
        <w:rPr>
          <w:rFonts w:hint="eastAsia" w:ascii="宋体" w:hAnsi="宋体" w:cs="等线"/>
          <w:highlight w:val="none"/>
        </w:rPr>
        <w:t>。</w:t>
      </w:r>
    </w:p>
    <w:p w14:paraId="3AE0EEDC">
      <w:pPr>
        <w:spacing w:line="360" w:lineRule="auto"/>
        <w:ind w:firstLine="315" w:firstLineChars="150"/>
        <w:rPr>
          <w:rFonts w:hint="eastAsia" w:ascii="宋体" w:hAnsi="宋体" w:cs="等线"/>
          <w:highlight w:val="none"/>
          <w:u w:val="single"/>
        </w:rPr>
      </w:pPr>
      <w:r>
        <w:rPr>
          <w:rFonts w:hint="eastAsia" w:ascii="宋体" w:hAnsi="宋体" w:cs="等线"/>
          <w:highlight w:val="none"/>
        </w:rPr>
        <w:t>（5）其他约定：</w:t>
      </w:r>
      <w:r>
        <w:rPr>
          <w:rFonts w:hint="eastAsia" w:ascii="宋体" w:hAnsi="宋体" w:cs="等线"/>
          <w:highlight w:val="none"/>
          <w:u w:val="single"/>
        </w:rPr>
        <w:t xml:space="preserve"> 承包人应当在合同履行期间，每月25日提供当月工程统计报表及下月计划报表，其相应费用已包含在合同价款中</w:t>
      </w:r>
      <w:r>
        <w:rPr>
          <w:rFonts w:hint="eastAsia" w:ascii="宋体" w:hAnsi="宋体" w:cs="等线"/>
          <w:highlight w:val="none"/>
        </w:rPr>
        <w:t>。</w:t>
      </w:r>
    </w:p>
    <w:p w14:paraId="01471E62">
      <w:pPr>
        <w:spacing w:line="360" w:lineRule="auto"/>
        <w:ind w:firstLine="420" w:firstLineChars="200"/>
        <w:rPr>
          <w:rFonts w:hint="eastAsia" w:ascii="宋体" w:hAnsi="宋体" w:cs="等线"/>
          <w:highlight w:val="none"/>
        </w:rPr>
      </w:pPr>
      <w:r>
        <w:rPr>
          <w:rFonts w:hint="eastAsia" w:ascii="宋体" w:hAnsi="宋体" w:cs="等线"/>
          <w:highlight w:val="none"/>
        </w:rPr>
        <w:t>1.6.3 图纸的修改（本项目不适用）</w:t>
      </w:r>
    </w:p>
    <w:p w14:paraId="11BA8182">
      <w:pPr>
        <w:spacing w:line="360" w:lineRule="auto"/>
        <w:ind w:firstLine="420" w:firstLineChars="200"/>
        <w:rPr>
          <w:rFonts w:hint="eastAsia" w:ascii="宋体" w:hAnsi="宋体" w:cs="等线"/>
          <w:highlight w:val="none"/>
        </w:rPr>
      </w:pPr>
      <w:r>
        <w:rPr>
          <w:rFonts w:hint="eastAsia" w:ascii="宋体" w:hAnsi="宋体" w:cs="等线"/>
          <w:highlight w:val="none"/>
        </w:rPr>
        <w:t>监理人应当按照合同条款第1.6.1（2）目约定的有合同约束力的图纸供应计划，签发图纸修改图给承包人。</w:t>
      </w:r>
    </w:p>
    <w:p w14:paraId="0E45DE20">
      <w:pPr>
        <w:keepNext/>
        <w:keepLines/>
        <w:spacing w:line="360" w:lineRule="auto"/>
        <w:outlineLvl w:val="2"/>
        <w:rPr>
          <w:rFonts w:hint="eastAsia" w:ascii="宋体" w:hAnsi="宋体" w:cs="等线"/>
          <w:sz w:val="24"/>
          <w:highlight w:val="none"/>
        </w:rPr>
      </w:pPr>
      <w:bookmarkStart w:id="1531" w:name="_Toc38732153"/>
      <w:bookmarkStart w:id="1532" w:name="_Toc159950772"/>
      <w:bookmarkStart w:id="1533" w:name="_Toc12377"/>
      <w:r>
        <w:rPr>
          <w:rFonts w:hint="eastAsia" w:ascii="宋体" w:hAnsi="宋体" w:cs="等线"/>
          <w:sz w:val="24"/>
          <w:highlight w:val="none"/>
        </w:rPr>
        <w:t>1.7 联 络</w:t>
      </w:r>
      <w:bookmarkEnd w:id="1531"/>
      <w:bookmarkEnd w:id="1532"/>
      <w:bookmarkEnd w:id="1533"/>
    </w:p>
    <w:p w14:paraId="25BCC0C3">
      <w:pPr>
        <w:spacing w:line="360" w:lineRule="auto"/>
        <w:ind w:firstLine="420" w:firstLineChars="200"/>
        <w:rPr>
          <w:rFonts w:hint="eastAsia" w:ascii="宋体" w:hAnsi="宋体" w:cs="等线"/>
          <w:highlight w:val="none"/>
        </w:rPr>
      </w:pPr>
      <w:r>
        <w:rPr>
          <w:rFonts w:hint="eastAsia" w:ascii="宋体" w:hAnsi="宋体" w:cs="等线"/>
          <w:highlight w:val="none"/>
        </w:rPr>
        <w:t>1.7.2联络来往函件的送达和接收</w:t>
      </w:r>
    </w:p>
    <w:p w14:paraId="6550D72E">
      <w:pPr>
        <w:spacing w:line="360" w:lineRule="auto"/>
        <w:ind w:firstLine="315" w:firstLineChars="150"/>
        <w:rPr>
          <w:rFonts w:hint="eastAsia" w:ascii="宋体" w:hAnsi="宋体" w:cs="等线"/>
          <w:highlight w:val="none"/>
        </w:rPr>
      </w:pPr>
      <w:r>
        <w:rPr>
          <w:rFonts w:hint="eastAsia" w:ascii="宋体" w:hAnsi="宋体" w:cs="等线"/>
          <w:highlight w:val="none"/>
        </w:rPr>
        <w:t>（1）联络来往信函的送达期限：合同约定了发出期限的，送达期限为合同约定的发出期限后的24小时内；合同约定了通知、提供或者报送期限的，通知、提供或者报送期限即为送达期限。</w:t>
      </w:r>
    </w:p>
    <w:p w14:paraId="25648DE5">
      <w:pPr>
        <w:spacing w:line="360" w:lineRule="auto"/>
        <w:ind w:firstLine="315" w:firstLineChars="150"/>
        <w:rPr>
          <w:rFonts w:hint="eastAsia" w:ascii="宋体" w:hAnsi="宋体" w:cs="等线"/>
          <w:highlight w:val="none"/>
        </w:rPr>
      </w:pPr>
      <w:r>
        <w:rPr>
          <w:rFonts w:hint="eastAsia" w:ascii="宋体" w:hAnsi="宋体" w:cs="等线"/>
          <w:highlight w:val="none"/>
        </w:rPr>
        <w:t>（2）发包人指定的接收地点：</w:t>
      </w:r>
      <w:r>
        <w:rPr>
          <w:rFonts w:hint="eastAsia" w:ascii="宋体" w:hAnsi="宋体" w:cs="等线"/>
          <w:highlight w:val="none"/>
          <w:u w:val="single"/>
        </w:rPr>
        <w:t xml:space="preserve"> 北京财贸职业学院 </w:t>
      </w:r>
      <w:r>
        <w:rPr>
          <w:rFonts w:ascii="宋体" w:hAnsi="宋体" w:cs="等线"/>
          <w:highlight w:val="none"/>
          <w:u w:val="single"/>
        </w:rPr>
        <w:t xml:space="preserve">     </w:t>
      </w:r>
      <w:r>
        <w:rPr>
          <w:rFonts w:hint="eastAsia" w:ascii="宋体" w:hAnsi="宋体" w:cs="等线"/>
          <w:highlight w:val="none"/>
          <w:u w:val="single"/>
        </w:rPr>
        <w:t xml:space="preserve">  </w:t>
      </w:r>
      <w:r>
        <w:rPr>
          <w:rFonts w:hint="eastAsia" w:ascii="宋体" w:hAnsi="宋体" w:cs="等线"/>
          <w:highlight w:val="none"/>
        </w:rPr>
        <w:t>。</w:t>
      </w:r>
    </w:p>
    <w:p w14:paraId="2FEDE356">
      <w:pPr>
        <w:spacing w:line="360" w:lineRule="auto"/>
        <w:ind w:firstLine="315" w:firstLineChars="150"/>
        <w:rPr>
          <w:rFonts w:hint="eastAsia" w:ascii="宋体" w:hAnsi="宋体" w:cs="等线"/>
          <w:highlight w:val="none"/>
        </w:rPr>
      </w:pPr>
      <w:r>
        <w:rPr>
          <w:rFonts w:hint="eastAsia" w:ascii="宋体" w:hAnsi="宋体" w:cs="等线"/>
          <w:highlight w:val="none"/>
        </w:rPr>
        <w:t>（3）发包人指定的接收人为：</w:t>
      </w:r>
      <w:r>
        <w:rPr>
          <w:rFonts w:hint="eastAsia" w:ascii="宋体" w:hAnsi="宋体" w:cs="等线"/>
          <w:highlight w:val="none"/>
          <w:u w:val="single"/>
        </w:rPr>
        <w:t xml:space="preserve">         </w:t>
      </w:r>
      <w:r>
        <w:rPr>
          <w:rFonts w:ascii="宋体" w:hAnsi="宋体" w:cs="等线"/>
          <w:highlight w:val="none"/>
          <w:u w:val="single"/>
        </w:rPr>
        <w:t xml:space="preserve"> </w:t>
      </w:r>
      <w:r>
        <w:rPr>
          <w:rFonts w:hint="eastAsia" w:ascii="宋体" w:hAnsi="宋体" w:cs="等线"/>
          <w:highlight w:val="none"/>
          <w:u w:val="single"/>
        </w:rPr>
        <w:t xml:space="preserve">               </w:t>
      </w:r>
      <w:r>
        <w:rPr>
          <w:rFonts w:hint="eastAsia" w:ascii="宋体" w:hAnsi="宋体" w:cs="等线"/>
          <w:highlight w:val="none"/>
        </w:rPr>
        <w:t>。</w:t>
      </w:r>
    </w:p>
    <w:p w14:paraId="6D0C1AFA">
      <w:pPr>
        <w:spacing w:line="360" w:lineRule="auto"/>
        <w:ind w:firstLine="315" w:firstLineChars="150"/>
        <w:rPr>
          <w:rFonts w:hint="eastAsia" w:ascii="宋体" w:hAnsi="宋体" w:cs="等线"/>
          <w:highlight w:val="none"/>
        </w:rPr>
      </w:pPr>
      <w:r>
        <w:rPr>
          <w:rFonts w:hint="eastAsia" w:ascii="宋体" w:hAnsi="宋体" w:cs="等线"/>
          <w:highlight w:val="none"/>
        </w:rPr>
        <w:t>（4）监理人指定的接收地点：</w:t>
      </w:r>
      <w:r>
        <w:rPr>
          <w:rFonts w:hint="eastAsia" w:ascii="宋体" w:hAnsi="宋体" w:cs="等线"/>
          <w:highlight w:val="none"/>
          <w:u w:val="single"/>
        </w:rPr>
        <w:t xml:space="preserve">   按发包人要求  </w:t>
      </w:r>
      <w:r>
        <w:rPr>
          <w:rFonts w:hint="eastAsia" w:ascii="宋体" w:hAnsi="宋体" w:cs="等线"/>
          <w:highlight w:val="none"/>
        </w:rPr>
        <w:t>。</w:t>
      </w:r>
    </w:p>
    <w:p w14:paraId="0BDB63A9">
      <w:pPr>
        <w:spacing w:line="360" w:lineRule="auto"/>
        <w:ind w:firstLine="315" w:firstLineChars="150"/>
        <w:rPr>
          <w:rFonts w:hint="eastAsia" w:ascii="宋体" w:hAnsi="宋体" w:cs="等线"/>
          <w:highlight w:val="none"/>
        </w:rPr>
      </w:pPr>
      <w:r>
        <w:rPr>
          <w:rFonts w:hint="eastAsia" w:ascii="宋体" w:hAnsi="宋体" w:cs="等线"/>
          <w:highlight w:val="none"/>
        </w:rPr>
        <w:t>（5）监理人指定的接收人为：</w:t>
      </w:r>
      <w:r>
        <w:rPr>
          <w:rFonts w:hint="eastAsia" w:ascii="宋体" w:hAnsi="宋体" w:cs="等线"/>
          <w:highlight w:val="none"/>
          <w:u w:val="single"/>
        </w:rPr>
        <w:t xml:space="preserve">   按发包人要求  </w:t>
      </w:r>
      <w:r>
        <w:rPr>
          <w:rFonts w:hint="eastAsia" w:ascii="宋体" w:hAnsi="宋体" w:cs="等线"/>
          <w:highlight w:val="none"/>
        </w:rPr>
        <w:t>。</w:t>
      </w:r>
    </w:p>
    <w:p w14:paraId="11DE2D9A">
      <w:pPr>
        <w:spacing w:line="360" w:lineRule="auto"/>
        <w:ind w:firstLine="315" w:firstLineChars="150"/>
        <w:rPr>
          <w:rFonts w:hint="eastAsia" w:ascii="宋体" w:hAnsi="宋体" w:cs="等线"/>
          <w:highlight w:val="none"/>
        </w:rPr>
      </w:pPr>
      <w:r>
        <w:rPr>
          <w:rFonts w:hint="eastAsia" w:ascii="宋体" w:hAnsi="宋体" w:cs="等线"/>
          <w:highlight w:val="none"/>
        </w:rPr>
        <w:t>（6）承包人指定的接收人为合同协议书中载明的承包人项目经理本人或者项目经理的授权代表。承包人应在收到开工通知后7天内，按照合同条款第4.5.4项的约定，将授权代表其接收来往信函的项目经理的授权代表姓名和授权范围通知监理人。除合同另有约定外，承包人施工场地管理机构的办公地点即为承包人指定的接收地点。</w:t>
      </w:r>
    </w:p>
    <w:p w14:paraId="043A342F">
      <w:pPr>
        <w:spacing w:line="360" w:lineRule="auto"/>
        <w:ind w:firstLine="315" w:firstLineChars="150"/>
        <w:rPr>
          <w:rFonts w:hint="eastAsia" w:ascii="宋体" w:hAnsi="宋体" w:cs="等线"/>
          <w:highlight w:val="none"/>
        </w:rPr>
      </w:pPr>
      <w:r>
        <w:rPr>
          <w:rFonts w:hint="eastAsia" w:ascii="宋体" w:hAnsi="宋体" w:cs="等线"/>
          <w:highlight w:val="none"/>
        </w:rPr>
        <w:t>（7）发包人（包括监理人）和承包人中任何一方指定的接收人或者接收地点发生变动，应当在实际变动前提前至少一个工作日以书面方式通知另一方。发包人（包括监理人）和承包人应当确保其各自指定的接收人在法定的和（或）符合合同约定的工作时间内始终工作在指定的接收地点，指定接收人离开工作岗位而无法及时签收来往信函构成拒不签收。</w:t>
      </w:r>
    </w:p>
    <w:p w14:paraId="247B2EBF">
      <w:pPr>
        <w:spacing w:line="360" w:lineRule="auto"/>
        <w:ind w:firstLine="315" w:firstLineChars="150"/>
        <w:rPr>
          <w:rFonts w:hint="eastAsia" w:ascii="宋体" w:hAnsi="宋体" w:cs="等线"/>
          <w:highlight w:val="none"/>
        </w:rPr>
      </w:pPr>
      <w:r>
        <w:rPr>
          <w:rFonts w:hint="eastAsia" w:ascii="宋体" w:hAnsi="宋体" w:cs="等线"/>
          <w:highlight w:val="none"/>
        </w:rPr>
        <w:t>（8）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14:paraId="15654A26">
      <w:pPr>
        <w:keepNext/>
        <w:keepLines/>
        <w:spacing w:line="400" w:lineRule="exact"/>
        <w:outlineLvl w:val="1"/>
        <w:rPr>
          <w:rFonts w:hint="eastAsia" w:ascii="宋体" w:hAnsi="宋体" w:cs="等线"/>
          <w:sz w:val="24"/>
          <w:highlight w:val="none"/>
        </w:rPr>
      </w:pPr>
      <w:bookmarkStart w:id="1534" w:name="_Toc18100"/>
      <w:bookmarkStart w:id="1535" w:name="_Toc30110"/>
      <w:bookmarkStart w:id="1536" w:name="_Toc159950773"/>
      <w:bookmarkStart w:id="1537" w:name="_Toc38732154"/>
      <w:r>
        <w:rPr>
          <w:rFonts w:hint="eastAsia" w:ascii="宋体" w:hAnsi="宋体" w:cs="等线"/>
          <w:sz w:val="24"/>
          <w:highlight w:val="none"/>
        </w:rPr>
        <w:t>2. 发包人义务</w:t>
      </w:r>
      <w:bookmarkEnd w:id="1534"/>
      <w:bookmarkEnd w:id="1535"/>
      <w:bookmarkEnd w:id="1536"/>
      <w:bookmarkEnd w:id="1537"/>
    </w:p>
    <w:p w14:paraId="28046910">
      <w:pPr>
        <w:keepNext/>
        <w:keepLines/>
        <w:spacing w:line="360" w:lineRule="auto"/>
        <w:outlineLvl w:val="2"/>
        <w:rPr>
          <w:rFonts w:hint="eastAsia" w:ascii="宋体" w:hAnsi="宋体" w:cs="等线"/>
          <w:sz w:val="24"/>
          <w:highlight w:val="none"/>
        </w:rPr>
      </w:pPr>
      <w:bookmarkStart w:id="1538" w:name="_Toc16900"/>
      <w:bookmarkStart w:id="1539" w:name="_Toc159950774"/>
      <w:bookmarkStart w:id="1540" w:name="_Toc38732155"/>
      <w:r>
        <w:rPr>
          <w:rFonts w:hint="eastAsia" w:ascii="宋体" w:hAnsi="宋体" w:cs="等线"/>
          <w:sz w:val="24"/>
          <w:highlight w:val="none"/>
        </w:rPr>
        <w:t>2.3 提供施工场地</w:t>
      </w:r>
      <w:bookmarkEnd w:id="1538"/>
      <w:bookmarkEnd w:id="1539"/>
      <w:bookmarkEnd w:id="1540"/>
    </w:p>
    <w:p w14:paraId="6C3DF3B7">
      <w:pPr>
        <w:spacing w:line="360" w:lineRule="auto"/>
        <w:ind w:firstLine="420" w:firstLineChars="200"/>
        <w:rPr>
          <w:rFonts w:hint="eastAsia" w:ascii="宋体" w:hAnsi="宋体" w:cs="等线"/>
          <w:highlight w:val="none"/>
        </w:rPr>
      </w:pPr>
      <w:r>
        <w:rPr>
          <w:rFonts w:hint="eastAsia" w:ascii="宋体" w:hAnsi="宋体" w:cs="等线"/>
          <w:highlight w:val="none"/>
        </w:rPr>
        <w:t>施工场地应当在监理人发出的开工通知中载明的开工日期前</w:t>
      </w:r>
      <w:r>
        <w:rPr>
          <w:rFonts w:hint="eastAsia" w:ascii="宋体" w:hAnsi="宋体" w:cs="等线"/>
          <w:highlight w:val="none"/>
          <w:u w:val="single"/>
        </w:rPr>
        <w:t xml:space="preserve">  7  </w:t>
      </w:r>
      <w:r>
        <w:rPr>
          <w:rFonts w:hint="eastAsia" w:ascii="宋体" w:hAnsi="宋体" w:cs="等线"/>
          <w:highlight w:val="none"/>
        </w:rPr>
        <w:t>天具备施工条件并移交给承包人，具体施工条件在 “技术标准和要求”第一节“一般要求”中约定。发包人最迟应当在移交施工场地的同时向承包人提供施工场地内地下管线和地下设施等有关资料，并保证资料的真实、准确和完整。</w:t>
      </w:r>
    </w:p>
    <w:p w14:paraId="53D0F000">
      <w:pPr>
        <w:keepNext/>
        <w:keepLines/>
        <w:spacing w:line="360" w:lineRule="auto"/>
        <w:outlineLvl w:val="2"/>
        <w:rPr>
          <w:rFonts w:hint="eastAsia" w:ascii="宋体" w:hAnsi="宋体" w:cs="等线"/>
          <w:sz w:val="24"/>
          <w:highlight w:val="none"/>
        </w:rPr>
      </w:pPr>
      <w:bookmarkStart w:id="1541" w:name="_Toc159950775"/>
      <w:bookmarkStart w:id="1542" w:name="_Toc38732156"/>
      <w:bookmarkStart w:id="1543" w:name="_Toc21280"/>
      <w:r>
        <w:rPr>
          <w:rFonts w:hint="eastAsia" w:ascii="宋体" w:hAnsi="宋体" w:cs="等线"/>
          <w:sz w:val="24"/>
          <w:highlight w:val="none"/>
        </w:rPr>
        <w:t>2.5 组织设计交底</w:t>
      </w:r>
      <w:bookmarkEnd w:id="1541"/>
      <w:bookmarkEnd w:id="1542"/>
      <w:bookmarkEnd w:id="1543"/>
    </w:p>
    <w:p w14:paraId="341C3FCA">
      <w:pPr>
        <w:spacing w:line="360" w:lineRule="auto"/>
        <w:ind w:firstLine="420" w:firstLineChars="200"/>
        <w:rPr>
          <w:rFonts w:hint="eastAsia" w:ascii="宋体" w:hAnsi="宋体" w:cs="等线"/>
          <w:highlight w:val="none"/>
        </w:rPr>
      </w:pPr>
      <w:r>
        <w:rPr>
          <w:rFonts w:hint="eastAsia" w:ascii="宋体" w:hAnsi="宋体" w:cs="等线"/>
          <w:highlight w:val="none"/>
        </w:rPr>
        <w:t>发包人应当在合同条款11.1.1项约定的开工日期前组织设计人向承包人进行合同工程总体设计交底（包括图纸会审）。发包人还应按照合同进度计划中载明的阶段性设计交底时间组织和安排阶段工程设计交底（包括图纸会审）。承包人可以书面方式通过监理人向发包人申请增加紧急的设计交底，发包人在认为确有必要且条件许可时，应当尽快组织这类设计交底。</w:t>
      </w:r>
    </w:p>
    <w:p w14:paraId="16DC84E0">
      <w:pPr>
        <w:keepNext/>
        <w:keepLines/>
        <w:spacing w:line="360" w:lineRule="auto"/>
        <w:outlineLvl w:val="2"/>
        <w:rPr>
          <w:rFonts w:hint="eastAsia" w:ascii="宋体" w:hAnsi="宋体" w:cs="等线"/>
          <w:sz w:val="24"/>
          <w:highlight w:val="none"/>
        </w:rPr>
      </w:pPr>
      <w:bookmarkStart w:id="1544" w:name="_Toc38732157"/>
      <w:bookmarkStart w:id="1545" w:name="_Toc7188"/>
      <w:bookmarkStart w:id="1546" w:name="_Toc159950776"/>
      <w:r>
        <w:rPr>
          <w:rFonts w:hint="eastAsia" w:ascii="宋体" w:hAnsi="宋体" w:cs="等线"/>
          <w:sz w:val="24"/>
          <w:highlight w:val="none"/>
        </w:rPr>
        <w:t>2.8 其他义务</w:t>
      </w:r>
      <w:bookmarkEnd w:id="1544"/>
      <w:bookmarkEnd w:id="1545"/>
      <w:bookmarkEnd w:id="1546"/>
    </w:p>
    <w:p w14:paraId="2F87152E">
      <w:pPr>
        <w:spacing w:line="360" w:lineRule="auto"/>
        <w:ind w:firstLine="420" w:firstLineChars="200"/>
        <w:rPr>
          <w:rFonts w:hint="eastAsia" w:ascii="宋体" w:hAnsi="宋体" w:cs="等线"/>
          <w:highlight w:val="none"/>
        </w:rPr>
      </w:pPr>
      <w:r>
        <w:rPr>
          <w:rFonts w:hint="eastAsia" w:ascii="宋体" w:hAnsi="宋体" w:cs="等线"/>
          <w:highlight w:val="none"/>
        </w:rPr>
        <w:t>（1）向承包人提交对等的支付担保。在承包人按合同条款第4.2条向发包人递交符合合同约定的履约担保的同时，发包人应当按照金额和条件对等的原则和招标文件中规定的格式或者其他经过承包人事先认可的格式向承包人递交一份支付担保。支付担保的有效期应当自本合同生效之日起至发包人实际支付竣工付款之日止。如果发包人无法获得一份不带具体截止日期的担保，支付担保中应当有“变更工程竣工付款支付日期的，保证期间按照变更后的竣工付款支付日期做相应调整”或类似约定的条款。支付担保应在发包人付清竣工付款之日后28天内退还给发包人。承包人不承担发包人与支付担保有关的任何利息或其它类似的费用或者收益。支付担保是本合同的附件。</w:t>
      </w:r>
    </w:p>
    <w:p w14:paraId="3EC9345B">
      <w:pPr>
        <w:spacing w:line="360" w:lineRule="auto"/>
        <w:ind w:firstLine="315" w:firstLineChars="150"/>
        <w:rPr>
          <w:rFonts w:hint="eastAsia" w:ascii="宋体" w:hAnsi="宋体" w:cs="等线"/>
          <w:highlight w:val="none"/>
        </w:rPr>
      </w:pPr>
      <w:r>
        <w:rPr>
          <w:rFonts w:hint="eastAsia" w:ascii="宋体" w:hAnsi="宋体" w:cs="等线"/>
          <w:highlight w:val="none"/>
        </w:rPr>
        <w:t>（2）按有关规定及时办理工程质量监督手续。</w:t>
      </w:r>
    </w:p>
    <w:p w14:paraId="290A16D9">
      <w:pPr>
        <w:spacing w:line="360" w:lineRule="auto"/>
        <w:ind w:firstLine="315" w:firstLineChars="150"/>
        <w:rPr>
          <w:rFonts w:hint="eastAsia" w:ascii="宋体" w:hAnsi="宋体" w:cs="等线"/>
          <w:highlight w:val="none"/>
        </w:rPr>
      </w:pPr>
      <w:r>
        <w:rPr>
          <w:rFonts w:hint="eastAsia" w:ascii="宋体" w:hAnsi="宋体" w:cs="等线"/>
          <w:highlight w:val="none"/>
        </w:rPr>
        <w:t>（3）根据建设行政主管部门和（或）城市建设档案管理机构的规定，收集、整理、立卷、归档工程资料，并按规定时间向建设行政主管部门或者城市建设档案管理机构移交规定的工程档案。</w:t>
      </w:r>
    </w:p>
    <w:p w14:paraId="5A3D4423">
      <w:pPr>
        <w:spacing w:line="360" w:lineRule="auto"/>
        <w:ind w:firstLine="315" w:firstLineChars="150"/>
        <w:rPr>
          <w:rFonts w:hint="eastAsia" w:ascii="宋体" w:hAnsi="宋体" w:cs="等线"/>
          <w:highlight w:val="none"/>
        </w:rPr>
      </w:pPr>
      <w:r>
        <w:rPr>
          <w:rFonts w:hint="eastAsia" w:ascii="宋体" w:hAnsi="宋体" w:cs="等线"/>
          <w:highlight w:val="none"/>
        </w:rPr>
        <w:t>（4）批准和确认：按合同约定应当由监理人或者发包人回复、批复、批准、确认或提出修改意见的承包人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14:paraId="04DA3158">
      <w:pPr>
        <w:spacing w:line="360" w:lineRule="auto"/>
        <w:ind w:firstLine="315" w:firstLineChars="150"/>
        <w:rPr>
          <w:rFonts w:hint="eastAsia" w:ascii="宋体" w:hAnsi="宋体" w:cs="等线"/>
          <w:highlight w:val="none"/>
        </w:rPr>
      </w:pPr>
      <w:r>
        <w:rPr>
          <w:rFonts w:hint="eastAsia" w:ascii="宋体" w:hAnsi="宋体" w:cs="等线"/>
          <w:highlight w:val="none"/>
        </w:rPr>
        <w:t>（5）发包人应当履行合同约定的其他义务以及下述义务：</w:t>
      </w:r>
    </w:p>
    <w:p w14:paraId="45D33FD9">
      <w:pPr>
        <w:spacing w:line="360" w:lineRule="auto"/>
        <w:ind w:firstLine="315" w:firstLineChars="150"/>
        <w:rPr>
          <w:rFonts w:hint="eastAsia" w:ascii="宋体" w:hAnsi="宋体" w:cs="等线"/>
          <w:highlight w:val="none"/>
          <w:u w:val="single"/>
        </w:rPr>
      </w:pPr>
      <w:r>
        <w:rPr>
          <w:rFonts w:hint="eastAsia" w:ascii="宋体" w:hAnsi="宋体" w:cs="等线"/>
          <w:highlight w:val="none"/>
          <w:u w:val="single"/>
        </w:rPr>
        <w:t>（a）按有关规定及时办理工程质量监督手续。</w:t>
      </w:r>
    </w:p>
    <w:p w14:paraId="0779C9E8">
      <w:pPr>
        <w:spacing w:line="360" w:lineRule="auto"/>
        <w:ind w:firstLine="315" w:firstLineChars="150"/>
        <w:rPr>
          <w:rFonts w:hint="eastAsia" w:ascii="宋体" w:hAnsi="宋体" w:cs="等线"/>
          <w:highlight w:val="none"/>
        </w:rPr>
      </w:pPr>
      <w:r>
        <w:rPr>
          <w:rFonts w:hint="eastAsia" w:ascii="宋体" w:hAnsi="宋体" w:cs="等线"/>
          <w:highlight w:val="none"/>
          <w:u w:val="single"/>
        </w:rPr>
        <w:t xml:space="preserve">（b）根据建设行政主管部门和（或）城市建设档案管理机构的规定，收集、整理、立卷、归档工程资料，并按规定时间向建设行政主管部门或者城市建设档案管理机构移交规定的工程档案  </w:t>
      </w:r>
      <w:r>
        <w:rPr>
          <w:rFonts w:hint="eastAsia" w:ascii="宋体" w:hAnsi="宋体" w:cs="等线"/>
          <w:highlight w:val="none"/>
        </w:rPr>
        <w:t xml:space="preserve">。 </w:t>
      </w:r>
    </w:p>
    <w:p w14:paraId="11E72A11">
      <w:pPr>
        <w:keepNext/>
        <w:keepLines/>
        <w:spacing w:line="400" w:lineRule="exact"/>
        <w:outlineLvl w:val="1"/>
        <w:rPr>
          <w:rFonts w:hint="eastAsia" w:ascii="宋体" w:hAnsi="宋体" w:cs="等线"/>
          <w:sz w:val="24"/>
          <w:highlight w:val="none"/>
        </w:rPr>
      </w:pPr>
      <w:bookmarkStart w:id="1547" w:name="_Toc159950777"/>
      <w:bookmarkStart w:id="1548" w:name="_Toc28374"/>
      <w:bookmarkStart w:id="1549" w:name="_Toc38732158"/>
      <w:bookmarkStart w:id="1550" w:name="_Toc15025"/>
      <w:r>
        <w:rPr>
          <w:rFonts w:hint="eastAsia" w:ascii="宋体" w:hAnsi="宋体" w:cs="等线"/>
          <w:sz w:val="24"/>
          <w:highlight w:val="none"/>
        </w:rPr>
        <w:t>3. 监理人</w:t>
      </w:r>
      <w:bookmarkEnd w:id="1547"/>
      <w:bookmarkEnd w:id="1548"/>
      <w:bookmarkEnd w:id="1549"/>
      <w:bookmarkEnd w:id="1550"/>
    </w:p>
    <w:p w14:paraId="57A18969">
      <w:pPr>
        <w:keepNext/>
        <w:keepLines/>
        <w:spacing w:line="360" w:lineRule="auto"/>
        <w:outlineLvl w:val="2"/>
        <w:rPr>
          <w:rFonts w:hint="eastAsia" w:ascii="宋体" w:hAnsi="宋体" w:cs="等线"/>
          <w:sz w:val="24"/>
          <w:highlight w:val="none"/>
        </w:rPr>
      </w:pPr>
      <w:bookmarkStart w:id="1551" w:name="_Toc38732159"/>
      <w:bookmarkStart w:id="1552" w:name="_Toc159950778"/>
      <w:bookmarkStart w:id="1553" w:name="_Toc18020"/>
      <w:r>
        <w:rPr>
          <w:rFonts w:hint="eastAsia" w:ascii="宋体" w:hAnsi="宋体" w:cs="等线"/>
          <w:sz w:val="24"/>
          <w:highlight w:val="none"/>
        </w:rPr>
        <w:t>3.1 监理人的职责和权力</w:t>
      </w:r>
      <w:bookmarkEnd w:id="1551"/>
      <w:bookmarkEnd w:id="1552"/>
      <w:bookmarkEnd w:id="1553"/>
    </w:p>
    <w:p w14:paraId="6A8C2714">
      <w:pPr>
        <w:spacing w:line="360" w:lineRule="auto"/>
        <w:ind w:firstLine="420" w:firstLineChars="200"/>
        <w:rPr>
          <w:rFonts w:hint="eastAsia" w:ascii="宋体" w:hAnsi="宋体" w:cs="等线"/>
          <w:highlight w:val="none"/>
        </w:rPr>
      </w:pPr>
      <w:r>
        <w:rPr>
          <w:rFonts w:hint="eastAsia" w:ascii="宋体" w:hAnsi="宋体" w:cs="等线"/>
          <w:highlight w:val="none"/>
        </w:rPr>
        <w:t>3.1.1须经发包人批准行使的权力：</w:t>
      </w:r>
    </w:p>
    <w:p w14:paraId="271821B5">
      <w:pPr>
        <w:spacing w:line="360" w:lineRule="auto"/>
        <w:rPr>
          <w:rFonts w:hint="eastAsia" w:ascii="宋体" w:hAnsi="宋体" w:cs="等线"/>
          <w:highlight w:val="none"/>
          <w:u w:val="single"/>
        </w:rPr>
      </w:pPr>
      <w:r>
        <w:rPr>
          <w:rFonts w:hint="eastAsia" w:ascii="宋体" w:hAnsi="宋体" w:cs="等线"/>
          <w:highlight w:val="none"/>
          <w:u w:val="single"/>
        </w:rPr>
        <w:t>（1）发布开工令、停工令、复工令；</w:t>
      </w:r>
    </w:p>
    <w:p w14:paraId="4DDF48DF">
      <w:pPr>
        <w:spacing w:line="360" w:lineRule="auto"/>
        <w:rPr>
          <w:rFonts w:hint="eastAsia" w:ascii="宋体" w:hAnsi="宋体" w:cs="等线"/>
          <w:highlight w:val="none"/>
          <w:u w:val="single"/>
        </w:rPr>
      </w:pPr>
      <w:r>
        <w:rPr>
          <w:rFonts w:hint="eastAsia" w:ascii="宋体" w:hAnsi="宋体" w:cs="等线"/>
          <w:highlight w:val="none"/>
          <w:u w:val="single"/>
        </w:rPr>
        <w:t>（2）凡涉影响工程造价的调整及涉及施工工期的延长等变化，须经发包人审核批准；</w:t>
      </w:r>
    </w:p>
    <w:p w14:paraId="6CEE1753">
      <w:pPr>
        <w:spacing w:line="360" w:lineRule="auto"/>
        <w:rPr>
          <w:rFonts w:hint="eastAsia" w:ascii="宋体" w:hAnsi="宋体" w:cs="等线"/>
          <w:highlight w:val="none"/>
        </w:rPr>
      </w:pPr>
      <w:r>
        <w:rPr>
          <w:rFonts w:hint="eastAsia" w:ascii="宋体" w:hAnsi="宋体" w:cs="等线"/>
          <w:highlight w:val="none"/>
          <w:u w:val="single"/>
        </w:rPr>
        <w:t>（3）对承包人合同规定的义务建议变更等。</w:t>
      </w:r>
    </w:p>
    <w:p w14:paraId="7B7A0BF4">
      <w:pPr>
        <w:spacing w:line="360" w:lineRule="auto"/>
        <w:rPr>
          <w:rFonts w:hint="eastAsia" w:ascii="宋体" w:hAnsi="宋体" w:cs="等线"/>
          <w:highlight w:val="none"/>
        </w:rPr>
      </w:pPr>
      <w:r>
        <w:rPr>
          <w:rFonts w:hint="eastAsia" w:ascii="宋体" w:hAnsi="宋体" w:cs="等线"/>
          <w:highlight w:val="none"/>
        </w:rPr>
        <w:t>不管通用合同条款第3.1.1项如何约定，监理人履行须经发包人批准行使的权力时，应当向承包人出示其行使该权力已经取得发包人批准的文件或者其他合法有效的证明。</w:t>
      </w:r>
    </w:p>
    <w:p w14:paraId="51C76FAD">
      <w:pPr>
        <w:keepNext/>
        <w:keepLines/>
        <w:spacing w:line="360" w:lineRule="auto"/>
        <w:outlineLvl w:val="2"/>
        <w:rPr>
          <w:rFonts w:hint="eastAsia" w:ascii="宋体" w:hAnsi="宋体" w:cs="等线"/>
          <w:sz w:val="24"/>
          <w:highlight w:val="none"/>
        </w:rPr>
      </w:pPr>
      <w:bookmarkStart w:id="1554" w:name="_Toc38732160"/>
      <w:bookmarkStart w:id="1555" w:name="_Toc1579"/>
      <w:bookmarkStart w:id="1556" w:name="_Toc159950779"/>
      <w:r>
        <w:rPr>
          <w:rFonts w:hint="eastAsia" w:ascii="宋体" w:hAnsi="宋体" w:cs="等线"/>
          <w:sz w:val="24"/>
          <w:highlight w:val="none"/>
        </w:rPr>
        <w:t>3.3 监理人员</w:t>
      </w:r>
      <w:bookmarkEnd w:id="1554"/>
      <w:bookmarkEnd w:id="1555"/>
      <w:bookmarkEnd w:id="1556"/>
    </w:p>
    <w:p w14:paraId="0B00579D">
      <w:pPr>
        <w:spacing w:line="360" w:lineRule="auto"/>
        <w:ind w:firstLine="420" w:firstLineChars="200"/>
        <w:rPr>
          <w:rFonts w:hint="eastAsia" w:ascii="宋体" w:hAnsi="宋体" w:cs="等线"/>
          <w:highlight w:val="none"/>
        </w:rPr>
      </w:pPr>
      <w:r>
        <w:rPr>
          <w:rFonts w:hint="eastAsia" w:ascii="宋体" w:hAnsi="宋体" w:cs="等线"/>
          <w:highlight w:val="none"/>
        </w:rPr>
        <w:t>3.3.4 总监理工程师不应将第3.5款约定应由总监理工程师作出确定的权力授权或者委托给其他监理人员。</w:t>
      </w:r>
    </w:p>
    <w:p w14:paraId="72F023CF">
      <w:pPr>
        <w:keepNext/>
        <w:keepLines/>
        <w:spacing w:line="360" w:lineRule="auto"/>
        <w:outlineLvl w:val="2"/>
        <w:rPr>
          <w:rFonts w:hint="eastAsia" w:ascii="宋体" w:hAnsi="宋体" w:cs="等线"/>
          <w:sz w:val="24"/>
          <w:highlight w:val="none"/>
        </w:rPr>
      </w:pPr>
      <w:bookmarkStart w:id="1557" w:name="_Toc159950780"/>
      <w:bookmarkStart w:id="1558" w:name="_Toc38732161"/>
      <w:bookmarkStart w:id="1559" w:name="_Toc4530"/>
      <w:r>
        <w:rPr>
          <w:rFonts w:hint="eastAsia" w:ascii="宋体" w:hAnsi="宋体" w:cs="等线"/>
          <w:sz w:val="24"/>
          <w:highlight w:val="none"/>
        </w:rPr>
        <w:t>3.4 监理人的指示</w:t>
      </w:r>
      <w:bookmarkEnd w:id="1557"/>
      <w:bookmarkEnd w:id="1558"/>
      <w:bookmarkEnd w:id="1559"/>
    </w:p>
    <w:p w14:paraId="7DC065F0">
      <w:pPr>
        <w:spacing w:line="360" w:lineRule="auto"/>
        <w:ind w:firstLine="420" w:firstLineChars="200"/>
        <w:rPr>
          <w:rFonts w:hint="eastAsia" w:ascii="宋体" w:hAnsi="宋体" w:cs="等线"/>
          <w:highlight w:val="none"/>
        </w:rPr>
      </w:pPr>
      <w:r>
        <w:rPr>
          <w:rFonts w:hint="eastAsia" w:ascii="宋体" w:hAnsi="宋体" w:cs="等线"/>
          <w:highlight w:val="none"/>
        </w:rPr>
        <w:t>3.4.4除通用合同条款已有的专门约定外，承包人只能从总监理工程师或按第3.3.1项授权的监理人员处取得指示，发包人应当通过监理人向承包人发出指示。</w:t>
      </w:r>
    </w:p>
    <w:p w14:paraId="111D9252">
      <w:pPr>
        <w:keepNext/>
        <w:keepLines/>
        <w:spacing w:line="360" w:lineRule="auto"/>
        <w:outlineLvl w:val="2"/>
        <w:rPr>
          <w:rFonts w:hint="eastAsia" w:ascii="宋体" w:hAnsi="宋体" w:cs="等线"/>
          <w:sz w:val="24"/>
          <w:highlight w:val="none"/>
        </w:rPr>
      </w:pPr>
      <w:bookmarkStart w:id="1560" w:name="_Toc29692"/>
      <w:bookmarkStart w:id="1561" w:name="_Toc38732162"/>
      <w:bookmarkStart w:id="1562" w:name="_Toc159950781"/>
      <w:r>
        <w:rPr>
          <w:rFonts w:hint="eastAsia" w:ascii="宋体" w:hAnsi="宋体" w:cs="等线"/>
          <w:sz w:val="24"/>
          <w:highlight w:val="none"/>
        </w:rPr>
        <w:t>3.6 监理人的宽恕</w:t>
      </w:r>
      <w:bookmarkEnd w:id="1560"/>
      <w:bookmarkEnd w:id="1561"/>
      <w:bookmarkEnd w:id="1562"/>
    </w:p>
    <w:p w14:paraId="221EBB28">
      <w:pPr>
        <w:spacing w:line="360" w:lineRule="auto"/>
        <w:ind w:firstLine="420" w:firstLineChars="200"/>
        <w:rPr>
          <w:rFonts w:hint="eastAsia" w:ascii="宋体" w:hAnsi="宋体" w:cs="等线"/>
          <w:highlight w:val="none"/>
        </w:rPr>
      </w:pPr>
      <w:r>
        <w:rPr>
          <w:rFonts w:hint="eastAsia" w:ascii="宋体" w:hAnsi="宋体" w:cs="等线"/>
          <w:highlight w:val="none"/>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何权利和赔偿要求。</w:t>
      </w:r>
    </w:p>
    <w:p w14:paraId="7E848CE8">
      <w:pPr>
        <w:keepNext/>
        <w:keepLines/>
        <w:spacing w:line="400" w:lineRule="exact"/>
        <w:outlineLvl w:val="1"/>
        <w:rPr>
          <w:rFonts w:hint="eastAsia" w:ascii="宋体" w:hAnsi="宋体" w:cs="等线"/>
          <w:sz w:val="24"/>
          <w:highlight w:val="none"/>
        </w:rPr>
      </w:pPr>
      <w:bookmarkStart w:id="1563" w:name="_Toc159950782"/>
      <w:bookmarkStart w:id="1564" w:name="_Toc24205"/>
      <w:bookmarkStart w:id="1565" w:name="_Toc20014"/>
      <w:bookmarkStart w:id="1566" w:name="_Toc38732163"/>
      <w:r>
        <w:rPr>
          <w:rFonts w:hint="eastAsia" w:ascii="宋体" w:hAnsi="宋体" w:cs="等线"/>
          <w:sz w:val="24"/>
          <w:highlight w:val="none"/>
        </w:rPr>
        <w:t>4. 承包人</w:t>
      </w:r>
      <w:bookmarkEnd w:id="1563"/>
      <w:bookmarkEnd w:id="1564"/>
      <w:bookmarkEnd w:id="1565"/>
      <w:bookmarkEnd w:id="1566"/>
    </w:p>
    <w:p w14:paraId="29EBBA39">
      <w:pPr>
        <w:keepNext/>
        <w:keepLines/>
        <w:spacing w:line="360" w:lineRule="auto"/>
        <w:outlineLvl w:val="2"/>
        <w:rPr>
          <w:rFonts w:hint="eastAsia" w:ascii="宋体" w:hAnsi="宋体" w:cs="等线"/>
          <w:sz w:val="24"/>
          <w:highlight w:val="none"/>
        </w:rPr>
      </w:pPr>
      <w:bookmarkStart w:id="1567" w:name="_Toc159950783"/>
      <w:bookmarkStart w:id="1568" w:name="_Toc38732164"/>
      <w:bookmarkStart w:id="1569" w:name="_Toc19800"/>
      <w:r>
        <w:rPr>
          <w:rFonts w:hint="eastAsia" w:ascii="宋体" w:hAnsi="宋体" w:cs="等线"/>
          <w:sz w:val="24"/>
          <w:highlight w:val="none"/>
        </w:rPr>
        <w:t>4.1 承包人的一般义务</w:t>
      </w:r>
      <w:bookmarkEnd w:id="1567"/>
      <w:bookmarkEnd w:id="1568"/>
      <w:bookmarkEnd w:id="1569"/>
    </w:p>
    <w:p w14:paraId="68A85FF7">
      <w:pPr>
        <w:spacing w:line="360" w:lineRule="auto"/>
        <w:ind w:firstLine="420" w:firstLineChars="200"/>
        <w:rPr>
          <w:rFonts w:hint="eastAsia" w:ascii="宋体" w:hAnsi="宋体" w:cs="等线"/>
          <w:highlight w:val="none"/>
        </w:rPr>
      </w:pPr>
      <w:r>
        <w:rPr>
          <w:rFonts w:hint="eastAsia" w:ascii="宋体" w:hAnsi="宋体" w:cs="等线"/>
          <w:highlight w:val="none"/>
        </w:rPr>
        <w:t>4.1.3除专用合同条款第5.2款约定由发包人提供的材料和工程设备和第6.2款约定由发包人提供的施工设备和临时设施外，承包人应负责提供为完成合同工作所需的劳务、材料、施工设备、工程设备和其他物品，并按合同约定负责临时设施的设计、建造、运行、维护、管理和拆除。</w:t>
      </w:r>
    </w:p>
    <w:p w14:paraId="344DF15F">
      <w:pPr>
        <w:spacing w:line="360" w:lineRule="auto"/>
        <w:ind w:firstLine="420" w:firstLineChars="200"/>
        <w:rPr>
          <w:rFonts w:hint="eastAsia" w:ascii="宋体" w:hAnsi="宋体" w:cs="等线"/>
          <w:highlight w:val="none"/>
        </w:rPr>
      </w:pPr>
      <w:r>
        <w:rPr>
          <w:rFonts w:hint="eastAsia" w:ascii="宋体" w:hAnsi="宋体" w:cs="等线"/>
          <w:highlight w:val="none"/>
        </w:rPr>
        <w:t>4.1.8为他人提供方便</w:t>
      </w:r>
    </w:p>
    <w:p w14:paraId="04EA289B">
      <w:pPr>
        <w:numPr>
          <w:ilvl w:val="0"/>
          <w:numId w:val="12"/>
        </w:numPr>
        <w:spacing w:line="360" w:lineRule="auto"/>
        <w:rPr>
          <w:rFonts w:hint="eastAsia" w:ascii="宋体" w:hAnsi="宋体" w:cs="等线"/>
          <w:highlight w:val="none"/>
          <w:u w:val="single"/>
        </w:rPr>
      </w:pPr>
      <w:r>
        <w:rPr>
          <w:rFonts w:hint="eastAsia" w:ascii="宋体" w:hAnsi="宋体" w:cs="等线"/>
          <w:highlight w:val="none"/>
        </w:rPr>
        <w:t>（1）承包人应当对在施工场地或者附近实施与合同工程有关的其他工作的独立承包人履行管理、协调、配合、照管和服务义务，由此发生的费用被认为已经包括在承包人的签约合同价（投标总报价）中，具体工作内容和要求包括：</w:t>
      </w:r>
      <w:r>
        <w:rPr>
          <w:rFonts w:hint="eastAsia" w:ascii="宋体" w:hAnsi="宋体" w:cs="等线"/>
          <w:highlight w:val="none"/>
          <w:u w:val="single"/>
        </w:rPr>
        <w:t>1)</w:t>
      </w:r>
      <w:r>
        <w:rPr>
          <w:rFonts w:hint="eastAsia" w:ascii="宋体" w:hAnsi="宋体" w:cs="等线"/>
          <w:highlight w:val="none"/>
          <w:u w:val="single"/>
        </w:rPr>
        <w:tab/>
      </w:r>
      <w:r>
        <w:rPr>
          <w:rFonts w:hint="eastAsia" w:ascii="宋体" w:hAnsi="宋体" w:cs="等线"/>
          <w:highlight w:val="none"/>
          <w:u w:val="single"/>
        </w:rPr>
        <w:t>提供施工现场水源、电源及通道。</w:t>
      </w:r>
    </w:p>
    <w:p w14:paraId="28D05707">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2)</w:t>
      </w:r>
      <w:r>
        <w:rPr>
          <w:rFonts w:hint="eastAsia" w:ascii="宋体" w:hAnsi="宋体" w:cs="等线"/>
          <w:highlight w:val="none"/>
          <w:u w:val="single"/>
        </w:rPr>
        <w:tab/>
      </w:r>
      <w:r>
        <w:rPr>
          <w:rFonts w:hint="eastAsia" w:ascii="宋体" w:hAnsi="宋体" w:cs="等线"/>
          <w:highlight w:val="none"/>
          <w:u w:val="single"/>
        </w:rPr>
        <w:t>提供用于施工及发包人现场检查的照明设备，包括照明线路、照明灯具，在正常施工时间内及发包人批准的抢工时间内保证照明系统处于正常使用状态。</w:t>
      </w:r>
    </w:p>
    <w:p w14:paraId="224F4462">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3)</w:t>
      </w:r>
      <w:r>
        <w:rPr>
          <w:rFonts w:hint="eastAsia" w:ascii="宋体" w:hAnsi="宋体" w:cs="等线"/>
          <w:highlight w:val="none"/>
          <w:u w:val="single"/>
        </w:rPr>
        <w:tab/>
      </w:r>
      <w:r>
        <w:rPr>
          <w:rFonts w:hint="eastAsia" w:ascii="宋体" w:hAnsi="宋体" w:cs="等线"/>
          <w:highlight w:val="none"/>
          <w:u w:val="single"/>
        </w:rPr>
        <w:t>提供在约定计划工期内的临时工程或承包人在现场已存在的运输机械、设备等临时设施。如果根据工程实际进展情况，承包人需拆除现场已存在的临时设施时，承包人须征得发包人和监理人的认可后方可拆除。</w:t>
      </w:r>
    </w:p>
    <w:p w14:paraId="242EA86B">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4)</w:t>
      </w:r>
      <w:r>
        <w:rPr>
          <w:rFonts w:hint="eastAsia" w:ascii="宋体" w:hAnsi="宋体" w:cs="等线"/>
          <w:highlight w:val="none"/>
          <w:u w:val="single"/>
        </w:rPr>
        <w:tab/>
      </w:r>
      <w:r>
        <w:rPr>
          <w:rFonts w:hint="eastAsia" w:ascii="宋体" w:hAnsi="宋体" w:cs="等线"/>
          <w:highlight w:val="none"/>
          <w:u w:val="single"/>
        </w:rPr>
        <w:t>为保证承包人和其他承包人的工作面不发生冲突，承包人应对其他承包人的工作场所及材料存放场所等的安排、布置负责协调。</w:t>
      </w:r>
    </w:p>
    <w:p w14:paraId="204C8A6D">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5)</w:t>
      </w:r>
      <w:r>
        <w:rPr>
          <w:rFonts w:hint="eastAsia" w:ascii="宋体" w:hAnsi="宋体" w:cs="等线"/>
          <w:highlight w:val="none"/>
          <w:u w:val="single"/>
        </w:rPr>
        <w:tab/>
      </w:r>
      <w:r>
        <w:rPr>
          <w:rFonts w:hint="eastAsia" w:ascii="宋体" w:hAnsi="宋体" w:cs="等线"/>
          <w:highlight w:val="none"/>
          <w:u w:val="single"/>
        </w:rPr>
        <w:t>提供正常的临时照明和施工及调试运行所必需的设施。</w:t>
      </w:r>
    </w:p>
    <w:p w14:paraId="5A0F17BA">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6)</w:t>
      </w:r>
      <w:r>
        <w:rPr>
          <w:rFonts w:hint="eastAsia" w:ascii="宋体" w:hAnsi="宋体" w:cs="等线"/>
          <w:highlight w:val="none"/>
          <w:u w:val="single"/>
        </w:rPr>
        <w:tab/>
      </w:r>
      <w:r>
        <w:rPr>
          <w:rFonts w:hint="eastAsia" w:ascii="宋体" w:hAnsi="宋体" w:cs="等线"/>
          <w:highlight w:val="none"/>
          <w:u w:val="single"/>
        </w:rPr>
        <w:t>负责清理现场垃圾（各独立承包人将其施工所产生的垃圾堆放至承包人指定的合理堆放点后）。</w:t>
      </w:r>
    </w:p>
    <w:p w14:paraId="429C9166">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7)</w:t>
      </w:r>
      <w:r>
        <w:rPr>
          <w:rFonts w:hint="eastAsia" w:ascii="宋体" w:hAnsi="宋体" w:cs="等线"/>
          <w:highlight w:val="none"/>
          <w:u w:val="single"/>
        </w:rPr>
        <w:tab/>
      </w:r>
      <w:r>
        <w:rPr>
          <w:rFonts w:hint="eastAsia" w:ascii="宋体" w:hAnsi="宋体" w:cs="等线"/>
          <w:highlight w:val="none"/>
          <w:u w:val="single"/>
        </w:rPr>
        <w:t>负责对承包工程施工进度计划的安排、协调和管理，确保总体工程进度。</w:t>
      </w:r>
    </w:p>
    <w:p w14:paraId="41D7F5DE">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8)</w:t>
      </w:r>
      <w:r>
        <w:rPr>
          <w:rFonts w:hint="eastAsia" w:ascii="宋体" w:hAnsi="宋体" w:cs="等线"/>
          <w:highlight w:val="none"/>
          <w:u w:val="single"/>
        </w:rPr>
        <w:tab/>
      </w:r>
      <w:r>
        <w:rPr>
          <w:rFonts w:hint="eastAsia" w:ascii="宋体" w:hAnsi="宋体" w:cs="等线"/>
          <w:highlight w:val="none"/>
          <w:u w:val="single"/>
        </w:rPr>
        <w:t>负责对承包工程的质量进行监督、管理，确保总体工程质量。</w:t>
      </w:r>
    </w:p>
    <w:p w14:paraId="3F59A1C3">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9)</w:t>
      </w:r>
      <w:r>
        <w:rPr>
          <w:rFonts w:hint="eastAsia" w:ascii="宋体" w:hAnsi="宋体" w:cs="等线"/>
          <w:highlight w:val="none"/>
          <w:u w:val="single"/>
        </w:rPr>
        <w:tab/>
      </w:r>
      <w:r>
        <w:rPr>
          <w:rFonts w:hint="eastAsia" w:ascii="宋体" w:hAnsi="宋体" w:cs="等线"/>
          <w:highlight w:val="none"/>
          <w:u w:val="single"/>
        </w:rPr>
        <w:t>负责对承包工程的安全防护、文明施工进行监督、管理，确保总体工程安全，杜绝伤亡事故。如发生事故，及时按照相关规定进行全面救护、上报、处理和善后，尽最大可能降低事故损失。</w:t>
      </w:r>
    </w:p>
    <w:p w14:paraId="0DDC5C36">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 xml:space="preserve">10) </w:t>
      </w:r>
      <w:r>
        <w:rPr>
          <w:rFonts w:hint="eastAsia" w:ascii="宋体" w:hAnsi="宋体" w:cs="等线"/>
          <w:highlight w:val="none"/>
          <w:u w:val="single"/>
        </w:rPr>
        <w:tab/>
      </w:r>
      <w:r>
        <w:rPr>
          <w:rFonts w:hint="eastAsia" w:ascii="宋体" w:hAnsi="宋体" w:cs="等线"/>
          <w:highlight w:val="none"/>
          <w:u w:val="single"/>
        </w:rPr>
        <w:t>对于政府有关部门发送发包人的有关本工程施工现场的任何意见及通知，其中涉及承包人的，承包人应承担相关责任和工作。</w:t>
      </w:r>
    </w:p>
    <w:p w14:paraId="59D72395">
      <w:pPr>
        <w:numPr>
          <w:ilvl w:val="0"/>
          <w:numId w:val="12"/>
        </w:numPr>
        <w:spacing w:line="360" w:lineRule="auto"/>
        <w:rPr>
          <w:rFonts w:hint="eastAsia" w:ascii="宋体" w:hAnsi="宋体" w:cs="等线"/>
          <w:highlight w:val="none"/>
          <w:u w:val="single"/>
        </w:rPr>
      </w:pPr>
      <w:r>
        <w:rPr>
          <w:rFonts w:hint="eastAsia" w:ascii="宋体" w:hAnsi="宋体" w:cs="等线"/>
          <w:highlight w:val="none"/>
          <w:u w:val="single"/>
        </w:rPr>
        <w:t>11）需承包人办理的有关施工场地交通、环卫和施工噪声管理等手续：按北京市有关规定办理，承包人负责处理并承担费用。</w:t>
      </w:r>
    </w:p>
    <w:p w14:paraId="4599CDB2">
      <w:pPr>
        <w:numPr>
          <w:ilvl w:val="0"/>
          <w:numId w:val="12"/>
        </w:numPr>
        <w:spacing w:line="360" w:lineRule="auto"/>
        <w:rPr>
          <w:rFonts w:hint="eastAsia" w:ascii="宋体" w:hAnsi="宋体" w:cs="等线"/>
          <w:highlight w:val="none"/>
        </w:rPr>
      </w:pPr>
      <w:r>
        <w:rPr>
          <w:rFonts w:hint="eastAsia" w:ascii="宋体" w:hAnsi="宋体" w:cs="等线"/>
          <w:highlight w:val="none"/>
          <w:u w:val="single"/>
        </w:rPr>
        <w:t>12）施工场地清洁卫生的要求：对施工生产和生活垃圾应及时清运，承包人承担由此发生的费用。</w:t>
      </w:r>
    </w:p>
    <w:p w14:paraId="5577055E">
      <w:pPr>
        <w:spacing w:line="360" w:lineRule="auto"/>
        <w:ind w:firstLine="315" w:firstLineChars="150"/>
        <w:rPr>
          <w:rFonts w:hint="eastAsia" w:ascii="宋体" w:hAnsi="宋体" w:cs="等线"/>
          <w:highlight w:val="none"/>
        </w:rPr>
      </w:pPr>
      <w:r>
        <w:rPr>
          <w:rFonts w:hint="eastAsia" w:ascii="宋体" w:hAnsi="宋体" w:cs="等线"/>
          <w:highlight w:val="none"/>
        </w:rPr>
        <w:t>（2）承包人还应按监理人指示为独立承包人以外的他人在施工场地或者附近实施与合同工程有关的其他工作提供可能的条件，可能发生费用由监理人按第3.5款商定或者确定。</w:t>
      </w:r>
    </w:p>
    <w:p w14:paraId="0E1C0D55">
      <w:pPr>
        <w:spacing w:line="360" w:lineRule="auto"/>
        <w:ind w:firstLine="420" w:firstLineChars="200"/>
        <w:rPr>
          <w:rFonts w:hint="eastAsia" w:ascii="宋体" w:hAnsi="宋体" w:cs="等线"/>
          <w:highlight w:val="none"/>
        </w:rPr>
      </w:pPr>
      <w:r>
        <w:rPr>
          <w:rFonts w:hint="eastAsia" w:ascii="宋体" w:hAnsi="宋体" w:cs="等线"/>
          <w:highlight w:val="none"/>
        </w:rPr>
        <w:t xml:space="preserve">4.1.10其他义务  </w:t>
      </w:r>
    </w:p>
    <w:p w14:paraId="6486187D">
      <w:pPr>
        <w:spacing w:line="360" w:lineRule="auto"/>
        <w:ind w:firstLine="315" w:firstLineChars="150"/>
        <w:rPr>
          <w:rFonts w:hint="eastAsia" w:ascii="宋体" w:hAnsi="宋体" w:cs="等线"/>
          <w:highlight w:val="none"/>
          <w:u w:val="single"/>
        </w:rPr>
      </w:pPr>
      <w:r>
        <w:rPr>
          <w:rFonts w:hint="eastAsia" w:ascii="宋体" w:hAnsi="宋体" w:cs="等线"/>
          <w:highlight w:val="none"/>
        </w:rPr>
        <w:t>（1）根据发包人委托，在其设计资质等级和业务允许的范围内，完成施工图设计或与工程配套的设计，经监理人确认后使用，发包人承担由此发生的费用和合理利润。由承包人负责完成的设计文件属于合同条款第1.6.2项约定的承包人提供的文件，承包人应按照专用合同条款第1.6.2项约定的期限和数量提交，由此发生的费用被认为已经包括在承包人的签约合同价（投标总报价）中。由承包人承担的施工图设计或与工程配套的设计工作内容</w:t>
      </w:r>
      <w:r>
        <w:rPr>
          <w:rFonts w:hint="eastAsia" w:ascii="宋体" w:hAnsi="宋体" w:cs="等线"/>
          <w:highlight w:val="none"/>
          <w:u w:val="single"/>
        </w:rPr>
        <w:t xml:space="preserve">  /  </w:t>
      </w:r>
      <w:r>
        <w:rPr>
          <w:rFonts w:hint="eastAsia" w:ascii="宋体" w:hAnsi="宋体" w:cs="等线"/>
          <w:highlight w:val="none"/>
        </w:rPr>
        <w:t>。</w:t>
      </w:r>
    </w:p>
    <w:p w14:paraId="081C7309">
      <w:pPr>
        <w:spacing w:line="360" w:lineRule="auto"/>
        <w:ind w:firstLine="315" w:firstLineChars="150"/>
        <w:rPr>
          <w:rFonts w:hint="eastAsia" w:ascii="宋体" w:hAnsi="宋体" w:cs="等线"/>
          <w:highlight w:val="none"/>
        </w:rPr>
      </w:pPr>
      <w:r>
        <w:rPr>
          <w:rFonts w:hint="eastAsia" w:ascii="宋体" w:hAnsi="宋体" w:cs="等线"/>
          <w:highlight w:val="none"/>
        </w:rPr>
        <w:t>（2）承包人应履行合同约定的其他义务以及下述义务：</w:t>
      </w:r>
    </w:p>
    <w:p w14:paraId="3E573917">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w:t>
      </w:r>
      <w:r>
        <w:rPr>
          <w:rFonts w:hint="eastAsia" w:ascii="宋体" w:hAnsi="宋体" w:cs="等线"/>
          <w:highlight w:val="none"/>
          <w:u w:val="single"/>
        </w:rPr>
        <w:tab/>
      </w:r>
      <w:r>
        <w:rPr>
          <w:rFonts w:hint="eastAsia" w:ascii="宋体" w:hAnsi="宋体" w:cs="等线"/>
          <w:highlight w:val="none"/>
          <w:u w:val="single"/>
        </w:rPr>
        <w:t>承包人按投标文件指派的现场施工项目经理应具有相应技术资格和施工管理经验，项目经理应专职于本工程，不得兼职于其他工程或其他职务，每周在现场工作时间应不少于4个工作日。发包人有权提出更换发包人不满意的承包人施工项目经理和施工项目经理部主要管理人员和技术人员，项目经理和施工项目经理部主要管理人员和技术人员在工程施工过程中不得随意变更。未经发包人同意，承包人擅自更换项目经理的违约行为，应支付违约金10万元/人次；承包人擅自更换项目部其他人员的违约行为，应支付违约金2万元/人次，发包人保留与承包人终止合同及继续追加补偿的权利。</w:t>
      </w:r>
    </w:p>
    <w:p w14:paraId="4E6FDFDD">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2)</w:t>
      </w:r>
      <w:r>
        <w:rPr>
          <w:rFonts w:hint="eastAsia" w:ascii="宋体" w:hAnsi="宋体" w:cs="等线"/>
          <w:highlight w:val="none"/>
          <w:u w:val="single"/>
        </w:rPr>
        <w:tab/>
      </w:r>
      <w:r>
        <w:rPr>
          <w:rFonts w:hint="eastAsia" w:ascii="宋体" w:hAnsi="宋体" w:cs="等线"/>
          <w:highlight w:val="none"/>
          <w:u w:val="single"/>
        </w:rPr>
        <w:t>承包人进场施工，必须两个月内完成所有的拆除工作。施工中如发现设计错误或严重不合理时，承包人应立即以书面形式通知监理人并经监理人报发包人。</w:t>
      </w:r>
    </w:p>
    <w:p w14:paraId="545D603C">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3)</w:t>
      </w:r>
      <w:r>
        <w:rPr>
          <w:rFonts w:hint="eastAsia" w:ascii="宋体" w:hAnsi="宋体" w:cs="等线"/>
          <w:highlight w:val="none"/>
          <w:u w:val="single"/>
        </w:rPr>
        <w:tab/>
      </w:r>
      <w:r>
        <w:rPr>
          <w:rFonts w:hint="eastAsia" w:ascii="宋体" w:hAnsi="宋体" w:cs="等线"/>
          <w:highlight w:val="none"/>
          <w:u w:val="single"/>
        </w:rPr>
        <w:t>承包人应自觉遵守执行国家及北京市行业主管部门颁布实施的有关安全生产的法规、规章、制度、标准。</w:t>
      </w:r>
    </w:p>
    <w:p w14:paraId="629E10AE">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4)</w:t>
      </w:r>
      <w:r>
        <w:rPr>
          <w:rFonts w:hint="eastAsia" w:ascii="宋体" w:hAnsi="宋体" w:cs="等线"/>
          <w:highlight w:val="none"/>
          <w:u w:val="single"/>
        </w:rPr>
        <w:tab/>
      </w:r>
      <w:r>
        <w:rPr>
          <w:rFonts w:hint="eastAsia" w:ascii="宋体" w:hAnsi="宋体" w:cs="等线"/>
          <w:highlight w:val="none"/>
          <w:u w:val="single"/>
        </w:rPr>
        <w:t>承包人应当服从发包人现行的施工现场统一管理的规定及有关安全生产法规、规章、制度、标准，严格执行发包人下达的各项安全指令，确保安全施工，并按合同有关条款加强自身管理，履行承包人责任。</w:t>
      </w:r>
    </w:p>
    <w:p w14:paraId="0916B88F">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5)</w:t>
      </w:r>
      <w:r>
        <w:rPr>
          <w:rFonts w:hint="eastAsia" w:ascii="宋体" w:hAnsi="宋体" w:cs="等线"/>
          <w:highlight w:val="none"/>
          <w:u w:val="single"/>
        </w:rPr>
        <w:tab/>
      </w:r>
      <w:r>
        <w:rPr>
          <w:rFonts w:hint="eastAsia" w:ascii="宋体" w:hAnsi="宋体" w:cs="等线"/>
          <w:highlight w:val="none"/>
          <w:u w:val="single"/>
        </w:rPr>
        <w:t>已竣工工程未交付发包人之前，承包人负责其保护工作。保护期间发生损坏的，由承包人予以修复并承担相应费用。</w:t>
      </w:r>
    </w:p>
    <w:p w14:paraId="662947A7">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6)</w:t>
      </w:r>
      <w:r>
        <w:rPr>
          <w:rFonts w:hint="eastAsia" w:ascii="宋体" w:hAnsi="宋体" w:cs="等线"/>
          <w:highlight w:val="none"/>
          <w:u w:val="single"/>
        </w:rPr>
        <w:tab/>
      </w:r>
      <w:r>
        <w:rPr>
          <w:rFonts w:hint="eastAsia" w:ascii="宋体" w:hAnsi="宋体" w:cs="等线"/>
          <w:highlight w:val="none"/>
          <w:u w:val="single"/>
        </w:rPr>
        <w:t>对竣工验收后保修期内发现的工程质量问题负责免费返修，对造成的间接损失负责全部赔偿。</w:t>
      </w:r>
    </w:p>
    <w:p w14:paraId="4277B71E">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7)</w:t>
      </w:r>
      <w:r>
        <w:rPr>
          <w:rFonts w:hint="eastAsia" w:ascii="宋体" w:hAnsi="宋体" w:cs="等线"/>
          <w:highlight w:val="none"/>
          <w:u w:val="single"/>
        </w:rPr>
        <w:tab/>
      </w:r>
      <w:r>
        <w:rPr>
          <w:rFonts w:hint="eastAsia" w:ascii="宋体" w:hAnsi="宋体" w:cs="等线"/>
          <w:highlight w:val="none"/>
          <w:u w:val="single"/>
        </w:rPr>
        <w:t>承包人应负责编制竣工资料并将竣工资料移交城建档案馆及学校档案馆。</w:t>
      </w:r>
    </w:p>
    <w:p w14:paraId="0A6BF33D">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8)</w:t>
      </w:r>
      <w:r>
        <w:rPr>
          <w:rFonts w:hint="eastAsia" w:ascii="宋体" w:hAnsi="宋体" w:cs="等线"/>
          <w:highlight w:val="none"/>
          <w:u w:val="single"/>
        </w:rPr>
        <w:tab/>
      </w:r>
      <w:r>
        <w:rPr>
          <w:rFonts w:hint="eastAsia" w:ascii="宋体" w:hAnsi="宋体" w:cs="等线"/>
          <w:highlight w:val="none"/>
          <w:u w:val="single"/>
        </w:rPr>
        <w:t>成品保护：承包人应提供必要的人员、材料和设备用于整个工程的成品保护，包括对已完成的工程或工作的保护，防止任何已完工作遭受任何损坏或破坏。</w:t>
      </w:r>
    </w:p>
    <w:p w14:paraId="01B3539C">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9)</w:t>
      </w:r>
      <w:r>
        <w:rPr>
          <w:rFonts w:hint="eastAsia" w:ascii="宋体" w:hAnsi="宋体" w:cs="等线"/>
          <w:highlight w:val="none"/>
          <w:u w:val="single"/>
        </w:rPr>
        <w:tab/>
      </w:r>
      <w:r>
        <w:rPr>
          <w:rFonts w:hint="eastAsia" w:ascii="宋体" w:hAnsi="宋体" w:cs="等线"/>
          <w:highlight w:val="none"/>
          <w:u w:val="single"/>
        </w:rPr>
        <w:t>对周边财产的保护：承包人不得非法侵占和妨害毗邻的财产、土地、街道、市政设施和他们下面的土壤和空间、他们的所有者、使用者或其他任何人，也不得在工程或工程任何部分的实施中采用可能会给这类财产、土地、街道、市政设施、树木和人员带来损害或伤害的的施工方法；承包人应保障发包人免于因工程实施对周边毗邻财产或人身等的损害或伤害而可能招致的索赔、罚款和其它法律责任。承包人因临时或永久工程施工需临时中断任何市政设施的总管或其它设施时，应首先从政府有关管理机构取得相关许可，承包人应周密计划和科学组织，保证此类中断的时间应尽可能短。在整个工程施工期间，承包人应负责保护所有的现有道路、步行道、踏步和在它们地下的可能的服务设施；承包人应自费对那些因受他控制的任何原因引起的对上述设施的损害或损坏进行修缮直至达到政府有关管理机构满意，并支付与此相关的任何费用和罚款；</w:t>
      </w:r>
    </w:p>
    <w:p w14:paraId="13023656">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10)</w:t>
      </w:r>
      <w:r>
        <w:rPr>
          <w:rFonts w:hint="eastAsia" w:ascii="宋体" w:hAnsi="宋体" w:cs="等线"/>
          <w:highlight w:val="none"/>
          <w:u w:val="single"/>
        </w:rPr>
        <w:tab/>
      </w:r>
      <w:r>
        <w:rPr>
          <w:rFonts w:hint="eastAsia" w:ascii="宋体" w:hAnsi="宋体" w:cs="等线"/>
          <w:highlight w:val="none"/>
          <w:u w:val="single"/>
        </w:rPr>
        <w:t>竣工清理：在工程竣工后10日内，不管发包人是否已办妥政府有关机构所要求的一切必要的批准、备案手续以及是否已发布移交证书，承包人应安排专业队伍全面履行其合同责任和义务，包括：(a)从现场清除所有剩余材料、杂物、垃圾等等；(b)从现场拆除所有的临时建筑物和临时设施并恢复地面原状。</w:t>
      </w:r>
    </w:p>
    <w:p w14:paraId="62F8830A">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11)</w:t>
      </w:r>
      <w:r>
        <w:rPr>
          <w:rFonts w:hint="eastAsia" w:ascii="宋体" w:hAnsi="宋体" w:cs="等线"/>
          <w:highlight w:val="none"/>
          <w:u w:val="single"/>
        </w:rPr>
        <w:tab/>
      </w:r>
      <w:r>
        <w:rPr>
          <w:rFonts w:hint="eastAsia" w:ascii="宋体" w:hAnsi="宋体" w:cs="等线"/>
          <w:highlight w:val="none"/>
          <w:u w:val="single"/>
        </w:rPr>
        <w:t xml:space="preserve">其他责任和义务：如果任何为本工程正常使用功能和设计使用寿命所必须的或为本工程适用的任何规范、规程或标准所要求的工作既未以文字形式明确约定为属于发包人或任何其他承包人的工作，也未在本合同中以文字形式明确提及，则此类工作应由作为承担本工程承包责任和义务的承包人的工作。承包人不得就此类潜在责任和义务向发包人提出任何费用和工期的索赔要求，且在任何情况下，承包人也不得就此提出有关其投标价格考虑不周、有缺或漏、计算错误等的补偿要求。 </w:t>
      </w:r>
    </w:p>
    <w:p w14:paraId="6993A884">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12)</w:t>
      </w:r>
      <w:r>
        <w:rPr>
          <w:rFonts w:hint="eastAsia" w:ascii="宋体" w:hAnsi="宋体" w:cs="等线"/>
          <w:highlight w:val="none"/>
          <w:u w:val="single"/>
        </w:rPr>
        <w:tab/>
      </w:r>
      <w:r>
        <w:rPr>
          <w:rFonts w:hint="eastAsia" w:ascii="宋体" w:hAnsi="宋体" w:cs="等线"/>
          <w:highlight w:val="none"/>
          <w:u w:val="single"/>
        </w:rPr>
        <w:t>承担施工安全保卫工作及非夜间施工照明的责任和要求：承包人应保证现场施工安全保卫工作和非夜间施工照明，以及场内、场内与场外接口处交通的通畅，符合国家及北京市的有关规定，以免除发包人人员、监理公司人员以及其他第三方人员在施工现场因承包人未完成本条之规定所造成的人员伤害损失和财产损失。</w:t>
      </w:r>
    </w:p>
    <w:p w14:paraId="02FD0DED">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13)</w:t>
      </w:r>
      <w:r>
        <w:rPr>
          <w:rFonts w:hint="eastAsia" w:ascii="宋体" w:hAnsi="宋体" w:cs="等线"/>
          <w:highlight w:val="none"/>
          <w:u w:val="single"/>
        </w:rPr>
        <w:tab/>
      </w:r>
      <w:r>
        <w:rPr>
          <w:rFonts w:hint="eastAsia" w:ascii="宋体" w:hAnsi="宋体" w:cs="等线"/>
          <w:highlight w:val="none"/>
          <w:u w:val="single"/>
        </w:rPr>
        <w:t>需承包人办理的有关施工场地交通、环卫和施工噪音管理等手续：承包人应按照北京市有关施工场地交通、环卫、施工噪音管理等的要求，自己承担费用办理相关手续（如交通特别通行证、排污手续、降噪措施），并保证这些规定在施工中得到贯彻执行，以免除发包人因承包人未能完成上述工作所承担的费用支出（包括于政府部门罚款、工期延误期间的费用支出）和工期延误责任。承包人须主动协调同周围居民及有关单位的关系，以免造成窝工、停工、延误工期的现象发生。</w:t>
      </w:r>
    </w:p>
    <w:p w14:paraId="25BA8C49">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14)</w:t>
      </w:r>
      <w:r>
        <w:rPr>
          <w:rFonts w:hint="eastAsia" w:ascii="宋体" w:hAnsi="宋体" w:cs="等线"/>
          <w:highlight w:val="none"/>
          <w:u w:val="single"/>
        </w:rPr>
        <w:tab/>
      </w:r>
      <w:r>
        <w:rPr>
          <w:rFonts w:hint="eastAsia" w:ascii="宋体" w:hAnsi="宋体" w:cs="等线"/>
          <w:highlight w:val="none"/>
          <w:u w:val="single"/>
        </w:rPr>
        <w:t>施工场地清洁卫生的要求：保证施工现场清洁符合环境卫生以及消防、街道、防疫、园林、供电、交通、市政文物及安全管理等建设行政主管部门和相关部门的有关规定，应达到北京市文明工地标准。</w:t>
      </w:r>
    </w:p>
    <w:p w14:paraId="6D1CF2C1">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15)</w:t>
      </w:r>
      <w:r>
        <w:rPr>
          <w:rFonts w:hint="eastAsia" w:ascii="宋体" w:hAnsi="宋体" w:cs="等线"/>
          <w:highlight w:val="none"/>
          <w:u w:val="single"/>
        </w:rPr>
        <w:tab/>
      </w:r>
      <w:r>
        <w:rPr>
          <w:rFonts w:hint="eastAsia" w:ascii="宋体" w:hAnsi="宋体" w:cs="等线"/>
          <w:highlight w:val="none"/>
          <w:u w:val="single"/>
        </w:rPr>
        <w:t xml:space="preserve">由承包人负责施工现场的所有临时设施、临时道路、水、电、管线的修建安装和维护，室外管线工程施工时现场临时设施要服从施工需要进行滕让，保证施工的正常进行，并承担相应费用。施工区内临时设施、临时道路、水电管线安装和保养，施工现场内地下管线和临近建筑物、构筑物及临街交通要道、人行道的保护，费用由承包人负担。因承包人防护不利而发生事故，相关责任和费用由承包人承担。承包人施工完毕后，对所破坏的市政公共设施及道路应修复原貌，若承包人无力或未在规定的时间内修复，由发包人代为修复，费用由承包人承担。 </w:t>
      </w:r>
    </w:p>
    <w:p w14:paraId="702A73E9">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16)</w:t>
      </w:r>
      <w:r>
        <w:rPr>
          <w:rFonts w:hint="eastAsia" w:ascii="宋体" w:hAnsi="宋体" w:cs="等线"/>
          <w:highlight w:val="none"/>
          <w:u w:val="single"/>
        </w:rPr>
        <w:tab/>
      </w:r>
      <w:r>
        <w:rPr>
          <w:rFonts w:hint="eastAsia" w:ascii="宋体" w:hAnsi="宋体" w:cs="等线"/>
          <w:highlight w:val="none"/>
          <w:u w:val="single"/>
        </w:rPr>
        <w:t>对于承包人在施工过程中有需要发包人配合完成的工作，承包人应于施工总控制进度计划中明确表述或提前足够的时间通知发包人。</w:t>
      </w:r>
    </w:p>
    <w:p w14:paraId="4943BC9D">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17)</w:t>
      </w:r>
      <w:r>
        <w:rPr>
          <w:rFonts w:hint="eastAsia" w:ascii="宋体" w:hAnsi="宋体" w:cs="等线"/>
          <w:highlight w:val="none"/>
          <w:u w:val="single"/>
        </w:rPr>
        <w:tab/>
      </w:r>
      <w:r>
        <w:rPr>
          <w:rFonts w:hint="eastAsia" w:ascii="宋体" w:hAnsi="宋体" w:cs="等线"/>
          <w:highlight w:val="none"/>
          <w:u w:val="single"/>
        </w:rPr>
        <w:t>承包人确认已充分考察了解施工现场的使用条件，承担办理施工临建设施相关的工作，并在投标报价中已考虑相关费用。特别提醒投标人，因施工场地狭小发生的租用临时用地的费用及相关交通费在投标时列入投标总价，结算时不予调整。</w:t>
      </w:r>
    </w:p>
    <w:p w14:paraId="08831EFC">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18)</w:t>
      </w:r>
      <w:r>
        <w:rPr>
          <w:rFonts w:hint="eastAsia" w:ascii="宋体" w:hAnsi="宋体" w:cs="等线"/>
          <w:highlight w:val="none"/>
          <w:u w:val="single"/>
        </w:rPr>
        <w:tab/>
      </w:r>
      <w:r>
        <w:rPr>
          <w:rFonts w:hint="eastAsia" w:ascii="宋体" w:hAnsi="宋体" w:cs="等线"/>
          <w:highlight w:val="none"/>
          <w:u w:val="single"/>
        </w:rPr>
        <w:t>与本工程无关的人员及设备材料均不得进入现场，发包人有权进行检查。</w:t>
      </w:r>
    </w:p>
    <w:p w14:paraId="6CD56874">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19）对于监理、发包人认定不合格的材料或设备，承包人必须在24小时内清理出场。</w:t>
      </w:r>
    </w:p>
    <w:p w14:paraId="772A2B1F">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20）乙方在施工范围内进行拆除工作时，需对现场所需拆除的材料及设备提前向甲方报备，涉及学校资产、可回收利用的资源，乙方应妥善保管，并应交由甲方进行处置，乙方不得擅自变卖。对于其余经甲方查看后不可回收，且不涉及学校资产的设备、物品等，乙方负责对其进行运输和消纳，并在报价中进行体现。拆除的数量作为结算拆除工程量，实际拆除的可回收材料较原资源不足的，需说明理由，否则应按实际损失金额赔偿。</w:t>
      </w:r>
    </w:p>
    <w:p w14:paraId="7D5618F4">
      <w:pPr>
        <w:snapToGrid w:val="0"/>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21）承包人应严格遵守北京财贸职业学院的有关规定。</w:t>
      </w:r>
    </w:p>
    <w:p w14:paraId="3BFF3C73">
      <w:pPr>
        <w:spacing w:after="120"/>
        <w:rPr>
          <w:rFonts w:hint="eastAsia" w:ascii="宋体" w:hAnsi="宋体"/>
          <w:b/>
          <w:sz w:val="32"/>
          <w:szCs w:val="20"/>
          <w:highlight w:val="none"/>
        </w:rPr>
      </w:pPr>
    </w:p>
    <w:p w14:paraId="1712A63C">
      <w:pPr>
        <w:keepNext/>
        <w:keepLines/>
        <w:spacing w:line="360" w:lineRule="auto"/>
        <w:outlineLvl w:val="2"/>
        <w:rPr>
          <w:rFonts w:hint="eastAsia" w:ascii="宋体" w:hAnsi="宋体" w:cs="等线"/>
          <w:sz w:val="24"/>
          <w:highlight w:val="none"/>
        </w:rPr>
      </w:pPr>
      <w:bookmarkStart w:id="1570" w:name="_Toc159950784"/>
      <w:bookmarkStart w:id="1571" w:name="_Toc38732165"/>
      <w:bookmarkStart w:id="1572" w:name="_Toc13254"/>
      <w:r>
        <w:rPr>
          <w:rFonts w:hint="eastAsia" w:ascii="宋体" w:hAnsi="宋体" w:cs="等线"/>
          <w:sz w:val="24"/>
          <w:highlight w:val="none"/>
        </w:rPr>
        <w:t>4.2 履约担保</w:t>
      </w:r>
      <w:bookmarkEnd w:id="1570"/>
      <w:bookmarkEnd w:id="1571"/>
      <w:bookmarkEnd w:id="1572"/>
      <w:r>
        <w:rPr>
          <w:rFonts w:hint="eastAsia" w:ascii="宋体" w:hAnsi="宋体" w:cs="等线"/>
          <w:sz w:val="24"/>
          <w:highlight w:val="none"/>
        </w:rPr>
        <w:t xml:space="preserve"> </w:t>
      </w:r>
    </w:p>
    <w:p w14:paraId="1F76B306">
      <w:pPr>
        <w:spacing w:line="360" w:lineRule="auto"/>
        <w:ind w:firstLine="420" w:firstLineChars="200"/>
        <w:rPr>
          <w:rFonts w:hint="eastAsia" w:ascii="宋体" w:hAnsi="宋体" w:cs="等线"/>
          <w:highlight w:val="none"/>
        </w:rPr>
      </w:pPr>
      <w:r>
        <w:rPr>
          <w:rFonts w:hint="eastAsia" w:ascii="宋体" w:hAnsi="宋体" w:cs="等线"/>
          <w:highlight w:val="none"/>
        </w:rPr>
        <w:t>4.2.1 履约担保的格式和金额</w:t>
      </w:r>
    </w:p>
    <w:p w14:paraId="1467F915">
      <w:pPr>
        <w:spacing w:line="360" w:lineRule="auto"/>
        <w:ind w:firstLine="420" w:firstLineChars="200"/>
        <w:rPr>
          <w:rFonts w:hint="eastAsia" w:ascii="宋体" w:hAnsi="宋体" w:cs="等线"/>
          <w:highlight w:val="none"/>
        </w:rPr>
      </w:pPr>
      <w:r>
        <w:rPr>
          <w:rFonts w:hint="eastAsia" w:ascii="宋体" w:hAnsi="宋体" w:cs="等线"/>
          <w:highlight w:val="none"/>
        </w:rPr>
        <w:t>承包人应在签订合同前，按照发包人在招标文件中规定的格式或者其他经过发包人认可的格式向发包人递交一份履约担保。经过发包人事先书面认可的其他格式的履约担保，其担保条款的实质性内容应当与发包人在招标文件中规定的格式内容保持一致。履约担保的金额为</w:t>
      </w:r>
      <w:r>
        <w:rPr>
          <w:rFonts w:hint="eastAsia" w:ascii="宋体" w:hAnsi="宋体" w:cs="等线"/>
          <w:highlight w:val="none"/>
          <w:u w:val="single"/>
        </w:rPr>
        <w:t xml:space="preserve">          /        </w:t>
      </w:r>
      <w:r>
        <w:rPr>
          <w:rFonts w:hint="eastAsia" w:ascii="宋体" w:hAnsi="宋体" w:cs="等线"/>
          <w:highlight w:val="none"/>
        </w:rPr>
        <w:t>。履约担保是本合同的附件。</w:t>
      </w:r>
    </w:p>
    <w:p w14:paraId="656A10E7">
      <w:pPr>
        <w:spacing w:line="360" w:lineRule="auto"/>
        <w:ind w:firstLine="420" w:firstLineChars="200"/>
        <w:rPr>
          <w:rFonts w:hint="eastAsia" w:ascii="宋体" w:hAnsi="宋体" w:cs="等线"/>
          <w:highlight w:val="none"/>
        </w:rPr>
      </w:pPr>
      <w:r>
        <w:rPr>
          <w:rFonts w:hint="eastAsia" w:ascii="宋体" w:hAnsi="宋体" w:cs="等线"/>
          <w:highlight w:val="none"/>
        </w:rPr>
        <w:t>4.2.2 履约担保的有效期</w:t>
      </w:r>
    </w:p>
    <w:p w14:paraId="33F32F39">
      <w:pPr>
        <w:spacing w:line="360" w:lineRule="auto"/>
        <w:ind w:firstLine="420" w:firstLineChars="200"/>
        <w:rPr>
          <w:rFonts w:hint="eastAsia" w:ascii="宋体" w:hAnsi="宋体" w:cs="等线"/>
          <w:highlight w:val="none"/>
        </w:rPr>
      </w:pPr>
      <w:r>
        <w:rPr>
          <w:rFonts w:hint="eastAsia" w:ascii="宋体" w:hAnsi="宋体" w:cs="等线"/>
          <w:highlight w:val="none"/>
        </w:rPr>
        <w:t>履约担保的有效期应当自本合同生效之日起至发包人签认并由监理人向承包人出具工程接收证书之日止。如果承包人无法获得一份不带具体截止日期的担保，履约担保中应当有“变更工程竣工日期的，保证期间按照变更后的竣工日期做相应调整”或类似约定的条款。</w:t>
      </w:r>
    </w:p>
    <w:p w14:paraId="60E55063">
      <w:pPr>
        <w:spacing w:line="360" w:lineRule="auto"/>
        <w:ind w:firstLine="420" w:firstLineChars="200"/>
        <w:rPr>
          <w:rFonts w:hint="eastAsia" w:ascii="宋体" w:hAnsi="宋体" w:cs="等线"/>
          <w:highlight w:val="none"/>
        </w:rPr>
      </w:pPr>
      <w:r>
        <w:rPr>
          <w:rFonts w:hint="eastAsia" w:ascii="宋体" w:hAnsi="宋体" w:cs="等线"/>
          <w:highlight w:val="none"/>
        </w:rPr>
        <w:t>4.2.3 履约担保的退还</w:t>
      </w:r>
    </w:p>
    <w:p w14:paraId="7365233E">
      <w:pPr>
        <w:spacing w:line="360" w:lineRule="auto"/>
        <w:ind w:firstLine="420" w:firstLineChars="200"/>
        <w:rPr>
          <w:rFonts w:hint="eastAsia" w:ascii="宋体" w:hAnsi="宋体" w:cs="等线"/>
          <w:highlight w:val="none"/>
        </w:rPr>
      </w:pPr>
      <w:r>
        <w:rPr>
          <w:rFonts w:hint="eastAsia" w:ascii="宋体" w:hAnsi="宋体" w:cs="等线"/>
          <w:highlight w:val="none"/>
        </w:rPr>
        <w:t>履约担保应在监理人向承包人颁发（出具）工程接收证书之日后28天内退还给承包人。发包人不承担承包人与履约担保有关的任何利息或其它类似的费用或者收益。</w:t>
      </w:r>
    </w:p>
    <w:p w14:paraId="4D060740">
      <w:pPr>
        <w:spacing w:line="360" w:lineRule="auto"/>
        <w:ind w:firstLine="420" w:firstLineChars="200"/>
        <w:rPr>
          <w:rFonts w:hint="eastAsia" w:ascii="宋体" w:hAnsi="宋体" w:cs="等线"/>
          <w:highlight w:val="none"/>
        </w:rPr>
      </w:pPr>
      <w:r>
        <w:rPr>
          <w:rFonts w:hint="eastAsia" w:ascii="宋体" w:hAnsi="宋体" w:cs="等线"/>
          <w:highlight w:val="none"/>
        </w:rPr>
        <w:t>4.2.4 通知义务</w:t>
      </w:r>
    </w:p>
    <w:p w14:paraId="37D97282">
      <w:pPr>
        <w:spacing w:line="360" w:lineRule="auto"/>
        <w:ind w:firstLine="420" w:firstLineChars="200"/>
        <w:rPr>
          <w:rFonts w:hint="eastAsia" w:ascii="宋体" w:hAnsi="宋体" w:cs="等线"/>
          <w:highlight w:val="none"/>
        </w:rPr>
      </w:pPr>
      <w:r>
        <w:rPr>
          <w:rFonts w:hint="eastAsia" w:ascii="宋体" w:hAnsi="宋体" w:cs="等线"/>
          <w:highlight w:val="none"/>
        </w:rPr>
        <w:t>不管履约担保条款中如何约定，发包人根据担保条款提出索赔或兑现要求28天前，应通知承包人并说明导致此类索赔或兑现的违约性质或原因。相应地，不管专用合同条款2.8(1)目约定的支付担保条款中如何约定，承包人根据担保条款提出索赔或兑现要求28天前，也应通知发包人并说明导致此类索赔或兑现的违约性质或原因。但是，本项约定的通知不应理解为是在任何意义上寻求承包人或者发包人的同意。</w:t>
      </w:r>
    </w:p>
    <w:p w14:paraId="30ABCBC8">
      <w:pPr>
        <w:keepNext/>
        <w:keepLines/>
        <w:spacing w:line="360" w:lineRule="auto"/>
        <w:outlineLvl w:val="2"/>
        <w:rPr>
          <w:rFonts w:hint="eastAsia" w:ascii="宋体" w:hAnsi="宋体" w:cs="等线"/>
          <w:sz w:val="24"/>
          <w:highlight w:val="none"/>
        </w:rPr>
      </w:pPr>
      <w:bookmarkStart w:id="1573" w:name="_Toc159950785"/>
      <w:bookmarkStart w:id="1574" w:name="_Toc38732166"/>
      <w:bookmarkStart w:id="1575" w:name="_Toc27947"/>
      <w:r>
        <w:rPr>
          <w:rFonts w:hint="eastAsia" w:ascii="宋体" w:hAnsi="宋体" w:cs="等线"/>
          <w:sz w:val="24"/>
          <w:highlight w:val="none"/>
        </w:rPr>
        <w:t>4.3 分包</w:t>
      </w:r>
      <w:bookmarkEnd w:id="1573"/>
      <w:bookmarkEnd w:id="1574"/>
      <w:bookmarkEnd w:id="1575"/>
      <w:r>
        <w:rPr>
          <w:rFonts w:hint="eastAsia" w:ascii="宋体" w:hAnsi="宋体" w:cs="等线"/>
          <w:sz w:val="24"/>
          <w:highlight w:val="none"/>
        </w:rPr>
        <w:t xml:space="preserve"> </w:t>
      </w:r>
    </w:p>
    <w:p w14:paraId="427A8C80">
      <w:pPr>
        <w:spacing w:line="360" w:lineRule="auto"/>
        <w:ind w:firstLine="420" w:firstLineChars="200"/>
        <w:rPr>
          <w:rFonts w:hint="eastAsia" w:ascii="宋体" w:hAnsi="宋体" w:cs="等线"/>
          <w:highlight w:val="none"/>
        </w:rPr>
      </w:pPr>
      <w:r>
        <w:rPr>
          <w:rFonts w:hint="eastAsia" w:ascii="宋体" w:hAnsi="宋体" w:cs="等线"/>
          <w:highlight w:val="none"/>
        </w:rPr>
        <w:t>4.3.2发包人同意承包人分包的非主体、非关键性工作见投标函附录。除通用合同条款第4.3款的约定外，分包还应遵循以下约定：</w:t>
      </w:r>
    </w:p>
    <w:p w14:paraId="1A5E526D">
      <w:pPr>
        <w:spacing w:line="360" w:lineRule="auto"/>
        <w:ind w:firstLine="315" w:firstLineChars="150"/>
        <w:rPr>
          <w:rFonts w:hint="eastAsia" w:ascii="宋体" w:hAnsi="宋体" w:cs="等线"/>
          <w:highlight w:val="none"/>
        </w:rPr>
      </w:pPr>
      <w:r>
        <w:rPr>
          <w:rFonts w:hint="eastAsia" w:ascii="宋体" w:hAnsi="宋体" w:cs="等线"/>
          <w:highlight w:val="none"/>
        </w:rPr>
        <w:t>（1）除投标函附录中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77FD2853">
      <w:pPr>
        <w:spacing w:line="360" w:lineRule="auto"/>
        <w:ind w:firstLine="315" w:firstLineChars="150"/>
        <w:rPr>
          <w:rFonts w:hint="eastAsia" w:ascii="宋体" w:hAnsi="宋体" w:cs="等线"/>
          <w:highlight w:val="none"/>
        </w:rPr>
      </w:pPr>
      <w:r>
        <w:rPr>
          <w:rFonts w:hint="eastAsia" w:ascii="宋体" w:hAnsi="宋体" w:cs="等线"/>
          <w:highlight w:val="none"/>
        </w:rPr>
        <w:t>（2）发包人在工程量清单中给定暂估价的专业工程，包括从暂列金额开支的专业工程，达到依法应当招标的规模标准的，以及虽未达到规定的规模标准但合同中约定采用分包方式或者招标方式实施的，应当按专用合同条款第15.8.1项的约定，由发包人和承包人以招标方式确定专业分包人。除项目审批部门有特别核准外，暂估价的专业工程的招标应当采用与施工总承包同样的招标方式。</w:t>
      </w:r>
    </w:p>
    <w:p w14:paraId="22AA8E61">
      <w:pPr>
        <w:spacing w:line="360" w:lineRule="auto"/>
        <w:ind w:firstLine="315" w:firstLineChars="150"/>
        <w:rPr>
          <w:rFonts w:hint="eastAsia" w:ascii="宋体" w:hAnsi="宋体" w:cs="等线"/>
          <w:highlight w:val="none"/>
        </w:rPr>
      </w:pPr>
      <w:r>
        <w:rPr>
          <w:rFonts w:hint="eastAsia" w:ascii="宋体" w:hAnsi="宋体" w:cs="等线"/>
          <w:highlight w:val="none"/>
        </w:rPr>
        <w:t>（3）在相关分包合同签订并报送有关建设行政主管部门备案后7天内，承包人应当将一份副本提交给监理人，承包人应保障分包工作不得再次分包。</w:t>
      </w:r>
    </w:p>
    <w:p w14:paraId="04A6F0D0">
      <w:pPr>
        <w:spacing w:line="360" w:lineRule="auto"/>
        <w:ind w:firstLine="315" w:firstLineChars="150"/>
        <w:rPr>
          <w:rFonts w:hint="eastAsia" w:ascii="宋体" w:hAnsi="宋体" w:cs="等线"/>
          <w:highlight w:val="none"/>
        </w:rPr>
      </w:pPr>
      <w:r>
        <w:rPr>
          <w:rFonts w:hint="eastAsia" w:ascii="宋体" w:hAnsi="宋体" w:cs="等线"/>
          <w:highlight w:val="none"/>
        </w:rPr>
        <w:t>（4）分包工程价款由承包人与分包人（包括专业分包人）结算。未经承包人同意，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F3C8C63">
      <w:pPr>
        <w:spacing w:line="360" w:lineRule="auto"/>
        <w:ind w:firstLine="315" w:firstLineChars="150"/>
        <w:rPr>
          <w:rFonts w:hint="eastAsia" w:ascii="宋体" w:hAnsi="宋体" w:cs="等线"/>
          <w:highlight w:val="none"/>
        </w:rPr>
      </w:pPr>
      <w:r>
        <w:rPr>
          <w:rFonts w:hint="eastAsia" w:ascii="宋体" w:hAnsi="宋体" w:cs="等线"/>
          <w:highlight w:val="none"/>
        </w:rPr>
        <w:t>（5）未经发包人和监理人审批同意的分包工程和分包人，发包人有权拒绝验收分包工程和支付相应款项，由此引起的承包人费用增加和（或）延误的工期由承包人承担。</w:t>
      </w:r>
    </w:p>
    <w:p w14:paraId="14ED11DF">
      <w:pPr>
        <w:keepNext/>
        <w:keepLines/>
        <w:spacing w:line="360" w:lineRule="auto"/>
        <w:outlineLvl w:val="2"/>
        <w:rPr>
          <w:rFonts w:hint="eastAsia" w:ascii="宋体" w:hAnsi="宋体" w:cs="等线"/>
          <w:sz w:val="24"/>
          <w:highlight w:val="none"/>
        </w:rPr>
      </w:pPr>
      <w:bookmarkStart w:id="1576" w:name="_Toc159950786"/>
      <w:bookmarkStart w:id="1577" w:name="_Toc29090"/>
      <w:bookmarkStart w:id="1578" w:name="_Toc38732167"/>
      <w:r>
        <w:rPr>
          <w:rFonts w:hint="eastAsia" w:ascii="宋体" w:hAnsi="宋体" w:cs="等线"/>
          <w:sz w:val="24"/>
          <w:highlight w:val="none"/>
        </w:rPr>
        <w:t>4.5 承包人项目经理</w:t>
      </w:r>
      <w:bookmarkEnd w:id="1576"/>
      <w:bookmarkEnd w:id="1577"/>
      <w:bookmarkEnd w:id="1578"/>
    </w:p>
    <w:p w14:paraId="5BB0B62B">
      <w:pPr>
        <w:spacing w:line="360" w:lineRule="auto"/>
        <w:ind w:firstLine="420" w:firstLineChars="200"/>
        <w:rPr>
          <w:rFonts w:hint="eastAsia" w:ascii="宋体" w:hAnsi="宋体" w:cs="等线"/>
          <w:highlight w:val="none"/>
        </w:rPr>
      </w:pPr>
      <w:r>
        <w:rPr>
          <w:rFonts w:hint="eastAsia" w:ascii="宋体" w:hAnsi="宋体" w:cs="等线"/>
          <w:highlight w:val="none"/>
        </w:rPr>
        <w:t>4.5.1承包人项目经理必须与承包人投标时所承诺的人员一致，并在根据通用合同条款第11.1.1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14:paraId="023A3437">
      <w:pPr>
        <w:keepNext/>
        <w:keepLines/>
        <w:spacing w:line="360" w:lineRule="auto"/>
        <w:outlineLvl w:val="2"/>
        <w:rPr>
          <w:rFonts w:hint="eastAsia" w:ascii="宋体" w:hAnsi="宋体" w:cs="等线"/>
          <w:sz w:val="24"/>
          <w:highlight w:val="none"/>
        </w:rPr>
      </w:pPr>
      <w:bookmarkStart w:id="1579" w:name="_Toc159950787"/>
      <w:bookmarkStart w:id="1580" w:name="_Toc11834"/>
      <w:bookmarkStart w:id="1581" w:name="_Toc38732168"/>
      <w:r>
        <w:rPr>
          <w:rFonts w:hint="eastAsia" w:ascii="宋体" w:hAnsi="宋体" w:cs="等线"/>
          <w:sz w:val="24"/>
          <w:highlight w:val="none"/>
        </w:rPr>
        <w:t>4.11 不利物质条件</w:t>
      </w:r>
      <w:bookmarkEnd w:id="1579"/>
      <w:bookmarkEnd w:id="1580"/>
      <w:bookmarkEnd w:id="1581"/>
    </w:p>
    <w:p w14:paraId="63D56578">
      <w:pPr>
        <w:spacing w:line="360" w:lineRule="auto"/>
        <w:ind w:firstLine="420" w:firstLineChars="200"/>
        <w:rPr>
          <w:rFonts w:hint="eastAsia" w:ascii="宋体" w:hAnsi="宋体" w:cs="等线"/>
          <w:highlight w:val="none"/>
          <w:u w:val="single"/>
        </w:rPr>
      </w:pPr>
      <w:r>
        <w:rPr>
          <w:rFonts w:hint="eastAsia" w:ascii="宋体" w:hAnsi="宋体" w:cs="等线"/>
          <w:highlight w:val="none"/>
        </w:rPr>
        <w:t>4.11.1不利物质条件的范围：</w:t>
      </w:r>
      <w:r>
        <w:rPr>
          <w:rFonts w:hint="eastAsia" w:ascii="宋体" w:hAnsi="宋体" w:cs="等线"/>
          <w:highlight w:val="none"/>
          <w:u w:val="single"/>
        </w:rPr>
        <w:t xml:space="preserve">执行通用合同条款。 </w:t>
      </w:r>
    </w:p>
    <w:p w14:paraId="0AE7B8F0">
      <w:pPr>
        <w:keepNext/>
        <w:keepLines/>
        <w:spacing w:line="400" w:lineRule="exact"/>
        <w:outlineLvl w:val="1"/>
        <w:rPr>
          <w:rFonts w:hint="eastAsia" w:ascii="宋体" w:hAnsi="宋体" w:cs="等线"/>
          <w:sz w:val="24"/>
          <w:highlight w:val="none"/>
        </w:rPr>
      </w:pPr>
      <w:bookmarkStart w:id="1582" w:name="_Toc18089"/>
      <w:bookmarkStart w:id="1583" w:name="_Toc31848"/>
      <w:bookmarkStart w:id="1584" w:name="_Toc38732169"/>
      <w:bookmarkStart w:id="1585" w:name="_Toc159950788"/>
      <w:r>
        <w:rPr>
          <w:rFonts w:hint="eastAsia" w:ascii="宋体" w:hAnsi="宋体" w:cs="等线"/>
          <w:sz w:val="24"/>
          <w:highlight w:val="none"/>
        </w:rPr>
        <w:t>5. 材料和工程设备</w:t>
      </w:r>
      <w:bookmarkEnd w:id="1582"/>
      <w:bookmarkEnd w:id="1583"/>
      <w:bookmarkEnd w:id="1584"/>
      <w:bookmarkEnd w:id="1585"/>
    </w:p>
    <w:p w14:paraId="72C070DE">
      <w:pPr>
        <w:keepNext/>
        <w:keepLines/>
        <w:spacing w:line="400" w:lineRule="exact"/>
        <w:outlineLvl w:val="2"/>
        <w:rPr>
          <w:rFonts w:hint="eastAsia" w:ascii="宋体" w:hAnsi="宋体" w:cs="等线"/>
          <w:sz w:val="24"/>
          <w:highlight w:val="none"/>
        </w:rPr>
      </w:pPr>
      <w:bookmarkStart w:id="1586" w:name="_Toc20005"/>
      <w:bookmarkStart w:id="1587" w:name="_Toc38732170"/>
      <w:bookmarkStart w:id="1588" w:name="_Toc159950789"/>
      <w:r>
        <w:rPr>
          <w:rFonts w:hint="eastAsia" w:ascii="宋体" w:hAnsi="宋体" w:cs="等线"/>
          <w:sz w:val="24"/>
          <w:highlight w:val="none"/>
        </w:rPr>
        <w:t>5.1 承包人提供的材料和工程设备</w:t>
      </w:r>
      <w:bookmarkEnd w:id="1586"/>
      <w:bookmarkEnd w:id="1587"/>
      <w:bookmarkEnd w:id="1588"/>
    </w:p>
    <w:p w14:paraId="088BDD6D">
      <w:pPr>
        <w:spacing w:line="400" w:lineRule="exact"/>
        <w:ind w:firstLine="420" w:firstLineChars="200"/>
        <w:rPr>
          <w:rFonts w:hint="eastAsia" w:ascii="宋体" w:hAnsi="宋体" w:cs="等线"/>
          <w:highlight w:val="none"/>
        </w:rPr>
      </w:pPr>
      <w:r>
        <w:rPr>
          <w:rFonts w:hint="eastAsia" w:ascii="宋体" w:hAnsi="宋体" w:cs="等线"/>
          <w:highlight w:val="none"/>
        </w:rPr>
        <w:t>5.1.1除专用合同条款第5.2款约定由发包人提供的材料和工程设备外，由承包人提供的材料和工程设备均由承包人负责采购、运输和保管。但是，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应当按专用合同条款第15.8.1项的约定，由发包人和承包人以招标方式确定专项供应商。承包人负责提供的主要材料和工程设备清单见合同附件二“承包人提供的材料和工程设备一览表”。</w:t>
      </w:r>
    </w:p>
    <w:p w14:paraId="6C9954D6">
      <w:pPr>
        <w:spacing w:line="400" w:lineRule="exact"/>
        <w:ind w:firstLine="420" w:firstLineChars="200"/>
        <w:rPr>
          <w:rFonts w:hint="eastAsia" w:ascii="宋体" w:hAnsi="宋体" w:cs="等线"/>
          <w:highlight w:val="none"/>
        </w:rPr>
      </w:pPr>
      <w:r>
        <w:rPr>
          <w:rFonts w:hint="eastAsia" w:ascii="宋体" w:hAnsi="宋体" w:cs="等线"/>
          <w:highlight w:val="none"/>
        </w:rPr>
        <w:t>5.1.2 承包人将由其提供的材料和工程设备的供货人及品种、规格、数量和供货时间等报送监理人审批的期限：</w:t>
      </w:r>
      <w:r>
        <w:rPr>
          <w:rFonts w:hint="eastAsia" w:ascii="宋体" w:hAnsi="宋体" w:cs="等线"/>
          <w:highlight w:val="none"/>
          <w:u w:val="single"/>
        </w:rPr>
        <w:t>材料和工程设备采购前15日内。</w:t>
      </w:r>
    </w:p>
    <w:p w14:paraId="3FE876E5">
      <w:pPr>
        <w:keepNext/>
        <w:keepLines/>
        <w:spacing w:line="400" w:lineRule="exact"/>
        <w:outlineLvl w:val="2"/>
        <w:rPr>
          <w:rFonts w:hint="eastAsia" w:ascii="宋体" w:hAnsi="宋体" w:cs="等线"/>
          <w:sz w:val="24"/>
          <w:highlight w:val="none"/>
        </w:rPr>
      </w:pPr>
      <w:bookmarkStart w:id="1589" w:name="_Toc2372"/>
      <w:bookmarkStart w:id="1590" w:name="_Toc159950790"/>
      <w:bookmarkStart w:id="1591" w:name="_Toc38732171"/>
      <w:r>
        <w:rPr>
          <w:rFonts w:hint="eastAsia" w:ascii="宋体" w:hAnsi="宋体" w:cs="等线"/>
          <w:sz w:val="24"/>
          <w:highlight w:val="none"/>
        </w:rPr>
        <w:t>5.2 发包人提供的材料和工程设备</w:t>
      </w:r>
      <w:bookmarkEnd w:id="1589"/>
      <w:bookmarkEnd w:id="1590"/>
      <w:bookmarkEnd w:id="1591"/>
    </w:p>
    <w:p w14:paraId="081D5CC7">
      <w:pPr>
        <w:spacing w:line="400" w:lineRule="exact"/>
        <w:ind w:firstLine="420" w:firstLineChars="200"/>
        <w:rPr>
          <w:rFonts w:hint="eastAsia" w:ascii="宋体" w:hAnsi="宋体" w:cs="等线"/>
          <w:highlight w:val="none"/>
        </w:rPr>
      </w:pPr>
      <w:r>
        <w:rPr>
          <w:rFonts w:hint="eastAsia" w:ascii="宋体" w:hAnsi="宋体" w:cs="等线"/>
          <w:highlight w:val="none"/>
        </w:rPr>
        <w:t>5.2.1发包人负责提供的材料和工程设备的名称、规格、数量、价格、交货方式、交货地点和计划交货日期等见合同附件三“发包人提供的材料和工程设备一览表”。</w:t>
      </w:r>
    </w:p>
    <w:p w14:paraId="1CB3B19A">
      <w:pPr>
        <w:spacing w:line="400" w:lineRule="exact"/>
        <w:ind w:firstLine="420" w:firstLineChars="200"/>
        <w:rPr>
          <w:rFonts w:hint="eastAsia" w:ascii="宋体" w:hAnsi="宋体" w:cs="等线"/>
          <w:highlight w:val="none"/>
        </w:rPr>
      </w:pPr>
      <w:r>
        <w:rPr>
          <w:rFonts w:hint="eastAsia" w:ascii="宋体" w:hAnsi="宋体" w:cs="等线"/>
          <w:highlight w:val="none"/>
        </w:rPr>
        <w:t xml:space="preserve">5.2.3由发包人提供的材料和工程设备验收后，由承包人负责接收、运输和保管。 </w:t>
      </w:r>
    </w:p>
    <w:p w14:paraId="63B0C422">
      <w:pPr>
        <w:keepNext/>
        <w:keepLines/>
        <w:spacing w:line="400" w:lineRule="exact"/>
        <w:outlineLvl w:val="1"/>
        <w:rPr>
          <w:rFonts w:hint="eastAsia" w:ascii="宋体" w:hAnsi="宋体" w:cs="等线"/>
          <w:sz w:val="24"/>
          <w:highlight w:val="none"/>
        </w:rPr>
      </w:pPr>
      <w:bookmarkStart w:id="1592" w:name="_Toc16025"/>
      <w:bookmarkStart w:id="1593" w:name="_Toc159950791"/>
      <w:bookmarkStart w:id="1594" w:name="_Toc38732172"/>
      <w:bookmarkStart w:id="1595" w:name="_Toc26520"/>
      <w:r>
        <w:rPr>
          <w:rFonts w:hint="eastAsia" w:ascii="宋体" w:hAnsi="宋体" w:cs="等线"/>
          <w:sz w:val="24"/>
          <w:highlight w:val="none"/>
        </w:rPr>
        <w:t>6. 施工设备和临时设施</w:t>
      </w:r>
      <w:bookmarkEnd w:id="1592"/>
      <w:bookmarkEnd w:id="1593"/>
      <w:bookmarkEnd w:id="1594"/>
      <w:bookmarkEnd w:id="1595"/>
    </w:p>
    <w:p w14:paraId="11C19FF2">
      <w:pPr>
        <w:keepNext/>
        <w:keepLines/>
        <w:spacing w:line="400" w:lineRule="exact"/>
        <w:outlineLvl w:val="2"/>
        <w:rPr>
          <w:rFonts w:hint="eastAsia" w:ascii="宋体" w:hAnsi="宋体" w:cs="等线"/>
          <w:sz w:val="24"/>
          <w:highlight w:val="none"/>
        </w:rPr>
      </w:pPr>
      <w:bookmarkStart w:id="1596" w:name="_Toc38732173"/>
      <w:bookmarkStart w:id="1597" w:name="_Toc13802"/>
      <w:bookmarkStart w:id="1598" w:name="_Toc159950792"/>
      <w:r>
        <w:rPr>
          <w:rFonts w:hint="eastAsia" w:ascii="宋体" w:hAnsi="宋体" w:cs="等线"/>
          <w:sz w:val="24"/>
          <w:highlight w:val="none"/>
        </w:rPr>
        <w:t>6.1 承包人提供的施工设备和临时设施</w:t>
      </w:r>
      <w:bookmarkEnd w:id="1596"/>
      <w:bookmarkEnd w:id="1597"/>
      <w:bookmarkEnd w:id="1598"/>
    </w:p>
    <w:p w14:paraId="6370F832">
      <w:pPr>
        <w:spacing w:line="400" w:lineRule="exact"/>
        <w:ind w:firstLine="420" w:firstLineChars="200"/>
        <w:rPr>
          <w:rFonts w:hint="eastAsia" w:ascii="宋体" w:hAnsi="宋体" w:cs="等线"/>
          <w:highlight w:val="none"/>
          <w:u w:val="single"/>
        </w:rPr>
      </w:pPr>
      <w:r>
        <w:rPr>
          <w:rFonts w:hint="eastAsia" w:ascii="宋体" w:hAnsi="宋体" w:cs="等线"/>
          <w:highlight w:val="none"/>
        </w:rPr>
        <w:t>6.1.2发包人承担修建临时设施的费用的范围：</w:t>
      </w:r>
      <w:r>
        <w:rPr>
          <w:rFonts w:hint="eastAsia" w:ascii="宋体" w:hAnsi="宋体" w:cs="等线"/>
          <w:highlight w:val="none"/>
          <w:u w:val="single"/>
        </w:rPr>
        <w:t>无</w:t>
      </w:r>
    </w:p>
    <w:p w14:paraId="1026AD83">
      <w:pPr>
        <w:spacing w:line="400" w:lineRule="exact"/>
        <w:ind w:firstLine="420" w:firstLineChars="200"/>
        <w:rPr>
          <w:rFonts w:hint="eastAsia" w:ascii="宋体" w:hAnsi="宋体" w:cs="等线"/>
          <w:highlight w:val="none"/>
          <w:u w:val="single"/>
        </w:rPr>
      </w:pPr>
      <w:r>
        <w:rPr>
          <w:rFonts w:hint="eastAsia" w:ascii="宋体" w:hAnsi="宋体" w:cs="等线"/>
          <w:highlight w:val="none"/>
        </w:rPr>
        <w:t>需要发包人办理申请手续和承担相关费用的临时占地：</w:t>
      </w:r>
      <w:r>
        <w:rPr>
          <w:rFonts w:hint="eastAsia" w:ascii="宋体" w:hAnsi="宋体" w:cs="等线"/>
          <w:highlight w:val="none"/>
          <w:u w:val="single"/>
        </w:rPr>
        <w:t>进场材料设备的检验检测费</w:t>
      </w:r>
      <w:r>
        <w:rPr>
          <w:rFonts w:hint="eastAsia" w:ascii="宋体" w:hAnsi="宋体" w:cs="等线"/>
          <w:highlight w:val="none"/>
        </w:rPr>
        <w:t xml:space="preserve">。 </w:t>
      </w:r>
    </w:p>
    <w:p w14:paraId="348FB273">
      <w:pPr>
        <w:keepNext/>
        <w:keepLines/>
        <w:spacing w:line="400" w:lineRule="exact"/>
        <w:outlineLvl w:val="2"/>
        <w:rPr>
          <w:rFonts w:hint="eastAsia" w:ascii="宋体" w:hAnsi="宋体" w:cs="等线"/>
          <w:sz w:val="24"/>
          <w:highlight w:val="none"/>
        </w:rPr>
      </w:pPr>
      <w:bookmarkStart w:id="1599" w:name="_Toc159950793"/>
      <w:bookmarkStart w:id="1600" w:name="_Toc38732174"/>
      <w:bookmarkStart w:id="1601" w:name="_Toc9263"/>
      <w:r>
        <w:rPr>
          <w:rFonts w:hint="eastAsia" w:ascii="宋体" w:hAnsi="宋体" w:cs="等线"/>
          <w:sz w:val="24"/>
          <w:highlight w:val="none"/>
        </w:rPr>
        <w:t>6.2 发包人提供的施工设备和临时设施</w:t>
      </w:r>
      <w:bookmarkEnd w:id="1599"/>
      <w:bookmarkEnd w:id="1600"/>
      <w:bookmarkEnd w:id="1601"/>
    </w:p>
    <w:p w14:paraId="066F54F1">
      <w:pPr>
        <w:spacing w:line="400" w:lineRule="exact"/>
        <w:ind w:firstLine="420" w:firstLineChars="200"/>
        <w:rPr>
          <w:rFonts w:hint="eastAsia" w:ascii="宋体" w:hAnsi="宋体" w:cs="等线"/>
          <w:highlight w:val="none"/>
        </w:rPr>
      </w:pPr>
      <w:r>
        <w:rPr>
          <w:rFonts w:hint="eastAsia" w:ascii="宋体" w:hAnsi="宋体" w:cs="等线"/>
          <w:highlight w:val="none"/>
        </w:rPr>
        <w:t>发包人提供的施工设备和临时设施：</w:t>
      </w:r>
      <w:r>
        <w:rPr>
          <w:rFonts w:hint="eastAsia" w:ascii="宋体" w:hAnsi="宋体" w:cs="等线"/>
          <w:highlight w:val="none"/>
          <w:u w:val="single"/>
        </w:rPr>
        <w:t>不提供</w:t>
      </w:r>
      <w:r>
        <w:rPr>
          <w:rFonts w:hint="eastAsia" w:ascii="宋体" w:hAnsi="宋体" w:cs="等线"/>
          <w:highlight w:val="none"/>
        </w:rPr>
        <w:t>。</w:t>
      </w:r>
    </w:p>
    <w:p w14:paraId="7A020141">
      <w:pPr>
        <w:spacing w:line="400" w:lineRule="exact"/>
        <w:ind w:firstLine="420" w:firstLineChars="200"/>
        <w:rPr>
          <w:rFonts w:hint="eastAsia" w:ascii="宋体" w:hAnsi="宋体" w:cs="等线"/>
          <w:highlight w:val="none"/>
        </w:rPr>
      </w:pPr>
      <w:r>
        <w:rPr>
          <w:rFonts w:hint="eastAsia" w:ascii="宋体" w:hAnsi="宋体" w:cs="等线"/>
          <w:highlight w:val="none"/>
        </w:rPr>
        <w:t>发包人提供的施工设备和临时设施的运行、维护、拆除、清运费用的承担人：</w:t>
      </w:r>
      <w:r>
        <w:rPr>
          <w:rFonts w:hint="eastAsia" w:ascii="宋体" w:hAnsi="宋体" w:cs="等线"/>
          <w:highlight w:val="none"/>
          <w:u w:val="single"/>
        </w:rPr>
        <w:t xml:space="preserve"> / </w:t>
      </w:r>
      <w:r>
        <w:rPr>
          <w:rFonts w:hint="eastAsia" w:ascii="宋体" w:hAnsi="宋体" w:cs="等线"/>
          <w:highlight w:val="none"/>
        </w:rPr>
        <w:t>。</w:t>
      </w:r>
    </w:p>
    <w:p w14:paraId="237F52DC">
      <w:pPr>
        <w:keepNext/>
        <w:keepLines/>
        <w:spacing w:line="400" w:lineRule="exact"/>
        <w:outlineLvl w:val="2"/>
        <w:rPr>
          <w:rFonts w:hint="eastAsia" w:ascii="宋体" w:hAnsi="宋体" w:cs="等线"/>
          <w:sz w:val="24"/>
          <w:highlight w:val="none"/>
        </w:rPr>
      </w:pPr>
      <w:bookmarkStart w:id="1602" w:name="_Toc22245"/>
      <w:bookmarkStart w:id="1603" w:name="_Toc38732175"/>
      <w:bookmarkStart w:id="1604" w:name="_Toc159950794"/>
      <w:r>
        <w:rPr>
          <w:rFonts w:hint="eastAsia" w:ascii="宋体" w:hAnsi="宋体" w:cs="等线"/>
          <w:sz w:val="24"/>
          <w:highlight w:val="none"/>
        </w:rPr>
        <w:t>6.4 施工设备和临时设施专用于合同工程</w:t>
      </w:r>
      <w:bookmarkEnd w:id="1602"/>
      <w:bookmarkEnd w:id="1603"/>
      <w:bookmarkEnd w:id="1604"/>
    </w:p>
    <w:p w14:paraId="7C64489E">
      <w:pPr>
        <w:spacing w:line="400" w:lineRule="exact"/>
        <w:ind w:firstLine="420" w:firstLineChars="200"/>
        <w:rPr>
          <w:rFonts w:hint="eastAsia" w:ascii="宋体" w:hAnsi="宋体" w:cs="等线"/>
          <w:highlight w:val="none"/>
          <w:u w:val="single"/>
          <w:bdr w:val="single" w:color="auto" w:sz="4" w:space="0"/>
        </w:rPr>
      </w:pPr>
      <w:r>
        <w:rPr>
          <w:rFonts w:hint="eastAsia" w:ascii="宋体" w:hAnsi="宋体" w:cs="等线"/>
          <w:highlight w:val="none"/>
        </w:rPr>
        <w:t>6.4.1除为专用合同条款第4.1.8项约定的其他独立承包人和监理人指示的他人提供条件外,承包人运入施工场地的所有施工设备以及在施工场地建设的临时设施仅限于用于合同工程。</w:t>
      </w:r>
    </w:p>
    <w:p w14:paraId="093CF2E2">
      <w:pPr>
        <w:keepNext/>
        <w:keepLines/>
        <w:spacing w:line="400" w:lineRule="exact"/>
        <w:outlineLvl w:val="1"/>
        <w:rPr>
          <w:rFonts w:hint="eastAsia" w:ascii="宋体" w:hAnsi="宋体" w:cs="等线"/>
          <w:sz w:val="24"/>
          <w:highlight w:val="none"/>
        </w:rPr>
      </w:pPr>
      <w:bookmarkStart w:id="1605" w:name="_Toc159950795"/>
      <w:bookmarkStart w:id="1606" w:name="_Toc38732176"/>
      <w:bookmarkStart w:id="1607" w:name="_Toc6049"/>
      <w:bookmarkStart w:id="1608" w:name="_Toc27186"/>
      <w:r>
        <w:rPr>
          <w:rFonts w:hint="eastAsia" w:ascii="宋体" w:hAnsi="宋体" w:cs="等线"/>
          <w:sz w:val="24"/>
          <w:highlight w:val="none"/>
        </w:rPr>
        <w:t>7. 交通运输</w:t>
      </w:r>
      <w:bookmarkEnd w:id="1605"/>
      <w:bookmarkEnd w:id="1606"/>
      <w:bookmarkEnd w:id="1607"/>
      <w:bookmarkEnd w:id="1608"/>
    </w:p>
    <w:p w14:paraId="60C6C129">
      <w:pPr>
        <w:keepNext/>
        <w:keepLines/>
        <w:spacing w:line="400" w:lineRule="exact"/>
        <w:outlineLvl w:val="2"/>
        <w:rPr>
          <w:rFonts w:hint="eastAsia" w:ascii="宋体" w:hAnsi="宋体" w:cs="等线"/>
          <w:sz w:val="24"/>
          <w:highlight w:val="none"/>
        </w:rPr>
      </w:pPr>
      <w:bookmarkStart w:id="1609" w:name="_Toc5760"/>
      <w:bookmarkStart w:id="1610" w:name="_Toc159950796"/>
      <w:bookmarkStart w:id="1611" w:name="_Toc38732177"/>
      <w:r>
        <w:rPr>
          <w:rFonts w:hint="eastAsia" w:ascii="宋体" w:hAnsi="宋体" w:cs="等线"/>
          <w:sz w:val="24"/>
          <w:highlight w:val="none"/>
        </w:rPr>
        <w:t>7.1 道路通行权和场外设施</w:t>
      </w:r>
      <w:bookmarkEnd w:id="1609"/>
      <w:bookmarkEnd w:id="1610"/>
      <w:bookmarkEnd w:id="1611"/>
    </w:p>
    <w:p w14:paraId="2853958D">
      <w:pPr>
        <w:spacing w:line="400" w:lineRule="exact"/>
        <w:ind w:firstLine="420" w:firstLineChars="200"/>
        <w:rPr>
          <w:rFonts w:hint="eastAsia" w:ascii="宋体" w:hAnsi="宋体" w:cs="等线"/>
          <w:highlight w:val="none"/>
          <w:u w:val="single"/>
        </w:rPr>
      </w:pPr>
      <w:r>
        <w:rPr>
          <w:rFonts w:hint="eastAsia" w:ascii="宋体" w:hAnsi="宋体" w:cs="等线"/>
          <w:highlight w:val="none"/>
        </w:rPr>
        <w:t>取得道路通行权、场外设施修建权的办理人:</w:t>
      </w:r>
      <w:r>
        <w:rPr>
          <w:rFonts w:hint="eastAsia" w:ascii="宋体" w:hAnsi="宋体" w:cs="等线"/>
          <w:highlight w:val="none"/>
          <w:u w:val="single"/>
        </w:rPr>
        <w:t>承包人</w:t>
      </w:r>
      <w:r>
        <w:rPr>
          <w:rFonts w:hint="eastAsia" w:ascii="宋体" w:hAnsi="宋体" w:cs="等线"/>
          <w:highlight w:val="none"/>
        </w:rPr>
        <w:t>，其相关费用由发包人承担。</w:t>
      </w:r>
    </w:p>
    <w:p w14:paraId="20D42E79">
      <w:pPr>
        <w:keepNext/>
        <w:keepLines/>
        <w:spacing w:line="400" w:lineRule="exact"/>
        <w:outlineLvl w:val="2"/>
        <w:rPr>
          <w:rFonts w:hint="eastAsia" w:ascii="宋体" w:hAnsi="宋体" w:cs="等线"/>
          <w:sz w:val="24"/>
          <w:highlight w:val="none"/>
        </w:rPr>
      </w:pPr>
      <w:bookmarkStart w:id="1612" w:name="_Toc38732178"/>
      <w:bookmarkStart w:id="1613" w:name="_Toc13211"/>
      <w:bookmarkStart w:id="1614" w:name="_Toc159950797"/>
      <w:r>
        <w:rPr>
          <w:rFonts w:hint="eastAsia" w:ascii="宋体" w:hAnsi="宋体" w:cs="等线"/>
          <w:sz w:val="24"/>
          <w:highlight w:val="none"/>
        </w:rPr>
        <w:t>7.2 场内施工道路</w:t>
      </w:r>
      <w:bookmarkEnd w:id="1612"/>
      <w:bookmarkEnd w:id="1613"/>
      <w:bookmarkEnd w:id="1614"/>
    </w:p>
    <w:p w14:paraId="521B1D30">
      <w:pPr>
        <w:spacing w:line="400" w:lineRule="exact"/>
        <w:ind w:firstLine="420" w:firstLineChars="200"/>
        <w:rPr>
          <w:rFonts w:hint="eastAsia" w:ascii="宋体" w:hAnsi="宋体" w:cs="等线"/>
          <w:highlight w:val="none"/>
        </w:rPr>
      </w:pPr>
      <w:r>
        <w:rPr>
          <w:rFonts w:hint="eastAsia" w:ascii="宋体" w:hAnsi="宋体" w:cs="等线"/>
          <w:highlight w:val="none"/>
        </w:rPr>
        <w:t>7.2.1施工所需的场内临时道路和交通设施的修建、维护、养护和管理人：</w:t>
      </w:r>
      <w:r>
        <w:rPr>
          <w:rFonts w:hint="eastAsia" w:ascii="宋体" w:hAnsi="宋体" w:cs="等线"/>
          <w:highlight w:val="none"/>
          <w:u w:val="single"/>
        </w:rPr>
        <w:t>承包人</w:t>
      </w:r>
      <w:r>
        <w:rPr>
          <w:rFonts w:hint="eastAsia" w:ascii="宋体" w:hAnsi="宋体" w:cs="等线"/>
          <w:highlight w:val="none"/>
        </w:rPr>
        <w:t>，相关费用由</w:t>
      </w:r>
      <w:r>
        <w:rPr>
          <w:rFonts w:hint="eastAsia" w:ascii="宋体" w:hAnsi="宋体" w:cs="等线"/>
          <w:highlight w:val="none"/>
          <w:u w:val="single"/>
        </w:rPr>
        <w:t>承包人</w:t>
      </w:r>
      <w:r>
        <w:rPr>
          <w:rFonts w:hint="eastAsia" w:ascii="宋体" w:hAnsi="宋体" w:cs="等线"/>
          <w:highlight w:val="none"/>
        </w:rPr>
        <w:t>承担。</w:t>
      </w:r>
    </w:p>
    <w:p w14:paraId="1D8D0259">
      <w:pPr>
        <w:spacing w:line="400" w:lineRule="exact"/>
        <w:ind w:firstLine="420" w:firstLineChars="200"/>
        <w:rPr>
          <w:rFonts w:hint="eastAsia" w:ascii="宋体" w:hAnsi="宋体" w:cs="等线"/>
          <w:highlight w:val="none"/>
          <w:u w:val="single"/>
        </w:rPr>
      </w:pPr>
      <w:r>
        <w:rPr>
          <w:rFonts w:hint="eastAsia" w:ascii="宋体" w:hAnsi="宋体" w:cs="等线"/>
          <w:highlight w:val="none"/>
        </w:rPr>
        <w:t>7.2.2发包人和监理人有权无偿使用承包人修建的临时道路和交通设施，不需要交纳任何费用。</w:t>
      </w:r>
    </w:p>
    <w:p w14:paraId="115D9704">
      <w:pPr>
        <w:keepNext/>
        <w:keepLines/>
        <w:spacing w:line="400" w:lineRule="exact"/>
        <w:outlineLvl w:val="2"/>
        <w:rPr>
          <w:rFonts w:hint="eastAsia" w:ascii="宋体" w:hAnsi="宋体" w:cs="等线"/>
          <w:sz w:val="24"/>
          <w:highlight w:val="none"/>
        </w:rPr>
      </w:pPr>
      <w:bookmarkStart w:id="1615" w:name="_Toc159950798"/>
      <w:bookmarkStart w:id="1616" w:name="_Toc14416"/>
      <w:bookmarkStart w:id="1617" w:name="_Toc38732179"/>
      <w:r>
        <w:rPr>
          <w:rFonts w:hint="eastAsia" w:ascii="宋体" w:hAnsi="宋体" w:cs="等线"/>
          <w:sz w:val="24"/>
          <w:highlight w:val="none"/>
        </w:rPr>
        <w:t>7.4 超大件和超重件的运输</w:t>
      </w:r>
      <w:bookmarkEnd w:id="1615"/>
      <w:bookmarkEnd w:id="1616"/>
      <w:bookmarkEnd w:id="1617"/>
    </w:p>
    <w:p w14:paraId="1AE43426">
      <w:pPr>
        <w:spacing w:line="400" w:lineRule="exact"/>
        <w:ind w:firstLine="420" w:firstLineChars="200"/>
        <w:rPr>
          <w:rFonts w:hint="eastAsia" w:ascii="宋体" w:hAnsi="宋体" w:cs="等线"/>
          <w:highlight w:val="none"/>
        </w:rPr>
      </w:pPr>
      <w:r>
        <w:rPr>
          <w:rFonts w:hint="eastAsia" w:ascii="宋体" w:hAnsi="宋体" w:cs="等线"/>
          <w:highlight w:val="none"/>
        </w:rPr>
        <w:t>运输超大件或超重件所需的道路和桥梁临时加固改造等费用的承担人：</w:t>
      </w:r>
      <w:r>
        <w:rPr>
          <w:rFonts w:hint="eastAsia" w:ascii="宋体" w:hAnsi="宋体" w:cs="等线"/>
          <w:highlight w:val="none"/>
          <w:u w:val="single"/>
        </w:rPr>
        <w:t>承包人承担</w:t>
      </w:r>
      <w:r>
        <w:rPr>
          <w:rFonts w:hint="eastAsia" w:ascii="宋体" w:hAnsi="宋体" w:cs="等线"/>
          <w:highlight w:val="none"/>
        </w:rPr>
        <w:t>。（如保留：“该费用计入投标总价中”建议在招标文件中明确）</w:t>
      </w:r>
    </w:p>
    <w:p w14:paraId="0DD8B1DB">
      <w:pPr>
        <w:keepNext/>
        <w:keepLines/>
        <w:spacing w:line="400" w:lineRule="exact"/>
        <w:outlineLvl w:val="1"/>
        <w:rPr>
          <w:rFonts w:hint="eastAsia" w:ascii="宋体" w:hAnsi="宋体" w:cs="等线"/>
          <w:sz w:val="24"/>
          <w:highlight w:val="none"/>
        </w:rPr>
      </w:pPr>
      <w:bookmarkStart w:id="1618" w:name="_Toc7830"/>
      <w:bookmarkStart w:id="1619" w:name="_Toc159950799"/>
      <w:bookmarkStart w:id="1620" w:name="_Toc23183"/>
      <w:bookmarkStart w:id="1621" w:name="_Toc38732180"/>
      <w:r>
        <w:rPr>
          <w:rFonts w:hint="eastAsia" w:ascii="宋体" w:hAnsi="宋体" w:cs="等线"/>
          <w:sz w:val="24"/>
          <w:highlight w:val="none"/>
        </w:rPr>
        <w:t>8. 测量放线</w:t>
      </w:r>
      <w:bookmarkEnd w:id="1618"/>
      <w:bookmarkEnd w:id="1619"/>
      <w:bookmarkEnd w:id="1620"/>
      <w:bookmarkEnd w:id="1621"/>
    </w:p>
    <w:p w14:paraId="08CC0F3E">
      <w:pPr>
        <w:keepNext/>
        <w:keepLines/>
        <w:spacing w:line="400" w:lineRule="exact"/>
        <w:outlineLvl w:val="2"/>
        <w:rPr>
          <w:rFonts w:hint="eastAsia" w:ascii="宋体" w:hAnsi="宋体" w:cs="等线"/>
          <w:sz w:val="24"/>
          <w:highlight w:val="none"/>
        </w:rPr>
      </w:pPr>
      <w:bookmarkStart w:id="1622" w:name="_Toc21868"/>
      <w:bookmarkStart w:id="1623" w:name="_Toc38732181"/>
      <w:bookmarkStart w:id="1624" w:name="_Toc159950800"/>
      <w:r>
        <w:rPr>
          <w:rFonts w:hint="eastAsia" w:ascii="宋体" w:hAnsi="宋体" w:cs="等线"/>
          <w:sz w:val="24"/>
          <w:highlight w:val="none"/>
        </w:rPr>
        <w:t>8.1 施工控制网</w:t>
      </w:r>
      <w:bookmarkEnd w:id="1622"/>
      <w:bookmarkEnd w:id="1623"/>
      <w:bookmarkEnd w:id="1624"/>
    </w:p>
    <w:p w14:paraId="7CD7A036">
      <w:pPr>
        <w:spacing w:line="400" w:lineRule="exact"/>
        <w:ind w:firstLine="420" w:firstLineChars="200"/>
        <w:rPr>
          <w:rFonts w:hint="eastAsia" w:ascii="宋体" w:hAnsi="宋体" w:cs="等线"/>
          <w:highlight w:val="none"/>
          <w:u w:val="single"/>
        </w:rPr>
      </w:pPr>
      <w:r>
        <w:rPr>
          <w:rFonts w:hint="eastAsia" w:ascii="宋体" w:hAnsi="宋体" w:cs="等线"/>
          <w:highlight w:val="none"/>
        </w:rPr>
        <w:t>8.1.1发包人通过监理人提供测量基准点、基准线和水准点及其书面资料的期限：</w:t>
      </w:r>
      <w:r>
        <w:rPr>
          <w:rFonts w:hint="eastAsia" w:ascii="宋体" w:hAnsi="宋体" w:cs="等线"/>
          <w:highlight w:val="none"/>
          <w:u w:val="single"/>
        </w:rPr>
        <w:t xml:space="preserve"> 合同签订后7日内 （如有）</w:t>
      </w:r>
      <w:r>
        <w:rPr>
          <w:rFonts w:hint="eastAsia" w:ascii="宋体" w:hAnsi="宋体" w:cs="等线"/>
          <w:highlight w:val="none"/>
        </w:rPr>
        <w:t xml:space="preserve">。 </w:t>
      </w:r>
    </w:p>
    <w:p w14:paraId="2B7EADF2">
      <w:pPr>
        <w:spacing w:line="400" w:lineRule="exact"/>
        <w:ind w:firstLine="420" w:firstLineChars="200"/>
        <w:rPr>
          <w:rFonts w:hint="eastAsia" w:ascii="宋体" w:hAnsi="宋体" w:cs="等线"/>
          <w:highlight w:val="none"/>
          <w:u w:val="single"/>
        </w:rPr>
      </w:pPr>
      <w:r>
        <w:rPr>
          <w:rFonts w:hint="eastAsia" w:ascii="宋体" w:hAnsi="宋体" w:cs="等线"/>
          <w:highlight w:val="none"/>
        </w:rPr>
        <w:t>承包人测设施工控制网的要求：</w:t>
      </w:r>
      <w:r>
        <w:rPr>
          <w:rFonts w:hint="eastAsia" w:ascii="宋体" w:hAnsi="宋体" w:cs="等线"/>
          <w:highlight w:val="none"/>
          <w:u w:val="single"/>
        </w:rPr>
        <w:t xml:space="preserve">由承包人依据监理人提供的测量基准点、基准线和水准点以及国家的工程测量技术规范和合同要求的工程精度，测设自己的施工控制网  </w:t>
      </w:r>
      <w:r>
        <w:rPr>
          <w:rFonts w:hint="eastAsia" w:ascii="宋体" w:hAnsi="宋体" w:cs="等线"/>
          <w:highlight w:val="none"/>
        </w:rPr>
        <w:t xml:space="preserve">。 </w:t>
      </w:r>
    </w:p>
    <w:p w14:paraId="48CBFDF5">
      <w:pPr>
        <w:spacing w:line="400" w:lineRule="exact"/>
        <w:ind w:firstLine="420" w:firstLineChars="200"/>
        <w:rPr>
          <w:rFonts w:hint="eastAsia" w:ascii="宋体" w:hAnsi="宋体" w:cs="等线"/>
          <w:highlight w:val="none"/>
          <w:u w:val="single"/>
        </w:rPr>
      </w:pPr>
      <w:r>
        <w:rPr>
          <w:rFonts w:hint="eastAsia" w:ascii="宋体" w:hAnsi="宋体" w:cs="等线"/>
          <w:highlight w:val="none"/>
        </w:rPr>
        <w:t>承包人将施工控制网资料报送监理人审批的期限：</w:t>
      </w:r>
      <w:r>
        <w:rPr>
          <w:rFonts w:hint="eastAsia" w:ascii="宋体" w:hAnsi="宋体" w:cs="等线"/>
          <w:highlight w:val="none"/>
          <w:u w:val="single"/>
        </w:rPr>
        <w:t>在收到监理人按照通用合同条款第11.1.1项发出的开工通知后7日内</w:t>
      </w:r>
      <w:r>
        <w:rPr>
          <w:rFonts w:hint="eastAsia" w:ascii="宋体" w:hAnsi="宋体" w:cs="等线"/>
          <w:highlight w:val="none"/>
        </w:rPr>
        <w:t xml:space="preserve">。 </w:t>
      </w:r>
    </w:p>
    <w:p w14:paraId="13263A7B">
      <w:pPr>
        <w:keepNext/>
        <w:keepLines/>
        <w:spacing w:line="400" w:lineRule="exact"/>
        <w:outlineLvl w:val="1"/>
        <w:rPr>
          <w:rFonts w:hint="eastAsia" w:ascii="宋体" w:hAnsi="宋体" w:cs="等线"/>
          <w:sz w:val="24"/>
          <w:highlight w:val="none"/>
        </w:rPr>
      </w:pPr>
      <w:bookmarkStart w:id="1625" w:name="_Toc38732182"/>
      <w:bookmarkStart w:id="1626" w:name="_Toc159950801"/>
      <w:bookmarkStart w:id="1627" w:name="_Toc29383"/>
      <w:bookmarkStart w:id="1628" w:name="_Toc10233"/>
      <w:r>
        <w:rPr>
          <w:rFonts w:hint="eastAsia" w:ascii="宋体" w:hAnsi="宋体" w:cs="等线"/>
          <w:sz w:val="24"/>
          <w:highlight w:val="none"/>
        </w:rPr>
        <w:t>9. 施工安全、治安保卫和环境保护</w:t>
      </w:r>
      <w:bookmarkEnd w:id="1625"/>
      <w:bookmarkEnd w:id="1626"/>
      <w:bookmarkEnd w:id="1627"/>
      <w:bookmarkEnd w:id="1628"/>
    </w:p>
    <w:p w14:paraId="4B3459A1">
      <w:pPr>
        <w:keepNext/>
        <w:keepLines/>
        <w:spacing w:line="400" w:lineRule="exact"/>
        <w:outlineLvl w:val="2"/>
        <w:rPr>
          <w:rFonts w:hint="eastAsia" w:ascii="宋体" w:hAnsi="宋体" w:cs="等线"/>
          <w:sz w:val="24"/>
          <w:highlight w:val="none"/>
        </w:rPr>
      </w:pPr>
      <w:bookmarkStart w:id="1629" w:name="_Toc28437"/>
      <w:bookmarkStart w:id="1630" w:name="_Toc159950802"/>
      <w:bookmarkStart w:id="1631" w:name="_Toc38732183"/>
      <w:r>
        <w:rPr>
          <w:rFonts w:hint="eastAsia" w:ascii="宋体" w:hAnsi="宋体" w:cs="等线"/>
          <w:sz w:val="24"/>
          <w:highlight w:val="none"/>
        </w:rPr>
        <w:t>9.2 承包人的施工安全责任</w:t>
      </w:r>
      <w:bookmarkEnd w:id="1629"/>
      <w:bookmarkEnd w:id="1630"/>
      <w:bookmarkEnd w:id="1631"/>
    </w:p>
    <w:p w14:paraId="0EE06660">
      <w:pPr>
        <w:spacing w:after="120" w:line="400" w:lineRule="exact"/>
        <w:ind w:left="420" w:leftChars="200"/>
        <w:rPr>
          <w:rFonts w:hint="eastAsia" w:ascii="宋体" w:hAnsi="宋体" w:cs="等线"/>
          <w:sz w:val="24"/>
          <w:szCs w:val="20"/>
          <w:highlight w:val="none"/>
        </w:rPr>
      </w:pPr>
      <w:r>
        <w:rPr>
          <w:rFonts w:hint="eastAsia" w:ascii="宋体" w:hAnsi="宋体" w:cs="等线"/>
          <w:sz w:val="24"/>
          <w:szCs w:val="20"/>
          <w:highlight w:val="none"/>
        </w:rPr>
        <w:t>9.2.1承包人向监理人报送施工安全措施计划的期限：</w:t>
      </w:r>
      <w:r>
        <w:rPr>
          <w:rFonts w:hint="eastAsia" w:ascii="宋体" w:hAnsi="宋体" w:cs="等线"/>
          <w:sz w:val="24"/>
          <w:szCs w:val="20"/>
          <w:highlight w:val="none"/>
          <w:u w:val="single"/>
        </w:rPr>
        <w:t>在收到监理人按照通用合同条款第11.1.1项发出的开工通知后7日内</w:t>
      </w:r>
      <w:r>
        <w:rPr>
          <w:rFonts w:hint="eastAsia" w:ascii="宋体" w:hAnsi="宋体" w:cs="等线"/>
          <w:sz w:val="24"/>
          <w:szCs w:val="20"/>
          <w:highlight w:val="none"/>
        </w:rPr>
        <w:t>。</w:t>
      </w:r>
    </w:p>
    <w:p w14:paraId="46E8D72B">
      <w:pPr>
        <w:spacing w:after="120" w:line="400" w:lineRule="exact"/>
        <w:ind w:left="420" w:leftChars="200"/>
        <w:rPr>
          <w:rFonts w:hint="eastAsia" w:ascii="宋体" w:hAnsi="宋体" w:cs="等线"/>
          <w:sz w:val="24"/>
          <w:szCs w:val="20"/>
          <w:highlight w:val="none"/>
        </w:rPr>
      </w:pPr>
      <w:r>
        <w:rPr>
          <w:rFonts w:hint="eastAsia" w:ascii="宋体" w:hAnsi="宋体" w:cs="等线"/>
          <w:sz w:val="24"/>
          <w:szCs w:val="20"/>
          <w:highlight w:val="none"/>
        </w:rPr>
        <w:t>监理人收到承包人报送的施工安全措施计划后应当在</w:t>
      </w:r>
      <w:r>
        <w:rPr>
          <w:rFonts w:hint="eastAsia" w:ascii="宋体" w:hAnsi="宋体" w:cs="等线"/>
          <w:sz w:val="24"/>
          <w:szCs w:val="20"/>
          <w:highlight w:val="none"/>
          <w:u w:val="single"/>
        </w:rPr>
        <w:t>7</w:t>
      </w:r>
      <w:r>
        <w:rPr>
          <w:rFonts w:hint="eastAsia" w:ascii="宋体" w:hAnsi="宋体" w:cs="等线"/>
          <w:sz w:val="24"/>
          <w:szCs w:val="20"/>
          <w:highlight w:val="none"/>
        </w:rPr>
        <w:t>天内给予批复。</w:t>
      </w:r>
    </w:p>
    <w:p w14:paraId="5D4EC93D">
      <w:pPr>
        <w:spacing w:line="400" w:lineRule="exact"/>
        <w:ind w:firstLine="420" w:firstLineChars="200"/>
        <w:rPr>
          <w:rFonts w:hint="eastAsia" w:ascii="宋体" w:hAnsi="宋体" w:cs="等线"/>
          <w:highlight w:val="none"/>
        </w:rPr>
      </w:pPr>
      <w:r>
        <w:rPr>
          <w:rFonts w:hint="eastAsia" w:ascii="宋体" w:hAnsi="宋体" w:cs="等线"/>
          <w:highlight w:val="none"/>
        </w:rPr>
        <w:t>9.2.2 承包人应签署《施工安全协议书》（第七节），并严格按照第七节《施工安全协议书》中内容执行。</w:t>
      </w:r>
    </w:p>
    <w:p w14:paraId="32495DCE">
      <w:pPr>
        <w:spacing w:after="120" w:line="400" w:lineRule="exact"/>
        <w:ind w:left="420" w:leftChars="200"/>
        <w:rPr>
          <w:rFonts w:hint="eastAsia" w:ascii="宋体" w:hAnsi="宋体" w:cs="等线"/>
          <w:sz w:val="24"/>
          <w:szCs w:val="20"/>
          <w:highlight w:val="none"/>
        </w:rPr>
      </w:pPr>
      <w:r>
        <w:rPr>
          <w:rFonts w:hint="eastAsia" w:ascii="宋体" w:hAnsi="宋体" w:cs="等线"/>
          <w:sz w:val="24"/>
          <w:szCs w:val="20"/>
          <w:highlight w:val="none"/>
        </w:rPr>
        <w:t>9.2.3施工场安全事件紧急预案的编制责任人：</w:t>
      </w:r>
      <w:r>
        <w:rPr>
          <w:rFonts w:hint="eastAsia" w:ascii="宋体" w:hAnsi="宋体" w:cs="等线"/>
          <w:sz w:val="24"/>
          <w:szCs w:val="20"/>
          <w:highlight w:val="none"/>
          <w:u w:val="single"/>
        </w:rPr>
        <w:t>承包人</w:t>
      </w:r>
      <w:r>
        <w:rPr>
          <w:rFonts w:hint="eastAsia" w:ascii="宋体" w:hAnsi="宋体" w:cs="等线"/>
          <w:sz w:val="24"/>
          <w:szCs w:val="20"/>
          <w:highlight w:val="none"/>
        </w:rPr>
        <w:t>。</w:t>
      </w:r>
    </w:p>
    <w:p w14:paraId="41FDBF2F">
      <w:pPr>
        <w:keepNext/>
        <w:keepLines/>
        <w:spacing w:line="400" w:lineRule="exact"/>
        <w:outlineLvl w:val="2"/>
        <w:rPr>
          <w:rFonts w:hint="eastAsia" w:ascii="宋体" w:hAnsi="宋体" w:cs="等线"/>
          <w:sz w:val="24"/>
          <w:highlight w:val="none"/>
        </w:rPr>
      </w:pPr>
      <w:bookmarkStart w:id="1632" w:name="_Toc1257"/>
      <w:bookmarkStart w:id="1633" w:name="_Toc159950803"/>
      <w:bookmarkStart w:id="1634" w:name="_Toc38732184"/>
      <w:r>
        <w:rPr>
          <w:rFonts w:hint="eastAsia" w:ascii="宋体" w:hAnsi="宋体" w:cs="等线"/>
          <w:sz w:val="24"/>
          <w:highlight w:val="none"/>
        </w:rPr>
        <w:t>9.3 治安保卫</w:t>
      </w:r>
      <w:bookmarkEnd w:id="1632"/>
      <w:bookmarkEnd w:id="1633"/>
      <w:bookmarkEnd w:id="1634"/>
    </w:p>
    <w:p w14:paraId="2F728178">
      <w:pPr>
        <w:spacing w:after="120" w:line="400" w:lineRule="exact"/>
        <w:ind w:firstLine="480" w:firstLineChars="200"/>
        <w:rPr>
          <w:rFonts w:hint="eastAsia" w:ascii="宋体" w:hAnsi="宋体" w:cs="等线"/>
          <w:sz w:val="24"/>
          <w:szCs w:val="20"/>
          <w:highlight w:val="none"/>
        </w:rPr>
      </w:pPr>
      <w:r>
        <w:rPr>
          <w:rFonts w:hint="eastAsia" w:ascii="宋体" w:hAnsi="宋体" w:cs="等线"/>
          <w:sz w:val="24"/>
          <w:szCs w:val="20"/>
          <w:highlight w:val="none"/>
        </w:rPr>
        <w:t>9.3.1承包人应当负责统一管理施工场地的治安保卫事项，履行合同工程的治安保卫职责。</w:t>
      </w:r>
    </w:p>
    <w:p w14:paraId="013D4407">
      <w:pPr>
        <w:spacing w:after="120" w:line="400" w:lineRule="exact"/>
        <w:ind w:left="420" w:leftChars="200"/>
        <w:rPr>
          <w:rFonts w:hint="eastAsia" w:ascii="宋体" w:hAnsi="宋体" w:cs="等线"/>
          <w:sz w:val="24"/>
          <w:szCs w:val="20"/>
          <w:highlight w:val="none"/>
        </w:rPr>
      </w:pPr>
      <w:r>
        <w:rPr>
          <w:rFonts w:hint="eastAsia" w:ascii="宋体" w:hAnsi="宋体" w:cs="等线"/>
          <w:sz w:val="24"/>
          <w:szCs w:val="20"/>
          <w:highlight w:val="none"/>
        </w:rPr>
        <w:t>9.3.3施工场地治安管理计划和突发治安事件紧急预案的编制责任人：</w:t>
      </w:r>
      <w:r>
        <w:rPr>
          <w:rFonts w:hint="eastAsia" w:ascii="宋体" w:hAnsi="宋体" w:cs="等线"/>
          <w:sz w:val="24"/>
          <w:szCs w:val="20"/>
          <w:highlight w:val="none"/>
          <w:u w:val="single"/>
        </w:rPr>
        <w:t>承包人</w:t>
      </w:r>
      <w:r>
        <w:rPr>
          <w:rFonts w:hint="eastAsia" w:ascii="宋体" w:hAnsi="宋体" w:cs="等线"/>
          <w:sz w:val="24"/>
          <w:szCs w:val="20"/>
          <w:highlight w:val="none"/>
        </w:rPr>
        <w:t>。</w:t>
      </w:r>
    </w:p>
    <w:p w14:paraId="7E7D6985">
      <w:pPr>
        <w:keepNext/>
        <w:keepLines/>
        <w:spacing w:line="400" w:lineRule="exact"/>
        <w:outlineLvl w:val="2"/>
        <w:rPr>
          <w:rFonts w:hint="eastAsia" w:ascii="宋体" w:hAnsi="宋体" w:cs="等线"/>
          <w:sz w:val="24"/>
          <w:highlight w:val="none"/>
        </w:rPr>
      </w:pPr>
      <w:bookmarkStart w:id="1635" w:name="_Toc38732185"/>
      <w:bookmarkStart w:id="1636" w:name="_Toc159950804"/>
      <w:bookmarkStart w:id="1637" w:name="_Toc19368"/>
      <w:r>
        <w:rPr>
          <w:rFonts w:hint="eastAsia" w:ascii="宋体" w:hAnsi="宋体" w:cs="等线"/>
          <w:sz w:val="24"/>
          <w:highlight w:val="none"/>
        </w:rPr>
        <w:t>9.4 环境保护</w:t>
      </w:r>
      <w:bookmarkEnd w:id="1635"/>
      <w:bookmarkEnd w:id="1636"/>
      <w:bookmarkEnd w:id="1637"/>
    </w:p>
    <w:p w14:paraId="5D6B4F1C">
      <w:pPr>
        <w:spacing w:after="120" w:line="400" w:lineRule="exact"/>
        <w:ind w:left="420" w:leftChars="200"/>
        <w:rPr>
          <w:rFonts w:hint="eastAsia" w:ascii="宋体" w:hAnsi="宋体" w:cs="等线"/>
          <w:sz w:val="24"/>
          <w:szCs w:val="20"/>
          <w:highlight w:val="none"/>
        </w:rPr>
      </w:pPr>
      <w:r>
        <w:rPr>
          <w:rFonts w:hint="eastAsia" w:ascii="宋体" w:hAnsi="宋体" w:cs="等线"/>
          <w:sz w:val="24"/>
          <w:szCs w:val="20"/>
          <w:highlight w:val="none"/>
        </w:rPr>
        <w:t>9.4.2施工环保措施计划报送监理人审批的时间：</w:t>
      </w:r>
      <w:r>
        <w:rPr>
          <w:rFonts w:hint="eastAsia" w:ascii="宋体" w:hAnsi="宋体" w:cs="等线"/>
          <w:sz w:val="24"/>
          <w:szCs w:val="20"/>
          <w:highlight w:val="none"/>
          <w:u w:val="single"/>
        </w:rPr>
        <w:t>在收到监理人按照通用合同条款第11.1.1项发出的开工通知后7日内</w:t>
      </w:r>
      <w:r>
        <w:rPr>
          <w:rFonts w:hint="eastAsia" w:ascii="宋体" w:hAnsi="宋体" w:cs="等线"/>
          <w:sz w:val="24"/>
          <w:szCs w:val="20"/>
          <w:highlight w:val="none"/>
        </w:rPr>
        <w:t>。</w:t>
      </w:r>
    </w:p>
    <w:p w14:paraId="42A88993">
      <w:pPr>
        <w:spacing w:after="120" w:line="400" w:lineRule="exact"/>
        <w:ind w:left="420" w:leftChars="200"/>
        <w:rPr>
          <w:rFonts w:hint="eastAsia" w:ascii="宋体" w:hAnsi="宋体" w:cs="等线"/>
          <w:sz w:val="24"/>
          <w:szCs w:val="20"/>
          <w:highlight w:val="none"/>
        </w:rPr>
      </w:pPr>
      <w:r>
        <w:rPr>
          <w:rFonts w:hint="eastAsia" w:ascii="宋体" w:hAnsi="宋体" w:cs="等线"/>
          <w:sz w:val="24"/>
          <w:szCs w:val="20"/>
          <w:highlight w:val="none"/>
        </w:rPr>
        <w:t>监理人收到承包人报送的施工环保措施计划后应当在</w:t>
      </w:r>
      <w:r>
        <w:rPr>
          <w:rFonts w:hint="eastAsia" w:ascii="宋体" w:hAnsi="宋体" w:cs="等线"/>
          <w:sz w:val="24"/>
          <w:szCs w:val="20"/>
          <w:highlight w:val="none"/>
          <w:u w:val="single"/>
        </w:rPr>
        <w:t>7</w:t>
      </w:r>
      <w:r>
        <w:rPr>
          <w:rFonts w:hint="eastAsia" w:ascii="宋体" w:hAnsi="宋体" w:cs="等线"/>
          <w:sz w:val="24"/>
          <w:szCs w:val="20"/>
          <w:highlight w:val="none"/>
        </w:rPr>
        <w:t>天内给予批复。</w:t>
      </w:r>
    </w:p>
    <w:p w14:paraId="2803802A">
      <w:pPr>
        <w:keepNext/>
        <w:keepLines/>
        <w:spacing w:line="400" w:lineRule="exact"/>
        <w:outlineLvl w:val="1"/>
        <w:rPr>
          <w:rFonts w:hint="eastAsia" w:ascii="宋体" w:hAnsi="宋体" w:cs="等线"/>
          <w:sz w:val="24"/>
          <w:highlight w:val="none"/>
        </w:rPr>
      </w:pPr>
      <w:bookmarkStart w:id="1638" w:name="_Toc28746"/>
      <w:bookmarkStart w:id="1639" w:name="_Toc16808"/>
      <w:bookmarkStart w:id="1640" w:name="_Toc159950805"/>
      <w:bookmarkStart w:id="1641" w:name="_Toc38732186"/>
      <w:r>
        <w:rPr>
          <w:rFonts w:hint="eastAsia" w:ascii="宋体" w:hAnsi="宋体" w:cs="等线"/>
          <w:sz w:val="24"/>
          <w:highlight w:val="none"/>
        </w:rPr>
        <w:t>10. 进度计划</w:t>
      </w:r>
      <w:bookmarkEnd w:id="1638"/>
      <w:bookmarkEnd w:id="1639"/>
      <w:bookmarkEnd w:id="1640"/>
      <w:bookmarkEnd w:id="1641"/>
    </w:p>
    <w:p w14:paraId="0DDB9FD7">
      <w:pPr>
        <w:keepNext/>
        <w:keepLines/>
        <w:spacing w:line="360" w:lineRule="auto"/>
        <w:outlineLvl w:val="2"/>
        <w:rPr>
          <w:rFonts w:hint="eastAsia" w:ascii="宋体" w:hAnsi="宋体" w:cs="等线"/>
          <w:sz w:val="24"/>
          <w:highlight w:val="none"/>
        </w:rPr>
      </w:pPr>
      <w:bookmarkStart w:id="1642" w:name="_Toc6178"/>
      <w:bookmarkStart w:id="1643" w:name="_Toc159950806"/>
      <w:bookmarkStart w:id="1644" w:name="_Toc38732187"/>
      <w:r>
        <w:rPr>
          <w:rFonts w:hint="eastAsia" w:ascii="宋体" w:hAnsi="宋体" w:cs="等线"/>
          <w:sz w:val="24"/>
          <w:highlight w:val="none"/>
        </w:rPr>
        <w:t>10.1 合同进度计划</w:t>
      </w:r>
      <w:bookmarkEnd w:id="1642"/>
      <w:bookmarkEnd w:id="1643"/>
      <w:bookmarkEnd w:id="1644"/>
    </w:p>
    <w:p w14:paraId="54EADB94">
      <w:pPr>
        <w:spacing w:after="120" w:line="360" w:lineRule="auto"/>
        <w:ind w:firstLine="480" w:firstLineChars="200"/>
        <w:rPr>
          <w:rFonts w:hint="eastAsia" w:ascii="宋体" w:hAnsi="宋体" w:cs="等线"/>
          <w:sz w:val="24"/>
          <w:szCs w:val="20"/>
          <w:highlight w:val="none"/>
        </w:rPr>
      </w:pPr>
      <w:r>
        <w:rPr>
          <w:rFonts w:hint="eastAsia" w:ascii="宋体" w:hAnsi="宋体" w:cs="等线"/>
          <w:sz w:val="24"/>
          <w:szCs w:val="20"/>
          <w:highlight w:val="none"/>
        </w:rPr>
        <w:t>（1）承包人应当在收到监理人按照通用合同条款第11.1.1项发出的开工通知后7天内，编制详细的施工进度计划和施工方案说明并报送监理人。承包人编制施工进度计划和施工方案说明的内容：</w:t>
      </w:r>
      <w:r>
        <w:rPr>
          <w:rFonts w:hint="eastAsia" w:ascii="宋体" w:hAnsi="宋体" w:cs="等线"/>
          <w:sz w:val="24"/>
          <w:szCs w:val="20"/>
          <w:highlight w:val="none"/>
          <w:u w:val="single"/>
        </w:rPr>
        <w:t>承包人应按投标阶段承诺的总进度计划关键线路目标，以及施工顺序和方法要点，向监理人提交更准确更详细的施工进度计划和施工方案</w:t>
      </w:r>
      <w:r>
        <w:rPr>
          <w:rFonts w:hint="eastAsia" w:ascii="宋体" w:hAnsi="宋体" w:cs="等线"/>
          <w:sz w:val="24"/>
          <w:szCs w:val="20"/>
          <w:highlight w:val="none"/>
        </w:rPr>
        <w:t>， 施工进度计划中还应载明要求发包人组织设计人进行阶段性工程设计交底的时间。</w:t>
      </w:r>
    </w:p>
    <w:p w14:paraId="012D2D5E">
      <w:pPr>
        <w:spacing w:after="120" w:line="360" w:lineRule="auto"/>
        <w:ind w:firstLine="480" w:firstLineChars="200"/>
        <w:rPr>
          <w:rFonts w:hint="eastAsia" w:ascii="宋体" w:hAnsi="宋体" w:cs="等线"/>
          <w:sz w:val="24"/>
          <w:szCs w:val="20"/>
          <w:highlight w:val="none"/>
        </w:rPr>
      </w:pPr>
      <w:r>
        <w:rPr>
          <w:rFonts w:hint="eastAsia" w:ascii="宋体" w:hAnsi="宋体" w:cs="等线"/>
          <w:sz w:val="24"/>
          <w:szCs w:val="20"/>
          <w:highlight w:val="none"/>
        </w:rPr>
        <w:t>（2）监理人批复或对施工进度计划和施工方案说明提出修改意见的期限：自监理人收到承包人报送的相关进度计划和施工方案说明后14天内。</w:t>
      </w:r>
    </w:p>
    <w:p w14:paraId="5FB44C33">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（3）承包人编制分阶段或分项施工进度计划和施工方案说明的内容：</w:t>
      </w:r>
      <w:r>
        <w:rPr>
          <w:rFonts w:hint="eastAsia" w:ascii="宋体" w:hAnsi="宋体" w:cs="等线"/>
          <w:sz w:val="24"/>
          <w:szCs w:val="20"/>
          <w:highlight w:val="none"/>
          <w:u w:val="single"/>
        </w:rPr>
        <w:t xml:space="preserve">       /     </w:t>
      </w:r>
      <w:r>
        <w:rPr>
          <w:rFonts w:hint="eastAsia" w:ascii="宋体" w:hAnsi="宋体" w:cs="等线"/>
          <w:sz w:val="24"/>
          <w:szCs w:val="20"/>
          <w:highlight w:val="none"/>
        </w:rPr>
        <w:t>。</w:t>
      </w:r>
    </w:p>
    <w:p w14:paraId="08C8C015">
      <w:pPr>
        <w:spacing w:after="120" w:line="360" w:lineRule="auto"/>
        <w:ind w:left="420" w:leftChars="200" w:firstLine="240" w:firstLineChars="100"/>
        <w:rPr>
          <w:rFonts w:hint="eastAsia" w:ascii="宋体" w:hAnsi="宋体" w:cs="等线"/>
          <w:sz w:val="24"/>
          <w:szCs w:val="20"/>
          <w:highlight w:val="none"/>
        </w:rPr>
      </w:pPr>
      <w:r>
        <w:rPr>
          <w:rFonts w:hint="eastAsia" w:ascii="宋体" w:hAnsi="宋体" w:cs="等线"/>
          <w:sz w:val="24"/>
          <w:szCs w:val="20"/>
          <w:highlight w:val="none"/>
        </w:rPr>
        <w:t>承包人报送分阶段或分项施工进度计划和施工方案说明的期限：</w:t>
      </w:r>
      <w:r>
        <w:rPr>
          <w:rFonts w:hint="eastAsia" w:ascii="宋体" w:hAnsi="宋体" w:cs="等线"/>
          <w:sz w:val="24"/>
          <w:szCs w:val="20"/>
          <w:highlight w:val="none"/>
          <w:u w:val="single"/>
        </w:rPr>
        <w:t xml:space="preserve">          /     </w:t>
      </w:r>
      <w:r>
        <w:rPr>
          <w:rFonts w:hint="eastAsia" w:ascii="宋体" w:hAnsi="宋体" w:cs="等线"/>
          <w:sz w:val="24"/>
          <w:szCs w:val="20"/>
          <w:highlight w:val="none"/>
        </w:rPr>
        <w:t>。</w:t>
      </w:r>
    </w:p>
    <w:p w14:paraId="315ADC97">
      <w:pPr>
        <w:spacing w:after="120" w:line="360" w:lineRule="auto"/>
        <w:ind w:firstLine="480" w:firstLineChars="200"/>
        <w:rPr>
          <w:rFonts w:hint="eastAsia" w:ascii="宋体" w:hAnsi="宋体" w:cs="等线"/>
          <w:sz w:val="24"/>
          <w:szCs w:val="20"/>
          <w:highlight w:val="none"/>
        </w:rPr>
      </w:pPr>
      <w:r>
        <w:rPr>
          <w:rFonts w:hint="eastAsia" w:ascii="宋体" w:hAnsi="宋体" w:cs="等线"/>
          <w:sz w:val="24"/>
          <w:szCs w:val="20"/>
          <w:highlight w:val="none"/>
        </w:rPr>
        <w:t>（4）群体工程中单位工程分期进行施工的，承包人应按照发包人提供图纸及有关资料的时间，按单位工程编制进度计划和施工方案说明。群体工程中有关进度计划和施工方案说明的要求：</w:t>
      </w:r>
      <w:r>
        <w:rPr>
          <w:rFonts w:hint="eastAsia" w:ascii="宋体" w:hAnsi="宋体" w:cs="等线"/>
          <w:sz w:val="24"/>
          <w:szCs w:val="20"/>
          <w:highlight w:val="none"/>
          <w:u w:val="single"/>
        </w:rPr>
        <w:t xml:space="preserve">                            /    </w:t>
      </w:r>
      <w:r>
        <w:rPr>
          <w:rFonts w:hint="eastAsia" w:ascii="宋体" w:hAnsi="宋体" w:cs="等线"/>
          <w:sz w:val="24"/>
          <w:szCs w:val="20"/>
          <w:highlight w:val="none"/>
        </w:rPr>
        <w:t>。</w:t>
      </w:r>
    </w:p>
    <w:p w14:paraId="73227CCE">
      <w:pPr>
        <w:keepNext/>
        <w:keepLines/>
        <w:spacing w:line="360" w:lineRule="auto"/>
        <w:outlineLvl w:val="2"/>
        <w:rPr>
          <w:rFonts w:hint="eastAsia" w:ascii="宋体" w:hAnsi="宋体" w:cs="等线"/>
          <w:sz w:val="24"/>
          <w:highlight w:val="none"/>
        </w:rPr>
      </w:pPr>
      <w:bookmarkStart w:id="1645" w:name="_Toc26034"/>
      <w:bookmarkStart w:id="1646" w:name="_Toc38732188"/>
      <w:bookmarkStart w:id="1647" w:name="_Toc159950807"/>
      <w:r>
        <w:rPr>
          <w:rFonts w:hint="eastAsia" w:ascii="宋体" w:hAnsi="宋体" w:cs="等线"/>
          <w:sz w:val="24"/>
          <w:highlight w:val="none"/>
        </w:rPr>
        <w:t>10.2 合同进度计划的修订</w:t>
      </w:r>
      <w:bookmarkEnd w:id="1645"/>
      <w:bookmarkEnd w:id="1646"/>
      <w:bookmarkEnd w:id="1647"/>
    </w:p>
    <w:p w14:paraId="46AFF2BD">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（1）承包人报送修订合同进度计划申请报告和相关资料的期限：</w:t>
      </w:r>
      <w:r>
        <w:rPr>
          <w:rFonts w:hint="eastAsia" w:ascii="宋体" w:hAnsi="宋体" w:cs="等线"/>
          <w:sz w:val="24"/>
          <w:szCs w:val="20"/>
          <w:highlight w:val="none"/>
          <w:u w:val="single"/>
        </w:rPr>
        <w:t xml:space="preserve"> 合同签订后7日内</w:t>
      </w:r>
      <w:r>
        <w:rPr>
          <w:rFonts w:hint="eastAsia" w:ascii="宋体" w:hAnsi="宋体" w:cs="等线"/>
          <w:sz w:val="24"/>
          <w:szCs w:val="20"/>
          <w:highlight w:val="none"/>
        </w:rPr>
        <w:t>。</w:t>
      </w:r>
    </w:p>
    <w:p w14:paraId="5BBE6A0B">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（2）监理人批复修订合同进度计划申请报告的期限：</w:t>
      </w:r>
      <w:r>
        <w:rPr>
          <w:rFonts w:hint="eastAsia" w:ascii="宋体" w:hAnsi="宋体" w:cs="等线"/>
          <w:sz w:val="24"/>
          <w:szCs w:val="20"/>
          <w:highlight w:val="none"/>
          <w:u w:val="single"/>
        </w:rPr>
        <w:t xml:space="preserve"> 收到承包人报送的修订合同进度计划申请报告和相关资料后7日内</w:t>
      </w:r>
      <w:r>
        <w:rPr>
          <w:rFonts w:hint="eastAsia" w:ascii="宋体" w:hAnsi="宋体" w:cs="等线"/>
          <w:sz w:val="24"/>
          <w:szCs w:val="20"/>
          <w:highlight w:val="none"/>
        </w:rPr>
        <w:t>。</w:t>
      </w:r>
    </w:p>
    <w:p w14:paraId="59838898">
      <w:pPr>
        <w:spacing w:after="120" w:line="360" w:lineRule="auto"/>
        <w:ind w:left="420" w:leftChars="200"/>
        <w:rPr>
          <w:rFonts w:hint="eastAsia" w:ascii="宋体" w:hAnsi="宋体" w:cs="等线"/>
          <w:sz w:val="24"/>
          <w:szCs w:val="20"/>
          <w:highlight w:val="none"/>
          <w:u w:val="single"/>
        </w:rPr>
      </w:pPr>
      <w:r>
        <w:rPr>
          <w:rFonts w:hint="eastAsia" w:ascii="宋体" w:hAnsi="宋体" w:cs="等线"/>
          <w:sz w:val="24"/>
          <w:szCs w:val="20"/>
          <w:highlight w:val="none"/>
        </w:rPr>
        <w:t>（3）监理人批复修订合同进度计划的期限：</w:t>
      </w:r>
      <w:r>
        <w:rPr>
          <w:rFonts w:hint="eastAsia" w:ascii="宋体" w:hAnsi="宋体" w:cs="等线"/>
          <w:sz w:val="24"/>
          <w:szCs w:val="20"/>
          <w:highlight w:val="none"/>
          <w:u w:val="single"/>
        </w:rPr>
        <w:t>收到承包人报送的修订合同进度计划和相关资料后7日内</w:t>
      </w:r>
      <w:r>
        <w:rPr>
          <w:rFonts w:hint="eastAsia" w:ascii="宋体" w:hAnsi="宋体" w:cs="等线"/>
          <w:sz w:val="24"/>
          <w:szCs w:val="20"/>
          <w:highlight w:val="none"/>
        </w:rPr>
        <w:t>。</w:t>
      </w:r>
    </w:p>
    <w:p w14:paraId="25B86380">
      <w:pPr>
        <w:keepNext/>
        <w:keepLines/>
        <w:spacing w:line="400" w:lineRule="exact"/>
        <w:outlineLvl w:val="1"/>
        <w:rPr>
          <w:rFonts w:hint="eastAsia" w:ascii="宋体" w:hAnsi="宋体" w:cs="等线"/>
          <w:sz w:val="24"/>
          <w:highlight w:val="none"/>
        </w:rPr>
      </w:pPr>
      <w:bookmarkStart w:id="1648" w:name="_Toc12382"/>
      <w:bookmarkStart w:id="1649" w:name="_Toc38732189"/>
      <w:bookmarkStart w:id="1650" w:name="_Toc24300"/>
      <w:bookmarkStart w:id="1651" w:name="_Toc159950808"/>
      <w:r>
        <w:rPr>
          <w:rFonts w:hint="eastAsia" w:ascii="宋体" w:hAnsi="宋体" w:cs="等线"/>
          <w:sz w:val="24"/>
          <w:highlight w:val="none"/>
        </w:rPr>
        <w:t>11. 开工和竣工</w:t>
      </w:r>
      <w:bookmarkEnd w:id="1648"/>
      <w:bookmarkEnd w:id="1649"/>
      <w:bookmarkEnd w:id="1650"/>
      <w:bookmarkEnd w:id="1651"/>
    </w:p>
    <w:p w14:paraId="72991136">
      <w:pPr>
        <w:keepNext/>
        <w:keepLines/>
        <w:spacing w:line="360" w:lineRule="auto"/>
        <w:outlineLvl w:val="2"/>
        <w:rPr>
          <w:rFonts w:hint="eastAsia" w:ascii="宋体" w:hAnsi="宋体" w:cs="等线"/>
          <w:sz w:val="24"/>
          <w:highlight w:val="none"/>
        </w:rPr>
      </w:pPr>
      <w:bookmarkStart w:id="1652" w:name="_Toc26471"/>
      <w:bookmarkStart w:id="1653" w:name="_Toc38732190"/>
      <w:bookmarkStart w:id="1654" w:name="_Toc159950809"/>
      <w:r>
        <w:rPr>
          <w:rFonts w:hint="eastAsia" w:ascii="宋体" w:hAnsi="宋体" w:cs="等线"/>
          <w:sz w:val="24"/>
          <w:highlight w:val="none"/>
        </w:rPr>
        <w:t>11.3 发包人的工期延误</w:t>
      </w:r>
      <w:bookmarkEnd w:id="1652"/>
      <w:bookmarkEnd w:id="1653"/>
      <w:bookmarkEnd w:id="1654"/>
    </w:p>
    <w:p w14:paraId="01F3FA05">
      <w:pPr>
        <w:spacing w:after="120" w:line="360" w:lineRule="auto"/>
        <w:ind w:firstLine="480" w:firstLineChars="200"/>
        <w:rPr>
          <w:rFonts w:hint="eastAsia" w:ascii="宋体" w:hAnsi="宋体" w:cs="等线"/>
          <w:sz w:val="24"/>
          <w:szCs w:val="20"/>
          <w:highlight w:val="none"/>
        </w:rPr>
      </w:pPr>
      <w:r>
        <w:rPr>
          <w:rFonts w:hint="eastAsia" w:ascii="宋体" w:hAnsi="宋体" w:cs="等线"/>
          <w:sz w:val="24"/>
          <w:szCs w:val="20"/>
          <w:highlight w:val="none"/>
        </w:rPr>
        <w:t>(7) 因发包人原因不能按照监理人发出的开工通知中载明的开工日期开工。除发包人原因延期开工外，发包人造成工期延误的其他原因还包括：</w:t>
      </w:r>
      <w:r>
        <w:rPr>
          <w:rFonts w:hint="eastAsia" w:ascii="宋体" w:hAnsi="宋体" w:cs="等线"/>
          <w:sz w:val="24"/>
          <w:szCs w:val="20"/>
          <w:highlight w:val="none"/>
          <w:u w:val="single"/>
        </w:rPr>
        <w:t>发包人和承包人双方共同认为必须延长工期的(以书面文件为准)</w:t>
      </w:r>
      <w:r>
        <w:rPr>
          <w:rFonts w:hint="eastAsia" w:ascii="宋体" w:hAnsi="宋体" w:cs="等线"/>
          <w:sz w:val="24"/>
          <w:szCs w:val="20"/>
          <w:highlight w:val="none"/>
        </w:rPr>
        <w:t>等延误承包人关键线路工作的情况。</w:t>
      </w:r>
    </w:p>
    <w:p w14:paraId="307A20DC">
      <w:pPr>
        <w:keepNext/>
        <w:keepLines/>
        <w:spacing w:line="360" w:lineRule="auto"/>
        <w:outlineLvl w:val="2"/>
        <w:rPr>
          <w:rFonts w:hint="eastAsia" w:ascii="宋体" w:hAnsi="宋体" w:cs="等线"/>
          <w:sz w:val="24"/>
          <w:highlight w:val="none"/>
        </w:rPr>
      </w:pPr>
      <w:bookmarkStart w:id="1655" w:name="_Toc159950810"/>
      <w:bookmarkStart w:id="1656" w:name="_Toc22507"/>
      <w:bookmarkStart w:id="1657" w:name="_Toc38732191"/>
      <w:r>
        <w:rPr>
          <w:rFonts w:hint="eastAsia" w:ascii="宋体" w:hAnsi="宋体" w:cs="等线"/>
          <w:sz w:val="24"/>
          <w:highlight w:val="none"/>
        </w:rPr>
        <w:t>11.4 异常恶劣的气候条件</w:t>
      </w:r>
      <w:bookmarkEnd w:id="1655"/>
      <w:bookmarkEnd w:id="1656"/>
      <w:bookmarkEnd w:id="1657"/>
    </w:p>
    <w:p w14:paraId="3A868376">
      <w:pPr>
        <w:spacing w:after="120" w:line="360" w:lineRule="auto"/>
        <w:ind w:left="420" w:leftChars="200"/>
        <w:rPr>
          <w:rFonts w:hint="eastAsia" w:ascii="宋体" w:hAnsi="宋体" w:cs="等线"/>
          <w:sz w:val="24"/>
          <w:szCs w:val="20"/>
          <w:highlight w:val="none"/>
          <w:u w:val="single"/>
        </w:rPr>
      </w:pPr>
      <w:r>
        <w:rPr>
          <w:rFonts w:hint="eastAsia" w:ascii="宋体" w:hAnsi="宋体" w:cs="等线"/>
          <w:sz w:val="24"/>
          <w:szCs w:val="20"/>
          <w:highlight w:val="none"/>
        </w:rPr>
        <w:t>异常恶劣的气候条件的范围和标准：</w:t>
      </w:r>
      <w:r>
        <w:rPr>
          <w:rFonts w:hint="eastAsia" w:ascii="宋体" w:hAnsi="宋体" w:cs="等线"/>
          <w:sz w:val="24"/>
          <w:szCs w:val="20"/>
          <w:highlight w:val="none"/>
          <w:u w:val="single"/>
        </w:rPr>
        <w:t>暴雨橙色预警信号、大风黄色预警信号、沙尘暴橙色预警信号。由于恶劣的气候条件导致工期延误的，承包人有权要求发包人延长工期，但不增加费用 。</w:t>
      </w:r>
    </w:p>
    <w:p w14:paraId="65901DB5">
      <w:pPr>
        <w:keepNext/>
        <w:keepLines/>
        <w:spacing w:line="360" w:lineRule="auto"/>
        <w:outlineLvl w:val="2"/>
        <w:rPr>
          <w:rFonts w:hint="eastAsia" w:ascii="宋体" w:hAnsi="宋体" w:cs="等线"/>
          <w:sz w:val="24"/>
          <w:highlight w:val="none"/>
        </w:rPr>
      </w:pPr>
      <w:bookmarkStart w:id="1658" w:name="_Toc159950811"/>
      <w:bookmarkStart w:id="1659" w:name="_Toc38732192"/>
      <w:bookmarkStart w:id="1660" w:name="_Toc19764"/>
      <w:r>
        <w:rPr>
          <w:rFonts w:hint="eastAsia" w:ascii="宋体" w:hAnsi="宋体" w:cs="等线"/>
          <w:sz w:val="24"/>
          <w:highlight w:val="none"/>
        </w:rPr>
        <w:t>11.5 承包人的工期延误</w:t>
      </w:r>
      <w:bookmarkEnd w:id="1658"/>
      <w:bookmarkEnd w:id="1659"/>
      <w:bookmarkEnd w:id="1660"/>
    </w:p>
    <w:p w14:paraId="6BD24FE2">
      <w:pPr>
        <w:spacing w:after="120" w:line="360" w:lineRule="auto"/>
        <w:ind w:firstLine="480" w:firstLineChars="200"/>
        <w:rPr>
          <w:rFonts w:hint="eastAsia" w:ascii="宋体" w:hAnsi="宋体" w:cs="等线"/>
          <w:sz w:val="24"/>
          <w:szCs w:val="20"/>
          <w:highlight w:val="none"/>
        </w:rPr>
      </w:pPr>
      <w:r>
        <w:rPr>
          <w:rFonts w:hint="eastAsia" w:ascii="宋体" w:hAnsi="宋体" w:cs="等线"/>
          <w:sz w:val="24"/>
          <w:szCs w:val="20"/>
          <w:highlight w:val="none"/>
        </w:rPr>
        <w:t>由于承包人原因造成不能按期竣工的，在按合同约定确定的竣工日期（包括按合同延长的工期）后7天内，监理人应当按通用合同条款第23.4.1项的约定书面通知承包人,说明发包人有权得到按本款约定的下列标准和方法计算的逾期竣工违约金，但最终违约金的金额不应超过本款约定的逾期竣工违约金最高限额。监理人未在规定的期限内发出本款约定的书面通知的，发包人丧失主张逾期竣工违约金的权利。</w:t>
      </w:r>
    </w:p>
    <w:p w14:paraId="3849E2F9">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逾期竣工违约金的计算标准：</w:t>
      </w:r>
      <w:r>
        <w:rPr>
          <w:rFonts w:hint="eastAsia" w:ascii="宋体" w:hAnsi="宋体" w:cs="等线"/>
          <w:sz w:val="24"/>
          <w:szCs w:val="20"/>
          <w:highlight w:val="none"/>
          <w:u w:val="single"/>
        </w:rPr>
        <w:t>合同额的</w:t>
      </w:r>
      <w:r>
        <w:rPr>
          <w:rFonts w:ascii="宋体" w:hAnsi="宋体" w:cs="等线"/>
          <w:sz w:val="24"/>
          <w:szCs w:val="20"/>
          <w:highlight w:val="none"/>
          <w:u w:val="single"/>
        </w:rPr>
        <w:t>千分</w:t>
      </w:r>
      <w:r>
        <w:rPr>
          <w:rFonts w:hint="eastAsia" w:ascii="宋体" w:hAnsi="宋体" w:cs="等线"/>
          <w:sz w:val="24"/>
          <w:szCs w:val="20"/>
          <w:highlight w:val="none"/>
          <w:u w:val="single"/>
        </w:rPr>
        <w:t>之二/天</w:t>
      </w:r>
      <w:r>
        <w:rPr>
          <w:rFonts w:hint="eastAsia" w:ascii="宋体" w:hAnsi="宋体" w:cs="等线"/>
          <w:sz w:val="24"/>
          <w:szCs w:val="20"/>
          <w:highlight w:val="none"/>
        </w:rPr>
        <w:t>。</w:t>
      </w:r>
    </w:p>
    <w:p w14:paraId="68BAA356">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逾期竣工违约金的计算方法：</w:t>
      </w:r>
      <w:r>
        <w:rPr>
          <w:rFonts w:hint="eastAsia" w:ascii="宋体" w:hAnsi="宋体" w:cs="等线"/>
          <w:sz w:val="24"/>
          <w:szCs w:val="20"/>
          <w:highlight w:val="none"/>
          <w:u w:val="single"/>
        </w:rPr>
        <w:t>每延误一天，承包人应当向发包人赔偿合同额的万分之二元/天整，不足一天按一天计</w:t>
      </w:r>
      <w:r>
        <w:rPr>
          <w:rFonts w:hint="eastAsia" w:ascii="宋体" w:hAnsi="宋体" w:cs="等线"/>
          <w:sz w:val="24"/>
          <w:szCs w:val="20"/>
          <w:highlight w:val="none"/>
        </w:rPr>
        <w:t>。</w:t>
      </w:r>
    </w:p>
    <w:p w14:paraId="7B499A0A">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逾期竣工违约金最高限额：</w:t>
      </w:r>
      <w:r>
        <w:rPr>
          <w:rFonts w:hint="eastAsia" w:ascii="宋体" w:hAnsi="宋体" w:cs="等线"/>
          <w:sz w:val="24"/>
          <w:szCs w:val="20"/>
          <w:highlight w:val="none"/>
          <w:u w:val="single"/>
        </w:rPr>
        <w:t>总额不超过合同结算价的百分之三</w:t>
      </w:r>
      <w:r>
        <w:rPr>
          <w:rFonts w:hint="eastAsia" w:ascii="宋体" w:hAnsi="宋体" w:cs="等线"/>
          <w:sz w:val="24"/>
          <w:szCs w:val="20"/>
          <w:highlight w:val="none"/>
        </w:rPr>
        <w:t>。</w:t>
      </w:r>
    </w:p>
    <w:p w14:paraId="354FA1A3">
      <w:pPr>
        <w:keepNext/>
        <w:keepLines/>
        <w:spacing w:line="360" w:lineRule="auto"/>
        <w:outlineLvl w:val="2"/>
        <w:rPr>
          <w:rFonts w:hint="eastAsia" w:ascii="宋体" w:hAnsi="宋体" w:cs="等线"/>
          <w:sz w:val="24"/>
          <w:highlight w:val="none"/>
        </w:rPr>
      </w:pPr>
      <w:bookmarkStart w:id="1661" w:name="_Toc38732193"/>
      <w:bookmarkStart w:id="1662" w:name="_Toc16842"/>
      <w:bookmarkStart w:id="1663" w:name="_Toc159950812"/>
      <w:r>
        <w:rPr>
          <w:rFonts w:hint="eastAsia" w:ascii="宋体" w:hAnsi="宋体" w:cs="等线"/>
          <w:sz w:val="24"/>
          <w:highlight w:val="none"/>
        </w:rPr>
        <w:t>11.6 工期提前</w:t>
      </w:r>
      <w:bookmarkEnd w:id="1661"/>
      <w:bookmarkEnd w:id="1662"/>
      <w:bookmarkEnd w:id="1663"/>
    </w:p>
    <w:p w14:paraId="73EEE165">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提前竣工的奖励办法：</w:t>
      </w:r>
      <w:r>
        <w:rPr>
          <w:rFonts w:hint="eastAsia" w:ascii="宋体" w:hAnsi="宋体" w:cs="等线"/>
          <w:sz w:val="24"/>
          <w:szCs w:val="20"/>
          <w:highlight w:val="none"/>
          <w:u w:val="single"/>
        </w:rPr>
        <w:t xml:space="preserve">                    /                        </w:t>
      </w:r>
      <w:r>
        <w:rPr>
          <w:rFonts w:hint="eastAsia" w:ascii="宋体" w:hAnsi="宋体" w:cs="等线"/>
          <w:sz w:val="24"/>
          <w:szCs w:val="20"/>
          <w:highlight w:val="none"/>
        </w:rPr>
        <w:t>。</w:t>
      </w:r>
    </w:p>
    <w:p w14:paraId="7672DCF0">
      <w:pPr>
        <w:keepNext/>
        <w:keepLines/>
        <w:spacing w:line="400" w:lineRule="exact"/>
        <w:outlineLvl w:val="1"/>
        <w:rPr>
          <w:rFonts w:hint="eastAsia" w:ascii="宋体" w:hAnsi="宋体" w:cs="等线"/>
          <w:sz w:val="24"/>
          <w:highlight w:val="none"/>
        </w:rPr>
      </w:pPr>
      <w:bookmarkStart w:id="1664" w:name="_Toc11240"/>
      <w:bookmarkStart w:id="1665" w:name="_Toc7475"/>
      <w:bookmarkStart w:id="1666" w:name="_Toc38732194"/>
      <w:bookmarkStart w:id="1667" w:name="_Toc159950813"/>
      <w:r>
        <w:rPr>
          <w:rFonts w:hint="eastAsia" w:ascii="宋体" w:hAnsi="宋体" w:cs="等线"/>
          <w:sz w:val="24"/>
          <w:highlight w:val="none"/>
        </w:rPr>
        <w:t>12. 暂停施工</w:t>
      </w:r>
      <w:bookmarkEnd w:id="1664"/>
      <w:bookmarkEnd w:id="1665"/>
      <w:bookmarkEnd w:id="1666"/>
      <w:bookmarkEnd w:id="1667"/>
    </w:p>
    <w:p w14:paraId="2A698BD9">
      <w:pPr>
        <w:keepNext/>
        <w:keepLines/>
        <w:spacing w:line="360" w:lineRule="auto"/>
        <w:outlineLvl w:val="2"/>
        <w:rPr>
          <w:rFonts w:hint="eastAsia" w:ascii="宋体" w:hAnsi="宋体" w:cs="等线"/>
          <w:sz w:val="24"/>
          <w:highlight w:val="none"/>
        </w:rPr>
      </w:pPr>
      <w:bookmarkStart w:id="1668" w:name="_Toc159950814"/>
      <w:bookmarkStart w:id="1669" w:name="_Toc1626"/>
      <w:bookmarkStart w:id="1670" w:name="_Toc38732195"/>
      <w:r>
        <w:rPr>
          <w:rFonts w:hint="eastAsia" w:ascii="宋体" w:hAnsi="宋体" w:cs="等线"/>
          <w:sz w:val="24"/>
          <w:highlight w:val="none"/>
        </w:rPr>
        <w:t>12.1 承包人暂停施工的责任</w:t>
      </w:r>
      <w:bookmarkEnd w:id="1668"/>
      <w:bookmarkEnd w:id="1669"/>
      <w:bookmarkEnd w:id="1670"/>
    </w:p>
    <w:p w14:paraId="32017EFC">
      <w:pPr>
        <w:spacing w:after="120" w:line="360" w:lineRule="auto"/>
        <w:ind w:left="420" w:leftChars="200"/>
        <w:rPr>
          <w:rFonts w:hint="eastAsia" w:ascii="宋体" w:hAnsi="宋体" w:cs="等线"/>
          <w:sz w:val="24"/>
          <w:szCs w:val="20"/>
          <w:highlight w:val="none"/>
        </w:rPr>
      </w:pPr>
      <w:r>
        <w:rPr>
          <w:rFonts w:hint="eastAsia" w:ascii="宋体" w:hAnsi="宋体" w:cs="等线"/>
          <w:sz w:val="24"/>
          <w:szCs w:val="20"/>
          <w:highlight w:val="none"/>
        </w:rPr>
        <w:t xml:space="preserve">（5）承包人承担暂停施工责任的其他情形： </w:t>
      </w:r>
      <w:r>
        <w:rPr>
          <w:rFonts w:hint="eastAsia" w:ascii="宋体" w:hAnsi="宋体" w:cs="等线"/>
          <w:sz w:val="24"/>
          <w:szCs w:val="20"/>
          <w:highlight w:val="none"/>
          <w:u w:val="single"/>
        </w:rPr>
        <w:t xml:space="preserve">       /                   </w:t>
      </w:r>
      <w:r>
        <w:rPr>
          <w:rFonts w:hint="eastAsia" w:ascii="宋体" w:hAnsi="宋体" w:cs="等线"/>
          <w:sz w:val="24"/>
          <w:szCs w:val="20"/>
          <w:highlight w:val="none"/>
        </w:rPr>
        <w:t>。</w:t>
      </w:r>
    </w:p>
    <w:p w14:paraId="5E32495D">
      <w:pPr>
        <w:keepNext/>
        <w:keepLines/>
        <w:spacing w:line="360" w:lineRule="auto"/>
        <w:outlineLvl w:val="2"/>
        <w:rPr>
          <w:rFonts w:hint="eastAsia" w:ascii="宋体" w:hAnsi="宋体" w:cs="等线"/>
          <w:sz w:val="24"/>
          <w:highlight w:val="none"/>
        </w:rPr>
      </w:pPr>
      <w:bookmarkStart w:id="1671" w:name="_Toc38732196"/>
      <w:bookmarkStart w:id="1672" w:name="_Toc159950815"/>
      <w:bookmarkStart w:id="1673" w:name="_Toc6993"/>
      <w:r>
        <w:rPr>
          <w:rFonts w:hint="eastAsia" w:ascii="宋体" w:hAnsi="宋体" w:cs="等线"/>
          <w:sz w:val="24"/>
          <w:highlight w:val="none"/>
        </w:rPr>
        <w:t>12.4 暂停施工后的复工</w:t>
      </w:r>
      <w:bookmarkEnd w:id="1671"/>
      <w:bookmarkEnd w:id="1672"/>
      <w:bookmarkEnd w:id="1673"/>
    </w:p>
    <w:p w14:paraId="50D4BBBE">
      <w:pPr>
        <w:spacing w:line="360" w:lineRule="auto"/>
        <w:ind w:firstLine="420" w:firstLineChars="200"/>
        <w:rPr>
          <w:rFonts w:hint="eastAsia" w:ascii="宋体" w:hAnsi="宋体" w:cs="等线"/>
          <w:highlight w:val="none"/>
        </w:rPr>
      </w:pPr>
      <w:r>
        <w:rPr>
          <w:rFonts w:hint="eastAsia" w:ascii="宋体" w:hAnsi="宋体" w:cs="等线"/>
          <w:highlight w:val="none"/>
        </w:rPr>
        <w:t>12.4.3 根据通用合同条款第12.4.1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2A0880E1">
      <w:pPr>
        <w:spacing w:line="360" w:lineRule="auto"/>
        <w:ind w:firstLine="420" w:firstLineChars="200"/>
        <w:rPr>
          <w:rFonts w:hint="eastAsia" w:ascii="宋体" w:hAnsi="宋体" w:cs="等线"/>
          <w:highlight w:val="none"/>
        </w:rPr>
      </w:pPr>
      <w:r>
        <w:rPr>
          <w:rFonts w:hint="eastAsia" w:ascii="宋体" w:hAnsi="宋体" w:cs="等线"/>
          <w:highlight w:val="none"/>
        </w:rPr>
        <w:t>12.4.4 暂停施工持续56天以上，按合同约定由承包人提供的材料和工程设备，由于暂停施工原因导致承包人在暂停施工前已经订购但被暂停运至施工现场的，发包人应按照承包人订购合同的约定支付相应的订购款项。</w:t>
      </w:r>
    </w:p>
    <w:p w14:paraId="53833B93">
      <w:pPr>
        <w:keepNext/>
        <w:keepLines/>
        <w:spacing w:line="400" w:lineRule="exact"/>
        <w:outlineLvl w:val="1"/>
        <w:rPr>
          <w:rFonts w:hint="eastAsia" w:ascii="宋体" w:hAnsi="宋体" w:cs="等线"/>
          <w:sz w:val="24"/>
          <w:highlight w:val="none"/>
        </w:rPr>
      </w:pPr>
      <w:bookmarkStart w:id="1674" w:name="_Toc38732197"/>
      <w:bookmarkStart w:id="1675" w:name="_Toc25464"/>
      <w:bookmarkStart w:id="1676" w:name="_Toc159950816"/>
      <w:bookmarkStart w:id="1677" w:name="_Toc17610"/>
      <w:r>
        <w:rPr>
          <w:rFonts w:hint="eastAsia" w:ascii="宋体" w:hAnsi="宋体" w:cs="等线"/>
          <w:sz w:val="24"/>
          <w:highlight w:val="none"/>
        </w:rPr>
        <w:t>13. 工程质量</w:t>
      </w:r>
      <w:bookmarkEnd w:id="1674"/>
      <w:bookmarkEnd w:id="1675"/>
      <w:bookmarkEnd w:id="1676"/>
      <w:bookmarkEnd w:id="1677"/>
    </w:p>
    <w:p w14:paraId="46B36812">
      <w:pPr>
        <w:keepNext/>
        <w:keepLines/>
        <w:spacing w:line="360" w:lineRule="auto"/>
        <w:outlineLvl w:val="2"/>
        <w:rPr>
          <w:rFonts w:hint="eastAsia" w:ascii="宋体" w:hAnsi="宋体" w:cs="等线"/>
          <w:sz w:val="24"/>
          <w:highlight w:val="none"/>
        </w:rPr>
      </w:pPr>
      <w:bookmarkStart w:id="1678" w:name="_Toc38732198"/>
      <w:bookmarkStart w:id="1679" w:name="_Toc159950817"/>
      <w:bookmarkStart w:id="1680" w:name="_Toc23057"/>
      <w:r>
        <w:rPr>
          <w:rFonts w:hint="eastAsia" w:ascii="宋体" w:hAnsi="宋体" w:cs="等线"/>
          <w:sz w:val="24"/>
          <w:highlight w:val="none"/>
        </w:rPr>
        <w:t>13.2 承包人的质量管理</w:t>
      </w:r>
      <w:bookmarkEnd w:id="1678"/>
      <w:bookmarkEnd w:id="1679"/>
      <w:bookmarkEnd w:id="1680"/>
    </w:p>
    <w:p w14:paraId="61F87076">
      <w:pPr>
        <w:spacing w:line="360" w:lineRule="auto"/>
        <w:ind w:firstLine="420" w:firstLineChars="200"/>
        <w:rPr>
          <w:rFonts w:hint="eastAsia" w:ascii="宋体" w:hAnsi="宋体" w:cs="等线"/>
          <w:highlight w:val="none"/>
        </w:rPr>
      </w:pPr>
      <w:r>
        <w:rPr>
          <w:rFonts w:hint="eastAsia" w:ascii="宋体" w:hAnsi="宋体" w:cs="等线"/>
          <w:highlight w:val="none"/>
        </w:rPr>
        <w:t>13.2.1承包人向监理人提交工程质量保证措施文件的期限：</w:t>
      </w:r>
      <w:r>
        <w:rPr>
          <w:rFonts w:hint="eastAsia" w:ascii="宋体" w:hAnsi="宋体" w:cs="等线"/>
          <w:highlight w:val="none"/>
          <w:u w:val="single"/>
        </w:rPr>
        <w:t xml:space="preserve">合同签订后7日内 </w:t>
      </w:r>
      <w:r>
        <w:rPr>
          <w:rFonts w:hint="eastAsia" w:ascii="宋体" w:hAnsi="宋体" w:cs="等线"/>
          <w:highlight w:val="none"/>
        </w:rPr>
        <w:t>。</w:t>
      </w:r>
    </w:p>
    <w:p w14:paraId="78EBF648">
      <w:pPr>
        <w:spacing w:line="360" w:lineRule="auto"/>
        <w:ind w:firstLine="420" w:firstLineChars="200"/>
        <w:rPr>
          <w:rFonts w:hint="eastAsia" w:ascii="宋体" w:hAnsi="宋体" w:cs="等线"/>
          <w:highlight w:val="none"/>
        </w:rPr>
      </w:pPr>
      <w:r>
        <w:rPr>
          <w:rFonts w:hint="eastAsia" w:ascii="宋体" w:hAnsi="宋体" w:cs="等线"/>
          <w:highlight w:val="none"/>
        </w:rPr>
        <w:t>监理人审批工程质量保证措施文件的期限：</w:t>
      </w:r>
      <w:r>
        <w:rPr>
          <w:rFonts w:hint="eastAsia" w:ascii="宋体" w:hAnsi="宋体" w:cs="等线"/>
          <w:highlight w:val="none"/>
          <w:u w:val="single"/>
        </w:rPr>
        <w:t>收到承包人提交的工程质量保证措施文件7日内</w:t>
      </w:r>
      <w:r>
        <w:rPr>
          <w:rFonts w:hint="eastAsia" w:ascii="宋体" w:hAnsi="宋体" w:cs="等线"/>
          <w:highlight w:val="none"/>
        </w:rPr>
        <w:t>。</w:t>
      </w:r>
    </w:p>
    <w:p w14:paraId="7168FA81">
      <w:pPr>
        <w:keepNext/>
        <w:keepLines/>
        <w:spacing w:line="360" w:lineRule="auto"/>
        <w:outlineLvl w:val="2"/>
        <w:rPr>
          <w:rFonts w:hint="eastAsia" w:ascii="宋体" w:hAnsi="宋体" w:cs="等线"/>
          <w:sz w:val="24"/>
          <w:highlight w:val="none"/>
        </w:rPr>
      </w:pPr>
      <w:bookmarkStart w:id="1681" w:name="_Toc38732199"/>
      <w:bookmarkStart w:id="1682" w:name="_Toc7306"/>
      <w:bookmarkStart w:id="1683" w:name="_Toc159950818"/>
      <w:r>
        <w:rPr>
          <w:rFonts w:hint="eastAsia" w:ascii="宋体" w:hAnsi="宋体" w:cs="等线"/>
          <w:sz w:val="24"/>
          <w:highlight w:val="none"/>
        </w:rPr>
        <w:t>13.3 承包人的质量检查</w:t>
      </w:r>
      <w:bookmarkEnd w:id="1681"/>
      <w:bookmarkEnd w:id="1682"/>
      <w:bookmarkEnd w:id="1683"/>
    </w:p>
    <w:p w14:paraId="415BE265">
      <w:pPr>
        <w:spacing w:line="360" w:lineRule="auto"/>
        <w:ind w:firstLine="420" w:firstLineChars="200"/>
        <w:rPr>
          <w:rFonts w:hint="eastAsia" w:ascii="宋体" w:hAnsi="宋体" w:cs="等线"/>
          <w:highlight w:val="none"/>
        </w:rPr>
      </w:pPr>
      <w:r>
        <w:rPr>
          <w:rFonts w:hint="eastAsia" w:ascii="宋体" w:hAnsi="宋体" w:cs="等线"/>
          <w:highlight w:val="none"/>
        </w:rPr>
        <w:t>承包人向监理人报送工程质量报表的期限：</w:t>
      </w:r>
      <w:r>
        <w:rPr>
          <w:rFonts w:hint="eastAsia" w:ascii="宋体" w:hAnsi="宋体" w:cs="等线"/>
          <w:highlight w:val="none"/>
          <w:u w:val="single"/>
        </w:rPr>
        <w:t>需监理人查验前48小时</w:t>
      </w:r>
      <w:r>
        <w:rPr>
          <w:rFonts w:hint="eastAsia" w:ascii="宋体" w:hAnsi="宋体" w:cs="等线"/>
          <w:highlight w:val="none"/>
        </w:rPr>
        <w:t>。</w:t>
      </w:r>
    </w:p>
    <w:p w14:paraId="71736D23">
      <w:pPr>
        <w:spacing w:line="360" w:lineRule="auto"/>
        <w:ind w:firstLine="420" w:firstLineChars="200"/>
        <w:rPr>
          <w:rFonts w:hint="eastAsia" w:ascii="宋体" w:hAnsi="宋体" w:cs="等线"/>
          <w:highlight w:val="none"/>
        </w:rPr>
      </w:pPr>
      <w:r>
        <w:rPr>
          <w:rFonts w:hint="eastAsia" w:ascii="宋体" w:hAnsi="宋体" w:cs="等线"/>
          <w:highlight w:val="none"/>
        </w:rPr>
        <w:t>承包人向监理人报送工程质量报表的要求：</w:t>
      </w:r>
      <w:r>
        <w:rPr>
          <w:rFonts w:hint="eastAsia" w:ascii="宋体" w:hAnsi="宋体" w:cs="等线"/>
          <w:highlight w:val="none"/>
          <w:u w:val="single"/>
        </w:rPr>
        <w:t>表中至少包含：各方责任主体质量行为情况、第三方监测质量行为情况；重要部位、关键工序工程质量存在的主要问题及整改情况；材料进场验收及原材料试验情况</w:t>
      </w:r>
      <w:r>
        <w:rPr>
          <w:rFonts w:hint="eastAsia" w:ascii="宋体" w:hAnsi="宋体" w:cs="等线"/>
          <w:highlight w:val="none"/>
        </w:rPr>
        <w:t>。</w:t>
      </w:r>
    </w:p>
    <w:p w14:paraId="1F3B5524">
      <w:pPr>
        <w:spacing w:line="360" w:lineRule="auto"/>
        <w:ind w:firstLine="420" w:firstLineChars="200"/>
        <w:rPr>
          <w:rFonts w:hint="eastAsia" w:ascii="宋体" w:hAnsi="宋体" w:cs="等线"/>
          <w:highlight w:val="none"/>
        </w:rPr>
      </w:pPr>
      <w:r>
        <w:rPr>
          <w:rFonts w:hint="eastAsia" w:ascii="宋体" w:hAnsi="宋体" w:cs="等线"/>
          <w:highlight w:val="none"/>
        </w:rPr>
        <w:t>监理人审查工程质量报表的期限：</w:t>
      </w:r>
      <w:r>
        <w:rPr>
          <w:rFonts w:hint="eastAsia" w:ascii="宋体" w:hAnsi="宋体" w:cs="等线"/>
          <w:highlight w:val="none"/>
          <w:u w:val="single"/>
        </w:rPr>
        <w:t>收到工程质量报表后5日内</w:t>
      </w:r>
      <w:r>
        <w:rPr>
          <w:rFonts w:hint="eastAsia" w:ascii="宋体" w:hAnsi="宋体" w:cs="等线"/>
          <w:highlight w:val="none"/>
        </w:rPr>
        <w:t>。</w:t>
      </w:r>
    </w:p>
    <w:p w14:paraId="03D29EC9">
      <w:pPr>
        <w:keepNext/>
        <w:keepLines/>
        <w:spacing w:line="360" w:lineRule="auto"/>
        <w:outlineLvl w:val="2"/>
        <w:rPr>
          <w:rFonts w:hint="eastAsia" w:ascii="宋体" w:hAnsi="宋体" w:cs="等线"/>
          <w:sz w:val="24"/>
          <w:highlight w:val="none"/>
        </w:rPr>
      </w:pPr>
      <w:bookmarkStart w:id="1684" w:name="_Toc26623"/>
      <w:bookmarkStart w:id="1685" w:name="_Toc38732200"/>
      <w:bookmarkStart w:id="1686" w:name="_Toc159950819"/>
      <w:r>
        <w:rPr>
          <w:rFonts w:hint="eastAsia" w:ascii="宋体" w:hAnsi="宋体" w:cs="等线"/>
          <w:sz w:val="24"/>
          <w:highlight w:val="none"/>
        </w:rPr>
        <w:t>13.4 监理人的质量检查</w:t>
      </w:r>
      <w:bookmarkEnd w:id="1684"/>
      <w:bookmarkEnd w:id="1685"/>
      <w:bookmarkEnd w:id="1686"/>
    </w:p>
    <w:p w14:paraId="69C98484">
      <w:pPr>
        <w:spacing w:line="360" w:lineRule="auto"/>
        <w:ind w:firstLine="420" w:firstLineChars="200"/>
        <w:rPr>
          <w:rFonts w:hint="eastAsia" w:ascii="宋体" w:hAnsi="宋体" w:cs="等线"/>
          <w:highlight w:val="none"/>
        </w:rPr>
      </w:pPr>
      <w:r>
        <w:rPr>
          <w:rFonts w:hint="eastAsia" w:ascii="宋体" w:hAnsi="宋体" w:cs="等线"/>
          <w:highlight w:val="none"/>
        </w:rPr>
        <w:t>承包人应当为监理人的检查和检验提供方便，监理人可以进行察看和查阅施工原始记录的其他地方包括：</w:t>
      </w:r>
      <w:r>
        <w:rPr>
          <w:rFonts w:hint="eastAsia" w:ascii="宋体" w:hAnsi="宋体" w:cs="等线"/>
          <w:highlight w:val="none"/>
          <w:u w:val="single"/>
        </w:rPr>
        <w:t>施工场地、承包人的现场试验场所、承包人的预制构件制作车间、承包人门窗制作车间等重要材料设备制作场地</w:t>
      </w:r>
      <w:r>
        <w:rPr>
          <w:rFonts w:hint="eastAsia" w:ascii="宋体" w:hAnsi="宋体" w:cs="等线"/>
          <w:highlight w:val="none"/>
        </w:rPr>
        <w:t>。</w:t>
      </w:r>
    </w:p>
    <w:p w14:paraId="01AB3300">
      <w:pPr>
        <w:keepNext/>
        <w:keepLines/>
        <w:spacing w:line="360" w:lineRule="auto"/>
        <w:outlineLvl w:val="2"/>
        <w:rPr>
          <w:rFonts w:hint="eastAsia" w:ascii="宋体" w:hAnsi="宋体" w:cs="等线"/>
          <w:sz w:val="24"/>
          <w:highlight w:val="none"/>
        </w:rPr>
      </w:pPr>
      <w:bookmarkStart w:id="1687" w:name="_Toc38732201"/>
      <w:bookmarkStart w:id="1688" w:name="_Toc31732"/>
      <w:bookmarkStart w:id="1689" w:name="_Toc159950820"/>
      <w:r>
        <w:rPr>
          <w:rFonts w:hint="eastAsia" w:ascii="宋体" w:hAnsi="宋体" w:cs="等线"/>
          <w:sz w:val="24"/>
          <w:highlight w:val="none"/>
        </w:rPr>
        <w:t>13.5 工程隐蔽部位覆盖前的检查</w:t>
      </w:r>
      <w:bookmarkEnd w:id="1687"/>
      <w:bookmarkEnd w:id="1688"/>
      <w:bookmarkEnd w:id="1689"/>
    </w:p>
    <w:p w14:paraId="2D9C5967">
      <w:pPr>
        <w:spacing w:line="360" w:lineRule="auto"/>
        <w:ind w:firstLine="420" w:firstLineChars="200"/>
        <w:rPr>
          <w:rFonts w:hint="eastAsia" w:ascii="宋体" w:hAnsi="宋体" w:cs="等线"/>
          <w:highlight w:val="none"/>
        </w:rPr>
      </w:pPr>
      <w:r>
        <w:rPr>
          <w:rFonts w:hint="eastAsia" w:ascii="宋体" w:hAnsi="宋体" w:cs="等线"/>
          <w:highlight w:val="none"/>
        </w:rPr>
        <w:t>13.5.1 监理人对工程隐蔽部位进行检查的期限：</w:t>
      </w:r>
      <w:r>
        <w:rPr>
          <w:rFonts w:hint="eastAsia" w:ascii="宋体" w:hAnsi="宋体" w:cs="等线"/>
          <w:highlight w:val="none"/>
          <w:u w:val="single"/>
        </w:rPr>
        <w:t>收到承包人的检查通知后12小时内</w:t>
      </w:r>
      <w:r>
        <w:rPr>
          <w:rFonts w:hint="eastAsia" w:ascii="宋体" w:hAnsi="宋体" w:cs="等线"/>
          <w:highlight w:val="none"/>
        </w:rPr>
        <w:t>。</w:t>
      </w:r>
    </w:p>
    <w:p w14:paraId="4915224D">
      <w:pPr>
        <w:keepNext/>
        <w:keepLines/>
        <w:spacing w:line="360" w:lineRule="auto"/>
        <w:outlineLvl w:val="2"/>
        <w:rPr>
          <w:rFonts w:hint="eastAsia" w:ascii="宋体" w:hAnsi="宋体" w:cs="等线"/>
          <w:sz w:val="24"/>
          <w:highlight w:val="none"/>
        </w:rPr>
      </w:pPr>
      <w:bookmarkStart w:id="1690" w:name="_Toc159950821"/>
      <w:bookmarkStart w:id="1691" w:name="_Toc38732202"/>
      <w:bookmarkStart w:id="1692" w:name="_Toc4170"/>
      <w:r>
        <w:rPr>
          <w:rFonts w:hint="eastAsia" w:ascii="宋体" w:hAnsi="宋体" w:cs="等线"/>
          <w:sz w:val="24"/>
          <w:highlight w:val="none"/>
        </w:rPr>
        <w:t>13.7 质量争议</w:t>
      </w:r>
      <w:bookmarkEnd w:id="1690"/>
      <w:bookmarkEnd w:id="1691"/>
      <w:bookmarkEnd w:id="1692"/>
    </w:p>
    <w:p w14:paraId="7AE53A37">
      <w:pPr>
        <w:spacing w:line="360" w:lineRule="auto"/>
        <w:ind w:firstLine="420" w:firstLineChars="200"/>
        <w:rPr>
          <w:rFonts w:hint="eastAsia" w:ascii="宋体" w:hAnsi="宋体" w:cs="等线"/>
          <w:highlight w:val="none"/>
        </w:rPr>
      </w:pPr>
      <w:r>
        <w:rPr>
          <w:rFonts w:hint="eastAsia" w:ascii="宋体" w:hAnsi="宋体" w:cs="等线"/>
          <w:highlight w:val="none"/>
        </w:rPr>
        <w:t>发包人和承包人对工程质量有争议的，除可按合同条款第24条办理外，监理人可提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按工程保修书的约定执行；已竣工未验收且未实际投入使用的工程以及停工、停建的工程，根据检测结果确定解决方案，或按工程质量监督机构的处理决定执行。</w:t>
      </w:r>
    </w:p>
    <w:p w14:paraId="66AB2FA4">
      <w:pPr>
        <w:keepNext/>
        <w:keepLines/>
        <w:spacing w:line="400" w:lineRule="exact"/>
        <w:outlineLvl w:val="1"/>
        <w:rPr>
          <w:rFonts w:hint="eastAsia" w:ascii="宋体" w:hAnsi="宋体" w:cs="等线"/>
          <w:sz w:val="24"/>
          <w:highlight w:val="none"/>
        </w:rPr>
      </w:pPr>
      <w:bookmarkStart w:id="1693" w:name="_Toc2323"/>
      <w:bookmarkStart w:id="1694" w:name="_Toc159950822"/>
      <w:bookmarkStart w:id="1695" w:name="_Toc25582"/>
      <w:bookmarkStart w:id="1696" w:name="_Toc38732203"/>
      <w:r>
        <w:rPr>
          <w:rFonts w:hint="eastAsia" w:ascii="宋体" w:hAnsi="宋体" w:cs="等线"/>
          <w:sz w:val="24"/>
          <w:highlight w:val="none"/>
        </w:rPr>
        <w:t>15. 变更</w:t>
      </w:r>
      <w:bookmarkEnd w:id="1693"/>
      <w:bookmarkEnd w:id="1694"/>
      <w:bookmarkEnd w:id="1695"/>
      <w:bookmarkEnd w:id="1696"/>
    </w:p>
    <w:p w14:paraId="1E5FAA51">
      <w:pPr>
        <w:keepNext/>
        <w:keepLines/>
        <w:spacing w:line="360" w:lineRule="auto"/>
        <w:outlineLvl w:val="2"/>
        <w:rPr>
          <w:rFonts w:hint="eastAsia" w:ascii="宋体" w:hAnsi="宋体" w:cs="等线"/>
          <w:sz w:val="24"/>
          <w:highlight w:val="none"/>
        </w:rPr>
      </w:pPr>
      <w:bookmarkStart w:id="1697" w:name="_Toc38732204"/>
      <w:bookmarkStart w:id="1698" w:name="_Toc18951"/>
      <w:bookmarkStart w:id="1699" w:name="_Toc159950823"/>
      <w:r>
        <w:rPr>
          <w:rFonts w:hint="eastAsia" w:ascii="宋体" w:hAnsi="宋体" w:cs="等线"/>
          <w:sz w:val="24"/>
          <w:highlight w:val="none"/>
        </w:rPr>
        <w:t>15.1 变更的范围和内容</w:t>
      </w:r>
      <w:bookmarkEnd w:id="1697"/>
      <w:bookmarkEnd w:id="1698"/>
      <w:bookmarkEnd w:id="1699"/>
    </w:p>
    <w:p w14:paraId="5EAE5800">
      <w:pPr>
        <w:spacing w:line="360" w:lineRule="auto"/>
        <w:ind w:firstLine="420" w:firstLineChars="200"/>
        <w:rPr>
          <w:rFonts w:hint="eastAsia" w:ascii="宋体" w:hAnsi="宋体" w:cs="等线"/>
          <w:highlight w:val="none"/>
        </w:rPr>
      </w:pPr>
      <w:r>
        <w:rPr>
          <w:rFonts w:hint="eastAsia" w:ascii="宋体" w:hAnsi="宋体" w:cs="等线"/>
          <w:highlight w:val="none"/>
        </w:rPr>
        <w:t>应当进行变更的其他情形：</w:t>
      </w:r>
      <w:r>
        <w:rPr>
          <w:rFonts w:hint="eastAsia" w:ascii="宋体" w:hAnsi="宋体" w:cs="等线"/>
          <w:highlight w:val="none"/>
          <w:u w:val="single"/>
        </w:rPr>
        <w:t>清单范围之外的工作内容</w:t>
      </w:r>
      <w:r>
        <w:rPr>
          <w:rFonts w:hint="eastAsia" w:ascii="宋体" w:hAnsi="宋体" w:cs="等线"/>
          <w:highlight w:val="none"/>
        </w:rPr>
        <w:t>。</w:t>
      </w:r>
    </w:p>
    <w:p w14:paraId="486D8FC4">
      <w:pPr>
        <w:spacing w:line="360" w:lineRule="auto"/>
        <w:ind w:firstLine="420" w:firstLineChars="200"/>
        <w:rPr>
          <w:rFonts w:hint="eastAsia" w:ascii="宋体" w:hAnsi="宋体" w:cs="等线"/>
          <w:highlight w:val="none"/>
        </w:rPr>
      </w:pPr>
      <w:r>
        <w:rPr>
          <w:rFonts w:hint="eastAsia" w:ascii="宋体" w:hAnsi="宋体" w:cs="等线"/>
          <w:highlight w:val="none"/>
        </w:rPr>
        <w:t>发包人违背通用合同条款15.1（1）目的约定，将被取消的合同中的工作转由发包人或其他人实施的，承包人可向监理人发出通知，要求发包人采取有效措施纠正违约行为，发包人在监理人收到承包人通知后28天内仍不纠正违约行为的，应当赔偿承包人损失（包括合理的利润）并承担由此引起的其他责任。承包人应当按通用合同条款第23.1.1（1）目的约定，在上述28天期限到期后的28天内，向监理人递交索赔意向通知书,并按通用合同条款第23.1.1（2）目的约定，及时向监理人递交正式索赔通知书，说明有权得到的损失赔偿金额并附必要的记录和证明材料。发包人支付给承包人的损失赔偿金额应当包括被取消工作的合同价值中所包含的承包人管理费、利润以及相应的税金和规费。</w:t>
      </w:r>
    </w:p>
    <w:p w14:paraId="5D138025">
      <w:pPr>
        <w:keepNext/>
        <w:keepLines/>
        <w:spacing w:line="360" w:lineRule="auto"/>
        <w:outlineLvl w:val="2"/>
        <w:rPr>
          <w:rFonts w:hint="eastAsia" w:ascii="宋体" w:hAnsi="宋体" w:cs="等线"/>
          <w:sz w:val="24"/>
          <w:highlight w:val="none"/>
        </w:rPr>
      </w:pPr>
      <w:bookmarkStart w:id="1700" w:name="_Toc24370"/>
      <w:bookmarkStart w:id="1701" w:name="_Toc159950824"/>
      <w:bookmarkStart w:id="1702" w:name="_Toc38732205"/>
      <w:r>
        <w:rPr>
          <w:rFonts w:hint="eastAsia" w:ascii="宋体" w:hAnsi="宋体" w:cs="等线"/>
          <w:sz w:val="24"/>
          <w:highlight w:val="none"/>
        </w:rPr>
        <w:t>15.3 变更程序</w:t>
      </w:r>
      <w:bookmarkEnd w:id="1700"/>
      <w:bookmarkEnd w:id="1701"/>
      <w:bookmarkEnd w:id="1702"/>
    </w:p>
    <w:p w14:paraId="4152B03F">
      <w:pPr>
        <w:spacing w:line="360" w:lineRule="auto"/>
        <w:ind w:firstLine="420" w:firstLineChars="200"/>
        <w:rPr>
          <w:rFonts w:hint="eastAsia" w:ascii="宋体" w:hAnsi="宋体" w:cs="等线"/>
          <w:highlight w:val="none"/>
        </w:rPr>
      </w:pPr>
      <w:r>
        <w:rPr>
          <w:rFonts w:hint="eastAsia" w:ascii="宋体" w:hAnsi="宋体" w:cs="等线"/>
          <w:highlight w:val="none"/>
        </w:rPr>
        <w:t>15.3.2 变更估价</w:t>
      </w:r>
    </w:p>
    <w:p w14:paraId="769F1562">
      <w:pPr>
        <w:spacing w:line="360" w:lineRule="auto"/>
        <w:ind w:firstLine="420" w:firstLineChars="200"/>
        <w:rPr>
          <w:rFonts w:hint="eastAsia" w:ascii="宋体" w:hAnsi="宋体" w:cs="等线"/>
          <w:highlight w:val="none"/>
        </w:rPr>
      </w:pPr>
      <w:r>
        <w:rPr>
          <w:rFonts w:hint="eastAsia" w:ascii="宋体" w:hAnsi="宋体" w:cs="等线"/>
          <w:highlight w:val="none"/>
        </w:rPr>
        <w:t>（1）承包人提交变更报价书的期限：</w:t>
      </w:r>
      <w:r>
        <w:rPr>
          <w:rFonts w:hint="eastAsia" w:ascii="宋体" w:hAnsi="宋体" w:cs="等线"/>
          <w:highlight w:val="none"/>
          <w:u w:val="single"/>
        </w:rPr>
        <w:t>承包人收到变更指示或变更意向书后7日内</w:t>
      </w:r>
      <w:r>
        <w:rPr>
          <w:rFonts w:hint="eastAsia" w:ascii="宋体" w:hAnsi="宋体" w:cs="等线"/>
          <w:highlight w:val="none"/>
        </w:rPr>
        <w:t>。</w:t>
      </w:r>
    </w:p>
    <w:p w14:paraId="78417A4E">
      <w:pPr>
        <w:spacing w:line="360" w:lineRule="auto"/>
        <w:ind w:firstLine="420" w:firstLineChars="200"/>
        <w:rPr>
          <w:rFonts w:hint="eastAsia" w:ascii="宋体" w:hAnsi="宋体" w:cs="等线"/>
          <w:highlight w:val="none"/>
        </w:rPr>
      </w:pPr>
      <w:r>
        <w:rPr>
          <w:rFonts w:hint="eastAsia" w:ascii="宋体" w:hAnsi="宋体" w:cs="等线"/>
          <w:highlight w:val="none"/>
        </w:rPr>
        <w:t>（3）监理人商定或确定变更价格的期限：</w:t>
      </w:r>
      <w:r>
        <w:rPr>
          <w:rFonts w:hint="eastAsia" w:ascii="宋体" w:hAnsi="宋体" w:cs="等线"/>
          <w:highlight w:val="none"/>
          <w:u w:val="single"/>
        </w:rPr>
        <w:t>监理人收到承包人变更报价书后7日内</w:t>
      </w:r>
      <w:r>
        <w:rPr>
          <w:rFonts w:hint="eastAsia" w:ascii="宋体" w:hAnsi="宋体" w:cs="等线"/>
          <w:highlight w:val="none"/>
        </w:rPr>
        <w:t>。</w:t>
      </w:r>
    </w:p>
    <w:p w14:paraId="0F694111">
      <w:pPr>
        <w:spacing w:line="360" w:lineRule="auto"/>
        <w:ind w:firstLine="420" w:firstLineChars="200"/>
        <w:rPr>
          <w:rFonts w:hint="eastAsia" w:ascii="宋体" w:hAnsi="宋体" w:cs="等线"/>
          <w:highlight w:val="none"/>
        </w:rPr>
      </w:pPr>
      <w:r>
        <w:rPr>
          <w:rFonts w:hint="eastAsia" w:ascii="宋体" w:hAnsi="宋体" w:cs="等线"/>
          <w:highlight w:val="none"/>
        </w:rPr>
        <w:t>（4）收到变更指示后，如承包人未在规定的期限内提交变更报价书的，监理人可自行决定是否调整合同价款以及如果监理人决定调整合同价款时，相应调整的具体金额。</w:t>
      </w:r>
    </w:p>
    <w:p w14:paraId="5C15162A">
      <w:pPr>
        <w:keepNext/>
        <w:keepLines/>
        <w:spacing w:line="360" w:lineRule="auto"/>
        <w:outlineLvl w:val="2"/>
        <w:rPr>
          <w:rFonts w:hint="eastAsia" w:ascii="宋体" w:hAnsi="宋体" w:cs="等线"/>
          <w:sz w:val="24"/>
          <w:highlight w:val="none"/>
        </w:rPr>
      </w:pPr>
      <w:bookmarkStart w:id="1703" w:name="_Toc159950825"/>
      <w:bookmarkStart w:id="1704" w:name="_Toc18892"/>
      <w:bookmarkStart w:id="1705" w:name="_Toc38732206"/>
      <w:r>
        <w:rPr>
          <w:rFonts w:hint="eastAsia" w:ascii="宋体" w:hAnsi="宋体" w:cs="等线"/>
          <w:sz w:val="24"/>
          <w:highlight w:val="none"/>
        </w:rPr>
        <w:t>15.4 变更的估价原则</w:t>
      </w:r>
      <w:bookmarkEnd w:id="1703"/>
      <w:bookmarkEnd w:id="1704"/>
      <w:bookmarkEnd w:id="1705"/>
    </w:p>
    <w:p w14:paraId="21BACD70">
      <w:pPr>
        <w:spacing w:line="360" w:lineRule="auto"/>
        <w:ind w:firstLine="420" w:firstLineChars="200"/>
        <w:rPr>
          <w:rFonts w:hint="eastAsia" w:ascii="宋体" w:hAnsi="宋体" w:cs="等线"/>
          <w:highlight w:val="none"/>
        </w:rPr>
      </w:pPr>
      <w:r>
        <w:rPr>
          <w:rFonts w:hint="eastAsia" w:ascii="宋体" w:hAnsi="宋体" w:cs="等线"/>
          <w:highlight w:val="none"/>
        </w:rPr>
        <w:t>15.4.5 合同协议书约定采用单价合同形式时，因非承包人原因引起已标价工程量清单中列明的工程量发生增减，且单个子目工程量变化幅度在</w:t>
      </w:r>
      <w:r>
        <w:rPr>
          <w:rFonts w:hint="eastAsia" w:ascii="宋体" w:hAnsi="宋体" w:cs="等线"/>
          <w:highlight w:val="none"/>
          <w:u w:val="single"/>
        </w:rPr>
        <w:t xml:space="preserve">   /   </w:t>
      </w:r>
      <w:r>
        <w:rPr>
          <w:rFonts w:hint="eastAsia" w:ascii="宋体" w:hAnsi="宋体" w:cs="等线"/>
          <w:highlight w:val="none"/>
        </w:rPr>
        <w:t>%以内（含）时，应执行已标价工程量清单中列明的该子目的单价；单个子目工程量变化幅度在</w:t>
      </w:r>
      <w:r>
        <w:rPr>
          <w:rFonts w:hint="eastAsia" w:ascii="宋体" w:hAnsi="宋体" w:cs="等线"/>
          <w:highlight w:val="none"/>
          <w:u w:val="single"/>
        </w:rPr>
        <w:t xml:space="preserve">   /   </w:t>
      </w:r>
      <w:r>
        <w:rPr>
          <w:rFonts w:hint="eastAsia" w:ascii="宋体" w:hAnsi="宋体" w:cs="等线"/>
          <w:highlight w:val="none"/>
        </w:rPr>
        <w:t>%以外（不含），且导致分部分项工程费总额变化幅度超过</w:t>
      </w:r>
      <w:r>
        <w:rPr>
          <w:rFonts w:hint="eastAsia" w:ascii="宋体" w:hAnsi="宋体" w:cs="等线"/>
          <w:highlight w:val="none"/>
          <w:u w:val="single"/>
        </w:rPr>
        <w:t xml:space="preserve">    /    </w:t>
      </w:r>
      <w:r>
        <w:rPr>
          <w:rFonts w:hint="eastAsia" w:ascii="宋体" w:hAnsi="宋体" w:cs="等线"/>
          <w:highlight w:val="none"/>
        </w:rPr>
        <w:t>%时，由承包人提出并由监理人按第3.5款商定或确定新的单价，该子目按修正后的新的单价计价。</w:t>
      </w:r>
    </w:p>
    <w:p w14:paraId="4278A9E9">
      <w:pPr>
        <w:spacing w:line="360" w:lineRule="auto"/>
        <w:ind w:firstLine="525" w:firstLineChars="250"/>
        <w:rPr>
          <w:rFonts w:hint="eastAsia" w:ascii="宋体" w:hAnsi="宋体" w:cs="等线"/>
          <w:highlight w:val="none"/>
          <w:u w:val="single"/>
        </w:rPr>
      </w:pPr>
      <w:r>
        <w:rPr>
          <w:rFonts w:hint="eastAsia" w:ascii="宋体" w:hAnsi="宋体" w:cs="等线"/>
          <w:highlight w:val="none"/>
        </w:rPr>
        <w:t>5.4.6 因变更引起价格调整的其他处理方式：</w:t>
      </w:r>
      <w:r>
        <w:rPr>
          <w:rFonts w:hint="eastAsia" w:ascii="宋体" w:hAnsi="宋体" w:cs="等线"/>
          <w:highlight w:val="none"/>
          <w:u w:val="single"/>
        </w:rPr>
        <w:t xml:space="preserve">             /           </w:t>
      </w:r>
      <w:r>
        <w:rPr>
          <w:rFonts w:hint="eastAsia" w:ascii="宋体" w:hAnsi="宋体" w:cs="等线"/>
          <w:highlight w:val="none"/>
        </w:rPr>
        <w:t>。</w:t>
      </w:r>
    </w:p>
    <w:p w14:paraId="6F1D175C">
      <w:pPr>
        <w:keepNext/>
        <w:keepLines/>
        <w:spacing w:line="360" w:lineRule="auto"/>
        <w:outlineLvl w:val="2"/>
        <w:rPr>
          <w:rFonts w:hint="eastAsia" w:ascii="宋体" w:hAnsi="宋体" w:cs="等线"/>
          <w:sz w:val="24"/>
          <w:highlight w:val="none"/>
        </w:rPr>
      </w:pPr>
      <w:bookmarkStart w:id="1706" w:name="_Toc13595"/>
      <w:bookmarkStart w:id="1707" w:name="_Toc159950826"/>
      <w:bookmarkStart w:id="1708" w:name="_Toc38732207"/>
      <w:r>
        <w:rPr>
          <w:rFonts w:hint="eastAsia" w:ascii="宋体" w:hAnsi="宋体" w:cs="等线"/>
          <w:sz w:val="24"/>
          <w:highlight w:val="none"/>
        </w:rPr>
        <w:t>15.5 承包人的合理化建议</w:t>
      </w:r>
      <w:bookmarkEnd w:id="1706"/>
      <w:bookmarkEnd w:id="1707"/>
      <w:bookmarkEnd w:id="1708"/>
    </w:p>
    <w:p w14:paraId="6AF620E0">
      <w:pPr>
        <w:spacing w:line="360" w:lineRule="auto"/>
        <w:ind w:firstLine="420" w:firstLineChars="200"/>
        <w:rPr>
          <w:rFonts w:hint="eastAsia" w:ascii="宋体" w:hAnsi="宋体" w:cs="等线"/>
          <w:highlight w:val="none"/>
        </w:rPr>
      </w:pPr>
      <w:r>
        <w:rPr>
          <w:rFonts w:hint="eastAsia" w:ascii="宋体" w:hAnsi="宋体" w:cs="等线"/>
          <w:highlight w:val="none"/>
        </w:rPr>
        <w:t>15.5.2对承包人提出合理化建议的奖励方法：</w:t>
      </w:r>
      <w:r>
        <w:rPr>
          <w:rFonts w:hint="eastAsia" w:ascii="宋体" w:hAnsi="宋体" w:cs="等线"/>
          <w:highlight w:val="none"/>
          <w:u w:val="single"/>
        </w:rPr>
        <w:t xml:space="preserve">         /                </w:t>
      </w:r>
      <w:r>
        <w:rPr>
          <w:rFonts w:hint="eastAsia" w:ascii="宋体" w:hAnsi="宋体" w:cs="等线"/>
          <w:highlight w:val="none"/>
        </w:rPr>
        <w:t>。</w:t>
      </w:r>
    </w:p>
    <w:p w14:paraId="579DAD6A">
      <w:pPr>
        <w:keepNext/>
        <w:keepLines/>
        <w:spacing w:line="360" w:lineRule="auto"/>
        <w:outlineLvl w:val="2"/>
        <w:rPr>
          <w:rFonts w:hint="eastAsia" w:ascii="宋体" w:hAnsi="宋体" w:cs="等线"/>
          <w:sz w:val="24"/>
          <w:highlight w:val="none"/>
        </w:rPr>
      </w:pPr>
      <w:bookmarkStart w:id="1709" w:name="_Toc13702"/>
      <w:bookmarkStart w:id="1710" w:name="_Toc159950827"/>
      <w:bookmarkStart w:id="1711" w:name="_Toc38732208"/>
      <w:r>
        <w:rPr>
          <w:rFonts w:hint="eastAsia" w:ascii="宋体" w:hAnsi="宋体" w:cs="等线"/>
          <w:sz w:val="24"/>
          <w:highlight w:val="none"/>
        </w:rPr>
        <w:t>15.8 暂估价</w:t>
      </w:r>
      <w:bookmarkEnd w:id="1709"/>
      <w:bookmarkEnd w:id="1710"/>
      <w:bookmarkEnd w:id="1711"/>
    </w:p>
    <w:p w14:paraId="3F6AD673">
      <w:pPr>
        <w:spacing w:line="360" w:lineRule="auto"/>
        <w:ind w:firstLine="420" w:firstLineChars="200"/>
        <w:rPr>
          <w:rFonts w:hint="eastAsia" w:ascii="宋体" w:hAnsi="宋体" w:cs="等线"/>
          <w:highlight w:val="none"/>
        </w:rPr>
      </w:pPr>
      <w:r>
        <w:rPr>
          <w:rFonts w:hint="eastAsia" w:ascii="宋体" w:hAnsi="宋体" w:cs="等线"/>
          <w:highlight w:val="none"/>
        </w:rPr>
        <w:t>15.8.1按合同约定应当由发包人和承包人采用招标方式选择专项供应商或专业分包人的，应当由承包人作为招标人，依法组织招标工作并接受有管辖权的建设工程招标投标行政监督部门的监督。与组织招标工作有关的费用应当被认为已经包括在承包人的签约合同价（投标总报价）中：</w:t>
      </w:r>
    </w:p>
    <w:p w14:paraId="672C6D1B">
      <w:pPr>
        <w:spacing w:line="360" w:lineRule="auto"/>
        <w:ind w:firstLine="420" w:firstLineChars="200"/>
        <w:rPr>
          <w:rFonts w:hint="eastAsia" w:ascii="宋体" w:hAnsi="宋体" w:cs="等线"/>
          <w:highlight w:val="none"/>
        </w:rPr>
      </w:pPr>
      <w:r>
        <w:rPr>
          <w:rFonts w:hint="eastAsia" w:ascii="宋体" w:hAnsi="宋体" w:cs="等线"/>
          <w:highlight w:val="none"/>
        </w:rPr>
        <w:t>（1）在任何招标工作启动前，承包人应当提前至少</w:t>
      </w:r>
      <w:r>
        <w:rPr>
          <w:rFonts w:hint="eastAsia" w:ascii="宋体" w:hAnsi="宋体" w:cs="等线"/>
          <w:highlight w:val="none"/>
          <w:u w:val="single"/>
        </w:rPr>
        <w:t xml:space="preserve"> 7 </w:t>
      </w:r>
      <w:r>
        <w:rPr>
          <w:rFonts w:hint="eastAsia" w:ascii="宋体" w:hAnsi="宋体" w:cs="等线"/>
          <w:highlight w:val="none"/>
        </w:rPr>
        <w:t>天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w:t>
      </w:r>
      <w:r>
        <w:rPr>
          <w:rFonts w:hint="eastAsia" w:ascii="宋体" w:hAnsi="宋体" w:cs="等线"/>
          <w:highlight w:val="none"/>
          <w:u w:val="single"/>
        </w:rPr>
        <w:t xml:space="preserve"> 3 </w:t>
      </w:r>
      <w:r>
        <w:rPr>
          <w:rFonts w:hint="eastAsia" w:ascii="宋体" w:hAnsi="宋体" w:cs="等线"/>
          <w:highlight w:val="none"/>
        </w:rPr>
        <w:t>天内给予批准或者提出修改意见。承包人应当严格按照经过发包人批准的招标工作计划开展招标工作。</w:t>
      </w:r>
    </w:p>
    <w:p w14:paraId="0694E4D1">
      <w:pPr>
        <w:spacing w:line="360" w:lineRule="auto"/>
        <w:ind w:firstLine="420" w:firstLineChars="200"/>
        <w:rPr>
          <w:rFonts w:hint="eastAsia" w:ascii="宋体" w:hAnsi="宋体" w:cs="等线"/>
          <w:highlight w:val="none"/>
        </w:rPr>
      </w:pPr>
      <w:r>
        <w:rPr>
          <w:rFonts w:hint="eastAsia" w:ascii="宋体" w:hAnsi="宋体" w:cs="等线"/>
          <w:highlight w:val="none"/>
        </w:rPr>
        <w:t>（2）承包人应当在发出招标公告（或者资格预审公告或者投标邀请书）、资格预审文件和招标文件前至少</w:t>
      </w:r>
      <w:r>
        <w:rPr>
          <w:rFonts w:hint="eastAsia" w:ascii="宋体" w:hAnsi="宋体" w:cs="等线"/>
          <w:highlight w:val="none"/>
          <w:u w:val="single"/>
        </w:rPr>
        <w:t xml:space="preserve"> 7 </w:t>
      </w:r>
      <w:r>
        <w:rPr>
          <w:rFonts w:hint="eastAsia" w:ascii="宋体" w:hAnsi="宋体" w:cs="等线"/>
          <w:highlight w:val="none"/>
        </w:rPr>
        <w:t>天，分别将相关文件通过监理人报请发包人审批，发包人应当在监理人收到承包人报送的相关文件后</w:t>
      </w:r>
      <w:r>
        <w:rPr>
          <w:rFonts w:hint="eastAsia" w:ascii="宋体" w:hAnsi="宋体" w:cs="等线"/>
          <w:highlight w:val="none"/>
          <w:u w:val="single"/>
        </w:rPr>
        <w:t xml:space="preserve"> 3 </w:t>
      </w:r>
      <w:r>
        <w:rPr>
          <w:rFonts w:hint="eastAsia" w:ascii="宋体" w:hAnsi="宋体" w:cs="等线"/>
          <w:highlight w:val="none"/>
        </w:rPr>
        <w:t>天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p>
    <w:p w14:paraId="4963F4E9">
      <w:pPr>
        <w:spacing w:line="360" w:lineRule="auto"/>
        <w:ind w:firstLine="420" w:firstLineChars="200"/>
        <w:rPr>
          <w:rFonts w:hint="eastAsia" w:ascii="宋体" w:hAnsi="宋体" w:cs="等线"/>
          <w:highlight w:val="none"/>
        </w:rPr>
      </w:pPr>
      <w:r>
        <w:rPr>
          <w:rFonts w:hint="eastAsia" w:ascii="宋体" w:hAnsi="宋体" w:cs="等线"/>
          <w:highlight w:val="none"/>
        </w:rPr>
        <w:t>（3）如果发、承包任何一方委派评标代表，评标委员会应当由七人以上单数构成。除发包人或者承包人自愿放弃委派评标代表的权利外，招标人评标代表应当分别由发包人和承包人等额委派。</w:t>
      </w:r>
    </w:p>
    <w:p w14:paraId="52F7CEC4">
      <w:pPr>
        <w:spacing w:line="360" w:lineRule="auto"/>
        <w:ind w:firstLine="420" w:firstLineChars="200"/>
        <w:rPr>
          <w:rFonts w:hint="eastAsia" w:ascii="宋体" w:hAnsi="宋体" w:cs="等线"/>
          <w:highlight w:val="none"/>
        </w:rPr>
      </w:pPr>
      <w:r>
        <w:rPr>
          <w:rFonts w:hint="eastAsia" w:ascii="宋体" w:hAnsi="宋体" w:cs="等线"/>
          <w:highlight w:val="none"/>
        </w:rPr>
        <w:t>（4）设有标底的，承包人应当在开标前提前48小时将标底报发包人审核认可，发包人应当在收到承包人报送的标底后24小时内给予批准或者提出修改意见。承包人和发包人应当共同制定标底保密措施，不得提前泄露标底。标底的最终审核和决定权属于发包人。</w:t>
      </w:r>
    </w:p>
    <w:p w14:paraId="5DCBB3DC">
      <w:pPr>
        <w:spacing w:line="360" w:lineRule="auto"/>
        <w:ind w:firstLine="420" w:firstLineChars="200"/>
        <w:rPr>
          <w:rFonts w:hint="eastAsia" w:ascii="宋体" w:hAnsi="宋体" w:cs="等线"/>
          <w:highlight w:val="none"/>
        </w:rPr>
      </w:pPr>
      <w:r>
        <w:rPr>
          <w:rFonts w:hint="eastAsia" w:ascii="宋体" w:hAnsi="宋体" w:cs="等线"/>
          <w:highlight w:val="none"/>
        </w:rPr>
        <w:t>（5）设有招标控制价的，承包人应当在招标文件发出前提前7天将招标控制价报发包人审核认可，发包人应当在收到承包人报送的招标控制价后72小时内给予认可或者提出修改意见。招标控制价的最终审核和决定权属于发包人，未经发包人认可，承包人不得发出招标文件。</w:t>
      </w:r>
    </w:p>
    <w:p w14:paraId="6361C27F">
      <w:pPr>
        <w:spacing w:line="360" w:lineRule="auto"/>
        <w:ind w:firstLine="420" w:firstLineChars="200"/>
        <w:rPr>
          <w:rFonts w:hint="eastAsia" w:ascii="宋体" w:hAnsi="宋体" w:cs="等线"/>
          <w:highlight w:val="none"/>
        </w:rPr>
      </w:pPr>
      <w:r>
        <w:rPr>
          <w:rFonts w:hint="eastAsia" w:ascii="宋体" w:hAnsi="宋体" w:cs="等线"/>
          <w:highlight w:val="none"/>
        </w:rPr>
        <w:t>（6）承包人在收到相关招标项目评标委员会提交的评标报告后，应当在24小时内通过监理人转报发包人核查，发包人应当在监理人收到承包人报送的评标报告后48小时内核查完毕，评标报告经过发包人核查认可后，承包人才可以开始后续程序，依法确定中标人并发出中标通知书。</w:t>
      </w:r>
    </w:p>
    <w:p w14:paraId="17A4B954">
      <w:pPr>
        <w:spacing w:line="360" w:lineRule="auto"/>
        <w:ind w:firstLine="420" w:firstLineChars="200"/>
        <w:rPr>
          <w:rFonts w:hint="eastAsia" w:ascii="宋体" w:hAnsi="宋体" w:cs="等线"/>
          <w:highlight w:val="none"/>
        </w:rPr>
      </w:pPr>
      <w:r>
        <w:rPr>
          <w:rFonts w:hint="eastAsia" w:ascii="宋体" w:hAnsi="宋体" w:cs="等线"/>
          <w:highlight w:val="none"/>
        </w:rPr>
        <w:t>（7）承包人与专业分包人或者专项供应商订立合同前</w:t>
      </w:r>
      <w:r>
        <w:rPr>
          <w:rFonts w:hint="eastAsia" w:ascii="宋体" w:hAnsi="宋体" w:cs="等线"/>
          <w:highlight w:val="none"/>
          <w:u w:val="single"/>
        </w:rPr>
        <w:t xml:space="preserve"> 10 </w:t>
      </w:r>
      <w:r>
        <w:rPr>
          <w:rFonts w:hint="eastAsia" w:ascii="宋体" w:hAnsi="宋体" w:cs="等线"/>
          <w:highlight w:val="none"/>
        </w:rPr>
        <w:t>天，应当将准备用于正式签订的合同文件通过监理人报发包人审核，发包人应当在监理人收到相关文件后</w:t>
      </w:r>
      <w:r>
        <w:rPr>
          <w:rFonts w:hint="eastAsia" w:ascii="宋体" w:hAnsi="宋体" w:cs="等线"/>
          <w:highlight w:val="none"/>
          <w:u w:val="single"/>
        </w:rPr>
        <w:t xml:space="preserve"> 7 </w:t>
      </w:r>
      <w:r>
        <w:rPr>
          <w:rFonts w:hint="eastAsia" w:ascii="宋体" w:hAnsi="宋体" w:cs="等线"/>
          <w:highlight w:val="none"/>
        </w:rPr>
        <w:t>天内给予批准或者提出修改意见，承包人应当按照发包人批准的合同文件签订相关合同，合同订立后</w:t>
      </w:r>
      <w:r>
        <w:rPr>
          <w:rFonts w:hint="eastAsia" w:ascii="宋体" w:hAnsi="宋体" w:cs="等线"/>
          <w:highlight w:val="none"/>
          <w:u w:val="single"/>
        </w:rPr>
        <w:t xml:space="preserve">  7 </w:t>
      </w:r>
      <w:r>
        <w:rPr>
          <w:rFonts w:hint="eastAsia" w:ascii="宋体" w:hAnsi="宋体" w:cs="等线"/>
          <w:highlight w:val="none"/>
        </w:rPr>
        <w:t>天内，承包人应当将其中的两份副本报送监理人，其中一份由监理人报发包人留存。</w:t>
      </w:r>
    </w:p>
    <w:p w14:paraId="6A67AB3A">
      <w:pPr>
        <w:spacing w:line="360" w:lineRule="auto"/>
        <w:ind w:firstLine="420" w:firstLineChars="200"/>
        <w:rPr>
          <w:rFonts w:hint="eastAsia" w:ascii="宋体" w:hAnsi="宋体" w:cs="等线"/>
          <w:highlight w:val="none"/>
        </w:rPr>
      </w:pPr>
      <w:r>
        <w:rPr>
          <w:rFonts w:hint="eastAsia" w:ascii="宋体" w:hAnsi="宋体" w:cs="等线"/>
          <w:highlight w:val="none"/>
        </w:rPr>
        <w:t>（8）发包人对承包人报送文件进行审批或提出的修改意见应当合理，并符合现行有关法律法规的规定。</w:t>
      </w:r>
    </w:p>
    <w:p w14:paraId="7605CE47">
      <w:pPr>
        <w:spacing w:line="360" w:lineRule="auto"/>
        <w:ind w:firstLine="420" w:firstLineChars="200"/>
        <w:rPr>
          <w:rFonts w:hint="eastAsia" w:ascii="宋体" w:hAnsi="宋体" w:cs="等线"/>
          <w:highlight w:val="none"/>
        </w:rPr>
      </w:pPr>
      <w:r>
        <w:rPr>
          <w:rFonts w:hint="eastAsia" w:ascii="宋体" w:hAnsi="宋体" w:cs="等线"/>
          <w:highlight w:val="none"/>
        </w:rPr>
        <w:t>（9）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14:paraId="2B3F1A1F">
      <w:pPr>
        <w:spacing w:line="360" w:lineRule="auto"/>
        <w:ind w:firstLine="420" w:firstLineChars="200"/>
        <w:rPr>
          <w:rFonts w:hint="eastAsia" w:ascii="宋体" w:hAnsi="宋体" w:cs="等线"/>
          <w:highlight w:val="none"/>
        </w:rPr>
      </w:pPr>
      <w:r>
        <w:rPr>
          <w:rFonts w:hint="eastAsia" w:ascii="宋体" w:hAnsi="宋体" w:cs="等线"/>
          <w:highlight w:val="none"/>
        </w:rPr>
        <w:t>15.8.3发包人在工程量清单中给定暂估价的专业工程不属于依法必须招标的范围或者未达到依法必须招标的规模标准的，其最终价格的估价人为：</w:t>
      </w:r>
      <w:r>
        <w:rPr>
          <w:rFonts w:hint="eastAsia" w:ascii="宋体" w:hAnsi="宋体" w:cs="等线"/>
          <w:highlight w:val="none"/>
          <w:u w:val="single"/>
        </w:rPr>
        <w:t>发包人</w:t>
      </w:r>
      <w:r>
        <w:rPr>
          <w:rFonts w:hint="eastAsia" w:ascii="宋体" w:hAnsi="宋体" w:cs="等线"/>
          <w:highlight w:val="none"/>
        </w:rPr>
        <w:t>或者按照下列约定：</w:t>
      </w:r>
      <w:r>
        <w:rPr>
          <w:rFonts w:hint="eastAsia" w:ascii="宋体" w:hAnsi="宋体" w:cs="等线"/>
          <w:highlight w:val="none"/>
          <w:u w:val="single"/>
        </w:rPr>
        <w:t xml:space="preserve"> / </w:t>
      </w:r>
      <w:r>
        <w:rPr>
          <w:rFonts w:hint="eastAsia" w:ascii="宋体" w:hAnsi="宋体" w:cs="等线"/>
          <w:highlight w:val="none"/>
        </w:rPr>
        <w:t>。</w:t>
      </w:r>
    </w:p>
    <w:p w14:paraId="1BA26910">
      <w:pPr>
        <w:keepNext/>
        <w:keepLines/>
        <w:spacing w:line="400" w:lineRule="exact"/>
        <w:outlineLvl w:val="1"/>
        <w:rPr>
          <w:rFonts w:hint="eastAsia" w:ascii="宋体" w:hAnsi="宋体" w:cs="等线"/>
          <w:sz w:val="24"/>
          <w:highlight w:val="none"/>
        </w:rPr>
      </w:pPr>
      <w:bookmarkStart w:id="1712" w:name="_Toc19770"/>
      <w:bookmarkStart w:id="1713" w:name="_Toc25133"/>
      <w:bookmarkStart w:id="1714" w:name="_Toc159950828"/>
      <w:bookmarkStart w:id="1715" w:name="_Toc38732209"/>
      <w:r>
        <w:rPr>
          <w:rFonts w:hint="eastAsia" w:ascii="宋体" w:hAnsi="宋体" w:cs="等线"/>
          <w:sz w:val="24"/>
          <w:highlight w:val="none"/>
        </w:rPr>
        <w:t>16. 价格调整</w:t>
      </w:r>
      <w:bookmarkEnd w:id="1712"/>
      <w:bookmarkEnd w:id="1713"/>
      <w:bookmarkEnd w:id="1714"/>
      <w:bookmarkEnd w:id="1715"/>
    </w:p>
    <w:p w14:paraId="3A4FE172">
      <w:pPr>
        <w:keepNext/>
        <w:keepLines/>
        <w:spacing w:line="360" w:lineRule="auto"/>
        <w:outlineLvl w:val="2"/>
        <w:rPr>
          <w:rFonts w:hint="eastAsia" w:ascii="宋体" w:hAnsi="宋体" w:cs="等线"/>
          <w:sz w:val="24"/>
          <w:highlight w:val="none"/>
        </w:rPr>
      </w:pPr>
      <w:bookmarkStart w:id="1716" w:name="_Toc159950829"/>
      <w:bookmarkStart w:id="1717" w:name="_Toc38732210"/>
      <w:bookmarkStart w:id="1718" w:name="_Toc13235"/>
      <w:r>
        <w:rPr>
          <w:rFonts w:hint="eastAsia" w:ascii="宋体" w:hAnsi="宋体" w:cs="等线"/>
          <w:sz w:val="24"/>
          <w:highlight w:val="none"/>
        </w:rPr>
        <w:t>16.1 物价波动引起的价格调整</w:t>
      </w:r>
      <w:bookmarkEnd w:id="1716"/>
      <w:bookmarkEnd w:id="1717"/>
      <w:bookmarkEnd w:id="1718"/>
    </w:p>
    <w:p w14:paraId="5FBC1F55">
      <w:pPr>
        <w:spacing w:line="360" w:lineRule="auto"/>
        <w:ind w:firstLine="420" w:firstLineChars="200"/>
        <w:rPr>
          <w:rFonts w:hint="eastAsia" w:ascii="宋体" w:hAnsi="宋体" w:cs="等线"/>
          <w:highlight w:val="none"/>
        </w:rPr>
      </w:pPr>
      <w:r>
        <w:rPr>
          <w:rFonts w:hint="eastAsia" w:ascii="宋体" w:hAnsi="宋体" w:cs="等线"/>
          <w:highlight w:val="none"/>
        </w:rPr>
        <w:t>物价波动引起的价格调整方法：</w:t>
      </w:r>
      <w:r>
        <w:rPr>
          <w:rFonts w:hint="eastAsia" w:ascii="宋体" w:hAnsi="宋体" w:cs="等线"/>
          <w:highlight w:val="none"/>
          <w:u w:val="single"/>
        </w:rPr>
        <w:t>采用造价信息调整价格差额，具体约定如下</w:t>
      </w:r>
      <w:r>
        <w:rPr>
          <w:rFonts w:hint="eastAsia" w:ascii="宋体" w:hAnsi="宋体" w:cs="等线"/>
          <w:highlight w:val="none"/>
        </w:rPr>
        <w:t>。</w:t>
      </w:r>
    </w:p>
    <w:p w14:paraId="2A00B587">
      <w:pPr>
        <w:spacing w:line="360" w:lineRule="auto"/>
        <w:ind w:firstLine="422" w:firstLineChars="200"/>
        <w:rPr>
          <w:rFonts w:hint="eastAsia" w:ascii="宋体" w:hAnsi="宋体" w:cs="等线"/>
          <w:b/>
          <w:highlight w:val="none"/>
          <w:u w:val="single"/>
        </w:rPr>
      </w:pPr>
      <w:r>
        <w:rPr>
          <w:rFonts w:hint="eastAsia" w:ascii="宋体" w:hAnsi="宋体" w:cs="等线"/>
          <w:b/>
          <w:highlight w:val="none"/>
          <w:u w:val="single"/>
        </w:rPr>
        <w:t>（1）风险范围：</w:t>
      </w:r>
    </w:p>
    <w:p w14:paraId="7DFB4505">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本工程人工、预拌混凝土、钢筋、木材、电线、电缆市场价格的涨落在±6%（含±6%）以内的风险，以及其他材料和机械使用费价格变化的全部风险。</w:t>
      </w:r>
    </w:p>
    <w:p w14:paraId="77148520">
      <w:pPr>
        <w:spacing w:line="360" w:lineRule="auto"/>
        <w:ind w:firstLine="422" w:firstLineChars="200"/>
        <w:rPr>
          <w:rFonts w:hint="eastAsia" w:ascii="宋体" w:hAnsi="宋体" w:cs="等线"/>
          <w:b/>
          <w:highlight w:val="none"/>
          <w:u w:val="single"/>
        </w:rPr>
      </w:pPr>
      <w:r>
        <w:rPr>
          <w:rFonts w:hint="eastAsia" w:ascii="宋体" w:hAnsi="宋体" w:cs="等线"/>
          <w:b/>
          <w:highlight w:val="none"/>
          <w:u w:val="single"/>
        </w:rPr>
        <w:t>(2）市场价格变化幅度确定的原则：</w:t>
      </w:r>
    </w:p>
    <w:p w14:paraId="0BFC6831">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a）以本市建设工程造价管理机构施工当期发布的《北京工程造价信息》中的市场信息价格 （以下简称造价信息价格）为依据，造价信息价格中有上、下限的，以下限为准，造价信息价格中没有的，按发包人、承包人共同确认的市场价格为准；</w:t>
      </w:r>
    </w:p>
    <w:p w14:paraId="77A13467">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b) 当投标报价时的单价低于投标报价期对应的造价信息价格时，按施工期对应的造价信息价格与投标报价期对应的造价信息价格计算其变化幅度；当投标报价时的单价高于投标报价期对应的造价信息价格时，按施工期对应的造价信息价格与投标报价时的价格计算其变化幅度。</w:t>
      </w:r>
    </w:p>
    <w:p w14:paraId="5C16AA30">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变化幅度的确定：</w:t>
      </w:r>
    </w:p>
    <w:p w14:paraId="21F5908F">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当报价≤基价时，变化幅度=（施工期价-基价）/基价。</w:t>
      </w:r>
    </w:p>
    <w:p w14:paraId="2929BDEE">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当报价＞基价时，变化幅度=（施工期价-报价）/报价。</w:t>
      </w:r>
    </w:p>
    <w:p w14:paraId="02019AE9">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注：以下关于“基价、施工期价、报价”的定义仅适用于本工程</w:t>
      </w:r>
    </w:p>
    <w:p w14:paraId="58086E4D">
      <w:pPr>
        <w:spacing w:line="360" w:lineRule="auto"/>
        <w:ind w:firstLine="422" w:firstLineChars="200"/>
        <w:rPr>
          <w:rFonts w:hint="eastAsia" w:ascii="宋体" w:hAnsi="宋体" w:cs="等线"/>
          <w:highlight w:val="none"/>
          <w:u w:val="single"/>
        </w:rPr>
      </w:pPr>
      <w:r>
        <w:rPr>
          <w:rFonts w:hint="eastAsia" w:ascii="宋体" w:hAnsi="宋体" w:cs="等线"/>
          <w:b/>
          <w:highlight w:val="none"/>
          <w:u w:val="single"/>
        </w:rPr>
        <w:t>基价</w:t>
      </w:r>
      <w:r>
        <w:rPr>
          <w:rFonts w:hint="eastAsia" w:ascii="宋体" w:hAnsi="宋体" w:cs="等线"/>
          <w:highlight w:val="none"/>
          <w:u w:val="single"/>
        </w:rPr>
        <w:t>：指开标之日前一月的北京市建设工程造价管理机构发布的《北京工程造价信息》中的市场信息价格。</w:t>
      </w:r>
    </w:p>
    <w:p w14:paraId="5011CC3E">
      <w:pPr>
        <w:spacing w:line="360" w:lineRule="auto"/>
        <w:ind w:firstLine="422" w:firstLineChars="200"/>
        <w:rPr>
          <w:rFonts w:hint="eastAsia" w:ascii="宋体" w:hAnsi="宋体" w:cs="等线"/>
          <w:highlight w:val="none"/>
        </w:rPr>
      </w:pPr>
      <w:r>
        <w:rPr>
          <w:rFonts w:hint="eastAsia" w:ascii="宋体" w:hAnsi="宋体" w:cs="等线"/>
          <w:b/>
          <w:highlight w:val="none"/>
          <w:u w:val="single"/>
        </w:rPr>
        <w:t>报价</w:t>
      </w:r>
      <w:r>
        <w:rPr>
          <w:rFonts w:hint="eastAsia" w:ascii="宋体" w:hAnsi="宋体" w:cs="等线"/>
          <w:highlight w:val="none"/>
          <w:u w:val="single"/>
        </w:rPr>
        <w:t>：指投标人的投标文件中“工程量清单综合单价分析表”中的报价。</w:t>
      </w:r>
    </w:p>
    <w:p w14:paraId="669132C5">
      <w:pPr>
        <w:spacing w:line="360" w:lineRule="auto"/>
        <w:ind w:firstLine="422" w:firstLineChars="200"/>
        <w:rPr>
          <w:rFonts w:hint="eastAsia" w:ascii="宋体" w:hAnsi="宋体" w:cs="等线"/>
          <w:highlight w:val="none"/>
          <w:u w:val="single"/>
        </w:rPr>
      </w:pPr>
      <w:r>
        <w:rPr>
          <w:rFonts w:hint="eastAsia" w:ascii="宋体" w:hAnsi="宋体" w:cs="等线"/>
          <w:b/>
          <w:highlight w:val="none"/>
          <w:u w:val="single"/>
        </w:rPr>
        <w:t>(3) 各项合同风险范围之外物价波动引起的价格调整方法</w:t>
      </w:r>
    </w:p>
    <w:p w14:paraId="15A802E5">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a）</w:t>
      </w:r>
      <w:r>
        <w:rPr>
          <w:rFonts w:hint="eastAsia" w:ascii="宋体" w:hAnsi="宋体" w:cs="等线"/>
          <w:b/>
          <w:highlight w:val="none"/>
          <w:u w:val="single"/>
        </w:rPr>
        <w:t>人工、预拌混凝土、钢筋、木材、电线、电缆</w:t>
      </w:r>
      <w:r>
        <w:rPr>
          <w:rFonts w:hint="eastAsia" w:ascii="宋体" w:hAnsi="宋体" w:cs="等线"/>
          <w:highlight w:val="none"/>
          <w:u w:val="single"/>
        </w:rPr>
        <w:t>价格的变化幅度大于±6%（含±6%）时，应当计算超过部分的价差，其价差由发包人承担或受益，差价仅计取税金。</w:t>
      </w:r>
    </w:p>
    <w:p w14:paraId="33C2A7B1">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b) 如合同规定的调整情况发生，承包人应当于每月15日将调整原因、金额以书面形式通知发包人及监理人，经监理人、发包人确认调整金额后将其作为追加合同价款，与工程进度同期同比例支付；发包人收到承包人通知后14天内未予确认也未提出异议的，视为已经同意该项调整。 （建议明确如材料价格变化大于-6%时，由发包人或发包人责成承包人计算调金额）</w:t>
      </w:r>
    </w:p>
    <w:p w14:paraId="61DF6D5C">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c）当合同规定的调整合同价款的调整情况发生后，承包人未在规定的时间内通知发包人、监理人，或者未在规定的时间内提出调整报告，发包人可以根据有关资料，决定是否调整和调整的金额，并经监理人书面通知承包人。</w:t>
      </w:r>
    </w:p>
    <w:p w14:paraId="0B45BB41">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d）工程量按调整期内完成的相应工程量计算。</w:t>
      </w:r>
    </w:p>
    <w:p w14:paraId="2EC54B16">
      <w:pPr>
        <w:spacing w:line="360" w:lineRule="auto"/>
        <w:ind w:firstLine="420" w:firstLineChars="200"/>
        <w:rPr>
          <w:rFonts w:hint="eastAsia" w:ascii="宋体" w:hAnsi="宋体" w:cs="等线"/>
          <w:highlight w:val="none"/>
        </w:rPr>
      </w:pPr>
      <w:r>
        <w:rPr>
          <w:rFonts w:hint="eastAsia" w:ascii="宋体" w:hAnsi="宋体" w:cs="等线"/>
          <w:highlight w:val="none"/>
        </w:rPr>
        <w:t>其他约定：</w:t>
      </w:r>
    </w:p>
    <w:p w14:paraId="0D973E8C">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1)在发、承包双方履行合同过程中，当国家的法律、法规、规章及政策发生变化，国家或省级、行业建设主管部门或其授权的工程造价管理机构据此发布工程造价调整文件，工程价款应当进行调整。</w:t>
      </w:r>
    </w:p>
    <w:p w14:paraId="1686A4DA">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2)当施工中施工图纸(含设计变更)与工程量清单项目特征描述不一致时，发、承包双方按实际施工的项目特征重新确定综合单价。</w:t>
      </w:r>
    </w:p>
    <w:p w14:paraId="145D42EC">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3）因地质条件引起施工工艺的改变，按照新工艺进行调整。</w:t>
      </w:r>
    </w:p>
    <w:p w14:paraId="733D3823">
      <w:pPr>
        <w:spacing w:line="360" w:lineRule="auto"/>
        <w:ind w:firstLine="420" w:firstLineChars="200"/>
        <w:rPr>
          <w:rFonts w:hint="eastAsia" w:ascii="宋体" w:hAnsi="宋体" w:cs="等线"/>
          <w:highlight w:val="none"/>
          <w:u w:val="single"/>
        </w:rPr>
      </w:pPr>
      <w:r>
        <w:rPr>
          <w:rFonts w:hint="eastAsia" w:ascii="宋体" w:hAnsi="宋体" w:cs="等线"/>
          <w:highlight w:val="none"/>
          <w:u w:val="single"/>
        </w:rPr>
        <w:t>4）发包人不接受承包人基于任何工作子目单价在投标时的组价不当（包括但不限于工作子目对应的工作内容理解的偏差、工料机消耗量水平的确定、生产要素市场价格的判断、取费等）或任何其他差错而主张的任何损失或索赔。</w:t>
      </w:r>
    </w:p>
    <w:p w14:paraId="3C6B8A3C">
      <w:pPr>
        <w:keepNext/>
        <w:keepLines/>
        <w:spacing w:line="400" w:lineRule="exact"/>
        <w:outlineLvl w:val="1"/>
        <w:rPr>
          <w:rFonts w:hint="eastAsia" w:ascii="宋体" w:hAnsi="宋体" w:cs="等线"/>
          <w:sz w:val="24"/>
          <w:highlight w:val="none"/>
        </w:rPr>
      </w:pPr>
      <w:bookmarkStart w:id="1719" w:name="_Toc25561"/>
      <w:bookmarkStart w:id="1720" w:name="_Toc38732211"/>
      <w:bookmarkStart w:id="1721" w:name="_Toc159950830"/>
      <w:bookmarkStart w:id="1722" w:name="_Toc21789"/>
      <w:r>
        <w:rPr>
          <w:rFonts w:hint="eastAsia" w:ascii="宋体" w:hAnsi="宋体" w:cs="等线"/>
          <w:sz w:val="24"/>
          <w:highlight w:val="none"/>
        </w:rPr>
        <w:t>17. 计量与支付</w:t>
      </w:r>
      <w:bookmarkEnd w:id="1719"/>
      <w:bookmarkEnd w:id="1720"/>
      <w:bookmarkEnd w:id="1721"/>
      <w:bookmarkEnd w:id="1722"/>
    </w:p>
    <w:p w14:paraId="3C9E83C3">
      <w:pPr>
        <w:keepNext/>
        <w:keepLines/>
        <w:spacing w:line="360" w:lineRule="auto"/>
        <w:outlineLvl w:val="2"/>
        <w:rPr>
          <w:rFonts w:hint="eastAsia" w:ascii="宋体" w:hAnsi="宋体" w:cs="等线"/>
          <w:sz w:val="24"/>
          <w:highlight w:val="none"/>
        </w:rPr>
      </w:pPr>
      <w:bookmarkStart w:id="1723" w:name="_Toc38732212"/>
      <w:bookmarkStart w:id="1724" w:name="_Toc159950831"/>
      <w:bookmarkStart w:id="1725" w:name="_Toc6558"/>
      <w:r>
        <w:rPr>
          <w:rFonts w:hint="eastAsia" w:ascii="宋体" w:hAnsi="宋体" w:cs="等线"/>
          <w:sz w:val="24"/>
          <w:highlight w:val="none"/>
        </w:rPr>
        <w:t>17.1 计量</w:t>
      </w:r>
      <w:bookmarkEnd w:id="1723"/>
      <w:bookmarkEnd w:id="1724"/>
      <w:bookmarkEnd w:id="1725"/>
    </w:p>
    <w:p w14:paraId="599D50A5">
      <w:pPr>
        <w:spacing w:line="360" w:lineRule="auto"/>
        <w:ind w:firstLine="420" w:firstLineChars="200"/>
        <w:rPr>
          <w:rFonts w:hint="eastAsia" w:ascii="宋体" w:hAnsi="宋体" w:cs="等线"/>
          <w:highlight w:val="none"/>
        </w:rPr>
      </w:pPr>
      <w:r>
        <w:rPr>
          <w:rFonts w:hint="eastAsia" w:ascii="宋体" w:hAnsi="宋体" w:cs="等线"/>
          <w:highlight w:val="none"/>
        </w:rPr>
        <w:t>17.1.2 计量方法</w:t>
      </w:r>
    </w:p>
    <w:p w14:paraId="09AC4A4A">
      <w:pPr>
        <w:spacing w:line="360" w:lineRule="auto"/>
        <w:ind w:firstLine="420" w:firstLineChars="200"/>
        <w:rPr>
          <w:rFonts w:hint="eastAsia" w:ascii="宋体" w:hAnsi="宋体" w:cs="等线"/>
          <w:highlight w:val="none"/>
        </w:rPr>
      </w:pPr>
      <w:r>
        <w:rPr>
          <w:rFonts w:hint="eastAsia" w:ascii="宋体" w:hAnsi="宋体" w:cs="等线"/>
          <w:highlight w:val="none"/>
        </w:rPr>
        <w:t>工程量计算规则执行国家标准《建设工程工程量清单计价规范》（GB50500）或其适用的修订版本。除合同另有约定外，承包人实际完成的工程量按约定的工程量计算规则和有合同约束力的图纸进行计量。</w:t>
      </w:r>
    </w:p>
    <w:p w14:paraId="1061420A">
      <w:pPr>
        <w:spacing w:line="360" w:lineRule="auto"/>
        <w:ind w:firstLine="420" w:firstLineChars="200"/>
        <w:rPr>
          <w:rFonts w:hint="eastAsia" w:ascii="宋体" w:hAnsi="宋体" w:cs="等线"/>
          <w:highlight w:val="none"/>
        </w:rPr>
      </w:pPr>
      <w:r>
        <w:rPr>
          <w:rFonts w:hint="eastAsia" w:ascii="宋体" w:hAnsi="宋体" w:cs="等线"/>
          <w:highlight w:val="none"/>
        </w:rPr>
        <w:t>17.1.3 计量周期</w:t>
      </w:r>
    </w:p>
    <w:p w14:paraId="6AA3EB13">
      <w:pPr>
        <w:spacing w:line="360" w:lineRule="auto"/>
        <w:ind w:firstLine="420" w:firstLineChars="200"/>
        <w:rPr>
          <w:rFonts w:hint="eastAsia" w:ascii="宋体" w:hAnsi="宋体" w:cs="等线"/>
          <w:highlight w:val="none"/>
        </w:rPr>
      </w:pPr>
      <w:r>
        <w:rPr>
          <w:rFonts w:hint="eastAsia" w:ascii="宋体" w:hAnsi="宋体" w:cs="等线"/>
          <w:highlight w:val="none"/>
        </w:rPr>
        <w:t>（1）本合同的计量周期为月，每月</w:t>
      </w:r>
      <w:r>
        <w:rPr>
          <w:rFonts w:hint="eastAsia" w:ascii="宋体" w:hAnsi="宋体" w:cs="等线"/>
          <w:highlight w:val="none"/>
          <w:u w:val="single"/>
        </w:rPr>
        <w:t xml:space="preserve"> 25 </w:t>
      </w:r>
      <w:r>
        <w:rPr>
          <w:rFonts w:hint="eastAsia" w:ascii="宋体" w:hAnsi="宋体" w:cs="等线"/>
          <w:highlight w:val="none"/>
        </w:rPr>
        <w:t>日为当月计量截止日期（不含当日）和下月计量起始日期（含当日）。</w:t>
      </w:r>
    </w:p>
    <w:p w14:paraId="571CD8F3">
      <w:pPr>
        <w:spacing w:line="360" w:lineRule="auto"/>
        <w:ind w:firstLine="420" w:firstLineChars="200"/>
        <w:rPr>
          <w:rFonts w:hint="eastAsia" w:ascii="宋体" w:hAnsi="宋体" w:cs="等线"/>
          <w:highlight w:val="none"/>
        </w:rPr>
      </w:pPr>
      <w:r>
        <w:rPr>
          <w:rFonts w:hint="eastAsia" w:ascii="宋体" w:hAnsi="宋体" w:cs="等线"/>
          <w:highlight w:val="none"/>
        </w:rPr>
        <w:t>（2）本合同</w:t>
      </w:r>
      <w:r>
        <w:rPr>
          <w:rFonts w:hint="eastAsia" w:ascii="宋体" w:hAnsi="宋体" w:cs="等线"/>
          <w:highlight w:val="none"/>
          <w:u w:val="single"/>
        </w:rPr>
        <w:t xml:space="preserve"> 执行 </w:t>
      </w:r>
      <w:r>
        <w:rPr>
          <w:rFonts w:hint="eastAsia" w:ascii="宋体" w:hAnsi="宋体" w:cs="等线"/>
          <w:highlight w:val="none"/>
        </w:rPr>
        <w:t>（执行（采用单价合同形式时）/不执行（采用总价合同形式时））通用合同条款本项约定的单价子目计量。总价子目计量方法按专用合同条款第17.1.5项总价子目的计量--</w:t>
      </w:r>
      <w:r>
        <w:rPr>
          <w:rFonts w:hint="eastAsia" w:ascii="宋体" w:hAnsi="宋体" w:cs="等线"/>
          <w:highlight w:val="none"/>
          <w:u w:val="single"/>
        </w:rPr>
        <w:t>按实际完成工程量计量</w:t>
      </w:r>
      <w:r>
        <w:rPr>
          <w:rFonts w:hint="eastAsia" w:ascii="宋体" w:hAnsi="宋体" w:cs="等线"/>
          <w:highlight w:val="none"/>
        </w:rPr>
        <w:t>（支付分解报告/按实际完成工程量计量）。</w:t>
      </w:r>
    </w:p>
    <w:p w14:paraId="3BAF3B46">
      <w:pPr>
        <w:spacing w:line="360" w:lineRule="auto"/>
        <w:ind w:firstLine="420" w:firstLineChars="200"/>
        <w:rPr>
          <w:rFonts w:hint="eastAsia" w:ascii="宋体" w:hAnsi="宋体" w:cs="等线"/>
          <w:highlight w:val="none"/>
        </w:rPr>
      </w:pPr>
      <w:r>
        <w:rPr>
          <w:rFonts w:hint="eastAsia" w:ascii="宋体" w:hAnsi="宋体" w:cs="等线"/>
          <w:highlight w:val="none"/>
        </w:rPr>
        <w:t>17.1.5 总价子目的计量—支付分解报告</w:t>
      </w:r>
    </w:p>
    <w:p w14:paraId="5D11E3CC">
      <w:pPr>
        <w:spacing w:line="360" w:lineRule="auto"/>
        <w:ind w:firstLine="420" w:firstLineChars="200"/>
        <w:rPr>
          <w:rFonts w:hint="eastAsia" w:ascii="宋体" w:hAnsi="宋体" w:cs="等线"/>
          <w:highlight w:val="none"/>
        </w:rPr>
      </w:pPr>
      <w:r>
        <w:rPr>
          <w:rFonts w:hint="eastAsia" w:ascii="宋体" w:hAnsi="宋体" w:cs="等线"/>
          <w:highlight w:val="none"/>
        </w:rPr>
        <w:t>总价子目按照有合同约束力的支付分解表支付。承包人应根据合同条款第10条约定的合同进度计划和总价子目的总价构成、费用性质、计划发生时间和相应工作量等因素对各个总价子目的总价按月进行分解，形成支付分解报告。承包人应当在收到经过监理人批复的合同进度计划后7天内，将支付分解报告以及形成支付分解报告的分项计量和总价分解等支持性资料报监理人审批，监理人应当在收到承包人报送的支付分解报告后7天内给予批复或提出修改意见，经监理人批准的支付分解报告为有合同约束力的支付分解表。支付分解表应根据合同条款第10.2款约定的修订合同进度计划进行修正，修正的程序和期限应当依照本项上述约定，经修正的支付分解表为有合同约束力的支付分解表。</w:t>
      </w:r>
    </w:p>
    <w:p w14:paraId="3765612C">
      <w:pPr>
        <w:spacing w:line="360" w:lineRule="auto"/>
        <w:ind w:firstLine="420" w:firstLineChars="200"/>
        <w:rPr>
          <w:rFonts w:hint="eastAsia" w:ascii="宋体" w:hAnsi="宋体" w:cs="等线"/>
          <w:highlight w:val="none"/>
        </w:rPr>
      </w:pPr>
      <w:r>
        <w:rPr>
          <w:rFonts w:hint="eastAsia" w:ascii="宋体" w:hAnsi="宋体" w:cs="等线"/>
          <w:highlight w:val="none"/>
        </w:rPr>
        <w:t>（1）总价子目的价格调整方法：</w:t>
      </w:r>
      <w:r>
        <w:rPr>
          <w:rFonts w:hint="eastAsia" w:ascii="宋体" w:hAnsi="宋体" w:cs="等线"/>
          <w:highlight w:val="none"/>
          <w:u w:val="single"/>
        </w:rPr>
        <w:t xml:space="preserve"> /  </w:t>
      </w:r>
      <w:r>
        <w:rPr>
          <w:rFonts w:hint="eastAsia" w:ascii="宋体" w:hAnsi="宋体" w:cs="等线"/>
          <w:highlight w:val="none"/>
        </w:rPr>
        <w:t>。</w:t>
      </w:r>
    </w:p>
    <w:p w14:paraId="4F23A5A4">
      <w:pPr>
        <w:spacing w:line="360" w:lineRule="auto"/>
        <w:ind w:firstLine="420" w:firstLineChars="200"/>
        <w:rPr>
          <w:rFonts w:hint="eastAsia" w:ascii="宋体" w:hAnsi="宋体" w:cs="等线"/>
          <w:highlight w:val="none"/>
        </w:rPr>
      </w:pPr>
      <w:r>
        <w:rPr>
          <w:rFonts w:hint="eastAsia" w:ascii="宋体" w:hAnsi="宋体" w:cs="等线"/>
          <w:highlight w:val="none"/>
        </w:rPr>
        <w:t>（2）列入每月进度付款申请单中各总价子目的价值为有合同约束力的支付分解表中对应月份的总价子目总价值。</w:t>
      </w:r>
    </w:p>
    <w:p w14:paraId="1ED4850E">
      <w:pPr>
        <w:spacing w:line="360" w:lineRule="auto"/>
        <w:ind w:firstLine="420" w:firstLineChars="200"/>
        <w:rPr>
          <w:rFonts w:hint="eastAsia" w:ascii="宋体" w:hAnsi="宋体" w:cs="等线"/>
          <w:highlight w:val="none"/>
        </w:rPr>
      </w:pPr>
      <w:r>
        <w:rPr>
          <w:rFonts w:hint="eastAsia" w:ascii="宋体" w:hAnsi="宋体" w:cs="等线"/>
          <w:highlight w:val="none"/>
        </w:rPr>
        <w:t>（3）监理人根据有合同约束力的支付分解表复核列入每月进度付款申请单中的总价子目的总价值。</w:t>
      </w:r>
    </w:p>
    <w:p w14:paraId="31A507A5">
      <w:pPr>
        <w:spacing w:line="360" w:lineRule="auto"/>
        <w:ind w:firstLine="420" w:firstLineChars="200"/>
        <w:rPr>
          <w:rFonts w:hint="eastAsia" w:ascii="宋体" w:hAnsi="宋体" w:cs="等线"/>
          <w:highlight w:val="none"/>
        </w:rPr>
      </w:pPr>
      <w:r>
        <w:rPr>
          <w:rFonts w:hint="eastAsia" w:ascii="宋体" w:hAnsi="宋体" w:cs="等线"/>
          <w:highlight w:val="none"/>
        </w:rPr>
        <w:t>（4）除按照第15条约定的变更外，在竣工结算时总价子目的工程量不应当重新计量，签约合同价所基于的工程量即是用于竣工结算的最终工程量。</w:t>
      </w:r>
    </w:p>
    <w:p w14:paraId="5DC322C0">
      <w:pPr>
        <w:spacing w:line="360" w:lineRule="auto"/>
        <w:ind w:firstLine="420" w:firstLineChars="200"/>
        <w:rPr>
          <w:rFonts w:hint="eastAsia" w:ascii="宋体" w:hAnsi="宋体" w:cs="等线"/>
          <w:highlight w:val="none"/>
        </w:rPr>
      </w:pPr>
      <w:r>
        <w:rPr>
          <w:rFonts w:hint="eastAsia" w:ascii="宋体" w:hAnsi="宋体" w:cs="等线"/>
          <w:highlight w:val="none"/>
        </w:rPr>
        <w:t>17.1.5 总价子目的计量--按实际完成工程量计量</w:t>
      </w:r>
    </w:p>
    <w:p w14:paraId="0506BA31">
      <w:pPr>
        <w:spacing w:line="360" w:lineRule="auto"/>
        <w:ind w:firstLine="420" w:firstLineChars="200"/>
        <w:rPr>
          <w:rFonts w:hint="eastAsia" w:ascii="宋体" w:hAnsi="宋体" w:cs="等线"/>
          <w:highlight w:val="none"/>
        </w:rPr>
      </w:pPr>
      <w:r>
        <w:rPr>
          <w:rFonts w:hint="eastAsia" w:ascii="宋体" w:hAnsi="宋体" w:cs="等线"/>
          <w:highlight w:val="none"/>
        </w:rPr>
        <w:t>（1）总价子目的价格调整方法：</w:t>
      </w:r>
      <w:r>
        <w:rPr>
          <w:rFonts w:hint="eastAsia" w:ascii="宋体" w:hAnsi="宋体" w:cs="等线"/>
          <w:highlight w:val="none"/>
          <w:u w:val="single"/>
        </w:rPr>
        <w:t>因非承包人原因引起已标价工程量清单中某个子目工程量变化，且承包人或监理人认为该变化引起相关措施项目发生变化的，承包人或监理人要求承包人针对措施项目的变化提交施工调整方案及价格调整报告，监理人批准后确定需调整的措施项目价款</w:t>
      </w:r>
      <w:r>
        <w:rPr>
          <w:rFonts w:hint="eastAsia" w:ascii="宋体" w:hAnsi="宋体" w:cs="等线"/>
          <w:highlight w:val="none"/>
        </w:rPr>
        <w:t>。总价子目的计量和支付应以总价为基础，对承包人实际完成的工程量进行计量，是进行工程目标管理和控制进度款支付的依据。</w:t>
      </w:r>
    </w:p>
    <w:p w14:paraId="42E67022">
      <w:pPr>
        <w:spacing w:line="360" w:lineRule="auto"/>
        <w:ind w:firstLine="420" w:firstLineChars="200"/>
        <w:rPr>
          <w:rFonts w:hint="eastAsia" w:ascii="宋体" w:hAnsi="宋体" w:cs="等线"/>
          <w:highlight w:val="none"/>
        </w:rPr>
      </w:pPr>
      <w:r>
        <w:rPr>
          <w:rFonts w:hint="eastAsia" w:ascii="宋体" w:hAnsi="宋体" w:cs="等线"/>
          <w:highlight w:val="none"/>
        </w:rPr>
        <w:t>（2）承包人在专用合同条款第17.1.3（1）目约定的每月计量截止日期后，对已完成的分部分项工程和单价措施项目的子目，按照专用合同条款第17.1.2项约定的计量方法进行计量，对已完成的总价措施项目的相关子目，按其总价构成、费用性质和实际发生比例进行计量，向监理人提交进度付款申请单、已完成工程量报表和有关计量资料。</w:t>
      </w:r>
    </w:p>
    <w:p w14:paraId="5EC925AB">
      <w:pPr>
        <w:spacing w:line="360" w:lineRule="auto"/>
        <w:ind w:firstLine="420" w:firstLineChars="200"/>
        <w:rPr>
          <w:rFonts w:hint="eastAsia" w:ascii="宋体" w:hAnsi="宋体" w:cs="等线"/>
          <w:highlight w:val="none"/>
        </w:rPr>
      </w:pPr>
      <w:r>
        <w:rPr>
          <w:rFonts w:hint="eastAsia" w:ascii="宋体" w:hAnsi="宋体" w:cs="等线"/>
          <w:highlight w:val="none"/>
        </w:rPr>
        <w:t>（3）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14:paraId="6F7A2BB1">
      <w:pPr>
        <w:spacing w:line="360" w:lineRule="auto"/>
        <w:ind w:firstLine="420" w:firstLineChars="200"/>
        <w:rPr>
          <w:rFonts w:hint="eastAsia" w:ascii="宋体" w:hAnsi="宋体" w:cs="等线"/>
          <w:highlight w:val="none"/>
        </w:rPr>
      </w:pPr>
      <w:r>
        <w:rPr>
          <w:rFonts w:hint="eastAsia" w:ascii="宋体" w:hAnsi="宋体" w:cs="等线"/>
          <w:highlight w:val="none"/>
        </w:rPr>
        <w:t>（4）监理人应在收到承包人提交的工程量报表后的7天内进行复核，监理人未在约定时间内复核的，承包人提交的工程量报表中的工程量视为承包人实际完成的工程量，据此计算工程价款。</w:t>
      </w:r>
    </w:p>
    <w:p w14:paraId="13E917DE">
      <w:pPr>
        <w:spacing w:line="360" w:lineRule="auto"/>
        <w:ind w:firstLine="420" w:firstLineChars="200"/>
        <w:rPr>
          <w:rFonts w:hint="eastAsia" w:ascii="宋体" w:hAnsi="宋体" w:cs="等线"/>
          <w:highlight w:val="none"/>
        </w:rPr>
      </w:pPr>
      <w:r>
        <w:rPr>
          <w:rFonts w:hint="eastAsia" w:ascii="宋体" w:hAnsi="宋体" w:cs="等线"/>
          <w:highlight w:val="none"/>
        </w:rPr>
        <w:t>（5）除按照第15条约定的变更外，在竣工结算时总价子目的工程量不应当重新计量，签约合同价所基于的工程量即是用于竣工结算的最终工程量。</w:t>
      </w:r>
    </w:p>
    <w:p w14:paraId="288451BA">
      <w:pPr>
        <w:keepNext/>
        <w:keepLines/>
        <w:spacing w:line="360" w:lineRule="auto"/>
        <w:outlineLvl w:val="2"/>
        <w:rPr>
          <w:rFonts w:hint="eastAsia" w:ascii="宋体" w:hAnsi="宋体" w:cs="等线"/>
          <w:sz w:val="24"/>
          <w:highlight w:val="none"/>
        </w:rPr>
      </w:pPr>
      <w:bookmarkStart w:id="1726" w:name="_Toc159950832"/>
      <w:bookmarkStart w:id="1727" w:name="_Toc20943"/>
      <w:bookmarkStart w:id="1728" w:name="_Toc38732213"/>
      <w:r>
        <w:rPr>
          <w:rFonts w:hint="eastAsia" w:ascii="宋体" w:hAnsi="宋体" w:cs="等线"/>
          <w:sz w:val="24"/>
          <w:highlight w:val="none"/>
        </w:rPr>
        <w:t>17.2 预付款</w:t>
      </w:r>
      <w:bookmarkEnd w:id="1726"/>
      <w:bookmarkEnd w:id="1727"/>
      <w:bookmarkEnd w:id="1728"/>
    </w:p>
    <w:p w14:paraId="5B622B69">
      <w:pPr>
        <w:spacing w:line="360" w:lineRule="auto"/>
        <w:ind w:firstLine="420" w:firstLineChars="200"/>
        <w:rPr>
          <w:rFonts w:hint="eastAsia" w:ascii="宋体" w:hAnsi="宋体" w:cs="等线"/>
          <w:highlight w:val="none"/>
        </w:rPr>
      </w:pPr>
      <w:r>
        <w:rPr>
          <w:rFonts w:hint="eastAsia" w:ascii="宋体" w:hAnsi="宋体" w:cs="等线"/>
          <w:highlight w:val="none"/>
        </w:rPr>
        <w:t>17.2.1 预付款</w:t>
      </w:r>
    </w:p>
    <w:p w14:paraId="6876DA45">
      <w:pPr>
        <w:spacing w:line="360" w:lineRule="auto"/>
        <w:ind w:firstLine="420" w:firstLineChars="200"/>
        <w:rPr>
          <w:rFonts w:hint="eastAsia" w:ascii="宋体" w:hAnsi="宋体" w:cs="等线"/>
          <w:highlight w:val="none"/>
        </w:rPr>
      </w:pPr>
      <w:r>
        <w:rPr>
          <w:rFonts w:hint="eastAsia" w:ascii="宋体" w:hAnsi="宋体" w:cs="等线"/>
          <w:highlight w:val="none"/>
        </w:rPr>
        <w:t>（1）预付款额度</w:t>
      </w:r>
    </w:p>
    <w:p w14:paraId="51AC2913">
      <w:pPr>
        <w:spacing w:line="360" w:lineRule="auto"/>
        <w:ind w:firstLine="420" w:firstLineChars="200"/>
        <w:rPr>
          <w:rFonts w:hint="eastAsia" w:ascii="宋体" w:hAnsi="宋体" w:cs="等线"/>
          <w:highlight w:val="none"/>
        </w:rPr>
      </w:pPr>
      <w:r>
        <w:rPr>
          <w:rFonts w:hint="eastAsia" w:ascii="宋体" w:hAnsi="宋体" w:cs="等线"/>
          <w:highlight w:val="none"/>
        </w:rPr>
        <w:t>预付款额度：</w:t>
      </w:r>
      <w:r>
        <w:rPr>
          <w:rFonts w:hint="eastAsia" w:ascii="宋体" w:hAnsi="宋体" w:cs="等线"/>
          <w:highlight w:val="none"/>
          <w:u w:val="single"/>
        </w:rPr>
        <w:t>合同额扣除暂列金（含税）后的30%</w:t>
      </w:r>
    </w:p>
    <w:p w14:paraId="432F0689">
      <w:pPr>
        <w:spacing w:line="360" w:lineRule="auto"/>
        <w:ind w:firstLine="420" w:firstLineChars="200"/>
        <w:rPr>
          <w:rFonts w:hint="eastAsia" w:ascii="宋体" w:hAnsi="宋体" w:cs="等线"/>
          <w:highlight w:val="none"/>
        </w:rPr>
      </w:pPr>
      <w:r>
        <w:rPr>
          <w:rFonts w:hint="eastAsia" w:ascii="宋体" w:hAnsi="宋体" w:cs="等线"/>
          <w:highlight w:val="none"/>
        </w:rPr>
        <w:t xml:space="preserve">其中包含： </w:t>
      </w:r>
    </w:p>
    <w:p w14:paraId="203E88C4">
      <w:pPr>
        <w:spacing w:line="360" w:lineRule="auto"/>
        <w:ind w:firstLine="420" w:firstLineChars="200"/>
        <w:rPr>
          <w:rFonts w:hint="eastAsia" w:ascii="宋体" w:hAnsi="宋体" w:cs="等线"/>
          <w:highlight w:val="none"/>
        </w:rPr>
      </w:pPr>
      <w:r>
        <w:rPr>
          <w:rFonts w:hint="eastAsia" w:ascii="宋体" w:hAnsi="宋体" w:cs="等线"/>
          <w:highlight w:val="none"/>
        </w:rPr>
        <w:t>安全文明施工费用预付额度：100%，其余按照施工进度支付。</w:t>
      </w:r>
    </w:p>
    <w:p w14:paraId="52EE502E">
      <w:pPr>
        <w:spacing w:line="360" w:lineRule="auto"/>
        <w:ind w:firstLine="420" w:firstLineChars="200"/>
        <w:rPr>
          <w:rFonts w:hint="eastAsia" w:ascii="宋体" w:hAnsi="宋体" w:cs="等线"/>
          <w:highlight w:val="none"/>
        </w:rPr>
      </w:pPr>
      <w:r>
        <w:rPr>
          <w:rFonts w:hint="eastAsia" w:ascii="宋体" w:hAnsi="宋体" w:cs="等线"/>
          <w:highlight w:val="none"/>
        </w:rPr>
        <w:t xml:space="preserve">其他预付款额度： 农民工工伤保险费额度100%    </w:t>
      </w:r>
    </w:p>
    <w:p w14:paraId="38FFD667">
      <w:pPr>
        <w:spacing w:line="360" w:lineRule="auto"/>
        <w:ind w:firstLine="420" w:firstLineChars="200"/>
        <w:rPr>
          <w:rFonts w:hint="eastAsia" w:ascii="宋体" w:hAnsi="宋体" w:cs="等线"/>
          <w:highlight w:val="none"/>
        </w:rPr>
      </w:pPr>
      <w:r>
        <w:rPr>
          <w:rFonts w:hint="eastAsia" w:ascii="宋体" w:hAnsi="宋体" w:cs="等线"/>
          <w:highlight w:val="none"/>
        </w:rPr>
        <w:t>预付款预付办法：</w:t>
      </w:r>
      <w:r>
        <w:rPr>
          <w:rFonts w:hint="eastAsia" w:ascii="宋体" w:hAnsi="宋体" w:cs="等线"/>
          <w:highlight w:val="none"/>
          <w:u w:val="single"/>
        </w:rPr>
        <w:t>发包人一次性向承包人支付预付款</w:t>
      </w:r>
      <w:r>
        <w:rPr>
          <w:rFonts w:hint="eastAsia" w:ascii="宋体" w:hAnsi="宋体" w:cs="等线"/>
          <w:highlight w:val="none"/>
        </w:rPr>
        <w:t xml:space="preserve">。                           </w:t>
      </w:r>
    </w:p>
    <w:p w14:paraId="557F0F88">
      <w:pPr>
        <w:spacing w:line="360" w:lineRule="auto"/>
        <w:ind w:firstLine="420" w:firstLineChars="200"/>
        <w:rPr>
          <w:rFonts w:hint="eastAsia" w:ascii="宋体" w:hAnsi="宋体" w:cs="等线"/>
          <w:highlight w:val="none"/>
        </w:rPr>
      </w:pPr>
      <w:r>
        <w:rPr>
          <w:rFonts w:hint="eastAsia" w:ascii="宋体" w:hAnsi="宋体" w:cs="等线"/>
          <w:highlight w:val="none"/>
        </w:rPr>
        <w:t>预付款的支付时间：</w:t>
      </w:r>
      <w:r>
        <w:rPr>
          <w:rFonts w:hint="eastAsia" w:ascii="宋体" w:hAnsi="宋体" w:cs="等线"/>
          <w:highlight w:val="none"/>
          <w:u w:val="single"/>
        </w:rPr>
        <w:t>合同签订生效，且发包人收到承包人开具的相应金额的发票后7天内</w:t>
      </w:r>
      <w:r>
        <w:rPr>
          <w:rFonts w:hint="eastAsia" w:ascii="宋体" w:hAnsi="宋体" w:cs="等线"/>
          <w:highlight w:val="none"/>
        </w:rPr>
        <w:t>。</w:t>
      </w:r>
    </w:p>
    <w:p w14:paraId="693A1E23">
      <w:pPr>
        <w:spacing w:line="360" w:lineRule="auto"/>
        <w:ind w:firstLine="420" w:firstLineChars="200"/>
        <w:rPr>
          <w:rFonts w:hint="eastAsia" w:ascii="宋体" w:hAnsi="宋体" w:cs="等线"/>
          <w:highlight w:val="none"/>
        </w:rPr>
      </w:pPr>
      <w:r>
        <w:rPr>
          <w:rFonts w:hint="eastAsia" w:ascii="宋体" w:hAnsi="宋体" w:cs="等线"/>
          <w:highlight w:val="none"/>
        </w:rPr>
        <w:t>17.2.2 预付款保函</w:t>
      </w:r>
    </w:p>
    <w:p w14:paraId="61F3F12D">
      <w:pPr>
        <w:spacing w:line="360" w:lineRule="auto"/>
        <w:ind w:firstLine="420" w:firstLineChars="200"/>
        <w:rPr>
          <w:rFonts w:hint="eastAsia" w:ascii="宋体" w:hAnsi="宋体" w:cs="等线"/>
          <w:highlight w:val="none"/>
          <w:u w:val="single"/>
        </w:rPr>
      </w:pPr>
      <w:r>
        <w:rPr>
          <w:rFonts w:hint="eastAsia" w:ascii="宋体" w:hAnsi="宋体" w:cs="等线"/>
          <w:highlight w:val="none"/>
        </w:rPr>
        <w:t>预付款保函的金额与预付款金额相同。预付款保函的提交时间：</w:t>
      </w:r>
      <w:r>
        <w:rPr>
          <w:rFonts w:hint="eastAsia" w:ascii="宋体" w:hAnsi="宋体" w:cs="等线"/>
          <w:highlight w:val="none"/>
          <w:u w:val="single"/>
        </w:rPr>
        <w:t xml:space="preserve">        /       </w:t>
      </w:r>
      <w:r>
        <w:rPr>
          <w:rFonts w:hint="eastAsia" w:ascii="宋体" w:hAnsi="宋体" w:cs="等线"/>
          <w:highlight w:val="none"/>
        </w:rPr>
        <w:t>。</w:t>
      </w:r>
    </w:p>
    <w:p w14:paraId="440BF5B6">
      <w:pPr>
        <w:keepNext/>
        <w:keepLines/>
        <w:spacing w:line="360" w:lineRule="auto"/>
        <w:outlineLvl w:val="2"/>
        <w:rPr>
          <w:rFonts w:hint="eastAsia" w:ascii="宋体" w:hAnsi="宋体" w:cs="等线"/>
          <w:sz w:val="24"/>
          <w:highlight w:val="none"/>
        </w:rPr>
      </w:pPr>
      <w:bookmarkStart w:id="1729" w:name="_Toc22612"/>
      <w:bookmarkStart w:id="1730" w:name="_Toc38732214"/>
      <w:bookmarkStart w:id="1731" w:name="_Toc159950833"/>
      <w:r>
        <w:rPr>
          <w:rFonts w:hint="eastAsia" w:ascii="宋体" w:hAnsi="宋体" w:cs="等线"/>
          <w:sz w:val="24"/>
          <w:highlight w:val="none"/>
        </w:rPr>
        <w:t>17.3 工程进度付款</w:t>
      </w:r>
      <w:bookmarkEnd w:id="1729"/>
      <w:bookmarkEnd w:id="1730"/>
      <w:bookmarkEnd w:id="1731"/>
    </w:p>
    <w:p w14:paraId="1F3183E1">
      <w:pPr>
        <w:spacing w:line="360" w:lineRule="auto"/>
        <w:ind w:firstLine="420" w:firstLineChars="200"/>
        <w:rPr>
          <w:rFonts w:hint="eastAsia" w:ascii="宋体" w:hAnsi="宋体" w:cs="等线"/>
          <w:highlight w:val="none"/>
        </w:rPr>
      </w:pPr>
      <w:r>
        <w:rPr>
          <w:rFonts w:hint="eastAsia" w:ascii="宋体" w:hAnsi="宋体" w:cs="等线"/>
          <w:highlight w:val="none"/>
        </w:rPr>
        <w:t>17.3.1进度付款申请单</w:t>
      </w:r>
    </w:p>
    <w:p w14:paraId="2B1D6AC6">
      <w:pPr>
        <w:spacing w:line="360" w:lineRule="auto"/>
        <w:ind w:firstLine="420" w:firstLineChars="200"/>
        <w:rPr>
          <w:rFonts w:hint="eastAsia" w:ascii="宋体" w:hAnsi="宋体" w:cs="等线"/>
          <w:szCs w:val="21"/>
          <w:highlight w:val="none"/>
        </w:rPr>
      </w:pPr>
      <w:r>
        <w:rPr>
          <w:rFonts w:hint="eastAsia" w:ascii="宋体" w:hAnsi="宋体" w:cs="等线"/>
          <w:szCs w:val="21"/>
          <w:highlight w:val="none"/>
        </w:rPr>
        <w:t>进度付款申请单的份数：</w:t>
      </w:r>
      <w:r>
        <w:rPr>
          <w:rFonts w:hint="eastAsia" w:ascii="宋体" w:hAnsi="宋体" w:cs="等线"/>
          <w:szCs w:val="21"/>
          <w:highlight w:val="none"/>
          <w:u w:val="single"/>
        </w:rPr>
        <w:t>/</w:t>
      </w:r>
      <w:r>
        <w:rPr>
          <w:rFonts w:hint="eastAsia" w:ascii="宋体" w:hAnsi="宋体" w:cs="等线"/>
          <w:szCs w:val="21"/>
          <w:highlight w:val="none"/>
        </w:rPr>
        <w:t>。</w:t>
      </w:r>
    </w:p>
    <w:p w14:paraId="46D5BECC">
      <w:pPr>
        <w:spacing w:line="360" w:lineRule="auto"/>
        <w:ind w:firstLine="420" w:firstLineChars="200"/>
        <w:rPr>
          <w:rFonts w:hint="eastAsia" w:ascii="宋体" w:hAnsi="宋体" w:cs="等线"/>
          <w:szCs w:val="21"/>
          <w:highlight w:val="none"/>
          <w:u w:val="single"/>
        </w:rPr>
      </w:pPr>
      <w:r>
        <w:rPr>
          <w:rFonts w:hint="eastAsia" w:ascii="宋体" w:hAnsi="宋体" w:cs="等线"/>
          <w:szCs w:val="21"/>
          <w:highlight w:val="none"/>
        </w:rPr>
        <w:t>进度付款申请单的内容：</w:t>
      </w:r>
      <w:r>
        <w:rPr>
          <w:rFonts w:hint="eastAsia" w:ascii="宋体" w:hAnsi="宋体" w:cs="等线"/>
          <w:szCs w:val="21"/>
          <w:highlight w:val="none"/>
          <w:u w:val="single"/>
        </w:rPr>
        <w:t>/</w:t>
      </w:r>
      <w:r>
        <w:rPr>
          <w:rFonts w:hint="eastAsia" w:ascii="宋体" w:hAnsi="宋体" w:cs="等线"/>
          <w:szCs w:val="21"/>
          <w:highlight w:val="none"/>
        </w:rPr>
        <w:t xml:space="preserve">。 </w:t>
      </w:r>
    </w:p>
    <w:p w14:paraId="6F54CD53">
      <w:pPr>
        <w:spacing w:line="360" w:lineRule="auto"/>
        <w:ind w:firstLine="420" w:firstLineChars="200"/>
        <w:rPr>
          <w:rFonts w:hint="eastAsia" w:ascii="宋体" w:hAnsi="宋体" w:cs="等线"/>
          <w:szCs w:val="21"/>
          <w:highlight w:val="none"/>
        </w:rPr>
      </w:pPr>
      <w:r>
        <w:rPr>
          <w:rFonts w:hint="eastAsia" w:ascii="宋体" w:hAnsi="宋体" w:cs="等线"/>
          <w:szCs w:val="21"/>
          <w:highlight w:val="none"/>
        </w:rPr>
        <w:t>17.3.2进度付款证书和支付时间：</w:t>
      </w:r>
      <w:r>
        <w:rPr>
          <w:rFonts w:hint="eastAsia" w:ascii="宋体" w:hAnsi="宋体" w:cs="等线"/>
          <w:szCs w:val="21"/>
          <w:highlight w:val="none"/>
          <w:u w:val="single"/>
        </w:rPr>
        <w:t>/。</w:t>
      </w:r>
    </w:p>
    <w:p w14:paraId="5FF0CA8A">
      <w:pPr>
        <w:spacing w:line="360" w:lineRule="auto"/>
        <w:ind w:firstLine="420" w:firstLineChars="200"/>
        <w:rPr>
          <w:rFonts w:hint="eastAsia" w:ascii="宋体" w:hAnsi="宋体" w:cs="等线"/>
          <w:szCs w:val="21"/>
          <w:highlight w:val="none"/>
        </w:rPr>
      </w:pPr>
      <w:r>
        <w:rPr>
          <w:rFonts w:hint="eastAsia" w:ascii="宋体" w:hAnsi="宋体" w:cs="等线"/>
          <w:szCs w:val="21"/>
          <w:highlight w:val="none"/>
        </w:rPr>
        <w:t>逾期付款违约金的计算标准为：</w:t>
      </w:r>
      <w:r>
        <w:rPr>
          <w:rFonts w:hint="eastAsia" w:ascii="宋体" w:hAnsi="宋体" w:cs="等线"/>
          <w:szCs w:val="21"/>
          <w:highlight w:val="none"/>
          <w:u w:val="single"/>
        </w:rPr>
        <w:t xml:space="preserve"> /                  </w:t>
      </w:r>
      <w:r>
        <w:rPr>
          <w:rFonts w:hint="eastAsia" w:ascii="宋体" w:hAnsi="宋体" w:cs="等线"/>
          <w:szCs w:val="21"/>
          <w:highlight w:val="none"/>
        </w:rPr>
        <w:t>。</w:t>
      </w:r>
    </w:p>
    <w:p w14:paraId="3BF2FEBB">
      <w:pPr>
        <w:spacing w:line="360" w:lineRule="auto"/>
        <w:ind w:firstLine="420" w:firstLineChars="200"/>
        <w:rPr>
          <w:rFonts w:hint="eastAsia" w:ascii="宋体" w:hAnsi="宋体" w:cs="等线"/>
          <w:szCs w:val="21"/>
          <w:highlight w:val="none"/>
          <w:u w:val="single"/>
        </w:rPr>
      </w:pPr>
      <w:r>
        <w:rPr>
          <w:rFonts w:hint="eastAsia" w:ascii="宋体" w:hAnsi="宋体" w:cs="等线"/>
          <w:szCs w:val="21"/>
          <w:highlight w:val="none"/>
        </w:rPr>
        <w:t>逾期付款违约金的计算方法为：</w:t>
      </w:r>
      <w:r>
        <w:rPr>
          <w:rFonts w:hint="eastAsia" w:ascii="宋体" w:hAnsi="宋体" w:cs="等线"/>
          <w:szCs w:val="21"/>
          <w:highlight w:val="none"/>
          <w:u w:val="single"/>
        </w:rPr>
        <w:t xml:space="preserve">  /                  </w:t>
      </w:r>
      <w:r>
        <w:rPr>
          <w:rFonts w:hint="eastAsia" w:ascii="宋体" w:hAnsi="宋体" w:cs="等线"/>
          <w:szCs w:val="21"/>
          <w:highlight w:val="none"/>
        </w:rPr>
        <w:t>。</w:t>
      </w:r>
    </w:p>
    <w:p w14:paraId="08E1FEA8">
      <w:pPr>
        <w:spacing w:line="360" w:lineRule="auto"/>
        <w:ind w:firstLine="420" w:firstLineChars="200"/>
        <w:rPr>
          <w:rFonts w:hint="eastAsia" w:ascii="宋体" w:hAnsi="宋体" w:cs="等线"/>
          <w:szCs w:val="21"/>
          <w:highlight w:val="none"/>
          <w:u w:val="single"/>
        </w:rPr>
      </w:pPr>
      <w:bookmarkStart w:id="1732" w:name="_Hlk233273745"/>
      <w:r>
        <w:rPr>
          <w:rFonts w:hint="eastAsia" w:ascii="宋体" w:hAnsi="宋体" w:cs="等线"/>
          <w:szCs w:val="21"/>
          <w:highlight w:val="none"/>
        </w:rPr>
        <w:t>17.3.3进度付款涉及政府性资金的支付方法：</w:t>
      </w:r>
      <w:r>
        <w:rPr>
          <w:rFonts w:hint="eastAsia" w:ascii="宋体" w:hAnsi="宋体" w:cs="等线"/>
          <w:szCs w:val="21"/>
          <w:highlight w:val="none"/>
          <w:u w:val="single"/>
        </w:rPr>
        <w:t>执行财政部国库集中支付的相关规定：由于项目建设资金属于财政性资金，付款时间必须遵循本项目财政拨款到校时间为准，工程款（包括工程预付款、工程进度款、工程结算款、工程质保金等）支付时间受建设资金到位时限的限制，项目发包人按照上述约定及流程办理工程款支付审核应视为项目发包人按合同约定支付工程款，履行了工程款支付义务。</w:t>
      </w:r>
    </w:p>
    <w:p w14:paraId="60F31B1E">
      <w:pPr>
        <w:spacing w:line="360" w:lineRule="auto"/>
        <w:ind w:firstLine="420" w:firstLineChars="200"/>
        <w:rPr>
          <w:szCs w:val="21"/>
          <w:highlight w:val="none"/>
        </w:rPr>
      </w:pPr>
      <w:r>
        <w:rPr>
          <w:rFonts w:hint="eastAsia" w:ascii="宋体" w:hAnsi="宋体" w:cs="等线"/>
          <w:szCs w:val="21"/>
          <w:highlight w:val="none"/>
        </w:rPr>
        <w:t>17.3.4工程进度款支付比例：预付款30%（扣除暂列金）；工程竣工验收后，经监理和发包人确认后，发包人支付工程进度款至合同总金额（扣除暂列金）的80%；审计单位审计后14日内，支付至工程价款结算总额的100%。同时承包人需向甲方支付工程结算价款总额3%的作为工程质量保证金。</w:t>
      </w:r>
    </w:p>
    <w:p w14:paraId="738047AB">
      <w:pPr>
        <w:widowControl/>
        <w:spacing w:line="360" w:lineRule="auto"/>
        <w:jc w:val="left"/>
        <w:rPr>
          <w:rFonts w:hint="eastAsia" w:ascii="宋体" w:hAnsi="宋体" w:cs="等线"/>
          <w:szCs w:val="21"/>
          <w:highlight w:val="none"/>
        </w:rPr>
      </w:pPr>
      <w:r>
        <w:rPr>
          <w:rFonts w:hint="eastAsia" w:ascii="宋体" w:hAnsi="宋体" w:cs="等线"/>
          <w:szCs w:val="21"/>
          <w:highlight w:val="none"/>
        </w:rPr>
        <w:t xml:space="preserve">    建设单位资金来源为财政性资金，由于资金按年度分批拨付等特殊原因，工程款支付可能会有延迟（跨年支付），对此，承包人应有充分的认识，建设单位不因此承担违约责任。</w:t>
      </w:r>
      <w:bookmarkEnd w:id="1732"/>
    </w:p>
    <w:p w14:paraId="69643A0E">
      <w:pPr>
        <w:widowControl/>
        <w:spacing w:line="360" w:lineRule="auto"/>
        <w:jc w:val="left"/>
        <w:rPr>
          <w:rFonts w:hint="eastAsia" w:ascii="宋体" w:hAnsi="宋体" w:cs="宋体"/>
          <w:kern w:val="0"/>
          <w:szCs w:val="21"/>
          <w:highlight w:val="none"/>
        </w:rPr>
      </w:pPr>
      <w:r>
        <w:rPr>
          <w:rFonts w:hint="eastAsia" w:ascii="宋体" w:hAnsi="宋体" w:cs="等线"/>
          <w:szCs w:val="21"/>
          <w:highlight w:val="none"/>
        </w:rPr>
        <w:t xml:space="preserve">    </w:t>
      </w:r>
      <w:r>
        <w:rPr>
          <w:rFonts w:hint="eastAsia" w:ascii="宋体" w:hAnsi="宋体" w:cs="宋体"/>
          <w:kern w:val="0"/>
          <w:szCs w:val="21"/>
          <w:highlight w:val="none"/>
        </w:rPr>
        <w:t>鉴于本工程是财政资金项目，应遵从相关财务管理规定。施工单位编制结算书，经监理单位、建设单位等各方审核后，最终结算依据第三方中介审计咨询单位审计报告结果意见。</w:t>
      </w:r>
    </w:p>
    <w:p w14:paraId="0DC8742E">
      <w:pPr>
        <w:spacing w:line="360" w:lineRule="auto"/>
        <w:ind w:firstLine="420" w:firstLineChars="200"/>
        <w:rPr>
          <w:rFonts w:hint="eastAsia" w:ascii="宋体" w:hAnsi="宋体" w:cs="等线"/>
          <w:szCs w:val="21"/>
          <w:highlight w:val="none"/>
        </w:rPr>
      </w:pPr>
      <w:r>
        <w:rPr>
          <w:rFonts w:hint="eastAsia" w:ascii="宋体" w:hAnsi="宋体" w:cs="等线"/>
          <w:szCs w:val="21"/>
          <w:highlight w:val="none"/>
        </w:rPr>
        <w:t>17.3.5 临时付款证书</w:t>
      </w:r>
    </w:p>
    <w:p w14:paraId="3BE92EE0">
      <w:pPr>
        <w:spacing w:line="360" w:lineRule="auto"/>
        <w:ind w:firstLine="420" w:firstLineChars="200"/>
        <w:rPr>
          <w:rFonts w:hint="eastAsia" w:ascii="宋体" w:hAnsi="宋体" w:cs="等线"/>
          <w:highlight w:val="none"/>
        </w:rPr>
      </w:pPr>
      <w:r>
        <w:rPr>
          <w:rFonts w:hint="eastAsia" w:ascii="宋体" w:hAnsi="宋体" w:cs="等线"/>
          <w:szCs w:val="21"/>
          <w:highlight w:val="none"/>
        </w:rPr>
        <w:t>在合同约定的期限内，承包人和监理人无法对当期已完工程量和按合同约定应当支付的其他款项达成一致的，监理人应当在收到承包人报送的进度付款申请单等文件后14天内，就承包人没有异议的金额准备一个临时付款证书，报送发包人审查。临时付款证书中应当说明承包人有异议部分的金额及其原因，经发包人签认后，由监理人向承包人出具临时付款证书。发包人应当在监理人收到进度</w:t>
      </w:r>
      <w:r>
        <w:rPr>
          <w:rFonts w:hint="eastAsia" w:ascii="宋体" w:hAnsi="宋体" w:cs="等线"/>
          <w:highlight w:val="none"/>
        </w:rPr>
        <w:t>付款申请单后28天内，将临时付款证书中确定的应付金额支付给承包人。发包人和监理人均不得以任何理由延期支付工程进度付款。</w:t>
      </w:r>
    </w:p>
    <w:p w14:paraId="7EBF5260">
      <w:pPr>
        <w:spacing w:line="360" w:lineRule="auto"/>
        <w:ind w:firstLine="420" w:firstLineChars="200"/>
        <w:rPr>
          <w:rFonts w:hint="eastAsia" w:ascii="宋体" w:hAnsi="宋体" w:cs="等线"/>
          <w:highlight w:val="none"/>
        </w:rPr>
      </w:pPr>
      <w:r>
        <w:rPr>
          <w:rFonts w:hint="eastAsia" w:ascii="宋体" w:hAnsi="宋体" w:cs="等线"/>
          <w:highlight w:val="none"/>
        </w:rPr>
        <w:t>对临时付款证书中列明的承包人有异议部分的金额，承包人应当按照监理人要求，提交进一步的支持性文件和（或）与监理人做进一步共同复核工作，经监理人进一步审核并认可的应付金额，应当按通用合同条款第17.3.4项的约定纳入到下一期进度付款证书中。经过进一步努力，承包人仍有异议的，按合同条款第24条的约定办理。</w:t>
      </w:r>
    </w:p>
    <w:p w14:paraId="1865DEAD">
      <w:pPr>
        <w:spacing w:line="360" w:lineRule="auto"/>
        <w:ind w:firstLine="420" w:firstLineChars="200"/>
        <w:rPr>
          <w:rFonts w:hint="eastAsia" w:ascii="宋体" w:hAnsi="宋体" w:cs="等线"/>
          <w:highlight w:val="none"/>
        </w:rPr>
      </w:pPr>
      <w:r>
        <w:rPr>
          <w:rFonts w:hint="eastAsia" w:ascii="宋体" w:hAnsi="宋体" w:cs="等线"/>
          <w:highlight w:val="none"/>
        </w:rPr>
        <w:t>有异议款项中经监理人进一步审核后认可的或者经过合同条款第24条约定的争议解决方式确定的应付金额，其应付之日为引发异议的进度付款证书的应付之日，承包人有权得到按专用合同条款17.3.3（2）目约定计算的逾期付款违约金。</w:t>
      </w:r>
    </w:p>
    <w:p w14:paraId="2873094E">
      <w:pPr>
        <w:keepNext/>
        <w:keepLines/>
        <w:spacing w:line="360" w:lineRule="auto"/>
        <w:outlineLvl w:val="2"/>
        <w:rPr>
          <w:rFonts w:hint="eastAsia" w:ascii="宋体" w:hAnsi="宋体" w:cs="等线"/>
          <w:sz w:val="24"/>
          <w:highlight w:val="none"/>
        </w:rPr>
      </w:pPr>
      <w:bookmarkStart w:id="1733" w:name="_Toc38732215"/>
      <w:bookmarkStart w:id="1734" w:name="_Toc159950834"/>
      <w:bookmarkStart w:id="1735" w:name="_Toc14058"/>
      <w:r>
        <w:rPr>
          <w:rFonts w:hint="eastAsia" w:ascii="宋体" w:hAnsi="宋体" w:cs="等线"/>
          <w:sz w:val="24"/>
          <w:highlight w:val="none"/>
        </w:rPr>
        <w:t>17.4 质量保证金</w:t>
      </w:r>
      <w:bookmarkEnd w:id="1733"/>
      <w:bookmarkEnd w:id="1734"/>
      <w:bookmarkEnd w:id="1735"/>
    </w:p>
    <w:p w14:paraId="0921E496">
      <w:pPr>
        <w:spacing w:line="360" w:lineRule="auto"/>
        <w:ind w:firstLine="420" w:firstLineChars="200"/>
        <w:rPr>
          <w:rFonts w:hint="eastAsia" w:ascii="宋体" w:hAnsi="宋体" w:cs="等线"/>
          <w:highlight w:val="none"/>
        </w:rPr>
      </w:pPr>
      <w:r>
        <w:rPr>
          <w:rFonts w:hint="eastAsia" w:ascii="宋体" w:hAnsi="宋体" w:cs="等线"/>
          <w:highlight w:val="none"/>
        </w:rPr>
        <w:t>17.4.1质量保证金处理</w:t>
      </w:r>
    </w:p>
    <w:p w14:paraId="55C4911E">
      <w:pPr>
        <w:spacing w:line="360" w:lineRule="auto"/>
        <w:ind w:firstLine="420" w:firstLineChars="200"/>
        <w:rPr>
          <w:rFonts w:hint="eastAsia" w:ascii="宋体" w:hAnsi="宋体" w:cs="等线"/>
          <w:highlight w:val="none"/>
        </w:rPr>
      </w:pPr>
      <w:bookmarkStart w:id="1736" w:name="_Toc1643"/>
      <w:bookmarkStart w:id="1737" w:name="_Toc38732216"/>
      <w:r>
        <w:rPr>
          <w:rFonts w:hint="eastAsia" w:ascii="宋体" w:hAnsi="宋体" w:cs="等线"/>
          <w:highlight w:val="none"/>
        </w:rPr>
        <w:t>（3）质量保证金形式：</w:t>
      </w:r>
      <w:r>
        <w:rPr>
          <w:rFonts w:hint="eastAsia" w:ascii="宋体" w:hAnsi="宋体" w:cs="等线"/>
          <w:highlight w:val="none"/>
          <w:u w:val="single"/>
        </w:rPr>
        <w:t>现金转账。</w:t>
      </w:r>
      <w:r>
        <w:rPr>
          <w:rFonts w:hint="eastAsia" w:ascii="宋体" w:hAnsi="宋体" w:cs="等线"/>
          <w:highlight w:val="none"/>
        </w:rPr>
        <w:t xml:space="preserve">       </w:t>
      </w:r>
    </w:p>
    <w:p w14:paraId="4F9E44CC">
      <w:pPr>
        <w:spacing w:line="360" w:lineRule="auto"/>
        <w:ind w:firstLine="420" w:firstLineChars="200"/>
        <w:rPr>
          <w:rFonts w:hint="eastAsia" w:ascii="宋体" w:hAnsi="宋体" w:cs="等线"/>
          <w:highlight w:val="none"/>
        </w:rPr>
      </w:pPr>
      <w:r>
        <w:rPr>
          <w:rFonts w:hint="eastAsia" w:ascii="宋体" w:hAnsi="宋体" w:cs="等线"/>
          <w:highlight w:val="none"/>
        </w:rPr>
        <w:t>经发包人审核，项目验收完成后，承包人向发包人支付审核工程款的3%作为质量保证金，质保期满后，工程无质量问题，双方无其他争议，发包人无息返还质量保证金。</w:t>
      </w:r>
    </w:p>
    <w:p w14:paraId="6672C30E">
      <w:pPr>
        <w:keepNext/>
        <w:keepLines/>
        <w:spacing w:line="360" w:lineRule="auto"/>
        <w:outlineLvl w:val="2"/>
        <w:rPr>
          <w:rFonts w:hint="eastAsia" w:ascii="宋体" w:hAnsi="宋体" w:cs="等线"/>
          <w:sz w:val="24"/>
          <w:highlight w:val="none"/>
        </w:rPr>
      </w:pPr>
      <w:bookmarkStart w:id="1738" w:name="_Toc159950835"/>
      <w:r>
        <w:rPr>
          <w:rFonts w:hint="eastAsia" w:ascii="宋体" w:hAnsi="宋体" w:cs="等线"/>
          <w:sz w:val="24"/>
          <w:highlight w:val="none"/>
        </w:rPr>
        <w:t>17.5 竣工结算</w:t>
      </w:r>
      <w:bookmarkEnd w:id="1736"/>
      <w:bookmarkEnd w:id="1737"/>
      <w:bookmarkEnd w:id="1738"/>
    </w:p>
    <w:p w14:paraId="13C3E102">
      <w:pPr>
        <w:spacing w:line="360" w:lineRule="auto"/>
        <w:ind w:firstLine="420" w:firstLineChars="200"/>
        <w:rPr>
          <w:rFonts w:hint="eastAsia" w:ascii="宋体" w:hAnsi="宋体" w:cs="等线"/>
          <w:highlight w:val="none"/>
        </w:rPr>
      </w:pPr>
      <w:r>
        <w:rPr>
          <w:rFonts w:hint="eastAsia" w:ascii="宋体" w:hAnsi="宋体" w:cs="等线"/>
          <w:highlight w:val="none"/>
        </w:rPr>
        <w:t>17.5.1竣工付款申请单</w:t>
      </w:r>
    </w:p>
    <w:p w14:paraId="1EA38A06">
      <w:pPr>
        <w:spacing w:line="360" w:lineRule="auto"/>
        <w:ind w:firstLine="420" w:firstLineChars="200"/>
        <w:rPr>
          <w:rFonts w:hint="eastAsia" w:ascii="宋体" w:hAnsi="宋体" w:cs="等线"/>
          <w:highlight w:val="none"/>
          <w:u w:val="single"/>
        </w:rPr>
      </w:pPr>
      <w:r>
        <w:rPr>
          <w:rFonts w:hint="eastAsia" w:ascii="宋体" w:hAnsi="宋体" w:cs="等线"/>
          <w:highlight w:val="none"/>
        </w:rPr>
        <w:t>承包人提交竣工付款申请单的份数：</w:t>
      </w:r>
      <w:r>
        <w:rPr>
          <w:rFonts w:hint="eastAsia" w:ascii="宋体" w:hAnsi="宋体" w:cs="等线"/>
          <w:highlight w:val="none"/>
          <w:u w:val="single"/>
        </w:rPr>
        <w:t>一式五份</w:t>
      </w:r>
      <w:r>
        <w:rPr>
          <w:rFonts w:hint="eastAsia" w:ascii="宋体" w:hAnsi="宋体" w:cs="等线"/>
          <w:highlight w:val="none"/>
        </w:rPr>
        <w:t>。</w:t>
      </w:r>
    </w:p>
    <w:p w14:paraId="2D4C7FFB">
      <w:pPr>
        <w:spacing w:line="360" w:lineRule="auto"/>
        <w:ind w:firstLine="420" w:firstLineChars="200"/>
        <w:rPr>
          <w:rFonts w:hint="eastAsia" w:ascii="宋体" w:hAnsi="宋体" w:cs="等线"/>
          <w:highlight w:val="none"/>
          <w:u w:val="single"/>
        </w:rPr>
      </w:pPr>
      <w:r>
        <w:rPr>
          <w:rFonts w:hint="eastAsia" w:ascii="宋体" w:hAnsi="宋体" w:cs="等线"/>
          <w:highlight w:val="none"/>
        </w:rPr>
        <w:t>承包人提交竣工付款申请单的期限：</w:t>
      </w:r>
      <w:r>
        <w:rPr>
          <w:rFonts w:hint="eastAsia" w:ascii="宋体" w:hAnsi="宋体" w:cs="等线"/>
          <w:highlight w:val="none"/>
          <w:u w:val="single"/>
        </w:rPr>
        <w:t>工程竣工后28日内提交结算报告及完整的结算资料。</w:t>
      </w:r>
    </w:p>
    <w:p w14:paraId="37F2C732">
      <w:pPr>
        <w:spacing w:line="360" w:lineRule="auto"/>
        <w:ind w:firstLine="420" w:firstLineChars="200"/>
        <w:rPr>
          <w:rFonts w:hint="eastAsia" w:ascii="宋体" w:hAnsi="宋体" w:cs="等线"/>
          <w:highlight w:val="none"/>
        </w:rPr>
      </w:pPr>
      <w:r>
        <w:rPr>
          <w:rFonts w:hint="eastAsia" w:ascii="宋体" w:hAnsi="宋体" w:cs="等线"/>
          <w:highlight w:val="none"/>
        </w:rPr>
        <w:t>竣工付款申请单的内容：</w:t>
      </w:r>
      <w:r>
        <w:rPr>
          <w:rFonts w:hint="eastAsia" w:ascii="宋体" w:hAnsi="宋体" w:cs="等线"/>
          <w:highlight w:val="none"/>
          <w:u w:val="single"/>
        </w:rPr>
        <w:t>按照发包人规定的格式和内容填写，应包括但不限于竣工结算合同总价、已支付的工程价款、应扣回的预付款、应扣留的质量保证金、应支付的竣工付款金额、工程变更、工程洽商、现场签证等</w:t>
      </w:r>
      <w:r>
        <w:rPr>
          <w:rFonts w:hint="eastAsia" w:ascii="宋体" w:hAnsi="宋体" w:cs="等线"/>
          <w:highlight w:val="none"/>
        </w:rPr>
        <w:t>。</w:t>
      </w:r>
    </w:p>
    <w:p w14:paraId="38EBBEC5">
      <w:pPr>
        <w:spacing w:line="360" w:lineRule="auto"/>
        <w:ind w:firstLine="420" w:firstLineChars="200"/>
        <w:rPr>
          <w:rFonts w:hint="eastAsia" w:ascii="宋体" w:hAnsi="宋体" w:cs="等线"/>
          <w:highlight w:val="none"/>
        </w:rPr>
      </w:pPr>
      <w:r>
        <w:rPr>
          <w:rFonts w:hint="eastAsia" w:ascii="宋体" w:hAnsi="宋体" w:cs="等线"/>
          <w:highlight w:val="none"/>
        </w:rPr>
        <w:t xml:space="preserve">承包人未按本项约定的期限和内容提交竣工付款申请单或者未按通用合同条款第17.5.1（2)目约定提交修正后的竣工付款申请单，经监理人催促后14天内仍未提交或者没有明确答复的，监理人和发包人有权根据已有资料进行审查，审查确定的竣工结算合同总价和竣工付款金额视同是经承包人认可的工程竣工结算合同总价和竣工付款金额。   </w:t>
      </w:r>
    </w:p>
    <w:p w14:paraId="2829D87B">
      <w:pPr>
        <w:spacing w:line="360" w:lineRule="auto"/>
        <w:ind w:firstLine="420" w:firstLineChars="200"/>
        <w:rPr>
          <w:rFonts w:hint="eastAsia" w:ascii="宋体" w:hAnsi="宋体" w:cs="等线"/>
          <w:highlight w:val="none"/>
        </w:rPr>
      </w:pPr>
      <w:r>
        <w:rPr>
          <w:rFonts w:hint="eastAsia" w:ascii="宋体" w:hAnsi="宋体" w:cs="等线"/>
          <w:highlight w:val="none"/>
        </w:rPr>
        <w:t>不管通用合同条款17.5.2项如何约定，发包人和承包人应当在监理人颁发（出具）工程接收证书后56天内办清竣工结算和竣工付款。但是，政府投资或者以政府投资为主的建设项目纳入审计项目计划的，发包人和承包人均负有配合、接受审计机关审计的义务，竣工结算应当依据审计结论，办清竣工结算和竣工付款的时间按照相关规定执行。</w:t>
      </w:r>
    </w:p>
    <w:p w14:paraId="6A5A0733">
      <w:pPr>
        <w:spacing w:line="360" w:lineRule="auto"/>
        <w:ind w:firstLine="420" w:firstLineChars="200"/>
        <w:rPr>
          <w:rFonts w:hint="eastAsia" w:ascii="宋体" w:hAnsi="宋体" w:cs="等线"/>
          <w:highlight w:val="none"/>
        </w:rPr>
      </w:pPr>
      <w:r>
        <w:rPr>
          <w:rFonts w:hint="eastAsia" w:cs="宋体"/>
          <w:highlight w:val="none"/>
          <w:u w:val="single"/>
        </w:rPr>
        <w:t>承包人需按实际施工情况报审结算，结算审减率不得大于10%。若超过10%，由承包人承担结算审计费用。审减率=（报审金额-审定金额）/报审金额。若无重大变更，原则上审定金额不超过合同额）</w:t>
      </w:r>
    </w:p>
    <w:p w14:paraId="1B8333F6">
      <w:pPr>
        <w:keepNext/>
        <w:keepLines/>
        <w:spacing w:line="360" w:lineRule="auto"/>
        <w:outlineLvl w:val="2"/>
        <w:rPr>
          <w:rFonts w:hint="eastAsia" w:ascii="宋体" w:hAnsi="宋体" w:cs="等线"/>
          <w:sz w:val="24"/>
          <w:highlight w:val="none"/>
        </w:rPr>
      </w:pPr>
      <w:bookmarkStart w:id="1739" w:name="_Toc38732217"/>
      <w:bookmarkStart w:id="1740" w:name="_Toc20753"/>
      <w:bookmarkStart w:id="1741" w:name="_Toc159950836"/>
      <w:r>
        <w:rPr>
          <w:rFonts w:hint="eastAsia" w:ascii="宋体" w:hAnsi="宋体" w:cs="等线"/>
          <w:sz w:val="24"/>
          <w:highlight w:val="none"/>
        </w:rPr>
        <w:t>17.6 最终结清</w:t>
      </w:r>
      <w:bookmarkEnd w:id="1739"/>
      <w:bookmarkEnd w:id="1740"/>
      <w:bookmarkEnd w:id="1741"/>
    </w:p>
    <w:p w14:paraId="7F0352CB">
      <w:pPr>
        <w:spacing w:line="360" w:lineRule="auto"/>
        <w:ind w:firstLine="420" w:firstLineChars="200"/>
        <w:rPr>
          <w:rFonts w:hint="eastAsia" w:ascii="宋体" w:hAnsi="宋体" w:cs="等线"/>
          <w:highlight w:val="none"/>
        </w:rPr>
      </w:pPr>
      <w:r>
        <w:rPr>
          <w:rFonts w:hint="eastAsia" w:ascii="宋体" w:hAnsi="宋体" w:cs="等线"/>
          <w:highlight w:val="none"/>
        </w:rPr>
        <w:t>17.6.1最终结清申请单</w:t>
      </w:r>
    </w:p>
    <w:p w14:paraId="5346D588">
      <w:pPr>
        <w:spacing w:line="360" w:lineRule="auto"/>
        <w:ind w:firstLine="420" w:firstLineChars="200"/>
        <w:rPr>
          <w:rFonts w:hint="eastAsia" w:ascii="宋体" w:hAnsi="宋体" w:cs="等线"/>
          <w:highlight w:val="none"/>
          <w:u w:val="single"/>
        </w:rPr>
      </w:pPr>
      <w:r>
        <w:rPr>
          <w:rFonts w:hint="eastAsia" w:ascii="宋体" w:hAnsi="宋体" w:cs="等线"/>
          <w:highlight w:val="none"/>
        </w:rPr>
        <w:t>承包人提交最终结清申请单的份数：</w:t>
      </w:r>
      <w:r>
        <w:rPr>
          <w:rFonts w:hint="eastAsia" w:ascii="宋体" w:hAnsi="宋体" w:cs="等线"/>
          <w:highlight w:val="none"/>
          <w:u w:val="single"/>
        </w:rPr>
        <w:t>一式五份</w:t>
      </w:r>
      <w:r>
        <w:rPr>
          <w:rFonts w:hint="eastAsia" w:ascii="宋体" w:hAnsi="宋体" w:cs="等线"/>
          <w:highlight w:val="none"/>
        </w:rPr>
        <w:t>。</w:t>
      </w:r>
    </w:p>
    <w:p w14:paraId="3335EE13">
      <w:pPr>
        <w:spacing w:line="360" w:lineRule="auto"/>
        <w:ind w:firstLine="420" w:firstLineChars="200"/>
        <w:rPr>
          <w:rFonts w:hint="eastAsia" w:ascii="宋体" w:hAnsi="宋体" w:cs="等线"/>
          <w:highlight w:val="none"/>
        </w:rPr>
      </w:pPr>
      <w:r>
        <w:rPr>
          <w:rFonts w:hint="eastAsia" w:ascii="宋体" w:hAnsi="宋体" w:cs="等线"/>
          <w:highlight w:val="none"/>
        </w:rPr>
        <w:t>承包人提交最终结清申请单的期限：</w:t>
      </w:r>
      <w:r>
        <w:rPr>
          <w:rFonts w:hint="eastAsia" w:ascii="宋体" w:hAnsi="宋体" w:cs="等线"/>
          <w:highlight w:val="none"/>
          <w:u w:val="single"/>
        </w:rPr>
        <w:t>在缺陷责任期终止证书颁发后28日内</w:t>
      </w:r>
      <w:r>
        <w:rPr>
          <w:rFonts w:hint="eastAsia" w:ascii="宋体" w:hAnsi="宋体" w:cs="等线"/>
          <w:highlight w:val="none"/>
        </w:rPr>
        <w:t>。</w:t>
      </w:r>
    </w:p>
    <w:p w14:paraId="4EE0F7B3">
      <w:pPr>
        <w:keepNext/>
        <w:keepLines/>
        <w:spacing w:line="400" w:lineRule="exact"/>
        <w:outlineLvl w:val="1"/>
        <w:rPr>
          <w:rFonts w:hint="eastAsia" w:ascii="宋体" w:hAnsi="宋体" w:cs="等线"/>
          <w:sz w:val="24"/>
          <w:highlight w:val="none"/>
        </w:rPr>
      </w:pPr>
      <w:bookmarkStart w:id="1742" w:name="_Toc38732218"/>
      <w:bookmarkStart w:id="1743" w:name="_Toc29798"/>
      <w:bookmarkStart w:id="1744" w:name="_Toc5328"/>
      <w:bookmarkStart w:id="1745" w:name="_Toc159950837"/>
      <w:r>
        <w:rPr>
          <w:rFonts w:hint="eastAsia" w:ascii="宋体" w:hAnsi="宋体" w:cs="等线"/>
          <w:sz w:val="24"/>
          <w:highlight w:val="none"/>
        </w:rPr>
        <w:t>18. 竣工验收</w:t>
      </w:r>
      <w:bookmarkEnd w:id="1742"/>
      <w:bookmarkEnd w:id="1743"/>
      <w:bookmarkEnd w:id="1744"/>
      <w:bookmarkEnd w:id="1745"/>
    </w:p>
    <w:p w14:paraId="6BDCB3BA">
      <w:pPr>
        <w:keepNext/>
        <w:keepLines/>
        <w:spacing w:line="360" w:lineRule="auto"/>
        <w:outlineLvl w:val="2"/>
        <w:rPr>
          <w:rFonts w:hint="eastAsia" w:ascii="宋体" w:hAnsi="宋体" w:cs="等线"/>
          <w:sz w:val="24"/>
          <w:highlight w:val="none"/>
        </w:rPr>
      </w:pPr>
      <w:bookmarkStart w:id="1746" w:name="_Toc12525"/>
      <w:bookmarkStart w:id="1747" w:name="_Toc159950838"/>
      <w:bookmarkStart w:id="1748" w:name="_Toc38732219"/>
      <w:r>
        <w:rPr>
          <w:rFonts w:hint="eastAsia" w:ascii="宋体" w:hAnsi="宋体" w:cs="等线"/>
          <w:sz w:val="24"/>
          <w:highlight w:val="none"/>
        </w:rPr>
        <w:t>18.2 竣工验收申请报告</w:t>
      </w:r>
      <w:bookmarkEnd w:id="1746"/>
      <w:bookmarkEnd w:id="1747"/>
      <w:bookmarkEnd w:id="1748"/>
    </w:p>
    <w:p w14:paraId="60F75628">
      <w:pPr>
        <w:spacing w:line="360" w:lineRule="auto"/>
        <w:ind w:firstLine="420" w:firstLineChars="200"/>
        <w:rPr>
          <w:rFonts w:hint="eastAsia" w:ascii="宋体" w:hAnsi="宋体" w:cs="等线"/>
          <w:highlight w:val="none"/>
        </w:rPr>
      </w:pPr>
      <w:r>
        <w:rPr>
          <w:rFonts w:hint="eastAsia" w:ascii="宋体" w:hAnsi="宋体" w:cs="等线"/>
          <w:highlight w:val="none"/>
        </w:rPr>
        <w:t>（2）承包人负责整理和提交的竣工验收资料应当符合工程所在地建设行政主管部门和（或）城市建设档案管理机构有关施工资料的要求，具体内容包括：</w:t>
      </w:r>
      <w:r>
        <w:rPr>
          <w:rFonts w:hint="eastAsia" w:ascii="宋体" w:hAnsi="宋体" w:cs="等线"/>
          <w:highlight w:val="none"/>
          <w:u w:val="single"/>
        </w:rPr>
        <w:t>除监理人同意列入缺陷责任期内完成的尾工（甩项）工程和缺陷修补工作外，合同范围内的全部单位工程以及有关工作，包括合同要求的试验，试运行以及检验和验收均已完成，并符合合同要求；已按合同约定的内容和份数备齐了符合要求的竣工资料；已按监理人的要求编制了在缺陷责任期内完成的尾工（甩项）工程和缺陷修补工作清单以及相应施工计划；监理人要求在竣工验收前应完成的其他工作；监理人要求提交的竣工验收资料清单；由监理人确认的工程相关项目管理系统电子版竣工验收资料。归档要求及范围详见发包方要求。</w:t>
      </w:r>
    </w:p>
    <w:p w14:paraId="3FDCED7F">
      <w:pPr>
        <w:spacing w:line="360" w:lineRule="auto"/>
        <w:ind w:firstLine="420" w:firstLineChars="200"/>
        <w:rPr>
          <w:rFonts w:hint="eastAsia" w:ascii="宋体" w:hAnsi="宋体" w:cs="等线"/>
          <w:highlight w:val="none"/>
        </w:rPr>
      </w:pPr>
      <w:r>
        <w:rPr>
          <w:rFonts w:hint="eastAsia" w:ascii="宋体" w:hAnsi="宋体" w:cs="等线"/>
          <w:highlight w:val="none"/>
        </w:rPr>
        <w:t>竣工验收资料的份数：</w:t>
      </w:r>
      <w:r>
        <w:rPr>
          <w:rFonts w:hint="eastAsia" w:ascii="宋体" w:hAnsi="宋体" w:cs="等线"/>
          <w:highlight w:val="none"/>
          <w:u w:val="single"/>
        </w:rPr>
        <w:t>6套竣工图及2套工程档案资料。</w:t>
      </w:r>
    </w:p>
    <w:p w14:paraId="5219CA1F">
      <w:pPr>
        <w:spacing w:line="360" w:lineRule="auto"/>
        <w:ind w:firstLine="420" w:firstLineChars="200"/>
        <w:rPr>
          <w:rFonts w:hint="eastAsia" w:ascii="宋体" w:hAnsi="宋体" w:cs="等线"/>
          <w:highlight w:val="none"/>
        </w:rPr>
      </w:pPr>
      <w:r>
        <w:rPr>
          <w:rFonts w:hint="eastAsia" w:ascii="宋体" w:hAnsi="宋体" w:cs="等线"/>
          <w:highlight w:val="none"/>
        </w:rPr>
        <w:t>竣工验收资料的费用支付方式：</w:t>
      </w:r>
      <w:r>
        <w:rPr>
          <w:rFonts w:hint="eastAsia" w:ascii="宋体" w:hAnsi="宋体" w:cs="等线"/>
          <w:highlight w:val="none"/>
          <w:u w:val="single"/>
        </w:rPr>
        <w:t>已包含在合同价款中，由承包人承担。</w:t>
      </w:r>
    </w:p>
    <w:p w14:paraId="5C9770CE">
      <w:pPr>
        <w:keepNext/>
        <w:keepLines/>
        <w:spacing w:line="360" w:lineRule="auto"/>
        <w:outlineLvl w:val="2"/>
        <w:rPr>
          <w:rFonts w:hint="eastAsia" w:ascii="宋体" w:hAnsi="宋体" w:cs="等线"/>
          <w:sz w:val="24"/>
          <w:highlight w:val="none"/>
        </w:rPr>
      </w:pPr>
      <w:bookmarkStart w:id="1749" w:name="_Toc38732220"/>
      <w:bookmarkStart w:id="1750" w:name="_Toc159950839"/>
      <w:bookmarkStart w:id="1751" w:name="_Toc28472"/>
      <w:r>
        <w:rPr>
          <w:rFonts w:hint="eastAsia" w:ascii="宋体" w:hAnsi="宋体" w:cs="等线"/>
          <w:sz w:val="24"/>
          <w:highlight w:val="none"/>
        </w:rPr>
        <w:t>18.3 验 收</w:t>
      </w:r>
      <w:bookmarkEnd w:id="1749"/>
      <w:bookmarkEnd w:id="1750"/>
      <w:bookmarkEnd w:id="1751"/>
    </w:p>
    <w:p w14:paraId="21E5ADED">
      <w:pPr>
        <w:spacing w:line="360" w:lineRule="auto"/>
        <w:ind w:firstLine="420" w:firstLineChars="200"/>
        <w:rPr>
          <w:rFonts w:hint="eastAsia" w:ascii="宋体" w:hAnsi="宋体" w:cs="等线"/>
          <w:highlight w:val="none"/>
        </w:rPr>
      </w:pPr>
      <w:r>
        <w:rPr>
          <w:rFonts w:hint="eastAsia" w:ascii="宋体" w:hAnsi="宋体" w:cs="等线"/>
          <w:highlight w:val="none"/>
        </w:rPr>
        <w:t>18.3.5经验收合格的工程, 实际竣工日期为承包人按照第18.2款提交竣工验收申请报告或按照本款重新提交竣工验收申请报告的日期（以两者中时间在后者为准）。</w:t>
      </w:r>
    </w:p>
    <w:p w14:paraId="70C49A27">
      <w:pPr>
        <w:keepNext/>
        <w:keepLines/>
        <w:spacing w:line="360" w:lineRule="auto"/>
        <w:outlineLvl w:val="2"/>
        <w:rPr>
          <w:rFonts w:hint="eastAsia" w:ascii="宋体" w:hAnsi="宋体" w:cs="等线"/>
          <w:sz w:val="24"/>
          <w:highlight w:val="none"/>
        </w:rPr>
      </w:pPr>
      <w:bookmarkStart w:id="1752" w:name="_Toc159950840"/>
      <w:bookmarkStart w:id="1753" w:name="_Toc38732221"/>
      <w:bookmarkStart w:id="1754" w:name="_Toc25187"/>
      <w:r>
        <w:rPr>
          <w:rFonts w:hint="eastAsia" w:ascii="宋体" w:hAnsi="宋体" w:cs="等线"/>
          <w:sz w:val="24"/>
          <w:highlight w:val="none"/>
        </w:rPr>
        <w:t>18.5 施工期运行</w:t>
      </w:r>
      <w:bookmarkEnd w:id="1752"/>
      <w:bookmarkEnd w:id="1753"/>
      <w:bookmarkEnd w:id="1754"/>
    </w:p>
    <w:p w14:paraId="6F82716E">
      <w:pPr>
        <w:spacing w:line="360" w:lineRule="auto"/>
        <w:ind w:firstLine="420" w:firstLineChars="200"/>
        <w:rPr>
          <w:rFonts w:hint="eastAsia" w:ascii="宋体" w:hAnsi="宋体" w:cs="等线"/>
          <w:highlight w:val="none"/>
          <w:u w:val="single"/>
        </w:rPr>
      </w:pPr>
      <w:r>
        <w:rPr>
          <w:rFonts w:hint="eastAsia" w:ascii="宋体" w:hAnsi="宋体" w:cs="等线"/>
          <w:highlight w:val="none"/>
        </w:rPr>
        <w:t>18.5.1需要施工期运行的单位工程或设备安装工程：</w:t>
      </w:r>
      <w:r>
        <w:rPr>
          <w:rFonts w:hint="eastAsia" w:ascii="宋体" w:hAnsi="宋体" w:cs="等线"/>
          <w:highlight w:val="none"/>
          <w:u w:val="single"/>
        </w:rPr>
        <w:t xml:space="preserve">     /      </w:t>
      </w:r>
      <w:r>
        <w:rPr>
          <w:rFonts w:hint="eastAsia" w:ascii="宋体" w:hAnsi="宋体" w:cs="等线"/>
          <w:highlight w:val="none"/>
        </w:rPr>
        <w:t>。</w:t>
      </w:r>
    </w:p>
    <w:p w14:paraId="14FE2183">
      <w:pPr>
        <w:keepNext/>
        <w:keepLines/>
        <w:spacing w:line="360" w:lineRule="auto"/>
        <w:outlineLvl w:val="2"/>
        <w:rPr>
          <w:rFonts w:hint="eastAsia" w:ascii="宋体" w:hAnsi="宋体" w:cs="等线"/>
          <w:sz w:val="24"/>
          <w:highlight w:val="none"/>
        </w:rPr>
      </w:pPr>
      <w:bookmarkStart w:id="1755" w:name="_Toc159950841"/>
      <w:bookmarkStart w:id="1756" w:name="_Toc3306"/>
      <w:bookmarkStart w:id="1757" w:name="_Toc38732222"/>
      <w:r>
        <w:rPr>
          <w:rFonts w:hint="eastAsia" w:ascii="宋体" w:hAnsi="宋体" w:cs="等线"/>
          <w:sz w:val="24"/>
          <w:highlight w:val="none"/>
        </w:rPr>
        <w:t>18.6 试运行</w:t>
      </w:r>
      <w:bookmarkEnd w:id="1755"/>
      <w:bookmarkEnd w:id="1756"/>
      <w:bookmarkEnd w:id="1757"/>
    </w:p>
    <w:p w14:paraId="0C96C636">
      <w:pPr>
        <w:spacing w:line="360" w:lineRule="auto"/>
        <w:ind w:firstLine="420" w:firstLineChars="200"/>
        <w:rPr>
          <w:rFonts w:hint="eastAsia" w:ascii="宋体" w:hAnsi="宋体" w:cs="等线"/>
          <w:highlight w:val="none"/>
        </w:rPr>
      </w:pPr>
      <w:r>
        <w:rPr>
          <w:rFonts w:hint="eastAsia" w:ascii="宋体" w:hAnsi="宋体" w:cs="等线"/>
          <w:highlight w:val="none"/>
        </w:rPr>
        <w:t>18.6.1工程及工程设备试运行的组织与费用承担</w:t>
      </w:r>
    </w:p>
    <w:p w14:paraId="384F549B">
      <w:pPr>
        <w:spacing w:line="360" w:lineRule="auto"/>
        <w:ind w:firstLine="420" w:firstLineChars="200"/>
        <w:rPr>
          <w:rFonts w:hint="eastAsia" w:ascii="宋体" w:hAnsi="宋体" w:cs="等线"/>
          <w:highlight w:val="none"/>
        </w:rPr>
      </w:pPr>
      <w:r>
        <w:rPr>
          <w:rFonts w:hint="eastAsia" w:ascii="宋体" w:hAnsi="宋体" w:cs="等线"/>
          <w:highlight w:val="none"/>
        </w:rPr>
        <w:t>（1）工程设备安装具备单机无负荷试运行条件，由承包人组织试运行，费用由承包人承担。</w:t>
      </w:r>
    </w:p>
    <w:p w14:paraId="7ACD34AA">
      <w:pPr>
        <w:spacing w:line="360" w:lineRule="auto"/>
        <w:ind w:firstLine="420" w:firstLineChars="200"/>
        <w:rPr>
          <w:rFonts w:hint="eastAsia" w:ascii="宋体" w:hAnsi="宋体" w:cs="等线"/>
          <w:highlight w:val="none"/>
        </w:rPr>
      </w:pPr>
      <w:r>
        <w:rPr>
          <w:rFonts w:hint="eastAsia" w:ascii="宋体" w:hAnsi="宋体" w:cs="等线"/>
          <w:highlight w:val="none"/>
        </w:rPr>
        <w:t>（2） 工程设备安装具备无负荷联动试运行条件，由发包人组织试运行，费用由发包人承担。</w:t>
      </w:r>
    </w:p>
    <w:p w14:paraId="6F69CB28">
      <w:pPr>
        <w:spacing w:line="360" w:lineRule="auto"/>
        <w:ind w:firstLine="420" w:firstLineChars="200"/>
        <w:rPr>
          <w:rFonts w:hint="eastAsia" w:ascii="宋体" w:hAnsi="宋体" w:cs="等线"/>
          <w:highlight w:val="none"/>
        </w:rPr>
      </w:pPr>
      <w:r>
        <w:rPr>
          <w:rFonts w:hint="eastAsia" w:ascii="宋体" w:hAnsi="宋体" w:cs="等线"/>
          <w:highlight w:val="none"/>
        </w:rPr>
        <w:t>（3）投料试运行应在工程竣工验收后由发包人负责，如发包人要求在工程竣工验收前进行或需要承包人配合时，应征得承包人同意，另行签订补充协议。</w:t>
      </w:r>
    </w:p>
    <w:p w14:paraId="7CC80C88">
      <w:pPr>
        <w:keepNext/>
        <w:keepLines/>
        <w:spacing w:line="360" w:lineRule="auto"/>
        <w:outlineLvl w:val="2"/>
        <w:rPr>
          <w:rFonts w:hint="eastAsia" w:ascii="宋体" w:hAnsi="宋体" w:cs="等线"/>
          <w:sz w:val="24"/>
          <w:highlight w:val="none"/>
        </w:rPr>
      </w:pPr>
      <w:bookmarkStart w:id="1758" w:name="_Toc38732223"/>
      <w:bookmarkStart w:id="1759" w:name="_Toc159950842"/>
      <w:bookmarkStart w:id="1760" w:name="_Toc5810"/>
      <w:r>
        <w:rPr>
          <w:rFonts w:hint="eastAsia" w:ascii="宋体" w:hAnsi="宋体" w:cs="等线"/>
          <w:sz w:val="24"/>
          <w:highlight w:val="none"/>
        </w:rPr>
        <w:t>18.7 竣工清场</w:t>
      </w:r>
      <w:bookmarkEnd w:id="1758"/>
      <w:bookmarkEnd w:id="1759"/>
      <w:bookmarkEnd w:id="1760"/>
    </w:p>
    <w:p w14:paraId="13C9AF96">
      <w:pPr>
        <w:spacing w:line="360" w:lineRule="auto"/>
        <w:ind w:firstLine="420" w:firstLineChars="200"/>
        <w:rPr>
          <w:rFonts w:hint="eastAsia" w:ascii="宋体" w:hAnsi="宋体" w:cs="等线"/>
          <w:highlight w:val="none"/>
        </w:rPr>
      </w:pPr>
      <w:r>
        <w:rPr>
          <w:rFonts w:hint="eastAsia" w:ascii="宋体" w:hAnsi="宋体" w:cs="等线"/>
          <w:highlight w:val="none"/>
        </w:rPr>
        <w:t>18.7.1监理人颁发（出具）工程接收证书后，承包人负责按照通用合同条款本项约定的要求对施工场地进行清理并承担相关费用，直至监理人检验合格为止。</w:t>
      </w:r>
    </w:p>
    <w:p w14:paraId="3D66FF4E">
      <w:pPr>
        <w:keepNext/>
        <w:keepLines/>
        <w:spacing w:line="360" w:lineRule="auto"/>
        <w:outlineLvl w:val="2"/>
        <w:rPr>
          <w:rFonts w:hint="eastAsia" w:ascii="宋体" w:hAnsi="宋体" w:cs="等线"/>
          <w:sz w:val="24"/>
          <w:highlight w:val="none"/>
        </w:rPr>
      </w:pPr>
      <w:bookmarkStart w:id="1761" w:name="_Toc159950843"/>
      <w:bookmarkStart w:id="1762" w:name="_Toc23795"/>
      <w:bookmarkStart w:id="1763" w:name="_Toc38732224"/>
      <w:r>
        <w:rPr>
          <w:rFonts w:hint="eastAsia" w:ascii="宋体" w:hAnsi="宋体" w:cs="等线"/>
          <w:sz w:val="24"/>
          <w:highlight w:val="none"/>
        </w:rPr>
        <w:t>18.8 施工队伍的撤离</w:t>
      </w:r>
      <w:bookmarkEnd w:id="1761"/>
      <w:bookmarkEnd w:id="1762"/>
      <w:bookmarkEnd w:id="1763"/>
    </w:p>
    <w:p w14:paraId="2B7F3373">
      <w:pPr>
        <w:spacing w:line="360" w:lineRule="auto"/>
        <w:ind w:firstLine="420" w:firstLineChars="200"/>
        <w:rPr>
          <w:rFonts w:hint="eastAsia" w:ascii="宋体" w:hAnsi="宋体" w:cs="等线"/>
          <w:highlight w:val="none"/>
        </w:rPr>
      </w:pPr>
      <w:r>
        <w:rPr>
          <w:rFonts w:hint="eastAsia" w:ascii="宋体" w:hAnsi="宋体" w:cs="等线"/>
          <w:highlight w:val="none"/>
        </w:rPr>
        <w:t>承包人按照通用合同条款第18.8款约定撤离施工场地（现场）时，监理人和承包人应当办理永久工程和施工场地移交手续，移交手续以书面方式出具，并分别经过发包人、监理人和承包人的签认。但是，监理人和发包人未按专用合同条款17.5.1项约定的期限办清竣工结算和竣工付款的，本工程不得交付使用，发包人和监理人也无权要求承包人按合同约定的期限撤离施工场地（现场）和办理工程移交手续。</w:t>
      </w:r>
    </w:p>
    <w:p w14:paraId="4E005B00">
      <w:pPr>
        <w:spacing w:line="360" w:lineRule="auto"/>
        <w:ind w:firstLine="420" w:firstLineChars="200"/>
        <w:rPr>
          <w:rFonts w:hint="eastAsia" w:ascii="宋体" w:hAnsi="宋体" w:cs="等线"/>
          <w:highlight w:val="none"/>
          <w:u w:val="single"/>
        </w:rPr>
      </w:pPr>
      <w:r>
        <w:rPr>
          <w:rFonts w:hint="eastAsia" w:ascii="宋体" w:hAnsi="宋体" w:cs="等线"/>
          <w:highlight w:val="none"/>
        </w:rPr>
        <w:t>缺陷责任期满时，承包人可以继续在施工场地保留的人员和施工设备以及最终撤离的期限：</w:t>
      </w:r>
      <w:r>
        <w:rPr>
          <w:rFonts w:hint="eastAsia" w:ascii="宋体" w:hAnsi="宋体" w:cs="等线"/>
          <w:highlight w:val="none"/>
          <w:u w:val="single"/>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r>
        <w:rPr>
          <w:rFonts w:hint="eastAsia" w:ascii="宋体" w:hAnsi="宋体" w:cs="等线"/>
          <w:highlight w:val="none"/>
        </w:rPr>
        <w:t>。</w:t>
      </w:r>
    </w:p>
    <w:p w14:paraId="1D9038DE">
      <w:pPr>
        <w:keepNext/>
        <w:keepLines/>
        <w:spacing w:line="360" w:lineRule="auto"/>
        <w:outlineLvl w:val="2"/>
        <w:rPr>
          <w:rFonts w:hint="eastAsia" w:ascii="宋体" w:hAnsi="宋体" w:cs="等线"/>
          <w:sz w:val="24"/>
          <w:highlight w:val="none"/>
        </w:rPr>
      </w:pPr>
      <w:bookmarkStart w:id="1764" w:name="_Toc159950844"/>
      <w:bookmarkStart w:id="1765" w:name="_Toc8270"/>
      <w:bookmarkStart w:id="1766" w:name="_Toc38732225"/>
      <w:r>
        <w:rPr>
          <w:rFonts w:hint="eastAsia" w:ascii="宋体" w:hAnsi="宋体" w:cs="等线"/>
          <w:sz w:val="24"/>
          <w:highlight w:val="none"/>
        </w:rPr>
        <w:t>18.9 中间验收</w:t>
      </w:r>
      <w:bookmarkEnd w:id="1764"/>
      <w:bookmarkEnd w:id="1765"/>
      <w:bookmarkEnd w:id="1766"/>
    </w:p>
    <w:p w14:paraId="71104D29">
      <w:pPr>
        <w:spacing w:line="360" w:lineRule="auto"/>
        <w:ind w:firstLine="525" w:firstLineChars="250"/>
        <w:rPr>
          <w:rFonts w:hint="eastAsia" w:ascii="宋体" w:hAnsi="宋体" w:cs="等线"/>
          <w:highlight w:val="none"/>
        </w:rPr>
      </w:pPr>
      <w:r>
        <w:rPr>
          <w:rFonts w:hint="eastAsia" w:ascii="宋体" w:hAnsi="宋体" w:cs="等线"/>
          <w:highlight w:val="none"/>
        </w:rPr>
        <w:t>本工程需要进行中间验收的部位如下：</w:t>
      </w:r>
      <w:r>
        <w:rPr>
          <w:rFonts w:hint="eastAsia" w:ascii="宋体" w:hAnsi="宋体" w:cs="等线"/>
          <w:highlight w:val="none"/>
          <w:u w:val="single"/>
        </w:rPr>
        <w:t xml:space="preserve">   /    </w:t>
      </w:r>
      <w:r>
        <w:rPr>
          <w:rFonts w:hint="eastAsia" w:ascii="宋体" w:hAnsi="宋体" w:cs="等线"/>
          <w:highlight w:val="none"/>
        </w:rPr>
        <w:t>。</w:t>
      </w:r>
    </w:p>
    <w:p w14:paraId="3E1E3C90">
      <w:pPr>
        <w:spacing w:line="360" w:lineRule="auto"/>
        <w:ind w:firstLine="420" w:firstLineChars="200"/>
        <w:rPr>
          <w:rFonts w:hint="eastAsia" w:ascii="宋体" w:hAnsi="宋体" w:cs="等线"/>
          <w:highlight w:val="none"/>
        </w:rPr>
      </w:pPr>
      <w:r>
        <w:rPr>
          <w:rFonts w:hint="eastAsia" w:ascii="宋体" w:hAnsi="宋体" w:cs="等线"/>
          <w:highlight w:val="none"/>
        </w:rPr>
        <w:t>当工程进度达到本款约定的中间验收部位时，承包人应当进行自检，并在中间验收前48小时以书面形式通知监理人验收。书面通知应包括中间验收的内容、验收时间和地点。承包人应当准备验收记录。只有监理人验收合格并在验收记录上签字后，承包人方可继续施工。验收不合格的，承包人在</w:t>
      </w:r>
      <w:r>
        <w:rPr>
          <w:rFonts w:hint="eastAsia" w:ascii="宋体" w:hAnsi="宋体" w:cs="等线"/>
          <w:highlight w:val="none"/>
          <w:u w:val="single"/>
        </w:rPr>
        <w:t xml:space="preserve">      /      </w:t>
      </w:r>
      <w:r>
        <w:rPr>
          <w:rFonts w:hint="eastAsia" w:ascii="宋体" w:hAnsi="宋体" w:cs="等线"/>
          <w:highlight w:val="none"/>
        </w:rPr>
        <w:t>期限内进行修改后重新验收。</w:t>
      </w:r>
    </w:p>
    <w:p w14:paraId="660BBA0E">
      <w:pPr>
        <w:spacing w:line="360" w:lineRule="auto"/>
        <w:ind w:firstLine="420" w:firstLineChars="200"/>
        <w:rPr>
          <w:rFonts w:hint="eastAsia" w:ascii="宋体" w:hAnsi="宋体" w:cs="等线"/>
          <w:highlight w:val="none"/>
        </w:rPr>
      </w:pPr>
      <w:r>
        <w:rPr>
          <w:rFonts w:hint="eastAsia" w:ascii="宋体" w:hAnsi="宋体" w:cs="等线"/>
          <w:highlight w:val="none"/>
        </w:rPr>
        <w:t>监理人不能按时进行验收的，应在验收前24小时以书面形式向承包人提出延期要求，延期不能超过48小时。监理人未能按本款约定的时限提出延期要求，又未按期进行验收的，承包人可自行组织验收，监理人必须认同验收记录。</w:t>
      </w:r>
    </w:p>
    <w:p w14:paraId="6AD34D11">
      <w:pPr>
        <w:spacing w:line="360" w:lineRule="auto"/>
        <w:ind w:firstLine="420" w:firstLineChars="200"/>
        <w:rPr>
          <w:rFonts w:hint="eastAsia" w:ascii="宋体" w:hAnsi="宋体" w:cs="等线"/>
          <w:highlight w:val="none"/>
        </w:rPr>
      </w:pPr>
      <w:r>
        <w:rPr>
          <w:rFonts w:hint="eastAsia" w:ascii="宋体" w:hAnsi="宋体" w:cs="等线"/>
          <w:highlight w:val="none"/>
        </w:rPr>
        <w:t>经监理人验收后工程质量符合约定的验收标准，但验收24小时后监理人仍不在验收记录上签字的，视为监理人已经认可验收记录，承包人可继续施工。</w:t>
      </w:r>
    </w:p>
    <w:p w14:paraId="5A6CD1A4">
      <w:pPr>
        <w:keepNext/>
        <w:keepLines/>
        <w:spacing w:line="400" w:lineRule="exact"/>
        <w:outlineLvl w:val="1"/>
        <w:rPr>
          <w:rFonts w:hint="eastAsia" w:ascii="宋体" w:hAnsi="宋体" w:cs="等线"/>
          <w:sz w:val="24"/>
          <w:highlight w:val="none"/>
        </w:rPr>
      </w:pPr>
      <w:bookmarkStart w:id="1767" w:name="_Toc159950845"/>
      <w:bookmarkStart w:id="1768" w:name="_Toc8626"/>
      <w:bookmarkStart w:id="1769" w:name="_Toc4373"/>
      <w:bookmarkStart w:id="1770" w:name="_Toc38732226"/>
      <w:r>
        <w:rPr>
          <w:rFonts w:hint="eastAsia" w:ascii="宋体" w:hAnsi="宋体" w:cs="等线"/>
          <w:sz w:val="24"/>
          <w:highlight w:val="none"/>
        </w:rPr>
        <w:t>19. 缺陷责任与保修责任</w:t>
      </w:r>
      <w:bookmarkEnd w:id="1767"/>
      <w:bookmarkEnd w:id="1768"/>
      <w:bookmarkEnd w:id="1769"/>
      <w:bookmarkEnd w:id="1770"/>
    </w:p>
    <w:p w14:paraId="0F8C3976">
      <w:pPr>
        <w:keepNext/>
        <w:keepLines/>
        <w:spacing w:line="360" w:lineRule="auto"/>
        <w:outlineLvl w:val="2"/>
        <w:rPr>
          <w:rFonts w:hint="eastAsia" w:ascii="宋体" w:hAnsi="宋体" w:cs="等线"/>
          <w:sz w:val="24"/>
          <w:highlight w:val="none"/>
        </w:rPr>
      </w:pPr>
      <w:bookmarkStart w:id="1771" w:name="_Toc22186"/>
      <w:bookmarkStart w:id="1772" w:name="_Toc38732227"/>
      <w:bookmarkStart w:id="1773" w:name="_Toc159950846"/>
      <w:r>
        <w:rPr>
          <w:rFonts w:hint="eastAsia" w:ascii="宋体" w:hAnsi="宋体" w:cs="等线"/>
          <w:sz w:val="24"/>
          <w:highlight w:val="none"/>
        </w:rPr>
        <w:t>19.7 保修责任</w:t>
      </w:r>
      <w:bookmarkEnd w:id="1771"/>
      <w:bookmarkEnd w:id="1772"/>
      <w:bookmarkEnd w:id="1773"/>
    </w:p>
    <w:p w14:paraId="38D046EB">
      <w:pPr>
        <w:spacing w:line="360" w:lineRule="auto"/>
        <w:ind w:firstLine="420" w:firstLineChars="200"/>
        <w:rPr>
          <w:rFonts w:hint="eastAsia" w:ascii="宋体" w:hAnsi="宋体" w:cs="等线"/>
          <w:highlight w:val="none"/>
        </w:rPr>
      </w:pPr>
      <w:r>
        <w:rPr>
          <w:rFonts w:hint="eastAsia" w:ascii="宋体" w:hAnsi="宋体" w:cs="等线"/>
          <w:highlight w:val="none"/>
        </w:rPr>
        <w:t>（1）工程质量保修范围：</w:t>
      </w:r>
      <w:r>
        <w:rPr>
          <w:rFonts w:hint="eastAsia" w:ascii="宋体" w:hAnsi="宋体" w:cs="等线"/>
          <w:highlight w:val="none"/>
          <w:u w:val="single"/>
        </w:rPr>
        <w:t>由施工单位负责实施的所有项目</w:t>
      </w:r>
      <w:r>
        <w:rPr>
          <w:rFonts w:hint="eastAsia" w:ascii="宋体" w:hAnsi="宋体" w:cs="等线"/>
          <w:highlight w:val="none"/>
        </w:rPr>
        <w:t>。</w:t>
      </w:r>
    </w:p>
    <w:p w14:paraId="7E4334BF">
      <w:pPr>
        <w:spacing w:line="360" w:lineRule="auto"/>
        <w:ind w:firstLine="420" w:firstLineChars="200"/>
        <w:rPr>
          <w:rFonts w:hint="eastAsia" w:ascii="宋体" w:hAnsi="宋体" w:cs="等线"/>
          <w:highlight w:val="none"/>
        </w:rPr>
      </w:pPr>
      <w:r>
        <w:rPr>
          <w:rFonts w:hint="eastAsia" w:ascii="宋体" w:hAnsi="宋体" w:cs="等线"/>
          <w:highlight w:val="none"/>
        </w:rPr>
        <w:t>（2）工程质量保修期限：</w:t>
      </w:r>
      <w:r>
        <w:rPr>
          <w:rFonts w:hint="eastAsia" w:ascii="宋体" w:hAnsi="宋体" w:cs="等线"/>
          <w:highlight w:val="none"/>
          <w:u w:val="single"/>
        </w:rPr>
        <w:t>根据《建设工程质量管理条例》的规定，供热与供冷系统，为两个采暖期、供冷期；电气管线、给排水管道、设备安装和装修工程为两年；其他工程的保修期限为两年。建设工程的保修期，自竣工验收合格之日起计算</w:t>
      </w:r>
      <w:r>
        <w:rPr>
          <w:rFonts w:hint="eastAsia" w:ascii="宋体" w:hAnsi="宋体" w:cs="等线"/>
          <w:highlight w:val="none"/>
        </w:rPr>
        <w:t>。</w:t>
      </w:r>
    </w:p>
    <w:p w14:paraId="07E4C3AE">
      <w:pPr>
        <w:spacing w:line="360" w:lineRule="auto"/>
        <w:ind w:firstLine="420" w:firstLineChars="200"/>
        <w:rPr>
          <w:rFonts w:hint="eastAsia" w:ascii="宋体" w:hAnsi="宋体" w:cs="等线"/>
          <w:highlight w:val="none"/>
        </w:rPr>
      </w:pPr>
      <w:r>
        <w:rPr>
          <w:rFonts w:hint="eastAsia" w:ascii="宋体" w:hAnsi="宋体" w:cs="等线"/>
          <w:highlight w:val="none"/>
        </w:rPr>
        <w:t>（3）工程质量保修责任：</w:t>
      </w:r>
      <w:r>
        <w:rPr>
          <w:rFonts w:hint="eastAsia" w:ascii="宋体" w:hAnsi="宋体" w:cs="等线"/>
          <w:highlight w:val="none"/>
          <w:u w:val="single"/>
        </w:rPr>
        <w:t>缺陷责任期内，由承包人原因造成的缺陷，承包人应负责维修，并承担鉴定及维修费用。并承担鉴定及维修费用。如承包人不维修也不承担费用，发包人可扣除保证金，并由承包人承担违约责任，保证金不足以支付维修费用的，承包人仍应承担全部差额。承包人维修并承担相应费用后，不免除对工程的一般损失赔偿责任</w:t>
      </w:r>
      <w:r>
        <w:rPr>
          <w:rFonts w:hint="eastAsia" w:ascii="宋体" w:hAnsi="宋体" w:cs="等线"/>
          <w:highlight w:val="none"/>
        </w:rPr>
        <w:t>。</w:t>
      </w:r>
    </w:p>
    <w:p w14:paraId="7836C978">
      <w:pPr>
        <w:spacing w:line="360" w:lineRule="auto"/>
        <w:ind w:firstLine="420" w:firstLineChars="200"/>
        <w:rPr>
          <w:rFonts w:hint="eastAsia" w:ascii="宋体" w:hAnsi="宋体" w:cs="等线"/>
          <w:highlight w:val="none"/>
        </w:rPr>
      </w:pPr>
      <w:r>
        <w:rPr>
          <w:rFonts w:hint="eastAsia" w:ascii="宋体" w:hAnsi="宋体" w:cs="等线"/>
          <w:highlight w:val="none"/>
        </w:rPr>
        <w:t>质量保修书是竣工验收申请报告的组成内容。承包人应当按照有关法律法规规定和合同所附的格式出具质量保修书，质量保修书的主要内容应当与本款上述约定内容一致。承包人在递交合同条款第18.2款约定的竣工验收报告的同时，将质量保修书一并报送监理人。</w:t>
      </w:r>
    </w:p>
    <w:p w14:paraId="4FC36DE7">
      <w:pPr>
        <w:keepNext/>
        <w:keepLines/>
        <w:spacing w:line="400" w:lineRule="exact"/>
        <w:outlineLvl w:val="1"/>
        <w:rPr>
          <w:rFonts w:hint="eastAsia" w:ascii="宋体" w:hAnsi="宋体" w:cs="等线"/>
          <w:sz w:val="24"/>
          <w:highlight w:val="none"/>
        </w:rPr>
      </w:pPr>
      <w:bookmarkStart w:id="1774" w:name="_Toc9439"/>
      <w:bookmarkStart w:id="1775" w:name="_Toc10339"/>
      <w:bookmarkStart w:id="1776" w:name="_Toc159950847"/>
      <w:bookmarkStart w:id="1777" w:name="_Toc38732228"/>
      <w:r>
        <w:rPr>
          <w:rFonts w:hint="eastAsia" w:ascii="宋体" w:hAnsi="宋体" w:cs="等线"/>
          <w:sz w:val="24"/>
          <w:highlight w:val="none"/>
        </w:rPr>
        <w:t>20. 保险 （本项目不适用）</w:t>
      </w:r>
      <w:bookmarkEnd w:id="1774"/>
      <w:bookmarkEnd w:id="1775"/>
      <w:bookmarkEnd w:id="1776"/>
      <w:bookmarkEnd w:id="1777"/>
    </w:p>
    <w:p w14:paraId="7EC45F6B">
      <w:pPr>
        <w:keepNext/>
        <w:keepLines/>
        <w:spacing w:line="400" w:lineRule="exact"/>
        <w:outlineLvl w:val="1"/>
        <w:rPr>
          <w:rFonts w:hint="eastAsia" w:ascii="宋体" w:hAnsi="宋体" w:cs="等线"/>
          <w:sz w:val="24"/>
          <w:highlight w:val="none"/>
        </w:rPr>
      </w:pPr>
      <w:bookmarkStart w:id="1778" w:name="_Toc159950852"/>
      <w:bookmarkStart w:id="1779" w:name="_Toc38732233"/>
      <w:bookmarkStart w:id="1780" w:name="_Toc808"/>
      <w:bookmarkStart w:id="1781" w:name="_Toc9795"/>
      <w:r>
        <w:rPr>
          <w:rFonts w:hint="eastAsia" w:ascii="宋体" w:hAnsi="宋体" w:cs="等线"/>
          <w:sz w:val="24"/>
          <w:highlight w:val="none"/>
        </w:rPr>
        <w:t>21. 不可抗力</w:t>
      </w:r>
      <w:bookmarkEnd w:id="1778"/>
      <w:bookmarkEnd w:id="1779"/>
      <w:bookmarkEnd w:id="1780"/>
      <w:bookmarkEnd w:id="1781"/>
    </w:p>
    <w:p w14:paraId="4E8D948A">
      <w:pPr>
        <w:keepNext/>
        <w:keepLines/>
        <w:spacing w:line="360" w:lineRule="auto"/>
        <w:outlineLvl w:val="2"/>
        <w:rPr>
          <w:rFonts w:hint="eastAsia" w:ascii="宋体" w:hAnsi="宋体" w:cs="等线"/>
          <w:sz w:val="24"/>
          <w:highlight w:val="none"/>
        </w:rPr>
      </w:pPr>
      <w:bookmarkStart w:id="1782" w:name="_Toc159950853"/>
      <w:bookmarkStart w:id="1783" w:name="_Toc17208"/>
      <w:bookmarkStart w:id="1784" w:name="_Toc38732234"/>
      <w:r>
        <w:rPr>
          <w:rFonts w:hint="eastAsia" w:ascii="宋体" w:hAnsi="宋体" w:cs="等线"/>
          <w:sz w:val="24"/>
          <w:highlight w:val="none"/>
        </w:rPr>
        <w:t>21.1 不可抗力的确认</w:t>
      </w:r>
      <w:bookmarkEnd w:id="1782"/>
      <w:bookmarkEnd w:id="1783"/>
      <w:bookmarkEnd w:id="1784"/>
    </w:p>
    <w:p w14:paraId="288857F6">
      <w:pPr>
        <w:spacing w:line="360" w:lineRule="auto"/>
        <w:ind w:firstLine="525"/>
        <w:rPr>
          <w:rFonts w:hint="eastAsia" w:ascii="宋体" w:hAnsi="宋体" w:cs="等线"/>
          <w:highlight w:val="none"/>
        </w:rPr>
      </w:pPr>
      <w:r>
        <w:rPr>
          <w:rFonts w:hint="eastAsia" w:ascii="宋体" w:hAnsi="宋体" w:cs="等线"/>
          <w:highlight w:val="none"/>
        </w:rPr>
        <w:t>21.1.1通用合同条款第21.1.1项约定的不可抗力以外的其他情形：</w:t>
      </w:r>
      <w:r>
        <w:rPr>
          <w:rFonts w:hint="eastAsia" w:ascii="宋体" w:hAnsi="宋体" w:cs="等线"/>
          <w:highlight w:val="none"/>
          <w:u w:val="single"/>
        </w:rPr>
        <w:t xml:space="preserve">        /   </w:t>
      </w:r>
      <w:r>
        <w:rPr>
          <w:rFonts w:hint="eastAsia" w:ascii="宋体" w:hAnsi="宋体" w:cs="等线"/>
          <w:highlight w:val="none"/>
        </w:rPr>
        <w:t>。</w:t>
      </w:r>
    </w:p>
    <w:p w14:paraId="11A34C71">
      <w:pPr>
        <w:spacing w:line="360" w:lineRule="auto"/>
        <w:ind w:firstLine="420" w:firstLineChars="200"/>
        <w:rPr>
          <w:rFonts w:hint="eastAsia" w:ascii="宋体" w:hAnsi="宋体" w:cs="等线"/>
          <w:highlight w:val="none"/>
        </w:rPr>
      </w:pPr>
      <w:r>
        <w:rPr>
          <w:rFonts w:hint="eastAsia" w:ascii="宋体" w:hAnsi="宋体" w:cs="等线"/>
          <w:highlight w:val="none"/>
        </w:rPr>
        <w:t>不可抗力的等级范围约定：</w:t>
      </w:r>
      <w:r>
        <w:rPr>
          <w:rFonts w:hint="eastAsia" w:ascii="宋体" w:hAnsi="宋体" w:cs="等线"/>
          <w:highlight w:val="none"/>
          <w:u w:val="single"/>
        </w:rPr>
        <w:t>烈度7度（不含7度）以上地震，10级以上（不含10级）台风，日雨量60mm以上暴雨（以国家县（市）级以上气象局（台）、地震局（台）等专门机构公布为准），以及县市级以上政府公告不允许在本场地施工的时段</w:t>
      </w:r>
      <w:r>
        <w:rPr>
          <w:rFonts w:hint="eastAsia" w:ascii="宋体" w:hAnsi="宋体" w:cs="等线"/>
          <w:highlight w:val="none"/>
        </w:rPr>
        <w:t>。</w:t>
      </w:r>
    </w:p>
    <w:p w14:paraId="40B836E2">
      <w:pPr>
        <w:keepNext/>
        <w:keepLines/>
        <w:spacing w:line="360" w:lineRule="auto"/>
        <w:outlineLvl w:val="2"/>
        <w:rPr>
          <w:rFonts w:hint="eastAsia" w:ascii="宋体" w:hAnsi="宋体" w:cs="等线"/>
          <w:sz w:val="24"/>
          <w:highlight w:val="none"/>
        </w:rPr>
      </w:pPr>
      <w:bookmarkStart w:id="1785" w:name="_Toc159950854"/>
      <w:bookmarkStart w:id="1786" w:name="_Toc38732235"/>
      <w:bookmarkStart w:id="1787" w:name="_Toc22704"/>
      <w:r>
        <w:rPr>
          <w:rFonts w:hint="eastAsia" w:ascii="宋体" w:hAnsi="宋体" w:cs="等线"/>
          <w:sz w:val="24"/>
          <w:highlight w:val="none"/>
        </w:rPr>
        <w:t>21.3 不可抗力后果及其处理</w:t>
      </w:r>
      <w:bookmarkEnd w:id="1785"/>
      <w:bookmarkEnd w:id="1786"/>
      <w:bookmarkEnd w:id="1787"/>
    </w:p>
    <w:p w14:paraId="761E5FE7">
      <w:pPr>
        <w:spacing w:line="360" w:lineRule="auto"/>
        <w:ind w:firstLine="420" w:firstLineChars="200"/>
        <w:rPr>
          <w:rFonts w:hint="eastAsia" w:ascii="宋体" w:hAnsi="宋体" w:cs="等线"/>
          <w:highlight w:val="none"/>
        </w:rPr>
      </w:pPr>
      <w:r>
        <w:rPr>
          <w:rFonts w:hint="eastAsia" w:ascii="宋体" w:hAnsi="宋体" w:cs="等线"/>
          <w:highlight w:val="none"/>
        </w:rPr>
        <w:t>21.3.1不可抗力造成损害的责任</w:t>
      </w:r>
    </w:p>
    <w:p w14:paraId="06521F07">
      <w:pPr>
        <w:spacing w:line="360" w:lineRule="auto"/>
        <w:ind w:firstLine="420" w:firstLineChars="200"/>
        <w:rPr>
          <w:rFonts w:hint="eastAsia" w:ascii="宋体" w:hAnsi="宋体" w:cs="等线"/>
          <w:highlight w:val="none"/>
        </w:rPr>
      </w:pPr>
      <w:r>
        <w:rPr>
          <w:rFonts w:hint="eastAsia" w:ascii="宋体" w:hAnsi="宋体" w:cs="等线"/>
          <w:highlight w:val="none"/>
        </w:rPr>
        <w:t xml:space="preserve">不可抗力导致的人员伤亡、财产损失、费用增加和（或）工期延误等后果，由合同双方按通用合同条款第21.3.1项约定的原则承担。                                                                      </w:t>
      </w:r>
    </w:p>
    <w:p w14:paraId="177CF7A2">
      <w:pPr>
        <w:keepNext/>
        <w:keepLines/>
        <w:spacing w:line="400" w:lineRule="exact"/>
        <w:outlineLvl w:val="1"/>
        <w:rPr>
          <w:rFonts w:hint="eastAsia" w:ascii="宋体" w:hAnsi="宋体" w:cs="等线"/>
          <w:sz w:val="24"/>
          <w:highlight w:val="none"/>
        </w:rPr>
      </w:pPr>
      <w:bookmarkStart w:id="1788" w:name="_Toc32180"/>
      <w:bookmarkStart w:id="1789" w:name="_Toc23549"/>
      <w:bookmarkStart w:id="1790" w:name="_Toc38732236"/>
      <w:bookmarkStart w:id="1791" w:name="_Toc159950855"/>
      <w:r>
        <w:rPr>
          <w:rFonts w:hint="eastAsia" w:ascii="宋体" w:hAnsi="宋体" w:cs="等线"/>
          <w:sz w:val="24"/>
          <w:highlight w:val="none"/>
        </w:rPr>
        <w:t>24. 争议的解决</w:t>
      </w:r>
      <w:bookmarkEnd w:id="1788"/>
      <w:bookmarkEnd w:id="1789"/>
      <w:bookmarkEnd w:id="1790"/>
      <w:bookmarkEnd w:id="1791"/>
    </w:p>
    <w:p w14:paraId="3034BC26">
      <w:pPr>
        <w:keepNext/>
        <w:keepLines/>
        <w:spacing w:line="360" w:lineRule="auto"/>
        <w:outlineLvl w:val="2"/>
        <w:rPr>
          <w:rFonts w:hint="eastAsia" w:ascii="宋体" w:hAnsi="宋体" w:cs="等线"/>
          <w:sz w:val="24"/>
          <w:highlight w:val="none"/>
        </w:rPr>
      </w:pPr>
      <w:bookmarkStart w:id="1792" w:name="_Toc30954"/>
      <w:bookmarkStart w:id="1793" w:name="_Toc159950856"/>
      <w:bookmarkStart w:id="1794" w:name="_Toc38732237"/>
      <w:r>
        <w:rPr>
          <w:rFonts w:hint="eastAsia" w:ascii="宋体" w:hAnsi="宋体" w:cs="等线"/>
          <w:sz w:val="24"/>
          <w:highlight w:val="none"/>
        </w:rPr>
        <w:t>24.1 争议的解决方式</w:t>
      </w:r>
      <w:bookmarkEnd w:id="1792"/>
      <w:bookmarkEnd w:id="1793"/>
      <w:bookmarkEnd w:id="1794"/>
    </w:p>
    <w:p w14:paraId="7222BD6B">
      <w:pPr>
        <w:spacing w:line="360" w:lineRule="auto"/>
        <w:ind w:firstLine="525"/>
        <w:rPr>
          <w:rFonts w:hint="eastAsia" w:ascii="宋体" w:hAnsi="宋体" w:cs="等线"/>
          <w:highlight w:val="none"/>
        </w:rPr>
      </w:pPr>
      <w:r>
        <w:rPr>
          <w:rFonts w:hint="eastAsia" w:ascii="宋体" w:hAnsi="宋体" w:cs="等线"/>
          <w:highlight w:val="none"/>
        </w:rPr>
        <w:t>因本合同引起的或与本合同有关的任何争议，合同双方友好协商不成、不愿提请争议组评审或者不愿接受争议评审组意见的，选择下列第</w:t>
      </w:r>
      <w:r>
        <w:rPr>
          <w:rFonts w:hint="eastAsia" w:ascii="宋体" w:hAnsi="宋体" w:cs="等线"/>
          <w:highlight w:val="none"/>
          <w:u w:val="single"/>
        </w:rPr>
        <w:t xml:space="preserve"> 贰 </w:t>
      </w:r>
      <w:r>
        <w:rPr>
          <w:rFonts w:hint="eastAsia" w:ascii="宋体" w:hAnsi="宋体" w:cs="等线"/>
          <w:highlight w:val="none"/>
        </w:rPr>
        <w:t>种方式解决：</w:t>
      </w:r>
    </w:p>
    <w:p w14:paraId="39C993E1">
      <w:pPr>
        <w:spacing w:line="360" w:lineRule="auto"/>
        <w:ind w:firstLine="525"/>
        <w:rPr>
          <w:rFonts w:hint="eastAsia" w:ascii="宋体" w:hAnsi="宋体" w:cs="等线"/>
          <w:highlight w:val="none"/>
        </w:rPr>
      </w:pPr>
      <w:r>
        <w:rPr>
          <w:rFonts w:hint="eastAsia" w:ascii="宋体" w:hAnsi="宋体" w:cs="等线"/>
          <w:highlight w:val="none"/>
          <w:u w:val="single"/>
        </w:rPr>
        <w:t>（壹）</w:t>
      </w:r>
      <w:r>
        <w:rPr>
          <w:rFonts w:hint="eastAsia" w:ascii="宋体" w:hAnsi="宋体" w:cs="等线"/>
          <w:highlight w:val="none"/>
        </w:rPr>
        <w:t>提请</w:t>
      </w:r>
      <w:r>
        <w:rPr>
          <w:rFonts w:hint="eastAsia" w:ascii="宋体" w:hAnsi="宋体" w:cs="等线"/>
          <w:highlight w:val="none"/>
          <w:u w:val="single"/>
        </w:rPr>
        <w:t xml:space="preserve"> 北京</w:t>
      </w:r>
      <w:r>
        <w:rPr>
          <w:rFonts w:hint="eastAsia" w:ascii="宋体" w:hAnsi="宋体" w:cs="等线"/>
          <w:highlight w:val="none"/>
        </w:rPr>
        <w:t>仲裁委员会按照该会仲裁规则进行仲裁，仲裁裁决是终局的，对合同双方均有约束力。</w:t>
      </w:r>
    </w:p>
    <w:p w14:paraId="053AE8B2">
      <w:pPr>
        <w:spacing w:line="360" w:lineRule="auto"/>
        <w:ind w:firstLine="525"/>
        <w:rPr>
          <w:rFonts w:hint="eastAsia" w:ascii="宋体" w:hAnsi="宋体" w:cs="等线"/>
          <w:highlight w:val="none"/>
        </w:rPr>
      </w:pPr>
      <w:r>
        <w:rPr>
          <w:rFonts w:hint="eastAsia" w:ascii="宋体" w:hAnsi="宋体" w:cs="等线"/>
          <w:highlight w:val="none"/>
          <w:u w:val="single"/>
        </w:rPr>
        <w:t>（贰）</w:t>
      </w:r>
      <w:r>
        <w:rPr>
          <w:rFonts w:hint="eastAsia" w:ascii="宋体" w:hAnsi="宋体" w:cs="等线"/>
          <w:highlight w:val="none"/>
        </w:rPr>
        <w:t>向通州区人民法院提起诉讼。</w:t>
      </w:r>
    </w:p>
    <w:p w14:paraId="3FFDB2DB">
      <w:pPr>
        <w:keepNext/>
        <w:keepLines/>
        <w:spacing w:line="360" w:lineRule="auto"/>
        <w:outlineLvl w:val="2"/>
        <w:rPr>
          <w:rFonts w:hint="eastAsia" w:ascii="宋体" w:hAnsi="宋体" w:cs="等线"/>
          <w:sz w:val="24"/>
          <w:highlight w:val="none"/>
        </w:rPr>
      </w:pPr>
      <w:bookmarkStart w:id="1795" w:name="_Toc38732238"/>
      <w:bookmarkStart w:id="1796" w:name="_Toc6100"/>
      <w:bookmarkStart w:id="1797" w:name="_Toc159950857"/>
      <w:r>
        <w:rPr>
          <w:rFonts w:hint="eastAsia" w:ascii="宋体" w:hAnsi="宋体" w:cs="等线"/>
          <w:sz w:val="24"/>
          <w:highlight w:val="none"/>
        </w:rPr>
        <w:t>24.3 争议评审</w:t>
      </w:r>
      <w:bookmarkEnd w:id="1795"/>
      <w:bookmarkEnd w:id="1796"/>
      <w:bookmarkEnd w:id="1797"/>
    </w:p>
    <w:p w14:paraId="02C34C43">
      <w:pPr>
        <w:spacing w:line="360" w:lineRule="auto"/>
        <w:ind w:firstLine="525"/>
        <w:rPr>
          <w:rFonts w:hint="eastAsia" w:ascii="宋体" w:hAnsi="宋体" w:cs="等线"/>
          <w:highlight w:val="none"/>
        </w:rPr>
      </w:pPr>
      <w:r>
        <w:rPr>
          <w:rFonts w:hint="eastAsia" w:ascii="宋体" w:hAnsi="宋体" w:cs="等线"/>
          <w:highlight w:val="none"/>
        </w:rPr>
        <w:t>24.3.4争议评审组邀请合同双方代表人和有关人员举行调查会的期限：</w:t>
      </w:r>
      <w:r>
        <w:rPr>
          <w:rFonts w:hint="eastAsia" w:ascii="宋体" w:hAnsi="宋体" w:cs="等线"/>
          <w:highlight w:val="none"/>
          <w:u w:val="single"/>
        </w:rPr>
        <w:t>14日内</w:t>
      </w:r>
      <w:r>
        <w:rPr>
          <w:rFonts w:hint="eastAsia" w:ascii="宋体" w:hAnsi="宋体" w:cs="等线"/>
          <w:highlight w:val="none"/>
        </w:rPr>
        <w:t>。</w:t>
      </w:r>
    </w:p>
    <w:p w14:paraId="19514B82">
      <w:pPr>
        <w:spacing w:line="360" w:lineRule="auto"/>
        <w:ind w:firstLine="525"/>
        <w:rPr>
          <w:rFonts w:hint="eastAsia" w:ascii="宋体" w:hAnsi="宋体" w:cs="等线"/>
          <w:highlight w:val="none"/>
        </w:rPr>
      </w:pPr>
      <w:r>
        <w:rPr>
          <w:rFonts w:hint="eastAsia" w:ascii="宋体" w:hAnsi="宋体" w:cs="等线"/>
          <w:highlight w:val="none"/>
        </w:rPr>
        <w:t>24.3.5争议评审组在调查会后作出争议评审意见的期限：</w:t>
      </w:r>
      <w:r>
        <w:rPr>
          <w:rFonts w:hint="eastAsia" w:ascii="宋体" w:hAnsi="宋体" w:cs="等线"/>
          <w:highlight w:val="none"/>
          <w:u w:val="single"/>
        </w:rPr>
        <w:t>14日内</w:t>
      </w:r>
      <w:r>
        <w:rPr>
          <w:rFonts w:hint="eastAsia" w:ascii="宋体" w:hAnsi="宋体" w:cs="等线"/>
          <w:highlight w:val="none"/>
        </w:rPr>
        <w:t>。</w:t>
      </w:r>
    </w:p>
    <w:p w14:paraId="5ECA714D">
      <w:pPr>
        <w:rPr>
          <w:rFonts w:hint="eastAsia" w:ascii="宋体" w:hAnsi="宋体" w:cs="等线"/>
          <w:highlight w:val="none"/>
        </w:rPr>
      </w:pPr>
    </w:p>
    <w:p w14:paraId="176974DC">
      <w:pPr>
        <w:keepNext/>
        <w:keepLines/>
        <w:spacing w:line="400" w:lineRule="exact"/>
        <w:jc w:val="left"/>
        <w:outlineLvl w:val="1"/>
        <w:rPr>
          <w:rFonts w:hint="eastAsia" w:ascii="宋体" w:hAnsi="宋体" w:cs="等线"/>
          <w:highlight w:val="none"/>
        </w:rPr>
      </w:pPr>
      <w:bookmarkStart w:id="1798" w:name="_Toc23409"/>
      <w:bookmarkStart w:id="1799" w:name="_Toc12127"/>
      <w:bookmarkStart w:id="1800" w:name="_Toc159950858"/>
      <w:bookmarkStart w:id="1801" w:name="_Toc38732239"/>
      <w:r>
        <w:rPr>
          <w:rFonts w:hint="eastAsia" w:ascii="宋体" w:hAnsi="宋体" w:cs="等线"/>
          <w:highlight w:val="none"/>
        </w:rPr>
        <w:t>25．其他</w:t>
      </w:r>
      <w:bookmarkEnd w:id="1798"/>
      <w:bookmarkEnd w:id="1799"/>
      <w:bookmarkEnd w:id="1800"/>
      <w:bookmarkEnd w:id="1801"/>
    </w:p>
    <w:p w14:paraId="43B4E640">
      <w:pPr>
        <w:keepNext/>
        <w:keepLines/>
        <w:numPr>
          <w:ilvl w:val="1"/>
          <w:numId w:val="13"/>
        </w:numPr>
        <w:spacing w:line="360" w:lineRule="auto"/>
        <w:outlineLvl w:val="2"/>
        <w:rPr>
          <w:rFonts w:hint="eastAsia" w:ascii="宋体" w:hAnsi="宋体" w:cs="等线"/>
          <w:highlight w:val="none"/>
        </w:rPr>
      </w:pPr>
      <w:bookmarkStart w:id="1802" w:name="_Toc27449"/>
      <w:bookmarkStart w:id="1803" w:name="_Toc38732240"/>
      <w:bookmarkStart w:id="1804" w:name="_Toc159950859"/>
      <w:r>
        <w:rPr>
          <w:rFonts w:hint="eastAsia" w:ascii="宋体" w:hAnsi="宋体" w:cs="等线"/>
          <w:highlight w:val="none"/>
        </w:rPr>
        <w:t>施工单位应注意事项</w:t>
      </w:r>
      <w:bookmarkEnd w:id="1802"/>
      <w:bookmarkEnd w:id="1803"/>
      <w:bookmarkEnd w:id="1804"/>
      <w:r>
        <w:rPr>
          <w:rFonts w:hint="eastAsia" w:ascii="宋体" w:hAnsi="宋体" w:cs="等线"/>
          <w:highlight w:val="none"/>
        </w:rPr>
        <w:t xml:space="preserve">   </w:t>
      </w:r>
    </w:p>
    <w:p w14:paraId="0DF20649">
      <w:pPr>
        <w:spacing w:line="360" w:lineRule="auto"/>
        <w:ind w:firstLine="525"/>
        <w:rPr>
          <w:rFonts w:hint="eastAsia" w:ascii="宋体" w:hAnsi="宋体" w:cs="等线"/>
          <w:highlight w:val="none"/>
        </w:rPr>
      </w:pPr>
      <w:r>
        <w:rPr>
          <w:rFonts w:hint="eastAsia" w:ascii="宋体" w:hAnsi="宋体" w:cs="等线"/>
          <w:highlight w:val="none"/>
        </w:rPr>
        <w:t>施工过程中可能会对周边设备及器具进行移位，以现场踏勘为准，此项内容已投标报价中综合考虑，不再单独计取。</w:t>
      </w:r>
    </w:p>
    <w:p w14:paraId="3DC6F9D6">
      <w:pPr>
        <w:spacing w:line="360" w:lineRule="auto"/>
        <w:ind w:firstLine="525"/>
        <w:rPr>
          <w:rFonts w:hint="eastAsia" w:ascii="宋体" w:hAnsi="宋体"/>
          <w:szCs w:val="21"/>
          <w:highlight w:val="none"/>
        </w:rPr>
      </w:pPr>
      <w:r>
        <w:rPr>
          <w:rFonts w:hint="eastAsia" w:ascii="宋体" w:hAnsi="宋体" w:cs="等线"/>
          <w:highlight w:val="none"/>
        </w:rPr>
        <w:t xml:space="preserve"> </w:t>
      </w:r>
      <w:bookmarkStart w:id="1805" w:name="OLE_LINK31"/>
      <w:bookmarkStart w:id="1806" w:name="OLE_LINK32"/>
      <w:bookmarkStart w:id="1807" w:name="_Toc152045767"/>
      <w:bookmarkStart w:id="1808" w:name="_Toc179632785"/>
      <w:bookmarkStart w:id="1809" w:name="_Toc152042546"/>
      <w:bookmarkStart w:id="1810" w:name="_Toc144974826"/>
      <w:r>
        <w:rPr>
          <w:rFonts w:hint="eastAsia" w:ascii="宋体" w:hAnsi="宋体"/>
          <w:szCs w:val="21"/>
          <w:highlight w:val="none"/>
        </w:rPr>
        <w:t xml:space="preserve"> </w:t>
      </w:r>
      <w:bookmarkEnd w:id="1805"/>
      <w:bookmarkEnd w:id="1806"/>
    </w:p>
    <w:p w14:paraId="0F7011F6">
      <w:pPr>
        <w:spacing w:line="400" w:lineRule="exact"/>
        <w:ind w:firstLine="525"/>
        <w:rPr>
          <w:rFonts w:hint="eastAsia" w:ascii="宋体" w:hAnsi="宋体"/>
          <w:highlight w:val="none"/>
        </w:rPr>
        <w:sectPr>
          <w:headerReference r:id="rId13" w:type="default"/>
          <w:footerReference r:id="rId15" w:type="default"/>
          <w:headerReference r:id="rId14" w:type="even"/>
          <w:footerReference r:id="rId16" w:type="even"/>
          <w:pgSz w:w="11906" w:h="16838"/>
          <w:pgMar w:top="1440" w:right="1797" w:bottom="1440" w:left="1797" w:header="851" w:footer="992" w:gutter="0"/>
          <w:cols w:space="720" w:num="1"/>
          <w:docGrid w:linePitch="312" w:charSpace="0"/>
        </w:sectPr>
      </w:pPr>
    </w:p>
    <w:p w14:paraId="47672A70">
      <w:pPr>
        <w:jc w:val="center"/>
        <w:rPr>
          <w:rFonts w:hint="eastAsia" w:ascii="宋体" w:hAnsi="宋体"/>
          <w:b/>
          <w:sz w:val="44"/>
          <w:szCs w:val="44"/>
          <w:highlight w:val="none"/>
        </w:rPr>
      </w:pPr>
    </w:p>
    <w:p w14:paraId="7695E32F">
      <w:pPr>
        <w:jc w:val="center"/>
        <w:rPr>
          <w:rFonts w:hint="eastAsia" w:ascii="宋体" w:hAnsi="宋体"/>
          <w:b/>
          <w:sz w:val="44"/>
          <w:szCs w:val="44"/>
          <w:highlight w:val="none"/>
        </w:rPr>
      </w:pPr>
    </w:p>
    <w:p w14:paraId="4AA9C45D">
      <w:pPr>
        <w:jc w:val="center"/>
        <w:rPr>
          <w:rFonts w:hint="eastAsia" w:ascii="宋体" w:hAnsi="宋体"/>
          <w:b/>
          <w:sz w:val="44"/>
          <w:szCs w:val="44"/>
          <w:highlight w:val="none"/>
        </w:rPr>
      </w:pPr>
    </w:p>
    <w:p w14:paraId="589D1383">
      <w:pPr>
        <w:jc w:val="center"/>
        <w:rPr>
          <w:rFonts w:hint="eastAsia" w:ascii="宋体" w:hAnsi="宋体"/>
          <w:b/>
          <w:sz w:val="44"/>
          <w:szCs w:val="44"/>
          <w:highlight w:val="none"/>
        </w:rPr>
      </w:pPr>
    </w:p>
    <w:p w14:paraId="6210C4CB">
      <w:pPr>
        <w:jc w:val="center"/>
        <w:rPr>
          <w:rFonts w:hint="eastAsia" w:ascii="宋体" w:hAnsi="宋体"/>
          <w:b/>
          <w:sz w:val="44"/>
          <w:szCs w:val="44"/>
          <w:highlight w:val="none"/>
        </w:rPr>
      </w:pPr>
    </w:p>
    <w:p w14:paraId="08184386">
      <w:pPr>
        <w:jc w:val="center"/>
        <w:rPr>
          <w:rFonts w:hint="eastAsia" w:ascii="宋体" w:hAnsi="宋体"/>
          <w:b/>
          <w:sz w:val="44"/>
          <w:szCs w:val="44"/>
          <w:highlight w:val="none"/>
        </w:rPr>
      </w:pPr>
    </w:p>
    <w:p w14:paraId="59A49684">
      <w:pPr>
        <w:jc w:val="center"/>
        <w:rPr>
          <w:rFonts w:hint="eastAsia" w:ascii="宋体" w:hAnsi="宋体"/>
          <w:b/>
          <w:sz w:val="44"/>
          <w:szCs w:val="44"/>
          <w:highlight w:val="none"/>
        </w:rPr>
      </w:pPr>
    </w:p>
    <w:p w14:paraId="5D29F07F">
      <w:pPr>
        <w:jc w:val="center"/>
        <w:rPr>
          <w:rFonts w:hint="eastAsia" w:ascii="宋体" w:hAnsi="宋体"/>
          <w:highlight w:val="none"/>
        </w:rPr>
      </w:pPr>
      <w:r>
        <w:rPr>
          <w:rFonts w:ascii="宋体" w:hAnsi="宋体"/>
          <w:b/>
          <w:sz w:val="44"/>
          <w:szCs w:val="44"/>
          <w:highlight w:val="none"/>
        </w:rPr>
        <w:t>第</w:t>
      </w:r>
      <w:r>
        <w:rPr>
          <w:rFonts w:hint="eastAsia" w:ascii="宋体" w:hAnsi="宋体"/>
          <w:b/>
          <w:sz w:val="44"/>
          <w:szCs w:val="44"/>
          <w:highlight w:val="none"/>
        </w:rPr>
        <w:t>四节 工程质量保修书</w:t>
      </w:r>
    </w:p>
    <w:p w14:paraId="3EA7CD3C">
      <w:pPr>
        <w:spacing w:line="360" w:lineRule="auto"/>
        <w:rPr>
          <w:rFonts w:hint="eastAsia" w:ascii="宋体" w:hAnsi="宋体"/>
          <w:highlight w:val="none"/>
        </w:rPr>
      </w:pPr>
    </w:p>
    <w:p w14:paraId="3BCCD6B9">
      <w:pPr>
        <w:widowControl/>
        <w:jc w:val="left"/>
        <w:rPr>
          <w:rFonts w:hint="eastAsia" w:ascii="宋体" w:hAnsi="宋体"/>
          <w:highlight w:val="none"/>
        </w:rPr>
      </w:pPr>
      <w:r>
        <w:rPr>
          <w:rFonts w:ascii="宋体" w:hAnsi="宋体"/>
          <w:highlight w:val="none"/>
        </w:rPr>
        <w:br w:type="page"/>
      </w:r>
    </w:p>
    <w:p w14:paraId="51EA202A">
      <w:pPr>
        <w:snapToGrid w:val="0"/>
        <w:spacing w:line="360" w:lineRule="auto"/>
        <w:jc w:val="center"/>
        <w:rPr>
          <w:rFonts w:hint="eastAsia" w:ascii="宋体" w:hAnsi="宋体"/>
          <w:sz w:val="32"/>
          <w:szCs w:val="32"/>
          <w:highlight w:val="none"/>
        </w:rPr>
      </w:pPr>
      <w:r>
        <w:rPr>
          <w:rFonts w:hint="eastAsia" w:ascii="宋体" w:hAnsi="宋体"/>
          <w:b/>
          <w:sz w:val="32"/>
          <w:szCs w:val="32"/>
          <w:highlight w:val="none"/>
        </w:rPr>
        <w:t>工程质量保修书</w:t>
      </w:r>
    </w:p>
    <w:p w14:paraId="5CB80918">
      <w:pPr>
        <w:adjustRightInd w:val="0"/>
        <w:snapToGrid w:val="0"/>
        <w:spacing w:line="360" w:lineRule="auto"/>
        <w:rPr>
          <w:rFonts w:hint="eastAsia" w:ascii="宋体" w:hAnsi="宋体"/>
          <w:szCs w:val="21"/>
          <w:highlight w:val="none"/>
        </w:rPr>
      </w:pPr>
    </w:p>
    <w:p w14:paraId="3B37DF9F">
      <w:pPr>
        <w:adjustRightInd w:val="0"/>
        <w:snapToGrid w:val="0"/>
        <w:spacing w:line="360" w:lineRule="auto"/>
        <w:ind w:firstLine="316" w:firstLineChars="150"/>
        <w:rPr>
          <w:rFonts w:hint="eastAsia" w:ascii="宋体" w:hAnsi="宋体"/>
          <w:b/>
          <w:szCs w:val="21"/>
          <w:highlight w:val="none"/>
        </w:rPr>
      </w:pPr>
      <w:r>
        <w:rPr>
          <w:rFonts w:hint="eastAsia" w:ascii="宋体" w:hAnsi="宋体"/>
          <w:b/>
          <w:szCs w:val="21"/>
          <w:highlight w:val="none"/>
        </w:rPr>
        <w:t>建设单位：</w:t>
      </w:r>
      <w:r>
        <w:rPr>
          <w:rFonts w:hint="eastAsia" w:ascii="宋体" w:hAnsi="宋体"/>
          <w:b/>
          <w:szCs w:val="21"/>
          <w:highlight w:val="none"/>
          <w:u w:val="single"/>
        </w:rPr>
        <w:t>北京财贸职业学院</w:t>
      </w:r>
    </w:p>
    <w:p w14:paraId="41A5B523">
      <w:pPr>
        <w:adjustRightInd w:val="0"/>
        <w:snapToGrid w:val="0"/>
        <w:spacing w:line="360" w:lineRule="auto"/>
        <w:ind w:firstLine="316" w:firstLineChars="150"/>
        <w:rPr>
          <w:rFonts w:hint="eastAsia" w:ascii="宋体" w:hAnsi="宋体"/>
          <w:b/>
          <w:szCs w:val="21"/>
          <w:highlight w:val="none"/>
          <w:u w:val="single"/>
        </w:rPr>
      </w:pPr>
      <w:r>
        <w:rPr>
          <w:rFonts w:hint="eastAsia" w:ascii="宋体" w:hAnsi="宋体"/>
          <w:b/>
          <w:szCs w:val="21"/>
          <w:highlight w:val="none"/>
        </w:rPr>
        <w:t>承 包 人：</w:t>
      </w:r>
      <w:r>
        <w:rPr>
          <w:rFonts w:hint="eastAsia" w:ascii="宋体" w:hAnsi="宋体"/>
          <w:b/>
          <w:szCs w:val="21"/>
          <w:highlight w:val="none"/>
          <w:u w:val="single"/>
        </w:rPr>
        <w:t xml:space="preserve">*** </w:t>
      </w:r>
    </w:p>
    <w:p w14:paraId="4BE2A9C2">
      <w:pPr>
        <w:adjustRightInd w:val="0"/>
        <w:snapToGrid w:val="0"/>
        <w:spacing w:line="360" w:lineRule="auto"/>
        <w:ind w:left="332" w:leftChars="158" w:firstLine="420" w:firstLineChars="200"/>
        <w:rPr>
          <w:rFonts w:hint="eastAsia" w:ascii="宋体" w:hAnsi="宋体"/>
          <w:szCs w:val="21"/>
          <w:highlight w:val="none"/>
        </w:rPr>
      </w:pPr>
      <w:r>
        <w:rPr>
          <w:rFonts w:hint="eastAsia" w:ascii="宋体" w:hAnsi="宋体"/>
          <w:szCs w:val="21"/>
          <w:highlight w:val="none"/>
        </w:rPr>
        <w:t>为保证</w:t>
      </w:r>
      <w:r>
        <w:rPr>
          <w:rFonts w:hint="eastAsia" w:ascii="宋体" w:hAnsi="宋体"/>
          <w:szCs w:val="21"/>
          <w:highlight w:val="none"/>
          <w:u w:val="single"/>
        </w:rPr>
        <w:t xml:space="preserve">  ***工程</w:t>
      </w:r>
      <w:r>
        <w:rPr>
          <w:rFonts w:hint="eastAsia" w:ascii="宋体" w:hAnsi="宋体"/>
          <w:szCs w:val="18"/>
          <w:highlight w:val="none"/>
          <w:u w:val="single"/>
        </w:rPr>
        <w:t xml:space="preserve">  </w:t>
      </w:r>
      <w:r>
        <w:rPr>
          <w:rFonts w:hint="eastAsia" w:ascii="宋体" w:hAnsi="宋体"/>
          <w:szCs w:val="21"/>
          <w:highlight w:val="none"/>
        </w:rPr>
        <w:t>在合理使用期限内正常使用，经甲、乙双方协商一致并签定本工程质量保修书。承包人在质量保修期内按照《建设工程质量管理条例》、《房屋建筑工程质量保修办法》和国家、北京市有关管理规定承担工程质量保修责任。</w:t>
      </w:r>
    </w:p>
    <w:p w14:paraId="6C3C2527">
      <w:pPr>
        <w:tabs>
          <w:tab w:val="left" w:pos="840"/>
        </w:tabs>
        <w:adjustRightInd w:val="0"/>
        <w:snapToGrid w:val="0"/>
        <w:spacing w:line="360" w:lineRule="auto"/>
        <w:jc w:val="left"/>
        <w:outlineLvl w:val="1"/>
        <w:rPr>
          <w:rFonts w:hint="eastAsia" w:ascii="宋体" w:hAnsi="宋体"/>
          <w:b/>
          <w:bCs/>
          <w:kern w:val="0"/>
          <w:szCs w:val="21"/>
          <w:highlight w:val="none"/>
        </w:rPr>
      </w:pPr>
      <w:bookmarkStart w:id="1811" w:name="_Toc159950860"/>
      <w:bookmarkStart w:id="1812" w:name="_Toc115802048"/>
      <w:r>
        <w:rPr>
          <w:rFonts w:hint="eastAsia" w:ascii="宋体" w:hAnsi="宋体"/>
          <w:b/>
          <w:bCs/>
          <w:kern w:val="0"/>
          <w:szCs w:val="21"/>
          <w:highlight w:val="none"/>
        </w:rPr>
        <w:t>一、工程质量保修范围和内容</w:t>
      </w:r>
      <w:bookmarkEnd w:id="1811"/>
      <w:bookmarkEnd w:id="1812"/>
    </w:p>
    <w:p w14:paraId="3A1DA507">
      <w:pPr>
        <w:adjustRightInd w:val="0"/>
        <w:snapToGrid w:val="0"/>
        <w:spacing w:line="360" w:lineRule="auto"/>
        <w:ind w:left="332"/>
        <w:rPr>
          <w:rFonts w:hint="eastAsia" w:ascii="宋体" w:hAnsi="宋体"/>
          <w:szCs w:val="21"/>
          <w:highlight w:val="none"/>
          <w:u w:val="single"/>
        </w:rPr>
      </w:pPr>
      <w:r>
        <w:rPr>
          <w:rFonts w:hint="eastAsia" w:ascii="宋体" w:hAnsi="宋体"/>
          <w:szCs w:val="21"/>
          <w:highlight w:val="none"/>
        </w:rPr>
        <w:t>质量保修范围包括：</w:t>
      </w:r>
      <w:r>
        <w:rPr>
          <w:rFonts w:hint="eastAsia" w:ascii="宋体" w:hAnsi="宋体"/>
          <w:szCs w:val="21"/>
          <w:highlight w:val="none"/>
          <w:u w:val="single"/>
        </w:rPr>
        <w:t xml:space="preserve"> 根据清单范围内所有相关内容。</w:t>
      </w:r>
    </w:p>
    <w:p w14:paraId="6665114A">
      <w:pPr>
        <w:adjustRightInd w:val="0"/>
        <w:snapToGrid w:val="0"/>
        <w:spacing w:line="360" w:lineRule="auto"/>
        <w:ind w:left="332"/>
        <w:rPr>
          <w:rFonts w:hint="eastAsia" w:ascii="宋体" w:hAnsi="宋体"/>
          <w:szCs w:val="21"/>
          <w:highlight w:val="none"/>
        </w:rPr>
      </w:pPr>
      <w:r>
        <w:rPr>
          <w:rFonts w:hint="eastAsia" w:ascii="宋体" w:hAnsi="宋体"/>
          <w:szCs w:val="21"/>
          <w:highlight w:val="none"/>
        </w:rPr>
        <w:t>具体质量保修内容双方约定如下:</w:t>
      </w:r>
    </w:p>
    <w:p w14:paraId="1CCB6C7D">
      <w:pPr>
        <w:adjustRightInd w:val="0"/>
        <w:snapToGrid w:val="0"/>
        <w:spacing w:line="360" w:lineRule="auto"/>
        <w:ind w:left="332"/>
        <w:rPr>
          <w:rFonts w:hint="eastAsia" w:ascii="宋体" w:hAnsi="宋体"/>
          <w:szCs w:val="21"/>
          <w:highlight w:val="none"/>
        </w:rPr>
      </w:pPr>
      <w:r>
        <w:rPr>
          <w:rFonts w:hint="eastAsia" w:ascii="宋体" w:hAnsi="宋体"/>
          <w:szCs w:val="21"/>
          <w:highlight w:val="none"/>
          <w:u w:val="single"/>
        </w:rPr>
        <w:t xml:space="preserve">施工过程中所有实际发生的施工内容。                                          </w:t>
      </w:r>
    </w:p>
    <w:p w14:paraId="74A8A05B">
      <w:pPr>
        <w:tabs>
          <w:tab w:val="left" w:pos="840"/>
        </w:tabs>
        <w:adjustRightInd w:val="0"/>
        <w:snapToGrid w:val="0"/>
        <w:spacing w:line="360" w:lineRule="auto"/>
        <w:jc w:val="left"/>
        <w:outlineLvl w:val="1"/>
        <w:rPr>
          <w:rFonts w:hint="eastAsia" w:ascii="宋体" w:hAnsi="宋体"/>
          <w:b/>
          <w:bCs/>
          <w:kern w:val="0"/>
          <w:szCs w:val="21"/>
          <w:highlight w:val="none"/>
        </w:rPr>
      </w:pPr>
      <w:bookmarkStart w:id="1813" w:name="_Toc115802049"/>
      <w:bookmarkStart w:id="1814" w:name="_Toc159950861"/>
      <w:r>
        <w:rPr>
          <w:rFonts w:hint="eastAsia" w:ascii="宋体" w:hAnsi="宋体"/>
          <w:b/>
          <w:bCs/>
          <w:kern w:val="0"/>
          <w:szCs w:val="21"/>
          <w:highlight w:val="none"/>
        </w:rPr>
        <w:t>二、质量保修期</w:t>
      </w:r>
      <w:bookmarkEnd w:id="1813"/>
      <w:bookmarkEnd w:id="1814"/>
    </w:p>
    <w:p w14:paraId="60BB5AB8">
      <w:pPr>
        <w:adjustRightInd w:val="0"/>
        <w:snapToGrid w:val="0"/>
        <w:spacing w:line="360" w:lineRule="auto"/>
        <w:ind w:left="332"/>
        <w:rPr>
          <w:rFonts w:hint="eastAsia" w:ascii="宋体" w:hAnsi="宋体"/>
          <w:szCs w:val="21"/>
          <w:highlight w:val="none"/>
        </w:rPr>
      </w:pPr>
      <w:r>
        <w:rPr>
          <w:rFonts w:hint="eastAsia" w:ascii="宋体" w:hAnsi="宋体"/>
          <w:szCs w:val="21"/>
          <w:highlight w:val="none"/>
        </w:rPr>
        <w:t>本工程质量保修期限从本工程竣工验收合格之日（颁发竣工验收证书之日）起计算。双方根据国家有关规定，约定质量最低保修期限为</w:t>
      </w:r>
      <w:r>
        <w:rPr>
          <w:rFonts w:hint="eastAsia" w:ascii="宋体" w:hAnsi="宋体"/>
          <w:szCs w:val="21"/>
          <w:highlight w:val="none"/>
          <w:u w:val="single"/>
        </w:rPr>
        <w:t>5年</w:t>
      </w:r>
      <w:r>
        <w:rPr>
          <w:rFonts w:hint="eastAsia" w:ascii="宋体" w:hAnsi="宋体"/>
          <w:szCs w:val="21"/>
          <w:highlight w:val="none"/>
        </w:rPr>
        <w:t>，其中防水工程为</w:t>
      </w:r>
      <w:r>
        <w:rPr>
          <w:rFonts w:hint="eastAsia" w:ascii="宋体" w:hAnsi="宋体"/>
          <w:szCs w:val="21"/>
          <w:highlight w:val="none"/>
          <w:u w:val="single"/>
        </w:rPr>
        <w:t>5年</w:t>
      </w:r>
      <w:r>
        <w:rPr>
          <w:rFonts w:hint="eastAsia" w:ascii="宋体" w:hAnsi="宋体"/>
          <w:szCs w:val="21"/>
          <w:highlight w:val="none"/>
        </w:rPr>
        <w:t>。</w:t>
      </w:r>
    </w:p>
    <w:p w14:paraId="02A3864D">
      <w:pPr>
        <w:tabs>
          <w:tab w:val="left" w:pos="840"/>
        </w:tabs>
        <w:adjustRightInd w:val="0"/>
        <w:snapToGrid w:val="0"/>
        <w:spacing w:line="360" w:lineRule="auto"/>
        <w:jc w:val="left"/>
        <w:outlineLvl w:val="1"/>
        <w:rPr>
          <w:rFonts w:hint="eastAsia" w:ascii="宋体" w:hAnsi="宋体"/>
          <w:b/>
          <w:bCs/>
          <w:kern w:val="0"/>
          <w:szCs w:val="21"/>
          <w:highlight w:val="none"/>
        </w:rPr>
      </w:pPr>
      <w:bookmarkStart w:id="1815" w:name="_Toc115802050"/>
      <w:bookmarkStart w:id="1816" w:name="_Toc159950862"/>
      <w:r>
        <w:rPr>
          <w:rFonts w:hint="eastAsia" w:ascii="宋体" w:hAnsi="宋体"/>
          <w:b/>
          <w:bCs/>
          <w:kern w:val="0"/>
          <w:szCs w:val="21"/>
          <w:highlight w:val="none"/>
        </w:rPr>
        <w:t>三、质量保修责任</w:t>
      </w:r>
      <w:bookmarkEnd w:id="1815"/>
      <w:bookmarkEnd w:id="1816"/>
    </w:p>
    <w:p w14:paraId="377C2746">
      <w:pPr>
        <w:adjustRightInd w:val="0"/>
        <w:snapToGrid w:val="0"/>
        <w:spacing w:line="360" w:lineRule="auto"/>
        <w:ind w:left="382" w:hanging="382"/>
        <w:rPr>
          <w:rFonts w:hint="eastAsia" w:ascii="宋体" w:hAnsi="宋体"/>
          <w:szCs w:val="21"/>
          <w:highlight w:val="none"/>
        </w:rPr>
      </w:pPr>
      <w:r>
        <w:rPr>
          <w:rFonts w:hint="eastAsia" w:ascii="宋体" w:hAnsi="宋体"/>
          <w:szCs w:val="21"/>
          <w:highlight w:val="none"/>
        </w:rPr>
        <w:t>1、本工程在保修期限出现质量缺陷，建设单位应当向承包人发出保修通知。承包人接到保修通知后24小时内，应当到现场核查情况并派人修理。承包人不在约定期限内派人修理，建设单位可委托其他人员修理，修理费用从承包人质量保留金内支付。</w:t>
      </w:r>
    </w:p>
    <w:p w14:paraId="0E94EE4A">
      <w:pPr>
        <w:adjustRightInd w:val="0"/>
        <w:snapToGrid w:val="0"/>
        <w:spacing w:line="360" w:lineRule="auto"/>
        <w:ind w:left="382" w:hanging="382"/>
        <w:rPr>
          <w:rFonts w:hint="eastAsia" w:ascii="宋体" w:hAnsi="宋体"/>
          <w:szCs w:val="21"/>
          <w:highlight w:val="none"/>
        </w:rPr>
      </w:pPr>
      <w:r>
        <w:rPr>
          <w:rFonts w:hint="eastAsia" w:ascii="宋体" w:hAnsi="宋体"/>
          <w:szCs w:val="21"/>
          <w:highlight w:val="none"/>
        </w:rPr>
        <w:t>2、发生紧急抢修事故，承包人接到事故通知后，应立即到达事故现场抢修。非承包人施工质量引起的事故，抢修费用由责任人承担。</w:t>
      </w:r>
    </w:p>
    <w:p w14:paraId="74249707">
      <w:pPr>
        <w:adjustRightInd w:val="0"/>
        <w:snapToGrid w:val="0"/>
        <w:spacing w:line="360" w:lineRule="auto"/>
        <w:ind w:left="382" w:hanging="382"/>
        <w:rPr>
          <w:rFonts w:hint="eastAsia" w:ascii="宋体" w:hAnsi="宋体"/>
          <w:szCs w:val="21"/>
          <w:highlight w:val="none"/>
        </w:rPr>
      </w:pPr>
      <w:r>
        <w:rPr>
          <w:rFonts w:hint="eastAsia" w:ascii="宋体" w:hAnsi="宋体"/>
          <w:szCs w:val="21"/>
          <w:highlight w:val="none"/>
        </w:rPr>
        <w:t>3、在国家规定的工程合理使用期限内，承包人确保工程的质量。因承包人原因致使工程在合理使用期限内造成人身和财产损害的，承包人应承担损害赔偿责任。</w:t>
      </w:r>
    </w:p>
    <w:p w14:paraId="7704B645">
      <w:pPr>
        <w:tabs>
          <w:tab w:val="left" w:pos="840"/>
        </w:tabs>
        <w:adjustRightInd w:val="0"/>
        <w:snapToGrid w:val="0"/>
        <w:spacing w:line="360" w:lineRule="auto"/>
        <w:jc w:val="left"/>
        <w:outlineLvl w:val="1"/>
        <w:rPr>
          <w:rFonts w:hint="eastAsia" w:ascii="宋体" w:hAnsi="宋体"/>
          <w:b/>
          <w:bCs/>
          <w:kern w:val="0"/>
          <w:szCs w:val="21"/>
          <w:highlight w:val="none"/>
        </w:rPr>
      </w:pPr>
      <w:bookmarkStart w:id="1817" w:name="_Toc115802051"/>
      <w:bookmarkStart w:id="1818" w:name="_Toc159950863"/>
      <w:r>
        <w:rPr>
          <w:rFonts w:hint="eastAsia" w:ascii="宋体" w:hAnsi="宋体"/>
          <w:b/>
          <w:bCs/>
          <w:kern w:val="0"/>
          <w:szCs w:val="21"/>
          <w:highlight w:val="none"/>
        </w:rPr>
        <w:t>四、</w:t>
      </w:r>
      <w:bookmarkEnd w:id="1817"/>
      <w:r>
        <w:rPr>
          <w:rFonts w:hint="eastAsia" w:ascii="宋体" w:hAnsi="宋体"/>
          <w:b/>
          <w:bCs/>
          <w:kern w:val="0"/>
          <w:szCs w:val="21"/>
          <w:highlight w:val="none"/>
        </w:rPr>
        <w:t>质量保证金金额及支付</w:t>
      </w:r>
      <w:bookmarkEnd w:id="1818"/>
    </w:p>
    <w:p w14:paraId="038F12B4">
      <w:pPr>
        <w:adjustRightInd w:val="0"/>
        <w:snapToGrid w:val="0"/>
        <w:spacing w:line="360" w:lineRule="auto"/>
        <w:ind w:left="382" w:hanging="382"/>
        <w:rPr>
          <w:rFonts w:hint="eastAsia" w:ascii="宋体" w:hAnsi="宋体"/>
          <w:szCs w:val="21"/>
          <w:highlight w:val="none"/>
        </w:rPr>
      </w:pPr>
      <w:r>
        <w:rPr>
          <w:rFonts w:hint="eastAsia" w:ascii="宋体" w:hAnsi="宋体"/>
          <w:szCs w:val="21"/>
          <w:highlight w:val="none"/>
        </w:rPr>
        <w:t>1、本工程约定的工程质量保修金为</w:t>
      </w:r>
      <w:r>
        <w:rPr>
          <w:rFonts w:hint="eastAsia" w:ascii="宋体" w:hAnsi="宋体"/>
          <w:szCs w:val="21"/>
          <w:highlight w:val="none"/>
          <w:u w:val="single"/>
        </w:rPr>
        <w:t>本工程实际结算价的3%</w:t>
      </w:r>
      <w:r>
        <w:rPr>
          <w:rFonts w:hint="eastAsia" w:ascii="宋体" w:hAnsi="宋体"/>
          <w:szCs w:val="21"/>
          <w:highlight w:val="none"/>
        </w:rPr>
        <w:t>。</w:t>
      </w:r>
    </w:p>
    <w:p w14:paraId="22A1AA3E">
      <w:pPr>
        <w:adjustRightInd w:val="0"/>
        <w:snapToGrid w:val="0"/>
        <w:spacing w:line="360" w:lineRule="auto"/>
        <w:ind w:left="210" w:hanging="210" w:hangingChars="100"/>
        <w:rPr>
          <w:rFonts w:hint="eastAsia" w:ascii="宋体" w:hAnsi="宋体"/>
          <w:szCs w:val="21"/>
          <w:highlight w:val="none"/>
        </w:rPr>
      </w:pPr>
      <w:r>
        <w:rPr>
          <w:rFonts w:hint="eastAsia" w:ascii="宋体" w:hAnsi="宋体"/>
          <w:szCs w:val="21"/>
          <w:highlight w:val="none"/>
        </w:rPr>
        <w:t>2、在承包人已经完成本合同所规定的保修义务，并已得到建设单位向承包人颁发的保修责任终止证书之日后56天内，建设单位将剩余的质量保证金金额全部支付给承包人。</w:t>
      </w:r>
      <w:bookmarkStart w:id="1819" w:name="_Toc115802053"/>
    </w:p>
    <w:p w14:paraId="325EE35F">
      <w:pPr>
        <w:tabs>
          <w:tab w:val="left" w:pos="840"/>
        </w:tabs>
        <w:adjustRightInd w:val="0"/>
        <w:snapToGrid w:val="0"/>
        <w:spacing w:line="360" w:lineRule="auto"/>
        <w:jc w:val="left"/>
        <w:outlineLvl w:val="1"/>
        <w:rPr>
          <w:rFonts w:hint="eastAsia" w:ascii="宋体" w:hAnsi="宋体"/>
          <w:b/>
          <w:bCs/>
          <w:kern w:val="0"/>
          <w:szCs w:val="21"/>
          <w:highlight w:val="none"/>
        </w:rPr>
      </w:pPr>
      <w:bookmarkStart w:id="1820" w:name="_Toc159950864"/>
      <w:r>
        <w:rPr>
          <w:rFonts w:hint="eastAsia" w:ascii="宋体" w:hAnsi="宋体"/>
          <w:b/>
          <w:bCs/>
          <w:kern w:val="0"/>
          <w:szCs w:val="21"/>
          <w:highlight w:val="none"/>
        </w:rPr>
        <w:t>五、其他</w:t>
      </w:r>
      <w:bookmarkEnd w:id="1819"/>
      <w:bookmarkEnd w:id="1820"/>
    </w:p>
    <w:p w14:paraId="52EEFD30">
      <w:pPr>
        <w:adjustRightInd w:val="0"/>
        <w:snapToGrid w:val="0"/>
        <w:spacing w:line="360" w:lineRule="auto"/>
        <w:ind w:left="332"/>
        <w:rPr>
          <w:rFonts w:hint="eastAsia" w:ascii="宋体" w:hAnsi="宋体"/>
          <w:szCs w:val="21"/>
          <w:highlight w:val="none"/>
        </w:rPr>
      </w:pPr>
      <w:r>
        <w:rPr>
          <w:rFonts w:hint="eastAsia" w:ascii="宋体" w:hAnsi="宋体"/>
          <w:szCs w:val="21"/>
          <w:highlight w:val="none"/>
        </w:rPr>
        <w:t>双方约定的其他工程质量保修事项：如果国家和项目发包人对该工程的质量保修有特殊要求时则按特殊要求执行。</w:t>
      </w:r>
    </w:p>
    <w:p w14:paraId="6D14CAFE">
      <w:pPr>
        <w:adjustRightInd w:val="0"/>
        <w:snapToGrid w:val="0"/>
        <w:spacing w:line="360" w:lineRule="auto"/>
        <w:ind w:left="692"/>
        <w:rPr>
          <w:rFonts w:hint="eastAsia" w:ascii="宋体" w:hAnsi="宋体"/>
          <w:szCs w:val="21"/>
          <w:highlight w:val="none"/>
        </w:rPr>
      </w:pPr>
      <w:r>
        <w:rPr>
          <w:rFonts w:hint="eastAsia" w:ascii="宋体" w:hAnsi="宋体"/>
          <w:szCs w:val="21"/>
          <w:highlight w:val="none"/>
        </w:rPr>
        <w:t xml:space="preserve">       </w:t>
      </w:r>
    </w:p>
    <w:p w14:paraId="3EA6170D">
      <w:pPr>
        <w:adjustRightInd w:val="0"/>
        <w:snapToGrid w:val="0"/>
        <w:spacing w:line="360" w:lineRule="auto"/>
        <w:ind w:left="332"/>
        <w:rPr>
          <w:rFonts w:hint="eastAsia" w:ascii="宋体" w:hAnsi="宋体"/>
          <w:szCs w:val="21"/>
          <w:highlight w:val="none"/>
        </w:rPr>
      </w:pPr>
    </w:p>
    <w:p w14:paraId="15BFCACB">
      <w:pPr>
        <w:tabs>
          <w:tab w:val="left" w:pos="1695"/>
        </w:tabs>
        <w:adjustRightInd w:val="0"/>
        <w:snapToGrid w:val="0"/>
        <w:spacing w:line="360" w:lineRule="auto"/>
        <w:ind w:firstLine="480"/>
        <w:rPr>
          <w:rFonts w:hint="eastAsia" w:ascii="宋体" w:hAnsi="宋体"/>
          <w:szCs w:val="21"/>
          <w:highlight w:val="none"/>
        </w:rPr>
      </w:pPr>
    </w:p>
    <w:p w14:paraId="588D9505">
      <w:pPr>
        <w:tabs>
          <w:tab w:val="left" w:pos="1695"/>
        </w:tabs>
        <w:adjustRightInd w:val="0"/>
        <w:snapToGrid w:val="0"/>
        <w:spacing w:line="360" w:lineRule="auto"/>
        <w:ind w:firstLine="480"/>
        <w:rPr>
          <w:rFonts w:hint="eastAsia" w:ascii="宋体" w:hAnsi="宋体"/>
          <w:szCs w:val="21"/>
          <w:highlight w:val="none"/>
        </w:rPr>
        <w:sectPr>
          <w:headerReference r:id="rId17" w:type="first"/>
          <w:footerReference r:id="rId19" w:type="first"/>
          <w:footerReference r:id="rId18" w:type="default"/>
          <w:pgSz w:w="11906" w:h="16838"/>
          <w:pgMar w:top="1440" w:right="1797" w:bottom="1440" w:left="1797" w:header="851" w:footer="992" w:gutter="0"/>
          <w:cols w:space="720" w:num="1"/>
          <w:docGrid w:linePitch="312" w:charSpace="0"/>
        </w:sectPr>
      </w:pPr>
    </w:p>
    <w:p w14:paraId="4D22BBE5">
      <w:pPr>
        <w:tabs>
          <w:tab w:val="left" w:pos="1695"/>
        </w:tabs>
        <w:adjustRightInd w:val="0"/>
        <w:snapToGrid w:val="0"/>
        <w:spacing w:line="360" w:lineRule="auto"/>
        <w:ind w:firstLine="480"/>
        <w:rPr>
          <w:rFonts w:hint="eastAsia" w:ascii="宋体" w:hAnsi="宋体"/>
          <w:szCs w:val="21"/>
          <w:highlight w:val="none"/>
        </w:rPr>
      </w:pPr>
      <w:r>
        <w:rPr>
          <w:rFonts w:hint="eastAsia" w:ascii="宋体" w:hAnsi="宋体"/>
          <w:szCs w:val="21"/>
          <w:highlight w:val="none"/>
        </w:rPr>
        <w:t>（此页无正文）</w:t>
      </w:r>
    </w:p>
    <w:p w14:paraId="51E34BF6">
      <w:pPr>
        <w:tabs>
          <w:tab w:val="left" w:pos="1695"/>
        </w:tabs>
        <w:adjustRightInd w:val="0"/>
        <w:snapToGrid w:val="0"/>
        <w:spacing w:line="360" w:lineRule="auto"/>
        <w:ind w:firstLine="480"/>
        <w:rPr>
          <w:rFonts w:hint="eastAsia" w:ascii="宋体" w:hAnsi="宋体"/>
          <w:szCs w:val="21"/>
          <w:highlight w:val="none"/>
        </w:rPr>
      </w:pPr>
    </w:p>
    <w:p w14:paraId="126835A1">
      <w:pPr>
        <w:spacing w:before="312" w:beforeLines="100" w:after="312" w:afterLines="100" w:line="400" w:lineRule="exact"/>
        <w:rPr>
          <w:rFonts w:hint="eastAsia" w:ascii="宋体" w:hAnsi="宋体"/>
          <w:szCs w:val="21"/>
          <w:highlight w:val="none"/>
        </w:rPr>
      </w:pPr>
      <w:r>
        <w:rPr>
          <w:rFonts w:ascii="宋体" w:hAnsi="宋体"/>
          <w:b/>
          <w:bCs/>
          <w:szCs w:val="21"/>
          <w:highlight w:val="none"/>
        </w:rPr>
        <w:t>发包人：</w:t>
      </w:r>
      <w:r>
        <w:rPr>
          <w:rFonts w:ascii="宋体" w:hAnsi="宋体"/>
          <w:szCs w:val="21"/>
          <w:highlight w:val="none"/>
          <w:u w:val="single"/>
        </w:rPr>
        <w:t xml:space="preserve">               </w:t>
      </w:r>
      <w:r>
        <w:rPr>
          <w:rFonts w:ascii="宋体" w:hAnsi="宋体"/>
          <w:szCs w:val="21"/>
          <w:highlight w:val="none"/>
        </w:rPr>
        <w:t>（盖单位章）</w:t>
      </w:r>
      <w:r>
        <w:rPr>
          <w:rFonts w:ascii="宋体" w:hAnsi="宋体"/>
          <w:b/>
          <w:bCs/>
          <w:szCs w:val="21"/>
          <w:highlight w:val="none"/>
        </w:rPr>
        <w:t xml:space="preserve"> 承包人：</w:t>
      </w:r>
      <w:r>
        <w:rPr>
          <w:rFonts w:hint="eastAsia" w:ascii="宋体" w:hAnsi="宋体"/>
          <w:szCs w:val="21"/>
          <w:highlight w:val="none"/>
          <w:u w:val="single"/>
        </w:rPr>
        <w:t xml:space="preserve">              </w:t>
      </w:r>
      <w:r>
        <w:rPr>
          <w:rFonts w:ascii="宋体" w:hAnsi="宋体"/>
          <w:szCs w:val="21"/>
          <w:highlight w:val="none"/>
          <w:u w:val="single"/>
        </w:rPr>
        <w:t>（</w:t>
      </w:r>
      <w:r>
        <w:rPr>
          <w:rFonts w:ascii="宋体" w:hAnsi="宋体"/>
          <w:szCs w:val="21"/>
          <w:highlight w:val="none"/>
        </w:rPr>
        <w:t>盖单位章）</w:t>
      </w:r>
    </w:p>
    <w:p w14:paraId="77A9E429">
      <w:pPr>
        <w:spacing w:before="312" w:beforeLines="100" w:after="312" w:afterLines="100" w:line="400" w:lineRule="exact"/>
        <w:rPr>
          <w:rFonts w:hint="eastAsia" w:ascii="宋体" w:hAnsi="宋体"/>
          <w:szCs w:val="21"/>
          <w:highlight w:val="none"/>
        </w:rPr>
      </w:pPr>
    </w:p>
    <w:p w14:paraId="019FCD1C">
      <w:pPr>
        <w:spacing w:line="240" w:lineRule="exact"/>
        <w:rPr>
          <w:rFonts w:hint="eastAsia" w:ascii="宋体" w:hAnsi="宋体"/>
          <w:szCs w:val="21"/>
          <w:highlight w:val="none"/>
        </w:rPr>
      </w:pPr>
      <w:r>
        <w:rPr>
          <w:rFonts w:ascii="宋体" w:hAnsi="宋体"/>
          <w:b/>
          <w:bCs/>
          <w:szCs w:val="21"/>
          <w:highlight w:val="none"/>
        </w:rPr>
        <w:t>法定代表人或其</w:t>
      </w:r>
      <w:r>
        <w:rPr>
          <w:rFonts w:ascii="宋体" w:hAnsi="宋体"/>
          <w:szCs w:val="21"/>
          <w:highlight w:val="none"/>
        </w:rPr>
        <w:t xml:space="preserve">                      </w:t>
      </w:r>
      <w:r>
        <w:rPr>
          <w:rFonts w:ascii="宋体" w:hAnsi="宋体"/>
          <w:b/>
          <w:bCs/>
          <w:szCs w:val="21"/>
          <w:highlight w:val="none"/>
        </w:rPr>
        <w:t>法定代表人或其</w:t>
      </w:r>
    </w:p>
    <w:p w14:paraId="1D46453E">
      <w:pPr>
        <w:spacing w:line="240" w:lineRule="exact"/>
        <w:rPr>
          <w:rFonts w:hint="eastAsia" w:ascii="宋体" w:hAnsi="宋体"/>
          <w:szCs w:val="21"/>
          <w:highlight w:val="none"/>
        </w:rPr>
      </w:pPr>
      <w:r>
        <w:rPr>
          <w:rFonts w:ascii="宋体" w:hAnsi="宋体"/>
          <w:b/>
          <w:bCs/>
          <w:szCs w:val="21"/>
          <w:highlight w:val="none"/>
        </w:rPr>
        <w:t>委托代理人：</w:t>
      </w:r>
      <w:r>
        <w:rPr>
          <w:rFonts w:ascii="宋体" w:hAnsi="宋体"/>
          <w:szCs w:val="21"/>
          <w:highlight w:val="none"/>
          <w:u w:val="single"/>
        </w:rPr>
        <w:t xml:space="preserve">              </w:t>
      </w:r>
      <w:r>
        <w:rPr>
          <w:rFonts w:ascii="宋体" w:hAnsi="宋体"/>
          <w:szCs w:val="21"/>
          <w:highlight w:val="none"/>
        </w:rPr>
        <w:t xml:space="preserve">（签字） </w:t>
      </w:r>
      <w:r>
        <w:rPr>
          <w:rFonts w:ascii="宋体" w:hAnsi="宋体"/>
          <w:b/>
          <w:bCs/>
          <w:szCs w:val="21"/>
          <w:highlight w:val="none"/>
        </w:rPr>
        <w:t xml:space="preserve"> 委托代理人：</w:t>
      </w:r>
      <w:r>
        <w:rPr>
          <w:rFonts w:ascii="宋体" w:hAnsi="宋体"/>
          <w:szCs w:val="21"/>
          <w:highlight w:val="none"/>
          <w:u w:val="single"/>
        </w:rPr>
        <w:t xml:space="preserve">                   </w:t>
      </w:r>
      <w:r>
        <w:rPr>
          <w:rFonts w:ascii="宋体" w:hAnsi="宋体"/>
          <w:szCs w:val="21"/>
          <w:highlight w:val="none"/>
        </w:rPr>
        <w:t>（签字）</w:t>
      </w:r>
    </w:p>
    <w:p w14:paraId="498904A4">
      <w:pPr>
        <w:spacing w:before="312" w:beforeLines="100" w:after="312" w:afterLines="100" w:line="400" w:lineRule="exact"/>
        <w:rPr>
          <w:rFonts w:hint="eastAsia" w:ascii="宋体" w:hAnsi="宋体"/>
          <w:szCs w:val="21"/>
          <w:highlight w:val="none"/>
          <w:u w:val="single"/>
        </w:rPr>
      </w:pPr>
    </w:p>
    <w:p w14:paraId="326B0A87">
      <w:pPr>
        <w:spacing w:before="312" w:beforeLines="100" w:after="312" w:afterLines="100" w:line="400" w:lineRule="exact"/>
        <w:ind w:firstLine="525" w:firstLineChars="250"/>
        <w:rPr>
          <w:rFonts w:hint="eastAsia" w:ascii="宋体" w:hAnsi="宋体"/>
          <w:szCs w:val="21"/>
          <w:highlight w:val="none"/>
        </w:rPr>
      </w:pPr>
      <w:r>
        <w:rPr>
          <w:rFonts w:ascii="宋体" w:hAnsi="宋体"/>
          <w:szCs w:val="21"/>
          <w:highlight w:val="none"/>
          <w:u w:val="single"/>
        </w:rPr>
        <w:t xml:space="preserve">        </w:t>
      </w:r>
      <w:r>
        <w:rPr>
          <w:rFonts w:ascii="宋体" w:hAnsi="宋体"/>
          <w:szCs w:val="21"/>
          <w:highlight w:val="none"/>
        </w:rPr>
        <w:t>年</w:t>
      </w:r>
      <w:r>
        <w:rPr>
          <w:rFonts w:ascii="宋体" w:hAnsi="宋体"/>
          <w:szCs w:val="21"/>
          <w:highlight w:val="none"/>
          <w:u w:val="single"/>
        </w:rPr>
        <w:t xml:space="preserve">      </w:t>
      </w:r>
      <w:r>
        <w:rPr>
          <w:rFonts w:ascii="宋体" w:hAnsi="宋体"/>
          <w:szCs w:val="21"/>
          <w:highlight w:val="none"/>
        </w:rPr>
        <w:t xml:space="preserve">月 </w:t>
      </w:r>
      <w:r>
        <w:rPr>
          <w:rFonts w:ascii="宋体" w:hAnsi="宋体"/>
          <w:szCs w:val="21"/>
          <w:highlight w:val="none"/>
          <w:u w:val="single"/>
        </w:rPr>
        <w:t xml:space="preserve">  </w:t>
      </w:r>
      <w:r>
        <w:rPr>
          <w:rFonts w:hint="eastAsia" w:ascii="宋体" w:hAnsi="宋体"/>
          <w:szCs w:val="21"/>
          <w:highlight w:val="none"/>
          <w:u w:val="single"/>
        </w:rPr>
        <w:t xml:space="preserve">   </w:t>
      </w:r>
      <w:r>
        <w:rPr>
          <w:rFonts w:ascii="宋体" w:hAnsi="宋体"/>
          <w:szCs w:val="21"/>
          <w:highlight w:val="none"/>
        </w:rPr>
        <w:t xml:space="preserve"> 日      </w:t>
      </w:r>
      <w:r>
        <w:rPr>
          <w:rFonts w:hint="eastAsia" w:ascii="宋体" w:hAnsi="宋体"/>
          <w:szCs w:val="21"/>
          <w:highlight w:val="none"/>
        </w:rPr>
        <w:t xml:space="preserve"> </w:t>
      </w:r>
      <w:r>
        <w:rPr>
          <w:rFonts w:ascii="宋体" w:hAnsi="宋体"/>
          <w:szCs w:val="21"/>
          <w:highlight w:val="none"/>
        </w:rPr>
        <w:t xml:space="preserve"> </w:t>
      </w:r>
      <w:r>
        <w:rPr>
          <w:rFonts w:ascii="宋体" w:hAnsi="宋体"/>
          <w:szCs w:val="21"/>
          <w:highlight w:val="none"/>
          <w:u w:val="single"/>
        </w:rPr>
        <w:t xml:space="preserve">        </w:t>
      </w:r>
      <w:r>
        <w:rPr>
          <w:rFonts w:ascii="宋体" w:hAnsi="宋体"/>
          <w:szCs w:val="21"/>
          <w:highlight w:val="none"/>
        </w:rPr>
        <w:t>年</w:t>
      </w:r>
      <w:r>
        <w:rPr>
          <w:rFonts w:ascii="宋体" w:hAnsi="宋体"/>
          <w:szCs w:val="21"/>
          <w:highlight w:val="none"/>
          <w:u w:val="single"/>
        </w:rPr>
        <w:t xml:space="preserve">     </w:t>
      </w:r>
      <w:r>
        <w:rPr>
          <w:rFonts w:ascii="宋体" w:hAnsi="宋体"/>
          <w:szCs w:val="21"/>
          <w:highlight w:val="none"/>
        </w:rPr>
        <w:t xml:space="preserve">月 </w:t>
      </w:r>
      <w:r>
        <w:rPr>
          <w:rFonts w:ascii="宋体" w:hAnsi="宋体"/>
          <w:szCs w:val="21"/>
          <w:highlight w:val="none"/>
          <w:u w:val="single"/>
        </w:rPr>
        <w:t xml:space="preserve">     </w:t>
      </w:r>
      <w:r>
        <w:rPr>
          <w:rFonts w:ascii="宋体" w:hAnsi="宋体"/>
          <w:szCs w:val="21"/>
          <w:highlight w:val="none"/>
        </w:rPr>
        <w:t>日</w:t>
      </w:r>
    </w:p>
    <w:p w14:paraId="586CEB27">
      <w:pPr>
        <w:spacing w:before="312" w:beforeLines="100" w:after="312" w:afterLines="100" w:line="400" w:lineRule="exact"/>
        <w:rPr>
          <w:rFonts w:hint="eastAsia" w:ascii="宋体" w:hAnsi="宋体"/>
          <w:szCs w:val="21"/>
          <w:highlight w:val="none"/>
        </w:rPr>
      </w:pPr>
    </w:p>
    <w:p w14:paraId="74938CE2">
      <w:pPr>
        <w:spacing w:before="312" w:beforeLines="100" w:after="312" w:afterLines="100" w:line="400" w:lineRule="exact"/>
        <w:rPr>
          <w:rFonts w:hint="eastAsia" w:ascii="宋体" w:hAnsi="宋体"/>
          <w:szCs w:val="21"/>
          <w:highlight w:val="none"/>
          <w:u w:val="single"/>
        </w:rPr>
      </w:pPr>
      <w:r>
        <w:rPr>
          <w:rFonts w:ascii="宋体" w:hAnsi="宋体"/>
          <w:b/>
          <w:szCs w:val="21"/>
          <w:highlight w:val="none"/>
        </w:rPr>
        <w:t>签约地点：</w:t>
      </w:r>
      <w:r>
        <w:rPr>
          <w:rFonts w:ascii="宋体" w:hAnsi="宋体"/>
          <w:szCs w:val="21"/>
          <w:highlight w:val="none"/>
          <w:u w:val="single"/>
        </w:rPr>
        <w:t xml:space="preserve"> </w:t>
      </w:r>
      <w:r>
        <w:rPr>
          <w:rFonts w:hint="eastAsia" w:ascii="宋体" w:hAnsi="宋体"/>
          <w:szCs w:val="21"/>
          <w:highlight w:val="none"/>
          <w:u w:val="single"/>
        </w:rPr>
        <w:t>北京财贸职业学院</w:t>
      </w:r>
      <w:r>
        <w:rPr>
          <w:rFonts w:ascii="宋体" w:hAnsi="宋体"/>
          <w:szCs w:val="21"/>
          <w:highlight w:val="none"/>
          <w:u w:val="single"/>
        </w:rPr>
        <w:t xml:space="preserve"> </w:t>
      </w:r>
    </w:p>
    <w:p w14:paraId="7C3D5541">
      <w:pPr>
        <w:jc w:val="center"/>
        <w:rPr>
          <w:rFonts w:hint="eastAsia" w:ascii="宋体" w:hAnsi="宋体"/>
          <w:b/>
          <w:sz w:val="44"/>
          <w:szCs w:val="44"/>
          <w:highlight w:val="none"/>
        </w:rPr>
      </w:pPr>
      <w:r>
        <w:rPr>
          <w:rFonts w:ascii="宋体" w:hAnsi="宋体"/>
          <w:b/>
          <w:sz w:val="44"/>
          <w:szCs w:val="44"/>
          <w:highlight w:val="none"/>
        </w:rPr>
        <w:br w:type="page"/>
      </w:r>
    </w:p>
    <w:p w14:paraId="61C2075B">
      <w:pPr>
        <w:jc w:val="center"/>
        <w:rPr>
          <w:rFonts w:hint="eastAsia" w:ascii="宋体" w:hAnsi="宋体"/>
          <w:b/>
          <w:sz w:val="44"/>
          <w:szCs w:val="44"/>
          <w:highlight w:val="none"/>
        </w:rPr>
      </w:pPr>
    </w:p>
    <w:p w14:paraId="30F73594">
      <w:pPr>
        <w:jc w:val="center"/>
        <w:rPr>
          <w:rFonts w:hint="eastAsia" w:ascii="宋体" w:hAnsi="宋体"/>
          <w:b/>
          <w:sz w:val="44"/>
          <w:szCs w:val="44"/>
          <w:highlight w:val="none"/>
        </w:rPr>
      </w:pPr>
    </w:p>
    <w:p w14:paraId="7E3EF326">
      <w:pPr>
        <w:jc w:val="center"/>
        <w:rPr>
          <w:rFonts w:hint="eastAsia" w:ascii="宋体" w:hAnsi="宋体"/>
          <w:b/>
          <w:sz w:val="44"/>
          <w:szCs w:val="44"/>
          <w:highlight w:val="none"/>
        </w:rPr>
      </w:pPr>
    </w:p>
    <w:p w14:paraId="120C9C6D">
      <w:pPr>
        <w:jc w:val="center"/>
        <w:rPr>
          <w:rFonts w:hint="eastAsia" w:ascii="宋体" w:hAnsi="宋体"/>
          <w:b/>
          <w:sz w:val="44"/>
          <w:szCs w:val="44"/>
          <w:highlight w:val="none"/>
        </w:rPr>
      </w:pPr>
    </w:p>
    <w:p w14:paraId="034396A1">
      <w:pPr>
        <w:jc w:val="center"/>
        <w:rPr>
          <w:rFonts w:hint="eastAsia" w:ascii="宋体" w:hAnsi="宋体"/>
          <w:b/>
          <w:sz w:val="44"/>
          <w:szCs w:val="44"/>
          <w:highlight w:val="none"/>
        </w:rPr>
      </w:pPr>
    </w:p>
    <w:p w14:paraId="574F0B77">
      <w:pPr>
        <w:jc w:val="center"/>
        <w:rPr>
          <w:rFonts w:hint="eastAsia" w:ascii="宋体" w:hAnsi="宋体"/>
          <w:b/>
          <w:sz w:val="44"/>
          <w:szCs w:val="44"/>
          <w:highlight w:val="none"/>
        </w:rPr>
      </w:pPr>
    </w:p>
    <w:p w14:paraId="6CD49CA3">
      <w:pPr>
        <w:jc w:val="center"/>
        <w:rPr>
          <w:rFonts w:hint="eastAsia" w:ascii="宋体" w:hAnsi="宋体"/>
          <w:highlight w:val="none"/>
        </w:rPr>
      </w:pPr>
      <w:r>
        <w:rPr>
          <w:rFonts w:ascii="宋体" w:hAnsi="宋体"/>
          <w:b/>
          <w:sz w:val="44"/>
          <w:szCs w:val="44"/>
          <w:highlight w:val="none"/>
        </w:rPr>
        <w:t>第</w:t>
      </w:r>
      <w:r>
        <w:rPr>
          <w:rFonts w:hint="eastAsia" w:ascii="宋体" w:hAnsi="宋体"/>
          <w:b/>
          <w:sz w:val="44"/>
          <w:szCs w:val="44"/>
          <w:highlight w:val="none"/>
        </w:rPr>
        <w:t>五节 工程建设项目廉政责任书</w:t>
      </w:r>
    </w:p>
    <w:p w14:paraId="4DA1EFDA">
      <w:pPr>
        <w:spacing w:line="360" w:lineRule="auto"/>
        <w:rPr>
          <w:rFonts w:hint="eastAsia" w:ascii="宋体" w:hAnsi="宋体"/>
          <w:highlight w:val="none"/>
        </w:rPr>
      </w:pPr>
    </w:p>
    <w:p w14:paraId="54968B19">
      <w:pPr>
        <w:spacing w:line="440" w:lineRule="exact"/>
        <w:jc w:val="center"/>
        <w:rPr>
          <w:rFonts w:hint="eastAsia" w:ascii="宋体" w:hAnsi="宋体"/>
          <w:b/>
          <w:sz w:val="32"/>
          <w:szCs w:val="32"/>
          <w:highlight w:val="none"/>
        </w:rPr>
      </w:pPr>
      <w:r>
        <w:rPr>
          <w:rFonts w:ascii="宋体" w:hAnsi="宋体"/>
          <w:highlight w:val="none"/>
        </w:rPr>
        <w:br w:type="page"/>
      </w:r>
      <w:r>
        <w:rPr>
          <w:rFonts w:hint="eastAsia" w:ascii="宋体" w:hAnsi="宋体"/>
          <w:b/>
          <w:sz w:val="32"/>
          <w:szCs w:val="32"/>
          <w:highlight w:val="none"/>
        </w:rPr>
        <w:t>工程建设项目廉政责任书</w:t>
      </w:r>
    </w:p>
    <w:p w14:paraId="531C1DFF">
      <w:pPr>
        <w:jc w:val="center"/>
        <w:rPr>
          <w:rFonts w:hint="eastAsia" w:ascii="宋体" w:hAnsi="宋体"/>
          <w:spacing w:val="10"/>
          <w:szCs w:val="21"/>
          <w:highlight w:val="none"/>
        </w:rPr>
      </w:pPr>
    </w:p>
    <w:p w14:paraId="6B3BA668">
      <w:pPr>
        <w:spacing w:line="360" w:lineRule="auto"/>
        <w:ind w:left="1446" w:hanging="1446" w:hangingChars="686"/>
        <w:rPr>
          <w:rFonts w:hint="eastAsia" w:ascii="宋体" w:hAnsi="宋体"/>
          <w:b/>
          <w:highlight w:val="none"/>
          <w:u w:val="single"/>
        </w:rPr>
      </w:pPr>
      <w:r>
        <w:rPr>
          <w:rFonts w:hint="eastAsia" w:ascii="宋体" w:hAnsi="宋体"/>
          <w:b/>
          <w:szCs w:val="21"/>
          <w:highlight w:val="none"/>
        </w:rPr>
        <w:t>工程项目名称：</w:t>
      </w:r>
      <w:r>
        <w:rPr>
          <w:rFonts w:hint="eastAsia" w:ascii="宋体" w:hAnsi="宋体"/>
          <w:b/>
          <w:highlight w:val="none"/>
          <w:u w:val="single"/>
        </w:rPr>
        <w:t>***工程</w:t>
      </w:r>
    </w:p>
    <w:p w14:paraId="5E1AC964">
      <w:pPr>
        <w:spacing w:line="360" w:lineRule="auto"/>
        <w:rPr>
          <w:rFonts w:hint="eastAsia" w:ascii="宋体" w:hAnsi="宋体"/>
          <w:b/>
          <w:szCs w:val="21"/>
          <w:highlight w:val="none"/>
          <w:u w:val="single"/>
        </w:rPr>
      </w:pPr>
      <w:r>
        <w:rPr>
          <w:rFonts w:hint="eastAsia" w:ascii="宋体" w:hAnsi="宋体"/>
          <w:b/>
          <w:szCs w:val="21"/>
          <w:highlight w:val="none"/>
        </w:rPr>
        <w:t>工程项目地址：</w:t>
      </w:r>
      <w:r>
        <w:rPr>
          <w:rFonts w:hint="eastAsia" w:ascii="宋体" w:hAnsi="宋体"/>
          <w:b/>
          <w:highlight w:val="none"/>
          <w:u w:val="single"/>
        </w:rPr>
        <w:t xml:space="preserve"> </w:t>
      </w:r>
      <w:r>
        <w:rPr>
          <w:rFonts w:ascii="宋体" w:hAnsi="宋体"/>
          <w:b/>
          <w:highlight w:val="none"/>
          <w:u w:val="single"/>
        </w:rPr>
        <w:t xml:space="preserve">                                       </w:t>
      </w:r>
    </w:p>
    <w:p w14:paraId="5E025232">
      <w:pPr>
        <w:spacing w:line="360" w:lineRule="auto"/>
        <w:rPr>
          <w:rFonts w:hint="eastAsia" w:ascii="宋体" w:hAnsi="宋体"/>
          <w:b/>
          <w:szCs w:val="21"/>
          <w:highlight w:val="none"/>
          <w:u w:val="single"/>
        </w:rPr>
      </w:pPr>
      <w:r>
        <w:rPr>
          <w:rFonts w:hint="eastAsia" w:ascii="宋体" w:hAnsi="宋体"/>
          <w:b/>
          <w:szCs w:val="21"/>
          <w:highlight w:val="none"/>
        </w:rPr>
        <w:t>发包人（甲方）：</w:t>
      </w:r>
      <w:r>
        <w:rPr>
          <w:rFonts w:hint="eastAsia" w:ascii="宋体" w:hAnsi="宋体"/>
          <w:b/>
          <w:szCs w:val="21"/>
          <w:highlight w:val="none"/>
          <w:u w:val="single"/>
        </w:rPr>
        <w:t xml:space="preserve">北京财贸职业学院                  </w:t>
      </w:r>
      <w:r>
        <w:rPr>
          <w:rFonts w:ascii="宋体" w:hAnsi="宋体"/>
          <w:b/>
          <w:szCs w:val="21"/>
          <w:highlight w:val="none"/>
          <w:u w:val="single"/>
        </w:rPr>
        <w:t xml:space="preserve"> </w:t>
      </w:r>
      <w:r>
        <w:rPr>
          <w:rFonts w:hint="eastAsia" w:ascii="宋体" w:hAnsi="宋体"/>
          <w:b/>
          <w:szCs w:val="21"/>
          <w:highlight w:val="none"/>
          <w:u w:val="single"/>
        </w:rPr>
        <w:t xml:space="preserve">   </w:t>
      </w:r>
    </w:p>
    <w:p w14:paraId="560547D1">
      <w:pPr>
        <w:spacing w:line="360" w:lineRule="auto"/>
        <w:rPr>
          <w:rFonts w:hint="eastAsia" w:ascii="宋体" w:hAnsi="宋体"/>
          <w:b/>
          <w:szCs w:val="21"/>
          <w:highlight w:val="none"/>
          <w:u w:val="single"/>
        </w:rPr>
      </w:pPr>
      <w:r>
        <w:rPr>
          <w:rFonts w:hint="eastAsia" w:ascii="宋体" w:hAnsi="宋体"/>
          <w:b/>
          <w:szCs w:val="21"/>
          <w:highlight w:val="none"/>
        </w:rPr>
        <w:t>承包人（乙方）：</w:t>
      </w:r>
      <w:r>
        <w:rPr>
          <w:rFonts w:hint="eastAsia" w:ascii="宋体" w:hAnsi="宋体"/>
          <w:b/>
          <w:szCs w:val="21"/>
          <w:highlight w:val="none"/>
          <w:u w:val="single"/>
        </w:rPr>
        <w:t xml:space="preserve">***               </w:t>
      </w:r>
    </w:p>
    <w:p w14:paraId="59EF23DD">
      <w:pPr>
        <w:spacing w:line="400" w:lineRule="exact"/>
        <w:ind w:firstLine="420" w:firstLineChars="200"/>
        <w:rPr>
          <w:rFonts w:hint="eastAsia" w:ascii="宋体" w:hAnsi="宋体"/>
          <w:szCs w:val="21"/>
          <w:highlight w:val="none"/>
        </w:rPr>
      </w:pPr>
      <w:r>
        <w:rPr>
          <w:rFonts w:hint="eastAsia" w:ascii="宋体" w:hAnsi="宋体"/>
          <w:szCs w:val="21"/>
          <w:highlight w:val="none"/>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652B2FC0">
      <w:pPr>
        <w:spacing w:line="400" w:lineRule="exact"/>
        <w:ind w:firstLine="420" w:firstLineChars="200"/>
        <w:rPr>
          <w:rFonts w:hint="eastAsia" w:ascii="宋体" w:hAnsi="宋体"/>
          <w:szCs w:val="21"/>
          <w:highlight w:val="none"/>
        </w:rPr>
      </w:pPr>
      <w:r>
        <w:rPr>
          <w:rFonts w:hint="eastAsia" w:ascii="宋体" w:hAnsi="宋体"/>
          <w:szCs w:val="21"/>
          <w:highlight w:val="none"/>
        </w:rPr>
        <w:t>第一条  甲乙双方的责任</w:t>
      </w:r>
    </w:p>
    <w:p w14:paraId="5FB82AAB">
      <w:pPr>
        <w:spacing w:line="400" w:lineRule="exact"/>
        <w:ind w:firstLine="420" w:firstLineChars="200"/>
        <w:rPr>
          <w:rFonts w:hint="eastAsia" w:ascii="宋体" w:hAnsi="宋体"/>
          <w:szCs w:val="21"/>
          <w:highlight w:val="none"/>
        </w:rPr>
      </w:pPr>
      <w:r>
        <w:rPr>
          <w:rFonts w:hint="eastAsia" w:ascii="宋体" w:hAnsi="宋体"/>
          <w:szCs w:val="21"/>
          <w:highlight w:val="none"/>
        </w:rPr>
        <w:t>（一）应严格遵守国家关于市场准入、项目招标投标、工程建设、施工安装和市场活动的有关法律、法规，相关政策，以及廉政建设的各项规定。</w:t>
      </w:r>
    </w:p>
    <w:p w14:paraId="51CA1066">
      <w:pPr>
        <w:spacing w:line="400" w:lineRule="exact"/>
        <w:ind w:firstLine="420" w:firstLineChars="200"/>
        <w:rPr>
          <w:rFonts w:hint="eastAsia" w:ascii="宋体" w:hAnsi="宋体"/>
          <w:szCs w:val="21"/>
          <w:highlight w:val="none"/>
        </w:rPr>
      </w:pPr>
      <w:r>
        <w:rPr>
          <w:rFonts w:hint="eastAsia" w:ascii="宋体" w:hAnsi="宋体"/>
          <w:szCs w:val="21"/>
          <w:highlight w:val="none"/>
        </w:rPr>
        <w:t>（二）严格执行建设工程项目承发包合同文件，自觉按合同办事。</w:t>
      </w:r>
    </w:p>
    <w:p w14:paraId="5B53CD93">
      <w:pPr>
        <w:spacing w:line="400" w:lineRule="exact"/>
        <w:ind w:firstLine="420" w:firstLineChars="200"/>
        <w:rPr>
          <w:rFonts w:hint="eastAsia" w:ascii="宋体" w:hAnsi="宋体"/>
          <w:szCs w:val="21"/>
          <w:highlight w:val="none"/>
        </w:rPr>
      </w:pPr>
      <w:r>
        <w:rPr>
          <w:rFonts w:hint="eastAsia" w:ascii="宋体" w:hAnsi="宋体"/>
          <w:szCs w:val="21"/>
          <w:highlight w:val="none"/>
        </w:rPr>
        <w:t>（三）业务活动必须坚持公开、公平、公正、诚信、透明的原则（除法律法规另有规定者外），不得为获取不正当的利益，损害国家、集体和对方利益，不得违反工程建设管理、施工安装的规章制度。</w:t>
      </w:r>
    </w:p>
    <w:p w14:paraId="08FD9003">
      <w:pPr>
        <w:spacing w:line="400" w:lineRule="exact"/>
        <w:rPr>
          <w:rFonts w:hint="eastAsia" w:ascii="宋体" w:hAnsi="宋体"/>
          <w:szCs w:val="21"/>
          <w:highlight w:val="none"/>
        </w:rPr>
      </w:pPr>
      <w:r>
        <w:rPr>
          <w:rFonts w:hint="eastAsia" w:ascii="宋体" w:hAnsi="宋体"/>
          <w:szCs w:val="21"/>
          <w:highlight w:val="none"/>
        </w:rPr>
        <w:t xml:space="preserve">    （四）发现对方在业务活动中有违规、违纪、违法行为的，应及时提醒对方，情节严重的，应向其上级主管部门或纪检监察、司法等有关机关举报。</w:t>
      </w:r>
    </w:p>
    <w:p w14:paraId="4AA40C5A">
      <w:pPr>
        <w:spacing w:line="400" w:lineRule="exact"/>
        <w:ind w:firstLine="420" w:firstLineChars="200"/>
        <w:rPr>
          <w:rFonts w:hint="eastAsia" w:ascii="宋体" w:hAnsi="宋体"/>
          <w:szCs w:val="21"/>
          <w:highlight w:val="none"/>
        </w:rPr>
      </w:pPr>
      <w:r>
        <w:rPr>
          <w:rFonts w:hint="eastAsia" w:ascii="宋体" w:hAnsi="宋体"/>
          <w:szCs w:val="21"/>
          <w:highlight w:val="none"/>
        </w:rPr>
        <w:t>第二条 甲方的责任</w:t>
      </w:r>
    </w:p>
    <w:p w14:paraId="3B514464">
      <w:pPr>
        <w:spacing w:line="400" w:lineRule="exact"/>
        <w:ind w:firstLine="420" w:firstLineChars="200"/>
        <w:rPr>
          <w:rFonts w:hint="eastAsia" w:ascii="宋体" w:hAnsi="宋体"/>
          <w:szCs w:val="21"/>
          <w:highlight w:val="none"/>
        </w:rPr>
      </w:pPr>
      <w:r>
        <w:rPr>
          <w:rFonts w:hint="eastAsia" w:ascii="宋体" w:hAnsi="宋体"/>
          <w:szCs w:val="21"/>
          <w:highlight w:val="none"/>
        </w:rPr>
        <w:t>甲方的领导和从事该建设工程项目的工作人员，在工程建设的事前、事中、事后应遵守以下规定：</w:t>
      </w:r>
    </w:p>
    <w:p w14:paraId="61520510">
      <w:pPr>
        <w:spacing w:line="400" w:lineRule="exact"/>
        <w:ind w:firstLine="420" w:firstLineChars="200"/>
        <w:rPr>
          <w:rFonts w:hint="eastAsia" w:ascii="宋体" w:hAnsi="宋体"/>
          <w:szCs w:val="21"/>
          <w:highlight w:val="none"/>
        </w:rPr>
      </w:pPr>
      <w:r>
        <w:rPr>
          <w:rFonts w:hint="eastAsia" w:ascii="宋体" w:hAnsi="宋体"/>
          <w:szCs w:val="21"/>
          <w:highlight w:val="none"/>
        </w:rPr>
        <w:t>（一）不准向乙方和相关单位索要或接受回扣、礼金、有价证券、贵重物品和好处费、感谢费等。</w:t>
      </w:r>
    </w:p>
    <w:p w14:paraId="6AAEF278">
      <w:pPr>
        <w:spacing w:line="400" w:lineRule="exact"/>
        <w:ind w:firstLine="420" w:firstLineChars="200"/>
        <w:rPr>
          <w:rFonts w:hint="eastAsia" w:ascii="宋体" w:hAnsi="宋体"/>
          <w:szCs w:val="21"/>
          <w:highlight w:val="none"/>
        </w:rPr>
      </w:pPr>
      <w:r>
        <w:rPr>
          <w:rFonts w:hint="eastAsia" w:ascii="宋体" w:hAnsi="宋体"/>
          <w:szCs w:val="21"/>
          <w:highlight w:val="none"/>
        </w:rPr>
        <w:t>（二）不准在乙方和相关单位报销任何应由甲方或个人支付的费用。</w:t>
      </w:r>
    </w:p>
    <w:p w14:paraId="5E17CFFA">
      <w:pPr>
        <w:spacing w:line="400" w:lineRule="exact"/>
        <w:ind w:firstLine="420" w:firstLineChars="200"/>
        <w:rPr>
          <w:rFonts w:hint="eastAsia" w:ascii="宋体" w:hAnsi="宋体"/>
          <w:szCs w:val="21"/>
          <w:highlight w:val="none"/>
        </w:rPr>
      </w:pPr>
      <w:r>
        <w:rPr>
          <w:rFonts w:hint="eastAsia" w:ascii="宋体" w:hAnsi="宋体"/>
          <w:szCs w:val="21"/>
          <w:highlight w:val="none"/>
        </w:rPr>
        <w:t>（三）不准要求、暗示或接受乙方和相关单位为个人装修住房、婚丧嫁娶、配偶子女的工作安排以及出国（境）、旅游等提供方便。</w:t>
      </w:r>
    </w:p>
    <w:p w14:paraId="2FC1F464">
      <w:pPr>
        <w:spacing w:line="400" w:lineRule="exact"/>
        <w:ind w:firstLine="420" w:firstLineChars="200"/>
        <w:rPr>
          <w:rFonts w:hint="eastAsia" w:ascii="宋体" w:hAnsi="宋体"/>
          <w:szCs w:val="21"/>
          <w:highlight w:val="none"/>
        </w:rPr>
      </w:pPr>
      <w:r>
        <w:rPr>
          <w:rFonts w:hint="eastAsia" w:ascii="宋体" w:hAnsi="宋体"/>
          <w:szCs w:val="21"/>
          <w:highlight w:val="none"/>
        </w:rPr>
        <w:t>（四）不准参加有可能影响公正执行公务的乙方和相关单位的宴请、健身、娱乐等活动。</w:t>
      </w:r>
    </w:p>
    <w:p w14:paraId="34BCFEBC">
      <w:pPr>
        <w:spacing w:line="400" w:lineRule="exact"/>
        <w:ind w:firstLine="420" w:firstLineChars="200"/>
        <w:rPr>
          <w:rFonts w:hint="eastAsia" w:ascii="宋体" w:hAnsi="宋体"/>
          <w:szCs w:val="21"/>
          <w:highlight w:val="none"/>
        </w:rPr>
      </w:pPr>
      <w:r>
        <w:rPr>
          <w:rFonts w:hint="eastAsia" w:ascii="宋体" w:hAnsi="宋体"/>
          <w:szCs w:val="21"/>
          <w:highlight w:val="none"/>
        </w:rPr>
        <w:t>（五）不准向乙方介绍或为配偶、子女、亲属参与同甲方项目工程施工合同有关的设备、材料工程分包、劳务等经济活动。不得以任何理由要求乙方和相关单位推荐分包单位和要求乙方购买项目工程施工合同约定以外的材料、设备等。</w:t>
      </w:r>
    </w:p>
    <w:p w14:paraId="26045385">
      <w:pPr>
        <w:spacing w:line="400" w:lineRule="exact"/>
        <w:ind w:firstLine="420" w:firstLineChars="200"/>
        <w:rPr>
          <w:rFonts w:hint="eastAsia" w:ascii="宋体" w:hAnsi="宋体"/>
          <w:szCs w:val="21"/>
          <w:highlight w:val="none"/>
        </w:rPr>
      </w:pPr>
      <w:r>
        <w:rPr>
          <w:rFonts w:hint="eastAsia" w:ascii="宋体" w:hAnsi="宋体"/>
          <w:szCs w:val="21"/>
          <w:highlight w:val="none"/>
        </w:rPr>
        <w:t>第三条 乙方的责任</w:t>
      </w:r>
    </w:p>
    <w:p w14:paraId="5A483E6D">
      <w:pPr>
        <w:spacing w:line="400" w:lineRule="exact"/>
        <w:ind w:firstLine="420" w:firstLineChars="200"/>
        <w:rPr>
          <w:rFonts w:hint="eastAsia" w:ascii="宋体" w:hAnsi="宋体"/>
          <w:szCs w:val="21"/>
          <w:highlight w:val="none"/>
        </w:rPr>
      </w:pPr>
      <w:r>
        <w:rPr>
          <w:rFonts w:hint="eastAsia" w:ascii="宋体" w:hAnsi="宋体"/>
          <w:szCs w:val="21"/>
          <w:highlight w:val="none"/>
        </w:rPr>
        <w:t>应与甲方保持正常的业务交往，按照有关法律法规和程序开展业务工作，严格执行工程建设的有关方针、政策，尤其是有关建筑施工安装的强制性标准和规范，并遵守以下规定：</w:t>
      </w:r>
    </w:p>
    <w:p w14:paraId="1691EDD3">
      <w:pPr>
        <w:spacing w:line="400" w:lineRule="exact"/>
        <w:ind w:firstLine="420" w:firstLineChars="200"/>
        <w:rPr>
          <w:rFonts w:hint="eastAsia" w:ascii="宋体" w:hAnsi="宋体"/>
          <w:szCs w:val="21"/>
          <w:highlight w:val="none"/>
        </w:rPr>
      </w:pPr>
      <w:r>
        <w:rPr>
          <w:rFonts w:hint="eastAsia" w:ascii="宋体" w:hAnsi="宋体"/>
          <w:szCs w:val="21"/>
          <w:highlight w:val="none"/>
        </w:rPr>
        <w:t>（一）不准以任何理由向甲方、相关单位及其工作人员索要、接受或赠送礼金、有价证券、贵重物品和回扣、好处费、感谢费等。</w:t>
      </w:r>
    </w:p>
    <w:p w14:paraId="0E880806">
      <w:pPr>
        <w:spacing w:line="400" w:lineRule="exact"/>
        <w:ind w:firstLine="420" w:firstLineChars="200"/>
        <w:rPr>
          <w:rFonts w:hint="eastAsia" w:ascii="宋体" w:hAnsi="宋体"/>
          <w:szCs w:val="21"/>
          <w:highlight w:val="none"/>
        </w:rPr>
      </w:pPr>
      <w:r>
        <w:rPr>
          <w:rFonts w:hint="eastAsia" w:ascii="宋体" w:hAnsi="宋体"/>
          <w:szCs w:val="21"/>
          <w:highlight w:val="none"/>
        </w:rPr>
        <w:t>（二）不准以任何理由为甲方和相关单位报销应由对方或个人支付的费用。</w:t>
      </w:r>
    </w:p>
    <w:p w14:paraId="175E380C">
      <w:pPr>
        <w:spacing w:line="400" w:lineRule="exact"/>
        <w:ind w:firstLine="420" w:firstLineChars="200"/>
        <w:rPr>
          <w:rFonts w:hint="eastAsia" w:ascii="宋体" w:hAnsi="宋体"/>
          <w:szCs w:val="21"/>
          <w:highlight w:val="none"/>
        </w:rPr>
      </w:pPr>
      <w:r>
        <w:rPr>
          <w:rFonts w:hint="eastAsia" w:ascii="宋体" w:hAnsi="宋体"/>
          <w:szCs w:val="21"/>
          <w:highlight w:val="none"/>
        </w:rPr>
        <w:t>（三）不准接受或暗示为甲方、相关单位或个人装修住房、婚丧嫁娶、配偶子女的工作安排以及出国（境）、旅游等提供方便。</w:t>
      </w:r>
    </w:p>
    <w:p w14:paraId="0FEBE57D">
      <w:pPr>
        <w:spacing w:line="400" w:lineRule="exact"/>
        <w:ind w:firstLine="420" w:firstLineChars="200"/>
        <w:rPr>
          <w:rFonts w:hint="eastAsia" w:ascii="宋体" w:hAnsi="宋体"/>
          <w:szCs w:val="21"/>
          <w:highlight w:val="none"/>
        </w:rPr>
      </w:pPr>
      <w:r>
        <w:rPr>
          <w:rFonts w:hint="eastAsia" w:ascii="宋体" w:hAnsi="宋体"/>
          <w:szCs w:val="21"/>
          <w:highlight w:val="none"/>
        </w:rPr>
        <w:t>（四）不准以任何理由为甲方、相关单位或个人组织有可能影响公正执行公务的宴请、健身、娱乐等活动。</w:t>
      </w:r>
    </w:p>
    <w:p w14:paraId="34F2A8B8">
      <w:pPr>
        <w:spacing w:line="400" w:lineRule="exact"/>
        <w:ind w:firstLine="420" w:firstLineChars="200"/>
        <w:rPr>
          <w:rFonts w:hint="eastAsia" w:ascii="宋体" w:hAnsi="宋体"/>
          <w:szCs w:val="21"/>
          <w:highlight w:val="none"/>
        </w:rPr>
      </w:pPr>
      <w:r>
        <w:rPr>
          <w:rFonts w:hint="eastAsia" w:ascii="宋体" w:hAnsi="宋体"/>
          <w:szCs w:val="21"/>
          <w:highlight w:val="none"/>
        </w:rPr>
        <w:t xml:space="preserve">第四条  违约责任 </w:t>
      </w:r>
    </w:p>
    <w:p w14:paraId="0DE215D4">
      <w:pPr>
        <w:spacing w:line="400" w:lineRule="exact"/>
        <w:ind w:firstLine="420" w:firstLineChars="200"/>
        <w:rPr>
          <w:rFonts w:hint="eastAsia" w:ascii="宋体" w:hAnsi="宋体"/>
          <w:szCs w:val="21"/>
          <w:highlight w:val="none"/>
        </w:rPr>
      </w:pPr>
      <w:r>
        <w:rPr>
          <w:rFonts w:hint="eastAsia" w:ascii="宋体" w:hAnsi="宋体"/>
          <w:szCs w:val="21"/>
          <w:highlight w:val="none"/>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07101F0A">
      <w:pPr>
        <w:spacing w:line="400" w:lineRule="exact"/>
        <w:ind w:firstLine="420" w:firstLineChars="200"/>
        <w:rPr>
          <w:rFonts w:hint="eastAsia" w:ascii="宋体" w:hAnsi="宋体"/>
          <w:szCs w:val="21"/>
          <w:highlight w:val="none"/>
        </w:rPr>
      </w:pPr>
      <w:r>
        <w:rPr>
          <w:rFonts w:hint="eastAsia" w:ascii="宋体" w:hAnsi="宋体"/>
          <w:szCs w:val="21"/>
          <w:highlight w:val="none"/>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14:paraId="5D837F5C">
      <w:pPr>
        <w:spacing w:line="400" w:lineRule="exact"/>
        <w:rPr>
          <w:rFonts w:hint="eastAsia" w:ascii="宋体" w:hAnsi="宋体"/>
          <w:szCs w:val="21"/>
          <w:highlight w:val="none"/>
        </w:rPr>
      </w:pPr>
      <w:r>
        <w:rPr>
          <w:rFonts w:hint="eastAsia" w:ascii="宋体" w:hAnsi="宋体"/>
          <w:szCs w:val="21"/>
          <w:highlight w:val="none"/>
        </w:rPr>
        <w:t xml:space="preserve">    第五条  本责任书作为工程施工合同的附件，与工程施工合同具有同等法律效力。经双方签署后立即生效。</w:t>
      </w:r>
    </w:p>
    <w:p w14:paraId="4251DD04">
      <w:pPr>
        <w:spacing w:line="400" w:lineRule="exact"/>
        <w:ind w:firstLine="420" w:firstLineChars="200"/>
        <w:rPr>
          <w:rFonts w:hint="eastAsia" w:ascii="宋体" w:hAnsi="宋体"/>
          <w:szCs w:val="21"/>
          <w:highlight w:val="none"/>
        </w:rPr>
      </w:pPr>
      <w:r>
        <w:rPr>
          <w:rFonts w:hint="eastAsia" w:ascii="宋体" w:hAnsi="宋体"/>
          <w:szCs w:val="21"/>
          <w:highlight w:val="none"/>
        </w:rPr>
        <w:t>第六条  本责任书的有效期为双方签署之日起至该工程项目竣工验收合格时止。</w:t>
      </w:r>
    </w:p>
    <w:p w14:paraId="766F0A23">
      <w:pPr>
        <w:spacing w:line="400" w:lineRule="exact"/>
        <w:rPr>
          <w:rFonts w:hint="eastAsia" w:ascii="宋体" w:hAnsi="宋体"/>
          <w:szCs w:val="21"/>
          <w:highlight w:val="none"/>
        </w:rPr>
      </w:pPr>
    </w:p>
    <w:p w14:paraId="755DE1E5">
      <w:pPr>
        <w:spacing w:line="400" w:lineRule="exact"/>
        <w:rPr>
          <w:rFonts w:hint="eastAsia" w:ascii="宋体" w:hAnsi="宋体"/>
          <w:szCs w:val="21"/>
          <w:highlight w:val="none"/>
        </w:rPr>
      </w:pPr>
      <w:r>
        <w:rPr>
          <w:rFonts w:hint="eastAsia" w:ascii="宋体" w:hAnsi="宋体"/>
          <w:szCs w:val="21"/>
          <w:highlight w:val="none"/>
        </w:rPr>
        <w:t>甲方单位：（盖章）                         乙方单位：（盖章）</w:t>
      </w:r>
    </w:p>
    <w:p w14:paraId="3BC60C44">
      <w:pPr>
        <w:spacing w:line="400" w:lineRule="exact"/>
        <w:rPr>
          <w:rFonts w:hint="eastAsia" w:ascii="宋体" w:hAnsi="宋体"/>
          <w:szCs w:val="21"/>
          <w:highlight w:val="none"/>
        </w:rPr>
      </w:pPr>
    </w:p>
    <w:p w14:paraId="041D276F">
      <w:pPr>
        <w:spacing w:line="400" w:lineRule="exact"/>
        <w:rPr>
          <w:rFonts w:hint="eastAsia" w:ascii="宋体" w:hAnsi="宋体"/>
          <w:szCs w:val="21"/>
          <w:highlight w:val="none"/>
        </w:rPr>
      </w:pPr>
      <w:r>
        <w:rPr>
          <w:rFonts w:hint="eastAsia" w:ascii="宋体" w:hAnsi="宋体"/>
          <w:szCs w:val="21"/>
          <w:highlight w:val="none"/>
        </w:rPr>
        <w:t>法定代表人或委托代理人（签字或盖章）：     法定代表人或委托代理人（签字或盖章）：</w:t>
      </w:r>
    </w:p>
    <w:p w14:paraId="2598BE7D">
      <w:pPr>
        <w:spacing w:line="400" w:lineRule="exact"/>
        <w:rPr>
          <w:rFonts w:hint="eastAsia" w:ascii="宋体" w:hAnsi="宋体"/>
          <w:szCs w:val="21"/>
          <w:highlight w:val="none"/>
        </w:rPr>
      </w:pPr>
    </w:p>
    <w:p w14:paraId="29210FBC">
      <w:pPr>
        <w:spacing w:line="400" w:lineRule="exact"/>
        <w:ind w:left="5040" w:hanging="5040" w:hangingChars="2400"/>
        <w:rPr>
          <w:rFonts w:hint="eastAsia" w:ascii="宋体" w:hAnsi="宋体"/>
          <w:sz w:val="18"/>
          <w:szCs w:val="18"/>
          <w:highlight w:val="none"/>
        </w:rPr>
      </w:pPr>
      <w:r>
        <w:rPr>
          <w:rFonts w:hint="eastAsia" w:ascii="宋体" w:hAnsi="宋体"/>
          <w:szCs w:val="21"/>
          <w:highlight w:val="none"/>
        </w:rPr>
        <w:t xml:space="preserve">地址： </w:t>
      </w:r>
      <w:r>
        <w:rPr>
          <w:rFonts w:ascii="宋体" w:hAnsi="宋体"/>
          <w:szCs w:val="21"/>
          <w:highlight w:val="none"/>
        </w:rPr>
        <w:t xml:space="preserve">                     </w:t>
      </w:r>
      <w:r>
        <w:rPr>
          <w:rFonts w:hint="eastAsia" w:ascii="宋体" w:hAnsi="宋体"/>
          <w:szCs w:val="21"/>
          <w:highlight w:val="none"/>
        </w:rPr>
        <w:t xml:space="preserve">              地址：  </w:t>
      </w:r>
    </w:p>
    <w:p w14:paraId="3BEAC8C8">
      <w:pPr>
        <w:spacing w:line="400" w:lineRule="exact"/>
        <w:rPr>
          <w:rFonts w:hint="eastAsia" w:ascii="宋体" w:hAnsi="宋体"/>
          <w:szCs w:val="21"/>
          <w:highlight w:val="none"/>
        </w:rPr>
      </w:pPr>
    </w:p>
    <w:p w14:paraId="2D4DD7A1">
      <w:pPr>
        <w:spacing w:line="400" w:lineRule="exact"/>
        <w:rPr>
          <w:rFonts w:hint="eastAsia" w:ascii="宋体" w:hAnsi="宋体"/>
          <w:szCs w:val="21"/>
          <w:highlight w:val="none"/>
        </w:rPr>
      </w:pPr>
      <w:r>
        <w:rPr>
          <w:rFonts w:hint="eastAsia" w:ascii="宋体" w:hAnsi="宋体"/>
          <w:szCs w:val="21"/>
          <w:highlight w:val="none"/>
        </w:rPr>
        <w:t>电话：</w:t>
      </w:r>
      <w:r>
        <w:rPr>
          <w:rFonts w:ascii="宋体" w:hAnsi="宋体"/>
          <w:szCs w:val="21"/>
          <w:highlight w:val="none"/>
        </w:rPr>
        <w:t xml:space="preserve">           </w:t>
      </w:r>
      <w:r>
        <w:rPr>
          <w:rFonts w:hint="eastAsia" w:ascii="宋体" w:hAnsi="宋体"/>
          <w:szCs w:val="21"/>
          <w:highlight w:val="none"/>
        </w:rPr>
        <w:t xml:space="preserve">                         电话：   </w:t>
      </w:r>
    </w:p>
    <w:p w14:paraId="4EC0FEF6">
      <w:pPr>
        <w:spacing w:line="400" w:lineRule="exact"/>
        <w:ind w:firstLine="1470" w:firstLineChars="700"/>
        <w:rPr>
          <w:rFonts w:hint="eastAsia" w:ascii="宋体" w:hAnsi="宋体"/>
          <w:szCs w:val="21"/>
          <w:highlight w:val="none"/>
        </w:rPr>
      </w:pPr>
    </w:p>
    <w:p w14:paraId="2D044C90">
      <w:pPr>
        <w:spacing w:line="400" w:lineRule="exact"/>
        <w:ind w:firstLine="1470" w:firstLineChars="700"/>
        <w:rPr>
          <w:rFonts w:hint="eastAsia" w:ascii="宋体" w:hAnsi="宋体"/>
          <w:szCs w:val="21"/>
          <w:highlight w:val="none"/>
        </w:rPr>
      </w:pPr>
      <w:r>
        <w:rPr>
          <w:rFonts w:hint="eastAsia" w:ascii="宋体" w:hAnsi="宋体"/>
          <w:szCs w:val="21"/>
          <w:highlight w:val="none"/>
        </w:rPr>
        <w:t>年    月   日                                 年    月   日</w:t>
      </w:r>
    </w:p>
    <w:p w14:paraId="7176243C">
      <w:pPr>
        <w:tabs>
          <w:tab w:val="left" w:pos="1695"/>
        </w:tabs>
        <w:adjustRightInd w:val="0"/>
        <w:snapToGrid w:val="0"/>
        <w:spacing w:line="360" w:lineRule="auto"/>
        <w:ind w:firstLine="480"/>
        <w:rPr>
          <w:rFonts w:hint="eastAsia" w:ascii="宋体" w:hAnsi="宋体"/>
          <w:szCs w:val="21"/>
          <w:highlight w:val="none"/>
        </w:rPr>
      </w:pPr>
    </w:p>
    <w:p w14:paraId="40CB95D4">
      <w:pPr>
        <w:rPr>
          <w:rFonts w:hint="eastAsia" w:ascii="宋体" w:hAnsi="宋体"/>
          <w:highlight w:val="none"/>
        </w:rPr>
      </w:pPr>
    </w:p>
    <w:p w14:paraId="05BCEE34">
      <w:pPr>
        <w:rPr>
          <w:rFonts w:hint="eastAsia" w:ascii="宋体" w:hAnsi="宋体"/>
          <w:sz w:val="28"/>
          <w:szCs w:val="28"/>
          <w:highlight w:val="none"/>
        </w:rPr>
      </w:pPr>
    </w:p>
    <w:p w14:paraId="1688C695">
      <w:pPr>
        <w:rPr>
          <w:rFonts w:hint="eastAsia" w:ascii="宋体" w:hAnsi="宋体"/>
          <w:sz w:val="28"/>
          <w:szCs w:val="28"/>
          <w:highlight w:val="none"/>
        </w:rPr>
      </w:pPr>
    </w:p>
    <w:p w14:paraId="03B07B05">
      <w:pPr>
        <w:rPr>
          <w:rFonts w:hint="eastAsia" w:ascii="宋体" w:hAnsi="宋体"/>
          <w:sz w:val="28"/>
          <w:szCs w:val="28"/>
          <w:highlight w:val="none"/>
        </w:rPr>
      </w:pPr>
    </w:p>
    <w:p w14:paraId="48559D28">
      <w:pPr>
        <w:rPr>
          <w:rFonts w:hint="eastAsia" w:ascii="宋体" w:hAnsi="宋体"/>
          <w:sz w:val="28"/>
          <w:szCs w:val="28"/>
          <w:highlight w:val="none"/>
        </w:rPr>
      </w:pPr>
    </w:p>
    <w:p w14:paraId="39DD5ADC">
      <w:pPr>
        <w:rPr>
          <w:rFonts w:hint="eastAsia" w:ascii="宋体" w:hAnsi="宋体"/>
          <w:sz w:val="28"/>
          <w:szCs w:val="28"/>
          <w:highlight w:val="none"/>
        </w:rPr>
        <w:sectPr>
          <w:headerReference r:id="rId20" w:type="default"/>
          <w:footerReference r:id="rId21" w:type="default"/>
          <w:pgSz w:w="11906" w:h="16838"/>
          <w:pgMar w:top="1440" w:right="1486" w:bottom="1440" w:left="1800" w:header="851" w:footer="992" w:gutter="0"/>
          <w:cols w:space="720" w:num="1"/>
          <w:titlePg/>
          <w:docGrid w:type="lines" w:linePitch="312" w:charSpace="0"/>
        </w:sectPr>
      </w:pPr>
    </w:p>
    <w:p w14:paraId="5C3654FB">
      <w:pPr>
        <w:jc w:val="center"/>
        <w:rPr>
          <w:rFonts w:hint="eastAsia" w:ascii="宋体" w:hAnsi="宋体"/>
          <w:b/>
          <w:sz w:val="44"/>
          <w:szCs w:val="44"/>
          <w:highlight w:val="none"/>
        </w:rPr>
      </w:pPr>
    </w:p>
    <w:p w14:paraId="29F21CA4">
      <w:pPr>
        <w:jc w:val="center"/>
        <w:rPr>
          <w:rFonts w:hint="eastAsia" w:ascii="宋体" w:hAnsi="宋体"/>
          <w:b/>
          <w:sz w:val="44"/>
          <w:szCs w:val="44"/>
          <w:highlight w:val="none"/>
        </w:rPr>
      </w:pPr>
    </w:p>
    <w:p w14:paraId="43D21B4C">
      <w:pPr>
        <w:jc w:val="center"/>
        <w:rPr>
          <w:rFonts w:hint="eastAsia" w:ascii="宋体" w:hAnsi="宋体"/>
          <w:b/>
          <w:sz w:val="44"/>
          <w:szCs w:val="44"/>
          <w:highlight w:val="none"/>
        </w:rPr>
      </w:pPr>
    </w:p>
    <w:p w14:paraId="1D227761">
      <w:pPr>
        <w:jc w:val="center"/>
        <w:rPr>
          <w:rFonts w:hint="eastAsia" w:ascii="宋体" w:hAnsi="宋体"/>
          <w:b/>
          <w:sz w:val="44"/>
          <w:szCs w:val="44"/>
          <w:highlight w:val="none"/>
        </w:rPr>
      </w:pPr>
    </w:p>
    <w:p w14:paraId="5F1B90D1">
      <w:pPr>
        <w:jc w:val="center"/>
        <w:rPr>
          <w:rFonts w:hint="eastAsia" w:ascii="宋体" w:hAnsi="宋体"/>
          <w:b/>
          <w:sz w:val="44"/>
          <w:szCs w:val="44"/>
          <w:highlight w:val="none"/>
        </w:rPr>
      </w:pPr>
    </w:p>
    <w:p w14:paraId="71243EB9">
      <w:pPr>
        <w:jc w:val="center"/>
        <w:rPr>
          <w:rFonts w:hint="eastAsia" w:ascii="宋体" w:hAnsi="宋体"/>
          <w:b/>
          <w:sz w:val="44"/>
          <w:szCs w:val="44"/>
          <w:highlight w:val="none"/>
        </w:rPr>
      </w:pPr>
    </w:p>
    <w:p w14:paraId="0DF062DB">
      <w:pPr>
        <w:jc w:val="center"/>
        <w:rPr>
          <w:rFonts w:hint="eastAsia" w:ascii="宋体" w:hAnsi="宋体"/>
          <w:b/>
          <w:sz w:val="44"/>
          <w:szCs w:val="44"/>
          <w:highlight w:val="none"/>
        </w:rPr>
      </w:pPr>
    </w:p>
    <w:p w14:paraId="6EB702A4">
      <w:pPr>
        <w:jc w:val="center"/>
        <w:rPr>
          <w:rFonts w:hint="eastAsia" w:ascii="宋体" w:hAnsi="宋体"/>
          <w:b/>
          <w:sz w:val="44"/>
          <w:szCs w:val="44"/>
          <w:highlight w:val="none"/>
        </w:rPr>
      </w:pPr>
      <w:r>
        <w:rPr>
          <w:rFonts w:ascii="宋体" w:hAnsi="宋体"/>
          <w:b/>
          <w:sz w:val="44"/>
          <w:szCs w:val="44"/>
          <w:highlight w:val="none"/>
        </w:rPr>
        <w:t>第</w:t>
      </w:r>
      <w:r>
        <w:rPr>
          <w:rFonts w:hint="eastAsia" w:ascii="宋体" w:hAnsi="宋体"/>
          <w:b/>
          <w:sz w:val="44"/>
          <w:szCs w:val="44"/>
          <w:highlight w:val="none"/>
        </w:rPr>
        <w:t>六节 中标通知书</w:t>
      </w:r>
    </w:p>
    <w:p w14:paraId="5EDE2E41">
      <w:pPr>
        <w:rPr>
          <w:rFonts w:hint="eastAsia" w:ascii="宋体" w:hAnsi="宋体"/>
          <w:highlight w:val="none"/>
        </w:rPr>
      </w:pPr>
    </w:p>
    <w:p w14:paraId="742383FD">
      <w:pPr>
        <w:rPr>
          <w:rFonts w:hint="eastAsia" w:ascii="宋体" w:hAnsi="宋体"/>
          <w:highlight w:val="none"/>
        </w:rPr>
      </w:pPr>
    </w:p>
    <w:p w14:paraId="04FE792B">
      <w:pPr>
        <w:tabs>
          <w:tab w:val="left" w:pos="1440"/>
        </w:tabs>
        <w:rPr>
          <w:rFonts w:hint="eastAsia" w:ascii="宋体" w:hAnsi="宋体"/>
          <w:szCs w:val="21"/>
          <w:highlight w:val="none"/>
        </w:rPr>
      </w:pPr>
    </w:p>
    <w:p w14:paraId="4A374B2A">
      <w:pPr>
        <w:jc w:val="center"/>
        <w:rPr>
          <w:rFonts w:hint="eastAsia" w:ascii="宋体" w:hAnsi="宋体"/>
          <w:sz w:val="24"/>
          <w:szCs w:val="20"/>
          <w:highlight w:val="none"/>
        </w:rPr>
      </w:pPr>
    </w:p>
    <w:p w14:paraId="276DF69D">
      <w:pPr>
        <w:jc w:val="center"/>
        <w:rPr>
          <w:rFonts w:hint="eastAsia" w:ascii="宋体" w:hAnsi="宋体"/>
          <w:sz w:val="24"/>
          <w:szCs w:val="20"/>
          <w:highlight w:val="none"/>
        </w:rPr>
      </w:pPr>
    </w:p>
    <w:p w14:paraId="6B5979E8">
      <w:pPr>
        <w:jc w:val="center"/>
        <w:rPr>
          <w:rFonts w:hint="eastAsia" w:ascii="宋体" w:hAnsi="宋体"/>
          <w:sz w:val="24"/>
          <w:szCs w:val="20"/>
          <w:highlight w:val="none"/>
        </w:rPr>
      </w:pPr>
    </w:p>
    <w:p w14:paraId="6FEC67FF">
      <w:pPr>
        <w:jc w:val="center"/>
        <w:rPr>
          <w:rFonts w:hint="eastAsia" w:ascii="宋体" w:hAnsi="宋体"/>
          <w:sz w:val="24"/>
          <w:szCs w:val="20"/>
          <w:highlight w:val="none"/>
        </w:rPr>
      </w:pPr>
    </w:p>
    <w:p w14:paraId="06A2797B">
      <w:pPr>
        <w:jc w:val="center"/>
        <w:rPr>
          <w:rFonts w:hint="eastAsia" w:ascii="宋体" w:hAnsi="宋体"/>
          <w:sz w:val="24"/>
          <w:szCs w:val="20"/>
          <w:highlight w:val="none"/>
        </w:rPr>
      </w:pPr>
    </w:p>
    <w:p w14:paraId="1FDE7881">
      <w:pPr>
        <w:jc w:val="center"/>
        <w:rPr>
          <w:rFonts w:hint="eastAsia" w:ascii="宋体" w:hAnsi="宋体"/>
          <w:sz w:val="24"/>
          <w:szCs w:val="20"/>
          <w:highlight w:val="none"/>
        </w:rPr>
      </w:pPr>
    </w:p>
    <w:p w14:paraId="610F9D18">
      <w:pPr>
        <w:jc w:val="center"/>
        <w:rPr>
          <w:rFonts w:hint="eastAsia" w:ascii="宋体" w:hAnsi="宋体"/>
          <w:sz w:val="24"/>
          <w:szCs w:val="20"/>
          <w:highlight w:val="none"/>
        </w:rPr>
      </w:pPr>
    </w:p>
    <w:p w14:paraId="45CE8D95">
      <w:pPr>
        <w:jc w:val="center"/>
        <w:rPr>
          <w:rFonts w:hint="eastAsia" w:ascii="宋体" w:hAnsi="宋体"/>
          <w:sz w:val="24"/>
          <w:szCs w:val="20"/>
          <w:highlight w:val="none"/>
        </w:rPr>
      </w:pPr>
    </w:p>
    <w:p w14:paraId="4F0AB30A">
      <w:pPr>
        <w:jc w:val="center"/>
        <w:rPr>
          <w:rFonts w:hint="eastAsia" w:ascii="宋体" w:hAnsi="宋体"/>
          <w:sz w:val="24"/>
          <w:szCs w:val="20"/>
          <w:highlight w:val="none"/>
        </w:rPr>
      </w:pPr>
    </w:p>
    <w:p w14:paraId="0F1F91E9">
      <w:pPr>
        <w:jc w:val="center"/>
        <w:rPr>
          <w:rFonts w:hint="eastAsia" w:ascii="宋体" w:hAnsi="宋体"/>
          <w:sz w:val="24"/>
          <w:szCs w:val="20"/>
          <w:highlight w:val="none"/>
        </w:rPr>
      </w:pPr>
    </w:p>
    <w:p w14:paraId="56064A74">
      <w:pPr>
        <w:jc w:val="center"/>
        <w:rPr>
          <w:rFonts w:hint="eastAsia" w:ascii="宋体" w:hAnsi="宋体"/>
          <w:sz w:val="24"/>
          <w:szCs w:val="20"/>
          <w:highlight w:val="none"/>
        </w:rPr>
      </w:pPr>
    </w:p>
    <w:p w14:paraId="3F2214D7">
      <w:pPr>
        <w:jc w:val="center"/>
        <w:rPr>
          <w:rFonts w:hint="eastAsia" w:ascii="宋体" w:hAnsi="宋体"/>
          <w:sz w:val="24"/>
          <w:szCs w:val="20"/>
          <w:highlight w:val="none"/>
        </w:rPr>
      </w:pPr>
    </w:p>
    <w:p w14:paraId="7B462DC3">
      <w:pPr>
        <w:jc w:val="center"/>
        <w:rPr>
          <w:rFonts w:hint="eastAsia" w:ascii="宋体" w:hAnsi="宋体"/>
          <w:sz w:val="24"/>
          <w:szCs w:val="20"/>
          <w:highlight w:val="none"/>
        </w:rPr>
      </w:pPr>
    </w:p>
    <w:p w14:paraId="76B1F754">
      <w:pPr>
        <w:jc w:val="center"/>
        <w:rPr>
          <w:rFonts w:hint="eastAsia" w:ascii="宋体" w:hAnsi="宋体"/>
          <w:sz w:val="24"/>
          <w:szCs w:val="20"/>
          <w:highlight w:val="none"/>
        </w:rPr>
      </w:pPr>
    </w:p>
    <w:p w14:paraId="6334EB62">
      <w:pPr>
        <w:jc w:val="center"/>
        <w:rPr>
          <w:rFonts w:hint="eastAsia" w:ascii="宋体" w:hAnsi="宋体"/>
          <w:sz w:val="24"/>
          <w:szCs w:val="20"/>
          <w:highlight w:val="none"/>
        </w:rPr>
      </w:pPr>
    </w:p>
    <w:p w14:paraId="34387E84">
      <w:pPr>
        <w:jc w:val="center"/>
        <w:rPr>
          <w:rFonts w:hint="eastAsia" w:ascii="宋体" w:hAnsi="宋体"/>
          <w:sz w:val="24"/>
          <w:szCs w:val="20"/>
          <w:highlight w:val="none"/>
        </w:rPr>
      </w:pPr>
    </w:p>
    <w:p w14:paraId="5EF4F622">
      <w:pPr>
        <w:jc w:val="center"/>
        <w:rPr>
          <w:rFonts w:hint="eastAsia" w:ascii="宋体" w:hAnsi="宋体"/>
          <w:sz w:val="24"/>
          <w:szCs w:val="20"/>
          <w:highlight w:val="none"/>
        </w:rPr>
      </w:pPr>
    </w:p>
    <w:p w14:paraId="748CB903">
      <w:pPr>
        <w:jc w:val="center"/>
        <w:rPr>
          <w:rFonts w:hint="eastAsia" w:ascii="宋体" w:hAnsi="宋体"/>
          <w:sz w:val="24"/>
          <w:szCs w:val="20"/>
          <w:highlight w:val="none"/>
        </w:rPr>
      </w:pPr>
    </w:p>
    <w:p w14:paraId="2356ECC4">
      <w:pPr>
        <w:jc w:val="center"/>
        <w:rPr>
          <w:rFonts w:hint="eastAsia" w:ascii="宋体" w:hAnsi="宋体"/>
          <w:sz w:val="24"/>
          <w:szCs w:val="20"/>
          <w:highlight w:val="none"/>
        </w:rPr>
      </w:pPr>
    </w:p>
    <w:p w14:paraId="57D5D156">
      <w:pPr>
        <w:jc w:val="center"/>
        <w:rPr>
          <w:rFonts w:hint="eastAsia" w:ascii="宋体" w:hAnsi="宋体"/>
          <w:sz w:val="24"/>
          <w:szCs w:val="20"/>
          <w:highlight w:val="none"/>
        </w:rPr>
      </w:pPr>
    </w:p>
    <w:p w14:paraId="65F5B05B">
      <w:pPr>
        <w:jc w:val="center"/>
        <w:rPr>
          <w:rFonts w:hint="eastAsia" w:ascii="宋体" w:hAnsi="宋体"/>
          <w:sz w:val="24"/>
          <w:szCs w:val="20"/>
          <w:highlight w:val="none"/>
        </w:rPr>
      </w:pPr>
    </w:p>
    <w:p w14:paraId="38829716">
      <w:pPr>
        <w:jc w:val="center"/>
        <w:rPr>
          <w:rFonts w:hint="eastAsia" w:ascii="宋体" w:hAnsi="宋体"/>
          <w:sz w:val="24"/>
          <w:szCs w:val="20"/>
          <w:highlight w:val="none"/>
        </w:rPr>
      </w:pPr>
    </w:p>
    <w:p w14:paraId="24AE906F">
      <w:pPr>
        <w:jc w:val="center"/>
        <w:rPr>
          <w:rFonts w:hint="eastAsia" w:ascii="宋体" w:hAnsi="宋体"/>
          <w:sz w:val="24"/>
          <w:szCs w:val="20"/>
          <w:highlight w:val="none"/>
        </w:rPr>
      </w:pPr>
    </w:p>
    <w:p w14:paraId="504DBBAD">
      <w:pPr>
        <w:jc w:val="center"/>
        <w:rPr>
          <w:rFonts w:hint="eastAsia" w:ascii="宋体" w:hAnsi="宋体"/>
          <w:sz w:val="24"/>
          <w:szCs w:val="20"/>
          <w:highlight w:val="none"/>
        </w:rPr>
      </w:pPr>
    </w:p>
    <w:p w14:paraId="1C7FB970">
      <w:pPr>
        <w:jc w:val="center"/>
        <w:rPr>
          <w:rFonts w:hint="eastAsia" w:ascii="宋体" w:hAnsi="宋体"/>
          <w:sz w:val="24"/>
          <w:szCs w:val="20"/>
          <w:highlight w:val="none"/>
        </w:rPr>
      </w:pPr>
    </w:p>
    <w:p w14:paraId="5D30CC90">
      <w:pPr>
        <w:jc w:val="center"/>
        <w:rPr>
          <w:rFonts w:hint="eastAsia" w:ascii="宋体" w:hAnsi="宋体"/>
          <w:b/>
          <w:sz w:val="44"/>
          <w:szCs w:val="44"/>
          <w:highlight w:val="none"/>
        </w:rPr>
      </w:pPr>
      <w:r>
        <w:rPr>
          <w:rFonts w:ascii="宋体" w:hAnsi="宋体"/>
          <w:sz w:val="24"/>
          <w:szCs w:val="20"/>
          <w:highlight w:val="none"/>
        </w:rPr>
        <w:br w:type="page"/>
      </w:r>
    </w:p>
    <w:p w14:paraId="09529D6D">
      <w:pPr>
        <w:jc w:val="center"/>
        <w:rPr>
          <w:rFonts w:hint="eastAsia" w:ascii="宋体" w:hAnsi="宋体"/>
          <w:b/>
          <w:sz w:val="44"/>
          <w:szCs w:val="44"/>
          <w:highlight w:val="none"/>
        </w:rPr>
      </w:pPr>
    </w:p>
    <w:p w14:paraId="0E477145">
      <w:pPr>
        <w:jc w:val="center"/>
        <w:rPr>
          <w:rFonts w:hint="eastAsia" w:ascii="宋体" w:hAnsi="宋体"/>
          <w:b/>
          <w:sz w:val="44"/>
          <w:szCs w:val="44"/>
          <w:highlight w:val="none"/>
        </w:rPr>
      </w:pPr>
    </w:p>
    <w:p w14:paraId="10F40E09">
      <w:pPr>
        <w:jc w:val="center"/>
        <w:rPr>
          <w:rFonts w:hint="eastAsia" w:ascii="宋体" w:hAnsi="宋体"/>
          <w:b/>
          <w:sz w:val="44"/>
          <w:szCs w:val="44"/>
          <w:highlight w:val="none"/>
        </w:rPr>
      </w:pPr>
    </w:p>
    <w:p w14:paraId="1CBA26B5">
      <w:pPr>
        <w:jc w:val="center"/>
        <w:rPr>
          <w:rFonts w:hint="eastAsia" w:ascii="宋体" w:hAnsi="宋体"/>
          <w:b/>
          <w:sz w:val="44"/>
          <w:szCs w:val="44"/>
          <w:highlight w:val="none"/>
        </w:rPr>
      </w:pPr>
    </w:p>
    <w:p w14:paraId="3C42F70D">
      <w:pPr>
        <w:jc w:val="center"/>
        <w:rPr>
          <w:rFonts w:hint="eastAsia" w:ascii="宋体" w:hAnsi="宋体"/>
          <w:b/>
          <w:sz w:val="44"/>
          <w:szCs w:val="44"/>
          <w:highlight w:val="none"/>
        </w:rPr>
      </w:pPr>
    </w:p>
    <w:p w14:paraId="15230CF5">
      <w:pPr>
        <w:jc w:val="center"/>
        <w:rPr>
          <w:rFonts w:hint="eastAsia" w:ascii="宋体" w:hAnsi="宋体"/>
          <w:b/>
          <w:sz w:val="44"/>
          <w:szCs w:val="44"/>
          <w:highlight w:val="none"/>
        </w:rPr>
      </w:pPr>
    </w:p>
    <w:p w14:paraId="566ED0B3">
      <w:pPr>
        <w:jc w:val="center"/>
        <w:rPr>
          <w:rFonts w:hint="eastAsia" w:ascii="宋体" w:hAnsi="宋体"/>
          <w:b/>
          <w:sz w:val="44"/>
          <w:szCs w:val="44"/>
          <w:highlight w:val="none"/>
        </w:rPr>
      </w:pPr>
      <w:r>
        <w:rPr>
          <w:rFonts w:ascii="宋体" w:hAnsi="宋体"/>
          <w:b/>
          <w:sz w:val="44"/>
          <w:szCs w:val="44"/>
          <w:highlight w:val="none"/>
        </w:rPr>
        <w:t>第</w:t>
      </w:r>
      <w:r>
        <w:rPr>
          <w:rFonts w:hint="eastAsia" w:ascii="宋体" w:hAnsi="宋体"/>
          <w:b/>
          <w:sz w:val="44"/>
          <w:szCs w:val="44"/>
          <w:highlight w:val="none"/>
        </w:rPr>
        <w:t>七节 施工安全协议书</w:t>
      </w:r>
    </w:p>
    <w:p w14:paraId="3D2B32EA">
      <w:pPr>
        <w:rPr>
          <w:rFonts w:hint="eastAsia" w:ascii="宋体" w:hAnsi="宋体"/>
          <w:highlight w:val="none"/>
        </w:rPr>
      </w:pPr>
    </w:p>
    <w:p w14:paraId="279F0E85">
      <w:pPr>
        <w:rPr>
          <w:rFonts w:hint="eastAsia" w:ascii="宋体" w:hAnsi="宋体"/>
          <w:highlight w:val="none"/>
        </w:rPr>
      </w:pPr>
    </w:p>
    <w:p w14:paraId="78D9A7E7">
      <w:pPr>
        <w:tabs>
          <w:tab w:val="left" w:pos="1440"/>
        </w:tabs>
        <w:rPr>
          <w:rFonts w:hint="eastAsia" w:ascii="宋体" w:hAnsi="宋体"/>
          <w:szCs w:val="21"/>
          <w:highlight w:val="none"/>
        </w:rPr>
      </w:pPr>
    </w:p>
    <w:p w14:paraId="6DF746F1">
      <w:pPr>
        <w:jc w:val="center"/>
        <w:rPr>
          <w:rFonts w:hint="eastAsia" w:ascii="宋体" w:hAnsi="宋体"/>
          <w:sz w:val="24"/>
          <w:szCs w:val="20"/>
          <w:highlight w:val="none"/>
        </w:rPr>
      </w:pPr>
    </w:p>
    <w:p w14:paraId="162B6974">
      <w:pPr>
        <w:jc w:val="center"/>
        <w:rPr>
          <w:rFonts w:hint="eastAsia" w:ascii="宋体" w:hAnsi="宋体"/>
          <w:sz w:val="24"/>
          <w:szCs w:val="20"/>
          <w:highlight w:val="none"/>
        </w:rPr>
      </w:pPr>
    </w:p>
    <w:p w14:paraId="47B4230A">
      <w:pPr>
        <w:jc w:val="center"/>
        <w:rPr>
          <w:rFonts w:hint="eastAsia" w:ascii="宋体" w:hAnsi="宋体"/>
          <w:sz w:val="24"/>
          <w:szCs w:val="20"/>
          <w:highlight w:val="none"/>
        </w:rPr>
      </w:pPr>
    </w:p>
    <w:p w14:paraId="6FE29E92">
      <w:pPr>
        <w:jc w:val="center"/>
        <w:rPr>
          <w:rFonts w:hint="eastAsia" w:ascii="宋体" w:hAnsi="宋体"/>
          <w:sz w:val="24"/>
          <w:szCs w:val="20"/>
          <w:highlight w:val="none"/>
        </w:rPr>
      </w:pPr>
    </w:p>
    <w:p w14:paraId="24A53A2A">
      <w:pPr>
        <w:jc w:val="center"/>
        <w:rPr>
          <w:rFonts w:hint="eastAsia" w:ascii="宋体" w:hAnsi="宋体"/>
          <w:sz w:val="24"/>
          <w:szCs w:val="20"/>
          <w:highlight w:val="none"/>
        </w:rPr>
      </w:pPr>
    </w:p>
    <w:p w14:paraId="281C6A65">
      <w:pPr>
        <w:jc w:val="center"/>
        <w:rPr>
          <w:rFonts w:hint="eastAsia" w:ascii="宋体" w:hAnsi="宋体"/>
          <w:sz w:val="24"/>
          <w:szCs w:val="20"/>
          <w:highlight w:val="none"/>
        </w:rPr>
      </w:pPr>
    </w:p>
    <w:p w14:paraId="0BCD063A">
      <w:pPr>
        <w:jc w:val="center"/>
        <w:rPr>
          <w:rFonts w:hint="eastAsia" w:ascii="宋体" w:hAnsi="宋体"/>
          <w:sz w:val="24"/>
          <w:szCs w:val="20"/>
          <w:highlight w:val="none"/>
        </w:rPr>
      </w:pPr>
    </w:p>
    <w:p w14:paraId="0E5A4E00">
      <w:pPr>
        <w:jc w:val="center"/>
        <w:rPr>
          <w:rFonts w:hint="eastAsia" w:ascii="宋体" w:hAnsi="宋体"/>
          <w:sz w:val="24"/>
          <w:szCs w:val="20"/>
          <w:highlight w:val="none"/>
        </w:rPr>
      </w:pPr>
    </w:p>
    <w:p w14:paraId="6FDFA460">
      <w:pPr>
        <w:jc w:val="center"/>
        <w:rPr>
          <w:rFonts w:hint="eastAsia" w:ascii="宋体" w:hAnsi="宋体"/>
          <w:sz w:val="24"/>
          <w:szCs w:val="20"/>
          <w:highlight w:val="none"/>
        </w:rPr>
      </w:pPr>
    </w:p>
    <w:p w14:paraId="67C4962B">
      <w:pPr>
        <w:jc w:val="center"/>
        <w:rPr>
          <w:rFonts w:hint="eastAsia" w:ascii="宋体" w:hAnsi="宋体"/>
          <w:sz w:val="24"/>
          <w:szCs w:val="20"/>
          <w:highlight w:val="none"/>
        </w:rPr>
      </w:pPr>
    </w:p>
    <w:p w14:paraId="6DECDD18">
      <w:pPr>
        <w:jc w:val="center"/>
        <w:rPr>
          <w:rFonts w:hint="eastAsia" w:ascii="宋体" w:hAnsi="宋体"/>
          <w:sz w:val="24"/>
          <w:szCs w:val="20"/>
          <w:highlight w:val="none"/>
        </w:rPr>
      </w:pPr>
    </w:p>
    <w:p w14:paraId="2D560E35">
      <w:pPr>
        <w:jc w:val="center"/>
        <w:rPr>
          <w:rFonts w:hint="eastAsia" w:ascii="宋体" w:hAnsi="宋体"/>
          <w:sz w:val="24"/>
          <w:szCs w:val="20"/>
          <w:highlight w:val="none"/>
        </w:rPr>
      </w:pPr>
    </w:p>
    <w:p w14:paraId="2D178322">
      <w:pPr>
        <w:jc w:val="center"/>
        <w:rPr>
          <w:rFonts w:hint="eastAsia" w:ascii="宋体" w:hAnsi="宋体"/>
          <w:sz w:val="24"/>
          <w:szCs w:val="20"/>
          <w:highlight w:val="none"/>
        </w:rPr>
      </w:pPr>
    </w:p>
    <w:p w14:paraId="493AFEC8">
      <w:pPr>
        <w:jc w:val="center"/>
        <w:rPr>
          <w:rFonts w:hint="eastAsia" w:ascii="宋体" w:hAnsi="宋体"/>
          <w:sz w:val="24"/>
          <w:szCs w:val="20"/>
          <w:highlight w:val="none"/>
        </w:rPr>
      </w:pPr>
    </w:p>
    <w:p w14:paraId="685DD9C4">
      <w:pPr>
        <w:jc w:val="center"/>
        <w:rPr>
          <w:rFonts w:hint="eastAsia" w:ascii="宋体" w:hAnsi="宋体"/>
          <w:sz w:val="24"/>
          <w:szCs w:val="20"/>
          <w:highlight w:val="none"/>
        </w:rPr>
      </w:pPr>
    </w:p>
    <w:p w14:paraId="4AB69731">
      <w:pPr>
        <w:jc w:val="center"/>
        <w:rPr>
          <w:rFonts w:hint="eastAsia" w:ascii="宋体" w:hAnsi="宋体"/>
          <w:sz w:val="24"/>
          <w:szCs w:val="20"/>
          <w:highlight w:val="none"/>
        </w:rPr>
      </w:pPr>
    </w:p>
    <w:p w14:paraId="4F4A195C">
      <w:pPr>
        <w:jc w:val="center"/>
        <w:rPr>
          <w:rFonts w:hint="eastAsia" w:ascii="宋体" w:hAnsi="宋体"/>
          <w:sz w:val="24"/>
          <w:szCs w:val="20"/>
          <w:highlight w:val="none"/>
        </w:rPr>
      </w:pPr>
    </w:p>
    <w:p w14:paraId="28360746">
      <w:pPr>
        <w:jc w:val="center"/>
        <w:rPr>
          <w:rFonts w:hint="eastAsia" w:ascii="宋体" w:hAnsi="宋体"/>
          <w:sz w:val="24"/>
          <w:szCs w:val="20"/>
          <w:highlight w:val="none"/>
        </w:rPr>
      </w:pPr>
    </w:p>
    <w:p w14:paraId="4762895E">
      <w:pPr>
        <w:jc w:val="center"/>
        <w:rPr>
          <w:rFonts w:hint="eastAsia" w:ascii="宋体" w:hAnsi="宋体"/>
          <w:sz w:val="24"/>
          <w:szCs w:val="20"/>
          <w:highlight w:val="none"/>
        </w:rPr>
      </w:pPr>
    </w:p>
    <w:p w14:paraId="627854BC">
      <w:pPr>
        <w:jc w:val="center"/>
        <w:rPr>
          <w:rFonts w:hint="eastAsia" w:ascii="宋体" w:hAnsi="宋体"/>
          <w:sz w:val="24"/>
          <w:szCs w:val="20"/>
          <w:highlight w:val="none"/>
        </w:rPr>
      </w:pPr>
    </w:p>
    <w:p w14:paraId="41C758F3">
      <w:pPr>
        <w:jc w:val="center"/>
        <w:rPr>
          <w:rFonts w:hint="eastAsia" w:ascii="宋体" w:hAnsi="宋体"/>
          <w:sz w:val="24"/>
          <w:szCs w:val="20"/>
          <w:highlight w:val="none"/>
        </w:rPr>
      </w:pPr>
    </w:p>
    <w:p w14:paraId="26D176C2">
      <w:pPr>
        <w:jc w:val="center"/>
        <w:rPr>
          <w:rFonts w:hint="eastAsia" w:ascii="宋体" w:hAnsi="宋体"/>
          <w:sz w:val="24"/>
          <w:szCs w:val="20"/>
          <w:highlight w:val="none"/>
        </w:rPr>
      </w:pPr>
    </w:p>
    <w:p w14:paraId="2CB1E284">
      <w:pPr>
        <w:jc w:val="center"/>
        <w:rPr>
          <w:rFonts w:hint="eastAsia" w:ascii="宋体" w:hAnsi="宋体"/>
          <w:sz w:val="24"/>
          <w:szCs w:val="20"/>
          <w:highlight w:val="none"/>
        </w:rPr>
      </w:pPr>
    </w:p>
    <w:p w14:paraId="0D59C2FF">
      <w:pPr>
        <w:jc w:val="center"/>
        <w:rPr>
          <w:rFonts w:hint="eastAsia" w:ascii="宋体" w:hAnsi="宋体"/>
          <w:sz w:val="24"/>
          <w:szCs w:val="20"/>
          <w:highlight w:val="none"/>
        </w:rPr>
      </w:pPr>
    </w:p>
    <w:p w14:paraId="0A88DF0D">
      <w:pPr>
        <w:jc w:val="center"/>
        <w:rPr>
          <w:rFonts w:hint="eastAsia" w:ascii="宋体" w:hAnsi="宋体"/>
          <w:sz w:val="24"/>
          <w:szCs w:val="20"/>
          <w:highlight w:val="none"/>
        </w:rPr>
      </w:pPr>
    </w:p>
    <w:p w14:paraId="764C446F">
      <w:pPr>
        <w:widowControl/>
        <w:spacing w:before="100" w:beforeAutospacing="1" w:after="240" w:afterLines="100" w:afterAutospacing="1" w:line="480" w:lineRule="auto"/>
        <w:jc w:val="center"/>
        <w:rPr>
          <w:rFonts w:hint="eastAsia" w:ascii="宋体" w:hAnsi="宋体" w:cs="Helvetica"/>
          <w:kern w:val="0"/>
          <w:sz w:val="25"/>
          <w:szCs w:val="25"/>
          <w:highlight w:val="none"/>
        </w:rPr>
      </w:pPr>
      <w:r>
        <w:rPr>
          <w:rFonts w:ascii="宋体" w:hAnsi="宋体" w:cs="Helvetica"/>
          <w:b/>
          <w:bCs/>
          <w:kern w:val="0"/>
          <w:sz w:val="49"/>
          <w:szCs w:val="49"/>
          <w:highlight w:val="none"/>
        </w:rPr>
        <w:br w:type="page"/>
      </w:r>
      <w:r>
        <w:rPr>
          <w:rFonts w:ascii="宋体" w:hAnsi="宋体" w:cs="Helvetica"/>
          <w:b/>
          <w:bCs/>
          <w:kern w:val="0"/>
          <w:sz w:val="49"/>
          <w:szCs w:val="49"/>
          <w:highlight w:val="none"/>
        </w:rPr>
        <w:t>工程施工安全协议书</w:t>
      </w:r>
    </w:p>
    <w:p w14:paraId="39C21D9E">
      <w:pPr>
        <w:widowControl/>
        <w:adjustRightInd w:val="0"/>
        <w:snapToGrid w:val="0"/>
        <w:spacing w:line="360" w:lineRule="auto"/>
        <w:ind w:firstLine="480" w:firstLineChars="200"/>
        <w:rPr>
          <w:rFonts w:hint="eastAsia" w:ascii="宋体" w:hAnsi="宋体" w:cs="Helvetica"/>
          <w:kern w:val="0"/>
          <w:sz w:val="24"/>
          <w:highlight w:val="none"/>
        </w:rPr>
      </w:pPr>
      <w:r>
        <w:rPr>
          <w:rFonts w:ascii="宋体" w:hAnsi="宋体" w:cs="Helvetica"/>
          <w:kern w:val="0"/>
          <w:sz w:val="24"/>
          <w:highlight w:val="none"/>
        </w:rPr>
        <w:t>为贯彻</w:t>
      </w:r>
      <w:r>
        <w:rPr>
          <w:rFonts w:hint="eastAsia" w:ascii="宋体" w:hAnsi="宋体" w:cs="Helvetica"/>
          <w:kern w:val="0"/>
          <w:sz w:val="24"/>
          <w:highlight w:val="none"/>
        </w:rPr>
        <w:t>“</w:t>
      </w:r>
      <w:r>
        <w:rPr>
          <w:rFonts w:ascii="宋体" w:hAnsi="宋体" w:cs="Helvetica"/>
          <w:kern w:val="0"/>
          <w:sz w:val="24"/>
          <w:highlight w:val="none"/>
        </w:rPr>
        <w:t>安全第一，预防为主</w:t>
      </w:r>
      <w:r>
        <w:rPr>
          <w:rFonts w:hint="eastAsia" w:ascii="宋体" w:hAnsi="宋体" w:cs="Helvetica"/>
          <w:kern w:val="0"/>
          <w:sz w:val="24"/>
          <w:highlight w:val="none"/>
        </w:rPr>
        <w:t>”</w:t>
      </w:r>
      <w:r>
        <w:rPr>
          <w:rFonts w:ascii="宋体" w:hAnsi="宋体" w:cs="Helvetica"/>
          <w:kern w:val="0"/>
          <w:sz w:val="24"/>
          <w:highlight w:val="none"/>
        </w:rPr>
        <w:t>方针，明确双方的安全责任，确保施工中人身、</w:t>
      </w:r>
      <w:r>
        <w:rPr>
          <w:rFonts w:hint="eastAsia" w:ascii="宋体" w:hAnsi="宋体" w:cs="Helvetica"/>
          <w:kern w:val="0"/>
          <w:sz w:val="24"/>
          <w:highlight w:val="none"/>
        </w:rPr>
        <w:t>机械</w:t>
      </w:r>
      <w:r>
        <w:rPr>
          <w:rFonts w:ascii="宋体" w:hAnsi="宋体" w:cs="Helvetica"/>
          <w:kern w:val="0"/>
          <w:sz w:val="24"/>
          <w:highlight w:val="none"/>
        </w:rPr>
        <w:t>和设备安全，根据国家有关法律法规，经双方协商一致签订本协议。</w:t>
      </w:r>
    </w:p>
    <w:p w14:paraId="775D2FD8">
      <w:pPr>
        <w:widowControl/>
        <w:numPr>
          <w:ilvl w:val="0"/>
          <w:numId w:val="14"/>
        </w:numPr>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工程项目：</w:t>
      </w:r>
    </w:p>
    <w:p w14:paraId="72FC55C4">
      <w:pPr>
        <w:widowControl/>
        <w:adjustRightInd w:val="0"/>
        <w:snapToGrid w:val="0"/>
        <w:spacing w:line="360" w:lineRule="auto"/>
        <w:ind w:left="565" w:leftChars="269"/>
        <w:rPr>
          <w:rFonts w:hint="eastAsia" w:ascii="宋体" w:hAnsi="宋体" w:cs="Helvetica"/>
          <w:kern w:val="0"/>
          <w:sz w:val="24"/>
          <w:highlight w:val="none"/>
          <w:u w:val="single"/>
        </w:rPr>
      </w:pPr>
      <w:r>
        <w:rPr>
          <w:rFonts w:hint="eastAsia" w:ascii="宋体" w:hAnsi="宋体" w:cs="Helvetica"/>
          <w:kern w:val="0"/>
          <w:sz w:val="24"/>
          <w:highlight w:val="none"/>
          <w:u w:val="single"/>
        </w:rPr>
        <w:t xml:space="preserve">               </w:t>
      </w:r>
      <w:r>
        <w:rPr>
          <w:rFonts w:ascii="宋体" w:hAnsi="宋体" w:cs="Helvetica"/>
          <w:kern w:val="0"/>
          <w:sz w:val="24"/>
          <w:highlight w:val="none"/>
          <w:u w:val="single"/>
        </w:rPr>
        <w:t xml:space="preserve">                    </w:t>
      </w:r>
      <w:r>
        <w:rPr>
          <w:rFonts w:hint="eastAsia" w:ascii="宋体" w:hAnsi="宋体" w:cs="Helvetica"/>
          <w:kern w:val="0"/>
          <w:sz w:val="24"/>
          <w:highlight w:val="none"/>
          <w:u w:val="single"/>
        </w:rPr>
        <w:t xml:space="preserve">                     </w:t>
      </w:r>
    </w:p>
    <w:p w14:paraId="79AF3DD9">
      <w:pPr>
        <w:widowControl/>
        <w:adjustRightInd w:val="0"/>
        <w:snapToGrid w:val="0"/>
        <w:spacing w:line="360" w:lineRule="auto"/>
        <w:rPr>
          <w:rFonts w:hint="eastAsia" w:ascii="宋体" w:hAnsi="宋体" w:cs="Helvetica"/>
          <w:kern w:val="0"/>
          <w:sz w:val="24"/>
          <w:highlight w:val="none"/>
        </w:rPr>
      </w:pPr>
      <w:r>
        <w:rPr>
          <w:rFonts w:hint="eastAsia" w:ascii="宋体" w:hAnsi="宋体" w:cs="Helvetica"/>
          <w:kern w:val="0"/>
          <w:sz w:val="24"/>
          <w:highlight w:val="none"/>
        </w:rPr>
        <w:t>第二</w:t>
      </w:r>
      <w:r>
        <w:rPr>
          <w:rFonts w:ascii="宋体" w:hAnsi="宋体" w:cs="Helvetica"/>
          <w:kern w:val="0"/>
          <w:sz w:val="24"/>
          <w:highlight w:val="none"/>
        </w:rPr>
        <w:t>条 施工地址：</w:t>
      </w:r>
    </w:p>
    <w:p w14:paraId="3B912E15">
      <w:pPr>
        <w:widowControl/>
        <w:adjustRightInd w:val="0"/>
        <w:snapToGrid w:val="0"/>
        <w:spacing w:line="360" w:lineRule="auto"/>
        <w:ind w:firstLine="542" w:firstLineChars="226"/>
        <w:rPr>
          <w:rFonts w:hint="eastAsia" w:ascii="宋体" w:hAnsi="宋体" w:cs="Helvetica"/>
          <w:kern w:val="0"/>
          <w:sz w:val="24"/>
          <w:highlight w:val="none"/>
          <w:u w:val="single"/>
        </w:rPr>
      </w:pPr>
      <w:r>
        <w:rPr>
          <w:rFonts w:hint="eastAsia" w:ascii="宋体" w:hAnsi="宋体" w:cs="Helvetica"/>
          <w:kern w:val="0"/>
          <w:sz w:val="24"/>
          <w:highlight w:val="none"/>
          <w:u w:val="single"/>
        </w:rPr>
        <w:t xml:space="preserve">                  </w:t>
      </w:r>
      <w:r>
        <w:rPr>
          <w:rFonts w:ascii="宋体" w:hAnsi="宋体" w:cs="Helvetica"/>
          <w:kern w:val="0"/>
          <w:sz w:val="24"/>
          <w:highlight w:val="none"/>
          <w:u w:val="single"/>
        </w:rPr>
        <w:t xml:space="preserve">                      </w:t>
      </w:r>
      <w:r>
        <w:rPr>
          <w:rFonts w:hint="eastAsia" w:ascii="宋体" w:hAnsi="宋体" w:cs="Helvetica"/>
          <w:kern w:val="0"/>
          <w:sz w:val="24"/>
          <w:highlight w:val="none"/>
          <w:u w:val="single"/>
        </w:rPr>
        <w:t xml:space="preserve">                </w:t>
      </w:r>
    </w:p>
    <w:p w14:paraId="57A03C7B">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第三条</w:t>
      </w:r>
      <w:r>
        <w:rPr>
          <w:rFonts w:hint="eastAsia" w:ascii="宋体" w:hAnsi="宋体" w:cs="Helvetica"/>
          <w:kern w:val="0"/>
          <w:sz w:val="24"/>
          <w:highlight w:val="none"/>
        </w:rPr>
        <w:t xml:space="preserve"> </w:t>
      </w:r>
      <w:r>
        <w:rPr>
          <w:rFonts w:ascii="宋体" w:hAnsi="宋体" w:cs="Helvetica"/>
          <w:kern w:val="0"/>
          <w:sz w:val="24"/>
          <w:highlight w:val="none"/>
        </w:rPr>
        <w:t>甲方安全责任</w:t>
      </w:r>
    </w:p>
    <w:p w14:paraId="735278A3">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1、开工前甲方对乙方进行施工安全技术交底，并应有书面记录或资料。</w:t>
      </w:r>
    </w:p>
    <w:p w14:paraId="6D2EBF4B">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2、甲方应要求乙方制定施工安全措施，在开始施工前报甲方备案。</w:t>
      </w:r>
    </w:p>
    <w:p w14:paraId="0D7291D5">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3、甲方有协助乙方搞好安全生产、防火管理以及督促检查的义务。甲方有权检查督促乙方执行有关安全生产方面的工作规定，对乙方不符合安全文明施工的行为进行制止、纠正并发出安全整改通知书，直至清退出场。</w:t>
      </w:r>
    </w:p>
    <w:p w14:paraId="693FDDFD">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4、甲方指派</w:t>
      </w:r>
      <w:r>
        <w:rPr>
          <w:rFonts w:hint="eastAsia" w:ascii="宋体" w:hAnsi="宋体" w:cs="Helvetica"/>
          <w:kern w:val="0"/>
          <w:sz w:val="24"/>
          <w:highlight w:val="none"/>
        </w:rPr>
        <w:t xml:space="preserve"> </w:t>
      </w:r>
      <w:r>
        <w:rPr>
          <w:rFonts w:hint="eastAsia" w:ascii="宋体" w:hAnsi="宋体" w:cs="Helvetica"/>
          <w:kern w:val="0"/>
          <w:sz w:val="24"/>
          <w:highlight w:val="none"/>
          <w:u w:val="single"/>
        </w:rPr>
        <w:t xml:space="preserve">     </w:t>
      </w:r>
      <w:r>
        <w:rPr>
          <w:rFonts w:ascii="宋体" w:hAnsi="宋体" w:cs="Helvetica"/>
          <w:kern w:val="0"/>
          <w:sz w:val="24"/>
          <w:highlight w:val="none"/>
        </w:rPr>
        <w:t>同志负责与乙方联系安全生产方面的工作。</w:t>
      </w:r>
    </w:p>
    <w:p w14:paraId="5B152FE1">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5、甲方负责签发工作票，对工作票所填写的安全措施是否正确完备负责，并履行工作票许可手续。</w:t>
      </w:r>
    </w:p>
    <w:p w14:paraId="6CE94761">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6、甲方有权对乙方参与施工的人员进行安全技术知识和安全工作规程的抽考。</w:t>
      </w:r>
    </w:p>
    <w:p w14:paraId="0ED00F68">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7、乙方在施工中发生的</w:t>
      </w:r>
      <w:r>
        <w:rPr>
          <w:rFonts w:hint="eastAsia" w:ascii="宋体" w:hAnsi="宋体" w:cs="Helvetica"/>
          <w:kern w:val="0"/>
          <w:sz w:val="24"/>
          <w:highlight w:val="none"/>
        </w:rPr>
        <w:t>任何</w:t>
      </w:r>
      <w:r>
        <w:rPr>
          <w:rFonts w:ascii="宋体" w:hAnsi="宋体" w:cs="Helvetica"/>
          <w:kern w:val="0"/>
          <w:sz w:val="24"/>
          <w:highlight w:val="none"/>
        </w:rPr>
        <w:t>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14:paraId="1DCC8756">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8、甲方不得要求乙方违反安全管理规定进行施工。因甲方原因导致的事故由甲方承担责任。</w:t>
      </w:r>
    </w:p>
    <w:p w14:paraId="22E1A823">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9、发生以下情况停工整顿，因停工造成的违约责任由乙方承担：</w:t>
      </w:r>
    </w:p>
    <w:p w14:paraId="27DBF476">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（1）人身伤亡事故；</w:t>
      </w:r>
    </w:p>
    <w:p w14:paraId="65207416">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（2）发生施工机械、生产主设备严重损坏事故；</w:t>
      </w:r>
    </w:p>
    <w:p w14:paraId="28AE2549">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（3）发生</w:t>
      </w:r>
      <w:r>
        <w:rPr>
          <w:rFonts w:hint="eastAsia" w:ascii="宋体" w:hAnsi="宋体" w:cs="Helvetica"/>
          <w:kern w:val="0"/>
          <w:sz w:val="24"/>
          <w:highlight w:val="none"/>
        </w:rPr>
        <w:t>工地</w:t>
      </w:r>
      <w:r>
        <w:rPr>
          <w:rFonts w:ascii="宋体" w:hAnsi="宋体" w:cs="Helvetica"/>
          <w:kern w:val="0"/>
          <w:sz w:val="24"/>
          <w:highlight w:val="none"/>
        </w:rPr>
        <w:t>火灾事故；</w:t>
      </w:r>
    </w:p>
    <w:p w14:paraId="18D74748">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（4）发生违章作业、冒险作业不听劝告的；</w:t>
      </w:r>
    </w:p>
    <w:p w14:paraId="3BDA511A">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（5）施工现场脏、乱、差，不能满足安全和文明施工要求的。</w:t>
      </w:r>
    </w:p>
    <w:p w14:paraId="0BCC7095">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第四条 乙方安全责任</w:t>
      </w:r>
    </w:p>
    <w:p w14:paraId="5B48DC67">
      <w:pPr>
        <w:widowControl/>
        <w:adjustRightInd w:val="0"/>
        <w:snapToGrid w:val="0"/>
        <w:spacing w:line="360" w:lineRule="auto"/>
        <w:ind w:firstLine="480" w:firstLineChars="200"/>
        <w:rPr>
          <w:rFonts w:hint="eastAsia" w:ascii="宋体" w:hAnsi="宋体" w:cs="Helvetica"/>
          <w:kern w:val="0"/>
          <w:sz w:val="24"/>
          <w:highlight w:val="none"/>
        </w:rPr>
      </w:pPr>
      <w:r>
        <w:rPr>
          <w:rFonts w:ascii="宋体" w:hAnsi="宋体" w:cs="Helvetica"/>
          <w:kern w:val="0"/>
          <w:sz w:val="24"/>
          <w:highlight w:val="none"/>
        </w:rPr>
        <w:t>乙方作为工程项目的承包单位，对工程施工过程中发生的人身伤害、设备损坏事故承担安全责任。</w:t>
      </w:r>
    </w:p>
    <w:p w14:paraId="003AFB29">
      <w:pPr>
        <w:widowControl/>
        <w:adjustRightInd w:val="0"/>
        <w:snapToGrid w:val="0"/>
        <w:spacing w:line="360" w:lineRule="auto"/>
        <w:ind w:firstLine="480" w:firstLineChars="200"/>
        <w:rPr>
          <w:rFonts w:hint="eastAsia" w:ascii="宋体" w:hAnsi="宋体" w:cs="Helvetica"/>
          <w:kern w:val="0"/>
          <w:sz w:val="24"/>
          <w:highlight w:val="none"/>
        </w:rPr>
      </w:pPr>
      <w:r>
        <w:rPr>
          <w:rFonts w:hint="eastAsia" w:ascii="宋体" w:hAnsi="宋体" w:cs="Helvetica"/>
          <w:kern w:val="0"/>
          <w:sz w:val="24"/>
          <w:highlight w:val="none"/>
        </w:rPr>
        <w:t>乙方作为施工总承包单位是工程施工安全第一责任人。</w:t>
      </w:r>
      <w:r>
        <w:rPr>
          <w:rFonts w:ascii="宋体" w:hAnsi="宋体" w:cs="Helvetica"/>
          <w:kern w:val="0"/>
          <w:sz w:val="24"/>
          <w:highlight w:val="none"/>
        </w:rPr>
        <w:t>乙方应切实履行以下安全责任：</w:t>
      </w:r>
    </w:p>
    <w:p w14:paraId="3DD647F9">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1、乙方所提供的承包工程要求的相关资质证明材料应真实、合法、有效。</w:t>
      </w:r>
    </w:p>
    <w:p w14:paraId="20B64A80">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2、乙方必须贯彻执行国家有关安全生产的法律法规，必须制定相应的安全管理制度</w:t>
      </w:r>
      <w:r>
        <w:rPr>
          <w:rFonts w:hint="eastAsia" w:ascii="宋体" w:hAnsi="宋体" w:cs="Helvetica"/>
          <w:kern w:val="0"/>
          <w:sz w:val="24"/>
          <w:highlight w:val="none"/>
        </w:rPr>
        <w:t>。</w:t>
      </w:r>
    </w:p>
    <w:p w14:paraId="11250341">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3、现场施工应遵守国家和地方关于劳动安全，劳务用工法律法规及规章制度，保证其用工的合法性。乙方必须按国家有关规定，为施工人员进行人身保险，配备合格的劳动防护用品、安全用具。</w:t>
      </w:r>
    </w:p>
    <w:p w14:paraId="6C0C1AE5">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4、施工期间，乙方应设有专职安监人员，（少于30人者设兼职）。乙方指派</w:t>
      </w:r>
      <w:r>
        <w:rPr>
          <w:rFonts w:ascii="宋体" w:hAnsi="宋体" w:cs="Helvetica"/>
          <w:kern w:val="0"/>
          <w:sz w:val="24"/>
          <w:highlight w:val="none"/>
          <w:u w:val="single"/>
        </w:rPr>
        <w:t xml:space="preserve">  </w:t>
      </w:r>
      <w:r>
        <w:rPr>
          <w:rFonts w:ascii="宋体" w:hAnsi="宋体" w:cs="Helvetica"/>
          <w:kern w:val="0"/>
          <w:sz w:val="24"/>
          <w:highlight w:val="none"/>
        </w:rPr>
        <w:t>作为</w:t>
      </w:r>
      <w:r>
        <w:rPr>
          <w:rFonts w:hint="eastAsia" w:ascii="宋体" w:hAnsi="宋体" w:cs="Helvetica"/>
          <w:kern w:val="0"/>
          <w:sz w:val="24"/>
          <w:highlight w:val="none"/>
        </w:rPr>
        <w:t>现场专职安全员</w:t>
      </w:r>
      <w:r>
        <w:rPr>
          <w:rFonts w:ascii="宋体" w:hAnsi="宋体" w:cs="Helvetica"/>
          <w:kern w:val="0"/>
          <w:sz w:val="24"/>
          <w:highlight w:val="none"/>
        </w:rPr>
        <w:t>。</w:t>
      </w:r>
    </w:p>
    <w:p w14:paraId="1BCC4887">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5、乙方一切施工活动，必须编制安全施工措施，施工前对全体施工人员进行全面的安全技术交底，并在整个施工过程正确、完整地执行，无措施或未交底严禁施工。</w:t>
      </w:r>
    </w:p>
    <w:p w14:paraId="46AA932B">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6、乙方用于本工程项目的施工机械、工器具及安全防护用具的数量和质量必须满足施工需要，并经有资质检验单位检验符合安全规定，乙方对因使用工器具不当所造成的人员伤害及设备损坏负责。</w:t>
      </w:r>
    </w:p>
    <w:p w14:paraId="7CB7EC8F">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7、开工前，乙方应组织全体施工人员进行安全教育，并将参加安全教育人员名单（包括临时增补或调换人员）与考试成绩报给甲方备案。特种作业人员必须有有关部门核发的合格有效的上岗资格证书。</w:t>
      </w:r>
    </w:p>
    <w:p w14:paraId="3F21C3AC">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开工前，乙方应到甲方办理临时出入证并佩戴出入证进入施工现场，出入证严禁转借他人。</w:t>
      </w:r>
    </w:p>
    <w:p w14:paraId="70847818">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8、开工前，乙方应组织人员对施工区域、作业环境进行检查，确认符合安全要求，一经开工，就表示乙方已确认施工现场、作业环境符合安全要求并处于安全状态。</w:t>
      </w:r>
    </w:p>
    <w:p w14:paraId="46D02532">
      <w:pPr>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14:paraId="403ACB5A">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10、乙方施工过程中需使用电、水源，应事先与甲方取得联系，不得私拉乱接。中断作业或遇故障应立即切断有关开关。</w:t>
      </w:r>
    </w:p>
    <w:p w14:paraId="59120D42">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11、乙方施工过程中应做到工完、料尽、场地清，确保安全文明施工。</w:t>
      </w:r>
    </w:p>
    <w:p w14:paraId="247C7204">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12、乙方必须接受甲方的监督、检查，对甲方提出的安全整改意见必须及时整改。</w:t>
      </w:r>
    </w:p>
    <w:p w14:paraId="4670F6BF">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13、乙方施工过程中发生人生伤亡、</w:t>
      </w:r>
      <w:r>
        <w:rPr>
          <w:rFonts w:hint="eastAsia" w:ascii="宋体" w:hAnsi="宋体" w:cs="Helvetica"/>
          <w:kern w:val="0"/>
          <w:sz w:val="24"/>
          <w:highlight w:val="none"/>
        </w:rPr>
        <w:t>任何</w:t>
      </w:r>
      <w:r>
        <w:rPr>
          <w:rFonts w:ascii="宋体" w:hAnsi="宋体" w:cs="Helvetica"/>
          <w:kern w:val="0"/>
          <w:sz w:val="24"/>
          <w:highlight w:val="none"/>
        </w:rPr>
        <w:t>事故，应立即报告甲方，并积极配合调查。</w:t>
      </w:r>
    </w:p>
    <w:p w14:paraId="686B350E">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乙方应执行国务院《特别重大事故调查程序暂行规定》、《企业职工伤亡事故报告和处理规定》。对人员在施工中发生的人身伤亡事故，还必须立即用电话、电传或电报等向事故所在地的政府安全管理部门、公安部门报告，按规定组织调查处理，并由乙方统计上报；如发生国务院《特别重大事故调查程序暂时规定》所规定的特大事故，还应立即通知当地政府、公安部门，并要求派人保护现场。</w:t>
      </w:r>
    </w:p>
    <w:p w14:paraId="29EC05A0">
      <w:pPr>
        <w:widowControl/>
        <w:adjustRightInd w:val="0"/>
        <w:snapToGrid w:val="0"/>
        <w:spacing w:line="360" w:lineRule="auto"/>
        <w:ind w:firstLine="480" w:firstLineChars="200"/>
        <w:rPr>
          <w:rFonts w:hint="eastAsia" w:ascii="宋体" w:hAnsi="宋体" w:cs="Helvetica"/>
          <w:kern w:val="0"/>
          <w:sz w:val="24"/>
          <w:highlight w:val="none"/>
        </w:rPr>
      </w:pPr>
      <w:r>
        <w:rPr>
          <w:rFonts w:ascii="宋体" w:hAnsi="宋体" w:cs="Helvetica"/>
          <w:kern w:val="0"/>
          <w:sz w:val="24"/>
          <w:highlight w:val="none"/>
        </w:rPr>
        <w:t>乙方应将事故调查组的事故调查报告及乙方事故处理意见提交甲方备案。</w:t>
      </w:r>
    </w:p>
    <w:p w14:paraId="717271E0">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第五条 甲乙双方联系方式及响应时间</w:t>
      </w:r>
    </w:p>
    <w:p w14:paraId="02FFE3E4">
      <w:pPr>
        <w:widowControl/>
        <w:adjustRightInd w:val="0"/>
        <w:snapToGrid w:val="0"/>
        <w:spacing w:line="360" w:lineRule="auto"/>
        <w:ind w:firstLine="480" w:firstLineChars="200"/>
        <w:rPr>
          <w:rFonts w:hint="eastAsia" w:ascii="宋体" w:hAnsi="宋体" w:cs="Helvetica"/>
          <w:kern w:val="0"/>
          <w:sz w:val="24"/>
          <w:highlight w:val="none"/>
        </w:rPr>
      </w:pPr>
      <w:r>
        <w:rPr>
          <w:rFonts w:ascii="宋体" w:hAnsi="宋体" w:cs="Helvetica"/>
          <w:kern w:val="0"/>
          <w:sz w:val="24"/>
          <w:highlight w:val="none"/>
        </w:rPr>
        <w:t>甲乙双方应以工作联系单、传真、电传等书面形式送达对方。双方在接到对方的书面联系时，应于4小时内予以响应。</w:t>
      </w:r>
    </w:p>
    <w:p w14:paraId="69009F12">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第六条 施工安全保证金</w:t>
      </w:r>
    </w:p>
    <w:p w14:paraId="259FB953">
      <w:pPr>
        <w:widowControl/>
        <w:adjustRightInd w:val="0"/>
        <w:snapToGrid w:val="0"/>
        <w:spacing w:line="360" w:lineRule="auto"/>
        <w:ind w:firstLine="480" w:firstLineChars="200"/>
        <w:rPr>
          <w:rFonts w:hint="eastAsia" w:ascii="宋体" w:hAnsi="宋体" w:cs="Helvetica"/>
          <w:kern w:val="0"/>
          <w:sz w:val="24"/>
          <w:highlight w:val="none"/>
        </w:rPr>
      </w:pPr>
      <w:r>
        <w:rPr>
          <w:rFonts w:ascii="宋体" w:hAnsi="宋体" w:cs="Helvetica"/>
          <w:kern w:val="0"/>
          <w:sz w:val="24"/>
          <w:highlight w:val="none"/>
        </w:rPr>
        <w:t>甲方预留工程款的10%作为乙方的安全保证金。乙方在施工过程中未发生人身重伤</w:t>
      </w:r>
      <w:r>
        <w:rPr>
          <w:rFonts w:hint="eastAsia" w:ascii="宋体" w:hAnsi="宋体" w:cs="Helvetica"/>
          <w:kern w:val="0"/>
          <w:sz w:val="24"/>
          <w:highlight w:val="none"/>
        </w:rPr>
        <w:t>及任何</w:t>
      </w:r>
      <w:r>
        <w:rPr>
          <w:rFonts w:ascii="宋体" w:hAnsi="宋体" w:cs="Helvetica"/>
          <w:kern w:val="0"/>
          <w:sz w:val="24"/>
          <w:highlight w:val="none"/>
        </w:rPr>
        <w:t>事故，于工程竣工验收后将该保证金全额退还；若施工过程中发生下列有乙方责任的安全事故，扣除相应数额的安全保证金：</w:t>
      </w:r>
    </w:p>
    <w:p w14:paraId="2C6E3253">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（1）发生人身死亡事故，扣除全部安全保证金；</w:t>
      </w:r>
    </w:p>
    <w:p w14:paraId="6FACB6CD">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（2）发生人身重伤事故，扣除50%安全保证金；</w:t>
      </w:r>
    </w:p>
    <w:p w14:paraId="560BE5E7">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（3）乙方人员发生违章行为的经济处罚，按处罚规定从安全保证金内扣除。</w:t>
      </w:r>
    </w:p>
    <w:p w14:paraId="3708CF34">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第七条 违约责任</w:t>
      </w:r>
    </w:p>
    <w:p w14:paraId="01E5418E">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1、由于甲方或乙方责任造成对方或第三方的人身伤害、设备损坏等财产损失，由责任方承担相应责任，并赔偿对方或第三方因此造成的全部损失。</w:t>
      </w:r>
    </w:p>
    <w:p w14:paraId="2DFCF9E2">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2、合同履行中，发现乙方提供的有关资质材料无效，甲方有权解除合同，并由乙方承担由此造成的一切损失。</w:t>
      </w:r>
    </w:p>
    <w:p w14:paraId="48D7706D">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3、发现乙方现场作业人员有违章行为的，</w:t>
      </w:r>
      <w:r>
        <w:rPr>
          <w:rFonts w:hint="eastAsia" w:ascii="宋体" w:hAnsi="宋体" w:cs="Helvetica"/>
          <w:kern w:val="0"/>
          <w:sz w:val="24"/>
          <w:highlight w:val="none"/>
        </w:rPr>
        <w:t>造成经济损失或人员伤害的</w:t>
      </w:r>
      <w:r>
        <w:rPr>
          <w:rFonts w:ascii="宋体" w:hAnsi="宋体" w:cs="Helvetica"/>
          <w:kern w:val="0"/>
          <w:sz w:val="24"/>
          <w:highlight w:val="none"/>
        </w:rPr>
        <w:t>，承担相应的违约金。</w:t>
      </w:r>
    </w:p>
    <w:p w14:paraId="0860C277">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14:paraId="5B467DD8">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5、乙方人员安全工作规程抽考不合格，乙方应承担50元/人次的违约责任；特种人员无证上岗乙方应承担100元/人次的违约责任。</w:t>
      </w:r>
    </w:p>
    <w:p w14:paraId="091EE5D4">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6、乙方使用甲方提供的设施设备、工器具等造成损坏的，应照价赔偿。</w:t>
      </w:r>
    </w:p>
    <w:p w14:paraId="044DD781">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7、乙方人员无故到其他生产区域或擅自动用甲方的设施设备等，乙方按100元至500元/人次承担违约责任。</w:t>
      </w:r>
    </w:p>
    <w:p w14:paraId="0052703C">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8、乙方对甲方提出的安全整改意见不及时整改的，每逾期一天，乙方按200元至1000元/天承担违约责任。</w:t>
      </w:r>
    </w:p>
    <w:p w14:paraId="6F0823A1">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9、施工过程中发生人身伤亡事故有隐瞒行为的，除接受政府有关部门处理外，过错方应承担3000元至10000元/次的违约责任。</w:t>
      </w:r>
    </w:p>
    <w:p w14:paraId="0B6CF895">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第八条 甲乙双方约定的其他事项：无</w:t>
      </w:r>
    </w:p>
    <w:p w14:paraId="538C242C">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第九条 本协议执行过程中，如发生争议，由双方协商、调解解决；若经协商、调解不能解决争议的，任何一方可以向当地人民法院提起诉讼。</w:t>
      </w:r>
    </w:p>
    <w:p w14:paraId="1B4078E8">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第十条 甲乙双方必须严格执行本协议，本协议的法律效力独立于主合同。</w:t>
      </w:r>
    </w:p>
    <w:p w14:paraId="7C4076EB">
      <w:pPr>
        <w:widowControl/>
        <w:adjustRightInd w:val="0"/>
        <w:snapToGrid w:val="0"/>
        <w:spacing w:line="360" w:lineRule="auto"/>
        <w:ind w:left="360" w:hanging="360" w:hangingChars="150"/>
        <w:rPr>
          <w:rFonts w:hint="eastAsia" w:ascii="宋体" w:hAnsi="宋体" w:cs="Helvetica"/>
          <w:kern w:val="0"/>
          <w:sz w:val="24"/>
          <w:highlight w:val="none"/>
        </w:rPr>
      </w:pPr>
      <w:r>
        <w:rPr>
          <w:rFonts w:ascii="宋体" w:hAnsi="宋体" w:cs="Helvetica"/>
          <w:kern w:val="0"/>
          <w:sz w:val="24"/>
          <w:highlight w:val="none"/>
        </w:rPr>
        <w:t>第十一条 本协议有效期限：自</w:t>
      </w:r>
      <w:r>
        <w:rPr>
          <w:rFonts w:hint="eastAsia" w:ascii="宋体" w:hAnsi="宋体" w:cs="Helvetica"/>
          <w:kern w:val="0"/>
          <w:sz w:val="24"/>
          <w:highlight w:val="none"/>
          <w:u w:val="single"/>
        </w:rPr>
        <w:t xml:space="preserve">     </w:t>
      </w:r>
      <w:r>
        <w:rPr>
          <w:rFonts w:ascii="宋体" w:hAnsi="宋体" w:cs="Helvetica"/>
          <w:kern w:val="0"/>
          <w:sz w:val="24"/>
          <w:highlight w:val="none"/>
        </w:rPr>
        <w:t xml:space="preserve"> 年</w:t>
      </w:r>
      <w:r>
        <w:rPr>
          <w:rFonts w:hint="eastAsia" w:ascii="宋体" w:hAnsi="宋体" w:cs="Helvetica"/>
          <w:kern w:val="0"/>
          <w:sz w:val="24"/>
          <w:highlight w:val="none"/>
          <w:u w:val="single"/>
        </w:rPr>
        <w:t xml:space="preserve">   </w:t>
      </w:r>
      <w:r>
        <w:rPr>
          <w:rFonts w:ascii="宋体" w:hAnsi="宋体" w:cs="Helvetica"/>
          <w:kern w:val="0"/>
          <w:sz w:val="24"/>
          <w:highlight w:val="none"/>
        </w:rPr>
        <w:t>月</w:t>
      </w:r>
      <w:r>
        <w:rPr>
          <w:rFonts w:hint="eastAsia" w:ascii="宋体" w:hAnsi="宋体" w:cs="Helvetica"/>
          <w:kern w:val="0"/>
          <w:sz w:val="24"/>
          <w:highlight w:val="none"/>
          <w:u w:val="single"/>
        </w:rPr>
        <w:t xml:space="preserve">   </w:t>
      </w:r>
      <w:r>
        <w:rPr>
          <w:rFonts w:ascii="宋体" w:hAnsi="宋体" w:cs="Helvetica"/>
          <w:kern w:val="0"/>
          <w:sz w:val="24"/>
          <w:highlight w:val="none"/>
        </w:rPr>
        <w:t>日起至</w:t>
      </w:r>
      <w:r>
        <w:rPr>
          <w:rFonts w:hint="eastAsia" w:ascii="宋体" w:hAnsi="宋体" w:cs="Helvetica"/>
          <w:kern w:val="0"/>
          <w:sz w:val="24"/>
          <w:highlight w:val="none"/>
          <w:u w:val="single"/>
        </w:rPr>
        <w:t xml:space="preserve">    </w:t>
      </w:r>
      <w:r>
        <w:rPr>
          <w:rFonts w:ascii="宋体" w:hAnsi="宋体" w:cs="Helvetica"/>
          <w:kern w:val="0"/>
          <w:sz w:val="24"/>
          <w:highlight w:val="none"/>
          <w:u w:val="single"/>
        </w:rPr>
        <w:t xml:space="preserve"> </w:t>
      </w:r>
      <w:r>
        <w:rPr>
          <w:rFonts w:ascii="宋体" w:hAnsi="宋体" w:cs="Helvetica"/>
          <w:kern w:val="0"/>
          <w:sz w:val="24"/>
          <w:highlight w:val="none"/>
        </w:rPr>
        <w:t>年</w:t>
      </w:r>
      <w:r>
        <w:rPr>
          <w:rFonts w:hint="eastAsia" w:ascii="宋体" w:hAnsi="宋体" w:cs="Helvetica"/>
          <w:kern w:val="0"/>
          <w:sz w:val="24"/>
          <w:highlight w:val="none"/>
          <w:u w:val="single"/>
        </w:rPr>
        <w:t xml:space="preserve">  </w:t>
      </w:r>
      <w:r>
        <w:rPr>
          <w:rFonts w:ascii="宋体" w:hAnsi="宋体" w:cs="Helvetica"/>
          <w:kern w:val="0"/>
          <w:sz w:val="24"/>
          <w:highlight w:val="none"/>
        </w:rPr>
        <w:t>月</w:t>
      </w:r>
      <w:r>
        <w:rPr>
          <w:rFonts w:hint="eastAsia" w:ascii="宋体" w:hAnsi="宋体" w:cs="Helvetica"/>
          <w:kern w:val="0"/>
          <w:sz w:val="24"/>
          <w:highlight w:val="none"/>
          <w:u w:val="single"/>
        </w:rPr>
        <w:t xml:space="preserve">  </w:t>
      </w:r>
      <w:r>
        <w:rPr>
          <w:rFonts w:ascii="宋体" w:hAnsi="宋体" w:cs="Helvetica"/>
          <w:kern w:val="0"/>
          <w:sz w:val="24"/>
          <w:highlight w:val="none"/>
        </w:rPr>
        <w:t>日止。</w:t>
      </w:r>
    </w:p>
    <w:p w14:paraId="6F6CCE04">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第十二条 本协议经双方法定代表人或委托代理人签字盖章后生效。</w:t>
      </w:r>
    </w:p>
    <w:p w14:paraId="49E6556B">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第十三条 本协议一式</w:t>
      </w:r>
      <w:r>
        <w:rPr>
          <w:rFonts w:hint="eastAsia" w:ascii="宋体" w:hAnsi="宋体" w:cs="Helvetica"/>
          <w:kern w:val="0"/>
          <w:sz w:val="24"/>
          <w:highlight w:val="none"/>
        </w:rPr>
        <w:t>四</w:t>
      </w:r>
      <w:r>
        <w:rPr>
          <w:rFonts w:ascii="宋体" w:hAnsi="宋体" w:cs="Helvetica"/>
          <w:kern w:val="0"/>
          <w:sz w:val="24"/>
          <w:highlight w:val="none"/>
        </w:rPr>
        <w:t>份，甲乙双方各执</w:t>
      </w:r>
      <w:r>
        <w:rPr>
          <w:rFonts w:hint="eastAsia" w:ascii="宋体" w:hAnsi="宋体" w:cs="Helvetica"/>
          <w:kern w:val="0"/>
          <w:sz w:val="24"/>
          <w:highlight w:val="none"/>
        </w:rPr>
        <w:t>两</w:t>
      </w:r>
      <w:r>
        <w:rPr>
          <w:rFonts w:ascii="宋体" w:hAnsi="宋体" w:cs="Helvetica"/>
          <w:kern w:val="0"/>
          <w:sz w:val="24"/>
          <w:highlight w:val="none"/>
        </w:rPr>
        <w:t>份。</w:t>
      </w:r>
    </w:p>
    <w:p w14:paraId="5BAC459D">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第十四条 本协议签订地点在甲方</w:t>
      </w:r>
      <w:r>
        <w:rPr>
          <w:rFonts w:hint="eastAsia" w:ascii="宋体" w:hAnsi="宋体" w:cs="Helvetica"/>
          <w:kern w:val="0"/>
          <w:sz w:val="24"/>
          <w:highlight w:val="none"/>
        </w:rPr>
        <w:t>办公场地</w:t>
      </w:r>
      <w:r>
        <w:rPr>
          <w:rFonts w:ascii="宋体" w:hAnsi="宋体" w:cs="Helvetica"/>
          <w:kern w:val="0"/>
          <w:sz w:val="24"/>
          <w:highlight w:val="none"/>
        </w:rPr>
        <w:t>。</w:t>
      </w:r>
    </w:p>
    <w:p w14:paraId="3B711558">
      <w:pPr>
        <w:widowControl/>
        <w:adjustRightInd w:val="0"/>
        <w:snapToGrid w:val="0"/>
        <w:spacing w:line="360" w:lineRule="auto"/>
        <w:rPr>
          <w:rFonts w:hint="eastAsia" w:ascii="宋体" w:hAnsi="宋体" w:cs="Helvetica"/>
          <w:kern w:val="0"/>
          <w:sz w:val="24"/>
          <w:highlight w:val="none"/>
        </w:rPr>
      </w:pPr>
      <w:r>
        <w:rPr>
          <w:rFonts w:ascii="宋体" w:hAnsi="宋体" w:cs="Helvetica"/>
          <w:kern w:val="0"/>
          <w:sz w:val="24"/>
          <w:highlight w:val="none"/>
        </w:rPr>
        <w:t> </w:t>
      </w:r>
    </w:p>
    <w:p w14:paraId="74D3B1D5">
      <w:pPr>
        <w:widowControl/>
        <w:adjustRightInd w:val="0"/>
        <w:snapToGrid w:val="0"/>
        <w:spacing w:line="360" w:lineRule="auto"/>
        <w:jc w:val="left"/>
        <w:rPr>
          <w:rFonts w:hint="eastAsia" w:ascii="宋体" w:hAnsi="宋体" w:cs="Helvetica"/>
          <w:kern w:val="0"/>
          <w:sz w:val="24"/>
          <w:highlight w:val="none"/>
        </w:rPr>
      </w:pPr>
      <w:r>
        <w:rPr>
          <w:rFonts w:ascii="宋体" w:hAnsi="宋体" w:cs="Helvetica"/>
          <w:kern w:val="0"/>
          <w:sz w:val="24"/>
          <w:highlight w:val="none"/>
        </w:rPr>
        <w:t>甲</w:t>
      </w:r>
      <w:r>
        <w:rPr>
          <w:rFonts w:hint="eastAsia" w:ascii="宋体" w:hAnsi="宋体" w:cs="Helvetica"/>
          <w:kern w:val="0"/>
          <w:sz w:val="24"/>
          <w:highlight w:val="none"/>
        </w:rPr>
        <w:t>方</w:t>
      </w:r>
      <w:r>
        <w:rPr>
          <w:rFonts w:ascii="宋体" w:hAnsi="宋体" w:cs="Helvetica"/>
          <w:kern w:val="0"/>
          <w:sz w:val="24"/>
          <w:highlight w:val="none"/>
        </w:rPr>
        <w:t>：</w:t>
      </w:r>
    </w:p>
    <w:p w14:paraId="583BC973">
      <w:pPr>
        <w:widowControl/>
        <w:adjustRightInd w:val="0"/>
        <w:snapToGrid w:val="0"/>
        <w:spacing w:line="360" w:lineRule="auto"/>
        <w:jc w:val="left"/>
        <w:rPr>
          <w:rFonts w:hint="eastAsia" w:ascii="宋体" w:hAnsi="宋体" w:cs="Helvetica"/>
          <w:kern w:val="0"/>
          <w:sz w:val="24"/>
          <w:highlight w:val="none"/>
        </w:rPr>
      </w:pPr>
      <w:r>
        <w:rPr>
          <w:rFonts w:ascii="宋体" w:hAnsi="宋体" w:cs="Helvetica"/>
          <w:kern w:val="0"/>
          <w:sz w:val="24"/>
          <w:highlight w:val="none"/>
        </w:rPr>
        <w:t>乙方：</w:t>
      </w:r>
      <w:r>
        <w:rPr>
          <w:rFonts w:hint="eastAsia" w:ascii="宋体" w:hAnsi="宋体" w:cs="Helvetica"/>
          <w:kern w:val="0"/>
          <w:sz w:val="24"/>
          <w:highlight w:val="none"/>
        </w:rPr>
        <w:t xml:space="preserve">                                </w:t>
      </w:r>
    </w:p>
    <w:p w14:paraId="412BAC48">
      <w:pPr>
        <w:widowControl/>
        <w:adjustRightInd w:val="0"/>
        <w:snapToGrid w:val="0"/>
        <w:spacing w:line="360" w:lineRule="auto"/>
        <w:jc w:val="left"/>
        <w:rPr>
          <w:rFonts w:hint="eastAsia" w:ascii="宋体" w:hAnsi="宋体" w:cs="Helvetica"/>
          <w:kern w:val="0"/>
          <w:sz w:val="24"/>
          <w:highlight w:val="none"/>
        </w:rPr>
      </w:pPr>
      <w:r>
        <w:rPr>
          <w:rFonts w:hint="eastAsia" w:ascii="宋体" w:hAnsi="宋体" w:cs="Helvetica"/>
          <w:kern w:val="0"/>
          <w:sz w:val="24"/>
          <w:highlight w:val="none"/>
        </w:rPr>
        <w:t xml:space="preserve"> </w:t>
      </w:r>
      <w:r>
        <w:rPr>
          <w:rFonts w:ascii="宋体" w:hAnsi="宋体" w:cs="Helvetica"/>
          <w:kern w:val="0"/>
          <w:sz w:val="24"/>
          <w:highlight w:val="none"/>
        </w:rPr>
        <w:t xml:space="preserve">                </w:t>
      </w:r>
      <w:r>
        <w:rPr>
          <w:rFonts w:hint="eastAsia" w:ascii="宋体" w:hAnsi="宋体" w:cs="Helvetica"/>
          <w:kern w:val="0"/>
          <w:sz w:val="24"/>
          <w:highlight w:val="none"/>
        </w:rPr>
        <w:t xml:space="preserve"> </w:t>
      </w:r>
    </w:p>
    <w:p w14:paraId="0E8A0939">
      <w:pPr>
        <w:widowControl/>
        <w:adjustRightInd w:val="0"/>
        <w:snapToGrid w:val="0"/>
        <w:spacing w:line="360" w:lineRule="auto"/>
        <w:jc w:val="left"/>
        <w:rPr>
          <w:rFonts w:hint="eastAsia" w:ascii="宋体" w:hAnsi="宋体" w:cs="Helvetica"/>
          <w:kern w:val="0"/>
          <w:sz w:val="24"/>
          <w:highlight w:val="none"/>
        </w:rPr>
      </w:pPr>
      <w:r>
        <w:rPr>
          <w:rFonts w:ascii="宋体" w:hAnsi="宋体" w:cs="Helvetica"/>
          <w:kern w:val="0"/>
          <w:sz w:val="24"/>
          <w:highlight w:val="none"/>
        </w:rPr>
        <w:t>联系电话：</w:t>
      </w:r>
    </w:p>
    <w:p w14:paraId="5E0BAE23">
      <w:pPr>
        <w:widowControl/>
        <w:adjustRightInd w:val="0"/>
        <w:snapToGrid w:val="0"/>
        <w:spacing w:line="360" w:lineRule="auto"/>
        <w:jc w:val="left"/>
        <w:rPr>
          <w:rFonts w:hint="eastAsia" w:ascii="宋体" w:hAnsi="宋体" w:cs="Helvetica"/>
          <w:kern w:val="0"/>
          <w:sz w:val="24"/>
          <w:highlight w:val="none"/>
        </w:rPr>
      </w:pPr>
      <w:r>
        <w:rPr>
          <w:rFonts w:ascii="宋体" w:hAnsi="宋体" w:cs="Helvetica"/>
          <w:kern w:val="0"/>
          <w:sz w:val="24"/>
          <w:highlight w:val="none"/>
        </w:rPr>
        <w:t>联系电话：</w:t>
      </w:r>
      <w:r>
        <w:rPr>
          <w:rFonts w:hint="eastAsia" w:ascii="宋体" w:hAnsi="宋体" w:cs="Helvetica"/>
          <w:kern w:val="0"/>
          <w:sz w:val="24"/>
          <w:highlight w:val="none"/>
        </w:rPr>
        <w:t xml:space="preserve">                           </w:t>
      </w:r>
    </w:p>
    <w:p w14:paraId="03493A40">
      <w:pPr>
        <w:widowControl/>
        <w:adjustRightInd w:val="0"/>
        <w:snapToGrid w:val="0"/>
        <w:spacing w:line="360" w:lineRule="auto"/>
        <w:ind w:firstLine="3120" w:firstLineChars="1300"/>
        <w:jc w:val="left"/>
        <w:rPr>
          <w:rFonts w:hint="eastAsia" w:ascii="宋体" w:hAnsi="宋体" w:cs="Helvetica"/>
          <w:kern w:val="0"/>
          <w:sz w:val="24"/>
          <w:highlight w:val="none"/>
        </w:rPr>
      </w:pPr>
      <w:r>
        <w:rPr>
          <w:rFonts w:ascii="宋体" w:hAnsi="宋体" w:cs="Helvetica"/>
          <w:kern w:val="0"/>
          <w:sz w:val="24"/>
          <w:highlight w:val="none"/>
        </w:rPr>
        <w:t> 签订时间：</w:t>
      </w:r>
      <w:r>
        <w:rPr>
          <w:rFonts w:hint="eastAsia" w:ascii="宋体" w:hAnsi="宋体" w:cs="Helvetica"/>
          <w:kern w:val="0"/>
          <w:sz w:val="24"/>
          <w:highlight w:val="none"/>
        </w:rPr>
        <w:t>2026</w:t>
      </w:r>
      <w:r>
        <w:rPr>
          <w:rFonts w:ascii="宋体" w:hAnsi="宋体" w:cs="Helvetica"/>
          <w:kern w:val="0"/>
          <w:sz w:val="24"/>
          <w:highlight w:val="none"/>
        </w:rPr>
        <w:t>年</w:t>
      </w:r>
      <w:r>
        <w:rPr>
          <w:rFonts w:hint="eastAsia" w:ascii="宋体" w:hAnsi="宋体" w:cs="Helvetica"/>
          <w:kern w:val="0"/>
          <w:sz w:val="24"/>
          <w:highlight w:val="none"/>
        </w:rPr>
        <w:t xml:space="preserve">  </w:t>
      </w:r>
      <w:r>
        <w:rPr>
          <w:rFonts w:ascii="宋体" w:hAnsi="宋体" w:cs="Helvetica"/>
          <w:kern w:val="0"/>
          <w:sz w:val="24"/>
          <w:highlight w:val="none"/>
        </w:rPr>
        <w:t>月</w:t>
      </w:r>
      <w:r>
        <w:rPr>
          <w:rFonts w:hint="eastAsia" w:ascii="宋体" w:hAnsi="宋体" w:cs="Helvetica"/>
          <w:kern w:val="0"/>
          <w:sz w:val="24"/>
          <w:highlight w:val="none"/>
        </w:rPr>
        <w:t xml:space="preserve">  </w:t>
      </w:r>
      <w:r>
        <w:rPr>
          <w:rFonts w:ascii="宋体" w:hAnsi="宋体" w:cs="Helvetica"/>
          <w:kern w:val="0"/>
          <w:sz w:val="24"/>
          <w:highlight w:val="none"/>
        </w:rPr>
        <w:t>日</w:t>
      </w:r>
    </w:p>
    <w:p w14:paraId="3638B49A">
      <w:pPr>
        <w:jc w:val="center"/>
        <w:rPr>
          <w:rFonts w:hint="eastAsia" w:ascii="宋体" w:hAnsi="宋体"/>
          <w:b/>
          <w:sz w:val="44"/>
          <w:szCs w:val="44"/>
          <w:highlight w:val="none"/>
        </w:rPr>
      </w:pPr>
    </w:p>
    <w:p w14:paraId="3EAF247C">
      <w:pPr>
        <w:jc w:val="center"/>
        <w:rPr>
          <w:rFonts w:hint="eastAsia" w:ascii="宋体" w:hAnsi="宋体"/>
          <w:b/>
          <w:sz w:val="44"/>
          <w:szCs w:val="44"/>
          <w:highlight w:val="none"/>
        </w:rPr>
      </w:pPr>
      <w:r>
        <w:rPr>
          <w:rFonts w:ascii="宋体" w:hAnsi="宋体"/>
          <w:b/>
          <w:sz w:val="44"/>
          <w:szCs w:val="44"/>
          <w:highlight w:val="none"/>
        </w:rPr>
        <w:br w:type="page"/>
      </w:r>
    </w:p>
    <w:p w14:paraId="53538B3F">
      <w:pPr>
        <w:jc w:val="center"/>
        <w:rPr>
          <w:rFonts w:hint="eastAsia" w:ascii="宋体" w:hAnsi="宋体"/>
          <w:b/>
          <w:sz w:val="44"/>
          <w:szCs w:val="44"/>
          <w:highlight w:val="none"/>
        </w:rPr>
      </w:pPr>
      <w:r>
        <w:rPr>
          <w:rFonts w:ascii="宋体" w:hAnsi="宋体"/>
          <w:b/>
          <w:sz w:val="44"/>
          <w:szCs w:val="44"/>
          <w:highlight w:val="none"/>
        </w:rPr>
        <w:t>第</w:t>
      </w:r>
      <w:r>
        <w:rPr>
          <w:rFonts w:hint="eastAsia" w:ascii="宋体" w:hAnsi="宋体"/>
          <w:b/>
          <w:sz w:val="44"/>
          <w:szCs w:val="44"/>
          <w:highlight w:val="none"/>
        </w:rPr>
        <w:t>八节 合同附件</w:t>
      </w:r>
    </w:p>
    <w:p w14:paraId="4BB52639">
      <w:pPr>
        <w:rPr>
          <w:rFonts w:hint="eastAsia" w:ascii="宋体" w:hAnsi="宋体"/>
          <w:highlight w:val="none"/>
        </w:rPr>
      </w:pPr>
    </w:p>
    <w:p w14:paraId="7C1BFD9D">
      <w:pPr>
        <w:rPr>
          <w:rFonts w:hint="eastAsia" w:ascii="宋体" w:hAnsi="宋体"/>
          <w:highlight w:val="none"/>
        </w:rPr>
      </w:pPr>
    </w:p>
    <w:bookmarkEnd w:id="683"/>
    <w:bookmarkEnd w:id="1807"/>
    <w:bookmarkEnd w:id="1808"/>
    <w:bookmarkEnd w:id="1809"/>
    <w:bookmarkEnd w:id="1810"/>
    <w:p w14:paraId="6C5C3C76">
      <w:pPr>
        <w:spacing w:line="360" w:lineRule="auto"/>
        <w:jc w:val="center"/>
        <w:outlineLvl w:val="0"/>
        <w:rPr>
          <w:rFonts w:hint="eastAsia" w:ascii="宋体" w:hAnsi="宋体" w:cstheme="minorEastAsia"/>
          <w:b/>
          <w:sz w:val="36"/>
          <w:szCs w:val="36"/>
          <w:highlight w:val="none"/>
        </w:rPr>
      </w:pPr>
      <w:r>
        <w:rPr>
          <w:rFonts w:hint="eastAsia" w:ascii="宋体" w:hAnsi="宋体" w:cstheme="minorEastAsia"/>
          <w:b/>
          <w:sz w:val="36"/>
          <w:szCs w:val="36"/>
          <w:highlight w:val="none"/>
        </w:rPr>
        <w:br w:type="page"/>
      </w:r>
      <w:r>
        <w:rPr>
          <w:rFonts w:hint="eastAsia" w:ascii="宋体" w:hAnsi="宋体" w:cstheme="minorEastAsia"/>
          <w:b/>
          <w:sz w:val="36"/>
          <w:szCs w:val="36"/>
          <w:highlight w:val="none"/>
        </w:rPr>
        <w:t>第六章   响应文件格式</w:t>
      </w:r>
      <w:bookmarkEnd w:id="679"/>
      <w:bookmarkEnd w:id="680"/>
    </w:p>
    <w:p w14:paraId="5BE652EA">
      <w:pPr>
        <w:widowControl/>
        <w:spacing w:line="360" w:lineRule="auto"/>
        <w:jc w:val="left"/>
        <w:rPr>
          <w:rFonts w:hint="eastAsia" w:ascii="宋体" w:hAnsi="宋体" w:cstheme="minorEastAsia"/>
          <w:b/>
          <w:sz w:val="24"/>
          <w:highlight w:val="none"/>
        </w:rPr>
      </w:pPr>
    </w:p>
    <w:p w14:paraId="5C943959">
      <w:pPr>
        <w:tabs>
          <w:tab w:val="left" w:pos="900"/>
          <w:tab w:val="left" w:pos="1980"/>
        </w:tabs>
        <w:snapToGrid w:val="0"/>
        <w:spacing w:line="360" w:lineRule="auto"/>
        <w:ind w:left="142"/>
        <w:rPr>
          <w:rFonts w:hint="eastAsia" w:ascii="宋体" w:hAnsi="宋体" w:cstheme="minorEastAsia"/>
          <w:b/>
          <w:kern w:val="0"/>
          <w:sz w:val="24"/>
          <w:highlight w:val="none"/>
        </w:rPr>
      </w:pPr>
      <w:r>
        <w:rPr>
          <w:rFonts w:hint="eastAsia" w:ascii="宋体" w:hAnsi="宋体" w:cstheme="minorEastAsia"/>
          <w:b/>
          <w:kern w:val="0"/>
          <w:sz w:val="24"/>
          <w:highlight w:val="none"/>
        </w:rPr>
        <w:t>供应商编制文件须知</w:t>
      </w:r>
    </w:p>
    <w:p w14:paraId="4DB7C289">
      <w:pPr>
        <w:tabs>
          <w:tab w:val="left" w:pos="900"/>
          <w:tab w:val="left" w:pos="1980"/>
        </w:tabs>
        <w:snapToGrid w:val="0"/>
        <w:spacing w:line="360" w:lineRule="auto"/>
        <w:ind w:left="142"/>
        <w:rPr>
          <w:rFonts w:hint="eastAsia" w:ascii="宋体" w:hAnsi="宋体" w:cstheme="minorEastAsia"/>
          <w:sz w:val="24"/>
          <w:highlight w:val="none"/>
        </w:rPr>
      </w:pPr>
      <w:r>
        <w:rPr>
          <w:rFonts w:hint="eastAsia" w:ascii="宋体" w:hAnsi="宋体" w:cstheme="minorEastAsia"/>
          <w:sz w:val="24"/>
          <w:highlight w:val="none"/>
        </w:rPr>
        <w:t>1、供应商按照本部分的顺序编制响应文件，编制中涉及格式资料的，应按照本部分提供的内容和格式（所有表格的格式可扩展）填写提交。</w:t>
      </w:r>
    </w:p>
    <w:p w14:paraId="386206D6">
      <w:pPr>
        <w:tabs>
          <w:tab w:val="left" w:pos="900"/>
          <w:tab w:val="left" w:pos="1980"/>
        </w:tabs>
        <w:snapToGrid w:val="0"/>
        <w:spacing w:line="360" w:lineRule="auto"/>
        <w:ind w:left="142"/>
        <w:rPr>
          <w:rFonts w:hint="eastAsia" w:ascii="宋体" w:hAnsi="宋体" w:cstheme="minorEastAsia"/>
          <w:kern w:val="0"/>
          <w:sz w:val="24"/>
          <w:highlight w:val="none"/>
        </w:rPr>
      </w:pPr>
      <w:r>
        <w:rPr>
          <w:rFonts w:hint="eastAsia" w:ascii="宋体" w:hAnsi="宋体" w:cstheme="minorEastAsia"/>
          <w:sz w:val="24"/>
          <w:highlight w:val="none"/>
        </w:rPr>
        <w:t>2、</w:t>
      </w:r>
      <w:r>
        <w:rPr>
          <w:rFonts w:hint="eastAsia" w:ascii="宋体" w:hAnsi="宋体" w:cstheme="minorEastAsia"/>
          <w:kern w:val="0"/>
          <w:sz w:val="24"/>
          <w:highlight w:val="none"/>
        </w:rPr>
        <w:t>对于竞争性磋商文件中标记了“实质性格式”文件的，供应商</w:t>
      </w:r>
      <w:r>
        <w:rPr>
          <w:rFonts w:hint="eastAsia" w:ascii="宋体" w:hAnsi="宋体" w:cstheme="minorEastAsia"/>
          <w:sz w:val="24"/>
          <w:highlight w:val="none"/>
        </w:rPr>
        <w:t>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theme="minorEastAsia"/>
          <w:b/>
          <w:kern w:val="0"/>
          <w:sz w:val="24"/>
          <w:highlight w:val="none"/>
        </w:rPr>
        <w:t>否则响应无效</w:t>
      </w:r>
      <w:r>
        <w:rPr>
          <w:rFonts w:hint="eastAsia" w:ascii="宋体" w:hAnsi="宋体" w:cstheme="minorEastAsia"/>
          <w:kern w:val="0"/>
          <w:sz w:val="24"/>
          <w:highlight w:val="none"/>
        </w:rPr>
        <w:t>。未标记“实质性格式”的文件和竞争性磋商文件未提供格式的内容，可由供应商自行编写。</w:t>
      </w:r>
    </w:p>
    <w:p w14:paraId="5F71ED29">
      <w:pPr>
        <w:tabs>
          <w:tab w:val="left" w:pos="900"/>
          <w:tab w:val="left" w:pos="1980"/>
        </w:tabs>
        <w:snapToGrid w:val="0"/>
        <w:spacing w:line="360" w:lineRule="auto"/>
        <w:ind w:left="142"/>
        <w:rPr>
          <w:rFonts w:hint="eastAsia" w:ascii="宋体" w:hAnsi="宋体" w:cstheme="minorEastAsia"/>
          <w:sz w:val="24"/>
          <w:highlight w:val="none"/>
        </w:rPr>
      </w:pPr>
      <w:r>
        <w:rPr>
          <w:rFonts w:hint="eastAsia" w:ascii="宋体" w:hAnsi="宋体" w:cstheme="minorEastAsia"/>
          <w:sz w:val="24"/>
          <w:highlight w:val="none"/>
        </w:rPr>
        <w:t>3、全部声明和问题的回答及所附材料必须是真实的、准确的和完整的。</w:t>
      </w:r>
    </w:p>
    <w:p w14:paraId="381C9E22">
      <w:pPr>
        <w:tabs>
          <w:tab w:val="left" w:pos="900"/>
          <w:tab w:val="left" w:pos="1980"/>
        </w:tabs>
        <w:snapToGrid w:val="0"/>
        <w:spacing w:line="360" w:lineRule="auto"/>
        <w:ind w:left="142"/>
        <w:rPr>
          <w:rFonts w:hint="eastAsia" w:ascii="宋体" w:hAnsi="宋体" w:cstheme="minorEastAsia"/>
          <w:sz w:val="24"/>
          <w:highlight w:val="none"/>
        </w:rPr>
      </w:pPr>
    </w:p>
    <w:p w14:paraId="10F6255A">
      <w:pPr>
        <w:widowControl/>
        <w:jc w:val="left"/>
        <w:rPr>
          <w:rFonts w:hint="eastAsia" w:ascii="宋体" w:hAnsi="宋体" w:cstheme="minorEastAsia"/>
          <w:sz w:val="24"/>
          <w:highlight w:val="none"/>
        </w:rPr>
      </w:pPr>
      <w:r>
        <w:rPr>
          <w:rFonts w:hint="eastAsia" w:ascii="宋体" w:hAnsi="宋体" w:cstheme="minorEastAsia"/>
          <w:sz w:val="24"/>
          <w:highlight w:val="none"/>
        </w:rPr>
        <w:br w:type="page"/>
      </w:r>
    </w:p>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14:paraId="4640E70F">
      <w:pPr>
        <w:rPr>
          <w:rFonts w:hint="eastAsia" w:ascii="宋体" w:hAnsi="宋体" w:cstheme="minorEastAsia"/>
          <w:b/>
          <w:spacing w:val="20"/>
          <w:szCs w:val="21"/>
          <w:highlight w:val="none"/>
        </w:rPr>
      </w:pPr>
    </w:p>
    <w:p w14:paraId="3282AE7D">
      <w:pPr>
        <w:rPr>
          <w:rFonts w:hint="eastAsia" w:ascii="宋体" w:hAnsi="宋体" w:cstheme="minorEastAsia"/>
          <w:b/>
          <w:sz w:val="24"/>
          <w:highlight w:val="none"/>
        </w:rPr>
      </w:pPr>
      <w:r>
        <w:rPr>
          <w:rFonts w:hint="eastAsia" w:ascii="宋体" w:hAnsi="宋体" w:cstheme="minorEastAsia"/>
          <w:b/>
          <w:spacing w:val="20"/>
          <w:sz w:val="24"/>
          <w:highlight w:val="none"/>
        </w:rPr>
        <w:t>响应文件</w:t>
      </w:r>
      <w:r>
        <w:rPr>
          <w:rFonts w:hint="eastAsia" w:ascii="宋体" w:hAnsi="宋体" w:cstheme="minorEastAsia"/>
          <w:b/>
          <w:sz w:val="24"/>
          <w:highlight w:val="none"/>
        </w:rPr>
        <w:t>封面（非实质性格式）</w:t>
      </w:r>
    </w:p>
    <w:p w14:paraId="61D96E2A">
      <w:pPr>
        <w:jc w:val="center"/>
        <w:rPr>
          <w:rFonts w:hint="eastAsia" w:ascii="宋体" w:hAnsi="宋体" w:cstheme="minorEastAsia"/>
          <w:szCs w:val="21"/>
          <w:highlight w:val="none"/>
        </w:rPr>
      </w:pPr>
    </w:p>
    <w:p w14:paraId="63887B4E">
      <w:pPr>
        <w:jc w:val="center"/>
        <w:rPr>
          <w:rFonts w:hint="eastAsia" w:ascii="宋体" w:hAnsi="宋体" w:cstheme="minorEastAsia"/>
          <w:b/>
          <w:spacing w:val="60"/>
          <w:sz w:val="84"/>
          <w:szCs w:val="84"/>
          <w:highlight w:val="none"/>
        </w:rPr>
      </w:pPr>
      <w:r>
        <w:rPr>
          <w:rFonts w:hint="eastAsia" w:ascii="宋体" w:hAnsi="宋体" w:cstheme="minorEastAsia"/>
          <w:b/>
          <w:spacing w:val="60"/>
          <w:sz w:val="84"/>
          <w:szCs w:val="84"/>
          <w:highlight w:val="none"/>
        </w:rPr>
        <w:t>响 应 文 件</w:t>
      </w:r>
    </w:p>
    <w:p w14:paraId="2C9E77FA">
      <w:pPr>
        <w:jc w:val="center"/>
        <w:rPr>
          <w:rFonts w:hint="eastAsia" w:ascii="宋体" w:hAnsi="宋体" w:cstheme="minorEastAsia"/>
          <w:b/>
          <w:spacing w:val="60"/>
          <w:sz w:val="52"/>
          <w:szCs w:val="52"/>
          <w:highlight w:val="none"/>
        </w:rPr>
      </w:pPr>
    </w:p>
    <w:p w14:paraId="3AE32B5C">
      <w:pPr>
        <w:ind w:firstLine="542" w:firstLineChars="150"/>
        <w:rPr>
          <w:rFonts w:hint="eastAsia" w:ascii="宋体" w:hAnsi="宋体" w:cstheme="minorEastAsia"/>
          <w:b/>
          <w:spacing w:val="20"/>
          <w:sz w:val="32"/>
          <w:szCs w:val="32"/>
          <w:highlight w:val="none"/>
        </w:rPr>
      </w:pPr>
    </w:p>
    <w:p w14:paraId="09E22ED3">
      <w:pPr>
        <w:ind w:firstLine="542" w:firstLineChars="150"/>
        <w:rPr>
          <w:rFonts w:hint="eastAsia" w:ascii="宋体" w:hAnsi="宋体" w:cstheme="minorEastAsia"/>
          <w:b/>
          <w:spacing w:val="20"/>
          <w:sz w:val="32"/>
          <w:szCs w:val="32"/>
          <w:highlight w:val="none"/>
        </w:rPr>
      </w:pPr>
    </w:p>
    <w:p w14:paraId="4D56ABDE">
      <w:pPr>
        <w:ind w:firstLine="542" w:firstLineChars="150"/>
        <w:rPr>
          <w:rFonts w:hint="eastAsia" w:ascii="宋体" w:hAnsi="宋体" w:cstheme="minorEastAsia"/>
          <w:b/>
          <w:spacing w:val="20"/>
          <w:sz w:val="32"/>
          <w:szCs w:val="32"/>
          <w:highlight w:val="none"/>
        </w:rPr>
      </w:pPr>
      <w:r>
        <w:rPr>
          <w:rFonts w:hint="eastAsia" w:ascii="宋体" w:hAnsi="宋体" w:cstheme="minorEastAsia"/>
          <w:b/>
          <w:spacing w:val="20"/>
          <w:sz w:val="32"/>
          <w:szCs w:val="32"/>
          <w:highlight w:val="none"/>
        </w:rPr>
        <w:t>项目名称:</w:t>
      </w:r>
    </w:p>
    <w:p w14:paraId="6694EE4F">
      <w:pPr>
        <w:ind w:firstLine="542" w:firstLineChars="150"/>
        <w:rPr>
          <w:rFonts w:hint="eastAsia" w:ascii="宋体" w:hAnsi="宋体" w:cstheme="minorEastAsia"/>
          <w:b/>
          <w:spacing w:val="20"/>
          <w:sz w:val="32"/>
          <w:szCs w:val="32"/>
          <w:highlight w:val="none"/>
        </w:rPr>
      </w:pPr>
      <w:r>
        <w:rPr>
          <w:rFonts w:hint="eastAsia" w:ascii="宋体" w:hAnsi="宋体" w:cstheme="minorEastAsia"/>
          <w:b/>
          <w:spacing w:val="20"/>
          <w:sz w:val="32"/>
          <w:szCs w:val="32"/>
          <w:highlight w:val="none"/>
        </w:rPr>
        <w:t>项目编号/包号：</w:t>
      </w:r>
    </w:p>
    <w:p w14:paraId="1F6E741F">
      <w:pPr>
        <w:ind w:firstLine="542" w:firstLineChars="150"/>
        <w:rPr>
          <w:rFonts w:hint="eastAsia" w:ascii="宋体" w:hAnsi="宋体" w:cstheme="minorEastAsia"/>
          <w:b/>
          <w:spacing w:val="20"/>
          <w:sz w:val="32"/>
          <w:szCs w:val="32"/>
          <w:highlight w:val="none"/>
        </w:rPr>
      </w:pPr>
    </w:p>
    <w:p w14:paraId="73030CC5">
      <w:pPr>
        <w:ind w:firstLine="542" w:firstLineChars="150"/>
        <w:rPr>
          <w:rFonts w:hint="eastAsia" w:ascii="宋体" w:hAnsi="宋体" w:cstheme="minorEastAsia"/>
          <w:b/>
          <w:spacing w:val="20"/>
          <w:sz w:val="32"/>
          <w:szCs w:val="32"/>
          <w:highlight w:val="none"/>
        </w:rPr>
      </w:pPr>
    </w:p>
    <w:p w14:paraId="269544A5">
      <w:pPr>
        <w:jc w:val="center"/>
        <w:rPr>
          <w:rFonts w:hint="eastAsia" w:ascii="宋体" w:hAnsi="宋体" w:cstheme="minorEastAsia"/>
          <w:b/>
          <w:sz w:val="32"/>
          <w:szCs w:val="32"/>
          <w:highlight w:val="none"/>
        </w:rPr>
      </w:pPr>
    </w:p>
    <w:p w14:paraId="2CE4AFF2">
      <w:pPr>
        <w:jc w:val="center"/>
        <w:rPr>
          <w:rFonts w:hint="eastAsia" w:ascii="宋体" w:hAnsi="宋体" w:cstheme="minorEastAsia"/>
          <w:b/>
          <w:sz w:val="32"/>
          <w:szCs w:val="32"/>
          <w:highlight w:val="none"/>
        </w:rPr>
      </w:pPr>
    </w:p>
    <w:p w14:paraId="66C48366">
      <w:pPr>
        <w:jc w:val="center"/>
        <w:rPr>
          <w:rFonts w:hint="eastAsia" w:ascii="宋体" w:hAnsi="宋体" w:cstheme="minorEastAsia"/>
          <w:b/>
          <w:sz w:val="32"/>
          <w:szCs w:val="32"/>
          <w:highlight w:val="none"/>
        </w:rPr>
      </w:pPr>
    </w:p>
    <w:p w14:paraId="36669D20">
      <w:pPr>
        <w:jc w:val="center"/>
        <w:rPr>
          <w:rFonts w:hint="eastAsia" w:ascii="宋体" w:hAnsi="宋体" w:cstheme="minorEastAsia"/>
          <w:b/>
          <w:spacing w:val="20"/>
          <w:sz w:val="32"/>
          <w:szCs w:val="32"/>
          <w:highlight w:val="none"/>
        </w:rPr>
      </w:pPr>
    </w:p>
    <w:p w14:paraId="079E64BA">
      <w:pPr>
        <w:jc w:val="center"/>
        <w:rPr>
          <w:rFonts w:hint="eastAsia" w:ascii="宋体" w:hAnsi="宋体" w:cstheme="minorEastAsia"/>
          <w:b/>
          <w:spacing w:val="20"/>
          <w:sz w:val="32"/>
          <w:szCs w:val="32"/>
          <w:highlight w:val="none"/>
        </w:rPr>
      </w:pPr>
    </w:p>
    <w:p w14:paraId="658C0EEB">
      <w:pPr>
        <w:jc w:val="center"/>
        <w:rPr>
          <w:rFonts w:hint="eastAsia" w:ascii="宋体" w:hAnsi="宋体" w:cstheme="minorEastAsia"/>
          <w:b/>
          <w:spacing w:val="20"/>
          <w:sz w:val="32"/>
          <w:szCs w:val="32"/>
          <w:highlight w:val="none"/>
        </w:rPr>
      </w:pPr>
    </w:p>
    <w:p w14:paraId="087566C4">
      <w:pPr>
        <w:spacing w:line="360" w:lineRule="auto"/>
        <w:ind w:firstLine="1445" w:firstLineChars="400"/>
        <w:jc w:val="left"/>
        <w:rPr>
          <w:rFonts w:hint="eastAsia" w:ascii="宋体" w:hAnsi="宋体" w:cstheme="minorEastAsia"/>
          <w:b/>
          <w:spacing w:val="20"/>
          <w:sz w:val="32"/>
          <w:szCs w:val="32"/>
          <w:highlight w:val="none"/>
        </w:rPr>
      </w:pPr>
      <w:r>
        <w:rPr>
          <w:rFonts w:hint="eastAsia" w:ascii="宋体" w:hAnsi="宋体" w:cstheme="minorEastAsia"/>
          <w:b/>
          <w:spacing w:val="20"/>
          <w:sz w:val="32"/>
          <w:szCs w:val="32"/>
          <w:highlight w:val="none"/>
        </w:rPr>
        <w:t>供应商名称：</w:t>
      </w:r>
    </w:p>
    <w:p w14:paraId="31530D24">
      <w:pPr>
        <w:jc w:val="center"/>
        <w:rPr>
          <w:rFonts w:hint="eastAsia" w:ascii="宋体" w:hAnsi="宋体" w:cstheme="minorEastAsia"/>
          <w:b/>
          <w:sz w:val="32"/>
          <w:szCs w:val="32"/>
          <w:highlight w:val="none"/>
        </w:rPr>
      </w:pPr>
    </w:p>
    <w:p w14:paraId="7231610D">
      <w:pPr>
        <w:rPr>
          <w:rFonts w:hint="eastAsia" w:ascii="宋体" w:hAnsi="宋体" w:cstheme="minorEastAsia"/>
          <w:b/>
          <w:highlight w:val="none"/>
        </w:rPr>
      </w:pPr>
      <w:r>
        <w:rPr>
          <w:rFonts w:hint="eastAsia" w:ascii="宋体" w:hAnsi="宋体" w:cstheme="minorEastAsia"/>
          <w:b/>
          <w:spacing w:val="20"/>
          <w:sz w:val="32"/>
          <w:szCs w:val="32"/>
          <w:highlight w:val="none"/>
        </w:rPr>
        <w:br w:type="page"/>
      </w:r>
    </w:p>
    <w:p w14:paraId="6430E33C">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1 满足《中华人民共和国政府采购法》第二十二条规定</w:t>
      </w:r>
    </w:p>
    <w:p w14:paraId="29DC0BB1">
      <w:pPr>
        <w:spacing w:line="360" w:lineRule="auto"/>
        <w:outlineLvl w:val="2"/>
        <w:rPr>
          <w:rFonts w:hint="eastAsia" w:ascii="宋体" w:hAnsi="宋体" w:cstheme="minorEastAsia"/>
          <w:color w:val="000000"/>
          <w:sz w:val="24"/>
          <w:highlight w:val="none"/>
        </w:rPr>
      </w:pPr>
      <w:r>
        <w:rPr>
          <w:rFonts w:hint="eastAsia" w:ascii="宋体" w:hAnsi="宋体" w:cstheme="minorEastAsia"/>
          <w:color w:val="000000"/>
          <w:sz w:val="24"/>
          <w:highlight w:val="none"/>
        </w:rPr>
        <w:t>1-1 营业执照等证明文件</w:t>
      </w:r>
    </w:p>
    <w:p w14:paraId="65DB9A3D">
      <w:pPr>
        <w:tabs>
          <w:tab w:val="left" w:pos="1080"/>
        </w:tabs>
        <w:snapToGrid w:val="0"/>
        <w:rPr>
          <w:rFonts w:hint="eastAsia" w:ascii="宋体" w:hAnsi="宋体" w:cstheme="minorEastAsia"/>
          <w:sz w:val="24"/>
          <w:highlight w:val="none"/>
        </w:rPr>
      </w:pPr>
    </w:p>
    <w:p w14:paraId="437E35AA">
      <w:pPr>
        <w:widowControl/>
        <w:jc w:val="left"/>
        <w:rPr>
          <w:rFonts w:hint="eastAsia" w:ascii="宋体" w:hAnsi="宋体" w:cstheme="minorEastAsia"/>
          <w:color w:val="000000"/>
          <w:sz w:val="24"/>
          <w:szCs w:val="20"/>
          <w:highlight w:val="none"/>
        </w:rPr>
      </w:pPr>
      <w:r>
        <w:rPr>
          <w:rFonts w:hint="eastAsia" w:ascii="宋体" w:hAnsi="宋体" w:cstheme="minorEastAsia"/>
          <w:color w:val="000000"/>
          <w:sz w:val="24"/>
          <w:highlight w:val="none"/>
        </w:rPr>
        <w:br w:type="page"/>
      </w:r>
    </w:p>
    <w:p w14:paraId="59FBDE78">
      <w:pPr>
        <w:pStyle w:val="4"/>
        <w:rPr>
          <w:rFonts w:hint="eastAsia" w:hAnsi="宋体" w:cstheme="minorEastAsia"/>
          <w:b w:val="0"/>
          <w:bCs/>
          <w:color w:val="000000"/>
          <w:szCs w:val="24"/>
          <w:highlight w:val="none"/>
          <w:u w:val="none"/>
        </w:rPr>
      </w:pPr>
      <w:r>
        <w:rPr>
          <w:rFonts w:hint="eastAsia" w:hAnsi="宋体" w:cstheme="minorEastAsia"/>
          <w:b w:val="0"/>
          <w:color w:val="000000"/>
          <w:szCs w:val="24"/>
          <w:highlight w:val="none"/>
          <w:u w:val="none"/>
        </w:rPr>
        <w:t>1-2 供应商资格声明书</w:t>
      </w:r>
    </w:p>
    <w:p w14:paraId="381F65E4">
      <w:pPr>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供应商资格声明书</w:t>
      </w:r>
    </w:p>
    <w:p w14:paraId="44FD2B61">
      <w:pPr>
        <w:tabs>
          <w:tab w:val="left" w:pos="5580"/>
        </w:tabs>
        <w:spacing w:line="360" w:lineRule="auto"/>
        <w:rPr>
          <w:rFonts w:hint="eastAsia" w:ascii="宋体" w:hAnsi="宋体" w:cstheme="minorEastAsia"/>
          <w:sz w:val="24"/>
          <w:highlight w:val="none"/>
        </w:rPr>
      </w:pPr>
    </w:p>
    <w:p w14:paraId="14E29237">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致：</w:t>
      </w:r>
      <w:r>
        <w:rPr>
          <w:rFonts w:hint="eastAsia" w:ascii="宋体" w:hAnsi="宋体" w:cstheme="minorEastAsia"/>
          <w:sz w:val="24"/>
          <w:highlight w:val="none"/>
          <w:u w:val="single"/>
        </w:rPr>
        <w:t>采购人或采购代理机构</w:t>
      </w:r>
    </w:p>
    <w:p w14:paraId="3A63DC04">
      <w:pPr>
        <w:spacing w:line="360" w:lineRule="auto"/>
        <w:ind w:firstLine="480" w:firstLineChars="200"/>
        <w:rPr>
          <w:rFonts w:hint="eastAsia" w:ascii="宋体" w:hAnsi="宋体" w:cstheme="minorEastAsia"/>
          <w:sz w:val="24"/>
          <w:highlight w:val="none"/>
        </w:rPr>
      </w:pPr>
      <w:r>
        <w:rPr>
          <w:rFonts w:hint="eastAsia" w:ascii="宋体" w:hAnsi="宋体" w:cstheme="minorEastAsia"/>
          <w:sz w:val="24"/>
          <w:highlight w:val="none"/>
        </w:rPr>
        <w:t>在参与本次项目磋商中，我单位承诺：</w:t>
      </w:r>
    </w:p>
    <w:p w14:paraId="37661975">
      <w:pPr>
        <w:numPr>
          <w:ilvl w:val="0"/>
          <w:numId w:val="15"/>
        </w:numPr>
        <w:spacing w:line="360" w:lineRule="auto"/>
        <w:ind w:left="1134"/>
        <w:rPr>
          <w:rFonts w:hint="eastAsia" w:ascii="宋体" w:hAnsi="宋体" w:cstheme="minorEastAsia"/>
          <w:sz w:val="24"/>
          <w:szCs w:val="22"/>
          <w:highlight w:val="none"/>
        </w:rPr>
      </w:pPr>
      <w:r>
        <w:rPr>
          <w:rFonts w:hint="eastAsia" w:ascii="宋体" w:hAnsi="宋体" w:cstheme="minorEastAsia"/>
          <w:sz w:val="24"/>
          <w:szCs w:val="22"/>
          <w:highlight w:val="none"/>
        </w:rPr>
        <w:t>具有良好的商业信誉和健全的财务会计制度；</w:t>
      </w:r>
    </w:p>
    <w:p w14:paraId="2E9C3188">
      <w:pPr>
        <w:numPr>
          <w:ilvl w:val="0"/>
          <w:numId w:val="15"/>
        </w:numPr>
        <w:spacing w:line="360" w:lineRule="auto"/>
        <w:ind w:left="1134"/>
        <w:rPr>
          <w:rFonts w:hint="eastAsia" w:ascii="宋体" w:hAnsi="宋体" w:cstheme="minorEastAsia"/>
          <w:sz w:val="24"/>
          <w:szCs w:val="22"/>
          <w:highlight w:val="none"/>
        </w:rPr>
      </w:pPr>
      <w:r>
        <w:rPr>
          <w:rFonts w:hint="eastAsia" w:ascii="宋体" w:hAnsi="宋体" w:cstheme="minorEastAsia"/>
          <w:sz w:val="24"/>
          <w:szCs w:val="22"/>
          <w:highlight w:val="none"/>
        </w:rPr>
        <w:t>具有履行合同所必需的设备和专业技术能力；</w:t>
      </w:r>
    </w:p>
    <w:p w14:paraId="665EC6C0">
      <w:pPr>
        <w:numPr>
          <w:ilvl w:val="0"/>
          <w:numId w:val="15"/>
        </w:numPr>
        <w:spacing w:line="360" w:lineRule="auto"/>
        <w:ind w:left="1134"/>
        <w:rPr>
          <w:rFonts w:hint="eastAsia" w:ascii="宋体" w:hAnsi="宋体" w:cstheme="minorEastAsia"/>
          <w:sz w:val="24"/>
          <w:szCs w:val="22"/>
          <w:highlight w:val="none"/>
        </w:rPr>
      </w:pPr>
      <w:r>
        <w:rPr>
          <w:rFonts w:hint="eastAsia" w:ascii="宋体" w:hAnsi="宋体" w:cstheme="minorEastAsia"/>
          <w:sz w:val="24"/>
          <w:szCs w:val="22"/>
          <w:highlight w:val="none"/>
        </w:rPr>
        <w:t>有依法缴纳税收和社会保障资金的良好记录；</w:t>
      </w:r>
    </w:p>
    <w:p w14:paraId="5EA71DEC">
      <w:pPr>
        <w:numPr>
          <w:ilvl w:val="0"/>
          <w:numId w:val="15"/>
        </w:numPr>
        <w:spacing w:line="360" w:lineRule="auto"/>
        <w:ind w:left="1134"/>
        <w:rPr>
          <w:rFonts w:hint="eastAsia" w:ascii="宋体" w:hAnsi="宋体" w:cstheme="minorEastAsia"/>
          <w:sz w:val="24"/>
          <w:szCs w:val="22"/>
          <w:highlight w:val="none"/>
        </w:rPr>
      </w:pPr>
      <w:r>
        <w:rPr>
          <w:rFonts w:hint="eastAsia" w:ascii="宋体" w:hAnsi="宋体" w:cstheme="minorEastAsia"/>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780B8F3">
      <w:pPr>
        <w:numPr>
          <w:ilvl w:val="0"/>
          <w:numId w:val="15"/>
        </w:numPr>
        <w:spacing w:line="360" w:lineRule="auto"/>
        <w:ind w:left="1134"/>
        <w:rPr>
          <w:rFonts w:hint="eastAsia" w:ascii="宋体" w:hAnsi="宋体" w:cstheme="minorEastAsia"/>
          <w:sz w:val="24"/>
          <w:szCs w:val="22"/>
          <w:highlight w:val="none"/>
        </w:rPr>
      </w:pPr>
      <w:r>
        <w:rPr>
          <w:rFonts w:hint="eastAsia" w:ascii="宋体" w:hAnsi="宋体" w:cstheme="minorEastAsia"/>
          <w:sz w:val="24"/>
          <w:szCs w:val="22"/>
          <w:highlight w:val="none"/>
        </w:rPr>
        <w:t>我单位不属于政府采购法律、行政法规规定的公益一类事业单位、或使用事业编制且由财政拨款保障的群团组织（仅适用于政府购买服务项目）；</w:t>
      </w:r>
    </w:p>
    <w:p w14:paraId="0CEBC3E9">
      <w:pPr>
        <w:numPr>
          <w:ilvl w:val="0"/>
          <w:numId w:val="15"/>
        </w:numPr>
        <w:spacing w:line="360" w:lineRule="auto"/>
        <w:ind w:left="1134"/>
        <w:rPr>
          <w:rFonts w:hint="eastAsia" w:ascii="宋体" w:hAnsi="宋体" w:cstheme="minorEastAsia"/>
          <w:sz w:val="24"/>
          <w:szCs w:val="22"/>
          <w:highlight w:val="none"/>
        </w:rPr>
      </w:pPr>
      <w:r>
        <w:rPr>
          <w:rFonts w:hint="eastAsia" w:ascii="宋体" w:hAnsi="宋体" w:cstheme="minorEastAsia"/>
          <w:sz w:val="24"/>
          <w:szCs w:val="22"/>
          <w:highlight w:val="none"/>
        </w:rPr>
        <w:t>我单位不存在为采购项目提供整体设计、规范编制或者项目管理、监理、检测等服务后，再参加该采购项目的其他采购活动的情形（单一来源采购项目除外）；</w:t>
      </w:r>
    </w:p>
    <w:p w14:paraId="11A79D72">
      <w:pPr>
        <w:numPr>
          <w:ilvl w:val="0"/>
          <w:numId w:val="15"/>
        </w:numPr>
        <w:spacing w:line="360" w:lineRule="auto"/>
        <w:ind w:left="1134"/>
        <w:rPr>
          <w:rFonts w:hint="eastAsia" w:ascii="宋体" w:hAnsi="宋体" w:cstheme="minorEastAsia"/>
          <w:sz w:val="24"/>
          <w:szCs w:val="22"/>
          <w:highlight w:val="none"/>
        </w:rPr>
      </w:pPr>
      <w:r>
        <w:rPr>
          <w:rFonts w:hint="eastAsia" w:ascii="宋体" w:hAnsi="宋体" w:cstheme="minorEastAsia"/>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535DC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D6271D4">
            <w:pPr>
              <w:jc w:val="center"/>
              <w:rPr>
                <w:rFonts w:hint="eastAsia" w:ascii="宋体" w:hAnsi="宋体" w:cstheme="minorEastAsia"/>
                <w:sz w:val="24"/>
                <w:highlight w:val="none"/>
              </w:rPr>
            </w:pPr>
            <w:r>
              <w:rPr>
                <w:rFonts w:hint="eastAsia" w:ascii="宋体" w:hAnsi="宋体" w:cstheme="minorEastAsia"/>
                <w:sz w:val="24"/>
                <w:highlight w:val="none"/>
              </w:rPr>
              <w:t>序号</w:t>
            </w:r>
          </w:p>
        </w:tc>
        <w:tc>
          <w:tcPr>
            <w:tcW w:w="4574" w:type="dxa"/>
            <w:vAlign w:val="center"/>
          </w:tcPr>
          <w:p w14:paraId="41A29F65">
            <w:pPr>
              <w:jc w:val="center"/>
              <w:rPr>
                <w:rFonts w:hint="eastAsia" w:ascii="宋体" w:hAnsi="宋体" w:cstheme="minorEastAsia"/>
                <w:sz w:val="24"/>
                <w:highlight w:val="none"/>
              </w:rPr>
            </w:pPr>
            <w:r>
              <w:rPr>
                <w:rFonts w:hint="eastAsia" w:ascii="宋体" w:hAnsi="宋体" w:cstheme="minorEastAsia"/>
                <w:sz w:val="24"/>
                <w:highlight w:val="none"/>
              </w:rPr>
              <w:t>单位名称</w:t>
            </w:r>
          </w:p>
        </w:tc>
        <w:tc>
          <w:tcPr>
            <w:tcW w:w="2976" w:type="dxa"/>
            <w:vAlign w:val="center"/>
          </w:tcPr>
          <w:p w14:paraId="08AFBAE6">
            <w:pPr>
              <w:jc w:val="center"/>
              <w:rPr>
                <w:rFonts w:hint="eastAsia" w:ascii="宋体" w:hAnsi="宋体" w:cstheme="minorEastAsia"/>
                <w:sz w:val="24"/>
                <w:highlight w:val="none"/>
              </w:rPr>
            </w:pPr>
            <w:r>
              <w:rPr>
                <w:rFonts w:hint="eastAsia" w:ascii="宋体" w:hAnsi="宋体" w:cstheme="minorEastAsia"/>
                <w:sz w:val="24"/>
                <w:highlight w:val="none"/>
              </w:rPr>
              <w:t>相互关系</w:t>
            </w:r>
          </w:p>
        </w:tc>
      </w:tr>
      <w:tr w14:paraId="43E02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408DCBF">
            <w:pPr>
              <w:jc w:val="center"/>
              <w:rPr>
                <w:rFonts w:hint="eastAsia" w:ascii="宋体" w:hAnsi="宋体" w:cstheme="minorEastAsia"/>
                <w:sz w:val="24"/>
                <w:highlight w:val="none"/>
              </w:rPr>
            </w:pPr>
            <w:r>
              <w:rPr>
                <w:rFonts w:hint="eastAsia" w:ascii="宋体" w:hAnsi="宋体" w:cstheme="minorEastAsia"/>
                <w:sz w:val="24"/>
                <w:highlight w:val="none"/>
              </w:rPr>
              <w:t>1</w:t>
            </w:r>
          </w:p>
        </w:tc>
        <w:tc>
          <w:tcPr>
            <w:tcW w:w="4574" w:type="dxa"/>
            <w:vAlign w:val="center"/>
          </w:tcPr>
          <w:p w14:paraId="38DE3297">
            <w:pPr>
              <w:jc w:val="center"/>
              <w:rPr>
                <w:rFonts w:hint="eastAsia" w:ascii="宋体" w:hAnsi="宋体" w:cstheme="minorEastAsia"/>
                <w:sz w:val="24"/>
                <w:highlight w:val="none"/>
              </w:rPr>
            </w:pPr>
          </w:p>
        </w:tc>
        <w:tc>
          <w:tcPr>
            <w:tcW w:w="2976" w:type="dxa"/>
            <w:vAlign w:val="center"/>
          </w:tcPr>
          <w:p w14:paraId="4D570139">
            <w:pPr>
              <w:jc w:val="center"/>
              <w:rPr>
                <w:rFonts w:hint="eastAsia" w:ascii="宋体" w:hAnsi="宋体" w:cstheme="minorEastAsia"/>
                <w:sz w:val="24"/>
                <w:highlight w:val="none"/>
              </w:rPr>
            </w:pPr>
          </w:p>
        </w:tc>
      </w:tr>
      <w:tr w14:paraId="4C58A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E46EA83">
            <w:pPr>
              <w:jc w:val="center"/>
              <w:rPr>
                <w:rFonts w:hint="eastAsia" w:ascii="宋体" w:hAnsi="宋体" w:cstheme="minorEastAsia"/>
                <w:sz w:val="24"/>
                <w:highlight w:val="none"/>
              </w:rPr>
            </w:pPr>
            <w:r>
              <w:rPr>
                <w:rFonts w:hint="eastAsia" w:ascii="宋体" w:hAnsi="宋体" w:cstheme="minorEastAsia"/>
                <w:sz w:val="24"/>
                <w:highlight w:val="none"/>
              </w:rPr>
              <w:t>2</w:t>
            </w:r>
          </w:p>
        </w:tc>
        <w:tc>
          <w:tcPr>
            <w:tcW w:w="4574" w:type="dxa"/>
            <w:vAlign w:val="center"/>
          </w:tcPr>
          <w:p w14:paraId="4730613E">
            <w:pPr>
              <w:jc w:val="center"/>
              <w:rPr>
                <w:rFonts w:hint="eastAsia" w:ascii="宋体" w:hAnsi="宋体" w:cstheme="minorEastAsia"/>
                <w:sz w:val="24"/>
                <w:highlight w:val="none"/>
              </w:rPr>
            </w:pPr>
          </w:p>
        </w:tc>
        <w:tc>
          <w:tcPr>
            <w:tcW w:w="2976" w:type="dxa"/>
            <w:vAlign w:val="center"/>
          </w:tcPr>
          <w:p w14:paraId="3E7C2364">
            <w:pPr>
              <w:jc w:val="center"/>
              <w:rPr>
                <w:rFonts w:hint="eastAsia" w:ascii="宋体" w:hAnsi="宋体" w:cstheme="minorEastAsia"/>
                <w:sz w:val="24"/>
                <w:highlight w:val="none"/>
              </w:rPr>
            </w:pPr>
          </w:p>
        </w:tc>
      </w:tr>
      <w:tr w14:paraId="524F5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377054D5">
            <w:pPr>
              <w:jc w:val="center"/>
              <w:rPr>
                <w:rFonts w:hint="eastAsia" w:ascii="宋体" w:hAnsi="宋体" w:cstheme="minorEastAsia"/>
                <w:sz w:val="24"/>
                <w:highlight w:val="none"/>
              </w:rPr>
            </w:pPr>
            <w:r>
              <w:rPr>
                <w:rFonts w:hint="eastAsia" w:ascii="宋体" w:hAnsi="宋体" w:cstheme="minorEastAsia"/>
                <w:sz w:val="24"/>
                <w:highlight w:val="none"/>
              </w:rPr>
              <w:t>…</w:t>
            </w:r>
          </w:p>
        </w:tc>
        <w:tc>
          <w:tcPr>
            <w:tcW w:w="4574" w:type="dxa"/>
            <w:vAlign w:val="center"/>
          </w:tcPr>
          <w:p w14:paraId="588E413D">
            <w:pPr>
              <w:jc w:val="center"/>
              <w:rPr>
                <w:rFonts w:hint="eastAsia" w:ascii="宋体" w:hAnsi="宋体" w:cstheme="minorEastAsia"/>
                <w:sz w:val="24"/>
                <w:highlight w:val="none"/>
              </w:rPr>
            </w:pPr>
          </w:p>
        </w:tc>
        <w:tc>
          <w:tcPr>
            <w:tcW w:w="2976" w:type="dxa"/>
            <w:vAlign w:val="center"/>
          </w:tcPr>
          <w:p w14:paraId="2F745360">
            <w:pPr>
              <w:jc w:val="center"/>
              <w:rPr>
                <w:rFonts w:hint="eastAsia" w:ascii="宋体" w:hAnsi="宋体" w:cstheme="minorEastAsia"/>
                <w:sz w:val="24"/>
                <w:highlight w:val="none"/>
              </w:rPr>
            </w:pPr>
          </w:p>
        </w:tc>
      </w:tr>
    </w:tbl>
    <w:p w14:paraId="75D7404C">
      <w:pPr>
        <w:rPr>
          <w:rFonts w:hint="eastAsia" w:ascii="宋体" w:hAnsi="宋体" w:cstheme="minorEastAsia"/>
          <w:highlight w:val="none"/>
        </w:rPr>
      </w:pPr>
    </w:p>
    <w:p w14:paraId="0AE9DFF2">
      <w:pPr>
        <w:ind w:firstLine="480" w:firstLineChars="200"/>
        <w:rPr>
          <w:rFonts w:hint="eastAsia" w:ascii="宋体" w:hAnsi="宋体" w:cstheme="minorEastAsia"/>
          <w:sz w:val="24"/>
          <w:szCs w:val="22"/>
          <w:highlight w:val="none"/>
        </w:rPr>
      </w:pPr>
      <w:r>
        <w:rPr>
          <w:rFonts w:hint="eastAsia" w:ascii="宋体" w:hAnsi="宋体" w:cstheme="minorEastAsia"/>
          <w:sz w:val="24"/>
          <w:highlight w:val="none"/>
        </w:rPr>
        <w:t>上述声明真实有效，否则我方负全部责任。</w:t>
      </w:r>
    </w:p>
    <w:p w14:paraId="286BB773">
      <w:pPr>
        <w:spacing w:line="360" w:lineRule="auto"/>
        <w:rPr>
          <w:rFonts w:hint="eastAsia" w:ascii="宋体" w:hAnsi="宋体" w:cstheme="minorEastAsia"/>
          <w:sz w:val="24"/>
          <w:highlight w:val="none"/>
        </w:rPr>
      </w:pPr>
    </w:p>
    <w:p w14:paraId="0FD62100">
      <w:pPr>
        <w:autoSpaceDE w:val="0"/>
        <w:autoSpaceDN w:val="0"/>
        <w:adjustRightInd w:val="0"/>
        <w:snapToGrid w:val="0"/>
        <w:spacing w:before="25" w:after="25" w:line="360" w:lineRule="auto"/>
        <w:ind w:right="360"/>
        <w:jc w:val="right"/>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sz w:val="24"/>
          <w:highlight w:val="none"/>
        </w:rPr>
        <w:t>______</w:t>
      </w:r>
    </w:p>
    <w:p w14:paraId="1BAAAA9A">
      <w:pPr>
        <w:spacing w:line="360" w:lineRule="auto"/>
        <w:ind w:right="360" w:firstLine="480"/>
        <w:jc w:val="right"/>
        <w:rPr>
          <w:rFonts w:hint="eastAsia" w:ascii="宋体" w:hAnsi="宋体" w:cstheme="minorEastAsia"/>
          <w:sz w:val="24"/>
          <w:highlight w:val="none"/>
        </w:rPr>
      </w:pPr>
      <w:r>
        <w:rPr>
          <w:rFonts w:hint="eastAsia" w:ascii="宋体" w:hAnsi="宋体" w:cstheme="minorEastAsia"/>
          <w:color w:val="000000"/>
          <w:sz w:val="24"/>
          <w:szCs w:val="20"/>
          <w:highlight w:val="none"/>
        </w:rPr>
        <w:t xml:space="preserve">日期：____年____月____日   </w:t>
      </w:r>
    </w:p>
    <w:p w14:paraId="78E8EF74">
      <w:pPr>
        <w:spacing w:line="360" w:lineRule="auto"/>
        <w:rPr>
          <w:rFonts w:hint="eastAsia" w:ascii="宋体" w:hAnsi="宋体" w:cstheme="minorEastAsia"/>
          <w:sz w:val="24"/>
          <w:highlight w:val="none"/>
        </w:rPr>
      </w:pPr>
      <w:r>
        <w:rPr>
          <w:rFonts w:hint="eastAsia" w:ascii="宋体" w:hAnsi="宋体" w:cstheme="minorEastAsia"/>
          <w:sz w:val="24"/>
          <w:highlight w:val="none"/>
        </w:rPr>
        <w:t>说明：供应商承诺不实的，依据《政府采购法》第七十七条“提供虚假材料谋取中标、成交的”有关规定予以处理。</w:t>
      </w:r>
    </w:p>
    <w:p w14:paraId="66ACF81B">
      <w:pPr>
        <w:tabs>
          <w:tab w:val="left" w:pos="5580"/>
        </w:tabs>
        <w:spacing w:line="360" w:lineRule="auto"/>
        <w:rPr>
          <w:rFonts w:hint="eastAsia" w:ascii="宋体" w:hAnsi="宋体" w:cstheme="minorEastAsia"/>
          <w:sz w:val="24"/>
          <w:highlight w:val="none"/>
        </w:rPr>
        <w:sectPr>
          <w:headerReference r:id="rId24" w:type="first"/>
          <w:footerReference r:id="rId27" w:type="first"/>
          <w:headerReference r:id="rId22" w:type="default"/>
          <w:footerReference r:id="rId25" w:type="default"/>
          <w:headerReference r:id="rId23" w:type="even"/>
          <w:footerReference r:id="rId26" w:type="even"/>
          <w:pgSz w:w="11907" w:h="16840"/>
          <w:pgMar w:top="1418" w:right="1134" w:bottom="1418" w:left="1701" w:header="851" w:footer="851" w:gutter="0"/>
          <w:cols w:space="720" w:num="1"/>
          <w:docGrid w:linePitch="462" w:charSpace="0"/>
        </w:sectPr>
      </w:pPr>
    </w:p>
    <w:p w14:paraId="0F856383">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2 落实政府采购政策需满足的资格要求（如有）</w:t>
      </w:r>
    </w:p>
    <w:p w14:paraId="5CD4C1D2">
      <w:pPr>
        <w:spacing w:line="360" w:lineRule="auto"/>
        <w:outlineLvl w:val="2"/>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2-1 中小企业政策证明文件</w:t>
      </w:r>
    </w:p>
    <w:p w14:paraId="62D025A8">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说明：</w:t>
      </w:r>
    </w:p>
    <w:p w14:paraId="22CACA28">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hint="eastAsia" w:ascii="宋体" w:hAnsi="宋体" w:cstheme="minorEastAsia"/>
          <w:color w:val="000000" w:themeColor="text1"/>
          <w:sz w:val="24"/>
          <w:highlight w:val="none"/>
          <w14:textFill>
            <w14:solidFill>
              <w14:schemeClr w14:val="tx1"/>
            </w14:solidFill>
          </w14:textFill>
        </w:rPr>
        <w:t>否则不享受相关中小企业扶持政策</w:t>
      </w:r>
      <w:r>
        <w:rPr>
          <w:rFonts w:hint="eastAsia" w:ascii="宋体" w:hAnsi="宋体" w:cstheme="minorEastAsia"/>
          <w:sz w:val="24"/>
          <w:highlight w:val="none"/>
        </w:rPr>
        <w:t>。</w:t>
      </w:r>
    </w:p>
    <w:p w14:paraId="1E9EF39F">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2）如本项目（包）专门面向中小企业采购，响应文件中须提供《中小企业声明函》或《残疾人福利性单位声明函》，或提供由省级以上监狱管理局、戒毒管理局（含新疆生产建设兵团）出具的属于监狱企业的证明文件。</w:t>
      </w:r>
    </w:p>
    <w:p w14:paraId="7E5BA9FC">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7083CC91">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（4）中小企业声明函填写注意事项</w:t>
      </w:r>
    </w:p>
    <w:p w14:paraId="67E88F94">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1）《中小企业声明函》由参加政府采购活动的供应商出具。联合体参与的，《中小企业声明函》可由牵头人出具。</w:t>
      </w:r>
    </w:p>
    <w:p w14:paraId="3CD183A9">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445554A8">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3）对于多标的采购项目，供应商应充分、准确地了解所提供货物的制造企业、提供服务的承接企业信息。对相关情况了解不清楚的，不建议填报本声明函。</w:t>
      </w:r>
    </w:p>
    <w:p w14:paraId="38EB41A7">
      <w:pPr>
        <w:tabs>
          <w:tab w:val="left" w:pos="5580"/>
        </w:tabs>
        <w:spacing w:line="360" w:lineRule="auto"/>
        <w:rPr>
          <w:rFonts w:hint="eastAsia" w:ascii="宋体" w:hAnsi="宋体" w:cstheme="minorEastAsia"/>
          <w:b/>
          <w:bCs/>
          <w:color w:val="000000"/>
          <w:sz w:val="36"/>
          <w:szCs w:val="36"/>
          <w:highlight w:val="none"/>
        </w:rPr>
      </w:pPr>
      <w:r>
        <w:rPr>
          <w:rFonts w:hint="eastAsia" w:ascii="宋体" w:hAnsi="宋体" w:cstheme="minorEastAsia"/>
          <w:sz w:val="24"/>
          <w:highlight w:val="none"/>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本项目中小企业划分标准所属行业详见第二章《供应商须知资料表》，如在该程序中未找到本项目文件规定的中小企业划分标准所属行业，则按照《关于印发中小企业划型标准规定的通知（工信部联企业﹝2011﹞300号）》及《金融业企业划型标准规定》（银发〔2015〕309 号）等国务院批准的中小企业划分标准执行。</w:t>
      </w:r>
      <w:r>
        <w:rPr>
          <w:rFonts w:hint="eastAsia" w:ascii="宋体" w:hAnsi="宋体" w:cstheme="minorEastAsia"/>
          <w:b/>
          <w:bCs/>
          <w:color w:val="000000"/>
          <w:sz w:val="36"/>
          <w:szCs w:val="36"/>
          <w:highlight w:val="none"/>
        </w:rPr>
        <w:br w:type="page"/>
      </w:r>
    </w:p>
    <w:p w14:paraId="40B040D2">
      <w:pPr>
        <w:pStyle w:val="6"/>
        <w:rPr>
          <w:rFonts w:hint="eastAsia" w:ascii="宋体" w:hAnsi="宋体" w:cstheme="minorEastAsia"/>
          <w:color w:val="000000"/>
          <w:sz w:val="24"/>
          <w:highlight w:val="none"/>
        </w:rPr>
      </w:pPr>
      <w:r>
        <w:rPr>
          <w:rFonts w:hint="eastAsia" w:ascii="宋体" w:hAnsi="宋体" w:eastAsia="宋体" w:cstheme="minorEastAsia"/>
          <w:sz w:val="24"/>
          <w:szCs w:val="24"/>
          <w:highlight w:val="none"/>
        </w:rPr>
        <w:t>2-1-1 中小企业证明文件</w:t>
      </w:r>
    </w:p>
    <w:p w14:paraId="24102812">
      <w:pPr>
        <w:spacing w:before="240" w:beforeLines="100" w:after="240" w:afterLines="100" w:line="360" w:lineRule="auto"/>
        <w:jc w:val="center"/>
        <w:rPr>
          <w:rFonts w:hint="eastAsia" w:ascii="宋体" w:hAnsi="宋体" w:cstheme="minorEastAsia"/>
          <w:b/>
          <w:bCs/>
          <w:color w:val="000000"/>
          <w:sz w:val="36"/>
          <w:szCs w:val="36"/>
          <w:highlight w:val="none"/>
        </w:rPr>
      </w:pPr>
      <w:r>
        <w:rPr>
          <w:rFonts w:hint="eastAsia" w:ascii="宋体" w:hAnsi="宋体" w:cstheme="minorEastAsia"/>
          <w:b/>
          <w:bCs/>
          <w:color w:val="000000"/>
          <w:sz w:val="36"/>
          <w:szCs w:val="36"/>
          <w:highlight w:val="none"/>
        </w:rPr>
        <w:t>中小企业声明函（工程、服务）格式</w:t>
      </w:r>
    </w:p>
    <w:p w14:paraId="58718E1A">
      <w:pPr>
        <w:spacing w:line="360" w:lineRule="auto"/>
        <w:ind w:firstLine="504"/>
        <w:rPr>
          <w:rFonts w:hint="eastAsia" w:ascii="宋体" w:hAnsi="宋体" w:cstheme="minorEastAsia"/>
          <w:spacing w:val="6"/>
          <w:sz w:val="24"/>
          <w:highlight w:val="none"/>
        </w:rPr>
      </w:pPr>
      <w:r>
        <w:rPr>
          <w:rFonts w:hint="eastAsia" w:ascii="宋体" w:hAnsi="宋体" w:cstheme="minorEastAsia"/>
          <w:spacing w:val="6"/>
          <w:sz w:val="24"/>
          <w:highlight w:val="none"/>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0C8FF428">
      <w:pPr>
        <w:spacing w:line="360" w:lineRule="auto"/>
        <w:ind w:firstLine="504"/>
        <w:rPr>
          <w:rFonts w:hint="eastAsia" w:ascii="宋体" w:hAnsi="宋体" w:cstheme="minorEastAsia"/>
          <w:spacing w:val="6"/>
          <w:sz w:val="24"/>
          <w:highlight w:val="none"/>
        </w:rPr>
      </w:pPr>
      <w:r>
        <w:rPr>
          <w:rFonts w:hint="eastAsia" w:ascii="宋体" w:hAnsi="宋体" w:cstheme="minorEastAsia"/>
          <w:spacing w:val="6"/>
          <w:sz w:val="24"/>
          <w:highlight w:val="none"/>
        </w:rPr>
        <w:t>1.</w:t>
      </w:r>
      <w:r>
        <w:rPr>
          <w:rFonts w:hint="eastAsia" w:ascii="宋体" w:hAnsi="宋体" w:cstheme="minorEastAsia"/>
          <w:spacing w:val="6"/>
          <w:sz w:val="24"/>
          <w:highlight w:val="none"/>
          <w:u w:val="single"/>
        </w:rPr>
        <w:t xml:space="preserve"> （标的名称） </w:t>
      </w:r>
      <w:r>
        <w:rPr>
          <w:rFonts w:hint="eastAsia" w:ascii="宋体" w:hAnsi="宋体" w:cstheme="minorEastAsia"/>
          <w:spacing w:val="6"/>
          <w:sz w:val="24"/>
          <w:highlight w:val="none"/>
        </w:rPr>
        <w:t>，属于</w:t>
      </w:r>
      <w:r>
        <w:rPr>
          <w:rFonts w:hint="eastAsia" w:ascii="宋体" w:hAnsi="宋体" w:cstheme="minorEastAsia"/>
          <w:spacing w:val="6"/>
          <w:sz w:val="24"/>
          <w:highlight w:val="none"/>
          <w:u w:val="single"/>
        </w:rPr>
        <w:t>（采购文件中明确的所属行业）</w:t>
      </w:r>
      <w:r>
        <w:rPr>
          <w:rFonts w:hint="eastAsia" w:ascii="宋体" w:hAnsi="宋体" w:cstheme="minorEastAsia"/>
          <w:spacing w:val="6"/>
          <w:sz w:val="24"/>
          <w:highlight w:val="none"/>
        </w:rPr>
        <w:t>行业；承建（承接）企业为</w:t>
      </w:r>
      <w:r>
        <w:rPr>
          <w:rFonts w:hint="eastAsia" w:ascii="宋体" w:hAnsi="宋体" w:cstheme="minorEastAsia"/>
          <w:spacing w:val="6"/>
          <w:sz w:val="24"/>
          <w:highlight w:val="none"/>
          <w:u w:val="single"/>
        </w:rPr>
        <w:t>（企业名称）</w:t>
      </w:r>
      <w:r>
        <w:rPr>
          <w:rFonts w:hint="eastAsia" w:ascii="宋体" w:hAnsi="宋体" w:cstheme="minorEastAsia"/>
          <w:spacing w:val="6"/>
          <w:sz w:val="24"/>
          <w:highlight w:val="none"/>
        </w:rPr>
        <w:t>，从业人员</w:t>
      </w:r>
      <w:r>
        <w:rPr>
          <w:rFonts w:hint="eastAsia" w:ascii="宋体" w:hAnsi="宋体" w:cstheme="minorEastAsia"/>
          <w:sz w:val="24"/>
          <w:highlight w:val="none"/>
        </w:rPr>
        <w:t>______</w:t>
      </w:r>
      <w:r>
        <w:rPr>
          <w:rFonts w:hint="eastAsia" w:ascii="宋体" w:hAnsi="宋体" w:cstheme="minorEastAsia"/>
          <w:spacing w:val="6"/>
          <w:sz w:val="24"/>
          <w:highlight w:val="none"/>
        </w:rPr>
        <w:t>人，营业收入为</w:t>
      </w:r>
      <w:r>
        <w:rPr>
          <w:rFonts w:hint="eastAsia" w:ascii="宋体" w:hAnsi="宋体" w:cstheme="minorEastAsia"/>
          <w:sz w:val="24"/>
          <w:highlight w:val="none"/>
        </w:rPr>
        <w:t>______</w:t>
      </w:r>
      <w:r>
        <w:rPr>
          <w:rFonts w:hint="eastAsia" w:ascii="宋体" w:hAnsi="宋体" w:cstheme="minorEastAsia"/>
          <w:spacing w:val="6"/>
          <w:sz w:val="24"/>
          <w:highlight w:val="none"/>
        </w:rPr>
        <w:t>万元，资产总额为</w:t>
      </w:r>
      <w:r>
        <w:rPr>
          <w:rFonts w:hint="eastAsia" w:ascii="宋体" w:hAnsi="宋体" w:cstheme="minorEastAsia"/>
          <w:sz w:val="24"/>
          <w:highlight w:val="none"/>
        </w:rPr>
        <w:t>______</w:t>
      </w:r>
      <w:r>
        <w:rPr>
          <w:rFonts w:hint="eastAsia" w:ascii="宋体" w:hAnsi="宋体" w:cstheme="minorEastAsia"/>
          <w:spacing w:val="6"/>
          <w:sz w:val="24"/>
          <w:highlight w:val="none"/>
        </w:rPr>
        <w:t>万元</w:t>
      </w:r>
      <w:r>
        <w:rPr>
          <w:rFonts w:hint="eastAsia" w:ascii="宋体" w:hAnsi="宋体" w:cstheme="minorEastAsia"/>
          <w:spacing w:val="6"/>
          <w:sz w:val="24"/>
          <w:highlight w:val="none"/>
          <w:vertAlign w:val="superscript"/>
        </w:rPr>
        <w:t>1</w:t>
      </w:r>
      <w:r>
        <w:rPr>
          <w:rFonts w:hint="eastAsia" w:ascii="宋体" w:hAnsi="宋体" w:cstheme="minorEastAsia"/>
          <w:spacing w:val="6"/>
          <w:sz w:val="24"/>
          <w:highlight w:val="none"/>
        </w:rPr>
        <w:t>，属于（中型企业、小型企业、微型企业）；</w:t>
      </w:r>
    </w:p>
    <w:p w14:paraId="783A920E">
      <w:pPr>
        <w:spacing w:line="360" w:lineRule="auto"/>
        <w:ind w:firstLine="504"/>
        <w:rPr>
          <w:rFonts w:hint="eastAsia" w:ascii="宋体" w:hAnsi="宋体" w:cstheme="minorEastAsia"/>
          <w:spacing w:val="6"/>
          <w:sz w:val="24"/>
          <w:highlight w:val="none"/>
        </w:rPr>
      </w:pPr>
      <w:r>
        <w:rPr>
          <w:rFonts w:hint="eastAsia" w:ascii="宋体" w:hAnsi="宋体" w:cstheme="minorEastAsia"/>
          <w:spacing w:val="6"/>
          <w:sz w:val="24"/>
          <w:highlight w:val="none"/>
        </w:rPr>
        <w:t xml:space="preserve">2. </w:t>
      </w:r>
      <w:r>
        <w:rPr>
          <w:rFonts w:hint="eastAsia" w:ascii="宋体" w:hAnsi="宋体" w:cstheme="minorEastAsia"/>
          <w:spacing w:val="6"/>
          <w:sz w:val="24"/>
          <w:highlight w:val="none"/>
          <w:u w:val="single"/>
        </w:rPr>
        <w:t xml:space="preserve">（标的名称） </w:t>
      </w:r>
      <w:r>
        <w:rPr>
          <w:rFonts w:hint="eastAsia" w:ascii="宋体" w:hAnsi="宋体" w:cstheme="minorEastAsia"/>
          <w:spacing w:val="6"/>
          <w:sz w:val="24"/>
          <w:highlight w:val="none"/>
        </w:rPr>
        <w:t>，属于</w:t>
      </w:r>
      <w:r>
        <w:rPr>
          <w:rFonts w:hint="eastAsia" w:ascii="宋体" w:hAnsi="宋体" w:cstheme="minorEastAsia"/>
          <w:spacing w:val="6"/>
          <w:sz w:val="24"/>
          <w:highlight w:val="none"/>
          <w:u w:val="single"/>
        </w:rPr>
        <w:t>（采购文件中明确的所属行业）</w:t>
      </w:r>
      <w:r>
        <w:rPr>
          <w:rFonts w:hint="eastAsia" w:ascii="宋体" w:hAnsi="宋体" w:cstheme="minorEastAsia"/>
          <w:spacing w:val="6"/>
          <w:sz w:val="24"/>
          <w:highlight w:val="none"/>
        </w:rPr>
        <w:t>行业；承建（承接）企业为</w:t>
      </w:r>
      <w:r>
        <w:rPr>
          <w:rFonts w:hint="eastAsia" w:ascii="宋体" w:hAnsi="宋体" w:cstheme="minorEastAsia"/>
          <w:spacing w:val="6"/>
          <w:sz w:val="24"/>
          <w:highlight w:val="none"/>
          <w:u w:val="single"/>
        </w:rPr>
        <w:t>（企业名称）</w:t>
      </w:r>
      <w:r>
        <w:rPr>
          <w:rFonts w:hint="eastAsia" w:ascii="宋体" w:hAnsi="宋体" w:cstheme="minorEastAsia"/>
          <w:spacing w:val="6"/>
          <w:sz w:val="24"/>
          <w:highlight w:val="none"/>
        </w:rPr>
        <w:t>，从业人员</w:t>
      </w:r>
      <w:r>
        <w:rPr>
          <w:rFonts w:hint="eastAsia" w:ascii="宋体" w:hAnsi="宋体" w:cstheme="minorEastAsia"/>
          <w:sz w:val="24"/>
          <w:highlight w:val="none"/>
        </w:rPr>
        <w:t>______</w:t>
      </w:r>
      <w:r>
        <w:rPr>
          <w:rFonts w:hint="eastAsia" w:ascii="宋体" w:hAnsi="宋体" w:cstheme="minorEastAsia"/>
          <w:spacing w:val="6"/>
          <w:sz w:val="24"/>
          <w:highlight w:val="none"/>
        </w:rPr>
        <w:t>人，营业收入为</w:t>
      </w:r>
      <w:r>
        <w:rPr>
          <w:rFonts w:hint="eastAsia" w:ascii="宋体" w:hAnsi="宋体" w:cstheme="minorEastAsia"/>
          <w:sz w:val="24"/>
          <w:highlight w:val="none"/>
        </w:rPr>
        <w:t>______</w:t>
      </w:r>
      <w:r>
        <w:rPr>
          <w:rFonts w:hint="eastAsia" w:ascii="宋体" w:hAnsi="宋体" w:cstheme="minorEastAsia"/>
          <w:spacing w:val="6"/>
          <w:sz w:val="24"/>
          <w:highlight w:val="none"/>
        </w:rPr>
        <w:t>万元，资产总额为</w:t>
      </w:r>
      <w:r>
        <w:rPr>
          <w:rFonts w:hint="eastAsia" w:ascii="宋体" w:hAnsi="宋体" w:cstheme="minorEastAsia"/>
          <w:sz w:val="24"/>
          <w:highlight w:val="none"/>
        </w:rPr>
        <w:t>______</w:t>
      </w:r>
      <w:r>
        <w:rPr>
          <w:rFonts w:hint="eastAsia" w:ascii="宋体" w:hAnsi="宋体" w:cstheme="minorEastAsia"/>
          <w:spacing w:val="6"/>
          <w:sz w:val="24"/>
          <w:highlight w:val="none"/>
        </w:rPr>
        <w:t>万元，属于</w:t>
      </w:r>
      <w:r>
        <w:rPr>
          <w:rFonts w:hint="eastAsia" w:ascii="宋体" w:hAnsi="宋体" w:cstheme="minorEastAsia"/>
          <w:spacing w:val="6"/>
          <w:sz w:val="24"/>
          <w:highlight w:val="none"/>
          <w:u w:val="single"/>
        </w:rPr>
        <w:t>（中型企业、小型企业、微型企业）</w:t>
      </w:r>
      <w:r>
        <w:rPr>
          <w:rFonts w:hint="eastAsia" w:ascii="宋体" w:hAnsi="宋体" w:cstheme="minorEastAsia"/>
          <w:spacing w:val="6"/>
          <w:sz w:val="24"/>
          <w:highlight w:val="none"/>
        </w:rPr>
        <w:t>；</w:t>
      </w:r>
    </w:p>
    <w:p w14:paraId="1C63457E">
      <w:pPr>
        <w:spacing w:line="360" w:lineRule="auto"/>
        <w:ind w:firstLine="504"/>
        <w:rPr>
          <w:rFonts w:hint="eastAsia" w:ascii="宋体" w:hAnsi="宋体" w:cstheme="minorEastAsia"/>
          <w:spacing w:val="6"/>
          <w:sz w:val="24"/>
          <w:highlight w:val="none"/>
        </w:rPr>
      </w:pPr>
    </w:p>
    <w:p w14:paraId="2DB100F5">
      <w:pPr>
        <w:spacing w:line="360" w:lineRule="auto"/>
        <w:ind w:firstLine="504"/>
        <w:rPr>
          <w:rFonts w:hint="eastAsia" w:ascii="宋体" w:hAnsi="宋体" w:cstheme="minorEastAsia"/>
          <w:spacing w:val="6"/>
          <w:sz w:val="24"/>
          <w:highlight w:val="none"/>
        </w:rPr>
      </w:pPr>
      <w:r>
        <w:rPr>
          <w:rFonts w:hint="eastAsia" w:ascii="宋体" w:hAnsi="宋体" w:cstheme="minorEastAsia"/>
          <w:spacing w:val="6"/>
          <w:sz w:val="24"/>
          <w:highlight w:val="none"/>
        </w:rPr>
        <w:t>……</w:t>
      </w:r>
    </w:p>
    <w:p w14:paraId="7AF26D19">
      <w:pPr>
        <w:spacing w:line="360" w:lineRule="auto"/>
        <w:ind w:firstLine="504"/>
        <w:rPr>
          <w:rFonts w:hint="eastAsia" w:ascii="宋体" w:hAnsi="宋体" w:cstheme="minorEastAsia"/>
          <w:spacing w:val="6"/>
          <w:sz w:val="24"/>
          <w:highlight w:val="none"/>
        </w:rPr>
      </w:pPr>
      <w:r>
        <w:rPr>
          <w:rFonts w:hint="eastAsia" w:ascii="宋体" w:hAnsi="宋体" w:cstheme="minorEastAsia"/>
          <w:spacing w:val="6"/>
          <w:sz w:val="24"/>
          <w:highlight w:val="none"/>
        </w:rPr>
        <w:t>以上企业，不属于大企业的分支机构，不存在控股股东为大企业的情形，也不存在与大企业的负责人为同一人的情形。</w:t>
      </w:r>
    </w:p>
    <w:p w14:paraId="203D1FC3">
      <w:pPr>
        <w:spacing w:line="360" w:lineRule="auto"/>
        <w:ind w:firstLine="504"/>
        <w:rPr>
          <w:rFonts w:hint="eastAsia" w:ascii="宋体" w:hAnsi="宋体" w:cstheme="minorEastAsia"/>
          <w:spacing w:val="6"/>
          <w:sz w:val="24"/>
          <w:highlight w:val="none"/>
        </w:rPr>
      </w:pPr>
      <w:r>
        <w:rPr>
          <w:rFonts w:hint="eastAsia" w:ascii="宋体" w:hAnsi="宋体" w:cstheme="minorEastAsia"/>
          <w:spacing w:val="6"/>
          <w:sz w:val="24"/>
          <w:highlight w:val="none"/>
        </w:rPr>
        <w:t>本企业对上述声明内容的真实性负责。如有虚假，将依法承担相应责任。</w:t>
      </w:r>
    </w:p>
    <w:p w14:paraId="3907622C">
      <w:pPr>
        <w:spacing w:line="360" w:lineRule="auto"/>
        <w:ind w:right="360" w:firstLine="480"/>
        <w:jc w:val="right"/>
        <w:rPr>
          <w:rFonts w:hint="eastAsia" w:ascii="宋体" w:hAnsi="宋体" w:cstheme="minorEastAsia"/>
          <w:color w:val="000000"/>
          <w:sz w:val="24"/>
          <w:highlight w:val="none"/>
        </w:rPr>
      </w:pPr>
    </w:p>
    <w:p w14:paraId="6C55A1F7">
      <w:pPr>
        <w:spacing w:line="360" w:lineRule="auto"/>
        <w:ind w:right="360" w:firstLine="480"/>
        <w:jc w:val="right"/>
        <w:rPr>
          <w:rFonts w:hint="eastAsia" w:ascii="宋体" w:hAnsi="宋体" w:cstheme="minorEastAsia"/>
          <w:color w:val="000000"/>
          <w:sz w:val="24"/>
          <w:highlight w:val="none"/>
        </w:rPr>
      </w:pPr>
      <w:r>
        <w:rPr>
          <w:rFonts w:hint="eastAsia" w:ascii="宋体" w:hAnsi="宋体" w:cstheme="minorEastAsia"/>
          <w:color w:val="000000"/>
          <w:sz w:val="24"/>
          <w:highlight w:val="none"/>
        </w:rPr>
        <w:t>企业名称（盖章）：</w:t>
      </w:r>
      <w:r>
        <w:rPr>
          <w:rFonts w:hint="eastAsia" w:ascii="宋体" w:hAnsi="宋体" w:cstheme="minorEastAsia"/>
          <w:sz w:val="24"/>
          <w:highlight w:val="none"/>
        </w:rPr>
        <w:t>______</w:t>
      </w:r>
    </w:p>
    <w:p w14:paraId="58607E7C">
      <w:pPr>
        <w:spacing w:line="360" w:lineRule="auto"/>
        <w:ind w:right="360" w:firstLine="480"/>
        <w:jc w:val="right"/>
        <w:rPr>
          <w:rFonts w:hint="eastAsia" w:ascii="宋体" w:hAnsi="宋体" w:cstheme="minorEastAsia"/>
          <w:color w:val="000000"/>
          <w:sz w:val="24"/>
          <w:highlight w:val="none"/>
        </w:rPr>
      </w:pPr>
      <w:r>
        <w:rPr>
          <w:rFonts w:hint="eastAsia" w:ascii="宋体" w:hAnsi="宋体" w:cstheme="minorEastAsia"/>
          <w:color w:val="000000"/>
          <w:sz w:val="24"/>
          <w:highlight w:val="none"/>
        </w:rPr>
        <w:t>日 期：</w:t>
      </w:r>
      <w:r>
        <w:rPr>
          <w:rFonts w:hint="eastAsia" w:ascii="宋体" w:hAnsi="宋体" w:cstheme="minorEastAsia"/>
          <w:sz w:val="24"/>
          <w:highlight w:val="none"/>
        </w:rPr>
        <w:t>______</w:t>
      </w:r>
    </w:p>
    <w:p w14:paraId="519E0DA0">
      <w:pPr>
        <w:adjustRightInd w:val="0"/>
        <w:snapToGrid w:val="0"/>
        <w:jc w:val="left"/>
        <w:rPr>
          <w:rFonts w:hint="eastAsia" w:ascii="宋体" w:hAnsi="宋体" w:cstheme="minorEastAsia"/>
          <w:color w:val="000000"/>
          <w:sz w:val="24"/>
          <w:szCs w:val="21"/>
          <w:highlight w:val="none"/>
        </w:rPr>
      </w:pPr>
    </w:p>
    <w:p w14:paraId="007830A4">
      <w:pPr>
        <w:adjustRightInd w:val="0"/>
        <w:snapToGrid w:val="0"/>
        <w:jc w:val="left"/>
        <w:rPr>
          <w:rFonts w:hint="eastAsia" w:ascii="宋体" w:hAnsi="宋体" w:cstheme="minorEastAsia"/>
          <w:color w:val="000000"/>
          <w:sz w:val="24"/>
          <w:szCs w:val="21"/>
          <w:highlight w:val="none"/>
        </w:rPr>
      </w:pPr>
    </w:p>
    <w:tbl>
      <w:tblPr>
        <w:tblStyle w:val="44"/>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FA004E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687DFBBB">
            <w:pPr>
              <w:adjustRightInd w:val="0"/>
              <w:snapToGrid w:val="0"/>
              <w:jc w:val="left"/>
              <w:rPr>
                <w:rFonts w:hint="eastAsia" w:ascii="宋体" w:hAnsi="宋体" w:cstheme="minorEastAsia"/>
                <w:color w:val="000000"/>
                <w:szCs w:val="21"/>
                <w:highlight w:val="none"/>
              </w:rPr>
            </w:pPr>
            <w:r>
              <w:rPr>
                <w:rFonts w:hint="eastAsia" w:ascii="宋体" w:hAnsi="宋体" w:cstheme="minorEastAsia"/>
                <w:color w:val="000000"/>
                <w:szCs w:val="21"/>
                <w:highlight w:val="none"/>
                <w:vertAlign w:val="superscript"/>
              </w:rPr>
              <w:t>1</w:t>
            </w:r>
            <w:r>
              <w:rPr>
                <w:rFonts w:hint="eastAsia" w:ascii="宋体" w:hAnsi="宋体" w:cstheme="minorEastAsia"/>
                <w:color w:val="000000"/>
                <w:szCs w:val="21"/>
                <w:highlight w:val="none"/>
              </w:rPr>
              <w:t>从业人员、营业收入、资产总额填报上一年度数据，无上一年度数据的新成立企业可不填报。</w:t>
            </w:r>
          </w:p>
        </w:tc>
      </w:tr>
    </w:tbl>
    <w:p w14:paraId="37712546">
      <w:pPr>
        <w:adjustRightInd w:val="0"/>
        <w:snapToGrid w:val="0"/>
        <w:jc w:val="left"/>
        <w:rPr>
          <w:rFonts w:hint="eastAsia" w:ascii="宋体" w:hAnsi="宋体" w:cstheme="minorEastAsia"/>
          <w:color w:val="000000"/>
          <w:szCs w:val="21"/>
          <w:highlight w:val="none"/>
          <w:vertAlign w:val="superscript"/>
        </w:rPr>
      </w:pPr>
    </w:p>
    <w:p w14:paraId="746AC7A0">
      <w:pPr>
        <w:spacing w:line="360" w:lineRule="auto"/>
        <w:ind w:right="360" w:firstLine="480"/>
        <w:jc w:val="right"/>
        <w:rPr>
          <w:rFonts w:hint="eastAsia" w:ascii="宋体" w:hAnsi="宋体" w:cstheme="minorEastAsia"/>
          <w:color w:val="000000"/>
          <w:sz w:val="24"/>
          <w:highlight w:val="none"/>
        </w:rPr>
      </w:pPr>
    </w:p>
    <w:p w14:paraId="30200761">
      <w:pPr>
        <w:spacing w:line="360" w:lineRule="auto"/>
        <w:ind w:right="360" w:firstLine="480"/>
        <w:jc w:val="right"/>
        <w:rPr>
          <w:rFonts w:hint="eastAsia" w:ascii="宋体" w:hAnsi="宋体" w:cstheme="minorEastAsia"/>
          <w:color w:val="000000"/>
          <w:sz w:val="24"/>
          <w:highlight w:val="none"/>
        </w:rPr>
      </w:pPr>
    </w:p>
    <w:p w14:paraId="069409ED">
      <w:pPr>
        <w:spacing w:line="360" w:lineRule="auto"/>
        <w:ind w:right="360" w:firstLine="480"/>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br w:type="page"/>
      </w:r>
    </w:p>
    <w:p w14:paraId="32402925">
      <w:pPr>
        <w:spacing w:before="240" w:beforeLines="100" w:after="240" w:afterLines="100" w:line="360" w:lineRule="auto"/>
        <w:jc w:val="center"/>
        <w:rPr>
          <w:rFonts w:hint="eastAsia" w:ascii="宋体" w:hAnsi="宋体" w:cstheme="minorEastAsia"/>
          <w:b/>
          <w:color w:val="000000"/>
          <w:sz w:val="36"/>
          <w:szCs w:val="36"/>
          <w:highlight w:val="none"/>
        </w:rPr>
      </w:pPr>
      <w:r>
        <w:rPr>
          <w:rFonts w:hint="eastAsia" w:ascii="宋体" w:hAnsi="宋体" w:cstheme="minorEastAsia"/>
          <w:b/>
          <w:bCs/>
          <w:color w:val="000000"/>
          <w:sz w:val="36"/>
          <w:szCs w:val="36"/>
          <w:highlight w:val="none"/>
        </w:rPr>
        <w:t>残疾人福利性单位声明函格式</w:t>
      </w:r>
      <w:r>
        <w:rPr>
          <w:rFonts w:hint="eastAsia" w:ascii="宋体" w:hAnsi="宋体" w:cstheme="minorEastAsia"/>
          <w:b/>
          <w:color w:val="000000"/>
          <w:sz w:val="36"/>
          <w:szCs w:val="36"/>
          <w:highlight w:val="none"/>
        </w:rPr>
        <w:t xml:space="preserve">       </w:t>
      </w:r>
    </w:p>
    <w:p w14:paraId="7BFF83E3">
      <w:pPr>
        <w:spacing w:line="588" w:lineRule="exact"/>
        <w:ind w:firstLine="504"/>
        <w:rPr>
          <w:rFonts w:hint="eastAsia" w:ascii="宋体" w:hAnsi="宋体" w:cstheme="minorEastAsia"/>
          <w:spacing w:val="6"/>
          <w:sz w:val="24"/>
          <w:highlight w:val="none"/>
        </w:rPr>
      </w:pPr>
      <w:r>
        <w:rPr>
          <w:rFonts w:hint="eastAsia" w:ascii="宋体" w:hAnsi="宋体" w:cstheme="minorEastAsia"/>
          <w:spacing w:val="6"/>
          <w:sz w:val="24"/>
          <w:highlight w:val="none"/>
        </w:rPr>
        <w:t>本单位郑重声明，根据《财政部 民政部 中国残疾人联合会关于促进残疾人就业政府采购政策的通知》（财库</w:t>
      </w:r>
      <w:r>
        <w:rPr>
          <w:rFonts w:hint="eastAsia" w:ascii="宋体" w:hAnsi="宋体" w:cstheme="minorEastAsia"/>
          <w:sz w:val="24"/>
          <w:highlight w:val="none"/>
        </w:rPr>
        <w:t>〔2017〕 141</w:t>
      </w:r>
      <w:r>
        <w:rPr>
          <w:rFonts w:hint="eastAsia" w:ascii="宋体" w:hAnsi="宋体" w:cstheme="minorEastAsia"/>
          <w:spacing w:val="6"/>
          <w:sz w:val="24"/>
          <w:highlight w:val="none"/>
        </w:rPr>
        <w:t>号）的规定，本单位</w:t>
      </w:r>
      <w:r>
        <w:rPr>
          <w:rFonts w:hint="eastAsia" w:ascii="宋体" w:hAnsi="宋体" w:cstheme="minorEastAsia"/>
          <w:b/>
          <w:sz w:val="24"/>
          <w:highlight w:val="none"/>
        </w:rPr>
        <w:t>（请进行选择）</w:t>
      </w:r>
      <w:r>
        <w:rPr>
          <w:rFonts w:hint="eastAsia" w:ascii="宋体" w:hAnsi="宋体" w:cstheme="minorEastAsia"/>
          <w:spacing w:val="6"/>
          <w:sz w:val="24"/>
          <w:highlight w:val="none"/>
        </w:rPr>
        <w:t>：</w:t>
      </w:r>
    </w:p>
    <w:p w14:paraId="7DB3B607">
      <w:pPr>
        <w:spacing w:line="588" w:lineRule="exact"/>
        <w:ind w:firstLine="482"/>
        <w:rPr>
          <w:rFonts w:hint="eastAsia" w:ascii="宋体" w:hAnsi="宋体" w:cstheme="minorEastAsia"/>
          <w:b/>
          <w:spacing w:val="6"/>
          <w:sz w:val="24"/>
          <w:highlight w:val="none"/>
        </w:rPr>
      </w:pPr>
      <w:r>
        <w:rPr>
          <w:rFonts w:hint="eastAsia" w:ascii="宋体" w:hAnsi="宋体" w:cstheme="minorEastAsia"/>
          <w:b/>
          <w:sz w:val="24"/>
          <w:highlight w:val="none"/>
        </w:rPr>
        <w:t>□</w:t>
      </w:r>
      <w:r>
        <w:rPr>
          <w:rFonts w:hint="eastAsia" w:ascii="宋体" w:hAnsi="宋体" w:cstheme="minorEastAsia"/>
          <w:b/>
          <w:spacing w:val="6"/>
          <w:sz w:val="24"/>
          <w:highlight w:val="none"/>
        </w:rPr>
        <w:t>不属于符合条件的残疾人福利性单位。</w:t>
      </w:r>
    </w:p>
    <w:p w14:paraId="432AB1BD">
      <w:pPr>
        <w:spacing w:line="588" w:lineRule="exact"/>
        <w:ind w:firstLine="482"/>
        <w:rPr>
          <w:rFonts w:hint="eastAsia" w:ascii="宋体" w:hAnsi="宋体" w:cstheme="minorEastAsia"/>
          <w:spacing w:val="6"/>
          <w:sz w:val="24"/>
          <w:highlight w:val="none"/>
        </w:rPr>
      </w:pPr>
      <w:r>
        <w:rPr>
          <w:rFonts w:hint="eastAsia" w:ascii="宋体" w:hAnsi="宋体" w:cstheme="minorEastAsia"/>
          <w:b/>
          <w:sz w:val="24"/>
          <w:highlight w:val="none"/>
        </w:rPr>
        <w:t>□</w:t>
      </w:r>
      <w:r>
        <w:rPr>
          <w:rFonts w:hint="eastAsia" w:ascii="宋体" w:hAnsi="宋体" w:cstheme="minorEastAsia"/>
          <w:b/>
          <w:spacing w:val="6"/>
          <w:sz w:val="24"/>
          <w:highlight w:val="none"/>
        </w:rPr>
        <w:t>属于符合条件的残疾人福利性单位，</w:t>
      </w:r>
      <w:r>
        <w:rPr>
          <w:rFonts w:hint="eastAsia" w:ascii="宋体" w:hAnsi="宋体" w:cstheme="minorEastAsia"/>
          <w:spacing w:val="6"/>
          <w:sz w:val="24"/>
          <w:highlight w:val="none"/>
        </w:rPr>
        <w:t>且本单位参加</w:t>
      </w:r>
      <w:r>
        <w:rPr>
          <w:rFonts w:hint="eastAsia" w:ascii="宋体" w:hAnsi="宋体" w:cstheme="minorEastAsia"/>
          <w:sz w:val="24"/>
          <w:highlight w:val="none"/>
        </w:rPr>
        <w:t>______</w:t>
      </w:r>
      <w:r>
        <w:rPr>
          <w:rFonts w:hint="eastAsia" w:ascii="宋体" w:hAnsi="宋体" w:cstheme="minorEastAsia"/>
          <w:spacing w:val="6"/>
          <w:sz w:val="24"/>
          <w:highlight w:val="none"/>
        </w:rPr>
        <w:t>单位的</w:t>
      </w:r>
      <w:r>
        <w:rPr>
          <w:rFonts w:hint="eastAsia" w:ascii="宋体" w:hAnsi="宋体" w:cstheme="minorEastAsia"/>
          <w:sz w:val="24"/>
          <w:highlight w:val="none"/>
        </w:rPr>
        <w:t>______</w:t>
      </w:r>
      <w:r>
        <w:rPr>
          <w:rFonts w:hint="eastAsia" w:ascii="宋体" w:hAnsi="宋体" w:cstheme="minorEastAsia"/>
          <w:spacing w:val="6"/>
          <w:sz w:val="24"/>
          <w:highlight w:val="none"/>
        </w:rPr>
        <w:t>项目采购活动提供本单位制造的货物（由本单位承担工程/提供服务），或者提供其他残疾人福利性单位制造的货物（不包括使用非残疾人福利性单位注册商标的货物）。</w:t>
      </w:r>
    </w:p>
    <w:p w14:paraId="006817C9">
      <w:pPr>
        <w:spacing w:line="588" w:lineRule="exact"/>
        <w:ind w:firstLine="506" w:firstLineChars="200"/>
        <w:rPr>
          <w:rFonts w:hint="eastAsia" w:ascii="宋体" w:hAnsi="宋体" w:cstheme="minorEastAsia"/>
          <w:spacing w:val="6"/>
          <w:sz w:val="24"/>
          <w:highlight w:val="none"/>
        </w:rPr>
      </w:pPr>
      <w:r>
        <w:rPr>
          <w:rFonts w:hint="eastAsia" w:ascii="宋体" w:hAnsi="宋体" w:cstheme="minorEastAsia"/>
          <w:b/>
          <w:spacing w:val="6"/>
          <w:sz w:val="24"/>
          <w:highlight w:val="none"/>
        </w:rPr>
        <w:t>本单位对上述声明的真实性负责。如有虚假，将依法承担相应责任。</w:t>
      </w:r>
    </w:p>
    <w:p w14:paraId="6BB6B41E">
      <w:pPr>
        <w:spacing w:line="588" w:lineRule="exact"/>
        <w:ind w:firstLine="504" w:firstLineChars="200"/>
        <w:rPr>
          <w:rFonts w:hint="eastAsia" w:ascii="宋体" w:hAnsi="宋体" w:cstheme="minorEastAsia"/>
          <w:spacing w:val="6"/>
          <w:sz w:val="24"/>
          <w:highlight w:val="none"/>
        </w:rPr>
      </w:pPr>
    </w:p>
    <w:p w14:paraId="14587DB9">
      <w:pPr>
        <w:spacing w:line="588" w:lineRule="exact"/>
        <w:ind w:firstLine="504" w:firstLineChars="200"/>
        <w:rPr>
          <w:rFonts w:hint="eastAsia" w:ascii="宋体" w:hAnsi="宋体" w:cstheme="minorEastAsia"/>
          <w:spacing w:val="6"/>
          <w:sz w:val="24"/>
          <w:highlight w:val="none"/>
        </w:rPr>
      </w:pPr>
    </w:p>
    <w:p w14:paraId="69EC70C4">
      <w:pPr>
        <w:tabs>
          <w:tab w:val="left" w:pos="4860"/>
        </w:tabs>
        <w:spacing w:line="588" w:lineRule="exact"/>
        <w:ind w:right="1560" w:firstLine="504" w:firstLineChars="200"/>
        <w:jc w:val="right"/>
        <w:rPr>
          <w:rFonts w:hint="eastAsia" w:ascii="宋体" w:hAnsi="宋体" w:cstheme="minorEastAsia"/>
          <w:spacing w:val="6"/>
          <w:sz w:val="24"/>
          <w:highlight w:val="none"/>
        </w:rPr>
      </w:pPr>
      <w:r>
        <w:rPr>
          <w:rFonts w:hint="eastAsia" w:ascii="宋体" w:hAnsi="宋体" w:cstheme="minorEastAsia"/>
          <w:spacing w:val="6"/>
          <w:sz w:val="24"/>
          <w:highlight w:val="none"/>
        </w:rPr>
        <w:t xml:space="preserve">          单位名称（盖章）：</w:t>
      </w:r>
      <w:r>
        <w:rPr>
          <w:rFonts w:hint="eastAsia" w:ascii="宋体" w:hAnsi="宋体" w:cstheme="minorEastAsia"/>
          <w:sz w:val="24"/>
          <w:highlight w:val="none"/>
        </w:rPr>
        <w:t>______</w:t>
      </w:r>
    </w:p>
    <w:p w14:paraId="78BC8F6B">
      <w:pPr>
        <w:tabs>
          <w:tab w:val="left" w:pos="4860"/>
        </w:tabs>
        <w:spacing w:line="588" w:lineRule="exact"/>
        <w:ind w:right="1560" w:firstLine="504" w:firstLineChars="200"/>
        <w:jc w:val="right"/>
        <w:rPr>
          <w:rFonts w:hint="eastAsia" w:ascii="宋体" w:hAnsi="宋体" w:cstheme="minorEastAsia"/>
          <w:spacing w:val="6"/>
          <w:sz w:val="24"/>
          <w:highlight w:val="none"/>
        </w:rPr>
      </w:pPr>
      <w:r>
        <w:rPr>
          <w:rFonts w:hint="eastAsia" w:ascii="宋体" w:hAnsi="宋体" w:cstheme="minorEastAsia"/>
          <w:spacing w:val="6"/>
          <w:sz w:val="24"/>
          <w:highlight w:val="none"/>
        </w:rPr>
        <w:t xml:space="preserve">       日  期：</w:t>
      </w:r>
      <w:r>
        <w:rPr>
          <w:rFonts w:hint="eastAsia" w:ascii="宋体" w:hAnsi="宋体" w:cstheme="minorEastAsia"/>
          <w:sz w:val="24"/>
          <w:highlight w:val="none"/>
        </w:rPr>
        <w:t>______</w:t>
      </w:r>
    </w:p>
    <w:p w14:paraId="005211C8">
      <w:pPr>
        <w:widowControl/>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br w:type="page"/>
      </w:r>
    </w:p>
    <w:p w14:paraId="04C8EFBA">
      <w:pPr>
        <w:pStyle w:val="6"/>
        <w:rPr>
          <w:rFonts w:hint="eastAsia" w:ascii="宋体" w:hAnsi="宋体" w:eastAsia="宋体" w:cstheme="minorEastAsia"/>
          <w:b w:val="0"/>
          <w:color w:val="000000"/>
          <w:sz w:val="24"/>
          <w:highlight w:val="none"/>
        </w:rPr>
      </w:pPr>
      <w:r>
        <w:rPr>
          <w:rFonts w:hint="eastAsia" w:ascii="宋体" w:hAnsi="宋体" w:eastAsia="宋体" w:cstheme="minorEastAsia"/>
          <w:b w:val="0"/>
          <w:color w:val="000000"/>
          <w:sz w:val="24"/>
          <w:highlight w:val="none"/>
        </w:rPr>
        <w:t>2-1-2 拟分包情况说明及分包意向协议</w:t>
      </w:r>
    </w:p>
    <w:p w14:paraId="5C511393">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说明：</w:t>
      </w:r>
    </w:p>
    <w:p w14:paraId="61B3D255">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如本项目（包）允许分包，且供应商拟进行分包时：</w:t>
      </w:r>
    </w:p>
    <w:p w14:paraId="21D1002C">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（1）响应文件中须提供《拟分包情况说明》，否则</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30F870FF">
      <w:pPr>
        <w:tabs>
          <w:tab w:val="left" w:pos="5580"/>
        </w:tabs>
        <w:spacing w:line="360" w:lineRule="auto"/>
        <w:rPr>
          <w:rFonts w:hint="eastAsia" w:ascii="宋体" w:hAnsi="宋体" w:cstheme="minorEastAsia"/>
          <w:sz w:val="24"/>
          <w:highlight w:val="none"/>
        </w:rPr>
      </w:pPr>
      <w:r>
        <w:rPr>
          <w:rFonts w:hint="eastAsia" w:ascii="宋体" w:hAnsi="宋体" w:cstheme="minorEastAsia"/>
          <w:sz w:val="24"/>
          <w:highlight w:val="none"/>
        </w:rPr>
        <w:t>（2）当同时符合下列情形时，响应文件还须提供《分包意向协议》，否则</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0B1C3A14">
      <w:pPr>
        <w:tabs>
          <w:tab w:val="left" w:pos="5580"/>
        </w:tabs>
        <w:spacing w:line="360" w:lineRule="auto"/>
        <w:ind w:left="567" w:leftChars="270"/>
        <w:rPr>
          <w:rFonts w:hint="eastAsia" w:ascii="宋体" w:hAnsi="宋体" w:cstheme="minorEastAsia"/>
          <w:sz w:val="24"/>
          <w:highlight w:val="none"/>
        </w:rPr>
      </w:pPr>
      <w:r>
        <w:rPr>
          <w:rFonts w:hint="eastAsia" w:ascii="宋体" w:hAnsi="宋体" w:cstheme="minorEastAsia"/>
          <w:sz w:val="24"/>
          <w:highlight w:val="none"/>
        </w:rPr>
        <w:t>A. 本项目（包）预留部分采购项目预算专门面向中小企业采购，且要求获得采购合同的供应商将采购项目中的一定比例分包给一家或者多家中小企业的；</w:t>
      </w:r>
    </w:p>
    <w:p w14:paraId="7991074D">
      <w:pPr>
        <w:tabs>
          <w:tab w:val="left" w:pos="5580"/>
        </w:tabs>
        <w:spacing w:line="360" w:lineRule="auto"/>
        <w:ind w:left="567" w:leftChars="270"/>
        <w:rPr>
          <w:rFonts w:hint="eastAsia" w:ascii="宋体" w:hAnsi="宋体" w:cstheme="minorEastAsia"/>
          <w:sz w:val="24"/>
          <w:highlight w:val="none"/>
        </w:rPr>
      </w:pPr>
      <w:r>
        <w:rPr>
          <w:rFonts w:hint="eastAsia" w:ascii="宋体" w:hAnsi="宋体" w:cstheme="minorEastAsia"/>
          <w:sz w:val="24"/>
          <w:highlight w:val="none"/>
        </w:rPr>
        <w:t>B. 供应商通过分包方式满足中小企业政策要求的。</w:t>
      </w:r>
    </w:p>
    <w:p w14:paraId="6B4DBDAD">
      <w:pPr>
        <w:autoSpaceDE w:val="0"/>
        <w:autoSpaceDN w:val="0"/>
        <w:adjustRightInd w:val="0"/>
        <w:rPr>
          <w:rFonts w:hint="eastAsia" w:ascii="宋体" w:hAnsi="宋体" w:cstheme="minorEastAsia"/>
          <w:color w:val="000000"/>
          <w:sz w:val="30"/>
          <w:szCs w:val="30"/>
          <w:highlight w:val="none"/>
        </w:rPr>
      </w:pPr>
    </w:p>
    <w:p w14:paraId="12D79937">
      <w:pPr>
        <w:widowControl/>
        <w:jc w:val="left"/>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br w:type="page"/>
      </w:r>
    </w:p>
    <w:p w14:paraId="110ACB80">
      <w:pPr>
        <w:autoSpaceDE w:val="0"/>
        <w:autoSpaceDN w:val="0"/>
        <w:adjustRightInd w:val="0"/>
        <w:spacing w:line="360" w:lineRule="auto"/>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拟分包情况说明</w:t>
      </w:r>
    </w:p>
    <w:p w14:paraId="3D2003F4">
      <w:pPr>
        <w:tabs>
          <w:tab w:val="left" w:pos="5580"/>
        </w:tabs>
        <w:spacing w:line="360" w:lineRule="auto"/>
        <w:rPr>
          <w:rFonts w:hint="eastAsia" w:ascii="宋体" w:hAnsi="宋体" w:cstheme="minorEastAsia"/>
          <w:color w:val="000000"/>
          <w:sz w:val="24"/>
          <w:highlight w:val="none"/>
        </w:rPr>
      </w:pPr>
      <w:r>
        <w:rPr>
          <w:rFonts w:hint="eastAsia" w:ascii="宋体" w:hAnsi="宋体" w:cstheme="minorEastAsia"/>
          <w:color w:val="000000"/>
          <w:sz w:val="24"/>
          <w:highlight w:val="none"/>
        </w:rPr>
        <w:t>致：</w:t>
      </w:r>
      <w:r>
        <w:rPr>
          <w:rFonts w:hint="eastAsia" w:ascii="宋体" w:hAnsi="宋体" w:cstheme="minorEastAsia"/>
          <w:color w:val="000000"/>
          <w:sz w:val="24"/>
          <w:highlight w:val="none"/>
          <w:u w:val="single"/>
        </w:rPr>
        <w:t>（采购人或采购代理机构）</w:t>
      </w:r>
    </w:p>
    <w:p w14:paraId="029FC317">
      <w:pPr>
        <w:adjustRightInd w:val="0"/>
        <w:snapToGrid w:val="0"/>
        <w:spacing w:line="360" w:lineRule="auto"/>
        <w:ind w:firstLine="480" w:firstLineChars="200"/>
        <w:jc w:val="left"/>
        <w:rPr>
          <w:rFonts w:hint="eastAsia" w:ascii="宋体" w:hAnsi="宋体" w:cstheme="minorEastAsia"/>
          <w:sz w:val="24"/>
          <w:highlight w:val="none"/>
        </w:rPr>
      </w:pPr>
      <w:r>
        <w:rPr>
          <w:rFonts w:hint="eastAsia" w:ascii="宋体" w:hAnsi="宋体" w:cstheme="minorEastAsia"/>
          <w:sz w:val="24"/>
          <w:highlight w:val="none"/>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50"/>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6AE4B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13AB613B">
            <w:pPr>
              <w:pStyle w:val="249"/>
              <w:jc w:val="center"/>
              <w:rPr>
                <w:rFonts w:hint="eastAsia" w:eastAsiaTheme="minorEastAsia" w:cstheme="minorEastAsia"/>
                <w:sz w:val="24"/>
                <w:highlight w:val="none"/>
              </w:rPr>
            </w:pPr>
            <w:r>
              <w:rPr>
                <w:rFonts w:hint="eastAsia" w:eastAsiaTheme="minorEastAsia" w:cstheme="minorEastAsia"/>
                <w:sz w:val="24"/>
                <w:highlight w:val="none"/>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18A1F245">
            <w:pPr>
              <w:pStyle w:val="249"/>
              <w:jc w:val="center"/>
              <w:rPr>
                <w:rFonts w:hint="eastAsia" w:eastAsiaTheme="minorEastAsia" w:cstheme="minorEastAsia"/>
                <w:sz w:val="24"/>
                <w:highlight w:val="none"/>
              </w:rPr>
            </w:pPr>
            <w:r>
              <w:rPr>
                <w:rFonts w:hint="eastAsia" w:eastAsiaTheme="minorEastAsia" w:cstheme="minorEastAsia"/>
                <w:sz w:val="24"/>
                <w:highlight w:val="none"/>
              </w:rPr>
              <w:t>分包承担</w:t>
            </w:r>
          </w:p>
          <w:p w14:paraId="0B518FB8">
            <w:pPr>
              <w:pStyle w:val="249"/>
              <w:jc w:val="center"/>
              <w:rPr>
                <w:rFonts w:hint="eastAsia" w:eastAsiaTheme="minorEastAsia" w:cstheme="minorEastAsia"/>
                <w:sz w:val="24"/>
                <w:highlight w:val="none"/>
              </w:rPr>
            </w:pPr>
            <w:r>
              <w:rPr>
                <w:rFonts w:hint="eastAsia" w:eastAsiaTheme="minorEastAsia" w:cstheme="minorEastAsia"/>
                <w:sz w:val="24"/>
                <w:highlight w:val="none"/>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66D0B7EE">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分包承担</w:t>
            </w:r>
          </w:p>
          <w:p w14:paraId="528D4E36">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主体类型</w:t>
            </w:r>
          </w:p>
          <w:p w14:paraId="20AB1436">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52997071">
            <w:pPr>
              <w:pStyle w:val="249"/>
              <w:jc w:val="center"/>
              <w:rPr>
                <w:rFonts w:hint="eastAsia" w:eastAsiaTheme="minorEastAsia" w:cstheme="minorEastAsia"/>
                <w:sz w:val="24"/>
                <w:highlight w:val="none"/>
              </w:rPr>
            </w:pPr>
            <w:r>
              <w:rPr>
                <w:rFonts w:hint="eastAsia" w:eastAsiaTheme="minorEastAsia" w:cstheme="minorEastAsia"/>
                <w:sz w:val="24"/>
                <w:highlight w:val="none"/>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19762F1D">
            <w:pPr>
              <w:pStyle w:val="249"/>
              <w:jc w:val="center"/>
              <w:rPr>
                <w:rFonts w:hint="eastAsia" w:eastAsiaTheme="minorEastAsia" w:cstheme="minorEastAsia"/>
                <w:sz w:val="24"/>
                <w:highlight w:val="none"/>
              </w:rPr>
            </w:pPr>
            <w:r>
              <w:rPr>
                <w:rFonts w:hint="eastAsia" w:eastAsiaTheme="minorEastAsia" w:cstheme="minorEastAsia"/>
                <w:sz w:val="24"/>
                <w:highlight w:val="none"/>
              </w:rPr>
              <w:t>拟分包</w:t>
            </w:r>
          </w:p>
          <w:p w14:paraId="74B0DBD1">
            <w:pPr>
              <w:pStyle w:val="249"/>
              <w:jc w:val="center"/>
              <w:rPr>
                <w:rFonts w:hint="eastAsia" w:eastAsiaTheme="minorEastAsia" w:cstheme="minorEastAsia"/>
                <w:sz w:val="24"/>
                <w:highlight w:val="none"/>
              </w:rPr>
            </w:pPr>
            <w:r>
              <w:rPr>
                <w:rFonts w:hint="eastAsia" w:eastAsiaTheme="minorEastAsia" w:cstheme="minorEastAsia"/>
                <w:sz w:val="24"/>
                <w:highlight w:val="none"/>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61DE4E96">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拟分包</w:t>
            </w:r>
          </w:p>
          <w:p w14:paraId="0462BE85">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合同金额</w:t>
            </w:r>
          </w:p>
          <w:p w14:paraId="71E38F5A">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1B1CCAE7">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占该采购包</w:t>
            </w:r>
          </w:p>
          <w:p w14:paraId="275C4897">
            <w:pPr>
              <w:pStyle w:val="249"/>
              <w:jc w:val="center"/>
              <w:rPr>
                <w:rFonts w:hint="eastAsia" w:eastAsiaTheme="minorEastAsia" w:cstheme="minorEastAsia"/>
                <w:b/>
                <w:sz w:val="24"/>
                <w:highlight w:val="none"/>
                <w:lang w:eastAsia="zh-CN"/>
              </w:rPr>
            </w:pPr>
            <w:r>
              <w:rPr>
                <w:rFonts w:hint="eastAsia" w:eastAsiaTheme="minorEastAsia" w:cstheme="minorEastAsia"/>
                <w:b/>
                <w:sz w:val="24"/>
                <w:highlight w:val="none"/>
                <w:lang w:eastAsia="zh-CN"/>
              </w:rPr>
              <w:t>合同金额的</w:t>
            </w:r>
          </w:p>
          <w:p w14:paraId="305740FE">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比例（%）</w:t>
            </w:r>
          </w:p>
        </w:tc>
      </w:tr>
      <w:tr w14:paraId="252D2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326C28BF">
            <w:pPr>
              <w:pStyle w:val="249"/>
              <w:jc w:val="center"/>
              <w:rPr>
                <w:rFonts w:hint="eastAsia" w:eastAsiaTheme="minorEastAsia" w:cstheme="minorEastAsia"/>
                <w:sz w:val="24"/>
                <w:highlight w:val="none"/>
              </w:rPr>
            </w:pPr>
            <w:r>
              <w:rPr>
                <w:rFonts w:hint="eastAsia" w:eastAsiaTheme="minorEastAsia" w:cstheme="minorEastAsia"/>
                <w:sz w:val="24"/>
                <w:highlight w:val="none"/>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78691233">
            <w:pPr>
              <w:pStyle w:val="249"/>
              <w:tabs>
                <w:tab w:val="left" w:pos="235"/>
              </w:tabs>
              <w:ind w:left="1" w:leftChars="-43" w:hanging="91" w:hangingChars="38"/>
              <w:jc w:val="center"/>
              <w:rPr>
                <w:rFonts w:hint="eastAsia" w:eastAsiaTheme="minorEastAsia" w:cstheme="minorEastAsia"/>
                <w:sz w:val="24"/>
                <w:highlight w:val="none"/>
                <w:lang w:eastAsia="zh-CN"/>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F6DBA62">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□中型企业</w:t>
            </w:r>
          </w:p>
          <w:p w14:paraId="6F20BF15">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□小微企业</w:t>
            </w:r>
          </w:p>
          <w:p w14:paraId="1A7791AB">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5CAFDBE0">
            <w:pPr>
              <w:pStyle w:val="249"/>
              <w:jc w:val="center"/>
              <w:rPr>
                <w:rFonts w:hint="eastAsia" w:eastAsiaTheme="minorEastAsia" w:cstheme="minorEastAsia"/>
                <w:sz w:val="30"/>
                <w:highlight w:val="none"/>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525B51C8">
            <w:pPr>
              <w:pStyle w:val="249"/>
              <w:jc w:val="center"/>
              <w:rPr>
                <w:rFonts w:hint="eastAsia" w:eastAsiaTheme="minorEastAsia" w:cstheme="minorEastAsia"/>
                <w:sz w:val="30"/>
                <w:highlight w:val="none"/>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7A943979">
            <w:pPr>
              <w:pStyle w:val="249"/>
              <w:jc w:val="center"/>
              <w:rPr>
                <w:rFonts w:hint="eastAsia" w:eastAsiaTheme="minorEastAsia" w:cstheme="minorEastAsia"/>
                <w:sz w:val="30"/>
                <w:highlight w:val="none"/>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543B5EE">
            <w:pPr>
              <w:pStyle w:val="249"/>
              <w:jc w:val="center"/>
              <w:rPr>
                <w:rFonts w:hint="eastAsia" w:eastAsiaTheme="minorEastAsia" w:cstheme="minorEastAsia"/>
                <w:sz w:val="30"/>
                <w:highlight w:val="none"/>
                <w:lang w:eastAsia="zh-CN"/>
              </w:rPr>
            </w:pPr>
          </w:p>
        </w:tc>
      </w:tr>
      <w:tr w14:paraId="30F24F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2D389B3C">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27D4621F">
            <w:pPr>
              <w:pStyle w:val="249"/>
              <w:tabs>
                <w:tab w:val="left" w:pos="235"/>
              </w:tabs>
              <w:ind w:left="1" w:leftChars="-43" w:hanging="91" w:hangingChars="38"/>
              <w:jc w:val="center"/>
              <w:rPr>
                <w:rFonts w:hint="eastAsia" w:eastAsiaTheme="minorEastAsia" w:cstheme="minorEastAsia"/>
                <w:sz w:val="24"/>
                <w:highlight w:val="none"/>
                <w:lang w:eastAsia="zh-CN"/>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629EF8B">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□中型企业</w:t>
            </w:r>
          </w:p>
          <w:p w14:paraId="0B8D2A03">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□小微企业</w:t>
            </w:r>
          </w:p>
          <w:p w14:paraId="42E264EE">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17FF1CA3">
            <w:pPr>
              <w:pStyle w:val="249"/>
              <w:jc w:val="center"/>
              <w:rPr>
                <w:rFonts w:hint="eastAsia" w:eastAsiaTheme="minorEastAsia" w:cstheme="minorEastAsia"/>
                <w:sz w:val="30"/>
                <w:highlight w:val="none"/>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2E4FBE40">
            <w:pPr>
              <w:pStyle w:val="249"/>
              <w:jc w:val="center"/>
              <w:rPr>
                <w:rFonts w:hint="eastAsia" w:eastAsiaTheme="minorEastAsia" w:cstheme="minorEastAsia"/>
                <w:sz w:val="30"/>
                <w:highlight w:val="none"/>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53707CEA">
            <w:pPr>
              <w:pStyle w:val="249"/>
              <w:jc w:val="center"/>
              <w:rPr>
                <w:rFonts w:hint="eastAsia" w:eastAsiaTheme="minorEastAsia" w:cstheme="minorEastAsia"/>
                <w:sz w:val="30"/>
                <w:highlight w:val="none"/>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0B3D7C71">
            <w:pPr>
              <w:pStyle w:val="249"/>
              <w:jc w:val="center"/>
              <w:rPr>
                <w:rFonts w:hint="eastAsia" w:eastAsiaTheme="minorEastAsia" w:cstheme="minorEastAsia"/>
                <w:sz w:val="30"/>
                <w:highlight w:val="none"/>
                <w:lang w:eastAsia="zh-CN"/>
              </w:rPr>
            </w:pPr>
          </w:p>
        </w:tc>
      </w:tr>
      <w:tr w14:paraId="0E446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3626434A">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42EB1E27">
            <w:pPr>
              <w:pStyle w:val="249"/>
              <w:jc w:val="center"/>
              <w:rPr>
                <w:rFonts w:hint="eastAsia" w:eastAsiaTheme="minorEastAsia" w:cstheme="minorEastAsia"/>
                <w:sz w:val="30"/>
                <w:highlight w:val="none"/>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3EF07727">
            <w:pPr>
              <w:pStyle w:val="249"/>
              <w:tabs>
                <w:tab w:val="left" w:pos="235"/>
              </w:tabs>
              <w:jc w:val="center"/>
              <w:rPr>
                <w:rFonts w:hint="eastAsia" w:eastAsiaTheme="minorEastAsia" w:cstheme="minorEastAsia"/>
                <w:sz w:val="24"/>
                <w:highlight w:val="none"/>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011FF1B1">
            <w:pPr>
              <w:pStyle w:val="249"/>
              <w:jc w:val="center"/>
              <w:rPr>
                <w:rFonts w:hint="eastAsia" w:eastAsiaTheme="minorEastAsia" w:cstheme="minorEastAsia"/>
                <w:sz w:val="30"/>
                <w:highlight w:val="none"/>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3F126EE5">
            <w:pPr>
              <w:pStyle w:val="249"/>
              <w:jc w:val="center"/>
              <w:rPr>
                <w:rFonts w:hint="eastAsia" w:eastAsiaTheme="minorEastAsia" w:cstheme="minorEastAsia"/>
                <w:sz w:val="30"/>
                <w:highlight w:val="none"/>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7251DD5C">
            <w:pPr>
              <w:pStyle w:val="249"/>
              <w:jc w:val="center"/>
              <w:rPr>
                <w:rFonts w:hint="eastAsia" w:eastAsiaTheme="minorEastAsia" w:cstheme="minorEastAsia"/>
                <w:sz w:val="30"/>
                <w:highlight w:val="none"/>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599D9DB5">
            <w:pPr>
              <w:pStyle w:val="249"/>
              <w:jc w:val="center"/>
              <w:rPr>
                <w:rFonts w:hint="eastAsia" w:eastAsiaTheme="minorEastAsia" w:cstheme="minorEastAsia"/>
                <w:sz w:val="30"/>
                <w:highlight w:val="none"/>
              </w:rPr>
            </w:pPr>
          </w:p>
        </w:tc>
      </w:tr>
      <w:tr w14:paraId="27C5A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1022E4BF">
            <w:pPr>
              <w:pStyle w:val="249"/>
              <w:ind w:right="57" w:rightChars="27"/>
              <w:jc w:val="right"/>
              <w:rPr>
                <w:rFonts w:hint="eastAsia" w:eastAsiaTheme="minorEastAsia" w:cstheme="minorEastAsia"/>
                <w:sz w:val="24"/>
                <w:highlight w:val="none"/>
                <w:lang w:eastAsia="zh-CN"/>
              </w:rPr>
            </w:pPr>
            <w:r>
              <w:rPr>
                <w:rFonts w:hint="eastAsia" w:eastAsiaTheme="minorEastAsia" w:cstheme="minorEastAsia"/>
                <w:sz w:val="24"/>
                <w:highlight w:val="none"/>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7F52764B">
            <w:pPr>
              <w:pStyle w:val="249"/>
              <w:jc w:val="center"/>
              <w:rPr>
                <w:rFonts w:hint="eastAsia" w:eastAsiaTheme="minorEastAsia" w:cstheme="minorEastAsia"/>
                <w:sz w:val="30"/>
                <w:highlight w:val="none"/>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3B185799">
            <w:pPr>
              <w:pStyle w:val="249"/>
              <w:jc w:val="center"/>
              <w:rPr>
                <w:rFonts w:hint="eastAsia" w:eastAsiaTheme="minorEastAsia" w:cstheme="minorEastAsia"/>
                <w:sz w:val="30"/>
                <w:highlight w:val="none"/>
              </w:rPr>
            </w:pPr>
          </w:p>
        </w:tc>
      </w:tr>
    </w:tbl>
    <w:p w14:paraId="0D90EF4E">
      <w:pPr>
        <w:adjustRightInd w:val="0"/>
        <w:snapToGrid w:val="0"/>
        <w:spacing w:line="360" w:lineRule="auto"/>
        <w:jc w:val="left"/>
        <w:rPr>
          <w:rFonts w:hint="eastAsia" w:ascii="宋体" w:hAnsi="宋体" w:cstheme="minorEastAsia"/>
          <w:sz w:val="24"/>
          <w:highlight w:val="none"/>
        </w:rPr>
      </w:pPr>
    </w:p>
    <w:p w14:paraId="6D550917">
      <w:pPr>
        <w:autoSpaceDE w:val="0"/>
        <w:autoSpaceDN w:val="0"/>
        <w:adjustRightInd w:val="0"/>
        <w:snapToGrid w:val="0"/>
        <w:spacing w:before="25" w:after="25" w:line="360" w:lineRule="auto"/>
        <w:jc w:val="right"/>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sz w:val="24"/>
          <w:highlight w:val="none"/>
        </w:rPr>
        <w:t>______</w:t>
      </w:r>
    </w:p>
    <w:p w14:paraId="45591AF2">
      <w:pPr>
        <w:spacing w:line="360" w:lineRule="auto"/>
        <w:ind w:right="-57" w:firstLine="480"/>
        <w:jc w:val="right"/>
        <w:rPr>
          <w:rFonts w:hint="eastAsia" w:ascii="宋体" w:hAnsi="宋体" w:cstheme="minorEastAsia"/>
          <w:color w:val="000000"/>
          <w:sz w:val="24"/>
          <w:highlight w:val="none"/>
        </w:rPr>
      </w:pPr>
      <w:r>
        <w:rPr>
          <w:rFonts w:hint="eastAsia" w:ascii="宋体" w:hAnsi="宋体" w:cstheme="minorEastAsia"/>
          <w:color w:val="000000"/>
          <w:sz w:val="24"/>
          <w:szCs w:val="20"/>
          <w:highlight w:val="none"/>
        </w:rPr>
        <w:t>日期：</w:t>
      </w:r>
      <w:r>
        <w:rPr>
          <w:rFonts w:hint="eastAsia" w:ascii="宋体" w:hAnsi="宋体" w:cstheme="minorEastAsia"/>
          <w:sz w:val="24"/>
          <w:highlight w:val="none"/>
        </w:rPr>
        <w:t>___</w:t>
      </w:r>
      <w:r>
        <w:rPr>
          <w:rFonts w:hint="eastAsia" w:ascii="宋体" w:hAnsi="宋体" w:cstheme="minorEastAsia"/>
          <w:color w:val="000000"/>
          <w:sz w:val="24"/>
          <w:szCs w:val="20"/>
          <w:highlight w:val="none"/>
        </w:rPr>
        <w:t>年</w:t>
      </w:r>
      <w:r>
        <w:rPr>
          <w:rFonts w:hint="eastAsia" w:ascii="宋体" w:hAnsi="宋体" w:cstheme="minorEastAsia"/>
          <w:sz w:val="24"/>
          <w:highlight w:val="none"/>
        </w:rPr>
        <w:t>___</w:t>
      </w:r>
      <w:r>
        <w:rPr>
          <w:rFonts w:hint="eastAsia" w:ascii="宋体" w:hAnsi="宋体" w:cstheme="minorEastAsia"/>
          <w:color w:val="000000"/>
          <w:sz w:val="24"/>
          <w:szCs w:val="20"/>
          <w:highlight w:val="none"/>
        </w:rPr>
        <w:t>月</w:t>
      </w:r>
      <w:r>
        <w:rPr>
          <w:rFonts w:hint="eastAsia" w:ascii="宋体" w:hAnsi="宋体" w:cstheme="minorEastAsia"/>
          <w:sz w:val="24"/>
          <w:highlight w:val="none"/>
        </w:rPr>
        <w:t>___</w:t>
      </w:r>
      <w:r>
        <w:rPr>
          <w:rFonts w:hint="eastAsia" w:ascii="宋体" w:hAnsi="宋体" w:cstheme="minorEastAsia"/>
          <w:color w:val="000000"/>
          <w:sz w:val="24"/>
          <w:szCs w:val="20"/>
          <w:highlight w:val="none"/>
        </w:rPr>
        <w:t>日</w:t>
      </w:r>
    </w:p>
    <w:p w14:paraId="45D119F0">
      <w:pPr>
        <w:adjustRightInd w:val="0"/>
        <w:snapToGrid w:val="0"/>
        <w:spacing w:line="360" w:lineRule="auto"/>
        <w:jc w:val="left"/>
        <w:rPr>
          <w:rFonts w:hint="eastAsia" w:ascii="宋体" w:hAnsi="宋体" w:cstheme="minorEastAsia"/>
          <w:sz w:val="24"/>
          <w:highlight w:val="none"/>
        </w:rPr>
      </w:pPr>
    </w:p>
    <w:p w14:paraId="70EFC042">
      <w:pPr>
        <w:adjustRightInd w:val="0"/>
        <w:snapToGrid w:val="0"/>
        <w:spacing w:line="360" w:lineRule="auto"/>
        <w:jc w:val="left"/>
        <w:rPr>
          <w:rFonts w:hint="eastAsia" w:ascii="宋体" w:hAnsi="宋体" w:cstheme="minorEastAsia"/>
          <w:sz w:val="24"/>
          <w:highlight w:val="none"/>
        </w:rPr>
      </w:pPr>
      <w:r>
        <w:rPr>
          <w:rFonts w:hint="eastAsia" w:ascii="宋体" w:hAnsi="宋体" w:cstheme="minorEastAsia"/>
          <w:sz w:val="24"/>
          <w:highlight w:val="none"/>
        </w:rPr>
        <w:t>注：</w:t>
      </w:r>
    </w:p>
    <w:p w14:paraId="64DDF8FE">
      <w:pPr>
        <w:adjustRightInd w:val="0"/>
        <w:snapToGrid w:val="0"/>
        <w:spacing w:line="360" w:lineRule="auto"/>
        <w:jc w:val="left"/>
        <w:rPr>
          <w:rFonts w:hint="eastAsia" w:ascii="宋体" w:hAnsi="宋体" w:cstheme="minorEastAsia"/>
          <w:sz w:val="24"/>
          <w:highlight w:val="none"/>
        </w:rPr>
      </w:pPr>
      <w:r>
        <w:rPr>
          <w:rFonts w:hint="eastAsia" w:ascii="宋体" w:hAnsi="宋体" w:cstheme="minorEastAsia"/>
          <w:sz w:val="24"/>
          <w:highlight w:val="none"/>
        </w:rPr>
        <w:t>（1）当供应商属于本部分说明中第（1）类情形，如未提供《拟分包情况说明》，或提供了《拟分包情况说明》但未填写分包承担主体名称、拟分包合同内容、拟分包合同金额，其</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18C9F2C0">
      <w:pPr>
        <w:adjustRightInd w:val="0"/>
        <w:snapToGrid w:val="0"/>
        <w:spacing w:line="360" w:lineRule="auto"/>
        <w:jc w:val="left"/>
        <w:rPr>
          <w:rFonts w:hint="eastAsia" w:ascii="宋体" w:hAnsi="宋体" w:cstheme="minorEastAsia"/>
          <w:sz w:val="24"/>
          <w:highlight w:val="none"/>
        </w:rPr>
      </w:pPr>
      <w:r>
        <w:rPr>
          <w:rFonts w:hint="eastAsia" w:ascii="宋体" w:hAnsi="宋体" w:cstheme="minorEastAsia"/>
          <w:sz w:val="24"/>
          <w:highlight w:val="none"/>
        </w:rPr>
        <w:t>（2）当供应商属于本部分说明中第（2）类情形，如未提供《拟分包情况说明》，或提供了《拟分包情况说明》但未填写分包承担主体名称、分包承担主体类型、拟分包合同内容、拟分包合同金额，其</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2435CD62">
      <w:pPr>
        <w:adjustRightInd w:val="0"/>
        <w:snapToGrid w:val="0"/>
        <w:spacing w:line="360" w:lineRule="auto"/>
        <w:jc w:val="left"/>
        <w:rPr>
          <w:rFonts w:hint="eastAsia" w:ascii="宋体" w:hAnsi="宋体" w:cstheme="minorEastAsia"/>
          <w:sz w:val="24"/>
          <w:highlight w:val="none"/>
        </w:rPr>
      </w:pPr>
      <w:r>
        <w:rPr>
          <w:rFonts w:hint="eastAsia" w:ascii="宋体" w:hAnsi="宋体" w:cstheme="minorEastAsia"/>
          <w:sz w:val="24"/>
          <w:highlight w:val="none"/>
        </w:rPr>
        <w:t>（3）如本采购文件《供应商须知资料表》载明本项目分包承担主体应具备的相应资质条件，则供应商须在本表中列明分包承担主体的资质等级，并后附资质证书电子件，否则</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703E5964">
      <w:pPr>
        <w:autoSpaceDE w:val="0"/>
        <w:autoSpaceDN w:val="0"/>
        <w:adjustRightInd w:val="0"/>
        <w:spacing w:line="360" w:lineRule="auto"/>
        <w:jc w:val="center"/>
        <w:rPr>
          <w:rFonts w:hint="eastAsia" w:ascii="宋体" w:hAnsi="宋体" w:cstheme="minorEastAsia"/>
          <w:b/>
          <w:color w:val="000000"/>
          <w:sz w:val="36"/>
          <w:szCs w:val="36"/>
          <w:highlight w:val="none"/>
        </w:rPr>
      </w:pPr>
      <w:r>
        <w:rPr>
          <w:rFonts w:hint="eastAsia" w:ascii="宋体" w:hAnsi="宋体" w:cstheme="minorEastAsia"/>
          <w:color w:val="000000"/>
          <w:sz w:val="30"/>
          <w:szCs w:val="30"/>
          <w:highlight w:val="none"/>
        </w:rPr>
        <w:br w:type="page"/>
      </w:r>
      <w:r>
        <w:rPr>
          <w:rFonts w:hint="eastAsia" w:ascii="宋体" w:hAnsi="宋体" w:cstheme="minorEastAsia"/>
          <w:b/>
          <w:color w:val="000000"/>
          <w:sz w:val="36"/>
          <w:szCs w:val="36"/>
          <w:highlight w:val="none"/>
        </w:rPr>
        <w:t>分包意向协议</w:t>
      </w:r>
    </w:p>
    <w:p w14:paraId="761DAE41">
      <w:pPr>
        <w:adjustRightInd w:val="0"/>
        <w:snapToGrid w:val="0"/>
        <w:spacing w:line="360" w:lineRule="auto"/>
        <w:ind w:firstLine="480" w:firstLineChars="200"/>
        <w:jc w:val="left"/>
        <w:rPr>
          <w:rFonts w:hint="eastAsia" w:ascii="宋体" w:hAnsi="宋体" w:cstheme="minorEastAsia"/>
          <w:sz w:val="24"/>
          <w:highlight w:val="none"/>
        </w:rPr>
      </w:pPr>
      <w:r>
        <w:rPr>
          <w:rFonts w:hint="eastAsia" w:ascii="宋体" w:hAnsi="宋体" w:cstheme="minorEastAsia"/>
          <w:sz w:val="24"/>
          <w:highlight w:val="none"/>
        </w:rPr>
        <w:t>甲方（供应商）：______</w:t>
      </w:r>
    </w:p>
    <w:p w14:paraId="4660CA0C">
      <w:pPr>
        <w:adjustRightInd w:val="0"/>
        <w:snapToGrid w:val="0"/>
        <w:spacing w:line="360" w:lineRule="auto"/>
        <w:ind w:firstLine="480" w:firstLineChars="200"/>
        <w:jc w:val="left"/>
        <w:rPr>
          <w:rFonts w:hint="eastAsia" w:ascii="宋体" w:hAnsi="宋体" w:cstheme="minorEastAsia"/>
          <w:sz w:val="24"/>
          <w:highlight w:val="none"/>
        </w:rPr>
      </w:pPr>
      <w:r>
        <w:rPr>
          <w:rFonts w:hint="eastAsia" w:ascii="宋体" w:hAnsi="宋体" w:cstheme="minorEastAsia"/>
          <w:sz w:val="24"/>
          <w:highlight w:val="none"/>
        </w:rPr>
        <w:t>乙方（拟分包单位）：______</w:t>
      </w:r>
    </w:p>
    <w:p w14:paraId="5B251DE5">
      <w:pPr>
        <w:adjustRightInd w:val="0"/>
        <w:snapToGrid w:val="0"/>
        <w:spacing w:line="360" w:lineRule="auto"/>
        <w:ind w:firstLine="480" w:firstLineChars="200"/>
        <w:jc w:val="left"/>
        <w:rPr>
          <w:rFonts w:hint="eastAsia" w:ascii="宋体" w:hAnsi="宋体" w:cstheme="minorEastAsia"/>
          <w:sz w:val="24"/>
          <w:highlight w:val="none"/>
        </w:rPr>
      </w:pPr>
      <w:r>
        <w:rPr>
          <w:rFonts w:hint="eastAsia" w:ascii="宋体" w:hAnsi="宋体" w:cstheme="minorEastAsia"/>
          <w:sz w:val="24"/>
          <w:highlight w:val="none"/>
        </w:rPr>
        <w:t>甲方承诺，一旦在______（采购项目名称）（项目编号/包号为：______）采购项目中获得采购合同，将按照下述约定将合同项下部分内容分包给乙方：</w:t>
      </w:r>
    </w:p>
    <w:p w14:paraId="088838E9">
      <w:pPr>
        <w:adjustRightInd w:val="0"/>
        <w:snapToGrid w:val="0"/>
        <w:spacing w:line="360" w:lineRule="auto"/>
        <w:ind w:firstLine="480" w:firstLineChars="200"/>
        <w:jc w:val="left"/>
        <w:rPr>
          <w:rFonts w:hint="eastAsia" w:ascii="宋体" w:hAnsi="宋体" w:cstheme="minorEastAsia"/>
          <w:sz w:val="24"/>
          <w:highlight w:val="none"/>
        </w:rPr>
      </w:pPr>
      <w:r>
        <w:rPr>
          <w:rFonts w:hint="eastAsia" w:ascii="宋体" w:hAnsi="宋体" w:cstheme="minorEastAsia"/>
          <w:sz w:val="24"/>
          <w:highlight w:val="none"/>
        </w:rPr>
        <w:t>1.分包内容：______。</w:t>
      </w:r>
    </w:p>
    <w:p w14:paraId="78D2042C">
      <w:pPr>
        <w:adjustRightInd w:val="0"/>
        <w:snapToGrid w:val="0"/>
        <w:spacing w:line="360" w:lineRule="auto"/>
        <w:ind w:firstLine="480" w:firstLineChars="200"/>
        <w:jc w:val="left"/>
        <w:rPr>
          <w:rFonts w:hint="eastAsia" w:ascii="宋体" w:hAnsi="宋体" w:cstheme="minorEastAsia"/>
          <w:sz w:val="24"/>
          <w:highlight w:val="none"/>
        </w:rPr>
      </w:pPr>
      <w:r>
        <w:rPr>
          <w:rFonts w:hint="eastAsia" w:ascii="宋体" w:hAnsi="宋体" w:cstheme="minorEastAsia"/>
          <w:sz w:val="24"/>
          <w:highlight w:val="none"/>
        </w:rPr>
        <w:t>2.分包金额：______，该金额占该采购包合同金额的比例为______%。</w:t>
      </w:r>
    </w:p>
    <w:p w14:paraId="39E01116">
      <w:pPr>
        <w:adjustRightInd w:val="0"/>
        <w:snapToGrid w:val="0"/>
        <w:spacing w:line="360" w:lineRule="auto"/>
        <w:ind w:firstLine="480" w:firstLineChars="200"/>
        <w:jc w:val="left"/>
        <w:rPr>
          <w:rFonts w:hint="eastAsia" w:ascii="宋体" w:hAnsi="宋体" w:cstheme="minorEastAsia"/>
          <w:bCs/>
          <w:color w:val="000000"/>
          <w:sz w:val="24"/>
          <w:highlight w:val="none"/>
        </w:rPr>
      </w:pPr>
      <w:r>
        <w:rPr>
          <w:rFonts w:hint="eastAsia" w:ascii="宋体" w:hAnsi="宋体" w:cstheme="minorEastAsia"/>
          <w:sz w:val="24"/>
          <w:highlight w:val="none"/>
        </w:rPr>
        <w:t>乙方承诺将在上述情况下与甲方签订分包合同。</w:t>
      </w:r>
    </w:p>
    <w:p w14:paraId="2E9860D4">
      <w:pPr>
        <w:adjustRightInd w:val="0"/>
        <w:snapToGrid w:val="0"/>
        <w:spacing w:line="360" w:lineRule="auto"/>
        <w:ind w:firstLine="480" w:firstLineChars="200"/>
        <w:jc w:val="left"/>
        <w:rPr>
          <w:rFonts w:hint="eastAsia" w:ascii="宋体" w:hAnsi="宋体" w:cstheme="minorEastAsia"/>
          <w:sz w:val="24"/>
          <w:highlight w:val="none"/>
        </w:rPr>
      </w:pPr>
      <w:r>
        <w:rPr>
          <w:rFonts w:hint="eastAsia" w:ascii="宋体" w:hAnsi="宋体" w:cstheme="minorEastAsia"/>
          <w:sz w:val="24"/>
          <w:highlight w:val="none"/>
        </w:rPr>
        <w:t>本协议自各方盖章之日起生效，如甲方未在该项目（采购包）成交，本协议自动终止。</w:t>
      </w:r>
    </w:p>
    <w:p w14:paraId="2618B2EA">
      <w:pPr>
        <w:spacing w:line="360" w:lineRule="auto"/>
        <w:ind w:firstLine="471"/>
        <w:rPr>
          <w:rFonts w:hint="eastAsia" w:ascii="宋体" w:hAnsi="宋体" w:cstheme="minorEastAsia"/>
          <w:b/>
          <w:color w:val="000000"/>
          <w:sz w:val="24"/>
          <w:highlight w:val="none"/>
        </w:rPr>
      </w:pPr>
    </w:p>
    <w:p w14:paraId="57C53B48">
      <w:pPr>
        <w:spacing w:line="360" w:lineRule="auto"/>
        <w:ind w:firstLine="471"/>
        <w:rPr>
          <w:rFonts w:hint="eastAsia" w:ascii="宋体" w:hAnsi="宋体" w:cstheme="minorEastAsia"/>
          <w:b/>
          <w:color w:val="000000"/>
          <w:sz w:val="24"/>
          <w:highlight w:val="none"/>
        </w:rPr>
      </w:pPr>
      <w:r>
        <w:rPr>
          <w:rFonts w:hint="eastAsia" w:ascii="宋体" w:hAnsi="宋体" w:cstheme="minorEastAsia"/>
          <w:color w:val="000000"/>
          <w:sz w:val="24"/>
          <w:highlight w:val="none"/>
        </w:rPr>
        <w:t>甲方（盖章）：</w:t>
      </w:r>
      <w:r>
        <w:rPr>
          <w:rFonts w:hint="eastAsia" w:ascii="宋体" w:hAnsi="宋体" w:cstheme="minorEastAsia"/>
          <w:sz w:val="24"/>
          <w:highlight w:val="none"/>
        </w:rPr>
        <w:t>______</w:t>
      </w:r>
      <w:r>
        <w:rPr>
          <w:rFonts w:hint="eastAsia" w:ascii="宋体" w:hAnsi="宋体" w:cstheme="minorEastAsia"/>
          <w:color w:val="000000"/>
          <w:sz w:val="24"/>
          <w:highlight w:val="none"/>
        </w:rPr>
        <w:t xml:space="preserve">                     乙方（盖章）：</w:t>
      </w:r>
      <w:r>
        <w:rPr>
          <w:rFonts w:hint="eastAsia" w:ascii="宋体" w:hAnsi="宋体" w:cstheme="minorEastAsia"/>
          <w:sz w:val="24"/>
          <w:highlight w:val="none"/>
        </w:rPr>
        <w:t>______</w:t>
      </w:r>
    </w:p>
    <w:p w14:paraId="5F2111E8">
      <w:pPr>
        <w:spacing w:line="360" w:lineRule="auto"/>
        <w:ind w:left="480"/>
        <w:jc w:val="right"/>
        <w:rPr>
          <w:rFonts w:hint="eastAsia" w:ascii="宋体" w:hAnsi="宋体" w:cstheme="minorEastAsia"/>
          <w:color w:val="000000"/>
          <w:sz w:val="24"/>
          <w:highlight w:val="none"/>
        </w:rPr>
      </w:pPr>
    </w:p>
    <w:p w14:paraId="19631912">
      <w:pPr>
        <w:wordWrap w:val="0"/>
        <w:spacing w:line="360" w:lineRule="auto"/>
        <w:ind w:left="480"/>
        <w:jc w:val="right"/>
        <w:rPr>
          <w:rFonts w:hint="eastAsia" w:ascii="宋体" w:hAnsi="宋体" w:cstheme="minorEastAsia"/>
          <w:b/>
          <w:color w:val="000000"/>
          <w:sz w:val="24"/>
          <w:highlight w:val="none"/>
        </w:rPr>
      </w:pPr>
      <w:r>
        <w:rPr>
          <w:rFonts w:hint="eastAsia" w:ascii="宋体" w:hAnsi="宋体" w:cstheme="minorEastAsia"/>
          <w:color w:val="000000"/>
          <w:sz w:val="24"/>
          <w:szCs w:val="20"/>
          <w:highlight w:val="none"/>
        </w:rPr>
        <w:t>日期：</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年</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月</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 xml:space="preserve">日   </w:t>
      </w:r>
    </w:p>
    <w:p w14:paraId="700F58F5">
      <w:pPr>
        <w:tabs>
          <w:tab w:val="left" w:pos="8280"/>
        </w:tabs>
        <w:spacing w:line="360" w:lineRule="auto"/>
        <w:ind w:firstLine="480"/>
        <w:rPr>
          <w:rFonts w:hint="eastAsia" w:ascii="宋体" w:hAnsi="宋体" w:cstheme="minorEastAsia"/>
          <w:color w:val="000000"/>
          <w:sz w:val="24"/>
          <w:highlight w:val="none"/>
        </w:rPr>
      </w:pPr>
    </w:p>
    <w:p w14:paraId="5968361C">
      <w:pPr>
        <w:tabs>
          <w:tab w:val="left" w:pos="8280"/>
        </w:tabs>
        <w:spacing w:line="360" w:lineRule="auto"/>
        <w:rPr>
          <w:rFonts w:hint="eastAsia" w:ascii="宋体" w:hAnsi="宋体" w:cstheme="minorEastAsia"/>
          <w:color w:val="000000"/>
          <w:sz w:val="24"/>
          <w:highlight w:val="none"/>
        </w:rPr>
      </w:pPr>
      <w:r>
        <w:rPr>
          <w:rFonts w:hint="eastAsia" w:ascii="宋体" w:hAnsi="宋体" w:cstheme="minorEastAsia"/>
          <w:color w:val="000000"/>
          <w:sz w:val="24"/>
          <w:highlight w:val="none"/>
        </w:rPr>
        <w:t>注：</w:t>
      </w:r>
    </w:p>
    <w:p w14:paraId="33288218">
      <w:pPr>
        <w:tabs>
          <w:tab w:val="left" w:pos="8280"/>
        </w:tabs>
        <w:spacing w:line="360" w:lineRule="auto"/>
        <w:rPr>
          <w:rFonts w:hint="eastAsia" w:ascii="宋体" w:hAnsi="宋体" w:cstheme="minorEastAsia"/>
          <w:color w:val="000000"/>
          <w:sz w:val="24"/>
          <w:highlight w:val="none"/>
        </w:rPr>
      </w:pPr>
      <w:r>
        <w:rPr>
          <w:rFonts w:hint="eastAsia" w:ascii="宋体" w:hAnsi="宋体" w:cstheme="minorEastAsia"/>
          <w:color w:val="000000"/>
          <w:sz w:val="24"/>
          <w:highlight w:val="none"/>
        </w:rPr>
        <w:t>（1）</w:t>
      </w:r>
      <w:r>
        <w:rPr>
          <w:rFonts w:hint="eastAsia" w:ascii="宋体" w:hAnsi="宋体" w:cstheme="minorEastAsia"/>
          <w:sz w:val="24"/>
          <w:highlight w:val="none"/>
        </w:rPr>
        <w:t>当供应商属于本部分说明中第（2）类情形，必须提供，否则</w:t>
      </w:r>
      <w:r>
        <w:rPr>
          <w:rFonts w:hint="eastAsia" w:ascii="宋体" w:hAnsi="宋体" w:cstheme="minorEastAsia"/>
          <w:b/>
          <w:sz w:val="24"/>
          <w:highlight w:val="none"/>
        </w:rPr>
        <w:t>响应无效；</w:t>
      </w:r>
      <w:r>
        <w:rPr>
          <w:rFonts w:hint="eastAsia" w:ascii="宋体" w:hAnsi="宋体" w:cstheme="minorEastAsia"/>
          <w:sz w:val="24"/>
          <w:highlight w:val="none"/>
        </w:rPr>
        <w:t xml:space="preserve">其他情形无须提供； </w:t>
      </w:r>
    </w:p>
    <w:p w14:paraId="2FDC7A23">
      <w:pPr>
        <w:tabs>
          <w:tab w:val="left" w:pos="8280"/>
        </w:tabs>
        <w:spacing w:line="360" w:lineRule="auto"/>
        <w:rPr>
          <w:rFonts w:hint="eastAsia" w:ascii="宋体" w:hAnsi="宋体" w:cstheme="minorEastAsia"/>
          <w:color w:val="000000"/>
          <w:sz w:val="24"/>
          <w:highlight w:val="none"/>
        </w:rPr>
      </w:pPr>
      <w:r>
        <w:rPr>
          <w:rFonts w:hint="eastAsia" w:ascii="宋体" w:hAnsi="宋体" w:cstheme="minorEastAsia"/>
          <w:color w:val="000000"/>
          <w:sz w:val="24"/>
          <w:highlight w:val="none"/>
        </w:rPr>
        <w:t>（2）供应商须与所有拟分包单位分别签订《分包意向协议》，每单位签订一份，并在响应文件中提交全部协议原件的电子件，否则</w:t>
      </w:r>
      <w:r>
        <w:rPr>
          <w:rFonts w:hint="eastAsia" w:ascii="宋体" w:hAnsi="宋体" w:cstheme="minorEastAsia"/>
          <w:b/>
          <w:color w:val="000000"/>
          <w:sz w:val="24"/>
          <w:highlight w:val="none"/>
        </w:rPr>
        <w:t>响应无效</w:t>
      </w:r>
      <w:r>
        <w:rPr>
          <w:rFonts w:hint="eastAsia" w:ascii="宋体" w:hAnsi="宋体" w:cstheme="minorEastAsia"/>
          <w:color w:val="000000"/>
          <w:sz w:val="24"/>
          <w:highlight w:val="none"/>
        </w:rPr>
        <w:t>。</w:t>
      </w:r>
    </w:p>
    <w:p w14:paraId="61FB5D1F">
      <w:pPr>
        <w:tabs>
          <w:tab w:val="left" w:pos="8280"/>
        </w:tabs>
        <w:spacing w:line="360" w:lineRule="auto"/>
        <w:rPr>
          <w:rFonts w:hint="eastAsia" w:ascii="宋体" w:hAnsi="宋体" w:cstheme="minorEastAsia"/>
          <w:color w:val="000000"/>
          <w:sz w:val="24"/>
          <w:highlight w:val="none"/>
        </w:rPr>
        <w:sectPr>
          <w:headerReference r:id="rId29" w:type="first"/>
          <w:footerReference r:id="rId31" w:type="first"/>
          <w:headerReference r:id="rId28" w:type="even"/>
          <w:footerReference r:id="rId30" w:type="even"/>
          <w:pgSz w:w="11907" w:h="16840"/>
          <w:pgMar w:top="1418" w:right="1134" w:bottom="1418" w:left="1701" w:header="851" w:footer="851" w:gutter="0"/>
          <w:cols w:space="720" w:num="1"/>
          <w:docGrid w:linePitch="462" w:charSpace="0"/>
        </w:sectPr>
      </w:pPr>
    </w:p>
    <w:p w14:paraId="7D65DB3C">
      <w:pPr>
        <w:spacing w:line="360" w:lineRule="auto"/>
        <w:outlineLvl w:val="2"/>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 xml:space="preserve">2-2 </w:t>
      </w:r>
      <w:r>
        <w:rPr>
          <w:rFonts w:hint="eastAsia" w:ascii="宋体" w:hAnsi="宋体" w:cstheme="minorEastAsia"/>
          <w:sz w:val="24"/>
          <w:highlight w:val="none"/>
        </w:rPr>
        <w:t>其它落实政府采购政策的资格要求</w:t>
      </w:r>
      <w:r>
        <w:rPr>
          <w:rFonts w:hint="eastAsia" w:ascii="宋体" w:hAnsi="宋体" w:cstheme="minorEastAsia"/>
          <w:color w:val="000000"/>
          <w:sz w:val="24"/>
          <w:szCs w:val="20"/>
          <w:highlight w:val="none"/>
        </w:rPr>
        <w:t>（如有）</w:t>
      </w:r>
    </w:p>
    <w:p w14:paraId="5937EE9D">
      <w:pPr>
        <w:widowControl/>
        <w:jc w:val="left"/>
        <w:rPr>
          <w:rFonts w:hint="eastAsia" w:ascii="宋体" w:hAnsi="宋体" w:cstheme="minorEastAsia"/>
          <w:sz w:val="24"/>
          <w:highlight w:val="none"/>
        </w:rPr>
      </w:pPr>
    </w:p>
    <w:p w14:paraId="638F37CF">
      <w:pPr>
        <w:widowControl/>
        <w:jc w:val="left"/>
        <w:rPr>
          <w:rFonts w:hint="eastAsia" w:ascii="宋体" w:hAnsi="宋体" w:cstheme="minorEastAsia"/>
          <w:sz w:val="24"/>
          <w:highlight w:val="none"/>
        </w:rPr>
      </w:pPr>
      <w:r>
        <w:rPr>
          <w:rFonts w:hint="eastAsia" w:ascii="宋体" w:hAnsi="宋体" w:cstheme="minorEastAsia"/>
          <w:sz w:val="24"/>
          <w:highlight w:val="none"/>
        </w:rPr>
        <w:br w:type="page"/>
      </w:r>
    </w:p>
    <w:p w14:paraId="3F949BF1">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3 本项目的特定资格要求（如有）</w:t>
      </w:r>
    </w:p>
    <w:p w14:paraId="0680C36C">
      <w:pPr>
        <w:spacing w:line="360" w:lineRule="auto"/>
        <w:outlineLvl w:val="2"/>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3-1 联合协议（如有）</w:t>
      </w:r>
    </w:p>
    <w:p w14:paraId="43E098A0">
      <w:pPr>
        <w:autoSpaceDE w:val="0"/>
        <w:autoSpaceDN w:val="0"/>
        <w:adjustRightInd w:val="0"/>
        <w:spacing w:line="360" w:lineRule="auto"/>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联合协议</w:t>
      </w:r>
    </w:p>
    <w:p w14:paraId="179A05CA">
      <w:pPr>
        <w:spacing w:line="360" w:lineRule="auto"/>
        <w:ind w:firstLine="828" w:firstLineChars="345"/>
        <w:rPr>
          <w:rFonts w:hint="eastAsia" w:ascii="宋体" w:hAnsi="宋体" w:cstheme="minorEastAsia"/>
          <w:bCs/>
          <w:color w:val="000000"/>
          <w:highlight w:val="none"/>
        </w:rPr>
      </w:pPr>
      <w:r>
        <w:rPr>
          <w:rFonts w:hint="eastAsia" w:ascii="宋体" w:hAnsi="宋体" w:cstheme="minorEastAsia"/>
          <w:sz w:val="24"/>
          <w:highlight w:val="none"/>
        </w:rPr>
        <w:t>______</w:t>
      </w:r>
      <w:r>
        <w:rPr>
          <w:rFonts w:hint="eastAsia" w:ascii="宋体" w:hAnsi="宋体" w:cstheme="minorEastAsia"/>
          <w:bCs/>
          <w:color w:val="000000"/>
          <w:sz w:val="24"/>
          <w:highlight w:val="none"/>
        </w:rPr>
        <w:t xml:space="preserve"> 、</w:t>
      </w:r>
      <w:r>
        <w:rPr>
          <w:rFonts w:hint="eastAsia" w:ascii="宋体" w:hAnsi="宋体" w:cstheme="minorEastAsia"/>
          <w:sz w:val="24"/>
          <w:highlight w:val="none"/>
        </w:rPr>
        <w:t>______</w:t>
      </w:r>
      <w:r>
        <w:rPr>
          <w:rFonts w:hint="eastAsia" w:ascii="宋体" w:hAnsi="宋体" w:cstheme="minorEastAsia"/>
          <w:bCs/>
          <w:color w:val="000000"/>
          <w:sz w:val="24"/>
          <w:highlight w:val="none"/>
        </w:rPr>
        <w:t>及</w:t>
      </w:r>
      <w:r>
        <w:rPr>
          <w:rFonts w:hint="eastAsia" w:ascii="宋体" w:hAnsi="宋体" w:cstheme="minorEastAsia"/>
          <w:sz w:val="24"/>
          <w:highlight w:val="none"/>
        </w:rPr>
        <w:t>______</w:t>
      </w:r>
      <w:r>
        <w:rPr>
          <w:rFonts w:hint="eastAsia" w:ascii="宋体" w:hAnsi="宋体" w:cstheme="minorEastAsia"/>
          <w:bCs/>
          <w:color w:val="000000"/>
          <w:sz w:val="24"/>
          <w:highlight w:val="none"/>
        </w:rPr>
        <w:t>就“</w:t>
      </w:r>
      <w:r>
        <w:rPr>
          <w:rFonts w:hint="eastAsia" w:ascii="宋体" w:hAnsi="宋体" w:cstheme="minorEastAsia"/>
          <w:sz w:val="24"/>
          <w:highlight w:val="none"/>
        </w:rPr>
        <w:t>______</w:t>
      </w:r>
      <w:r>
        <w:rPr>
          <w:rFonts w:hint="eastAsia" w:ascii="宋体" w:hAnsi="宋体" w:cstheme="minorEastAsia"/>
          <w:bCs/>
          <w:color w:val="000000"/>
          <w:sz w:val="24"/>
          <w:highlight w:val="none"/>
        </w:rPr>
        <w:t>（项目名称）</w:t>
      </w:r>
      <w:r>
        <w:rPr>
          <w:rFonts w:hint="eastAsia" w:ascii="宋体" w:hAnsi="宋体" w:cstheme="minorEastAsia"/>
          <w:color w:val="000000"/>
          <w:sz w:val="24"/>
          <w:highlight w:val="none"/>
        </w:rPr>
        <w:t>”</w:t>
      </w:r>
      <w:r>
        <w:rPr>
          <w:rFonts w:hint="eastAsia" w:ascii="宋体" w:hAnsi="宋体" w:cstheme="minorEastAsia"/>
          <w:sz w:val="24"/>
          <w:highlight w:val="none"/>
        </w:rPr>
        <w:t xml:space="preserve"> ______</w:t>
      </w:r>
      <w:r>
        <w:rPr>
          <w:rFonts w:hint="eastAsia" w:ascii="宋体" w:hAnsi="宋体" w:cstheme="minorEastAsia"/>
          <w:color w:val="000000"/>
          <w:sz w:val="24"/>
          <w:highlight w:val="none"/>
        </w:rPr>
        <w:t>包</w:t>
      </w:r>
      <w:r>
        <w:rPr>
          <w:rFonts w:hint="eastAsia" w:ascii="宋体" w:hAnsi="宋体" w:cstheme="minorEastAsia"/>
          <w:bCs/>
          <w:color w:val="000000"/>
          <w:sz w:val="24"/>
          <w:highlight w:val="none"/>
        </w:rPr>
        <w:t>采购项目的磋商事宜，经各方充分协商一致，达成如下协议：</w:t>
      </w:r>
    </w:p>
    <w:p w14:paraId="7F1B0C43">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bCs/>
          <w:color w:val="000000"/>
          <w:sz w:val="24"/>
          <w:highlight w:val="none"/>
        </w:rPr>
        <w:t>由</w:t>
      </w:r>
      <w:r>
        <w:rPr>
          <w:rFonts w:hint="eastAsia" w:ascii="宋体" w:hAnsi="宋体" w:cstheme="minorEastAsia"/>
          <w:sz w:val="24"/>
          <w:highlight w:val="none"/>
        </w:rPr>
        <w:t>____</w:t>
      </w:r>
      <w:r>
        <w:rPr>
          <w:rFonts w:hint="eastAsia" w:ascii="宋体" w:hAnsi="宋体" w:cstheme="minorEastAsia"/>
          <w:bCs/>
          <w:color w:val="000000"/>
          <w:sz w:val="24"/>
          <w:highlight w:val="none"/>
        </w:rPr>
        <w:t>__</w:t>
      </w:r>
      <w:r>
        <w:rPr>
          <w:rFonts w:hint="eastAsia" w:ascii="宋体" w:hAnsi="宋体" w:cstheme="minorEastAsia"/>
          <w:sz w:val="24"/>
          <w:highlight w:val="none"/>
        </w:rPr>
        <w:t>__</w:t>
      </w:r>
      <w:r>
        <w:rPr>
          <w:rFonts w:hint="eastAsia" w:ascii="宋体" w:hAnsi="宋体" w:cstheme="minorEastAsia"/>
          <w:bCs/>
          <w:color w:val="000000"/>
          <w:sz w:val="24"/>
          <w:highlight w:val="none"/>
        </w:rPr>
        <w:t>牵头，</w:t>
      </w:r>
      <w:r>
        <w:rPr>
          <w:rFonts w:hint="eastAsia" w:ascii="宋体" w:hAnsi="宋体" w:cstheme="minorEastAsia"/>
          <w:sz w:val="24"/>
          <w:highlight w:val="none"/>
        </w:rPr>
        <w:t>___</w:t>
      </w:r>
      <w:r>
        <w:rPr>
          <w:rFonts w:hint="eastAsia" w:ascii="宋体" w:hAnsi="宋体" w:cstheme="minorEastAsia"/>
          <w:bCs/>
          <w:color w:val="000000"/>
          <w:sz w:val="24"/>
          <w:highlight w:val="none"/>
        </w:rPr>
        <w:t>__</w:t>
      </w:r>
      <w:r>
        <w:rPr>
          <w:rFonts w:hint="eastAsia" w:ascii="宋体" w:hAnsi="宋体" w:cstheme="minorEastAsia"/>
          <w:sz w:val="24"/>
          <w:highlight w:val="none"/>
        </w:rPr>
        <w:t>___</w:t>
      </w:r>
      <w:r>
        <w:rPr>
          <w:rFonts w:hint="eastAsia" w:ascii="宋体" w:hAnsi="宋体" w:cstheme="minorEastAsia"/>
          <w:bCs/>
          <w:color w:val="000000"/>
          <w:sz w:val="24"/>
          <w:highlight w:val="none"/>
        </w:rPr>
        <w:t>、</w:t>
      </w:r>
      <w:r>
        <w:rPr>
          <w:rFonts w:hint="eastAsia" w:ascii="宋体" w:hAnsi="宋体" w:cstheme="minorEastAsia"/>
          <w:sz w:val="24"/>
          <w:highlight w:val="none"/>
        </w:rPr>
        <w:t>___</w:t>
      </w:r>
      <w:r>
        <w:rPr>
          <w:rFonts w:hint="eastAsia" w:ascii="宋体" w:hAnsi="宋体" w:cstheme="minorEastAsia"/>
          <w:bCs/>
          <w:color w:val="000000"/>
          <w:sz w:val="24"/>
          <w:highlight w:val="none"/>
        </w:rPr>
        <w:t>__</w:t>
      </w:r>
      <w:r>
        <w:rPr>
          <w:rFonts w:hint="eastAsia" w:ascii="宋体" w:hAnsi="宋体" w:cstheme="minorEastAsia"/>
          <w:sz w:val="24"/>
          <w:highlight w:val="none"/>
        </w:rPr>
        <w:t>___</w:t>
      </w:r>
      <w:r>
        <w:rPr>
          <w:rFonts w:hint="eastAsia" w:ascii="宋体" w:hAnsi="宋体" w:cstheme="minorEastAsia"/>
          <w:bCs/>
          <w:color w:val="000000"/>
          <w:sz w:val="24"/>
          <w:highlight w:val="none"/>
        </w:rPr>
        <w:t>参加，组成联合体共同进行采购项目的磋商工作。</w:t>
      </w:r>
    </w:p>
    <w:p w14:paraId="4616EB81">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bCs/>
          <w:color w:val="000000"/>
          <w:sz w:val="24"/>
          <w:highlight w:val="none"/>
        </w:rPr>
        <w:t>联合体成交后，联合体各方共同与采购人签订合同，就</w:t>
      </w:r>
      <w:r>
        <w:rPr>
          <w:rFonts w:hint="eastAsia" w:ascii="宋体" w:hAnsi="宋体" w:cstheme="minorEastAsia"/>
          <w:color w:val="000000"/>
          <w:sz w:val="24"/>
          <w:szCs w:val="20"/>
          <w:highlight w:val="none"/>
        </w:rPr>
        <w:t>采购合同约定的事项</w:t>
      </w:r>
      <w:r>
        <w:rPr>
          <w:rFonts w:hint="eastAsia" w:ascii="宋体" w:hAnsi="宋体" w:cstheme="minorEastAsia"/>
          <w:bCs/>
          <w:color w:val="000000"/>
          <w:sz w:val="24"/>
          <w:highlight w:val="none"/>
        </w:rPr>
        <w:t>对采购人承担连带责任。</w:t>
      </w:r>
    </w:p>
    <w:p w14:paraId="1B02A399">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bCs/>
          <w:color w:val="000000"/>
          <w:sz w:val="24"/>
          <w:highlight w:val="none"/>
        </w:rPr>
        <w:t>联合体各方均同意由牵头人代表其他联合体成员单位按竞争性磋商文件要求出具《授权委托书》。</w:t>
      </w:r>
    </w:p>
    <w:p w14:paraId="658B124F">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bCs/>
          <w:color w:val="000000"/>
          <w:sz w:val="24"/>
          <w:highlight w:val="none"/>
        </w:rPr>
        <w:t>牵头人为项目的总负责单位；组织各参加方进行项目实施工作。</w:t>
      </w:r>
    </w:p>
    <w:p w14:paraId="67D3B6F5">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sz w:val="24"/>
          <w:highlight w:val="none"/>
        </w:rPr>
        <w:t>______</w:t>
      </w:r>
      <w:r>
        <w:rPr>
          <w:rFonts w:hint="eastAsia" w:ascii="宋体" w:hAnsi="宋体" w:cstheme="minorEastAsia"/>
          <w:bCs/>
          <w:color w:val="000000"/>
          <w:sz w:val="24"/>
          <w:highlight w:val="none"/>
        </w:rPr>
        <w:t>负责</w:t>
      </w:r>
      <w:r>
        <w:rPr>
          <w:rFonts w:hint="eastAsia" w:ascii="宋体" w:hAnsi="宋体" w:cstheme="minorEastAsia"/>
          <w:sz w:val="24"/>
          <w:highlight w:val="none"/>
        </w:rPr>
        <w:t>______</w:t>
      </w:r>
      <w:r>
        <w:rPr>
          <w:rFonts w:hint="eastAsia" w:ascii="宋体" w:hAnsi="宋体" w:cstheme="minorEastAsia"/>
          <w:bCs/>
          <w:color w:val="000000"/>
          <w:sz w:val="24"/>
          <w:highlight w:val="none"/>
        </w:rPr>
        <w:t>，具体工作范围、内容以响应文件及合同为准。</w:t>
      </w:r>
    </w:p>
    <w:p w14:paraId="5E4294B0">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sz w:val="24"/>
          <w:highlight w:val="none"/>
        </w:rPr>
        <w:t>______</w:t>
      </w:r>
      <w:r>
        <w:rPr>
          <w:rFonts w:hint="eastAsia" w:ascii="宋体" w:hAnsi="宋体" w:cstheme="minorEastAsia"/>
          <w:bCs/>
          <w:color w:val="000000"/>
          <w:sz w:val="24"/>
          <w:highlight w:val="none"/>
        </w:rPr>
        <w:t>负责</w:t>
      </w:r>
      <w:r>
        <w:rPr>
          <w:rFonts w:hint="eastAsia" w:ascii="宋体" w:hAnsi="宋体" w:cstheme="minorEastAsia"/>
          <w:sz w:val="24"/>
          <w:highlight w:val="none"/>
        </w:rPr>
        <w:t>______</w:t>
      </w:r>
      <w:r>
        <w:rPr>
          <w:rFonts w:hint="eastAsia" w:ascii="宋体" w:hAnsi="宋体" w:cstheme="minorEastAsia"/>
          <w:bCs/>
          <w:color w:val="000000"/>
          <w:sz w:val="24"/>
          <w:highlight w:val="none"/>
        </w:rPr>
        <w:t>，具体工作范围、内容以响应文件及合同为准。</w:t>
      </w:r>
    </w:p>
    <w:p w14:paraId="7A32A751">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sz w:val="24"/>
          <w:highlight w:val="none"/>
        </w:rPr>
        <w:t>______</w:t>
      </w:r>
      <w:r>
        <w:rPr>
          <w:rFonts w:hint="eastAsia" w:ascii="宋体" w:hAnsi="宋体" w:cstheme="minorEastAsia"/>
          <w:bCs/>
          <w:color w:val="000000"/>
          <w:sz w:val="24"/>
          <w:highlight w:val="none"/>
        </w:rPr>
        <w:t>负责</w:t>
      </w:r>
      <w:r>
        <w:rPr>
          <w:rFonts w:hint="eastAsia" w:ascii="宋体" w:hAnsi="宋体" w:cstheme="minorEastAsia"/>
          <w:sz w:val="24"/>
          <w:highlight w:val="none"/>
        </w:rPr>
        <w:t>______</w:t>
      </w:r>
      <w:r>
        <w:rPr>
          <w:rFonts w:hint="eastAsia" w:ascii="宋体" w:hAnsi="宋体" w:cstheme="minorEastAsia"/>
          <w:bCs/>
          <w:color w:val="000000"/>
          <w:sz w:val="24"/>
          <w:highlight w:val="none"/>
        </w:rPr>
        <w:t>（如有），具体工作范围、内容以响应文件及合同为准。</w:t>
      </w:r>
    </w:p>
    <w:p w14:paraId="6F92105C">
      <w:pPr>
        <w:numPr>
          <w:ilvl w:val="0"/>
          <w:numId w:val="16"/>
        </w:numPr>
        <w:spacing w:line="360" w:lineRule="auto"/>
        <w:rPr>
          <w:rFonts w:hint="eastAsia" w:ascii="宋体" w:hAnsi="宋体" w:cstheme="minorEastAsia"/>
          <w:sz w:val="24"/>
          <w:highlight w:val="none"/>
        </w:rPr>
      </w:pPr>
      <w:r>
        <w:rPr>
          <w:rFonts w:hint="eastAsia" w:ascii="宋体" w:hAnsi="宋体" w:cstheme="minorEastAsia"/>
          <w:sz w:val="24"/>
          <w:highlight w:val="none"/>
        </w:rPr>
        <w:t>本项目联合协议合同总额为______元，联合体各成员按照如下比例分摊（按联合体成员分别列明）：</w:t>
      </w:r>
    </w:p>
    <w:p w14:paraId="398FE54E">
      <w:pPr>
        <w:tabs>
          <w:tab w:val="left" w:pos="720"/>
          <w:tab w:val="left" w:pos="900"/>
        </w:tabs>
        <w:spacing w:line="360" w:lineRule="auto"/>
        <w:ind w:left="851"/>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（1）</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为□大型企业□中型企业、□小微企业（包含监狱企业、残疾人福利性单位）、□其他，合同金额为</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元；</w:t>
      </w:r>
    </w:p>
    <w:p w14:paraId="4E2082D3">
      <w:pPr>
        <w:tabs>
          <w:tab w:val="left" w:pos="720"/>
          <w:tab w:val="left" w:pos="900"/>
        </w:tabs>
        <w:spacing w:line="360" w:lineRule="auto"/>
        <w:ind w:left="851"/>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（2）</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为□大型企业□中型企业、□小微企业（包含监狱企业、残疾人福利性单位）、□其他，合同金额为</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元；</w:t>
      </w:r>
    </w:p>
    <w:p w14:paraId="5543C1DA">
      <w:pPr>
        <w:tabs>
          <w:tab w:val="left" w:pos="720"/>
          <w:tab w:val="left" w:pos="900"/>
        </w:tabs>
        <w:spacing w:line="360" w:lineRule="auto"/>
        <w:ind w:left="851"/>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为□大型企业□中型企业、□小微企业（包含监狱企业、残疾人福利性单位）、□其他，合同金额为</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元。</w:t>
      </w:r>
    </w:p>
    <w:p w14:paraId="38BF1CDB">
      <w:pPr>
        <w:numPr>
          <w:ilvl w:val="0"/>
          <w:numId w:val="16"/>
        </w:numPr>
        <w:tabs>
          <w:tab w:val="left" w:pos="993"/>
        </w:tabs>
        <w:spacing w:line="360" w:lineRule="auto"/>
        <w:rPr>
          <w:rFonts w:hint="eastAsia" w:ascii="宋体" w:hAnsi="宋体" w:cstheme="minorEastAsia"/>
          <w:bCs/>
          <w:color w:val="000000"/>
          <w:sz w:val="24"/>
          <w:highlight w:val="none"/>
        </w:rPr>
      </w:pPr>
      <w:r>
        <w:rPr>
          <w:rFonts w:hint="eastAsia" w:ascii="宋体" w:hAnsi="宋体" w:cstheme="minorEastAsia"/>
          <w:color w:val="000000"/>
          <w:sz w:val="24"/>
          <w:szCs w:val="20"/>
          <w:highlight w:val="none"/>
        </w:rPr>
        <w:t>以联合体形式参加政府采购活动的，联合体各方不得再单独参加或者与其他供应商另外组成联合体参加同一合同项下的政府采购活动。</w:t>
      </w:r>
    </w:p>
    <w:p w14:paraId="0F4A9A0C">
      <w:pPr>
        <w:numPr>
          <w:ilvl w:val="0"/>
          <w:numId w:val="16"/>
        </w:numPr>
        <w:spacing w:line="360" w:lineRule="auto"/>
        <w:rPr>
          <w:rFonts w:hint="eastAsia" w:ascii="宋体" w:hAnsi="宋体" w:cstheme="minorEastAsia"/>
          <w:bCs/>
          <w:color w:val="000000"/>
          <w:sz w:val="24"/>
          <w:highlight w:val="none"/>
        </w:rPr>
      </w:pPr>
      <w:r>
        <w:rPr>
          <w:rFonts w:hint="eastAsia" w:ascii="宋体" w:hAnsi="宋体" w:cstheme="minorEastAsia"/>
          <w:bCs/>
          <w:color w:val="000000"/>
          <w:sz w:val="24"/>
          <w:highlight w:val="none"/>
        </w:rPr>
        <w:t>其他约定（如有）：</w:t>
      </w:r>
      <w:r>
        <w:rPr>
          <w:rFonts w:hint="eastAsia" w:ascii="宋体" w:hAnsi="宋体" w:cstheme="minorEastAsia"/>
          <w:sz w:val="24"/>
          <w:highlight w:val="none"/>
        </w:rPr>
        <w:t>______。</w:t>
      </w:r>
    </w:p>
    <w:p w14:paraId="64BCD985">
      <w:pPr>
        <w:tabs>
          <w:tab w:val="left" w:pos="780"/>
        </w:tabs>
        <w:spacing w:line="360" w:lineRule="auto"/>
        <w:ind w:left="180" w:firstLine="480" w:firstLineChars="200"/>
        <w:rPr>
          <w:rFonts w:hint="eastAsia" w:ascii="宋体" w:hAnsi="宋体" w:cstheme="minorEastAsia"/>
          <w:color w:val="000000"/>
          <w:sz w:val="24"/>
          <w:highlight w:val="none"/>
        </w:rPr>
      </w:pPr>
      <w:r>
        <w:rPr>
          <w:rFonts w:hint="eastAsia" w:ascii="宋体" w:hAnsi="宋体" w:cstheme="minorEastAsia"/>
          <w:bCs/>
          <w:color w:val="000000"/>
          <w:sz w:val="24"/>
          <w:highlight w:val="none"/>
        </w:rPr>
        <w:t>本协议自各方盖章后生效，采购合同履行完毕后自动失效。如未成交，本协议自动终止。</w:t>
      </w:r>
      <w:r>
        <w:rPr>
          <w:rFonts w:hint="eastAsia" w:ascii="宋体" w:hAnsi="宋体" w:cstheme="minorEastAsia"/>
          <w:color w:val="000000"/>
          <w:sz w:val="24"/>
          <w:highlight w:val="none"/>
        </w:rPr>
        <w:br w:type="page"/>
      </w:r>
    </w:p>
    <w:p w14:paraId="270A188B">
      <w:pPr>
        <w:spacing w:line="360" w:lineRule="auto"/>
        <w:ind w:firstLine="471"/>
        <w:rPr>
          <w:rFonts w:hint="eastAsia" w:ascii="宋体" w:hAnsi="宋体" w:cstheme="minorEastAsia"/>
          <w:color w:val="000000"/>
          <w:sz w:val="24"/>
          <w:highlight w:val="none"/>
        </w:rPr>
      </w:pPr>
      <w:r>
        <w:rPr>
          <w:rFonts w:hint="eastAsia" w:ascii="宋体" w:hAnsi="宋体" w:cstheme="minorEastAsia"/>
          <w:color w:val="000000"/>
          <w:sz w:val="24"/>
          <w:highlight w:val="none"/>
        </w:rPr>
        <w:t>联合体牵头人名称：</w:t>
      </w:r>
      <w:r>
        <w:rPr>
          <w:rFonts w:hint="eastAsia" w:ascii="宋体" w:hAnsi="宋体" w:cstheme="minorEastAsia"/>
          <w:color w:val="000000"/>
          <w:sz w:val="24"/>
          <w:szCs w:val="20"/>
          <w:highlight w:val="none"/>
        </w:rPr>
        <w:t>______</w:t>
      </w:r>
      <w:r>
        <w:rPr>
          <w:rFonts w:hint="eastAsia" w:ascii="宋体" w:hAnsi="宋体" w:cstheme="minorEastAsia"/>
          <w:color w:val="000000"/>
          <w:sz w:val="24"/>
          <w:highlight w:val="none"/>
        </w:rPr>
        <w:tab/>
      </w:r>
      <w:r>
        <w:rPr>
          <w:rFonts w:hint="eastAsia" w:ascii="宋体" w:hAnsi="宋体" w:cstheme="minorEastAsia"/>
          <w:color w:val="000000"/>
          <w:sz w:val="24"/>
          <w:highlight w:val="none"/>
        </w:rPr>
        <w:tab/>
      </w:r>
      <w:r>
        <w:rPr>
          <w:rFonts w:hint="eastAsia" w:ascii="宋体" w:hAnsi="宋体" w:cstheme="minorEastAsia"/>
          <w:color w:val="000000"/>
          <w:sz w:val="24"/>
          <w:highlight w:val="none"/>
        </w:rPr>
        <w:tab/>
      </w:r>
      <w:r>
        <w:rPr>
          <w:rFonts w:hint="eastAsia" w:ascii="宋体" w:hAnsi="宋体" w:cstheme="minorEastAsia"/>
          <w:color w:val="000000"/>
          <w:sz w:val="24"/>
          <w:highlight w:val="none"/>
        </w:rPr>
        <w:tab/>
      </w:r>
      <w:r>
        <w:rPr>
          <w:rFonts w:hint="eastAsia" w:ascii="宋体" w:hAnsi="宋体" w:cstheme="minorEastAsia"/>
          <w:color w:val="000000"/>
          <w:sz w:val="24"/>
          <w:highlight w:val="none"/>
        </w:rPr>
        <w:tab/>
      </w:r>
      <w:r>
        <w:rPr>
          <w:rFonts w:hint="eastAsia" w:ascii="宋体" w:hAnsi="宋体" w:cstheme="minorEastAsia"/>
          <w:color w:val="000000"/>
          <w:sz w:val="24"/>
          <w:highlight w:val="none"/>
        </w:rPr>
        <w:t xml:space="preserve"> 联合体成员名称：</w:t>
      </w:r>
      <w:r>
        <w:rPr>
          <w:rFonts w:hint="eastAsia" w:ascii="宋体" w:hAnsi="宋体" w:cstheme="minorEastAsia"/>
          <w:color w:val="000000"/>
          <w:sz w:val="24"/>
          <w:szCs w:val="20"/>
          <w:highlight w:val="none"/>
        </w:rPr>
        <w:t>______</w:t>
      </w:r>
    </w:p>
    <w:p w14:paraId="6C541CF2">
      <w:pPr>
        <w:spacing w:line="360" w:lineRule="auto"/>
        <w:ind w:firstLine="471"/>
        <w:rPr>
          <w:rFonts w:hint="eastAsia" w:ascii="宋体" w:hAnsi="宋体" w:cstheme="minorEastAsia"/>
          <w:color w:val="000000"/>
          <w:sz w:val="24"/>
          <w:highlight w:val="none"/>
        </w:rPr>
      </w:pPr>
      <w:r>
        <w:rPr>
          <w:rFonts w:hint="eastAsia" w:ascii="宋体" w:hAnsi="宋体" w:cstheme="minorEastAsia"/>
          <w:color w:val="000000"/>
          <w:sz w:val="24"/>
          <w:highlight w:val="none"/>
        </w:rPr>
        <w:t>盖章：</w:t>
      </w:r>
      <w:r>
        <w:rPr>
          <w:rFonts w:hint="eastAsia" w:ascii="宋体" w:hAnsi="宋体" w:cstheme="minorEastAsia"/>
          <w:color w:val="000000"/>
          <w:sz w:val="24"/>
          <w:szCs w:val="20"/>
          <w:highlight w:val="none"/>
        </w:rPr>
        <w:t>______</w:t>
      </w:r>
      <w:r>
        <w:rPr>
          <w:rFonts w:hint="eastAsia" w:ascii="宋体" w:hAnsi="宋体" w:cstheme="minorEastAsia"/>
          <w:color w:val="000000"/>
          <w:sz w:val="24"/>
          <w:highlight w:val="none"/>
        </w:rPr>
        <w:t xml:space="preserve">                           盖章：</w:t>
      </w:r>
      <w:r>
        <w:rPr>
          <w:rFonts w:hint="eastAsia" w:ascii="宋体" w:hAnsi="宋体" w:cstheme="minorEastAsia"/>
          <w:color w:val="000000"/>
          <w:sz w:val="24"/>
          <w:szCs w:val="20"/>
          <w:highlight w:val="none"/>
        </w:rPr>
        <w:t>______</w:t>
      </w:r>
    </w:p>
    <w:p w14:paraId="38D9060E">
      <w:pPr>
        <w:spacing w:line="360" w:lineRule="auto"/>
        <w:ind w:firstLine="471"/>
        <w:rPr>
          <w:rFonts w:hint="eastAsia" w:ascii="宋体" w:hAnsi="宋体" w:cstheme="minorEastAsia"/>
          <w:color w:val="000000"/>
          <w:sz w:val="24"/>
          <w:highlight w:val="none"/>
        </w:rPr>
      </w:pPr>
    </w:p>
    <w:p w14:paraId="1DB8F1D4">
      <w:pPr>
        <w:spacing w:line="360" w:lineRule="auto"/>
        <w:ind w:firstLine="471"/>
        <w:rPr>
          <w:rFonts w:hint="eastAsia" w:ascii="宋体" w:hAnsi="宋体" w:cstheme="minorEastAsia"/>
          <w:color w:val="000000"/>
          <w:sz w:val="24"/>
          <w:highlight w:val="none"/>
        </w:rPr>
      </w:pPr>
    </w:p>
    <w:p w14:paraId="2AC130C4">
      <w:pPr>
        <w:spacing w:line="360" w:lineRule="auto"/>
        <w:ind w:firstLine="471"/>
        <w:rPr>
          <w:rFonts w:hint="eastAsia" w:ascii="宋体" w:hAnsi="宋体" w:cstheme="minorEastAsia"/>
          <w:color w:val="000000"/>
          <w:sz w:val="24"/>
          <w:highlight w:val="none"/>
        </w:rPr>
      </w:pPr>
      <w:r>
        <w:rPr>
          <w:rFonts w:hint="eastAsia" w:ascii="宋体" w:hAnsi="宋体" w:cstheme="minorEastAsia"/>
          <w:color w:val="000000"/>
          <w:sz w:val="24"/>
          <w:highlight w:val="none"/>
        </w:rPr>
        <w:t>联合体成员名称：</w:t>
      </w:r>
      <w:r>
        <w:rPr>
          <w:rFonts w:hint="eastAsia" w:ascii="宋体" w:hAnsi="宋体" w:cstheme="minorEastAsia"/>
          <w:color w:val="000000"/>
          <w:sz w:val="24"/>
          <w:szCs w:val="20"/>
          <w:highlight w:val="none"/>
        </w:rPr>
        <w:t>______</w:t>
      </w:r>
    </w:p>
    <w:p w14:paraId="0FD09DDF">
      <w:pPr>
        <w:widowControl/>
        <w:ind w:firstLine="480" w:firstLineChars="20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盖章：</w:t>
      </w:r>
      <w:r>
        <w:rPr>
          <w:rFonts w:hint="eastAsia" w:ascii="宋体" w:hAnsi="宋体" w:cstheme="minorEastAsia"/>
          <w:color w:val="000000"/>
          <w:sz w:val="24"/>
          <w:szCs w:val="20"/>
          <w:highlight w:val="none"/>
        </w:rPr>
        <w:t>______</w:t>
      </w:r>
      <w:r>
        <w:rPr>
          <w:rFonts w:hint="eastAsia" w:ascii="宋体" w:hAnsi="宋体" w:cstheme="minorEastAsia"/>
          <w:color w:val="000000"/>
          <w:sz w:val="24"/>
          <w:highlight w:val="none"/>
        </w:rPr>
        <w:t xml:space="preserve">         </w:t>
      </w:r>
    </w:p>
    <w:p w14:paraId="7CBCC0E0">
      <w:pPr>
        <w:spacing w:line="360" w:lineRule="auto"/>
        <w:ind w:left="480"/>
        <w:jc w:val="right"/>
        <w:rPr>
          <w:rFonts w:hint="eastAsia" w:ascii="宋体" w:hAnsi="宋体" w:cstheme="minorEastAsia"/>
          <w:color w:val="000000"/>
          <w:sz w:val="24"/>
          <w:highlight w:val="none"/>
        </w:rPr>
      </w:pPr>
    </w:p>
    <w:p w14:paraId="3222DED4">
      <w:pPr>
        <w:spacing w:line="360" w:lineRule="auto"/>
        <w:ind w:left="480"/>
        <w:jc w:val="right"/>
        <w:rPr>
          <w:rFonts w:hint="eastAsia" w:ascii="宋体" w:hAnsi="宋体" w:cstheme="minorEastAsia"/>
          <w:color w:val="000000"/>
          <w:sz w:val="24"/>
          <w:highlight w:val="none"/>
        </w:rPr>
      </w:pPr>
      <w:r>
        <w:rPr>
          <w:rFonts w:hint="eastAsia" w:ascii="宋体" w:hAnsi="宋体" w:cstheme="minorEastAsia"/>
          <w:color w:val="000000"/>
          <w:sz w:val="24"/>
          <w:szCs w:val="20"/>
          <w:highlight w:val="none"/>
        </w:rPr>
        <w:t>日期：</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年</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月</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日</w:t>
      </w:r>
    </w:p>
    <w:p w14:paraId="4C9D74A4">
      <w:pPr>
        <w:spacing w:line="360" w:lineRule="auto"/>
        <w:ind w:left="480"/>
        <w:jc w:val="right"/>
        <w:rPr>
          <w:rFonts w:hint="eastAsia" w:ascii="宋体" w:hAnsi="宋体" w:cstheme="minorEastAsia"/>
          <w:b/>
          <w:color w:val="000000"/>
          <w:sz w:val="24"/>
          <w:highlight w:val="none"/>
        </w:rPr>
      </w:pPr>
    </w:p>
    <w:p w14:paraId="2289435C">
      <w:pPr>
        <w:tabs>
          <w:tab w:val="left" w:pos="8280"/>
        </w:tabs>
        <w:spacing w:line="360" w:lineRule="auto"/>
        <w:ind w:firstLine="480"/>
        <w:rPr>
          <w:rFonts w:hint="eastAsia" w:ascii="宋体" w:hAnsi="宋体" w:cstheme="minorEastAsia"/>
          <w:color w:val="000000"/>
          <w:sz w:val="24"/>
          <w:highlight w:val="none"/>
        </w:rPr>
      </w:pPr>
    </w:p>
    <w:p w14:paraId="174D8422">
      <w:pPr>
        <w:tabs>
          <w:tab w:val="left" w:pos="8280"/>
        </w:tabs>
        <w:spacing w:line="360" w:lineRule="auto"/>
        <w:ind w:firstLine="480"/>
        <w:rPr>
          <w:rFonts w:hint="eastAsia" w:ascii="宋体" w:hAnsi="宋体" w:cstheme="minorEastAsia"/>
          <w:color w:val="000000"/>
          <w:sz w:val="24"/>
          <w:highlight w:val="none"/>
        </w:rPr>
      </w:pPr>
    </w:p>
    <w:p w14:paraId="55F6D4DF">
      <w:pPr>
        <w:spacing w:line="360" w:lineRule="auto"/>
        <w:ind w:left="719" w:leftChars="228" w:hanging="240" w:hangingChars="100"/>
        <w:rPr>
          <w:rFonts w:hint="eastAsia" w:ascii="宋体" w:hAnsi="宋体" w:cstheme="minorEastAsia"/>
          <w:color w:val="000000"/>
          <w:sz w:val="24"/>
          <w:highlight w:val="none"/>
        </w:rPr>
      </w:pPr>
      <w:r>
        <w:rPr>
          <w:rFonts w:hint="eastAsia" w:ascii="宋体" w:hAnsi="宋体" w:cstheme="minorEastAsia"/>
          <w:color w:val="000000"/>
          <w:sz w:val="24"/>
          <w:highlight w:val="none"/>
        </w:rPr>
        <w:t>注：</w:t>
      </w:r>
    </w:p>
    <w:p w14:paraId="25FF3356">
      <w:pPr>
        <w:spacing w:line="360" w:lineRule="auto"/>
        <w:ind w:left="719" w:leftChars="228" w:hanging="240" w:hangingChars="100"/>
        <w:rPr>
          <w:rFonts w:hint="eastAsia" w:ascii="宋体" w:hAnsi="宋体" w:cstheme="minorEastAsia"/>
          <w:color w:val="000000"/>
          <w:sz w:val="24"/>
          <w:highlight w:val="none"/>
        </w:rPr>
      </w:pPr>
      <w:r>
        <w:rPr>
          <w:rFonts w:hint="eastAsia" w:ascii="宋体" w:hAnsi="宋体" w:cstheme="minorEastAsia"/>
          <w:color w:val="000000"/>
          <w:sz w:val="24"/>
          <w:highlight w:val="none"/>
        </w:rPr>
        <w:t>1. 如本项目（包）接受供应商以联合体形式参加采购活动，且供应商以联合体形式参与时，须提供《联合协议》，否则</w:t>
      </w:r>
      <w:r>
        <w:rPr>
          <w:rFonts w:hint="eastAsia" w:ascii="宋体" w:hAnsi="宋体" w:cstheme="minorEastAsia"/>
          <w:b/>
          <w:color w:val="000000"/>
          <w:sz w:val="24"/>
          <w:highlight w:val="none"/>
        </w:rPr>
        <w:t>响应无效</w:t>
      </w:r>
      <w:r>
        <w:rPr>
          <w:rFonts w:hint="eastAsia" w:ascii="宋体" w:hAnsi="宋体" w:cstheme="minorEastAsia"/>
          <w:color w:val="000000"/>
          <w:sz w:val="24"/>
          <w:highlight w:val="none"/>
        </w:rPr>
        <w:t>。</w:t>
      </w:r>
    </w:p>
    <w:p w14:paraId="21AB61CE">
      <w:pPr>
        <w:spacing w:line="360" w:lineRule="auto"/>
        <w:ind w:left="719" w:leftChars="228" w:hanging="240" w:hangingChars="100"/>
        <w:rPr>
          <w:rFonts w:hint="eastAsia" w:ascii="宋体" w:hAnsi="宋体" w:cstheme="minorEastAsia"/>
          <w:color w:val="000000"/>
          <w:sz w:val="24"/>
          <w:highlight w:val="none"/>
        </w:rPr>
      </w:pPr>
      <w:r>
        <w:rPr>
          <w:rFonts w:hint="eastAsia" w:ascii="宋体" w:hAnsi="宋体" w:cstheme="minorEastAsia"/>
          <w:color w:val="000000"/>
          <w:sz w:val="24"/>
          <w:highlight w:val="none"/>
        </w:rPr>
        <w:t>2. 联合体各方成员须在本协议上共同盖章。</w:t>
      </w:r>
    </w:p>
    <w:p w14:paraId="3001A9D9">
      <w:pPr>
        <w:widowControl/>
        <w:jc w:val="left"/>
        <w:rPr>
          <w:rFonts w:hint="eastAsia" w:ascii="宋体" w:hAnsi="宋体" w:cstheme="minorEastAsia"/>
          <w:sz w:val="24"/>
          <w:highlight w:val="none"/>
        </w:rPr>
      </w:pPr>
      <w:r>
        <w:rPr>
          <w:rFonts w:hint="eastAsia" w:ascii="宋体" w:hAnsi="宋体" w:cstheme="minorEastAsia"/>
          <w:sz w:val="24"/>
          <w:highlight w:val="none"/>
        </w:rPr>
        <w:br w:type="page"/>
      </w:r>
    </w:p>
    <w:p w14:paraId="354949BC">
      <w:pPr>
        <w:spacing w:line="360" w:lineRule="auto"/>
        <w:outlineLvl w:val="2"/>
        <w:rPr>
          <w:rFonts w:hint="eastAsia" w:ascii="宋体" w:hAnsi="宋体" w:cstheme="minorEastAsia"/>
          <w:sz w:val="24"/>
          <w:szCs w:val="20"/>
          <w:highlight w:val="none"/>
        </w:rPr>
      </w:pPr>
      <w:r>
        <w:rPr>
          <w:rFonts w:hint="eastAsia" w:ascii="宋体" w:hAnsi="宋体" w:cstheme="minorEastAsia"/>
          <w:color w:val="000000"/>
          <w:sz w:val="24"/>
          <w:szCs w:val="20"/>
          <w:highlight w:val="none"/>
        </w:rPr>
        <w:t>3-2 其他</w:t>
      </w:r>
      <w:r>
        <w:rPr>
          <w:rFonts w:hint="eastAsia" w:ascii="宋体" w:hAnsi="宋体" w:cstheme="minorEastAsia"/>
          <w:sz w:val="24"/>
          <w:szCs w:val="20"/>
          <w:highlight w:val="none"/>
        </w:rPr>
        <w:t>特定资格要求</w:t>
      </w:r>
    </w:p>
    <w:p w14:paraId="37C33355">
      <w:pPr>
        <w:wordWrap w:val="0"/>
        <w:spacing w:line="360" w:lineRule="auto"/>
        <w:ind w:firstLine="484" w:firstLineChars="202"/>
        <w:rPr>
          <w:rFonts w:hint="eastAsia" w:ascii="宋体" w:hAnsi="宋体"/>
          <w:sz w:val="24"/>
          <w:highlight w:val="none"/>
          <w:shd w:val="clear" w:color="auto" w:fill="FFFFFF"/>
        </w:rPr>
      </w:pPr>
      <w:r>
        <w:rPr>
          <w:rFonts w:hint="eastAsia" w:ascii="宋体" w:hAnsi="宋体"/>
          <w:sz w:val="24"/>
          <w:highlight w:val="none"/>
          <w:shd w:val="clear" w:color="auto" w:fill="FFFFFF"/>
        </w:rPr>
        <w:t>3.2.1</w:t>
      </w:r>
      <w:r>
        <w:rPr>
          <w:rFonts w:hint="eastAsia" w:ascii="宋体" w:hAnsi="宋体" w:cs="宋体"/>
          <w:color w:val="000000"/>
          <w:kern w:val="0"/>
          <w:sz w:val="24"/>
          <w:highlight w:val="none"/>
          <w:lang w:bidi="ar"/>
        </w:rPr>
        <w:t>供应商须具有有效的建筑工程施工总承包三级（含）以上资质及</w:t>
      </w:r>
      <w:r>
        <w:rPr>
          <w:rFonts w:hint="eastAsia" w:ascii="宋体" w:hAnsi="宋体" w:cs="宋体"/>
          <w:color w:val="000000"/>
          <w:sz w:val="24"/>
          <w:highlight w:val="none"/>
          <w:shd w:val="clear" w:color="auto" w:fill="FFFFFF"/>
        </w:rPr>
        <w:t>有效的《安全生产许可证》</w:t>
      </w:r>
      <w:r>
        <w:rPr>
          <w:rFonts w:hint="eastAsia" w:ascii="宋体" w:hAnsi="宋体"/>
          <w:sz w:val="24"/>
          <w:highlight w:val="none"/>
          <w:shd w:val="clear" w:color="auto" w:fill="FFFFFF"/>
        </w:rPr>
        <w:t>；</w:t>
      </w:r>
    </w:p>
    <w:p w14:paraId="569526B5">
      <w:pPr>
        <w:wordWrap w:val="0"/>
        <w:spacing w:line="360" w:lineRule="auto"/>
        <w:ind w:firstLine="484" w:firstLineChars="202"/>
        <w:rPr>
          <w:rFonts w:hint="eastAsia" w:ascii="宋体" w:hAnsi="宋体"/>
          <w:sz w:val="24"/>
          <w:highlight w:val="none"/>
          <w:shd w:val="clear" w:color="auto" w:fill="FFFFFF"/>
        </w:rPr>
      </w:pPr>
      <w:r>
        <w:rPr>
          <w:rFonts w:hint="eastAsia" w:ascii="宋体" w:hAnsi="宋体"/>
          <w:sz w:val="24"/>
          <w:highlight w:val="none"/>
          <w:shd w:val="clear" w:color="auto" w:fill="FFFFFF"/>
        </w:rPr>
        <w:t>3.2.2供应商拟派项目经理须具有有效的建筑工程专业二级（含）以上注册建造师执业资格及有效的安全生产考核合格证书（B本），且未担任其他在施建设工程项目的项目经理，外地来京建筑企业在办理进京备案时，应当一并办理注册建造师备案手续。</w:t>
      </w:r>
    </w:p>
    <w:p w14:paraId="2C53D4AB">
      <w:pPr>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3.2.3单位负责人为同一人或者存在直接控股、管理关系的不同供应商，不得同时参加本项目同一包的投标。</w:t>
      </w:r>
    </w:p>
    <w:p w14:paraId="05EA1697">
      <w:pPr>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3.2.4为本项目某包提供整体设计、规范编制或者项目管理、监理、检测等服务的供应商，不得参加该包的投标。</w:t>
      </w:r>
    </w:p>
    <w:p w14:paraId="23282537">
      <w:pPr>
        <w:spacing w:line="360" w:lineRule="auto"/>
        <w:ind w:firstLine="480" w:firstLineChars="200"/>
        <w:rPr>
          <w:rFonts w:hint="eastAsia" w:ascii="宋体" w:hAnsi="宋体"/>
          <w:sz w:val="24"/>
          <w:highlight w:val="none"/>
          <w:shd w:val="clear" w:color="auto" w:fill="FFFFFF"/>
        </w:rPr>
      </w:pPr>
      <w:r>
        <w:rPr>
          <w:rFonts w:hint="eastAsia" w:ascii="宋体" w:hAnsi="宋体"/>
          <w:sz w:val="24"/>
          <w:highlight w:val="none"/>
          <w:shd w:val="clear" w:color="auto" w:fill="FFFFFF"/>
        </w:rPr>
        <w:t>3.2.5供应商未被列入“信用中国”（www.creditchina.gov.cn）及“中国政府采购网”（www.ccgp.gov.cn）失信被执行人、重大税收违法案件当事人名单。</w:t>
      </w:r>
    </w:p>
    <w:p w14:paraId="5341A990">
      <w:pPr>
        <w:tabs>
          <w:tab w:val="left" w:pos="5580"/>
        </w:tabs>
        <w:spacing w:line="360" w:lineRule="auto"/>
        <w:rPr>
          <w:rFonts w:hint="eastAsia" w:ascii="宋体" w:hAnsi="宋体" w:cstheme="minorEastAsia"/>
          <w:sz w:val="24"/>
          <w:highlight w:val="none"/>
        </w:rPr>
      </w:pPr>
    </w:p>
    <w:p w14:paraId="0BC0F1B7">
      <w:pPr>
        <w:widowControl/>
        <w:jc w:val="left"/>
        <w:rPr>
          <w:rFonts w:hint="eastAsia" w:ascii="宋体" w:hAnsi="宋体" w:cstheme="minorEastAsia"/>
          <w:sz w:val="24"/>
          <w:szCs w:val="20"/>
          <w:highlight w:val="none"/>
        </w:rPr>
      </w:pPr>
      <w:r>
        <w:rPr>
          <w:rFonts w:hint="eastAsia" w:ascii="宋体" w:hAnsi="宋体" w:cstheme="minorEastAsia"/>
          <w:sz w:val="24"/>
          <w:szCs w:val="20"/>
          <w:highlight w:val="none"/>
        </w:rPr>
        <w:br w:type="page"/>
      </w:r>
    </w:p>
    <w:p w14:paraId="2D5005F7">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4 磋商保证金凭证/交款单据电子件</w:t>
      </w:r>
    </w:p>
    <w:p w14:paraId="41079A9C">
      <w:pPr>
        <w:widowControl/>
        <w:jc w:val="left"/>
        <w:rPr>
          <w:rFonts w:hint="eastAsia" w:ascii="宋体" w:hAnsi="宋体" w:cstheme="minorEastAsia"/>
          <w:kern w:val="0"/>
          <w:sz w:val="24"/>
          <w:szCs w:val="20"/>
          <w:highlight w:val="none"/>
        </w:rPr>
      </w:pPr>
      <w:r>
        <w:rPr>
          <w:rFonts w:hint="eastAsia" w:ascii="宋体" w:hAnsi="宋体" w:cstheme="minorEastAsia"/>
          <w:b/>
          <w:sz w:val="24"/>
          <w:highlight w:val="none"/>
        </w:rPr>
        <w:br w:type="page"/>
      </w:r>
    </w:p>
    <w:p w14:paraId="1C94DC17">
      <w:pPr>
        <w:tabs>
          <w:tab w:val="left" w:pos="360"/>
        </w:tabs>
        <w:snapToGrid w:val="0"/>
        <w:spacing w:line="360" w:lineRule="auto"/>
        <w:outlineLvl w:val="1"/>
        <w:rPr>
          <w:rFonts w:hint="eastAsia" w:ascii="宋体" w:hAnsi="宋体" w:cstheme="minorEastAsia"/>
          <w:sz w:val="24"/>
          <w:highlight w:val="none"/>
        </w:rPr>
      </w:pPr>
      <w:bookmarkStart w:id="1821" w:name="_Hlt520343000"/>
      <w:bookmarkEnd w:id="1821"/>
      <w:bookmarkStart w:id="1822" w:name="_Hlt520343392"/>
      <w:bookmarkEnd w:id="1822"/>
      <w:bookmarkStart w:id="1823" w:name="_Hlt520273711"/>
      <w:bookmarkEnd w:id="1823"/>
      <w:bookmarkStart w:id="1824" w:name="_Hlt520274065"/>
      <w:bookmarkEnd w:id="1824"/>
      <w:bookmarkStart w:id="1825" w:name="_Hlt520274393"/>
      <w:bookmarkEnd w:id="1825"/>
      <w:bookmarkStart w:id="1826" w:name="_Hlt520274407"/>
      <w:bookmarkEnd w:id="1826"/>
      <w:bookmarkStart w:id="1827" w:name="_Hlt520355504"/>
      <w:bookmarkEnd w:id="1827"/>
      <w:bookmarkStart w:id="1828" w:name="_Hlt520350918"/>
      <w:bookmarkEnd w:id="1828"/>
      <w:bookmarkStart w:id="1829" w:name="_Hlt520271212"/>
      <w:bookmarkEnd w:id="1829"/>
      <w:bookmarkStart w:id="1830" w:name="_Hlt520274121"/>
      <w:bookmarkEnd w:id="1830"/>
      <w:bookmarkStart w:id="1831" w:name="_Ref467988698"/>
      <w:bookmarkStart w:id="1832" w:name="_Toc480942349"/>
      <w:bookmarkStart w:id="1833" w:name="_Toc150774761"/>
      <w:bookmarkStart w:id="1834" w:name="_Toc150480794"/>
      <w:bookmarkStart w:id="1835" w:name="_Toc226965829"/>
      <w:bookmarkStart w:id="1836" w:name="_Toc520356217"/>
      <w:bookmarkStart w:id="1837" w:name="_Toc142311058"/>
      <w:bookmarkStart w:id="1838" w:name="_Toc226965746"/>
      <w:bookmarkStart w:id="1839" w:name="_Toc127151556"/>
      <w:bookmarkStart w:id="1840" w:name="_Toc195842921"/>
      <w:bookmarkStart w:id="1841" w:name="_Toc226337252"/>
      <w:bookmarkStart w:id="1842" w:name="_Toc226309800"/>
      <w:r>
        <w:rPr>
          <w:rFonts w:hint="eastAsia" w:ascii="宋体" w:hAnsi="宋体" w:cstheme="minorEastAsia"/>
          <w:sz w:val="24"/>
          <w:highlight w:val="none"/>
        </w:rPr>
        <w:t xml:space="preserve">5  </w:t>
      </w:r>
      <w:bookmarkEnd w:id="1831"/>
      <w:bookmarkEnd w:id="1832"/>
      <w:r>
        <w:rPr>
          <w:rFonts w:hint="eastAsia" w:ascii="宋体" w:hAnsi="宋体" w:cstheme="minorEastAsia"/>
          <w:sz w:val="24"/>
          <w:highlight w:val="none"/>
        </w:rPr>
        <w:t>响应书</w:t>
      </w:r>
      <w:bookmarkEnd w:id="1833"/>
      <w:bookmarkEnd w:id="1834"/>
      <w:bookmarkEnd w:id="1835"/>
      <w:bookmarkEnd w:id="1836"/>
      <w:bookmarkEnd w:id="1837"/>
      <w:bookmarkEnd w:id="1838"/>
      <w:bookmarkEnd w:id="1839"/>
      <w:bookmarkEnd w:id="1840"/>
      <w:bookmarkEnd w:id="1841"/>
      <w:bookmarkEnd w:id="1842"/>
      <w:r>
        <w:rPr>
          <w:rFonts w:hint="eastAsia" w:ascii="宋体" w:hAnsi="宋体" w:cstheme="minorEastAsia"/>
          <w:sz w:val="24"/>
          <w:highlight w:val="none"/>
        </w:rPr>
        <w:t>（实质性格式）</w:t>
      </w:r>
    </w:p>
    <w:p w14:paraId="20B63783">
      <w:pPr>
        <w:tabs>
          <w:tab w:val="left" w:pos="5580"/>
        </w:tabs>
        <w:spacing w:line="360" w:lineRule="auto"/>
        <w:rPr>
          <w:rFonts w:hint="eastAsia" w:ascii="宋体" w:hAnsi="宋体" w:cstheme="minorEastAsia"/>
          <w:color w:val="000000"/>
          <w:sz w:val="24"/>
          <w:highlight w:val="none"/>
        </w:rPr>
      </w:pPr>
    </w:p>
    <w:p w14:paraId="0C4CDAC0">
      <w:pPr>
        <w:spacing w:line="360" w:lineRule="auto"/>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响应书</w:t>
      </w:r>
    </w:p>
    <w:p w14:paraId="60847AB0">
      <w:pPr>
        <w:tabs>
          <w:tab w:val="left" w:pos="5580"/>
        </w:tabs>
        <w:spacing w:line="360" w:lineRule="auto"/>
        <w:rPr>
          <w:rFonts w:hint="eastAsia" w:ascii="宋体" w:hAnsi="宋体" w:cstheme="minorEastAsia"/>
          <w:color w:val="000000"/>
          <w:sz w:val="24"/>
          <w:highlight w:val="none"/>
        </w:rPr>
      </w:pPr>
      <w:r>
        <w:rPr>
          <w:rFonts w:hint="eastAsia" w:ascii="宋体" w:hAnsi="宋体" w:cstheme="minorEastAsia"/>
          <w:color w:val="000000"/>
          <w:sz w:val="24"/>
          <w:highlight w:val="none"/>
        </w:rPr>
        <w:t>致：</w:t>
      </w:r>
      <w:r>
        <w:rPr>
          <w:rFonts w:hint="eastAsia" w:ascii="宋体" w:hAnsi="宋体" w:cstheme="minorEastAsia"/>
          <w:color w:val="000000"/>
          <w:sz w:val="24"/>
          <w:highlight w:val="none"/>
          <w:u w:val="single"/>
        </w:rPr>
        <w:t>（采购人或采购代理机构）</w:t>
      </w:r>
    </w:p>
    <w:p w14:paraId="2117AD6E">
      <w:pPr>
        <w:tabs>
          <w:tab w:val="left" w:pos="5580"/>
        </w:tabs>
        <w:spacing w:line="360" w:lineRule="auto"/>
        <w:rPr>
          <w:rFonts w:hint="eastAsia" w:ascii="宋体" w:hAnsi="宋体" w:cstheme="minorEastAsia"/>
          <w:color w:val="000000"/>
          <w:sz w:val="24"/>
          <w:szCs w:val="20"/>
          <w:highlight w:val="none"/>
        </w:rPr>
      </w:pPr>
    </w:p>
    <w:p w14:paraId="418C37B6">
      <w:pPr>
        <w:tabs>
          <w:tab w:val="left" w:pos="5580"/>
        </w:tabs>
        <w:spacing w:line="360" w:lineRule="auto"/>
        <w:ind w:firstLine="408"/>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我方参加你方就</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（项目名称，项目编号/包号）组织的采购活动，并对此项目进行磋商。</w:t>
      </w:r>
    </w:p>
    <w:p w14:paraId="3510A1E4">
      <w:pPr>
        <w:tabs>
          <w:tab w:val="left" w:pos="5580"/>
        </w:tabs>
        <w:spacing w:line="360" w:lineRule="auto"/>
        <w:ind w:firstLine="408"/>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1. 我方</w:t>
      </w:r>
      <w:r>
        <w:rPr>
          <w:rFonts w:hint="eastAsia" w:ascii="宋体" w:hAnsi="宋体" w:cstheme="minorEastAsia"/>
          <w:color w:val="000000"/>
          <w:sz w:val="24"/>
          <w:highlight w:val="none"/>
        </w:rPr>
        <w:t>已详细审查全部竞争性磋商文件</w:t>
      </w:r>
      <w:r>
        <w:rPr>
          <w:rFonts w:hint="eastAsia" w:ascii="宋体" w:hAnsi="宋体" w:cstheme="minorEastAsia"/>
          <w:color w:val="000000"/>
          <w:sz w:val="24"/>
          <w:szCs w:val="20"/>
          <w:highlight w:val="none"/>
        </w:rPr>
        <w:t>，自愿参与磋商并承诺如下：</w:t>
      </w:r>
    </w:p>
    <w:p w14:paraId="4F50D476">
      <w:pPr>
        <w:tabs>
          <w:tab w:val="left" w:pos="720"/>
          <w:tab w:val="left" w:pos="900"/>
        </w:tabs>
        <w:spacing w:line="360" w:lineRule="auto"/>
        <w:ind w:left="360" w:firstLine="72" w:firstLineChars="3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（1）本响应有效期为自响应文件提交截止之日起</w:t>
      </w:r>
      <w:r>
        <w:rPr>
          <w:rFonts w:hint="eastAsia" w:ascii="宋体" w:hAnsi="宋体" w:cstheme="minorEastAsia"/>
          <w:sz w:val="24"/>
          <w:highlight w:val="none"/>
        </w:rPr>
        <w:t>______</w:t>
      </w:r>
      <w:r>
        <w:rPr>
          <w:rFonts w:hint="eastAsia" w:ascii="宋体" w:hAnsi="宋体" w:cstheme="minorEastAsia"/>
          <w:color w:val="000000"/>
          <w:sz w:val="24"/>
          <w:szCs w:val="20"/>
          <w:highlight w:val="none"/>
        </w:rPr>
        <w:t>个日历日。</w:t>
      </w:r>
    </w:p>
    <w:p w14:paraId="474B83A6">
      <w:pPr>
        <w:tabs>
          <w:tab w:val="left" w:pos="720"/>
          <w:tab w:val="left" w:pos="900"/>
        </w:tabs>
        <w:spacing w:line="360" w:lineRule="auto"/>
        <w:ind w:left="360" w:firstLine="72" w:firstLineChars="3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（2）除合同条款及采购需求偏离表列出的偏离外，我方响应竞争性磋商文件的全部要求。</w:t>
      </w:r>
    </w:p>
    <w:p w14:paraId="21BBC9D3">
      <w:pPr>
        <w:tabs>
          <w:tab w:val="left" w:pos="5580"/>
        </w:tabs>
        <w:spacing w:line="360" w:lineRule="auto"/>
        <w:ind w:firstLine="420" w:firstLineChars="175"/>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（3）我方已提供的全部文件资料是真实、准确的，并对此承担一切法律后果。</w:t>
      </w:r>
    </w:p>
    <w:p w14:paraId="68321281">
      <w:pPr>
        <w:tabs>
          <w:tab w:val="left" w:pos="5580"/>
        </w:tabs>
        <w:spacing w:line="360" w:lineRule="auto"/>
        <w:ind w:firstLine="420" w:firstLineChars="175"/>
        <w:rPr>
          <w:rFonts w:hint="eastAsia" w:ascii="宋体" w:hAnsi="宋体" w:cstheme="minorEastAsia"/>
          <w:color w:val="000000"/>
          <w:sz w:val="24"/>
          <w:highlight w:val="none"/>
        </w:rPr>
      </w:pPr>
      <w:r>
        <w:rPr>
          <w:rFonts w:hint="eastAsia" w:ascii="宋体" w:hAnsi="宋体" w:cstheme="minorEastAsia"/>
          <w:color w:val="000000"/>
          <w:sz w:val="24"/>
          <w:szCs w:val="20"/>
          <w:highlight w:val="none"/>
        </w:rPr>
        <w:t>（4）如我方成交，我方将在法律规定的期限内与你方签订合同，按照竞争性磋商文件要求提交履约保证金，并在合同约定的期限内完成合同规定的全部义务。</w:t>
      </w:r>
    </w:p>
    <w:p w14:paraId="16FBFDF1">
      <w:pPr>
        <w:spacing w:line="360" w:lineRule="auto"/>
        <w:ind w:left="420"/>
        <w:rPr>
          <w:rFonts w:hint="eastAsia" w:ascii="宋体" w:hAnsi="宋体" w:cstheme="minorEastAsia"/>
          <w:color w:val="000000"/>
          <w:sz w:val="24"/>
          <w:highlight w:val="none"/>
        </w:rPr>
      </w:pPr>
      <w:r>
        <w:rPr>
          <w:rFonts w:hint="eastAsia" w:ascii="宋体" w:hAnsi="宋体" w:cstheme="minorEastAsia"/>
          <w:color w:val="000000"/>
          <w:sz w:val="24"/>
          <w:highlight w:val="none"/>
        </w:rPr>
        <w:t>2. 其他补充条款（如有）：</w:t>
      </w:r>
      <w:r>
        <w:rPr>
          <w:rFonts w:hint="eastAsia" w:ascii="宋体" w:hAnsi="宋体" w:cstheme="minorEastAsia"/>
          <w:sz w:val="24"/>
          <w:highlight w:val="none"/>
        </w:rPr>
        <w:t>______</w:t>
      </w:r>
      <w:r>
        <w:rPr>
          <w:rFonts w:hint="eastAsia" w:ascii="宋体" w:hAnsi="宋体" w:cstheme="minorEastAsia"/>
          <w:color w:val="000000"/>
          <w:sz w:val="24"/>
          <w:highlight w:val="none"/>
        </w:rPr>
        <w:t>。</w:t>
      </w:r>
    </w:p>
    <w:p w14:paraId="375C9056">
      <w:pPr>
        <w:spacing w:line="360" w:lineRule="auto"/>
        <w:ind w:firstLine="480" w:firstLineChars="200"/>
        <w:rPr>
          <w:rFonts w:hint="eastAsia" w:ascii="宋体" w:hAnsi="宋体" w:cstheme="minorEastAsia"/>
          <w:color w:val="000000"/>
          <w:sz w:val="24"/>
          <w:highlight w:val="none"/>
        </w:rPr>
      </w:pPr>
      <w:r>
        <w:rPr>
          <w:rFonts w:hint="eastAsia" w:ascii="宋体" w:hAnsi="宋体" w:cstheme="minorEastAsia"/>
          <w:color w:val="000000"/>
          <w:sz w:val="24"/>
          <w:highlight w:val="none"/>
        </w:rPr>
        <w:t>与本磋商有关的一切正式往来信函请寄：</w:t>
      </w:r>
    </w:p>
    <w:p w14:paraId="67AAB8DB">
      <w:pPr>
        <w:tabs>
          <w:tab w:val="left" w:pos="5580"/>
        </w:tabs>
        <w:spacing w:line="360" w:lineRule="auto"/>
        <w:ind w:left="420"/>
        <w:rPr>
          <w:rFonts w:hint="eastAsia" w:ascii="宋体" w:hAnsi="宋体" w:cstheme="minorEastAsia"/>
          <w:color w:val="000000"/>
          <w:sz w:val="24"/>
          <w:szCs w:val="20"/>
          <w:highlight w:val="none"/>
        </w:rPr>
      </w:pPr>
    </w:p>
    <w:p w14:paraId="339C3E44">
      <w:pPr>
        <w:tabs>
          <w:tab w:val="left" w:pos="5580"/>
        </w:tabs>
        <w:spacing w:line="360" w:lineRule="auto"/>
        <w:ind w:left="42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地址</w:t>
      </w:r>
      <w:r>
        <w:rPr>
          <w:rFonts w:hint="eastAsia" w:ascii="宋体" w:hAnsi="宋体" w:cstheme="minorEastAsia"/>
          <w:bCs/>
          <w:color w:val="000000"/>
          <w:sz w:val="24"/>
          <w:highlight w:val="none"/>
        </w:rPr>
        <w:t>_________________________</w:t>
      </w:r>
      <w:r>
        <w:rPr>
          <w:rFonts w:hint="eastAsia" w:ascii="宋体" w:hAnsi="宋体" w:cstheme="minorEastAsia"/>
          <w:color w:val="000000"/>
          <w:sz w:val="24"/>
          <w:szCs w:val="20"/>
          <w:highlight w:val="none"/>
        </w:rPr>
        <w:t xml:space="preserve">      传   真</w:t>
      </w:r>
      <w:r>
        <w:rPr>
          <w:rFonts w:hint="eastAsia" w:ascii="宋体" w:hAnsi="宋体" w:cstheme="minorEastAsia"/>
          <w:bCs/>
          <w:color w:val="000000"/>
          <w:sz w:val="24"/>
          <w:highlight w:val="none"/>
        </w:rPr>
        <w:t>_________________________</w:t>
      </w:r>
    </w:p>
    <w:p w14:paraId="226917E5">
      <w:pPr>
        <w:tabs>
          <w:tab w:val="left" w:pos="5580"/>
        </w:tabs>
        <w:spacing w:line="360" w:lineRule="auto"/>
        <w:ind w:left="42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电话</w:t>
      </w:r>
      <w:r>
        <w:rPr>
          <w:rFonts w:hint="eastAsia" w:ascii="宋体" w:hAnsi="宋体" w:cstheme="minorEastAsia"/>
          <w:bCs/>
          <w:color w:val="000000"/>
          <w:sz w:val="24"/>
          <w:highlight w:val="none"/>
        </w:rPr>
        <w:t>_________________________</w:t>
      </w:r>
      <w:r>
        <w:rPr>
          <w:rFonts w:hint="eastAsia" w:ascii="宋体" w:hAnsi="宋体" w:cstheme="minorEastAsia"/>
          <w:color w:val="000000"/>
          <w:sz w:val="24"/>
          <w:szCs w:val="20"/>
          <w:highlight w:val="none"/>
        </w:rPr>
        <w:t xml:space="preserve">      电子函件</w:t>
      </w:r>
      <w:r>
        <w:rPr>
          <w:rFonts w:hint="eastAsia" w:ascii="宋体" w:hAnsi="宋体" w:cstheme="minorEastAsia"/>
          <w:bCs/>
          <w:color w:val="000000"/>
          <w:sz w:val="24"/>
          <w:highlight w:val="none"/>
        </w:rPr>
        <w:t>_________________________</w:t>
      </w:r>
    </w:p>
    <w:p w14:paraId="0ABCAF7C">
      <w:pPr>
        <w:tabs>
          <w:tab w:val="left" w:pos="5580"/>
        </w:tabs>
        <w:spacing w:line="360" w:lineRule="auto"/>
        <w:ind w:left="420"/>
        <w:rPr>
          <w:rFonts w:hint="eastAsia" w:ascii="宋体" w:hAnsi="宋体" w:cstheme="minorEastAsia"/>
          <w:color w:val="000000"/>
          <w:sz w:val="24"/>
          <w:szCs w:val="20"/>
          <w:highlight w:val="none"/>
        </w:rPr>
      </w:pPr>
    </w:p>
    <w:p w14:paraId="501F4215">
      <w:pPr>
        <w:tabs>
          <w:tab w:val="left" w:pos="5580"/>
        </w:tabs>
        <w:spacing w:line="360" w:lineRule="auto"/>
        <w:ind w:left="420"/>
        <w:rPr>
          <w:rFonts w:hint="eastAsia" w:ascii="宋体" w:hAnsi="宋体" w:cstheme="minorEastAsia"/>
          <w:color w:val="000000"/>
          <w:sz w:val="24"/>
          <w:szCs w:val="20"/>
          <w:highlight w:val="none"/>
        </w:rPr>
      </w:pPr>
    </w:p>
    <w:p w14:paraId="4236BAE2">
      <w:pPr>
        <w:tabs>
          <w:tab w:val="left" w:pos="5580"/>
        </w:tabs>
        <w:spacing w:line="360" w:lineRule="auto"/>
        <w:ind w:left="420"/>
        <w:rPr>
          <w:rFonts w:hint="eastAsia" w:ascii="宋体" w:hAnsi="宋体" w:cstheme="minorEastAsia"/>
          <w:color w:val="000000"/>
          <w:sz w:val="24"/>
          <w:szCs w:val="20"/>
          <w:highlight w:val="none"/>
        </w:rPr>
      </w:pPr>
    </w:p>
    <w:p w14:paraId="493F11D1">
      <w:pPr>
        <w:autoSpaceDE w:val="0"/>
        <w:autoSpaceDN w:val="0"/>
        <w:adjustRightInd w:val="0"/>
        <w:snapToGrid w:val="0"/>
        <w:spacing w:before="25" w:after="25" w:line="360" w:lineRule="auto"/>
        <w:ind w:right="360" w:firstLine="360" w:firstLineChars="150"/>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sz w:val="24"/>
          <w:highlight w:val="none"/>
        </w:rPr>
        <w:t>______</w:t>
      </w:r>
    </w:p>
    <w:p w14:paraId="34244B67">
      <w:pPr>
        <w:tabs>
          <w:tab w:val="left" w:pos="5580"/>
        </w:tabs>
        <w:spacing w:line="360" w:lineRule="auto"/>
        <w:ind w:firstLine="360" w:firstLineChars="15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 xml:space="preserve">日期：____年____月____日  </w:t>
      </w:r>
    </w:p>
    <w:p w14:paraId="10204323">
      <w:pPr>
        <w:tabs>
          <w:tab w:val="left" w:pos="5580"/>
        </w:tabs>
        <w:spacing w:line="360" w:lineRule="auto"/>
        <w:ind w:left="420"/>
        <w:jc w:val="left"/>
        <w:rPr>
          <w:rFonts w:hint="eastAsia" w:ascii="宋体" w:hAnsi="宋体" w:cstheme="minorEastAsia"/>
          <w:color w:val="000000"/>
          <w:sz w:val="24"/>
          <w:szCs w:val="20"/>
          <w:highlight w:val="none"/>
        </w:rPr>
      </w:pPr>
    </w:p>
    <w:p w14:paraId="155A3423">
      <w:pPr>
        <w:widowControl/>
        <w:jc w:val="left"/>
        <w:rPr>
          <w:rFonts w:hint="eastAsia" w:ascii="宋体" w:hAnsi="宋体" w:cstheme="minorEastAsia"/>
          <w:b/>
          <w:color w:val="000000"/>
          <w:sz w:val="24"/>
          <w:szCs w:val="20"/>
          <w:highlight w:val="none"/>
        </w:rPr>
      </w:pPr>
      <w:r>
        <w:rPr>
          <w:rFonts w:hint="eastAsia" w:ascii="宋体" w:hAnsi="宋体" w:cstheme="minorEastAsia"/>
          <w:b/>
          <w:color w:val="000000"/>
          <w:sz w:val="24"/>
          <w:szCs w:val="20"/>
          <w:highlight w:val="none"/>
        </w:rPr>
        <w:br w:type="page"/>
      </w:r>
    </w:p>
    <w:p w14:paraId="09810F03">
      <w:pPr>
        <w:tabs>
          <w:tab w:val="left" w:pos="360"/>
        </w:tabs>
        <w:snapToGrid w:val="0"/>
        <w:spacing w:line="360" w:lineRule="auto"/>
        <w:outlineLvl w:val="1"/>
        <w:rPr>
          <w:rFonts w:hint="eastAsia" w:ascii="宋体" w:hAnsi="宋体" w:cstheme="minorEastAsia"/>
          <w:sz w:val="24"/>
          <w:highlight w:val="none"/>
        </w:rPr>
      </w:pPr>
      <w:bookmarkStart w:id="1843" w:name="_Hlt520355938"/>
      <w:bookmarkEnd w:id="1843"/>
      <w:bookmarkStart w:id="1844" w:name="_Hlt520356243"/>
      <w:bookmarkEnd w:id="1844"/>
      <w:bookmarkStart w:id="1845" w:name="_Toc480942350"/>
      <w:bookmarkStart w:id="1846" w:name="_Toc127151557"/>
      <w:bookmarkStart w:id="1847" w:name="_Toc150480795"/>
      <w:bookmarkStart w:id="1848" w:name="_Toc305158899"/>
      <w:bookmarkStart w:id="1849" w:name="_Toc195842922"/>
      <w:bookmarkStart w:id="1850" w:name="_Toc226965830"/>
      <w:bookmarkStart w:id="1851" w:name="_Toc226965747"/>
      <w:bookmarkStart w:id="1852" w:name="_Toc265228395"/>
      <w:bookmarkStart w:id="1853" w:name="_Toc264969247"/>
      <w:bookmarkStart w:id="1854" w:name="_Toc305158825"/>
      <w:bookmarkStart w:id="1855" w:name="_Toc520356218"/>
      <w:bookmarkStart w:id="1856" w:name="_Toc226337253"/>
      <w:bookmarkStart w:id="1857" w:name="_Ref467988705"/>
      <w:bookmarkStart w:id="1858" w:name="_Toc142311059"/>
      <w:bookmarkStart w:id="1859" w:name="_Toc150774762"/>
      <w:bookmarkStart w:id="1860" w:name="_Toc226309801"/>
      <w:r>
        <w:rPr>
          <w:rFonts w:hint="eastAsia" w:ascii="宋体" w:hAnsi="宋体" w:cstheme="minorEastAsia"/>
          <w:sz w:val="24"/>
          <w:highlight w:val="none"/>
        </w:rPr>
        <w:t>6  授权委托书（实质性格式）</w:t>
      </w:r>
    </w:p>
    <w:p w14:paraId="389D9F26">
      <w:pPr>
        <w:autoSpaceDE w:val="0"/>
        <w:autoSpaceDN w:val="0"/>
        <w:adjustRightInd w:val="0"/>
        <w:spacing w:line="360" w:lineRule="auto"/>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授权委托书</w:t>
      </w:r>
    </w:p>
    <w:p w14:paraId="1FD12059">
      <w:pPr>
        <w:spacing w:line="360" w:lineRule="auto"/>
        <w:ind w:firstLine="42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5B08CA71">
      <w:pPr>
        <w:spacing w:line="360" w:lineRule="auto"/>
        <w:ind w:firstLine="42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委托期限：自本授权委托书签署之日起至响应有效期届满之日止。</w:t>
      </w:r>
    </w:p>
    <w:p w14:paraId="72187F42">
      <w:pPr>
        <w:spacing w:line="360" w:lineRule="auto"/>
        <w:ind w:firstLine="42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代理人无转委托权。</w:t>
      </w:r>
      <w:r>
        <w:rPr>
          <w:rFonts w:hint="eastAsia" w:ascii="宋体" w:hAnsi="宋体" w:cstheme="minorEastAsia"/>
          <w:color w:val="000000"/>
          <w:sz w:val="24"/>
          <w:szCs w:val="20"/>
          <w:highlight w:val="none"/>
        </w:rPr>
        <w:cr/>
      </w:r>
    </w:p>
    <w:p w14:paraId="526BCBE5">
      <w:pPr>
        <w:spacing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color w:val="000000"/>
          <w:sz w:val="24"/>
          <w:szCs w:val="20"/>
          <w:highlight w:val="none"/>
        </w:rPr>
        <w:t>______________</w:t>
      </w:r>
    </w:p>
    <w:p w14:paraId="2EE4CEF9">
      <w:pPr>
        <w:spacing w:line="360" w:lineRule="auto"/>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法定代表人（单位负责人）（签字或签章）：______________</w:t>
      </w:r>
    </w:p>
    <w:p w14:paraId="31463586">
      <w:pPr>
        <w:autoSpaceDE w:val="0"/>
        <w:autoSpaceDN w:val="0"/>
        <w:adjustRightInd w:val="0"/>
        <w:snapToGrid w:val="0"/>
        <w:spacing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委托代理人（签字</w:t>
      </w:r>
      <w:r>
        <w:rPr>
          <w:rFonts w:hint="eastAsia" w:ascii="宋体" w:hAnsi="宋体" w:cstheme="minorEastAsia"/>
          <w:color w:val="000000"/>
          <w:sz w:val="24"/>
          <w:szCs w:val="20"/>
          <w:highlight w:val="none"/>
        </w:rPr>
        <w:t>或签章</w:t>
      </w:r>
      <w:r>
        <w:rPr>
          <w:rFonts w:hint="eastAsia" w:ascii="宋体" w:hAnsi="宋体" w:cstheme="minorEastAsia"/>
          <w:color w:val="000000"/>
          <w:sz w:val="24"/>
          <w:highlight w:val="none"/>
        </w:rPr>
        <w:t>）：</w:t>
      </w:r>
      <w:r>
        <w:rPr>
          <w:rFonts w:hint="eastAsia" w:ascii="宋体" w:hAnsi="宋体" w:cstheme="minorEastAsia"/>
          <w:color w:val="000000"/>
          <w:sz w:val="24"/>
          <w:szCs w:val="20"/>
          <w:highlight w:val="none"/>
        </w:rPr>
        <w:t>______________</w:t>
      </w:r>
      <w:r>
        <w:rPr>
          <w:rFonts w:hint="eastAsia" w:ascii="宋体" w:hAnsi="宋体" w:cstheme="minorEastAsia"/>
          <w:color w:val="000000"/>
          <w:sz w:val="24"/>
          <w:highlight w:val="none"/>
          <w:lang w:val="zh-CN"/>
        </w:rPr>
        <w:t xml:space="preserve">        </w:t>
      </w:r>
    </w:p>
    <w:p w14:paraId="1658CB36">
      <w:pPr>
        <w:autoSpaceDE w:val="0"/>
        <w:autoSpaceDN w:val="0"/>
        <w:adjustRightInd w:val="0"/>
        <w:snapToGrid w:val="0"/>
        <w:spacing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日期：</w:t>
      </w:r>
      <w:r>
        <w:rPr>
          <w:rFonts w:hint="eastAsia" w:ascii="宋体" w:hAnsi="宋体" w:cstheme="minorEastAsia"/>
          <w:color w:val="000000"/>
          <w:sz w:val="24"/>
          <w:szCs w:val="20"/>
          <w:highlight w:val="none"/>
        </w:rPr>
        <w:t>____</w:t>
      </w:r>
      <w:r>
        <w:rPr>
          <w:rFonts w:hint="eastAsia" w:ascii="宋体" w:hAnsi="宋体" w:cstheme="minorEastAsia"/>
          <w:color w:val="000000"/>
          <w:sz w:val="24"/>
          <w:highlight w:val="none"/>
        </w:rPr>
        <w:t>年</w:t>
      </w:r>
      <w:r>
        <w:rPr>
          <w:rFonts w:hint="eastAsia" w:ascii="宋体" w:hAnsi="宋体" w:cstheme="minorEastAsia"/>
          <w:color w:val="000000"/>
          <w:sz w:val="24"/>
          <w:szCs w:val="20"/>
          <w:highlight w:val="none"/>
        </w:rPr>
        <w:t>____</w:t>
      </w:r>
      <w:r>
        <w:rPr>
          <w:rFonts w:hint="eastAsia" w:ascii="宋体" w:hAnsi="宋体" w:cstheme="minorEastAsia"/>
          <w:color w:val="000000"/>
          <w:sz w:val="24"/>
          <w:highlight w:val="none"/>
        </w:rPr>
        <w:t>月</w:t>
      </w:r>
      <w:r>
        <w:rPr>
          <w:rFonts w:hint="eastAsia" w:ascii="宋体" w:hAnsi="宋体" w:cstheme="minorEastAsia"/>
          <w:color w:val="000000"/>
          <w:sz w:val="24"/>
          <w:szCs w:val="20"/>
          <w:highlight w:val="none"/>
        </w:rPr>
        <w:t>____</w:t>
      </w:r>
      <w:r>
        <w:rPr>
          <w:rFonts w:hint="eastAsia" w:ascii="宋体" w:hAnsi="宋体" w:cstheme="minorEastAsia"/>
          <w:color w:val="000000"/>
          <w:sz w:val="24"/>
          <w:highlight w:val="none"/>
        </w:rPr>
        <w:t>日</w:t>
      </w:r>
    </w:p>
    <w:p w14:paraId="5D08D98D">
      <w:pPr>
        <w:tabs>
          <w:tab w:val="left" w:pos="5580"/>
        </w:tabs>
        <w:spacing w:line="360" w:lineRule="auto"/>
        <w:ind w:firstLine="480" w:firstLineChars="200"/>
        <w:rPr>
          <w:rFonts w:hint="eastAsia" w:ascii="宋体" w:hAnsi="宋体" w:cstheme="minorEastAsia"/>
          <w:color w:val="000000"/>
          <w:sz w:val="24"/>
          <w:szCs w:val="20"/>
          <w:highlight w:val="none"/>
        </w:rPr>
      </w:pPr>
    </w:p>
    <w:p w14:paraId="0FAB0D4D">
      <w:pPr>
        <w:tabs>
          <w:tab w:val="left" w:pos="5580"/>
        </w:tabs>
        <w:spacing w:line="360" w:lineRule="auto"/>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附：法定代表人</w:t>
      </w:r>
      <w:r>
        <w:rPr>
          <w:rFonts w:hint="eastAsia" w:ascii="宋体" w:hAnsi="宋体" w:cstheme="minorEastAsia"/>
          <w:sz w:val="24"/>
          <w:szCs w:val="20"/>
          <w:highlight w:val="none"/>
        </w:rPr>
        <w:t>（单位负责人）</w:t>
      </w:r>
      <w:r>
        <w:rPr>
          <w:rFonts w:hint="eastAsia" w:ascii="宋体" w:hAnsi="宋体" w:cstheme="minorEastAsia"/>
          <w:color w:val="000000"/>
          <w:sz w:val="24"/>
          <w:szCs w:val="20"/>
          <w:highlight w:val="none"/>
        </w:rPr>
        <w:t>及委托代理人身份证明文件电子件：</w:t>
      </w:r>
    </w:p>
    <w:p w14:paraId="494828CE">
      <w:pPr>
        <w:tabs>
          <w:tab w:val="left" w:pos="5580"/>
        </w:tabs>
        <w:spacing w:line="360" w:lineRule="auto"/>
        <w:jc w:val="left"/>
        <w:rPr>
          <w:rFonts w:hint="eastAsia" w:ascii="宋体" w:hAnsi="宋体" w:cstheme="minorEastAsia"/>
          <w:color w:val="000000"/>
          <w:sz w:val="24"/>
          <w:szCs w:val="20"/>
          <w:highlight w:val="none"/>
        </w:rPr>
      </w:pPr>
    </w:p>
    <w:p w14:paraId="763DDCB6">
      <w:pPr>
        <w:tabs>
          <w:tab w:val="left" w:pos="5580"/>
        </w:tabs>
        <w:spacing w:line="360" w:lineRule="auto"/>
        <w:jc w:val="left"/>
        <w:rPr>
          <w:rFonts w:hint="eastAsia" w:ascii="宋体" w:hAnsi="宋体" w:cstheme="minorEastAsia"/>
          <w:color w:val="000000"/>
          <w:sz w:val="24"/>
          <w:szCs w:val="20"/>
          <w:highlight w:val="none"/>
        </w:rPr>
      </w:pPr>
    </w:p>
    <w:p w14:paraId="0D21106F">
      <w:pPr>
        <w:tabs>
          <w:tab w:val="left" w:pos="5580"/>
        </w:tabs>
        <w:spacing w:line="360" w:lineRule="auto"/>
        <w:jc w:val="left"/>
        <w:rPr>
          <w:rFonts w:hint="eastAsia" w:ascii="宋体" w:hAnsi="宋体" w:cstheme="minorEastAsia"/>
          <w:color w:val="000000"/>
          <w:sz w:val="24"/>
          <w:szCs w:val="20"/>
          <w:highlight w:val="none"/>
        </w:rPr>
      </w:pPr>
    </w:p>
    <w:p w14:paraId="26B4FCB4">
      <w:pPr>
        <w:tabs>
          <w:tab w:val="left" w:pos="5580"/>
        </w:tabs>
        <w:spacing w:line="360" w:lineRule="auto"/>
        <w:jc w:val="left"/>
        <w:rPr>
          <w:rFonts w:hint="eastAsia" w:ascii="宋体" w:hAnsi="宋体" w:cstheme="minorEastAsia"/>
          <w:color w:val="000000"/>
          <w:sz w:val="24"/>
          <w:szCs w:val="20"/>
          <w:highlight w:val="none"/>
        </w:rPr>
      </w:pPr>
    </w:p>
    <w:p w14:paraId="0355A07D">
      <w:pPr>
        <w:tabs>
          <w:tab w:val="left" w:pos="5580"/>
        </w:tabs>
        <w:spacing w:line="360" w:lineRule="auto"/>
        <w:jc w:val="left"/>
        <w:rPr>
          <w:rFonts w:hint="eastAsia" w:ascii="宋体" w:hAnsi="宋体" w:cstheme="minorEastAsia"/>
          <w:color w:val="000000"/>
          <w:sz w:val="24"/>
          <w:szCs w:val="20"/>
          <w:highlight w:val="none"/>
        </w:rPr>
      </w:pPr>
    </w:p>
    <w:p w14:paraId="7E001AB5">
      <w:pPr>
        <w:tabs>
          <w:tab w:val="left" w:pos="5580"/>
        </w:tabs>
        <w:spacing w:line="360" w:lineRule="auto"/>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说明：</w:t>
      </w:r>
    </w:p>
    <w:p w14:paraId="3E2533F9">
      <w:pPr>
        <w:tabs>
          <w:tab w:val="left" w:pos="5580"/>
        </w:tabs>
        <w:spacing w:line="360" w:lineRule="auto"/>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1.若供应商为事业单位或其他组织或分支机构，则法定代表人（单位负责人）处的签署人可为单位负责人。</w:t>
      </w:r>
    </w:p>
    <w:p w14:paraId="7624FCBD">
      <w:pPr>
        <w:tabs>
          <w:tab w:val="left" w:pos="5580"/>
        </w:tabs>
        <w:spacing w:line="360" w:lineRule="auto"/>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2.若响应文件中签字之处均为法定代表人（单位负责人）本人签署，则可不提供本《授权委托书》，但须提供《法定代表人（单位负责人）身份证明》；否则，不需要提供《法定代表人（单位负责人）身份证明》。</w:t>
      </w:r>
    </w:p>
    <w:p w14:paraId="7A54E764">
      <w:pPr>
        <w:tabs>
          <w:tab w:val="left" w:pos="5580"/>
        </w:tabs>
        <w:spacing w:line="360" w:lineRule="auto"/>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3.供应商为自然人的情形，可不提供本《授权委托书》。</w:t>
      </w:r>
    </w:p>
    <w:p w14:paraId="53DAA52B">
      <w:pPr>
        <w:tabs>
          <w:tab w:val="left" w:pos="5580"/>
        </w:tabs>
        <w:spacing w:line="360" w:lineRule="auto"/>
        <w:jc w:val="left"/>
        <w:rPr>
          <w:rFonts w:hint="eastAsia" w:ascii="宋体" w:hAnsi="宋体" w:cstheme="minorEastAsia"/>
          <w:color w:val="000000"/>
          <w:sz w:val="30"/>
          <w:szCs w:val="30"/>
          <w:highlight w:val="none"/>
        </w:rPr>
      </w:pPr>
      <w:r>
        <w:rPr>
          <w:rFonts w:hint="eastAsia" w:ascii="宋体" w:hAnsi="宋体" w:cstheme="minorEastAsia"/>
          <w:color w:val="000000"/>
          <w:sz w:val="24"/>
          <w:szCs w:val="20"/>
          <w:highlight w:val="none"/>
        </w:rPr>
        <w:t>4.供应商应随本《授权委托书》同时提供法定代表人（单位负责人）及委托代理人的有效的身份证或护照等身份证明文件电子件。提供身份证的，应同时提供身份证</w:t>
      </w:r>
      <w:r>
        <w:rPr>
          <w:rFonts w:hint="eastAsia" w:ascii="宋体" w:hAnsi="宋体" w:cstheme="minorEastAsia"/>
          <w:b/>
          <w:color w:val="000000"/>
          <w:sz w:val="24"/>
          <w:szCs w:val="20"/>
          <w:highlight w:val="none"/>
        </w:rPr>
        <w:t>双面</w:t>
      </w:r>
      <w:r>
        <w:rPr>
          <w:rFonts w:hint="eastAsia" w:ascii="宋体" w:hAnsi="宋体" w:cstheme="minorEastAsia"/>
          <w:color w:val="000000"/>
          <w:sz w:val="24"/>
          <w:szCs w:val="20"/>
          <w:highlight w:val="none"/>
        </w:rPr>
        <w:t>电子件。</w:t>
      </w:r>
      <w:r>
        <w:rPr>
          <w:rFonts w:hint="eastAsia" w:ascii="宋体" w:hAnsi="宋体" w:cstheme="minorEastAsia"/>
          <w:color w:val="000000"/>
          <w:sz w:val="30"/>
          <w:szCs w:val="30"/>
          <w:highlight w:val="none"/>
        </w:rPr>
        <w:br w:type="page"/>
      </w:r>
    </w:p>
    <w:p w14:paraId="23D7C0E4">
      <w:pPr>
        <w:autoSpaceDE w:val="0"/>
        <w:autoSpaceDN w:val="0"/>
        <w:adjustRightInd w:val="0"/>
        <w:spacing w:line="360" w:lineRule="auto"/>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法定代表人（单位负责人）身份证明</w:t>
      </w:r>
    </w:p>
    <w:p w14:paraId="1E5C4060">
      <w:pPr>
        <w:kinsoku w:val="0"/>
        <w:overflowPunct w:val="0"/>
        <w:spacing w:line="200" w:lineRule="exact"/>
        <w:rPr>
          <w:rFonts w:hint="eastAsia" w:ascii="宋体" w:hAnsi="宋体" w:cstheme="minorEastAsia"/>
          <w:sz w:val="20"/>
          <w:szCs w:val="20"/>
          <w:highlight w:val="none"/>
        </w:rPr>
      </w:pPr>
    </w:p>
    <w:p w14:paraId="7DEFDCDF">
      <w:pPr>
        <w:tabs>
          <w:tab w:val="left" w:pos="5580"/>
        </w:tabs>
        <w:spacing w:line="360" w:lineRule="auto"/>
        <w:rPr>
          <w:rFonts w:hint="eastAsia" w:ascii="宋体" w:hAnsi="宋体" w:cstheme="minorEastAsia"/>
          <w:color w:val="000000"/>
          <w:sz w:val="24"/>
          <w:highlight w:val="none"/>
        </w:rPr>
      </w:pPr>
      <w:r>
        <w:rPr>
          <w:rFonts w:hint="eastAsia" w:ascii="宋体" w:hAnsi="宋体" w:cstheme="minorEastAsia"/>
          <w:color w:val="000000"/>
          <w:sz w:val="24"/>
          <w:highlight w:val="none"/>
        </w:rPr>
        <w:t>致：</w:t>
      </w:r>
      <w:r>
        <w:rPr>
          <w:rFonts w:hint="eastAsia" w:ascii="宋体" w:hAnsi="宋体" w:cstheme="minorEastAsia"/>
          <w:color w:val="000000"/>
          <w:sz w:val="24"/>
          <w:szCs w:val="20"/>
          <w:highlight w:val="none"/>
        </w:rPr>
        <w:t>____</w:t>
      </w:r>
      <w:r>
        <w:rPr>
          <w:rFonts w:hint="eastAsia" w:ascii="宋体" w:hAnsi="宋体" w:cstheme="minorEastAsia"/>
          <w:color w:val="000000"/>
          <w:sz w:val="24"/>
          <w:highlight w:val="none"/>
        </w:rPr>
        <w:t>（采购人或采购代理机构）</w:t>
      </w:r>
    </w:p>
    <w:p w14:paraId="42E80369">
      <w:pPr>
        <w:pStyle w:val="17"/>
        <w:tabs>
          <w:tab w:val="left" w:pos="2412"/>
          <w:tab w:val="left" w:pos="3883"/>
          <w:tab w:val="left" w:pos="5352"/>
          <w:tab w:val="left" w:pos="6821"/>
        </w:tabs>
        <w:kinsoku w:val="0"/>
        <w:overflowPunct w:val="0"/>
        <w:spacing w:line="335" w:lineRule="exact"/>
        <w:ind w:firstLine="480" w:firstLineChars="200"/>
        <w:rPr>
          <w:rFonts w:hint="eastAsia" w:cstheme="minorEastAsia"/>
          <w:highlight w:val="none"/>
        </w:rPr>
      </w:pPr>
      <w:r>
        <w:rPr>
          <w:rFonts w:hint="eastAsia" w:cstheme="minorEastAsia"/>
          <w:highlight w:val="none"/>
        </w:rPr>
        <w:t>兹证明，</w:t>
      </w:r>
    </w:p>
    <w:p w14:paraId="069020EC">
      <w:pPr>
        <w:pStyle w:val="17"/>
        <w:tabs>
          <w:tab w:val="left" w:pos="1690"/>
          <w:tab w:val="left" w:pos="3400"/>
          <w:tab w:val="left" w:pos="5110"/>
          <w:tab w:val="left" w:pos="6821"/>
        </w:tabs>
        <w:kinsoku w:val="0"/>
        <w:overflowPunct w:val="0"/>
        <w:spacing w:line="335" w:lineRule="exact"/>
        <w:rPr>
          <w:rFonts w:hint="eastAsia" w:cstheme="minorEastAsia"/>
          <w:highlight w:val="none"/>
        </w:rPr>
      </w:pPr>
      <w:r>
        <w:rPr>
          <w:rFonts w:hint="eastAsia" w:cstheme="minorEastAsia"/>
          <w:highlight w:val="none"/>
        </w:rPr>
        <w:t>姓名：</w:t>
      </w:r>
      <w:r>
        <w:rPr>
          <w:rFonts w:hint="eastAsia" w:cstheme="minorEastAsia"/>
          <w:color w:val="000000"/>
          <w:szCs w:val="20"/>
          <w:highlight w:val="none"/>
        </w:rPr>
        <w:t>____</w:t>
      </w:r>
      <w:r>
        <w:rPr>
          <w:rFonts w:hint="eastAsia" w:cstheme="minorEastAsia"/>
          <w:highlight w:val="none"/>
        </w:rPr>
        <w:t>性别：</w:t>
      </w:r>
      <w:r>
        <w:rPr>
          <w:rFonts w:hint="eastAsia" w:cstheme="minorEastAsia"/>
          <w:color w:val="000000"/>
          <w:szCs w:val="20"/>
          <w:highlight w:val="none"/>
        </w:rPr>
        <w:t>____</w:t>
      </w:r>
      <w:r>
        <w:rPr>
          <w:rFonts w:hint="eastAsia" w:cstheme="minorEastAsia"/>
          <w:highlight w:val="none"/>
        </w:rPr>
        <w:t>年龄：</w:t>
      </w:r>
      <w:r>
        <w:rPr>
          <w:rFonts w:hint="eastAsia" w:cstheme="minorEastAsia"/>
          <w:color w:val="000000"/>
          <w:szCs w:val="20"/>
          <w:highlight w:val="none"/>
        </w:rPr>
        <w:t>____</w:t>
      </w:r>
      <w:r>
        <w:rPr>
          <w:rFonts w:hint="eastAsia" w:cstheme="minorEastAsia"/>
          <w:highlight w:val="none"/>
        </w:rPr>
        <w:t>职务：</w:t>
      </w:r>
      <w:r>
        <w:rPr>
          <w:rFonts w:hint="eastAsia" w:cstheme="minorEastAsia"/>
          <w:color w:val="000000"/>
          <w:szCs w:val="20"/>
          <w:highlight w:val="none"/>
        </w:rPr>
        <w:t>____</w:t>
      </w:r>
    </w:p>
    <w:p w14:paraId="58047347">
      <w:pPr>
        <w:pStyle w:val="17"/>
        <w:tabs>
          <w:tab w:val="left" w:pos="2412"/>
          <w:tab w:val="left" w:pos="3883"/>
          <w:tab w:val="left" w:pos="5352"/>
          <w:tab w:val="left" w:pos="6821"/>
        </w:tabs>
        <w:kinsoku w:val="0"/>
        <w:overflowPunct w:val="0"/>
        <w:spacing w:line="335" w:lineRule="exact"/>
        <w:rPr>
          <w:rFonts w:hint="eastAsia" w:cstheme="minorEastAsia"/>
          <w:highlight w:val="none"/>
        </w:rPr>
      </w:pPr>
    </w:p>
    <w:p w14:paraId="707BD4E5">
      <w:pPr>
        <w:pStyle w:val="17"/>
        <w:tabs>
          <w:tab w:val="left" w:pos="2250"/>
          <w:tab w:val="left" w:pos="2412"/>
          <w:tab w:val="left" w:pos="3883"/>
          <w:tab w:val="left" w:pos="5352"/>
          <w:tab w:val="left" w:pos="6821"/>
          <w:tab w:val="clear" w:pos="567"/>
        </w:tabs>
        <w:kinsoku w:val="0"/>
        <w:overflowPunct w:val="0"/>
        <w:spacing w:line="335" w:lineRule="exact"/>
        <w:rPr>
          <w:rFonts w:hint="eastAsia" w:cstheme="minorEastAsia"/>
          <w:highlight w:val="none"/>
        </w:rPr>
      </w:pPr>
      <w:r>
        <w:rPr>
          <w:rFonts w:hint="eastAsia" w:cstheme="minorEastAsia"/>
          <w:highlight w:val="none"/>
        </w:rPr>
        <w:t>系</w:t>
      </w:r>
      <w:r>
        <w:rPr>
          <w:rFonts w:hint="eastAsia" w:cstheme="minorEastAsia"/>
          <w:color w:val="000000"/>
          <w:szCs w:val="20"/>
          <w:highlight w:val="none"/>
        </w:rPr>
        <w:t>__________</w:t>
      </w:r>
      <w:r>
        <w:rPr>
          <w:rFonts w:hint="eastAsia" w:cstheme="minorEastAsia"/>
          <w:highlight w:val="none"/>
        </w:rPr>
        <w:t>（供应商名称）的法定代表人（单位负责人）。</w:t>
      </w:r>
    </w:p>
    <w:p w14:paraId="63D8EF51">
      <w:pPr>
        <w:pStyle w:val="17"/>
        <w:tabs>
          <w:tab w:val="left" w:pos="2412"/>
          <w:tab w:val="left" w:pos="3883"/>
          <w:tab w:val="left" w:pos="5352"/>
          <w:tab w:val="left" w:pos="6821"/>
        </w:tabs>
        <w:kinsoku w:val="0"/>
        <w:overflowPunct w:val="0"/>
        <w:spacing w:line="335" w:lineRule="exact"/>
        <w:rPr>
          <w:rFonts w:hint="eastAsia" w:cstheme="minorEastAsia"/>
          <w:highlight w:val="none"/>
        </w:rPr>
      </w:pPr>
    </w:p>
    <w:p w14:paraId="4BBAB88F">
      <w:pPr>
        <w:pStyle w:val="17"/>
        <w:tabs>
          <w:tab w:val="left" w:pos="2412"/>
          <w:tab w:val="left" w:pos="3883"/>
          <w:tab w:val="left" w:pos="5352"/>
          <w:tab w:val="left" w:pos="6821"/>
        </w:tabs>
        <w:kinsoku w:val="0"/>
        <w:overflowPunct w:val="0"/>
        <w:spacing w:line="335" w:lineRule="exact"/>
        <w:rPr>
          <w:rFonts w:hint="eastAsia" w:cstheme="minorEastAsia"/>
          <w:highlight w:val="none"/>
        </w:rPr>
      </w:pPr>
    </w:p>
    <w:p w14:paraId="6601E512">
      <w:pPr>
        <w:pStyle w:val="17"/>
        <w:kinsoku w:val="0"/>
        <w:overflowPunct w:val="0"/>
        <w:spacing w:line="583" w:lineRule="auto"/>
        <w:ind w:right="-46"/>
        <w:rPr>
          <w:rFonts w:hint="eastAsia" w:cstheme="minorEastAsia"/>
          <w:color w:val="000000"/>
          <w:szCs w:val="20"/>
          <w:highlight w:val="none"/>
        </w:rPr>
      </w:pPr>
      <w:r>
        <w:rPr>
          <w:rFonts w:hint="eastAsia" w:cstheme="minorEastAsia"/>
          <w:color w:val="000000"/>
          <w:szCs w:val="20"/>
          <w:highlight w:val="none"/>
        </w:rPr>
        <w:t>附：法定代表人（单位负责人）身份证或护照等身份证明文件电子件：</w:t>
      </w:r>
    </w:p>
    <w:p w14:paraId="50B3D958">
      <w:pPr>
        <w:pStyle w:val="17"/>
        <w:kinsoku w:val="0"/>
        <w:overflowPunct w:val="0"/>
        <w:spacing w:line="583" w:lineRule="auto"/>
        <w:ind w:right="4305"/>
        <w:rPr>
          <w:rFonts w:hint="eastAsia" w:cstheme="minorEastAsia"/>
          <w:spacing w:val="-3"/>
          <w:highlight w:val="none"/>
        </w:rPr>
      </w:pPr>
    </w:p>
    <w:p w14:paraId="3BD9B7FF">
      <w:pPr>
        <w:autoSpaceDE w:val="0"/>
        <w:autoSpaceDN w:val="0"/>
        <w:adjustRightInd w:val="0"/>
        <w:snapToGrid w:val="0"/>
        <w:spacing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sz w:val="24"/>
          <w:highlight w:val="none"/>
        </w:rPr>
        <w:t>______</w:t>
      </w:r>
    </w:p>
    <w:p w14:paraId="6C7ACE42">
      <w:pPr>
        <w:autoSpaceDE w:val="0"/>
        <w:autoSpaceDN w:val="0"/>
        <w:adjustRightInd w:val="0"/>
        <w:snapToGrid w:val="0"/>
        <w:spacing w:line="360" w:lineRule="auto"/>
        <w:rPr>
          <w:rFonts w:hint="eastAsia" w:ascii="宋体" w:hAnsi="宋体" w:cstheme="minorEastAsia"/>
          <w:color w:val="000000"/>
          <w:sz w:val="24"/>
          <w:highlight w:val="none"/>
          <w:lang w:val="zh-CN"/>
        </w:rPr>
      </w:pPr>
      <w:r>
        <w:rPr>
          <w:rFonts w:hint="eastAsia" w:ascii="宋体" w:hAnsi="宋体" w:cstheme="minorEastAsia"/>
          <w:spacing w:val="-3"/>
          <w:sz w:val="24"/>
          <w:highlight w:val="none"/>
        </w:rPr>
        <w:t>法定代表人（</w:t>
      </w:r>
      <w:r>
        <w:rPr>
          <w:rFonts w:hint="eastAsia" w:ascii="宋体" w:hAnsi="宋体" w:cstheme="minorEastAsia"/>
          <w:sz w:val="24"/>
          <w:highlight w:val="none"/>
        </w:rPr>
        <w:t>单位负责人</w:t>
      </w:r>
      <w:r>
        <w:rPr>
          <w:rFonts w:hint="eastAsia" w:ascii="宋体" w:hAnsi="宋体" w:cstheme="minorEastAsia"/>
          <w:spacing w:val="-3"/>
          <w:sz w:val="24"/>
          <w:highlight w:val="none"/>
        </w:rPr>
        <w:t>）（签字</w:t>
      </w:r>
      <w:r>
        <w:rPr>
          <w:rFonts w:hint="eastAsia" w:ascii="宋体" w:hAnsi="宋体" w:cstheme="minorEastAsia"/>
          <w:color w:val="000000"/>
          <w:sz w:val="24"/>
          <w:szCs w:val="20"/>
          <w:highlight w:val="none"/>
        </w:rPr>
        <w:t>或签章</w:t>
      </w:r>
      <w:r>
        <w:rPr>
          <w:rFonts w:hint="eastAsia" w:ascii="宋体" w:hAnsi="宋体" w:cstheme="minorEastAsia"/>
          <w:spacing w:val="-3"/>
          <w:sz w:val="24"/>
          <w:highlight w:val="none"/>
        </w:rPr>
        <w:t>）：</w:t>
      </w:r>
      <w:r>
        <w:rPr>
          <w:rFonts w:hint="eastAsia" w:ascii="宋体" w:hAnsi="宋体" w:cstheme="minorEastAsia"/>
          <w:sz w:val="24"/>
          <w:highlight w:val="none"/>
        </w:rPr>
        <w:t>______</w:t>
      </w:r>
    </w:p>
    <w:p w14:paraId="7D9E0F9B">
      <w:pPr>
        <w:autoSpaceDE w:val="0"/>
        <w:autoSpaceDN w:val="0"/>
        <w:adjustRightInd w:val="0"/>
        <w:snapToGrid w:val="0"/>
        <w:spacing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日期：</w:t>
      </w:r>
      <w:r>
        <w:rPr>
          <w:rFonts w:hint="eastAsia" w:ascii="宋体" w:hAnsi="宋体" w:cstheme="minorEastAsia"/>
          <w:color w:val="000000"/>
          <w:sz w:val="24"/>
          <w:szCs w:val="20"/>
          <w:highlight w:val="none"/>
        </w:rPr>
        <w:t>____年____月____日</w:t>
      </w:r>
    </w:p>
    <w:p w14:paraId="42DD8C4C">
      <w:pPr>
        <w:widowControl/>
        <w:jc w:val="left"/>
        <w:rPr>
          <w:rFonts w:hint="eastAsia" w:ascii="宋体" w:hAnsi="宋体" w:cstheme="minorEastAsia"/>
          <w:i/>
          <w:color w:val="000000"/>
          <w:sz w:val="24"/>
          <w:szCs w:val="20"/>
          <w:highlight w:val="none"/>
          <w:u w:val="single"/>
        </w:rPr>
      </w:pPr>
    </w:p>
    <w:p w14:paraId="3BEF9897">
      <w:pPr>
        <w:widowControl/>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br w:type="page"/>
      </w:r>
    </w:p>
    <w:p w14:paraId="1D6E8D9A">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7  报价一览表</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p>
    <w:p w14:paraId="137F9B14">
      <w:pPr>
        <w:spacing w:line="360" w:lineRule="exact"/>
        <w:jc w:val="center"/>
        <w:rPr>
          <w:rFonts w:hint="eastAsia" w:ascii="宋体" w:hAnsi="宋体" w:cstheme="minorEastAsia"/>
          <w:b/>
          <w:color w:val="000000"/>
          <w:sz w:val="36"/>
          <w:szCs w:val="36"/>
          <w:highlight w:val="none"/>
        </w:rPr>
      </w:pPr>
      <w:bookmarkStart w:id="1861" w:name="_Toc264969248"/>
      <w:bookmarkStart w:id="1862" w:name="_Toc164608672"/>
      <w:bookmarkStart w:id="1863" w:name="_Toc226965831"/>
      <w:bookmarkStart w:id="1864" w:name="_Toc265228396"/>
      <w:bookmarkStart w:id="1865" w:name="_Toc226337254"/>
      <w:bookmarkStart w:id="1866" w:name="_Toc226309802"/>
      <w:bookmarkStart w:id="1867" w:name="_Toc305158826"/>
      <w:bookmarkStart w:id="1868" w:name="_Toc226965748"/>
      <w:bookmarkStart w:id="1869" w:name="_Toc195842923"/>
      <w:bookmarkStart w:id="1870" w:name="_Toc305158900"/>
      <w:bookmarkStart w:id="1871" w:name="_Toc164608827"/>
      <w:r>
        <w:rPr>
          <w:rFonts w:hint="eastAsia" w:ascii="宋体" w:hAnsi="宋体" w:cstheme="minorEastAsia"/>
          <w:b/>
          <w:color w:val="000000"/>
          <w:sz w:val="36"/>
          <w:szCs w:val="36"/>
          <w:highlight w:val="none"/>
        </w:rPr>
        <w:t>报价一览表</w:t>
      </w:r>
      <w:bookmarkEnd w:id="1861"/>
      <w:bookmarkEnd w:id="1862"/>
      <w:bookmarkEnd w:id="1863"/>
      <w:bookmarkEnd w:id="1864"/>
      <w:bookmarkEnd w:id="1865"/>
      <w:bookmarkEnd w:id="1866"/>
      <w:bookmarkEnd w:id="1867"/>
      <w:bookmarkEnd w:id="1868"/>
      <w:bookmarkEnd w:id="1869"/>
      <w:bookmarkEnd w:id="1870"/>
      <w:bookmarkEnd w:id="1871"/>
    </w:p>
    <w:p w14:paraId="63646D0E">
      <w:pPr>
        <w:tabs>
          <w:tab w:val="left" w:pos="1800"/>
          <w:tab w:val="left" w:pos="5580"/>
        </w:tabs>
        <w:spacing w:line="360" w:lineRule="auto"/>
        <w:jc w:val="left"/>
        <w:rPr>
          <w:rFonts w:hint="eastAsia" w:ascii="宋体" w:hAnsi="宋体" w:cstheme="minorEastAsia"/>
          <w:color w:val="000000"/>
          <w:sz w:val="24"/>
          <w:highlight w:val="none"/>
        </w:rPr>
      </w:pPr>
    </w:p>
    <w:p w14:paraId="6C1CC6BC">
      <w:pPr>
        <w:tabs>
          <w:tab w:val="left" w:pos="1800"/>
          <w:tab w:val="left" w:pos="5580"/>
        </w:tabs>
        <w:spacing w:line="360" w:lineRule="auto"/>
        <w:ind w:firstLine="240" w:firstLineChars="100"/>
        <w:jc w:val="left"/>
        <w:rPr>
          <w:rFonts w:hint="eastAsia" w:ascii="宋体" w:hAnsi="宋体" w:cstheme="minorEastAsia"/>
          <w:color w:val="000000"/>
          <w:sz w:val="24"/>
          <w:highlight w:val="none"/>
          <w:u w:val="single"/>
        </w:rPr>
      </w:pPr>
      <w:r>
        <w:rPr>
          <w:rFonts w:hint="eastAsia" w:ascii="宋体" w:hAnsi="宋体" w:cstheme="minorEastAsia"/>
          <w:color w:val="000000"/>
          <w:sz w:val="24"/>
          <w:highlight w:val="none"/>
        </w:rPr>
        <w:t>项目编号：</w:t>
      </w:r>
      <w:r>
        <w:rPr>
          <w:rFonts w:hint="eastAsia" w:ascii="宋体" w:hAnsi="宋体" w:cstheme="minorEastAsia"/>
          <w:sz w:val="24"/>
          <w:highlight w:val="none"/>
        </w:rPr>
        <w:t>___________</w:t>
      </w:r>
      <w:r>
        <w:rPr>
          <w:rFonts w:hint="eastAsia" w:ascii="宋体" w:hAnsi="宋体" w:cstheme="minorEastAsia"/>
          <w:color w:val="000000"/>
          <w:sz w:val="24"/>
          <w:highlight w:val="none"/>
        </w:rPr>
        <w:t xml:space="preserve">     项目名称：</w:t>
      </w:r>
      <w:r>
        <w:rPr>
          <w:rFonts w:hint="eastAsia" w:ascii="宋体" w:hAnsi="宋体" w:cstheme="minorEastAsia"/>
          <w:sz w:val="24"/>
          <w:highlight w:val="none"/>
        </w:rPr>
        <w:t>___________</w:t>
      </w:r>
    </w:p>
    <w:tbl>
      <w:tblPr>
        <w:tblStyle w:val="44"/>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9"/>
        <w:gridCol w:w="3197"/>
        <w:gridCol w:w="2021"/>
        <w:gridCol w:w="2127"/>
      </w:tblGrid>
      <w:tr w14:paraId="16F9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14:paraId="73C556A2">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包号</w:t>
            </w:r>
          </w:p>
        </w:tc>
        <w:tc>
          <w:tcPr>
            <w:tcW w:w="1960" w:type="pct"/>
            <w:vMerge w:val="restart"/>
            <w:tcBorders>
              <w:top w:val="single" w:color="auto" w:sz="4" w:space="0"/>
              <w:left w:val="single" w:color="auto" w:sz="4" w:space="0"/>
              <w:bottom w:val="single" w:color="auto" w:sz="4" w:space="0"/>
              <w:right w:val="single" w:color="auto" w:sz="4" w:space="0"/>
            </w:tcBorders>
            <w:vAlign w:val="center"/>
          </w:tcPr>
          <w:p w14:paraId="6F1F435F">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供应商名称</w:t>
            </w:r>
          </w:p>
        </w:tc>
        <w:tc>
          <w:tcPr>
            <w:tcW w:w="2543" w:type="pct"/>
            <w:gridSpan w:val="2"/>
            <w:tcBorders>
              <w:top w:val="single" w:color="auto" w:sz="4" w:space="0"/>
              <w:left w:val="single" w:color="auto" w:sz="4" w:space="0"/>
              <w:bottom w:val="single" w:color="auto" w:sz="4" w:space="0"/>
              <w:right w:val="single" w:color="auto" w:sz="4" w:space="0"/>
            </w:tcBorders>
            <w:vAlign w:val="center"/>
          </w:tcPr>
          <w:p w14:paraId="4B45D357">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报价</w:t>
            </w:r>
          </w:p>
        </w:tc>
      </w:tr>
      <w:tr w14:paraId="6990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FE94CCF">
            <w:pPr>
              <w:widowControl/>
              <w:jc w:val="left"/>
              <w:rPr>
                <w:rFonts w:hint="eastAsia" w:ascii="宋体" w:hAnsi="宋体" w:cstheme="minorEastAsia"/>
                <w:b/>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351F91C">
            <w:pPr>
              <w:widowControl/>
              <w:jc w:val="left"/>
              <w:rPr>
                <w:rFonts w:hint="eastAsia" w:ascii="宋体" w:hAnsi="宋体" w:cstheme="minorEastAsia"/>
                <w:b/>
                <w:sz w:val="24"/>
                <w:highlight w:val="none"/>
              </w:rPr>
            </w:pPr>
          </w:p>
        </w:tc>
        <w:tc>
          <w:tcPr>
            <w:tcW w:w="1239" w:type="pct"/>
            <w:tcBorders>
              <w:top w:val="single" w:color="auto" w:sz="4" w:space="0"/>
              <w:left w:val="single" w:color="auto" w:sz="4" w:space="0"/>
              <w:bottom w:val="single" w:color="auto" w:sz="4" w:space="0"/>
              <w:right w:val="single" w:color="auto" w:sz="4" w:space="0"/>
            </w:tcBorders>
            <w:vAlign w:val="center"/>
          </w:tcPr>
          <w:p w14:paraId="6B5126BB">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大写</w:t>
            </w:r>
          </w:p>
        </w:tc>
        <w:tc>
          <w:tcPr>
            <w:tcW w:w="1304" w:type="pct"/>
            <w:tcBorders>
              <w:top w:val="single" w:color="auto" w:sz="4" w:space="0"/>
              <w:left w:val="single" w:color="auto" w:sz="4" w:space="0"/>
              <w:bottom w:val="single" w:color="auto" w:sz="4" w:space="0"/>
              <w:right w:val="single" w:color="auto" w:sz="4" w:space="0"/>
            </w:tcBorders>
            <w:vAlign w:val="center"/>
          </w:tcPr>
          <w:p w14:paraId="70CE5A45">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小写</w:t>
            </w:r>
          </w:p>
        </w:tc>
      </w:tr>
      <w:tr w14:paraId="78D1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vAlign w:val="center"/>
          </w:tcPr>
          <w:p w14:paraId="06C5CEA1">
            <w:pPr>
              <w:tabs>
                <w:tab w:val="left" w:pos="5580"/>
              </w:tabs>
              <w:jc w:val="center"/>
              <w:rPr>
                <w:rFonts w:hint="eastAsia" w:ascii="宋体" w:hAnsi="宋体" w:cstheme="minorEastAsia"/>
                <w:sz w:val="24"/>
                <w:highlight w:val="none"/>
              </w:rPr>
            </w:pPr>
          </w:p>
        </w:tc>
        <w:tc>
          <w:tcPr>
            <w:tcW w:w="1960" w:type="pct"/>
            <w:tcBorders>
              <w:top w:val="single" w:color="auto" w:sz="4" w:space="0"/>
              <w:left w:val="single" w:color="auto" w:sz="4" w:space="0"/>
              <w:bottom w:val="single" w:color="auto" w:sz="4" w:space="0"/>
              <w:right w:val="single" w:color="auto" w:sz="4" w:space="0"/>
            </w:tcBorders>
            <w:vAlign w:val="center"/>
          </w:tcPr>
          <w:p w14:paraId="205E3959">
            <w:pPr>
              <w:tabs>
                <w:tab w:val="left" w:pos="5580"/>
              </w:tabs>
              <w:jc w:val="center"/>
              <w:rPr>
                <w:rFonts w:hint="eastAsia" w:ascii="宋体" w:hAnsi="宋体" w:cstheme="minorEastAsia"/>
                <w:sz w:val="24"/>
                <w:highlight w:val="none"/>
              </w:rPr>
            </w:pPr>
          </w:p>
        </w:tc>
        <w:tc>
          <w:tcPr>
            <w:tcW w:w="1239" w:type="pct"/>
            <w:tcBorders>
              <w:top w:val="single" w:color="auto" w:sz="4" w:space="0"/>
              <w:left w:val="single" w:color="auto" w:sz="4" w:space="0"/>
              <w:bottom w:val="single" w:color="auto" w:sz="4" w:space="0"/>
              <w:right w:val="single" w:color="auto" w:sz="4" w:space="0"/>
            </w:tcBorders>
            <w:vAlign w:val="center"/>
          </w:tcPr>
          <w:p w14:paraId="63A8FEE4">
            <w:pPr>
              <w:tabs>
                <w:tab w:val="left" w:pos="5580"/>
              </w:tabs>
              <w:jc w:val="center"/>
              <w:rPr>
                <w:rFonts w:hint="eastAsia" w:ascii="宋体" w:hAnsi="宋体" w:cstheme="minorEastAsia"/>
                <w:sz w:val="24"/>
                <w:highlight w:val="none"/>
              </w:rPr>
            </w:pPr>
          </w:p>
        </w:tc>
        <w:tc>
          <w:tcPr>
            <w:tcW w:w="1304" w:type="pct"/>
            <w:tcBorders>
              <w:top w:val="single" w:color="auto" w:sz="4" w:space="0"/>
              <w:left w:val="single" w:color="auto" w:sz="4" w:space="0"/>
              <w:bottom w:val="single" w:color="auto" w:sz="4" w:space="0"/>
              <w:right w:val="single" w:color="auto" w:sz="4" w:space="0"/>
            </w:tcBorders>
            <w:vAlign w:val="center"/>
          </w:tcPr>
          <w:p w14:paraId="02B5B513">
            <w:pPr>
              <w:tabs>
                <w:tab w:val="left" w:pos="5580"/>
              </w:tabs>
              <w:jc w:val="center"/>
              <w:rPr>
                <w:rFonts w:hint="eastAsia" w:ascii="宋体" w:hAnsi="宋体" w:cstheme="minorEastAsia"/>
                <w:sz w:val="24"/>
                <w:highlight w:val="none"/>
              </w:rPr>
            </w:pPr>
          </w:p>
        </w:tc>
      </w:tr>
    </w:tbl>
    <w:p w14:paraId="53B101DB">
      <w:pPr>
        <w:autoSpaceDE w:val="0"/>
        <w:autoSpaceDN w:val="0"/>
        <w:adjustRightInd w:val="0"/>
        <w:jc w:val="left"/>
        <w:rPr>
          <w:rFonts w:hint="eastAsia" w:ascii="宋体" w:hAnsi="宋体" w:cstheme="minorEastAsia"/>
          <w:color w:val="000000"/>
          <w:kern w:val="0"/>
          <w:sz w:val="24"/>
          <w:highlight w:val="none"/>
        </w:rPr>
      </w:pPr>
    </w:p>
    <w:p w14:paraId="7C0B48E5">
      <w:pPr>
        <w:autoSpaceDE w:val="0"/>
        <w:autoSpaceDN w:val="0"/>
        <w:adjustRightInd w:val="0"/>
        <w:jc w:val="left"/>
        <w:rPr>
          <w:rFonts w:hint="eastAsia" w:ascii="宋体" w:hAnsi="宋体" w:cstheme="minorEastAsia"/>
          <w:color w:val="000000"/>
          <w:sz w:val="24"/>
          <w:szCs w:val="20"/>
          <w:highlight w:val="none"/>
        </w:rPr>
      </w:pPr>
      <w:r>
        <w:rPr>
          <w:rFonts w:hint="eastAsia" w:ascii="宋体" w:hAnsi="宋体" w:cstheme="minorEastAsia"/>
          <w:color w:val="000000"/>
          <w:kern w:val="0"/>
          <w:sz w:val="24"/>
          <w:highlight w:val="none"/>
        </w:rPr>
        <w:t>注：1</w:t>
      </w:r>
      <w:r>
        <w:rPr>
          <w:rFonts w:hint="eastAsia" w:ascii="宋体" w:hAnsi="宋体" w:cstheme="minorEastAsia"/>
          <w:color w:val="000000"/>
          <w:sz w:val="24"/>
          <w:szCs w:val="20"/>
          <w:highlight w:val="none"/>
        </w:rPr>
        <w:t>.此表中，每包的报价应和《分项报价表》中的总价相一致。</w:t>
      </w:r>
    </w:p>
    <w:p w14:paraId="10664F29">
      <w:pPr>
        <w:tabs>
          <w:tab w:val="left" w:pos="5580"/>
        </w:tabs>
        <w:ind w:firstLine="480" w:firstLineChars="20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2.本表必须按包分别填写。</w:t>
      </w:r>
    </w:p>
    <w:p w14:paraId="5F8D0499">
      <w:pPr>
        <w:tabs>
          <w:tab w:val="left" w:pos="5580"/>
        </w:tabs>
        <w:ind w:firstLine="480" w:firstLineChars="200"/>
        <w:rPr>
          <w:rFonts w:hint="eastAsia" w:ascii="宋体" w:hAnsi="宋体" w:cstheme="minorEastAsia"/>
          <w:color w:val="000000"/>
          <w:sz w:val="24"/>
          <w:szCs w:val="20"/>
          <w:highlight w:val="none"/>
        </w:rPr>
      </w:pPr>
    </w:p>
    <w:p w14:paraId="0E0F1679">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p>
    <w:p w14:paraId="24DFC74D">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lang w:val="zh-CN"/>
        </w:rPr>
        <w:t xml:space="preserve">   </w:t>
      </w:r>
    </w:p>
    <w:p w14:paraId="15B25E4E">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sz w:val="24"/>
          <w:highlight w:val="none"/>
        </w:rPr>
        <w:t>___________</w:t>
      </w:r>
    </w:p>
    <w:p w14:paraId="6EE6BEFE">
      <w:pPr>
        <w:autoSpaceDE w:val="0"/>
        <w:autoSpaceDN w:val="0"/>
        <w:adjustRightInd w:val="0"/>
        <w:snapToGrid w:val="0"/>
        <w:spacing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日期：</w:t>
      </w:r>
      <w:r>
        <w:rPr>
          <w:rFonts w:hint="eastAsia" w:ascii="宋体" w:hAnsi="宋体" w:cstheme="minorEastAsia"/>
          <w:color w:val="000000"/>
          <w:sz w:val="24"/>
          <w:szCs w:val="20"/>
          <w:highlight w:val="none"/>
        </w:rPr>
        <w:t>____年____月____日</w:t>
      </w:r>
    </w:p>
    <w:p w14:paraId="3CCF62FC">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szCs w:val="20"/>
          <w:highlight w:val="none"/>
        </w:rPr>
        <w:t xml:space="preserve">  </w:t>
      </w:r>
    </w:p>
    <w:p w14:paraId="23341E2E">
      <w:pPr>
        <w:tabs>
          <w:tab w:val="left" w:pos="360"/>
        </w:tabs>
        <w:snapToGrid w:val="0"/>
        <w:spacing w:line="360" w:lineRule="auto"/>
        <w:outlineLvl w:val="1"/>
        <w:rPr>
          <w:rFonts w:hint="eastAsia" w:ascii="宋体" w:hAnsi="宋体" w:cstheme="minorEastAsia"/>
          <w:sz w:val="24"/>
          <w:highlight w:val="none"/>
        </w:rPr>
        <w:sectPr>
          <w:headerReference r:id="rId33" w:type="first"/>
          <w:footerReference r:id="rId35" w:type="first"/>
          <w:headerReference r:id="rId32" w:type="even"/>
          <w:footerReference r:id="rId34" w:type="even"/>
          <w:pgSz w:w="11907" w:h="16840"/>
          <w:pgMar w:top="1418" w:right="1134" w:bottom="1418" w:left="1701" w:header="851" w:footer="851" w:gutter="0"/>
          <w:cols w:space="720" w:num="1"/>
          <w:docGrid w:linePitch="462" w:charSpace="0"/>
        </w:sectPr>
      </w:pPr>
      <w:bookmarkStart w:id="1872" w:name="_Toc305158901"/>
      <w:bookmarkStart w:id="1873" w:name="_Toc226337255"/>
      <w:bookmarkStart w:id="1874" w:name="_Toc264969249"/>
      <w:bookmarkStart w:id="1875" w:name="_Toc127151558"/>
      <w:bookmarkStart w:id="1876" w:name="_Toc226965832"/>
      <w:bookmarkStart w:id="1877" w:name="_Toc142311060"/>
      <w:bookmarkStart w:id="1878" w:name="_Toc150480796"/>
      <w:bookmarkStart w:id="1879" w:name="_Toc195842924"/>
      <w:bookmarkStart w:id="1880" w:name="_Toc305158827"/>
      <w:bookmarkStart w:id="1881" w:name="_Toc226309803"/>
      <w:bookmarkStart w:id="1882" w:name="_Toc265228397"/>
      <w:bookmarkStart w:id="1883" w:name="_Toc150774763"/>
      <w:bookmarkStart w:id="1884" w:name="_Toc226965749"/>
    </w:p>
    <w:p w14:paraId="78088ED6">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8  分项报价表</w:t>
      </w:r>
      <w:bookmarkEnd w:id="1872"/>
      <w:bookmarkEnd w:id="1873"/>
      <w:bookmarkEnd w:id="1874"/>
      <w:bookmarkEnd w:id="1875"/>
      <w:bookmarkEnd w:id="1876"/>
      <w:bookmarkEnd w:id="1877"/>
      <w:bookmarkEnd w:id="1878"/>
      <w:bookmarkEnd w:id="1879"/>
      <w:bookmarkEnd w:id="1880"/>
      <w:bookmarkEnd w:id="1881"/>
      <w:bookmarkEnd w:id="1882"/>
      <w:bookmarkEnd w:id="1883"/>
      <w:bookmarkEnd w:id="1884"/>
    </w:p>
    <w:p w14:paraId="05F6356E">
      <w:pPr>
        <w:pStyle w:val="157"/>
        <w:rPr>
          <w:highlight w:val="none"/>
        </w:rPr>
      </w:pPr>
      <w:bookmarkStart w:id="1885" w:name="_Toc150480798"/>
      <w:bookmarkStart w:id="1886" w:name="_Toc195842927"/>
      <w:bookmarkStart w:id="1887" w:name="_Toc305158904"/>
      <w:bookmarkStart w:id="1888" w:name="_Toc264969252"/>
      <w:bookmarkStart w:id="1889" w:name="_Toc150774765"/>
      <w:bookmarkStart w:id="1890" w:name="_Toc127151562"/>
      <w:bookmarkStart w:id="1891" w:name="_Toc226309806"/>
      <w:bookmarkStart w:id="1892" w:name="_Toc265228400"/>
      <w:bookmarkStart w:id="1893" w:name="_Toc226965835"/>
      <w:bookmarkStart w:id="1894" w:name="_Toc142311062"/>
      <w:bookmarkStart w:id="1895" w:name="_Toc226965752"/>
      <w:bookmarkStart w:id="1896" w:name="_Toc226337258"/>
      <w:bookmarkStart w:id="1897" w:name="_Toc305158830"/>
      <w:bookmarkStart w:id="1898" w:name="_Toc142311061"/>
      <w:bookmarkStart w:id="1899" w:name="_Toc127151561"/>
      <w:bookmarkStart w:id="1900" w:name="_Toc305158903"/>
      <w:bookmarkStart w:id="1901" w:name="_Toc195842926"/>
      <w:bookmarkStart w:id="1902" w:name="_Toc226965834"/>
      <w:bookmarkStart w:id="1903" w:name="_Toc150774764"/>
      <w:bookmarkStart w:id="1904" w:name="_Toc265228399"/>
      <w:bookmarkStart w:id="1905" w:name="_Toc226309805"/>
      <w:bookmarkStart w:id="1906" w:name="_Toc150480797"/>
      <w:bookmarkStart w:id="1907" w:name="_Toc305158829"/>
      <w:bookmarkStart w:id="1908" w:name="_Toc226337257"/>
      <w:bookmarkStart w:id="1909" w:name="_Toc264969251"/>
      <w:bookmarkStart w:id="1910" w:name="_Toc226965751"/>
    </w:p>
    <w:p w14:paraId="69E742DE">
      <w:pPr>
        <w:tabs>
          <w:tab w:val="left" w:pos="360"/>
        </w:tabs>
        <w:snapToGrid w:val="0"/>
        <w:spacing w:line="360" w:lineRule="auto"/>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已标价工程量清单</w:t>
      </w:r>
    </w:p>
    <w:p w14:paraId="14C504D0">
      <w:pPr>
        <w:jc w:val="left"/>
        <w:rPr>
          <w:highlight w:val="none"/>
        </w:rPr>
      </w:pPr>
    </w:p>
    <w:p w14:paraId="0441E813">
      <w:pPr>
        <w:tabs>
          <w:tab w:val="left" w:pos="360"/>
        </w:tabs>
        <w:snapToGrid w:val="0"/>
        <w:spacing w:line="360" w:lineRule="auto"/>
        <w:jc w:val="left"/>
        <w:rPr>
          <w:rFonts w:hint="eastAsia" w:ascii="宋体" w:hAnsi="宋体" w:cstheme="minorEastAsia"/>
          <w:b/>
          <w:color w:val="000000"/>
          <w:sz w:val="28"/>
          <w:szCs w:val="28"/>
          <w:highlight w:val="none"/>
        </w:rPr>
      </w:pPr>
      <w:r>
        <w:rPr>
          <w:rFonts w:hint="eastAsia" w:ascii="宋体" w:hAnsi="宋体" w:cstheme="minorEastAsia"/>
          <w:b/>
          <w:color w:val="000000"/>
          <w:sz w:val="28"/>
          <w:szCs w:val="28"/>
          <w:highlight w:val="none"/>
        </w:rPr>
        <w:t>注：本项目暂列金:170000元（含税），未响应按无效标处理</w:t>
      </w:r>
    </w:p>
    <w:p w14:paraId="5F662FEE">
      <w:pPr>
        <w:pStyle w:val="43"/>
        <w:ind w:firstLine="562"/>
        <w:rPr>
          <w:rFonts w:hint="eastAsia" w:ascii="宋体" w:hAnsi="宋体" w:cstheme="minorEastAsia"/>
          <w:b/>
          <w:color w:val="000000"/>
          <w:sz w:val="28"/>
          <w:szCs w:val="28"/>
          <w:highlight w:val="none"/>
        </w:rPr>
      </w:pPr>
    </w:p>
    <w:p w14:paraId="1147B3D7">
      <w:pPr>
        <w:pStyle w:val="42"/>
        <w:ind w:firstLine="240"/>
        <w:rPr>
          <w:rFonts w:hint="eastAsia"/>
          <w:highlight w:val="none"/>
          <w:lang w:val="en-US"/>
        </w:rPr>
        <w:sectPr>
          <w:pgSz w:w="11907" w:h="16840"/>
          <w:pgMar w:top="1418" w:right="1134" w:bottom="1418" w:left="1701" w:header="851" w:footer="851" w:gutter="0"/>
          <w:cols w:space="720" w:num="1"/>
          <w:docGrid w:linePitch="462" w:charSpace="0"/>
        </w:sectPr>
      </w:pPr>
    </w:p>
    <w:p w14:paraId="62BC8D8B">
      <w:pPr>
        <w:tabs>
          <w:tab w:val="left" w:pos="360"/>
        </w:tabs>
        <w:snapToGrid w:val="0"/>
        <w:spacing w:line="360" w:lineRule="auto"/>
        <w:outlineLvl w:val="1"/>
        <w:rPr>
          <w:rFonts w:hint="eastAsia" w:ascii="宋体" w:hAnsi="宋体" w:cstheme="minorEastAsia"/>
          <w:color w:val="000000"/>
          <w:sz w:val="24"/>
          <w:szCs w:val="20"/>
          <w:highlight w:val="none"/>
        </w:rPr>
      </w:pPr>
      <w:r>
        <w:rPr>
          <w:rFonts w:hint="eastAsia" w:ascii="宋体" w:hAnsi="宋体" w:cstheme="minorEastAsia"/>
          <w:sz w:val="24"/>
          <w:highlight w:val="none"/>
        </w:rPr>
        <w:t>9  合同条款偏离表</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r>
        <w:rPr>
          <w:rFonts w:hint="eastAsia" w:ascii="宋体" w:hAnsi="宋体" w:cstheme="minorEastAsia"/>
          <w:sz w:val="24"/>
          <w:highlight w:val="none"/>
        </w:rPr>
        <w:t>（实质性格式）</w:t>
      </w:r>
    </w:p>
    <w:p w14:paraId="58FBE481">
      <w:pPr>
        <w:spacing w:line="360" w:lineRule="auto"/>
        <w:rPr>
          <w:rFonts w:hint="eastAsia" w:ascii="宋体" w:hAnsi="宋体" w:cstheme="minorEastAsia"/>
          <w:color w:val="000000"/>
          <w:sz w:val="24"/>
          <w:szCs w:val="20"/>
          <w:highlight w:val="none"/>
        </w:rPr>
      </w:pPr>
    </w:p>
    <w:p w14:paraId="35F1F9C3">
      <w:pPr>
        <w:tabs>
          <w:tab w:val="left" w:pos="2775"/>
          <w:tab w:val="center" w:pos="4153"/>
        </w:tabs>
        <w:autoSpaceDE w:val="0"/>
        <w:autoSpaceDN w:val="0"/>
        <w:adjustRightInd w:val="0"/>
        <w:spacing w:line="360" w:lineRule="auto"/>
        <w:jc w:val="left"/>
        <w:rPr>
          <w:rFonts w:hint="eastAsia" w:ascii="宋体" w:hAnsi="宋体" w:cstheme="minorEastAsia"/>
          <w:b/>
          <w:color w:val="000000"/>
          <w:sz w:val="36"/>
          <w:szCs w:val="36"/>
          <w:highlight w:val="none"/>
        </w:rPr>
      </w:pPr>
      <w:r>
        <w:rPr>
          <w:rFonts w:hint="eastAsia" w:ascii="宋体" w:hAnsi="宋体" w:cstheme="minorEastAsia"/>
          <w:color w:val="000000"/>
          <w:sz w:val="36"/>
          <w:szCs w:val="36"/>
          <w:highlight w:val="none"/>
        </w:rPr>
        <w:tab/>
      </w:r>
      <w:r>
        <w:rPr>
          <w:rFonts w:hint="eastAsia" w:ascii="宋体" w:hAnsi="宋体" w:cstheme="minorEastAsia"/>
          <w:b/>
          <w:color w:val="000000"/>
          <w:sz w:val="36"/>
          <w:szCs w:val="36"/>
          <w:highlight w:val="none"/>
        </w:rPr>
        <w:tab/>
      </w:r>
      <w:r>
        <w:rPr>
          <w:rFonts w:hint="eastAsia" w:ascii="宋体" w:hAnsi="宋体" w:cstheme="minorEastAsia"/>
          <w:b/>
          <w:color w:val="000000"/>
          <w:sz w:val="36"/>
          <w:szCs w:val="36"/>
          <w:highlight w:val="none"/>
        </w:rPr>
        <w:t>合同条款偏离表</w:t>
      </w:r>
    </w:p>
    <w:p w14:paraId="474AB1D7">
      <w:pPr>
        <w:spacing w:line="360" w:lineRule="auto"/>
        <w:rPr>
          <w:rFonts w:hint="eastAsia" w:ascii="宋体" w:hAnsi="宋体" w:cstheme="minorEastAsia"/>
          <w:color w:val="000000"/>
          <w:sz w:val="24"/>
          <w:szCs w:val="20"/>
          <w:highlight w:val="none"/>
        </w:rPr>
      </w:pPr>
    </w:p>
    <w:p w14:paraId="27159B2A">
      <w:pPr>
        <w:tabs>
          <w:tab w:val="left" w:pos="1800"/>
          <w:tab w:val="left" w:pos="5580"/>
        </w:tabs>
        <w:spacing w:line="360" w:lineRule="auto"/>
        <w:ind w:firstLine="360" w:firstLineChars="15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项目编号/包号：_______________     项目名称：_______________</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530"/>
        <w:gridCol w:w="1729"/>
        <w:gridCol w:w="1730"/>
        <w:gridCol w:w="2120"/>
        <w:gridCol w:w="962"/>
      </w:tblGrid>
      <w:tr w14:paraId="454E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317417A">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序号</w:t>
            </w:r>
          </w:p>
        </w:tc>
        <w:tc>
          <w:tcPr>
            <w:tcW w:w="1394" w:type="dxa"/>
            <w:vAlign w:val="center"/>
          </w:tcPr>
          <w:p w14:paraId="6399CA21">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szCs w:val="21"/>
                <w:highlight w:val="none"/>
              </w:rPr>
              <w:t>竞争性磋商文件</w:t>
            </w:r>
            <w:r>
              <w:rPr>
                <w:rFonts w:hint="eastAsia" w:ascii="宋体" w:hAnsi="宋体" w:cstheme="minorEastAsia"/>
                <w:color w:val="000000"/>
                <w:sz w:val="24"/>
                <w:highlight w:val="none"/>
              </w:rPr>
              <w:t>条目号（页码）</w:t>
            </w:r>
          </w:p>
        </w:tc>
        <w:tc>
          <w:tcPr>
            <w:tcW w:w="1808" w:type="dxa"/>
            <w:vAlign w:val="center"/>
          </w:tcPr>
          <w:p w14:paraId="776E08AC">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szCs w:val="21"/>
                <w:highlight w:val="none"/>
              </w:rPr>
              <w:t>竞争性磋商文件</w:t>
            </w:r>
            <w:r>
              <w:rPr>
                <w:rFonts w:hint="eastAsia" w:ascii="宋体" w:hAnsi="宋体" w:cstheme="minorEastAsia"/>
                <w:color w:val="000000"/>
                <w:sz w:val="24"/>
                <w:highlight w:val="none"/>
              </w:rPr>
              <w:t>要求</w:t>
            </w:r>
          </w:p>
        </w:tc>
        <w:tc>
          <w:tcPr>
            <w:tcW w:w="1809" w:type="dxa"/>
            <w:vAlign w:val="center"/>
          </w:tcPr>
          <w:p w14:paraId="292037FD">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响应文件内容</w:t>
            </w:r>
          </w:p>
        </w:tc>
        <w:tc>
          <w:tcPr>
            <w:tcW w:w="2290" w:type="dxa"/>
            <w:vAlign w:val="center"/>
          </w:tcPr>
          <w:p w14:paraId="229D2626">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偏离情况</w:t>
            </w:r>
          </w:p>
        </w:tc>
        <w:tc>
          <w:tcPr>
            <w:tcW w:w="863" w:type="dxa"/>
            <w:vAlign w:val="center"/>
          </w:tcPr>
          <w:p w14:paraId="0D00C2A4">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说明</w:t>
            </w:r>
          </w:p>
        </w:tc>
      </w:tr>
      <w:tr w14:paraId="2B18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2042E1E8">
            <w:pPr>
              <w:adjustRightInd w:val="0"/>
              <w:snapToGrid w:val="0"/>
              <w:jc w:val="left"/>
              <w:rPr>
                <w:rFonts w:hint="eastAsia" w:ascii="宋体" w:hAnsi="宋体" w:cstheme="minorEastAsia"/>
                <w:b/>
                <w:color w:val="000000"/>
                <w:sz w:val="24"/>
                <w:highlight w:val="none"/>
              </w:rPr>
            </w:pPr>
            <w:r>
              <w:rPr>
                <w:rFonts w:hint="eastAsia" w:ascii="宋体" w:hAnsi="宋体" w:cstheme="minorEastAsia"/>
                <w:b/>
                <w:color w:val="000000"/>
                <w:sz w:val="24"/>
                <w:highlight w:val="none"/>
              </w:rPr>
              <w:t>对本项目合同条款的偏离情况（</w:t>
            </w:r>
            <w:r>
              <w:rPr>
                <w:rFonts w:hint="eastAsia" w:ascii="宋体" w:hAnsi="宋体" w:cstheme="minorEastAsia"/>
                <w:bCs/>
                <w:color w:val="000000"/>
                <w:sz w:val="24"/>
                <w:highlight w:val="none"/>
              </w:rPr>
              <w:t>应进行选择，未选择</w:t>
            </w:r>
            <w:r>
              <w:rPr>
                <w:rFonts w:hint="eastAsia" w:ascii="宋体" w:hAnsi="宋体" w:cstheme="minorEastAsia"/>
                <w:b/>
                <w:color w:val="000000"/>
                <w:sz w:val="24"/>
                <w:highlight w:val="none"/>
              </w:rPr>
              <w:t>响应无效）：</w:t>
            </w:r>
          </w:p>
          <w:p w14:paraId="13E66CBE">
            <w:pPr>
              <w:adjustRightInd w:val="0"/>
              <w:snapToGrid w:val="0"/>
              <w:jc w:val="left"/>
              <w:rPr>
                <w:rFonts w:hint="eastAsia" w:ascii="宋体" w:hAnsi="宋体" w:cstheme="minorEastAsia"/>
                <w:b/>
                <w:color w:val="000000"/>
                <w:sz w:val="24"/>
                <w:highlight w:val="none"/>
              </w:rPr>
            </w:pPr>
            <w:r>
              <w:rPr>
                <w:rFonts w:hint="eastAsia" w:ascii="宋体" w:hAnsi="宋体" w:cstheme="minorEastAsia"/>
                <w:b/>
                <w:color w:val="000000"/>
                <w:sz w:val="24"/>
                <w:highlight w:val="none"/>
              </w:rPr>
              <w:t>□无偏离</w:t>
            </w:r>
            <w:r>
              <w:rPr>
                <w:rFonts w:hint="eastAsia" w:ascii="宋体" w:hAnsi="宋体" w:cstheme="minorEastAsia"/>
                <w:color w:val="000000"/>
                <w:sz w:val="24"/>
                <w:highlight w:val="none"/>
              </w:rPr>
              <w:t>（</w:t>
            </w:r>
            <w:r>
              <w:rPr>
                <w:rFonts w:hint="eastAsia" w:ascii="宋体" w:hAnsi="宋体" w:cstheme="minorEastAsia"/>
                <w:color w:val="000000"/>
                <w:sz w:val="24"/>
                <w:szCs w:val="21"/>
                <w:highlight w:val="none"/>
              </w:rPr>
              <w:t>如无偏离，仅选择无偏离即可；</w:t>
            </w:r>
            <w:r>
              <w:rPr>
                <w:rFonts w:hint="eastAsia" w:ascii="宋体" w:hAnsi="宋体" w:cstheme="minorEastAsia"/>
                <w:bCs/>
                <w:color w:val="000000"/>
                <w:sz w:val="24"/>
                <w:highlight w:val="none"/>
              </w:rPr>
              <w:t>无偏离即为</w:t>
            </w:r>
            <w:r>
              <w:rPr>
                <w:rFonts w:hint="eastAsia" w:ascii="宋体" w:hAnsi="宋体" w:cstheme="minorEastAsia"/>
                <w:sz w:val="24"/>
                <w:highlight w:val="none"/>
              </w:rPr>
              <w:t>对合同条款中的所有要求，均视作供应商已对之理解和响应。</w:t>
            </w:r>
            <w:r>
              <w:rPr>
                <w:rFonts w:hint="eastAsia" w:ascii="宋体" w:hAnsi="宋体" w:cstheme="minorEastAsia"/>
                <w:color w:val="000000"/>
                <w:sz w:val="24"/>
                <w:highlight w:val="none"/>
              </w:rPr>
              <w:t>）</w:t>
            </w:r>
          </w:p>
          <w:p w14:paraId="7767B237">
            <w:pPr>
              <w:adjustRightInd w:val="0"/>
              <w:snapToGrid w:val="0"/>
              <w:jc w:val="left"/>
              <w:rPr>
                <w:rFonts w:hint="eastAsia" w:ascii="宋体" w:hAnsi="宋体" w:cstheme="minorEastAsia"/>
                <w:color w:val="000000"/>
                <w:sz w:val="24"/>
                <w:highlight w:val="none"/>
              </w:rPr>
            </w:pPr>
            <w:r>
              <w:rPr>
                <w:rFonts w:hint="eastAsia" w:ascii="宋体" w:hAnsi="宋体" w:cstheme="minorEastAsia"/>
                <w:b/>
                <w:color w:val="000000"/>
                <w:sz w:val="24"/>
                <w:highlight w:val="none"/>
              </w:rPr>
              <w:t>□有偏离</w:t>
            </w:r>
            <w:r>
              <w:rPr>
                <w:rFonts w:hint="eastAsia" w:ascii="宋体" w:hAnsi="宋体" w:cstheme="minorEastAsia"/>
                <w:color w:val="000000"/>
                <w:sz w:val="24"/>
                <w:highlight w:val="none"/>
              </w:rPr>
              <w:t>（</w:t>
            </w:r>
            <w:r>
              <w:rPr>
                <w:rFonts w:hint="eastAsia" w:ascii="宋体" w:hAnsi="宋体" w:cstheme="minorEastAsia"/>
                <w:color w:val="000000"/>
                <w:sz w:val="24"/>
                <w:szCs w:val="21"/>
                <w:highlight w:val="none"/>
              </w:rPr>
              <w:t>如有偏离，</w:t>
            </w:r>
            <w:r>
              <w:rPr>
                <w:rFonts w:hint="eastAsia" w:ascii="宋体" w:hAnsi="宋体" w:cstheme="minorEastAsia"/>
                <w:color w:val="000000"/>
                <w:sz w:val="24"/>
                <w:highlight w:val="none"/>
              </w:rPr>
              <w:t>则应在本表中对负偏离项逐一列明，否则</w:t>
            </w:r>
            <w:r>
              <w:rPr>
                <w:rFonts w:hint="eastAsia" w:ascii="宋体" w:hAnsi="宋体" w:cstheme="minorEastAsia"/>
                <w:b/>
                <w:bCs/>
                <w:color w:val="000000"/>
                <w:sz w:val="24"/>
                <w:highlight w:val="none"/>
              </w:rPr>
              <w:t>响应无效</w:t>
            </w:r>
            <w:r>
              <w:rPr>
                <w:rFonts w:hint="eastAsia" w:ascii="宋体" w:hAnsi="宋体" w:cstheme="minorEastAsia"/>
                <w:color w:val="000000"/>
                <w:sz w:val="24"/>
                <w:highlight w:val="none"/>
              </w:rPr>
              <w:t>；</w:t>
            </w:r>
            <w:r>
              <w:rPr>
                <w:rFonts w:hint="eastAsia" w:ascii="宋体" w:hAnsi="宋体" w:cstheme="minorEastAsia"/>
                <w:sz w:val="24"/>
                <w:highlight w:val="none"/>
              </w:rPr>
              <w:t>对合同条款中的所有要求，除本表列明的偏离外，均视作供应商已对之理解和响应。</w:t>
            </w:r>
            <w:r>
              <w:rPr>
                <w:rFonts w:hint="eastAsia" w:ascii="宋体" w:hAnsi="宋体" w:cstheme="minorEastAsia"/>
                <w:color w:val="000000"/>
                <w:sz w:val="24"/>
                <w:highlight w:val="none"/>
              </w:rPr>
              <w:t>）</w:t>
            </w:r>
          </w:p>
        </w:tc>
      </w:tr>
      <w:tr w14:paraId="7DA4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A43EAD2">
            <w:pPr>
              <w:adjustRightInd w:val="0"/>
              <w:snapToGrid w:val="0"/>
              <w:jc w:val="center"/>
              <w:rPr>
                <w:rFonts w:hint="eastAsia" w:ascii="宋体" w:hAnsi="宋体" w:cstheme="minorEastAsia"/>
                <w:color w:val="000000"/>
                <w:sz w:val="24"/>
                <w:highlight w:val="none"/>
              </w:rPr>
            </w:pPr>
          </w:p>
        </w:tc>
        <w:tc>
          <w:tcPr>
            <w:tcW w:w="1394" w:type="dxa"/>
            <w:vAlign w:val="center"/>
          </w:tcPr>
          <w:p w14:paraId="0245EDF9">
            <w:pPr>
              <w:adjustRightInd w:val="0"/>
              <w:snapToGrid w:val="0"/>
              <w:jc w:val="center"/>
              <w:rPr>
                <w:rFonts w:hint="eastAsia" w:ascii="宋体" w:hAnsi="宋体" w:cstheme="minorEastAsia"/>
                <w:color w:val="000000"/>
                <w:sz w:val="24"/>
                <w:highlight w:val="none"/>
              </w:rPr>
            </w:pPr>
          </w:p>
        </w:tc>
        <w:tc>
          <w:tcPr>
            <w:tcW w:w="1808" w:type="dxa"/>
            <w:vAlign w:val="center"/>
          </w:tcPr>
          <w:p w14:paraId="03FCEAD8">
            <w:pPr>
              <w:adjustRightInd w:val="0"/>
              <w:snapToGrid w:val="0"/>
              <w:jc w:val="center"/>
              <w:rPr>
                <w:rFonts w:hint="eastAsia" w:ascii="宋体" w:hAnsi="宋体" w:cstheme="minorEastAsia"/>
                <w:color w:val="000000"/>
                <w:sz w:val="24"/>
                <w:highlight w:val="none"/>
              </w:rPr>
            </w:pPr>
          </w:p>
        </w:tc>
        <w:tc>
          <w:tcPr>
            <w:tcW w:w="1809" w:type="dxa"/>
            <w:vAlign w:val="center"/>
          </w:tcPr>
          <w:p w14:paraId="1B4A9BDF">
            <w:pPr>
              <w:adjustRightInd w:val="0"/>
              <w:snapToGrid w:val="0"/>
              <w:jc w:val="center"/>
              <w:rPr>
                <w:rFonts w:hint="eastAsia" w:ascii="宋体" w:hAnsi="宋体" w:cstheme="minorEastAsia"/>
                <w:color w:val="000000"/>
                <w:sz w:val="24"/>
                <w:highlight w:val="none"/>
              </w:rPr>
            </w:pPr>
          </w:p>
        </w:tc>
        <w:tc>
          <w:tcPr>
            <w:tcW w:w="2290" w:type="dxa"/>
            <w:vAlign w:val="center"/>
          </w:tcPr>
          <w:p w14:paraId="3FDDA570">
            <w:pPr>
              <w:adjustRightInd w:val="0"/>
              <w:snapToGrid w:val="0"/>
              <w:jc w:val="center"/>
              <w:rPr>
                <w:rFonts w:hint="eastAsia" w:ascii="宋体" w:hAnsi="宋体" w:cstheme="minorEastAsia"/>
                <w:color w:val="000000"/>
                <w:sz w:val="24"/>
                <w:highlight w:val="none"/>
              </w:rPr>
            </w:pPr>
          </w:p>
        </w:tc>
        <w:tc>
          <w:tcPr>
            <w:tcW w:w="863" w:type="dxa"/>
            <w:vAlign w:val="center"/>
          </w:tcPr>
          <w:p w14:paraId="0410DF74">
            <w:pPr>
              <w:adjustRightInd w:val="0"/>
              <w:snapToGrid w:val="0"/>
              <w:jc w:val="center"/>
              <w:rPr>
                <w:rFonts w:hint="eastAsia" w:ascii="宋体" w:hAnsi="宋体" w:cstheme="minorEastAsia"/>
                <w:color w:val="000000"/>
                <w:sz w:val="24"/>
                <w:highlight w:val="none"/>
              </w:rPr>
            </w:pPr>
          </w:p>
        </w:tc>
      </w:tr>
      <w:tr w14:paraId="3F50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815496C">
            <w:pPr>
              <w:adjustRightInd w:val="0"/>
              <w:snapToGrid w:val="0"/>
              <w:jc w:val="center"/>
              <w:rPr>
                <w:rFonts w:hint="eastAsia" w:ascii="宋体" w:hAnsi="宋体" w:cstheme="minorEastAsia"/>
                <w:color w:val="000000"/>
                <w:sz w:val="24"/>
                <w:highlight w:val="none"/>
              </w:rPr>
            </w:pPr>
          </w:p>
        </w:tc>
        <w:tc>
          <w:tcPr>
            <w:tcW w:w="1394" w:type="dxa"/>
            <w:vAlign w:val="center"/>
          </w:tcPr>
          <w:p w14:paraId="41864966">
            <w:pPr>
              <w:adjustRightInd w:val="0"/>
              <w:snapToGrid w:val="0"/>
              <w:jc w:val="center"/>
              <w:rPr>
                <w:rFonts w:hint="eastAsia" w:ascii="宋体" w:hAnsi="宋体" w:cstheme="minorEastAsia"/>
                <w:color w:val="000000"/>
                <w:sz w:val="24"/>
                <w:highlight w:val="none"/>
              </w:rPr>
            </w:pPr>
          </w:p>
        </w:tc>
        <w:tc>
          <w:tcPr>
            <w:tcW w:w="1808" w:type="dxa"/>
            <w:vAlign w:val="center"/>
          </w:tcPr>
          <w:p w14:paraId="0B46D476">
            <w:pPr>
              <w:adjustRightInd w:val="0"/>
              <w:snapToGrid w:val="0"/>
              <w:jc w:val="center"/>
              <w:rPr>
                <w:rFonts w:hint="eastAsia" w:ascii="宋体" w:hAnsi="宋体" w:cstheme="minorEastAsia"/>
                <w:color w:val="000000"/>
                <w:sz w:val="24"/>
                <w:highlight w:val="none"/>
              </w:rPr>
            </w:pPr>
          </w:p>
        </w:tc>
        <w:tc>
          <w:tcPr>
            <w:tcW w:w="1809" w:type="dxa"/>
            <w:vAlign w:val="center"/>
          </w:tcPr>
          <w:p w14:paraId="4A12ACF5">
            <w:pPr>
              <w:adjustRightInd w:val="0"/>
              <w:snapToGrid w:val="0"/>
              <w:jc w:val="center"/>
              <w:rPr>
                <w:rFonts w:hint="eastAsia" w:ascii="宋体" w:hAnsi="宋体" w:cstheme="minorEastAsia"/>
                <w:color w:val="000000"/>
                <w:sz w:val="24"/>
                <w:highlight w:val="none"/>
              </w:rPr>
            </w:pPr>
          </w:p>
        </w:tc>
        <w:tc>
          <w:tcPr>
            <w:tcW w:w="2290" w:type="dxa"/>
            <w:vAlign w:val="center"/>
          </w:tcPr>
          <w:p w14:paraId="00593678">
            <w:pPr>
              <w:adjustRightInd w:val="0"/>
              <w:snapToGrid w:val="0"/>
              <w:jc w:val="center"/>
              <w:rPr>
                <w:rFonts w:hint="eastAsia" w:ascii="宋体" w:hAnsi="宋体" w:cstheme="minorEastAsia"/>
                <w:color w:val="000000"/>
                <w:sz w:val="24"/>
                <w:highlight w:val="none"/>
              </w:rPr>
            </w:pPr>
          </w:p>
        </w:tc>
        <w:tc>
          <w:tcPr>
            <w:tcW w:w="863" w:type="dxa"/>
            <w:vAlign w:val="center"/>
          </w:tcPr>
          <w:p w14:paraId="2688E8A7">
            <w:pPr>
              <w:adjustRightInd w:val="0"/>
              <w:snapToGrid w:val="0"/>
              <w:jc w:val="center"/>
              <w:rPr>
                <w:rFonts w:hint="eastAsia" w:ascii="宋体" w:hAnsi="宋体" w:cstheme="minorEastAsia"/>
                <w:color w:val="000000"/>
                <w:sz w:val="24"/>
                <w:highlight w:val="none"/>
              </w:rPr>
            </w:pPr>
          </w:p>
        </w:tc>
      </w:tr>
      <w:tr w14:paraId="42A0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76778324">
            <w:pPr>
              <w:adjustRightInd w:val="0"/>
              <w:snapToGrid w:val="0"/>
              <w:jc w:val="center"/>
              <w:rPr>
                <w:rFonts w:hint="eastAsia" w:ascii="宋体" w:hAnsi="宋体" w:cstheme="minorEastAsia"/>
                <w:color w:val="000000"/>
                <w:sz w:val="24"/>
                <w:highlight w:val="none"/>
              </w:rPr>
            </w:pPr>
          </w:p>
        </w:tc>
        <w:tc>
          <w:tcPr>
            <w:tcW w:w="1394" w:type="dxa"/>
            <w:vAlign w:val="center"/>
          </w:tcPr>
          <w:p w14:paraId="700D38C0">
            <w:pPr>
              <w:adjustRightInd w:val="0"/>
              <w:snapToGrid w:val="0"/>
              <w:jc w:val="center"/>
              <w:rPr>
                <w:rFonts w:hint="eastAsia" w:ascii="宋体" w:hAnsi="宋体" w:cstheme="minorEastAsia"/>
                <w:color w:val="000000"/>
                <w:sz w:val="24"/>
                <w:highlight w:val="none"/>
              </w:rPr>
            </w:pPr>
          </w:p>
        </w:tc>
        <w:tc>
          <w:tcPr>
            <w:tcW w:w="1808" w:type="dxa"/>
            <w:vAlign w:val="center"/>
          </w:tcPr>
          <w:p w14:paraId="7DAF7665">
            <w:pPr>
              <w:adjustRightInd w:val="0"/>
              <w:snapToGrid w:val="0"/>
              <w:jc w:val="center"/>
              <w:rPr>
                <w:rFonts w:hint="eastAsia" w:ascii="宋体" w:hAnsi="宋体" w:cstheme="minorEastAsia"/>
                <w:color w:val="000000"/>
                <w:sz w:val="24"/>
                <w:highlight w:val="none"/>
              </w:rPr>
            </w:pPr>
          </w:p>
        </w:tc>
        <w:tc>
          <w:tcPr>
            <w:tcW w:w="1809" w:type="dxa"/>
            <w:vAlign w:val="center"/>
          </w:tcPr>
          <w:p w14:paraId="7C08C3CB">
            <w:pPr>
              <w:adjustRightInd w:val="0"/>
              <w:snapToGrid w:val="0"/>
              <w:jc w:val="center"/>
              <w:rPr>
                <w:rFonts w:hint="eastAsia" w:ascii="宋体" w:hAnsi="宋体" w:cstheme="minorEastAsia"/>
                <w:color w:val="000000"/>
                <w:sz w:val="24"/>
                <w:highlight w:val="none"/>
              </w:rPr>
            </w:pPr>
          </w:p>
        </w:tc>
        <w:tc>
          <w:tcPr>
            <w:tcW w:w="2290" w:type="dxa"/>
            <w:vAlign w:val="center"/>
          </w:tcPr>
          <w:p w14:paraId="19375AC7">
            <w:pPr>
              <w:adjustRightInd w:val="0"/>
              <w:snapToGrid w:val="0"/>
              <w:jc w:val="center"/>
              <w:rPr>
                <w:rFonts w:hint="eastAsia" w:ascii="宋体" w:hAnsi="宋体" w:cstheme="minorEastAsia"/>
                <w:color w:val="000000"/>
                <w:sz w:val="24"/>
                <w:highlight w:val="none"/>
              </w:rPr>
            </w:pPr>
          </w:p>
        </w:tc>
        <w:tc>
          <w:tcPr>
            <w:tcW w:w="863" w:type="dxa"/>
            <w:vAlign w:val="center"/>
          </w:tcPr>
          <w:p w14:paraId="75A541DF">
            <w:pPr>
              <w:adjustRightInd w:val="0"/>
              <w:snapToGrid w:val="0"/>
              <w:jc w:val="center"/>
              <w:rPr>
                <w:rFonts w:hint="eastAsia" w:ascii="宋体" w:hAnsi="宋体" w:cstheme="minorEastAsia"/>
                <w:color w:val="000000"/>
                <w:sz w:val="24"/>
                <w:highlight w:val="none"/>
              </w:rPr>
            </w:pPr>
          </w:p>
        </w:tc>
      </w:tr>
      <w:tr w14:paraId="7394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774DB8A4">
            <w:pPr>
              <w:adjustRightInd w:val="0"/>
              <w:snapToGrid w:val="0"/>
              <w:jc w:val="center"/>
              <w:rPr>
                <w:rFonts w:hint="eastAsia" w:ascii="宋体" w:hAnsi="宋体" w:cstheme="minorEastAsia"/>
                <w:color w:val="000000"/>
                <w:sz w:val="24"/>
                <w:highlight w:val="none"/>
              </w:rPr>
            </w:pPr>
          </w:p>
        </w:tc>
        <w:tc>
          <w:tcPr>
            <w:tcW w:w="1394" w:type="dxa"/>
            <w:vAlign w:val="center"/>
          </w:tcPr>
          <w:p w14:paraId="2F85B477">
            <w:pPr>
              <w:adjustRightInd w:val="0"/>
              <w:snapToGrid w:val="0"/>
              <w:jc w:val="center"/>
              <w:rPr>
                <w:rFonts w:hint="eastAsia" w:ascii="宋体" w:hAnsi="宋体" w:cstheme="minorEastAsia"/>
                <w:color w:val="000000"/>
                <w:sz w:val="24"/>
                <w:highlight w:val="none"/>
              </w:rPr>
            </w:pPr>
          </w:p>
        </w:tc>
        <w:tc>
          <w:tcPr>
            <w:tcW w:w="1808" w:type="dxa"/>
            <w:vAlign w:val="center"/>
          </w:tcPr>
          <w:p w14:paraId="6565D63A">
            <w:pPr>
              <w:adjustRightInd w:val="0"/>
              <w:snapToGrid w:val="0"/>
              <w:jc w:val="center"/>
              <w:rPr>
                <w:rFonts w:hint="eastAsia" w:ascii="宋体" w:hAnsi="宋体" w:cstheme="minorEastAsia"/>
                <w:color w:val="000000"/>
                <w:sz w:val="24"/>
                <w:highlight w:val="none"/>
              </w:rPr>
            </w:pPr>
          </w:p>
        </w:tc>
        <w:tc>
          <w:tcPr>
            <w:tcW w:w="1809" w:type="dxa"/>
            <w:vAlign w:val="center"/>
          </w:tcPr>
          <w:p w14:paraId="6F3A7D6E">
            <w:pPr>
              <w:adjustRightInd w:val="0"/>
              <w:snapToGrid w:val="0"/>
              <w:jc w:val="center"/>
              <w:rPr>
                <w:rFonts w:hint="eastAsia" w:ascii="宋体" w:hAnsi="宋体" w:cstheme="minorEastAsia"/>
                <w:color w:val="000000"/>
                <w:sz w:val="24"/>
                <w:highlight w:val="none"/>
              </w:rPr>
            </w:pPr>
          </w:p>
        </w:tc>
        <w:tc>
          <w:tcPr>
            <w:tcW w:w="2290" w:type="dxa"/>
            <w:vAlign w:val="center"/>
          </w:tcPr>
          <w:p w14:paraId="50319C10">
            <w:pPr>
              <w:adjustRightInd w:val="0"/>
              <w:snapToGrid w:val="0"/>
              <w:jc w:val="center"/>
              <w:rPr>
                <w:rFonts w:hint="eastAsia" w:ascii="宋体" w:hAnsi="宋体" w:cstheme="minorEastAsia"/>
                <w:color w:val="000000"/>
                <w:sz w:val="24"/>
                <w:highlight w:val="none"/>
              </w:rPr>
            </w:pPr>
          </w:p>
        </w:tc>
        <w:tc>
          <w:tcPr>
            <w:tcW w:w="863" w:type="dxa"/>
            <w:vAlign w:val="center"/>
          </w:tcPr>
          <w:p w14:paraId="35103E57">
            <w:pPr>
              <w:adjustRightInd w:val="0"/>
              <w:snapToGrid w:val="0"/>
              <w:jc w:val="center"/>
              <w:rPr>
                <w:rFonts w:hint="eastAsia" w:ascii="宋体" w:hAnsi="宋体" w:cstheme="minorEastAsia"/>
                <w:color w:val="000000"/>
                <w:sz w:val="24"/>
                <w:highlight w:val="none"/>
              </w:rPr>
            </w:pPr>
          </w:p>
        </w:tc>
      </w:tr>
      <w:tr w14:paraId="3C45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6CEDC9D5">
            <w:pPr>
              <w:adjustRightInd w:val="0"/>
              <w:snapToGrid w:val="0"/>
              <w:jc w:val="center"/>
              <w:rPr>
                <w:rFonts w:hint="eastAsia" w:ascii="宋体" w:hAnsi="宋体" w:cstheme="minorEastAsia"/>
                <w:color w:val="000000"/>
                <w:sz w:val="24"/>
                <w:highlight w:val="none"/>
              </w:rPr>
            </w:pPr>
          </w:p>
        </w:tc>
        <w:tc>
          <w:tcPr>
            <w:tcW w:w="1394" w:type="dxa"/>
            <w:vAlign w:val="center"/>
          </w:tcPr>
          <w:p w14:paraId="4A4EB4DB">
            <w:pPr>
              <w:adjustRightInd w:val="0"/>
              <w:snapToGrid w:val="0"/>
              <w:jc w:val="center"/>
              <w:rPr>
                <w:rFonts w:hint="eastAsia" w:ascii="宋体" w:hAnsi="宋体" w:cstheme="minorEastAsia"/>
                <w:color w:val="000000"/>
                <w:sz w:val="24"/>
                <w:highlight w:val="none"/>
              </w:rPr>
            </w:pPr>
          </w:p>
        </w:tc>
        <w:tc>
          <w:tcPr>
            <w:tcW w:w="1808" w:type="dxa"/>
            <w:vAlign w:val="center"/>
          </w:tcPr>
          <w:p w14:paraId="3191F643">
            <w:pPr>
              <w:adjustRightInd w:val="0"/>
              <w:snapToGrid w:val="0"/>
              <w:jc w:val="center"/>
              <w:rPr>
                <w:rFonts w:hint="eastAsia" w:ascii="宋体" w:hAnsi="宋体" w:cstheme="minorEastAsia"/>
                <w:color w:val="000000"/>
                <w:sz w:val="24"/>
                <w:highlight w:val="none"/>
              </w:rPr>
            </w:pPr>
          </w:p>
        </w:tc>
        <w:tc>
          <w:tcPr>
            <w:tcW w:w="1809" w:type="dxa"/>
            <w:vAlign w:val="center"/>
          </w:tcPr>
          <w:p w14:paraId="0751A3CA">
            <w:pPr>
              <w:adjustRightInd w:val="0"/>
              <w:snapToGrid w:val="0"/>
              <w:jc w:val="center"/>
              <w:rPr>
                <w:rFonts w:hint="eastAsia" w:ascii="宋体" w:hAnsi="宋体" w:cstheme="minorEastAsia"/>
                <w:color w:val="000000"/>
                <w:sz w:val="24"/>
                <w:highlight w:val="none"/>
              </w:rPr>
            </w:pPr>
          </w:p>
        </w:tc>
        <w:tc>
          <w:tcPr>
            <w:tcW w:w="2290" w:type="dxa"/>
            <w:vAlign w:val="center"/>
          </w:tcPr>
          <w:p w14:paraId="534E7AD9">
            <w:pPr>
              <w:adjustRightInd w:val="0"/>
              <w:snapToGrid w:val="0"/>
              <w:jc w:val="center"/>
              <w:rPr>
                <w:rFonts w:hint="eastAsia" w:ascii="宋体" w:hAnsi="宋体" w:cstheme="minorEastAsia"/>
                <w:color w:val="000000"/>
                <w:sz w:val="24"/>
                <w:highlight w:val="none"/>
              </w:rPr>
            </w:pPr>
          </w:p>
        </w:tc>
        <w:tc>
          <w:tcPr>
            <w:tcW w:w="863" w:type="dxa"/>
            <w:vAlign w:val="center"/>
          </w:tcPr>
          <w:p w14:paraId="0E61CA9E">
            <w:pPr>
              <w:adjustRightInd w:val="0"/>
              <w:snapToGrid w:val="0"/>
              <w:jc w:val="center"/>
              <w:rPr>
                <w:rFonts w:hint="eastAsia" w:ascii="宋体" w:hAnsi="宋体" w:cstheme="minorEastAsia"/>
                <w:color w:val="000000"/>
                <w:sz w:val="24"/>
                <w:highlight w:val="none"/>
              </w:rPr>
            </w:pPr>
          </w:p>
        </w:tc>
      </w:tr>
    </w:tbl>
    <w:p w14:paraId="0CEEE2C7">
      <w:pPr>
        <w:tabs>
          <w:tab w:val="left" w:pos="1800"/>
          <w:tab w:val="left" w:pos="5580"/>
        </w:tabs>
        <w:jc w:val="left"/>
        <w:rPr>
          <w:rFonts w:hint="eastAsia" w:ascii="宋体" w:hAnsi="宋体" w:cstheme="minorEastAsia"/>
          <w:color w:val="000000"/>
          <w:sz w:val="24"/>
          <w:highlight w:val="none"/>
        </w:rPr>
      </w:pPr>
    </w:p>
    <w:p w14:paraId="5E1C0FCB">
      <w:pPr>
        <w:tabs>
          <w:tab w:val="left" w:pos="1800"/>
          <w:tab w:val="left" w:pos="5580"/>
        </w:tabs>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注：</w:t>
      </w:r>
      <w:r>
        <w:rPr>
          <w:rFonts w:hint="eastAsia" w:ascii="宋体" w:hAnsi="宋体" w:cstheme="minorEastAsia"/>
          <w:sz w:val="24"/>
          <w:highlight w:val="none"/>
        </w:rPr>
        <w:t xml:space="preserve"> “偏离情况”列应</w:t>
      </w:r>
      <w:r>
        <w:rPr>
          <w:rFonts w:hint="eastAsia" w:ascii="宋体" w:hAnsi="宋体" w:cstheme="minorEastAsia"/>
          <w:color w:val="000000"/>
          <w:sz w:val="24"/>
          <w:highlight w:val="none"/>
        </w:rPr>
        <w:t>据实</w:t>
      </w:r>
      <w:r>
        <w:rPr>
          <w:rFonts w:hint="eastAsia" w:ascii="宋体" w:hAnsi="宋体" w:cstheme="minorEastAsia"/>
          <w:sz w:val="24"/>
          <w:highlight w:val="none"/>
        </w:rPr>
        <w:t>填写“正偏离”或“负偏离”。</w:t>
      </w:r>
    </w:p>
    <w:p w14:paraId="51DA7521">
      <w:pPr>
        <w:spacing w:line="360" w:lineRule="auto"/>
        <w:rPr>
          <w:rFonts w:hint="eastAsia" w:ascii="宋体" w:hAnsi="宋体" w:cstheme="minorEastAsia"/>
          <w:color w:val="000000"/>
          <w:sz w:val="24"/>
          <w:szCs w:val="20"/>
          <w:highlight w:val="none"/>
        </w:rPr>
      </w:pPr>
    </w:p>
    <w:p w14:paraId="17A9FBF6">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color w:val="000000"/>
          <w:sz w:val="24"/>
          <w:highlight w:val="none"/>
        </w:rPr>
        <w:t>_______________</w:t>
      </w:r>
    </w:p>
    <w:p w14:paraId="232C65E6">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szCs w:val="20"/>
          <w:highlight w:val="none"/>
        </w:rPr>
        <w:t xml:space="preserve">日期：____年____月____日    </w:t>
      </w:r>
    </w:p>
    <w:p w14:paraId="09129E1E">
      <w:pPr>
        <w:tabs>
          <w:tab w:val="left" w:pos="360"/>
        </w:tabs>
        <w:snapToGrid w:val="0"/>
        <w:spacing w:line="360" w:lineRule="auto"/>
        <w:outlineLvl w:val="1"/>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br w:type="page"/>
      </w:r>
      <w:r>
        <w:rPr>
          <w:rFonts w:hint="eastAsia" w:ascii="宋体" w:hAnsi="宋体" w:cstheme="minorEastAsia"/>
          <w:sz w:val="24"/>
          <w:highlight w:val="none"/>
        </w:rPr>
        <w:t xml:space="preserve">10  </w:t>
      </w:r>
      <w:bookmarkEnd w:id="1898"/>
      <w:bookmarkEnd w:id="1899"/>
      <w:bookmarkEnd w:id="1900"/>
      <w:bookmarkEnd w:id="1901"/>
      <w:bookmarkEnd w:id="1902"/>
      <w:bookmarkEnd w:id="1903"/>
      <w:bookmarkEnd w:id="1904"/>
      <w:bookmarkEnd w:id="1905"/>
      <w:bookmarkEnd w:id="1906"/>
      <w:bookmarkEnd w:id="1907"/>
      <w:bookmarkEnd w:id="1908"/>
      <w:bookmarkEnd w:id="1909"/>
      <w:bookmarkEnd w:id="1910"/>
      <w:r>
        <w:rPr>
          <w:rFonts w:hint="eastAsia" w:ascii="宋体" w:hAnsi="宋体" w:cstheme="minorEastAsia"/>
          <w:sz w:val="24"/>
          <w:highlight w:val="none"/>
        </w:rPr>
        <w:t>采购需求偏离表（实质性格式）</w:t>
      </w:r>
    </w:p>
    <w:p w14:paraId="47D54069">
      <w:pPr>
        <w:autoSpaceDE w:val="0"/>
        <w:autoSpaceDN w:val="0"/>
        <w:adjustRightInd w:val="0"/>
        <w:spacing w:line="360" w:lineRule="auto"/>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采购需求偏离表</w:t>
      </w:r>
    </w:p>
    <w:p w14:paraId="48F46964">
      <w:pPr>
        <w:tabs>
          <w:tab w:val="left" w:pos="1800"/>
          <w:tab w:val="left" w:pos="5580"/>
        </w:tabs>
        <w:spacing w:line="360" w:lineRule="auto"/>
        <w:ind w:firstLine="360" w:firstLineChars="15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项目编号/包号：_______________     项目名称：_______________</w:t>
      </w:r>
    </w:p>
    <w:tbl>
      <w:tblPr>
        <w:tblStyle w:val="44"/>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51B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427AC9EE">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序号</w:t>
            </w:r>
          </w:p>
        </w:tc>
        <w:tc>
          <w:tcPr>
            <w:tcW w:w="1482" w:type="dxa"/>
            <w:vAlign w:val="center"/>
          </w:tcPr>
          <w:p w14:paraId="4263B6EF">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竞争性磋商文件条目号(页码)</w:t>
            </w:r>
          </w:p>
        </w:tc>
        <w:tc>
          <w:tcPr>
            <w:tcW w:w="2384" w:type="dxa"/>
            <w:vAlign w:val="center"/>
          </w:tcPr>
          <w:p w14:paraId="032B306E">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竞争性磋商文件要求</w:t>
            </w:r>
          </w:p>
        </w:tc>
        <w:tc>
          <w:tcPr>
            <w:tcW w:w="2126" w:type="dxa"/>
            <w:vAlign w:val="center"/>
          </w:tcPr>
          <w:p w14:paraId="1607FCF8">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响应内容</w:t>
            </w:r>
          </w:p>
        </w:tc>
        <w:tc>
          <w:tcPr>
            <w:tcW w:w="1875" w:type="dxa"/>
            <w:vAlign w:val="center"/>
          </w:tcPr>
          <w:p w14:paraId="513A4519">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偏离情况</w:t>
            </w:r>
          </w:p>
        </w:tc>
        <w:tc>
          <w:tcPr>
            <w:tcW w:w="1009" w:type="dxa"/>
            <w:vAlign w:val="center"/>
          </w:tcPr>
          <w:p w14:paraId="75FB1F8D">
            <w:pPr>
              <w:adjustRightInd w:val="0"/>
              <w:snapToGrid w:val="0"/>
              <w:jc w:val="center"/>
              <w:rPr>
                <w:rFonts w:hint="eastAsia" w:ascii="宋体" w:hAnsi="宋体" w:cstheme="minorEastAsia"/>
                <w:color w:val="000000"/>
                <w:sz w:val="24"/>
                <w:highlight w:val="none"/>
              </w:rPr>
            </w:pPr>
            <w:r>
              <w:rPr>
                <w:rFonts w:hint="eastAsia" w:ascii="宋体" w:hAnsi="宋体" w:cstheme="minorEastAsia"/>
                <w:color w:val="000000"/>
                <w:sz w:val="24"/>
                <w:highlight w:val="none"/>
              </w:rPr>
              <w:t>说明</w:t>
            </w:r>
          </w:p>
        </w:tc>
      </w:tr>
      <w:tr w14:paraId="1C8D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7C448C8">
            <w:pPr>
              <w:adjustRightInd w:val="0"/>
              <w:snapToGrid w:val="0"/>
              <w:jc w:val="center"/>
              <w:rPr>
                <w:rFonts w:hint="eastAsia" w:ascii="宋体" w:hAnsi="宋体" w:cstheme="minorEastAsia"/>
                <w:color w:val="000000"/>
                <w:sz w:val="24"/>
                <w:highlight w:val="none"/>
              </w:rPr>
            </w:pPr>
          </w:p>
        </w:tc>
        <w:tc>
          <w:tcPr>
            <w:tcW w:w="1482" w:type="dxa"/>
            <w:vAlign w:val="center"/>
          </w:tcPr>
          <w:p w14:paraId="0733E2FE">
            <w:pPr>
              <w:adjustRightInd w:val="0"/>
              <w:snapToGrid w:val="0"/>
              <w:jc w:val="center"/>
              <w:rPr>
                <w:rFonts w:hint="eastAsia" w:ascii="宋体" w:hAnsi="宋体" w:cstheme="minorEastAsia"/>
                <w:color w:val="000000"/>
                <w:sz w:val="24"/>
                <w:highlight w:val="none"/>
              </w:rPr>
            </w:pPr>
          </w:p>
        </w:tc>
        <w:tc>
          <w:tcPr>
            <w:tcW w:w="2384" w:type="dxa"/>
            <w:vAlign w:val="center"/>
          </w:tcPr>
          <w:p w14:paraId="764E32A8">
            <w:pPr>
              <w:adjustRightInd w:val="0"/>
              <w:snapToGrid w:val="0"/>
              <w:jc w:val="center"/>
              <w:rPr>
                <w:rFonts w:hint="eastAsia" w:ascii="宋体" w:hAnsi="宋体" w:cstheme="minorEastAsia"/>
                <w:color w:val="000000"/>
                <w:sz w:val="24"/>
                <w:highlight w:val="none"/>
              </w:rPr>
            </w:pPr>
          </w:p>
        </w:tc>
        <w:tc>
          <w:tcPr>
            <w:tcW w:w="2126" w:type="dxa"/>
            <w:vAlign w:val="center"/>
          </w:tcPr>
          <w:p w14:paraId="77C6AFC8">
            <w:pPr>
              <w:adjustRightInd w:val="0"/>
              <w:snapToGrid w:val="0"/>
              <w:jc w:val="center"/>
              <w:rPr>
                <w:rFonts w:hint="eastAsia" w:ascii="宋体" w:hAnsi="宋体" w:cstheme="minorEastAsia"/>
                <w:color w:val="000000"/>
                <w:sz w:val="24"/>
                <w:highlight w:val="none"/>
              </w:rPr>
            </w:pPr>
          </w:p>
        </w:tc>
        <w:tc>
          <w:tcPr>
            <w:tcW w:w="1875" w:type="dxa"/>
            <w:vAlign w:val="center"/>
          </w:tcPr>
          <w:p w14:paraId="0637D03A">
            <w:pPr>
              <w:adjustRightInd w:val="0"/>
              <w:snapToGrid w:val="0"/>
              <w:jc w:val="center"/>
              <w:rPr>
                <w:rFonts w:hint="eastAsia" w:ascii="宋体" w:hAnsi="宋体" w:cstheme="minorEastAsia"/>
                <w:color w:val="000000"/>
                <w:sz w:val="24"/>
                <w:highlight w:val="none"/>
              </w:rPr>
            </w:pPr>
          </w:p>
        </w:tc>
        <w:tc>
          <w:tcPr>
            <w:tcW w:w="1009" w:type="dxa"/>
            <w:vAlign w:val="center"/>
          </w:tcPr>
          <w:p w14:paraId="142A04A5">
            <w:pPr>
              <w:adjustRightInd w:val="0"/>
              <w:snapToGrid w:val="0"/>
              <w:jc w:val="center"/>
              <w:rPr>
                <w:rFonts w:hint="eastAsia" w:ascii="宋体" w:hAnsi="宋体" w:cstheme="minorEastAsia"/>
                <w:color w:val="000000"/>
                <w:sz w:val="24"/>
                <w:highlight w:val="none"/>
              </w:rPr>
            </w:pPr>
          </w:p>
        </w:tc>
      </w:tr>
      <w:tr w14:paraId="3594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6A50D4F">
            <w:pPr>
              <w:adjustRightInd w:val="0"/>
              <w:snapToGrid w:val="0"/>
              <w:jc w:val="center"/>
              <w:rPr>
                <w:rFonts w:hint="eastAsia" w:ascii="宋体" w:hAnsi="宋体" w:cstheme="minorEastAsia"/>
                <w:color w:val="000000"/>
                <w:sz w:val="24"/>
                <w:highlight w:val="none"/>
              </w:rPr>
            </w:pPr>
          </w:p>
        </w:tc>
        <w:tc>
          <w:tcPr>
            <w:tcW w:w="1482" w:type="dxa"/>
            <w:vAlign w:val="center"/>
          </w:tcPr>
          <w:p w14:paraId="24CE0504">
            <w:pPr>
              <w:adjustRightInd w:val="0"/>
              <w:snapToGrid w:val="0"/>
              <w:jc w:val="center"/>
              <w:rPr>
                <w:rFonts w:hint="eastAsia" w:ascii="宋体" w:hAnsi="宋体" w:cstheme="minorEastAsia"/>
                <w:color w:val="000000"/>
                <w:sz w:val="24"/>
                <w:highlight w:val="none"/>
              </w:rPr>
            </w:pPr>
          </w:p>
        </w:tc>
        <w:tc>
          <w:tcPr>
            <w:tcW w:w="2384" w:type="dxa"/>
            <w:vAlign w:val="center"/>
          </w:tcPr>
          <w:p w14:paraId="2509F64D">
            <w:pPr>
              <w:adjustRightInd w:val="0"/>
              <w:snapToGrid w:val="0"/>
              <w:jc w:val="center"/>
              <w:rPr>
                <w:rFonts w:hint="eastAsia" w:ascii="宋体" w:hAnsi="宋体" w:cstheme="minorEastAsia"/>
                <w:color w:val="000000"/>
                <w:sz w:val="24"/>
                <w:highlight w:val="none"/>
              </w:rPr>
            </w:pPr>
          </w:p>
        </w:tc>
        <w:tc>
          <w:tcPr>
            <w:tcW w:w="2126" w:type="dxa"/>
            <w:vAlign w:val="center"/>
          </w:tcPr>
          <w:p w14:paraId="6E3A9CAB">
            <w:pPr>
              <w:adjustRightInd w:val="0"/>
              <w:snapToGrid w:val="0"/>
              <w:jc w:val="center"/>
              <w:rPr>
                <w:rFonts w:hint="eastAsia" w:ascii="宋体" w:hAnsi="宋体" w:cstheme="minorEastAsia"/>
                <w:color w:val="000000"/>
                <w:sz w:val="24"/>
                <w:highlight w:val="none"/>
              </w:rPr>
            </w:pPr>
          </w:p>
        </w:tc>
        <w:tc>
          <w:tcPr>
            <w:tcW w:w="1875" w:type="dxa"/>
            <w:vAlign w:val="center"/>
          </w:tcPr>
          <w:p w14:paraId="2B919FCA">
            <w:pPr>
              <w:adjustRightInd w:val="0"/>
              <w:snapToGrid w:val="0"/>
              <w:jc w:val="center"/>
              <w:rPr>
                <w:rFonts w:hint="eastAsia" w:ascii="宋体" w:hAnsi="宋体" w:cstheme="minorEastAsia"/>
                <w:color w:val="000000"/>
                <w:sz w:val="24"/>
                <w:highlight w:val="none"/>
              </w:rPr>
            </w:pPr>
          </w:p>
        </w:tc>
        <w:tc>
          <w:tcPr>
            <w:tcW w:w="1009" w:type="dxa"/>
            <w:vAlign w:val="center"/>
          </w:tcPr>
          <w:p w14:paraId="25439655">
            <w:pPr>
              <w:adjustRightInd w:val="0"/>
              <w:snapToGrid w:val="0"/>
              <w:jc w:val="center"/>
              <w:rPr>
                <w:rFonts w:hint="eastAsia" w:ascii="宋体" w:hAnsi="宋体" w:cstheme="minorEastAsia"/>
                <w:color w:val="000000"/>
                <w:sz w:val="24"/>
                <w:highlight w:val="none"/>
              </w:rPr>
            </w:pPr>
          </w:p>
        </w:tc>
      </w:tr>
      <w:tr w14:paraId="3CE6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0E2268B">
            <w:pPr>
              <w:adjustRightInd w:val="0"/>
              <w:snapToGrid w:val="0"/>
              <w:jc w:val="center"/>
              <w:rPr>
                <w:rFonts w:hint="eastAsia" w:ascii="宋体" w:hAnsi="宋体" w:cstheme="minorEastAsia"/>
                <w:color w:val="000000"/>
                <w:sz w:val="24"/>
                <w:highlight w:val="none"/>
              </w:rPr>
            </w:pPr>
          </w:p>
        </w:tc>
        <w:tc>
          <w:tcPr>
            <w:tcW w:w="1482" w:type="dxa"/>
            <w:vAlign w:val="center"/>
          </w:tcPr>
          <w:p w14:paraId="3BC74266">
            <w:pPr>
              <w:adjustRightInd w:val="0"/>
              <w:snapToGrid w:val="0"/>
              <w:jc w:val="center"/>
              <w:rPr>
                <w:rFonts w:hint="eastAsia" w:ascii="宋体" w:hAnsi="宋体" w:cstheme="minorEastAsia"/>
                <w:color w:val="000000"/>
                <w:sz w:val="24"/>
                <w:highlight w:val="none"/>
              </w:rPr>
            </w:pPr>
          </w:p>
        </w:tc>
        <w:tc>
          <w:tcPr>
            <w:tcW w:w="2384" w:type="dxa"/>
            <w:vAlign w:val="center"/>
          </w:tcPr>
          <w:p w14:paraId="7839EF53">
            <w:pPr>
              <w:adjustRightInd w:val="0"/>
              <w:snapToGrid w:val="0"/>
              <w:jc w:val="center"/>
              <w:rPr>
                <w:rFonts w:hint="eastAsia" w:ascii="宋体" w:hAnsi="宋体" w:cstheme="minorEastAsia"/>
                <w:color w:val="000000"/>
                <w:sz w:val="24"/>
                <w:highlight w:val="none"/>
              </w:rPr>
            </w:pPr>
          </w:p>
        </w:tc>
        <w:tc>
          <w:tcPr>
            <w:tcW w:w="2126" w:type="dxa"/>
            <w:vAlign w:val="center"/>
          </w:tcPr>
          <w:p w14:paraId="24F7DC8B">
            <w:pPr>
              <w:adjustRightInd w:val="0"/>
              <w:snapToGrid w:val="0"/>
              <w:jc w:val="center"/>
              <w:rPr>
                <w:rFonts w:hint="eastAsia" w:ascii="宋体" w:hAnsi="宋体" w:cstheme="minorEastAsia"/>
                <w:color w:val="000000"/>
                <w:sz w:val="24"/>
                <w:highlight w:val="none"/>
              </w:rPr>
            </w:pPr>
          </w:p>
        </w:tc>
        <w:tc>
          <w:tcPr>
            <w:tcW w:w="1875" w:type="dxa"/>
            <w:vAlign w:val="center"/>
          </w:tcPr>
          <w:p w14:paraId="2436E72D">
            <w:pPr>
              <w:adjustRightInd w:val="0"/>
              <w:snapToGrid w:val="0"/>
              <w:jc w:val="center"/>
              <w:rPr>
                <w:rFonts w:hint="eastAsia" w:ascii="宋体" w:hAnsi="宋体" w:cstheme="minorEastAsia"/>
                <w:color w:val="000000"/>
                <w:sz w:val="24"/>
                <w:highlight w:val="none"/>
              </w:rPr>
            </w:pPr>
          </w:p>
        </w:tc>
        <w:tc>
          <w:tcPr>
            <w:tcW w:w="1009" w:type="dxa"/>
            <w:vAlign w:val="center"/>
          </w:tcPr>
          <w:p w14:paraId="681E21B8">
            <w:pPr>
              <w:adjustRightInd w:val="0"/>
              <w:snapToGrid w:val="0"/>
              <w:jc w:val="center"/>
              <w:rPr>
                <w:rFonts w:hint="eastAsia" w:ascii="宋体" w:hAnsi="宋体" w:cstheme="minorEastAsia"/>
                <w:color w:val="000000"/>
                <w:sz w:val="24"/>
                <w:highlight w:val="none"/>
              </w:rPr>
            </w:pPr>
          </w:p>
        </w:tc>
      </w:tr>
      <w:tr w14:paraId="0CC9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021989B">
            <w:pPr>
              <w:adjustRightInd w:val="0"/>
              <w:snapToGrid w:val="0"/>
              <w:jc w:val="center"/>
              <w:rPr>
                <w:rFonts w:hint="eastAsia" w:ascii="宋体" w:hAnsi="宋体" w:cstheme="minorEastAsia"/>
                <w:color w:val="000000"/>
                <w:sz w:val="24"/>
                <w:highlight w:val="none"/>
              </w:rPr>
            </w:pPr>
          </w:p>
        </w:tc>
        <w:tc>
          <w:tcPr>
            <w:tcW w:w="1482" w:type="dxa"/>
            <w:vAlign w:val="center"/>
          </w:tcPr>
          <w:p w14:paraId="4A5679D5">
            <w:pPr>
              <w:adjustRightInd w:val="0"/>
              <w:snapToGrid w:val="0"/>
              <w:jc w:val="center"/>
              <w:rPr>
                <w:rFonts w:hint="eastAsia" w:ascii="宋体" w:hAnsi="宋体" w:cstheme="minorEastAsia"/>
                <w:color w:val="000000"/>
                <w:sz w:val="24"/>
                <w:highlight w:val="none"/>
              </w:rPr>
            </w:pPr>
          </w:p>
        </w:tc>
        <w:tc>
          <w:tcPr>
            <w:tcW w:w="2384" w:type="dxa"/>
            <w:vAlign w:val="center"/>
          </w:tcPr>
          <w:p w14:paraId="711C6867">
            <w:pPr>
              <w:adjustRightInd w:val="0"/>
              <w:snapToGrid w:val="0"/>
              <w:jc w:val="center"/>
              <w:rPr>
                <w:rFonts w:hint="eastAsia" w:ascii="宋体" w:hAnsi="宋体" w:cstheme="minorEastAsia"/>
                <w:color w:val="000000"/>
                <w:sz w:val="24"/>
                <w:highlight w:val="none"/>
              </w:rPr>
            </w:pPr>
          </w:p>
        </w:tc>
        <w:tc>
          <w:tcPr>
            <w:tcW w:w="2126" w:type="dxa"/>
            <w:vAlign w:val="center"/>
          </w:tcPr>
          <w:p w14:paraId="2F43C84B">
            <w:pPr>
              <w:adjustRightInd w:val="0"/>
              <w:snapToGrid w:val="0"/>
              <w:jc w:val="center"/>
              <w:rPr>
                <w:rFonts w:hint="eastAsia" w:ascii="宋体" w:hAnsi="宋体" w:cstheme="minorEastAsia"/>
                <w:color w:val="000000"/>
                <w:sz w:val="24"/>
                <w:highlight w:val="none"/>
              </w:rPr>
            </w:pPr>
          </w:p>
        </w:tc>
        <w:tc>
          <w:tcPr>
            <w:tcW w:w="1875" w:type="dxa"/>
            <w:vAlign w:val="center"/>
          </w:tcPr>
          <w:p w14:paraId="0AAF4445">
            <w:pPr>
              <w:adjustRightInd w:val="0"/>
              <w:snapToGrid w:val="0"/>
              <w:jc w:val="center"/>
              <w:rPr>
                <w:rFonts w:hint="eastAsia" w:ascii="宋体" w:hAnsi="宋体" w:cstheme="minorEastAsia"/>
                <w:color w:val="000000"/>
                <w:sz w:val="24"/>
                <w:highlight w:val="none"/>
              </w:rPr>
            </w:pPr>
          </w:p>
        </w:tc>
        <w:tc>
          <w:tcPr>
            <w:tcW w:w="1009" w:type="dxa"/>
            <w:vAlign w:val="center"/>
          </w:tcPr>
          <w:p w14:paraId="1733245D">
            <w:pPr>
              <w:adjustRightInd w:val="0"/>
              <w:snapToGrid w:val="0"/>
              <w:jc w:val="center"/>
              <w:rPr>
                <w:rFonts w:hint="eastAsia" w:ascii="宋体" w:hAnsi="宋体" w:cstheme="minorEastAsia"/>
                <w:color w:val="000000"/>
                <w:sz w:val="24"/>
                <w:highlight w:val="none"/>
              </w:rPr>
            </w:pPr>
          </w:p>
        </w:tc>
      </w:tr>
      <w:tr w14:paraId="020F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2DA8F95">
            <w:pPr>
              <w:adjustRightInd w:val="0"/>
              <w:snapToGrid w:val="0"/>
              <w:jc w:val="center"/>
              <w:rPr>
                <w:rFonts w:hint="eastAsia" w:ascii="宋体" w:hAnsi="宋体" w:cstheme="minorEastAsia"/>
                <w:color w:val="000000"/>
                <w:sz w:val="24"/>
                <w:highlight w:val="none"/>
              </w:rPr>
            </w:pPr>
          </w:p>
        </w:tc>
        <w:tc>
          <w:tcPr>
            <w:tcW w:w="1482" w:type="dxa"/>
            <w:vAlign w:val="center"/>
          </w:tcPr>
          <w:p w14:paraId="3995AB46">
            <w:pPr>
              <w:adjustRightInd w:val="0"/>
              <w:snapToGrid w:val="0"/>
              <w:jc w:val="center"/>
              <w:rPr>
                <w:rFonts w:hint="eastAsia" w:ascii="宋体" w:hAnsi="宋体" w:cstheme="minorEastAsia"/>
                <w:color w:val="000000"/>
                <w:sz w:val="24"/>
                <w:highlight w:val="none"/>
              </w:rPr>
            </w:pPr>
          </w:p>
        </w:tc>
        <w:tc>
          <w:tcPr>
            <w:tcW w:w="2384" w:type="dxa"/>
            <w:vAlign w:val="center"/>
          </w:tcPr>
          <w:p w14:paraId="16A56728">
            <w:pPr>
              <w:adjustRightInd w:val="0"/>
              <w:snapToGrid w:val="0"/>
              <w:jc w:val="center"/>
              <w:rPr>
                <w:rFonts w:hint="eastAsia" w:ascii="宋体" w:hAnsi="宋体" w:cstheme="minorEastAsia"/>
                <w:color w:val="000000"/>
                <w:sz w:val="24"/>
                <w:highlight w:val="none"/>
              </w:rPr>
            </w:pPr>
          </w:p>
        </w:tc>
        <w:tc>
          <w:tcPr>
            <w:tcW w:w="2126" w:type="dxa"/>
            <w:vAlign w:val="center"/>
          </w:tcPr>
          <w:p w14:paraId="667284CC">
            <w:pPr>
              <w:adjustRightInd w:val="0"/>
              <w:snapToGrid w:val="0"/>
              <w:jc w:val="center"/>
              <w:rPr>
                <w:rFonts w:hint="eastAsia" w:ascii="宋体" w:hAnsi="宋体" w:cstheme="minorEastAsia"/>
                <w:color w:val="000000"/>
                <w:sz w:val="24"/>
                <w:highlight w:val="none"/>
              </w:rPr>
            </w:pPr>
          </w:p>
        </w:tc>
        <w:tc>
          <w:tcPr>
            <w:tcW w:w="1875" w:type="dxa"/>
            <w:vAlign w:val="center"/>
          </w:tcPr>
          <w:p w14:paraId="55B716FE">
            <w:pPr>
              <w:adjustRightInd w:val="0"/>
              <w:snapToGrid w:val="0"/>
              <w:jc w:val="center"/>
              <w:rPr>
                <w:rFonts w:hint="eastAsia" w:ascii="宋体" w:hAnsi="宋体" w:cstheme="minorEastAsia"/>
                <w:color w:val="000000"/>
                <w:sz w:val="24"/>
                <w:highlight w:val="none"/>
              </w:rPr>
            </w:pPr>
          </w:p>
        </w:tc>
        <w:tc>
          <w:tcPr>
            <w:tcW w:w="1009" w:type="dxa"/>
            <w:vAlign w:val="center"/>
          </w:tcPr>
          <w:p w14:paraId="25A8D29B">
            <w:pPr>
              <w:adjustRightInd w:val="0"/>
              <w:snapToGrid w:val="0"/>
              <w:jc w:val="center"/>
              <w:rPr>
                <w:rFonts w:hint="eastAsia" w:ascii="宋体" w:hAnsi="宋体" w:cstheme="minorEastAsia"/>
                <w:color w:val="000000"/>
                <w:sz w:val="24"/>
                <w:highlight w:val="none"/>
              </w:rPr>
            </w:pPr>
          </w:p>
        </w:tc>
      </w:tr>
      <w:tr w14:paraId="576E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22159E2">
            <w:pPr>
              <w:adjustRightInd w:val="0"/>
              <w:snapToGrid w:val="0"/>
              <w:jc w:val="center"/>
              <w:rPr>
                <w:rFonts w:hint="eastAsia" w:ascii="宋体" w:hAnsi="宋体" w:cstheme="minorEastAsia"/>
                <w:color w:val="000000"/>
                <w:sz w:val="24"/>
                <w:highlight w:val="none"/>
              </w:rPr>
            </w:pPr>
          </w:p>
        </w:tc>
        <w:tc>
          <w:tcPr>
            <w:tcW w:w="1482" w:type="dxa"/>
            <w:vAlign w:val="center"/>
          </w:tcPr>
          <w:p w14:paraId="7C408218">
            <w:pPr>
              <w:adjustRightInd w:val="0"/>
              <w:snapToGrid w:val="0"/>
              <w:jc w:val="center"/>
              <w:rPr>
                <w:rFonts w:hint="eastAsia" w:ascii="宋体" w:hAnsi="宋体" w:cstheme="minorEastAsia"/>
                <w:color w:val="000000"/>
                <w:sz w:val="24"/>
                <w:highlight w:val="none"/>
              </w:rPr>
            </w:pPr>
          </w:p>
        </w:tc>
        <w:tc>
          <w:tcPr>
            <w:tcW w:w="2384" w:type="dxa"/>
            <w:vAlign w:val="center"/>
          </w:tcPr>
          <w:p w14:paraId="3CC92249">
            <w:pPr>
              <w:adjustRightInd w:val="0"/>
              <w:snapToGrid w:val="0"/>
              <w:jc w:val="center"/>
              <w:rPr>
                <w:rFonts w:hint="eastAsia" w:ascii="宋体" w:hAnsi="宋体" w:cstheme="minorEastAsia"/>
                <w:color w:val="000000"/>
                <w:sz w:val="24"/>
                <w:highlight w:val="none"/>
              </w:rPr>
            </w:pPr>
          </w:p>
        </w:tc>
        <w:tc>
          <w:tcPr>
            <w:tcW w:w="2126" w:type="dxa"/>
            <w:vAlign w:val="center"/>
          </w:tcPr>
          <w:p w14:paraId="3FD7C18E">
            <w:pPr>
              <w:adjustRightInd w:val="0"/>
              <w:snapToGrid w:val="0"/>
              <w:jc w:val="center"/>
              <w:rPr>
                <w:rFonts w:hint="eastAsia" w:ascii="宋体" w:hAnsi="宋体" w:cstheme="minorEastAsia"/>
                <w:color w:val="000000"/>
                <w:sz w:val="24"/>
                <w:highlight w:val="none"/>
              </w:rPr>
            </w:pPr>
          </w:p>
        </w:tc>
        <w:tc>
          <w:tcPr>
            <w:tcW w:w="1875" w:type="dxa"/>
            <w:vAlign w:val="center"/>
          </w:tcPr>
          <w:p w14:paraId="5743B74F">
            <w:pPr>
              <w:adjustRightInd w:val="0"/>
              <w:snapToGrid w:val="0"/>
              <w:jc w:val="center"/>
              <w:rPr>
                <w:rFonts w:hint="eastAsia" w:ascii="宋体" w:hAnsi="宋体" w:cstheme="minorEastAsia"/>
                <w:color w:val="000000"/>
                <w:sz w:val="24"/>
                <w:highlight w:val="none"/>
              </w:rPr>
            </w:pPr>
          </w:p>
        </w:tc>
        <w:tc>
          <w:tcPr>
            <w:tcW w:w="1009" w:type="dxa"/>
            <w:vAlign w:val="center"/>
          </w:tcPr>
          <w:p w14:paraId="099DFEF8">
            <w:pPr>
              <w:adjustRightInd w:val="0"/>
              <w:snapToGrid w:val="0"/>
              <w:jc w:val="center"/>
              <w:rPr>
                <w:rFonts w:hint="eastAsia" w:ascii="宋体" w:hAnsi="宋体" w:cstheme="minorEastAsia"/>
                <w:color w:val="000000"/>
                <w:sz w:val="24"/>
                <w:highlight w:val="none"/>
              </w:rPr>
            </w:pPr>
          </w:p>
        </w:tc>
      </w:tr>
    </w:tbl>
    <w:p w14:paraId="77E4FBD8">
      <w:pPr>
        <w:tabs>
          <w:tab w:val="left" w:pos="1800"/>
          <w:tab w:val="left" w:pos="5580"/>
        </w:tabs>
        <w:spacing w:line="360" w:lineRule="auto"/>
        <w:ind w:firstLine="360" w:firstLineChars="150"/>
        <w:jc w:val="left"/>
        <w:rPr>
          <w:rFonts w:hint="eastAsia" w:ascii="宋体" w:hAnsi="宋体" w:cstheme="minorEastAsia"/>
          <w:color w:val="000000"/>
          <w:sz w:val="24"/>
          <w:highlight w:val="none"/>
          <w:u w:val="single"/>
        </w:rPr>
      </w:pPr>
    </w:p>
    <w:p w14:paraId="2A00CA25">
      <w:pPr>
        <w:tabs>
          <w:tab w:val="left" w:pos="1800"/>
          <w:tab w:val="left" w:pos="5580"/>
        </w:tabs>
        <w:spacing w:line="360" w:lineRule="auto"/>
        <w:ind w:firstLine="360" w:firstLineChars="150"/>
        <w:jc w:val="left"/>
        <w:rPr>
          <w:rFonts w:hint="eastAsia" w:ascii="宋体" w:hAnsi="宋体" w:cstheme="minorEastAsia"/>
          <w:color w:val="000000"/>
          <w:sz w:val="24"/>
          <w:highlight w:val="none"/>
          <w:u w:val="single"/>
        </w:rPr>
      </w:pPr>
    </w:p>
    <w:p w14:paraId="1D9244F2">
      <w:pPr>
        <w:tabs>
          <w:tab w:val="left" w:pos="1800"/>
          <w:tab w:val="left" w:pos="5580"/>
        </w:tabs>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注：</w:t>
      </w:r>
    </w:p>
    <w:p w14:paraId="2E77D089">
      <w:pPr>
        <w:tabs>
          <w:tab w:val="left" w:pos="1800"/>
          <w:tab w:val="left" w:pos="5580"/>
        </w:tabs>
        <w:jc w:val="left"/>
        <w:rPr>
          <w:rFonts w:hint="eastAsia" w:ascii="宋体" w:hAnsi="宋体" w:cstheme="minorEastAsia"/>
          <w:sz w:val="24"/>
          <w:highlight w:val="none"/>
        </w:rPr>
      </w:pPr>
      <w:r>
        <w:rPr>
          <w:rFonts w:hint="eastAsia" w:ascii="宋体" w:hAnsi="宋体" w:cstheme="minorEastAsia"/>
          <w:color w:val="000000"/>
          <w:sz w:val="24"/>
          <w:highlight w:val="none"/>
        </w:rPr>
        <w:t xml:space="preserve">1. </w:t>
      </w:r>
      <w:r>
        <w:rPr>
          <w:rFonts w:hint="eastAsia" w:ascii="宋体" w:hAnsi="宋体" w:cstheme="minorEastAsia"/>
          <w:sz w:val="24"/>
          <w:highlight w:val="none"/>
        </w:rPr>
        <w:t>对竞争性磋商文件中的所有商务、技术要求，除本表所列明的所有偏离外，均视作供应商已对之理解和响应。此表中若无任何文字说明，内容为空白的，</w:t>
      </w:r>
      <w:r>
        <w:rPr>
          <w:rFonts w:hint="eastAsia" w:ascii="宋体" w:hAnsi="宋体" w:cstheme="minorEastAsia"/>
          <w:b/>
          <w:sz w:val="24"/>
          <w:highlight w:val="none"/>
        </w:rPr>
        <w:t>响应无效</w:t>
      </w:r>
      <w:r>
        <w:rPr>
          <w:rFonts w:hint="eastAsia" w:ascii="宋体" w:hAnsi="宋体" w:cstheme="minorEastAsia"/>
          <w:sz w:val="24"/>
          <w:highlight w:val="none"/>
        </w:rPr>
        <w:t>。</w:t>
      </w:r>
    </w:p>
    <w:p w14:paraId="6A58DDA6">
      <w:pPr>
        <w:tabs>
          <w:tab w:val="left" w:pos="1800"/>
          <w:tab w:val="left" w:pos="5580"/>
        </w:tabs>
        <w:jc w:val="left"/>
        <w:rPr>
          <w:rFonts w:hint="eastAsia" w:ascii="宋体" w:hAnsi="宋体" w:cstheme="minorEastAsia"/>
          <w:color w:val="000000"/>
          <w:sz w:val="24"/>
          <w:highlight w:val="none"/>
        </w:rPr>
      </w:pPr>
      <w:r>
        <w:rPr>
          <w:rFonts w:hint="eastAsia" w:ascii="宋体" w:hAnsi="宋体" w:cstheme="minorEastAsia"/>
          <w:sz w:val="24"/>
          <w:highlight w:val="none"/>
        </w:rPr>
        <w:t>2.“偏离情况”列应</w:t>
      </w:r>
      <w:r>
        <w:rPr>
          <w:rFonts w:hint="eastAsia" w:ascii="宋体" w:hAnsi="宋体" w:cstheme="minorEastAsia"/>
          <w:color w:val="000000"/>
          <w:sz w:val="24"/>
          <w:highlight w:val="none"/>
        </w:rPr>
        <w:t>据实</w:t>
      </w:r>
      <w:r>
        <w:rPr>
          <w:rFonts w:hint="eastAsia" w:ascii="宋体" w:hAnsi="宋体" w:cstheme="minorEastAsia"/>
          <w:sz w:val="24"/>
          <w:highlight w:val="none"/>
        </w:rPr>
        <w:t>填写“无偏离”、“正偏离”或“负偏离”。</w:t>
      </w:r>
    </w:p>
    <w:p w14:paraId="4E7C39A8">
      <w:pPr>
        <w:tabs>
          <w:tab w:val="left" w:pos="1800"/>
          <w:tab w:val="left" w:pos="5580"/>
        </w:tabs>
        <w:jc w:val="left"/>
        <w:rPr>
          <w:rFonts w:hint="eastAsia" w:ascii="宋体" w:hAnsi="宋体" w:cstheme="minorEastAsia"/>
          <w:color w:val="000000"/>
          <w:sz w:val="24"/>
          <w:highlight w:val="none"/>
        </w:rPr>
      </w:pPr>
    </w:p>
    <w:p w14:paraId="59992D0A">
      <w:pPr>
        <w:rPr>
          <w:rFonts w:hint="eastAsia" w:ascii="宋体" w:hAnsi="宋体" w:cstheme="minorEastAsia"/>
          <w:color w:val="000000"/>
          <w:sz w:val="24"/>
          <w:szCs w:val="20"/>
          <w:highlight w:val="none"/>
        </w:rPr>
      </w:pPr>
    </w:p>
    <w:p w14:paraId="32225031">
      <w:pPr>
        <w:autoSpaceDE w:val="0"/>
        <w:autoSpaceDN w:val="0"/>
        <w:adjustRightInd w:val="0"/>
        <w:snapToGrid w:val="0"/>
        <w:spacing w:before="25" w:after="25" w:line="360" w:lineRule="auto"/>
        <w:ind w:right="360"/>
        <w:jc w:val="left"/>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供应商名称（加盖公章）</w:t>
      </w:r>
      <w:r>
        <w:rPr>
          <w:rFonts w:hint="eastAsia" w:ascii="宋体" w:hAnsi="宋体" w:cstheme="minorEastAsia"/>
          <w:color w:val="000000"/>
          <w:sz w:val="24"/>
          <w:highlight w:val="none"/>
          <w:lang w:val="zh-CN"/>
        </w:rPr>
        <w:t>：</w:t>
      </w:r>
      <w:r>
        <w:rPr>
          <w:rFonts w:hint="eastAsia" w:ascii="宋体" w:hAnsi="宋体" w:cstheme="minorEastAsia"/>
          <w:sz w:val="24"/>
          <w:highlight w:val="none"/>
        </w:rPr>
        <w:t>______</w:t>
      </w:r>
    </w:p>
    <w:p w14:paraId="4A3F0AC2">
      <w:pPr>
        <w:autoSpaceDE w:val="0"/>
        <w:autoSpaceDN w:val="0"/>
        <w:adjustRightInd w:val="0"/>
        <w:snapToGrid w:val="0"/>
        <w:spacing w:before="25" w:after="25" w:line="360" w:lineRule="auto"/>
        <w:ind w:right="360"/>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 xml:space="preserve">日期：____年____月____日 </w:t>
      </w:r>
    </w:p>
    <w:p w14:paraId="5B5414BE">
      <w:pPr>
        <w:tabs>
          <w:tab w:val="left" w:pos="360"/>
        </w:tabs>
        <w:snapToGrid w:val="0"/>
        <w:spacing w:line="360" w:lineRule="auto"/>
        <w:outlineLvl w:val="1"/>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br w:type="page"/>
      </w:r>
      <w:r>
        <w:rPr>
          <w:rFonts w:hint="eastAsia" w:ascii="宋体" w:hAnsi="宋体" w:cstheme="minorEastAsia"/>
          <w:sz w:val="24"/>
          <w:highlight w:val="none"/>
        </w:rPr>
        <w:t xml:space="preserve">11  </w:t>
      </w:r>
      <w:r>
        <w:rPr>
          <w:rFonts w:hint="eastAsia" w:ascii="宋体" w:hAnsi="宋体" w:cstheme="minorEastAsia"/>
          <w:color w:val="000000"/>
          <w:sz w:val="24"/>
          <w:szCs w:val="20"/>
          <w:highlight w:val="none"/>
        </w:rPr>
        <w:t>本国产品标准证明文件（如适用）</w:t>
      </w:r>
    </w:p>
    <w:p w14:paraId="7C80B1D2">
      <w:pPr>
        <w:pStyle w:val="38"/>
        <w:shd w:val="clear" w:color="auto" w:fill="FFFFFF"/>
        <w:spacing w:before="30" w:beforeAutospacing="0" w:after="30" w:afterAutospacing="0"/>
        <w:jc w:val="center"/>
        <w:rPr>
          <w:rFonts w:hint="eastAsia" w:cstheme="minorEastAsia"/>
          <w:color w:val="333333"/>
          <w:sz w:val="36"/>
          <w:szCs w:val="36"/>
          <w:highlight w:val="none"/>
        </w:rPr>
      </w:pPr>
      <w:r>
        <w:rPr>
          <w:rStyle w:val="48"/>
          <w:rFonts w:hint="eastAsia" w:cstheme="minorEastAsia"/>
          <w:color w:val="333333"/>
          <w:sz w:val="36"/>
          <w:szCs w:val="36"/>
          <w:highlight w:val="none"/>
          <w:shd w:val="clear" w:color="auto" w:fill="FFFFFF"/>
        </w:rPr>
        <w:t>关于符合本国产品标准的声明函</w:t>
      </w:r>
    </w:p>
    <w:p w14:paraId="32395362">
      <w:pPr>
        <w:pStyle w:val="38"/>
        <w:shd w:val="clear" w:color="auto" w:fill="FFFFFF"/>
        <w:spacing w:before="30" w:beforeAutospacing="0" w:after="30" w:afterAutospacing="0"/>
        <w:ind w:firstLine="420"/>
        <w:rPr>
          <w:rFonts w:hint="eastAsia" w:cstheme="minorEastAsia"/>
          <w:color w:val="333333"/>
          <w:highlight w:val="none"/>
        </w:rPr>
      </w:pPr>
    </w:p>
    <w:p w14:paraId="2BC4868C">
      <w:pPr>
        <w:pStyle w:val="38"/>
        <w:shd w:val="clear" w:color="auto" w:fill="FFFFFF"/>
        <w:spacing w:before="0" w:beforeAutospacing="0" w:after="0" w:afterAutospacing="0" w:line="360" w:lineRule="auto"/>
        <w:ind w:firstLine="480" w:firstLineChars="200"/>
        <w:rPr>
          <w:rFonts w:hint="eastAsia" w:cstheme="minorEastAsia"/>
          <w:color w:val="333333"/>
          <w:highlight w:val="none"/>
        </w:rPr>
      </w:pPr>
      <w:r>
        <w:rPr>
          <w:rFonts w:hint="eastAsia" w:cstheme="minorEastAsia"/>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4C9D841">
      <w:pPr>
        <w:pStyle w:val="38"/>
        <w:shd w:val="clear" w:color="auto" w:fill="FFFFFF"/>
        <w:spacing w:before="0" w:beforeAutospacing="0" w:after="0" w:afterAutospacing="0" w:line="360" w:lineRule="auto"/>
        <w:ind w:firstLine="480" w:firstLineChars="200"/>
        <w:rPr>
          <w:rFonts w:hint="eastAsia" w:cstheme="minorEastAsia"/>
          <w:color w:val="333333"/>
          <w:highlight w:val="none"/>
        </w:rPr>
      </w:pPr>
      <w:r>
        <w:rPr>
          <w:rFonts w:hint="eastAsia" w:cstheme="minorEastAsia"/>
          <w:color w:val="333333"/>
          <w:highlight w:val="none"/>
          <w:shd w:val="clear" w:color="auto" w:fill="FFFFFF"/>
        </w:rPr>
        <w:t>1.</w:t>
      </w:r>
      <w:r>
        <w:rPr>
          <w:rStyle w:val="51"/>
          <w:rFonts w:hint="eastAsia" w:cstheme="minorEastAsia"/>
          <w:color w:val="333333"/>
          <w:highlight w:val="none"/>
          <w:u w:val="single"/>
          <w:shd w:val="clear" w:color="auto" w:fill="FFFFFF"/>
        </w:rPr>
        <w:t>（产品名称1）</w:t>
      </w:r>
      <w:r>
        <w:rPr>
          <w:rStyle w:val="51"/>
          <w:rFonts w:hint="eastAsia" w:cstheme="minorEastAsia"/>
          <w:color w:val="333333"/>
          <w:highlight w:val="none"/>
          <w:shd w:val="clear" w:color="auto" w:fill="FFFFFF"/>
          <w:vertAlign w:val="superscript"/>
        </w:rPr>
        <w:t>1</w:t>
      </w:r>
      <w:r>
        <w:rPr>
          <w:rFonts w:hint="eastAsia" w:cstheme="minorEastAsia"/>
          <w:color w:val="333333"/>
          <w:highlight w:val="none"/>
          <w:shd w:val="clear" w:color="auto" w:fill="FFFFFF"/>
        </w:rPr>
        <w:t>，生产厂为</w:t>
      </w:r>
      <w:r>
        <w:rPr>
          <w:rStyle w:val="51"/>
          <w:rFonts w:hint="eastAsia" w:cstheme="minorEastAsia"/>
          <w:color w:val="333333"/>
          <w:highlight w:val="none"/>
          <w:u w:val="single"/>
          <w:shd w:val="clear" w:color="auto" w:fill="FFFFFF"/>
        </w:rPr>
        <w:t>（厂名）</w:t>
      </w:r>
      <w:r>
        <w:rPr>
          <w:rStyle w:val="51"/>
          <w:rFonts w:hint="eastAsia" w:cstheme="minorEastAsia"/>
          <w:color w:val="333333"/>
          <w:highlight w:val="none"/>
          <w:shd w:val="clear" w:color="auto" w:fill="FFFFFF"/>
          <w:vertAlign w:val="superscript"/>
        </w:rPr>
        <w:t>2</w:t>
      </w:r>
      <w:r>
        <w:rPr>
          <w:rFonts w:hint="eastAsia" w:cstheme="minorEastAsia"/>
          <w:color w:val="333333"/>
          <w:highlight w:val="none"/>
          <w:shd w:val="clear" w:color="auto" w:fill="FFFFFF"/>
        </w:rPr>
        <w:t>，厂址为</w:t>
      </w:r>
      <w:r>
        <w:rPr>
          <w:rStyle w:val="51"/>
          <w:rFonts w:hint="eastAsia" w:cstheme="minorEastAsia"/>
          <w:color w:val="333333"/>
          <w:highlight w:val="none"/>
          <w:u w:val="single"/>
          <w:shd w:val="clear" w:color="auto" w:fill="FFFFFF"/>
        </w:rPr>
        <w:t>（生产厂址）</w:t>
      </w:r>
      <w:r>
        <w:rPr>
          <w:rFonts w:hint="eastAsia" w:cstheme="minorEastAsia"/>
          <w:color w:val="333333"/>
          <w:highlight w:val="none"/>
          <w:shd w:val="clear" w:color="auto" w:fill="FFFFFF"/>
        </w:rPr>
        <w:t>。</w:t>
      </w:r>
      <w:r>
        <w:rPr>
          <w:rStyle w:val="51"/>
          <w:rFonts w:hint="eastAsia" w:cstheme="minorEastAsia"/>
          <w:color w:val="333333"/>
          <w:highlight w:val="none"/>
          <w:u w:val="single"/>
          <w:shd w:val="clear" w:color="auto" w:fill="FFFFFF"/>
        </w:rPr>
        <w:t>（产品名称1）</w:t>
      </w:r>
      <w:r>
        <w:rPr>
          <w:rFonts w:hint="eastAsia" w:cstheme="minorEastAsia"/>
          <w:color w:val="333333"/>
          <w:highlight w:val="none"/>
          <w:shd w:val="clear" w:color="auto" w:fill="FFFFFF"/>
        </w:rPr>
        <w:t>的中国境内生产的组件成本占比≥</w:t>
      </w:r>
      <w:r>
        <w:rPr>
          <w:rStyle w:val="51"/>
          <w:rFonts w:hint="eastAsia" w:cstheme="minorEastAsia"/>
          <w:color w:val="333333"/>
          <w:highlight w:val="none"/>
          <w:u w:val="single"/>
          <w:shd w:val="clear" w:color="auto" w:fill="FFFFFF"/>
        </w:rPr>
        <w:t>（规定比例）</w:t>
      </w:r>
      <w:r>
        <w:rPr>
          <w:rStyle w:val="51"/>
          <w:rFonts w:hint="eastAsia" w:cstheme="minorEastAsia"/>
          <w:color w:val="333333"/>
          <w:highlight w:val="none"/>
          <w:shd w:val="clear" w:color="auto" w:fill="FFFFFF"/>
          <w:vertAlign w:val="superscript"/>
        </w:rPr>
        <w:t>3</w:t>
      </w:r>
      <w:r>
        <w:rPr>
          <w:rFonts w:hint="eastAsia" w:cstheme="minorEastAsia"/>
          <w:color w:val="333333"/>
          <w:highlight w:val="none"/>
          <w:shd w:val="clear" w:color="auto" w:fill="FFFFFF"/>
        </w:rPr>
        <w:t>。</w:t>
      </w:r>
      <w:r>
        <w:rPr>
          <w:rStyle w:val="51"/>
          <w:rFonts w:hint="eastAsia" w:cstheme="minorEastAsia"/>
          <w:color w:val="333333"/>
          <w:highlight w:val="none"/>
          <w:u w:val="single"/>
          <w:shd w:val="clear" w:color="auto" w:fill="FFFFFF"/>
        </w:rPr>
        <w:t>（产品名称1）</w:t>
      </w:r>
      <w:r>
        <w:rPr>
          <w:rFonts w:hint="eastAsia" w:cstheme="minorEastAsia"/>
          <w:color w:val="333333"/>
          <w:highlight w:val="none"/>
          <w:shd w:val="clear" w:color="auto" w:fill="FFFFFF"/>
        </w:rPr>
        <w:t>的</w:t>
      </w:r>
      <w:r>
        <w:rPr>
          <w:rStyle w:val="51"/>
          <w:rFonts w:hint="eastAsia" w:cstheme="minorEastAsia"/>
          <w:color w:val="333333"/>
          <w:highlight w:val="none"/>
          <w:u w:val="single"/>
          <w:shd w:val="clear" w:color="auto" w:fill="FFFFFF"/>
        </w:rPr>
        <w:t>（关键组件）</w:t>
      </w:r>
      <w:r>
        <w:rPr>
          <w:rStyle w:val="51"/>
          <w:rFonts w:hint="eastAsia" w:cstheme="minorEastAsia"/>
          <w:color w:val="333333"/>
          <w:highlight w:val="none"/>
          <w:shd w:val="clear" w:color="auto" w:fill="FFFFFF"/>
          <w:vertAlign w:val="superscript"/>
        </w:rPr>
        <w:t>4</w:t>
      </w:r>
      <w:r>
        <w:rPr>
          <w:rFonts w:hint="eastAsia" w:cstheme="minorEastAsia"/>
          <w:color w:val="333333"/>
          <w:highlight w:val="none"/>
          <w:shd w:val="clear" w:color="auto" w:fill="FFFFFF"/>
        </w:rPr>
        <w:t>在中国境内生产。</w:t>
      </w:r>
      <w:r>
        <w:rPr>
          <w:rStyle w:val="51"/>
          <w:rFonts w:hint="eastAsia" w:cstheme="minorEastAsia"/>
          <w:color w:val="333333"/>
          <w:highlight w:val="none"/>
          <w:u w:val="single"/>
          <w:shd w:val="clear" w:color="auto" w:fill="FFFFFF"/>
        </w:rPr>
        <w:t>（产品名称1）</w:t>
      </w:r>
      <w:r>
        <w:rPr>
          <w:rFonts w:hint="eastAsia" w:cstheme="minorEastAsia"/>
          <w:color w:val="333333"/>
          <w:highlight w:val="none"/>
          <w:shd w:val="clear" w:color="auto" w:fill="FFFFFF"/>
        </w:rPr>
        <w:t>的</w:t>
      </w:r>
      <w:r>
        <w:rPr>
          <w:rStyle w:val="51"/>
          <w:rFonts w:hint="eastAsia" w:cstheme="minorEastAsia"/>
          <w:color w:val="333333"/>
          <w:highlight w:val="none"/>
          <w:u w:val="single"/>
          <w:shd w:val="clear" w:color="auto" w:fill="FFFFFF"/>
        </w:rPr>
        <w:t>（关键工序）</w:t>
      </w:r>
      <w:r>
        <w:rPr>
          <w:rStyle w:val="51"/>
          <w:rFonts w:hint="eastAsia" w:cstheme="minorEastAsia"/>
          <w:color w:val="333333"/>
          <w:highlight w:val="none"/>
          <w:shd w:val="clear" w:color="auto" w:fill="FFFFFF"/>
          <w:vertAlign w:val="superscript"/>
        </w:rPr>
        <w:t>5</w:t>
      </w:r>
      <w:r>
        <w:rPr>
          <w:rFonts w:hint="eastAsia" w:cstheme="minorEastAsia"/>
          <w:color w:val="333333"/>
          <w:highlight w:val="none"/>
          <w:shd w:val="clear" w:color="auto" w:fill="FFFFFF"/>
        </w:rPr>
        <w:t>在中国境内完成。</w:t>
      </w:r>
    </w:p>
    <w:p w14:paraId="41C710AA">
      <w:pPr>
        <w:pStyle w:val="38"/>
        <w:shd w:val="clear" w:color="auto" w:fill="FFFFFF"/>
        <w:spacing w:before="0" w:beforeAutospacing="0" w:after="0" w:afterAutospacing="0" w:line="360" w:lineRule="auto"/>
        <w:ind w:firstLine="480" w:firstLineChars="200"/>
        <w:rPr>
          <w:rFonts w:hint="eastAsia" w:cstheme="minorEastAsia"/>
          <w:color w:val="333333"/>
          <w:highlight w:val="none"/>
        </w:rPr>
      </w:pPr>
      <w:r>
        <w:rPr>
          <w:rFonts w:hint="eastAsia" w:cstheme="minorEastAsia"/>
          <w:color w:val="333333"/>
          <w:highlight w:val="none"/>
          <w:shd w:val="clear" w:color="auto" w:fill="FFFFFF"/>
        </w:rPr>
        <w:t>2.</w:t>
      </w:r>
      <w:r>
        <w:rPr>
          <w:rStyle w:val="51"/>
          <w:rFonts w:hint="eastAsia" w:cstheme="minorEastAsia"/>
          <w:color w:val="333333"/>
          <w:highlight w:val="none"/>
          <w:u w:val="single"/>
          <w:shd w:val="clear" w:color="auto" w:fill="FFFFFF"/>
        </w:rPr>
        <w:t>（产品名称2）</w:t>
      </w:r>
      <w:r>
        <w:rPr>
          <w:rFonts w:hint="eastAsia" w:cstheme="minorEastAsia"/>
          <w:color w:val="333333"/>
          <w:highlight w:val="none"/>
          <w:shd w:val="clear" w:color="auto" w:fill="FFFFFF"/>
        </w:rPr>
        <w:t>，生产厂为</w:t>
      </w:r>
      <w:r>
        <w:rPr>
          <w:rStyle w:val="51"/>
          <w:rFonts w:hint="eastAsia" w:cstheme="minorEastAsia"/>
          <w:color w:val="333333"/>
          <w:highlight w:val="none"/>
          <w:u w:val="single"/>
          <w:shd w:val="clear" w:color="auto" w:fill="FFFFFF"/>
        </w:rPr>
        <w:t>（厂名）</w:t>
      </w:r>
      <w:r>
        <w:rPr>
          <w:rFonts w:hint="eastAsia" w:cstheme="minorEastAsia"/>
          <w:color w:val="333333"/>
          <w:highlight w:val="none"/>
          <w:shd w:val="clear" w:color="auto" w:fill="FFFFFF"/>
        </w:rPr>
        <w:t>，厂址为</w:t>
      </w:r>
      <w:r>
        <w:rPr>
          <w:rStyle w:val="51"/>
          <w:rFonts w:hint="eastAsia" w:cstheme="minorEastAsia"/>
          <w:color w:val="333333"/>
          <w:highlight w:val="none"/>
          <w:u w:val="single"/>
          <w:shd w:val="clear" w:color="auto" w:fill="FFFFFF"/>
        </w:rPr>
        <w:t>（生产厂址）</w:t>
      </w:r>
      <w:r>
        <w:rPr>
          <w:rFonts w:hint="eastAsia" w:cstheme="minorEastAsia"/>
          <w:color w:val="333333"/>
          <w:highlight w:val="none"/>
          <w:shd w:val="clear" w:color="auto" w:fill="FFFFFF"/>
        </w:rPr>
        <w:t>。</w:t>
      </w:r>
      <w:r>
        <w:rPr>
          <w:rStyle w:val="51"/>
          <w:rFonts w:hint="eastAsia" w:cstheme="minorEastAsia"/>
          <w:color w:val="333333"/>
          <w:highlight w:val="none"/>
          <w:u w:val="single"/>
          <w:shd w:val="clear" w:color="auto" w:fill="FFFFFF"/>
        </w:rPr>
        <w:t>（产品名称2）</w:t>
      </w:r>
      <w:r>
        <w:rPr>
          <w:rFonts w:hint="eastAsia" w:cstheme="minorEastAsia"/>
          <w:color w:val="333333"/>
          <w:highlight w:val="none"/>
          <w:shd w:val="clear" w:color="auto" w:fill="FFFFFF"/>
        </w:rPr>
        <w:t>的中国境内生产的组件成本占比≥</w:t>
      </w:r>
      <w:r>
        <w:rPr>
          <w:rStyle w:val="51"/>
          <w:rFonts w:hint="eastAsia" w:cstheme="minorEastAsia"/>
          <w:color w:val="333333"/>
          <w:highlight w:val="none"/>
          <w:u w:val="single"/>
          <w:shd w:val="clear" w:color="auto" w:fill="FFFFFF"/>
        </w:rPr>
        <w:t>（规定比例）</w:t>
      </w:r>
      <w:r>
        <w:rPr>
          <w:rFonts w:hint="eastAsia" w:cstheme="minorEastAsia"/>
          <w:color w:val="333333"/>
          <w:highlight w:val="none"/>
          <w:shd w:val="clear" w:color="auto" w:fill="FFFFFF"/>
        </w:rPr>
        <w:t>。</w:t>
      </w:r>
      <w:r>
        <w:rPr>
          <w:rStyle w:val="51"/>
          <w:rFonts w:hint="eastAsia" w:cstheme="minorEastAsia"/>
          <w:color w:val="333333"/>
          <w:highlight w:val="none"/>
          <w:u w:val="single"/>
          <w:shd w:val="clear" w:color="auto" w:fill="FFFFFF"/>
        </w:rPr>
        <w:t>（产品名称2）</w:t>
      </w:r>
      <w:r>
        <w:rPr>
          <w:rFonts w:hint="eastAsia" w:cstheme="minorEastAsia"/>
          <w:color w:val="333333"/>
          <w:highlight w:val="none"/>
          <w:shd w:val="clear" w:color="auto" w:fill="FFFFFF"/>
        </w:rPr>
        <w:t>的</w:t>
      </w:r>
      <w:r>
        <w:rPr>
          <w:rStyle w:val="51"/>
          <w:rFonts w:hint="eastAsia" w:cstheme="minorEastAsia"/>
          <w:color w:val="333333"/>
          <w:highlight w:val="none"/>
          <w:u w:val="single"/>
          <w:shd w:val="clear" w:color="auto" w:fill="FFFFFF"/>
        </w:rPr>
        <w:t>（关键组件）</w:t>
      </w:r>
      <w:r>
        <w:rPr>
          <w:rFonts w:hint="eastAsia" w:cstheme="minorEastAsia"/>
          <w:color w:val="333333"/>
          <w:highlight w:val="none"/>
          <w:shd w:val="clear" w:color="auto" w:fill="FFFFFF"/>
        </w:rPr>
        <w:t>在中国境内生产。</w:t>
      </w:r>
      <w:r>
        <w:rPr>
          <w:rStyle w:val="51"/>
          <w:rFonts w:hint="eastAsia" w:cstheme="minorEastAsia"/>
          <w:color w:val="333333"/>
          <w:highlight w:val="none"/>
          <w:u w:val="single"/>
          <w:shd w:val="clear" w:color="auto" w:fill="FFFFFF"/>
        </w:rPr>
        <w:t>（产品名称2）</w:t>
      </w:r>
      <w:r>
        <w:rPr>
          <w:rFonts w:hint="eastAsia" w:cstheme="minorEastAsia"/>
          <w:color w:val="333333"/>
          <w:highlight w:val="none"/>
          <w:shd w:val="clear" w:color="auto" w:fill="FFFFFF"/>
        </w:rPr>
        <w:t>的</w:t>
      </w:r>
      <w:r>
        <w:rPr>
          <w:rStyle w:val="51"/>
          <w:rFonts w:hint="eastAsia" w:cstheme="minorEastAsia"/>
          <w:color w:val="333333"/>
          <w:highlight w:val="none"/>
          <w:u w:val="single"/>
          <w:shd w:val="clear" w:color="auto" w:fill="FFFFFF"/>
        </w:rPr>
        <w:t>（关键工序）</w:t>
      </w:r>
      <w:r>
        <w:rPr>
          <w:rFonts w:hint="eastAsia" w:cstheme="minorEastAsia"/>
          <w:color w:val="333333"/>
          <w:highlight w:val="none"/>
          <w:shd w:val="clear" w:color="auto" w:fill="FFFFFF"/>
        </w:rPr>
        <w:t>在中国境内完成。</w:t>
      </w:r>
    </w:p>
    <w:p w14:paraId="1C55DBA7">
      <w:pPr>
        <w:pStyle w:val="38"/>
        <w:shd w:val="clear" w:color="auto" w:fill="FFFFFF"/>
        <w:spacing w:before="0" w:beforeAutospacing="0" w:after="0" w:afterAutospacing="0" w:line="360" w:lineRule="auto"/>
        <w:ind w:firstLine="480" w:firstLineChars="200"/>
        <w:rPr>
          <w:rFonts w:hint="eastAsia" w:cstheme="minorEastAsia"/>
          <w:color w:val="333333"/>
          <w:highlight w:val="none"/>
        </w:rPr>
      </w:pPr>
      <w:r>
        <w:rPr>
          <w:rFonts w:hint="eastAsia" w:cstheme="minorEastAsia"/>
          <w:color w:val="333333"/>
          <w:highlight w:val="none"/>
          <w:shd w:val="clear" w:color="auto" w:fill="FFFFFF"/>
        </w:rPr>
        <w:t>……</w:t>
      </w:r>
    </w:p>
    <w:p w14:paraId="5ABF2942">
      <w:pPr>
        <w:pStyle w:val="38"/>
        <w:shd w:val="clear" w:color="auto" w:fill="FFFFFF"/>
        <w:spacing w:before="0" w:beforeAutospacing="0" w:after="0" w:afterAutospacing="0" w:line="360" w:lineRule="auto"/>
        <w:ind w:firstLine="480" w:firstLineChars="200"/>
        <w:rPr>
          <w:rFonts w:hint="eastAsia" w:cstheme="minorEastAsia"/>
          <w:color w:val="333333"/>
          <w:highlight w:val="none"/>
        </w:rPr>
      </w:pPr>
      <w:r>
        <w:rPr>
          <w:rFonts w:hint="eastAsia" w:cstheme="minorEastAsia"/>
          <w:color w:val="333333"/>
          <w:highlight w:val="none"/>
          <w:shd w:val="clear" w:color="auto" w:fill="FFFFFF"/>
        </w:rPr>
        <w:t>本公司（单位）对上述声明内容的真实性负责。如有虚假，愿承担相应法律责任。</w:t>
      </w:r>
    </w:p>
    <w:p w14:paraId="55DB86CC">
      <w:pPr>
        <w:pStyle w:val="38"/>
        <w:shd w:val="clear" w:color="auto" w:fill="FFFFFF"/>
        <w:spacing w:before="0" w:beforeAutospacing="0" w:after="0" w:afterAutospacing="0" w:line="360" w:lineRule="auto"/>
        <w:rPr>
          <w:rFonts w:hint="eastAsia" w:cstheme="minorEastAsia"/>
          <w:color w:val="333333"/>
          <w:highlight w:val="none"/>
        </w:rPr>
      </w:pPr>
    </w:p>
    <w:p w14:paraId="7BFE7D93">
      <w:pPr>
        <w:pStyle w:val="38"/>
        <w:shd w:val="clear" w:color="auto" w:fill="FFFFFF"/>
        <w:spacing w:before="0" w:beforeAutospacing="0" w:after="0" w:afterAutospacing="0" w:line="360" w:lineRule="auto"/>
        <w:jc w:val="right"/>
        <w:rPr>
          <w:rFonts w:hint="eastAsia" w:cstheme="minorEastAsia"/>
          <w:color w:val="333333"/>
          <w:highlight w:val="none"/>
          <w:shd w:val="clear" w:color="auto" w:fill="FFFFFF"/>
        </w:rPr>
      </w:pPr>
    </w:p>
    <w:p w14:paraId="33CBF60A">
      <w:pPr>
        <w:pStyle w:val="38"/>
        <w:shd w:val="clear" w:color="auto" w:fill="FFFFFF"/>
        <w:spacing w:before="0" w:beforeAutospacing="0" w:after="0" w:afterAutospacing="0" w:line="360" w:lineRule="auto"/>
        <w:jc w:val="right"/>
        <w:rPr>
          <w:rFonts w:hint="eastAsia" w:cstheme="minorEastAsia"/>
          <w:color w:val="333333"/>
          <w:highlight w:val="none"/>
        </w:rPr>
      </w:pPr>
      <w:r>
        <w:rPr>
          <w:rFonts w:hint="eastAsia" w:cstheme="minorEastAsia"/>
          <w:color w:val="333333"/>
          <w:highlight w:val="none"/>
          <w:shd w:val="clear" w:color="auto" w:fill="FFFFFF"/>
        </w:rPr>
        <w:t>公司（单位）名称（盖章）：　</w:t>
      </w:r>
    </w:p>
    <w:p w14:paraId="4BC8B0FE">
      <w:pPr>
        <w:pStyle w:val="38"/>
        <w:shd w:val="clear" w:color="auto" w:fill="FFFFFF"/>
        <w:spacing w:before="0" w:beforeAutospacing="0" w:after="0" w:afterAutospacing="0" w:line="360" w:lineRule="auto"/>
        <w:jc w:val="right"/>
        <w:rPr>
          <w:rFonts w:hint="eastAsia" w:cstheme="minorEastAsia"/>
          <w:color w:val="333333"/>
          <w:highlight w:val="none"/>
        </w:rPr>
      </w:pPr>
      <w:r>
        <w:rPr>
          <w:rFonts w:hint="eastAsia" w:cstheme="minorEastAsia"/>
          <w:color w:val="333333"/>
          <w:highlight w:val="none"/>
          <w:shd w:val="clear" w:color="auto" w:fill="FFFFFF"/>
        </w:rPr>
        <w:t>日期：　年　月　日</w:t>
      </w:r>
    </w:p>
    <w:p w14:paraId="556B57F9">
      <w:pPr>
        <w:pStyle w:val="38"/>
        <w:shd w:val="clear" w:color="auto" w:fill="FFFFFF"/>
        <w:spacing w:before="0" w:beforeAutospacing="0" w:after="0" w:afterAutospacing="0" w:line="360" w:lineRule="auto"/>
        <w:rPr>
          <w:rFonts w:hint="eastAsia" w:cstheme="minorEastAsia"/>
          <w:color w:val="333333"/>
          <w:highlight w:val="none"/>
          <w:shd w:val="clear" w:color="auto" w:fill="FFFFFF"/>
        </w:rPr>
      </w:pPr>
    </w:p>
    <w:p w14:paraId="44D72144">
      <w:pPr>
        <w:pStyle w:val="38"/>
        <w:shd w:val="clear" w:color="auto" w:fill="FFFFFF"/>
        <w:spacing w:before="0" w:beforeAutospacing="0" w:after="0" w:afterAutospacing="0" w:line="360" w:lineRule="auto"/>
        <w:rPr>
          <w:rFonts w:hint="eastAsia" w:cstheme="minorEastAsia"/>
          <w:color w:val="333333"/>
          <w:highlight w:val="none"/>
          <w:shd w:val="clear" w:color="auto" w:fill="FFFFFF"/>
        </w:rPr>
      </w:pPr>
    </w:p>
    <w:p w14:paraId="56382D10">
      <w:pPr>
        <w:spacing w:line="360" w:lineRule="auto"/>
        <w:ind w:left="424" w:leftChars="1" w:hanging="422" w:hangingChars="201"/>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注：1.产品如有型号，请在“产品名称”栏一并填写。</w:t>
      </w:r>
    </w:p>
    <w:p w14:paraId="249527FD">
      <w:pPr>
        <w:spacing w:line="360" w:lineRule="auto"/>
        <w:ind w:left="420" w:leftChars="200"/>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2.生产厂名与厂址应与生产厂营业执照载明的相关信息保持一致。</w:t>
      </w:r>
    </w:p>
    <w:p w14:paraId="3F144A3D">
      <w:pPr>
        <w:spacing w:line="360" w:lineRule="auto"/>
        <w:ind w:left="420" w:leftChars="200"/>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3.该产品的中国境内生产的组件成本占比相关要求实施前，“规定比例”栏可不填。</w:t>
      </w:r>
    </w:p>
    <w:p w14:paraId="673D3681">
      <w:pPr>
        <w:spacing w:line="360" w:lineRule="auto"/>
        <w:ind w:left="420" w:leftChars="200"/>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4.该产品的关键组件要求实施前，“关键组件”栏可不填。</w:t>
      </w:r>
    </w:p>
    <w:p w14:paraId="0B170384">
      <w:pPr>
        <w:spacing w:line="360" w:lineRule="auto"/>
        <w:ind w:left="420" w:leftChars="200"/>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5.该产品的关键工序要求实施前，“关键工序”栏可不填。</w:t>
      </w:r>
    </w:p>
    <w:p w14:paraId="1C39B278">
      <w:pPr>
        <w:widowControl/>
        <w:jc w:val="left"/>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br w:type="page"/>
      </w:r>
    </w:p>
    <w:p w14:paraId="07CAC154">
      <w:pPr>
        <w:pStyle w:val="38"/>
        <w:shd w:val="clear" w:color="auto" w:fill="FFFFFF"/>
        <w:spacing w:before="30" w:beforeAutospacing="0" w:after="30" w:afterAutospacing="0"/>
        <w:jc w:val="center"/>
        <w:rPr>
          <w:rStyle w:val="48"/>
          <w:rFonts w:hint="eastAsia" w:cstheme="minorEastAsia"/>
          <w:sz w:val="36"/>
          <w:szCs w:val="36"/>
          <w:highlight w:val="none"/>
        </w:rPr>
      </w:pPr>
      <w:r>
        <w:rPr>
          <w:rStyle w:val="48"/>
          <w:rFonts w:hint="eastAsia" w:cstheme="minorEastAsia"/>
          <w:sz w:val="36"/>
          <w:szCs w:val="36"/>
          <w:highlight w:val="none"/>
        </w:rPr>
        <w:t>产品成本占比承诺函</w:t>
      </w:r>
    </w:p>
    <w:p w14:paraId="547EB970">
      <w:pPr>
        <w:pStyle w:val="38"/>
        <w:shd w:val="clear" w:color="auto" w:fill="FFFFFF"/>
        <w:spacing w:before="30" w:beforeAutospacing="0" w:after="30" w:afterAutospacing="0"/>
        <w:rPr>
          <w:rStyle w:val="48"/>
          <w:rFonts w:hint="eastAsia" w:cstheme="minorEastAsia"/>
          <w:sz w:val="36"/>
          <w:szCs w:val="36"/>
          <w:highlight w:val="none"/>
        </w:rPr>
      </w:pPr>
    </w:p>
    <w:p w14:paraId="3AD30592">
      <w:pPr>
        <w:widowControl/>
        <w:spacing w:line="360" w:lineRule="auto"/>
        <w:ind w:firstLine="480" w:firstLineChars="200"/>
        <w:jc w:val="left"/>
        <w:rPr>
          <w:rFonts w:hint="eastAsia" w:ascii="宋体" w:hAnsi="宋体" w:cstheme="minorEastAsia"/>
          <w:color w:val="333333"/>
          <w:sz w:val="24"/>
          <w:highlight w:val="none"/>
          <w:shd w:val="clear" w:color="auto" w:fill="FFFFFF"/>
        </w:rPr>
      </w:pPr>
      <w:r>
        <w:rPr>
          <w:rFonts w:hint="eastAsia" w:ascii="宋体" w:hAnsi="宋体" w:cstheme="minorEastAsia"/>
          <w:color w:val="333333"/>
          <w:sz w:val="24"/>
          <w:highlight w:val="none"/>
          <w:shd w:val="clear" w:color="auto" w:fill="FFFFFF"/>
        </w:rPr>
        <w:t>我公司（单位）郑重承诺，我公司已阅读并理解《国务院办公厅关于在政府采购中实施本国产品标准及相关政策的通知》（国办发〔2025〕34号）的规定。据此承诺如下：</w:t>
      </w:r>
    </w:p>
    <w:p w14:paraId="62716DB5">
      <w:pPr>
        <w:widowControl/>
        <w:spacing w:line="360" w:lineRule="auto"/>
        <w:ind w:firstLine="480" w:firstLineChars="200"/>
        <w:jc w:val="left"/>
        <w:rPr>
          <w:rFonts w:hint="eastAsia" w:ascii="宋体" w:hAnsi="宋体" w:cstheme="minorEastAsia"/>
          <w:spacing w:val="6"/>
          <w:sz w:val="24"/>
          <w:highlight w:val="none"/>
        </w:rPr>
      </w:pPr>
      <w:r>
        <w:rPr>
          <w:rFonts w:hint="eastAsia" w:ascii="宋体" w:hAnsi="宋体" w:cstheme="minorEastAsia"/>
          <w:color w:val="333333"/>
          <w:sz w:val="24"/>
          <w:highlight w:val="none"/>
          <w:shd w:val="clear" w:color="auto" w:fill="FFFFFF"/>
        </w:rPr>
        <w:t>为本采购项目或者采购包提供的符合本国产品标准的产品成本之和占提供的全部产品成本之和的比例为</w:t>
      </w:r>
      <w:r>
        <w:rPr>
          <w:rFonts w:hint="eastAsia" w:ascii="宋体" w:hAnsi="宋体" w:cstheme="minorEastAsia"/>
          <w:spacing w:val="6"/>
          <w:sz w:val="24"/>
          <w:highlight w:val="none"/>
        </w:rPr>
        <w:t>______%。</w:t>
      </w:r>
    </w:p>
    <w:p w14:paraId="4CAB4711">
      <w:pPr>
        <w:widowControl/>
        <w:spacing w:line="360" w:lineRule="auto"/>
        <w:ind w:firstLine="480" w:firstLineChars="200"/>
        <w:jc w:val="left"/>
        <w:rPr>
          <w:rFonts w:hint="eastAsia" w:ascii="宋体" w:hAnsi="宋体" w:cstheme="minorEastAsia"/>
          <w:color w:val="000000"/>
          <w:sz w:val="24"/>
          <w:highlight w:val="none"/>
        </w:rPr>
      </w:pPr>
    </w:p>
    <w:p w14:paraId="2839376F">
      <w:pPr>
        <w:pStyle w:val="38"/>
        <w:shd w:val="clear" w:color="auto" w:fill="FFFFFF"/>
        <w:spacing w:before="0" w:beforeAutospacing="0" w:after="0" w:afterAutospacing="0" w:line="360" w:lineRule="auto"/>
        <w:jc w:val="right"/>
        <w:rPr>
          <w:rFonts w:hint="eastAsia" w:cstheme="minorEastAsia"/>
          <w:color w:val="333333"/>
          <w:highlight w:val="none"/>
        </w:rPr>
      </w:pPr>
      <w:r>
        <w:rPr>
          <w:rFonts w:hint="eastAsia" w:cstheme="minorEastAsia"/>
          <w:color w:val="333333"/>
          <w:highlight w:val="none"/>
          <w:shd w:val="clear" w:color="auto" w:fill="FFFFFF"/>
        </w:rPr>
        <w:t>公司（单位）名称（盖章）：　</w:t>
      </w:r>
    </w:p>
    <w:p w14:paraId="0D5DB681">
      <w:pPr>
        <w:widowControl/>
        <w:spacing w:line="360" w:lineRule="auto"/>
        <w:ind w:firstLine="480" w:firstLineChars="200"/>
        <w:jc w:val="right"/>
        <w:rPr>
          <w:rFonts w:hint="eastAsia" w:ascii="宋体" w:hAnsi="宋体" w:cstheme="minorEastAsia"/>
          <w:color w:val="000000"/>
          <w:sz w:val="24"/>
          <w:highlight w:val="none"/>
        </w:rPr>
      </w:pPr>
      <w:r>
        <w:rPr>
          <w:rFonts w:hint="eastAsia" w:ascii="宋体" w:hAnsi="宋体" w:cstheme="minorEastAsia"/>
          <w:color w:val="333333"/>
          <w:sz w:val="24"/>
          <w:highlight w:val="none"/>
          <w:shd w:val="clear" w:color="auto" w:fill="FFFFFF"/>
        </w:rPr>
        <w:t>日期：　年　月　日</w:t>
      </w:r>
    </w:p>
    <w:p w14:paraId="5A6F83DE">
      <w:pPr>
        <w:widowControl/>
        <w:spacing w:line="360" w:lineRule="auto"/>
        <w:jc w:val="left"/>
        <w:rPr>
          <w:rFonts w:hint="eastAsia" w:ascii="宋体" w:hAnsi="宋体" w:cstheme="minorEastAsia"/>
          <w:color w:val="000000"/>
          <w:sz w:val="24"/>
          <w:highlight w:val="none"/>
        </w:rPr>
      </w:pPr>
    </w:p>
    <w:p w14:paraId="173F1FD2">
      <w:pPr>
        <w:widowControl/>
        <w:spacing w:line="360" w:lineRule="auto"/>
        <w:jc w:val="left"/>
        <w:rPr>
          <w:rFonts w:hint="eastAsia" w:ascii="宋体" w:hAnsi="宋体" w:cstheme="minorEastAsia"/>
          <w:color w:val="000000"/>
          <w:sz w:val="24"/>
          <w:highlight w:val="none"/>
        </w:rPr>
      </w:pPr>
    </w:p>
    <w:p w14:paraId="40882D20">
      <w:pPr>
        <w:spacing w:line="360" w:lineRule="auto"/>
        <w:rPr>
          <w:rFonts w:hint="eastAsia" w:ascii="宋体" w:hAnsi="宋体" w:cstheme="minorEastAsia"/>
          <w:color w:val="000000"/>
          <w:sz w:val="22"/>
          <w:szCs w:val="22"/>
          <w:highlight w:val="none"/>
        </w:rPr>
      </w:pPr>
      <w:r>
        <w:rPr>
          <w:rFonts w:hint="eastAsia" w:ascii="宋体" w:hAnsi="宋体" w:cstheme="minorEastAsia"/>
          <w:color w:val="000000"/>
          <w:sz w:val="22"/>
          <w:szCs w:val="22"/>
          <w:highlight w:val="none"/>
        </w:rPr>
        <w:t>注：</w:t>
      </w:r>
    </w:p>
    <w:p w14:paraId="397AED71">
      <w:pPr>
        <w:spacing w:line="360" w:lineRule="auto"/>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1. 本承诺函应按包分别提供。</w:t>
      </w:r>
    </w:p>
    <w:p w14:paraId="1B776543">
      <w:pPr>
        <w:spacing w:line="360" w:lineRule="auto"/>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2. 单一产品采购无须提供本承诺函；供应商提供产品全部为本国产品，且提供了《关于符合本国产品标准的声明函》时，无须提供本承诺函。</w:t>
      </w:r>
    </w:p>
    <w:p w14:paraId="03D5E85C">
      <w:pPr>
        <w:spacing w:line="360" w:lineRule="auto"/>
        <w:rPr>
          <w:rFonts w:hint="eastAsia" w:ascii="宋体" w:hAnsi="宋体" w:cstheme="minorEastAsia"/>
          <w:color w:val="333333"/>
          <w:szCs w:val="21"/>
          <w:highlight w:val="none"/>
          <w:shd w:val="clear" w:color="auto" w:fill="FFFFFF"/>
        </w:rPr>
      </w:pPr>
      <w:r>
        <w:rPr>
          <w:rFonts w:hint="eastAsia" w:ascii="宋体" w:hAnsi="宋体" w:cstheme="minorEastAsia"/>
          <w:color w:val="333333"/>
          <w:szCs w:val="21"/>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eastAsia" w:ascii="宋体" w:hAnsi="宋体" w:cstheme="minorEastAsia"/>
          <w:highlight w:val="none"/>
        </w:rPr>
        <w:t>价格评审优惠</w:t>
      </w:r>
      <w:r>
        <w:rPr>
          <w:rFonts w:hint="eastAsia" w:ascii="宋体" w:hAnsi="宋体" w:cstheme="minorEastAsia"/>
          <w:color w:val="333333"/>
          <w:szCs w:val="21"/>
          <w:highlight w:val="none"/>
          <w:shd w:val="clear" w:color="auto" w:fill="FFFFFF"/>
        </w:rPr>
        <w:t>。</w:t>
      </w:r>
    </w:p>
    <w:p w14:paraId="2D869B9C">
      <w:pPr>
        <w:spacing w:line="360" w:lineRule="auto"/>
        <w:ind w:left="420" w:leftChars="200"/>
        <w:rPr>
          <w:rFonts w:hint="eastAsia" w:ascii="宋体" w:hAnsi="宋体" w:cstheme="minorEastAsia"/>
          <w:color w:val="333333"/>
          <w:szCs w:val="21"/>
          <w:highlight w:val="none"/>
          <w:shd w:val="clear" w:color="auto" w:fill="FFFFFF"/>
        </w:rPr>
      </w:pPr>
    </w:p>
    <w:p w14:paraId="5C17B87B">
      <w:pPr>
        <w:widowControl/>
        <w:jc w:val="left"/>
        <w:rPr>
          <w:rFonts w:hint="eastAsia" w:ascii="宋体" w:hAnsi="宋体" w:cstheme="minorEastAsia"/>
          <w:sz w:val="24"/>
          <w:highlight w:val="none"/>
        </w:rPr>
      </w:pPr>
      <w:r>
        <w:rPr>
          <w:rFonts w:hint="eastAsia" w:ascii="宋体" w:hAnsi="宋体" w:cstheme="minorEastAsia"/>
          <w:sz w:val="24"/>
          <w:highlight w:val="none"/>
        </w:rPr>
        <w:br w:type="page"/>
      </w:r>
    </w:p>
    <w:p w14:paraId="2760372D">
      <w:pPr>
        <w:tabs>
          <w:tab w:val="left" w:pos="360"/>
        </w:tabs>
        <w:snapToGrid w:val="0"/>
        <w:spacing w:line="360" w:lineRule="auto"/>
        <w:outlineLvl w:val="1"/>
        <w:rPr>
          <w:rFonts w:hint="eastAsia" w:ascii="宋体" w:hAnsi="宋体" w:cstheme="minorEastAsia"/>
          <w:color w:val="000000"/>
          <w:sz w:val="24"/>
          <w:szCs w:val="20"/>
          <w:highlight w:val="none"/>
        </w:rPr>
      </w:pPr>
      <w:r>
        <w:rPr>
          <w:rFonts w:hint="eastAsia" w:ascii="宋体" w:hAnsi="宋体" w:cstheme="minorEastAsia"/>
          <w:sz w:val="24"/>
          <w:highlight w:val="none"/>
        </w:rPr>
        <w:t>12  竞争性磋商文件要求提供或供应商认为应附的其他材料</w:t>
      </w:r>
    </w:p>
    <w:p w14:paraId="6F36614B">
      <w:pPr>
        <w:widowControl/>
        <w:jc w:val="left"/>
        <w:rPr>
          <w:rFonts w:hint="eastAsia" w:ascii="宋体" w:hAnsi="宋体" w:cstheme="minorEastAsia"/>
          <w:b/>
          <w:sz w:val="36"/>
          <w:szCs w:val="36"/>
          <w:highlight w:val="none"/>
        </w:rPr>
      </w:pPr>
    </w:p>
    <w:p w14:paraId="26310910">
      <w:pPr>
        <w:widowControl/>
        <w:jc w:val="left"/>
        <w:rPr>
          <w:rFonts w:hint="eastAsia" w:ascii="宋体" w:hAnsi="宋体" w:cstheme="minorEastAsia"/>
          <w:color w:val="000000"/>
          <w:sz w:val="24"/>
          <w:szCs w:val="20"/>
          <w:highlight w:val="none"/>
        </w:rPr>
      </w:pPr>
      <w:bookmarkStart w:id="1911" w:name="_Hlk167094858"/>
      <w:r>
        <w:rPr>
          <w:rFonts w:hint="eastAsia" w:ascii="宋体" w:hAnsi="宋体" w:cstheme="minorEastAsia"/>
          <w:color w:val="000000"/>
          <w:sz w:val="24"/>
          <w:szCs w:val="20"/>
          <w:highlight w:val="none"/>
        </w:rPr>
        <w:t>12-1供应商信息采集表</w:t>
      </w:r>
    </w:p>
    <w:tbl>
      <w:tblPr>
        <w:tblStyle w:val="4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21"/>
        <w:gridCol w:w="3021"/>
        <w:gridCol w:w="3020"/>
      </w:tblGrid>
      <w:tr w14:paraId="0E8B7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3B37E7B6">
            <w:pPr>
              <w:rPr>
                <w:rFonts w:hint="eastAsia" w:ascii="宋体" w:hAnsi="宋体" w:cstheme="minorEastAsia"/>
                <w:sz w:val="24"/>
                <w:highlight w:val="none"/>
              </w:rPr>
            </w:pPr>
            <w:r>
              <w:rPr>
                <w:rFonts w:hint="eastAsia" w:ascii="宋体" w:hAnsi="宋体" w:cstheme="minorEastAsia"/>
                <w:sz w:val="24"/>
                <w:highlight w:val="none"/>
              </w:rPr>
              <w:t>供应商名称</w:t>
            </w:r>
          </w:p>
        </w:tc>
        <w:tc>
          <w:tcPr>
            <w:tcW w:w="1667" w:type="pct"/>
          </w:tcPr>
          <w:p w14:paraId="0B28118F">
            <w:pPr>
              <w:rPr>
                <w:rFonts w:hint="eastAsia" w:ascii="宋体" w:hAnsi="宋体" w:cstheme="minorEastAsia"/>
                <w:sz w:val="24"/>
                <w:highlight w:val="none"/>
              </w:rPr>
            </w:pPr>
            <w:r>
              <w:rPr>
                <w:rFonts w:hint="eastAsia" w:ascii="宋体" w:hAnsi="宋体" w:cstheme="minorEastAsia"/>
                <w:sz w:val="24"/>
                <w:highlight w:val="none"/>
              </w:rPr>
              <w:t>供应商所属性别</w:t>
            </w:r>
          </w:p>
        </w:tc>
        <w:tc>
          <w:tcPr>
            <w:tcW w:w="1667" w:type="pct"/>
          </w:tcPr>
          <w:p w14:paraId="047DF9E7">
            <w:pPr>
              <w:rPr>
                <w:rFonts w:hint="eastAsia" w:ascii="宋体" w:hAnsi="宋体" w:cstheme="minorEastAsia"/>
                <w:sz w:val="24"/>
                <w:highlight w:val="none"/>
              </w:rPr>
            </w:pPr>
            <w:r>
              <w:rPr>
                <w:rFonts w:hint="eastAsia" w:ascii="宋体" w:hAnsi="宋体" w:cstheme="minorEastAsia"/>
                <w:sz w:val="24"/>
                <w:highlight w:val="none"/>
              </w:rPr>
              <w:t>外商投资类型</w:t>
            </w:r>
          </w:p>
        </w:tc>
      </w:tr>
      <w:tr w14:paraId="0EEA9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1F449FE6">
            <w:pPr>
              <w:rPr>
                <w:rFonts w:hint="eastAsia" w:ascii="宋体" w:hAnsi="宋体" w:cstheme="minorEastAsia"/>
                <w:sz w:val="24"/>
                <w:highlight w:val="none"/>
              </w:rPr>
            </w:pPr>
          </w:p>
        </w:tc>
        <w:tc>
          <w:tcPr>
            <w:tcW w:w="1667" w:type="pct"/>
          </w:tcPr>
          <w:p w14:paraId="34BB1F58">
            <w:pPr>
              <w:rPr>
                <w:rFonts w:hint="eastAsia" w:ascii="宋体" w:hAnsi="宋体" w:cstheme="minorEastAsia"/>
                <w:sz w:val="24"/>
                <w:highlight w:val="none"/>
              </w:rPr>
            </w:pPr>
          </w:p>
        </w:tc>
        <w:tc>
          <w:tcPr>
            <w:tcW w:w="1667" w:type="pct"/>
          </w:tcPr>
          <w:p w14:paraId="31D544DE">
            <w:pPr>
              <w:rPr>
                <w:rFonts w:hint="eastAsia" w:ascii="宋体" w:hAnsi="宋体" w:cstheme="minorEastAsia"/>
                <w:sz w:val="24"/>
                <w:highlight w:val="none"/>
              </w:rPr>
            </w:pPr>
          </w:p>
        </w:tc>
      </w:tr>
      <w:tr w14:paraId="4F8EA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6A02C49B">
            <w:pPr>
              <w:rPr>
                <w:rFonts w:hint="eastAsia" w:ascii="宋体" w:hAnsi="宋体" w:cstheme="minorEastAsia"/>
                <w:highlight w:val="none"/>
              </w:rPr>
            </w:pPr>
          </w:p>
        </w:tc>
        <w:tc>
          <w:tcPr>
            <w:tcW w:w="1667" w:type="pct"/>
          </w:tcPr>
          <w:p w14:paraId="721E8AC6">
            <w:pPr>
              <w:rPr>
                <w:rFonts w:hint="eastAsia" w:ascii="宋体" w:hAnsi="宋体" w:cstheme="minorEastAsia"/>
                <w:highlight w:val="none"/>
              </w:rPr>
            </w:pPr>
          </w:p>
        </w:tc>
        <w:tc>
          <w:tcPr>
            <w:tcW w:w="1667" w:type="pct"/>
          </w:tcPr>
          <w:p w14:paraId="3C9C04D7">
            <w:pPr>
              <w:rPr>
                <w:rFonts w:hint="eastAsia" w:ascii="宋体" w:hAnsi="宋体" w:cstheme="minorEastAsia"/>
                <w:highlight w:val="none"/>
              </w:rPr>
            </w:pPr>
          </w:p>
        </w:tc>
      </w:tr>
      <w:tr w14:paraId="53EB2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0EC8AC0E">
            <w:pPr>
              <w:rPr>
                <w:rFonts w:hint="eastAsia" w:ascii="宋体" w:hAnsi="宋体" w:cstheme="minorEastAsia"/>
                <w:highlight w:val="none"/>
              </w:rPr>
            </w:pPr>
          </w:p>
        </w:tc>
        <w:tc>
          <w:tcPr>
            <w:tcW w:w="1667" w:type="pct"/>
          </w:tcPr>
          <w:p w14:paraId="0F3A9429">
            <w:pPr>
              <w:rPr>
                <w:rFonts w:hint="eastAsia" w:ascii="宋体" w:hAnsi="宋体" w:cstheme="minorEastAsia"/>
                <w:highlight w:val="none"/>
              </w:rPr>
            </w:pPr>
          </w:p>
        </w:tc>
        <w:tc>
          <w:tcPr>
            <w:tcW w:w="1667" w:type="pct"/>
          </w:tcPr>
          <w:p w14:paraId="3F805778">
            <w:pPr>
              <w:rPr>
                <w:rFonts w:hint="eastAsia" w:ascii="宋体" w:hAnsi="宋体" w:cstheme="minorEastAsia"/>
                <w:highlight w:val="none"/>
              </w:rPr>
            </w:pPr>
          </w:p>
        </w:tc>
      </w:tr>
      <w:tr w14:paraId="1CFF2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3FBB6D5C">
            <w:pPr>
              <w:rPr>
                <w:rFonts w:hint="eastAsia" w:ascii="宋体" w:hAnsi="宋体" w:cstheme="minorEastAsia"/>
                <w:highlight w:val="none"/>
              </w:rPr>
            </w:pPr>
          </w:p>
        </w:tc>
        <w:tc>
          <w:tcPr>
            <w:tcW w:w="1667" w:type="pct"/>
          </w:tcPr>
          <w:p w14:paraId="7D491A3C">
            <w:pPr>
              <w:rPr>
                <w:rFonts w:hint="eastAsia" w:ascii="宋体" w:hAnsi="宋体" w:cstheme="minorEastAsia"/>
                <w:highlight w:val="none"/>
              </w:rPr>
            </w:pPr>
          </w:p>
        </w:tc>
        <w:tc>
          <w:tcPr>
            <w:tcW w:w="1667" w:type="pct"/>
          </w:tcPr>
          <w:p w14:paraId="05C5E6CA">
            <w:pPr>
              <w:rPr>
                <w:rFonts w:hint="eastAsia" w:ascii="宋体" w:hAnsi="宋体" w:cstheme="minorEastAsia"/>
                <w:highlight w:val="none"/>
              </w:rPr>
            </w:pPr>
          </w:p>
        </w:tc>
      </w:tr>
    </w:tbl>
    <w:p w14:paraId="392822AB">
      <w:pPr>
        <w:tabs>
          <w:tab w:val="left" w:pos="1800"/>
          <w:tab w:val="left" w:pos="5580"/>
        </w:tabs>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注：1.供应商如为联合体，则应填写联合体各成员信息。</w:t>
      </w:r>
    </w:p>
    <w:p w14:paraId="4C50C31A">
      <w:pPr>
        <w:tabs>
          <w:tab w:val="left" w:pos="1800"/>
          <w:tab w:val="left" w:pos="5580"/>
        </w:tabs>
        <w:ind w:firstLine="480" w:firstLineChars="20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2.供应商所属性别请填写“男”或“女”，指拥有供应商51%以上绝对所有权的性别；绝对所有权拥有者可以是一个人，也可以是多人合计计算。</w:t>
      </w:r>
    </w:p>
    <w:p w14:paraId="1365877D">
      <w:pPr>
        <w:tabs>
          <w:tab w:val="left" w:pos="1800"/>
          <w:tab w:val="left" w:pos="5580"/>
        </w:tabs>
        <w:ind w:firstLine="480" w:firstLineChars="20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3.外商投资类型请填写“外商单独投资”、“外商部分投资”或“内资”。</w:t>
      </w:r>
    </w:p>
    <w:bookmarkEnd w:id="1911"/>
    <w:p w14:paraId="46CFD133">
      <w:pPr>
        <w:widowControl/>
        <w:jc w:val="left"/>
        <w:rPr>
          <w:rFonts w:hint="eastAsia" w:ascii="宋体" w:hAnsi="宋体" w:cstheme="minorEastAsia"/>
          <w:b/>
          <w:sz w:val="36"/>
          <w:szCs w:val="36"/>
          <w:highlight w:val="none"/>
        </w:rPr>
      </w:pPr>
      <w:r>
        <w:rPr>
          <w:rFonts w:hint="eastAsia" w:ascii="宋体" w:hAnsi="宋体" w:cstheme="minorEastAsia"/>
          <w:b/>
          <w:sz w:val="36"/>
          <w:szCs w:val="36"/>
          <w:highlight w:val="none"/>
        </w:rPr>
        <w:br w:type="page"/>
      </w:r>
    </w:p>
    <w:p w14:paraId="242E088D">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13  最后报价一览表（实质性格式，磋商后提交）</w:t>
      </w:r>
    </w:p>
    <w:p w14:paraId="2C6DA0DF">
      <w:pPr>
        <w:widowControl/>
        <w:jc w:val="left"/>
        <w:rPr>
          <w:rFonts w:hint="eastAsia" w:ascii="宋体" w:hAnsi="宋体" w:cstheme="minorEastAsia"/>
          <w:kern w:val="0"/>
          <w:sz w:val="24"/>
          <w:szCs w:val="20"/>
          <w:highlight w:val="none"/>
        </w:rPr>
      </w:pPr>
    </w:p>
    <w:p w14:paraId="755E5705">
      <w:pPr>
        <w:spacing w:line="360" w:lineRule="exact"/>
        <w:ind w:firstLine="720"/>
        <w:jc w:val="center"/>
        <w:rPr>
          <w:rFonts w:hint="eastAsia" w:ascii="宋体" w:hAnsi="宋体" w:cstheme="minorEastAsia"/>
          <w:b/>
          <w:color w:val="000000"/>
          <w:sz w:val="36"/>
          <w:szCs w:val="36"/>
          <w:highlight w:val="none"/>
        </w:rPr>
      </w:pPr>
      <w:r>
        <w:rPr>
          <w:rFonts w:hint="eastAsia" w:ascii="宋体" w:hAnsi="宋体" w:cstheme="minorEastAsia"/>
          <w:b/>
          <w:color w:val="000000"/>
          <w:sz w:val="36"/>
          <w:szCs w:val="36"/>
          <w:highlight w:val="none"/>
        </w:rPr>
        <w:t>最后报价一览表</w:t>
      </w:r>
    </w:p>
    <w:p w14:paraId="1736369A">
      <w:pPr>
        <w:tabs>
          <w:tab w:val="left" w:pos="1800"/>
          <w:tab w:val="left" w:pos="5580"/>
        </w:tabs>
        <w:spacing w:line="360" w:lineRule="auto"/>
        <w:jc w:val="left"/>
        <w:rPr>
          <w:rFonts w:hint="eastAsia" w:ascii="宋体" w:hAnsi="宋体" w:cstheme="minorEastAsia"/>
          <w:color w:val="000000"/>
          <w:sz w:val="24"/>
          <w:highlight w:val="none"/>
        </w:rPr>
      </w:pPr>
    </w:p>
    <w:p w14:paraId="53BC6475">
      <w:pPr>
        <w:tabs>
          <w:tab w:val="left" w:pos="1800"/>
          <w:tab w:val="left" w:pos="5580"/>
        </w:tabs>
        <w:spacing w:line="360" w:lineRule="auto"/>
        <w:ind w:firstLine="360" w:firstLineChars="15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项目编号/包号：_______________     项目名称：_______________</w:t>
      </w:r>
    </w:p>
    <w:tbl>
      <w:tblPr>
        <w:tblStyle w:val="44"/>
        <w:tblW w:w="4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6"/>
        <w:gridCol w:w="2300"/>
        <w:gridCol w:w="1710"/>
        <w:gridCol w:w="1523"/>
        <w:gridCol w:w="1457"/>
      </w:tblGrid>
      <w:tr w14:paraId="61CE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7" w:type="pct"/>
            <w:vMerge w:val="restart"/>
            <w:vAlign w:val="center"/>
          </w:tcPr>
          <w:p w14:paraId="12AF541D">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序号</w:t>
            </w:r>
          </w:p>
        </w:tc>
        <w:tc>
          <w:tcPr>
            <w:tcW w:w="1498" w:type="pct"/>
            <w:vMerge w:val="restart"/>
            <w:vAlign w:val="center"/>
          </w:tcPr>
          <w:p w14:paraId="33AB5B33">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供应商名称</w:t>
            </w:r>
          </w:p>
        </w:tc>
        <w:tc>
          <w:tcPr>
            <w:tcW w:w="2106" w:type="pct"/>
            <w:gridSpan w:val="2"/>
            <w:vAlign w:val="center"/>
          </w:tcPr>
          <w:p w14:paraId="5B95A60B">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最后报价</w:t>
            </w:r>
          </w:p>
        </w:tc>
        <w:tc>
          <w:tcPr>
            <w:tcW w:w="949" w:type="pct"/>
            <w:vMerge w:val="restart"/>
            <w:vAlign w:val="center"/>
          </w:tcPr>
          <w:p w14:paraId="54401B88">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其他</w:t>
            </w:r>
          </w:p>
          <w:p w14:paraId="4C159820">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声明</w:t>
            </w:r>
          </w:p>
        </w:tc>
      </w:tr>
      <w:tr w14:paraId="45B2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7" w:type="pct"/>
            <w:vMerge w:val="continue"/>
            <w:vAlign w:val="center"/>
          </w:tcPr>
          <w:p w14:paraId="2485F45B">
            <w:pPr>
              <w:tabs>
                <w:tab w:val="left" w:pos="5580"/>
              </w:tabs>
              <w:jc w:val="center"/>
              <w:rPr>
                <w:rFonts w:hint="eastAsia" w:ascii="宋体" w:hAnsi="宋体" w:cstheme="minorEastAsia"/>
                <w:sz w:val="24"/>
                <w:highlight w:val="none"/>
              </w:rPr>
            </w:pPr>
          </w:p>
        </w:tc>
        <w:tc>
          <w:tcPr>
            <w:tcW w:w="1498" w:type="pct"/>
            <w:vMerge w:val="continue"/>
            <w:vAlign w:val="center"/>
          </w:tcPr>
          <w:p w14:paraId="776BD989">
            <w:pPr>
              <w:tabs>
                <w:tab w:val="left" w:pos="5580"/>
              </w:tabs>
              <w:jc w:val="center"/>
              <w:rPr>
                <w:rFonts w:hint="eastAsia" w:ascii="宋体" w:hAnsi="宋体" w:cstheme="minorEastAsia"/>
                <w:sz w:val="24"/>
                <w:highlight w:val="none"/>
              </w:rPr>
            </w:pPr>
          </w:p>
        </w:tc>
        <w:tc>
          <w:tcPr>
            <w:tcW w:w="1114" w:type="pct"/>
            <w:vAlign w:val="center"/>
          </w:tcPr>
          <w:p w14:paraId="590C0554">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大写</w:t>
            </w:r>
          </w:p>
        </w:tc>
        <w:tc>
          <w:tcPr>
            <w:tcW w:w="992" w:type="pct"/>
            <w:vAlign w:val="center"/>
          </w:tcPr>
          <w:p w14:paraId="66700667">
            <w:pPr>
              <w:tabs>
                <w:tab w:val="left" w:pos="5580"/>
              </w:tabs>
              <w:jc w:val="center"/>
              <w:rPr>
                <w:rFonts w:hint="eastAsia" w:ascii="宋体" w:hAnsi="宋体" w:cstheme="minorEastAsia"/>
                <w:b/>
                <w:sz w:val="24"/>
                <w:highlight w:val="none"/>
              </w:rPr>
            </w:pPr>
            <w:r>
              <w:rPr>
                <w:rFonts w:hint="eastAsia" w:ascii="宋体" w:hAnsi="宋体" w:cstheme="minorEastAsia"/>
                <w:b/>
                <w:sz w:val="24"/>
                <w:highlight w:val="none"/>
              </w:rPr>
              <w:t>小写</w:t>
            </w:r>
          </w:p>
        </w:tc>
        <w:tc>
          <w:tcPr>
            <w:tcW w:w="949" w:type="pct"/>
            <w:vMerge w:val="continue"/>
            <w:vAlign w:val="center"/>
          </w:tcPr>
          <w:p w14:paraId="11BEDFFB">
            <w:pPr>
              <w:tabs>
                <w:tab w:val="left" w:pos="5580"/>
              </w:tabs>
              <w:ind w:firstLine="482"/>
              <w:jc w:val="center"/>
              <w:rPr>
                <w:rFonts w:hint="eastAsia" w:ascii="宋体" w:hAnsi="宋体" w:cstheme="minorEastAsia"/>
                <w:b/>
                <w:sz w:val="24"/>
                <w:highlight w:val="none"/>
              </w:rPr>
            </w:pPr>
          </w:p>
        </w:tc>
      </w:tr>
      <w:tr w14:paraId="13FD0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7" w:type="pct"/>
            <w:vAlign w:val="center"/>
          </w:tcPr>
          <w:p w14:paraId="3152495A">
            <w:pPr>
              <w:tabs>
                <w:tab w:val="left" w:pos="5580"/>
              </w:tabs>
              <w:jc w:val="center"/>
              <w:rPr>
                <w:rFonts w:hint="eastAsia" w:ascii="宋体" w:hAnsi="宋体" w:cstheme="minorEastAsia"/>
                <w:sz w:val="24"/>
                <w:highlight w:val="none"/>
              </w:rPr>
            </w:pPr>
          </w:p>
        </w:tc>
        <w:tc>
          <w:tcPr>
            <w:tcW w:w="1498" w:type="pct"/>
            <w:vAlign w:val="center"/>
          </w:tcPr>
          <w:p w14:paraId="62141AA2">
            <w:pPr>
              <w:tabs>
                <w:tab w:val="left" w:pos="5580"/>
              </w:tabs>
              <w:jc w:val="center"/>
              <w:rPr>
                <w:rFonts w:hint="eastAsia" w:ascii="宋体" w:hAnsi="宋体" w:cstheme="minorEastAsia"/>
                <w:sz w:val="24"/>
                <w:highlight w:val="none"/>
              </w:rPr>
            </w:pPr>
          </w:p>
        </w:tc>
        <w:tc>
          <w:tcPr>
            <w:tcW w:w="1114" w:type="pct"/>
            <w:vAlign w:val="center"/>
          </w:tcPr>
          <w:p w14:paraId="2D6C1AD2">
            <w:pPr>
              <w:tabs>
                <w:tab w:val="left" w:pos="5580"/>
              </w:tabs>
              <w:jc w:val="center"/>
              <w:rPr>
                <w:rFonts w:hint="eastAsia" w:ascii="宋体" w:hAnsi="宋体" w:cstheme="minorEastAsia"/>
                <w:sz w:val="24"/>
                <w:highlight w:val="none"/>
              </w:rPr>
            </w:pPr>
          </w:p>
        </w:tc>
        <w:tc>
          <w:tcPr>
            <w:tcW w:w="992" w:type="pct"/>
            <w:vAlign w:val="center"/>
          </w:tcPr>
          <w:p w14:paraId="13C3D7AD">
            <w:pPr>
              <w:tabs>
                <w:tab w:val="left" w:pos="5580"/>
              </w:tabs>
              <w:jc w:val="center"/>
              <w:rPr>
                <w:rFonts w:hint="eastAsia" w:ascii="宋体" w:hAnsi="宋体" w:cstheme="minorEastAsia"/>
                <w:sz w:val="24"/>
                <w:highlight w:val="none"/>
              </w:rPr>
            </w:pPr>
          </w:p>
        </w:tc>
        <w:tc>
          <w:tcPr>
            <w:tcW w:w="949" w:type="pct"/>
            <w:vAlign w:val="center"/>
          </w:tcPr>
          <w:p w14:paraId="621116E5">
            <w:pPr>
              <w:tabs>
                <w:tab w:val="left" w:pos="5580"/>
              </w:tabs>
              <w:jc w:val="center"/>
              <w:rPr>
                <w:rFonts w:hint="eastAsia" w:ascii="宋体" w:hAnsi="宋体" w:cstheme="minorEastAsia"/>
                <w:sz w:val="24"/>
                <w:highlight w:val="none"/>
              </w:rPr>
            </w:pPr>
          </w:p>
        </w:tc>
      </w:tr>
    </w:tbl>
    <w:p w14:paraId="703CA931">
      <w:pPr>
        <w:autoSpaceDE w:val="0"/>
        <w:autoSpaceDN w:val="0"/>
        <w:adjustRightInd w:val="0"/>
        <w:jc w:val="left"/>
        <w:rPr>
          <w:rFonts w:hint="eastAsia" w:ascii="宋体" w:hAnsi="宋体" w:cstheme="minorEastAsia"/>
          <w:color w:val="000000"/>
          <w:kern w:val="0"/>
          <w:sz w:val="24"/>
          <w:highlight w:val="none"/>
        </w:rPr>
      </w:pPr>
    </w:p>
    <w:p w14:paraId="5406B834">
      <w:pPr>
        <w:autoSpaceDE w:val="0"/>
        <w:autoSpaceDN w:val="0"/>
        <w:adjustRightInd w:val="0"/>
        <w:jc w:val="left"/>
        <w:rPr>
          <w:rFonts w:hint="eastAsia" w:ascii="宋体" w:hAnsi="宋体" w:cstheme="minorEastAsia"/>
          <w:color w:val="000000"/>
          <w:kern w:val="0"/>
          <w:sz w:val="24"/>
          <w:highlight w:val="none"/>
        </w:rPr>
      </w:pPr>
    </w:p>
    <w:p w14:paraId="72AC38EF">
      <w:pPr>
        <w:autoSpaceDE w:val="0"/>
        <w:autoSpaceDN w:val="0"/>
        <w:adjustRightInd w:val="0"/>
        <w:jc w:val="left"/>
        <w:rPr>
          <w:rFonts w:hint="eastAsia" w:ascii="宋体" w:hAnsi="宋体" w:cstheme="minorEastAsia"/>
          <w:color w:val="000000"/>
          <w:kern w:val="0"/>
          <w:sz w:val="24"/>
          <w:highlight w:val="none"/>
        </w:rPr>
      </w:pPr>
    </w:p>
    <w:p w14:paraId="3B77F864">
      <w:pPr>
        <w:autoSpaceDE w:val="0"/>
        <w:autoSpaceDN w:val="0"/>
        <w:adjustRightInd w:val="0"/>
        <w:jc w:val="left"/>
        <w:rPr>
          <w:rFonts w:hint="eastAsia" w:ascii="宋体" w:hAnsi="宋体" w:cstheme="minorEastAsia"/>
          <w:color w:val="000000"/>
          <w:kern w:val="0"/>
          <w:sz w:val="24"/>
          <w:highlight w:val="none"/>
        </w:rPr>
      </w:pPr>
    </w:p>
    <w:p w14:paraId="1B625F57">
      <w:pPr>
        <w:autoSpaceDE w:val="0"/>
        <w:autoSpaceDN w:val="0"/>
        <w:adjustRightInd w:val="0"/>
        <w:jc w:val="left"/>
        <w:rPr>
          <w:rFonts w:hint="eastAsia" w:ascii="宋体" w:hAnsi="宋体" w:cstheme="minorEastAsia"/>
          <w:color w:val="000000"/>
          <w:sz w:val="24"/>
          <w:szCs w:val="20"/>
          <w:highlight w:val="none"/>
        </w:rPr>
      </w:pPr>
      <w:r>
        <w:rPr>
          <w:rFonts w:hint="eastAsia" w:ascii="宋体" w:hAnsi="宋体" w:cstheme="minorEastAsia"/>
          <w:color w:val="000000"/>
          <w:kern w:val="0"/>
          <w:sz w:val="24"/>
          <w:highlight w:val="none"/>
        </w:rPr>
        <w:t>注：1</w:t>
      </w:r>
      <w:r>
        <w:rPr>
          <w:rFonts w:hint="eastAsia" w:ascii="宋体" w:hAnsi="宋体" w:cstheme="minorEastAsia"/>
          <w:color w:val="000000"/>
          <w:sz w:val="24"/>
          <w:szCs w:val="20"/>
          <w:highlight w:val="none"/>
        </w:rPr>
        <w:t>.此表中，每包的最后报价应和《最后分项报价表》中的总价相一致。</w:t>
      </w:r>
    </w:p>
    <w:p w14:paraId="46A66BA9">
      <w:pPr>
        <w:tabs>
          <w:tab w:val="left" w:pos="5580"/>
        </w:tabs>
        <w:ind w:firstLine="480" w:firstLineChars="200"/>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2.本表必须按包分别填写。</w:t>
      </w:r>
    </w:p>
    <w:p w14:paraId="46ADF748">
      <w:pPr>
        <w:pStyle w:val="180"/>
        <w:ind w:left="642" w:leftChars="227" w:hanging="165" w:hangingChars="69"/>
        <w:rPr>
          <w:rFonts w:hint="eastAsia" w:cstheme="minorEastAsia"/>
          <w:sz w:val="24"/>
          <w:szCs w:val="24"/>
          <w:highlight w:val="none"/>
        </w:rPr>
      </w:pPr>
      <w:r>
        <w:rPr>
          <w:rFonts w:hint="eastAsia" w:cstheme="minorEastAsia"/>
          <w:sz w:val="24"/>
          <w:szCs w:val="24"/>
          <w:highlight w:val="none"/>
        </w:rPr>
        <w:t>3.</w:t>
      </w:r>
      <w:bookmarkStart w:id="1912" w:name="_Hlk137145809"/>
      <w:r>
        <w:rPr>
          <w:rFonts w:hint="eastAsia" w:cstheme="minorEastAsia"/>
          <w:sz w:val="24"/>
          <w:szCs w:val="24"/>
          <w:highlight w:val="none"/>
        </w:rPr>
        <w:t>此表无需在响应文件中提交，磋商后供应商按磋商小组要求提交。</w:t>
      </w:r>
      <w:bookmarkEnd w:id="1912"/>
    </w:p>
    <w:p w14:paraId="140B6ACB">
      <w:pPr>
        <w:tabs>
          <w:tab w:val="left" w:pos="5580"/>
        </w:tabs>
        <w:ind w:firstLine="480" w:firstLineChars="200"/>
        <w:rPr>
          <w:rFonts w:hint="eastAsia" w:ascii="宋体" w:hAnsi="宋体" w:cstheme="minorEastAsia"/>
          <w:color w:val="000000"/>
          <w:sz w:val="24"/>
          <w:szCs w:val="20"/>
          <w:highlight w:val="none"/>
        </w:rPr>
      </w:pPr>
    </w:p>
    <w:p w14:paraId="164C3432">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p>
    <w:p w14:paraId="1595DD67">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lang w:val="zh-CN"/>
        </w:rPr>
        <w:t xml:space="preserve">      </w:t>
      </w:r>
    </w:p>
    <w:p w14:paraId="63B307DF">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color w:val="000000"/>
          <w:sz w:val="24"/>
          <w:highlight w:val="none"/>
        </w:rPr>
        <w:t>供应商授权代表签字（或加盖供应商公章）</w:t>
      </w:r>
      <w:r>
        <w:rPr>
          <w:rFonts w:hint="eastAsia" w:ascii="宋体" w:hAnsi="宋体" w:cstheme="minorEastAsia"/>
          <w:color w:val="000000"/>
          <w:sz w:val="24"/>
          <w:highlight w:val="none"/>
          <w:lang w:val="zh-CN"/>
        </w:rPr>
        <w:t xml:space="preserve">：___________ </w:t>
      </w:r>
    </w:p>
    <w:p w14:paraId="1BFE0498">
      <w:pPr>
        <w:widowControl/>
        <w:jc w:val="left"/>
        <w:rPr>
          <w:rFonts w:hint="eastAsia" w:ascii="宋体" w:hAnsi="宋体" w:cstheme="minorEastAsia"/>
          <w:color w:val="000000"/>
          <w:sz w:val="24"/>
          <w:szCs w:val="20"/>
          <w:highlight w:val="none"/>
        </w:rPr>
      </w:pPr>
      <w:r>
        <w:rPr>
          <w:rFonts w:hint="eastAsia" w:ascii="宋体" w:hAnsi="宋体" w:cstheme="minorEastAsia"/>
          <w:color w:val="000000"/>
          <w:sz w:val="24"/>
          <w:szCs w:val="20"/>
          <w:highlight w:val="none"/>
        </w:rPr>
        <w:t xml:space="preserve">日期：____年____月____日   </w:t>
      </w:r>
    </w:p>
    <w:p w14:paraId="6DA5F667">
      <w:pPr>
        <w:widowControl/>
        <w:jc w:val="left"/>
        <w:rPr>
          <w:rFonts w:hint="eastAsia" w:ascii="宋体" w:hAnsi="宋体" w:cstheme="minorEastAsia"/>
          <w:color w:val="000000"/>
          <w:sz w:val="24"/>
          <w:szCs w:val="20"/>
          <w:highlight w:val="none"/>
        </w:rPr>
      </w:pPr>
    </w:p>
    <w:p w14:paraId="2D5E1EC3">
      <w:pPr>
        <w:tabs>
          <w:tab w:val="left" w:pos="360"/>
        </w:tabs>
        <w:snapToGrid w:val="0"/>
        <w:spacing w:line="360" w:lineRule="auto"/>
        <w:outlineLvl w:val="1"/>
        <w:rPr>
          <w:rFonts w:hint="eastAsia" w:ascii="宋体" w:hAnsi="宋体" w:cstheme="minorEastAsia"/>
          <w:sz w:val="24"/>
          <w:highlight w:val="none"/>
        </w:rPr>
        <w:sectPr>
          <w:pgSz w:w="11907" w:h="16840"/>
          <w:pgMar w:top="1418" w:right="1134" w:bottom="1418" w:left="1701" w:header="851" w:footer="851" w:gutter="0"/>
          <w:cols w:space="720" w:num="1"/>
          <w:docGrid w:linePitch="462" w:charSpace="0"/>
        </w:sectPr>
      </w:pPr>
    </w:p>
    <w:p w14:paraId="6B70FD63">
      <w:pPr>
        <w:tabs>
          <w:tab w:val="left" w:pos="360"/>
        </w:tabs>
        <w:snapToGrid w:val="0"/>
        <w:spacing w:line="360" w:lineRule="auto"/>
        <w:outlineLvl w:val="1"/>
        <w:rPr>
          <w:rFonts w:eastAsiaTheme="minorEastAsia"/>
          <w:sz w:val="24"/>
          <w:highlight w:val="none"/>
        </w:rPr>
      </w:pPr>
      <w:r>
        <w:rPr>
          <w:rFonts w:eastAsiaTheme="minorEastAsia"/>
          <w:sz w:val="24"/>
          <w:highlight w:val="none"/>
        </w:rPr>
        <w:t>14  最后分项报价表（实质性格式</w:t>
      </w:r>
      <w:r>
        <w:rPr>
          <w:rFonts w:hint="eastAsia" w:eastAsiaTheme="minorEastAsia"/>
          <w:sz w:val="24"/>
          <w:highlight w:val="none"/>
        </w:rPr>
        <w:t>，磋商后提交</w:t>
      </w:r>
      <w:r>
        <w:rPr>
          <w:rFonts w:eastAsiaTheme="minorEastAsia"/>
          <w:sz w:val="24"/>
          <w:highlight w:val="none"/>
        </w:rPr>
        <w:t>）</w:t>
      </w:r>
    </w:p>
    <w:p w14:paraId="3ABCC678">
      <w:pPr>
        <w:pStyle w:val="43"/>
        <w:ind w:firstLine="480"/>
        <w:rPr>
          <w:highlight w:val="none"/>
        </w:rPr>
      </w:pPr>
    </w:p>
    <w:p w14:paraId="68B5BC0E">
      <w:pPr>
        <w:spacing w:line="360" w:lineRule="exact"/>
        <w:jc w:val="center"/>
        <w:rPr>
          <w:rFonts w:eastAsiaTheme="minorEastAsia"/>
          <w:color w:val="000000"/>
          <w:sz w:val="36"/>
          <w:szCs w:val="36"/>
          <w:highlight w:val="none"/>
        </w:rPr>
      </w:pPr>
      <w:r>
        <w:rPr>
          <w:rFonts w:eastAsiaTheme="minorEastAsia"/>
          <w:color w:val="000000"/>
          <w:sz w:val="36"/>
          <w:szCs w:val="36"/>
          <w:highlight w:val="none"/>
        </w:rPr>
        <w:t>最后分项报价表</w:t>
      </w:r>
    </w:p>
    <w:p w14:paraId="234B81E8">
      <w:pPr>
        <w:pStyle w:val="43"/>
        <w:ind w:firstLine="480"/>
        <w:rPr>
          <w:highlight w:val="none"/>
        </w:rPr>
      </w:pPr>
    </w:p>
    <w:p w14:paraId="7180F63C">
      <w:pPr>
        <w:tabs>
          <w:tab w:val="left" w:pos="1800"/>
          <w:tab w:val="left" w:pos="5580"/>
        </w:tabs>
        <w:rPr>
          <w:rFonts w:eastAsiaTheme="minorEastAsia"/>
          <w:color w:val="000000"/>
          <w:sz w:val="24"/>
          <w:highlight w:val="none"/>
        </w:rPr>
      </w:pPr>
      <w:r>
        <w:rPr>
          <w:rFonts w:eastAsiaTheme="minorEastAsia"/>
          <w:color w:val="000000"/>
          <w:sz w:val="24"/>
          <w:highlight w:val="none"/>
        </w:rPr>
        <w:t>项目编号/包号：_________ 项目名称：_________报价单位：人民币元</w:t>
      </w:r>
    </w:p>
    <w:p w14:paraId="78FD28F7">
      <w:pPr>
        <w:pStyle w:val="43"/>
        <w:ind w:firstLine="480"/>
        <w:rPr>
          <w:highlight w:val="none"/>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536"/>
        <w:gridCol w:w="1418"/>
        <w:gridCol w:w="1559"/>
      </w:tblGrid>
      <w:tr w14:paraId="1411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00" w:type="dxa"/>
            <w:vAlign w:val="center"/>
          </w:tcPr>
          <w:p w14:paraId="3342D1AA">
            <w:pPr>
              <w:adjustRightInd w:val="0"/>
              <w:jc w:val="center"/>
              <w:textAlignment w:val="baseline"/>
              <w:rPr>
                <w:kern w:val="0"/>
                <w:sz w:val="24"/>
                <w:szCs w:val="20"/>
                <w:highlight w:val="none"/>
              </w:rPr>
            </w:pPr>
            <w:r>
              <w:rPr>
                <w:kern w:val="0"/>
                <w:sz w:val="24"/>
                <w:szCs w:val="20"/>
                <w:highlight w:val="none"/>
              </w:rPr>
              <w:t>序号</w:t>
            </w:r>
          </w:p>
        </w:tc>
        <w:tc>
          <w:tcPr>
            <w:tcW w:w="4536" w:type="dxa"/>
            <w:vAlign w:val="center"/>
          </w:tcPr>
          <w:p w14:paraId="2572257A">
            <w:pPr>
              <w:adjustRightInd w:val="0"/>
              <w:jc w:val="center"/>
              <w:textAlignment w:val="baseline"/>
              <w:rPr>
                <w:kern w:val="0"/>
                <w:sz w:val="24"/>
                <w:szCs w:val="20"/>
                <w:highlight w:val="none"/>
              </w:rPr>
            </w:pPr>
            <w:r>
              <w:rPr>
                <w:kern w:val="0"/>
                <w:sz w:val="24"/>
                <w:szCs w:val="20"/>
                <w:highlight w:val="none"/>
              </w:rPr>
              <w:t>最后报价计算过程或说明（</w:t>
            </w:r>
            <w:r>
              <w:rPr>
                <w:color w:val="000000"/>
                <w:sz w:val="24"/>
                <w:highlight w:val="none"/>
              </w:rPr>
              <w:t>可以填写按第一次报价下浮/上浮比例，也可以填写相对第一次报价某部分价格变化情况</w:t>
            </w:r>
            <w:r>
              <w:rPr>
                <w:kern w:val="0"/>
                <w:sz w:val="24"/>
                <w:szCs w:val="20"/>
                <w:highlight w:val="none"/>
              </w:rPr>
              <w:t>）</w:t>
            </w:r>
          </w:p>
        </w:tc>
        <w:tc>
          <w:tcPr>
            <w:tcW w:w="1418" w:type="dxa"/>
            <w:vAlign w:val="center"/>
          </w:tcPr>
          <w:p w14:paraId="27146E12">
            <w:pPr>
              <w:adjustRightInd w:val="0"/>
              <w:jc w:val="center"/>
              <w:textAlignment w:val="baseline"/>
              <w:rPr>
                <w:kern w:val="0"/>
                <w:sz w:val="24"/>
                <w:szCs w:val="20"/>
                <w:highlight w:val="none"/>
              </w:rPr>
            </w:pPr>
            <w:r>
              <w:rPr>
                <w:kern w:val="0"/>
                <w:sz w:val="24"/>
                <w:szCs w:val="20"/>
                <w:highlight w:val="none"/>
              </w:rPr>
              <w:t>总价（元）</w:t>
            </w:r>
          </w:p>
        </w:tc>
        <w:tc>
          <w:tcPr>
            <w:tcW w:w="1559" w:type="dxa"/>
            <w:vAlign w:val="center"/>
          </w:tcPr>
          <w:p w14:paraId="55CF7D95">
            <w:pPr>
              <w:adjustRightInd w:val="0"/>
              <w:jc w:val="center"/>
              <w:textAlignment w:val="baseline"/>
              <w:rPr>
                <w:kern w:val="0"/>
                <w:sz w:val="24"/>
                <w:szCs w:val="20"/>
                <w:highlight w:val="none"/>
              </w:rPr>
            </w:pPr>
            <w:r>
              <w:rPr>
                <w:kern w:val="0"/>
                <w:sz w:val="24"/>
                <w:szCs w:val="20"/>
                <w:highlight w:val="none"/>
              </w:rPr>
              <w:t>备注</w:t>
            </w:r>
          </w:p>
        </w:tc>
      </w:tr>
      <w:tr w14:paraId="6DAD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900" w:type="dxa"/>
            <w:vAlign w:val="center"/>
          </w:tcPr>
          <w:p w14:paraId="02C80F09">
            <w:pPr>
              <w:adjustRightInd w:val="0"/>
              <w:jc w:val="center"/>
              <w:textAlignment w:val="baseline"/>
              <w:rPr>
                <w:kern w:val="0"/>
                <w:sz w:val="24"/>
                <w:szCs w:val="20"/>
                <w:highlight w:val="none"/>
              </w:rPr>
            </w:pPr>
            <w:r>
              <w:rPr>
                <w:kern w:val="0"/>
                <w:sz w:val="24"/>
                <w:szCs w:val="20"/>
                <w:highlight w:val="none"/>
              </w:rPr>
              <w:t>1</w:t>
            </w:r>
          </w:p>
        </w:tc>
        <w:tc>
          <w:tcPr>
            <w:tcW w:w="4536" w:type="dxa"/>
            <w:vAlign w:val="center"/>
          </w:tcPr>
          <w:p w14:paraId="4FF58284">
            <w:pPr>
              <w:adjustRightInd w:val="0"/>
              <w:jc w:val="center"/>
              <w:textAlignment w:val="baseline"/>
              <w:rPr>
                <w:kern w:val="0"/>
                <w:sz w:val="24"/>
                <w:szCs w:val="20"/>
                <w:highlight w:val="none"/>
              </w:rPr>
            </w:pPr>
          </w:p>
        </w:tc>
        <w:tc>
          <w:tcPr>
            <w:tcW w:w="1418" w:type="dxa"/>
            <w:vAlign w:val="center"/>
          </w:tcPr>
          <w:p w14:paraId="189CEF47">
            <w:pPr>
              <w:adjustRightInd w:val="0"/>
              <w:jc w:val="center"/>
              <w:textAlignment w:val="baseline"/>
              <w:rPr>
                <w:kern w:val="0"/>
                <w:sz w:val="24"/>
                <w:szCs w:val="20"/>
                <w:highlight w:val="none"/>
              </w:rPr>
            </w:pPr>
          </w:p>
        </w:tc>
        <w:tc>
          <w:tcPr>
            <w:tcW w:w="1559" w:type="dxa"/>
            <w:vAlign w:val="center"/>
          </w:tcPr>
          <w:p w14:paraId="579441CC">
            <w:pPr>
              <w:adjustRightInd w:val="0"/>
              <w:jc w:val="center"/>
              <w:textAlignment w:val="baseline"/>
              <w:rPr>
                <w:kern w:val="0"/>
                <w:sz w:val="24"/>
                <w:szCs w:val="20"/>
                <w:highlight w:val="none"/>
              </w:rPr>
            </w:pPr>
          </w:p>
        </w:tc>
      </w:tr>
      <w:tr w14:paraId="3C2C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36" w:type="dxa"/>
            <w:gridSpan w:val="2"/>
            <w:vAlign w:val="center"/>
          </w:tcPr>
          <w:p w14:paraId="21378FB8">
            <w:pPr>
              <w:adjustRightInd w:val="0"/>
              <w:jc w:val="right"/>
              <w:textAlignment w:val="baseline"/>
              <w:rPr>
                <w:kern w:val="0"/>
                <w:sz w:val="24"/>
                <w:szCs w:val="20"/>
                <w:highlight w:val="none"/>
              </w:rPr>
            </w:pPr>
            <w:r>
              <w:rPr>
                <w:kern w:val="0"/>
                <w:sz w:val="24"/>
                <w:szCs w:val="20"/>
                <w:highlight w:val="none"/>
              </w:rPr>
              <w:t>合计（元）</w:t>
            </w:r>
          </w:p>
        </w:tc>
        <w:tc>
          <w:tcPr>
            <w:tcW w:w="1418" w:type="dxa"/>
            <w:vAlign w:val="center"/>
          </w:tcPr>
          <w:p w14:paraId="6B9156B0">
            <w:pPr>
              <w:adjustRightInd w:val="0"/>
              <w:jc w:val="center"/>
              <w:textAlignment w:val="baseline"/>
              <w:rPr>
                <w:kern w:val="0"/>
                <w:sz w:val="24"/>
                <w:szCs w:val="20"/>
                <w:highlight w:val="none"/>
              </w:rPr>
            </w:pPr>
          </w:p>
        </w:tc>
        <w:tc>
          <w:tcPr>
            <w:tcW w:w="1559" w:type="dxa"/>
            <w:vAlign w:val="center"/>
          </w:tcPr>
          <w:p w14:paraId="41B79DC4">
            <w:pPr>
              <w:adjustRightInd w:val="0"/>
              <w:jc w:val="center"/>
              <w:textAlignment w:val="baseline"/>
              <w:rPr>
                <w:kern w:val="0"/>
                <w:sz w:val="24"/>
                <w:szCs w:val="20"/>
                <w:highlight w:val="none"/>
              </w:rPr>
            </w:pPr>
          </w:p>
        </w:tc>
      </w:tr>
    </w:tbl>
    <w:p w14:paraId="0841F96E">
      <w:pPr>
        <w:tabs>
          <w:tab w:val="left" w:pos="1800"/>
          <w:tab w:val="left" w:pos="5580"/>
        </w:tabs>
        <w:jc w:val="left"/>
        <w:rPr>
          <w:rFonts w:eastAsiaTheme="minorEastAsia"/>
          <w:color w:val="000000"/>
          <w:sz w:val="24"/>
          <w:highlight w:val="none"/>
        </w:rPr>
      </w:pPr>
    </w:p>
    <w:p w14:paraId="660AB512">
      <w:pPr>
        <w:tabs>
          <w:tab w:val="left" w:pos="1800"/>
          <w:tab w:val="left" w:pos="5580"/>
        </w:tabs>
        <w:jc w:val="left"/>
        <w:rPr>
          <w:rFonts w:eastAsiaTheme="minorEastAsia"/>
          <w:color w:val="000000"/>
          <w:sz w:val="24"/>
          <w:highlight w:val="none"/>
        </w:rPr>
      </w:pPr>
    </w:p>
    <w:p w14:paraId="43D151A6">
      <w:pPr>
        <w:tabs>
          <w:tab w:val="left" w:pos="1800"/>
          <w:tab w:val="left" w:pos="5580"/>
        </w:tabs>
        <w:jc w:val="left"/>
        <w:rPr>
          <w:rFonts w:eastAsiaTheme="minorEastAsia"/>
          <w:color w:val="000000"/>
          <w:sz w:val="24"/>
          <w:highlight w:val="none"/>
        </w:rPr>
      </w:pPr>
    </w:p>
    <w:p w14:paraId="50362C8A">
      <w:pPr>
        <w:tabs>
          <w:tab w:val="left" w:pos="1800"/>
          <w:tab w:val="left" w:pos="5580"/>
        </w:tabs>
        <w:jc w:val="left"/>
        <w:rPr>
          <w:rFonts w:eastAsiaTheme="minorEastAsia"/>
          <w:color w:val="000000"/>
          <w:sz w:val="24"/>
          <w:highlight w:val="none"/>
        </w:rPr>
      </w:pPr>
      <w:r>
        <w:rPr>
          <w:rFonts w:eastAsiaTheme="minorEastAsia"/>
          <w:color w:val="000000"/>
          <w:sz w:val="24"/>
          <w:highlight w:val="none"/>
        </w:rPr>
        <w:t>注：1.本表应按包分别填写。</w:t>
      </w:r>
    </w:p>
    <w:p w14:paraId="49577ECD">
      <w:pPr>
        <w:tabs>
          <w:tab w:val="left" w:pos="1800"/>
          <w:tab w:val="left" w:pos="5580"/>
        </w:tabs>
        <w:ind w:firstLine="480" w:firstLineChars="200"/>
        <w:jc w:val="left"/>
        <w:rPr>
          <w:rFonts w:eastAsiaTheme="minorEastAsia"/>
          <w:color w:val="000000"/>
          <w:sz w:val="24"/>
          <w:highlight w:val="none"/>
        </w:rPr>
      </w:pPr>
      <w:r>
        <w:rPr>
          <w:rFonts w:eastAsiaTheme="minorEastAsia"/>
          <w:color w:val="000000"/>
          <w:sz w:val="24"/>
          <w:highlight w:val="none"/>
        </w:rPr>
        <w:t>2.上述各项的详细规格（如有），可另页描述。</w:t>
      </w:r>
    </w:p>
    <w:p w14:paraId="3CA8620E">
      <w:pPr>
        <w:tabs>
          <w:tab w:val="left" w:pos="1800"/>
          <w:tab w:val="left" w:pos="5580"/>
        </w:tabs>
        <w:ind w:firstLine="480" w:firstLineChars="200"/>
        <w:jc w:val="left"/>
        <w:rPr>
          <w:sz w:val="24"/>
          <w:highlight w:val="none"/>
        </w:rPr>
      </w:pPr>
      <w:r>
        <w:rPr>
          <w:sz w:val="24"/>
          <w:highlight w:val="none"/>
        </w:rPr>
        <w:t>3.此表无需在响应文件中提交，磋商后供应商按磋商小组要求提交。</w:t>
      </w:r>
    </w:p>
    <w:p w14:paraId="22C675ED">
      <w:pPr>
        <w:tabs>
          <w:tab w:val="left" w:pos="1800"/>
          <w:tab w:val="left" w:pos="5580"/>
        </w:tabs>
        <w:ind w:firstLine="480" w:firstLineChars="200"/>
        <w:jc w:val="left"/>
        <w:rPr>
          <w:color w:val="000000"/>
          <w:sz w:val="24"/>
          <w:highlight w:val="none"/>
        </w:rPr>
      </w:pPr>
    </w:p>
    <w:p w14:paraId="32A6B979">
      <w:pPr>
        <w:tabs>
          <w:tab w:val="left" w:pos="1800"/>
          <w:tab w:val="left" w:pos="5580"/>
        </w:tabs>
        <w:ind w:firstLine="480" w:firstLineChars="200"/>
        <w:jc w:val="left"/>
        <w:rPr>
          <w:rFonts w:eastAsiaTheme="minorEastAsia"/>
          <w:color w:val="000000"/>
          <w:sz w:val="24"/>
          <w:highlight w:val="none"/>
        </w:rPr>
      </w:pPr>
    </w:p>
    <w:p w14:paraId="41262F86">
      <w:pPr>
        <w:autoSpaceDE w:val="0"/>
        <w:autoSpaceDN w:val="0"/>
        <w:adjustRightInd w:val="0"/>
        <w:snapToGrid w:val="0"/>
        <w:spacing w:before="25" w:after="25" w:line="360" w:lineRule="auto"/>
        <w:rPr>
          <w:rFonts w:eastAsiaTheme="minorEastAsia"/>
          <w:color w:val="000000"/>
          <w:sz w:val="24"/>
          <w:highlight w:val="none"/>
          <w:lang w:val="zh-CN"/>
        </w:rPr>
      </w:pPr>
    </w:p>
    <w:p w14:paraId="70F9F5FA">
      <w:pPr>
        <w:autoSpaceDE w:val="0"/>
        <w:autoSpaceDN w:val="0"/>
        <w:adjustRightInd w:val="0"/>
        <w:snapToGrid w:val="0"/>
        <w:spacing w:before="25" w:after="25" w:line="360" w:lineRule="auto"/>
        <w:rPr>
          <w:rFonts w:eastAsiaTheme="minorEastAsia"/>
          <w:color w:val="000000"/>
          <w:sz w:val="24"/>
          <w:highlight w:val="none"/>
          <w:lang w:val="zh-CN"/>
        </w:rPr>
      </w:pPr>
      <w:r>
        <w:rPr>
          <w:rFonts w:eastAsiaTheme="minorEastAsia"/>
          <w:kern w:val="0"/>
          <w:sz w:val="24"/>
          <w:highlight w:val="none"/>
        </w:rPr>
        <w:t>供应商授权代表签字（或加盖供应商公章）</w:t>
      </w:r>
      <w:r>
        <w:rPr>
          <w:rFonts w:eastAsiaTheme="minorEastAsia"/>
          <w:color w:val="000000"/>
          <w:sz w:val="24"/>
          <w:highlight w:val="none"/>
          <w:lang w:val="zh-CN"/>
        </w:rPr>
        <w:t xml:space="preserve">：____________ </w:t>
      </w:r>
    </w:p>
    <w:p w14:paraId="0F2E6225">
      <w:pPr>
        <w:widowControl/>
        <w:jc w:val="left"/>
        <w:rPr>
          <w:rFonts w:hint="eastAsia" w:ascii="宋体" w:hAnsi="宋体" w:cstheme="minorEastAsia"/>
          <w:sz w:val="24"/>
          <w:highlight w:val="none"/>
        </w:rPr>
      </w:pPr>
      <w:r>
        <w:rPr>
          <w:rFonts w:eastAsiaTheme="minorEastAsia"/>
          <w:color w:val="000000"/>
          <w:sz w:val="24"/>
          <w:szCs w:val="20"/>
          <w:highlight w:val="none"/>
        </w:rPr>
        <w:t>日期：____年____月____日</w:t>
      </w:r>
      <w:r>
        <w:rPr>
          <w:rFonts w:hint="eastAsia" w:ascii="宋体" w:hAnsi="宋体" w:cstheme="minorEastAsia"/>
          <w:sz w:val="24"/>
          <w:highlight w:val="none"/>
        </w:rPr>
        <w:br w:type="page"/>
      </w:r>
    </w:p>
    <w:p w14:paraId="3CBCCCF6">
      <w:pPr>
        <w:tabs>
          <w:tab w:val="left" w:pos="360"/>
        </w:tabs>
        <w:snapToGrid w:val="0"/>
        <w:spacing w:line="360" w:lineRule="auto"/>
        <w:outlineLvl w:val="1"/>
        <w:rPr>
          <w:rFonts w:hint="eastAsia" w:ascii="宋体" w:hAnsi="宋体" w:cstheme="minorEastAsia"/>
          <w:sz w:val="24"/>
          <w:highlight w:val="none"/>
        </w:rPr>
      </w:pPr>
      <w:r>
        <w:rPr>
          <w:rFonts w:hint="eastAsia" w:ascii="宋体" w:hAnsi="宋体" w:cstheme="minorEastAsia"/>
          <w:sz w:val="24"/>
          <w:highlight w:val="none"/>
        </w:rPr>
        <w:t>15  最后报价构成表（如有，磋商后提交）</w:t>
      </w:r>
    </w:p>
    <w:p w14:paraId="358C6F1D">
      <w:pPr>
        <w:tabs>
          <w:tab w:val="left" w:pos="1800"/>
          <w:tab w:val="left" w:pos="5580"/>
        </w:tabs>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14-1 最终报价中分包情况说明</w:t>
      </w:r>
    </w:p>
    <w:tbl>
      <w:tblPr>
        <w:tblStyle w:val="250"/>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14:paraId="7A4C5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FF8B4D4">
            <w:pPr>
              <w:pStyle w:val="249"/>
              <w:jc w:val="center"/>
              <w:rPr>
                <w:rFonts w:hint="eastAsia" w:eastAsiaTheme="minorEastAsia" w:cstheme="minorEastAsia"/>
                <w:sz w:val="24"/>
                <w:highlight w:val="none"/>
              </w:rPr>
            </w:pPr>
            <w:r>
              <w:rPr>
                <w:rFonts w:hint="eastAsia" w:eastAsiaTheme="minorEastAsia" w:cstheme="minorEastAsia"/>
                <w:sz w:val="24"/>
                <w:highlight w:val="none"/>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14:paraId="37202AA7">
            <w:pPr>
              <w:pStyle w:val="249"/>
              <w:jc w:val="center"/>
              <w:rPr>
                <w:rFonts w:hint="eastAsia" w:eastAsiaTheme="minorEastAsia" w:cstheme="minorEastAsia"/>
                <w:sz w:val="24"/>
                <w:highlight w:val="none"/>
              </w:rPr>
            </w:pPr>
            <w:r>
              <w:rPr>
                <w:rFonts w:hint="eastAsia" w:eastAsiaTheme="minorEastAsia" w:cstheme="minorEastAsia"/>
                <w:sz w:val="24"/>
                <w:highlight w:val="none"/>
              </w:rPr>
              <w:t>分包承担主体名称</w:t>
            </w:r>
          </w:p>
        </w:tc>
        <w:tc>
          <w:tcPr>
            <w:tcW w:w="2163" w:type="dxa"/>
            <w:tcBorders>
              <w:top w:val="single" w:color="000000" w:sz="4" w:space="0"/>
              <w:left w:val="single" w:color="000000" w:sz="4" w:space="0"/>
              <w:bottom w:val="single" w:color="000000" w:sz="4" w:space="0"/>
              <w:right w:val="single" w:color="000000" w:sz="4" w:space="0"/>
            </w:tcBorders>
            <w:vAlign w:val="center"/>
          </w:tcPr>
          <w:p w14:paraId="1123C660">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分包承担主体类型</w:t>
            </w:r>
          </w:p>
          <w:p w14:paraId="4CD72599">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14:paraId="6459458B">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拟分包合同金额</w:t>
            </w:r>
          </w:p>
          <w:p w14:paraId="408E10D4">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（人民币元）</w:t>
            </w:r>
          </w:p>
        </w:tc>
      </w:tr>
      <w:tr w14:paraId="31EAF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230808DC">
            <w:pPr>
              <w:pStyle w:val="249"/>
              <w:jc w:val="center"/>
              <w:rPr>
                <w:rFonts w:hint="eastAsia" w:eastAsiaTheme="minorEastAsia" w:cstheme="minorEastAsia"/>
                <w:sz w:val="24"/>
                <w:highlight w:val="none"/>
              </w:rPr>
            </w:pPr>
            <w:r>
              <w:rPr>
                <w:rFonts w:hint="eastAsia" w:eastAsiaTheme="minorEastAsia" w:cstheme="minorEastAsia"/>
                <w:sz w:val="24"/>
                <w:highlight w:val="none"/>
              </w:rPr>
              <w:t>1</w:t>
            </w:r>
          </w:p>
        </w:tc>
        <w:tc>
          <w:tcPr>
            <w:tcW w:w="3933" w:type="dxa"/>
            <w:tcBorders>
              <w:top w:val="single" w:color="000000" w:sz="4" w:space="0"/>
              <w:left w:val="single" w:color="000000" w:sz="4" w:space="0"/>
              <w:bottom w:val="single" w:color="000000" w:sz="4" w:space="0"/>
              <w:right w:val="single" w:color="000000" w:sz="4" w:space="0"/>
            </w:tcBorders>
            <w:vAlign w:val="center"/>
          </w:tcPr>
          <w:p w14:paraId="507BEB11">
            <w:pPr>
              <w:pStyle w:val="249"/>
              <w:jc w:val="center"/>
              <w:rPr>
                <w:rFonts w:hint="eastAsia" w:eastAsiaTheme="minorEastAsia" w:cstheme="minorEastAsia"/>
                <w:sz w:val="30"/>
                <w:highlight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517ED58F">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□中型企业</w:t>
            </w:r>
          </w:p>
          <w:p w14:paraId="29529859">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□小微企业</w:t>
            </w:r>
          </w:p>
          <w:p w14:paraId="210E4760">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6DD93E65">
            <w:pPr>
              <w:pStyle w:val="249"/>
              <w:jc w:val="center"/>
              <w:rPr>
                <w:rFonts w:hint="eastAsia" w:eastAsiaTheme="minorEastAsia" w:cstheme="minorEastAsia"/>
                <w:sz w:val="30"/>
                <w:highlight w:val="none"/>
                <w:lang w:eastAsia="zh-CN"/>
              </w:rPr>
            </w:pPr>
          </w:p>
        </w:tc>
      </w:tr>
      <w:tr w14:paraId="2F663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EC6B44B">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14:paraId="0344E158">
            <w:pPr>
              <w:pStyle w:val="249"/>
              <w:jc w:val="center"/>
              <w:rPr>
                <w:rFonts w:hint="eastAsia" w:eastAsiaTheme="minorEastAsia" w:cstheme="minorEastAsia"/>
                <w:sz w:val="30"/>
                <w:highlight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080D254A">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□中型企业</w:t>
            </w:r>
          </w:p>
          <w:p w14:paraId="3B1F46C8">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□小微企业</w:t>
            </w:r>
          </w:p>
          <w:p w14:paraId="47950277">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3B0C29E4">
            <w:pPr>
              <w:pStyle w:val="249"/>
              <w:jc w:val="center"/>
              <w:rPr>
                <w:rFonts w:hint="eastAsia" w:eastAsiaTheme="minorEastAsia" w:cstheme="minorEastAsia"/>
                <w:sz w:val="30"/>
                <w:highlight w:val="none"/>
                <w:lang w:eastAsia="zh-CN"/>
              </w:rPr>
            </w:pPr>
          </w:p>
        </w:tc>
      </w:tr>
      <w:tr w14:paraId="4E83F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18736B69">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14:paraId="6B752456">
            <w:pPr>
              <w:pStyle w:val="249"/>
              <w:jc w:val="center"/>
              <w:rPr>
                <w:rFonts w:hint="eastAsia" w:eastAsiaTheme="minorEastAsia" w:cstheme="minorEastAsia"/>
                <w:sz w:val="30"/>
                <w:highlight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74EA5125">
            <w:pPr>
              <w:pStyle w:val="249"/>
              <w:tabs>
                <w:tab w:val="left" w:pos="235"/>
              </w:tabs>
              <w:jc w:val="center"/>
              <w:rPr>
                <w:rFonts w:hint="eastAsia" w:eastAsiaTheme="minorEastAsia" w:cstheme="minorEastAsia"/>
                <w:sz w:val="24"/>
                <w:highlight w:val="none"/>
              </w:rPr>
            </w:pPr>
          </w:p>
        </w:tc>
        <w:tc>
          <w:tcPr>
            <w:tcW w:w="1873" w:type="dxa"/>
            <w:tcBorders>
              <w:top w:val="single" w:color="000000" w:sz="4" w:space="0"/>
              <w:left w:val="single" w:color="000000" w:sz="4" w:space="0"/>
              <w:bottom w:val="single" w:color="000000" w:sz="4" w:space="0"/>
              <w:right w:val="single" w:color="000000" w:sz="4" w:space="0"/>
            </w:tcBorders>
            <w:vAlign w:val="center"/>
          </w:tcPr>
          <w:p w14:paraId="2DC5F6CC">
            <w:pPr>
              <w:pStyle w:val="249"/>
              <w:jc w:val="center"/>
              <w:rPr>
                <w:rFonts w:hint="eastAsia" w:eastAsiaTheme="minorEastAsia" w:cstheme="minorEastAsia"/>
                <w:sz w:val="30"/>
                <w:highlight w:val="none"/>
              </w:rPr>
            </w:pPr>
          </w:p>
        </w:tc>
      </w:tr>
      <w:tr w14:paraId="7E567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14:paraId="73466B46">
            <w:pPr>
              <w:pStyle w:val="249"/>
              <w:tabs>
                <w:tab w:val="left" w:pos="235"/>
              </w:tabs>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14:paraId="1E49DC78">
            <w:pPr>
              <w:pStyle w:val="249"/>
              <w:jc w:val="center"/>
              <w:rPr>
                <w:rFonts w:hint="eastAsia" w:eastAsiaTheme="minorEastAsia" w:cstheme="minorEastAsia"/>
                <w:sz w:val="30"/>
                <w:highlight w:val="none"/>
              </w:rPr>
            </w:pPr>
          </w:p>
        </w:tc>
      </w:tr>
    </w:tbl>
    <w:p w14:paraId="7E3D7B8D">
      <w:pPr>
        <w:tabs>
          <w:tab w:val="left" w:pos="1800"/>
          <w:tab w:val="left" w:pos="5580"/>
        </w:tabs>
        <w:jc w:val="left"/>
        <w:rPr>
          <w:rFonts w:hint="eastAsia" w:ascii="宋体" w:hAnsi="宋体" w:cstheme="minorEastAsia"/>
          <w:color w:val="000000"/>
          <w:sz w:val="24"/>
          <w:highlight w:val="none"/>
        </w:rPr>
      </w:pPr>
    </w:p>
    <w:p w14:paraId="39B6CCE9">
      <w:pPr>
        <w:tabs>
          <w:tab w:val="left" w:pos="1800"/>
          <w:tab w:val="left" w:pos="5580"/>
        </w:tabs>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14-2 联合体最终报价情况说明</w:t>
      </w:r>
    </w:p>
    <w:tbl>
      <w:tblPr>
        <w:tblStyle w:val="250"/>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14:paraId="5BA1C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76AC9F8">
            <w:pPr>
              <w:pStyle w:val="249"/>
              <w:jc w:val="center"/>
              <w:rPr>
                <w:rFonts w:hint="eastAsia" w:eastAsiaTheme="minorEastAsia" w:cstheme="minorEastAsia"/>
                <w:sz w:val="24"/>
                <w:highlight w:val="none"/>
              </w:rPr>
            </w:pPr>
            <w:r>
              <w:rPr>
                <w:rFonts w:hint="eastAsia" w:eastAsiaTheme="minorEastAsia" w:cstheme="minorEastAsia"/>
                <w:sz w:val="24"/>
                <w:highlight w:val="none"/>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14:paraId="78849AA2">
            <w:pPr>
              <w:pStyle w:val="249"/>
              <w:jc w:val="center"/>
              <w:rPr>
                <w:rFonts w:hint="eastAsia" w:eastAsiaTheme="minorEastAsia" w:cstheme="minorEastAsia"/>
                <w:sz w:val="24"/>
                <w:highlight w:val="none"/>
              </w:rPr>
            </w:pPr>
            <w:r>
              <w:rPr>
                <w:rFonts w:hint="eastAsia" w:eastAsiaTheme="minorEastAsia" w:cstheme="minorEastAsia"/>
                <w:sz w:val="24"/>
                <w:highlight w:val="none"/>
                <w:lang w:eastAsia="zh-CN"/>
              </w:rPr>
              <w:t>联合体成员</w:t>
            </w:r>
            <w:r>
              <w:rPr>
                <w:rFonts w:hint="eastAsia" w:eastAsiaTheme="minorEastAsia" w:cstheme="minorEastAsia"/>
                <w:sz w:val="24"/>
                <w:highlight w:val="none"/>
              </w:rPr>
              <w:t>名称</w:t>
            </w:r>
          </w:p>
        </w:tc>
        <w:tc>
          <w:tcPr>
            <w:tcW w:w="2163" w:type="dxa"/>
            <w:tcBorders>
              <w:top w:val="single" w:color="000000" w:sz="4" w:space="0"/>
              <w:left w:val="single" w:color="000000" w:sz="4" w:space="0"/>
              <w:bottom w:val="single" w:color="000000" w:sz="4" w:space="0"/>
              <w:right w:val="single" w:color="000000" w:sz="4" w:space="0"/>
            </w:tcBorders>
            <w:vAlign w:val="center"/>
          </w:tcPr>
          <w:p w14:paraId="5120522B">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联合体成员类型</w:t>
            </w:r>
          </w:p>
          <w:p w14:paraId="4890E00F">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14:paraId="54271148">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合同金额</w:t>
            </w:r>
          </w:p>
          <w:p w14:paraId="2BE18307">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（人民币元）</w:t>
            </w:r>
          </w:p>
        </w:tc>
      </w:tr>
      <w:tr w14:paraId="07EE6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764DDF7">
            <w:pPr>
              <w:pStyle w:val="249"/>
              <w:jc w:val="center"/>
              <w:rPr>
                <w:rFonts w:hint="eastAsia" w:eastAsiaTheme="minorEastAsia" w:cstheme="minorEastAsia"/>
                <w:sz w:val="24"/>
                <w:highlight w:val="none"/>
              </w:rPr>
            </w:pPr>
            <w:r>
              <w:rPr>
                <w:rFonts w:hint="eastAsia" w:eastAsiaTheme="minorEastAsia" w:cstheme="minorEastAsia"/>
                <w:sz w:val="24"/>
                <w:highlight w:val="none"/>
              </w:rPr>
              <w:t>1</w:t>
            </w:r>
          </w:p>
        </w:tc>
        <w:tc>
          <w:tcPr>
            <w:tcW w:w="3933" w:type="dxa"/>
            <w:tcBorders>
              <w:top w:val="single" w:color="000000" w:sz="4" w:space="0"/>
              <w:left w:val="single" w:color="000000" w:sz="4" w:space="0"/>
              <w:bottom w:val="single" w:color="000000" w:sz="4" w:space="0"/>
              <w:right w:val="single" w:color="000000" w:sz="4" w:space="0"/>
            </w:tcBorders>
            <w:vAlign w:val="center"/>
          </w:tcPr>
          <w:p w14:paraId="25AF2B07">
            <w:pPr>
              <w:pStyle w:val="249"/>
              <w:jc w:val="center"/>
              <w:rPr>
                <w:rFonts w:hint="eastAsia" w:eastAsiaTheme="minorEastAsia" w:cstheme="minorEastAsia"/>
                <w:sz w:val="30"/>
                <w:highlight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417E6E08">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□中型企业</w:t>
            </w:r>
          </w:p>
          <w:p w14:paraId="4DE13C77">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□小微企业</w:t>
            </w:r>
          </w:p>
          <w:p w14:paraId="4BBC3D5A">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2D872F85">
            <w:pPr>
              <w:pStyle w:val="249"/>
              <w:jc w:val="center"/>
              <w:rPr>
                <w:rFonts w:hint="eastAsia" w:eastAsiaTheme="minorEastAsia" w:cstheme="minorEastAsia"/>
                <w:sz w:val="30"/>
                <w:highlight w:val="none"/>
                <w:lang w:eastAsia="zh-CN"/>
              </w:rPr>
            </w:pPr>
          </w:p>
        </w:tc>
      </w:tr>
      <w:tr w14:paraId="64260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DB8D320">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14:paraId="6E7AABB4">
            <w:pPr>
              <w:pStyle w:val="249"/>
              <w:jc w:val="center"/>
              <w:rPr>
                <w:rFonts w:hint="eastAsia" w:eastAsiaTheme="minorEastAsia" w:cstheme="minorEastAsia"/>
                <w:sz w:val="30"/>
                <w:highlight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172C78CB">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□中型企业</w:t>
            </w:r>
          </w:p>
          <w:p w14:paraId="44D85A16">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□小微企业</w:t>
            </w:r>
          </w:p>
          <w:p w14:paraId="69C9B3FC">
            <w:pPr>
              <w:pStyle w:val="249"/>
              <w:tabs>
                <w:tab w:val="left" w:pos="235"/>
              </w:tabs>
              <w:ind w:left="1" w:leftChars="-43" w:hanging="91" w:hangingChars="38"/>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59895F61">
            <w:pPr>
              <w:pStyle w:val="249"/>
              <w:jc w:val="center"/>
              <w:rPr>
                <w:rFonts w:hint="eastAsia" w:eastAsiaTheme="minorEastAsia" w:cstheme="minorEastAsia"/>
                <w:sz w:val="30"/>
                <w:highlight w:val="none"/>
                <w:lang w:eastAsia="zh-CN"/>
              </w:rPr>
            </w:pPr>
          </w:p>
        </w:tc>
      </w:tr>
      <w:tr w14:paraId="23FDB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5D21985">
            <w:pPr>
              <w:pStyle w:val="249"/>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14:paraId="24065A94">
            <w:pPr>
              <w:pStyle w:val="249"/>
              <w:jc w:val="center"/>
              <w:rPr>
                <w:rFonts w:hint="eastAsia" w:eastAsiaTheme="minorEastAsia" w:cstheme="minorEastAsia"/>
                <w:sz w:val="30"/>
                <w:highlight w:val="none"/>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73BCC08F">
            <w:pPr>
              <w:pStyle w:val="249"/>
              <w:tabs>
                <w:tab w:val="left" w:pos="235"/>
              </w:tabs>
              <w:jc w:val="center"/>
              <w:rPr>
                <w:rFonts w:hint="eastAsia" w:eastAsiaTheme="minorEastAsia" w:cstheme="minorEastAsia"/>
                <w:sz w:val="24"/>
                <w:highlight w:val="none"/>
              </w:rPr>
            </w:pPr>
          </w:p>
        </w:tc>
        <w:tc>
          <w:tcPr>
            <w:tcW w:w="1873" w:type="dxa"/>
            <w:tcBorders>
              <w:top w:val="single" w:color="000000" w:sz="4" w:space="0"/>
              <w:left w:val="single" w:color="000000" w:sz="4" w:space="0"/>
              <w:bottom w:val="single" w:color="000000" w:sz="4" w:space="0"/>
              <w:right w:val="single" w:color="000000" w:sz="4" w:space="0"/>
            </w:tcBorders>
            <w:vAlign w:val="center"/>
          </w:tcPr>
          <w:p w14:paraId="3A5B8778">
            <w:pPr>
              <w:pStyle w:val="249"/>
              <w:jc w:val="center"/>
              <w:rPr>
                <w:rFonts w:hint="eastAsia" w:eastAsiaTheme="minorEastAsia" w:cstheme="minorEastAsia"/>
                <w:sz w:val="30"/>
                <w:highlight w:val="none"/>
              </w:rPr>
            </w:pPr>
          </w:p>
        </w:tc>
      </w:tr>
      <w:tr w14:paraId="2B65C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14:paraId="32BEE137">
            <w:pPr>
              <w:pStyle w:val="249"/>
              <w:tabs>
                <w:tab w:val="left" w:pos="235"/>
              </w:tabs>
              <w:jc w:val="center"/>
              <w:rPr>
                <w:rFonts w:hint="eastAsia" w:eastAsiaTheme="minorEastAsia" w:cstheme="minorEastAsia"/>
                <w:sz w:val="24"/>
                <w:highlight w:val="none"/>
                <w:lang w:eastAsia="zh-CN"/>
              </w:rPr>
            </w:pPr>
            <w:r>
              <w:rPr>
                <w:rFonts w:hint="eastAsia" w:eastAsiaTheme="minorEastAsia" w:cstheme="minorEastAsia"/>
                <w:sz w:val="24"/>
                <w:highlight w:val="none"/>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14:paraId="58EA61C8">
            <w:pPr>
              <w:pStyle w:val="249"/>
              <w:jc w:val="center"/>
              <w:rPr>
                <w:rFonts w:hint="eastAsia" w:eastAsiaTheme="minorEastAsia" w:cstheme="minorEastAsia"/>
                <w:sz w:val="30"/>
                <w:highlight w:val="none"/>
              </w:rPr>
            </w:pPr>
          </w:p>
        </w:tc>
      </w:tr>
    </w:tbl>
    <w:p w14:paraId="53DFB1D5">
      <w:pPr>
        <w:tabs>
          <w:tab w:val="left" w:pos="1800"/>
          <w:tab w:val="left" w:pos="5580"/>
        </w:tabs>
        <w:jc w:val="left"/>
        <w:rPr>
          <w:rFonts w:hint="eastAsia" w:ascii="宋体" w:hAnsi="宋体" w:cstheme="minorEastAsia"/>
          <w:color w:val="000000"/>
          <w:sz w:val="24"/>
          <w:highlight w:val="none"/>
        </w:rPr>
      </w:pPr>
    </w:p>
    <w:p w14:paraId="66E51356">
      <w:pPr>
        <w:tabs>
          <w:tab w:val="left" w:pos="1800"/>
          <w:tab w:val="left" w:pos="5580"/>
        </w:tabs>
        <w:jc w:val="left"/>
        <w:rPr>
          <w:rFonts w:hint="eastAsia" w:ascii="宋体" w:hAnsi="宋体" w:cstheme="minorEastAsia"/>
          <w:color w:val="000000"/>
          <w:sz w:val="24"/>
          <w:highlight w:val="none"/>
        </w:rPr>
      </w:pPr>
    </w:p>
    <w:p w14:paraId="1AEB14FC">
      <w:pPr>
        <w:tabs>
          <w:tab w:val="left" w:pos="1800"/>
          <w:tab w:val="left" w:pos="5580"/>
        </w:tabs>
        <w:jc w:val="left"/>
        <w:rPr>
          <w:rFonts w:hint="eastAsia" w:ascii="宋体" w:hAnsi="宋体" w:cstheme="minorEastAsia"/>
          <w:sz w:val="24"/>
          <w:highlight w:val="none"/>
        </w:rPr>
      </w:pPr>
      <w:r>
        <w:rPr>
          <w:rFonts w:hint="eastAsia" w:ascii="宋体" w:hAnsi="宋体" w:cstheme="minorEastAsia"/>
          <w:color w:val="000000"/>
          <w:sz w:val="24"/>
          <w:highlight w:val="none"/>
        </w:rPr>
        <w:t xml:space="preserve">注： </w:t>
      </w:r>
    </w:p>
    <w:p w14:paraId="5067509E">
      <w:pPr>
        <w:tabs>
          <w:tab w:val="left" w:pos="1800"/>
          <w:tab w:val="left" w:pos="5580"/>
        </w:tabs>
        <w:jc w:val="left"/>
        <w:rPr>
          <w:rFonts w:hint="eastAsia" w:ascii="宋体" w:hAnsi="宋体" w:cstheme="minorEastAsia"/>
          <w:color w:val="000000"/>
          <w:sz w:val="24"/>
          <w:highlight w:val="none"/>
        </w:rPr>
      </w:pPr>
      <w:r>
        <w:rPr>
          <w:rFonts w:hint="eastAsia" w:ascii="宋体" w:hAnsi="宋体" w:cstheme="minorEastAsia"/>
          <w:sz w:val="24"/>
          <w:highlight w:val="none"/>
        </w:rPr>
        <w:t xml:space="preserve">1. </w:t>
      </w:r>
      <w:bookmarkStart w:id="1913" w:name="_Hlk176775226"/>
      <w:r>
        <w:rPr>
          <w:rFonts w:hint="eastAsia" w:ascii="宋体" w:hAnsi="宋体" w:cstheme="minorEastAsia"/>
          <w:sz w:val="24"/>
          <w:highlight w:val="none"/>
        </w:rPr>
        <w:t>如供应商为联合体或拟进行合同分包，则必须选择一种表格填报，否则</w:t>
      </w:r>
      <w:r>
        <w:rPr>
          <w:rFonts w:hint="eastAsia" w:ascii="宋体" w:hAnsi="宋体" w:cstheme="minorEastAsia"/>
          <w:b/>
          <w:bCs/>
          <w:sz w:val="24"/>
          <w:highlight w:val="none"/>
        </w:rPr>
        <w:t>响应无效</w:t>
      </w:r>
      <w:bookmarkEnd w:id="1913"/>
      <w:r>
        <w:rPr>
          <w:rFonts w:hint="eastAsia" w:ascii="宋体" w:hAnsi="宋体" w:cstheme="minorEastAsia"/>
          <w:sz w:val="24"/>
          <w:highlight w:val="none"/>
        </w:rPr>
        <w:t>。</w:t>
      </w:r>
    </w:p>
    <w:p w14:paraId="1821D9AF">
      <w:pPr>
        <w:tabs>
          <w:tab w:val="left" w:pos="1800"/>
          <w:tab w:val="left" w:pos="5580"/>
        </w:tabs>
        <w:ind w:firstLine="480" w:firstLineChars="200"/>
        <w:jc w:val="left"/>
        <w:rPr>
          <w:rFonts w:hint="eastAsia" w:ascii="宋体" w:hAnsi="宋体" w:cstheme="minorEastAsia"/>
          <w:color w:val="000000"/>
          <w:sz w:val="24"/>
          <w:highlight w:val="none"/>
        </w:rPr>
      </w:pPr>
      <w:r>
        <w:rPr>
          <w:rFonts w:hint="eastAsia" w:ascii="宋体" w:hAnsi="宋体" w:cstheme="minorEastAsia"/>
          <w:color w:val="000000"/>
          <w:sz w:val="24"/>
          <w:highlight w:val="none"/>
        </w:rPr>
        <w:t>2.本表应按包分别填写。</w:t>
      </w:r>
    </w:p>
    <w:p w14:paraId="6A3AB171">
      <w:pPr>
        <w:tabs>
          <w:tab w:val="left" w:pos="1800"/>
          <w:tab w:val="left" w:pos="5580"/>
        </w:tabs>
        <w:ind w:firstLine="480" w:firstLineChars="200"/>
        <w:jc w:val="left"/>
        <w:rPr>
          <w:rFonts w:hint="eastAsia" w:ascii="宋体" w:hAnsi="宋体" w:cstheme="minorEastAsia"/>
          <w:sz w:val="24"/>
          <w:highlight w:val="none"/>
        </w:rPr>
      </w:pPr>
      <w:r>
        <w:rPr>
          <w:rFonts w:hint="eastAsia" w:ascii="宋体" w:hAnsi="宋体" w:cstheme="minorEastAsia"/>
          <w:color w:val="000000"/>
          <w:sz w:val="24"/>
          <w:highlight w:val="none"/>
        </w:rPr>
        <w:t>3</w:t>
      </w:r>
      <w:r>
        <w:rPr>
          <w:rFonts w:hint="eastAsia" w:ascii="宋体" w:hAnsi="宋体" w:cstheme="minorEastAsia"/>
          <w:sz w:val="24"/>
          <w:highlight w:val="none"/>
        </w:rPr>
        <w:t>.此表无需在响应文件中提交，磋商后供应商按磋商小组要求提交。</w:t>
      </w:r>
    </w:p>
    <w:p w14:paraId="16435242">
      <w:pPr>
        <w:tabs>
          <w:tab w:val="left" w:pos="1800"/>
          <w:tab w:val="left" w:pos="5580"/>
        </w:tabs>
        <w:jc w:val="left"/>
        <w:rPr>
          <w:rFonts w:hint="eastAsia" w:ascii="宋体" w:hAnsi="宋体" w:cstheme="minorEastAsia"/>
          <w:color w:val="000000"/>
          <w:sz w:val="24"/>
          <w:highlight w:val="none"/>
        </w:rPr>
      </w:pPr>
    </w:p>
    <w:p w14:paraId="38775A3E">
      <w:pPr>
        <w:autoSpaceDE w:val="0"/>
        <w:autoSpaceDN w:val="0"/>
        <w:adjustRightInd w:val="0"/>
        <w:snapToGrid w:val="0"/>
        <w:spacing w:before="25" w:after="25" w:line="360" w:lineRule="auto"/>
        <w:rPr>
          <w:rFonts w:hint="eastAsia" w:ascii="宋体" w:hAnsi="宋体" w:cstheme="minorEastAsia"/>
          <w:color w:val="000000"/>
          <w:sz w:val="24"/>
          <w:highlight w:val="none"/>
          <w:lang w:val="zh-CN"/>
        </w:rPr>
      </w:pPr>
      <w:r>
        <w:rPr>
          <w:rFonts w:hint="eastAsia" w:ascii="宋体" w:hAnsi="宋体" w:cstheme="minorEastAsia"/>
          <w:kern w:val="0"/>
          <w:sz w:val="24"/>
          <w:highlight w:val="none"/>
        </w:rPr>
        <w:t>供应商授权代表签字（或加盖供应商公章）</w:t>
      </w:r>
      <w:r>
        <w:rPr>
          <w:rFonts w:hint="eastAsia" w:ascii="宋体" w:hAnsi="宋体" w:cstheme="minorEastAsia"/>
          <w:color w:val="000000"/>
          <w:sz w:val="24"/>
          <w:highlight w:val="none"/>
          <w:lang w:val="zh-CN"/>
        </w:rPr>
        <w:t xml:space="preserve">：____________ </w:t>
      </w:r>
    </w:p>
    <w:p w14:paraId="41E6286F">
      <w:pPr>
        <w:autoSpaceDE w:val="0"/>
        <w:autoSpaceDN w:val="0"/>
        <w:adjustRightInd w:val="0"/>
        <w:snapToGrid w:val="0"/>
        <w:spacing w:before="25" w:after="25" w:line="360" w:lineRule="auto"/>
        <w:rPr>
          <w:rFonts w:hint="eastAsia" w:ascii="宋体" w:hAnsi="宋体" w:cstheme="minorEastAsia"/>
          <w:color w:val="000000"/>
          <w:sz w:val="24"/>
          <w:highlight w:val="none"/>
        </w:rPr>
      </w:pPr>
      <w:r>
        <w:rPr>
          <w:rFonts w:hint="eastAsia" w:ascii="宋体" w:hAnsi="宋体" w:cstheme="minorEastAsia"/>
          <w:color w:val="000000"/>
          <w:sz w:val="24"/>
          <w:szCs w:val="20"/>
          <w:highlight w:val="none"/>
        </w:rPr>
        <w:t xml:space="preserve">日期：____年____月____日   </w:t>
      </w:r>
    </w:p>
    <w:p w14:paraId="2E2C9D4B">
      <w:pPr>
        <w:tabs>
          <w:tab w:val="left" w:pos="1800"/>
          <w:tab w:val="left" w:pos="5580"/>
        </w:tabs>
        <w:jc w:val="left"/>
        <w:rPr>
          <w:rFonts w:hint="eastAsia" w:ascii="宋体" w:hAnsi="宋体" w:cstheme="minorEastAsia"/>
          <w:color w:val="000000"/>
          <w:sz w:val="24"/>
          <w:highlight w:val="none"/>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宋体"/>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62051">
    <w:pPr>
      <w:pStyle w:val="29"/>
      <w:jc w:val="center"/>
      <w:rPr>
        <w:rFonts w:ascii="Times New Roma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9665"/>
    </w:sdtPr>
    <w:sdtContent>
      <w:p w14:paraId="7E20D2D8">
        <w:pPr>
          <w:pStyle w:val="29"/>
          <w:jc w:val="center"/>
        </w:pPr>
        <w:r>
          <w:fldChar w:fldCharType="begin"/>
        </w:r>
        <w:r>
          <w:instrText xml:space="preserve">PAGE   \* MERGEFORMAT</w:instrText>
        </w:r>
        <w:r>
          <w:fldChar w:fldCharType="separate"/>
        </w:r>
        <w:r>
          <w:rPr>
            <w:lang w:val="zh-CN"/>
          </w:rPr>
          <w:t>115</w:t>
        </w:r>
        <w:r>
          <w:fldChar w:fldCharType="end"/>
        </w:r>
      </w:p>
    </w:sdtContent>
  </w:sdt>
  <w:p w14:paraId="65260DEA"/>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9976"/>
    </w:sdtPr>
    <w:sdtContent>
      <w:p w14:paraId="664C0437">
        <w:pPr>
          <w:pStyle w:val="29"/>
          <w:jc w:val="center"/>
        </w:pPr>
        <w:r>
          <w:fldChar w:fldCharType="begin"/>
        </w:r>
        <w:r>
          <w:instrText xml:space="preserve">PAGE   \* MERGEFORMAT</w:instrText>
        </w:r>
        <w:r>
          <w:fldChar w:fldCharType="separate"/>
        </w:r>
        <w:r>
          <w:rPr>
            <w:lang w:val="zh-CN"/>
          </w:rPr>
          <w:t>118</w:t>
        </w:r>
        <w:r>
          <w:fldChar w:fldCharType="end"/>
        </w:r>
      </w:p>
    </w:sdtContent>
  </w:sdt>
  <w:p w14:paraId="7D325126">
    <w:pPr>
      <w:pStyle w:val="29"/>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5245524"/>
    </w:sdtPr>
    <w:sdtContent>
      <w:p w14:paraId="4E38AFCE">
        <w:pPr>
          <w:pStyle w:val="29"/>
          <w:jc w:val="center"/>
        </w:pPr>
        <w:r>
          <w:fldChar w:fldCharType="begin"/>
        </w:r>
        <w:r>
          <w:instrText xml:space="preserve">PAGE   \* MERGEFORMAT</w:instrText>
        </w:r>
        <w:r>
          <w:fldChar w:fldCharType="separate"/>
        </w:r>
        <w:r>
          <w:rPr>
            <w:lang w:val="zh-CN"/>
          </w:rPr>
          <w:t>145</w:t>
        </w:r>
        <w:r>
          <w:fldChar w:fldCharType="end"/>
        </w:r>
      </w:p>
    </w:sdtContent>
  </w:sdt>
  <w:p w14:paraId="6FBD454E">
    <w:pPr>
      <w:pStyle w:val="2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EA2DC">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1D238C4B">
    <w:pPr>
      <w:pStyle w:val="29"/>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6CBF8">
    <w:pPr>
      <w:pStyle w:val="29"/>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2229">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54A62387">
    <w:pPr>
      <w:pStyle w:val="29"/>
      <w:ind w:right="360"/>
    </w:pPr>
  </w:p>
  <w:p w14:paraId="49698F89"/>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44575">
    <w:pPr>
      <w:pStyle w:val="29"/>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C6339">
    <w:pPr>
      <w:pStyle w:val="29"/>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14:paraId="69FBC122">
    <w:pPr>
      <w:pStyle w:val="29"/>
      <w:ind w:right="360"/>
    </w:pPr>
  </w:p>
  <w:p w14:paraId="234DB71B"/>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F1819">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E85EA">
    <w:pPr>
      <w:pStyle w:val="29"/>
      <w:framePr w:wrap="around" w:vAnchor="text" w:hAnchor="margin" w:xAlign="center" w:y="1"/>
      <w:rPr>
        <w:rStyle w:val="49"/>
      </w:rPr>
    </w:pPr>
    <w:r>
      <w:fldChar w:fldCharType="begin"/>
    </w:r>
    <w:r>
      <w:rPr>
        <w:rStyle w:val="49"/>
      </w:rPr>
      <w:instrText xml:space="preserve">PAGE  </w:instrText>
    </w:r>
    <w:r>
      <w:fldChar w:fldCharType="end"/>
    </w:r>
  </w:p>
  <w:p w14:paraId="39194EDA">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BAC50">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740931"/>
    </w:sdtPr>
    <w:sdtEndPr>
      <w:rPr>
        <w:rFonts w:ascii="Times New Roman"/>
      </w:rPr>
    </w:sdtEndPr>
    <w:sdtContent>
      <w:p w14:paraId="60EF3A5C">
        <w:pPr>
          <w:pStyle w:val="29"/>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8</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8440998"/>
    </w:sdtPr>
    <w:sdtContent>
      <w:p w14:paraId="3BFE7D09">
        <w:pPr>
          <w:pStyle w:val="29"/>
          <w:jc w:val="center"/>
        </w:pPr>
        <w:r>
          <w:fldChar w:fldCharType="begin"/>
        </w:r>
        <w:r>
          <w:instrText xml:space="preserve">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B4A9C">
    <w:pPr>
      <w:pStyle w:val="29"/>
      <w:jc w:val="center"/>
    </w:pPr>
    <w:r>
      <w:fldChar w:fldCharType="begin"/>
    </w:r>
    <w:r>
      <w:instrText xml:space="preserve">PAGE   \* MERGEFORMAT</w:instrText>
    </w:r>
    <w:r>
      <w:fldChar w:fldCharType="separate"/>
    </w:r>
    <w:r>
      <w:rPr>
        <w:lang w:val="zh-CN"/>
      </w:rPr>
      <w:t>18</w:t>
    </w:r>
    <w:r>
      <w:fldChar w:fldCharType="end"/>
    </w:r>
  </w:p>
  <w:p w14:paraId="5062299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BA102">
    <w:pPr>
      <w:pStyle w:val="29"/>
      <w:jc w:val="center"/>
    </w:pPr>
    <w:r>
      <w:fldChar w:fldCharType="begin"/>
    </w:r>
    <w:r>
      <w:instrText xml:space="preserve">PAGE   \* MERGEFORMAT</w:instrText>
    </w:r>
    <w:r>
      <w:fldChar w:fldCharType="separate"/>
    </w:r>
    <w:r>
      <w:rPr>
        <w:lang w:val="zh-CN"/>
      </w:rPr>
      <w:t>112</w:t>
    </w:r>
    <w:r>
      <w:fldChar w:fldCharType="end"/>
    </w:r>
  </w:p>
  <w:p w14:paraId="78DE79B3">
    <w:pPr>
      <w:pStyle w:val="2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A2AB9"/>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4286"/>
    </w:sdtPr>
    <w:sdtContent>
      <w:p w14:paraId="1C2BDDC0">
        <w:pPr>
          <w:pStyle w:val="29"/>
          <w:jc w:val="center"/>
        </w:pPr>
        <w:r>
          <w:fldChar w:fldCharType="begin"/>
        </w:r>
        <w:r>
          <w:instrText xml:space="preserve">PAGE   \* MERGEFORMAT</w:instrText>
        </w:r>
        <w:r>
          <w:fldChar w:fldCharType="separate"/>
        </w:r>
        <w:r>
          <w:rPr>
            <w:lang w:val="zh-CN"/>
          </w:rPr>
          <w:t>114</w:t>
        </w:r>
        <w:r>
          <w:fldChar w:fldCharType="end"/>
        </w:r>
      </w:p>
    </w:sdtContent>
  </w:sdt>
  <w:p w14:paraId="0528898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A26C3">
    <w:pPr>
      <w:pStyle w:val="30"/>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B6238">
    <w:pPr>
      <w:pStyle w:val="3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DC8AB">
    <w:pPr>
      <w:pStyle w:val="3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CBE73">
    <w:pPr>
      <w:pStyle w:val="30"/>
    </w:pPr>
  </w:p>
  <w:p w14:paraId="0E358F24"/>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4EC84">
    <w:pPr>
      <w:pStyle w:val="3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DE9FF">
    <w:pPr>
      <w:pStyle w:val="30"/>
    </w:pPr>
  </w:p>
  <w:p w14:paraId="0568109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59CEE">
    <w:pPr>
      <w:pStyle w:val="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43F08">
    <w:pPr>
      <w:pStyle w:val="30"/>
      <w:jc w:val="right"/>
    </w:pPr>
    <w:r>
      <w:rPr>
        <w:rFonts w:hint="eastAsia"/>
      </w:rPr>
      <w:t xml:space="preserve">北京市政府采购项目竞争性磋商文件示范文本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18B7">
    <w:pPr>
      <w:pStyle w:val="30"/>
      <w:pBdr>
        <w:bottom w:val="single" w:color="auto" w:sz="4" w:space="1"/>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BB06B">
    <w:pPr>
      <w:pStyle w:val="3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C45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D189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93F31"/>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C5E00">
    <w:pPr>
      <w:pStyle w:val="30"/>
      <w:pBdr>
        <w:bottom w:val="none" w:color="auto" w:sz="0" w:space="1"/>
      </w:pBdr>
      <w:jc w:val="both"/>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0AA3C">
    <w:pPr>
      <w:pStyle w:val="3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9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5"/>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193"/>
      <w:lvlText w:val="%1"/>
      <w:lvlJc w:val="left"/>
      <w:pPr>
        <w:ind w:left="680" w:hanging="680"/>
      </w:pPr>
      <w:rPr>
        <w:rFonts w:hint="eastAsia" w:ascii="宋体" w:hAnsi="宋体" w:eastAsia="宋体"/>
      </w:rPr>
    </w:lvl>
    <w:lvl w:ilvl="1" w:tentative="0">
      <w:start w:val="1"/>
      <w:numFmt w:val="decimal"/>
      <w:pStyle w:val="194"/>
      <w:lvlText w:val="%1.%2"/>
      <w:lvlJc w:val="left"/>
      <w:pPr>
        <w:ind w:left="851" w:hanging="851"/>
      </w:pPr>
      <w:rPr>
        <w:rFonts w:hint="eastAsia" w:ascii="宋体" w:hAnsi="宋体" w:eastAsia="宋体"/>
        <w:color w:val="auto"/>
      </w:rPr>
    </w:lvl>
    <w:lvl w:ilvl="2" w:tentative="0">
      <w:start w:val="1"/>
      <w:numFmt w:val="decimal"/>
      <w:pStyle w:val="195"/>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0F6E282C"/>
    <w:multiLevelType w:val="multilevel"/>
    <w:tmpl w:val="0F6E282C"/>
    <w:lvl w:ilvl="0" w:tentative="0">
      <w:start w:val="1"/>
      <w:numFmt w:val="japaneseCounting"/>
      <w:lvlText w:val="第%1条"/>
      <w:lvlJc w:val="left"/>
      <w:pPr>
        <w:ind w:left="855" w:hanging="85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1">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A335866"/>
    <w:multiLevelType w:val="multilevel"/>
    <w:tmpl w:val="1A335866"/>
    <w:lvl w:ilvl="0" w:tentative="0">
      <w:start w:val="25"/>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5">
    <w:nsid w:val="7BD91581"/>
    <w:multiLevelType w:val="multilevel"/>
    <w:tmpl w:val="7BD91581"/>
    <w:lvl w:ilvl="0" w:tentative="0">
      <w:start w:val="1"/>
      <w:numFmt w:val="bullet"/>
      <w:lvlText w:val=""/>
      <w:lvlJc w:val="left"/>
      <w:pPr>
        <w:ind w:left="786" w:hanging="360"/>
      </w:pPr>
      <w:rPr>
        <w:rFonts w:hint="default" w:ascii="Cambria" w:hAnsi="Cambria"/>
      </w:rPr>
    </w:lvl>
    <w:lvl w:ilvl="1" w:tentative="0">
      <w:start w:val="1"/>
      <w:numFmt w:val="bullet"/>
      <w:lvlText w:val=""/>
      <w:lvlJc w:val="left"/>
      <w:pPr>
        <w:ind w:left="1266" w:hanging="420"/>
      </w:pPr>
      <w:rPr>
        <w:rFonts w:hint="default" w:ascii="Cambria" w:hAnsi="Cambria"/>
      </w:rPr>
    </w:lvl>
    <w:lvl w:ilvl="2" w:tentative="0">
      <w:start w:val="1"/>
      <w:numFmt w:val="bullet"/>
      <w:lvlText w:val=""/>
      <w:lvlJc w:val="left"/>
      <w:pPr>
        <w:ind w:left="1686" w:hanging="420"/>
      </w:pPr>
      <w:rPr>
        <w:rFonts w:hint="default" w:ascii="Cambria" w:hAnsi="Cambria"/>
      </w:rPr>
    </w:lvl>
    <w:lvl w:ilvl="3" w:tentative="0">
      <w:start w:val="1"/>
      <w:numFmt w:val="bullet"/>
      <w:lvlText w:val=""/>
      <w:lvlJc w:val="left"/>
      <w:pPr>
        <w:ind w:left="2106" w:hanging="420"/>
      </w:pPr>
      <w:rPr>
        <w:rFonts w:hint="default" w:ascii="Cambria" w:hAnsi="Cambria"/>
      </w:rPr>
    </w:lvl>
    <w:lvl w:ilvl="4" w:tentative="0">
      <w:start w:val="1"/>
      <w:numFmt w:val="bullet"/>
      <w:lvlText w:val=""/>
      <w:lvlJc w:val="left"/>
      <w:pPr>
        <w:ind w:left="2526" w:hanging="420"/>
      </w:pPr>
      <w:rPr>
        <w:rFonts w:hint="default" w:ascii="Cambria" w:hAnsi="Cambria"/>
      </w:rPr>
    </w:lvl>
    <w:lvl w:ilvl="5" w:tentative="0">
      <w:start w:val="1"/>
      <w:numFmt w:val="bullet"/>
      <w:lvlText w:val=""/>
      <w:lvlJc w:val="left"/>
      <w:pPr>
        <w:ind w:left="2946" w:hanging="420"/>
      </w:pPr>
      <w:rPr>
        <w:rFonts w:hint="default" w:ascii="Cambria" w:hAnsi="Cambria"/>
      </w:rPr>
    </w:lvl>
    <w:lvl w:ilvl="6" w:tentative="0">
      <w:start w:val="1"/>
      <w:numFmt w:val="bullet"/>
      <w:lvlText w:val=""/>
      <w:lvlJc w:val="left"/>
      <w:pPr>
        <w:ind w:left="3366" w:hanging="420"/>
      </w:pPr>
      <w:rPr>
        <w:rFonts w:hint="default" w:ascii="Cambria" w:hAnsi="Cambria"/>
      </w:rPr>
    </w:lvl>
    <w:lvl w:ilvl="7" w:tentative="0">
      <w:start w:val="1"/>
      <w:numFmt w:val="bullet"/>
      <w:lvlText w:val=""/>
      <w:lvlJc w:val="left"/>
      <w:pPr>
        <w:ind w:left="3786" w:hanging="420"/>
      </w:pPr>
      <w:rPr>
        <w:rFonts w:hint="default" w:ascii="Cambria" w:hAnsi="Cambria"/>
      </w:rPr>
    </w:lvl>
    <w:lvl w:ilvl="8" w:tentative="0">
      <w:start w:val="1"/>
      <w:numFmt w:val="bullet"/>
      <w:lvlText w:val=""/>
      <w:lvlJc w:val="left"/>
      <w:pPr>
        <w:ind w:left="4206" w:hanging="420"/>
      </w:pPr>
      <w:rPr>
        <w:rFonts w:hint="default" w:ascii="Cambria" w:hAnsi="Cambr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6"/>
  </w:num>
  <w:num w:numId="9">
    <w:abstractNumId w:val="11"/>
  </w:num>
  <w:num w:numId="10">
    <w:abstractNumId w:val="0"/>
  </w:num>
  <w:num w:numId="11">
    <w:abstractNumId w:val="10"/>
  </w:num>
  <w:num w:numId="12">
    <w:abstractNumId w:val="15"/>
  </w:num>
  <w:num w:numId="13">
    <w:abstractNumId w:val="12"/>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6C"/>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853"/>
    <w:rsid w:val="00013965"/>
    <w:rsid w:val="00013BC2"/>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66A"/>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BDB"/>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5E0"/>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A88"/>
    <w:rsid w:val="000F3C91"/>
    <w:rsid w:val="000F3D72"/>
    <w:rsid w:val="000F42A6"/>
    <w:rsid w:val="000F4378"/>
    <w:rsid w:val="000F43EF"/>
    <w:rsid w:val="000F44ED"/>
    <w:rsid w:val="000F470E"/>
    <w:rsid w:val="000F4813"/>
    <w:rsid w:val="000F4DAC"/>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C36"/>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33"/>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5F72"/>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705"/>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6CA"/>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A7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7B2"/>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35"/>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D87"/>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437"/>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87D"/>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52"/>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470"/>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365"/>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D7D2F"/>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964"/>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B0"/>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E19"/>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14"/>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D74"/>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B8D"/>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7A9"/>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A9"/>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12"/>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3FF6"/>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5D7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3F"/>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CBF"/>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418"/>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241"/>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D7EF9"/>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3C6"/>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3EF"/>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B78"/>
    <w:rsid w:val="00612D5C"/>
    <w:rsid w:val="00612F5F"/>
    <w:rsid w:val="006130A8"/>
    <w:rsid w:val="006131F6"/>
    <w:rsid w:val="00613258"/>
    <w:rsid w:val="00613310"/>
    <w:rsid w:val="006133E4"/>
    <w:rsid w:val="0061362E"/>
    <w:rsid w:val="00613A1D"/>
    <w:rsid w:val="00613A3C"/>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027"/>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851"/>
    <w:rsid w:val="00695910"/>
    <w:rsid w:val="00695947"/>
    <w:rsid w:val="006959CA"/>
    <w:rsid w:val="00695A92"/>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AD2"/>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3E77"/>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9C4"/>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922"/>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69C"/>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6C4"/>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8D"/>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7D"/>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627"/>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AD7"/>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29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5D2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C87"/>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61E"/>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1A4"/>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3C"/>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C20"/>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2E2E"/>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741"/>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5E1"/>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2"/>
    <w:rsid w:val="009955C8"/>
    <w:rsid w:val="00995606"/>
    <w:rsid w:val="009956B6"/>
    <w:rsid w:val="0099573D"/>
    <w:rsid w:val="009958F2"/>
    <w:rsid w:val="0099592B"/>
    <w:rsid w:val="00995CA2"/>
    <w:rsid w:val="00995D76"/>
    <w:rsid w:val="00995DA0"/>
    <w:rsid w:val="00995E4A"/>
    <w:rsid w:val="00995EB7"/>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B7EC8"/>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768"/>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B3E"/>
    <w:rsid w:val="00A91EDF"/>
    <w:rsid w:val="00A91FF9"/>
    <w:rsid w:val="00A92347"/>
    <w:rsid w:val="00A92407"/>
    <w:rsid w:val="00A9253B"/>
    <w:rsid w:val="00A925F3"/>
    <w:rsid w:val="00A92795"/>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9B3"/>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128"/>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6C"/>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C73"/>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C96"/>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686"/>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3B1"/>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46"/>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529"/>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BFC"/>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5FDA"/>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3FB3"/>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09D"/>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09B"/>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8B4"/>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C8D"/>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BEB"/>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802"/>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51A"/>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092"/>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0F4"/>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5C"/>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2F6"/>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1785"/>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2B6"/>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EA"/>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1C"/>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7E"/>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6DB"/>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65"/>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A58"/>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3427D59"/>
    <w:rsid w:val="040B1370"/>
    <w:rsid w:val="06D05EEF"/>
    <w:rsid w:val="094C1C50"/>
    <w:rsid w:val="0A62121A"/>
    <w:rsid w:val="0B660C1A"/>
    <w:rsid w:val="0C697228"/>
    <w:rsid w:val="0EDB2790"/>
    <w:rsid w:val="10630299"/>
    <w:rsid w:val="108B130F"/>
    <w:rsid w:val="11C128A7"/>
    <w:rsid w:val="1312127D"/>
    <w:rsid w:val="139C5F1D"/>
    <w:rsid w:val="154C575F"/>
    <w:rsid w:val="155E0855"/>
    <w:rsid w:val="17F93E0B"/>
    <w:rsid w:val="1B5A5A92"/>
    <w:rsid w:val="1C455CA5"/>
    <w:rsid w:val="1D2C69D2"/>
    <w:rsid w:val="1DCA10D2"/>
    <w:rsid w:val="1E487574"/>
    <w:rsid w:val="1E55238A"/>
    <w:rsid w:val="1E8436D3"/>
    <w:rsid w:val="1F551E74"/>
    <w:rsid w:val="2030685E"/>
    <w:rsid w:val="20D71AE6"/>
    <w:rsid w:val="2178604B"/>
    <w:rsid w:val="23750201"/>
    <w:rsid w:val="239E00B4"/>
    <w:rsid w:val="251E74A4"/>
    <w:rsid w:val="27843CE5"/>
    <w:rsid w:val="279C671C"/>
    <w:rsid w:val="294F0C22"/>
    <w:rsid w:val="2A27165A"/>
    <w:rsid w:val="2A841B9A"/>
    <w:rsid w:val="2ACE71ED"/>
    <w:rsid w:val="2D972170"/>
    <w:rsid w:val="310C4E9A"/>
    <w:rsid w:val="313B2930"/>
    <w:rsid w:val="317E06F2"/>
    <w:rsid w:val="32EB653A"/>
    <w:rsid w:val="359C210C"/>
    <w:rsid w:val="387A0A0A"/>
    <w:rsid w:val="38EC0892"/>
    <w:rsid w:val="3BCB6780"/>
    <w:rsid w:val="3C722C90"/>
    <w:rsid w:val="3DE602E1"/>
    <w:rsid w:val="3F47212A"/>
    <w:rsid w:val="3F9651BD"/>
    <w:rsid w:val="40E323CB"/>
    <w:rsid w:val="416D0210"/>
    <w:rsid w:val="42A2243F"/>
    <w:rsid w:val="42CD0A98"/>
    <w:rsid w:val="42F137E5"/>
    <w:rsid w:val="431A0C09"/>
    <w:rsid w:val="45194A7D"/>
    <w:rsid w:val="467D17E2"/>
    <w:rsid w:val="46957867"/>
    <w:rsid w:val="469F284C"/>
    <w:rsid w:val="477A66E8"/>
    <w:rsid w:val="480E2158"/>
    <w:rsid w:val="49017852"/>
    <w:rsid w:val="4B65373A"/>
    <w:rsid w:val="4C6E3C0B"/>
    <w:rsid w:val="4D00163A"/>
    <w:rsid w:val="4F0F5BE3"/>
    <w:rsid w:val="51275B59"/>
    <w:rsid w:val="515521F6"/>
    <w:rsid w:val="5159089C"/>
    <w:rsid w:val="52422029"/>
    <w:rsid w:val="55040901"/>
    <w:rsid w:val="56DF05DE"/>
    <w:rsid w:val="57B30C3D"/>
    <w:rsid w:val="57FC6189"/>
    <w:rsid w:val="58494E62"/>
    <w:rsid w:val="5A5E03CF"/>
    <w:rsid w:val="5F073306"/>
    <w:rsid w:val="5F5F73B9"/>
    <w:rsid w:val="5FB44391"/>
    <w:rsid w:val="660E4EA0"/>
    <w:rsid w:val="66424F6D"/>
    <w:rsid w:val="67AF6C9F"/>
    <w:rsid w:val="6838144E"/>
    <w:rsid w:val="68AA7398"/>
    <w:rsid w:val="6ACA3707"/>
    <w:rsid w:val="6ACA605F"/>
    <w:rsid w:val="6CA70153"/>
    <w:rsid w:val="6FAA3E8C"/>
    <w:rsid w:val="70512EB8"/>
    <w:rsid w:val="707B588D"/>
    <w:rsid w:val="718C7110"/>
    <w:rsid w:val="719651F2"/>
    <w:rsid w:val="737A3B75"/>
    <w:rsid w:val="742C597A"/>
    <w:rsid w:val="747C1F22"/>
    <w:rsid w:val="749D4ED7"/>
    <w:rsid w:val="753D30AC"/>
    <w:rsid w:val="75665AD7"/>
    <w:rsid w:val="775E5FBF"/>
    <w:rsid w:val="7789734B"/>
    <w:rsid w:val="79BA0AE9"/>
    <w:rsid w:val="7B0A4041"/>
    <w:rsid w:val="7D4F7C0A"/>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link w:val="5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32"/>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33"/>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4"/>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5"/>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7"/>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64"/>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8"/>
    <w:qFormat/>
    <w:uiPriority w:val="0"/>
    <w:pPr>
      <w:shd w:val="clear" w:color="auto" w:fill="000080"/>
    </w:pPr>
  </w:style>
  <w:style w:type="paragraph" w:styleId="15">
    <w:name w:val="annotation text"/>
    <w:basedOn w:val="1"/>
    <w:link w:val="184"/>
    <w:qFormat/>
    <w:uiPriority w:val="99"/>
    <w:pPr>
      <w:jc w:val="left"/>
    </w:pPr>
  </w:style>
  <w:style w:type="paragraph" w:styleId="16">
    <w:name w:val="Body Text 3"/>
    <w:basedOn w:val="1"/>
    <w:link w:val="239"/>
    <w:qFormat/>
    <w:uiPriority w:val="0"/>
    <w:pPr>
      <w:spacing w:after="120"/>
    </w:pPr>
    <w:rPr>
      <w:sz w:val="16"/>
      <w:szCs w:val="16"/>
    </w:rPr>
  </w:style>
  <w:style w:type="paragraph" w:styleId="17">
    <w:name w:val="Body Text"/>
    <w:basedOn w:val="1"/>
    <w:link w:val="240"/>
    <w:qFormat/>
    <w:uiPriority w:val="0"/>
    <w:pPr>
      <w:tabs>
        <w:tab w:val="left" w:pos="567"/>
      </w:tabs>
      <w:spacing w:before="120" w:line="22" w:lineRule="atLeast"/>
    </w:pPr>
    <w:rPr>
      <w:rFonts w:ascii="宋体" w:hAnsi="宋体"/>
      <w:sz w:val="24"/>
    </w:rPr>
  </w:style>
  <w:style w:type="paragraph" w:styleId="18">
    <w:name w:val="Body Text Indent"/>
    <w:basedOn w:val="1"/>
    <w:next w:val="19"/>
    <w:link w:val="69"/>
    <w:qFormat/>
    <w:uiPriority w:val="0"/>
    <w:pPr>
      <w:spacing w:line="360" w:lineRule="auto"/>
      <w:ind w:firstLine="570"/>
    </w:pPr>
    <w:rPr>
      <w:sz w:val="24"/>
    </w:rPr>
  </w:style>
  <w:style w:type="paragraph" w:styleId="19">
    <w:name w:val="envelope return"/>
    <w:basedOn w:val="1"/>
    <w:qFormat/>
    <w:uiPriority w:val="99"/>
    <w:pPr>
      <w:snapToGrid w:val="0"/>
    </w:pPr>
    <w:rPr>
      <w:rFonts w:ascii="Arial" w:hAnsi="Arial" w:cs="Arial"/>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204"/>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241"/>
    <w:qFormat/>
    <w:uiPriority w:val="0"/>
    <w:pPr>
      <w:ind w:left="100" w:leftChars="2500"/>
    </w:pPr>
    <w:rPr>
      <w:rFonts w:ascii="仿宋_GB2312" w:hAnsi="宋体" w:eastAsia="仿宋_GB2312"/>
      <w:color w:val="000000"/>
      <w:sz w:val="24"/>
    </w:rPr>
  </w:style>
  <w:style w:type="paragraph" w:styleId="27">
    <w:name w:val="Body Text Indent 2"/>
    <w:basedOn w:val="1"/>
    <w:link w:val="242"/>
    <w:qFormat/>
    <w:uiPriority w:val="0"/>
    <w:pPr>
      <w:ind w:firstLine="480" w:firstLineChars="200"/>
    </w:pPr>
    <w:rPr>
      <w:rFonts w:ascii="仿宋_GB2312" w:eastAsia="仿宋_GB2312"/>
      <w:sz w:val="24"/>
    </w:rPr>
  </w:style>
  <w:style w:type="paragraph" w:styleId="28">
    <w:name w:val="Balloon Text"/>
    <w:basedOn w:val="1"/>
    <w:link w:val="243"/>
    <w:qFormat/>
    <w:uiPriority w:val="0"/>
    <w:rPr>
      <w:sz w:val="18"/>
      <w:szCs w:val="18"/>
    </w:rPr>
  </w:style>
  <w:style w:type="paragraph" w:styleId="29">
    <w:name w:val="footer"/>
    <w:basedOn w:val="1"/>
    <w:link w:val="17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244"/>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24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90"/>
    <w:qFormat/>
    <w:uiPriority w:val="0"/>
    <w:pPr>
      <w:jc w:val="center"/>
      <w:outlineLvl w:val="0"/>
    </w:pPr>
    <w:rPr>
      <w:b/>
      <w:sz w:val="32"/>
      <w:szCs w:val="20"/>
    </w:rPr>
  </w:style>
  <w:style w:type="paragraph" w:styleId="41">
    <w:name w:val="annotation subject"/>
    <w:basedOn w:val="15"/>
    <w:next w:val="15"/>
    <w:link w:val="246"/>
    <w:qFormat/>
    <w:uiPriority w:val="0"/>
    <w:rPr>
      <w:b/>
      <w:bCs/>
    </w:rPr>
  </w:style>
  <w:style w:type="paragraph" w:styleId="42">
    <w:name w:val="Body Text First Indent"/>
    <w:basedOn w:val="17"/>
    <w:qFormat/>
    <w:uiPriority w:val="0"/>
    <w:pPr>
      <w:ind w:firstLine="420" w:firstLineChars="100"/>
    </w:pPr>
    <w:rPr>
      <w:lang w:val="zh-CN"/>
    </w:rPr>
  </w:style>
  <w:style w:type="paragraph" w:styleId="43">
    <w:name w:val="Body Text First Indent 2"/>
    <w:basedOn w:val="18"/>
    <w:next w:val="42"/>
    <w:link w:val="247"/>
    <w:qFormat/>
    <w:uiPriority w:val="0"/>
    <w:pPr>
      <w:spacing w:after="120" w:line="480" w:lineRule="exact"/>
      <w:ind w:left="420" w:leftChars="200" w:firstLine="420" w:firstLineChars="200"/>
    </w:pPr>
    <w:rPr>
      <w:szCs w:val="20"/>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paragraph" w:customStyle="1" w:styleId="55">
    <w:name w:val="正文 缩进2字符"/>
    <w:basedOn w:val="1"/>
    <w:autoRedefine/>
    <w:qFormat/>
    <w:uiPriority w:val="0"/>
    <w:pPr>
      <w:spacing w:line="288" w:lineRule="auto"/>
    </w:pPr>
    <w:rPr>
      <w:rFonts w:ascii="宋体" w:hAnsi="宋体"/>
      <w:sz w:val="28"/>
      <w:szCs w:val="28"/>
    </w:rPr>
  </w:style>
  <w:style w:type="character" w:customStyle="1" w:styleId="56">
    <w:name w:val="标题 2 字符"/>
    <w:link w:val="3"/>
    <w:qFormat/>
    <w:uiPriority w:val="0"/>
    <w:rPr>
      <w:rFonts w:ascii="Arial" w:hAnsi="Arial" w:eastAsia="黑体"/>
      <w:b/>
      <w:sz w:val="30"/>
      <w:lang w:val="en-US" w:eastAsia="zh-CN" w:bidi="ar-SA"/>
    </w:rPr>
  </w:style>
  <w:style w:type="character" w:customStyle="1" w:styleId="57">
    <w:name w:val="标题 3 字符"/>
    <w:link w:val="4"/>
    <w:qFormat/>
    <w:uiPriority w:val="0"/>
    <w:rPr>
      <w:rFonts w:ascii="宋体" w:eastAsia="宋体"/>
      <w:b/>
      <w:sz w:val="24"/>
      <w:u w:val="single"/>
      <w:lang w:val="en-US" w:eastAsia="zh-CN" w:bidi="ar-SA"/>
    </w:rPr>
  </w:style>
  <w:style w:type="character" w:customStyle="1" w:styleId="58">
    <w:name w:val="c21"/>
    <w:qFormat/>
    <w:uiPriority w:val="0"/>
    <w:rPr>
      <w:rFonts w:hint="default" w:ascii="ˎ̥" w:hAnsi="ˎ̥"/>
      <w:color w:val="000000"/>
      <w:sz w:val="20"/>
      <w:szCs w:val="20"/>
      <w:u w:val="none"/>
    </w:rPr>
  </w:style>
  <w:style w:type="character" w:customStyle="1" w:styleId="59">
    <w:name w:val="title4"/>
    <w:qFormat/>
    <w:uiPriority w:val="0"/>
    <w:rPr>
      <w:b/>
      <w:bCs/>
      <w:color w:val="1D87B3"/>
      <w:sz w:val="15"/>
      <w:szCs w:val="15"/>
    </w:rPr>
  </w:style>
  <w:style w:type="character" w:customStyle="1" w:styleId="60">
    <w:name w:val="标题 2 Char Char"/>
    <w:qFormat/>
    <w:uiPriority w:val="0"/>
    <w:rPr>
      <w:rFonts w:ascii="Arial" w:hAnsi="Arial" w:eastAsia="黑体"/>
      <w:b/>
      <w:bCs/>
      <w:kern w:val="2"/>
      <w:sz w:val="32"/>
      <w:szCs w:val="32"/>
      <w:lang w:val="en-US" w:eastAsia="zh-CN" w:bidi="ar-SA"/>
    </w:rPr>
  </w:style>
  <w:style w:type="character" w:customStyle="1" w:styleId="61">
    <w:name w:val="black1"/>
    <w:qFormat/>
    <w:uiPriority w:val="0"/>
    <w:rPr>
      <w:color w:val="000000"/>
    </w:rPr>
  </w:style>
  <w:style w:type="character" w:customStyle="1" w:styleId="62">
    <w:name w:val="street-address"/>
    <w:basedOn w:val="47"/>
    <w:qFormat/>
    <w:uiPriority w:val="0"/>
  </w:style>
  <w:style w:type="character" w:customStyle="1" w:styleId="63">
    <w:name w:val="locality"/>
    <w:basedOn w:val="47"/>
    <w:qFormat/>
    <w:uiPriority w:val="0"/>
  </w:style>
  <w:style w:type="character" w:customStyle="1" w:styleId="64">
    <w:name w:val="正文缩进 字符"/>
    <w:link w:val="5"/>
    <w:qFormat/>
    <w:uiPriority w:val="0"/>
    <w:rPr>
      <w:rFonts w:ascii="宋体" w:eastAsia="宋体"/>
      <w:kern w:val="2"/>
      <w:sz w:val="24"/>
      <w:szCs w:val="24"/>
      <w:lang w:val="en-US" w:eastAsia="zh-CN" w:bidi="ar-SA"/>
    </w:rPr>
  </w:style>
  <w:style w:type="character" w:customStyle="1" w:styleId="65">
    <w:name w:val="正文文本缩进 Char1"/>
    <w:link w:val="66"/>
    <w:qFormat/>
    <w:uiPriority w:val="0"/>
    <w:rPr>
      <w:rFonts w:ascii="宋体" w:hAnsi="宋体" w:eastAsia="宋体"/>
      <w:sz w:val="24"/>
      <w:szCs w:val="24"/>
      <w:lang w:bidi="ar-SA"/>
    </w:rPr>
  </w:style>
  <w:style w:type="paragraph" w:customStyle="1" w:styleId="66">
    <w:name w:val="正文文本缩进1"/>
    <w:basedOn w:val="1"/>
    <w:link w:val="65"/>
    <w:qFormat/>
    <w:uiPriority w:val="0"/>
    <w:pPr>
      <w:spacing w:line="480" w:lineRule="exact"/>
      <w:ind w:firstLine="480" w:firstLineChars="200"/>
    </w:pPr>
    <w:rPr>
      <w:rFonts w:ascii="宋体" w:hAnsi="宋体"/>
      <w:kern w:val="0"/>
      <w:sz w:val="24"/>
    </w:rPr>
  </w:style>
  <w:style w:type="character" w:customStyle="1" w:styleId="67">
    <w:name w:val="Char Char11"/>
    <w:qFormat/>
    <w:uiPriority w:val="0"/>
    <w:rPr>
      <w:rFonts w:ascii="宋体" w:eastAsia="宋体"/>
      <w:b/>
      <w:sz w:val="24"/>
      <w:u w:val="single"/>
      <w:lang w:val="en-US" w:eastAsia="zh-CN" w:bidi="ar-SA"/>
    </w:rPr>
  </w:style>
  <w:style w:type="character" w:customStyle="1" w:styleId="68">
    <w:name w:val="txt"/>
    <w:basedOn w:val="47"/>
    <w:qFormat/>
    <w:uiPriority w:val="0"/>
  </w:style>
  <w:style w:type="character" w:customStyle="1" w:styleId="69">
    <w:name w:val="正文文本缩进 字符"/>
    <w:link w:val="18"/>
    <w:qFormat/>
    <w:uiPriority w:val="0"/>
    <w:rPr>
      <w:rFonts w:eastAsia="宋体"/>
      <w:kern w:val="2"/>
      <w:sz w:val="24"/>
      <w:szCs w:val="24"/>
      <w:lang w:val="en-US" w:eastAsia="zh-CN" w:bidi="ar-SA"/>
    </w:rPr>
  </w:style>
  <w:style w:type="character" w:customStyle="1" w:styleId="70">
    <w:name w:val="正文缩进 Char Char"/>
    <w:link w:val="71"/>
    <w:qFormat/>
    <w:uiPriority w:val="0"/>
    <w:rPr>
      <w:rFonts w:ascii="宋体" w:eastAsia="宋体"/>
      <w:snapToGrid w:val="0"/>
      <w:color w:val="000000"/>
      <w:kern w:val="28"/>
      <w:sz w:val="28"/>
      <w:lang w:bidi="ar-SA"/>
    </w:rPr>
  </w:style>
  <w:style w:type="paragraph" w:customStyle="1" w:styleId="71">
    <w:name w:val="正文缩进1"/>
    <w:basedOn w:val="1"/>
    <w:link w:val="70"/>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2">
    <w:name w:val="普通文字1 Char1"/>
    <w:qFormat/>
    <w:uiPriority w:val="0"/>
    <w:rPr>
      <w:rFonts w:ascii="宋体" w:hAnsi="Courier New" w:eastAsia="宋体"/>
      <w:kern w:val="2"/>
      <w:sz w:val="21"/>
      <w:lang w:val="en-US" w:eastAsia="zh-CN" w:bidi="ar-SA"/>
    </w:rPr>
  </w:style>
  <w:style w:type="character" w:customStyle="1" w:styleId="73">
    <w:name w:val="chanpin1"/>
    <w:qFormat/>
    <w:uiPriority w:val="0"/>
    <w:rPr>
      <w:rFonts w:hint="default" w:ascii="ˎ̥" w:hAnsi="ˎ̥"/>
      <w:color w:val="000000"/>
      <w:sz w:val="20"/>
      <w:szCs w:val="20"/>
      <w:u w:val="none"/>
    </w:rPr>
  </w:style>
  <w:style w:type="character" w:customStyle="1" w:styleId="74">
    <w:name w:val="列表段落 字符"/>
    <w:link w:val="75"/>
    <w:qFormat/>
    <w:uiPriority w:val="34"/>
    <w:rPr>
      <w:rFonts w:ascii="Calibri" w:hAnsi="Calibri" w:eastAsia="宋体"/>
      <w:kern w:val="2"/>
      <w:sz w:val="21"/>
      <w:szCs w:val="22"/>
      <w:lang w:val="en-US" w:eastAsia="zh-CN" w:bidi="ar-SA"/>
    </w:rPr>
  </w:style>
  <w:style w:type="paragraph" w:styleId="75">
    <w:name w:val="List Paragraph"/>
    <w:basedOn w:val="1"/>
    <w:link w:val="74"/>
    <w:qFormat/>
    <w:uiPriority w:val="34"/>
    <w:pPr>
      <w:ind w:firstLine="420" w:firstLineChars="200"/>
    </w:pPr>
    <w:rPr>
      <w:rFonts w:ascii="Calibri" w:hAnsi="Calibri"/>
      <w:szCs w:val="22"/>
    </w:rPr>
  </w:style>
  <w:style w:type="character" w:customStyle="1" w:styleId="76">
    <w:name w:val="标题 3 Char Char"/>
    <w:qFormat/>
    <w:uiPriority w:val="0"/>
    <w:rPr>
      <w:rFonts w:eastAsia="宋体"/>
      <w:b/>
      <w:bCs/>
      <w:kern w:val="2"/>
      <w:sz w:val="32"/>
      <w:szCs w:val="32"/>
      <w:lang w:val="en-US" w:eastAsia="zh-CN" w:bidi="ar-SA"/>
    </w:rPr>
  </w:style>
  <w:style w:type="character" w:customStyle="1" w:styleId="77">
    <w:name w:val="段1 Char"/>
    <w:qFormat/>
    <w:uiPriority w:val="0"/>
    <w:rPr>
      <w:rFonts w:ascii="宋体" w:eastAsia="宋体"/>
      <w:sz w:val="24"/>
      <w:lang w:val="en-US" w:eastAsia="zh-CN" w:bidi="ar-SA"/>
    </w:rPr>
  </w:style>
  <w:style w:type="character" w:customStyle="1" w:styleId="78">
    <w:name w:val="页眉 字符"/>
    <w:link w:val="30"/>
    <w:qFormat/>
    <w:uiPriority w:val="99"/>
    <w:rPr>
      <w:rFonts w:eastAsia="宋体"/>
      <w:kern w:val="2"/>
      <w:sz w:val="18"/>
      <w:szCs w:val="18"/>
      <w:lang w:val="en-US" w:eastAsia="zh-CN" w:bidi="ar-SA"/>
    </w:rPr>
  </w:style>
  <w:style w:type="character" w:customStyle="1" w:styleId="79">
    <w:name w:val="chanpin拷贝"/>
    <w:basedOn w:val="47"/>
    <w:qFormat/>
    <w:uiPriority w:val="0"/>
  </w:style>
  <w:style w:type="character" w:customStyle="1" w:styleId="80">
    <w:name w:val="纯文本 Char1"/>
    <w:qFormat/>
    <w:uiPriority w:val="0"/>
    <w:rPr>
      <w:rFonts w:ascii="宋体" w:hAnsi="Courier New" w:eastAsia="宋体"/>
      <w:kern w:val="2"/>
      <w:sz w:val="21"/>
      <w:lang w:val="en-US" w:eastAsia="zh-CN" w:bidi="ar-SA"/>
    </w:rPr>
  </w:style>
  <w:style w:type="character" w:customStyle="1" w:styleId="81">
    <w:name w:val="apple-style-span"/>
    <w:qFormat/>
    <w:uiPriority w:val="0"/>
    <w:rPr>
      <w:rFonts w:cs="Times New Roman"/>
    </w:rPr>
  </w:style>
  <w:style w:type="paragraph" w:customStyle="1" w:styleId="82">
    <w:name w:val="二级条标题"/>
    <w:basedOn w:val="83"/>
    <w:next w:val="1"/>
    <w:qFormat/>
    <w:uiPriority w:val="0"/>
    <w:pPr>
      <w:numPr>
        <w:numId w:val="0"/>
      </w:numPr>
      <w:tabs>
        <w:tab w:val="left" w:pos="360"/>
        <w:tab w:val="left" w:pos="840"/>
      </w:tabs>
      <w:ind w:hanging="840"/>
      <w:outlineLvl w:val="2"/>
    </w:pPr>
    <w:rPr>
      <w:rFonts w:ascii="宋体" w:eastAsia="宋体"/>
      <w:b w:val="0"/>
    </w:rPr>
  </w:style>
  <w:style w:type="paragraph" w:customStyle="1" w:styleId="83">
    <w:name w:val="一级条标题"/>
    <w:basedOn w:val="84"/>
    <w:next w:val="1"/>
    <w:qFormat/>
    <w:uiPriority w:val="0"/>
    <w:pPr>
      <w:numPr>
        <w:ilvl w:val="1"/>
      </w:numPr>
      <w:tabs>
        <w:tab w:val="left" w:pos="360"/>
        <w:tab w:val="left" w:pos="840"/>
      </w:tabs>
      <w:ind w:left="0" w:hanging="840"/>
      <w:outlineLvl w:val="1"/>
    </w:pPr>
  </w:style>
  <w:style w:type="paragraph" w:customStyle="1" w:styleId="8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6">
    <w:name w:val="字元 字元"/>
    <w:basedOn w:val="1"/>
    <w:qFormat/>
    <w:uiPriority w:val="0"/>
    <w:rPr>
      <w:rFonts w:ascii="Tahoma" w:hAnsi="Tahoma"/>
      <w:sz w:val="24"/>
      <w:szCs w:val="20"/>
    </w:rPr>
  </w:style>
  <w:style w:type="paragraph" w:customStyle="1" w:styleId="87">
    <w:name w:val="Char3 Char Char Char"/>
    <w:basedOn w:val="1"/>
    <w:qFormat/>
    <w:uiPriority w:val="0"/>
    <w:rPr>
      <w:rFonts w:ascii="Tahoma" w:hAnsi="Tahoma"/>
      <w:sz w:val="24"/>
      <w:szCs w:val="20"/>
    </w:rPr>
  </w:style>
  <w:style w:type="paragraph" w:customStyle="1" w:styleId="8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项目编号2"/>
    <w:basedOn w:val="90"/>
    <w:qFormat/>
    <w:uiPriority w:val="0"/>
    <w:pPr>
      <w:numPr>
        <w:numId w:val="2"/>
      </w:numPr>
    </w:pPr>
  </w:style>
  <w:style w:type="paragraph" w:customStyle="1" w:styleId="9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1">
    <w:name w:val="图中文字"/>
    <w:basedOn w:val="1"/>
    <w:qFormat/>
    <w:uiPriority w:val="0"/>
    <w:pPr>
      <w:adjustRightInd w:val="0"/>
      <w:snapToGrid w:val="0"/>
      <w:spacing w:line="0" w:lineRule="atLeast"/>
      <w:jc w:val="center"/>
    </w:pPr>
    <w:rPr>
      <w:sz w:val="24"/>
      <w:szCs w:val="20"/>
    </w:rPr>
  </w:style>
  <w:style w:type="paragraph" w:customStyle="1" w:styleId="9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4">
    <w:name w:val="Char2"/>
    <w:basedOn w:val="1"/>
    <w:qFormat/>
    <w:uiPriority w:val="0"/>
    <w:rPr>
      <w:rFonts w:ascii="Tahoma" w:hAnsi="Tahoma"/>
      <w:sz w:val="24"/>
      <w:szCs w:val="20"/>
    </w:rPr>
  </w:style>
  <w:style w:type="paragraph" w:customStyle="1" w:styleId="9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8">
    <w:name w:val="font8"/>
    <w:basedOn w:val="1"/>
    <w:qFormat/>
    <w:uiPriority w:val="0"/>
    <w:pPr>
      <w:widowControl/>
      <w:spacing w:before="100" w:beforeAutospacing="1" w:after="100" w:afterAutospacing="1"/>
      <w:jc w:val="left"/>
    </w:pPr>
    <w:rPr>
      <w:kern w:val="0"/>
      <w:sz w:val="36"/>
      <w:szCs w:val="36"/>
    </w:rPr>
  </w:style>
  <w:style w:type="paragraph" w:customStyle="1" w:styleId="109">
    <w:name w:val="Char"/>
    <w:basedOn w:val="1"/>
    <w:qFormat/>
    <w:uiPriority w:val="0"/>
    <w:pPr>
      <w:tabs>
        <w:tab w:val="left" w:pos="360"/>
      </w:tabs>
    </w:pPr>
    <w:rPr>
      <w:sz w:val="24"/>
    </w:rPr>
  </w:style>
  <w:style w:type="paragraph" w:customStyle="1" w:styleId="11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Char Char1"/>
    <w:basedOn w:val="14"/>
    <w:qFormat/>
    <w:uiPriority w:val="0"/>
    <w:rPr>
      <w:rFonts w:ascii="Tahoma" w:hAnsi="Tahoma"/>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8">
    <w:name w:val="Char1 Char Char Char1"/>
    <w:basedOn w:val="1"/>
    <w:qFormat/>
    <w:uiPriority w:val="0"/>
    <w:rPr>
      <w:rFonts w:ascii="Tahoma" w:hAnsi="Tahoma" w:cs="仿宋_GB2312"/>
      <w:sz w:val="24"/>
      <w:szCs w:val="28"/>
    </w:rPr>
  </w:style>
  <w:style w:type="paragraph" w:customStyle="1" w:styleId="119">
    <w:name w:val="四级条标题"/>
    <w:basedOn w:val="120"/>
    <w:next w:val="1"/>
    <w:qFormat/>
    <w:uiPriority w:val="0"/>
    <w:pPr>
      <w:numPr>
        <w:ilvl w:val="4"/>
      </w:numPr>
      <w:tabs>
        <w:tab w:val="left" w:pos="360"/>
        <w:tab w:val="left" w:pos="840"/>
      </w:tabs>
      <w:ind w:left="0" w:hanging="840"/>
      <w:outlineLvl w:val="4"/>
    </w:pPr>
  </w:style>
  <w:style w:type="paragraph" w:customStyle="1" w:styleId="120">
    <w:name w:val="三级条标题"/>
    <w:basedOn w:val="82"/>
    <w:next w:val="1"/>
    <w:qFormat/>
    <w:uiPriority w:val="0"/>
    <w:pPr>
      <w:numPr>
        <w:ilvl w:val="3"/>
        <w:numId w:val="1"/>
      </w:numPr>
      <w:ind w:left="0" w:hanging="840"/>
      <w:outlineLvl w:val="3"/>
    </w:pPr>
  </w:style>
  <w:style w:type="paragraph" w:customStyle="1" w:styleId="12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2">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3">
    <w:name w:val="List Paragraph1"/>
    <w:basedOn w:val="1"/>
    <w:qFormat/>
    <w:uiPriority w:val="0"/>
    <w:pPr>
      <w:ind w:firstLine="420" w:firstLineChars="200"/>
    </w:pPr>
    <w:rPr>
      <w:rFonts w:ascii="Calibri" w:hAnsi="Calibri"/>
      <w:szCs w:val="22"/>
    </w:rPr>
  </w:style>
  <w:style w:type="paragraph" w:customStyle="1" w:styleId="124">
    <w:name w:val="项目符号1"/>
    <w:basedOn w:val="125"/>
    <w:qFormat/>
    <w:uiPriority w:val="0"/>
    <w:pPr>
      <w:ind w:left="-25" w:firstLine="0"/>
    </w:pPr>
  </w:style>
  <w:style w:type="paragraph" w:customStyle="1" w:styleId="125">
    <w:name w:val="正文文本样式"/>
    <w:basedOn w:val="1"/>
    <w:qFormat/>
    <w:uiPriority w:val="0"/>
    <w:pPr>
      <w:spacing w:line="360" w:lineRule="auto"/>
      <w:ind w:firstLine="482"/>
    </w:pPr>
    <w:rPr>
      <w:rFonts w:cs="宋体"/>
      <w:sz w:val="24"/>
      <w:szCs w:val="20"/>
    </w:rPr>
  </w:style>
  <w:style w:type="paragraph" w:customStyle="1" w:styleId="12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8">
    <w:name w:val="五级条标题"/>
    <w:basedOn w:val="119"/>
    <w:next w:val="1"/>
    <w:qFormat/>
    <w:uiPriority w:val="0"/>
    <w:pPr>
      <w:numPr>
        <w:ilvl w:val="5"/>
      </w:numPr>
      <w:ind w:left="0" w:hanging="840"/>
      <w:outlineLvl w:val="5"/>
    </w:pPr>
  </w:style>
  <w:style w:type="paragraph" w:customStyle="1" w:styleId="12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0">
    <w:name w:val="文档正文"/>
    <w:basedOn w:val="1"/>
    <w:qFormat/>
    <w:uiPriority w:val="0"/>
    <w:pPr>
      <w:snapToGrid w:val="0"/>
      <w:spacing w:before="120" w:after="120" w:line="180" w:lineRule="auto"/>
    </w:pPr>
    <w:rPr>
      <w:rFonts w:ascii="Arial" w:hAnsi="Arial"/>
      <w:szCs w:val="20"/>
    </w:rPr>
  </w:style>
  <w:style w:type="paragraph" w:customStyle="1" w:styleId="13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3">
    <w:name w:val="Char Char Char1 Char"/>
    <w:basedOn w:val="1"/>
    <w:qFormat/>
    <w:uiPriority w:val="0"/>
    <w:rPr>
      <w:rFonts w:ascii="Tahoma" w:hAnsi="Tahoma"/>
      <w:sz w:val="24"/>
      <w:szCs w:val="20"/>
    </w:rPr>
  </w:style>
  <w:style w:type="paragraph" w:customStyle="1" w:styleId="13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5">
    <w:name w:val="1名"/>
    <w:basedOn w:val="1"/>
    <w:qFormat/>
    <w:uiPriority w:val="0"/>
    <w:pPr>
      <w:numPr>
        <w:ilvl w:val="0"/>
        <w:numId w:val="5"/>
      </w:numPr>
      <w:spacing w:before="120"/>
    </w:pPr>
    <w:rPr>
      <w:rFonts w:ascii="宋体"/>
      <w:sz w:val="28"/>
      <w:szCs w:val="20"/>
    </w:rPr>
  </w:style>
  <w:style w:type="paragraph" w:customStyle="1" w:styleId="13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7">
    <w:name w:val="Char Char Char1 Char1"/>
    <w:basedOn w:val="1"/>
    <w:qFormat/>
    <w:uiPriority w:val="0"/>
    <w:rPr>
      <w:rFonts w:ascii="Tahoma" w:hAnsi="Tahoma"/>
      <w:sz w:val="24"/>
      <w:szCs w:val="20"/>
    </w:rPr>
  </w:style>
  <w:style w:type="paragraph" w:customStyle="1" w:styleId="138">
    <w:name w:val="Char Char Char Char Char Char Char Char Char Char"/>
    <w:basedOn w:val="1"/>
    <w:qFormat/>
    <w:uiPriority w:val="0"/>
  </w:style>
  <w:style w:type="paragraph" w:customStyle="1" w:styleId="13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0">
    <w:name w:val="Char1"/>
    <w:basedOn w:val="1"/>
    <w:qFormat/>
    <w:uiPriority w:val="0"/>
    <w:pPr>
      <w:tabs>
        <w:tab w:val="left" w:pos="360"/>
      </w:tabs>
    </w:pPr>
    <w:rPr>
      <w:sz w:val="24"/>
    </w:rPr>
  </w:style>
  <w:style w:type="paragraph" w:customStyle="1" w:styleId="14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4">
    <w:name w:val="默认段落字体 Para Char Char Char Char"/>
    <w:basedOn w:val="1"/>
    <w:qFormat/>
    <w:uiPriority w:val="0"/>
    <w:rPr>
      <w:rFonts w:ascii="Arial" w:hAnsi="Arial" w:cs="Arial"/>
      <w:szCs w:val="21"/>
    </w:rPr>
  </w:style>
  <w:style w:type="paragraph" w:customStyle="1" w:styleId="14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8">
    <w:name w:val="Char Char Char"/>
    <w:basedOn w:val="1"/>
    <w:qFormat/>
    <w:uiPriority w:val="0"/>
    <w:rPr>
      <w:rFonts w:ascii="Tahoma" w:hAnsi="Tahoma"/>
      <w:sz w:val="24"/>
      <w:szCs w:val="20"/>
    </w:rPr>
  </w:style>
  <w:style w:type="paragraph" w:customStyle="1" w:styleId="14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Char Char Char1"/>
    <w:basedOn w:val="1"/>
    <w:qFormat/>
    <w:uiPriority w:val="0"/>
    <w:rPr>
      <w:rFonts w:ascii="Tahoma" w:hAnsi="Tahoma"/>
      <w:sz w:val="24"/>
      <w:szCs w:val="20"/>
    </w:rPr>
  </w:style>
  <w:style w:type="paragraph" w:customStyle="1" w:styleId="15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4">
    <w:name w:val="样式2"/>
    <w:basedOn w:val="39"/>
    <w:qFormat/>
    <w:uiPriority w:val="0"/>
    <w:pPr>
      <w:spacing w:line="360" w:lineRule="auto"/>
      <w:jc w:val="center"/>
    </w:pPr>
    <w:rPr>
      <w:sz w:val="24"/>
    </w:rPr>
  </w:style>
  <w:style w:type="paragraph" w:customStyle="1" w:styleId="15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7">
    <w:name w:val="正文 + 楷体_GB2312"/>
    <w:basedOn w:val="1"/>
    <w:qFormat/>
    <w:uiPriority w:val="0"/>
    <w:pPr>
      <w:widowControl/>
      <w:jc w:val="left"/>
    </w:pPr>
    <w:rPr>
      <w:rFonts w:ascii="楷体_GB2312" w:eastAsia="楷体_GB2312" w:cs="Arial"/>
      <w:kern w:val="0"/>
      <w:sz w:val="24"/>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9">
    <w:name w:val="1 Char Char Char Char"/>
    <w:basedOn w:val="1"/>
    <w:qFormat/>
    <w:uiPriority w:val="0"/>
    <w:rPr>
      <w:rFonts w:ascii="Tahoma" w:hAnsi="Tahoma"/>
      <w:sz w:val="24"/>
      <w:szCs w:val="20"/>
    </w:rPr>
  </w:style>
  <w:style w:type="paragraph" w:customStyle="1" w:styleId="16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1">
    <w:name w:val="列出段落1"/>
    <w:basedOn w:val="1"/>
    <w:qFormat/>
    <w:uiPriority w:val="0"/>
    <w:pPr>
      <w:ind w:firstLine="420" w:firstLineChars="200"/>
    </w:pPr>
    <w:rPr>
      <w:rFonts w:ascii="Calibri" w:hAnsi="Calibri"/>
      <w:szCs w:val="22"/>
    </w:rPr>
  </w:style>
  <w:style w:type="paragraph" w:customStyle="1" w:styleId="16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字元 字元1"/>
    <w:basedOn w:val="1"/>
    <w:qFormat/>
    <w:uiPriority w:val="0"/>
    <w:rPr>
      <w:rFonts w:ascii="Tahoma" w:hAnsi="Tahoma"/>
      <w:sz w:val="24"/>
      <w:szCs w:val="20"/>
    </w:rPr>
  </w:style>
  <w:style w:type="paragraph" w:customStyle="1" w:styleId="164">
    <w:name w:val="_Style 160"/>
    <w:qFormat/>
    <w:uiPriority w:val="0"/>
    <w:rPr>
      <w:rFonts w:ascii="Times New Roman" w:hAnsi="Times New Roman" w:eastAsia="宋体" w:cs="Times New Roman"/>
      <w:kern w:val="2"/>
      <w:sz w:val="21"/>
      <w:szCs w:val="24"/>
      <w:lang w:val="en-US" w:eastAsia="zh-CN" w:bidi="ar-SA"/>
    </w:rPr>
  </w:style>
  <w:style w:type="paragraph" w:customStyle="1" w:styleId="165">
    <w:name w:val="项目编号3"/>
    <w:basedOn w:val="125"/>
    <w:qFormat/>
    <w:uiPriority w:val="0"/>
    <w:pPr>
      <w:numPr>
        <w:ilvl w:val="0"/>
        <w:numId w:val="6"/>
      </w:numPr>
    </w:pPr>
  </w:style>
  <w:style w:type="paragraph" w:customStyle="1" w:styleId="166">
    <w:name w:val="Char21"/>
    <w:basedOn w:val="1"/>
    <w:qFormat/>
    <w:uiPriority w:val="0"/>
    <w:rPr>
      <w:rFonts w:ascii="Tahoma" w:hAnsi="Tahoma"/>
      <w:sz w:val="24"/>
      <w:szCs w:val="20"/>
    </w:rPr>
  </w:style>
  <w:style w:type="paragraph" w:customStyle="1" w:styleId="167">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8">
    <w:name w:val="Char Char Char Char Char Char Char Char Char Char1"/>
    <w:basedOn w:val="1"/>
    <w:qFormat/>
    <w:uiPriority w:val="0"/>
    <w:rPr>
      <w:rFonts w:ascii="宋体" w:hAnsi="宋体" w:cs="Courier New"/>
      <w:sz w:val="32"/>
      <w:szCs w:val="32"/>
    </w:rPr>
  </w:style>
  <w:style w:type="paragraph" w:customStyle="1" w:styleId="169">
    <w:name w:val="正文文本样式 加粗"/>
    <w:basedOn w:val="125"/>
    <w:qFormat/>
    <w:uiPriority w:val="0"/>
    <w:rPr>
      <w:b/>
    </w:rPr>
  </w:style>
  <w:style w:type="paragraph" w:customStyle="1" w:styleId="170">
    <w:name w:val="Char2 Char Char Char Char Char Char"/>
    <w:basedOn w:val="1"/>
    <w:qFormat/>
    <w:uiPriority w:val="0"/>
    <w:pPr>
      <w:widowControl/>
      <w:spacing w:line="400" w:lineRule="exact"/>
      <w:jc w:val="center"/>
    </w:pPr>
  </w:style>
  <w:style w:type="character" w:customStyle="1" w:styleId="171">
    <w:name w:val="页脚 字符"/>
    <w:link w:val="29"/>
    <w:qFormat/>
    <w:uiPriority w:val="99"/>
    <w:rPr>
      <w:rFonts w:ascii="宋体" w:eastAsia="宋体"/>
      <w:sz w:val="18"/>
      <w:lang w:val="en-US" w:eastAsia="zh-CN" w:bidi="ar-SA"/>
    </w:rPr>
  </w:style>
  <w:style w:type="paragraph" w:customStyle="1" w:styleId="172">
    <w:name w:val="Char Char4"/>
    <w:basedOn w:val="1"/>
    <w:qFormat/>
    <w:uiPriority w:val="0"/>
    <w:pPr>
      <w:widowControl/>
      <w:spacing w:line="400" w:lineRule="exact"/>
      <w:jc w:val="center"/>
    </w:pPr>
  </w:style>
  <w:style w:type="paragraph" w:customStyle="1" w:styleId="173">
    <w:name w:val="Char3 Char Char Char1"/>
    <w:basedOn w:val="1"/>
    <w:qFormat/>
    <w:uiPriority w:val="0"/>
    <w:rPr>
      <w:rFonts w:ascii="Tahoma" w:hAnsi="Tahoma"/>
      <w:sz w:val="24"/>
      <w:szCs w:val="20"/>
    </w:rPr>
  </w:style>
  <w:style w:type="paragraph" w:styleId="1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6">
    <w:name w:val="中等深浅网格 1 - 强调文字颜色 2 Char"/>
    <w:link w:val="177"/>
    <w:qFormat/>
    <w:uiPriority w:val="0"/>
    <w:rPr>
      <w:kern w:val="2"/>
      <w:sz w:val="21"/>
      <w:szCs w:val="24"/>
      <w:lang w:val="zh-CN" w:eastAsia="zh-CN"/>
    </w:rPr>
  </w:style>
  <w:style w:type="paragraph" w:customStyle="1" w:styleId="177">
    <w:name w:val="1"/>
    <w:link w:val="176"/>
    <w:qFormat/>
    <w:uiPriority w:val="0"/>
    <w:rPr>
      <w:rFonts w:ascii="Times New Roman" w:hAnsi="Times New Roman" w:eastAsia="宋体" w:cs="Times New Roman"/>
      <w:kern w:val="2"/>
      <w:sz w:val="21"/>
      <w:szCs w:val="24"/>
      <w:lang w:val="zh-CN" w:eastAsia="zh-CN" w:bidi="ar-SA"/>
    </w:rPr>
  </w:style>
  <w:style w:type="paragraph" w:customStyle="1" w:styleId="178">
    <w:name w:val="图文"/>
    <w:basedOn w:val="1"/>
    <w:qFormat/>
    <w:uiPriority w:val="0"/>
    <w:pPr>
      <w:adjustRightInd w:val="0"/>
      <w:snapToGrid w:val="0"/>
      <w:spacing w:after="50" w:line="360" w:lineRule="auto"/>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正文表格"/>
    <w:basedOn w:val="1"/>
    <w:link w:val="181"/>
    <w:qFormat/>
    <w:uiPriority w:val="0"/>
    <w:pPr>
      <w:adjustRightInd w:val="0"/>
      <w:snapToGrid w:val="0"/>
      <w:jc w:val="left"/>
    </w:pPr>
    <w:rPr>
      <w:rFonts w:ascii="宋体" w:hAnsi="宋体"/>
      <w:color w:val="000000"/>
      <w:szCs w:val="21"/>
    </w:rPr>
  </w:style>
  <w:style w:type="character" w:customStyle="1" w:styleId="181">
    <w:name w:val="正文表格 Char"/>
    <w:link w:val="180"/>
    <w:qFormat/>
    <w:uiPriority w:val="0"/>
    <w:rPr>
      <w:rFonts w:ascii="宋体" w:hAnsi="宋体"/>
      <w:color w:val="000000"/>
      <w:kern w:val="2"/>
      <w:sz w:val="21"/>
      <w:szCs w:val="21"/>
    </w:rPr>
  </w:style>
  <w:style w:type="paragraph" w:customStyle="1" w:styleId="182">
    <w:name w:val="正文重点"/>
    <w:basedOn w:val="1"/>
    <w:link w:val="183"/>
    <w:qFormat/>
    <w:uiPriority w:val="0"/>
    <w:pPr>
      <w:adjustRightInd w:val="0"/>
      <w:spacing w:line="360" w:lineRule="auto"/>
      <w:ind w:firstLine="482" w:firstLineChars="200"/>
      <w:jc w:val="left"/>
      <w:textAlignment w:val="baseline"/>
    </w:pPr>
    <w:rPr>
      <w:b/>
      <w:kern w:val="0"/>
      <w:sz w:val="24"/>
      <w:szCs w:val="20"/>
    </w:rPr>
  </w:style>
  <w:style w:type="character" w:customStyle="1" w:styleId="183">
    <w:name w:val="正文重点 Char"/>
    <w:link w:val="182"/>
    <w:qFormat/>
    <w:uiPriority w:val="0"/>
    <w:rPr>
      <w:b/>
      <w:sz w:val="24"/>
    </w:rPr>
  </w:style>
  <w:style w:type="character" w:customStyle="1" w:styleId="184">
    <w:name w:val="批注文字 字符1"/>
    <w:link w:val="15"/>
    <w:qFormat/>
    <w:uiPriority w:val="99"/>
    <w:rPr>
      <w:kern w:val="2"/>
      <w:sz w:val="21"/>
      <w:szCs w:val="24"/>
    </w:rPr>
  </w:style>
  <w:style w:type="paragraph" w:customStyle="1" w:styleId="185">
    <w:name w:val="标题1-附件"/>
    <w:basedOn w:val="2"/>
    <w:qFormat/>
    <w:uiPriority w:val="0"/>
    <w:pPr>
      <w:jc w:val="left"/>
    </w:pPr>
    <w:rPr>
      <w:sz w:val="24"/>
      <w:szCs w:val="24"/>
    </w:rPr>
  </w:style>
  <w:style w:type="paragraph" w:customStyle="1" w:styleId="186">
    <w:name w:val="正文小标题"/>
    <w:basedOn w:val="1"/>
    <w:next w:val="5"/>
    <w:link w:val="187"/>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7">
    <w:name w:val="正文小标题 Char"/>
    <w:link w:val="186"/>
    <w:qFormat/>
    <w:uiPriority w:val="0"/>
    <w:rPr>
      <w:rFonts w:ascii="宋体" w:hAnsi="宋体"/>
      <w:b/>
      <w:i/>
      <w:color w:val="FF0000"/>
      <w:kern w:val="2"/>
      <w:sz w:val="24"/>
    </w:rPr>
  </w:style>
  <w:style w:type="paragraph" w:customStyle="1" w:styleId="188">
    <w:name w:val="正文大标题"/>
    <w:basedOn w:val="186"/>
    <w:next w:val="5"/>
    <w:link w:val="189"/>
    <w:qFormat/>
    <w:uiPriority w:val="0"/>
    <w:pPr>
      <w:jc w:val="center"/>
    </w:pPr>
    <w:rPr>
      <w:i w:val="0"/>
      <w:color w:val="000000"/>
      <w:sz w:val="28"/>
      <w:szCs w:val="21"/>
    </w:rPr>
  </w:style>
  <w:style w:type="character" w:customStyle="1" w:styleId="189">
    <w:name w:val="正文大标题 Char"/>
    <w:link w:val="188"/>
    <w:qFormat/>
    <w:uiPriority w:val="0"/>
    <w:rPr>
      <w:rFonts w:ascii="宋体" w:hAnsi="宋体"/>
      <w:b/>
      <w:color w:val="000000"/>
      <w:kern w:val="2"/>
      <w:sz w:val="28"/>
      <w:szCs w:val="21"/>
    </w:rPr>
  </w:style>
  <w:style w:type="character" w:customStyle="1" w:styleId="190">
    <w:name w:val="标题 字符"/>
    <w:link w:val="40"/>
    <w:qFormat/>
    <w:uiPriority w:val="0"/>
    <w:rPr>
      <w:b/>
      <w:kern w:val="2"/>
      <w:sz w:val="32"/>
    </w:rPr>
  </w:style>
  <w:style w:type="paragraph" w:customStyle="1" w:styleId="191">
    <w:name w:val="注释"/>
    <w:basedOn w:val="1"/>
    <w:link w:val="192"/>
    <w:qFormat/>
    <w:uiPriority w:val="0"/>
    <w:pPr>
      <w:adjustRightInd w:val="0"/>
      <w:snapToGrid w:val="0"/>
      <w:ind w:left="420" w:hanging="420" w:hangingChars="200"/>
      <w:jc w:val="left"/>
    </w:pPr>
    <w:rPr>
      <w:rFonts w:ascii="宋体" w:hAnsi="宋体"/>
      <w:szCs w:val="21"/>
    </w:rPr>
  </w:style>
  <w:style w:type="character" w:customStyle="1" w:styleId="192">
    <w:name w:val="注释 Char"/>
    <w:link w:val="191"/>
    <w:qFormat/>
    <w:uiPriority w:val="0"/>
    <w:rPr>
      <w:rFonts w:ascii="宋体" w:hAnsi="宋体"/>
      <w:kern w:val="2"/>
      <w:sz w:val="21"/>
      <w:szCs w:val="21"/>
    </w:rPr>
  </w:style>
  <w:style w:type="paragraph" w:customStyle="1" w:styleId="193">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4">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5">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6">
    <w:name w:val="批注文字 字符"/>
    <w:qFormat/>
    <w:uiPriority w:val="99"/>
    <w:rPr>
      <w:rFonts w:ascii="Times New Roman" w:hAnsi="Times New Roman" w:eastAsia="宋体" w:cs="Times New Roman"/>
      <w:sz w:val="24"/>
      <w:lang w:val="en-US" w:eastAsia="zh-CN" w:bidi="ar-SA"/>
    </w:rPr>
  </w:style>
  <w:style w:type="character" w:customStyle="1" w:styleId="197">
    <w:name w:val="纯文本 字符"/>
    <w:qFormat/>
    <w:uiPriority w:val="99"/>
    <w:rPr>
      <w:rFonts w:ascii="宋体" w:hAnsi="Courier New" w:eastAsia="宋体" w:cs="Times New Roman"/>
      <w:kern w:val="2"/>
      <w:sz w:val="21"/>
      <w:szCs w:val="21"/>
      <w:lang w:val="en-US" w:eastAsia="zh-CN" w:bidi="ar-SA"/>
    </w:rPr>
  </w:style>
  <w:style w:type="paragraph" w:customStyle="1" w:styleId="198">
    <w:name w:val="表格1"/>
    <w:basedOn w:val="1"/>
    <w:qFormat/>
    <w:uiPriority w:val="0"/>
    <w:pPr>
      <w:ind w:firstLine="480" w:firstLineChars="200"/>
      <w:jc w:val="center"/>
    </w:pPr>
    <w:rPr>
      <w:sz w:val="24"/>
      <w:szCs w:val="20"/>
    </w:rPr>
  </w:style>
  <w:style w:type="character" w:customStyle="1" w:styleId="199">
    <w:name w:val="纯文本 字符1"/>
    <w:qFormat/>
    <w:uiPriority w:val="0"/>
    <w:rPr>
      <w:rFonts w:ascii="宋体" w:hAnsi="Courier New"/>
    </w:rPr>
  </w:style>
  <w:style w:type="character" w:customStyle="1" w:styleId="200">
    <w:name w:val="bjh-p"/>
    <w:qFormat/>
    <w:uiPriority w:val="0"/>
  </w:style>
  <w:style w:type="paragraph" w:customStyle="1" w:styleId="201">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2">
    <w:name w:val="正文格式 Char"/>
    <w:link w:val="203"/>
    <w:qFormat/>
    <w:locked/>
    <w:uiPriority w:val="0"/>
    <w:rPr>
      <w:rFonts w:ascii="宋体" w:hAnsi="宋体"/>
      <w:sz w:val="24"/>
      <w:szCs w:val="24"/>
      <w:lang w:val="en-GB"/>
    </w:rPr>
  </w:style>
  <w:style w:type="paragraph" w:customStyle="1" w:styleId="203">
    <w:name w:val="正文格式"/>
    <w:basedOn w:val="1"/>
    <w:link w:val="202"/>
    <w:qFormat/>
    <w:uiPriority w:val="0"/>
    <w:pPr>
      <w:spacing w:beforeLines="50" w:line="360" w:lineRule="auto"/>
      <w:ind w:firstLine="480" w:firstLineChars="200"/>
    </w:pPr>
    <w:rPr>
      <w:rFonts w:ascii="宋体" w:hAnsi="宋体"/>
      <w:kern w:val="0"/>
      <w:sz w:val="24"/>
      <w:lang w:val="en-GB"/>
    </w:rPr>
  </w:style>
  <w:style w:type="character" w:customStyle="1" w:styleId="204">
    <w:name w:val="纯文本 字符2"/>
    <w:basedOn w:val="47"/>
    <w:link w:val="24"/>
    <w:qFormat/>
    <w:uiPriority w:val="0"/>
    <w:rPr>
      <w:rFonts w:hint="eastAsia" w:ascii="宋体" w:hAnsi="Courier New" w:eastAsia="宋体" w:cs="宋体"/>
      <w:kern w:val="2"/>
      <w:sz w:val="21"/>
    </w:rPr>
  </w:style>
  <w:style w:type="character" w:customStyle="1" w:styleId="205">
    <w:name w:val="标题 3 Char"/>
    <w:qFormat/>
    <w:uiPriority w:val="0"/>
    <w:rPr>
      <w:rFonts w:ascii="宋体" w:eastAsia="宋体"/>
      <w:b/>
      <w:sz w:val="24"/>
      <w:u w:val="single"/>
      <w:lang w:val="en-US" w:eastAsia="zh-CN" w:bidi="ar-SA"/>
    </w:rPr>
  </w:style>
  <w:style w:type="character" w:customStyle="1" w:styleId="206">
    <w:name w:val="正文缩进 Char"/>
    <w:qFormat/>
    <w:uiPriority w:val="0"/>
    <w:rPr>
      <w:rFonts w:ascii="宋体" w:eastAsia="宋体"/>
      <w:kern w:val="2"/>
      <w:sz w:val="24"/>
      <w:szCs w:val="24"/>
      <w:lang w:val="en-US" w:eastAsia="zh-CN" w:bidi="ar-SA"/>
    </w:rPr>
  </w:style>
  <w:style w:type="character" w:customStyle="1" w:styleId="207">
    <w:name w:val="Char Char111"/>
    <w:qFormat/>
    <w:uiPriority w:val="0"/>
    <w:rPr>
      <w:rFonts w:ascii="宋体" w:eastAsia="宋体"/>
      <w:b/>
      <w:sz w:val="24"/>
      <w:u w:val="single"/>
      <w:lang w:val="en-US" w:eastAsia="zh-CN" w:bidi="ar-SA"/>
    </w:rPr>
  </w:style>
  <w:style w:type="character" w:customStyle="1" w:styleId="208">
    <w:name w:val="正文文本缩进 Char"/>
    <w:qFormat/>
    <w:uiPriority w:val="0"/>
    <w:rPr>
      <w:rFonts w:eastAsia="宋体"/>
      <w:kern w:val="2"/>
      <w:sz w:val="24"/>
      <w:szCs w:val="24"/>
      <w:lang w:val="en-US" w:eastAsia="zh-CN" w:bidi="ar-SA"/>
    </w:rPr>
  </w:style>
  <w:style w:type="character" w:customStyle="1" w:styleId="209">
    <w:name w:val="列出段落 Char"/>
    <w:qFormat/>
    <w:uiPriority w:val="0"/>
    <w:rPr>
      <w:rFonts w:ascii="Calibri" w:hAnsi="Calibri" w:eastAsia="宋体"/>
      <w:kern w:val="2"/>
      <w:sz w:val="21"/>
      <w:szCs w:val="22"/>
      <w:lang w:val="en-US" w:eastAsia="zh-CN" w:bidi="ar-SA"/>
    </w:rPr>
  </w:style>
  <w:style w:type="character" w:customStyle="1" w:styleId="210">
    <w:name w:val="页眉 Char"/>
    <w:qFormat/>
    <w:uiPriority w:val="0"/>
    <w:rPr>
      <w:rFonts w:eastAsia="宋体"/>
      <w:kern w:val="2"/>
      <w:sz w:val="18"/>
      <w:szCs w:val="18"/>
      <w:lang w:val="en-US" w:eastAsia="zh-CN" w:bidi="ar-SA"/>
    </w:rPr>
  </w:style>
  <w:style w:type="character" w:customStyle="1" w:styleId="211">
    <w:name w:val="标题 2 Char"/>
    <w:qFormat/>
    <w:uiPriority w:val="0"/>
    <w:rPr>
      <w:rFonts w:ascii="Arial" w:hAnsi="Arial" w:eastAsia="黑体"/>
      <w:b/>
      <w:sz w:val="30"/>
      <w:lang w:val="en-US" w:eastAsia="zh-CN" w:bidi="ar-SA"/>
    </w:rPr>
  </w:style>
  <w:style w:type="paragraph" w:customStyle="1" w:styleId="212">
    <w:name w:val="字元 字元2"/>
    <w:basedOn w:val="1"/>
    <w:qFormat/>
    <w:uiPriority w:val="0"/>
    <w:rPr>
      <w:rFonts w:ascii="Tahoma" w:hAnsi="Tahoma"/>
      <w:sz w:val="24"/>
      <w:szCs w:val="20"/>
    </w:rPr>
  </w:style>
  <w:style w:type="paragraph" w:customStyle="1" w:styleId="213">
    <w:name w:val="Char3 Char Char Char2"/>
    <w:basedOn w:val="1"/>
    <w:qFormat/>
    <w:uiPriority w:val="0"/>
    <w:rPr>
      <w:rFonts w:ascii="Tahoma" w:hAnsi="Tahoma"/>
      <w:sz w:val="24"/>
      <w:szCs w:val="20"/>
    </w:rPr>
  </w:style>
  <w:style w:type="paragraph" w:customStyle="1" w:styleId="21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5">
    <w:name w:val="Char3"/>
    <w:basedOn w:val="1"/>
    <w:qFormat/>
    <w:uiPriority w:val="0"/>
    <w:pPr>
      <w:tabs>
        <w:tab w:val="left" w:pos="360"/>
      </w:tabs>
    </w:pPr>
    <w:rPr>
      <w:sz w:val="24"/>
    </w:rPr>
  </w:style>
  <w:style w:type="paragraph" w:customStyle="1" w:styleId="216">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7">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列出段落2"/>
    <w:basedOn w:val="1"/>
    <w:qFormat/>
    <w:uiPriority w:val="0"/>
    <w:pPr>
      <w:ind w:firstLine="420" w:firstLineChars="200"/>
    </w:pPr>
    <w:rPr>
      <w:rFonts w:ascii="Calibri" w:hAnsi="Calibri"/>
      <w:szCs w:val="22"/>
    </w:rPr>
  </w:style>
  <w:style w:type="paragraph" w:customStyle="1" w:styleId="219">
    <w:name w:val="Char Char Char1 Char2"/>
    <w:basedOn w:val="1"/>
    <w:qFormat/>
    <w:uiPriority w:val="0"/>
    <w:rPr>
      <w:rFonts w:ascii="Tahoma" w:hAnsi="Tahoma"/>
      <w:sz w:val="24"/>
      <w:szCs w:val="20"/>
    </w:rPr>
  </w:style>
  <w:style w:type="paragraph" w:customStyle="1" w:styleId="220">
    <w:name w:val="Char Char Char2"/>
    <w:basedOn w:val="1"/>
    <w:qFormat/>
    <w:uiPriority w:val="0"/>
    <w:rPr>
      <w:rFonts w:ascii="Tahoma" w:hAnsi="Tahoma"/>
      <w:sz w:val="24"/>
      <w:szCs w:val="20"/>
    </w:rPr>
  </w:style>
  <w:style w:type="paragraph" w:customStyle="1" w:styleId="221">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2">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3">
    <w:name w:val="修订1"/>
    <w:qFormat/>
    <w:uiPriority w:val="0"/>
    <w:rPr>
      <w:rFonts w:ascii="Times New Roman" w:hAnsi="Times New Roman" w:eastAsia="宋体" w:cs="Times New Roman"/>
      <w:kern w:val="2"/>
      <w:sz w:val="21"/>
      <w:szCs w:val="24"/>
      <w:lang w:val="en-US" w:eastAsia="zh-CN" w:bidi="ar-SA"/>
    </w:rPr>
  </w:style>
  <w:style w:type="paragraph" w:customStyle="1" w:styleId="224">
    <w:name w:val="Char22"/>
    <w:basedOn w:val="1"/>
    <w:qFormat/>
    <w:uiPriority w:val="0"/>
    <w:rPr>
      <w:rFonts w:ascii="Tahoma" w:hAnsi="Tahoma"/>
      <w:sz w:val="24"/>
      <w:szCs w:val="20"/>
    </w:rPr>
  </w:style>
  <w:style w:type="paragraph" w:customStyle="1" w:styleId="225">
    <w:name w:val="Char Char Char Char Char Char Char Char Char Char2"/>
    <w:basedOn w:val="1"/>
    <w:qFormat/>
    <w:uiPriority w:val="0"/>
    <w:rPr>
      <w:rFonts w:ascii="宋体" w:hAnsi="宋体" w:cs="Courier New"/>
      <w:sz w:val="32"/>
      <w:szCs w:val="32"/>
    </w:rPr>
  </w:style>
  <w:style w:type="paragraph" w:customStyle="1" w:styleId="226">
    <w:name w:val="Char2 Char Char Char Char Char Char1"/>
    <w:basedOn w:val="1"/>
    <w:qFormat/>
    <w:uiPriority w:val="0"/>
    <w:pPr>
      <w:widowControl/>
      <w:spacing w:line="400" w:lineRule="exact"/>
      <w:jc w:val="center"/>
    </w:pPr>
  </w:style>
  <w:style w:type="character" w:customStyle="1" w:styleId="227">
    <w:name w:val="页脚 Char"/>
    <w:qFormat/>
    <w:uiPriority w:val="0"/>
    <w:rPr>
      <w:rFonts w:ascii="宋体" w:eastAsia="宋体"/>
      <w:sz w:val="18"/>
      <w:lang w:val="en-US" w:eastAsia="zh-CN" w:bidi="ar-SA"/>
    </w:rPr>
  </w:style>
  <w:style w:type="paragraph" w:customStyle="1" w:styleId="228">
    <w:name w:val="Char Char41"/>
    <w:basedOn w:val="1"/>
    <w:qFormat/>
    <w:uiPriority w:val="0"/>
    <w:pPr>
      <w:widowControl/>
      <w:spacing w:line="400" w:lineRule="exact"/>
      <w:jc w:val="center"/>
    </w:pPr>
  </w:style>
  <w:style w:type="character" w:customStyle="1" w:styleId="229">
    <w:name w:val="批注文字 Char"/>
    <w:qFormat/>
    <w:uiPriority w:val="99"/>
    <w:rPr>
      <w:kern w:val="2"/>
      <w:sz w:val="21"/>
      <w:szCs w:val="24"/>
    </w:rPr>
  </w:style>
  <w:style w:type="character" w:customStyle="1" w:styleId="230">
    <w:name w:val="标题 Char"/>
    <w:qFormat/>
    <w:uiPriority w:val="0"/>
    <w:rPr>
      <w:b/>
      <w:kern w:val="2"/>
      <w:sz w:val="32"/>
    </w:rPr>
  </w:style>
  <w:style w:type="character" w:customStyle="1" w:styleId="231">
    <w:name w:val="标题 1 字符"/>
    <w:basedOn w:val="47"/>
    <w:link w:val="2"/>
    <w:qFormat/>
    <w:uiPriority w:val="0"/>
    <w:rPr>
      <w:rFonts w:ascii="宋体"/>
      <w:b/>
      <w:kern w:val="44"/>
      <w:sz w:val="32"/>
    </w:rPr>
  </w:style>
  <w:style w:type="character" w:customStyle="1" w:styleId="232">
    <w:name w:val="标题 4 字符"/>
    <w:basedOn w:val="47"/>
    <w:link w:val="6"/>
    <w:qFormat/>
    <w:uiPriority w:val="0"/>
    <w:rPr>
      <w:rFonts w:ascii="Arial" w:hAnsi="Arial" w:eastAsia="黑体"/>
      <w:b/>
      <w:sz w:val="28"/>
    </w:rPr>
  </w:style>
  <w:style w:type="character" w:customStyle="1" w:styleId="233">
    <w:name w:val="标题 5 字符"/>
    <w:basedOn w:val="47"/>
    <w:link w:val="7"/>
    <w:qFormat/>
    <w:uiPriority w:val="0"/>
    <w:rPr>
      <w:b/>
      <w:sz w:val="28"/>
    </w:rPr>
  </w:style>
  <w:style w:type="character" w:customStyle="1" w:styleId="234">
    <w:name w:val="标题 6 字符"/>
    <w:basedOn w:val="47"/>
    <w:link w:val="8"/>
    <w:qFormat/>
    <w:uiPriority w:val="0"/>
    <w:rPr>
      <w:rFonts w:ascii="Arial" w:hAnsi="Arial" w:eastAsia="黑体"/>
      <w:b/>
      <w:sz w:val="24"/>
    </w:rPr>
  </w:style>
  <w:style w:type="character" w:customStyle="1" w:styleId="235">
    <w:name w:val="标题 7 字符"/>
    <w:basedOn w:val="47"/>
    <w:link w:val="9"/>
    <w:qFormat/>
    <w:uiPriority w:val="0"/>
    <w:rPr>
      <w:b/>
      <w:sz w:val="24"/>
    </w:rPr>
  </w:style>
  <w:style w:type="character" w:customStyle="1" w:styleId="236">
    <w:name w:val="标题 8 字符"/>
    <w:basedOn w:val="47"/>
    <w:link w:val="10"/>
    <w:qFormat/>
    <w:uiPriority w:val="0"/>
    <w:rPr>
      <w:rFonts w:ascii="Arial" w:hAnsi="Arial" w:eastAsia="黑体"/>
      <w:sz w:val="24"/>
    </w:rPr>
  </w:style>
  <w:style w:type="character" w:customStyle="1" w:styleId="237">
    <w:name w:val="标题 9 字符"/>
    <w:basedOn w:val="47"/>
    <w:link w:val="11"/>
    <w:qFormat/>
    <w:uiPriority w:val="0"/>
    <w:rPr>
      <w:rFonts w:ascii="Arial" w:hAnsi="Arial" w:eastAsia="黑体"/>
      <w:sz w:val="21"/>
    </w:rPr>
  </w:style>
  <w:style w:type="character" w:customStyle="1" w:styleId="238">
    <w:name w:val="文档结构图 字符"/>
    <w:basedOn w:val="47"/>
    <w:link w:val="14"/>
    <w:qFormat/>
    <w:uiPriority w:val="0"/>
    <w:rPr>
      <w:kern w:val="2"/>
      <w:sz w:val="21"/>
      <w:szCs w:val="24"/>
      <w:shd w:val="clear" w:color="auto" w:fill="000080"/>
    </w:rPr>
  </w:style>
  <w:style w:type="character" w:customStyle="1" w:styleId="239">
    <w:name w:val="正文文本 3 字符"/>
    <w:basedOn w:val="47"/>
    <w:link w:val="16"/>
    <w:qFormat/>
    <w:uiPriority w:val="0"/>
    <w:rPr>
      <w:kern w:val="2"/>
      <w:sz w:val="16"/>
      <w:szCs w:val="16"/>
    </w:rPr>
  </w:style>
  <w:style w:type="character" w:customStyle="1" w:styleId="240">
    <w:name w:val="正文文本 字符"/>
    <w:basedOn w:val="47"/>
    <w:link w:val="17"/>
    <w:qFormat/>
    <w:uiPriority w:val="0"/>
    <w:rPr>
      <w:rFonts w:ascii="宋体" w:hAnsi="宋体"/>
      <w:kern w:val="2"/>
      <w:sz w:val="24"/>
      <w:szCs w:val="24"/>
    </w:rPr>
  </w:style>
  <w:style w:type="character" w:customStyle="1" w:styleId="241">
    <w:name w:val="日期 字符"/>
    <w:basedOn w:val="47"/>
    <w:link w:val="26"/>
    <w:qFormat/>
    <w:uiPriority w:val="0"/>
    <w:rPr>
      <w:rFonts w:ascii="仿宋_GB2312" w:hAnsi="宋体" w:eastAsia="仿宋_GB2312"/>
      <w:color w:val="000000"/>
      <w:kern w:val="2"/>
      <w:sz w:val="24"/>
      <w:szCs w:val="24"/>
    </w:rPr>
  </w:style>
  <w:style w:type="character" w:customStyle="1" w:styleId="242">
    <w:name w:val="正文文本缩进 2 字符"/>
    <w:basedOn w:val="47"/>
    <w:link w:val="27"/>
    <w:qFormat/>
    <w:uiPriority w:val="0"/>
    <w:rPr>
      <w:rFonts w:ascii="仿宋_GB2312" w:eastAsia="仿宋_GB2312"/>
      <w:kern w:val="2"/>
      <w:sz w:val="24"/>
      <w:szCs w:val="24"/>
    </w:rPr>
  </w:style>
  <w:style w:type="character" w:customStyle="1" w:styleId="243">
    <w:name w:val="批注框文本 字符"/>
    <w:basedOn w:val="47"/>
    <w:link w:val="28"/>
    <w:qFormat/>
    <w:uiPriority w:val="0"/>
    <w:rPr>
      <w:kern w:val="2"/>
      <w:sz w:val="18"/>
      <w:szCs w:val="18"/>
    </w:rPr>
  </w:style>
  <w:style w:type="character" w:customStyle="1" w:styleId="244">
    <w:name w:val="正文文本缩进 3 字符"/>
    <w:basedOn w:val="47"/>
    <w:link w:val="34"/>
    <w:qFormat/>
    <w:uiPriority w:val="0"/>
    <w:rPr>
      <w:rFonts w:ascii="宋体"/>
      <w:sz w:val="24"/>
    </w:rPr>
  </w:style>
  <w:style w:type="character" w:customStyle="1" w:styleId="245">
    <w:name w:val="HTML 预设格式 字符"/>
    <w:basedOn w:val="47"/>
    <w:link w:val="37"/>
    <w:qFormat/>
    <w:uiPriority w:val="0"/>
    <w:rPr>
      <w:rFonts w:ascii="宋体" w:hAnsi="宋体" w:cs="宋体"/>
      <w:sz w:val="24"/>
      <w:szCs w:val="24"/>
    </w:rPr>
  </w:style>
  <w:style w:type="character" w:customStyle="1" w:styleId="246">
    <w:name w:val="批注主题 字符"/>
    <w:basedOn w:val="196"/>
    <w:link w:val="41"/>
    <w:qFormat/>
    <w:uiPriority w:val="0"/>
    <w:rPr>
      <w:rFonts w:ascii="Times New Roman" w:hAnsi="Times New Roman" w:eastAsia="宋体" w:cs="Times New Roman"/>
      <w:b/>
      <w:bCs/>
      <w:kern w:val="2"/>
      <w:sz w:val="21"/>
      <w:szCs w:val="24"/>
      <w:lang w:val="en-US" w:eastAsia="zh-CN" w:bidi="ar-SA"/>
    </w:rPr>
  </w:style>
  <w:style w:type="character" w:customStyle="1" w:styleId="247">
    <w:name w:val="正文文本首行缩进 2 字符"/>
    <w:basedOn w:val="69"/>
    <w:link w:val="43"/>
    <w:qFormat/>
    <w:uiPriority w:val="99"/>
    <w:rPr>
      <w:rFonts w:eastAsia="宋体"/>
      <w:kern w:val="2"/>
      <w:sz w:val="24"/>
      <w:szCs w:val="24"/>
      <w:lang w:val="en-US" w:eastAsia="zh-CN" w:bidi="ar-SA"/>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paragraph" w:customStyle="1" w:styleId="249">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50">
    <w:name w:val="Table Normal"/>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51">
    <w:name w:val="pf0"/>
    <w:basedOn w:val="1"/>
    <w:qFormat/>
    <w:uiPriority w:val="0"/>
    <w:pPr>
      <w:widowControl/>
      <w:spacing w:before="100" w:beforeAutospacing="1" w:after="100" w:afterAutospacing="1"/>
      <w:jc w:val="left"/>
    </w:pPr>
    <w:rPr>
      <w:rFonts w:ascii="宋体" w:hAnsi="宋体" w:cs="宋体"/>
      <w:kern w:val="0"/>
      <w:sz w:val="24"/>
    </w:rPr>
  </w:style>
  <w:style w:type="table" w:customStyle="1" w:styleId="252">
    <w:name w:val="TableGrid"/>
    <w:qFormat/>
    <w:uiPriority w:val="0"/>
    <w:tblPr>
      <w:tblCellMar>
        <w:top w:w="0" w:type="dxa"/>
        <w:left w:w="0" w:type="dxa"/>
        <w:bottom w:w="0" w:type="dxa"/>
        <w:right w:w="0" w:type="dxa"/>
      </w:tblCellMar>
    </w:tblPr>
  </w:style>
  <w:style w:type="paragraph" w:customStyle="1" w:styleId="25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254">
    <w:name w:val="列出段落11"/>
    <w:basedOn w:val="1"/>
    <w:qFormat/>
    <w:uiPriority w:val="99"/>
    <w:pPr>
      <w:widowControl/>
      <w:adjustRightInd/>
      <w:spacing w:before="40" w:after="160" w:line="240" w:lineRule="auto"/>
      <w:ind w:firstLine="420" w:firstLineChars="200"/>
      <w:textAlignment w:val="auto"/>
    </w:pPr>
    <w:rPr>
      <w:rFonts w:ascii="Cambria" w:hAnsi="Cambria" w:eastAsia="微软雅黑" w:cs="Cambria"/>
      <w:color w:val="565656"/>
      <w:kern w:val="20"/>
      <w:sz w:val="21"/>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image" Target="media/image2.wmf"/><Relationship Id="rId37" Type="http://schemas.openxmlformats.org/officeDocument/2006/relationships/image" Target="media/image1.png"/><Relationship Id="rId36" Type="http://schemas.openxmlformats.org/officeDocument/2006/relationships/theme" Target="theme/theme1.xml"/><Relationship Id="rId35" Type="http://schemas.openxmlformats.org/officeDocument/2006/relationships/footer" Target="footer18.xml"/><Relationship Id="rId34" Type="http://schemas.openxmlformats.org/officeDocument/2006/relationships/footer" Target="footer17.xml"/><Relationship Id="rId33" Type="http://schemas.openxmlformats.org/officeDocument/2006/relationships/header" Target="header15.xml"/><Relationship Id="rId32" Type="http://schemas.openxmlformats.org/officeDocument/2006/relationships/header" Target="header14.xml"/><Relationship Id="rId31" Type="http://schemas.openxmlformats.org/officeDocument/2006/relationships/footer" Target="footer16.xml"/><Relationship Id="rId30" Type="http://schemas.openxmlformats.org/officeDocument/2006/relationships/footer" Target="footer15.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5BB8E-74DB-4120-9504-D1EBA63FA00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154</Pages>
  <Words>5473</Words>
  <Characters>6099</Characters>
  <Lines>105</Lines>
  <Paragraphs>209</Paragraphs>
  <TotalTime>4</TotalTime>
  <ScaleCrop>false</ScaleCrop>
  <LinksUpToDate>false</LinksUpToDate>
  <CharactersWithSpaces>6228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华采</cp:lastModifiedBy>
  <cp:lastPrinted>2026-01-30T09:20:00Z</cp:lastPrinted>
  <dcterms:modified xsi:type="dcterms:W3CDTF">2026-07-23T02:12:59Z</dcterms:modified>
  <dc:title>政府采购示范文本（2023）</dc:title>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B196972313054D4789BB25DBD05B5736</vt:lpwstr>
  </property>
  <property fmtid="{D5CDD505-2E9C-101B-9397-08002B2CF9AE}" pid="4" name="KSOTemplateDocerSaveRecord">
    <vt:lpwstr>eyJoZGlkIjoiYzYxZjBhZDE1YWJhOGZkNDg2Mjk3YWQ0OGI4NWM1NWMiLCJ1c2VySWQiOiI0ODI2MzU4NjMifQ==</vt:lpwstr>
  </property>
</Properties>
</file>