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EC65C">
      <w:pPr>
        <w:tabs>
          <w:tab w:val="left" w:pos="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 w:eastAsia="宋体"/>
          <w:b/>
          <w:bCs/>
          <w:sz w:val="28"/>
          <w:szCs w:val="28"/>
        </w:rPr>
      </w:pPr>
      <w:bookmarkStart w:id="0" w:name="_Toc28359022"/>
      <w:bookmarkStart w:id="1" w:name="_Toc35393809"/>
      <w:r>
        <w:rPr>
          <w:rFonts w:hint="eastAsia" w:ascii="Times New Roman" w:hAnsi="Times New Roman" w:eastAsia="宋体"/>
          <w:b/>
          <w:bCs/>
          <w:sz w:val="28"/>
          <w:szCs w:val="28"/>
          <w:lang w:eastAsia="zh-CN"/>
        </w:rPr>
        <w:t>支付方式改革推进工作咨询服务</w:t>
      </w:r>
      <w:r>
        <w:rPr>
          <w:rFonts w:ascii="Times New Roman" w:hAnsi="Times New Roman" w:eastAsia="宋体"/>
          <w:b/>
          <w:bCs/>
          <w:sz w:val="28"/>
          <w:szCs w:val="28"/>
        </w:rPr>
        <w:t>中标公告</w:t>
      </w:r>
      <w:bookmarkEnd w:id="0"/>
      <w:bookmarkEnd w:id="1"/>
    </w:p>
    <w:p w14:paraId="0F71F017">
      <w:pPr>
        <w:snapToGrid w:val="0"/>
        <w:spacing w:line="360" w:lineRule="auto"/>
        <w:rPr>
          <w:rFonts w:hint="eastAsia" w:ascii="Times New Roman" w:hAnsi="Times New Roman" w:eastAsia="宋体"/>
          <w:sz w:val="24"/>
          <w:szCs w:val="24"/>
          <w:lang w:eastAsia="zh-CN"/>
        </w:rPr>
      </w:pPr>
      <w:r>
        <w:rPr>
          <w:rFonts w:ascii="Times New Roman" w:hAnsi="Times New Roman" w:eastAsia="宋体"/>
          <w:sz w:val="24"/>
          <w:szCs w:val="24"/>
        </w:rPr>
        <w:t>一、项目编号</w:t>
      </w:r>
      <w:r>
        <w:rPr>
          <w:rFonts w:hint="eastAsia" w:ascii="Times New Roman" w:hAnsi="Times New Roman" w:eastAsia="宋体"/>
          <w:sz w:val="24"/>
          <w:szCs w:val="24"/>
        </w:rPr>
        <w:t>：</w:t>
      </w:r>
      <w:r>
        <w:rPr>
          <w:rFonts w:hint="eastAsia" w:ascii="Times New Roman" w:hAnsi="Times New Roman" w:eastAsia="宋体"/>
          <w:sz w:val="24"/>
          <w:szCs w:val="24"/>
          <w:lang w:eastAsia="zh-CN"/>
        </w:rPr>
        <w:t>BJJQ-2026-743</w:t>
      </w:r>
    </w:p>
    <w:p w14:paraId="7F486EBB">
      <w:pPr>
        <w:snapToGrid w:val="0"/>
        <w:spacing w:line="360" w:lineRule="auto"/>
        <w:rPr>
          <w:rFonts w:hint="eastAsia" w:ascii="Times New Roman" w:hAnsi="Times New Roman" w:eastAsia="宋体"/>
          <w:sz w:val="24"/>
          <w:szCs w:val="24"/>
          <w:u w:val="single"/>
          <w:lang w:eastAsia="zh-CN"/>
        </w:rPr>
      </w:pPr>
      <w:r>
        <w:rPr>
          <w:rFonts w:ascii="Times New Roman" w:hAnsi="Times New Roman" w:eastAsia="宋体"/>
          <w:sz w:val="24"/>
          <w:szCs w:val="24"/>
        </w:rPr>
        <w:t>二、项目名称：</w:t>
      </w:r>
      <w:r>
        <w:rPr>
          <w:rFonts w:hint="eastAsia" w:ascii="Times New Roman" w:hAnsi="Times New Roman" w:eastAsia="宋体"/>
          <w:sz w:val="24"/>
          <w:szCs w:val="24"/>
          <w:lang w:eastAsia="zh-CN"/>
        </w:rPr>
        <w:t>支付方式改革推进工作咨询服务</w:t>
      </w:r>
    </w:p>
    <w:p w14:paraId="751367D6">
      <w:pPr>
        <w:snapToGrid w:val="0"/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三、中标信息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2"/>
        <w:gridCol w:w="1740"/>
        <w:gridCol w:w="3179"/>
        <w:gridCol w:w="1692"/>
        <w:gridCol w:w="1014"/>
      </w:tblGrid>
      <w:tr w14:paraId="5E8C3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2272" w:type="dxa"/>
            <w:vAlign w:val="center"/>
          </w:tcPr>
          <w:p w14:paraId="520E9D45">
            <w:pPr>
              <w:snapToGrid w:val="0"/>
              <w:spacing w:line="360" w:lineRule="auto"/>
              <w:jc w:val="center"/>
              <w:rPr>
                <w:rFonts w:ascii="Times New Roman" w:hAnsi="Times New Roman" w:eastAsia="宋体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auto"/>
                <w:sz w:val="24"/>
                <w:szCs w:val="24"/>
              </w:rPr>
              <w:t>中标人名称</w:t>
            </w:r>
          </w:p>
        </w:tc>
        <w:tc>
          <w:tcPr>
            <w:tcW w:w="1740" w:type="dxa"/>
            <w:vAlign w:val="center"/>
          </w:tcPr>
          <w:p w14:paraId="6D777AF0">
            <w:pPr>
              <w:snapToGrid w:val="0"/>
              <w:spacing w:line="360" w:lineRule="auto"/>
              <w:jc w:val="center"/>
              <w:rPr>
                <w:rFonts w:ascii="Times New Roman" w:hAnsi="Times New Roman" w:eastAsia="宋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sz w:val="24"/>
                <w:szCs w:val="24"/>
              </w:rPr>
              <w:t>统一社会信用代码</w:t>
            </w:r>
          </w:p>
        </w:tc>
        <w:tc>
          <w:tcPr>
            <w:tcW w:w="3179" w:type="dxa"/>
            <w:vAlign w:val="center"/>
          </w:tcPr>
          <w:p w14:paraId="58EA52F9">
            <w:pPr>
              <w:snapToGrid w:val="0"/>
              <w:spacing w:line="360" w:lineRule="auto"/>
              <w:jc w:val="center"/>
              <w:rPr>
                <w:rFonts w:ascii="Times New Roman" w:hAnsi="Times New Roman" w:eastAsia="宋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sz w:val="24"/>
                <w:szCs w:val="24"/>
              </w:rPr>
              <w:t>地址</w:t>
            </w:r>
          </w:p>
        </w:tc>
        <w:tc>
          <w:tcPr>
            <w:tcW w:w="1692" w:type="dxa"/>
            <w:vAlign w:val="center"/>
          </w:tcPr>
          <w:p w14:paraId="1F93E8F4">
            <w:pPr>
              <w:snapToGrid w:val="0"/>
              <w:spacing w:line="360" w:lineRule="auto"/>
              <w:jc w:val="center"/>
              <w:rPr>
                <w:rFonts w:ascii="Times New Roman" w:hAnsi="Times New Roman" w:eastAsia="宋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sz w:val="24"/>
                <w:szCs w:val="24"/>
              </w:rPr>
              <w:t>中标金额</w:t>
            </w:r>
          </w:p>
        </w:tc>
        <w:tc>
          <w:tcPr>
            <w:tcW w:w="1014" w:type="dxa"/>
            <w:vAlign w:val="center"/>
          </w:tcPr>
          <w:p w14:paraId="01A5F867">
            <w:pPr>
              <w:snapToGrid w:val="0"/>
              <w:spacing w:line="360" w:lineRule="auto"/>
              <w:jc w:val="center"/>
              <w:rPr>
                <w:rFonts w:ascii="Times New Roman" w:hAnsi="Times New Roman" w:eastAsia="宋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sz w:val="24"/>
                <w:szCs w:val="24"/>
              </w:rPr>
              <w:t>评审总得分</w:t>
            </w:r>
          </w:p>
        </w:tc>
      </w:tr>
      <w:tr w14:paraId="2DD49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</w:trPr>
        <w:tc>
          <w:tcPr>
            <w:tcW w:w="2272" w:type="dxa"/>
            <w:vAlign w:val="center"/>
          </w:tcPr>
          <w:p w14:paraId="11B1D681">
            <w:pPr>
              <w:snapToGrid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eastAsia="zh-CN"/>
              </w:rPr>
              <w:t>北京市卫生经济学会</w:t>
            </w:r>
          </w:p>
        </w:tc>
        <w:tc>
          <w:tcPr>
            <w:tcW w:w="1740" w:type="dxa"/>
            <w:vAlign w:val="center"/>
          </w:tcPr>
          <w:p w14:paraId="48686CB4">
            <w:pPr>
              <w:snapToGrid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</w:rPr>
              <w:t>51110000500306460B</w:t>
            </w:r>
          </w:p>
        </w:tc>
        <w:tc>
          <w:tcPr>
            <w:tcW w:w="3179" w:type="dxa"/>
            <w:vAlign w:val="center"/>
          </w:tcPr>
          <w:p w14:paraId="1E087510">
            <w:pPr>
              <w:snapToGrid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  <w:t>北京市西城区广安门内大街118号东华金座3049室</w:t>
            </w:r>
          </w:p>
        </w:tc>
        <w:tc>
          <w:tcPr>
            <w:tcW w:w="1692" w:type="dxa"/>
            <w:vAlign w:val="center"/>
          </w:tcPr>
          <w:p w14:paraId="16AF29A7">
            <w:pPr>
              <w:snapToGrid w:val="0"/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4"/>
                <w:szCs w:val="24"/>
                <w:lang w:val="en-US" w:eastAsia="zh-CN"/>
              </w:rPr>
              <w:t>￥</w:t>
            </w:r>
            <w:r>
              <w:rPr>
                <w:rFonts w:hint="default" w:ascii="Times New Roman" w:hAnsi="Times New Roman" w:eastAsia="宋体"/>
                <w:color w:val="auto"/>
                <w:sz w:val="24"/>
                <w:szCs w:val="24"/>
                <w:lang w:val="en-US" w:eastAsia="zh-CN"/>
              </w:rPr>
              <w:t>3307000</w:t>
            </w:r>
            <w:r>
              <w:rPr>
                <w:rFonts w:hint="eastAsia" w:ascii="Times New Roman" w:hAnsi="Times New Roman" w:eastAsia="宋体"/>
                <w:color w:val="auto"/>
                <w:sz w:val="24"/>
                <w:szCs w:val="24"/>
                <w:lang w:val="en-US" w:eastAsia="zh-CN"/>
              </w:rPr>
              <w:t>.00</w:t>
            </w:r>
          </w:p>
        </w:tc>
        <w:tc>
          <w:tcPr>
            <w:tcW w:w="1014" w:type="dxa"/>
            <w:vAlign w:val="center"/>
          </w:tcPr>
          <w:p w14:paraId="2005A46C">
            <w:pPr>
              <w:snapToGrid w:val="0"/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color w:val="auto"/>
                <w:sz w:val="24"/>
                <w:szCs w:val="24"/>
                <w:lang w:val="en-US" w:eastAsia="zh-CN"/>
              </w:rPr>
              <w:t>96.18</w:t>
            </w:r>
          </w:p>
        </w:tc>
      </w:tr>
    </w:tbl>
    <w:p w14:paraId="65D074C2">
      <w:pPr>
        <w:snapToGrid w:val="0"/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四、主要标的信息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2"/>
      </w:tblGrid>
      <w:tr w14:paraId="2F76F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000" w:type="pct"/>
          </w:tcPr>
          <w:p w14:paraId="669D9B4A">
            <w:pPr>
              <w:snapToGrid w:val="0"/>
              <w:spacing w:line="360" w:lineRule="auto"/>
              <w:jc w:val="center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服务类</w:t>
            </w:r>
          </w:p>
        </w:tc>
      </w:tr>
      <w:tr w14:paraId="3E552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137CECA9">
            <w:pPr>
              <w:snapToGrid w:val="0"/>
              <w:spacing w:line="360" w:lineRule="auto"/>
              <w:rPr>
                <w:rFonts w:hint="eastAsia" w:ascii="Times New Roman" w:hAnsi="Times New Roman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名称：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lang w:eastAsia="zh-CN"/>
              </w:rPr>
              <w:t>支付方式改革推进工作咨询服务</w:t>
            </w:r>
          </w:p>
          <w:p w14:paraId="2BA402FA">
            <w:pPr>
              <w:snapToGrid w:val="0"/>
              <w:spacing w:line="360" w:lineRule="auto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服务范围、服务要求：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按照国家医保局、北京市医保局相关部署要求，开展支付方式改革推进工作咨询服务，重点包括：为国家和北京按病组（DRG）付费改革提供技术支持、做好宣传培训工作、落实配合国家和北京其他支付方式改革工作等。</w:t>
            </w:r>
          </w:p>
          <w:p w14:paraId="0AB7AD93">
            <w:pPr>
              <w:snapToGrid w:val="0"/>
              <w:spacing w:line="360" w:lineRule="auto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服务时间：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2026年11月1日至2027年10月31日，为期12个月。</w:t>
            </w:r>
          </w:p>
          <w:p w14:paraId="510F4119">
            <w:pPr>
              <w:snapToGrid w:val="0"/>
              <w:spacing w:line="360" w:lineRule="auto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服务标准：详见招标文件</w:t>
            </w:r>
          </w:p>
        </w:tc>
      </w:tr>
    </w:tbl>
    <w:p w14:paraId="552422E2">
      <w:pPr>
        <w:snapToGrid w:val="0"/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五、评审专家名单：</w:t>
      </w:r>
      <w:r>
        <w:rPr>
          <w:rFonts w:hint="eastAsia" w:ascii="Times New Roman" w:hAnsi="Times New Roman" w:eastAsia="宋体" w:cs="Times New Roman"/>
          <w:sz w:val="24"/>
          <w:szCs w:val="24"/>
        </w:rPr>
        <w:t>郭小洁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、范莉、张美莲、赵宗玲、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程超</w:t>
      </w:r>
    </w:p>
    <w:p w14:paraId="48A8E78B">
      <w:pPr>
        <w:snapToGrid w:val="0"/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六、代理服务收费标准及金</w:t>
      </w:r>
      <w:r>
        <w:rPr>
          <w:rFonts w:ascii="Times New Roman" w:hAnsi="Times New Roman" w:eastAsia="宋体"/>
          <w:color w:val="auto"/>
          <w:sz w:val="24"/>
          <w:szCs w:val="24"/>
        </w:rPr>
        <w:t>额：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4.4377</w:t>
      </w:r>
      <w:r>
        <w:rPr>
          <w:rFonts w:ascii="Times New Roman" w:hAnsi="Times New Roman" w:eastAsia="宋体"/>
          <w:color w:val="auto"/>
          <w:sz w:val="24"/>
          <w:szCs w:val="24"/>
        </w:rPr>
        <w:t>万元（收费标准详见招标文件</w:t>
      </w:r>
      <w:r>
        <w:rPr>
          <w:rFonts w:ascii="Times New Roman" w:hAnsi="Times New Roman" w:eastAsia="宋体"/>
          <w:sz w:val="24"/>
          <w:szCs w:val="24"/>
        </w:rPr>
        <w:t>）</w:t>
      </w:r>
    </w:p>
    <w:p w14:paraId="6E913809">
      <w:pPr>
        <w:snapToGrid w:val="0"/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七、公告期限</w:t>
      </w:r>
      <w:bookmarkStart w:id="2" w:name="_GoBack"/>
      <w:bookmarkEnd w:id="2"/>
    </w:p>
    <w:p w14:paraId="1E7A0050">
      <w:pPr>
        <w:snapToGrid w:val="0"/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自本公告发布之日起1个工作日。</w:t>
      </w:r>
    </w:p>
    <w:p w14:paraId="105EBC65">
      <w:pPr>
        <w:snapToGrid w:val="0"/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八、其他补充事宜</w:t>
      </w:r>
    </w:p>
    <w:p w14:paraId="25F8BAE1">
      <w:pPr>
        <w:snapToGrid w:val="0"/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8.1本公告同时在中国政府采购网（http://www.ccgp.gov.cn）、北京市政府采购网（http://www.ccgp-beijing.gov.cn/）发布。</w:t>
      </w:r>
    </w:p>
    <w:p w14:paraId="7ABE0D51">
      <w:pPr>
        <w:snapToGrid w:val="0"/>
        <w:spacing w:line="360" w:lineRule="auto"/>
        <w:ind w:firstLine="480" w:firstLineChars="200"/>
        <w:rPr>
          <w:rFonts w:hint="eastAsia" w:ascii="Times New Roman" w:hAnsi="Times New Roman" w:eastAsia="宋体"/>
          <w:sz w:val="24"/>
          <w:szCs w:val="24"/>
          <w:lang w:eastAsia="zh-CN"/>
        </w:rPr>
      </w:pPr>
      <w:r>
        <w:rPr>
          <w:rFonts w:ascii="Times New Roman" w:hAnsi="Times New Roman" w:eastAsia="宋体"/>
          <w:kern w:val="0"/>
          <w:sz w:val="24"/>
          <w:szCs w:val="24"/>
        </w:rPr>
        <w:t>8.2采购代理机构项目编号：</w:t>
      </w:r>
      <w:r>
        <w:rPr>
          <w:rFonts w:hint="eastAsia" w:ascii="Times New Roman" w:hAnsi="Times New Roman" w:eastAsia="宋体"/>
          <w:sz w:val="24"/>
          <w:szCs w:val="24"/>
          <w:lang w:eastAsia="zh-CN"/>
        </w:rPr>
        <w:t>BJJQ-2026-743</w:t>
      </w:r>
    </w:p>
    <w:p w14:paraId="2D27C09A">
      <w:pPr>
        <w:snapToGrid w:val="0"/>
        <w:spacing w:line="360" w:lineRule="auto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九、凡对本次公告内容提出询问，请按以下方式联系。</w:t>
      </w:r>
    </w:p>
    <w:p w14:paraId="47CDB815">
      <w:pPr>
        <w:snapToGrid w:val="0"/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1.采购人信息</w:t>
      </w:r>
    </w:p>
    <w:p w14:paraId="79C95EA2">
      <w:pPr>
        <w:snapToGrid w:val="0"/>
        <w:spacing w:line="360" w:lineRule="auto"/>
        <w:ind w:firstLine="480" w:firstLineChars="200"/>
        <w:rPr>
          <w:rFonts w:hint="eastAsia"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名    称：北京市医疗保障局</w:t>
      </w:r>
    </w:p>
    <w:p w14:paraId="28DE670F">
      <w:pPr>
        <w:snapToGrid w:val="0"/>
        <w:spacing w:line="360" w:lineRule="auto"/>
        <w:ind w:firstLine="480" w:firstLineChars="200"/>
        <w:rPr>
          <w:rFonts w:hint="eastAsia"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地    址：北京市通州区留庄路5号院</w:t>
      </w:r>
    </w:p>
    <w:p w14:paraId="7167408C">
      <w:pPr>
        <w:snapToGrid w:val="0"/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联系方式：金老师，010-55528766</w:t>
      </w:r>
    </w:p>
    <w:p w14:paraId="4B5B2D17">
      <w:pPr>
        <w:snapToGrid w:val="0"/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2.采购代理机构信息</w:t>
      </w:r>
    </w:p>
    <w:p w14:paraId="073569F5">
      <w:pPr>
        <w:snapToGrid w:val="0"/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名    称：北京汇诚金桥国际招标咨询有限公司</w:t>
      </w:r>
    </w:p>
    <w:p w14:paraId="122B6619">
      <w:pPr>
        <w:snapToGrid w:val="0"/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地    址：北京市东城区朝阳门内大街南竹杆胡同6号北京INN3号楼9层</w:t>
      </w:r>
    </w:p>
    <w:p w14:paraId="0FD2008F">
      <w:pPr>
        <w:snapToGrid w:val="0"/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联系方式：</w:t>
      </w:r>
      <w:r>
        <w:rPr>
          <w:rFonts w:hint="eastAsia" w:ascii="Times New Roman" w:hAnsi="Times New Roman" w:eastAsia="宋体"/>
          <w:sz w:val="24"/>
          <w:szCs w:val="24"/>
        </w:rPr>
        <w:t>010-65173825</w:t>
      </w:r>
    </w:p>
    <w:p w14:paraId="47923A68">
      <w:pPr>
        <w:snapToGrid w:val="0"/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3.项目联系方式</w:t>
      </w:r>
    </w:p>
    <w:p w14:paraId="6DCB0027">
      <w:pPr>
        <w:snapToGrid w:val="0"/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项目联系人：</w:t>
      </w:r>
      <w:r>
        <w:rPr>
          <w:rFonts w:hint="eastAsia" w:ascii="Times New Roman" w:hAnsi="Times New Roman" w:eastAsia="宋体"/>
          <w:sz w:val="24"/>
          <w:szCs w:val="24"/>
        </w:rPr>
        <w:t>王秋凌、刘倩</w:t>
      </w:r>
    </w:p>
    <w:p w14:paraId="29D72890">
      <w:pPr>
        <w:snapToGrid w:val="0"/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电      话：</w:t>
      </w:r>
      <w:r>
        <w:rPr>
          <w:rFonts w:hint="eastAsia" w:ascii="Times New Roman" w:hAnsi="Times New Roman" w:eastAsia="宋体"/>
          <w:sz w:val="24"/>
          <w:szCs w:val="24"/>
        </w:rPr>
        <w:t>010-65173825</w:t>
      </w:r>
    </w:p>
    <w:p w14:paraId="4C0F3015">
      <w:pPr>
        <w:snapToGrid w:val="0"/>
        <w:spacing w:line="360" w:lineRule="auto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十、附件</w:t>
      </w:r>
    </w:p>
    <w:p w14:paraId="3655DE99">
      <w:pPr>
        <w:snapToGrid w:val="0"/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1.采购文件</w:t>
      </w:r>
    </w:p>
    <w:p w14:paraId="29D68D7E">
      <w:pPr>
        <w:snapToGrid w:val="0"/>
        <w:spacing w:line="360" w:lineRule="auto"/>
        <w:ind w:firstLine="480" w:firstLineChars="200"/>
        <w:rPr>
          <w:rFonts w:hint="default" w:ascii="Times New Roman" w:hAnsi="Times New Roman" w:eastAsia="宋体"/>
          <w:color w:val="0000FF"/>
          <w:kern w:val="0"/>
          <w:sz w:val="24"/>
          <w:szCs w:val="24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WRlMDc5ZmI4OGJkMzU2ZmQ2ZGJkNGUwMGUzZjkyMTMifQ=="/>
  </w:docVars>
  <w:rsids>
    <w:rsidRoot w:val="004D1179"/>
    <w:rsid w:val="00041363"/>
    <w:rsid w:val="00051475"/>
    <w:rsid w:val="0006144F"/>
    <w:rsid w:val="000F1E9E"/>
    <w:rsid w:val="00114392"/>
    <w:rsid w:val="00200845"/>
    <w:rsid w:val="00222088"/>
    <w:rsid w:val="002223BB"/>
    <w:rsid w:val="00242A0B"/>
    <w:rsid w:val="00276863"/>
    <w:rsid w:val="00291F93"/>
    <w:rsid w:val="002B0001"/>
    <w:rsid w:val="002C135D"/>
    <w:rsid w:val="002E320C"/>
    <w:rsid w:val="00323F82"/>
    <w:rsid w:val="00403D39"/>
    <w:rsid w:val="0041710E"/>
    <w:rsid w:val="00431075"/>
    <w:rsid w:val="004B7BE5"/>
    <w:rsid w:val="004D1179"/>
    <w:rsid w:val="0050118A"/>
    <w:rsid w:val="00567B81"/>
    <w:rsid w:val="005A36BD"/>
    <w:rsid w:val="005A3917"/>
    <w:rsid w:val="00616AC2"/>
    <w:rsid w:val="006608AB"/>
    <w:rsid w:val="00664311"/>
    <w:rsid w:val="0068011A"/>
    <w:rsid w:val="00692841"/>
    <w:rsid w:val="006A11AD"/>
    <w:rsid w:val="006C1EE8"/>
    <w:rsid w:val="0070324D"/>
    <w:rsid w:val="00705D10"/>
    <w:rsid w:val="007126CB"/>
    <w:rsid w:val="00721F31"/>
    <w:rsid w:val="0077059A"/>
    <w:rsid w:val="007E5356"/>
    <w:rsid w:val="007E7BE0"/>
    <w:rsid w:val="007F65BC"/>
    <w:rsid w:val="00951B8E"/>
    <w:rsid w:val="009729BF"/>
    <w:rsid w:val="009734C3"/>
    <w:rsid w:val="00980C03"/>
    <w:rsid w:val="009E442F"/>
    <w:rsid w:val="00A42D63"/>
    <w:rsid w:val="00A4544A"/>
    <w:rsid w:val="00A83878"/>
    <w:rsid w:val="00AC6049"/>
    <w:rsid w:val="00AD312A"/>
    <w:rsid w:val="00AE5856"/>
    <w:rsid w:val="00B13947"/>
    <w:rsid w:val="00B13FF5"/>
    <w:rsid w:val="00B33BC6"/>
    <w:rsid w:val="00BA7848"/>
    <w:rsid w:val="00C42EAD"/>
    <w:rsid w:val="00C61709"/>
    <w:rsid w:val="00C852EA"/>
    <w:rsid w:val="00CB59BC"/>
    <w:rsid w:val="00CC205A"/>
    <w:rsid w:val="00D20014"/>
    <w:rsid w:val="00D230C0"/>
    <w:rsid w:val="00D916AE"/>
    <w:rsid w:val="00DA630C"/>
    <w:rsid w:val="00DD001C"/>
    <w:rsid w:val="00DE3240"/>
    <w:rsid w:val="00DF35BE"/>
    <w:rsid w:val="00E077E6"/>
    <w:rsid w:val="00E20D6A"/>
    <w:rsid w:val="00ED27D0"/>
    <w:rsid w:val="00F11C19"/>
    <w:rsid w:val="00F267AC"/>
    <w:rsid w:val="00F65A74"/>
    <w:rsid w:val="00FA634B"/>
    <w:rsid w:val="00FE10A1"/>
    <w:rsid w:val="00FE498C"/>
    <w:rsid w:val="01696E62"/>
    <w:rsid w:val="02BE2C9A"/>
    <w:rsid w:val="02CB0D62"/>
    <w:rsid w:val="02CF4A12"/>
    <w:rsid w:val="08D45A58"/>
    <w:rsid w:val="09B1391A"/>
    <w:rsid w:val="0BA77260"/>
    <w:rsid w:val="0C7D610B"/>
    <w:rsid w:val="0D01255D"/>
    <w:rsid w:val="0E880D6B"/>
    <w:rsid w:val="11183D21"/>
    <w:rsid w:val="122225DD"/>
    <w:rsid w:val="13913A86"/>
    <w:rsid w:val="147A54F3"/>
    <w:rsid w:val="16B32357"/>
    <w:rsid w:val="185D0F99"/>
    <w:rsid w:val="1B244243"/>
    <w:rsid w:val="1EF54315"/>
    <w:rsid w:val="200B1D89"/>
    <w:rsid w:val="20D56BF9"/>
    <w:rsid w:val="20E107C7"/>
    <w:rsid w:val="210A5B3E"/>
    <w:rsid w:val="22B32974"/>
    <w:rsid w:val="22EE7E5C"/>
    <w:rsid w:val="238C032D"/>
    <w:rsid w:val="23DA097F"/>
    <w:rsid w:val="252D615E"/>
    <w:rsid w:val="26CA2E44"/>
    <w:rsid w:val="29B77AED"/>
    <w:rsid w:val="2BEA3703"/>
    <w:rsid w:val="2C1B2094"/>
    <w:rsid w:val="2D0E6797"/>
    <w:rsid w:val="2DE97352"/>
    <w:rsid w:val="2EF97A69"/>
    <w:rsid w:val="30E4580F"/>
    <w:rsid w:val="31707DD9"/>
    <w:rsid w:val="33BF1E86"/>
    <w:rsid w:val="33E86E49"/>
    <w:rsid w:val="33EB211A"/>
    <w:rsid w:val="397228F1"/>
    <w:rsid w:val="3A76569C"/>
    <w:rsid w:val="3A9540E4"/>
    <w:rsid w:val="3A995400"/>
    <w:rsid w:val="3B062BD9"/>
    <w:rsid w:val="3CA7694E"/>
    <w:rsid w:val="3EA76F04"/>
    <w:rsid w:val="3F784910"/>
    <w:rsid w:val="409B5797"/>
    <w:rsid w:val="417A21AD"/>
    <w:rsid w:val="486C05FC"/>
    <w:rsid w:val="48B417EB"/>
    <w:rsid w:val="4C2272AD"/>
    <w:rsid w:val="4C7D77B7"/>
    <w:rsid w:val="4D357A66"/>
    <w:rsid w:val="5052089F"/>
    <w:rsid w:val="50F252BD"/>
    <w:rsid w:val="51564A5C"/>
    <w:rsid w:val="535661E9"/>
    <w:rsid w:val="54B7294E"/>
    <w:rsid w:val="55047602"/>
    <w:rsid w:val="5663560E"/>
    <w:rsid w:val="5FC43A24"/>
    <w:rsid w:val="61885DE2"/>
    <w:rsid w:val="620938BB"/>
    <w:rsid w:val="631745CF"/>
    <w:rsid w:val="67DE134E"/>
    <w:rsid w:val="688866DB"/>
    <w:rsid w:val="6BD24BEE"/>
    <w:rsid w:val="6BF316FD"/>
    <w:rsid w:val="6C7831E9"/>
    <w:rsid w:val="6CD31260"/>
    <w:rsid w:val="70E91412"/>
    <w:rsid w:val="710345CB"/>
    <w:rsid w:val="73830B94"/>
    <w:rsid w:val="74122D63"/>
    <w:rsid w:val="74EA0887"/>
    <w:rsid w:val="75F15752"/>
    <w:rsid w:val="77446EFF"/>
    <w:rsid w:val="777E65A3"/>
    <w:rsid w:val="77DF672E"/>
    <w:rsid w:val="78085EAD"/>
    <w:rsid w:val="782918BB"/>
    <w:rsid w:val="7977416F"/>
    <w:rsid w:val="7AE75338"/>
    <w:rsid w:val="7C1F21B2"/>
    <w:rsid w:val="7E957F19"/>
    <w:rsid w:val="7E9D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0" w:semiHidden="0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7"/>
    <w:autoRedefine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4">
    <w:name w:val="heading 2"/>
    <w:basedOn w:val="1"/>
    <w:next w:val="1"/>
    <w:link w:val="28"/>
    <w:autoRedefine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1"/>
    <w:next w:val="1"/>
    <w:qFormat/>
    <w:uiPriority w:val="0"/>
    <w:pPr>
      <w:spacing w:beforeAutospacing="1" w:afterAutospacing="1"/>
      <w:textAlignment w:val="baseline"/>
    </w:pPr>
    <w:rPr>
      <w:rFonts w:ascii="宋体" w:hAnsi="宋体" w:eastAsia="宋体" w:cs="Times New Roman"/>
      <w:b/>
      <w:kern w:val="44"/>
      <w:sz w:val="48"/>
      <w:szCs w:val="48"/>
      <w:lang w:val="en-US" w:eastAsia="zh-CN" w:bidi="ar-SA"/>
    </w:rPr>
  </w:style>
  <w:style w:type="paragraph" w:styleId="5">
    <w:name w:val="Normal Indent"/>
    <w:basedOn w:val="1"/>
    <w:autoRedefine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6">
    <w:name w:val="annotation text"/>
    <w:basedOn w:val="1"/>
    <w:link w:val="30"/>
    <w:autoRedefine/>
    <w:semiHidden/>
    <w:qFormat/>
    <w:uiPriority w:val="99"/>
    <w:pPr>
      <w:jc w:val="left"/>
    </w:pPr>
    <w:rPr>
      <w:rFonts w:ascii="Times New Roman" w:hAnsi="Times New Roman" w:eastAsia="宋体"/>
      <w:szCs w:val="24"/>
    </w:rPr>
  </w:style>
  <w:style w:type="paragraph" w:styleId="7">
    <w:name w:val="Body Text"/>
    <w:basedOn w:val="1"/>
    <w:next w:val="1"/>
    <w:autoRedefine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8">
    <w:name w:val="Plain Text"/>
    <w:basedOn w:val="1"/>
    <w:link w:val="29"/>
    <w:autoRedefine/>
    <w:qFormat/>
    <w:uiPriority w:val="0"/>
    <w:rPr>
      <w:rFonts w:ascii="宋体" w:hAnsi="Courier New"/>
    </w:rPr>
  </w:style>
  <w:style w:type="paragraph" w:styleId="9">
    <w:name w:val="Balloon Text"/>
    <w:basedOn w:val="1"/>
    <w:link w:val="31"/>
    <w:autoRedefine/>
    <w:semiHidden/>
    <w:qFormat/>
    <w:uiPriority w:val="99"/>
    <w:rPr>
      <w:sz w:val="18"/>
      <w:szCs w:val="18"/>
    </w:rPr>
  </w:style>
  <w:style w:type="paragraph" w:styleId="10">
    <w:name w:val="footer"/>
    <w:basedOn w:val="1"/>
    <w:link w:val="3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3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3">
    <w:name w:val="Table Grid"/>
    <w:basedOn w:val="12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autoRedefine/>
    <w:qFormat/>
    <w:locked/>
    <w:uiPriority w:val="0"/>
  </w:style>
  <w:style w:type="character" w:styleId="16">
    <w:name w:val="FollowedHyperlink"/>
    <w:basedOn w:val="14"/>
    <w:autoRedefine/>
    <w:semiHidden/>
    <w:unhideWhenUsed/>
    <w:qFormat/>
    <w:uiPriority w:val="99"/>
    <w:rPr>
      <w:color w:val="000000"/>
      <w:u w:val="none"/>
    </w:rPr>
  </w:style>
  <w:style w:type="character" w:styleId="17">
    <w:name w:val="Emphasis"/>
    <w:basedOn w:val="14"/>
    <w:autoRedefine/>
    <w:qFormat/>
    <w:locked/>
    <w:uiPriority w:val="0"/>
  </w:style>
  <w:style w:type="character" w:styleId="18">
    <w:name w:val="HTML Definition"/>
    <w:basedOn w:val="14"/>
    <w:autoRedefine/>
    <w:semiHidden/>
    <w:unhideWhenUsed/>
    <w:qFormat/>
    <w:uiPriority w:val="99"/>
  </w:style>
  <w:style w:type="character" w:styleId="19">
    <w:name w:val="HTML Acronym"/>
    <w:basedOn w:val="14"/>
    <w:autoRedefine/>
    <w:semiHidden/>
    <w:unhideWhenUsed/>
    <w:qFormat/>
    <w:uiPriority w:val="99"/>
  </w:style>
  <w:style w:type="character" w:styleId="20">
    <w:name w:val="HTML Variable"/>
    <w:basedOn w:val="14"/>
    <w:autoRedefine/>
    <w:semiHidden/>
    <w:unhideWhenUsed/>
    <w:qFormat/>
    <w:uiPriority w:val="99"/>
  </w:style>
  <w:style w:type="character" w:styleId="21">
    <w:name w:val="Hyperlink"/>
    <w:basedOn w:val="14"/>
    <w:autoRedefine/>
    <w:semiHidden/>
    <w:unhideWhenUsed/>
    <w:qFormat/>
    <w:uiPriority w:val="99"/>
    <w:rPr>
      <w:color w:val="000000"/>
      <w:u w:val="none"/>
    </w:rPr>
  </w:style>
  <w:style w:type="character" w:styleId="22">
    <w:name w:val="HTML Code"/>
    <w:basedOn w:val="14"/>
    <w:semiHidden/>
    <w:unhideWhenUsed/>
    <w:qFormat/>
    <w:uiPriority w:val="99"/>
    <w:rPr>
      <w:rFonts w:ascii="Courier New" w:hAnsi="Courier New"/>
      <w:sz w:val="20"/>
    </w:rPr>
  </w:style>
  <w:style w:type="character" w:styleId="23">
    <w:name w:val="annotation reference"/>
    <w:autoRedefine/>
    <w:semiHidden/>
    <w:qFormat/>
    <w:uiPriority w:val="99"/>
    <w:rPr>
      <w:rFonts w:cs="Times New Roman"/>
      <w:sz w:val="21"/>
      <w:szCs w:val="21"/>
    </w:rPr>
  </w:style>
  <w:style w:type="character" w:styleId="24">
    <w:name w:val="HTML Cite"/>
    <w:basedOn w:val="14"/>
    <w:autoRedefine/>
    <w:semiHidden/>
    <w:unhideWhenUsed/>
    <w:qFormat/>
    <w:uiPriority w:val="99"/>
  </w:style>
  <w:style w:type="paragraph" w:customStyle="1" w:styleId="25">
    <w:name w:val="目录 53"/>
    <w:next w:val="1"/>
    <w:autoRedefine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6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Symbol" w:hAnsi="Symbol" w:eastAsia="宋体" w:cs="Symbol"/>
      <w:color w:val="000000"/>
      <w:sz w:val="24"/>
      <w:szCs w:val="24"/>
      <w:lang w:val="en-US" w:eastAsia="zh-CN" w:bidi="ar-SA"/>
    </w:rPr>
  </w:style>
  <w:style w:type="character" w:customStyle="1" w:styleId="27">
    <w:name w:val="标题 1 字符"/>
    <w:link w:val="3"/>
    <w:autoRedefine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8">
    <w:name w:val="标题 2 字符"/>
    <w:link w:val="4"/>
    <w:autoRedefine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9">
    <w:name w:val="纯文本 字符"/>
    <w:link w:val="8"/>
    <w:autoRedefine/>
    <w:qFormat/>
    <w:locked/>
    <w:uiPriority w:val="0"/>
    <w:rPr>
      <w:rFonts w:ascii="宋体" w:hAnsi="Courier New" w:cs="Times New Roman"/>
    </w:rPr>
  </w:style>
  <w:style w:type="character" w:customStyle="1" w:styleId="30">
    <w:name w:val="批注文字 字符"/>
    <w:basedOn w:val="14"/>
    <w:link w:val="6"/>
    <w:autoRedefine/>
    <w:semiHidden/>
    <w:qFormat/>
    <w:uiPriority w:val="99"/>
  </w:style>
  <w:style w:type="character" w:customStyle="1" w:styleId="31">
    <w:name w:val="批注框文本 字符"/>
    <w:link w:val="9"/>
    <w:autoRedefine/>
    <w:semiHidden/>
    <w:qFormat/>
    <w:uiPriority w:val="99"/>
    <w:rPr>
      <w:sz w:val="0"/>
      <w:szCs w:val="0"/>
    </w:rPr>
  </w:style>
  <w:style w:type="character" w:customStyle="1" w:styleId="32">
    <w:name w:val="页眉 字符"/>
    <w:link w:val="11"/>
    <w:autoRedefine/>
    <w:qFormat/>
    <w:uiPriority w:val="99"/>
    <w:rPr>
      <w:sz w:val="18"/>
      <w:szCs w:val="18"/>
    </w:rPr>
  </w:style>
  <w:style w:type="character" w:customStyle="1" w:styleId="33">
    <w:name w:val="页脚 字符"/>
    <w:link w:val="10"/>
    <w:autoRedefine/>
    <w:qFormat/>
    <w:uiPriority w:val="99"/>
    <w:rPr>
      <w:sz w:val="18"/>
      <w:szCs w:val="18"/>
    </w:rPr>
  </w:style>
  <w:style w:type="character" w:customStyle="1" w:styleId="34">
    <w:name w:val="hover4"/>
    <w:basedOn w:val="14"/>
    <w:autoRedefine/>
    <w:qFormat/>
    <w:uiPriority w:val="0"/>
    <w:rPr>
      <w:color w:val="0063BA"/>
    </w:rPr>
  </w:style>
  <w:style w:type="character" w:customStyle="1" w:styleId="35">
    <w:name w:val="margin_right202"/>
    <w:basedOn w:val="14"/>
    <w:autoRedefine/>
    <w:qFormat/>
    <w:uiPriority w:val="0"/>
  </w:style>
  <w:style w:type="character" w:customStyle="1" w:styleId="36">
    <w:name w:val="active5"/>
    <w:basedOn w:val="14"/>
    <w:autoRedefine/>
    <w:qFormat/>
    <w:uiPriority w:val="0"/>
    <w:rPr>
      <w:color w:val="FFFFFF"/>
      <w:shd w:val="clear" w:color="auto" w:fill="E22323"/>
    </w:rPr>
  </w:style>
  <w:style w:type="character" w:customStyle="1" w:styleId="37">
    <w:name w:val="before"/>
    <w:basedOn w:val="14"/>
    <w:autoRedefine/>
    <w:qFormat/>
    <w:uiPriority w:val="0"/>
    <w:rPr>
      <w:shd w:val="clear" w:color="auto" w:fill="E22323"/>
    </w:rPr>
  </w:style>
  <w:style w:type="character" w:customStyle="1" w:styleId="38">
    <w:name w:val="margin_right20"/>
    <w:basedOn w:val="14"/>
    <w:autoRedefine/>
    <w:qFormat/>
    <w:uiPriority w:val="0"/>
  </w:style>
  <w:style w:type="character" w:customStyle="1" w:styleId="39">
    <w:name w:val="active6"/>
    <w:basedOn w:val="14"/>
    <w:autoRedefine/>
    <w:qFormat/>
    <w:uiPriority w:val="0"/>
    <w:rPr>
      <w:color w:val="FFFFFF"/>
      <w:shd w:val="clear" w:color="auto" w:fill="E22323"/>
    </w:rPr>
  </w:style>
  <w:style w:type="character" w:customStyle="1" w:styleId="40">
    <w:name w:val="hover5"/>
    <w:basedOn w:val="14"/>
    <w:autoRedefine/>
    <w:qFormat/>
    <w:uiPriority w:val="0"/>
    <w:rPr>
      <w:color w:val="0063B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570</Words>
  <Characters>741</Characters>
  <Lines>18</Lines>
  <Paragraphs>18</Paragraphs>
  <TotalTime>3</TotalTime>
  <ScaleCrop>false</ScaleCrop>
  <LinksUpToDate>false</LinksUpToDate>
  <CharactersWithSpaces>763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2020-04-26T03:35:00Z</dcterms:created>
  <dc:creator>L</dc:creator>
  <cp:lastModifiedBy>汇诚金桥</cp:lastModifiedBy>
  <dcterms:modified xsi:type="dcterms:W3CDTF">2026-09-10T06:21:57Z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78D7606D78F347D9B44A74E2CAAC88AD</vt:lpwstr>
  </property>
  <property fmtid="{D5CDD505-2E9C-101B-9397-08002B2CF9AE}" pid="4" name="KSOTemplateDocerSaveRecord">
    <vt:lpwstr>eyJoZGlkIjoiMDQ5NGQ2NGMxZjY4Nzg3YTM5NDJmMjliMWUwYTE5ZjAiLCJ1c2VySWQiOiI3MTc5NzExMTEifQ==</vt:lpwstr>
  </property>
</Properties>
</file>