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09DC7">
      <w:pPr>
        <w:pStyle w:val="3"/>
        <w:tabs>
          <w:tab w:val="left" w:pos="0"/>
        </w:tabs>
        <w:autoSpaceDE w:val="0"/>
        <w:autoSpaceDN w:val="0"/>
        <w:adjustRightInd w:val="0"/>
        <w:spacing w:before="0" w:after="0" w:line="360" w:lineRule="auto"/>
        <w:jc w:val="center"/>
        <w:rPr>
          <w:rFonts w:ascii="华文中宋" w:hAnsi="华文中宋" w:eastAsia="华文中宋"/>
        </w:rPr>
      </w:pPr>
      <w:bookmarkStart w:id="0" w:name="_Toc35393809"/>
      <w:bookmarkStart w:id="1" w:name="_Toc28359022"/>
      <w:r>
        <w:rPr>
          <w:rFonts w:hint="eastAsia" w:ascii="华文中宋" w:hAnsi="华文中宋" w:eastAsia="华文中宋"/>
          <w:lang w:eastAsia="zh-CN"/>
        </w:rPr>
        <w:t>开办类项目-新址迁建信息化建设项目-第二批</w:t>
      </w:r>
      <w:r>
        <w:rPr>
          <w:rFonts w:hint="eastAsia" w:ascii="华文中宋" w:hAnsi="华文中宋" w:eastAsia="华文中宋"/>
        </w:rPr>
        <w:t>中标结果公告</w:t>
      </w:r>
      <w:bookmarkEnd w:id="0"/>
      <w:bookmarkEnd w:id="1"/>
    </w:p>
    <w:p w14:paraId="5C5FF27E">
      <w:pPr>
        <w:rPr>
          <w:rFonts w:hint="eastAsia" w:ascii="黑体" w:hAnsi="黑体" w:eastAsia="黑体"/>
          <w:sz w:val="28"/>
          <w:szCs w:val="28"/>
          <w:lang w:eastAsia="zh-CN"/>
        </w:rPr>
      </w:pPr>
      <w:r>
        <w:rPr>
          <w:rFonts w:hint="eastAsia" w:ascii="黑体" w:hAnsi="黑体" w:eastAsia="黑体"/>
          <w:sz w:val="28"/>
          <w:szCs w:val="28"/>
        </w:rPr>
        <w:t>一</w:t>
      </w:r>
      <w:r>
        <w:rPr>
          <w:rFonts w:ascii="黑体" w:hAnsi="黑体" w:eastAsia="黑体"/>
          <w:sz w:val="28"/>
          <w:szCs w:val="28"/>
        </w:rPr>
        <w:t>、</w:t>
      </w:r>
      <w:r>
        <w:rPr>
          <w:rFonts w:hint="eastAsia" w:ascii="黑体" w:hAnsi="黑体" w:eastAsia="黑体"/>
          <w:kern w:val="0"/>
          <w:sz w:val="28"/>
          <w:szCs w:val="28"/>
        </w:rPr>
        <w:t>项目</w:t>
      </w:r>
      <w:r>
        <w:rPr>
          <w:rFonts w:hint="eastAsia" w:ascii="黑体" w:hAnsi="黑体" w:eastAsia="黑体"/>
          <w:sz w:val="28"/>
          <w:szCs w:val="28"/>
        </w:rPr>
        <w:t>编号：</w:t>
      </w:r>
      <w:r>
        <w:rPr>
          <w:rFonts w:hint="eastAsia" w:ascii="黑体" w:hAnsi="黑体" w:eastAsia="黑体"/>
          <w:sz w:val="28"/>
          <w:szCs w:val="28"/>
          <w:lang w:eastAsia="zh-CN"/>
        </w:rPr>
        <w:t>0701-264106030223</w:t>
      </w:r>
    </w:p>
    <w:p w14:paraId="22694D66">
      <w:pPr>
        <w:rPr>
          <w:rFonts w:hint="eastAsia" w:ascii="黑体" w:hAnsi="黑体" w:eastAsia="黑体"/>
          <w:sz w:val="28"/>
          <w:szCs w:val="28"/>
          <w:u w:val="single"/>
          <w:lang w:eastAsia="zh-CN"/>
        </w:rPr>
      </w:pPr>
      <w:r>
        <w:rPr>
          <w:rFonts w:hint="eastAsia" w:ascii="黑体" w:hAnsi="黑体" w:eastAsia="黑体"/>
          <w:sz w:val="28"/>
          <w:szCs w:val="28"/>
        </w:rPr>
        <w:t>二</w:t>
      </w:r>
      <w:r>
        <w:rPr>
          <w:rFonts w:ascii="黑体" w:hAnsi="黑体" w:eastAsia="黑体"/>
          <w:sz w:val="28"/>
          <w:szCs w:val="28"/>
        </w:rPr>
        <w:t>、</w:t>
      </w:r>
      <w:r>
        <w:rPr>
          <w:rFonts w:hint="eastAsia" w:ascii="黑体" w:hAnsi="黑体" w:eastAsia="黑体"/>
          <w:sz w:val="28"/>
          <w:szCs w:val="28"/>
        </w:rPr>
        <w:t>项目名称：</w:t>
      </w:r>
      <w:r>
        <w:rPr>
          <w:rFonts w:hint="eastAsia" w:ascii="黑体" w:hAnsi="黑体" w:eastAsia="黑体"/>
          <w:sz w:val="28"/>
          <w:szCs w:val="28"/>
          <w:lang w:eastAsia="zh-CN"/>
        </w:rPr>
        <w:t>开办类项目-新址迁建信息化建设项目-第二批</w:t>
      </w:r>
    </w:p>
    <w:p w14:paraId="3748C409">
      <w:pPr>
        <w:rPr>
          <w:rFonts w:ascii="黑体" w:hAnsi="黑体" w:eastAsia="黑体"/>
          <w:sz w:val="28"/>
          <w:szCs w:val="28"/>
        </w:rPr>
      </w:pPr>
      <w:r>
        <w:rPr>
          <w:rFonts w:hint="eastAsia" w:ascii="黑体" w:hAnsi="黑体" w:eastAsia="黑体"/>
          <w:sz w:val="28"/>
          <w:szCs w:val="28"/>
        </w:rPr>
        <w:t>三、中标信息</w:t>
      </w:r>
    </w:p>
    <w:p w14:paraId="219C922C">
      <w:pPr>
        <w:ind w:firstLine="562" w:firstLineChars="200"/>
        <w:rPr>
          <w:rFonts w:hint="eastAsia" w:ascii="仿宋" w:hAnsi="仿宋" w:eastAsia="仿宋"/>
          <w:b/>
          <w:sz w:val="28"/>
          <w:szCs w:val="28"/>
          <w:lang w:eastAsia="zh-CN"/>
        </w:rPr>
      </w:pPr>
      <w:r>
        <w:rPr>
          <w:rFonts w:hint="eastAsia" w:ascii="仿宋" w:hAnsi="仿宋" w:eastAsia="仿宋"/>
          <w:b/>
          <w:sz w:val="28"/>
          <w:szCs w:val="28"/>
        </w:rPr>
        <w:t>第1包：</w:t>
      </w:r>
      <w:r>
        <w:rPr>
          <w:rFonts w:hint="eastAsia" w:ascii="仿宋" w:hAnsi="仿宋" w:eastAsia="仿宋"/>
          <w:b/>
          <w:sz w:val="28"/>
          <w:szCs w:val="28"/>
          <w:lang w:eastAsia="zh-CN"/>
        </w:rPr>
        <w:t>监理</w:t>
      </w:r>
    </w:p>
    <w:p w14:paraId="0652D1F4">
      <w:pPr>
        <w:ind w:firstLine="560" w:firstLineChars="200"/>
        <w:rPr>
          <w:rFonts w:ascii="仿宋" w:hAnsi="仿宋" w:eastAsia="仿宋"/>
          <w:sz w:val="28"/>
          <w:szCs w:val="28"/>
        </w:rPr>
      </w:pPr>
      <w:r>
        <w:rPr>
          <w:rFonts w:hint="eastAsia" w:ascii="仿宋" w:hAnsi="仿宋" w:eastAsia="仿宋"/>
          <w:sz w:val="28"/>
          <w:szCs w:val="28"/>
        </w:rPr>
        <w:t>供应商名称：北京北咨信息工程咨询有限公司</w:t>
      </w:r>
    </w:p>
    <w:p w14:paraId="68D80BA6">
      <w:pPr>
        <w:ind w:firstLine="560" w:firstLineChars="200"/>
        <w:rPr>
          <w:rFonts w:ascii="仿宋" w:hAnsi="仿宋" w:eastAsia="仿宋"/>
          <w:sz w:val="28"/>
          <w:szCs w:val="28"/>
        </w:rPr>
      </w:pPr>
      <w:r>
        <w:rPr>
          <w:rFonts w:hint="eastAsia" w:ascii="仿宋" w:hAnsi="仿宋" w:eastAsia="仿宋"/>
          <w:sz w:val="28"/>
          <w:szCs w:val="28"/>
        </w:rPr>
        <w:t>供应商地址：北京市朝阳区华腾世纪总部公园项目 9 号楼 9 层</w:t>
      </w:r>
    </w:p>
    <w:p w14:paraId="5536D67A">
      <w:pPr>
        <w:ind w:firstLine="560" w:firstLineChars="200"/>
        <w:rPr>
          <w:rFonts w:hint="eastAsia" w:ascii="宋体" w:hAnsi="宋体" w:cs="宋体"/>
          <w:sz w:val="28"/>
          <w:szCs w:val="28"/>
        </w:rPr>
      </w:pPr>
      <w:r>
        <w:rPr>
          <w:rFonts w:hint="eastAsia" w:ascii="仿宋" w:hAnsi="仿宋" w:eastAsia="仿宋"/>
          <w:sz w:val="28"/>
          <w:szCs w:val="28"/>
        </w:rPr>
        <w:t>中标金额：</w:t>
      </w:r>
      <w:r>
        <w:rPr>
          <w:rFonts w:hint="eastAsia" w:ascii="宋体" w:hAnsi="宋体" w:cs="宋体"/>
          <w:sz w:val="28"/>
          <w:szCs w:val="28"/>
        </w:rPr>
        <w:t>¥ 757,800.00</w:t>
      </w:r>
    </w:p>
    <w:p w14:paraId="5E9F40A5">
      <w:pPr>
        <w:rPr>
          <w:rFonts w:ascii="黑体" w:hAnsi="黑体" w:eastAsia="黑体"/>
          <w:sz w:val="28"/>
          <w:szCs w:val="28"/>
        </w:rPr>
      </w:pPr>
      <w:r>
        <w:rPr>
          <w:rFonts w:hint="eastAsia" w:ascii="黑体" w:hAnsi="黑体" w:eastAsia="黑体"/>
          <w:sz w:val="28"/>
          <w:szCs w:val="28"/>
        </w:rPr>
        <w:t>四、主要标的信息</w:t>
      </w:r>
    </w:p>
    <w:tbl>
      <w:tblPr>
        <w:tblStyle w:val="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985"/>
        <w:gridCol w:w="1134"/>
        <w:gridCol w:w="2793"/>
        <w:gridCol w:w="2451"/>
        <w:gridCol w:w="2467"/>
        <w:gridCol w:w="2527"/>
      </w:tblGrid>
      <w:tr w14:paraId="32CD31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17" w:type="dxa"/>
            <w:shd w:val="clear" w:color="auto" w:fill="auto"/>
            <w:vAlign w:val="center"/>
          </w:tcPr>
          <w:p w14:paraId="01245674">
            <w:pPr>
              <w:widowControl/>
              <w:snapToGrid w:val="0"/>
              <w:jc w:val="center"/>
              <w:rPr>
                <w:rFonts w:ascii="仿宋" w:hAnsi="仿宋" w:eastAsia="仿宋"/>
                <w:b/>
                <w:sz w:val="24"/>
                <w:szCs w:val="24"/>
              </w:rPr>
            </w:pPr>
            <w:r>
              <w:rPr>
                <w:rFonts w:ascii="仿宋" w:hAnsi="仿宋" w:eastAsia="仿宋"/>
                <w:b/>
                <w:sz w:val="24"/>
                <w:szCs w:val="24"/>
              </w:rPr>
              <w:t>包号</w:t>
            </w:r>
          </w:p>
        </w:tc>
        <w:tc>
          <w:tcPr>
            <w:tcW w:w="1985" w:type="dxa"/>
            <w:shd w:val="clear" w:color="auto" w:fill="auto"/>
            <w:vAlign w:val="center"/>
          </w:tcPr>
          <w:p w14:paraId="22580F1A">
            <w:pPr>
              <w:widowControl/>
              <w:snapToGrid w:val="0"/>
              <w:jc w:val="center"/>
              <w:rPr>
                <w:rFonts w:ascii="仿宋" w:hAnsi="仿宋" w:eastAsia="仿宋"/>
                <w:b/>
                <w:sz w:val="24"/>
                <w:szCs w:val="24"/>
              </w:rPr>
            </w:pPr>
            <w:r>
              <w:rPr>
                <w:rFonts w:hint="eastAsia" w:ascii="仿宋" w:hAnsi="仿宋" w:eastAsia="仿宋"/>
                <w:b/>
                <w:sz w:val="24"/>
                <w:szCs w:val="24"/>
                <w:lang w:val="en-US" w:eastAsia="zh-CN"/>
              </w:rPr>
              <w:t>标的</w:t>
            </w:r>
            <w:r>
              <w:rPr>
                <w:rFonts w:hint="eastAsia" w:ascii="仿宋" w:hAnsi="仿宋" w:eastAsia="仿宋"/>
                <w:b/>
                <w:sz w:val="24"/>
                <w:szCs w:val="24"/>
              </w:rPr>
              <w:t>名称</w:t>
            </w:r>
          </w:p>
        </w:tc>
        <w:tc>
          <w:tcPr>
            <w:tcW w:w="1134" w:type="dxa"/>
            <w:shd w:val="clear" w:color="auto" w:fill="auto"/>
            <w:vAlign w:val="center"/>
          </w:tcPr>
          <w:p w14:paraId="505EA38D">
            <w:pPr>
              <w:widowControl/>
              <w:snapToGrid w:val="0"/>
              <w:jc w:val="center"/>
              <w:rPr>
                <w:rFonts w:ascii="仿宋" w:hAnsi="仿宋" w:eastAsia="仿宋"/>
                <w:b/>
                <w:sz w:val="24"/>
                <w:szCs w:val="24"/>
              </w:rPr>
            </w:pPr>
            <w:r>
              <w:rPr>
                <w:rFonts w:hint="eastAsia" w:ascii="仿宋" w:hAnsi="仿宋" w:eastAsia="仿宋"/>
                <w:b/>
                <w:sz w:val="24"/>
                <w:szCs w:val="24"/>
              </w:rPr>
              <w:t>数量</w:t>
            </w:r>
          </w:p>
        </w:tc>
        <w:tc>
          <w:tcPr>
            <w:tcW w:w="2793" w:type="dxa"/>
            <w:shd w:val="clear" w:color="auto" w:fill="auto"/>
            <w:vAlign w:val="center"/>
          </w:tcPr>
          <w:p w14:paraId="3381EA0E">
            <w:pPr>
              <w:widowControl/>
              <w:snapToGrid w:val="0"/>
              <w:jc w:val="center"/>
              <w:rPr>
                <w:rFonts w:ascii="仿宋" w:hAnsi="仿宋" w:eastAsia="仿宋"/>
                <w:b/>
                <w:sz w:val="24"/>
                <w:szCs w:val="24"/>
              </w:rPr>
            </w:pPr>
            <w:r>
              <w:rPr>
                <w:rFonts w:hint="eastAsia" w:ascii="仿宋" w:hAnsi="仿宋" w:eastAsia="仿宋"/>
                <w:b/>
                <w:sz w:val="24"/>
                <w:szCs w:val="24"/>
              </w:rPr>
              <w:t>服务范围</w:t>
            </w:r>
          </w:p>
        </w:tc>
        <w:tc>
          <w:tcPr>
            <w:tcW w:w="2451" w:type="dxa"/>
            <w:shd w:val="clear" w:color="auto" w:fill="auto"/>
            <w:vAlign w:val="center"/>
          </w:tcPr>
          <w:p w14:paraId="0790ED71">
            <w:pPr>
              <w:widowControl/>
              <w:snapToGrid w:val="0"/>
              <w:jc w:val="center"/>
              <w:rPr>
                <w:rFonts w:ascii="仿宋" w:hAnsi="仿宋" w:eastAsia="仿宋"/>
                <w:b/>
                <w:sz w:val="24"/>
                <w:szCs w:val="24"/>
              </w:rPr>
            </w:pPr>
            <w:r>
              <w:rPr>
                <w:rFonts w:hint="eastAsia" w:ascii="仿宋" w:hAnsi="仿宋" w:eastAsia="仿宋"/>
                <w:b/>
                <w:sz w:val="24"/>
                <w:szCs w:val="24"/>
              </w:rPr>
              <w:t>服务要求</w:t>
            </w:r>
          </w:p>
        </w:tc>
        <w:tc>
          <w:tcPr>
            <w:tcW w:w="2467" w:type="dxa"/>
            <w:shd w:val="clear" w:color="auto" w:fill="auto"/>
            <w:vAlign w:val="center"/>
          </w:tcPr>
          <w:p w14:paraId="7DDCDB8B">
            <w:pPr>
              <w:widowControl/>
              <w:snapToGrid w:val="0"/>
              <w:jc w:val="center"/>
              <w:rPr>
                <w:rFonts w:ascii="仿宋" w:hAnsi="仿宋" w:eastAsia="仿宋"/>
                <w:b/>
                <w:sz w:val="24"/>
                <w:szCs w:val="24"/>
              </w:rPr>
            </w:pPr>
            <w:r>
              <w:rPr>
                <w:rFonts w:hint="eastAsia" w:ascii="仿宋" w:hAnsi="仿宋" w:eastAsia="仿宋"/>
                <w:b/>
                <w:sz w:val="24"/>
                <w:szCs w:val="24"/>
              </w:rPr>
              <w:t>服务时间</w:t>
            </w:r>
          </w:p>
        </w:tc>
        <w:tc>
          <w:tcPr>
            <w:tcW w:w="2527" w:type="dxa"/>
            <w:vAlign w:val="center"/>
          </w:tcPr>
          <w:p w14:paraId="59D1B645">
            <w:pPr>
              <w:widowControl/>
              <w:snapToGrid w:val="0"/>
              <w:jc w:val="center"/>
              <w:rPr>
                <w:rFonts w:ascii="仿宋" w:hAnsi="仿宋" w:eastAsia="仿宋"/>
                <w:b/>
                <w:sz w:val="24"/>
                <w:szCs w:val="24"/>
              </w:rPr>
            </w:pPr>
            <w:r>
              <w:rPr>
                <w:rFonts w:hint="eastAsia" w:ascii="仿宋" w:hAnsi="仿宋" w:eastAsia="仿宋"/>
                <w:b/>
                <w:sz w:val="24"/>
                <w:szCs w:val="24"/>
              </w:rPr>
              <w:t>服务标准</w:t>
            </w:r>
          </w:p>
        </w:tc>
      </w:tr>
      <w:tr w14:paraId="5103D8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17" w:type="dxa"/>
            <w:shd w:val="clear" w:color="auto" w:fill="auto"/>
            <w:noWrap/>
            <w:vAlign w:val="center"/>
          </w:tcPr>
          <w:p w14:paraId="7A689711">
            <w:pPr>
              <w:widowControl/>
              <w:jc w:val="center"/>
              <w:rPr>
                <w:rFonts w:ascii="仿宋" w:hAnsi="仿宋" w:eastAsia="仿宋"/>
                <w:sz w:val="24"/>
                <w:szCs w:val="24"/>
              </w:rPr>
            </w:pPr>
            <w:bookmarkStart w:id="2" w:name="_Hlk224899935"/>
            <w:r>
              <w:rPr>
                <w:rFonts w:ascii="仿宋" w:hAnsi="仿宋" w:eastAsia="仿宋"/>
                <w:sz w:val="24"/>
                <w:szCs w:val="24"/>
              </w:rPr>
              <w:t>1</w:t>
            </w:r>
          </w:p>
        </w:tc>
        <w:tc>
          <w:tcPr>
            <w:tcW w:w="1985" w:type="dxa"/>
            <w:shd w:val="clear" w:color="000000" w:fill="FFFFFF"/>
            <w:vAlign w:val="center"/>
          </w:tcPr>
          <w:p w14:paraId="6536327D">
            <w:pPr>
              <w:spacing w:line="360" w:lineRule="auto"/>
              <w:jc w:val="center"/>
              <w:rPr>
                <w:rFonts w:hint="eastAsia" w:ascii="仿宋" w:hAnsi="仿宋" w:eastAsia="仿宋"/>
                <w:sz w:val="24"/>
                <w:szCs w:val="24"/>
                <w:lang w:eastAsia="zh-CN"/>
              </w:rPr>
            </w:pPr>
            <w:r>
              <w:rPr>
                <w:rFonts w:hint="eastAsia" w:ascii="仿宋" w:hAnsi="仿宋" w:eastAsia="仿宋"/>
                <w:sz w:val="24"/>
                <w:szCs w:val="24"/>
                <w:lang w:eastAsia="zh-CN"/>
              </w:rPr>
              <w:t>监理</w:t>
            </w:r>
          </w:p>
        </w:tc>
        <w:tc>
          <w:tcPr>
            <w:tcW w:w="1134" w:type="dxa"/>
            <w:shd w:val="clear" w:color="auto" w:fill="auto"/>
            <w:noWrap/>
            <w:vAlign w:val="center"/>
          </w:tcPr>
          <w:p w14:paraId="19EB68A2">
            <w:pPr>
              <w:spacing w:line="360" w:lineRule="auto"/>
              <w:jc w:val="center"/>
              <w:rPr>
                <w:rFonts w:ascii="仿宋" w:hAnsi="仿宋" w:eastAsia="仿宋" w:cs="宋体"/>
                <w:bCs/>
                <w:kern w:val="0"/>
                <w:sz w:val="24"/>
                <w:szCs w:val="24"/>
              </w:rPr>
            </w:pPr>
            <w:r>
              <w:rPr>
                <w:rFonts w:hint="eastAsia" w:ascii="仿宋" w:hAnsi="仿宋" w:eastAsia="仿宋" w:cs="宋体"/>
                <w:bCs/>
                <w:kern w:val="0"/>
                <w:sz w:val="24"/>
                <w:szCs w:val="24"/>
              </w:rPr>
              <w:t>1项</w:t>
            </w:r>
          </w:p>
        </w:tc>
        <w:tc>
          <w:tcPr>
            <w:tcW w:w="2793" w:type="dxa"/>
            <w:shd w:val="clear" w:color="auto" w:fill="auto"/>
            <w:noWrap/>
            <w:vAlign w:val="center"/>
          </w:tcPr>
          <w:p w14:paraId="00153FAF">
            <w:pPr>
              <w:pStyle w:val="28"/>
              <w:tabs>
                <w:tab w:val="left" w:pos="7980"/>
              </w:tabs>
              <w:snapToGrid/>
              <w:spacing w:before="156" w:beforeLines="50" w:line="360" w:lineRule="auto"/>
              <w:ind w:firstLine="0"/>
              <w:jc w:val="center"/>
              <w:rPr>
                <w:rFonts w:hint="eastAsia" w:ascii="仿宋" w:hAnsi="仿宋" w:eastAsia="仿宋"/>
                <w:szCs w:val="24"/>
                <w:lang w:eastAsia="zh-CN"/>
              </w:rPr>
            </w:pPr>
            <w:r>
              <w:rPr>
                <w:rFonts w:hint="eastAsia" w:ascii="仿宋" w:hAnsi="仿宋" w:eastAsia="仿宋"/>
                <w:szCs w:val="24"/>
                <w:lang w:eastAsia="zh-CN"/>
              </w:rPr>
              <w:t>监理范围包括北京市疾控中心新址迁建信息化建设项目全部建设内容，信息设施系统(信息网络系统、网络安全系统、服务器及存储系统、会议系统、信息展示终端)等</w:t>
            </w:r>
          </w:p>
        </w:tc>
        <w:tc>
          <w:tcPr>
            <w:tcW w:w="2451" w:type="dxa"/>
            <w:shd w:val="clear" w:color="auto" w:fill="auto"/>
            <w:vAlign w:val="center"/>
          </w:tcPr>
          <w:p w14:paraId="0F3065BA">
            <w:pPr>
              <w:spacing w:line="360" w:lineRule="auto"/>
              <w:jc w:val="center"/>
              <w:rPr>
                <w:rFonts w:hint="default" w:ascii="仿宋" w:hAnsi="仿宋" w:eastAsia="仿宋"/>
                <w:sz w:val="24"/>
                <w:szCs w:val="24"/>
                <w:lang w:val="en-US" w:eastAsia="zh-CN"/>
              </w:rPr>
            </w:pPr>
            <w:r>
              <w:rPr>
                <w:rFonts w:hint="eastAsia" w:ascii="仿宋" w:hAnsi="仿宋" w:eastAsia="仿宋"/>
                <w:sz w:val="24"/>
                <w:szCs w:val="24"/>
                <w:lang w:val="en-US" w:eastAsia="zh-CN"/>
              </w:rPr>
              <w:t>监理单位应依据采购人的需求提供监理服务，按照工作步骤和工作方法，具体开展项目监理工作等</w:t>
            </w:r>
          </w:p>
        </w:tc>
        <w:tc>
          <w:tcPr>
            <w:tcW w:w="2467" w:type="dxa"/>
            <w:shd w:val="clear" w:color="000000" w:fill="FFFFFF"/>
            <w:vAlign w:val="center"/>
          </w:tcPr>
          <w:p w14:paraId="7B44F1E6">
            <w:pPr>
              <w:spacing w:line="360" w:lineRule="auto"/>
              <w:jc w:val="center"/>
              <w:rPr>
                <w:rFonts w:ascii="仿宋" w:hAnsi="仿宋" w:eastAsia="仿宋"/>
                <w:sz w:val="24"/>
                <w:szCs w:val="24"/>
              </w:rPr>
            </w:pPr>
            <w:r>
              <w:rPr>
                <w:rFonts w:hint="eastAsia" w:ascii="仿宋" w:hAnsi="仿宋" w:eastAsia="仿宋"/>
                <w:sz w:val="24"/>
                <w:szCs w:val="24"/>
              </w:rPr>
              <w:t>自监理合同签订之日至本项目建设完成并最终验收合格</w:t>
            </w:r>
          </w:p>
        </w:tc>
        <w:tc>
          <w:tcPr>
            <w:tcW w:w="2527" w:type="dxa"/>
            <w:shd w:val="clear" w:color="000000" w:fill="FFFFFF"/>
            <w:vAlign w:val="center"/>
          </w:tcPr>
          <w:p w14:paraId="3175C1C1">
            <w:pPr>
              <w:spacing w:line="360" w:lineRule="auto"/>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监理单位定期对向建设方提交监理报告，包括各子项目的工程进度、资金使用、工程质量、风险情况等内容</w:t>
            </w:r>
          </w:p>
        </w:tc>
      </w:tr>
      <w:bookmarkEnd w:id="2"/>
    </w:tbl>
    <w:p w14:paraId="38D7DC41">
      <w:pPr>
        <w:rPr>
          <w:rFonts w:hint="default" w:ascii="仿宋" w:hAnsi="仿宋" w:eastAsia="黑体"/>
          <w:b/>
          <w:bCs/>
          <w:sz w:val="28"/>
          <w:szCs w:val="28"/>
          <w:lang w:val="en-US" w:eastAsia="zh-CN"/>
        </w:rPr>
      </w:pPr>
      <w:r>
        <w:rPr>
          <w:rFonts w:hint="eastAsia" w:ascii="黑体" w:hAnsi="黑体" w:eastAsia="黑体"/>
          <w:sz w:val="28"/>
          <w:szCs w:val="28"/>
        </w:rPr>
        <w:t>五、评审专家名单：唐亮</w:t>
      </w:r>
      <w:r>
        <w:rPr>
          <w:rFonts w:hint="eastAsia" w:ascii="黑体" w:hAnsi="黑体" w:eastAsia="黑体"/>
          <w:sz w:val="28"/>
          <w:szCs w:val="28"/>
          <w:lang w:eastAsia="zh-CN"/>
        </w:rPr>
        <w:t>、李钟柱、王仲、阳美兰、蒋征朋、杨新民、</w:t>
      </w:r>
      <w:r>
        <w:rPr>
          <w:rFonts w:hint="eastAsia" w:ascii="黑体" w:hAnsi="黑体" w:eastAsia="黑体"/>
          <w:sz w:val="28"/>
          <w:szCs w:val="28"/>
          <w:lang w:val="en-US" w:eastAsia="zh-CN"/>
        </w:rPr>
        <w:t>冀燃</w:t>
      </w:r>
      <w:bookmarkStart w:id="24" w:name="_GoBack"/>
      <w:bookmarkEnd w:id="24"/>
    </w:p>
    <w:p w14:paraId="3B5F74B0">
      <w:pPr>
        <w:rPr>
          <w:rFonts w:hint="default" w:ascii="仿宋" w:hAnsi="仿宋" w:eastAsia="黑体"/>
          <w:sz w:val="28"/>
          <w:szCs w:val="28"/>
          <w:lang w:val="en-US" w:eastAsia="zh-CN"/>
        </w:rPr>
      </w:pPr>
      <w:r>
        <w:rPr>
          <w:rFonts w:hint="eastAsia" w:ascii="黑体" w:hAnsi="黑体" w:eastAsia="黑体"/>
          <w:sz w:val="28"/>
          <w:szCs w:val="28"/>
        </w:rPr>
        <w:t>六、代理服务收费标准及金额：</w:t>
      </w:r>
      <w:bookmarkStart w:id="3" w:name="OLE_LINK5"/>
      <w:bookmarkStart w:id="4" w:name="OLE_LINK16"/>
      <w:bookmarkStart w:id="5" w:name="OLE_LINK6"/>
      <w:r>
        <w:rPr>
          <w:rFonts w:hint="eastAsia" w:ascii="仿宋" w:hAnsi="仿宋" w:eastAsia="仿宋"/>
          <w:sz w:val="28"/>
          <w:szCs w:val="28"/>
          <w:highlight w:val="none"/>
        </w:rPr>
        <w:t>参照国家发改委颁布的《招标代理服务收费管理暂行办法》（计价格[2002]1980号）中的服务招标收费标准</w:t>
      </w:r>
      <w:r>
        <w:rPr>
          <w:rFonts w:hint="eastAsia" w:ascii="仿宋" w:hAnsi="仿宋" w:eastAsia="仿宋"/>
          <w:sz w:val="28"/>
          <w:szCs w:val="28"/>
          <w:highlight w:val="none"/>
          <w:lang w:val="en-US" w:eastAsia="zh-CN"/>
        </w:rPr>
        <w:t>下浮5%。</w:t>
      </w:r>
    </w:p>
    <w:bookmarkEnd w:id="3"/>
    <w:bookmarkEnd w:id="4"/>
    <w:bookmarkEnd w:id="5"/>
    <w:p w14:paraId="253169E9">
      <w:pPr>
        <w:rPr>
          <w:rFonts w:ascii="仿宋" w:hAnsi="仿宋" w:eastAsia="仿宋"/>
          <w:color w:val="auto"/>
          <w:sz w:val="28"/>
          <w:szCs w:val="28"/>
          <w:highlight w:val="yellow"/>
        </w:rPr>
      </w:pPr>
      <w:r>
        <w:rPr>
          <w:rFonts w:hint="eastAsia" w:ascii="仿宋" w:hAnsi="仿宋" w:eastAsia="仿宋"/>
          <w:color w:val="auto"/>
          <w:sz w:val="28"/>
          <w:szCs w:val="28"/>
        </w:rPr>
        <w:t>金额</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1.079865</w:t>
      </w:r>
      <w:r>
        <w:rPr>
          <w:rFonts w:hint="eastAsia" w:ascii="仿宋" w:hAnsi="仿宋" w:eastAsia="仿宋"/>
          <w:color w:val="auto"/>
          <w:sz w:val="28"/>
          <w:szCs w:val="28"/>
          <w:highlight w:val="none"/>
        </w:rPr>
        <w:t>万元人民币</w:t>
      </w:r>
    </w:p>
    <w:p w14:paraId="7AA5C1EB">
      <w:pPr>
        <w:rPr>
          <w:rFonts w:ascii="黑体" w:hAnsi="黑体" w:eastAsia="黑体"/>
          <w:sz w:val="28"/>
          <w:szCs w:val="28"/>
        </w:rPr>
      </w:pPr>
      <w:r>
        <w:rPr>
          <w:rFonts w:hint="eastAsia" w:ascii="黑体" w:hAnsi="黑体" w:eastAsia="黑体"/>
          <w:sz w:val="28"/>
          <w:szCs w:val="28"/>
        </w:rPr>
        <w:t>七、公告期限</w:t>
      </w:r>
    </w:p>
    <w:p w14:paraId="65A3D16F">
      <w:pPr>
        <w:ind w:firstLine="560" w:firstLineChars="200"/>
        <w:rPr>
          <w:rFonts w:ascii="仿宋" w:hAnsi="仿宋" w:eastAsia="仿宋" w:cs="宋体"/>
          <w:kern w:val="0"/>
          <w:sz w:val="28"/>
          <w:szCs w:val="28"/>
        </w:rPr>
      </w:pPr>
      <w:bookmarkStart w:id="6" w:name="OLE_LINK3"/>
      <w:r>
        <w:rPr>
          <w:rFonts w:hint="eastAsia" w:ascii="仿宋" w:hAnsi="仿宋" w:eastAsia="仿宋" w:cs="宋体"/>
          <w:kern w:val="0"/>
          <w:sz w:val="28"/>
          <w:szCs w:val="28"/>
        </w:rPr>
        <w:t>自本公告发布之日起</w:t>
      </w:r>
      <w:r>
        <w:rPr>
          <w:rFonts w:ascii="仿宋" w:hAnsi="仿宋" w:eastAsia="仿宋" w:cs="宋体"/>
          <w:kern w:val="0"/>
          <w:sz w:val="28"/>
          <w:szCs w:val="28"/>
        </w:rPr>
        <w:t>1</w:t>
      </w:r>
      <w:r>
        <w:rPr>
          <w:rFonts w:hint="eastAsia" w:ascii="仿宋" w:hAnsi="仿宋" w:eastAsia="仿宋" w:cs="宋体"/>
          <w:kern w:val="0"/>
          <w:sz w:val="28"/>
          <w:szCs w:val="28"/>
        </w:rPr>
        <w:t>个工作日。</w:t>
      </w:r>
    </w:p>
    <w:bookmarkEnd w:id="6"/>
    <w:p w14:paraId="12EF60F9">
      <w:pPr>
        <w:rPr>
          <w:rFonts w:ascii="黑体" w:hAnsi="黑体" w:eastAsia="黑体" w:cs="仿宋"/>
          <w:sz w:val="28"/>
          <w:szCs w:val="28"/>
        </w:rPr>
      </w:pPr>
      <w:r>
        <w:rPr>
          <w:rFonts w:hint="eastAsia" w:ascii="黑体" w:hAnsi="黑体" w:eastAsia="黑体" w:cs="仿宋"/>
          <w:sz w:val="28"/>
          <w:szCs w:val="28"/>
        </w:rPr>
        <w:t>八、其他补充事宜</w:t>
      </w:r>
    </w:p>
    <w:p w14:paraId="3734B970">
      <w:pPr>
        <w:snapToGrid w:val="0"/>
        <w:spacing w:line="360" w:lineRule="auto"/>
        <w:ind w:firstLine="560" w:firstLineChars="200"/>
        <w:jc w:val="left"/>
        <w:rPr>
          <w:rFonts w:ascii="仿宋" w:hAnsi="仿宋" w:eastAsia="仿宋" w:cs="宋体"/>
          <w:kern w:val="0"/>
          <w:sz w:val="28"/>
          <w:szCs w:val="28"/>
        </w:rPr>
      </w:pPr>
      <w:bookmarkStart w:id="7" w:name="OLE_LINK8"/>
      <w:bookmarkStart w:id="8" w:name="_Hlk211587804"/>
      <w:r>
        <w:rPr>
          <w:rFonts w:ascii="仿宋" w:hAnsi="仿宋" w:eastAsia="仿宋" w:cs="宋体"/>
          <w:kern w:val="0"/>
          <w:sz w:val="28"/>
          <w:szCs w:val="28"/>
        </w:rPr>
        <w:t>用途：自用</w:t>
      </w:r>
    </w:p>
    <w:p w14:paraId="21ED3E7A">
      <w:pPr>
        <w:snapToGrid w:val="0"/>
        <w:spacing w:line="360" w:lineRule="auto"/>
        <w:ind w:firstLine="560" w:firstLineChars="200"/>
        <w:jc w:val="left"/>
        <w:rPr>
          <w:rFonts w:hint="default" w:ascii="仿宋" w:hAnsi="仿宋" w:eastAsia="仿宋" w:cs="宋体"/>
          <w:kern w:val="0"/>
          <w:sz w:val="28"/>
          <w:szCs w:val="28"/>
          <w:lang w:val="en-US" w:eastAsia="zh-CN"/>
        </w:rPr>
      </w:pPr>
      <w:r>
        <w:rPr>
          <w:rFonts w:ascii="仿宋" w:hAnsi="仿宋" w:eastAsia="仿宋" w:cs="宋体"/>
          <w:kern w:val="0"/>
          <w:sz w:val="28"/>
          <w:szCs w:val="28"/>
        </w:rPr>
        <w:t>合同执行期、服务要求：</w:t>
      </w:r>
      <w:r>
        <w:rPr>
          <w:rFonts w:hint="eastAsia" w:ascii="仿宋" w:hAnsi="仿宋" w:eastAsia="仿宋" w:cs="宋体"/>
          <w:kern w:val="0"/>
          <w:sz w:val="28"/>
          <w:szCs w:val="28"/>
          <w:lang w:val="en-US" w:eastAsia="zh-CN"/>
        </w:rPr>
        <w:t>第1包：自监理合同签订之日至本项目建设完成并最终验收合格。</w:t>
      </w:r>
    </w:p>
    <w:p w14:paraId="1EC3912E">
      <w:pPr>
        <w:snapToGrid w:val="0"/>
        <w:spacing w:line="360" w:lineRule="auto"/>
        <w:ind w:firstLine="560" w:firstLineChars="200"/>
        <w:jc w:val="left"/>
        <w:rPr>
          <w:rFonts w:ascii="仿宋" w:hAnsi="仿宋" w:eastAsia="仿宋" w:cs="宋体"/>
          <w:kern w:val="0"/>
          <w:sz w:val="28"/>
          <w:szCs w:val="28"/>
        </w:rPr>
      </w:pPr>
      <w:r>
        <w:rPr>
          <w:rFonts w:ascii="仿宋" w:hAnsi="仿宋" w:eastAsia="仿宋" w:cs="宋体"/>
          <w:kern w:val="0"/>
          <w:sz w:val="28"/>
          <w:szCs w:val="28"/>
        </w:rPr>
        <w:t>招标公告发布日期：</w:t>
      </w:r>
      <w:r>
        <w:rPr>
          <w:rFonts w:hint="eastAsia" w:ascii="仿宋" w:hAnsi="仿宋" w:eastAsia="仿宋" w:cs="宋体"/>
          <w:kern w:val="0"/>
          <w:sz w:val="28"/>
          <w:szCs w:val="28"/>
        </w:rPr>
        <w:t>2026年</w:t>
      </w:r>
      <w:r>
        <w:rPr>
          <w:rFonts w:hint="eastAsia" w:ascii="仿宋" w:hAnsi="仿宋" w:eastAsia="仿宋" w:cs="宋体"/>
          <w:kern w:val="0"/>
          <w:sz w:val="28"/>
          <w:szCs w:val="28"/>
          <w:lang w:val="en-US" w:eastAsia="zh-CN"/>
        </w:rPr>
        <w:t>8</w:t>
      </w:r>
      <w:r>
        <w:rPr>
          <w:rFonts w:hint="eastAsia" w:ascii="仿宋" w:hAnsi="仿宋" w:eastAsia="仿宋" w:cs="宋体"/>
          <w:kern w:val="0"/>
          <w:sz w:val="28"/>
          <w:szCs w:val="28"/>
        </w:rPr>
        <w:t>月</w:t>
      </w:r>
      <w:r>
        <w:rPr>
          <w:rFonts w:hint="eastAsia" w:ascii="仿宋" w:hAnsi="仿宋" w:eastAsia="仿宋" w:cs="宋体"/>
          <w:kern w:val="0"/>
          <w:sz w:val="28"/>
          <w:szCs w:val="28"/>
          <w:lang w:val="en-US" w:eastAsia="zh-CN"/>
        </w:rPr>
        <w:t>17</w:t>
      </w:r>
      <w:r>
        <w:rPr>
          <w:rFonts w:hint="eastAsia" w:ascii="仿宋" w:hAnsi="仿宋" w:eastAsia="仿宋" w:cs="宋体"/>
          <w:kern w:val="0"/>
          <w:sz w:val="28"/>
          <w:szCs w:val="28"/>
        </w:rPr>
        <w:t>日</w:t>
      </w:r>
    </w:p>
    <w:p w14:paraId="797B7061">
      <w:pPr>
        <w:snapToGrid w:val="0"/>
        <w:spacing w:line="360" w:lineRule="auto"/>
        <w:ind w:firstLine="560" w:firstLineChars="200"/>
        <w:jc w:val="left"/>
        <w:rPr>
          <w:rFonts w:ascii="仿宋" w:hAnsi="仿宋" w:eastAsia="仿宋" w:cs="宋体"/>
          <w:kern w:val="0"/>
          <w:sz w:val="28"/>
          <w:szCs w:val="28"/>
          <w:highlight w:val="none"/>
        </w:rPr>
      </w:pPr>
      <w:r>
        <w:rPr>
          <w:rFonts w:ascii="仿宋" w:hAnsi="仿宋" w:eastAsia="仿宋" w:cs="宋体"/>
          <w:kern w:val="0"/>
          <w:sz w:val="28"/>
          <w:szCs w:val="28"/>
          <w:highlight w:val="none"/>
        </w:rPr>
        <w:t>定标日期：</w:t>
      </w:r>
      <w:r>
        <w:rPr>
          <w:rFonts w:hint="eastAsia" w:ascii="仿宋" w:hAnsi="仿宋" w:eastAsia="仿宋" w:cs="宋体"/>
          <w:kern w:val="0"/>
          <w:sz w:val="28"/>
          <w:szCs w:val="28"/>
          <w:highlight w:val="none"/>
        </w:rPr>
        <w:t>2026年</w:t>
      </w:r>
      <w:r>
        <w:rPr>
          <w:rFonts w:hint="eastAsia" w:ascii="仿宋" w:hAnsi="仿宋" w:eastAsia="仿宋" w:cs="宋体"/>
          <w:kern w:val="0"/>
          <w:sz w:val="28"/>
          <w:szCs w:val="28"/>
          <w:highlight w:val="none"/>
          <w:lang w:val="en-US" w:eastAsia="zh-CN"/>
        </w:rPr>
        <w:t>9</w:t>
      </w:r>
      <w:r>
        <w:rPr>
          <w:rFonts w:hint="eastAsia" w:ascii="仿宋" w:hAnsi="仿宋" w:eastAsia="仿宋" w:cs="宋体"/>
          <w:kern w:val="0"/>
          <w:sz w:val="28"/>
          <w:szCs w:val="28"/>
          <w:highlight w:val="none"/>
        </w:rPr>
        <w:t>月</w:t>
      </w:r>
      <w:r>
        <w:rPr>
          <w:rFonts w:hint="eastAsia" w:ascii="仿宋" w:hAnsi="仿宋" w:eastAsia="仿宋" w:cs="宋体"/>
          <w:kern w:val="0"/>
          <w:sz w:val="28"/>
          <w:szCs w:val="28"/>
          <w:highlight w:val="none"/>
          <w:lang w:val="en-US" w:eastAsia="zh-CN"/>
        </w:rPr>
        <w:t>8</w:t>
      </w:r>
      <w:r>
        <w:rPr>
          <w:rFonts w:hint="eastAsia" w:ascii="仿宋" w:hAnsi="仿宋" w:eastAsia="仿宋" w:cs="宋体"/>
          <w:kern w:val="0"/>
          <w:sz w:val="28"/>
          <w:szCs w:val="28"/>
          <w:highlight w:val="none"/>
        </w:rPr>
        <w:t>日</w:t>
      </w:r>
    </w:p>
    <w:p w14:paraId="67B814B6">
      <w:pPr>
        <w:snapToGrid w:val="0"/>
        <w:spacing w:line="360" w:lineRule="auto"/>
        <w:ind w:firstLine="560" w:firstLineChars="20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第1包中标供应商</w:t>
      </w:r>
      <w:r>
        <w:rPr>
          <w:rFonts w:hint="eastAsia" w:ascii="仿宋" w:hAnsi="仿宋" w:eastAsia="仿宋" w:cs="宋体"/>
          <w:kern w:val="0"/>
          <w:sz w:val="28"/>
          <w:szCs w:val="28"/>
          <w:highlight w:val="none"/>
        </w:rPr>
        <w:t>综合得分：</w:t>
      </w:r>
      <w:r>
        <w:rPr>
          <w:rFonts w:hint="eastAsia" w:ascii="仿宋" w:hAnsi="仿宋" w:eastAsia="仿宋" w:cs="宋体"/>
          <w:kern w:val="0"/>
          <w:sz w:val="28"/>
          <w:szCs w:val="28"/>
          <w:highlight w:val="none"/>
          <w:lang w:val="en-US" w:eastAsia="zh-CN"/>
        </w:rPr>
        <w:t>91.74</w:t>
      </w:r>
      <w:r>
        <w:rPr>
          <w:rFonts w:hint="eastAsia" w:ascii="仿宋" w:hAnsi="仿宋" w:eastAsia="仿宋" w:cs="宋体"/>
          <w:kern w:val="0"/>
          <w:sz w:val="28"/>
          <w:szCs w:val="28"/>
          <w:highlight w:val="none"/>
        </w:rPr>
        <w:t>分</w:t>
      </w:r>
    </w:p>
    <w:bookmarkEnd w:id="7"/>
    <w:bookmarkEnd w:id="8"/>
    <w:p w14:paraId="1F44C365">
      <w:pPr>
        <w:spacing w:line="360" w:lineRule="auto"/>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14:paraId="02497A49">
      <w:pPr>
        <w:pStyle w:val="4"/>
        <w:snapToGrid w:val="0"/>
        <w:spacing w:before="0" w:after="0" w:line="360" w:lineRule="auto"/>
        <w:ind w:firstLine="560" w:firstLineChars="200"/>
        <w:rPr>
          <w:rFonts w:ascii="仿宋" w:hAnsi="仿宋" w:eastAsia="仿宋" w:cs="宋体"/>
          <w:b w:val="0"/>
          <w:sz w:val="28"/>
          <w:szCs w:val="28"/>
        </w:rPr>
      </w:pPr>
      <w:bookmarkStart w:id="9" w:name="_Toc28359023"/>
      <w:bookmarkStart w:id="10" w:name="_Toc35393641"/>
      <w:bookmarkStart w:id="11" w:name="_Toc35393810"/>
      <w:bookmarkStart w:id="12" w:name="_Toc28359100"/>
      <w:r>
        <w:rPr>
          <w:rFonts w:hint="eastAsia" w:ascii="仿宋" w:hAnsi="仿宋" w:eastAsia="仿宋" w:cs="宋体"/>
          <w:b w:val="0"/>
          <w:sz w:val="28"/>
          <w:szCs w:val="28"/>
        </w:rPr>
        <w:t>1.采购人信息</w:t>
      </w:r>
      <w:bookmarkEnd w:id="9"/>
      <w:bookmarkEnd w:id="10"/>
      <w:bookmarkEnd w:id="11"/>
      <w:bookmarkEnd w:id="12"/>
    </w:p>
    <w:p w14:paraId="6B0FB5BE">
      <w:pPr>
        <w:snapToGrid w:val="0"/>
        <w:spacing w:line="360" w:lineRule="auto"/>
        <w:ind w:left="210" w:leftChars="100" w:firstLine="280" w:firstLineChars="100"/>
        <w:jc w:val="left"/>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北京市疾病预防控制中心</w:t>
      </w:r>
    </w:p>
    <w:p w14:paraId="0731677E">
      <w:pPr>
        <w:snapToGrid w:val="0"/>
        <w:spacing w:line="360" w:lineRule="auto"/>
        <w:ind w:left="210" w:leftChars="100" w:firstLine="280" w:firstLineChars="100"/>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北京市东城区和平里中街16号</w:t>
      </w:r>
    </w:p>
    <w:p w14:paraId="6ABC0F69">
      <w:pPr>
        <w:snapToGrid w:val="0"/>
        <w:spacing w:line="360" w:lineRule="auto"/>
        <w:ind w:left="210" w:leftChars="100" w:firstLine="280" w:firstLineChars="100"/>
        <w:jc w:val="left"/>
        <w:rPr>
          <w:rFonts w:ascii="仿宋" w:hAnsi="仿宋" w:eastAsia="仿宋"/>
          <w:sz w:val="28"/>
          <w:szCs w:val="28"/>
        </w:rPr>
      </w:pPr>
      <w:r>
        <w:rPr>
          <w:rFonts w:hint="eastAsia" w:ascii="仿宋" w:hAnsi="仿宋" w:eastAsia="仿宋"/>
          <w:sz w:val="28"/>
          <w:szCs w:val="28"/>
        </w:rPr>
        <w:t>联系方式：</w:t>
      </w:r>
      <w:bookmarkStart w:id="13" w:name="OLE_LINK1"/>
      <w:bookmarkStart w:id="14" w:name="OLE_LINK12"/>
      <w:bookmarkStart w:id="15" w:name="OLE_LINK2"/>
      <w:r>
        <w:rPr>
          <w:rFonts w:hint="eastAsia" w:ascii="仿宋" w:hAnsi="仿宋" w:eastAsia="仿宋"/>
          <w:sz w:val="28"/>
          <w:szCs w:val="28"/>
          <w:u w:val="single"/>
        </w:rPr>
        <w:t>010-64407307</w:t>
      </w:r>
      <w:bookmarkEnd w:id="13"/>
      <w:bookmarkEnd w:id="14"/>
      <w:bookmarkEnd w:id="15"/>
    </w:p>
    <w:p w14:paraId="4A3B592E">
      <w:pPr>
        <w:pStyle w:val="4"/>
        <w:snapToGrid w:val="0"/>
        <w:spacing w:before="0" w:after="0" w:line="360" w:lineRule="auto"/>
        <w:ind w:firstLine="560" w:firstLineChars="200"/>
        <w:rPr>
          <w:rFonts w:ascii="仿宋" w:hAnsi="仿宋" w:eastAsia="仿宋" w:cs="宋体"/>
          <w:b w:val="0"/>
          <w:sz w:val="28"/>
          <w:szCs w:val="28"/>
        </w:rPr>
      </w:pPr>
      <w:bookmarkStart w:id="16" w:name="_Toc35393811"/>
      <w:bookmarkStart w:id="17" w:name="_Toc28359024"/>
      <w:bookmarkStart w:id="18" w:name="_Toc35393642"/>
      <w:bookmarkStart w:id="19" w:name="_Toc28359101"/>
      <w:r>
        <w:rPr>
          <w:rFonts w:hint="eastAsia" w:ascii="仿宋" w:hAnsi="仿宋" w:eastAsia="仿宋" w:cs="宋体"/>
          <w:b w:val="0"/>
          <w:sz w:val="28"/>
          <w:szCs w:val="28"/>
        </w:rPr>
        <w:t>2.采购代理机构信息</w:t>
      </w:r>
      <w:bookmarkEnd w:id="16"/>
      <w:bookmarkEnd w:id="17"/>
      <w:bookmarkEnd w:id="18"/>
      <w:bookmarkEnd w:id="19"/>
    </w:p>
    <w:p w14:paraId="59C3FB3B">
      <w:pPr>
        <w:snapToGrid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名    称：</w:t>
      </w:r>
      <w:r>
        <w:rPr>
          <w:rFonts w:hint="eastAsia" w:ascii="仿宋" w:hAnsi="仿宋" w:eastAsia="仿宋"/>
          <w:sz w:val="28"/>
          <w:szCs w:val="28"/>
          <w:u w:val="single"/>
        </w:rPr>
        <w:t>中技国际招标有限公司</w:t>
      </w:r>
    </w:p>
    <w:p w14:paraId="19514202">
      <w:pPr>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北京市丰台区西营街1号院通用时代中心C座9层</w:t>
      </w:r>
    </w:p>
    <w:p w14:paraId="7CA20DD9">
      <w:pPr>
        <w:snapToGrid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010－81168541</w:t>
      </w:r>
    </w:p>
    <w:p w14:paraId="374FD3A8">
      <w:pPr>
        <w:pStyle w:val="4"/>
        <w:snapToGrid w:val="0"/>
        <w:spacing w:before="0" w:after="0" w:line="360" w:lineRule="auto"/>
        <w:ind w:firstLine="560" w:firstLineChars="200"/>
        <w:rPr>
          <w:rFonts w:ascii="仿宋" w:hAnsi="仿宋" w:eastAsia="仿宋" w:cs="宋体"/>
          <w:b w:val="0"/>
          <w:sz w:val="28"/>
          <w:szCs w:val="28"/>
        </w:rPr>
      </w:pPr>
      <w:bookmarkStart w:id="20" w:name="_Toc35393643"/>
      <w:bookmarkStart w:id="21" w:name="_Toc35393812"/>
      <w:bookmarkStart w:id="22" w:name="_Toc28359025"/>
      <w:bookmarkStart w:id="23" w:name="_Toc28359102"/>
      <w:r>
        <w:rPr>
          <w:rFonts w:hint="eastAsia" w:ascii="仿宋" w:hAnsi="仿宋" w:eastAsia="仿宋" w:cs="宋体"/>
          <w:b w:val="0"/>
          <w:sz w:val="28"/>
          <w:szCs w:val="28"/>
        </w:rPr>
        <w:t>3.项目</w:t>
      </w:r>
      <w:r>
        <w:rPr>
          <w:rFonts w:ascii="仿宋" w:hAnsi="仿宋" w:eastAsia="仿宋" w:cs="宋体"/>
          <w:b w:val="0"/>
          <w:sz w:val="28"/>
          <w:szCs w:val="28"/>
        </w:rPr>
        <w:t>联系方式</w:t>
      </w:r>
      <w:bookmarkEnd w:id="20"/>
      <w:bookmarkEnd w:id="21"/>
      <w:bookmarkEnd w:id="22"/>
      <w:bookmarkEnd w:id="23"/>
    </w:p>
    <w:p w14:paraId="0567DFE5">
      <w:pPr>
        <w:pStyle w:val="5"/>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强文晓、孙薇</w:t>
      </w:r>
    </w:p>
    <w:p w14:paraId="46956992">
      <w:pPr>
        <w:snapToGrid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电</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话：</w:t>
      </w:r>
      <w:r>
        <w:rPr>
          <w:rFonts w:hint="eastAsia" w:ascii="仿宋" w:hAnsi="仿宋" w:eastAsia="仿宋"/>
          <w:sz w:val="28"/>
          <w:szCs w:val="28"/>
          <w:u w:val="single"/>
        </w:rPr>
        <w:t>010－81168541</w:t>
      </w:r>
    </w:p>
    <w:p w14:paraId="123BEC69">
      <w:pPr>
        <w:spacing w:line="360" w:lineRule="auto"/>
        <w:rPr>
          <w:rFonts w:hint="eastAsia" w:ascii="黑体" w:hAnsi="黑体" w:eastAsia="黑体" w:cs="宋体"/>
          <w:kern w:val="0"/>
          <w:sz w:val="28"/>
          <w:szCs w:val="28"/>
        </w:rPr>
      </w:pPr>
      <w:r>
        <w:rPr>
          <w:rFonts w:hint="eastAsia" w:ascii="黑体" w:hAnsi="黑体" w:eastAsia="黑体" w:cs="宋体"/>
          <w:kern w:val="0"/>
          <w:sz w:val="28"/>
          <w:szCs w:val="28"/>
        </w:rPr>
        <w:t>十、附件</w:t>
      </w:r>
    </w:p>
    <w:p w14:paraId="30EEB20E">
      <w:pPr>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1、采购文件</w:t>
      </w:r>
      <w:r>
        <w:rPr>
          <w:rFonts w:hint="eastAsia" w:ascii="仿宋" w:hAnsi="仿宋" w:eastAsia="仿宋"/>
          <w:sz w:val="28"/>
          <w:szCs w:val="28"/>
          <w:lang w:val="en-US" w:eastAsia="zh-CN"/>
        </w:rPr>
        <w:t xml:space="preserve">  </w:t>
      </w:r>
      <w:r>
        <w:rPr>
          <w:rFonts w:hint="eastAsia" w:ascii="仿宋" w:hAnsi="仿宋" w:eastAsia="仿宋"/>
          <w:sz w:val="28"/>
          <w:szCs w:val="28"/>
        </w:rPr>
        <w:t>2、中标公告</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wYzdmNDI0NDM2YzAwZWU2Nzk0MzE4MjY4ZWVkYmEifQ=="/>
  </w:docVars>
  <w:rsids>
    <w:rsidRoot w:val="00694D27"/>
    <w:rsid w:val="00003AB2"/>
    <w:rsid w:val="00023CF9"/>
    <w:rsid w:val="00024456"/>
    <w:rsid w:val="00025467"/>
    <w:rsid w:val="0003023E"/>
    <w:rsid w:val="00033B3C"/>
    <w:rsid w:val="000368CC"/>
    <w:rsid w:val="00045C3E"/>
    <w:rsid w:val="00054C2F"/>
    <w:rsid w:val="00061540"/>
    <w:rsid w:val="000615FB"/>
    <w:rsid w:val="00062900"/>
    <w:rsid w:val="00066EC9"/>
    <w:rsid w:val="000739D6"/>
    <w:rsid w:val="000814C8"/>
    <w:rsid w:val="000916D9"/>
    <w:rsid w:val="00096402"/>
    <w:rsid w:val="000A6813"/>
    <w:rsid w:val="000B2E4E"/>
    <w:rsid w:val="000D4CC9"/>
    <w:rsid w:val="000D5131"/>
    <w:rsid w:val="000E53DF"/>
    <w:rsid w:val="000F2E51"/>
    <w:rsid w:val="00120720"/>
    <w:rsid w:val="001232F7"/>
    <w:rsid w:val="0015272A"/>
    <w:rsid w:val="001554ED"/>
    <w:rsid w:val="00164B26"/>
    <w:rsid w:val="00170EAE"/>
    <w:rsid w:val="001815E2"/>
    <w:rsid w:val="00191E17"/>
    <w:rsid w:val="001A3E79"/>
    <w:rsid w:val="001C4226"/>
    <w:rsid w:val="001D4F45"/>
    <w:rsid w:val="001D696A"/>
    <w:rsid w:val="002148B4"/>
    <w:rsid w:val="002163DB"/>
    <w:rsid w:val="00217CD7"/>
    <w:rsid w:val="0022708A"/>
    <w:rsid w:val="002277D5"/>
    <w:rsid w:val="00227B90"/>
    <w:rsid w:val="00230268"/>
    <w:rsid w:val="002449AD"/>
    <w:rsid w:val="0025521E"/>
    <w:rsid w:val="00255FC7"/>
    <w:rsid w:val="00267EE3"/>
    <w:rsid w:val="002965D1"/>
    <w:rsid w:val="002A0982"/>
    <w:rsid w:val="002B2976"/>
    <w:rsid w:val="002B6279"/>
    <w:rsid w:val="002C5CDB"/>
    <w:rsid w:val="002D5293"/>
    <w:rsid w:val="00301708"/>
    <w:rsid w:val="0031214D"/>
    <w:rsid w:val="00316C0C"/>
    <w:rsid w:val="003300CD"/>
    <w:rsid w:val="00344A84"/>
    <w:rsid w:val="00351CDC"/>
    <w:rsid w:val="003735BD"/>
    <w:rsid w:val="003843AF"/>
    <w:rsid w:val="0039482D"/>
    <w:rsid w:val="003A7831"/>
    <w:rsid w:val="003D2C85"/>
    <w:rsid w:val="003E357F"/>
    <w:rsid w:val="00401AC7"/>
    <w:rsid w:val="00420BFB"/>
    <w:rsid w:val="004310DA"/>
    <w:rsid w:val="004322C0"/>
    <w:rsid w:val="004359D3"/>
    <w:rsid w:val="0045008A"/>
    <w:rsid w:val="004742E8"/>
    <w:rsid w:val="00484A66"/>
    <w:rsid w:val="00490119"/>
    <w:rsid w:val="00491D3D"/>
    <w:rsid w:val="004968AB"/>
    <w:rsid w:val="004A1C47"/>
    <w:rsid w:val="004A2D32"/>
    <w:rsid w:val="004A503E"/>
    <w:rsid w:val="004C21F0"/>
    <w:rsid w:val="004D16BB"/>
    <w:rsid w:val="004D546A"/>
    <w:rsid w:val="004D63F5"/>
    <w:rsid w:val="004D6CE9"/>
    <w:rsid w:val="004F6CC5"/>
    <w:rsid w:val="005019A0"/>
    <w:rsid w:val="0050631B"/>
    <w:rsid w:val="005176E3"/>
    <w:rsid w:val="0052449C"/>
    <w:rsid w:val="00526725"/>
    <w:rsid w:val="00530878"/>
    <w:rsid w:val="00555592"/>
    <w:rsid w:val="00557A44"/>
    <w:rsid w:val="00571AB3"/>
    <w:rsid w:val="005761B4"/>
    <w:rsid w:val="005843D8"/>
    <w:rsid w:val="00584A6B"/>
    <w:rsid w:val="00587717"/>
    <w:rsid w:val="005A2224"/>
    <w:rsid w:val="005B6DFF"/>
    <w:rsid w:val="005C237F"/>
    <w:rsid w:val="005C39EB"/>
    <w:rsid w:val="005F0748"/>
    <w:rsid w:val="005F15F0"/>
    <w:rsid w:val="005F681E"/>
    <w:rsid w:val="00601D14"/>
    <w:rsid w:val="00604ABD"/>
    <w:rsid w:val="0061384D"/>
    <w:rsid w:val="00624966"/>
    <w:rsid w:val="00624AB8"/>
    <w:rsid w:val="00630C89"/>
    <w:rsid w:val="006528B9"/>
    <w:rsid w:val="006544E4"/>
    <w:rsid w:val="006716C0"/>
    <w:rsid w:val="00673908"/>
    <w:rsid w:val="006775DC"/>
    <w:rsid w:val="00683118"/>
    <w:rsid w:val="006845C9"/>
    <w:rsid w:val="00687549"/>
    <w:rsid w:val="00691285"/>
    <w:rsid w:val="00693BC0"/>
    <w:rsid w:val="00694D27"/>
    <w:rsid w:val="00697DC3"/>
    <w:rsid w:val="006A1BC4"/>
    <w:rsid w:val="006C12DC"/>
    <w:rsid w:val="006E09C3"/>
    <w:rsid w:val="006E48BA"/>
    <w:rsid w:val="006F30D5"/>
    <w:rsid w:val="006F67AE"/>
    <w:rsid w:val="00700359"/>
    <w:rsid w:val="00727195"/>
    <w:rsid w:val="007352C7"/>
    <w:rsid w:val="007407CF"/>
    <w:rsid w:val="00740BAD"/>
    <w:rsid w:val="00753160"/>
    <w:rsid w:val="007575EB"/>
    <w:rsid w:val="00770EE7"/>
    <w:rsid w:val="007735EC"/>
    <w:rsid w:val="00774040"/>
    <w:rsid w:val="00774AAE"/>
    <w:rsid w:val="00776441"/>
    <w:rsid w:val="007A0D03"/>
    <w:rsid w:val="007A17ED"/>
    <w:rsid w:val="007A2E27"/>
    <w:rsid w:val="007D0E5C"/>
    <w:rsid w:val="007D2EBA"/>
    <w:rsid w:val="007F353C"/>
    <w:rsid w:val="008123AF"/>
    <w:rsid w:val="00814E40"/>
    <w:rsid w:val="00817F2B"/>
    <w:rsid w:val="00833596"/>
    <w:rsid w:val="00836335"/>
    <w:rsid w:val="008452F0"/>
    <w:rsid w:val="00847C3B"/>
    <w:rsid w:val="00851500"/>
    <w:rsid w:val="00853DE1"/>
    <w:rsid w:val="00854ABC"/>
    <w:rsid w:val="00860645"/>
    <w:rsid w:val="008624F3"/>
    <w:rsid w:val="00866EA9"/>
    <w:rsid w:val="00871D6C"/>
    <w:rsid w:val="0087461A"/>
    <w:rsid w:val="00874CD2"/>
    <w:rsid w:val="00876E6A"/>
    <w:rsid w:val="0088651A"/>
    <w:rsid w:val="0088740A"/>
    <w:rsid w:val="00891893"/>
    <w:rsid w:val="00892979"/>
    <w:rsid w:val="008A7F78"/>
    <w:rsid w:val="008B3B7D"/>
    <w:rsid w:val="008B6CCE"/>
    <w:rsid w:val="008C0BE9"/>
    <w:rsid w:val="008C4550"/>
    <w:rsid w:val="008C7B3D"/>
    <w:rsid w:val="008C7FB8"/>
    <w:rsid w:val="008D14F0"/>
    <w:rsid w:val="008E1878"/>
    <w:rsid w:val="00915559"/>
    <w:rsid w:val="00924ABE"/>
    <w:rsid w:val="00926CFF"/>
    <w:rsid w:val="00943D7B"/>
    <w:rsid w:val="00945372"/>
    <w:rsid w:val="0096088F"/>
    <w:rsid w:val="00974338"/>
    <w:rsid w:val="00975B9E"/>
    <w:rsid w:val="00992210"/>
    <w:rsid w:val="009A1F0F"/>
    <w:rsid w:val="009A59A7"/>
    <w:rsid w:val="009B738A"/>
    <w:rsid w:val="009C3AF7"/>
    <w:rsid w:val="009D5C9B"/>
    <w:rsid w:val="009E2B9E"/>
    <w:rsid w:val="009F0109"/>
    <w:rsid w:val="009F26AE"/>
    <w:rsid w:val="009F6E98"/>
    <w:rsid w:val="009F7E95"/>
    <w:rsid w:val="009F7F6A"/>
    <w:rsid w:val="00A04C1A"/>
    <w:rsid w:val="00A149A1"/>
    <w:rsid w:val="00A14A9B"/>
    <w:rsid w:val="00A35CA1"/>
    <w:rsid w:val="00A360D6"/>
    <w:rsid w:val="00A404D0"/>
    <w:rsid w:val="00A6281A"/>
    <w:rsid w:val="00A670E6"/>
    <w:rsid w:val="00A83918"/>
    <w:rsid w:val="00A85DA9"/>
    <w:rsid w:val="00A85F01"/>
    <w:rsid w:val="00A93D95"/>
    <w:rsid w:val="00AB445B"/>
    <w:rsid w:val="00AB591A"/>
    <w:rsid w:val="00AB6611"/>
    <w:rsid w:val="00AC60B2"/>
    <w:rsid w:val="00AE0963"/>
    <w:rsid w:val="00AE451D"/>
    <w:rsid w:val="00B15DCE"/>
    <w:rsid w:val="00B164BC"/>
    <w:rsid w:val="00B3336A"/>
    <w:rsid w:val="00B375A9"/>
    <w:rsid w:val="00B42B3D"/>
    <w:rsid w:val="00B43DFE"/>
    <w:rsid w:val="00B46022"/>
    <w:rsid w:val="00B62EDA"/>
    <w:rsid w:val="00B67BB1"/>
    <w:rsid w:val="00B7111E"/>
    <w:rsid w:val="00B93734"/>
    <w:rsid w:val="00BA2B0B"/>
    <w:rsid w:val="00BA5216"/>
    <w:rsid w:val="00BA5924"/>
    <w:rsid w:val="00BB32F8"/>
    <w:rsid w:val="00BC0CD1"/>
    <w:rsid w:val="00BD40AB"/>
    <w:rsid w:val="00BE1536"/>
    <w:rsid w:val="00BF5740"/>
    <w:rsid w:val="00BF771E"/>
    <w:rsid w:val="00C1221F"/>
    <w:rsid w:val="00C12DFC"/>
    <w:rsid w:val="00C21C17"/>
    <w:rsid w:val="00C24641"/>
    <w:rsid w:val="00C24DDB"/>
    <w:rsid w:val="00C3647E"/>
    <w:rsid w:val="00C41838"/>
    <w:rsid w:val="00C41D9E"/>
    <w:rsid w:val="00C46373"/>
    <w:rsid w:val="00C63268"/>
    <w:rsid w:val="00C6734C"/>
    <w:rsid w:val="00C70146"/>
    <w:rsid w:val="00C75BA4"/>
    <w:rsid w:val="00C75CCC"/>
    <w:rsid w:val="00C81236"/>
    <w:rsid w:val="00CA56D3"/>
    <w:rsid w:val="00CA7DB9"/>
    <w:rsid w:val="00CB1CF1"/>
    <w:rsid w:val="00CB2774"/>
    <w:rsid w:val="00CB32A7"/>
    <w:rsid w:val="00CB3434"/>
    <w:rsid w:val="00CB69BE"/>
    <w:rsid w:val="00CD46FB"/>
    <w:rsid w:val="00CD5EF4"/>
    <w:rsid w:val="00CE3880"/>
    <w:rsid w:val="00CE5179"/>
    <w:rsid w:val="00D01FAB"/>
    <w:rsid w:val="00D04264"/>
    <w:rsid w:val="00D236EC"/>
    <w:rsid w:val="00D36C99"/>
    <w:rsid w:val="00D47E44"/>
    <w:rsid w:val="00D56E7C"/>
    <w:rsid w:val="00D810DC"/>
    <w:rsid w:val="00D81806"/>
    <w:rsid w:val="00D84E99"/>
    <w:rsid w:val="00D862B3"/>
    <w:rsid w:val="00DB0F66"/>
    <w:rsid w:val="00DB10C7"/>
    <w:rsid w:val="00DB17DB"/>
    <w:rsid w:val="00DB3032"/>
    <w:rsid w:val="00DB6362"/>
    <w:rsid w:val="00DC2F7C"/>
    <w:rsid w:val="00DC6BC5"/>
    <w:rsid w:val="00DD00AF"/>
    <w:rsid w:val="00DD3D8F"/>
    <w:rsid w:val="00DE07DD"/>
    <w:rsid w:val="00DE2B81"/>
    <w:rsid w:val="00DE74A9"/>
    <w:rsid w:val="00DF0653"/>
    <w:rsid w:val="00DF0D08"/>
    <w:rsid w:val="00DF309B"/>
    <w:rsid w:val="00E06C6E"/>
    <w:rsid w:val="00E20601"/>
    <w:rsid w:val="00E2089B"/>
    <w:rsid w:val="00E24466"/>
    <w:rsid w:val="00E47026"/>
    <w:rsid w:val="00E65968"/>
    <w:rsid w:val="00E73A29"/>
    <w:rsid w:val="00E81663"/>
    <w:rsid w:val="00E869C8"/>
    <w:rsid w:val="00E86DED"/>
    <w:rsid w:val="00E95B9B"/>
    <w:rsid w:val="00EA5660"/>
    <w:rsid w:val="00EA5A35"/>
    <w:rsid w:val="00EB5949"/>
    <w:rsid w:val="00EB677B"/>
    <w:rsid w:val="00ED15F6"/>
    <w:rsid w:val="00ED4078"/>
    <w:rsid w:val="00ED4FC3"/>
    <w:rsid w:val="00EF0ACC"/>
    <w:rsid w:val="00EF208E"/>
    <w:rsid w:val="00F0205E"/>
    <w:rsid w:val="00F14A0F"/>
    <w:rsid w:val="00F15374"/>
    <w:rsid w:val="00F3333E"/>
    <w:rsid w:val="00F44686"/>
    <w:rsid w:val="00F57AF3"/>
    <w:rsid w:val="00F611A2"/>
    <w:rsid w:val="00F742A4"/>
    <w:rsid w:val="00F762C6"/>
    <w:rsid w:val="00F86A97"/>
    <w:rsid w:val="00FB25AE"/>
    <w:rsid w:val="00FE7425"/>
    <w:rsid w:val="00FF1285"/>
    <w:rsid w:val="04563DE8"/>
    <w:rsid w:val="230A04DC"/>
    <w:rsid w:val="27041227"/>
    <w:rsid w:val="32334FE7"/>
    <w:rsid w:val="3542363B"/>
    <w:rsid w:val="362870FA"/>
    <w:rsid w:val="36A47D57"/>
    <w:rsid w:val="37075743"/>
    <w:rsid w:val="39B06F76"/>
    <w:rsid w:val="3EFA16AB"/>
    <w:rsid w:val="41533DDF"/>
    <w:rsid w:val="41BD5268"/>
    <w:rsid w:val="457F190C"/>
    <w:rsid w:val="48AE40C6"/>
    <w:rsid w:val="4D891414"/>
    <w:rsid w:val="50292ACF"/>
    <w:rsid w:val="52B809B9"/>
    <w:rsid w:val="64B61A2A"/>
    <w:rsid w:val="683D78D6"/>
    <w:rsid w:val="739E5D5B"/>
    <w:rsid w:val="74BD6CB3"/>
    <w:rsid w:val="7E2A0F5C"/>
    <w:rsid w:val="7EB44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2"/>
    <w:qFormat/>
    <w:uiPriority w:val="0"/>
    <w:pPr>
      <w:keepNext/>
      <w:keepLines/>
      <w:spacing w:before="260" w:after="260" w:line="415" w:lineRule="auto"/>
      <w:outlineLvl w:val="1"/>
    </w:pPr>
    <w:rPr>
      <w:rFonts w:ascii="Arial" w:hAnsi="Arial" w:eastAsia="黑体" w:cs="Arial"/>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23"/>
    <w:qFormat/>
    <w:uiPriority w:val="0"/>
    <w:rPr>
      <w:rFonts w:ascii="宋体" w:hAnsi="Courier New" w:eastAsiaTheme="minorEastAsia" w:cstheme="minorBidi"/>
      <w:szCs w:val="22"/>
    </w:rPr>
  </w:style>
  <w:style w:type="paragraph" w:styleId="6">
    <w:name w:val="Balloon Text"/>
    <w:basedOn w:val="1"/>
    <w:link w:val="26"/>
    <w:semiHidden/>
    <w:unhideWhenUsed/>
    <w:qFormat/>
    <w:uiPriority w:val="99"/>
    <w:rPr>
      <w:sz w:val="18"/>
      <w:szCs w:val="18"/>
    </w:rPr>
  </w:style>
  <w:style w:type="paragraph" w:styleId="7">
    <w:name w:val="footer"/>
    <w:basedOn w:val="1"/>
    <w:link w:val="25"/>
    <w:unhideWhenUsed/>
    <w:qFormat/>
    <w:uiPriority w:val="99"/>
    <w:pPr>
      <w:tabs>
        <w:tab w:val="center" w:pos="4153"/>
        <w:tab w:val="right" w:pos="8306"/>
      </w:tabs>
      <w:snapToGrid w:val="0"/>
      <w:jc w:val="left"/>
    </w:pPr>
    <w:rPr>
      <w:sz w:val="18"/>
      <w:szCs w:val="18"/>
    </w:rPr>
  </w:style>
  <w:style w:type="paragraph" w:styleId="8">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style>
  <w:style w:type="character" w:styleId="13">
    <w:name w:val="FollowedHyperlink"/>
    <w:basedOn w:val="11"/>
    <w:semiHidden/>
    <w:unhideWhenUsed/>
    <w:qFormat/>
    <w:uiPriority w:val="99"/>
    <w:rPr>
      <w:color w:val="333333"/>
      <w:u w:val="none"/>
    </w:rPr>
  </w:style>
  <w:style w:type="character" w:styleId="14">
    <w:name w:val="Emphasis"/>
    <w:basedOn w:val="11"/>
    <w:qFormat/>
    <w:uiPriority w:val="20"/>
  </w:style>
  <w:style w:type="character" w:styleId="15">
    <w:name w:val="HTML Definition"/>
    <w:basedOn w:val="11"/>
    <w:semiHidden/>
    <w:unhideWhenUsed/>
    <w:qFormat/>
    <w:uiPriority w:val="99"/>
  </w:style>
  <w:style w:type="character" w:styleId="16">
    <w:name w:val="HTML Acronym"/>
    <w:basedOn w:val="11"/>
    <w:semiHidden/>
    <w:unhideWhenUsed/>
    <w:qFormat/>
    <w:uiPriority w:val="99"/>
  </w:style>
  <w:style w:type="character" w:styleId="17">
    <w:name w:val="HTML Variable"/>
    <w:basedOn w:val="11"/>
    <w:semiHidden/>
    <w:unhideWhenUsed/>
    <w:qFormat/>
    <w:uiPriority w:val="99"/>
  </w:style>
  <w:style w:type="character" w:styleId="18">
    <w:name w:val="Hyperlink"/>
    <w:basedOn w:val="11"/>
    <w:semiHidden/>
    <w:unhideWhenUsed/>
    <w:qFormat/>
    <w:uiPriority w:val="99"/>
    <w:rPr>
      <w:color w:val="333333"/>
      <w:u w:val="none"/>
    </w:rPr>
  </w:style>
  <w:style w:type="character" w:styleId="19">
    <w:name w:val="HTML Code"/>
    <w:basedOn w:val="11"/>
    <w:semiHidden/>
    <w:unhideWhenUsed/>
    <w:qFormat/>
    <w:uiPriority w:val="99"/>
    <w:rPr>
      <w:rFonts w:ascii="Courier New" w:hAnsi="Courier New"/>
      <w:sz w:val="20"/>
    </w:rPr>
  </w:style>
  <w:style w:type="character" w:styleId="20">
    <w:name w:val="HTML Cite"/>
    <w:basedOn w:val="11"/>
    <w:semiHidden/>
    <w:unhideWhenUsed/>
    <w:qFormat/>
    <w:uiPriority w:val="99"/>
  </w:style>
  <w:style w:type="character" w:customStyle="1" w:styleId="21">
    <w:name w:val="标题 1 Char"/>
    <w:basedOn w:val="11"/>
    <w:link w:val="3"/>
    <w:qFormat/>
    <w:uiPriority w:val="9"/>
    <w:rPr>
      <w:rFonts w:ascii="Times New Roman" w:hAnsi="Times New Roman" w:eastAsia="宋体" w:cs="Times New Roman"/>
      <w:b/>
      <w:bCs/>
      <w:kern w:val="44"/>
      <w:sz w:val="44"/>
      <w:szCs w:val="44"/>
    </w:rPr>
  </w:style>
  <w:style w:type="character" w:customStyle="1" w:styleId="22">
    <w:name w:val="标题 2 Char"/>
    <w:basedOn w:val="11"/>
    <w:link w:val="4"/>
    <w:qFormat/>
    <w:uiPriority w:val="0"/>
    <w:rPr>
      <w:rFonts w:ascii="Arial" w:hAnsi="Arial" w:eastAsia="黑体" w:cs="Arial"/>
      <w:b/>
      <w:bCs/>
      <w:sz w:val="32"/>
      <w:szCs w:val="32"/>
    </w:rPr>
  </w:style>
  <w:style w:type="character" w:customStyle="1" w:styleId="23">
    <w:name w:val="纯文本 Char"/>
    <w:basedOn w:val="11"/>
    <w:link w:val="5"/>
    <w:qFormat/>
    <w:uiPriority w:val="0"/>
    <w:rPr>
      <w:rFonts w:ascii="宋体" w:hAnsi="Courier New"/>
    </w:rPr>
  </w:style>
  <w:style w:type="character" w:customStyle="1" w:styleId="24">
    <w:name w:val="页眉 Char"/>
    <w:basedOn w:val="11"/>
    <w:link w:val="8"/>
    <w:qFormat/>
    <w:uiPriority w:val="99"/>
    <w:rPr>
      <w:rFonts w:ascii="Times New Roman" w:hAnsi="Times New Roman" w:eastAsia="宋体" w:cs="Times New Roman"/>
      <w:sz w:val="18"/>
      <w:szCs w:val="18"/>
    </w:rPr>
  </w:style>
  <w:style w:type="character" w:customStyle="1" w:styleId="25">
    <w:name w:val="页脚 Char"/>
    <w:basedOn w:val="11"/>
    <w:link w:val="7"/>
    <w:qFormat/>
    <w:uiPriority w:val="99"/>
    <w:rPr>
      <w:rFonts w:ascii="Times New Roman" w:hAnsi="Times New Roman" w:eastAsia="宋体" w:cs="Times New Roman"/>
      <w:sz w:val="18"/>
      <w:szCs w:val="18"/>
    </w:rPr>
  </w:style>
  <w:style w:type="character" w:customStyle="1" w:styleId="26">
    <w:name w:val="批注框文本 Char"/>
    <w:basedOn w:val="11"/>
    <w:link w:val="6"/>
    <w:semiHidden/>
    <w:qFormat/>
    <w:uiPriority w:val="99"/>
    <w:rPr>
      <w:rFonts w:ascii="Times New Roman" w:hAnsi="Times New Roman" w:eastAsia="宋体" w:cs="Times New Roman"/>
      <w:sz w:val="18"/>
      <w:szCs w:val="18"/>
    </w:rPr>
  </w:style>
  <w:style w:type="character" w:customStyle="1" w:styleId="27">
    <w:name w:val="font31"/>
    <w:qFormat/>
    <w:uiPriority w:val="0"/>
    <w:rPr>
      <w:rFonts w:hint="default" w:ascii="Times New Roman" w:hAnsi="Times New Roman" w:cs="Times New Roman"/>
      <w:color w:val="000000"/>
      <w:sz w:val="21"/>
      <w:szCs w:val="21"/>
      <w:u w:val="none"/>
    </w:rPr>
  </w:style>
  <w:style w:type="paragraph" w:customStyle="1" w:styleId="28">
    <w:name w:val="SOW正文"/>
    <w:basedOn w:val="1"/>
    <w:qFormat/>
    <w:uiPriority w:val="99"/>
    <w:pPr>
      <w:snapToGrid w:val="0"/>
      <w:spacing w:before="120" w:line="400" w:lineRule="exact"/>
      <w:ind w:firstLine="425"/>
    </w:pPr>
    <w:rPr>
      <w:sz w:val="24"/>
      <w:szCs w:val="20"/>
    </w:rPr>
  </w:style>
  <w:style w:type="character" w:customStyle="1" w:styleId="29">
    <w:name w:val="cur"/>
    <w:basedOn w:val="11"/>
    <w:qFormat/>
    <w:uiPriority w:val="0"/>
    <w:rPr>
      <w:color w:val="BE1B2F"/>
    </w:rPr>
  </w:style>
  <w:style w:type="character" w:customStyle="1" w:styleId="30">
    <w:name w:val="active2"/>
    <w:basedOn w:val="11"/>
    <w:qFormat/>
    <w:uiPriority w:val="0"/>
    <w:rPr>
      <w:color w:val="FFFFFF"/>
      <w:shd w:val="clear" w:color="auto" w:fill="E22323"/>
    </w:rPr>
  </w:style>
  <w:style w:type="character" w:customStyle="1" w:styleId="31">
    <w:name w:val="hover5"/>
    <w:basedOn w:val="11"/>
    <w:qFormat/>
    <w:uiPriority w:val="0"/>
    <w:rPr>
      <w:color w:val="0063BA"/>
    </w:rPr>
  </w:style>
  <w:style w:type="character" w:customStyle="1" w:styleId="32">
    <w:name w:val="margin_right202"/>
    <w:basedOn w:val="11"/>
    <w:qFormat/>
    <w:uiPriority w:val="0"/>
  </w:style>
  <w:style w:type="character" w:customStyle="1" w:styleId="33">
    <w:name w:val="hover4"/>
    <w:basedOn w:val="11"/>
    <w:qFormat/>
    <w:uiPriority w:val="0"/>
    <w:rPr>
      <w:color w:val="0063BA"/>
    </w:rPr>
  </w:style>
  <w:style w:type="character" w:customStyle="1" w:styleId="34">
    <w:name w:val="active6"/>
    <w:basedOn w:val="11"/>
    <w:qFormat/>
    <w:uiPriority w:val="0"/>
    <w:rPr>
      <w:color w:val="FFFFFF"/>
      <w:shd w:val="clear" w:color="auto" w:fill="E22323"/>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A6325-7EFE-4ACF-B90C-26097C03AEED}">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3</Pages>
  <Words>731</Words>
  <Characters>817</Characters>
  <Lines>5</Lines>
  <Paragraphs>1</Paragraphs>
  <TotalTime>5</TotalTime>
  <ScaleCrop>false</ScaleCrop>
  <LinksUpToDate>false</LinksUpToDate>
  <CharactersWithSpaces>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2020-05-07T11:54:00Z</dcterms:created>
  <dc:creator>User</dc:creator>
  <cp:lastModifiedBy>Estela</cp:lastModifiedBy>
  <cp:lastPrinted>2020-06-23T06:47:00Z</cp:lastPrinted>
  <dcterms:modified xsi:type="dcterms:W3CDTF">2026-09-08T05:50:21Z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C74CBDE621E24C1D999CE818286F4CA0</vt:lpwstr>
  </property>
  <property fmtid="{D5CDD505-2E9C-101B-9397-08002B2CF9AE}" pid="4" name="KSOTemplateDocerSaveRecord">
    <vt:lpwstr>eyJoZGlkIjoiMWJmYmVhMGQ2YWQwOTc0ZDFkYmVkZTE0NzFkNThlYzIiLCJ1c2VySWQiOiIyNDc5MzkxNzUifQ==</vt:lpwstr>
  </property>
</Properties>
</file>