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jc w:val="left"/>
        <w:rPr>
          <w:rFonts w:ascii="仿宋_GB2312" w:eastAsia="仿宋_GB2312"/>
          <w:b/>
          <w:color w:val="000000"/>
          <w:sz w:val="24"/>
        </w:rPr>
      </w:pPr>
      <w:r>
        <w:rPr>
          <w:rFonts w:hint="eastAsia" w:ascii="仿宋_GB2312" w:eastAsia="仿宋_GB2312"/>
          <w:b/>
          <w:color w:val="000000"/>
          <w:sz w:val="24"/>
        </w:rPr>
        <w:t xml:space="preserve"> </w:t>
      </w:r>
      <w:r>
        <w:rPr>
          <w:rFonts w:ascii="仿宋_GB2312" w:eastAsia="仿宋_GB2312"/>
          <w:b/>
          <w:color w:val="000000"/>
          <w:sz w:val="24"/>
        </w:rPr>
        <w:t xml:space="preserve">  </w:t>
      </w:r>
    </w:p>
    <w:p>
      <w:pPr>
        <w:widowControl/>
        <w:spacing w:before="100" w:beforeAutospacing="1" w:after="100" w:afterAutospacing="1"/>
        <w:jc w:val="center"/>
        <w:rPr>
          <w:rFonts w:ascii="仿宋" w:hAnsi="仿宋" w:eastAsia="仿宋" w:cs="宋体"/>
          <w:b/>
          <w:bCs/>
          <w:color w:val="000000"/>
          <w:kern w:val="0"/>
          <w:sz w:val="24"/>
        </w:rPr>
      </w:pPr>
      <w:r>
        <w:rPr>
          <w:rFonts w:hint="eastAsia" w:ascii="仿宋" w:hAnsi="仿宋" w:eastAsia="仿宋" w:cs="宋体"/>
          <w:b/>
          <w:bCs/>
          <w:color w:val="000000"/>
          <w:kern w:val="0"/>
          <w:sz w:val="24"/>
        </w:rPr>
        <w:t>首都医科大学基本支出-公用经费-校务管理系统平台运维采购项目</w:t>
      </w:r>
    </w:p>
    <w:p>
      <w:pPr>
        <w:widowControl/>
        <w:spacing w:before="100" w:beforeAutospacing="1" w:after="100" w:afterAutospacing="1"/>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单一来源采购征求意见公示</w:t>
      </w:r>
    </w:p>
    <w:p>
      <w:pPr>
        <w:widowControl/>
        <w:spacing w:line="360" w:lineRule="auto"/>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由首都医科大学组织的首都医科大学基本支出-公用经费-校务管理系统平台运维采购项目拟</w:t>
      </w:r>
      <w:r>
        <w:rPr>
          <w:rFonts w:hint="eastAsia" w:ascii="仿宋" w:hAnsi="仿宋" w:eastAsia="仿宋"/>
          <w:kern w:val="0"/>
          <w:sz w:val="24"/>
        </w:rPr>
        <w:t>以单一来源方式进行采购，现根据规定进行公示。</w:t>
      </w:r>
    </w:p>
    <w:p/>
    <w:p>
      <w:pPr>
        <w:numPr>
          <w:ilvl w:val="0"/>
          <w:numId w:val="1"/>
        </w:numPr>
        <w:spacing w:line="360" w:lineRule="auto"/>
        <w:rPr>
          <w:rFonts w:ascii="仿宋" w:hAnsi="仿宋" w:eastAsia="仿宋"/>
          <w:kern w:val="0"/>
          <w:sz w:val="24"/>
        </w:rPr>
      </w:pPr>
      <w:r>
        <w:rPr>
          <w:rFonts w:ascii="仿宋" w:hAnsi="仿宋" w:eastAsia="仿宋"/>
          <w:kern w:val="0"/>
          <w:sz w:val="24"/>
        </w:rPr>
        <w:t>采购</w:t>
      </w:r>
      <w:r>
        <w:rPr>
          <w:rFonts w:hint="eastAsia" w:ascii="仿宋" w:hAnsi="仿宋" w:eastAsia="仿宋"/>
          <w:kern w:val="0"/>
          <w:sz w:val="24"/>
        </w:rPr>
        <w:t>人、采购项目名称和内容</w:t>
      </w:r>
    </w:p>
    <w:p>
      <w:pPr>
        <w:spacing w:line="360" w:lineRule="auto"/>
        <w:rPr>
          <w:rFonts w:ascii="仿宋" w:hAnsi="仿宋" w:eastAsia="仿宋"/>
          <w:kern w:val="0"/>
          <w:sz w:val="24"/>
        </w:rPr>
      </w:pPr>
      <w:r>
        <w:rPr>
          <w:rFonts w:hint="eastAsia" w:ascii="仿宋" w:hAnsi="仿宋" w:eastAsia="仿宋"/>
          <w:kern w:val="0"/>
          <w:sz w:val="24"/>
        </w:rPr>
        <w:t xml:space="preserve">     采购人名称：首都医科大学</w:t>
      </w:r>
    </w:p>
    <w:p>
      <w:pPr>
        <w:spacing w:line="360" w:lineRule="auto"/>
        <w:ind w:left="2398" w:leftChars="285" w:hanging="1800" w:hangingChars="750"/>
        <w:rPr>
          <w:rFonts w:ascii="仿宋" w:hAnsi="仿宋" w:eastAsia="仿宋" w:cs="宋体"/>
          <w:color w:val="000000"/>
          <w:kern w:val="0"/>
          <w:sz w:val="24"/>
        </w:rPr>
      </w:pPr>
      <w:r>
        <w:rPr>
          <w:rFonts w:hint="eastAsia" w:ascii="仿宋" w:hAnsi="仿宋" w:eastAsia="仿宋"/>
          <w:kern w:val="0"/>
          <w:sz w:val="24"/>
        </w:rPr>
        <w:t>采购项目名称：</w:t>
      </w:r>
      <w:r>
        <w:rPr>
          <w:rFonts w:hint="eastAsia" w:ascii="仿宋" w:hAnsi="仿宋" w:eastAsia="仿宋" w:cs="宋体"/>
          <w:color w:val="000000"/>
          <w:kern w:val="0"/>
          <w:sz w:val="24"/>
        </w:rPr>
        <w:t>首都医科大学基本支出-公用经费-校务管理系统平台运维采购项目</w:t>
      </w:r>
    </w:p>
    <w:p>
      <w:pPr>
        <w:spacing w:line="360" w:lineRule="auto"/>
        <w:ind w:firstLine="480" w:firstLineChars="200"/>
        <w:rPr>
          <w:rFonts w:ascii="仿宋" w:hAnsi="仿宋" w:eastAsia="仿宋"/>
          <w:kern w:val="0"/>
          <w:sz w:val="24"/>
        </w:rPr>
      </w:pPr>
      <w:r>
        <w:rPr>
          <w:rFonts w:hint="eastAsia" w:ascii="仿宋" w:hAnsi="仿宋" w:eastAsia="仿宋"/>
          <w:kern w:val="0"/>
          <w:sz w:val="24"/>
        </w:rPr>
        <w:t>采购项目内容：</w:t>
      </w:r>
      <w:r>
        <w:rPr>
          <w:rFonts w:hint="eastAsia" w:ascii="仿宋" w:hAnsi="仿宋" w:eastAsia="仿宋" w:cs="宋体"/>
          <w:color w:val="000000"/>
          <w:kern w:val="0"/>
          <w:sz w:val="24"/>
        </w:rPr>
        <w:t>校务管理系统平台运维</w:t>
      </w:r>
    </w:p>
    <w:tbl>
      <w:tblPr>
        <w:tblStyle w:val="13"/>
        <w:tblW w:w="9420"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1517"/>
        <w:gridCol w:w="1073"/>
        <w:gridCol w:w="2606"/>
        <w:gridCol w:w="2040"/>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04" w:type="dxa"/>
            <w:vAlign w:val="center"/>
          </w:tcPr>
          <w:p>
            <w:pPr>
              <w:spacing w:line="360" w:lineRule="auto"/>
              <w:jc w:val="center"/>
              <w:rPr>
                <w:rFonts w:hint="default" w:ascii="仿宋" w:hAnsi="仿宋" w:eastAsia="仿宋"/>
                <w:kern w:val="0"/>
                <w:sz w:val="24"/>
                <w:highlight w:val="none"/>
                <w:lang w:val="en-US" w:eastAsia="zh-CN"/>
              </w:rPr>
            </w:pPr>
            <w:r>
              <w:rPr>
                <w:rFonts w:hint="eastAsia" w:ascii="仿宋" w:hAnsi="仿宋" w:eastAsia="仿宋"/>
                <w:kern w:val="0"/>
                <w:sz w:val="24"/>
                <w:highlight w:val="none"/>
              </w:rPr>
              <w:t>包号</w:t>
            </w:r>
            <w:r>
              <w:rPr>
                <w:rFonts w:hint="eastAsia" w:ascii="仿宋" w:hAnsi="仿宋" w:eastAsia="仿宋"/>
                <w:kern w:val="0"/>
                <w:sz w:val="24"/>
                <w:highlight w:val="none"/>
                <w:lang w:val="en-US" w:eastAsia="zh-CN"/>
              </w:rPr>
              <w:t>/分包号</w:t>
            </w:r>
          </w:p>
        </w:tc>
        <w:tc>
          <w:tcPr>
            <w:tcW w:w="1517" w:type="dxa"/>
            <w:vAlign w:val="center"/>
          </w:tcPr>
          <w:p>
            <w:pPr>
              <w:spacing w:line="360" w:lineRule="auto"/>
              <w:jc w:val="center"/>
              <w:rPr>
                <w:rFonts w:ascii="仿宋" w:hAnsi="仿宋" w:eastAsia="仿宋"/>
                <w:kern w:val="0"/>
                <w:sz w:val="24"/>
                <w:highlight w:val="none"/>
              </w:rPr>
            </w:pPr>
            <w:r>
              <w:rPr>
                <w:rFonts w:hint="eastAsia" w:ascii="仿宋" w:hAnsi="仿宋" w:eastAsia="仿宋"/>
                <w:kern w:val="0"/>
                <w:sz w:val="24"/>
                <w:highlight w:val="none"/>
              </w:rPr>
              <w:t>包名称</w:t>
            </w:r>
          </w:p>
        </w:tc>
        <w:tc>
          <w:tcPr>
            <w:tcW w:w="107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数量</w:t>
            </w:r>
          </w:p>
        </w:tc>
        <w:tc>
          <w:tcPr>
            <w:tcW w:w="2606"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分包控制金额（单位：元人民币）</w:t>
            </w:r>
          </w:p>
        </w:tc>
        <w:tc>
          <w:tcPr>
            <w:tcW w:w="2040"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项目预算（单位：元人民币）</w:t>
            </w:r>
          </w:p>
        </w:tc>
        <w:tc>
          <w:tcPr>
            <w:tcW w:w="1180"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合同履行期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004" w:type="dxa"/>
            <w:vAlign w:val="center"/>
          </w:tcPr>
          <w:p>
            <w:pPr>
              <w:spacing w:line="360" w:lineRule="auto"/>
              <w:jc w:val="center"/>
              <w:rPr>
                <w:rFonts w:ascii="仿宋" w:hAnsi="仿宋" w:eastAsia="仿宋"/>
                <w:kern w:val="0"/>
                <w:sz w:val="24"/>
                <w:highlight w:val="none"/>
              </w:rPr>
            </w:pPr>
            <w:r>
              <w:rPr>
                <w:rFonts w:hint="eastAsia" w:ascii="仿宋" w:hAnsi="仿宋" w:eastAsia="仿宋"/>
                <w:kern w:val="0"/>
                <w:sz w:val="24"/>
                <w:highlight w:val="none"/>
                <w:lang w:val="en-US" w:eastAsia="zh-CN"/>
              </w:rPr>
              <w:t>1/</w:t>
            </w:r>
            <w:r>
              <w:rPr>
                <w:rFonts w:hint="eastAsia" w:ascii="仿宋" w:hAnsi="仿宋" w:eastAsia="仿宋"/>
                <w:kern w:val="0"/>
                <w:sz w:val="24"/>
                <w:highlight w:val="none"/>
              </w:rPr>
              <w:t>zj-19q48-01</w:t>
            </w:r>
          </w:p>
        </w:tc>
        <w:tc>
          <w:tcPr>
            <w:tcW w:w="1517" w:type="dxa"/>
            <w:vAlign w:val="center"/>
          </w:tcPr>
          <w:p>
            <w:pPr>
              <w:spacing w:line="360" w:lineRule="auto"/>
              <w:jc w:val="center"/>
              <w:rPr>
                <w:rFonts w:ascii="仿宋" w:hAnsi="仿宋" w:eastAsia="仿宋"/>
                <w:kern w:val="0"/>
                <w:sz w:val="24"/>
                <w:highlight w:val="none"/>
              </w:rPr>
            </w:pPr>
            <w:r>
              <w:rPr>
                <w:rFonts w:hint="eastAsia" w:ascii="仿宋" w:hAnsi="仿宋" w:eastAsia="仿宋"/>
                <w:kern w:val="0"/>
                <w:sz w:val="24"/>
                <w:highlight w:val="none"/>
              </w:rPr>
              <w:t>校务管理系统平台运维-服务采购-01</w:t>
            </w:r>
          </w:p>
        </w:tc>
        <w:tc>
          <w:tcPr>
            <w:tcW w:w="107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1项</w:t>
            </w:r>
          </w:p>
        </w:tc>
        <w:tc>
          <w:tcPr>
            <w:tcW w:w="2606"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695,000.00</w:t>
            </w:r>
          </w:p>
        </w:tc>
        <w:tc>
          <w:tcPr>
            <w:tcW w:w="2040" w:type="dxa"/>
            <w:vAlign w:val="center"/>
          </w:tcPr>
          <w:p>
            <w:pPr>
              <w:spacing w:line="360" w:lineRule="auto"/>
              <w:ind w:left="210" w:leftChars="100"/>
              <w:jc w:val="center"/>
              <w:rPr>
                <w:rFonts w:ascii="仿宋" w:hAnsi="仿宋" w:eastAsia="仿宋"/>
                <w:kern w:val="0"/>
                <w:sz w:val="24"/>
              </w:rPr>
            </w:pPr>
            <w:r>
              <w:rPr>
                <w:rFonts w:hint="eastAsia" w:ascii="仿宋" w:hAnsi="仿宋" w:eastAsia="仿宋"/>
                <w:kern w:val="0"/>
                <w:sz w:val="24"/>
              </w:rPr>
              <w:t>695,000.00</w:t>
            </w:r>
          </w:p>
        </w:tc>
        <w:tc>
          <w:tcPr>
            <w:tcW w:w="1180"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1年</w:t>
            </w:r>
          </w:p>
        </w:tc>
      </w:tr>
    </w:tbl>
    <w:p>
      <w:pPr>
        <w:pStyle w:val="18"/>
        <w:numPr>
          <w:ilvl w:val="0"/>
          <w:numId w:val="2"/>
        </w:numPr>
        <w:spacing w:line="360" w:lineRule="auto"/>
        <w:ind w:firstLine="0" w:firstLineChars="0"/>
        <w:jc w:val="left"/>
        <w:rPr>
          <w:rFonts w:ascii="仿宋" w:hAnsi="仿宋" w:eastAsia="仿宋"/>
          <w:kern w:val="0"/>
          <w:sz w:val="24"/>
        </w:rPr>
      </w:pPr>
      <w:r>
        <w:rPr>
          <w:rFonts w:hint="eastAsia" w:ascii="仿宋" w:hAnsi="仿宋" w:eastAsia="仿宋"/>
          <w:kern w:val="0"/>
          <w:sz w:val="24"/>
        </w:rPr>
        <w:t>拟采购的服务的说明：</w:t>
      </w:r>
    </w:p>
    <w:p>
      <w:pPr>
        <w:ind w:left="359" w:leftChars="171" w:firstLine="60" w:firstLineChars="25"/>
        <w:rPr>
          <w:sz w:val="28"/>
          <w:szCs w:val="28"/>
        </w:rPr>
      </w:pPr>
      <w:r>
        <w:rPr>
          <w:rFonts w:hint="eastAsia" w:ascii="仿宋" w:hAnsi="仿宋" w:eastAsia="仿宋"/>
          <w:kern w:val="0"/>
          <w:sz w:val="24"/>
        </w:rPr>
        <w:t>对校务管理系统平台进行运维等技术要求。</w:t>
      </w:r>
    </w:p>
    <w:p>
      <w:pPr>
        <w:spacing w:line="360" w:lineRule="auto"/>
        <w:rPr>
          <w:rFonts w:ascii="仿宋" w:hAnsi="仿宋" w:eastAsia="仿宋"/>
          <w:kern w:val="0"/>
          <w:sz w:val="24"/>
        </w:rPr>
      </w:pPr>
      <w:r>
        <w:rPr>
          <w:rFonts w:hint="eastAsia" w:ascii="仿宋" w:hAnsi="仿宋" w:eastAsia="仿宋"/>
          <w:kern w:val="0"/>
          <w:sz w:val="24"/>
        </w:rPr>
        <w:t>（三）采用单一来源采购方式的原因及相关说明：</w:t>
      </w:r>
    </w:p>
    <w:p>
      <w:pPr>
        <w:spacing w:line="360" w:lineRule="auto"/>
        <w:ind w:firstLine="480"/>
        <w:rPr>
          <w:rFonts w:ascii="仿宋" w:hAnsi="仿宋" w:eastAsia="仿宋"/>
          <w:kern w:val="0"/>
          <w:sz w:val="24"/>
        </w:rPr>
      </w:pPr>
      <w:r>
        <w:rPr>
          <w:rFonts w:hint="eastAsia" w:ascii="仿宋" w:hAnsi="仿宋" w:eastAsia="仿宋"/>
          <w:kern w:val="0"/>
          <w:sz w:val="24"/>
        </w:rPr>
        <w:t xml:space="preserve">  首都医科大学于2006年启动数字校园建设，数字校园校务管理系统平台经过十年的建设，已建立了包括统一身份认证平台、统一数据库平台、统一门户平台、管理办公系统在内的多个应用系统，同时有多个第三方应用系统与此平台集成。</w:t>
      </w:r>
    </w:p>
    <w:p>
      <w:pPr>
        <w:spacing w:line="360" w:lineRule="auto"/>
        <w:ind w:firstLine="480"/>
        <w:rPr>
          <w:rFonts w:ascii="仿宋" w:hAnsi="仿宋" w:eastAsia="仿宋"/>
          <w:kern w:val="0"/>
          <w:sz w:val="24"/>
        </w:rPr>
      </w:pPr>
      <w:r>
        <w:rPr>
          <w:rFonts w:hint="eastAsia" w:ascii="仿宋" w:hAnsi="仿宋" w:eastAsia="仿宋"/>
          <w:kern w:val="0"/>
          <w:sz w:val="24"/>
        </w:rPr>
        <w:t>数字校园校务管理系统平台的各个应用系统由北京希尔信息技术有限公司进行研发，为保证与现有平台的一致性及整体研发和服务的要求，申请由北京希尔信息技术有限公司进行运维。</w:t>
      </w:r>
    </w:p>
    <w:p>
      <w:pPr>
        <w:spacing w:line="360" w:lineRule="auto"/>
        <w:ind w:firstLine="480"/>
        <w:rPr>
          <w:rFonts w:ascii="仿宋" w:hAnsi="仿宋" w:eastAsia="仿宋"/>
          <w:kern w:val="0"/>
          <w:sz w:val="24"/>
        </w:rPr>
      </w:pPr>
      <w:r>
        <w:rPr>
          <w:rFonts w:hint="eastAsia" w:ascii="仿宋" w:hAnsi="仿宋" w:eastAsia="仿宋"/>
          <w:kern w:val="0"/>
          <w:sz w:val="24"/>
        </w:rPr>
        <w:t>（四）拟定的唯一供应商名称、地址：</w:t>
      </w:r>
    </w:p>
    <w:p>
      <w:pPr>
        <w:spacing w:line="360" w:lineRule="auto"/>
        <w:ind w:left="420" w:leftChars="200" w:firstLine="60" w:firstLineChars="25"/>
        <w:rPr>
          <w:rFonts w:ascii="仿宋" w:hAnsi="仿宋" w:eastAsia="仿宋"/>
          <w:kern w:val="0"/>
          <w:sz w:val="24"/>
        </w:rPr>
      </w:pPr>
      <w:r>
        <w:rPr>
          <w:rFonts w:hint="eastAsia" w:eastAsia="仿宋"/>
          <w:kern w:val="0"/>
          <w:sz w:val="24"/>
        </w:rPr>
        <w:t xml:space="preserve"> </w:t>
      </w:r>
      <w:r>
        <w:rPr>
          <w:rFonts w:ascii="仿宋" w:hAnsi="仿宋" w:eastAsia="仿宋"/>
          <w:kern w:val="0"/>
          <w:sz w:val="24"/>
        </w:rPr>
        <w:t>供应商名称：</w:t>
      </w:r>
      <w:r>
        <w:rPr>
          <w:rFonts w:hint="eastAsia" w:ascii="仿宋" w:hAnsi="仿宋" w:eastAsia="仿宋"/>
          <w:kern w:val="0"/>
          <w:sz w:val="24"/>
        </w:rPr>
        <w:t>北京希尔信息技术有限公司</w:t>
      </w:r>
      <w:r>
        <w:rPr>
          <w:rFonts w:ascii="仿宋" w:hAnsi="仿宋" w:eastAsia="仿宋"/>
          <w:kern w:val="0"/>
          <w:sz w:val="24"/>
        </w:rPr>
        <w:br w:type="textWrapping"/>
      </w:r>
      <w:r>
        <w:rPr>
          <w:rFonts w:ascii="仿宋" w:hAnsi="仿宋" w:eastAsia="仿宋"/>
          <w:kern w:val="0"/>
          <w:sz w:val="24"/>
        </w:rPr>
        <w:t>  </w:t>
      </w:r>
      <w:r>
        <w:rPr>
          <w:rFonts w:hint="eastAsia" w:ascii="仿宋" w:hAnsi="仿宋" w:eastAsia="仿宋"/>
          <w:kern w:val="0"/>
          <w:sz w:val="24"/>
        </w:rPr>
        <w:t xml:space="preserve"> </w:t>
      </w:r>
      <w:r>
        <w:rPr>
          <w:rFonts w:ascii="仿宋" w:hAnsi="仿宋" w:eastAsia="仿宋"/>
          <w:kern w:val="0"/>
          <w:sz w:val="24"/>
        </w:rPr>
        <w:t>供应商地址：</w:t>
      </w:r>
      <w:r>
        <w:rPr>
          <w:rFonts w:hint="eastAsia" w:ascii="仿宋" w:hAnsi="仿宋" w:eastAsia="仿宋"/>
          <w:kern w:val="0"/>
          <w:sz w:val="24"/>
        </w:rPr>
        <w:t>北京市海淀区中关村软件园孵化器大楼2348、2349室</w:t>
      </w:r>
    </w:p>
    <w:p>
      <w:pPr>
        <w:spacing w:line="360" w:lineRule="auto"/>
        <w:ind w:left="420" w:hanging="420" w:hangingChars="175"/>
        <w:rPr>
          <w:rFonts w:ascii="仿宋" w:hAnsi="仿宋" w:eastAsia="仿宋"/>
          <w:kern w:val="0"/>
          <w:sz w:val="24"/>
        </w:rPr>
      </w:pPr>
      <w:r>
        <w:rPr>
          <w:rFonts w:hint="eastAsia" w:eastAsia="仿宋"/>
          <w:kern w:val="0"/>
          <w:sz w:val="24"/>
        </w:rPr>
        <w:t>（五）</w:t>
      </w:r>
      <w:r>
        <w:rPr>
          <w:rFonts w:ascii="仿宋" w:hAnsi="仿宋" w:eastAsia="仿宋"/>
          <w:kern w:val="0"/>
          <w:sz w:val="24"/>
        </w:rPr>
        <w:t>专业人员</w:t>
      </w:r>
      <w:r>
        <w:rPr>
          <w:rFonts w:hint="eastAsia" w:ascii="仿宋" w:hAnsi="仿宋" w:eastAsia="仿宋"/>
          <w:kern w:val="0"/>
          <w:sz w:val="24"/>
        </w:rPr>
        <w:t>对相关供应商因专利、专有技术等原因具有唯一性的具体论证意见，以及专  业人员的姓名、工作单位和职称：</w:t>
      </w:r>
    </w:p>
    <w:tbl>
      <w:tblPr>
        <w:tblStyle w:val="13"/>
        <w:tblW w:w="8828"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0"/>
        <w:gridCol w:w="1649"/>
        <w:gridCol w:w="1276"/>
        <w:gridCol w:w="992"/>
        <w:gridCol w:w="142"/>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trPr>
        <w:tc>
          <w:tcPr>
            <w:tcW w:w="2570" w:type="dxa"/>
            <w:vMerge w:val="restart"/>
            <w:tcBorders>
              <w:bottom w:val="single" w:color="000000" w:sz="4" w:space="0"/>
            </w:tcBorders>
            <w:vAlign w:val="center"/>
          </w:tcPr>
          <w:p>
            <w:pPr>
              <w:spacing w:line="360" w:lineRule="auto"/>
              <w:jc w:val="center"/>
              <w:rPr>
                <w:rFonts w:ascii="仿宋" w:hAnsi="仿宋" w:eastAsia="仿宋"/>
                <w:kern w:val="0"/>
                <w:sz w:val="24"/>
              </w:rPr>
            </w:pPr>
            <w:r>
              <w:rPr>
                <w:rFonts w:hint="eastAsia" w:ascii="仿宋" w:hAnsi="仿宋" w:eastAsia="仿宋"/>
                <w:kern w:val="0"/>
                <w:sz w:val="24"/>
              </w:rPr>
              <w:t>专家论证意见1</w:t>
            </w:r>
          </w:p>
        </w:tc>
        <w:tc>
          <w:tcPr>
            <w:tcW w:w="6258" w:type="dxa"/>
            <w:gridSpan w:val="5"/>
            <w:tcBorders>
              <w:bottom w:val="single" w:color="000000" w:sz="4" w:space="0"/>
            </w:tcBorders>
          </w:tcPr>
          <w:p>
            <w:pPr>
              <w:spacing w:line="360" w:lineRule="auto"/>
              <w:rPr>
                <w:rFonts w:ascii="仿宋" w:hAnsi="仿宋" w:eastAsia="仿宋"/>
                <w:kern w:val="0"/>
                <w:sz w:val="24"/>
              </w:rPr>
            </w:pPr>
            <w:r>
              <w:rPr>
                <w:rFonts w:hint="eastAsia" w:ascii="仿宋" w:hAnsi="仿宋" w:eastAsia="仿宋"/>
                <w:kern w:val="0"/>
                <w:sz w:val="24"/>
              </w:rPr>
              <w:t xml:space="preserve"> 鉴于该项目涉及平台较多，从项目延续性、过度平稳性，以及前期多年使用的良好表现，建议采用单一来源方式进行采购。仍由北京希尔信息技术有限公司进行运维管理。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专家姓名</w:t>
            </w:r>
          </w:p>
        </w:tc>
        <w:tc>
          <w:tcPr>
            <w:tcW w:w="1276" w:type="dxa"/>
          </w:tcPr>
          <w:p>
            <w:pPr>
              <w:spacing w:line="360" w:lineRule="auto"/>
              <w:rPr>
                <w:rFonts w:ascii="仿宋" w:hAnsi="仿宋" w:eastAsia="仿宋"/>
                <w:kern w:val="0"/>
                <w:sz w:val="24"/>
              </w:rPr>
            </w:pPr>
            <w:r>
              <w:rPr>
                <w:rFonts w:hint="eastAsia" w:ascii="仿宋" w:hAnsi="仿宋" w:eastAsia="仿宋"/>
                <w:kern w:val="0"/>
                <w:sz w:val="24"/>
              </w:rPr>
              <w:t>郑军</w:t>
            </w:r>
          </w:p>
        </w:tc>
        <w:tc>
          <w:tcPr>
            <w:tcW w:w="992" w:type="dxa"/>
          </w:tcPr>
          <w:p>
            <w:pPr>
              <w:spacing w:line="360" w:lineRule="auto"/>
              <w:rPr>
                <w:rFonts w:ascii="仿宋" w:hAnsi="仿宋" w:eastAsia="仿宋"/>
                <w:kern w:val="0"/>
                <w:sz w:val="24"/>
              </w:rPr>
            </w:pPr>
            <w:r>
              <w:rPr>
                <w:rFonts w:hint="eastAsia" w:ascii="仿宋" w:hAnsi="仿宋" w:eastAsia="仿宋"/>
                <w:kern w:val="0"/>
                <w:sz w:val="24"/>
              </w:rPr>
              <w:t>职称</w:t>
            </w:r>
          </w:p>
        </w:tc>
        <w:tc>
          <w:tcPr>
            <w:tcW w:w="2341" w:type="dxa"/>
            <w:gridSpan w:val="2"/>
          </w:tcPr>
          <w:p>
            <w:pPr>
              <w:spacing w:line="360" w:lineRule="auto"/>
              <w:rPr>
                <w:rFonts w:ascii="仿宋" w:hAnsi="仿宋" w:eastAsia="仿宋"/>
                <w:kern w:val="0"/>
                <w:sz w:val="24"/>
              </w:rPr>
            </w:pPr>
            <w:r>
              <w:rPr>
                <w:rFonts w:hint="eastAsia" w:ascii="仿宋" w:hAnsi="仿宋" w:eastAsia="仿宋"/>
                <w:kern w:val="0"/>
                <w:sz w:val="24"/>
              </w:rPr>
              <w:t>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工作单位</w:t>
            </w:r>
          </w:p>
        </w:tc>
        <w:tc>
          <w:tcPr>
            <w:tcW w:w="4609" w:type="dxa"/>
            <w:gridSpan w:val="4"/>
          </w:tcPr>
          <w:p>
            <w:pPr>
              <w:spacing w:line="360" w:lineRule="auto"/>
              <w:rPr>
                <w:rFonts w:ascii="仿宋" w:hAnsi="仿宋" w:eastAsia="仿宋"/>
                <w:kern w:val="0"/>
                <w:sz w:val="24"/>
              </w:rPr>
            </w:pPr>
            <w:r>
              <w:rPr>
                <w:rFonts w:hint="eastAsia" w:ascii="仿宋" w:hAnsi="仿宋" w:eastAsia="仿宋"/>
                <w:kern w:val="0"/>
                <w:sz w:val="24"/>
              </w:rPr>
              <w:t>北京信息科技大学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trPr>
        <w:tc>
          <w:tcPr>
            <w:tcW w:w="2570" w:type="dxa"/>
            <w:vMerge w:val="restart"/>
            <w:vAlign w:val="center"/>
          </w:tcPr>
          <w:p>
            <w:pPr>
              <w:spacing w:line="360" w:lineRule="auto"/>
              <w:jc w:val="center"/>
              <w:rPr>
                <w:rFonts w:ascii="仿宋" w:hAnsi="仿宋" w:eastAsia="仿宋"/>
                <w:kern w:val="0"/>
                <w:sz w:val="24"/>
              </w:rPr>
            </w:pPr>
            <w:r>
              <w:rPr>
                <w:rFonts w:hint="eastAsia" w:ascii="仿宋" w:hAnsi="仿宋" w:eastAsia="仿宋"/>
                <w:kern w:val="0"/>
                <w:sz w:val="24"/>
              </w:rPr>
              <w:t>专家论证意见2</w:t>
            </w:r>
          </w:p>
        </w:tc>
        <w:tc>
          <w:tcPr>
            <w:tcW w:w="6258" w:type="dxa"/>
            <w:gridSpan w:val="5"/>
          </w:tcPr>
          <w:p>
            <w:pPr>
              <w:spacing w:line="360" w:lineRule="auto"/>
              <w:rPr>
                <w:rFonts w:ascii="仿宋" w:hAnsi="仿宋" w:eastAsia="仿宋"/>
                <w:kern w:val="0"/>
                <w:sz w:val="24"/>
              </w:rPr>
            </w:pPr>
            <w:r>
              <w:rPr>
                <w:rFonts w:hint="eastAsia" w:ascii="仿宋" w:hAnsi="仿宋" w:eastAsia="仿宋"/>
                <w:kern w:val="0"/>
                <w:sz w:val="24"/>
              </w:rPr>
              <w:t>该项目原由北京希尔信息技术有限公司研发。自2006年至今，从研发、运维均为该公司进行。实为延续项目，建议此项目采用单一来源采购，由北京希尔信息技术有限公司承担。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专家姓名</w:t>
            </w:r>
          </w:p>
        </w:tc>
        <w:tc>
          <w:tcPr>
            <w:tcW w:w="1276" w:type="dxa"/>
          </w:tcPr>
          <w:p>
            <w:pPr>
              <w:spacing w:line="360" w:lineRule="auto"/>
              <w:rPr>
                <w:rFonts w:ascii="仿宋" w:hAnsi="仿宋" w:eastAsia="仿宋"/>
                <w:kern w:val="0"/>
                <w:sz w:val="24"/>
              </w:rPr>
            </w:pPr>
            <w:r>
              <w:rPr>
                <w:rFonts w:hint="eastAsia" w:ascii="仿宋" w:hAnsi="仿宋" w:eastAsia="仿宋"/>
                <w:kern w:val="0"/>
                <w:sz w:val="24"/>
              </w:rPr>
              <w:t>王少亭</w:t>
            </w:r>
          </w:p>
        </w:tc>
        <w:tc>
          <w:tcPr>
            <w:tcW w:w="1134" w:type="dxa"/>
            <w:gridSpan w:val="2"/>
          </w:tcPr>
          <w:p>
            <w:pPr>
              <w:spacing w:line="360" w:lineRule="auto"/>
              <w:rPr>
                <w:rFonts w:ascii="仿宋" w:hAnsi="仿宋" w:eastAsia="仿宋"/>
                <w:kern w:val="0"/>
                <w:sz w:val="24"/>
              </w:rPr>
            </w:pPr>
            <w:r>
              <w:rPr>
                <w:rFonts w:hint="eastAsia" w:ascii="仿宋" w:hAnsi="仿宋" w:eastAsia="仿宋"/>
                <w:kern w:val="0"/>
                <w:sz w:val="24"/>
              </w:rPr>
              <w:t>职称</w:t>
            </w:r>
          </w:p>
        </w:tc>
        <w:tc>
          <w:tcPr>
            <w:tcW w:w="2199" w:type="dxa"/>
          </w:tcPr>
          <w:p>
            <w:pPr>
              <w:spacing w:line="360" w:lineRule="auto"/>
              <w:rPr>
                <w:rFonts w:ascii="仿宋" w:hAnsi="仿宋" w:eastAsia="仿宋"/>
                <w:kern w:val="0"/>
                <w:sz w:val="24"/>
              </w:rPr>
            </w:pPr>
            <w:r>
              <w:rPr>
                <w:rFonts w:hint="eastAsia" w:ascii="仿宋" w:hAnsi="仿宋" w:eastAsia="仿宋"/>
                <w:kern w:val="0"/>
                <w:sz w:val="24"/>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工作单位</w:t>
            </w:r>
          </w:p>
        </w:tc>
        <w:tc>
          <w:tcPr>
            <w:tcW w:w="4609" w:type="dxa"/>
            <w:gridSpan w:val="4"/>
          </w:tcPr>
          <w:p>
            <w:pPr>
              <w:spacing w:line="360" w:lineRule="auto"/>
              <w:rPr>
                <w:rFonts w:ascii="仿宋" w:hAnsi="仿宋" w:eastAsia="仿宋"/>
                <w:kern w:val="0"/>
                <w:sz w:val="24"/>
              </w:rPr>
            </w:pPr>
            <w:r>
              <w:rPr>
                <w:rFonts w:hint="eastAsia" w:ascii="仿宋" w:hAnsi="仿宋" w:eastAsia="仿宋"/>
                <w:kern w:val="0"/>
                <w:sz w:val="24"/>
              </w:rPr>
              <w:t>首都师范大学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atLeast"/>
        </w:trPr>
        <w:tc>
          <w:tcPr>
            <w:tcW w:w="2570" w:type="dxa"/>
            <w:vMerge w:val="restart"/>
            <w:vAlign w:val="center"/>
          </w:tcPr>
          <w:p>
            <w:pPr>
              <w:spacing w:line="360" w:lineRule="auto"/>
              <w:jc w:val="center"/>
              <w:rPr>
                <w:rFonts w:ascii="仿宋" w:hAnsi="仿宋" w:eastAsia="仿宋"/>
                <w:kern w:val="0"/>
                <w:sz w:val="24"/>
              </w:rPr>
            </w:pPr>
            <w:r>
              <w:rPr>
                <w:rFonts w:hint="eastAsia" w:ascii="仿宋" w:hAnsi="仿宋" w:eastAsia="仿宋"/>
                <w:kern w:val="0"/>
                <w:sz w:val="24"/>
              </w:rPr>
              <w:t>专家论证意见3</w:t>
            </w:r>
          </w:p>
        </w:tc>
        <w:tc>
          <w:tcPr>
            <w:tcW w:w="6258" w:type="dxa"/>
            <w:gridSpan w:val="5"/>
          </w:tcPr>
          <w:p>
            <w:pPr>
              <w:spacing w:line="360" w:lineRule="auto"/>
              <w:rPr>
                <w:rFonts w:ascii="仿宋" w:hAnsi="仿宋" w:eastAsia="仿宋"/>
                <w:kern w:val="0"/>
                <w:sz w:val="24"/>
              </w:rPr>
            </w:pPr>
            <w:r>
              <w:rPr>
                <w:rFonts w:hint="eastAsia" w:ascii="仿宋" w:hAnsi="仿宋" w:eastAsia="仿宋"/>
                <w:kern w:val="0"/>
                <w:sz w:val="24"/>
              </w:rPr>
              <w:t>该项目自2006年开始研发、运行均为北京希尔信息技术有限公司承担，考虑项目的延续性和正常运行，建议仍由原公司承担运维，采用单一来源采购方式为宜。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70" w:type="dxa"/>
            <w:vMerge w:val="continue"/>
            <w:vAlign w:val="center"/>
          </w:tcPr>
          <w:p>
            <w:pPr>
              <w:spacing w:line="360" w:lineRule="auto"/>
              <w:rPr>
                <w:rFonts w:ascii="仿宋" w:hAnsi="仿宋" w:eastAsia="仿宋"/>
                <w:kern w:val="0"/>
                <w:sz w:val="24"/>
              </w:rPr>
            </w:pPr>
          </w:p>
        </w:tc>
        <w:tc>
          <w:tcPr>
            <w:tcW w:w="1649" w:type="dxa"/>
            <w:vAlign w:val="center"/>
          </w:tcPr>
          <w:p>
            <w:pPr>
              <w:spacing w:line="360" w:lineRule="auto"/>
              <w:rPr>
                <w:rFonts w:ascii="仿宋" w:hAnsi="仿宋" w:eastAsia="仿宋"/>
                <w:kern w:val="0"/>
                <w:sz w:val="24"/>
              </w:rPr>
            </w:pPr>
            <w:r>
              <w:rPr>
                <w:rFonts w:hint="eastAsia" w:ascii="仿宋" w:hAnsi="仿宋" w:eastAsia="仿宋"/>
                <w:kern w:val="0"/>
                <w:sz w:val="24"/>
              </w:rPr>
              <w:t>专家姓名</w:t>
            </w:r>
          </w:p>
        </w:tc>
        <w:tc>
          <w:tcPr>
            <w:tcW w:w="1276" w:type="dxa"/>
            <w:vAlign w:val="center"/>
          </w:tcPr>
          <w:p>
            <w:pPr>
              <w:spacing w:line="360" w:lineRule="auto"/>
              <w:rPr>
                <w:rFonts w:ascii="仿宋" w:hAnsi="仿宋" w:eastAsia="仿宋"/>
                <w:kern w:val="0"/>
                <w:sz w:val="24"/>
              </w:rPr>
            </w:pPr>
            <w:r>
              <w:rPr>
                <w:rFonts w:hint="eastAsia" w:ascii="仿宋" w:hAnsi="仿宋" w:eastAsia="仿宋"/>
                <w:kern w:val="0"/>
                <w:sz w:val="24"/>
              </w:rPr>
              <w:t>赵胜年</w:t>
            </w:r>
          </w:p>
        </w:tc>
        <w:tc>
          <w:tcPr>
            <w:tcW w:w="1134" w:type="dxa"/>
            <w:gridSpan w:val="2"/>
            <w:vAlign w:val="center"/>
          </w:tcPr>
          <w:p>
            <w:pPr>
              <w:spacing w:line="360" w:lineRule="auto"/>
              <w:rPr>
                <w:rFonts w:ascii="仿宋" w:hAnsi="仿宋" w:eastAsia="仿宋"/>
                <w:kern w:val="0"/>
                <w:sz w:val="24"/>
              </w:rPr>
            </w:pPr>
            <w:r>
              <w:rPr>
                <w:rFonts w:hint="eastAsia" w:ascii="仿宋" w:hAnsi="仿宋" w:eastAsia="仿宋"/>
                <w:kern w:val="0"/>
                <w:sz w:val="24"/>
              </w:rPr>
              <w:t>职称</w:t>
            </w:r>
          </w:p>
        </w:tc>
        <w:tc>
          <w:tcPr>
            <w:tcW w:w="2199" w:type="dxa"/>
            <w:vAlign w:val="center"/>
          </w:tcPr>
          <w:p>
            <w:pPr>
              <w:spacing w:line="360" w:lineRule="auto"/>
              <w:rPr>
                <w:rFonts w:ascii="仿宋" w:hAnsi="仿宋" w:eastAsia="仿宋"/>
                <w:kern w:val="0"/>
                <w:sz w:val="24"/>
              </w:rPr>
            </w:pPr>
            <w:r>
              <w:rPr>
                <w:rFonts w:hint="eastAsia" w:ascii="仿宋" w:hAnsi="仿宋" w:eastAsia="仿宋"/>
                <w:kern w:val="0"/>
                <w:sz w:val="24"/>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2570" w:type="dxa"/>
            <w:vMerge w:val="continue"/>
            <w:vAlign w:val="center"/>
          </w:tcPr>
          <w:p>
            <w:pPr>
              <w:spacing w:line="360" w:lineRule="auto"/>
              <w:rPr>
                <w:rFonts w:ascii="仿宋" w:hAnsi="仿宋" w:eastAsia="仿宋"/>
                <w:kern w:val="0"/>
                <w:sz w:val="24"/>
              </w:rPr>
            </w:pPr>
          </w:p>
        </w:tc>
        <w:tc>
          <w:tcPr>
            <w:tcW w:w="1649" w:type="dxa"/>
            <w:vAlign w:val="center"/>
          </w:tcPr>
          <w:p>
            <w:pPr>
              <w:spacing w:line="360" w:lineRule="auto"/>
              <w:rPr>
                <w:rFonts w:ascii="仿宋" w:hAnsi="仿宋" w:eastAsia="仿宋"/>
                <w:kern w:val="0"/>
                <w:sz w:val="24"/>
              </w:rPr>
            </w:pPr>
            <w:r>
              <w:rPr>
                <w:rFonts w:hint="eastAsia" w:ascii="仿宋" w:hAnsi="仿宋" w:eastAsia="仿宋"/>
                <w:kern w:val="0"/>
                <w:sz w:val="24"/>
              </w:rPr>
              <w:t>工作单位</w:t>
            </w:r>
          </w:p>
        </w:tc>
        <w:tc>
          <w:tcPr>
            <w:tcW w:w="4609" w:type="dxa"/>
            <w:gridSpan w:val="4"/>
            <w:vAlign w:val="center"/>
          </w:tcPr>
          <w:p>
            <w:pPr>
              <w:spacing w:line="360" w:lineRule="auto"/>
              <w:rPr>
                <w:rFonts w:ascii="仿宋" w:hAnsi="仿宋" w:eastAsia="仿宋"/>
                <w:kern w:val="0"/>
                <w:sz w:val="24"/>
              </w:rPr>
            </w:pPr>
            <w:r>
              <w:rPr>
                <w:rFonts w:hint="eastAsia" w:ascii="仿宋" w:hAnsi="仿宋" w:eastAsia="仿宋"/>
                <w:kern w:val="0"/>
                <w:sz w:val="24"/>
              </w:rPr>
              <w:t>北京联合大学</w:t>
            </w:r>
          </w:p>
        </w:tc>
      </w:tr>
    </w:tbl>
    <w:p>
      <w:pPr>
        <w:spacing w:line="360" w:lineRule="auto"/>
        <w:rPr>
          <w:rFonts w:ascii="仿宋" w:hAnsi="仿宋" w:eastAsia="仿宋"/>
          <w:kern w:val="0"/>
          <w:sz w:val="10"/>
          <w:szCs w:val="10"/>
        </w:rPr>
      </w:pPr>
      <w:r>
        <w:rPr>
          <w:rFonts w:hint="eastAsia" w:ascii="仿宋" w:hAnsi="仿宋" w:eastAsia="仿宋"/>
          <w:kern w:val="0"/>
          <w:sz w:val="24"/>
        </w:rPr>
        <w:t>（六）公示期限：</w:t>
      </w:r>
      <w:r>
        <w:rPr>
          <w:rFonts w:hint="eastAsia" w:ascii="仿宋" w:hAnsi="仿宋" w:eastAsia="仿宋"/>
          <w:kern w:val="0"/>
          <w:sz w:val="24"/>
        </w:rPr>
        <w:br w:type="textWrapping"/>
      </w:r>
      <w:r>
        <w:rPr>
          <w:rFonts w:hint="eastAsia" w:ascii="仿宋" w:hAnsi="仿宋" w:eastAsia="仿宋"/>
          <w:kern w:val="0"/>
          <w:sz w:val="24"/>
        </w:rPr>
        <w:t>  </w:t>
      </w:r>
      <w:r>
        <w:rPr>
          <w:rFonts w:hint="eastAsia" w:ascii="仿宋" w:hAnsi="仿宋" w:eastAsia="仿宋"/>
          <w:kern w:val="0"/>
          <w:sz w:val="24"/>
          <w:highlight w:val="none"/>
        </w:rPr>
        <w:t>  本公示期限为2019年5月</w:t>
      </w:r>
      <w:r>
        <w:rPr>
          <w:rFonts w:hint="eastAsia" w:ascii="仿宋" w:hAnsi="仿宋" w:eastAsia="仿宋"/>
          <w:kern w:val="0"/>
          <w:sz w:val="24"/>
          <w:highlight w:val="none"/>
          <w:lang w:val="en-US" w:eastAsia="zh-CN"/>
        </w:rPr>
        <w:t>23</w:t>
      </w:r>
      <w:r>
        <w:rPr>
          <w:rFonts w:hint="eastAsia" w:ascii="仿宋" w:hAnsi="仿宋" w:eastAsia="仿宋"/>
          <w:kern w:val="0"/>
          <w:sz w:val="24"/>
          <w:highlight w:val="none"/>
        </w:rPr>
        <w:t>日至2019年5月</w:t>
      </w:r>
      <w:r>
        <w:rPr>
          <w:rFonts w:hint="eastAsia" w:ascii="仿宋" w:hAnsi="仿宋" w:eastAsia="仿宋"/>
          <w:kern w:val="0"/>
          <w:sz w:val="24"/>
          <w:highlight w:val="none"/>
          <w:lang w:val="en-US" w:eastAsia="zh-CN"/>
        </w:rPr>
        <w:t>29</w:t>
      </w:r>
      <w:r>
        <w:rPr>
          <w:rFonts w:hint="eastAsia" w:ascii="仿宋" w:hAnsi="仿宋" w:eastAsia="仿宋"/>
          <w:kern w:val="0"/>
          <w:sz w:val="24"/>
          <w:highlight w:val="none"/>
        </w:rPr>
        <w:t>日。</w:t>
      </w:r>
      <w:r>
        <w:rPr>
          <w:rFonts w:hint="eastAsia" w:ascii="仿宋" w:hAnsi="仿宋" w:eastAsia="仿宋"/>
          <w:kern w:val="0"/>
          <w:sz w:val="24"/>
        </w:rPr>
        <w:t>在公示期内，有关单位和个人如对本项目采用单一来源采购方式有异议，请以书面形式在公示期内向中机国际招标有限公司或首都医科大学提出。</w:t>
      </w:r>
      <w:r>
        <w:rPr>
          <w:rFonts w:hint="eastAsia" w:ascii="仿宋" w:hAnsi="仿宋" w:eastAsia="仿宋"/>
          <w:kern w:val="0"/>
          <w:sz w:val="24"/>
        </w:rPr>
        <w:br w:type="textWrapping"/>
      </w:r>
      <w:r>
        <w:rPr>
          <w:rFonts w:hint="eastAsia" w:ascii="仿宋" w:hAnsi="仿宋" w:eastAsia="仿宋"/>
          <w:kern w:val="0"/>
          <w:sz w:val="24"/>
        </w:rPr>
        <w:t>（七）采购人、采购代理机构、财政部门的联系地址、联系人和联系电话</w:t>
      </w:r>
    </w:p>
    <w:p>
      <w:pPr>
        <w:spacing w:line="480" w:lineRule="auto"/>
        <w:rPr>
          <w:rFonts w:ascii="仿宋" w:hAnsi="仿宋" w:eastAsia="仿宋"/>
          <w:kern w:val="0"/>
          <w:sz w:val="24"/>
        </w:rPr>
      </w:pPr>
      <w:r>
        <w:rPr>
          <w:rFonts w:hint="eastAsia" w:ascii="仿宋" w:hAnsi="仿宋" w:eastAsia="仿宋"/>
          <w:kern w:val="0"/>
          <w:sz w:val="24"/>
        </w:rPr>
        <w:t xml:space="preserve"> 采购人：首都医科大学</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联</w:t>
      </w:r>
      <w:r>
        <w:rPr>
          <w:rFonts w:ascii="仿宋" w:hAnsi="仿宋" w:eastAsia="仿宋" w:cs="宋体"/>
          <w:color w:val="000000"/>
          <w:kern w:val="0"/>
          <w:sz w:val="24"/>
        </w:rPr>
        <w:t>系地址：</w:t>
      </w:r>
      <w:r>
        <w:rPr>
          <w:rFonts w:hint="eastAsia" w:ascii="仿宋" w:hAnsi="仿宋" w:eastAsia="仿宋"/>
          <w:sz w:val="24"/>
        </w:rPr>
        <w:t>北京市右安门外西头条10号</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联系人： </w:t>
      </w:r>
      <w:r>
        <w:rPr>
          <w:rFonts w:hint="eastAsia" w:ascii="仿宋" w:hAnsi="仿宋" w:eastAsia="仿宋" w:cs="宋体"/>
          <w:color w:val="000000"/>
          <w:kern w:val="0"/>
          <w:sz w:val="24"/>
        </w:rPr>
        <w:t>黄老师</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联系电话：</w:t>
      </w:r>
      <w:r>
        <w:rPr>
          <w:rFonts w:hint="eastAsia" w:ascii="仿宋" w:hAnsi="仿宋" w:eastAsia="仿宋"/>
          <w:sz w:val="24"/>
        </w:rPr>
        <w:t>010-83911226</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采购代理机构：中机国际招标有限公司</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联系地址：北京市西三环中路90号通用技术大厦1004室</w:t>
      </w:r>
    </w:p>
    <w:p>
      <w:pPr>
        <w:spacing w:line="38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联系人：</w:t>
      </w:r>
      <w:r>
        <w:rPr>
          <w:rFonts w:hint="eastAsia" w:ascii="仿宋" w:hAnsi="仿宋" w:eastAsia="仿宋" w:cs="宋体"/>
          <w:color w:val="000000"/>
          <w:kern w:val="0"/>
          <w:sz w:val="24"/>
        </w:rPr>
        <w:t>陈刚</w:t>
      </w:r>
      <w:r>
        <w:rPr>
          <w:rFonts w:ascii="仿宋" w:hAnsi="仿宋" w:eastAsia="仿宋" w:cs="宋体"/>
          <w:color w:val="000000"/>
          <w:kern w:val="0"/>
          <w:sz w:val="24"/>
        </w:rPr>
        <w:br w:type="textWrapping"/>
      </w:r>
      <w:r>
        <w:rPr>
          <w:rFonts w:ascii="仿宋" w:hAnsi="仿宋" w:eastAsia="仿宋" w:cs="宋体"/>
          <w:color w:val="000000"/>
          <w:kern w:val="0"/>
          <w:sz w:val="24"/>
        </w:rPr>
        <w:t xml:space="preserve"> 联系电话：010-</w:t>
      </w:r>
      <w:r>
        <w:rPr>
          <w:rFonts w:hint="eastAsia" w:ascii="仿宋" w:hAnsi="仿宋" w:eastAsia="仿宋" w:cs="宋体"/>
          <w:color w:val="000000"/>
          <w:kern w:val="0"/>
          <w:sz w:val="24"/>
        </w:rPr>
        <w:t>63348493</w:t>
      </w:r>
    </w:p>
    <w:p>
      <w:pPr>
        <w:spacing w:line="380" w:lineRule="exact"/>
        <w:rPr>
          <w:rFonts w:ascii="仿宋" w:hAnsi="仿宋" w:eastAsia="仿宋" w:cs="宋体"/>
          <w:color w:val="000000"/>
          <w:kern w:val="0"/>
          <w:sz w:val="24"/>
        </w:rPr>
      </w:pPr>
    </w:p>
    <w:p>
      <w:pPr>
        <w:spacing w:line="38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财政部门：北京市财政局</w:t>
      </w:r>
    </w:p>
    <w:p>
      <w:pPr>
        <w:spacing w:line="38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联</w:t>
      </w:r>
      <w:r>
        <w:rPr>
          <w:rFonts w:ascii="仿宋" w:hAnsi="仿宋" w:eastAsia="仿宋" w:cs="宋体"/>
          <w:color w:val="000000"/>
          <w:kern w:val="0"/>
          <w:sz w:val="24"/>
        </w:rPr>
        <w:t>系地址：北京市</w:t>
      </w:r>
      <w:r>
        <w:rPr>
          <w:rFonts w:hint="eastAsia" w:ascii="仿宋" w:hAnsi="仿宋" w:eastAsia="仿宋" w:cs="宋体"/>
          <w:color w:val="000000"/>
          <w:kern w:val="0"/>
          <w:sz w:val="24"/>
        </w:rPr>
        <w:t>通州区承安路3号院</w:t>
      </w:r>
    </w:p>
    <w:p>
      <w:pPr>
        <w:spacing w:line="380" w:lineRule="exact"/>
        <w:rPr>
          <w:rFonts w:ascii="仿宋" w:hAnsi="仿宋" w:eastAsia="仿宋" w:cs="宋体"/>
          <w:color w:val="000000"/>
          <w:kern w:val="0"/>
          <w:sz w:val="24"/>
        </w:rPr>
      </w:pPr>
      <w:r>
        <w:rPr>
          <w:rFonts w:ascii="ˎ̥" w:hAnsi="ˎ̥" w:eastAsia="仿宋" w:cs="宋体"/>
          <w:color w:val="000000"/>
          <w:kern w:val="0"/>
          <w:sz w:val="24"/>
        </w:rPr>
        <w:t> </w:t>
      </w:r>
      <w:r>
        <w:rPr>
          <w:rFonts w:hint="eastAsia" w:ascii="ˎ̥" w:hAnsi="ˎ̥" w:eastAsia="仿宋" w:cs="宋体"/>
          <w:color w:val="000000"/>
          <w:kern w:val="0"/>
          <w:sz w:val="24"/>
        </w:rPr>
        <w:t xml:space="preserve"> </w:t>
      </w:r>
      <w:r>
        <w:rPr>
          <w:rFonts w:ascii="仿宋" w:hAnsi="仿宋" w:eastAsia="仿宋" w:cs="宋体"/>
          <w:color w:val="000000"/>
          <w:kern w:val="0"/>
          <w:sz w:val="24"/>
        </w:rPr>
        <w:t>联系人：</w:t>
      </w:r>
      <w:r>
        <w:rPr>
          <w:rFonts w:hint="eastAsia" w:ascii="仿宋" w:hAnsi="仿宋" w:eastAsia="仿宋" w:cs="宋体"/>
          <w:color w:val="000000"/>
          <w:kern w:val="0"/>
          <w:sz w:val="24"/>
        </w:rPr>
        <w:t>袁林</w:t>
      </w:r>
      <w:r>
        <w:rPr>
          <w:rFonts w:ascii="仿宋" w:hAnsi="仿宋" w:eastAsia="仿宋" w:cs="宋体"/>
          <w:color w:val="000000"/>
          <w:kern w:val="0"/>
          <w:sz w:val="24"/>
        </w:rPr>
        <w:br w:type="textWrapping"/>
      </w:r>
      <w:r>
        <w:rPr>
          <w:rFonts w:ascii="ˎ̥" w:hAnsi="ˎ̥" w:eastAsia="仿宋" w:cs="宋体"/>
          <w:color w:val="000000"/>
          <w:kern w:val="0"/>
          <w:sz w:val="24"/>
        </w:rPr>
        <w:t> </w:t>
      </w:r>
      <w:r>
        <w:rPr>
          <w:rFonts w:hint="eastAsia" w:ascii="ˎ̥" w:hAnsi="ˎ̥" w:eastAsia="仿宋" w:cs="宋体"/>
          <w:color w:val="000000"/>
          <w:kern w:val="0"/>
          <w:sz w:val="24"/>
        </w:rPr>
        <w:t xml:space="preserve"> </w:t>
      </w:r>
      <w:r>
        <w:rPr>
          <w:rFonts w:ascii="仿宋" w:hAnsi="仿宋" w:eastAsia="仿宋" w:cs="宋体"/>
          <w:color w:val="000000"/>
          <w:kern w:val="0"/>
          <w:sz w:val="24"/>
        </w:rPr>
        <w:t>联系电话：010-</w:t>
      </w:r>
      <w:r>
        <w:rPr>
          <w:rFonts w:hint="eastAsia" w:ascii="仿宋" w:hAnsi="仿宋" w:eastAsia="仿宋" w:cs="宋体"/>
          <w:color w:val="000000"/>
          <w:kern w:val="0"/>
          <w:sz w:val="24"/>
        </w:rPr>
        <w:t>55592411</w:t>
      </w:r>
    </w:p>
    <w:p>
      <w:pPr>
        <w:spacing w:line="34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bookmarkStart w:id="0" w:name="_GoBack"/>
      <w:bookmarkEnd w:id="0"/>
      <w:r>
        <w:rPr>
          <w:rFonts w:hint="eastAsia" w:ascii="仿宋" w:hAnsi="仿宋" w:eastAsia="仿宋" w:cs="宋体"/>
          <w:color w:val="000000"/>
          <w:kern w:val="0"/>
          <w:sz w:val="24"/>
        </w:rPr>
        <w:t xml:space="preserve">                        中机国际招标有限公司</w:t>
      </w:r>
    </w:p>
    <w:p>
      <w:pPr>
        <w:widowControl/>
        <w:spacing w:line="340" w:lineRule="exact"/>
        <w:jc w:val="center"/>
        <w:rPr>
          <w:rFonts w:ascii="仿宋" w:hAnsi="仿宋" w:eastAsia="仿宋"/>
          <w:kern w:val="0"/>
          <w:sz w:val="24"/>
        </w:rPr>
      </w:pPr>
      <w:r>
        <w:rPr>
          <w:rFonts w:ascii="仿宋" w:hAnsi="仿宋" w:eastAsia="仿宋" w:cs="宋体"/>
          <w:color w:val="000000"/>
          <w:kern w:val="0"/>
          <w:sz w:val="24"/>
        </w:rPr>
        <w:t xml:space="preserve">                     </w:t>
      </w:r>
      <w:r>
        <w:rPr>
          <w:rFonts w:hint="eastAsia" w:ascii="仿宋" w:hAnsi="仿宋" w:eastAsia="仿宋" w:cs="宋体"/>
          <w:color w:val="000000"/>
          <w:kern w:val="0"/>
          <w:sz w:val="24"/>
        </w:rPr>
        <w:t xml:space="preserve">              </w:t>
      </w:r>
      <w:r>
        <w:rPr>
          <w:rFonts w:hint="eastAsia" w:ascii="仿宋" w:hAnsi="仿宋" w:eastAsia="仿宋" w:cs="宋体"/>
          <w:color w:val="000000"/>
          <w:kern w:val="0"/>
          <w:sz w:val="24"/>
          <w:highlight w:val="none"/>
        </w:rPr>
        <w:t xml:space="preserve">      </w:t>
      </w:r>
      <w:r>
        <w:rPr>
          <w:rFonts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rPr>
        <w:t xml:space="preserve"> </w:t>
      </w:r>
      <w:r>
        <w:rPr>
          <w:rFonts w:ascii="仿宋" w:hAnsi="仿宋" w:eastAsia="仿宋" w:cs="宋体"/>
          <w:color w:val="000000"/>
          <w:kern w:val="0"/>
          <w:sz w:val="24"/>
          <w:highlight w:val="none"/>
        </w:rPr>
        <w:t>201</w:t>
      </w:r>
      <w:r>
        <w:rPr>
          <w:rFonts w:hint="eastAsia" w:ascii="仿宋" w:hAnsi="仿宋" w:eastAsia="仿宋" w:cs="宋体"/>
          <w:color w:val="000000"/>
          <w:kern w:val="0"/>
          <w:sz w:val="24"/>
          <w:highlight w:val="none"/>
        </w:rPr>
        <w:t>9年5月</w:t>
      </w:r>
      <w:r>
        <w:rPr>
          <w:rFonts w:hint="eastAsia" w:ascii="仿宋" w:hAnsi="仿宋" w:eastAsia="仿宋" w:cs="宋体"/>
          <w:color w:val="000000"/>
          <w:kern w:val="0"/>
          <w:sz w:val="24"/>
          <w:highlight w:val="none"/>
          <w:lang w:val="en-US" w:eastAsia="zh-CN"/>
        </w:rPr>
        <w:t>22</w:t>
      </w:r>
      <w:r>
        <w:rPr>
          <w:rFonts w:hint="eastAsia" w:ascii="仿宋" w:hAnsi="仿宋" w:eastAsia="仿宋" w:cs="宋体"/>
          <w:color w:val="000000"/>
          <w:kern w:val="0"/>
          <w:sz w:val="24"/>
          <w:highlight w:val="none"/>
        </w:rPr>
        <w:t>日</w:t>
      </w:r>
      <w:r>
        <w:rPr>
          <w:rFonts w:ascii="仿宋" w:hAnsi="仿宋" w:eastAsia="仿宋" w:cs="宋体"/>
          <w:color w:val="000000"/>
          <w:kern w:val="0"/>
          <w:sz w:val="24"/>
          <w:highlight w:val="none"/>
        </w:rPr>
        <w:br w:type="textWrapping"/>
      </w:r>
      <w:r>
        <w:rPr>
          <w:rFonts w:hint="eastAsia" w:ascii="仿宋" w:hAnsi="仿宋" w:eastAsia="仿宋"/>
          <w:kern w:val="0"/>
          <w:sz w:val="24"/>
        </w:rPr>
        <w:br w:type="textWrapping"/>
      </w:r>
    </w:p>
    <w:sectPr>
      <w:headerReference r:id="rId3" w:type="default"/>
      <w:footerReference r:id="rId4" w:type="default"/>
      <w:pgSz w:w="11906" w:h="16838"/>
      <w:pgMar w:top="2111" w:right="1134" w:bottom="1440" w:left="12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b/>
        <w:bCs/>
        <w:sz w:val="1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93980</wp:posOffset>
              </wp:positionV>
              <wp:extent cx="5257800" cy="0"/>
              <wp:effectExtent l="0" t="0" r="0" b="0"/>
              <wp:wrapNone/>
              <wp:docPr id="3"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7.4pt;height:0pt;width:414pt;z-index:251658240;mso-width-relative:page;mso-height-relative:page;" filled="f" stroked="t" coordsize="21600,21600" o:gfxdata="UEsDBAoAAAAAAIdO4kAAAAAAAAAAAAAAAAAEAAAAZHJzL1BLAwQUAAAACACHTuJAgQ0Ylt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DRiW0gAAAAYBAAAPAAAAAAAAAAEAIAAAACIAAABkcnMvZG93bnJldi54bWxQ&#10;SwECFAAUAAAACACHTuJAOwSQCMQBAACBAwAADgAAAAAAAAABACAAAAAhAQAAZHJzL2Uyb0RvYy54&#10;bWxQSwUGAAAAAAYABgBZAQAAVwUAAAAA&#10;">
              <v:fill on="f" focussize="0,0"/>
              <v:stroke color="#000000" joinstyle="round"/>
              <v:imagedata o:title=""/>
              <o:lock v:ext="edit" aspectratio="f"/>
            </v:line>
          </w:pict>
        </mc:Fallback>
      </mc:AlternateContent>
    </w:r>
  </w:p>
  <w:p>
    <w:pPr>
      <w:jc w:val="center"/>
      <w:rPr>
        <w:rFonts w:ascii="仿宋_GB2312" w:hAnsi="黑体" w:eastAsia="仿宋_GB2312"/>
        <w:b/>
        <w:bCs/>
        <w:sz w:val="18"/>
      </w:rPr>
    </w:pPr>
    <w:r>
      <w:rPr>
        <w:rFonts w:hint="eastAsia" w:ascii="仿宋_GB2312" w:hAnsi="黑体" w:eastAsia="仿宋_GB2312"/>
        <w:b/>
        <w:bCs/>
        <w:sz w:val="18"/>
      </w:rPr>
      <w:t xml:space="preserve">地址:中国北京市丰台区西三环中路90号通用技术大厦10层   邮编:100055  传真:010-63373561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pPr w:leftFromText="180" w:rightFromText="180" w:vertAnchor="page" w:horzAnchor="page" w:tblpXSpec="center" w:tblpY="1051"/>
      <w:tblOverlap w:val="never"/>
      <w:tblW w:w="8280" w:type="dxa"/>
      <w:jc w:val="center"/>
      <w:tblInd w:w="0" w:type="dxa"/>
      <w:tblLayout w:type="fixed"/>
      <w:tblCellMar>
        <w:top w:w="0" w:type="dxa"/>
        <w:left w:w="108" w:type="dxa"/>
        <w:bottom w:w="0" w:type="dxa"/>
        <w:right w:w="108" w:type="dxa"/>
      </w:tblCellMar>
    </w:tblPr>
    <w:tblGrid>
      <w:gridCol w:w="2133"/>
      <w:gridCol w:w="6147"/>
    </w:tblGrid>
    <w:tr>
      <w:tblPrEx>
        <w:tblLayout w:type="fixed"/>
        <w:tblCellMar>
          <w:top w:w="0" w:type="dxa"/>
          <w:left w:w="108" w:type="dxa"/>
          <w:bottom w:w="0" w:type="dxa"/>
          <w:right w:w="108" w:type="dxa"/>
        </w:tblCellMar>
      </w:tblPrEx>
      <w:trPr>
        <w:trHeight w:val="965" w:hRule="atLeast"/>
        <w:jc w:val="center"/>
      </w:trPr>
      <w:tc>
        <w:tcPr>
          <w:tcW w:w="2133" w:type="dxa"/>
        </w:tcPr>
        <w:p>
          <w:pPr>
            <w:spacing w:line="240" w:lineRule="exact"/>
            <w:jc w:val="center"/>
            <w:rPr>
              <w:rFonts w:ascii="黑体" w:hAnsi="黑体" w:eastAsia="黑体"/>
              <w:b/>
              <w:bCs/>
              <w:sz w:val="52"/>
            </w:rPr>
          </w:pPr>
          <w: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701040</wp:posOffset>
                    </wp:positionV>
                    <wp:extent cx="5257800" cy="0"/>
                    <wp:effectExtent l="0" t="0" r="0" b="0"/>
                    <wp:wrapNone/>
                    <wp:docPr id="1" name="直线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FF6600"/>
                              </a:solidFill>
                              <a:prstDash val="solid"/>
                              <a:headEnd type="none" w="med" len="med"/>
                              <a:tailEnd type="none" w="med" len="med"/>
                            </a:ln>
                          </wps:spPr>
                          <wps:bodyPr/>
                        </wps:wsp>
                      </a:graphicData>
                    </a:graphic>
                  </wp:anchor>
                </w:drawing>
              </mc:Choice>
              <mc:Fallback>
                <w:pict>
                  <v:line id="直线 1" o:spid="_x0000_s1026" o:spt="20" style="position:absolute;left:0pt;margin-left:-6.05pt;margin-top:55.2pt;height:0pt;width:414pt;z-index:251658240;mso-width-relative:page;mso-height-relative:page;" filled="f" stroked="t" coordsize="21600,21600" o:gfxdata="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CJ0x2AAAAAsBAAAPAAAAAAAAAAEAIAAAACIAAABkcnMvZG93bnJl&#10;di54bWxQSwECFAAUAAAACACHTuJAr51MN8QBAACBAwAADgAAAAAAAAABACAAAAAnAQAAZHJzL2Uy&#10;b0RvYy54bWxQSwUGAAAAAAYABgBZAQAAXQUAAAAA&#10;">
                    <v:fill on="f" focussize="0,0"/>
                    <v:stroke color="#FF6600" joinstyle="round"/>
                    <v:imagedata o:title=""/>
                    <o:lock v:ext="edit" aspectratio="f"/>
                  </v:line>
                </w:pict>
              </mc:Fallback>
            </mc:AlternateContent>
          </w:r>
          <w:r>
            <w:rPr>
              <w:rFonts w:hint="eastAsia" w:ascii="宋体" w:hAnsi="宋体"/>
              <w:b/>
              <w:sz w:val="52"/>
              <w:szCs w:val="30"/>
            </w:rPr>
            <w:drawing>
              <wp:anchor distT="0" distB="0" distL="114300" distR="114300" simplePos="0" relativeHeight="251657216" behindDoc="0" locked="0" layoutInCell="1" allowOverlap="1">
                <wp:simplePos x="0" y="0"/>
                <wp:positionH relativeFrom="column">
                  <wp:posOffset>-46355</wp:posOffset>
                </wp:positionH>
                <wp:positionV relativeFrom="paragraph">
                  <wp:posOffset>12065</wp:posOffset>
                </wp:positionV>
                <wp:extent cx="1327785" cy="582295"/>
                <wp:effectExtent l="19050" t="0" r="5715" b="0"/>
                <wp:wrapNone/>
                <wp:docPr id="2" name="图片 2" descr="复件 bid_citc_com_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复件 bid_citc_com_cn"/>
                        <pic:cNvPicPr>
                          <a:picLocks noChangeAspect="1" noChangeArrowheads="1"/>
                        </pic:cNvPicPr>
                      </pic:nvPicPr>
                      <pic:blipFill>
                        <a:blip r:embed="rId1"/>
                        <a:srcRect/>
                        <a:stretch>
                          <a:fillRect/>
                        </a:stretch>
                      </pic:blipFill>
                      <pic:spPr>
                        <a:xfrm>
                          <a:off x="0" y="0"/>
                          <a:ext cx="1327785" cy="582295"/>
                        </a:xfrm>
                        <a:prstGeom prst="rect">
                          <a:avLst/>
                        </a:prstGeom>
                        <a:noFill/>
                        <a:ln w="9525">
                          <a:noFill/>
                          <a:miter lim="800000"/>
                          <a:headEnd/>
                          <a:tailEnd/>
                        </a:ln>
                      </pic:spPr>
                    </pic:pic>
                  </a:graphicData>
                </a:graphic>
              </wp:anchor>
            </w:drawing>
          </w:r>
          <w:r>
            <w:rPr>
              <w:rFonts w:hint="eastAsia" w:ascii="黑体" w:hAnsi="黑体" w:eastAsia="黑体"/>
              <w:b/>
              <w:bCs/>
              <w:sz w:val="52"/>
            </w:rPr>
            <w:t xml:space="preserve">        </w:t>
          </w:r>
        </w:p>
      </w:tc>
      <w:tc>
        <w:tcPr>
          <w:tcW w:w="6147" w:type="dxa"/>
          <w:vAlign w:val="center"/>
        </w:tcPr>
        <w:p>
          <w:pPr>
            <w:rPr>
              <w:rFonts w:ascii="黑体" w:hAnsi="黑体" w:eastAsia="黑体"/>
              <w:b/>
              <w:bCs/>
              <w:color w:val="808080"/>
              <w:sz w:val="36"/>
            </w:rPr>
          </w:pPr>
          <w:r>
            <w:rPr>
              <w:rFonts w:hint="eastAsia" w:ascii="黑体" w:hAnsi="黑体" w:eastAsia="黑体"/>
              <w:b/>
              <w:bCs/>
              <w:color w:val="808080"/>
              <w:sz w:val="36"/>
            </w:rPr>
            <w:t>中机国际招标有限公司</w:t>
          </w:r>
        </w:p>
        <w:p>
          <w:pPr>
            <w:rPr>
              <w:color w:val="333333"/>
              <w:sz w:val="18"/>
            </w:rPr>
          </w:pPr>
          <w:r>
            <w:rPr>
              <w:rFonts w:hint="eastAsia" w:ascii="黑体" w:hAnsi="黑体" w:eastAsia="黑体"/>
              <w:color w:val="808080"/>
              <w:sz w:val="18"/>
            </w:rPr>
            <w:t>CMC INTERNATIONAL TENDERING CORP.</w:t>
          </w:r>
        </w:p>
      </w:tc>
    </w:tr>
  </w:tbl>
  <w:p>
    <w:pPr>
      <w:rPr>
        <w:sz w:val="18"/>
      </w:rPr>
    </w:pPr>
  </w:p>
  <w:p>
    <w:pPr>
      <w:rPr>
        <w:sz w:val="18"/>
      </w:rPr>
    </w:pPr>
  </w:p>
  <w:p>
    <w:pPr>
      <w:rPr>
        <w:sz w:val="18"/>
      </w:rPr>
    </w:pPr>
  </w:p>
  <w:p>
    <w:pPr>
      <w:rPr>
        <w:sz w:val="18"/>
      </w:rPr>
    </w:pPr>
  </w:p>
  <w:p>
    <w:pPr>
      <w:rPr>
        <w:sz w:val="18"/>
      </w:rPr>
    </w:pPr>
  </w:p>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5923A2CF"/>
    <w:multiLevelType w:val="singleLevel"/>
    <w:tmpl w:val="5923A2C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B2"/>
    <w:rsid w:val="000B2954"/>
    <w:rsid w:val="000B725C"/>
    <w:rsid w:val="000E3806"/>
    <w:rsid w:val="00134C1D"/>
    <w:rsid w:val="001E22DB"/>
    <w:rsid w:val="0024433E"/>
    <w:rsid w:val="00290CF3"/>
    <w:rsid w:val="002A4CA9"/>
    <w:rsid w:val="002A5EF0"/>
    <w:rsid w:val="00380394"/>
    <w:rsid w:val="003C16AD"/>
    <w:rsid w:val="005B63F5"/>
    <w:rsid w:val="006667BF"/>
    <w:rsid w:val="0066757F"/>
    <w:rsid w:val="006C08B7"/>
    <w:rsid w:val="00712099"/>
    <w:rsid w:val="007E78CF"/>
    <w:rsid w:val="007F2BA5"/>
    <w:rsid w:val="007F5BE7"/>
    <w:rsid w:val="00805614"/>
    <w:rsid w:val="00857F04"/>
    <w:rsid w:val="0087051D"/>
    <w:rsid w:val="008C1295"/>
    <w:rsid w:val="0091555F"/>
    <w:rsid w:val="009B4D65"/>
    <w:rsid w:val="009F1491"/>
    <w:rsid w:val="009F61C6"/>
    <w:rsid w:val="00A2464D"/>
    <w:rsid w:val="00A61C27"/>
    <w:rsid w:val="00A8499C"/>
    <w:rsid w:val="00B814D7"/>
    <w:rsid w:val="00BC05E7"/>
    <w:rsid w:val="00BF695D"/>
    <w:rsid w:val="00C56F48"/>
    <w:rsid w:val="00CC7758"/>
    <w:rsid w:val="00CF5862"/>
    <w:rsid w:val="00DB1949"/>
    <w:rsid w:val="00E9700E"/>
    <w:rsid w:val="00EA42B1"/>
    <w:rsid w:val="00F176B2"/>
    <w:rsid w:val="00F32A65"/>
    <w:rsid w:val="00F448CD"/>
    <w:rsid w:val="00F5176C"/>
    <w:rsid w:val="00FB04B9"/>
    <w:rsid w:val="04514675"/>
    <w:rsid w:val="073E2977"/>
    <w:rsid w:val="0B544DB3"/>
    <w:rsid w:val="0E0645BF"/>
    <w:rsid w:val="0F3F222B"/>
    <w:rsid w:val="0F9F0368"/>
    <w:rsid w:val="1249531F"/>
    <w:rsid w:val="13A035D2"/>
    <w:rsid w:val="1F235C53"/>
    <w:rsid w:val="2265066B"/>
    <w:rsid w:val="2E326288"/>
    <w:rsid w:val="2F9448B5"/>
    <w:rsid w:val="37A807A4"/>
    <w:rsid w:val="3A907F2C"/>
    <w:rsid w:val="3D9407AD"/>
    <w:rsid w:val="3E7B126F"/>
    <w:rsid w:val="3EE56852"/>
    <w:rsid w:val="412E5C93"/>
    <w:rsid w:val="4200554F"/>
    <w:rsid w:val="42FF0F5A"/>
    <w:rsid w:val="4360547F"/>
    <w:rsid w:val="48AF6719"/>
    <w:rsid w:val="4BC90AED"/>
    <w:rsid w:val="4CDC7966"/>
    <w:rsid w:val="4CF5340F"/>
    <w:rsid w:val="4F3B523A"/>
    <w:rsid w:val="500372C9"/>
    <w:rsid w:val="52C6173E"/>
    <w:rsid w:val="53993EE1"/>
    <w:rsid w:val="60CE0D7E"/>
    <w:rsid w:val="622457AD"/>
    <w:rsid w:val="6534035F"/>
    <w:rsid w:val="6659163E"/>
    <w:rsid w:val="692C5EE8"/>
    <w:rsid w:val="6BA0386B"/>
    <w:rsid w:val="6CC855C2"/>
    <w:rsid w:val="6D1719C7"/>
    <w:rsid w:val="6DAD31E0"/>
    <w:rsid w:val="704912C9"/>
    <w:rsid w:val="730E056F"/>
    <w:rsid w:val="75724F17"/>
    <w:rsid w:val="78F7611D"/>
    <w:rsid w:val="7C26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280" w:leftChars="100"/>
      <w:jc w:val="center"/>
      <w:outlineLvl w:val="0"/>
    </w:pPr>
    <w:rPr>
      <w:rFonts w:ascii="Arial" w:hAnsi="Arial" w:eastAsia="黑体" w:cs="Tahoma"/>
      <w:b/>
      <w:bCs/>
      <w:color w:val="000000"/>
      <w:spacing w:val="-36"/>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next w:val="5"/>
    <w:link w:val="16"/>
    <w:qFormat/>
    <w:uiPriority w:val="0"/>
    <w:pPr>
      <w:spacing w:line="360" w:lineRule="auto"/>
      <w:ind w:left="100" w:leftChars="100" w:firstLine="567"/>
    </w:pPr>
    <w:rPr>
      <w:rFonts w:ascii="Arial" w:hAnsi="Arial"/>
      <w:sz w:val="28"/>
      <w:szCs w:val="28"/>
    </w:rPr>
  </w:style>
  <w:style w:type="paragraph" w:styleId="5">
    <w:name w:val="Body Text First Indent"/>
    <w:basedOn w:val="6"/>
    <w:qFormat/>
    <w:uiPriority w:val="0"/>
    <w:pPr>
      <w:spacing w:line="360" w:lineRule="auto"/>
      <w:ind w:left="100" w:leftChars="100" w:firstLine="420" w:firstLineChars="100"/>
    </w:pPr>
    <w:rPr>
      <w:rFonts w:ascii="Arial" w:hAnsi="Arial" w:cs="Tahoma"/>
      <w:color w:val="000000"/>
      <w:sz w:val="28"/>
      <w:szCs w:val="28"/>
    </w:rPr>
  </w:style>
  <w:style w:type="paragraph" w:styleId="6">
    <w:name w:val="Body Text"/>
    <w:basedOn w:val="1"/>
    <w:qFormat/>
    <w:uiPriority w:val="0"/>
    <w:pPr>
      <w:spacing w:after="120"/>
    </w:pPr>
  </w:style>
  <w:style w:type="paragraph" w:styleId="7">
    <w:name w:val="annotation text"/>
    <w:basedOn w:val="1"/>
    <w:unhideWhenUsed/>
    <w:qFormat/>
    <w:uiPriority w:val="99"/>
    <w:pPr>
      <w:jc w:val="left"/>
    </w:pPr>
  </w:style>
  <w:style w:type="paragraph" w:styleId="8">
    <w:name w:val="Date"/>
    <w:basedOn w:val="1"/>
    <w:next w:val="1"/>
    <w:qFormat/>
    <w:uiPriority w:val="0"/>
    <w:pPr>
      <w:ind w:left="100" w:leftChars="2500"/>
    </w:pPr>
    <w:rPr>
      <w:b/>
      <w:bCs/>
      <w:sz w:val="28"/>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6">
    <w:name w:val="正文缩进 Char"/>
    <w:basedOn w:val="15"/>
    <w:link w:val="4"/>
    <w:qFormat/>
    <w:uiPriority w:val="0"/>
    <w:rPr>
      <w:rFonts w:ascii="Arial" w:hAnsi="Arial" w:eastAsia="宋体"/>
      <w:kern w:val="2"/>
      <w:sz w:val="28"/>
      <w:szCs w:val="28"/>
      <w:lang w:val="en-US" w:eastAsia="zh-CN" w:bidi="ar-SA"/>
    </w:rPr>
  </w:style>
  <w:style w:type="paragraph" w:customStyle="1" w:styleId="17">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8">
    <w:name w:val="列出段落1"/>
    <w:basedOn w:val="1"/>
    <w:qFormat/>
    <w:uiPriority w:val="99"/>
    <w:pPr>
      <w:ind w:firstLine="420" w:firstLineChars="200"/>
    </w:pPr>
  </w:style>
  <w:style w:type="paragraph" w:customStyle="1" w:styleId="19">
    <w:name w:val="样式 标题 2H2h22nd levelTitre2l22Header 2h:2h:2appT2ALev..."/>
    <w:basedOn w:val="3"/>
    <w:qFormat/>
    <w:uiPriority w:val="0"/>
    <w:pPr>
      <w:spacing w:beforeLines="50" w:afterLines="50" w:line="240" w:lineRule="auto"/>
      <w:ind w:firstLine="196" w:firstLineChars="196"/>
    </w:pPr>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21333;&#19968;&#26469;&#28304;&#20844;&#31034;2018.7.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单一来源公示2018.7.3.dot</Template>
  <Company>acer</Company>
  <Pages>3</Pages>
  <Words>224</Words>
  <Characters>1277</Characters>
  <Lines>10</Lines>
  <Paragraphs>2</Paragraphs>
  <TotalTime>16</TotalTime>
  <ScaleCrop>false</ScaleCrop>
  <LinksUpToDate>false</LinksUpToDate>
  <CharactersWithSpaces>1499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2019-03-06T02:40:00Z</dcterms:created>
  <dc:creator>Z</dc:creator>
  <cp:lastModifiedBy>陈刚</cp:lastModifiedBy>
  <cp:lastPrinted>2019-03-08T01:35:00Z</cp:lastPrinted>
  <dcterms:modified xsi:type="dcterms:W3CDTF">2019-05-22T04:53:30Z</dcterms:modified>
  <dc:title>澄  清　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