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 w:line="240" w:lineRule="auto"/>
        <w:rPr>
          <w:sz w:val="48"/>
          <w:szCs w:val="48"/>
        </w:rPr>
      </w:pPr>
      <w:bookmarkStart w:id="0" w:name="_Toc333499397"/>
      <w:bookmarkStart w:id="1" w:name="_Toc22378"/>
      <w:r>
        <w:rPr>
          <w:rFonts w:hAnsi="宋体"/>
          <w:bCs w:val="0"/>
          <w:sz w:val="48"/>
          <w:szCs w:val="48"/>
        </w:rPr>
        <w:t>第一章</w:t>
      </w:r>
      <w:r>
        <w:rPr>
          <w:bCs w:val="0"/>
          <w:sz w:val="48"/>
          <w:szCs w:val="48"/>
        </w:rPr>
        <w:t xml:space="preserve"> </w:t>
      </w:r>
      <w:r>
        <w:rPr>
          <w:rFonts w:hint="eastAsia" w:hAnsi="宋体"/>
          <w:bCs w:val="0"/>
          <w:sz w:val="48"/>
          <w:szCs w:val="48"/>
        </w:rPr>
        <w:t>资格预审</w:t>
      </w:r>
      <w:r>
        <w:rPr>
          <w:rFonts w:hAnsi="宋体"/>
          <w:bCs w:val="0"/>
          <w:sz w:val="48"/>
          <w:szCs w:val="48"/>
        </w:rPr>
        <w:t>公告</w:t>
      </w:r>
      <w:bookmarkEnd w:id="0"/>
      <w:bookmarkEnd w:id="1"/>
    </w:p>
    <w:p>
      <w:pPr>
        <w:snapToGrid w:val="0"/>
        <w:spacing w:line="440" w:lineRule="exact"/>
        <w:rPr>
          <w:sz w:val="24"/>
        </w:rPr>
      </w:pPr>
    </w:p>
    <w:p>
      <w:pPr>
        <w:snapToGrid w:val="0"/>
        <w:spacing w:line="440" w:lineRule="exact"/>
        <w:rPr>
          <w:b/>
          <w:sz w:val="24"/>
        </w:rPr>
      </w:pPr>
      <w:r>
        <w:rPr>
          <w:rFonts w:hint="eastAsia" w:hAnsi="宋体"/>
          <w:b/>
          <w:sz w:val="24"/>
          <w:lang w:eastAsia="zh-CN"/>
        </w:rPr>
        <w:t>台湖镇湿地公园景观设计工程（台湖公园二期补充）施工</w:t>
      </w:r>
      <w:r>
        <w:rPr>
          <w:rFonts w:hAnsi="宋体"/>
          <w:b/>
          <w:sz w:val="24"/>
        </w:rPr>
        <w:t>（项目名称）施工招标</w:t>
      </w:r>
    </w:p>
    <w:p>
      <w:pPr>
        <w:snapToGrid w:val="0"/>
        <w:spacing w:line="440" w:lineRule="exact"/>
        <w:rPr>
          <w:b/>
          <w:sz w:val="24"/>
        </w:rPr>
      </w:pPr>
    </w:p>
    <w:p>
      <w:pPr>
        <w:snapToGrid w:val="0"/>
        <w:spacing w:line="440" w:lineRule="exact"/>
        <w:rPr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资格预审</w:t>
      </w:r>
      <w:r>
        <w:rPr>
          <w:rFonts w:hAnsi="宋体"/>
          <w:b/>
          <w:sz w:val="30"/>
          <w:szCs w:val="30"/>
        </w:rPr>
        <w:t>公告</w:t>
      </w:r>
    </w:p>
    <w:p>
      <w:pPr>
        <w:pStyle w:val="11"/>
        <w:numPr>
          <w:ilvl w:val="0"/>
          <w:numId w:val="1"/>
        </w:numPr>
        <w:snapToGrid w:val="0"/>
        <w:spacing w:before="0" w:line="440" w:lineRule="exact"/>
        <w:jc w:val="both"/>
        <w:rPr>
          <w:rFonts w:hint="eastAsia" w:eastAsia="宋体" w:cs="Times New Roman"/>
          <w:b/>
          <w:sz w:val="24"/>
          <w:szCs w:val="24"/>
        </w:rPr>
      </w:pPr>
      <w:bookmarkStart w:id="2" w:name="_Toc21705"/>
      <w:r>
        <w:rPr>
          <w:rFonts w:hint="eastAsia" w:eastAsia="宋体" w:cs="Times New Roman"/>
          <w:b/>
          <w:sz w:val="24"/>
          <w:szCs w:val="24"/>
        </w:rPr>
        <w:t>招标条件</w:t>
      </w:r>
      <w:bookmarkEnd w:id="2"/>
    </w:p>
    <w:p>
      <w:pPr>
        <w:snapToGrid w:val="0"/>
        <w:spacing w:line="440" w:lineRule="exact"/>
        <w:ind w:firstLine="491" w:firstLineChars="205"/>
        <w:jc w:val="both"/>
        <w:rPr>
          <w:sz w:val="24"/>
        </w:rPr>
      </w:pPr>
      <w:r>
        <w:rPr>
          <w:sz w:val="24"/>
        </w:rPr>
        <w:t>本招标项目</w:t>
      </w:r>
      <w:r>
        <w:rPr>
          <w:rFonts w:hint="eastAsia"/>
          <w:sz w:val="24"/>
          <w:u w:val="single"/>
          <w:lang w:eastAsia="zh-CN"/>
        </w:rPr>
        <w:t>台湖镇湿地公园景观设计工程（台湖公园二期补充）施工</w:t>
      </w:r>
      <w:r>
        <w:rPr>
          <w:sz w:val="24"/>
        </w:rPr>
        <w:t>（项目名称）已由</w:t>
      </w:r>
      <w:r>
        <w:rPr>
          <w:rFonts w:hint="eastAsia"/>
          <w:sz w:val="24"/>
          <w:u w:val="single"/>
          <w:lang w:eastAsia="zh-CN"/>
        </w:rPr>
        <w:t>北京市通州区台湖镇人民政</w:t>
      </w:r>
      <w:r>
        <w:rPr>
          <w:rFonts w:hint="eastAsia"/>
          <w:color w:val="auto"/>
          <w:sz w:val="24"/>
          <w:u w:val="single"/>
          <w:lang w:eastAsia="zh-CN"/>
        </w:rPr>
        <w:t>府</w:t>
      </w:r>
      <w:r>
        <w:rPr>
          <w:color w:val="auto"/>
          <w:sz w:val="24"/>
        </w:rPr>
        <w:t>以</w:t>
      </w:r>
      <w:r>
        <w:rPr>
          <w:color w:val="auto"/>
          <w:sz w:val="24"/>
          <w:highlight w:val="none"/>
          <w:u w:val="single"/>
        </w:rPr>
        <w:t xml:space="preserve"> </w:t>
      </w:r>
      <w:r>
        <w:rPr>
          <w:rFonts w:hint="eastAsia"/>
          <w:color w:val="auto"/>
          <w:sz w:val="24"/>
          <w:highlight w:val="none"/>
          <w:u w:val="single"/>
          <w:lang w:eastAsia="zh-CN"/>
        </w:rPr>
        <w:t>台政发〔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>2019</w:t>
      </w:r>
      <w:r>
        <w:rPr>
          <w:rFonts w:hint="eastAsia"/>
          <w:color w:val="auto"/>
          <w:sz w:val="24"/>
          <w:highlight w:val="none"/>
          <w:u w:val="single"/>
          <w:lang w:eastAsia="zh-CN"/>
        </w:rPr>
        <w:t>〕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>42</w:t>
      </w:r>
      <w:r>
        <w:rPr>
          <w:rFonts w:hint="eastAsia"/>
          <w:color w:val="auto"/>
          <w:sz w:val="24"/>
          <w:highlight w:val="none"/>
          <w:u w:val="single"/>
          <w:lang w:eastAsia="zh-CN"/>
        </w:rPr>
        <w:t>号</w:t>
      </w:r>
      <w:r>
        <w:rPr>
          <w:color w:val="auto"/>
          <w:sz w:val="24"/>
          <w:highlight w:val="none"/>
          <w:u w:val="single"/>
        </w:rPr>
        <w:t xml:space="preserve"> </w:t>
      </w:r>
      <w:r>
        <w:rPr>
          <w:color w:val="auto"/>
          <w:sz w:val="24"/>
          <w:highlight w:val="none"/>
        </w:rPr>
        <w:t>批准建设，</w:t>
      </w:r>
      <w:r>
        <w:rPr>
          <w:color w:val="auto"/>
          <w:sz w:val="24"/>
        </w:rPr>
        <w:t>项目业主为</w:t>
      </w:r>
      <w:r>
        <w:rPr>
          <w:rFonts w:hint="eastAsia"/>
          <w:color w:val="auto"/>
          <w:sz w:val="24"/>
          <w:u w:val="single"/>
          <w:lang w:eastAsia="zh-CN"/>
        </w:rPr>
        <w:t>北京市通州区台湖镇人民政府</w:t>
      </w:r>
      <w:r>
        <w:rPr>
          <w:color w:val="auto"/>
          <w:sz w:val="24"/>
        </w:rPr>
        <w:t>，项目资金来自</w:t>
      </w:r>
      <w:r>
        <w:rPr>
          <w:rFonts w:hint="eastAsia"/>
          <w:color w:val="auto"/>
          <w:sz w:val="24"/>
          <w:u w:val="single"/>
          <w:lang w:val="en-US" w:eastAsia="zh-CN"/>
        </w:rPr>
        <w:t>政府自筹</w:t>
      </w:r>
      <w:r>
        <w:rPr>
          <w:color w:val="auto"/>
          <w:sz w:val="24"/>
        </w:rPr>
        <w:t>（资金来源），项目出资比例为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100% 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</w:rPr>
        <w:t>招标代理机构为</w:t>
      </w:r>
      <w:r>
        <w:rPr>
          <w:rFonts w:hint="eastAsia"/>
          <w:color w:val="auto"/>
          <w:sz w:val="24"/>
          <w:u w:val="single"/>
          <w:lang w:eastAsia="zh-CN"/>
        </w:rPr>
        <w:t>德汇工程管理（北京）有限公司。</w:t>
      </w:r>
      <w:r>
        <w:rPr>
          <w:color w:val="auto"/>
          <w:sz w:val="24"/>
        </w:rPr>
        <w:t>项目已具备招标条件，</w:t>
      </w:r>
      <w:r>
        <w:rPr>
          <w:rFonts w:hAnsi="宋体"/>
          <w:color w:val="auto"/>
          <w:sz w:val="24"/>
        </w:rPr>
        <w:t>现进行公开招标，特邀请有意向的潜在投标申请人（以下简称申请人</w:t>
      </w:r>
      <w:r>
        <w:rPr>
          <w:rFonts w:hAnsi="宋体"/>
          <w:sz w:val="24"/>
        </w:rPr>
        <w:t>）提出资格预审申请。</w:t>
      </w:r>
    </w:p>
    <w:p>
      <w:pPr>
        <w:snapToGrid w:val="0"/>
        <w:spacing w:line="440" w:lineRule="exact"/>
        <w:ind w:firstLine="491" w:firstLineChars="205"/>
        <w:jc w:val="both"/>
        <w:rPr>
          <w:sz w:val="24"/>
        </w:rPr>
      </w:pPr>
    </w:p>
    <w:p>
      <w:pPr>
        <w:pStyle w:val="11"/>
        <w:snapToGrid w:val="0"/>
        <w:spacing w:before="0" w:line="440" w:lineRule="exact"/>
        <w:ind w:firstLine="494" w:firstLineChars="205"/>
        <w:jc w:val="both"/>
        <w:rPr>
          <w:rFonts w:eastAsia="宋体" w:cs="Times New Roman"/>
          <w:b/>
          <w:sz w:val="24"/>
          <w:szCs w:val="24"/>
        </w:rPr>
      </w:pPr>
      <w:bookmarkStart w:id="3" w:name="_Toc333499399"/>
      <w:bookmarkStart w:id="4" w:name="_Toc152047192"/>
      <w:bookmarkStart w:id="5" w:name="_Toc396650421"/>
      <w:bookmarkStart w:id="6" w:name="_Toc144974395"/>
      <w:bookmarkStart w:id="7" w:name="_Toc179715684"/>
      <w:bookmarkStart w:id="8" w:name="_Toc16757"/>
      <w:r>
        <w:rPr>
          <w:rFonts w:eastAsia="宋体" w:cs="Times New Roman"/>
          <w:b/>
          <w:sz w:val="24"/>
          <w:szCs w:val="24"/>
        </w:rPr>
        <w:t>2</w:t>
      </w:r>
      <w:r>
        <w:rPr>
          <w:rFonts w:hAnsi="宋体" w:eastAsia="宋体" w:cs="Times New Roman"/>
          <w:b/>
          <w:sz w:val="24"/>
          <w:szCs w:val="24"/>
        </w:rPr>
        <w:t>．项目概况与招标范围</w:t>
      </w:r>
      <w:bookmarkEnd w:id="3"/>
      <w:bookmarkEnd w:id="4"/>
      <w:bookmarkEnd w:id="5"/>
      <w:bookmarkEnd w:id="6"/>
      <w:bookmarkEnd w:id="7"/>
      <w:bookmarkEnd w:id="8"/>
    </w:p>
    <w:p>
      <w:pPr>
        <w:snapToGrid w:val="0"/>
        <w:spacing w:line="440" w:lineRule="exact"/>
        <w:ind w:firstLine="491" w:firstLineChars="205"/>
        <w:jc w:val="both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2.1本招标项目的建设地点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u w:val="single"/>
        </w:rPr>
        <w:t>通州区台湖镇</w:t>
      </w:r>
      <w:r>
        <w:rPr>
          <w:rFonts w:ascii="宋体" w:hAnsi="宋体"/>
          <w:sz w:val="24"/>
          <w:u w:val="single"/>
        </w:rPr>
        <w:t xml:space="preserve">       </w:t>
      </w:r>
    </w:p>
    <w:p>
      <w:pPr>
        <w:snapToGrid w:val="0"/>
        <w:spacing w:line="440" w:lineRule="exact"/>
        <w:ind w:firstLine="491" w:firstLineChars="205"/>
        <w:jc w:val="both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2.2本招标项目的建设规模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建设面积452342平米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</w:p>
    <w:p>
      <w:pPr>
        <w:snapToGrid w:val="0"/>
        <w:spacing w:line="440" w:lineRule="exact"/>
        <w:ind w:firstLine="491" w:firstLineChars="205"/>
        <w:jc w:val="both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2.3</w:t>
      </w:r>
      <w:r>
        <w:rPr>
          <w:rFonts w:hint="eastAsia" w:ascii="宋体" w:hAnsi="宋体"/>
          <w:sz w:val="24"/>
        </w:rPr>
        <w:t>计划投资总额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  <w:u w:val="single"/>
          <w:lang w:val="en-US" w:eastAsia="zh-CN"/>
        </w:rPr>
        <w:t>5229.921470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>万</w:t>
      </w:r>
      <w:r>
        <w:rPr>
          <w:rFonts w:ascii="宋体" w:hAnsi="宋体"/>
          <w:sz w:val="24"/>
          <w:u w:val="single"/>
        </w:rPr>
        <w:t>元</w:t>
      </w:r>
    </w:p>
    <w:p>
      <w:pPr>
        <w:snapToGrid w:val="0"/>
        <w:spacing w:line="440" w:lineRule="exact"/>
        <w:ind w:firstLine="491" w:firstLineChars="205"/>
        <w:jc w:val="both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2.4本招标项目的计划工期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  <w:u w:val="single"/>
          <w:lang w:val="en-US" w:eastAsia="zh-CN"/>
        </w:rPr>
        <w:t>120</w:t>
      </w:r>
      <w:r>
        <w:rPr>
          <w:rFonts w:ascii="宋体" w:hAnsi="宋体"/>
          <w:sz w:val="24"/>
          <w:u w:val="single"/>
        </w:rPr>
        <w:t xml:space="preserve">     日历天</w:t>
      </w:r>
    </w:p>
    <w:p>
      <w:pPr>
        <w:snapToGrid w:val="0"/>
        <w:spacing w:line="440" w:lineRule="exact"/>
        <w:ind w:firstLine="491" w:firstLineChars="205"/>
        <w:jc w:val="both"/>
        <w:rPr>
          <w:rFonts w:ascii="宋体" w:hAnsi="宋体"/>
          <w:sz w:val="24"/>
          <w:highlight w:val="none"/>
          <w:u w:val="single"/>
        </w:rPr>
      </w:pPr>
      <w:r>
        <w:rPr>
          <w:rFonts w:ascii="宋体" w:hAnsi="宋体"/>
          <w:sz w:val="24"/>
        </w:rPr>
        <w:t>2.5本招标项目</w:t>
      </w:r>
      <w:r>
        <w:rPr>
          <w:rFonts w:ascii="宋体" w:hAnsi="宋体"/>
          <w:sz w:val="24"/>
          <w:highlight w:val="none"/>
        </w:rPr>
        <w:t>的标段划分</w:t>
      </w:r>
      <w:r>
        <w:rPr>
          <w:rFonts w:ascii="宋体" w:hAnsi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/</w:t>
      </w:r>
      <w:r>
        <w:rPr>
          <w:rFonts w:ascii="宋体" w:hAnsi="宋体"/>
          <w:sz w:val="24"/>
          <w:highlight w:val="none"/>
          <w:u w:val="single"/>
        </w:rPr>
        <w:t xml:space="preserve">         </w:t>
      </w:r>
    </w:p>
    <w:p>
      <w:pPr>
        <w:snapToGrid w:val="0"/>
        <w:spacing w:line="440" w:lineRule="exact"/>
        <w:ind w:firstLine="491" w:firstLineChars="205"/>
        <w:jc w:val="both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 xml:space="preserve">2.6招标范围 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本项目建设面积452342平米，本次招标范围包括，24节气园、达人广场、鹰廊、儿童活动广场、停车场、骑行服务区等亮点景观以及其他区域衔接配套的铺装、辅助设施等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工程量清单及图纸范围内的内容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。</w:t>
      </w:r>
      <w:r>
        <w:rPr>
          <w:rFonts w:ascii="宋体" w:hAnsi="宋体"/>
          <w:sz w:val="24"/>
          <w:highlight w:val="none"/>
        </w:rPr>
        <w:t xml:space="preserve"> </w:t>
      </w:r>
    </w:p>
    <w:p>
      <w:pPr>
        <w:snapToGrid w:val="0"/>
        <w:spacing w:line="440" w:lineRule="exact"/>
        <w:ind w:firstLine="491" w:firstLineChars="205"/>
        <w:jc w:val="both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highlight w:val="none"/>
        </w:rPr>
        <w:t xml:space="preserve">2.7其他 </w:t>
      </w:r>
      <w:r>
        <w:rPr>
          <w:rFonts w:ascii="宋体" w:hAnsi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/</w:t>
      </w:r>
      <w:r>
        <w:rPr>
          <w:rFonts w:ascii="宋体" w:hAnsi="宋体"/>
          <w:sz w:val="24"/>
          <w:highlight w:val="none"/>
          <w:u w:val="single"/>
        </w:rPr>
        <w:t xml:space="preserve">                    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</w:p>
    <w:p>
      <w:pPr>
        <w:snapToGrid w:val="0"/>
        <w:spacing w:line="440" w:lineRule="exact"/>
        <w:ind w:firstLine="491" w:firstLineChars="205"/>
        <w:jc w:val="both"/>
        <w:rPr>
          <w:sz w:val="24"/>
          <w:u w:val="single"/>
        </w:rPr>
      </w:pPr>
    </w:p>
    <w:p>
      <w:pPr>
        <w:pStyle w:val="11"/>
        <w:snapToGrid w:val="0"/>
        <w:spacing w:before="0" w:line="440" w:lineRule="exact"/>
        <w:ind w:firstLine="494" w:firstLineChars="205"/>
        <w:jc w:val="both"/>
        <w:rPr>
          <w:rFonts w:eastAsia="宋体" w:cs="Times New Roman"/>
          <w:b/>
          <w:sz w:val="24"/>
          <w:szCs w:val="24"/>
        </w:rPr>
      </w:pPr>
      <w:bookmarkStart w:id="9" w:name="_Toc179715685"/>
      <w:bookmarkStart w:id="10" w:name="_Toc396650422"/>
      <w:bookmarkStart w:id="11" w:name="_Toc28614"/>
      <w:bookmarkStart w:id="12" w:name="_Toc333499400"/>
      <w:bookmarkStart w:id="13" w:name="_Toc152047193"/>
      <w:bookmarkStart w:id="14" w:name="_Toc144974396"/>
      <w:r>
        <w:rPr>
          <w:rFonts w:eastAsia="宋体" w:cs="Times New Roman"/>
          <w:b/>
          <w:sz w:val="24"/>
          <w:szCs w:val="24"/>
        </w:rPr>
        <w:t>3</w:t>
      </w:r>
      <w:r>
        <w:rPr>
          <w:rFonts w:hAnsi="宋体" w:eastAsia="宋体" w:cs="Times New Roman"/>
          <w:b/>
          <w:sz w:val="24"/>
          <w:szCs w:val="24"/>
        </w:rPr>
        <w:t>．申请人资格要求</w:t>
      </w:r>
      <w:bookmarkEnd w:id="9"/>
      <w:bookmarkEnd w:id="10"/>
      <w:bookmarkEnd w:id="11"/>
      <w:bookmarkEnd w:id="12"/>
      <w:bookmarkEnd w:id="13"/>
      <w:bookmarkEnd w:id="14"/>
    </w:p>
    <w:p>
      <w:pPr>
        <w:snapToGrid w:val="0"/>
        <w:spacing w:line="440" w:lineRule="exact"/>
        <w:ind w:firstLine="491" w:firstLineChars="205"/>
        <w:jc w:val="both"/>
        <w:rPr>
          <w:rFonts w:ascii="宋体" w:hAnsi="宋体"/>
          <w:sz w:val="24"/>
        </w:rPr>
      </w:pPr>
      <w:bookmarkStart w:id="15" w:name="_Toc396650423"/>
      <w:r>
        <w:rPr>
          <w:rFonts w:hint="eastAsia" w:ascii="宋体" w:hAnsi="宋体"/>
          <w:sz w:val="24"/>
          <w:lang w:val="en-US" w:eastAsia="zh-CN"/>
        </w:rPr>
        <w:t>3.1</w:t>
      </w:r>
      <w:r>
        <w:rPr>
          <w:rFonts w:ascii="宋体" w:hAnsi="宋体"/>
          <w:sz w:val="24"/>
        </w:rPr>
        <w:t>申请人须为在中华人民共和国境内合法注册的法人实体，且具备政府相关行政主管部门核发的有效营业执照</w:t>
      </w:r>
      <w:r>
        <w:rPr>
          <w:rFonts w:hint="eastAsia" w:ascii="宋体" w:hAnsi="宋体"/>
          <w:sz w:val="24"/>
        </w:rPr>
        <w:t>，且处于正常开业状态</w:t>
      </w:r>
      <w:r>
        <w:rPr>
          <w:rFonts w:ascii="宋体" w:hAnsi="宋体"/>
          <w:sz w:val="24"/>
        </w:rPr>
        <w:t>；</w:t>
      </w:r>
      <w:bookmarkEnd w:id="15"/>
    </w:p>
    <w:p>
      <w:pPr>
        <w:snapToGrid w:val="0"/>
        <w:spacing w:line="440" w:lineRule="exact"/>
        <w:ind w:firstLine="491" w:firstLineChars="205"/>
        <w:jc w:val="both"/>
        <w:rPr>
          <w:rFonts w:hint="eastAsia" w:ascii="宋体" w:hAnsi="宋体"/>
          <w:sz w:val="24"/>
          <w:highlight w:val="none"/>
        </w:rPr>
      </w:pPr>
      <w:bookmarkStart w:id="16" w:name="_Toc396650424"/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申请人营业执照</w:t>
      </w:r>
      <w:r>
        <w:rPr>
          <w:rFonts w:hAnsi="宋体"/>
          <w:sz w:val="24"/>
        </w:rPr>
        <w:t>的经营范围中应包含园林绿化（工程）施工的经营许可，具</w:t>
      </w:r>
      <w:r>
        <w:rPr>
          <w:rFonts w:hint="eastAsia" w:hAnsi="宋体"/>
          <w:sz w:val="24"/>
          <w:highlight w:val="none"/>
        </w:rPr>
        <w:t>备承担招标项目的能力；</w:t>
      </w:r>
      <w:bookmarkEnd w:id="16"/>
      <w:r>
        <w:rPr>
          <w:rFonts w:ascii="宋体" w:hAnsi="宋体"/>
          <w:sz w:val="24"/>
          <w:highlight w:val="none"/>
        </w:rPr>
        <w:t xml:space="preserve"> </w:t>
      </w:r>
    </w:p>
    <w:p>
      <w:pPr>
        <w:snapToGrid w:val="0"/>
        <w:spacing w:line="440" w:lineRule="exact"/>
        <w:ind w:firstLine="491" w:firstLineChars="205"/>
        <w:jc w:val="both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3.3</w:t>
      </w:r>
      <w:r>
        <w:rPr>
          <w:rFonts w:ascii="宋体" w:hAnsi="宋体"/>
          <w:sz w:val="24"/>
          <w:highlight w:val="none"/>
        </w:rPr>
        <w:t>外埠企业</w:t>
      </w:r>
      <w:r>
        <w:rPr>
          <w:rFonts w:hint="eastAsia" w:ascii="宋体" w:hAnsi="宋体"/>
          <w:sz w:val="24"/>
          <w:highlight w:val="none"/>
        </w:rPr>
        <w:t>须在北京市园林绿化企业管理服务平台数据库完成入库；</w:t>
      </w:r>
    </w:p>
    <w:p>
      <w:pPr>
        <w:snapToGrid w:val="0"/>
        <w:spacing w:line="440" w:lineRule="exact"/>
        <w:ind w:firstLine="491" w:firstLineChars="205"/>
        <w:jc w:val="both"/>
        <w:rPr>
          <w:rFonts w:ascii="宋体" w:hAnsi="宋体"/>
          <w:sz w:val="24"/>
          <w:highlight w:val="none"/>
        </w:rPr>
      </w:pPr>
      <w:bookmarkStart w:id="17" w:name="_Toc396650425"/>
      <w:r>
        <w:rPr>
          <w:rFonts w:ascii="宋体" w:hAnsi="宋体"/>
          <w:sz w:val="24"/>
          <w:highlight w:val="none"/>
        </w:rPr>
        <w:t>3.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ascii="宋体" w:hAnsi="宋体"/>
          <w:sz w:val="24"/>
          <w:highlight w:val="none"/>
        </w:rPr>
        <w:t>拟派本项目的项目</w:t>
      </w:r>
      <w:r>
        <w:rPr>
          <w:rFonts w:hint="eastAsia" w:ascii="宋体" w:hAnsi="宋体"/>
          <w:sz w:val="24"/>
          <w:highlight w:val="none"/>
        </w:rPr>
        <w:t>负责人</w:t>
      </w:r>
      <w:r>
        <w:rPr>
          <w:rFonts w:ascii="宋体" w:hAnsi="宋体"/>
          <w:sz w:val="24"/>
          <w:highlight w:val="none"/>
        </w:rPr>
        <w:t>须是</w:t>
      </w:r>
      <w:r>
        <w:rPr>
          <w:rFonts w:hint="eastAsia" w:ascii="宋体" w:hAnsi="宋体"/>
          <w:sz w:val="24"/>
          <w:highlight w:val="none"/>
        </w:rPr>
        <w:t>北京市园林绿化企业管理服务平台数据库中入库人员</w:t>
      </w:r>
      <w:r>
        <w:rPr>
          <w:rFonts w:ascii="宋体" w:hAnsi="宋体"/>
          <w:sz w:val="24"/>
          <w:highlight w:val="none"/>
        </w:rPr>
        <w:t>；</w:t>
      </w:r>
      <w:bookmarkEnd w:id="17"/>
      <w:r>
        <w:rPr>
          <w:rFonts w:hint="eastAsia" w:ascii="宋体" w:hAnsi="宋体"/>
          <w:sz w:val="24"/>
          <w:highlight w:val="none"/>
        </w:rPr>
        <w:t>并未在其他在施建设工程项目中担任项目负责人或其他职务；</w:t>
      </w:r>
    </w:p>
    <w:p>
      <w:pPr>
        <w:pStyle w:val="2"/>
        <w:spacing w:line="400" w:lineRule="exact"/>
        <w:jc w:val="left"/>
        <w:rPr>
          <w:rFonts w:hint="default" w:ascii="宋体" w:hAnsi="宋体"/>
          <w:kern w:val="2"/>
          <w:sz w:val="24"/>
          <w:szCs w:val="24"/>
          <w:lang w:val="en-US" w:eastAsia="zh-CN" w:bidi="ar-SA"/>
        </w:rPr>
      </w:pPr>
      <w:r>
        <w:rPr>
          <w:rFonts w:hint="eastAsia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kern w:val="2"/>
          <w:sz w:val="24"/>
          <w:szCs w:val="24"/>
          <w:lang w:val="en-US" w:eastAsia="zh-CN" w:bidi="ar-SA"/>
        </w:rPr>
        <w:t xml:space="preserve">  3.5</w:t>
      </w:r>
      <w:r>
        <w:rPr>
          <w:rFonts w:hint="eastAsia" w:ascii="宋体" w:hAnsi="宋体" w:cs="宋体"/>
          <w:sz w:val="24"/>
        </w:rPr>
        <w:t>未列入“信用中国”网站（www.creditchina.gov.cn）失信被执行人、重大税收违法案件当事人名单，中国政府采购网（www.ccgp.gov.cn）政府采购严重违法失信</w:t>
      </w:r>
      <w:r>
        <w:rPr>
          <w:rFonts w:hint="eastAsia" w:ascii="宋体" w:hAnsi="宋体"/>
          <w:kern w:val="2"/>
          <w:sz w:val="24"/>
          <w:szCs w:val="24"/>
          <w:lang w:val="en-US" w:eastAsia="zh-CN" w:bidi="ar-SA"/>
        </w:rPr>
        <w:t>行为记录名单；</w:t>
      </w:r>
    </w:p>
    <w:p>
      <w:pPr>
        <w:pStyle w:val="2"/>
        <w:spacing w:line="400" w:lineRule="exact"/>
        <w:ind w:firstLine="480" w:firstLineChars="200"/>
        <w:jc w:val="left"/>
        <w:rPr>
          <w:rFonts w:hint="eastAsia" w:ascii="宋体" w:hAnsi="宋体"/>
          <w:kern w:val="2"/>
          <w:sz w:val="24"/>
          <w:szCs w:val="24"/>
          <w:lang w:val="en-US" w:eastAsia="zh-CN" w:bidi="ar-SA"/>
        </w:rPr>
      </w:pPr>
      <w:bookmarkStart w:id="18" w:name="_Toc396650427"/>
      <w:r>
        <w:rPr>
          <w:rFonts w:hint="eastAsia" w:ascii="宋体" w:hAnsi="宋体"/>
          <w:kern w:val="2"/>
          <w:sz w:val="24"/>
          <w:szCs w:val="24"/>
          <w:lang w:val="en-US" w:eastAsia="zh-CN" w:bidi="ar-SA"/>
        </w:rPr>
        <w:t>3.6本次资格预审</w:t>
      </w:r>
      <w:r>
        <w:rPr>
          <w:rFonts w:hint="eastAsia" w:ascii="宋体" w:hAnsi="宋体"/>
          <w:kern w:val="2"/>
          <w:sz w:val="24"/>
          <w:szCs w:val="24"/>
          <w:u w:val="single"/>
          <w:lang w:val="en-US" w:eastAsia="zh-CN" w:bidi="ar-SA"/>
        </w:rPr>
        <w:t xml:space="preserve">   不接受  </w:t>
      </w:r>
      <w:r>
        <w:rPr>
          <w:rFonts w:hint="eastAsia" w:ascii="宋体" w:hAnsi="宋体"/>
          <w:kern w:val="2"/>
          <w:sz w:val="24"/>
          <w:szCs w:val="24"/>
          <w:lang w:val="en-US" w:eastAsia="zh-CN" w:bidi="ar-SA"/>
        </w:rPr>
        <w:t>（接受或不接受）联合体资格预审申请。</w:t>
      </w:r>
      <w:bookmarkEnd w:id="18"/>
    </w:p>
    <w:p>
      <w:pPr>
        <w:pStyle w:val="2"/>
        <w:spacing w:line="400" w:lineRule="exact"/>
        <w:ind w:firstLine="48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/>
          <w:kern w:val="2"/>
          <w:sz w:val="24"/>
          <w:szCs w:val="24"/>
          <w:lang w:val="en-US" w:eastAsia="zh-CN" w:bidi="ar-SA"/>
        </w:rPr>
        <w:t>3.7其它要</w:t>
      </w:r>
      <w:r>
        <w:rPr>
          <w:rFonts w:hint="eastAsia" w:ascii="宋体" w:hAnsi="宋体"/>
          <w:sz w:val="24"/>
          <w:lang w:val="en-US" w:eastAsia="zh-CN"/>
        </w:rPr>
        <w:t>求：</w:t>
      </w:r>
      <w:r>
        <w:rPr>
          <w:rFonts w:hint="eastAsia" w:ascii="宋体" w:hAnsi="宋体" w:cs="宋体"/>
          <w:sz w:val="24"/>
          <w:lang w:val="en-US" w:eastAsia="zh-CN"/>
        </w:rPr>
        <w:t>需</w:t>
      </w:r>
      <w:r>
        <w:rPr>
          <w:rFonts w:hint="eastAsia" w:ascii="宋体" w:hAnsi="宋体" w:cs="宋体"/>
          <w:sz w:val="24"/>
        </w:rPr>
        <w:t>符合《中华人民共和国政府采购法》第二十二条之规定：</w:t>
      </w:r>
    </w:p>
    <w:p>
      <w:pPr>
        <w:pStyle w:val="2"/>
        <w:spacing w:line="400" w:lineRule="exact"/>
        <w:ind w:left="479" w:leftChars="228" w:firstLine="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具有独立承担民事责任的能力；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具有良好的商业信誉和健全的财务会计制度；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具有履行合同所必需的设备和专业技术能力；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有依法缴纳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"http://www.so.com/s?q=%E7%A8%8E%E6%94%B6&amp;ie=utf-8&amp;src=internal_wenda_recommend_textn" \t "https://wenda.so.com/q/_blank"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税收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和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"http://www.so.com/s?q=%E7%A4%BE%E4%BC%9A%E4%BF%9D%E9%9A%9C%E8%B5%84%E9%87%91&amp;ie=utf-8&amp;src=internal_wenda_recommend_textn" \t "https://wenda.so.com/q/_blank"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社会保障资金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的良好记录；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参加政府采购活动前三年内，在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"http://www.so.com/s?q=%E7%BB%8F%E8%90%A5%E6%B4%BB%E5%8A%A8&amp;ie=utf-8&amp;src=internal_wenda_recommend_textn" \t "https://wenda.so.com/q/_blank"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经营活动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中没有重大违法记录；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法律、行政法规规定的其他条件。</w:t>
      </w:r>
    </w:p>
    <w:p>
      <w:pPr>
        <w:pStyle w:val="11"/>
        <w:ind w:firstLine="482" w:firstLineChars="200"/>
        <w:jc w:val="both"/>
        <w:rPr>
          <w:rFonts w:hint="eastAsia" w:ascii="宋体" w:hAnsi="宋体"/>
          <w:b/>
          <w:sz w:val="24"/>
          <w:lang w:eastAsia="zh-CN"/>
        </w:rPr>
      </w:pPr>
      <w:bookmarkStart w:id="19" w:name="_Toc24517"/>
      <w:bookmarkStart w:id="20" w:name="_Toc396650430"/>
      <w:bookmarkStart w:id="21" w:name="_Toc333499402"/>
      <w:r>
        <w:rPr>
          <w:rFonts w:hint="eastAsia" w:ascii="宋体" w:hAnsi="宋体" w:eastAsia="宋体"/>
          <w:b/>
          <w:sz w:val="24"/>
          <w:szCs w:val="24"/>
          <w:lang w:eastAsia="zh-CN"/>
        </w:rPr>
        <w:t>4</w:t>
      </w:r>
      <w:r>
        <w:rPr>
          <w:rFonts w:ascii="宋体" w:hAnsi="宋体"/>
          <w:b/>
          <w:sz w:val="24"/>
        </w:rPr>
        <w:t>．资格预审方法</w:t>
      </w:r>
      <w:bookmarkEnd w:id="19"/>
      <w:r>
        <w:rPr>
          <w:rFonts w:hint="eastAsia" w:ascii="宋体" w:hAnsi="宋体"/>
          <w:b/>
          <w:sz w:val="24"/>
          <w:lang w:eastAsia="zh-CN"/>
        </w:rPr>
        <w:t xml:space="preserve"> </w:t>
      </w:r>
    </w:p>
    <w:p>
      <w:pPr>
        <w:snapToGrid w:val="0"/>
        <w:spacing w:line="440" w:lineRule="exact"/>
        <w:ind w:firstLine="504" w:firstLineChars="210"/>
        <w:jc w:val="both"/>
        <w:rPr>
          <w:rFonts w:ascii="宋体" w:hAnsi="宋体"/>
          <w:sz w:val="24"/>
          <w:highlight w:val="yellow"/>
        </w:rPr>
      </w:pPr>
      <w:r>
        <w:rPr>
          <w:rFonts w:ascii="宋体" w:hAnsi="宋体"/>
          <w:sz w:val="24"/>
        </w:rPr>
        <w:t>本次资格预审采用</w:t>
      </w:r>
      <w:r>
        <w:rPr>
          <w:rFonts w:hint="eastAsia" w:ascii="宋体" w:hAnsi="宋体"/>
          <w:sz w:val="24"/>
          <w:u w:val="single"/>
        </w:rPr>
        <w:t xml:space="preserve">  有限数量制 </w:t>
      </w:r>
      <w:r>
        <w:rPr>
          <w:rFonts w:hint="eastAsia" w:ascii="宋体" w:hAnsi="宋体"/>
          <w:sz w:val="24"/>
        </w:rPr>
        <w:t>（有限数量制/合格制）</w:t>
      </w:r>
      <w:r>
        <w:rPr>
          <w:rFonts w:ascii="宋体" w:hAnsi="宋体"/>
          <w:sz w:val="24"/>
        </w:rPr>
        <w:t>。采用有限数量制的，</w:t>
      </w:r>
      <w:r>
        <w:rPr>
          <w:rFonts w:ascii="宋体" w:hAnsi="宋体"/>
          <w:sz w:val="24"/>
          <w:highlight w:val="none"/>
        </w:rPr>
        <w:t>当通过详细审查的申请人多于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7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highlight w:val="none"/>
        </w:rPr>
        <w:t>家时，通过资格预审的申请人限定为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7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highlight w:val="none"/>
        </w:rPr>
        <w:t>家。</w:t>
      </w:r>
      <w:bookmarkEnd w:id="20"/>
      <w:bookmarkEnd w:id="21"/>
    </w:p>
    <w:p>
      <w:pPr>
        <w:pStyle w:val="11"/>
        <w:snapToGrid w:val="0"/>
        <w:spacing w:before="0" w:line="440" w:lineRule="exact"/>
        <w:ind w:firstLine="506" w:firstLineChars="210"/>
        <w:jc w:val="both"/>
        <w:rPr>
          <w:rFonts w:ascii="宋体" w:hAnsi="宋体" w:eastAsia="宋体" w:cs="Times New Roman"/>
          <w:b/>
          <w:sz w:val="24"/>
          <w:szCs w:val="24"/>
          <w:highlight w:val="none"/>
        </w:rPr>
      </w:pPr>
      <w:bookmarkStart w:id="22" w:name="_Toc22312"/>
      <w:bookmarkStart w:id="23" w:name="_Toc144974398"/>
      <w:bookmarkStart w:id="24" w:name="_Toc396650431"/>
      <w:bookmarkStart w:id="25" w:name="_Toc333499403"/>
      <w:bookmarkStart w:id="26" w:name="_Toc152047195"/>
      <w:bookmarkStart w:id="27" w:name="_Toc179715687"/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Times New Roman"/>
          <w:b/>
          <w:sz w:val="24"/>
          <w:szCs w:val="24"/>
          <w:highlight w:val="none"/>
        </w:rPr>
        <w:t>．资格预审文件的获取</w:t>
      </w:r>
      <w:bookmarkEnd w:id="22"/>
      <w:bookmarkEnd w:id="23"/>
      <w:bookmarkEnd w:id="24"/>
      <w:bookmarkEnd w:id="25"/>
      <w:bookmarkEnd w:id="26"/>
      <w:bookmarkEnd w:id="27"/>
    </w:p>
    <w:p>
      <w:pPr>
        <w:snapToGrid w:val="0"/>
        <w:spacing w:line="440" w:lineRule="exact"/>
        <w:ind w:left="239" w:leftChars="114" w:firstLine="261" w:firstLineChars="109"/>
        <w:jc w:val="both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ascii="宋体" w:hAnsi="宋体"/>
          <w:sz w:val="24"/>
          <w:highlight w:val="none"/>
        </w:rPr>
        <w:t>.1 获取时间和地点</w:t>
      </w:r>
      <w:r>
        <w:rPr>
          <w:rFonts w:hint="eastAsia" w:ascii="宋体" w:hAnsi="宋体"/>
          <w:sz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2019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10 </w:t>
      </w:r>
      <w:r>
        <w:rPr>
          <w:rFonts w:ascii="宋体" w:hAnsi="宋体"/>
          <w:sz w:val="24"/>
          <w:highlight w:val="none"/>
        </w:rPr>
        <w:t>月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21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highlight w:val="none"/>
        </w:rPr>
        <w:t>日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9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>时</w:t>
      </w:r>
      <w:r>
        <w:rPr>
          <w:rFonts w:ascii="宋体" w:hAnsi="宋体"/>
          <w:sz w:val="24"/>
          <w:highlight w:val="none"/>
        </w:rPr>
        <w:t>至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2019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10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25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</w:rPr>
        <w:t>时</w:t>
      </w:r>
      <w:r>
        <w:rPr>
          <w:rFonts w:hint="eastAsia"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</w:rPr>
        <w:t>分</w:t>
      </w:r>
      <w:r>
        <w:rPr>
          <w:rFonts w:ascii="宋体" w:hAnsi="宋体"/>
          <w:sz w:val="24"/>
          <w:highlight w:val="none"/>
        </w:rPr>
        <w:t>，在</w:t>
      </w:r>
      <w:r>
        <w:rPr>
          <w:rFonts w:hint="eastAsia" w:ascii="宋体" w:hAnsi="宋体"/>
          <w:sz w:val="24"/>
          <w:highlight w:val="none"/>
          <w:u w:val="single"/>
        </w:rPr>
        <w:t>北京市通州区新华北路117号33号楼南侧一层</w:t>
      </w:r>
      <w:r>
        <w:rPr>
          <w:rFonts w:ascii="宋体" w:hAnsi="宋体"/>
          <w:sz w:val="24"/>
          <w:szCs w:val="24"/>
          <w:highlight w:val="none"/>
          <w:u w:val="single"/>
        </w:rPr>
        <w:t>（详细地址）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持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>法定代表人授权委托书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>后附法人代表及被授权人身份证复印件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  <w:lang w:eastAsia="zh-CN"/>
        </w:rPr>
        <w:t>（上述所要提供的证明文件的复印件均须加盖单位公章）</w:t>
      </w:r>
      <w:r>
        <w:rPr>
          <w:rFonts w:ascii="宋体" w:hAnsi="宋体"/>
          <w:sz w:val="24"/>
          <w:szCs w:val="24"/>
          <w:highlight w:val="none"/>
        </w:rPr>
        <w:t xml:space="preserve">购买资格预审文件。 </w:t>
      </w:r>
    </w:p>
    <w:p>
      <w:pPr>
        <w:snapToGrid w:val="0"/>
        <w:spacing w:line="440" w:lineRule="exact"/>
        <w:ind w:firstLine="504" w:firstLineChars="210"/>
        <w:jc w:val="both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ascii="宋体" w:hAnsi="宋体"/>
          <w:sz w:val="24"/>
          <w:highlight w:val="none"/>
        </w:rPr>
        <w:t>.2 资格预审文件每套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u w:val="single"/>
          <w:lang w:val="en-US" w:eastAsia="zh-CN"/>
        </w:rPr>
        <w:t>300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</w:rPr>
        <w:t>元，售后不退</w:t>
      </w:r>
      <w:r>
        <w:rPr>
          <w:rFonts w:ascii="宋体" w:hAnsi="宋体"/>
          <w:sz w:val="24"/>
          <w:highlight w:val="none"/>
        </w:rPr>
        <w:t>。</w:t>
      </w:r>
    </w:p>
    <w:p>
      <w:pPr>
        <w:pStyle w:val="11"/>
        <w:snapToGrid w:val="0"/>
        <w:spacing w:before="0" w:line="440" w:lineRule="exact"/>
        <w:ind w:firstLine="506" w:firstLineChars="210"/>
        <w:jc w:val="both"/>
        <w:rPr>
          <w:rFonts w:ascii="宋体" w:hAnsi="宋体" w:eastAsia="宋体" w:cs="Times New Roman"/>
          <w:b/>
          <w:sz w:val="24"/>
          <w:szCs w:val="24"/>
          <w:highlight w:val="none"/>
        </w:rPr>
      </w:pPr>
      <w:bookmarkStart w:id="28" w:name="_Toc396650432"/>
      <w:bookmarkStart w:id="29" w:name="_Toc152047196"/>
      <w:bookmarkStart w:id="30" w:name="_Toc144974400"/>
      <w:bookmarkStart w:id="31" w:name="_Toc179715688"/>
      <w:bookmarkStart w:id="32" w:name="_Toc333499404"/>
      <w:bookmarkStart w:id="33" w:name="_Toc12881"/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6</w:t>
      </w:r>
      <w:r>
        <w:rPr>
          <w:rFonts w:ascii="宋体" w:hAnsi="宋体" w:eastAsia="宋体" w:cs="Times New Roman"/>
          <w:b/>
          <w:sz w:val="24"/>
          <w:szCs w:val="24"/>
          <w:highlight w:val="none"/>
        </w:rPr>
        <w:t>．资格预审申请文件的递交</w:t>
      </w:r>
      <w:bookmarkEnd w:id="28"/>
      <w:bookmarkEnd w:id="29"/>
      <w:bookmarkEnd w:id="30"/>
      <w:bookmarkEnd w:id="31"/>
      <w:bookmarkEnd w:id="32"/>
      <w:bookmarkEnd w:id="33"/>
    </w:p>
    <w:p>
      <w:pPr>
        <w:snapToGrid w:val="0"/>
        <w:spacing w:line="440" w:lineRule="exact"/>
        <w:ind w:firstLine="504" w:firstLineChars="210"/>
        <w:jc w:val="both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ascii="宋体" w:hAnsi="宋体"/>
          <w:sz w:val="24"/>
          <w:highlight w:val="none"/>
        </w:rPr>
        <w:t>.1递交资格预审申请文件的截止时间为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2019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11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highlight w:val="none"/>
        </w:rPr>
        <w:t>月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1 </w:t>
      </w:r>
      <w:r>
        <w:rPr>
          <w:rFonts w:ascii="宋体" w:hAnsi="宋体"/>
          <w:sz w:val="24"/>
          <w:highlight w:val="none"/>
        </w:rPr>
        <w:t>日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9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highlight w:val="none"/>
        </w:rPr>
        <w:t>时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30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highlight w:val="none"/>
        </w:rPr>
        <w:t>分，地点为</w:t>
      </w:r>
      <w:r>
        <w:rPr>
          <w:rFonts w:hint="eastAsia" w:ascii="宋体" w:hAnsi="宋体"/>
          <w:sz w:val="24"/>
          <w:highlight w:val="none"/>
          <w:u w:val="single"/>
          <w:lang w:eastAsia="zh-CN"/>
        </w:rPr>
        <w:t>北京市通州区台湖镇人民政府后楼205会议室</w:t>
      </w:r>
      <w:r>
        <w:rPr>
          <w:rFonts w:ascii="宋体" w:hAnsi="宋体"/>
          <w:sz w:val="24"/>
          <w:highlight w:val="none"/>
          <w:u w:val="single"/>
        </w:rPr>
        <w:t>（详细地址）</w:t>
      </w:r>
      <w:r>
        <w:rPr>
          <w:rFonts w:ascii="宋体" w:hAnsi="宋体"/>
          <w:sz w:val="24"/>
          <w:highlight w:val="none"/>
        </w:rPr>
        <w:t>。</w:t>
      </w:r>
    </w:p>
    <w:p>
      <w:pPr>
        <w:snapToGrid w:val="0"/>
        <w:spacing w:line="440" w:lineRule="exact"/>
        <w:ind w:firstLine="504" w:firstLineChars="210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ascii="宋体" w:hAnsi="宋体"/>
          <w:sz w:val="24"/>
          <w:highlight w:val="none"/>
        </w:rPr>
        <w:t>.2 逾期送达的资格预审申请文件，</w:t>
      </w:r>
      <w:r>
        <w:rPr>
          <w:rFonts w:hint="eastAsia" w:ascii="宋体" w:hAnsi="宋体"/>
          <w:sz w:val="24"/>
          <w:highlight w:val="none"/>
        </w:rPr>
        <w:t>未按文件规定中密封和标识的</w:t>
      </w:r>
      <w:r>
        <w:rPr>
          <w:rFonts w:ascii="宋体" w:hAnsi="宋体"/>
          <w:sz w:val="24"/>
          <w:highlight w:val="none"/>
        </w:rPr>
        <w:t>资格预</w:t>
      </w:r>
      <w:r>
        <w:rPr>
          <w:rFonts w:ascii="宋体" w:hAnsi="宋体"/>
          <w:sz w:val="24"/>
        </w:rPr>
        <w:t>审申请文件招标人不予受理。</w:t>
      </w:r>
    </w:p>
    <w:p>
      <w:pPr>
        <w:snapToGrid w:val="0"/>
        <w:spacing w:line="440" w:lineRule="exact"/>
        <w:ind w:firstLine="506" w:firstLineChars="210"/>
        <w:jc w:val="both"/>
        <w:rPr>
          <w:rFonts w:hint="default" w:ascii="宋体" w:hAnsi="宋体" w:eastAsia="宋体" w:cs="Times New Roman"/>
          <w:b/>
          <w:sz w:val="24"/>
          <w:szCs w:val="24"/>
          <w:highlight w:val="yellow"/>
          <w:lang w:val="en-US" w:eastAsia="zh-CN"/>
        </w:rPr>
      </w:pPr>
      <w:bookmarkStart w:id="34" w:name="_Toc333499405"/>
      <w:bookmarkStart w:id="35" w:name="_Toc396650433"/>
      <w:bookmarkStart w:id="36" w:name="_Toc179715689"/>
      <w:bookmarkStart w:id="37" w:name="_Toc144974401"/>
      <w:bookmarkStart w:id="38" w:name="_Toc152047197"/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 xml:space="preserve">    </w:t>
      </w:r>
    </w:p>
    <w:p>
      <w:pPr>
        <w:pStyle w:val="11"/>
        <w:snapToGrid w:val="0"/>
        <w:spacing w:before="0" w:line="440" w:lineRule="exact"/>
        <w:ind w:firstLine="506" w:firstLineChars="210"/>
        <w:jc w:val="both"/>
        <w:rPr>
          <w:rFonts w:ascii="宋体" w:hAnsi="宋体" w:eastAsia="宋体" w:cs="Times New Roman"/>
          <w:b/>
          <w:sz w:val="24"/>
          <w:szCs w:val="24"/>
          <w:highlight w:val="none"/>
        </w:rPr>
      </w:pPr>
      <w:bookmarkStart w:id="39" w:name="_Toc22156"/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7</w:t>
      </w:r>
      <w:r>
        <w:rPr>
          <w:rFonts w:ascii="宋体" w:hAnsi="宋体" w:eastAsia="宋体" w:cs="Times New Roman"/>
          <w:b/>
          <w:sz w:val="24"/>
          <w:szCs w:val="24"/>
          <w:highlight w:val="none"/>
        </w:rPr>
        <w:t>．发布公告的媒介</w:t>
      </w:r>
      <w:bookmarkEnd w:id="34"/>
      <w:bookmarkEnd w:id="35"/>
      <w:bookmarkEnd w:id="36"/>
      <w:bookmarkEnd w:id="39"/>
    </w:p>
    <w:p>
      <w:pPr>
        <w:snapToGrid w:val="0"/>
        <w:spacing w:line="440" w:lineRule="exact"/>
        <w:ind w:firstLine="504" w:firstLineChars="210"/>
        <w:jc w:val="both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/>
          <w:sz w:val="24"/>
          <w:highlight w:val="none"/>
        </w:rPr>
        <w:t>本次</w:t>
      </w:r>
      <w:r>
        <w:rPr>
          <w:rFonts w:hint="eastAsia" w:ascii="宋体" w:hAnsi="宋体"/>
          <w:sz w:val="24"/>
          <w:highlight w:val="none"/>
        </w:rPr>
        <w:t>招标</w:t>
      </w:r>
      <w:r>
        <w:rPr>
          <w:rFonts w:ascii="宋体" w:hAnsi="宋体"/>
          <w:sz w:val="24"/>
          <w:highlight w:val="none"/>
        </w:rPr>
        <w:t>公告同时在</w:t>
      </w:r>
      <w:r>
        <w:rPr>
          <w:rFonts w:hint="eastAsia" w:ascii="宋体" w:hAnsi="宋体"/>
          <w:sz w:val="24"/>
          <w:highlight w:val="none"/>
          <w:u w:val="single"/>
          <w:lang w:eastAsia="zh-CN"/>
        </w:rPr>
        <w:t>北京市政府采购网、中国政府采购网、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</w:rPr>
        <w:t>中国招标投标公共服务平台</w:t>
      </w:r>
      <w:r>
        <w:rPr>
          <w:rFonts w:ascii="宋体" w:hAnsi="宋体"/>
          <w:sz w:val="24"/>
          <w:highlight w:val="none"/>
        </w:rPr>
        <w:t>（发布公告的媒介名称）上发布。</w:t>
      </w:r>
      <w:bookmarkStart w:id="40" w:name="_Toc179715690"/>
      <w:bookmarkStart w:id="41" w:name="_Toc396650434"/>
      <w:bookmarkStart w:id="42" w:name="_Toc333499406"/>
    </w:p>
    <w:p>
      <w:pPr>
        <w:pStyle w:val="11"/>
        <w:snapToGrid w:val="0"/>
        <w:spacing w:before="0" w:line="440" w:lineRule="exact"/>
        <w:ind w:firstLine="504" w:firstLineChars="209"/>
        <w:jc w:val="both"/>
        <w:rPr>
          <w:rFonts w:ascii="宋体" w:hAnsi="宋体" w:eastAsia="宋体" w:cs="Times New Roman"/>
          <w:b/>
          <w:sz w:val="24"/>
          <w:szCs w:val="24"/>
        </w:rPr>
      </w:pPr>
      <w:bookmarkStart w:id="43" w:name="_Toc7076"/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8</w:t>
      </w:r>
      <w:bookmarkStart w:id="44" w:name="_GoBack"/>
      <w:bookmarkEnd w:id="44"/>
      <w:r>
        <w:rPr>
          <w:rFonts w:ascii="宋体" w:hAnsi="宋体" w:eastAsia="宋体" w:cs="Times New Roman"/>
          <w:b/>
          <w:sz w:val="24"/>
          <w:szCs w:val="24"/>
        </w:rPr>
        <w:t>．联系方式</w:t>
      </w:r>
      <w:bookmarkEnd w:id="37"/>
      <w:bookmarkEnd w:id="38"/>
      <w:bookmarkEnd w:id="40"/>
      <w:bookmarkEnd w:id="41"/>
      <w:bookmarkEnd w:id="42"/>
      <w:bookmarkEnd w:id="43"/>
    </w:p>
    <w:p>
      <w:pPr>
        <w:snapToGrid w:val="0"/>
        <w:spacing w:line="440" w:lineRule="exact"/>
        <w:ind w:firstLine="504" w:firstLineChars="209"/>
        <w:jc w:val="both"/>
        <w:rPr>
          <w:rFonts w:ascii="宋体" w:hAnsi="宋体"/>
          <w:sz w:val="24"/>
          <w:u w:val="none"/>
        </w:rPr>
      </w:pPr>
      <w:r>
        <w:rPr>
          <w:rFonts w:ascii="宋体" w:hAnsi="宋体"/>
          <w:b/>
          <w:bCs/>
          <w:sz w:val="24"/>
        </w:rPr>
        <w:t>招 标 人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>北京市通州区</w:t>
      </w:r>
      <w:r>
        <w:rPr>
          <w:rFonts w:hint="eastAsia" w:ascii="宋体" w:hAnsi="宋体"/>
          <w:sz w:val="24"/>
          <w:u w:val="single"/>
        </w:rPr>
        <w:t>台湖镇人民政府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  <w:u w:val="none"/>
        </w:rPr>
        <w:t xml:space="preserve">  </w:t>
      </w:r>
    </w:p>
    <w:p>
      <w:pPr>
        <w:snapToGrid w:val="0"/>
        <w:spacing w:line="440" w:lineRule="exact"/>
        <w:ind w:left="19" w:leftChars="9" w:firstLine="501" w:firstLineChars="209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>北京市通州区台湖镇台湖大街</w:t>
      </w:r>
      <w:r>
        <w:rPr>
          <w:rFonts w:ascii="宋体" w:hAnsi="宋体"/>
          <w:sz w:val="24"/>
        </w:rPr>
        <w:tab/>
      </w:r>
    </w:p>
    <w:p>
      <w:pPr>
        <w:snapToGrid w:val="0"/>
        <w:spacing w:line="440" w:lineRule="exact"/>
        <w:ind w:left="19" w:leftChars="9" w:firstLine="501" w:firstLineChars="209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邮    编：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  <w:lang w:val="en-US" w:eastAsia="zh-CN"/>
        </w:rPr>
        <w:t>/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</w:p>
    <w:p>
      <w:pPr>
        <w:snapToGrid w:val="0"/>
        <w:spacing w:line="440" w:lineRule="exact"/>
        <w:ind w:left="19" w:leftChars="9" w:firstLine="501" w:firstLineChars="209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 系 人：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  <w:lang w:val="en-US" w:eastAsia="zh-CN"/>
        </w:rPr>
        <w:t>李工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</w:rPr>
        <w:tab/>
      </w:r>
    </w:p>
    <w:p>
      <w:pPr>
        <w:snapToGrid w:val="0"/>
        <w:spacing w:line="440" w:lineRule="exact"/>
        <w:ind w:left="19" w:leftChars="9" w:firstLine="501" w:firstLineChars="209"/>
        <w:jc w:val="both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ascii="宋体" w:hAnsi="宋体"/>
          <w:sz w:val="24"/>
        </w:rPr>
        <w:t>电    话：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  <w:lang w:val="en-US" w:eastAsia="zh-CN"/>
        </w:rPr>
        <w:t>010-61574519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</w:p>
    <w:p>
      <w:pPr>
        <w:snapToGrid w:val="0"/>
        <w:spacing w:line="440" w:lineRule="exact"/>
        <w:ind w:left="19" w:leftChars="9" w:firstLine="501" w:firstLineChars="209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传    真：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  <w:lang w:val="en-US" w:eastAsia="zh-CN"/>
        </w:rPr>
        <w:t>/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ab/>
      </w:r>
    </w:p>
    <w:p>
      <w:pPr>
        <w:snapToGrid w:val="0"/>
        <w:spacing w:line="440" w:lineRule="exact"/>
        <w:ind w:left="19" w:leftChars="9" w:firstLine="501" w:firstLineChars="209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电子邮件：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  <w:lang w:val="en-US" w:eastAsia="zh-CN"/>
        </w:rPr>
        <w:t>/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ascii="宋体" w:hAnsi="宋体"/>
          <w:sz w:val="24"/>
        </w:rPr>
        <w:tab/>
      </w:r>
    </w:p>
    <w:p>
      <w:pPr>
        <w:snapToGrid w:val="0"/>
        <w:spacing w:line="440" w:lineRule="exact"/>
        <w:ind w:firstLine="501" w:firstLineChars="209"/>
        <w:jc w:val="both"/>
        <w:rPr>
          <w:rFonts w:ascii="宋体" w:hAnsi="宋体"/>
          <w:sz w:val="24"/>
        </w:rPr>
      </w:pPr>
    </w:p>
    <w:p>
      <w:pPr>
        <w:snapToGrid w:val="0"/>
        <w:spacing w:line="440" w:lineRule="exact"/>
        <w:ind w:firstLine="504" w:firstLineChars="209"/>
        <w:jc w:val="both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招标代理机构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>德汇工程管理（北京）有限公司</w:t>
      </w:r>
      <w:r>
        <w:rPr>
          <w:rFonts w:ascii="宋体" w:hAnsi="宋体"/>
          <w:sz w:val="24"/>
          <w:u w:val="single"/>
        </w:rPr>
        <w:t xml:space="preserve">                 </w:t>
      </w:r>
    </w:p>
    <w:p>
      <w:pPr>
        <w:snapToGrid w:val="0"/>
        <w:spacing w:line="440" w:lineRule="exact"/>
        <w:ind w:left="19" w:leftChars="9" w:firstLine="501" w:firstLineChars="209"/>
        <w:jc w:val="both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>北京市丰台区汽车博物馆东路盈坤世纪大厦7层702-705</w:t>
      </w:r>
    </w:p>
    <w:p>
      <w:pPr>
        <w:snapToGrid w:val="0"/>
        <w:spacing w:line="440" w:lineRule="exact"/>
        <w:ind w:left="19" w:leftChars="9" w:firstLine="501" w:firstLineChars="209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邮    编：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100071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</w:rPr>
        <w:tab/>
      </w:r>
    </w:p>
    <w:p>
      <w:pPr>
        <w:snapToGrid w:val="0"/>
        <w:spacing w:line="440" w:lineRule="exact"/>
        <w:ind w:left="19" w:leftChars="9" w:firstLine="501" w:firstLineChars="209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 系 人：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>李刚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</w:p>
    <w:p>
      <w:pPr>
        <w:snapToGrid w:val="0"/>
        <w:spacing w:line="440" w:lineRule="exact"/>
        <w:ind w:left="19" w:leftChars="9" w:firstLine="501" w:firstLineChars="209"/>
        <w:jc w:val="both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ascii="宋体" w:hAnsi="宋体"/>
          <w:sz w:val="24"/>
        </w:rPr>
        <w:t>电    话：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13811911631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</w:p>
    <w:p>
      <w:pPr>
        <w:topLinePunct/>
        <w:snapToGrid w:val="0"/>
        <w:spacing w:line="460" w:lineRule="exact"/>
        <w:ind w:firstLine="480" w:firstLineChars="200"/>
        <w:jc w:val="both"/>
        <w:rPr>
          <w:rFonts w:hint="default"/>
          <w:u w:val="none"/>
          <w:lang w:val="en-US" w:eastAsia="zh-CN"/>
        </w:rPr>
      </w:pPr>
      <w:r>
        <w:rPr>
          <w:rFonts w:hint="eastAsia" w:ascii="宋体" w:hAnsi="宋体"/>
          <w:sz w:val="24"/>
        </w:rPr>
        <w:t>传    真：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auto"/>
          <w:highlight w:val="none"/>
          <w:u w:val="single"/>
        </w:rPr>
        <w:t>/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</w:t>
      </w:r>
    </w:p>
    <w:p>
      <w:pPr>
        <w:snapToGrid w:val="0"/>
        <w:spacing w:line="440" w:lineRule="exact"/>
        <w:ind w:left="19" w:leftChars="9" w:firstLine="501" w:firstLineChars="209"/>
        <w:jc w:val="both"/>
        <w:rPr>
          <w:rFonts w:hint="default" w:ascii="宋体" w:hAnsi="宋体"/>
          <w:sz w:val="24"/>
          <w:u w:val="single"/>
          <w:lang w:val="en-US" w:eastAsia="zh-CN"/>
        </w:rPr>
      </w:pPr>
      <w:r>
        <w:rPr>
          <w:rFonts w:ascii="宋体" w:hAnsi="宋体"/>
          <w:sz w:val="24"/>
        </w:rPr>
        <w:t>电子邮件：</w:t>
      </w:r>
      <w:r>
        <w:rPr>
          <w:rFonts w:hint="eastAsia" w:ascii="宋体" w:hAnsi="宋体"/>
          <w:sz w:val="24"/>
          <w:u w:val="single"/>
        </w:rPr>
        <w:fldChar w:fldCharType="begin"/>
      </w:r>
      <w:r>
        <w:rPr>
          <w:rFonts w:hint="eastAsia" w:ascii="宋体" w:hAnsi="宋体"/>
          <w:sz w:val="24"/>
          <w:u w:val="single"/>
        </w:rPr>
        <w:instrText xml:space="preserve"> HYPERLINK "mailto:dehuigongsi@ifshiqu.com" </w:instrText>
      </w:r>
      <w:r>
        <w:rPr>
          <w:rFonts w:hint="eastAsia" w:ascii="宋体" w:hAnsi="宋体"/>
          <w:sz w:val="24"/>
          <w:u w:val="single"/>
        </w:rPr>
        <w:fldChar w:fldCharType="separate"/>
      </w:r>
      <w:r>
        <w:rPr>
          <w:rFonts w:hint="eastAsia" w:ascii="宋体" w:hAnsi="宋体"/>
          <w:sz w:val="24"/>
          <w:u w:val="single"/>
        </w:rPr>
        <w:t>dehuigongsi@ifshiqu.com</w:t>
      </w:r>
      <w:r>
        <w:rPr>
          <w:rFonts w:hint="eastAsia" w:ascii="宋体" w:hAnsi="宋体"/>
          <w:sz w:val="24"/>
          <w:u w:val="single"/>
        </w:rPr>
        <w:fldChar w:fldCharType="end"/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</w:p>
    <w:p>
      <w:pPr>
        <w:snapToGrid w:val="0"/>
        <w:spacing w:line="440" w:lineRule="exact"/>
        <w:jc w:val="both"/>
        <w:rPr>
          <w:rFonts w:ascii="宋体" w:hAnsi="宋体"/>
          <w:sz w:val="24"/>
        </w:rPr>
      </w:pPr>
    </w:p>
    <w:p>
      <w:pPr>
        <w:pStyle w:val="2"/>
      </w:pPr>
    </w:p>
    <w:p>
      <w:pPr>
        <w:snapToGrid w:val="0"/>
        <w:spacing w:line="440" w:lineRule="exact"/>
        <w:ind w:left="4312" w:leftChars="2009" w:hanging="93" w:hangingChars="39"/>
        <w:jc w:val="both"/>
      </w:pPr>
      <w:r>
        <w:rPr>
          <w:rFonts w:ascii="宋体" w:hAnsi="宋体"/>
          <w:sz w:val="24"/>
          <w:highlight w:val="none"/>
        </w:rPr>
        <w:t>日期：</w:t>
      </w:r>
      <w:r>
        <w:rPr>
          <w:rFonts w:ascii="宋体" w:hAnsi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2019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10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ascii="宋体" w:hAnsi="宋体"/>
          <w:sz w:val="24"/>
          <w:highlight w:val="none"/>
        </w:rPr>
        <w:t>月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17</w:t>
      </w:r>
      <w:r>
        <w:rPr>
          <w:rFonts w:ascii="宋体" w:hAnsi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日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6442"/>
    <w:multiLevelType w:val="multilevel"/>
    <w:tmpl w:val="638D6442"/>
    <w:lvl w:ilvl="0" w:tentative="0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4" w:hanging="420"/>
      </w:pPr>
    </w:lvl>
    <w:lvl w:ilvl="2" w:tentative="0">
      <w:start w:val="1"/>
      <w:numFmt w:val="lowerRoman"/>
      <w:lvlText w:val="%3."/>
      <w:lvlJc w:val="right"/>
      <w:pPr>
        <w:ind w:left="1754" w:hanging="420"/>
      </w:pPr>
    </w:lvl>
    <w:lvl w:ilvl="3" w:tentative="0">
      <w:start w:val="1"/>
      <w:numFmt w:val="decimal"/>
      <w:lvlText w:val="%4."/>
      <w:lvlJc w:val="left"/>
      <w:pPr>
        <w:ind w:left="2174" w:hanging="420"/>
      </w:pPr>
    </w:lvl>
    <w:lvl w:ilvl="4" w:tentative="0">
      <w:start w:val="1"/>
      <w:numFmt w:val="lowerLetter"/>
      <w:lvlText w:val="%5)"/>
      <w:lvlJc w:val="left"/>
      <w:pPr>
        <w:ind w:left="2594" w:hanging="420"/>
      </w:pPr>
    </w:lvl>
    <w:lvl w:ilvl="5" w:tentative="0">
      <w:start w:val="1"/>
      <w:numFmt w:val="lowerRoman"/>
      <w:lvlText w:val="%6."/>
      <w:lvlJc w:val="right"/>
      <w:pPr>
        <w:ind w:left="3014" w:hanging="420"/>
      </w:pPr>
    </w:lvl>
    <w:lvl w:ilvl="6" w:tentative="0">
      <w:start w:val="1"/>
      <w:numFmt w:val="decimal"/>
      <w:lvlText w:val="%7."/>
      <w:lvlJc w:val="left"/>
      <w:pPr>
        <w:ind w:left="3434" w:hanging="420"/>
      </w:pPr>
    </w:lvl>
    <w:lvl w:ilvl="7" w:tentative="0">
      <w:start w:val="1"/>
      <w:numFmt w:val="lowerLetter"/>
      <w:lvlText w:val="%8)"/>
      <w:lvlJc w:val="left"/>
      <w:pPr>
        <w:ind w:left="3854" w:hanging="420"/>
      </w:pPr>
    </w:lvl>
    <w:lvl w:ilvl="8" w:tentative="0">
      <w:start w:val="1"/>
      <w:numFmt w:val="lowerRoman"/>
      <w:lvlText w:val="%9."/>
      <w:lvlJc w:val="right"/>
      <w:pPr>
        <w:ind w:left="42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9001D"/>
    <w:rsid w:val="3DB451FC"/>
    <w:rsid w:val="4699001D"/>
    <w:rsid w:val="46F1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99"/>
    <w:rPr>
      <w:color w:val="0000FF"/>
      <w:u w:val="single"/>
    </w:rPr>
  </w:style>
  <w:style w:type="paragraph" w:customStyle="1" w:styleId="11">
    <w:name w:val="样式 标题 2 + Times New Roman 四号 非加粗 段前: 5 磅 段后: 0 磅 行距: 固定值 20..."/>
    <w:basedOn w:val="4"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2019-10-17T08:05:00Z</dcterms:created>
  <dc:creator>Met  is lucky</dc:creator>
  <cp:lastModifiedBy>Met  is lucky</cp:lastModifiedBy>
  <dcterms:modified xsi:type="dcterms:W3CDTF">2019-10-17T09:28:50Z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