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北京市公安局治安管理总队烟花安全管理项目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（第二包：公交及地铁移动电视宣传）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单一来源采购公示公告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采购人名称：北京市公安局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采购代理机构名称：北京汇诚金桥国际招标有限公司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采购项目名称：北京市公安局治安管理总队烟花安全管理项目（第二包：公交及地铁移动电视宣传）</w:t>
      </w:r>
    </w:p>
    <w:p>
      <w:pPr>
        <w:spacing w:line="360" w:lineRule="auto"/>
        <w:ind w:left="1680" w:hanging="1680" w:hangingChars="7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采购项目内容：公交及地铁移动电视宣传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采购项目预算金额：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本项目采购预</w:t>
      </w:r>
      <w:r>
        <w:rPr>
          <w:rFonts w:hint="default" w:ascii="Times New Roman" w:hAnsi="Times New Roman" w:eastAsia="宋体" w:cs="Times New Roman"/>
          <w:sz w:val="24"/>
          <w:highlight w:val="none"/>
        </w:rPr>
        <w:t>算金额为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人民币186.8426</w:t>
      </w:r>
      <w:r>
        <w:rPr>
          <w:rFonts w:hint="default" w:ascii="Times New Roman" w:hAnsi="Times New Roman" w:eastAsia="宋体" w:cs="Times New Roman"/>
          <w:sz w:val="24"/>
          <w:highlight w:val="none"/>
        </w:rPr>
        <w:t>万元，第二包分包预算金额为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人民币</w:t>
      </w:r>
      <w:r>
        <w:rPr>
          <w:rFonts w:hint="default" w:ascii="Times New Roman" w:hAnsi="Times New Roman" w:eastAsia="宋体" w:cs="Times New Roman"/>
          <w:sz w:val="24"/>
          <w:highlight w:val="none"/>
        </w:rPr>
        <w:t>140万元。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拟采购的货物或者服务的说明：为北京市公安局治安管理总队烟花安全管理项目（第二包：公交及地铁移动电视宣传）</w:t>
      </w:r>
      <w:r>
        <w:rPr>
          <w:rFonts w:hint="default" w:ascii="Times New Roman" w:hAnsi="Times New Roman" w:eastAsia="宋体" w:cs="Times New Roman"/>
          <w:kern w:val="0"/>
          <w:sz w:val="24"/>
        </w:rPr>
        <w:t>提供优质的服务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采用单一来源采购方式的原因及相关说明：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2020年北京市公安局治安管理总队烟花安全管理项目（第二包：公交及地铁移动电视宣传），依据项目建设内容，需要利用公交及地铁移动电视，在北京至少同时覆盖地铁1号线、2号线、13号线、8通线车内、站厅、站台，5号线、8号线、10号线站厅、站台及至少覆盖北京市内600条公交线路内播放宣传短片及宣传提示。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上述线路（含公交及地铁）运维商为北京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北广传媒移动电视有限公司。依据《中华人民共和国政府采购法》相关规定，只能从唯一供应商处采购，故本分包拟采用单一来源方式进行采购。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拟定的唯一供应商名称：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北京北广传媒移动电视有限公司</w:t>
      </w:r>
    </w:p>
    <w:p>
      <w:pPr>
        <w:spacing w:line="360" w:lineRule="auto"/>
        <w:ind w:left="2640" w:hanging="2640" w:hangingChars="1100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 xml:space="preserve">                地址：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北京市东城区北小街青龙胡同1号歌华大厦A座809室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专业人员论证意见：</w:t>
      </w:r>
    </w:p>
    <w:tbl>
      <w:tblPr>
        <w:tblStyle w:val="3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30"/>
        <w:gridCol w:w="2552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职  称</w:t>
            </w:r>
          </w:p>
        </w:tc>
        <w:tc>
          <w:tcPr>
            <w:tcW w:w="38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1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姚伟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高级编审</w:t>
            </w:r>
          </w:p>
        </w:tc>
        <w:tc>
          <w:tcPr>
            <w:tcW w:w="38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发改委节能环保中心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论证意见</w:t>
            </w:r>
          </w:p>
        </w:tc>
        <w:tc>
          <w:tcPr>
            <w:tcW w:w="774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依据本项目《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公交地铁移动电视宣传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》的内容和要求，春节期间及2020年01月20日至2020年02月09日在本市公交、地铁移动电视上播出市烟花办制作的宣传短片及宣传提示。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经论证，北广传媒移动电视有限公司具备该方面的播出平台和资源，拥有本市公交、地铁移动电视的播出权，根据《中华人民共和国政府采购法》中相关规定，只能从唯一供应商处采购，建议本项目采用单一来源方式采购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唯一供应商名称：北京北广传媒移动电视有限公司。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tbl>
      <w:tblPr>
        <w:tblStyle w:val="3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30"/>
        <w:gridCol w:w="2552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职  称</w:t>
            </w:r>
          </w:p>
        </w:tc>
        <w:tc>
          <w:tcPr>
            <w:tcW w:w="38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1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刘新华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副研</w:t>
            </w:r>
          </w:p>
        </w:tc>
        <w:tc>
          <w:tcPr>
            <w:tcW w:w="38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西城区第二文化馆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论证意见</w:t>
            </w:r>
          </w:p>
        </w:tc>
        <w:tc>
          <w:tcPr>
            <w:tcW w:w="774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2020年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北京市公安局治安管理总队烟花安全管理项目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第二包：公交及地铁移动电视宣传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，依据项目建设内容，需要利用公交及地铁移动电视，在北京至少同时覆盖地铁1号线、2号线、13号线、8通线车内、站厅、站台，5号线、8号线、10号线站厅、站台及至少覆盖北京市内600条公交线路内播放宣传短片及宣传提示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经论证：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2020年春节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烟花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爆竹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安全管理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宣传内容需要在地铁及公交移动电视内播放，上述线路（含公交及地铁）运维商为北京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北广传媒移动电视有限公司。依据《中华人民共和国政府采购法》第三十一条第一款只能从唯一供应商处采购的规定，建议本包采用单一来源采购方式进行采购。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唯一供应商名称：北京北广传媒移动电视有限公司。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tbl>
      <w:tblPr>
        <w:tblStyle w:val="3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30"/>
        <w:gridCol w:w="2552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职  称</w:t>
            </w:r>
          </w:p>
        </w:tc>
        <w:tc>
          <w:tcPr>
            <w:tcW w:w="38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51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白炜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主任编辑</w:t>
            </w:r>
          </w:p>
        </w:tc>
        <w:tc>
          <w:tcPr>
            <w:tcW w:w="38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中国文化报社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论证意见</w:t>
            </w:r>
          </w:p>
        </w:tc>
        <w:tc>
          <w:tcPr>
            <w:tcW w:w="774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第二包：地铁及公交移动电视宣传费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，依据项目建设内容，需要利用地铁及公交移动电视，在北京至少同时覆盖地铁1号线、2号线、13号线、8通线车内、站厅、站台，5号线、8号线、10号线站厅、站台，及至少同时覆盖北京市内600条公交线路。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经论证，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目前上述线路地铁及公交的移动电视运维商为北京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北广传媒移动电视有限公司。依据《中华人民共和国政府采购法》第三十一条第一款只能从唯一供应商处采购的规定，建议本包采用单一来源采购方式进行采购。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唯一供应商名称：北京北广传媒移动电视有限公司。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本项</w:t>
      </w:r>
      <w:r>
        <w:rPr>
          <w:rFonts w:hint="default" w:ascii="Times New Roman" w:hAnsi="Times New Roman" w:eastAsia="宋体" w:cs="Times New Roman"/>
          <w:sz w:val="24"/>
          <w:highlight w:val="none"/>
        </w:rPr>
        <w:t>目公示期为2019年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日至20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年0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月0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日。有</w:t>
      </w:r>
      <w:r>
        <w:rPr>
          <w:rFonts w:hint="default" w:ascii="Times New Roman" w:hAnsi="Times New Roman" w:eastAsia="宋体" w:cs="Times New Roman"/>
          <w:sz w:val="24"/>
        </w:rPr>
        <w:t>关单位和个人如对公示内容有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异议，请在20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年0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月0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日17:00（北京时</w:t>
      </w:r>
      <w:r>
        <w:rPr>
          <w:rFonts w:hint="default" w:ascii="Times New Roman" w:hAnsi="Times New Roman" w:eastAsia="宋体" w:cs="Times New Roman"/>
          <w:sz w:val="24"/>
        </w:rPr>
        <w:t xml:space="preserve">间）之前以实名书面（包括联系人、地址、联系电话）形式向采购人、采购代理机构反馈。 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</w:t>
      </w:r>
    </w:p>
    <w:p>
      <w:pPr>
        <w:spacing w:line="360" w:lineRule="auto"/>
        <w:ind w:left="1680" w:hanging="1680" w:hangingChars="700"/>
        <w:rPr>
          <w:rFonts w:hint="default"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采购人联系地址：北京市东城区前门东大街9号     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采购人联系人、联系电话：王警官 65223229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采购代理机构联系地址：北京市东城区朝内大街南竹杆胡同6号北京INN3号楼9层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采购代理机构联系人、联系电话：吴少丹、贺晓燕 65915614、65913057、65244576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财政部门联系地址：北京市通州区承安路3号院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财政部门联系人、联系电话：袁林55592411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kern w:val="0"/>
          <w:sz w:val="24"/>
        </w:rPr>
        <w:t>本公告同时在中国政府采购网（http://www.ccgp.gov.cn）、北京市政府采购网（http://www.ccgp-beijing.gov.cn/）以及北京汇诚金桥国际招标有限公司网站（http://www.hcjq.net/）发布。</w:t>
      </w:r>
    </w:p>
    <w:p>
      <w:pPr>
        <w:spacing w:line="360" w:lineRule="auto"/>
        <w:ind w:firstLine="480"/>
        <w:jc w:val="righ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          </w:t>
      </w:r>
    </w:p>
    <w:p>
      <w:pPr>
        <w:spacing w:line="360" w:lineRule="auto"/>
        <w:ind w:firstLine="480"/>
        <w:jc w:val="righ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 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 北京汇诚金桥国际招标有限公司 </w:t>
      </w:r>
    </w:p>
    <w:p>
      <w:pPr>
        <w:spacing w:line="360" w:lineRule="auto"/>
        <w:ind w:firstLine="480"/>
        <w:jc w:val="righ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                                 </w:t>
      </w:r>
      <w:r>
        <w:rPr>
          <w:rFonts w:hint="default" w:ascii="Times New Roman" w:hAnsi="Times New Roman" w:eastAsia="宋体" w:cs="Times New Roman"/>
          <w:sz w:val="24"/>
          <w:highlight w:val="none"/>
        </w:rPr>
        <w:t>      2019年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日</w:t>
      </w: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851" w:right="1797" w:bottom="11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549F"/>
    <w:rsid w:val="1C1E7BFA"/>
    <w:rsid w:val="30A22774"/>
    <w:rsid w:val="32B71A51"/>
    <w:rsid w:val="3BA00ACF"/>
    <w:rsid w:val="4DF3549F"/>
    <w:rsid w:val="54711569"/>
    <w:rsid w:val="6BAF512F"/>
    <w:rsid w:val="784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2019-12-30T03:00:00Z</dcterms:created>
  <dc:creator>hc</dc:creator>
  <cp:lastModifiedBy>hc</cp:lastModifiedBy>
  <dcterms:modified xsi:type="dcterms:W3CDTF">2019-12-30T03:33:31Z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