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spacing w:before="0" w:line="440" w:lineRule="exact"/>
        <w:ind w:firstLine="0" w:firstLineChars="0"/>
        <w:jc w:val="center"/>
        <w:outlineLvl w:val="1"/>
        <w:rPr>
          <w:rFonts w:hint="default" w:ascii="Times New Roman" w:hAnsi="Times New Roman" w:eastAsia="宋体" w:cs="Times New Roman"/>
          <w:b/>
          <w:color w:val="auto"/>
          <w:sz w:val="32"/>
          <w:szCs w:val="32"/>
          <w:highlight w:val="none"/>
          <w:lang w:val="en-US" w:eastAsia="zh-CN"/>
        </w:rPr>
      </w:pPr>
      <w:r>
        <w:rPr>
          <w:rFonts w:hint="default" w:ascii="Times New Roman" w:hAnsi="Times New Roman" w:eastAsia="宋体" w:cs="Times New Roman"/>
          <w:b/>
          <w:color w:val="auto"/>
          <w:sz w:val="32"/>
          <w:szCs w:val="32"/>
          <w:highlight w:val="none"/>
        </w:rPr>
        <w:t>招标公告</w:t>
      </w:r>
      <w:bookmarkStart w:id="0" w:name="_Toc455409824"/>
      <w:bookmarkStart w:id="1" w:name="_Toc362252606"/>
      <w:bookmarkStart w:id="2" w:name="_Toc342296121"/>
      <w:bookmarkStart w:id="3" w:name="_Toc179632528"/>
      <w:bookmarkStart w:id="4" w:name="_Toc470011300"/>
      <w:bookmarkStart w:id="5" w:name="_Toc152042288"/>
      <w:bookmarkStart w:id="6" w:name="_Toc241459596"/>
      <w:bookmarkStart w:id="7" w:name="_Toc144974480"/>
      <w:bookmarkStart w:id="8" w:name="_Toc152045512"/>
      <w:bookmarkStart w:id="9" w:name="_Toc152045517"/>
      <w:bookmarkStart w:id="10" w:name="_Toc470011307"/>
      <w:bookmarkStart w:id="11" w:name="_Toc152042293"/>
      <w:bookmarkStart w:id="12" w:name="_Toc179632534"/>
      <w:bookmarkStart w:id="13" w:name="_Toc455409830"/>
      <w:bookmarkStart w:id="14" w:name="_Toc342296128"/>
      <w:bookmarkStart w:id="15" w:name="_Toc362252613"/>
      <w:bookmarkStart w:id="16" w:name="_Toc144974485"/>
      <w:bookmarkStart w:id="17" w:name="_Toc241459603"/>
    </w:p>
    <w:p>
      <w:pPr>
        <w:pStyle w:val="12"/>
        <w:snapToGrid w:val="0"/>
        <w:spacing w:before="0" w:line="440" w:lineRule="exact"/>
        <w:ind w:firstLine="566" w:firstLineChars="235"/>
        <w:outlineLvl w:val="1"/>
        <w:rPr>
          <w:rFonts w:eastAsia="宋体" w:cs="Times New Roman"/>
          <w:b/>
          <w:color w:val="auto"/>
          <w:sz w:val="24"/>
          <w:szCs w:val="24"/>
          <w:highlight w:val="none"/>
        </w:rPr>
      </w:pPr>
      <w:r>
        <w:rPr>
          <w:rFonts w:eastAsia="宋体" w:cs="Times New Roman"/>
          <w:b/>
          <w:color w:val="auto"/>
          <w:sz w:val="24"/>
          <w:szCs w:val="24"/>
          <w:highlight w:val="none"/>
        </w:rPr>
        <w:t>1. 招标条件</w:t>
      </w:r>
      <w:bookmarkEnd w:id="0"/>
      <w:bookmarkEnd w:id="1"/>
      <w:bookmarkEnd w:id="2"/>
      <w:bookmarkEnd w:id="3"/>
      <w:bookmarkEnd w:id="4"/>
      <w:bookmarkEnd w:id="5"/>
      <w:bookmarkEnd w:id="6"/>
      <w:bookmarkEnd w:id="7"/>
      <w:bookmarkEnd w:id="8"/>
    </w:p>
    <w:p>
      <w:pPr>
        <w:pStyle w:val="12"/>
        <w:snapToGrid w:val="0"/>
        <w:spacing w:before="0" w:line="440" w:lineRule="exact"/>
        <w:ind w:firstLine="493" w:firstLineChars="235"/>
        <w:outlineLvl w:val="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本招标项目</w:t>
      </w:r>
      <w:r>
        <w:rPr>
          <w:rFonts w:hint="eastAsia" w:ascii="宋体" w:hAnsi="宋体" w:eastAsia="宋体" w:cs="宋体"/>
          <w:b w:val="0"/>
          <w:bCs w:val="0"/>
          <w:color w:val="auto"/>
          <w:sz w:val="21"/>
          <w:szCs w:val="21"/>
          <w:highlight w:val="none"/>
          <w:u w:val="single"/>
          <w:lang w:eastAsia="zh-CN"/>
        </w:rPr>
        <w:t>通州区融媒体中心融合媒体平台建设项目</w:t>
      </w:r>
      <w:r>
        <w:rPr>
          <w:rFonts w:hint="eastAsia" w:ascii="宋体" w:hAnsi="宋体" w:eastAsia="宋体" w:cs="宋体"/>
          <w:b w:val="0"/>
          <w:bCs w:val="0"/>
          <w:color w:val="auto"/>
          <w:sz w:val="21"/>
          <w:szCs w:val="21"/>
          <w:highlight w:val="none"/>
        </w:rPr>
        <w:t>（项目名称）已由</w:t>
      </w:r>
      <w:r>
        <w:rPr>
          <w:rFonts w:hint="eastAsia" w:ascii="宋体" w:hAnsi="宋体" w:eastAsia="宋体" w:cs="宋体"/>
          <w:b w:val="0"/>
          <w:bCs w:val="0"/>
          <w:color w:val="auto"/>
          <w:spacing w:val="20"/>
          <w:kern w:val="0"/>
          <w:sz w:val="21"/>
          <w:szCs w:val="21"/>
          <w:highlight w:val="none"/>
          <w:u w:val="single"/>
          <w:lang w:eastAsia="zh-CN"/>
        </w:rPr>
        <w:t>北京市通州区财政局</w:t>
      </w:r>
      <w:r>
        <w:rPr>
          <w:rFonts w:hint="eastAsia" w:ascii="宋体" w:hAnsi="宋体" w:eastAsia="宋体" w:cs="宋体"/>
          <w:b w:val="0"/>
          <w:bCs w:val="0"/>
          <w:color w:val="auto"/>
          <w:sz w:val="21"/>
          <w:szCs w:val="21"/>
          <w:highlight w:val="none"/>
        </w:rPr>
        <w:t>（项目审批、核准或备案机关名称）以</w:t>
      </w:r>
      <w:r>
        <w:rPr>
          <w:rFonts w:hint="eastAsia" w:ascii="宋体" w:hAnsi="宋体" w:eastAsia="宋体" w:cs="宋体"/>
          <w:b w:val="0"/>
          <w:bCs w:val="0"/>
          <w:color w:val="auto"/>
          <w:sz w:val="21"/>
          <w:szCs w:val="21"/>
          <w:highlight w:val="none"/>
          <w:u w:val="single"/>
          <w:lang w:val="en-US" w:eastAsia="zh-CN"/>
        </w:rPr>
        <w:t xml:space="preserve"> 通财教采指【2020】12号 </w:t>
      </w:r>
      <w:r>
        <w:rPr>
          <w:rFonts w:hint="eastAsia" w:ascii="宋体" w:hAnsi="宋体" w:eastAsia="宋体" w:cs="宋体"/>
          <w:b w:val="0"/>
          <w:bCs w:val="0"/>
          <w:color w:val="auto"/>
          <w:sz w:val="21"/>
          <w:szCs w:val="21"/>
          <w:highlight w:val="none"/>
        </w:rPr>
        <w:t>（批文名称及编号）批准建设，招标人（项目业主）为</w:t>
      </w:r>
      <w:r>
        <w:rPr>
          <w:rFonts w:hint="eastAsia" w:ascii="宋体" w:hAnsi="宋体" w:eastAsia="宋体" w:cs="宋体"/>
          <w:b w:val="0"/>
          <w:bCs w:val="0"/>
          <w:color w:val="auto"/>
          <w:sz w:val="21"/>
          <w:szCs w:val="21"/>
          <w:highlight w:val="none"/>
          <w:u w:val="single"/>
        </w:rPr>
        <w:t>北京市通州区融媒体中心</w:t>
      </w:r>
      <w:r>
        <w:rPr>
          <w:rFonts w:hint="eastAsia" w:ascii="宋体" w:hAnsi="宋体" w:eastAsia="宋体" w:cs="宋体"/>
          <w:b w:val="0"/>
          <w:bCs w:val="0"/>
          <w:color w:val="auto"/>
          <w:sz w:val="21"/>
          <w:szCs w:val="21"/>
          <w:highlight w:val="none"/>
        </w:rPr>
        <w:t>，建设资金</w:t>
      </w:r>
      <w:r>
        <w:rPr>
          <w:rFonts w:hint="eastAsia" w:ascii="宋体" w:hAnsi="宋体" w:eastAsia="宋体" w:cs="宋体"/>
          <w:b w:val="0"/>
          <w:bCs w:val="0"/>
          <w:color w:val="auto"/>
          <w:sz w:val="21"/>
          <w:szCs w:val="21"/>
          <w:highlight w:val="none"/>
          <w:lang w:val="en-US" w:eastAsia="zh-CN"/>
        </w:rPr>
        <w:t>来源：</w:t>
      </w:r>
      <w:r>
        <w:rPr>
          <w:rFonts w:hint="eastAsia" w:ascii="宋体" w:hAnsi="宋体" w:eastAsia="宋体" w:cs="宋体"/>
          <w:b w:val="0"/>
          <w:bCs w:val="0"/>
          <w:color w:val="auto"/>
          <w:sz w:val="21"/>
          <w:szCs w:val="21"/>
          <w:highlight w:val="none"/>
          <w:u w:val="single"/>
          <w:lang w:val="en-US" w:eastAsia="zh-CN"/>
        </w:rPr>
        <w:t>区级年初预算（资金来源），</w:t>
      </w:r>
      <w:r>
        <w:rPr>
          <w:rFonts w:hint="eastAsia" w:ascii="宋体" w:hAnsi="宋体" w:eastAsia="宋体" w:cs="宋体"/>
          <w:b w:val="0"/>
          <w:bCs w:val="0"/>
          <w:color w:val="auto"/>
          <w:sz w:val="21"/>
          <w:szCs w:val="21"/>
          <w:highlight w:val="none"/>
          <w:lang w:val="en-US" w:eastAsia="zh-CN"/>
        </w:rPr>
        <w:t>出资比例</w:t>
      </w:r>
      <w:r>
        <w:rPr>
          <w:rFonts w:hint="eastAsia" w:ascii="宋体" w:hAnsi="宋体" w:eastAsia="宋体" w:cs="宋体"/>
          <w:b w:val="0"/>
          <w:bCs w:val="0"/>
          <w:color w:val="auto"/>
          <w:sz w:val="21"/>
          <w:szCs w:val="21"/>
          <w:highlight w:val="none"/>
          <w:u w:val="single"/>
          <w:lang w:val="en-US" w:eastAsia="zh-CN"/>
        </w:rPr>
        <w:t>：100%  。</w:t>
      </w:r>
      <w:r>
        <w:rPr>
          <w:rFonts w:hint="eastAsia" w:ascii="宋体" w:hAnsi="宋体" w:eastAsia="宋体" w:cs="宋体"/>
          <w:b w:val="0"/>
          <w:bCs w:val="0"/>
          <w:color w:val="auto"/>
          <w:sz w:val="21"/>
          <w:szCs w:val="21"/>
          <w:highlight w:val="none"/>
        </w:rPr>
        <w:t>项目已具备招标条件，现对该项目进行公开招标。</w:t>
      </w:r>
      <w:bookmarkStart w:id="18" w:name="_Toc410849443"/>
      <w:bookmarkStart w:id="19" w:name="_Toc179715684"/>
      <w:bookmarkStart w:id="20" w:name="_Toc396650421"/>
      <w:bookmarkStart w:id="21" w:name="_Toc152047192"/>
      <w:bookmarkStart w:id="22" w:name="_Toc455409825"/>
      <w:bookmarkStart w:id="23" w:name="_Toc144974395"/>
      <w:bookmarkStart w:id="24" w:name="_Toc470011301"/>
      <w:bookmarkStart w:id="25" w:name="_Toc333499399"/>
    </w:p>
    <w:p>
      <w:pPr>
        <w:pStyle w:val="12"/>
        <w:snapToGrid w:val="0"/>
        <w:spacing w:before="0" w:line="440" w:lineRule="exact"/>
        <w:ind w:firstLine="493" w:firstLineChars="235"/>
        <w:outlineLvl w:val="1"/>
        <w:rPr>
          <w:rFonts w:hint="eastAsia" w:ascii="宋体" w:hAnsi="宋体" w:eastAsia="宋体" w:cs="宋体"/>
          <w:b w:val="0"/>
          <w:bCs w:val="0"/>
          <w:color w:val="auto"/>
          <w:sz w:val="21"/>
          <w:szCs w:val="21"/>
          <w:highlight w:val="none"/>
        </w:rPr>
      </w:pPr>
    </w:p>
    <w:p>
      <w:pPr>
        <w:pStyle w:val="12"/>
        <w:numPr>
          <w:ilvl w:val="0"/>
          <w:numId w:val="1"/>
        </w:numPr>
        <w:snapToGrid w:val="0"/>
        <w:spacing w:before="0" w:line="440" w:lineRule="exact"/>
        <w:ind w:firstLine="566" w:firstLineChars="235"/>
        <w:outlineLvl w:val="1"/>
        <w:rPr>
          <w:rFonts w:hAnsi="宋体" w:eastAsia="宋体" w:cs="Times New Roman"/>
          <w:b/>
          <w:color w:val="auto"/>
          <w:sz w:val="24"/>
          <w:szCs w:val="24"/>
          <w:highlight w:val="none"/>
        </w:rPr>
      </w:pPr>
      <w:r>
        <w:rPr>
          <w:rFonts w:hAnsi="宋体" w:eastAsia="宋体" w:cs="Times New Roman"/>
          <w:b/>
          <w:color w:val="auto"/>
          <w:sz w:val="24"/>
          <w:szCs w:val="24"/>
          <w:highlight w:val="none"/>
        </w:rPr>
        <w:t>项目概况与招标范围</w:t>
      </w:r>
      <w:bookmarkEnd w:id="18"/>
      <w:bookmarkEnd w:id="19"/>
      <w:bookmarkEnd w:id="20"/>
      <w:bookmarkEnd w:id="21"/>
      <w:bookmarkEnd w:id="22"/>
      <w:bookmarkEnd w:id="23"/>
      <w:bookmarkEnd w:id="24"/>
      <w:bookmarkEnd w:id="25"/>
      <w:bookmarkStart w:id="26" w:name="_Toc144974482"/>
      <w:bookmarkStart w:id="27" w:name="_Toc152042290"/>
      <w:bookmarkStart w:id="28" w:name="_Toc152045514"/>
      <w:bookmarkStart w:id="29" w:name="_Toc241459598"/>
      <w:bookmarkStart w:id="30" w:name="_Toc179632530"/>
    </w:p>
    <w:tbl>
      <w:tblPr>
        <w:tblStyle w:val="9"/>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577"/>
        <w:gridCol w:w="1264"/>
        <w:gridCol w:w="1948"/>
        <w:gridCol w:w="2991"/>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25" w:type="dxa"/>
            <w:noWrap w:val="0"/>
            <w:vAlign w:val="center"/>
          </w:tcPr>
          <w:p>
            <w:pPr>
              <w:pStyle w:val="12"/>
              <w:numPr>
                <w:ilvl w:val="0"/>
                <w:numId w:val="0"/>
              </w:numPr>
              <w:spacing w:before="156" w:after="156" w:line="240" w:lineRule="auto"/>
              <w:ind w:left="0" w:leftChars="0" w:firstLine="0" w:firstLineChars="0"/>
              <w:jc w:val="center"/>
              <w:rPr>
                <w:rFonts w:hint="eastAsia"/>
                <w:color w:val="auto"/>
                <w:sz w:val="18"/>
                <w:szCs w:val="18"/>
                <w:vertAlign w:val="baseline"/>
                <w:lang w:val="en-US" w:eastAsia="zh-CN"/>
              </w:rPr>
            </w:pPr>
            <w:r>
              <w:rPr>
                <w:rFonts w:hint="eastAsia"/>
                <w:color w:val="auto"/>
                <w:sz w:val="18"/>
                <w:szCs w:val="18"/>
                <w:vertAlign w:val="baseline"/>
                <w:lang w:eastAsia="zh-CN"/>
              </w:rPr>
              <w:t>包号</w:t>
            </w:r>
          </w:p>
        </w:tc>
        <w:tc>
          <w:tcPr>
            <w:tcW w:w="1577" w:type="dxa"/>
            <w:noWrap w:val="0"/>
            <w:vAlign w:val="center"/>
          </w:tcPr>
          <w:p>
            <w:pPr>
              <w:pStyle w:val="12"/>
              <w:numPr>
                <w:ilvl w:val="0"/>
                <w:numId w:val="0"/>
              </w:numPr>
              <w:spacing w:before="156" w:after="156" w:line="240" w:lineRule="auto"/>
              <w:ind w:left="0" w:leftChars="0" w:firstLine="0" w:firstLineChars="0"/>
              <w:jc w:val="center"/>
              <w:rPr>
                <w:rFonts w:hint="eastAsia"/>
                <w:color w:val="auto"/>
                <w:sz w:val="18"/>
                <w:szCs w:val="18"/>
                <w:vertAlign w:val="baseline"/>
                <w:lang w:val="en-US" w:eastAsia="zh-CN"/>
              </w:rPr>
            </w:pPr>
            <w:r>
              <w:rPr>
                <w:rFonts w:hint="eastAsia"/>
                <w:color w:val="auto"/>
                <w:sz w:val="18"/>
                <w:szCs w:val="18"/>
                <w:vertAlign w:val="baseline"/>
                <w:lang w:eastAsia="zh-CN"/>
              </w:rPr>
              <w:t>项目名称</w:t>
            </w:r>
          </w:p>
        </w:tc>
        <w:tc>
          <w:tcPr>
            <w:tcW w:w="1264" w:type="dxa"/>
            <w:noWrap w:val="0"/>
            <w:vAlign w:val="center"/>
          </w:tcPr>
          <w:p>
            <w:pPr>
              <w:pStyle w:val="12"/>
              <w:numPr>
                <w:ilvl w:val="0"/>
                <w:numId w:val="0"/>
              </w:numPr>
              <w:spacing w:before="156" w:after="156" w:line="240" w:lineRule="auto"/>
              <w:ind w:left="0" w:leftChars="0" w:firstLine="0" w:firstLineChars="0"/>
              <w:jc w:val="center"/>
              <w:rPr>
                <w:rFonts w:hint="default"/>
                <w:color w:val="auto"/>
                <w:sz w:val="18"/>
                <w:szCs w:val="18"/>
                <w:vertAlign w:val="baseline"/>
                <w:lang w:val="en-US" w:eastAsia="zh-CN"/>
              </w:rPr>
            </w:pPr>
            <w:r>
              <w:rPr>
                <w:rFonts w:hint="eastAsia"/>
                <w:color w:val="auto"/>
                <w:sz w:val="18"/>
                <w:szCs w:val="18"/>
                <w:vertAlign w:val="baseline"/>
                <w:lang w:val="en-US" w:eastAsia="zh-CN"/>
              </w:rPr>
              <w:t>预算金额（元）</w:t>
            </w:r>
          </w:p>
        </w:tc>
        <w:tc>
          <w:tcPr>
            <w:tcW w:w="1948" w:type="dxa"/>
            <w:noWrap w:val="0"/>
            <w:vAlign w:val="center"/>
          </w:tcPr>
          <w:p>
            <w:pPr>
              <w:pStyle w:val="12"/>
              <w:numPr>
                <w:ilvl w:val="0"/>
                <w:numId w:val="0"/>
              </w:numPr>
              <w:spacing w:before="156" w:after="156" w:line="240" w:lineRule="auto"/>
              <w:ind w:left="0" w:leftChars="0" w:firstLine="0" w:firstLineChars="0"/>
              <w:jc w:val="center"/>
              <w:rPr>
                <w:rFonts w:hint="default"/>
                <w:color w:val="auto"/>
                <w:sz w:val="18"/>
                <w:szCs w:val="18"/>
                <w:vertAlign w:val="baseline"/>
                <w:lang w:val="en-US" w:eastAsia="zh-CN"/>
              </w:rPr>
            </w:pPr>
            <w:r>
              <w:rPr>
                <w:rFonts w:hint="eastAsia"/>
                <w:color w:val="auto"/>
                <w:sz w:val="18"/>
                <w:szCs w:val="18"/>
                <w:vertAlign w:val="baseline"/>
                <w:lang w:val="en-US" w:eastAsia="zh-CN"/>
              </w:rPr>
              <w:t>项目编号</w:t>
            </w:r>
          </w:p>
        </w:tc>
        <w:tc>
          <w:tcPr>
            <w:tcW w:w="2991" w:type="dxa"/>
            <w:noWrap w:val="0"/>
            <w:vAlign w:val="center"/>
          </w:tcPr>
          <w:p>
            <w:pPr>
              <w:pStyle w:val="12"/>
              <w:numPr>
                <w:ilvl w:val="0"/>
                <w:numId w:val="0"/>
              </w:numPr>
              <w:spacing w:before="156" w:after="156" w:line="240" w:lineRule="auto"/>
              <w:ind w:left="0" w:leftChars="0" w:firstLine="0" w:firstLineChars="0"/>
              <w:jc w:val="center"/>
              <w:rPr>
                <w:rFonts w:hint="default"/>
                <w:color w:val="auto"/>
                <w:sz w:val="18"/>
                <w:szCs w:val="18"/>
                <w:vertAlign w:val="baseline"/>
                <w:lang w:val="en-US" w:eastAsia="zh-CN"/>
              </w:rPr>
            </w:pPr>
            <w:r>
              <w:rPr>
                <w:rFonts w:hint="eastAsia"/>
                <w:color w:val="auto"/>
                <w:sz w:val="18"/>
                <w:szCs w:val="18"/>
                <w:vertAlign w:val="baseline"/>
                <w:lang w:val="en-US" w:eastAsia="zh-CN"/>
              </w:rPr>
              <w:t>招标范围</w:t>
            </w:r>
          </w:p>
        </w:tc>
        <w:tc>
          <w:tcPr>
            <w:tcW w:w="916" w:type="dxa"/>
            <w:noWrap w:val="0"/>
            <w:vAlign w:val="center"/>
          </w:tcPr>
          <w:p>
            <w:pPr>
              <w:pStyle w:val="12"/>
              <w:numPr>
                <w:ilvl w:val="0"/>
                <w:numId w:val="0"/>
              </w:numPr>
              <w:spacing w:before="156" w:after="156" w:line="240" w:lineRule="auto"/>
              <w:ind w:left="0" w:leftChars="0" w:firstLine="0" w:firstLineChars="0"/>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服务</w:t>
            </w:r>
          </w:p>
          <w:p>
            <w:pPr>
              <w:pStyle w:val="12"/>
              <w:numPr>
                <w:ilvl w:val="0"/>
                <w:numId w:val="0"/>
              </w:numPr>
              <w:spacing w:before="156" w:after="156" w:line="240" w:lineRule="auto"/>
              <w:ind w:left="0" w:leftChars="0" w:firstLine="0" w:firstLineChars="0"/>
              <w:jc w:val="center"/>
              <w:rPr>
                <w:rFonts w:hint="eastAsia" w:eastAsia="黑体" w:cs="宋体"/>
                <w:b w:val="0"/>
                <w:color w:val="auto"/>
                <w:kern w:val="2"/>
                <w:sz w:val="18"/>
                <w:szCs w:val="18"/>
                <w:vertAlign w:val="baseline"/>
                <w:lang w:val="en-US" w:eastAsia="zh-CN" w:bidi="ar-SA"/>
              </w:rPr>
            </w:pPr>
            <w:r>
              <w:rPr>
                <w:rFonts w:hint="eastAsia"/>
                <w:color w:val="auto"/>
                <w:sz w:val="18"/>
                <w:szCs w:val="18"/>
                <w:highlight w:val="none"/>
                <w:vertAlign w:val="baseline"/>
                <w:lang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425" w:type="dxa"/>
            <w:noWrap w:val="0"/>
            <w:vAlign w:val="center"/>
          </w:tcPr>
          <w:p>
            <w:pPr>
              <w:pStyle w:val="12"/>
              <w:pageBreakBefore w:val="0"/>
              <w:widowControl w:val="0"/>
              <w:numPr>
                <w:ilvl w:val="0"/>
                <w:numId w:val="0"/>
              </w:numPr>
              <w:kinsoku/>
              <w:wordWrap/>
              <w:overflowPunct/>
              <w:topLinePunct w:val="0"/>
              <w:autoSpaceDE/>
              <w:autoSpaceDN/>
              <w:bidi w:val="0"/>
              <w:adjustRightInd/>
              <w:spacing w:before="156" w:after="156" w:line="140" w:lineRule="atLeas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w:t>
            </w:r>
          </w:p>
        </w:tc>
        <w:tc>
          <w:tcPr>
            <w:tcW w:w="1577" w:type="dxa"/>
            <w:noWrap w:val="0"/>
            <w:vAlign w:val="center"/>
          </w:tcPr>
          <w:p>
            <w:pPr>
              <w:pStyle w:val="12"/>
              <w:pageBreakBefore w:val="0"/>
              <w:widowControl w:val="0"/>
              <w:numPr>
                <w:ilvl w:val="0"/>
                <w:numId w:val="0"/>
              </w:numPr>
              <w:kinsoku/>
              <w:wordWrap/>
              <w:overflowPunct/>
              <w:topLinePunct w:val="0"/>
              <w:autoSpaceDE/>
              <w:autoSpaceDN/>
              <w:bidi w:val="0"/>
              <w:adjustRightInd/>
              <w:spacing w:before="156" w:after="156" w:line="140" w:lineRule="atLeas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通州区融媒体中心融合媒体平台建设项目-融媒体系统平台建设</w:t>
            </w:r>
          </w:p>
        </w:tc>
        <w:tc>
          <w:tcPr>
            <w:tcW w:w="1264" w:type="dxa"/>
            <w:noWrap w:val="0"/>
            <w:vAlign w:val="center"/>
          </w:tcPr>
          <w:p>
            <w:pPr>
              <w:pStyle w:val="12"/>
              <w:pageBreakBefore w:val="0"/>
              <w:widowControl w:val="0"/>
              <w:numPr>
                <w:ilvl w:val="0"/>
                <w:numId w:val="0"/>
              </w:numPr>
              <w:kinsoku/>
              <w:wordWrap/>
              <w:overflowPunct/>
              <w:topLinePunct w:val="0"/>
              <w:autoSpaceDE/>
              <w:autoSpaceDN/>
              <w:bidi w:val="0"/>
              <w:adjustRightInd/>
              <w:spacing w:before="156" w:after="156" w:line="140" w:lineRule="atLeast"/>
              <w:jc w:val="center"/>
              <w:textAlignment w:val="auto"/>
              <w:rPr>
                <w:rFonts w:hint="default" w:ascii="宋体" w:hAnsi="宋体" w:eastAsia="宋体" w:cs="宋体"/>
                <w:color w:val="auto"/>
                <w:sz w:val="18"/>
                <w:szCs w:val="18"/>
                <w:vertAlign w:val="baseline"/>
                <w:lang w:val="en-US" w:eastAsia="zh-CN"/>
              </w:rPr>
            </w:pPr>
            <w:r>
              <w:rPr>
                <w:rFonts w:hint="default" w:ascii="宋体" w:hAnsi="宋体" w:eastAsia="宋体" w:cs="宋体"/>
                <w:color w:val="auto"/>
                <w:sz w:val="18"/>
                <w:szCs w:val="18"/>
                <w:vertAlign w:val="baseline"/>
                <w:lang w:val="en-US" w:eastAsia="zh-CN"/>
              </w:rPr>
              <w:t>11945644.12</w:t>
            </w:r>
          </w:p>
        </w:tc>
        <w:tc>
          <w:tcPr>
            <w:tcW w:w="1948" w:type="dxa"/>
            <w:noWrap w:val="0"/>
            <w:vAlign w:val="center"/>
          </w:tcPr>
          <w:p>
            <w:pPr>
              <w:pStyle w:val="12"/>
              <w:pageBreakBefore w:val="0"/>
              <w:widowControl w:val="0"/>
              <w:numPr>
                <w:ilvl w:val="0"/>
                <w:numId w:val="0"/>
              </w:numPr>
              <w:kinsoku/>
              <w:wordWrap/>
              <w:overflowPunct/>
              <w:topLinePunct w:val="0"/>
              <w:autoSpaceDE/>
              <w:autoSpaceDN/>
              <w:bidi w:val="0"/>
              <w:adjustRightInd/>
              <w:spacing w:before="156" w:after="156" w:line="140" w:lineRule="atLeas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TAHP-2020-ZB-YY-104</w:t>
            </w:r>
          </w:p>
        </w:tc>
        <w:tc>
          <w:tcPr>
            <w:tcW w:w="2991" w:type="dxa"/>
            <w:noWrap w:val="0"/>
            <w:vAlign w:val="bottom"/>
          </w:tcPr>
          <w:p>
            <w:pPr>
              <w:pStyle w:val="12"/>
              <w:pageBreakBefore w:val="0"/>
              <w:widowControl w:val="0"/>
              <w:numPr>
                <w:ilvl w:val="0"/>
                <w:numId w:val="0"/>
              </w:numPr>
              <w:kinsoku/>
              <w:wordWrap/>
              <w:overflowPunct/>
              <w:topLinePunct w:val="0"/>
              <w:autoSpaceDE/>
              <w:autoSpaceDN/>
              <w:bidi w:val="0"/>
              <w:adjustRightInd/>
              <w:spacing w:before="156" w:after="156" w:line="140" w:lineRule="atLeas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招标范围：融媒体系统平台一套、融媒体系统安全等级保护及测评一批、融媒体演播室摄录设备一套及机房布置等。具体详见招标清单</w:t>
            </w:r>
          </w:p>
          <w:p>
            <w:pPr>
              <w:pStyle w:val="12"/>
              <w:pageBreakBefore w:val="0"/>
              <w:widowControl w:val="0"/>
              <w:numPr>
                <w:ilvl w:val="0"/>
                <w:numId w:val="0"/>
              </w:numPr>
              <w:kinsoku/>
              <w:wordWrap/>
              <w:overflowPunct/>
              <w:topLinePunct w:val="0"/>
              <w:autoSpaceDE/>
              <w:autoSpaceDN/>
              <w:bidi w:val="0"/>
              <w:adjustRightInd/>
              <w:spacing w:before="156" w:after="156" w:line="140" w:lineRule="atLeast"/>
              <w:jc w:val="center"/>
              <w:textAlignment w:val="auto"/>
              <w:rPr>
                <w:rFonts w:hint="eastAsia" w:ascii="宋体" w:hAnsi="宋体" w:eastAsia="宋体" w:cs="宋体"/>
                <w:color w:val="auto"/>
                <w:sz w:val="18"/>
                <w:szCs w:val="18"/>
                <w:vertAlign w:val="baseline"/>
                <w:lang w:val="en-US" w:eastAsia="zh-CN"/>
              </w:rPr>
            </w:pPr>
          </w:p>
        </w:tc>
        <w:tc>
          <w:tcPr>
            <w:tcW w:w="916" w:type="dxa"/>
            <w:noWrap w:val="0"/>
            <w:vAlign w:val="center"/>
          </w:tcPr>
          <w:p>
            <w:pPr>
              <w:pStyle w:val="12"/>
              <w:pageBreakBefore w:val="0"/>
              <w:widowControl w:val="0"/>
              <w:numPr>
                <w:ilvl w:val="0"/>
                <w:numId w:val="0"/>
              </w:numPr>
              <w:kinsoku/>
              <w:wordWrap/>
              <w:overflowPunct/>
              <w:topLinePunct w:val="0"/>
              <w:autoSpaceDE/>
              <w:autoSpaceDN/>
              <w:bidi w:val="0"/>
              <w:adjustRightInd/>
              <w:spacing w:before="156" w:after="156" w:line="140" w:lineRule="atLeast"/>
              <w:ind w:left="0" w:leftChars="0" w:firstLine="0" w:firstLineChars="0"/>
              <w:jc w:val="center"/>
              <w:textAlignment w:val="auto"/>
              <w:rPr>
                <w:rFonts w:hint="eastAsia" w:ascii="宋体" w:hAnsi="宋体" w:eastAsia="宋体" w:cs="宋体"/>
                <w:b w:val="0"/>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北京市通州区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425" w:type="dxa"/>
            <w:noWrap w:val="0"/>
            <w:vAlign w:val="center"/>
          </w:tcPr>
          <w:p>
            <w:pPr>
              <w:pStyle w:val="12"/>
              <w:pageBreakBefore w:val="0"/>
              <w:widowControl w:val="0"/>
              <w:numPr>
                <w:ilvl w:val="0"/>
                <w:numId w:val="0"/>
              </w:numPr>
              <w:kinsoku/>
              <w:wordWrap/>
              <w:overflowPunct/>
              <w:topLinePunct w:val="0"/>
              <w:autoSpaceDE/>
              <w:autoSpaceDN/>
              <w:bidi w:val="0"/>
              <w:adjustRightInd/>
              <w:spacing w:before="156" w:after="156" w:line="140" w:lineRule="atLeas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w:t>
            </w:r>
          </w:p>
        </w:tc>
        <w:tc>
          <w:tcPr>
            <w:tcW w:w="1577" w:type="dxa"/>
            <w:noWrap w:val="0"/>
            <w:vAlign w:val="center"/>
          </w:tcPr>
          <w:p>
            <w:pPr>
              <w:pageBreakBefore w:val="0"/>
              <w:widowControl w:val="0"/>
              <w:numPr>
                <w:ilvl w:val="0"/>
                <w:numId w:val="0"/>
              </w:numPr>
              <w:kinsoku/>
              <w:wordWrap/>
              <w:overflowPunct/>
              <w:topLinePunct w:val="0"/>
              <w:autoSpaceDE/>
              <w:autoSpaceDN/>
              <w:bidi w:val="0"/>
              <w:adjustRightInd/>
              <w:spacing w:before="156" w:after="156" w:line="140" w:lineRule="atLeast"/>
              <w:jc w:val="center"/>
              <w:textAlignment w:val="auto"/>
              <w:rPr>
                <w:rFonts w:hint="eastAsia" w:ascii="宋体" w:hAnsi="宋体" w:eastAsia="宋体" w:cs="宋体"/>
                <w:b w:val="0"/>
                <w:color w:val="auto"/>
                <w:kern w:val="2"/>
                <w:sz w:val="18"/>
                <w:szCs w:val="18"/>
                <w:vertAlign w:val="baseline"/>
                <w:lang w:val="en-US" w:eastAsia="zh-CN" w:bidi="ar-SA"/>
              </w:rPr>
            </w:pPr>
            <w:r>
              <w:rPr>
                <w:rFonts w:hint="eastAsia" w:ascii="宋体" w:hAnsi="宋体" w:eastAsia="宋体" w:cs="宋体"/>
                <w:b w:val="0"/>
                <w:color w:val="auto"/>
                <w:kern w:val="2"/>
                <w:sz w:val="18"/>
                <w:szCs w:val="18"/>
                <w:vertAlign w:val="baseline"/>
                <w:lang w:val="en-US" w:eastAsia="zh-CN" w:bidi="ar-SA"/>
              </w:rPr>
              <w:t>通州区融媒体中心融合媒体平台建设项目-设计</w:t>
            </w:r>
          </w:p>
        </w:tc>
        <w:tc>
          <w:tcPr>
            <w:tcW w:w="1264" w:type="dxa"/>
            <w:noWrap w:val="0"/>
            <w:vAlign w:val="center"/>
          </w:tcPr>
          <w:p>
            <w:pPr>
              <w:pStyle w:val="12"/>
              <w:pageBreakBefore w:val="0"/>
              <w:widowControl w:val="0"/>
              <w:numPr>
                <w:ilvl w:val="0"/>
                <w:numId w:val="0"/>
              </w:numPr>
              <w:kinsoku/>
              <w:wordWrap/>
              <w:overflowPunct/>
              <w:topLinePunct w:val="0"/>
              <w:autoSpaceDE/>
              <w:autoSpaceDN/>
              <w:bidi w:val="0"/>
              <w:adjustRightInd/>
              <w:spacing w:before="156" w:after="156" w:line="140" w:lineRule="atLeas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242263.10</w:t>
            </w:r>
          </w:p>
        </w:tc>
        <w:tc>
          <w:tcPr>
            <w:tcW w:w="1948" w:type="dxa"/>
            <w:noWrap w:val="0"/>
            <w:vAlign w:val="center"/>
          </w:tcPr>
          <w:p>
            <w:pPr>
              <w:pageBreakBefore w:val="0"/>
              <w:widowControl w:val="0"/>
              <w:numPr>
                <w:ilvl w:val="0"/>
                <w:numId w:val="0"/>
              </w:numPr>
              <w:kinsoku/>
              <w:wordWrap/>
              <w:overflowPunct/>
              <w:topLinePunct w:val="0"/>
              <w:autoSpaceDE/>
              <w:autoSpaceDN/>
              <w:bidi w:val="0"/>
              <w:adjustRightInd/>
              <w:spacing w:before="156" w:after="156" w:line="140" w:lineRule="atLeast"/>
              <w:jc w:val="center"/>
              <w:textAlignment w:val="auto"/>
              <w:rPr>
                <w:rFonts w:hint="eastAsia" w:ascii="宋体" w:hAnsi="宋体" w:eastAsia="宋体" w:cs="宋体"/>
                <w:b w:val="0"/>
                <w:color w:val="auto"/>
                <w:kern w:val="2"/>
                <w:sz w:val="18"/>
                <w:szCs w:val="18"/>
                <w:vertAlign w:val="baseline"/>
                <w:lang w:val="en-US" w:eastAsia="zh-CN" w:bidi="ar-SA"/>
              </w:rPr>
            </w:pPr>
            <w:r>
              <w:rPr>
                <w:rFonts w:hint="eastAsia" w:ascii="宋体" w:hAnsi="宋体" w:eastAsia="宋体" w:cs="宋体"/>
                <w:b w:val="0"/>
                <w:color w:val="auto"/>
                <w:kern w:val="2"/>
                <w:sz w:val="18"/>
                <w:szCs w:val="18"/>
                <w:vertAlign w:val="baseline"/>
                <w:lang w:val="en-US" w:eastAsia="zh-CN" w:bidi="ar-SA"/>
              </w:rPr>
              <w:t>TAHP-2020-ZB-YY-098</w:t>
            </w:r>
          </w:p>
        </w:tc>
        <w:tc>
          <w:tcPr>
            <w:tcW w:w="2991" w:type="dxa"/>
            <w:noWrap w:val="0"/>
            <w:vAlign w:val="bottom"/>
          </w:tcPr>
          <w:p>
            <w:pPr>
              <w:pStyle w:val="12"/>
              <w:pageBreakBefore w:val="0"/>
              <w:widowControl w:val="0"/>
              <w:numPr>
                <w:ilvl w:val="0"/>
                <w:numId w:val="0"/>
              </w:numPr>
              <w:kinsoku/>
              <w:wordWrap/>
              <w:overflowPunct/>
              <w:topLinePunct w:val="0"/>
              <w:autoSpaceDE/>
              <w:autoSpaceDN/>
              <w:bidi w:val="0"/>
              <w:adjustRightInd/>
              <w:spacing w:before="156" w:after="156" w:line="140" w:lineRule="atLeas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负责通州区融媒体中心融合媒体平台建设项目的方案设计、施工图设计的全过程设计工作，施工及实施阶段的配合服务及其它需要设计人提供的伴随服务。投标阶段投标人需要提供设计方案以及配套的施工投资估算</w:t>
            </w:r>
          </w:p>
        </w:tc>
        <w:tc>
          <w:tcPr>
            <w:tcW w:w="916" w:type="dxa"/>
            <w:noWrap w:val="0"/>
            <w:vAlign w:val="center"/>
          </w:tcPr>
          <w:p>
            <w:pPr>
              <w:pageBreakBefore w:val="0"/>
              <w:widowControl w:val="0"/>
              <w:numPr>
                <w:ilvl w:val="0"/>
                <w:numId w:val="0"/>
              </w:numPr>
              <w:kinsoku/>
              <w:wordWrap/>
              <w:overflowPunct/>
              <w:topLinePunct w:val="0"/>
              <w:autoSpaceDE/>
              <w:autoSpaceDN/>
              <w:bidi w:val="0"/>
              <w:adjustRightInd/>
              <w:spacing w:before="156" w:after="156" w:line="140" w:lineRule="atLeast"/>
              <w:ind w:left="0" w:leftChars="0" w:firstLine="0" w:firstLineChars="0"/>
              <w:jc w:val="center"/>
              <w:textAlignment w:val="auto"/>
              <w:rPr>
                <w:rFonts w:hint="eastAsia" w:ascii="宋体" w:hAnsi="宋体" w:eastAsia="宋体" w:cs="宋体"/>
                <w:b w:val="0"/>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北京市通州区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noWrap w:val="0"/>
            <w:vAlign w:val="center"/>
          </w:tcPr>
          <w:p>
            <w:pPr>
              <w:pStyle w:val="12"/>
              <w:pageBreakBefore w:val="0"/>
              <w:widowControl w:val="0"/>
              <w:numPr>
                <w:ilvl w:val="0"/>
                <w:numId w:val="0"/>
              </w:numPr>
              <w:kinsoku/>
              <w:wordWrap/>
              <w:overflowPunct/>
              <w:topLinePunct w:val="0"/>
              <w:autoSpaceDE/>
              <w:autoSpaceDN/>
              <w:bidi w:val="0"/>
              <w:adjustRightInd/>
              <w:spacing w:before="156" w:after="156" w:line="140" w:lineRule="atLeas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w:t>
            </w:r>
          </w:p>
        </w:tc>
        <w:tc>
          <w:tcPr>
            <w:tcW w:w="1577" w:type="dxa"/>
            <w:noWrap w:val="0"/>
            <w:vAlign w:val="center"/>
          </w:tcPr>
          <w:p>
            <w:pPr>
              <w:pageBreakBefore w:val="0"/>
              <w:widowControl w:val="0"/>
              <w:numPr>
                <w:ilvl w:val="0"/>
                <w:numId w:val="0"/>
              </w:numPr>
              <w:kinsoku/>
              <w:wordWrap/>
              <w:overflowPunct/>
              <w:topLinePunct w:val="0"/>
              <w:autoSpaceDE/>
              <w:autoSpaceDN/>
              <w:bidi w:val="0"/>
              <w:adjustRightInd/>
              <w:spacing w:before="156" w:after="156" w:line="140" w:lineRule="atLeast"/>
              <w:jc w:val="center"/>
              <w:textAlignment w:val="auto"/>
              <w:rPr>
                <w:rFonts w:hint="default" w:ascii="宋体" w:hAnsi="宋体" w:eastAsia="宋体" w:cs="宋体"/>
                <w:b w:val="0"/>
                <w:color w:val="auto"/>
                <w:kern w:val="2"/>
                <w:sz w:val="18"/>
                <w:szCs w:val="18"/>
                <w:vertAlign w:val="baseline"/>
                <w:lang w:val="en-US" w:eastAsia="zh-CN" w:bidi="ar-SA"/>
              </w:rPr>
            </w:pPr>
            <w:r>
              <w:rPr>
                <w:rFonts w:hint="eastAsia" w:ascii="宋体" w:hAnsi="宋体" w:eastAsia="宋体" w:cs="宋体"/>
                <w:b w:val="0"/>
                <w:color w:val="auto"/>
                <w:kern w:val="2"/>
                <w:sz w:val="18"/>
                <w:szCs w:val="18"/>
                <w:vertAlign w:val="baseline"/>
                <w:lang w:val="en-US" w:eastAsia="zh-CN" w:bidi="ar-SA"/>
              </w:rPr>
              <w:t>通州区融媒体中心融合媒体平台建设项目-</w:t>
            </w:r>
            <w:r>
              <w:rPr>
                <w:rFonts w:hint="eastAsia" w:ascii="宋体" w:hAnsi="宋体" w:cs="宋体"/>
                <w:b w:val="0"/>
                <w:color w:val="auto"/>
                <w:kern w:val="2"/>
                <w:sz w:val="18"/>
                <w:szCs w:val="18"/>
                <w:vertAlign w:val="baseline"/>
                <w:lang w:val="en-US" w:eastAsia="zh-CN" w:bidi="ar-SA"/>
              </w:rPr>
              <w:t>监理</w:t>
            </w:r>
          </w:p>
        </w:tc>
        <w:tc>
          <w:tcPr>
            <w:tcW w:w="1264" w:type="dxa"/>
            <w:noWrap w:val="0"/>
            <w:vAlign w:val="center"/>
          </w:tcPr>
          <w:p>
            <w:pPr>
              <w:pStyle w:val="12"/>
              <w:pageBreakBefore w:val="0"/>
              <w:widowControl w:val="0"/>
              <w:numPr>
                <w:ilvl w:val="0"/>
                <w:numId w:val="0"/>
              </w:numPr>
              <w:kinsoku/>
              <w:wordWrap/>
              <w:overflowPunct/>
              <w:topLinePunct w:val="0"/>
              <w:autoSpaceDE/>
              <w:autoSpaceDN/>
              <w:bidi w:val="0"/>
              <w:adjustRightInd/>
              <w:spacing w:before="156" w:after="156" w:line="140" w:lineRule="atLeas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74898.61</w:t>
            </w:r>
          </w:p>
        </w:tc>
        <w:tc>
          <w:tcPr>
            <w:tcW w:w="1948" w:type="dxa"/>
            <w:noWrap w:val="0"/>
            <w:vAlign w:val="center"/>
          </w:tcPr>
          <w:p>
            <w:pPr>
              <w:pageBreakBefore w:val="0"/>
              <w:widowControl w:val="0"/>
              <w:numPr>
                <w:ilvl w:val="0"/>
                <w:numId w:val="0"/>
              </w:numPr>
              <w:kinsoku/>
              <w:wordWrap/>
              <w:overflowPunct/>
              <w:topLinePunct w:val="0"/>
              <w:autoSpaceDE/>
              <w:autoSpaceDN/>
              <w:bidi w:val="0"/>
              <w:adjustRightInd/>
              <w:spacing w:before="156" w:after="156" w:line="140" w:lineRule="atLeast"/>
              <w:jc w:val="center"/>
              <w:textAlignment w:val="auto"/>
              <w:rPr>
                <w:rFonts w:hint="eastAsia" w:ascii="宋体" w:hAnsi="宋体" w:eastAsia="宋体" w:cs="宋体"/>
                <w:b w:val="0"/>
                <w:color w:val="auto"/>
                <w:kern w:val="2"/>
                <w:sz w:val="18"/>
                <w:szCs w:val="18"/>
                <w:vertAlign w:val="baseline"/>
                <w:lang w:val="en-US" w:eastAsia="zh-CN" w:bidi="ar-SA"/>
              </w:rPr>
            </w:pPr>
            <w:r>
              <w:rPr>
                <w:rFonts w:hint="eastAsia" w:ascii="宋体" w:hAnsi="宋体" w:eastAsia="宋体" w:cs="宋体"/>
                <w:b w:val="0"/>
                <w:color w:val="auto"/>
                <w:kern w:val="2"/>
                <w:sz w:val="18"/>
                <w:szCs w:val="18"/>
                <w:vertAlign w:val="baseline"/>
                <w:lang w:val="en-US" w:eastAsia="zh-CN" w:bidi="ar-SA"/>
              </w:rPr>
              <w:t>TAHP-2020-ZB-YY-097</w:t>
            </w:r>
          </w:p>
        </w:tc>
        <w:tc>
          <w:tcPr>
            <w:tcW w:w="2991" w:type="dxa"/>
            <w:noWrap w:val="0"/>
            <w:vAlign w:val="bottom"/>
          </w:tcPr>
          <w:p>
            <w:pPr>
              <w:pStyle w:val="12"/>
              <w:pageBreakBefore w:val="0"/>
              <w:widowControl w:val="0"/>
              <w:numPr>
                <w:ilvl w:val="0"/>
                <w:numId w:val="0"/>
              </w:numPr>
              <w:kinsoku/>
              <w:wordWrap/>
              <w:overflowPunct/>
              <w:topLinePunct w:val="0"/>
              <w:autoSpaceDE/>
              <w:autoSpaceDN/>
              <w:bidi w:val="0"/>
              <w:adjustRightInd/>
              <w:spacing w:before="156" w:after="156" w:line="140" w:lineRule="atLeas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本次招标监理范围为通州区融媒体平台建设项目通州区融媒体中心融合媒体平台建设项目图纸范围内全部施工工程的施工阶段、缺陷责任期内全过程监理。</w:t>
            </w:r>
          </w:p>
        </w:tc>
        <w:tc>
          <w:tcPr>
            <w:tcW w:w="916" w:type="dxa"/>
            <w:noWrap w:val="0"/>
            <w:vAlign w:val="center"/>
          </w:tcPr>
          <w:p>
            <w:pPr>
              <w:pageBreakBefore w:val="0"/>
              <w:widowControl w:val="0"/>
              <w:numPr>
                <w:ilvl w:val="0"/>
                <w:numId w:val="0"/>
              </w:numPr>
              <w:kinsoku/>
              <w:wordWrap/>
              <w:overflowPunct/>
              <w:topLinePunct w:val="0"/>
              <w:autoSpaceDE/>
              <w:autoSpaceDN/>
              <w:bidi w:val="0"/>
              <w:adjustRightInd/>
              <w:spacing w:before="156" w:after="156" w:line="140" w:lineRule="atLeast"/>
              <w:ind w:left="0" w:leftChars="0" w:firstLine="0" w:firstLineChars="0"/>
              <w:jc w:val="center"/>
              <w:textAlignment w:val="auto"/>
              <w:rPr>
                <w:rFonts w:hint="eastAsia" w:ascii="宋体" w:hAnsi="宋体" w:eastAsia="宋体" w:cs="宋体"/>
                <w:b w:val="0"/>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北京市通州区</w:t>
            </w:r>
          </w:p>
        </w:tc>
      </w:tr>
    </w:tbl>
    <w:p>
      <w:pPr>
        <w:pStyle w:val="12"/>
        <w:numPr>
          <w:ilvl w:val="0"/>
          <w:numId w:val="0"/>
        </w:numPr>
        <w:snapToGrid w:val="0"/>
        <w:spacing w:before="0" w:line="440" w:lineRule="exact"/>
        <w:outlineLvl w:val="1"/>
        <w:rPr>
          <w:rFonts w:hint="eastAsia" w:hAnsi="宋体" w:eastAsia="宋体" w:cs="Times New Roman"/>
          <w:b/>
          <w:color w:val="auto"/>
          <w:sz w:val="24"/>
          <w:szCs w:val="24"/>
          <w:highlight w:val="none"/>
        </w:rPr>
      </w:pPr>
    </w:p>
    <w:bookmarkEnd w:id="26"/>
    <w:bookmarkEnd w:id="27"/>
    <w:bookmarkEnd w:id="28"/>
    <w:bookmarkEnd w:id="29"/>
    <w:bookmarkEnd w:id="30"/>
    <w:p>
      <w:pPr>
        <w:pStyle w:val="12"/>
        <w:numPr>
          <w:ilvl w:val="0"/>
          <w:numId w:val="2"/>
        </w:numPr>
        <w:snapToGrid w:val="0"/>
        <w:spacing w:before="0" w:line="440" w:lineRule="exact"/>
        <w:ind w:firstLine="482" w:firstLineChars="200"/>
        <w:outlineLvl w:val="1"/>
        <w:rPr>
          <w:rFonts w:hint="eastAsia" w:eastAsia="宋体" w:cs="Times New Roman"/>
          <w:b/>
          <w:color w:val="auto"/>
          <w:sz w:val="24"/>
          <w:szCs w:val="24"/>
          <w:highlight w:val="none"/>
          <w:lang w:val="en-US" w:eastAsia="zh-CN"/>
        </w:rPr>
      </w:pPr>
      <w:bookmarkStart w:id="31" w:name="_Toc342296123"/>
      <w:bookmarkStart w:id="32" w:name="_Toc455409826"/>
      <w:bookmarkStart w:id="33" w:name="_Toc362252608"/>
      <w:bookmarkStart w:id="34" w:name="_Toc470011302"/>
      <w:bookmarkStart w:id="35" w:name="_Toc333499402"/>
      <w:bookmarkStart w:id="36" w:name="_Toc410849446"/>
      <w:bookmarkStart w:id="37" w:name="_Toc470011303"/>
      <w:bookmarkStart w:id="38" w:name="_Toc455409827"/>
      <w:bookmarkStart w:id="39" w:name="_Toc396650430"/>
      <w:bookmarkStart w:id="40" w:name="_Toc396650428"/>
      <w:r>
        <w:rPr>
          <w:rFonts w:hint="eastAsia" w:eastAsia="宋体" w:cs="Times New Roman"/>
          <w:b/>
          <w:color w:val="auto"/>
          <w:sz w:val="24"/>
          <w:szCs w:val="24"/>
          <w:highlight w:val="none"/>
          <w:lang w:val="en-US" w:eastAsia="zh-CN"/>
        </w:rPr>
        <w:t>投标人资格要求</w:t>
      </w:r>
    </w:p>
    <w:p>
      <w:pP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通州区融媒体中心融合媒体平台建设项目-融媒体系统平台建设投标人需符合以下要求：</w:t>
      </w:r>
    </w:p>
    <w:p>
      <w:pPr>
        <w:ind w:firstLine="420" w:firstLineChars="200"/>
        <w:rPr>
          <w:sz w:val="21"/>
          <w:szCs w:val="21"/>
          <w:highlight w:val="none"/>
        </w:rPr>
      </w:pPr>
      <w:r>
        <w:rPr>
          <w:sz w:val="21"/>
          <w:szCs w:val="21"/>
          <w:highlight w:val="none"/>
        </w:rPr>
        <w:t>1、</w:t>
      </w:r>
      <w:r>
        <w:rPr>
          <w:rFonts w:hint="eastAsia"/>
          <w:sz w:val="21"/>
          <w:szCs w:val="21"/>
          <w:highlight w:val="none"/>
        </w:rPr>
        <w:t>符合《中华人民共和国政府采购法》第二十二条（一）至（六）的规定，即：</w:t>
      </w:r>
    </w:p>
    <w:p>
      <w:pPr>
        <w:ind w:firstLine="630" w:firstLineChars="300"/>
        <w:rPr>
          <w:sz w:val="21"/>
          <w:szCs w:val="21"/>
          <w:highlight w:val="none"/>
        </w:rPr>
      </w:pPr>
      <w:r>
        <w:rPr>
          <w:rFonts w:hint="eastAsia"/>
          <w:sz w:val="21"/>
          <w:szCs w:val="21"/>
          <w:highlight w:val="none"/>
        </w:rPr>
        <w:t xml:space="preserve">1）具有独立承担民事责任的能力； </w:t>
      </w:r>
    </w:p>
    <w:p>
      <w:pPr>
        <w:ind w:firstLine="630" w:firstLineChars="300"/>
        <w:rPr>
          <w:sz w:val="21"/>
          <w:szCs w:val="21"/>
          <w:highlight w:val="none"/>
        </w:rPr>
      </w:pPr>
      <w:r>
        <w:rPr>
          <w:rFonts w:hint="eastAsia"/>
          <w:sz w:val="21"/>
          <w:szCs w:val="21"/>
          <w:highlight w:val="none"/>
        </w:rPr>
        <w:t xml:space="preserve">2）具有良好的商业信誉和健全的财务会计制度； </w:t>
      </w:r>
    </w:p>
    <w:p>
      <w:pPr>
        <w:ind w:firstLine="630" w:firstLineChars="300"/>
        <w:rPr>
          <w:sz w:val="21"/>
          <w:szCs w:val="21"/>
          <w:highlight w:val="none"/>
        </w:rPr>
      </w:pPr>
      <w:r>
        <w:rPr>
          <w:rFonts w:hint="eastAsia"/>
          <w:sz w:val="21"/>
          <w:szCs w:val="21"/>
          <w:highlight w:val="none"/>
        </w:rPr>
        <w:t xml:space="preserve">3）具有履行合同所必需的设备和专业技术能力； </w:t>
      </w:r>
    </w:p>
    <w:p>
      <w:pPr>
        <w:ind w:firstLine="630" w:firstLineChars="300"/>
        <w:rPr>
          <w:sz w:val="21"/>
          <w:szCs w:val="21"/>
          <w:highlight w:val="none"/>
        </w:rPr>
      </w:pPr>
      <w:r>
        <w:rPr>
          <w:rFonts w:hint="eastAsia"/>
          <w:sz w:val="21"/>
          <w:szCs w:val="21"/>
          <w:highlight w:val="none"/>
        </w:rPr>
        <w:t xml:space="preserve">4）有依法缴纳税收和社会保障资金的良好记录； </w:t>
      </w:r>
    </w:p>
    <w:p>
      <w:pPr>
        <w:ind w:firstLine="630" w:firstLineChars="300"/>
        <w:rPr>
          <w:sz w:val="21"/>
          <w:szCs w:val="21"/>
          <w:highlight w:val="none"/>
        </w:rPr>
      </w:pPr>
      <w:r>
        <w:rPr>
          <w:rFonts w:hint="eastAsia"/>
          <w:sz w:val="21"/>
          <w:szCs w:val="21"/>
          <w:highlight w:val="none"/>
        </w:rPr>
        <w:t xml:space="preserve">5）参加政府采购活动前三年内，在经营活动中没有重大违法记录（重大违法记录是指供应商因违法经营受到刑事处罚或者责令停产停业、吊销许可证或者执照、较大数额罚款等行政处罚）； </w:t>
      </w:r>
    </w:p>
    <w:p>
      <w:pPr>
        <w:ind w:firstLine="630" w:firstLineChars="300"/>
        <w:rPr>
          <w:sz w:val="21"/>
          <w:szCs w:val="21"/>
          <w:highlight w:val="none"/>
        </w:rPr>
      </w:pPr>
      <w:r>
        <w:rPr>
          <w:rFonts w:hint="eastAsia"/>
          <w:sz w:val="21"/>
          <w:szCs w:val="21"/>
          <w:highlight w:val="none"/>
        </w:rPr>
        <w:t>6）法律、行政法规规定的其他条件。</w:t>
      </w:r>
    </w:p>
    <w:p>
      <w:pPr>
        <w:ind w:firstLine="420" w:firstLineChars="200"/>
        <w:rPr>
          <w:sz w:val="21"/>
          <w:szCs w:val="21"/>
          <w:highlight w:val="none"/>
        </w:rPr>
      </w:pPr>
      <w:r>
        <w:rPr>
          <w:sz w:val="21"/>
          <w:szCs w:val="21"/>
          <w:highlight w:val="none"/>
        </w:rPr>
        <w:t>2、</w:t>
      </w:r>
      <w:r>
        <w:rPr>
          <w:rFonts w:hint="eastAsia"/>
          <w:sz w:val="21"/>
          <w:szCs w:val="21"/>
          <w:highlight w:val="none"/>
        </w:rPr>
        <w:t>本项目投标截止期前被“信用中国”网站（www.creditchina.gov.cn）中列入失信被执行人和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pPr>
        <w:ind w:firstLine="420" w:firstLineChars="200"/>
        <w:rPr>
          <w:sz w:val="21"/>
          <w:szCs w:val="21"/>
          <w:highlight w:val="none"/>
        </w:rPr>
      </w:pPr>
      <w:r>
        <w:rPr>
          <w:sz w:val="21"/>
          <w:szCs w:val="21"/>
          <w:highlight w:val="none"/>
        </w:rPr>
        <w:t>3、</w:t>
      </w:r>
      <w:r>
        <w:rPr>
          <w:rFonts w:hint="eastAsia"/>
          <w:sz w:val="21"/>
          <w:szCs w:val="21"/>
          <w:highlight w:val="none"/>
        </w:rPr>
        <w:t>单位负责人为同一人或者存在控股、管理关系的不同单位，不得同时参加本项目的投标。为本项目提供整体设计、规范编制或者项目管理、监理、检测等服务的投标人，不得再参加本项目投标。</w:t>
      </w:r>
    </w:p>
    <w:p>
      <w:pPr>
        <w:ind w:firstLine="420" w:firstLineChars="200"/>
        <w:rPr>
          <w:sz w:val="21"/>
          <w:szCs w:val="21"/>
          <w:highlight w:val="none"/>
        </w:rPr>
      </w:pPr>
      <w:r>
        <w:rPr>
          <w:sz w:val="21"/>
          <w:szCs w:val="21"/>
          <w:highlight w:val="none"/>
        </w:rPr>
        <w:t>4、</w:t>
      </w:r>
      <w:r>
        <w:rPr>
          <w:rFonts w:hint="eastAsia"/>
          <w:sz w:val="21"/>
          <w:szCs w:val="21"/>
          <w:highlight w:val="none"/>
        </w:rPr>
        <w:t>本项目不接受联合体投标。</w:t>
      </w:r>
    </w:p>
    <w:p>
      <w:pPr>
        <w:spacing w:line="240" w:lineRule="auto"/>
        <w:ind w:firstLine="420" w:firstLineChars="200"/>
        <w:rPr>
          <w:sz w:val="21"/>
          <w:szCs w:val="21"/>
          <w:highlight w:val="none"/>
        </w:rPr>
      </w:pPr>
      <w:r>
        <w:rPr>
          <w:sz w:val="21"/>
          <w:szCs w:val="21"/>
          <w:highlight w:val="none"/>
        </w:rPr>
        <w:t>5、</w:t>
      </w:r>
      <w:r>
        <w:rPr>
          <w:rFonts w:hint="eastAsia"/>
          <w:sz w:val="21"/>
          <w:szCs w:val="21"/>
          <w:highlight w:val="none"/>
        </w:rPr>
        <w:t>向采购代理机构购买了招标文件并登记备案。</w:t>
      </w:r>
    </w:p>
    <w:p>
      <w:pPr>
        <w:pStyle w:val="12"/>
        <w:numPr>
          <w:ilvl w:val="0"/>
          <w:numId w:val="0"/>
        </w:numPr>
        <w:snapToGrid w:val="0"/>
        <w:spacing w:before="0" w:line="240" w:lineRule="auto"/>
        <w:ind w:firstLine="420" w:firstLineChars="200"/>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sz w:val="21"/>
          <w:szCs w:val="21"/>
          <w:highlight w:val="none"/>
        </w:rPr>
        <w:t>6、投标人的特定资格条件：无</w:t>
      </w:r>
    </w:p>
    <w:bookmarkEnd w:id="31"/>
    <w:bookmarkEnd w:id="32"/>
    <w:bookmarkEnd w:id="33"/>
    <w:bookmarkEnd w:id="34"/>
    <w:p>
      <w:pPr>
        <w:autoSpaceDE w:val="0"/>
        <w:autoSpaceDN w:val="0"/>
        <w:adjustRightInd w:val="0"/>
        <w:snapToGrid w:val="0"/>
        <w:spacing w:line="360" w:lineRule="auto"/>
        <w:jc w:val="left"/>
        <w:rPr>
          <w:rFonts w:hint="eastAsia"/>
          <w:b/>
          <w:bCs/>
          <w:color w:val="auto"/>
          <w:sz w:val="24"/>
          <w:highlight w:val="none"/>
          <w:lang w:val="en-US" w:eastAsia="zh-CN"/>
        </w:rPr>
      </w:pPr>
      <w:r>
        <w:rPr>
          <w:rFonts w:hint="eastAsia"/>
          <w:b/>
          <w:bCs/>
          <w:color w:val="auto"/>
          <w:sz w:val="24"/>
          <w:highlight w:val="none"/>
          <w:lang w:val="en-US" w:eastAsia="zh-CN"/>
        </w:rPr>
        <w:t>通州区融媒体中心融合媒体平台建设项目-设计投标人需符合以下要求：</w:t>
      </w:r>
    </w:p>
    <w:p>
      <w:pPr>
        <w:autoSpaceDE w:val="0"/>
        <w:autoSpaceDN w:val="0"/>
        <w:adjustRightInd w:val="0"/>
        <w:snapToGrid w:val="0"/>
        <w:spacing w:line="360" w:lineRule="auto"/>
        <w:ind w:firstLine="420" w:firstLineChars="200"/>
        <w:jc w:val="left"/>
        <w:rPr>
          <w:rFonts w:hint="default"/>
          <w:highlight w:val="none"/>
          <w:lang w:val="en-US" w:eastAsia="zh-CN"/>
        </w:rPr>
      </w:pPr>
      <w:r>
        <w:rPr>
          <w:rFonts w:hint="default"/>
          <w:highlight w:val="none"/>
          <w:lang w:val="en-US" w:eastAsia="zh-CN"/>
        </w:rPr>
        <w:t>1</w:t>
      </w:r>
      <w:r>
        <w:rPr>
          <w:rFonts w:hint="eastAsia"/>
          <w:highlight w:val="none"/>
          <w:lang w:val="en-US" w:eastAsia="zh-CN"/>
        </w:rPr>
        <w:t>、</w:t>
      </w:r>
      <w:r>
        <w:rPr>
          <w:rFonts w:hint="default"/>
          <w:highlight w:val="none"/>
          <w:lang w:val="en-US" w:eastAsia="zh-CN"/>
        </w:rPr>
        <w:t>满足《中华人民共和国政府采购法》第二十二条规定；</w:t>
      </w:r>
    </w:p>
    <w:p>
      <w:pPr>
        <w:autoSpaceDE w:val="0"/>
        <w:autoSpaceDN w:val="0"/>
        <w:adjustRightInd w:val="0"/>
        <w:snapToGrid w:val="0"/>
        <w:spacing w:line="360" w:lineRule="auto"/>
        <w:ind w:firstLine="420" w:firstLineChars="200"/>
        <w:jc w:val="left"/>
        <w:rPr>
          <w:rFonts w:hint="default"/>
          <w:highlight w:val="none"/>
          <w:lang w:val="en-US" w:eastAsia="zh-CN"/>
        </w:rPr>
      </w:pPr>
      <w:r>
        <w:rPr>
          <w:rFonts w:hint="default"/>
          <w:highlight w:val="none"/>
          <w:lang w:val="en-US" w:eastAsia="zh-CN"/>
        </w:rPr>
        <w:t>2</w:t>
      </w:r>
      <w:r>
        <w:rPr>
          <w:rFonts w:hint="eastAsia"/>
          <w:highlight w:val="none"/>
          <w:lang w:val="en-US" w:eastAsia="zh-CN"/>
        </w:rPr>
        <w:t>、投标人应具备的设计资质要求：具有中华人民共和国住房和城乡建设部颁发的电子通信广电行业专项设计乙级（含）及以上资质</w:t>
      </w:r>
      <w:r>
        <w:rPr>
          <w:rFonts w:hint="default"/>
          <w:highlight w:val="none"/>
          <w:lang w:val="en-US" w:eastAsia="zh-CN"/>
        </w:rPr>
        <w:t>。</w:t>
      </w:r>
    </w:p>
    <w:p>
      <w:pPr>
        <w:autoSpaceDE w:val="0"/>
        <w:autoSpaceDN w:val="0"/>
        <w:adjustRightInd w:val="0"/>
        <w:snapToGrid w:val="0"/>
        <w:spacing w:line="360" w:lineRule="auto"/>
        <w:ind w:firstLine="420" w:firstLineChars="200"/>
        <w:jc w:val="left"/>
        <w:rPr>
          <w:rFonts w:hint="default"/>
          <w:highlight w:val="none"/>
          <w:lang w:val="en-US" w:eastAsia="zh-CN"/>
        </w:rPr>
      </w:pPr>
      <w:r>
        <w:rPr>
          <w:rFonts w:hint="default"/>
          <w:highlight w:val="none"/>
          <w:lang w:val="en-US" w:eastAsia="zh-CN"/>
        </w:rPr>
        <w:t>3</w:t>
      </w:r>
      <w:r>
        <w:rPr>
          <w:rFonts w:hint="eastAsia"/>
          <w:highlight w:val="none"/>
          <w:lang w:val="en-US" w:eastAsia="zh-CN"/>
        </w:rPr>
        <w:t>、</w:t>
      </w:r>
      <w:r>
        <w:rPr>
          <w:rFonts w:hint="default"/>
          <w:highlight w:val="none"/>
          <w:lang w:val="en-US" w:eastAsia="zh-CN"/>
        </w:rPr>
        <w:t>投标人须提供真实有效的证明材料，证明其有能力承担本项目的设计工作，并及时提供对所有提交资料的澄清或补充材料，否则将可能导致其投标被拒绝；申报虚假材料如经评审委员会或招标人查出将被取消中标资格。</w:t>
      </w:r>
    </w:p>
    <w:p>
      <w:pPr>
        <w:autoSpaceDE w:val="0"/>
        <w:autoSpaceDN w:val="0"/>
        <w:adjustRightInd w:val="0"/>
        <w:snapToGrid w:val="0"/>
        <w:spacing w:line="360" w:lineRule="auto"/>
        <w:ind w:firstLine="420" w:firstLineChars="200"/>
        <w:jc w:val="left"/>
        <w:rPr>
          <w:rFonts w:hint="default"/>
          <w:highlight w:val="none"/>
          <w:lang w:val="en-US" w:eastAsia="zh-CN"/>
        </w:rPr>
      </w:pPr>
      <w:r>
        <w:rPr>
          <w:rFonts w:hint="default"/>
          <w:highlight w:val="none"/>
          <w:lang w:val="en-US" w:eastAsia="zh-CN"/>
        </w:rPr>
        <w:t>4</w:t>
      </w:r>
      <w:r>
        <w:rPr>
          <w:rFonts w:hint="eastAsia"/>
          <w:highlight w:val="none"/>
          <w:lang w:val="en-US" w:eastAsia="zh-CN"/>
        </w:rPr>
        <w:t>、</w:t>
      </w:r>
      <w:r>
        <w:rPr>
          <w:rFonts w:hint="default"/>
          <w:highlight w:val="none"/>
          <w:lang w:val="en-US" w:eastAsia="zh-CN"/>
        </w:rPr>
        <w:t>投标人提供证明材料时所有证件及证明文件应提供复印件，如因未按要求提供，将视为未响应文件要求，所引发的后果由各投标人自行承担</w:t>
      </w:r>
    </w:p>
    <w:p>
      <w:pPr>
        <w:autoSpaceDE w:val="0"/>
        <w:autoSpaceDN w:val="0"/>
        <w:adjustRightInd w:val="0"/>
        <w:snapToGrid w:val="0"/>
        <w:spacing w:line="360" w:lineRule="auto"/>
        <w:ind w:firstLine="420" w:firstLineChars="200"/>
        <w:jc w:val="left"/>
        <w:rPr>
          <w:rFonts w:hint="default"/>
          <w:highlight w:val="none"/>
          <w:lang w:val="en-US" w:eastAsia="zh-CN"/>
        </w:rPr>
      </w:pPr>
      <w:r>
        <w:rPr>
          <w:rFonts w:hint="default"/>
          <w:highlight w:val="none"/>
          <w:lang w:eastAsia="zh-CN"/>
        </w:rPr>
        <w:t>5</w:t>
      </w:r>
      <w:r>
        <w:rPr>
          <w:rFonts w:hint="eastAsia"/>
          <w:highlight w:val="none"/>
          <w:lang w:eastAsia="zh-CN"/>
        </w:rPr>
        <w:t>、</w:t>
      </w:r>
      <w:r>
        <w:rPr>
          <w:rFonts w:hint="default"/>
          <w:highlight w:val="none"/>
          <w:lang w:val="en-US" w:eastAsia="zh-CN"/>
        </w:rPr>
        <w:t>其他要求：</w:t>
      </w:r>
    </w:p>
    <w:p>
      <w:pPr>
        <w:autoSpaceDE w:val="0"/>
        <w:autoSpaceDN w:val="0"/>
        <w:adjustRightInd w:val="0"/>
        <w:snapToGrid w:val="0"/>
        <w:spacing w:line="360" w:lineRule="auto"/>
        <w:jc w:val="left"/>
        <w:rPr>
          <w:rFonts w:hint="default"/>
          <w:highlight w:val="none"/>
          <w:lang w:val="en-US" w:eastAsia="zh-CN"/>
        </w:rPr>
      </w:pPr>
      <w:r>
        <w:rPr>
          <w:rFonts w:hint="default"/>
          <w:highlight w:val="none"/>
          <w:lang w:val="en-US" w:eastAsia="zh-CN"/>
        </w:rPr>
        <w:t>（1）具有独立承担民事责任的能力；</w:t>
      </w:r>
    </w:p>
    <w:p>
      <w:pPr>
        <w:autoSpaceDE w:val="0"/>
        <w:autoSpaceDN w:val="0"/>
        <w:adjustRightInd w:val="0"/>
        <w:snapToGrid w:val="0"/>
        <w:spacing w:line="360" w:lineRule="auto"/>
        <w:jc w:val="left"/>
        <w:rPr>
          <w:rFonts w:hint="default"/>
          <w:highlight w:val="none"/>
          <w:lang w:val="en-US" w:eastAsia="zh-CN"/>
        </w:rPr>
      </w:pPr>
      <w:r>
        <w:rPr>
          <w:rFonts w:hint="default"/>
          <w:highlight w:val="none"/>
          <w:lang w:val="en-US" w:eastAsia="zh-CN"/>
        </w:rPr>
        <w:t>（2）具有良好的商业信誉和健全的财务会计制度；</w:t>
      </w:r>
    </w:p>
    <w:p>
      <w:pPr>
        <w:autoSpaceDE w:val="0"/>
        <w:autoSpaceDN w:val="0"/>
        <w:adjustRightInd w:val="0"/>
        <w:snapToGrid w:val="0"/>
        <w:spacing w:line="360" w:lineRule="auto"/>
        <w:jc w:val="left"/>
        <w:rPr>
          <w:rFonts w:hint="default"/>
          <w:highlight w:val="none"/>
          <w:lang w:val="en-US" w:eastAsia="zh-CN"/>
        </w:rPr>
      </w:pPr>
      <w:r>
        <w:rPr>
          <w:rFonts w:hint="default"/>
          <w:highlight w:val="none"/>
          <w:lang w:val="en-US" w:eastAsia="zh-CN"/>
        </w:rPr>
        <w:t>（3）具有履行合同所必需的设备和专业技术能力；</w:t>
      </w:r>
    </w:p>
    <w:p>
      <w:pPr>
        <w:autoSpaceDE w:val="0"/>
        <w:autoSpaceDN w:val="0"/>
        <w:adjustRightInd w:val="0"/>
        <w:snapToGrid w:val="0"/>
        <w:spacing w:line="360" w:lineRule="auto"/>
        <w:jc w:val="left"/>
        <w:rPr>
          <w:rFonts w:hint="default"/>
          <w:highlight w:val="none"/>
          <w:lang w:val="en-US" w:eastAsia="zh-CN"/>
        </w:rPr>
      </w:pPr>
      <w:r>
        <w:rPr>
          <w:rFonts w:hint="default"/>
          <w:highlight w:val="none"/>
          <w:lang w:val="en-US" w:eastAsia="zh-CN"/>
        </w:rPr>
        <w:t>（4）有依法缴纳税收和社会保障资金的良好记录；</w:t>
      </w:r>
    </w:p>
    <w:p>
      <w:pPr>
        <w:autoSpaceDE w:val="0"/>
        <w:autoSpaceDN w:val="0"/>
        <w:adjustRightInd w:val="0"/>
        <w:snapToGrid w:val="0"/>
        <w:spacing w:line="360" w:lineRule="auto"/>
        <w:jc w:val="left"/>
        <w:rPr>
          <w:rFonts w:hint="default"/>
          <w:highlight w:val="none"/>
          <w:lang w:val="en-US" w:eastAsia="zh-CN"/>
        </w:rPr>
      </w:pPr>
      <w:r>
        <w:rPr>
          <w:rFonts w:hint="default"/>
          <w:highlight w:val="none"/>
          <w:lang w:val="en-US" w:eastAsia="zh-CN"/>
        </w:rPr>
        <w:t>（5）参加本招标活动前三年内，在经营活动中没有重大违法记录</w:t>
      </w:r>
    </w:p>
    <w:p>
      <w:pPr>
        <w:pStyle w:val="7"/>
        <w:ind w:left="0" w:leftChars="0" w:firstLine="420" w:firstLineChars="200"/>
        <w:rPr>
          <w:rFonts w:hint="default"/>
          <w:highlight w:val="none"/>
          <w:lang w:val="en-US" w:eastAsia="zh-CN"/>
        </w:rPr>
      </w:pPr>
      <w:r>
        <w:rPr>
          <w:rFonts w:hint="default"/>
          <w:highlight w:val="none"/>
          <w:lang w:eastAsia="zh-CN"/>
        </w:rPr>
        <w:t>6、</w:t>
      </w:r>
      <w:r>
        <w:rPr>
          <w:rFonts w:hint="default"/>
          <w:highlight w:val="none"/>
          <w:lang w:val="en-US" w:eastAsia="zh-CN"/>
        </w:rPr>
        <w:t>本项目投标截止期前被“信用中国”网站（www.creditchina.gov.cn）中列入失信被执行人和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pPr>
        <w:pStyle w:val="7"/>
        <w:ind w:left="0" w:leftChars="0" w:firstLine="420" w:firstLineChars="200"/>
        <w:rPr>
          <w:rFonts w:hint="default"/>
          <w:highlight w:val="none"/>
          <w:lang w:val="en-US" w:eastAsia="zh-CN"/>
        </w:rPr>
      </w:pPr>
      <w:r>
        <w:rPr>
          <w:rFonts w:hint="default"/>
          <w:highlight w:val="none"/>
          <w:lang w:eastAsia="zh-CN"/>
        </w:rPr>
        <w:t>7、</w:t>
      </w:r>
      <w:r>
        <w:rPr>
          <w:rFonts w:hint="default"/>
          <w:highlight w:val="none"/>
          <w:lang w:val="en-US" w:eastAsia="zh-CN"/>
        </w:rPr>
        <w:t>单位负责人为同一人或者存在控股、管理关系的不同单位，不得同时参加本项目的投标。为本项目提供整体设计、规范编制或者项目管理、监理、检测等服务的投标人，不得再参加本项目投标。</w:t>
      </w:r>
    </w:p>
    <w:p>
      <w:pPr>
        <w:snapToGrid w:val="0"/>
        <w:spacing w:line="440" w:lineRule="exact"/>
        <w:ind w:firstLine="420" w:firstLineChars="200"/>
        <w:rPr>
          <w:rFonts w:hint="default"/>
          <w:highlight w:val="none"/>
          <w:lang w:val="en-US" w:eastAsia="zh-CN"/>
        </w:rPr>
      </w:pPr>
      <w:r>
        <w:rPr>
          <w:rFonts w:hint="default"/>
          <w:highlight w:val="none"/>
          <w:lang w:eastAsia="zh-CN"/>
        </w:rPr>
        <w:t>8、</w:t>
      </w:r>
      <w:r>
        <w:rPr>
          <w:rFonts w:hint="default"/>
          <w:highlight w:val="none"/>
          <w:lang w:val="en-US" w:eastAsia="zh-CN"/>
        </w:rPr>
        <w:t>向招标代理机构购买了招标文件并登记备案</w:t>
      </w:r>
    </w:p>
    <w:p>
      <w:pPr>
        <w:keepNext w:val="0"/>
        <w:keepLines w:val="0"/>
        <w:pageBreakBefore w:val="0"/>
        <w:kinsoku/>
        <w:wordWrap/>
        <w:overflowPunct/>
        <w:topLinePunct w:val="0"/>
        <w:autoSpaceDE/>
        <w:autoSpaceDN/>
        <w:bidi w:val="0"/>
        <w:adjustRightInd/>
        <w:snapToGrid/>
        <w:spacing w:line="360" w:lineRule="auto"/>
        <w:ind w:right="0" w:rightChars="0"/>
        <w:textAlignment w:val="auto"/>
        <w:outlineLvl w:val="9"/>
        <w:rPr>
          <w:rFonts w:hint="eastAsia"/>
          <w:b/>
          <w:bCs/>
          <w:color w:val="auto"/>
          <w:sz w:val="24"/>
          <w:highlight w:val="none"/>
          <w:lang w:val="en-US" w:eastAsia="zh-CN"/>
        </w:rPr>
      </w:pPr>
      <w:r>
        <w:rPr>
          <w:rFonts w:hint="eastAsia"/>
          <w:b/>
          <w:bCs/>
          <w:color w:val="auto"/>
          <w:sz w:val="24"/>
          <w:highlight w:val="none"/>
          <w:lang w:val="en-US" w:eastAsia="zh-CN"/>
        </w:rPr>
        <w:t>通州区融媒体中心融合媒体平台建设项目-监理投标人需符合以下要求：</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投标人必须是依照《中华人民共和国公司法》登记注册的且依法取得工商行政管理部门颁发的《企业法人营业执照》并处于正常开业状态，具备独立法人资格；</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2、投标人应具有住房和城乡建设部颁发的</w:t>
      </w:r>
      <w:r>
        <w:rPr>
          <w:rFonts w:hint="eastAsia" w:ascii="宋体" w:hAnsi="宋体" w:eastAsia="宋体" w:cs="宋体"/>
          <w:sz w:val="21"/>
          <w:szCs w:val="21"/>
          <w:highlight w:val="none"/>
          <w:u w:val="single"/>
          <w:lang w:val="en-US" w:eastAsia="zh-CN"/>
        </w:rPr>
        <w:t>通信工程监理乙级（含）以上资质</w:t>
      </w:r>
      <w:r>
        <w:rPr>
          <w:rFonts w:hint="eastAsia" w:ascii="宋体" w:hAnsi="宋体" w:eastAsia="宋体" w:cs="宋体"/>
          <w:sz w:val="21"/>
          <w:szCs w:val="21"/>
          <w:highlight w:val="none"/>
          <w:lang w:val="en-US" w:eastAsia="zh-CN"/>
        </w:rPr>
        <w:t>或者住房和城乡建设部颁发的综合监理资质</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3、投标人总监理工程师具备注册监理工程师</w:t>
      </w:r>
      <w:r>
        <w:rPr>
          <w:rFonts w:hint="eastAsia" w:ascii="宋体" w:hAnsi="宋体" w:cs="宋体"/>
          <w:sz w:val="21"/>
          <w:szCs w:val="21"/>
          <w:highlight w:val="none"/>
          <w:lang w:val="en-US" w:eastAsia="zh-CN"/>
        </w:rPr>
        <w:t>（通信工程专业）</w:t>
      </w:r>
      <w:r>
        <w:rPr>
          <w:rFonts w:hint="eastAsia" w:ascii="宋体" w:hAnsi="宋体" w:eastAsia="宋体" w:cs="宋体"/>
          <w:sz w:val="21"/>
          <w:szCs w:val="21"/>
          <w:highlight w:val="none"/>
          <w:lang w:val="en-US" w:eastAsia="zh-CN"/>
        </w:rPr>
        <w:t>且在有效期内，且注册单位与投标单位一致</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4、投标人具有良好的商业信誉和健全的财务会计制度；</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val="en-US" w:eastAsia="zh-CN"/>
        </w:rPr>
        <w:t>5、投标人有依法缴纳税收和社会保障资金的良好记录；</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val="en-US" w:eastAsia="zh-CN"/>
        </w:rPr>
        <w:t>6、投标人参加投标活动前三年内，在经营活动中没有重大违法记录；</w:t>
      </w:r>
    </w:p>
    <w:p>
      <w:pPr>
        <w:snapToGrid w:val="0"/>
        <w:spacing w:line="440" w:lineRule="exact"/>
        <w:ind w:firstLine="420" w:firstLineChars="200"/>
        <w:rPr>
          <w:b/>
          <w:bCs/>
          <w:color w:val="auto"/>
          <w:sz w:val="24"/>
          <w:highlight w:val="none"/>
        </w:rPr>
      </w:pPr>
      <w:r>
        <w:rPr>
          <w:rFonts w:hint="eastAsia" w:ascii="宋体" w:hAnsi="宋体" w:eastAsia="宋体" w:cs="宋体"/>
          <w:sz w:val="21"/>
          <w:szCs w:val="21"/>
          <w:highlight w:val="none"/>
          <w:u w:val="none"/>
          <w:lang w:val="en-US" w:eastAsia="zh-CN"/>
        </w:rPr>
        <w:t>7、未列入“信用中国”网站（www.creditchina.gov.cn）失信被执行人、重大税收违法案件当事人名单、中国政府采购网（www.ccgp.gov.cn）政府采购严重违法失信行为记录名单及其他不符合《中华人民共和国政府采购法》第二十二条规定条件的供应商</w:t>
      </w:r>
    </w:p>
    <w:p>
      <w:pPr>
        <w:pStyle w:val="12"/>
        <w:bidi w:val="0"/>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 xml:space="preserve">4. </w:t>
      </w:r>
      <w:r>
        <w:rPr>
          <w:rFonts w:hint="eastAsia" w:ascii="宋体" w:hAnsi="宋体" w:eastAsia="宋体" w:cs="宋体"/>
          <w:b/>
          <w:bCs/>
          <w:sz w:val="24"/>
          <w:szCs w:val="24"/>
          <w:lang w:eastAsia="zh-CN"/>
        </w:rPr>
        <w:t>投标</w:t>
      </w:r>
      <w:r>
        <w:rPr>
          <w:rFonts w:hint="eastAsia" w:ascii="宋体" w:hAnsi="宋体" w:eastAsia="宋体" w:cs="宋体"/>
          <w:b/>
          <w:bCs/>
          <w:sz w:val="24"/>
          <w:szCs w:val="24"/>
        </w:rPr>
        <w:t>报名</w:t>
      </w:r>
      <w:bookmarkEnd w:id="35"/>
      <w:bookmarkEnd w:id="36"/>
      <w:bookmarkEnd w:id="37"/>
      <w:bookmarkEnd w:id="38"/>
      <w:bookmarkEnd w:id="39"/>
      <w:r>
        <w:rPr>
          <w:rFonts w:hint="eastAsia" w:ascii="宋体" w:hAnsi="宋体" w:eastAsia="宋体" w:cs="宋体"/>
          <w:b/>
          <w:bCs/>
          <w:sz w:val="24"/>
          <w:szCs w:val="24"/>
          <w:lang w:eastAsia="zh-CN"/>
        </w:rPr>
        <w:t>及招标文件领取</w:t>
      </w:r>
    </w:p>
    <w:p>
      <w:pPr>
        <w:spacing w:line="400" w:lineRule="exact"/>
        <w:ind w:firstLine="540"/>
        <w:rPr>
          <w:rFonts w:hint="eastAsia" w:ascii="宋体" w:hAnsi="宋体" w:eastAsia="宋体" w:cs="宋体"/>
          <w:sz w:val="21"/>
          <w:szCs w:val="21"/>
          <w:highlight w:val="none"/>
          <w:u w:val="single"/>
        </w:rPr>
      </w:pPr>
      <w:r>
        <w:rPr>
          <w:rFonts w:hint="eastAsia" w:ascii="宋体" w:hAnsi="宋体" w:eastAsia="宋体" w:cs="宋体"/>
          <w:sz w:val="21"/>
          <w:szCs w:val="21"/>
        </w:rPr>
        <w:t>时间</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请于 2020 年</w:t>
      </w:r>
      <w:r>
        <w:rPr>
          <w:rFonts w:hint="eastAsia" w:ascii="宋体" w:hAnsi="宋体" w:eastAsia="宋体" w:cs="宋体"/>
          <w:sz w:val="21"/>
          <w:szCs w:val="21"/>
          <w:highlight w:val="none"/>
          <w:u w:val="single"/>
          <w:lang w:val="en-US" w:eastAsia="zh-CN"/>
        </w:rPr>
        <w:t>04</w:t>
      </w:r>
      <w:r>
        <w:rPr>
          <w:rFonts w:hint="eastAsia" w:ascii="宋体" w:hAnsi="宋体" w:eastAsia="宋体" w:cs="宋体"/>
          <w:sz w:val="21"/>
          <w:szCs w:val="21"/>
          <w:highlight w:val="none"/>
          <w:u w:val="single"/>
        </w:rPr>
        <w:t>月</w:t>
      </w:r>
      <w:r>
        <w:rPr>
          <w:rFonts w:hint="eastAsia" w:ascii="宋体" w:hAnsi="宋体" w:eastAsia="宋体" w:cs="宋体"/>
          <w:sz w:val="21"/>
          <w:szCs w:val="21"/>
          <w:highlight w:val="none"/>
          <w:u w:val="single"/>
          <w:lang w:val="en-US" w:eastAsia="zh-CN"/>
        </w:rPr>
        <w:t>26</w:t>
      </w:r>
      <w:r>
        <w:rPr>
          <w:rFonts w:hint="eastAsia" w:ascii="宋体" w:hAnsi="宋体" w:eastAsia="宋体" w:cs="宋体"/>
          <w:sz w:val="21"/>
          <w:szCs w:val="21"/>
          <w:highlight w:val="none"/>
          <w:u w:val="single"/>
        </w:rPr>
        <w:t>日至 2020 年</w:t>
      </w:r>
      <w:r>
        <w:rPr>
          <w:rFonts w:hint="eastAsia" w:ascii="宋体" w:hAnsi="宋体" w:eastAsia="宋体" w:cs="宋体"/>
          <w:sz w:val="21"/>
          <w:szCs w:val="21"/>
          <w:highlight w:val="none"/>
          <w:u w:val="single"/>
          <w:lang w:val="en-US" w:eastAsia="zh-CN"/>
        </w:rPr>
        <w:t>04</w:t>
      </w:r>
      <w:r>
        <w:rPr>
          <w:rFonts w:hint="eastAsia" w:ascii="宋体" w:hAnsi="宋体" w:eastAsia="宋体" w:cs="宋体"/>
          <w:sz w:val="21"/>
          <w:szCs w:val="21"/>
          <w:highlight w:val="none"/>
          <w:u w:val="single"/>
        </w:rPr>
        <w:t>月</w:t>
      </w:r>
      <w:r>
        <w:rPr>
          <w:rFonts w:hint="eastAsia" w:ascii="宋体" w:hAnsi="宋体" w:eastAsia="宋体" w:cs="宋体"/>
          <w:sz w:val="21"/>
          <w:szCs w:val="21"/>
          <w:highlight w:val="none"/>
          <w:u w:val="single"/>
          <w:lang w:val="en-US" w:eastAsia="zh-CN"/>
        </w:rPr>
        <w:t>30</w:t>
      </w:r>
      <w:r>
        <w:rPr>
          <w:rFonts w:hint="eastAsia" w:ascii="宋体" w:hAnsi="宋体" w:eastAsia="宋体" w:cs="宋体"/>
          <w:sz w:val="21"/>
          <w:szCs w:val="21"/>
          <w:highlight w:val="none"/>
          <w:u w:val="single"/>
        </w:rPr>
        <w:t>日，每日上午 9:00 至 11:00 ，下午 14:00 至 17:00 （北京时间，双休日及法定节假日除外）。</w:t>
      </w:r>
    </w:p>
    <w:p>
      <w:pPr>
        <w:spacing w:line="400" w:lineRule="exact"/>
        <w:ind w:firstLine="540"/>
        <w:rPr>
          <w:rFonts w:hint="eastAsia" w:ascii="宋体" w:hAnsi="宋体" w:eastAsia="宋体" w:cs="宋体"/>
          <w:sz w:val="21"/>
          <w:szCs w:val="21"/>
          <w:u w:val="single"/>
        </w:rPr>
      </w:pPr>
      <w:r>
        <w:rPr>
          <w:rFonts w:hint="eastAsia" w:ascii="宋体" w:hAnsi="宋体" w:eastAsia="宋体" w:cs="宋体"/>
          <w:sz w:val="21"/>
          <w:szCs w:val="21"/>
          <w:highlight w:val="none"/>
        </w:rPr>
        <w:t>地点：</w:t>
      </w:r>
      <w:r>
        <w:rPr>
          <w:rFonts w:hint="eastAsia" w:ascii="宋体" w:hAnsi="宋体" w:eastAsia="宋体" w:cs="宋体"/>
          <w:sz w:val="21"/>
          <w:szCs w:val="21"/>
          <w:highlight w:val="none"/>
          <w:u w:val="single"/>
        </w:rPr>
        <w:t>北京市通州区新华北路117</w:t>
      </w:r>
      <w:r>
        <w:rPr>
          <w:rFonts w:hint="eastAsia" w:ascii="宋体" w:hAnsi="宋体" w:eastAsia="宋体" w:cs="宋体"/>
          <w:sz w:val="21"/>
          <w:szCs w:val="21"/>
          <w:u w:val="single"/>
        </w:rPr>
        <w:t>号33号楼南侧一层 （详细地址）。</w:t>
      </w:r>
    </w:p>
    <w:p>
      <w:pPr>
        <w:spacing w:line="400" w:lineRule="exact"/>
        <w:ind w:firstLine="540"/>
        <w:rPr>
          <w:rFonts w:hint="eastAsia" w:ascii="宋体" w:hAnsi="宋体" w:eastAsia="宋体" w:cs="宋体"/>
          <w:sz w:val="21"/>
          <w:szCs w:val="21"/>
          <w:u w:val="single"/>
        </w:rPr>
      </w:pPr>
      <w:r>
        <w:rPr>
          <w:rFonts w:hint="eastAsia" w:ascii="宋体" w:hAnsi="宋体" w:eastAsia="宋体" w:cs="宋体"/>
          <w:sz w:val="21"/>
          <w:szCs w:val="21"/>
        </w:rPr>
        <w:t>方式：</w:t>
      </w:r>
      <w:r>
        <w:rPr>
          <w:rFonts w:hint="eastAsia" w:ascii="宋体" w:hAnsi="宋体" w:eastAsia="宋体" w:cs="宋体"/>
          <w:sz w:val="21"/>
          <w:szCs w:val="21"/>
          <w:u w:val="single"/>
        </w:rPr>
        <w:t>现场获取，持法定代表人授权委托书，后附法人代表及被授权人身份证复印件（上述所要提供的证明文件的复印件均须加盖单位公章）购买招标文件。</w:t>
      </w:r>
    </w:p>
    <w:p>
      <w:pPr>
        <w:pStyle w:val="5"/>
        <w:numPr>
          <w:ilvl w:val="0"/>
          <w:numId w:val="0"/>
        </w:numPr>
        <w:spacing w:line="360" w:lineRule="auto"/>
        <w:ind w:left="825" w:leftChars="0"/>
        <w:rPr>
          <w:rFonts w:hint="eastAsia" w:ascii="宋体" w:hAnsi="宋体" w:eastAsia="宋体" w:cs="宋体"/>
          <w:b w:val="0"/>
          <w:bCs w:val="0"/>
          <w:color w:val="auto"/>
          <w:kern w:val="2"/>
          <w:sz w:val="21"/>
          <w:szCs w:val="21"/>
          <w:highlight w:val="none"/>
          <w:lang w:val="en-US" w:eastAsia="zh-CN" w:bidi="ar-SA"/>
        </w:rPr>
      </w:pPr>
      <w:r>
        <w:rPr>
          <w:rFonts w:hint="eastAsia" w:ascii="仿宋" w:hAnsi="仿宋" w:eastAsia="仿宋" w:cs="宋体"/>
          <w:color w:val="auto"/>
          <w:sz w:val="24"/>
          <w:szCs w:val="24"/>
        </w:rPr>
        <w:t>售价：</w:t>
      </w:r>
      <w:r>
        <w:rPr>
          <w:rFonts w:hint="eastAsia" w:ascii="仿宋" w:hAnsi="仿宋" w:eastAsia="仿宋" w:cs="宋体"/>
          <w:b/>
          <w:bCs/>
          <w:color w:val="auto"/>
          <w:sz w:val="24"/>
          <w:szCs w:val="24"/>
          <w:u w:val="single"/>
        </w:rPr>
        <w:t>招标文件按成本价出售，售后不退</w:t>
      </w:r>
      <w:r>
        <w:rPr>
          <w:rFonts w:hint="eastAsia" w:ascii="宋体" w:hAnsi="宋体" w:eastAsia="宋体" w:cs="宋体"/>
          <w:b/>
          <w:bCs/>
          <w:color w:val="auto"/>
          <w:kern w:val="2"/>
          <w:sz w:val="21"/>
          <w:szCs w:val="21"/>
          <w:highlight w:val="none"/>
          <w:lang w:val="en-US" w:eastAsia="zh-CN" w:bidi="ar-SA"/>
        </w:rPr>
        <w:t>。</w:t>
      </w:r>
    </w:p>
    <w:bookmarkEnd w:id="40"/>
    <w:p>
      <w:pPr>
        <w:pStyle w:val="12"/>
        <w:snapToGrid w:val="0"/>
        <w:spacing w:before="0" w:line="440" w:lineRule="exact"/>
        <w:ind w:firstLine="506" w:firstLineChars="210"/>
        <w:outlineLvl w:val="1"/>
        <w:rPr>
          <w:rFonts w:hint="eastAsia" w:eastAsia="宋体" w:cs="Times New Roman"/>
          <w:b/>
          <w:color w:val="auto"/>
          <w:sz w:val="24"/>
          <w:szCs w:val="24"/>
          <w:highlight w:val="none"/>
          <w:lang w:eastAsia="zh-CN"/>
        </w:rPr>
      </w:pPr>
      <w:bookmarkStart w:id="41" w:name="_Toc455409829"/>
      <w:bookmarkStart w:id="42" w:name="_Toc470011305"/>
      <w:r>
        <w:rPr>
          <w:rFonts w:hint="eastAsia" w:eastAsia="宋体" w:cs="Times New Roman"/>
          <w:b/>
          <w:color w:val="auto"/>
          <w:sz w:val="24"/>
          <w:szCs w:val="24"/>
          <w:highlight w:val="none"/>
          <w:lang w:val="en-US" w:eastAsia="zh-CN"/>
        </w:rPr>
        <w:t>5</w:t>
      </w:r>
      <w:r>
        <w:rPr>
          <w:rFonts w:eastAsia="宋体" w:cs="Times New Roman"/>
          <w:b/>
          <w:color w:val="auto"/>
          <w:sz w:val="24"/>
          <w:szCs w:val="24"/>
          <w:highlight w:val="none"/>
          <w:lang w:eastAsia="zh-CN"/>
        </w:rPr>
        <w:t>.</w:t>
      </w:r>
      <w:r>
        <w:rPr>
          <w:rFonts w:hint="eastAsia" w:eastAsia="宋体" w:cs="Times New Roman"/>
          <w:b/>
          <w:color w:val="auto"/>
          <w:sz w:val="24"/>
          <w:szCs w:val="24"/>
          <w:highlight w:val="none"/>
          <w:lang w:eastAsia="zh-CN"/>
        </w:rPr>
        <w:t xml:space="preserve"> </w:t>
      </w:r>
      <w:r>
        <w:rPr>
          <w:rFonts w:eastAsia="宋体" w:cs="Times New Roman"/>
          <w:b/>
          <w:color w:val="auto"/>
          <w:sz w:val="24"/>
          <w:szCs w:val="24"/>
          <w:highlight w:val="none"/>
          <w:lang w:eastAsia="zh-CN"/>
        </w:rPr>
        <w:t>投标文</w:t>
      </w:r>
      <w:r>
        <w:rPr>
          <w:rFonts w:eastAsia="宋体" w:cs="Times New Roman"/>
          <w:b/>
          <w:bCs w:val="0"/>
          <w:color w:val="auto"/>
          <w:sz w:val="24"/>
          <w:szCs w:val="24"/>
          <w:highlight w:val="none"/>
          <w:lang w:eastAsia="zh-CN"/>
        </w:rPr>
        <w:t>件递交</w:t>
      </w:r>
      <w:bookmarkEnd w:id="41"/>
      <w:bookmarkEnd w:id="42"/>
      <w:r>
        <w:rPr>
          <w:rFonts w:hint="eastAsia" w:eastAsia="宋体" w:cs="Times New Roman"/>
          <w:b/>
          <w:bCs w:val="0"/>
          <w:color w:val="auto"/>
          <w:sz w:val="24"/>
          <w:szCs w:val="24"/>
          <w:highlight w:val="none"/>
          <w:lang w:eastAsia="zh-CN"/>
        </w:rPr>
        <w:t xml:space="preserve"> </w:t>
      </w:r>
    </w:p>
    <w:tbl>
      <w:tblPr>
        <w:tblStyle w:val="9"/>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701"/>
        <w:gridCol w:w="3459"/>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noWrap w:val="0"/>
            <w:vAlign w:val="center"/>
          </w:tcPr>
          <w:p>
            <w:pPr>
              <w:pStyle w:val="12"/>
              <w:pageBreakBefore w:val="0"/>
              <w:widowControl w:val="0"/>
              <w:numPr>
                <w:ilvl w:val="0"/>
                <w:numId w:val="0"/>
              </w:numPr>
              <w:kinsoku/>
              <w:wordWrap/>
              <w:overflowPunct/>
              <w:topLinePunct w:val="0"/>
              <w:autoSpaceDE/>
              <w:autoSpaceDN/>
              <w:bidi w:val="0"/>
              <w:adjustRightInd/>
              <w:spacing w:before="156" w:after="156" w:line="140" w:lineRule="atLeast"/>
              <w:ind w:left="0" w:leftChars="0" w:firstLine="0" w:firstLineChars="0"/>
              <w:jc w:val="center"/>
              <w:textAlignment w:val="auto"/>
              <w:rPr>
                <w:rFonts w:hint="eastAsia" w:ascii="宋体" w:hAnsi="宋体" w:eastAsia="宋体" w:cs="宋体"/>
                <w:b w:val="0"/>
                <w:color w:val="auto"/>
                <w:sz w:val="21"/>
                <w:szCs w:val="21"/>
                <w:vertAlign w:val="baseline"/>
                <w:lang w:val="en-US" w:eastAsia="zh-CN"/>
              </w:rPr>
            </w:pPr>
            <w:r>
              <w:rPr>
                <w:rFonts w:hint="eastAsia" w:ascii="宋体" w:hAnsi="宋体" w:eastAsia="宋体" w:cs="宋体"/>
                <w:b w:val="0"/>
                <w:color w:val="auto"/>
                <w:sz w:val="21"/>
                <w:szCs w:val="21"/>
                <w:vertAlign w:val="baseline"/>
                <w:lang w:val="en-US" w:eastAsia="zh-CN"/>
              </w:rPr>
              <w:t>包号</w:t>
            </w:r>
          </w:p>
        </w:tc>
        <w:tc>
          <w:tcPr>
            <w:tcW w:w="1701" w:type="dxa"/>
            <w:noWrap w:val="0"/>
            <w:vAlign w:val="center"/>
          </w:tcPr>
          <w:p>
            <w:pPr>
              <w:pStyle w:val="12"/>
              <w:pageBreakBefore w:val="0"/>
              <w:widowControl w:val="0"/>
              <w:numPr>
                <w:ilvl w:val="0"/>
                <w:numId w:val="0"/>
              </w:numPr>
              <w:kinsoku/>
              <w:wordWrap/>
              <w:overflowPunct/>
              <w:topLinePunct w:val="0"/>
              <w:autoSpaceDE/>
              <w:autoSpaceDN/>
              <w:bidi w:val="0"/>
              <w:adjustRightInd/>
              <w:spacing w:before="156" w:after="156" w:line="140" w:lineRule="atLeast"/>
              <w:ind w:left="0" w:leftChars="0" w:firstLine="0" w:firstLineChars="0"/>
              <w:jc w:val="center"/>
              <w:textAlignment w:val="auto"/>
              <w:rPr>
                <w:rFonts w:hint="eastAsia" w:ascii="宋体" w:hAnsi="宋体" w:eastAsia="宋体" w:cs="宋体"/>
                <w:b w:val="0"/>
                <w:color w:val="auto"/>
                <w:sz w:val="21"/>
                <w:szCs w:val="21"/>
                <w:vertAlign w:val="baseline"/>
                <w:lang w:val="en-US" w:eastAsia="zh-CN"/>
              </w:rPr>
            </w:pPr>
            <w:r>
              <w:rPr>
                <w:rFonts w:hint="eastAsia" w:ascii="宋体" w:hAnsi="宋体" w:eastAsia="宋体" w:cs="宋体"/>
                <w:b w:val="0"/>
                <w:color w:val="auto"/>
                <w:sz w:val="21"/>
                <w:szCs w:val="21"/>
                <w:vertAlign w:val="baseline"/>
                <w:lang w:val="en-US" w:eastAsia="zh-CN"/>
              </w:rPr>
              <w:t>项目名称</w:t>
            </w:r>
          </w:p>
        </w:tc>
        <w:tc>
          <w:tcPr>
            <w:tcW w:w="3459" w:type="dxa"/>
            <w:noWrap w:val="0"/>
            <w:vAlign w:val="center"/>
          </w:tcPr>
          <w:p>
            <w:pPr>
              <w:pStyle w:val="12"/>
              <w:pageBreakBefore w:val="0"/>
              <w:widowControl w:val="0"/>
              <w:numPr>
                <w:ilvl w:val="0"/>
                <w:numId w:val="0"/>
              </w:numPr>
              <w:kinsoku/>
              <w:wordWrap/>
              <w:overflowPunct/>
              <w:topLinePunct w:val="0"/>
              <w:autoSpaceDE/>
              <w:autoSpaceDN/>
              <w:bidi w:val="0"/>
              <w:adjustRightInd/>
              <w:spacing w:before="156" w:after="156" w:line="140" w:lineRule="atLeast"/>
              <w:ind w:left="0" w:leftChars="0" w:firstLine="0" w:firstLineChars="0"/>
              <w:jc w:val="center"/>
              <w:textAlignment w:val="auto"/>
              <w:rPr>
                <w:rFonts w:hint="eastAsia" w:ascii="宋体" w:hAnsi="宋体" w:eastAsia="宋体" w:cs="宋体"/>
                <w:b w:val="0"/>
                <w:color w:val="auto"/>
                <w:sz w:val="21"/>
                <w:szCs w:val="21"/>
                <w:vertAlign w:val="baseline"/>
                <w:lang w:val="en-US" w:eastAsia="zh-CN"/>
              </w:rPr>
            </w:pPr>
            <w:r>
              <w:rPr>
                <w:rFonts w:hint="eastAsia" w:ascii="宋体" w:hAnsi="宋体" w:eastAsia="宋体" w:cs="宋体"/>
                <w:b w:val="0"/>
                <w:color w:val="auto"/>
                <w:sz w:val="21"/>
                <w:szCs w:val="21"/>
                <w:vertAlign w:val="baseline"/>
                <w:lang w:val="en-US" w:eastAsia="zh-CN"/>
              </w:rPr>
              <w:t>投标文件递交的截止时间</w:t>
            </w:r>
          </w:p>
        </w:tc>
        <w:tc>
          <w:tcPr>
            <w:tcW w:w="2265" w:type="dxa"/>
            <w:noWrap w:val="0"/>
            <w:vAlign w:val="center"/>
          </w:tcPr>
          <w:p>
            <w:pPr>
              <w:pStyle w:val="12"/>
              <w:pageBreakBefore w:val="0"/>
              <w:widowControl w:val="0"/>
              <w:numPr>
                <w:ilvl w:val="0"/>
                <w:numId w:val="0"/>
              </w:numPr>
              <w:kinsoku/>
              <w:wordWrap/>
              <w:overflowPunct/>
              <w:topLinePunct w:val="0"/>
              <w:autoSpaceDE/>
              <w:autoSpaceDN/>
              <w:bidi w:val="0"/>
              <w:adjustRightInd/>
              <w:spacing w:before="156" w:after="156" w:line="140" w:lineRule="atLeast"/>
              <w:ind w:left="0" w:leftChars="0" w:firstLine="0" w:firstLineChars="0"/>
              <w:jc w:val="center"/>
              <w:textAlignment w:val="auto"/>
              <w:rPr>
                <w:rFonts w:hint="eastAsia" w:ascii="宋体" w:hAnsi="宋体" w:eastAsia="宋体" w:cs="宋体"/>
                <w:b w:val="0"/>
                <w:color w:val="auto"/>
                <w:sz w:val="21"/>
                <w:szCs w:val="21"/>
                <w:vertAlign w:val="baseline"/>
                <w:lang w:val="en-US" w:eastAsia="zh-CN"/>
              </w:rPr>
            </w:pPr>
            <w:r>
              <w:rPr>
                <w:rFonts w:hint="eastAsia" w:ascii="宋体" w:hAnsi="宋体" w:eastAsia="宋体" w:cs="宋体"/>
                <w:b w:val="0"/>
                <w:color w:val="auto"/>
                <w:sz w:val="21"/>
                <w:szCs w:val="21"/>
                <w:vertAlign w:val="baseline"/>
                <w:lang w:val="en-US" w:eastAsia="zh-CN"/>
              </w:rPr>
              <w:t>投标文件递交的地点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noWrap w:val="0"/>
            <w:vAlign w:val="center"/>
          </w:tcPr>
          <w:p>
            <w:pPr>
              <w:pStyle w:val="12"/>
              <w:pageBreakBefore w:val="0"/>
              <w:widowControl w:val="0"/>
              <w:numPr>
                <w:ilvl w:val="0"/>
                <w:numId w:val="0"/>
              </w:numPr>
              <w:kinsoku/>
              <w:wordWrap/>
              <w:overflowPunct/>
              <w:topLinePunct w:val="0"/>
              <w:autoSpaceDE/>
              <w:autoSpaceDN/>
              <w:bidi w:val="0"/>
              <w:adjustRightInd/>
              <w:spacing w:before="156" w:after="156" w:line="140" w:lineRule="atLeast"/>
              <w:ind w:left="0" w:leftChars="0" w:firstLine="0" w:firstLineChars="0"/>
              <w:jc w:val="center"/>
              <w:textAlignment w:val="auto"/>
              <w:rPr>
                <w:rFonts w:hint="eastAsia" w:ascii="宋体" w:hAnsi="宋体" w:eastAsia="宋体" w:cs="宋体"/>
                <w:b w:val="0"/>
                <w:color w:val="auto"/>
                <w:kern w:val="2"/>
                <w:sz w:val="21"/>
                <w:szCs w:val="21"/>
                <w:vertAlign w:val="baseline"/>
                <w:lang w:val="en-US" w:eastAsia="zh-CN" w:bidi="ar-SA"/>
              </w:rPr>
            </w:pPr>
            <w:r>
              <w:rPr>
                <w:rFonts w:hint="eastAsia" w:ascii="宋体" w:hAnsi="宋体" w:eastAsia="宋体" w:cs="宋体"/>
                <w:b w:val="0"/>
                <w:color w:val="auto"/>
                <w:sz w:val="21"/>
                <w:szCs w:val="21"/>
                <w:vertAlign w:val="baseline"/>
                <w:lang w:val="en-US" w:eastAsia="zh-CN"/>
              </w:rPr>
              <w:t>1</w:t>
            </w:r>
          </w:p>
        </w:tc>
        <w:tc>
          <w:tcPr>
            <w:tcW w:w="1701" w:type="dxa"/>
            <w:noWrap w:val="0"/>
            <w:vAlign w:val="center"/>
          </w:tcPr>
          <w:p>
            <w:pPr>
              <w:pStyle w:val="12"/>
              <w:pageBreakBefore w:val="0"/>
              <w:widowControl w:val="0"/>
              <w:numPr>
                <w:ilvl w:val="0"/>
                <w:numId w:val="0"/>
              </w:numPr>
              <w:kinsoku/>
              <w:wordWrap/>
              <w:overflowPunct/>
              <w:topLinePunct w:val="0"/>
              <w:autoSpaceDE/>
              <w:autoSpaceDN/>
              <w:bidi w:val="0"/>
              <w:adjustRightInd/>
              <w:spacing w:before="156" w:after="156" w:line="140" w:lineRule="atLeast"/>
              <w:ind w:left="0" w:leftChars="0" w:firstLine="0" w:firstLineChars="0"/>
              <w:jc w:val="center"/>
              <w:textAlignment w:val="auto"/>
              <w:rPr>
                <w:rFonts w:hint="eastAsia" w:ascii="宋体" w:hAnsi="宋体" w:eastAsia="宋体" w:cs="宋体"/>
                <w:b w:val="0"/>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通州区融媒体中心融合媒体平台建设项目-融媒体系统平台建设</w:t>
            </w:r>
          </w:p>
        </w:tc>
        <w:tc>
          <w:tcPr>
            <w:tcW w:w="3459" w:type="dxa"/>
            <w:noWrap w:val="0"/>
            <w:vAlign w:val="center"/>
          </w:tcPr>
          <w:p>
            <w:pPr>
              <w:snapToGrid w:val="0"/>
              <w:spacing w:line="360" w:lineRule="auto"/>
              <w:jc w:val="center"/>
              <w:rPr>
                <w:rFonts w:hint="eastAsia" w:ascii="宋体" w:hAnsi="宋体" w:eastAsia="宋体" w:cs="宋体"/>
                <w:color w:val="auto"/>
                <w:kern w:val="2"/>
                <w:sz w:val="21"/>
                <w:szCs w:val="21"/>
                <w:highlight w:val="none"/>
                <w:u w:val="none"/>
                <w:vertAlign w:val="baseline"/>
                <w:lang w:val="en-US" w:eastAsia="zh-CN" w:bidi="ar-SA"/>
              </w:rPr>
            </w:pPr>
            <w:r>
              <w:rPr>
                <w:rFonts w:hint="eastAsia" w:ascii="宋体" w:hAnsi="宋体" w:eastAsia="宋体" w:cs="宋体"/>
                <w:color w:val="auto"/>
                <w:kern w:val="2"/>
                <w:sz w:val="21"/>
                <w:szCs w:val="21"/>
                <w:highlight w:val="none"/>
                <w:u w:val="none"/>
                <w:vertAlign w:val="baseline"/>
                <w:lang w:val="en-US" w:eastAsia="zh-CN" w:bidi="ar-SA"/>
              </w:rPr>
              <w:t>2020年05月18日09点30分</w:t>
            </w:r>
          </w:p>
        </w:tc>
        <w:tc>
          <w:tcPr>
            <w:tcW w:w="2265" w:type="dxa"/>
            <w:noWrap w:val="0"/>
            <w:vAlign w:val="center"/>
          </w:tcPr>
          <w:p>
            <w:pPr>
              <w:snapToGrid w:val="0"/>
              <w:spacing w:line="360" w:lineRule="auto"/>
              <w:jc w:val="center"/>
              <w:rPr>
                <w:rFonts w:hint="eastAsia" w:ascii="宋体" w:hAnsi="宋体" w:eastAsia="宋体" w:cs="宋体"/>
                <w:color w:val="auto"/>
                <w:sz w:val="21"/>
                <w:szCs w:val="21"/>
                <w:highlight w:val="none"/>
                <w:u w:val="none"/>
                <w:vertAlign w:val="baseline"/>
              </w:rPr>
            </w:pPr>
            <w:r>
              <w:rPr>
                <w:rFonts w:hint="eastAsia" w:ascii="宋体" w:hAnsi="宋体" w:eastAsia="宋体" w:cs="宋体"/>
                <w:color w:val="auto"/>
                <w:sz w:val="21"/>
                <w:szCs w:val="21"/>
                <w:highlight w:val="none"/>
                <w:u w:val="none"/>
                <w:vertAlign w:val="baseline"/>
              </w:rPr>
              <w:t>北京市通州区新华北路117号院33号楼南门一层大会议室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noWrap w:val="0"/>
            <w:vAlign w:val="center"/>
          </w:tcPr>
          <w:p>
            <w:pPr>
              <w:pStyle w:val="12"/>
              <w:pageBreakBefore w:val="0"/>
              <w:widowControl w:val="0"/>
              <w:numPr>
                <w:ilvl w:val="0"/>
                <w:numId w:val="0"/>
              </w:numPr>
              <w:kinsoku/>
              <w:wordWrap/>
              <w:overflowPunct/>
              <w:topLinePunct w:val="0"/>
              <w:autoSpaceDE/>
              <w:autoSpaceDN/>
              <w:bidi w:val="0"/>
              <w:adjustRightInd/>
              <w:spacing w:before="156" w:after="156" w:line="140" w:lineRule="atLeast"/>
              <w:ind w:left="0" w:leftChars="0" w:firstLine="0" w:firstLineChars="0"/>
              <w:jc w:val="center"/>
              <w:textAlignment w:val="auto"/>
              <w:rPr>
                <w:rFonts w:hint="eastAsia" w:ascii="宋体" w:hAnsi="宋体" w:eastAsia="宋体" w:cs="宋体"/>
                <w:b w:val="0"/>
                <w:color w:val="auto"/>
                <w:kern w:val="2"/>
                <w:sz w:val="21"/>
                <w:szCs w:val="21"/>
                <w:vertAlign w:val="baseline"/>
                <w:lang w:val="en-US" w:eastAsia="zh-CN" w:bidi="ar-SA"/>
              </w:rPr>
            </w:pPr>
            <w:r>
              <w:rPr>
                <w:rFonts w:hint="eastAsia" w:ascii="宋体" w:hAnsi="宋体" w:eastAsia="宋体" w:cs="宋体"/>
                <w:b w:val="0"/>
                <w:color w:val="auto"/>
                <w:sz w:val="21"/>
                <w:szCs w:val="21"/>
                <w:vertAlign w:val="baseline"/>
                <w:lang w:val="en-US" w:eastAsia="zh-CN"/>
              </w:rPr>
              <w:t>2</w:t>
            </w:r>
          </w:p>
        </w:tc>
        <w:tc>
          <w:tcPr>
            <w:tcW w:w="1701" w:type="dxa"/>
            <w:noWrap w:val="0"/>
            <w:vAlign w:val="center"/>
          </w:tcPr>
          <w:p>
            <w:pPr>
              <w:pageBreakBefore w:val="0"/>
              <w:widowControl w:val="0"/>
              <w:numPr>
                <w:ilvl w:val="0"/>
                <w:numId w:val="0"/>
              </w:numPr>
              <w:kinsoku/>
              <w:wordWrap/>
              <w:overflowPunct/>
              <w:topLinePunct w:val="0"/>
              <w:autoSpaceDE/>
              <w:autoSpaceDN/>
              <w:bidi w:val="0"/>
              <w:adjustRightInd/>
              <w:spacing w:before="156" w:after="156" w:line="140" w:lineRule="atLeast"/>
              <w:ind w:left="0" w:leftChars="0" w:firstLine="0" w:firstLineChars="0"/>
              <w:jc w:val="center"/>
              <w:textAlignment w:val="auto"/>
              <w:rPr>
                <w:rFonts w:hint="eastAsia" w:ascii="宋体" w:hAnsi="宋体" w:eastAsia="宋体" w:cs="宋体"/>
                <w:b w:val="0"/>
                <w:color w:val="auto"/>
                <w:kern w:val="2"/>
                <w:sz w:val="21"/>
                <w:szCs w:val="21"/>
                <w:vertAlign w:val="baseline"/>
                <w:lang w:val="en-US" w:eastAsia="zh-CN" w:bidi="ar-SA"/>
              </w:rPr>
            </w:pPr>
            <w:r>
              <w:rPr>
                <w:rFonts w:hint="eastAsia" w:ascii="宋体" w:hAnsi="宋体" w:eastAsia="宋体" w:cs="宋体"/>
                <w:b w:val="0"/>
                <w:color w:val="auto"/>
                <w:kern w:val="2"/>
                <w:sz w:val="21"/>
                <w:szCs w:val="21"/>
                <w:vertAlign w:val="baseline"/>
                <w:lang w:val="en-US" w:eastAsia="zh-CN" w:bidi="ar-SA"/>
              </w:rPr>
              <w:t>通州区融媒体中心融合媒体平台建设项目-设计</w:t>
            </w:r>
          </w:p>
        </w:tc>
        <w:tc>
          <w:tcPr>
            <w:tcW w:w="3459" w:type="dxa"/>
            <w:noWrap w:val="0"/>
            <w:vAlign w:val="center"/>
          </w:tcPr>
          <w:p>
            <w:pPr>
              <w:snapToGrid w:val="0"/>
              <w:spacing w:line="360" w:lineRule="auto"/>
              <w:jc w:val="center"/>
              <w:rPr>
                <w:rFonts w:hint="eastAsia" w:ascii="宋体" w:hAnsi="宋体" w:eastAsia="宋体" w:cs="宋体"/>
                <w:color w:val="auto"/>
                <w:kern w:val="2"/>
                <w:sz w:val="21"/>
                <w:szCs w:val="21"/>
                <w:highlight w:val="none"/>
                <w:u w:val="none"/>
                <w:vertAlign w:val="baseline"/>
                <w:lang w:val="en-US" w:eastAsia="zh-CN" w:bidi="ar-SA"/>
              </w:rPr>
            </w:pPr>
            <w:r>
              <w:rPr>
                <w:rFonts w:hint="eastAsia" w:ascii="宋体" w:hAnsi="宋体" w:eastAsia="宋体" w:cs="宋体"/>
                <w:color w:val="auto"/>
                <w:kern w:val="2"/>
                <w:sz w:val="21"/>
                <w:szCs w:val="21"/>
                <w:highlight w:val="none"/>
                <w:u w:val="none"/>
                <w:vertAlign w:val="baseline"/>
                <w:lang w:val="en-US" w:eastAsia="zh-CN" w:bidi="ar-SA"/>
              </w:rPr>
              <w:t>2020年05月18日10点10分</w:t>
            </w:r>
          </w:p>
        </w:tc>
        <w:tc>
          <w:tcPr>
            <w:tcW w:w="2265" w:type="dxa"/>
            <w:noWrap w:val="0"/>
            <w:vAlign w:val="center"/>
          </w:tcPr>
          <w:p>
            <w:pPr>
              <w:snapToGrid w:val="0"/>
              <w:spacing w:line="360" w:lineRule="auto"/>
              <w:jc w:val="center"/>
              <w:rPr>
                <w:rFonts w:hint="eastAsia" w:ascii="宋体" w:hAnsi="宋体" w:eastAsia="宋体" w:cs="宋体"/>
                <w:color w:val="auto"/>
                <w:sz w:val="21"/>
                <w:szCs w:val="21"/>
                <w:highlight w:val="none"/>
                <w:u w:val="none"/>
                <w:vertAlign w:val="baseline"/>
              </w:rPr>
            </w:pPr>
            <w:r>
              <w:rPr>
                <w:rFonts w:hint="eastAsia" w:ascii="宋体" w:hAnsi="宋体" w:eastAsia="宋体" w:cs="宋体"/>
                <w:color w:val="auto"/>
                <w:sz w:val="21"/>
                <w:szCs w:val="21"/>
                <w:highlight w:val="none"/>
                <w:u w:val="none"/>
                <w:vertAlign w:val="baseline"/>
              </w:rPr>
              <w:t>北京市通州区新华北路117号院33号楼南门一层大会议室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noWrap w:val="0"/>
            <w:vAlign w:val="center"/>
          </w:tcPr>
          <w:p>
            <w:pPr>
              <w:pStyle w:val="12"/>
              <w:pageBreakBefore w:val="0"/>
              <w:widowControl w:val="0"/>
              <w:numPr>
                <w:ilvl w:val="0"/>
                <w:numId w:val="0"/>
              </w:numPr>
              <w:kinsoku/>
              <w:wordWrap/>
              <w:overflowPunct/>
              <w:topLinePunct w:val="0"/>
              <w:autoSpaceDE/>
              <w:autoSpaceDN/>
              <w:bidi w:val="0"/>
              <w:adjustRightInd/>
              <w:spacing w:before="156" w:after="156" w:line="140" w:lineRule="atLeast"/>
              <w:ind w:left="0" w:leftChars="0" w:firstLine="0" w:firstLineChars="0"/>
              <w:jc w:val="center"/>
              <w:textAlignment w:val="auto"/>
              <w:rPr>
                <w:rFonts w:hint="eastAsia" w:ascii="宋体" w:hAnsi="宋体" w:eastAsia="宋体" w:cs="宋体"/>
                <w:b w:val="0"/>
                <w:color w:val="auto"/>
                <w:kern w:val="2"/>
                <w:sz w:val="21"/>
                <w:szCs w:val="21"/>
                <w:vertAlign w:val="baseline"/>
                <w:lang w:val="en-US" w:eastAsia="zh-CN" w:bidi="ar-SA"/>
              </w:rPr>
            </w:pPr>
            <w:r>
              <w:rPr>
                <w:rFonts w:hint="eastAsia" w:ascii="宋体" w:hAnsi="宋体" w:eastAsia="宋体" w:cs="宋体"/>
                <w:b w:val="0"/>
                <w:color w:val="auto"/>
                <w:sz w:val="21"/>
                <w:szCs w:val="21"/>
                <w:vertAlign w:val="baseline"/>
                <w:lang w:val="en-US" w:eastAsia="zh-CN"/>
              </w:rPr>
              <w:t>3</w:t>
            </w:r>
          </w:p>
        </w:tc>
        <w:tc>
          <w:tcPr>
            <w:tcW w:w="1701" w:type="dxa"/>
            <w:noWrap w:val="0"/>
            <w:vAlign w:val="center"/>
          </w:tcPr>
          <w:p>
            <w:pPr>
              <w:pageBreakBefore w:val="0"/>
              <w:widowControl w:val="0"/>
              <w:numPr>
                <w:ilvl w:val="0"/>
                <w:numId w:val="0"/>
              </w:numPr>
              <w:kinsoku/>
              <w:wordWrap/>
              <w:overflowPunct/>
              <w:topLinePunct w:val="0"/>
              <w:autoSpaceDE/>
              <w:autoSpaceDN/>
              <w:bidi w:val="0"/>
              <w:adjustRightInd/>
              <w:spacing w:before="156" w:after="156" w:line="140" w:lineRule="atLeast"/>
              <w:ind w:left="0" w:leftChars="0" w:firstLine="0" w:firstLineChars="0"/>
              <w:jc w:val="center"/>
              <w:textAlignment w:val="auto"/>
              <w:rPr>
                <w:rFonts w:hint="eastAsia" w:ascii="宋体" w:hAnsi="宋体" w:eastAsia="宋体" w:cs="宋体"/>
                <w:b w:val="0"/>
                <w:color w:val="auto"/>
                <w:kern w:val="2"/>
                <w:sz w:val="21"/>
                <w:szCs w:val="21"/>
                <w:vertAlign w:val="baseline"/>
                <w:lang w:val="en-US" w:eastAsia="zh-CN" w:bidi="ar-SA"/>
              </w:rPr>
            </w:pPr>
            <w:r>
              <w:rPr>
                <w:rFonts w:hint="eastAsia" w:ascii="宋体" w:hAnsi="宋体" w:eastAsia="宋体" w:cs="宋体"/>
                <w:b w:val="0"/>
                <w:color w:val="auto"/>
                <w:kern w:val="2"/>
                <w:sz w:val="21"/>
                <w:szCs w:val="21"/>
                <w:vertAlign w:val="baseline"/>
                <w:lang w:val="en-US" w:eastAsia="zh-CN" w:bidi="ar-SA"/>
              </w:rPr>
              <w:t>通州区融媒体中心融合媒体平台建设项目-监理</w:t>
            </w:r>
          </w:p>
        </w:tc>
        <w:tc>
          <w:tcPr>
            <w:tcW w:w="3459" w:type="dxa"/>
            <w:noWrap w:val="0"/>
            <w:vAlign w:val="center"/>
          </w:tcPr>
          <w:p>
            <w:pPr>
              <w:snapToGrid w:val="0"/>
              <w:spacing w:line="360" w:lineRule="auto"/>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2020年05月18日10点30分</w:t>
            </w:r>
          </w:p>
        </w:tc>
        <w:tc>
          <w:tcPr>
            <w:tcW w:w="2265" w:type="dxa"/>
            <w:noWrap w:val="0"/>
            <w:vAlign w:val="center"/>
          </w:tcPr>
          <w:p>
            <w:pPr>
              <w:snapToGrid w:val="0"/>
              <w:spacing w:line="360" w:lineRule="auto"/>
              <w:jc w:val="center"/>
              <w:rPr>
                <w:rFonts w:hint="eastAsia" w:ascii="宋体" w:hAnsi="宋体" w:eastAsia="宋体" w:cs="宋体"/>
                <w:color w:val="auto"/>
                <w:sz w:val="21"/>
                <w:szCs w:val="21"/>
                <w:highlight w:val="none"/>
                <w:u w:val="none"/>
                <w:vertAlign w:val="baseline"/>
              </w:rPr>
            </w:pPr>
            <w:r>
              <w:rPr>
                <w:rFonts w:hint="eastAsia" w:ascii="宋体" w:hAnsi="宋体" w:eastAsia="宋体" w:cs="宋体"/>
                <w:color w:val="auto"/>
                <w:sz w:val="21"/>
                <w:szCs w:val="21"/>
                <w:highlight w:val="none"/>
                <w:u w:val="none"/>
                <w:vertAlign w:val="baseline"/>
              </w:rPr>
              <w:t>北京市通州区新华北路117号院33号楼南门一层大会议室</w:t>
            </w:r>
          </w:p>
        </w:tc>
      </w:tr>
    </w:tbl>
    <w:p>
      <w:pPr>
        <w:bidi w:val="0"/>
        <w:rPr>
          <w:kern w:val="2"/>
          <w:sz w:val="21"/>
          <w:szCs w:val="24"/>
          <w:lang w:val="en-US" w:eastAsia="zh-CN" w:bidi="ar-SA"/>
        </w:rPr>
      </w:pPr>
    </w:p>
    <w:p>
      <w:pPr>
        <w:tabs>
          <w:tab w:val="left" w:pos="2322"/>
        </w:tabs>
        <w:bidi w:val="0"/>
        <w:jc w:val="left"/>
        <w:rPr>
          <w:rFonts w:hint="default"/>
          <w:color w:val="auto"/>
          <w:lang w:val="en-US" w:eastAsia="zh-CN"/>
        </w:rPr>
      </w:pPr>
      <w:r>
        <w:rPr>
          <w:rFonts w:hint="eastAsia" w:ascii="宋体" w:hAnsi="宋体"/>
          <w:color w:val="auto"/>
          <w:szCs w:val="21"/>
          <w:highlight w:val="none"/>
          <w:lang w:eastAsia="zh-CN"/>
        </w:rPr>
        <w:t>注：</w:t>
      </w:r>
      <w:r>
        <w:rPr>
          <w:rFonts w:ascii="宋体" w:hAnsi="宋体"/>
          <w:color w:val="auto"/>
          <w:szCs w:val="21"/>
          <w:highlight w:val="none"/>
        </w:rPr>
        <w:t xml:space="preserve"> </w:t>
      </w:r>
      <w:r>
        <w:rPr>
          <w:rFonts w:hint="eastAsia" w:ascii="宋体" w:hAnsi="宋体"/>
          <w:color w:val="auto"/>
          <w:szCs w:val="21"/>
          <w:highlight w:val="none"/>
        </w:rPr>
        <w:t>逾期送达的投标文件，招标人不予受理。</w:t>
      </w:r>
      <w:r>
        <w:rPr>
          <w:rFonts w:hint="eastAsia" w:ascii="宋体" w:hAnsi="宋体"/>
          <w:color w:val="auto"/>
          <w:sz w:val="24"/>
          <w:highlight w:val="none"/>
          <w:lang w:val="en-US" w:eastAsia="zh-CN"/>
        </w:rPr>
        <w:t xml:space="preserve">   </w:t>
      </w:r>
    </w:p>
    <w:p>
      <w:pPr>
        <w:pStyle w:val="12"/>
        <w:numPr>
          <w:ilvl w:val="0"/>
          <w:numId w:val="0"/>
        </w:numPr>
        <w:snapToGrid w:val="0"/>
        <w:spacing w:before="0" w:line="440" w:lineRule="exact"/>
        <w:ind w:firstLine="482" w:firstLineChars="200"/>
        <w:outlineLvl w:val="1"/>
        <w:rPr>
          <w:rFonts w:hint="eastAsia" w:eastAsia="宋体" w:cs="Times New Roman"/>
          <w:b/>
          <w:color w:val="auto"/>
          <w:sz w:val="24"/>
          <w:szCs w:val="24"/>
          <w:highlight w:val="none"/>
          <w:lang w:val="en-US" w:eastAsia="zh-CN"/>
        </w:rPr>
      </w:pPr>
      <w:bookmarkStart w:id="43" w:name="_Toc470011306"/>
      <w:r>
        <w:rPr>
          <w:rFonts w:hint="eastAsia" w:eastAsia="宋体" w:cs="Times New Roman"/>
          <w:b/>
          <w:color w:val="auto"/>
          <w:sz w:val="24"/>
          <w:szCs w:val="24"/>
          <w:highlight w:val="none"/>
          <w:lang w:val="en-US" w:eastAsia="zh-CN"/>
        </w:rPr>
        <w:t>6. 开标时间及地点</w:t>
      </w:r>
    </w:p>
    <w:p>
      <w:pPr>
        <w:pStyle w:val="12"/>
        <w:keepNext/>
        <w:keepLines/>
        <w:pageBreakBefore w:val="0"/>
        <w:widowControl w:val="0"/>
        <w:numPr>
          <w:ilvl w:val="0"/>
          <w:numId w:val="0"/>
        </w:numPr>
        <w:kinsoku/>
        <w:wordWrap/>
        <w:overflowPunct/>
        <w:topLinePunct w:val="0"/>
        <w:autoSpaceDE/>
        <w:autoSpaceDN/>
        <w:bidi w:val="0"/>
        <w:adjustRightInd/>
        <w:snapToGrid w:val="0"/>
        <w:spacing w:before="0" w:line="440" w:lineRule="exact"/>
        <w:ind w:left="105" w:leftChars="50" w:firstLine="420" w:firstLineChars="200"/>
        <w:textAlignment w:val="auto"/>
        <w:outlineLvl w:val="1"/>
        <w:rPr>
          <w:rFonts w:hint="default" w:eastAsia="宋体" w:cs="Times New Roman"/>
          <w:b w:val="0"/>
          <w:bCs/>
          <w:color w:val="auto"/>
          <w:sz w:val="24"/>
          <w:szCs w:val="24"/>
          <w:highlight w:val="none"/>
          <w:lang w:val="en-US" w:eastAsia="zh-CN"/>
        </w:rPr>
      </w:pPr>
      <w:r>
        <w:rPr>
          <w:rFonts w:hint="eastAsia" w:eastAsia="宋体" w:cs="Times New Roman"/>
          <w:b w:val="0"/>
          <w:bCs/>
          <w:color w:val="auto"/>
          <w:sz w:val="21"/>
          <w:szCs w:val="21"/>
          <w:highlight w:val="none"/>
          <w:lang w:val="en-US" w:eastAsia="zh-CN"/>
        </w:rPr>
        <w:t>开标时间和地点：同投标文件递交截止时间和地点。</w:t>
      </w:r>
    </w:p>
    <w:p>
      <w:pPr>
        <w:pStyle w:val="12"/>
        <w:snapToGrid w:val="0"/>
        <w:spacing w:before="0" w:line="440" w:lineRule="exact"/>
        <w:ind w:firstLine="506" w:firstLineChars="210"/>
        <w:outlineLvl w:val="1"/>
        <w:rPr>
          <w:rFonts w:hint="eastAsia" w:eastAsia="宋体" w:cs="Times New Roman"/>
          <w:b/>
          <w:color w:val="auto"/>
          <w:sz w:val="24"/>
          <w:szCs w:val="24"/>
          <w:highlight w:val="none"/>
          <w:lang w:eastAsia="zh-CN"/>
        </w:rPr>
      </w:pPr>
      <w:r>
        <w:rPr>
          <w:rFonts w:hint="eastAsia" w:eastAsia="宋体" w:cs="Times New Roman"/>
          <w:b/>
          <w:color w:val="auto"/>
          <w:sz w:val="24"/>
          <w:szCs w:val="24"/>
          <w:highlight w:val="none"/>
          <w:lang w:val="en-US" w:eastAsia="zh-CN"/>
        </w:rPr>
        <w:t xml:space="preserve">7. </w:t>
      </w:r>
      <w:r>
        <w:rPr>
          <w:rFonts w:hint="eastAsia" w:eastAsia="宋体" w:cs="Times New Roman"/>
          <w:b/>
          <w:color w:val="auto"/>
          <w:sz w:val="24"/>
          <w:szCs w:val="24"/>
          <w:highlight w:val="none"/>
          <w:lang w:eastAsia="zh-CN"/>
        </w:rPr>
        <w:t>发布公告的媒介</w:t>
      </w:r>
      <w:bookmarkEnd w:id="43"/>
    </w:p>
    <w:p>
      <w:pPr>
        <w:spacing w:line="460" w:lineRule="exact"/>
        <w:ind w:left="239" w:leftChars="114" w:firstLine="283" w:firstLineChars="135"/>
        <w:rPr>
          <w:rFonts w:hint="eastAsia"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本次招标公告同时在</w:t>
      </w:r>
      <w:r>
        <w:rPr>
          <w:rFonts w:hint="eastAsia" w:eastAsia="宋体" w:cs="Times New Roman"/>
          <w:b w:val="0"/>
          <w:bCs/>
          <w:color w:val="auto"/>
          <w:kern w:val="2"/>
          <w:sz w:val="21"/>
          <w:szCs w:val="21"/>
          <w:highlight w:val="none"/>
          <w:u w:val="single"/>
          <w:lang w:val="en-US" w:eastAsia="zh-CN" w:bidi="ar-SA"/>
        </w:rPr>
        <w:t xml:space="preserve"> 通州区政府采购网、中国政府采购网、北京市政府采购网 </w:t>
      </w:r>
      <w:r>
        <w:rPr>
          <w:rFonts w:hint="eastAsia" w:eastAsia="宋体" w:cs="Times New Roman"/>
          <w:b w:val="0"/>
          <w:bCs/>
          <w:color w:val="auto"/>
          <w:kern w:val="2"/>
          <w:sz w:val="21"/>
          <w:szCs w:val="21"/>
          <w:highlight w:val="none"/>
          <w:lang w:val="en-US" w:eastAsia="zh-CN" w:bidi="ar-SA"/>
        </w:rPr>
        <w:t>（发布公告的媒介名称）上发布。</w:t>
      </w:r>
    </w:p>
    <w:p>
      <w:pPr>
        <w:pStyle w:val="12"/>
        <w:snapToGrid w:val="0"/>
        <w:spacing w:before="0" w:line="440" w:lineRule="exact"/>
        <w:ind w:firstLine="506" w:firstLineChars="210"/>
        <w:rPr>
          <w:rFonts w:eastAsia="宋体" w:cs="Times New Roman"/>
          <w:b/>
          <w:color w:val="auto"/>
          <w:sz w:val="24"/>
          <w:szCs w:val="24"/>
          <w:highlight w:val="none"/>
          <w:lang w:eastAsia="zh-CN"/>
        </w:rPr>
      </w:pPr>
      <w:r>
        <w:rPr>
          <w:rFonts w:hint="eastAsia" w:eastAsia="宋体" w:cs="Times New Roman"/>
          <w:b/>
          <w:color w:val="auto"/>
          <w:sz w:val="24"/>
          <w:szCs w:val="24"/>
          <w:highlight w:val="none"/>
          <w:lang w:val="en-US" w:eastAsia="zh-CN"/>
        </w:rPr>
        <w:t>8</w:t>
      </w:r>
      <w:r>
        <w:rPr>
          <w:rFonts w:eastAsia="宋体" w:cs="Times New Roman"/>
          <w:b/>
          <w:color w:val="auto"/>
          <w:sz w:val="24"/>
          <w:szCs w:val="24"/>
          <w:highlight w:val="none"/>
          <w:lang w:eastAsia="zh-CN"/>
        </w:rPr>
        <w:t>. 联系方式</w:t>
      </w:r>
      <w:bookmarkEnd w:id="9"/>
      <w:bookmarkEnd w:id="10"/>
      <w:bookmarkEnd w:id="11"/>
      <w:bookmarkEnd w:id="12"/>
      <w:bookmarkEnd w:id="13"/>
      <w:bookmarkEnd w:id="14"/>
      <w:bookmarkEnd w:id="15"/>
      <w:bookmarkEnd w:id="16"/>
      <w:bookmarkEnd w:id="17"/>
      <w:bookmarkStart w:id="48" w:name="_GoBack"/>
      <w:bookmarkEnd w:id="48"/>
    </w:p>
    <w:p>
      <w:pPr>
        <w:snapToGrid w:val="0"/>
        <w:spacing w:line="440" w:lineRule="exact"/>
        <w:ind w:left="19" w:leftChars="9" w:firstLine="438" w:firstLineChars="209"/>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1.采购人信息</w:t>
      </w:r>
    </w:p>
    <w:p>
      <w:pPr>
        <w:snapToGrid w:val="0"/>
        <w:spacing w:line="440" w:lineRule="exact"/>
        <w:ind w:left="19" w:leftChars="9" w:firstLine="438" w:firstLineChars="209"/>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称：北京市通州区融媒体中心</w:t>
      </w:r>
    </w:p>
    <w:p>
      <w:pPr>
        <w:snapToGrid w:val="0"/>
        <w:spacing w:line="440" w:lineRule="exact"/>
        <w:ind w:left="19" w:leftChars="9" w:firstLine="438" w:firstLineChars="209"/>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地址：：北京市通州区新华西街1号</w:t>
      </w:r>
    </w:p>
    <w:p>
      <w:pPr>
        <w:snapToGrid w:val="0"/>
        <w:spacing w:line="440" w:lineRule="exact"/>
        <w:ind w:left="19" w:leftChars="9" w:firstLine="438" w:firstLineChars="209"/>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bookmarkStart w:id="44" w:name="_Toc28359086"/>
      <w:bookmarkStart w:id="45" w:name="_Toc28359009"/>
      <w:r>
        <w:rPr>
          <w:rFonts w:hint="eastAsia" w:ascii="宋体" w:hAnsi="宋体" w:eastAsia="宋体" w:cs="宋体"/>
          <w:color w:val="auto"/>
          <w:sz w:val="21"/>
          <w:szCs w:val="21"/>
          <w:highlight w:val="none"/>
          <w:lang w:val="en-US" w:eastAsia="zh-CN"/>
        </w:rPr>
        <w:t>010-69559545</w:t>
      </w:r>
    </w:p>
    <w:p>
      <w:pPr>
        <w:snapToGrid w:val="0"/>
        <w:spacing w:line="440" w:lineRule="exact"/>
        <w:ind w:left="19" w:leftChars="9" w:firstLine="438" w:firstLineChars="209"/>
        <w:jc w:val="both"/>
        <w:rPr>
          <w:rFonts w:hint="eastAsia" w:ascii="宋体" w:hAnsi="宋体" w:eastAsia="宋体" w:cs="宋体"/>
          <w:color w:val="auto"/>
          <w:sz w:val="21"/>
          <w:szCs w:val="21"/>
          <w:highlight w:val="none"/>
          <w:lang w:val="en-US" w:eastAsia="zh-CN"/>
        </w:rPr>
      </w:pPr>
    </w:p>
    <w:p>
      <w:pPr>
        <w:snapToGrid w:val="0"/>
        <w:spacing w:line="440" w:lineRule="exact"/>
        <w:ind w:left="19" w:leftChars="9" w:firstLine="438" w:firstLineChars="209"/>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2.采购代理机构信息</w:t>
      </w:r>
      <w:bookmarkEnd w:id="44"/>
      <w:bookmarkEnd w:id="45"/>
    </w:p>
    <w:p>
      <w:pPr>
        <w:snapToGrid w:val="0"/>
        <w:spacing w:line="440" w:lineRule="exact"/>
        <w:ind w:left="19" w:leftChars="9" w:firstLine="438" w:firstLineChars="209"/>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称：德汇工程管理（北京）有限公司</w:t>
      </w:r>
    </w:p>
    <w:p>
      <w:pPr>
        <w:snapToGrid w:val="0"/>
        <w:spacing w:line="440" w:lineRule="exact"/>
        <w:ind w:left="19" w:leftChars="9" w:firstLine="438" w:firstLineChars="209"/>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址：北京市丰台区汽车博物馆东路盈坤世纪大厦7层702-705</w:t>
      </w:r>
    </w:p>
    <w:p>
      <w:pPr>
        <w:snapToGrid w:val="0"/>
        <w:spacing w:line="440" w:lineRule="exact"/>
        <w:ind w:left="19" w:leftChars="9" w:firstLine="438" w:firstLineChars="209"/>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bookmarkStart w:id="46" w:name="_Toc28359087"/>
      <w:bookmarkStart w:id="47" w:name="_Toc28359010"/>
      <w:r>
        <w:rPr>
          <w:rFonts w:hint="eastAsia" w:ascii="宋体" w:hAnsi="宋体" w:eastAsia="宋体" w:cs="宋体"/>
          <w:color w:val="auto"/>
          <w:sz w:val="21"/>
          <w:szCs w:val="21"/>
          <w:highlight w:val="none"/>
          <w:lang w:val="en-US" w:eastAsia="zh-CN"/>
        </w:rPr>
        <w:t>13811911691</w:t>
      </w:r>
    </w:p>
    <w:p>
      <w:pPr>
        <w:snapToGrid w:val="0"/>
        <w:spacing w:line="440" w:lineRule="exact"/>
        <w:ind w:left="19" w:leftChars="9" w:firstLine="438" w:firstLineChars="209"/>
        <w:jc w:val="both"/>
        <w:rPr>
          <w:rFonts w:hint="eastAsia" w:ascii="宋体" w:hAnsi="宋体" w:eastAsia="宋体" w:cs="宋体"/>
          <w:color w:val="auto"/>
          <w:sz w:val="21"/>
          <w:szCs w:val="21"/>
          <w:highlight w:val="none"/>
          <w:lang w:val="en-US" w:eastAsia="zh-CN"/>
        </w:rPr>
      </w:pPr>
    </w:p>
    <w:p>
      <w:pPr>
        <w:snapToGrid w:val="0"/>
        <w:spacing w:line="440" w:lineRule="exact"/>
        <w:ind w:left="19" w:leftChars="9" w:firstLine="438" w:firstLineChars="209"/>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3.项目联系方式</w:t>
      </w:r>
      <w:bookmarkEnd w:id="46"/>
      <w:bookmarkEnd w:id="47"/>
    </w:p>
    <w:p>
      <w:pPr>
        <w:snapToGrid w:val="0"/>
        <w:spacing w:line="440" w:lineRule="exact"/>
        <w:ind w:left="19" w:leftChars="9" w:firstLine="438" w:firstLineChars="209"/>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项目联系人：周觅</w:t>
      </w:r>
    </w:p>
    <w:p>
      <w:pPr>
        <w:snapToGrid w:val="0"/>
        <w:spacing w:line="440" w:lineRule="exact"/>
        <w:ind w:left="19" w:leftChars="9" w:firstLine="438" w:firstLineChars="209"/>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话：010-69559545</w:t>
      </w:r>
    </w:p>
    <w:p>
      <w:pPr>
        <w:spacing w:line="4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400" w:lineRule="exact"/>
        <w:ind w:firstLine="4410" w:firstLineChars="2100"/>
        <w:rPr>
          <w:rFonts w:hint="eastAsia" w:ascii="宋体" w:hAnsi="宋体" w:eastAsia="宋体" w:cs="宋体"/>
          <w:sz w:val="21"/>
          <w:szCs w:val="21"/>
        </w:rPr>
      </w:pPr>
      <w:r>
        <w:rPr>
          <w:rFonts w:hint="eastAsia" w:ascii="宋体" w:hAnsi="宋体" w:eastAsia="宋体" w:cs="宋体"/>
          <w:sz w:val="21"/>
          <w:szCs w:val="21"/>
        </w:rPr>
        <w:t>德汇工程管理（北京）有限公司</w:t>
      </w:r>
    </w:p>
    <w:p>
      <w:pPr>
        <w:spacing w:line="400" w:lineRule="exact"/>
        <w:ind w:firstLine="4830" w:firstLineChars="2300"/>
        <w:rPr>
          <w:rFonts w:hint="eastAsia" w:ascii="宋体" w:hAnsi="宋体" w:eastAsia="宋体" w:cs="宋体"/>
          <w:color w:val="auto"/>
          <w:sz w:val="21"/>
          <w:szCs w:val="21"/>
        </w:rPr>
      </w:pPr>
      <w:r>
        <w:rPr>
          <w:rFonts w:hint="eastAsia" w:ascii="宋体" w:hAnsi="宋体" w:eastAsia="宋体" w:cs="宋体"/>
          <w:sz w:val="21"/>
          <w:szCs w:val="21"/>
        </w:rPr>
        <w:t>日期： 2020 年4月24日</w:t>
      </w:r>
    </w:p>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B5EFF"/>
    <w:multiLevelType w:val="singleLevel"/>
    <w:tmpl w:val="898B5EFF"/>
    <w:lvl w:ilvl="0" w:tentative="0">
      <w:start w:val="3"/>
      <w:numFmt w:val="decimal"/>
      <w:suff w:val="nothing"/>
      <w:lvlText w:val="%1、"/>
      <w:lvlJc w:val="left"/>
    </w:lvl>
  </w:abstractNum>
  <w:abstractNum w:abstractNumId="1">
    <w:nsid w:val="FC610F72"/>
    <w:multiLevelType w:val="singleLevel"/>
    <w:tmpl w:val="FC610F72"/>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B55EE"/>
    <w:rsid w:val="02A024EB"/>
    <w:rsid w:val="032D6F39"/>
    <w:rsid w:val="04266322"/>
    <w:rsid w:val="08392018"/>
    <w:rsid w:val="12AC51F8"/>
    <w:rsid w:val="1A006068"/>
    <w:rsid w:val="1C620280"/>
    <w:rsid w:val="21D8128A"/>
    <w:rsid w:val="24DA094F"/>
    <w:rsid w:val="363D56AE"/>
    <w:rsid w:val="3763349F"/>
    <w:rsid w:val="39DA0874"/>
    <w:rsid w:val="3A2D2737"/>
    <w:rsid w:val="3DB451FC"/>
    <w:rsid w:val="452A69C6"/>
    <w:rsid w:val="4DB97DF8"/>
    <w:rsid w:val="66C6732E"/>
    <w:rsid w:val="6A673C1A"/>
    <w:rsid w:val="6C8F3F89"/>
    <w:rsid w:val="6F561443"/>
    <w:rsid w:val="79720847"/>
    <w:rsid w:val="797B5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widowControl/>
      <w:adjustRightInd w:val="0"/>
      <w:snapToGrid w:val="0"/>
      <w:spacing w:before="240" w:after="120" w:line="440" w:lineRule="exact"/>
      <w:jc w:val="center"/>
      <w:outlineLvl w:val="1"/>
    </w:pPr>
    <w:rPr>
      <w:b/>
      <w:kern w:val="0"/>
      <w:sz w:val="44"/>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widowControl/>
      <w:ind w:firstLine="420" w:firstLineChars="200"/>
    </w:pPr>
    <w:rPr>
      <w:rFonts w:ascii="仿宋_GB2312" w:eastAsia="仿宋_GB2312"/>
      <w:color w:val="FF6600"/>
      <w:szCs w:val="20"/>
    </w:rPr>
  </w:style>
  <w:style w:type="paragraph" w:styleId="3">
    <w:name w:val="Body Text Indent"/>
    <w:basedOn w:val="1"/>
    <w:qFormat/>
    <w:uiPriority w:val="99"/>
    <w:pPr>
      <w:spacing w:after="120"/>
      <w:ind w:left="420" w:leftChars="200"/>
    </w:pPr>
  </w:style>
  <w:style w:type="paragraph" w:styleId="5">
    <w:name w:val="Body Text"/>
    <w:basedOn w:val="1"/>
    <w:qFormat/>
    <w:uiPriority w:val="0"/>
    <w:rPr>
      <w:color w:val="FF0000"/>
      <w:szCs w:val="20"/>
    </w:rPr>
  </w:style>
  <w:style w:type="paragraph" w:styleId="6">
    <w:name w:val="Plain Text"/>
    <w:basedOn w:val="1"/>
    <w:qFormat/>
    <w:uiPriority w:val="0"/>
    <w:rPr>
      <w:rFonts w:ascii="宋体" w:hAnsi="Courier New" w:cs="Courier New"/>
      <w:szCs w:val="21"/>
    </w:rPr>
  </w:style>
  <w:style w:type="paragraph" w:styleId="7">
    <w:name w:val="table of figures"/>
    <w:basedOn w:val="1"/>
    <w:next w:val="1"/>
    <w:unhideWhenUsed/>
    <w:qFormat/>
    <w:uiPriority w:val="99"/>
    <w:pPr>
      <w:ind w:left="200" w:leftChars="200" w:hanging="200" w:hanging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99"/>
    <w:rPr>
      <w:color w:val="4F4F4F"/>
      <w:u w:val="none"/>
    </w:rPr>
  </w:style>
  <w:style w:type="paragraph" w:customStyle="1" w:styleId="12">
    <w:name w:val="样式 标题 2 + Times New Roman 四号 非加粗 段前: 5 磅 段后: 0 磅 行距: 固定值 20..."/>
    <w:basedOn w:val="4"/>
    <w:qFormat/>
    <w:uiPriority w:val="0"/>
    <w:pPr>
      <w:widowControl w:val="0"/>
      <w:adjustRightInd/>
      <w:snapToGrid/>
      <w:spacing w:before="100" w:after="0" w:line="400" w:lineRule="exact"/>
      <w:jc w:val="both"/>
    </w:pPr>
    <w:rPr>
      <w:rFonts w:eastAsia="黑体" w:cs="宋体"/>
      <w:b w:val="0"/>
      <w:kern w:val="2"/>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2019-12-20T00:47:00Z</dcterms:created>
  <dc:creator>Met  is lucky</dc:creator>
  <cp:lastModifiedBy>天空之城</cp:lastModifiedBy>
  <dcterms:modified xsi:type="dcterms:W3CDTF">2020-04-24T09:17:31Z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