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51" w:rsidRDefault="0059198D">
      <w:pPr>
        <w:spacing w:line="360" w:lineRule="auto"/>
        <w:jc w:val="center"/>
        <w:rPr>
          <w:rStyle w:val="NormalCharacter"/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Style w:val="NormalCharacter"/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北京国际招标有限公司</w:t>
      </w:r>
    </w:p>
    <w:p w:rsidR="008B4251" w:rsidRDefault="0059198D">
      <w:pPr>
        <w:spacing w:line="360" w:lineRule="auto"/>
        <w:jc w:val="center"/>
        <w:rPr>
          <w:rStyle w:val="NormalCharacter"/>
          <w:rFonts w:ascii="宋体" w:hAnsi="宋体" w:cs="宋体"/>
          <w:b/>
          <w:bCs/>
          <w:color w:val="000000"/>
          <w:kern w:val="36"/>
          <w:sz w:val="24"/>
          <w:szCs w:val="24"/>
        </w:rPr>
      </w:pPr>
      <w:bookmarkStart w:id="0" w:name="_Toc35393832"/>
      <w:bookmarkStart w:id="1" w:name="_Toc28359042"/>
      <w:r>
        <w:rPr>
          <w:rStyle w:val="NormalCharacter"/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单一来源采购公示</w:t>
      </w:r>
      <w:bookmarkEnd w:id="0"/>
      <w:bookmarkEnd w:id="1"/>
    </w:p>
    <w:p w:rsidR="008B4251" w:rsidRDefault="0059198D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一、项目信息</w:t>
      </w:r>
    </w:p>
    <w:p w:rsidR="008B4251" w:rsidRDefault="0059198D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采购人：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中国共产党北京市委员会宣传部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</w:p>
    <w:p w:rsidR="008B4251" w:rsidRDefault="0059198D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项目名称：</w:t>
      </w:r>
      <w:r w:rsidRPr="0059198D"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 w:rsidRPr="0059198D"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>《大学生》杂志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服务项目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</w:p>
    <w:p w:rsidR="008B4251" w:rsidRDefault="0059198D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拟采购的货物或服务的说明：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1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．购买内容：《大学生》杂志；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2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．购买数量：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210600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册；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3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．购买年限：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2020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年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1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月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-2020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年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12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月出版的《大学生》杂志，杂志为月刊，一共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12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期；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4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．杂志质量要求：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 xml:space="preserve">4.1 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乙方应提供国家正式出版的《大学生》杂志，不得提供存在盗版、错订、破损、缺页、污损、附件不全及印刷错误等问题的杂志；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4.2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对于有上述质量问题的杂志，一经发现需无条件退还；</w:t>
      </w:r>
    </w:p>
    <w:p w:rsidR="008B4251" w:rsidRDefault="0059198D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拟采购的货物或服务的预算金额：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>人民币人民币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>2,860,000.00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元　</w:t>
      </w:r>
    </w:p>
    <w:p w:rsidR="008B4251" w:rsidRDefault="0059198D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采用单一来源采购方式的原因及说明：</w:t>
      </w:r>
    </w:p>
    <w:p w:rsidR="008B4251" w:rsidRDefault="0059198D">
      <w:pPr>
        <w:spacing w:line="360" w:lineRule="auto"/>
        <w:ind w:firstLineChars="200" w:firstLine="420"/>
        <w:rPr>
          <w:rStyle w:val="NormalCharacter"/>
          <w:rFonts w:asciiTheme="minorEastAsia" w:eastAsiaTheme="minorEastAsia" w:hAnsiTheme="minorEastAsia" w:cstheme="minorEastAsia"/>
          <w:color w:val="FF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开展向首都高校新生增刊活动，是向青年学生传播弘扬社会主义核心价值观的一种尝试，通过《大学生》杂志固有的特色和品牌影响力，为政府和高校师生搭建对话和交流的平台，将思想政治教育变成图文并茂的文章，更接地气，更容易让青年人接受，充分体现了党和政府对大学生群体的关心关爱。《大学生》杂志为市委宣传部主管、前线杂志社出版发行。</w:t>
      </w:r>
    </w:p>
    <w:p w:rsidR="008B4251" w:rsidRDefault="0059198D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二、拟定供应商信息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名称：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中共北京市委前线杂志社　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地址：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北京市丰台区西三环南路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1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号　</w:t>
      </w:r>
    </w:p>
    <w:p w:rsidR="008B4251" w:rsidRDefault="0059198D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三、公示期限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Fonts w:asciiTheme="minorEastAsia" w:eastAsiaTheme="minorEastAsia" w:hAnsiTheme="minorEastAsia" w:cstheme="minorEastAsia"/>
          <w:szCs w:val="21"/>
        </w:rPr>
      </w:pPr>
      <w:bookmarkStart w:id="2" w:name="_GoBack"/>
      <w:r>
        <w:rPr>
          <w:rFonts w:asciiTheme="minorEastAsia" w:eastAsiaTheme="minorEastAsia" w:hAnsiTheme="minorEastAsia" w:cstheme="minorEastAsia" w:hint="eastAsia"/>
          <w:szCs w:val="21"/>
        </w:rPr>
        <w:t>本公示有效期为</w:t>
      </w:r>
      <w:r>
        <w:rPr>
          <w:rFonts w:asciiTheme="minorEastAsia" w:eastAsiaTheme="minorEastAsia" w:hAnsiTheme="minorEastAsia" w:cstheme="minorEastAsia" w:hint="eastAsia"/>
          <w:szCs w:val="21"/>
        </w:rPr>
        <w:t>2020</w:t>
      </w:r>
      <w:r>
        <w:rPr>
          <w:rFonts w:asciiTheme="minorEastAsia" w:eastAsiaTheme="minorEastAsia" w:hAnsiTheme="minorEastAsia" w:cstheme="minorEastAsia" w:hint="eastAsia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Cs w:val="21"/>
        </w:rPr>
        <w:t>09</w:t>
      </w:r>
      <w:r>
        <w:rPr>
          <w:rFonts w:asciiTheme="minorEastAsia" w:eastAsiaTheme="minorEastAsia" w:hAnsiTheme="minorEastAsia" w:cstheme="minorEastAsia" w:hint="eastAsia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Cs w:val="21"/>
        </w:rPr>
        <w:t>07</w:t>
      </w:r>
      <w:r>
        <w:rPr>
          <w:rFonts w:asciiTheme="minorEastAsia" w:eastAsiaTheme="minorEastAsia" w:hAnsiTheme="minorEastAsia" w:cstheme="minorEastAsia" w:hint="eastAsia"/>
          <w:szCs w:val="21"/>
        </w:rPr>
        <w:t>日至</w:t>
      </w:r>
      <w:r>
        <w:rPr>
          <w:rFonts w:asciiTheme="minorEastAsia" w:eastAsiaTheme="minorEastAsia" w:hAnsiTheme="minorEastAsia" w:cstheme="minorEastAsia" w:hint="eastAsia"/>
          <w:szCs w:val="21"/>
        </w:rPr>
        <w:t>2020</w:t>
      </w:r>
      <w:r>
        <w:rPr>
          <w:rFonts w:asciiTheme="minorEastAsia" w:eastAsiaTheme="minorEastAsia" w:hAnsiTheme="minorEastAsia" w:cstheme="minorEastAsia" w:hint="eastAsia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Cs w:val="21"/>
        </w:rPr>
        <w:t>09</w:t>
      </w:r>
      <w:r>
        <w:rPr>
          <w:rFonts w:asciiTheme="minorEastAsia" w:eastAsiaTheme="minorEastAsia" w:hAnsiTheme="minorEastAsia" w:cstheme="minorEastAsia" w:hint="eastAsia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Cs w:val="21"/>
        </w:rPr>
        <w:t>日，在此期间，有关单位和个人如对本项目采用单一来源采购方式有异议，请以书面形式在公示有效期内向北京国际招标有限公司或</w:t>
      </w:r>
      <w:r>
        <w:rPr>
          <w:rFonts w:asciiTheme="minorEastAsia" w:eastAsiaTheme="minorEastAsia" w:hAnsiTheme="minorEastAsia" w:cstheme="minorEastAsia" w:hint="eastAsia"/>
          <w:szCs w:val="21"/>
        </w:rPr>
        <w:t>中国共产党北京市委员会宣传部</w:t>
      </w:r>
      <w:r>
        <w:rPr>
          <w:rFonts w:asciiTheme="minorEastAsia" w:eastAsiaTheme="minorEastAsia" w:hAnsiTheme="minorEastAsia" w:cstheme="minorEastAsia" w:hint="eastAsia"/>
          <w:szCs w:val="21"/>
        </w:rPr>
        <w:t>反映。</w:t>
      </w:r>
    </w:p>
    <w:bookmarkEnd w:id="2"/>
    <w:p w:rsidR="008B4251" w:rsidRDefault="0059198D">
      <w:pPr>
        <w:widowControl w:val="0"/>
        <w:numPr>
          <w:ilvl w:val="0"/>
          <w:numId w:val="1"/>
        </w:numPr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其他补充事宜：</w:t>
      </w:r>
    </w:p>
    <w:p w:rsidR="008B4251" w:rsidRDefault="0059198D">
      <w:pPr>
        <w:spacing w:line="360" w:lineRule="auto"/>
        <w:outlineLvl w:val="0"/>
        <w:rPr>
          <w:rStyle w:val="NormalCharacter"/>
          <w:rFonts w:asciiTheme="minorEastAsia" w:eastAsiaTheme="minorEastAsia" w:hAnsiTheme="minorEastAsia" w:cstheme="minorEastAsia"/>
          <w:b/>
          <w:bCs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4.1</w:t>
      </w: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专业技术人员姓名、工作单位及职称：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4348"/>
        <w:gridCol w:w="2287"/>
      </w:tblGrid>
      <w:tr w:rsidR="008B4251">
        <w:trPr>
          <w:trHeight w:val="364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姓名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工作单位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职称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职务</w:t>
            </w:r>
          </w:p>
        </w:tc>
      </w:tr>
      <w:tr w:rsidR="008B4251"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史利</w:t>
            </w:r>
            <w:proofErr w:type="gramEnd"/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中国国际广播电台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正高</w:t>
            </w:r>
          </w:p>
        </w:tc>
      </w:tr>
      <w:tr w:rsidR="008B4251"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牛睿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中广电设计研究院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正高</w:t>
            </w:r>
          </w:p>
        </w:tc>
      </w:tr>
      <w:tr w:rsidR="008B4251">
        <w:trPr>
          <w:trHeight w:val="281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高建新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北京国金管理咨询公司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251" w:rsidRDefault="0059198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高工</w:t>
            </w:r>
          </w:p>
        </w:tc>
      </w:tr>
    </w:tbl>
    <w:p w:rsidR="008B4251" w:rsidRDefault="0059198D">
      <w:pPr>
        <w:spacing w:line="360" w:lineRule="auto"/>
        <w:outlineLvl w:val="0"/>
        <w:rPr>
          <w:rStyle w:val="NormalCharacter"/>
          <w:rFonts w:asciiTheme="minorEastAsia" w:eastAsiaTheme="minorEastAsia" w:hAnsiTheme="minorEastAsia" w:cstheme="minorEastAsia"/>
          <w:b/>
          <w:bCs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4.2</w:t>
      </w: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专业技术人员论证意见：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本项目采购需求无歧视性、倾向性或其他不合理条款。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中国共产党北京市委员会宣传部开展向首都高校新生增刊活动，是向青年学生传播弘扬社会主义核心价值观的一种尝试，通过《大学生》杂志固有的特色和品牌影响力，为政府和高校师生搭建对话和交流的平台，将思想政治教育变成图文并茂的文章，更接地气，更容易让青年人接受，充分体现了党和政府对大学生群体的关心关爱。《大学生》杂志为市委宣传部主管、前线杂志社出版发行。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中共北京市委前线杂志社坚持“从实际生活中提出问题，从思想上理论上回答问题”的办刊方针。突出理论宣传和理论学习辅导，突出对首都改革发展实际问题研究，突出文化品位，发表了许多有较大社会影响的作品。具有该项目要求的服务能力。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鉴于该项目为公共服务，具有特殊性，符合《中华人民共和国政府采购法》第三十一条第一款：只能从唯一供应商处采购的，可以按照单一来源方式采购的规定采购。</w:t>
      </w:r>
    </w:p>
    <w:p w:rsidR="008B4251" w:rsidRDefault="0059198D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五、联系方式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szCs w:val="21"/>
        </w:rPr>
        <w:t>采购人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系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人：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>张润琪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联系地址：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北京市通州区运河东大街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56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号院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1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号楼　　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联系电话：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010-55569046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szCs w:val="21"/>
        </w:rPr>
        <w:t>财政部门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系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人：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袁林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联系地址：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北京市通州区承安路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3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号院　　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联系电话：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010-55592411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proofErr w:type="gramEnd"/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szCs w:val="21"/>
        </w:rPr>
        <w:t>采购代理机构（如有）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系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人：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罗文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、白辰　　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联系地址：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北京市东城区朝阳门北小街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71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号　　</w:t>
      </w:r>
    </w:p>
    <w:p w:rsidR="008B4251" w:rsidRDefault="0059198D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联系电话：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010-8404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6631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</w:p>
    <w:p w:rsidR="008B4251" w:rsidRDefault="0059198D">
      <w:pPr>
        <w:widowControl w:val="0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lastRenderedPageBreak/>
        <w:t>六、附件</w:t>
      </w:r>
    </w:p>
    <w:p w:rsidR="008B4251" w:rsidRDefault="0059198D">
      <w:pPr>
        <w:widowControl w:val="0"/>
        <w:spacing w:line="360" w:lineRule="auto"/>
        <w:ind w:firstLineChars="200" w:firstLine="420"/>
        <w:textAlignment w:val="auto"/>
        <w:rPr>
          <w:rStyle w:val="NormalCharacter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专业人员论证意见（格式见附件）</w:t>
      </w:r>
    </w:p>
    <w:sectPr w:rsidR="008B42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035B"/>
    <w:multiLevelType w:val="singleLevel"/>
    <w:tmpl w:val="3461035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8A4708"/>
    <w:rsid w:val="000D1072"/>
    <w:rsid w:val="00116037"/>
    <w:rsid w:val="00161247"/>
    <w:rsid w:val="003A0433"/>
    <w:rsid w:val="0059198D"/>
    <w:rsid w:val="00794E6B"/>
    <w:rsid w:val="008A4708"/>
    <w:rsid w:val="008B4251"/>
    <w:rsid w:val="008F5223"/>
    <w:rsid w:val="00974D2E"/>
    <w:rsid w:val="00E6535E"/>
    <w:rsid w:val="00F551D4"/>
    <w:rsid w:val="0EDF183C"/>
    <w:rsid w:val="18F83CA8"/>
    <w:rsid w:val="1B2839E7"/>
    <w:rsid w:val="354E4A58"/>
    <w:rsid w:val="3ACA2CAD"/>
    <w:rsid w:val="501A2714"/>
    <w:rsid w:val="598604C6"/>
    <w:rsid w:val="5BDB2AF0"/>
    <w:rsid w:val="653C2117"/>
    <w:rsid w:val="7F51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0"/>
    <w:qFormat/>
    <w:rPr>
      <w:sz w:val="18"/>
      <w:szCs w:val="18"/>
    </w:rPr>
  </w:style>
  <w:style w:type="paragraph" w:customStyle="1" w:styleId="10">
    <w:name w:val="页眉1"/>
    <w:basedOn w:val="a"/>
    <w:link w:val="UserStyle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UserStyle1">
    <w:name w:val="UserStyle_1"/>
    <w:link w:val="Acetate"/>
    <w:semiHidden/>
    <w:qFormat/>
    <w:rPr>
      <w:sz w:val="18"/>
      <w:szCs w:val="18"/>
    </w:rPr>
  </w:style>
  <w:style w:type="paragraph" w:customStyle="1" w:styleId="Acetate">
    <w:name w:val="Acetate"/>
    <w:basedOn w:val="a"/>
    <w:link w:val="UserStyle1"/>
    <w:qFormat/>
    <w:rPr>
      <w:kern w:val="0"/>
      <w:sz w:val="18"/>
      <w:szCs w:val="18"/>
    </w:rPr>
  </w:style>
  <w:style w:type="character" w:customStyle="1" w:styleId="UserStyle2">
    <w:name w:val="UserStyle_2"/>
    <w:link w:val="NavPane"/>
    <w:semiHidden/>
    <w:qFormat/>
    <w:rPr>
      <w:rFonts w:ascii="宋体"/>
      <w:kern w:val="2"/>
      <w:sz w:val="18"/>
      <w:szCs w:val="18"/>
    </w:rPr>
  </w:style>
  <w:style w:type="paragraph" w:customStyle="1" w:styleId="NavPane">
    <w:name w:val="NavPane"/>
    <w:basedOn w:val="a"/>
    <w:link w:val="UserStyle2"/>
    <w:qFormat/>
    <w:rPr>
      <w:rFonts w:ascii="宋体"/>
      <w:sz w:val="18"/>
      <w:szCs w:val="18"/>
    </w:rPr>
  </w:style>
  <w:style w:type="character" w:customStyle="1" w:styleId="UserStyle3">
    <w:name w:val="UserStyle_3"/>
    <w:link w:val="11"/>
    <w:qFormat/>
    <w:rPr>
      <w:sz w:val="18"/>
      <w:szCs w:val="18"/>
    </w:rPr>
  </w:style>
  <w:style w:type="paragraph" w:customStyle="1" w:styleId="11">
    <w:name w:val="页脚1"/>
    <w:basedOn w:val="a"/>
    <w:link w:val="UserStyle3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nnotationReference">
    <w:name w:val="AnnotationReference"/>
    <w:basedOn w:val="NormalCharacter"/>
    <w:semiHidden/>
    <w:qFormat/>
    <w:rPr>
      <w:sz w:val="21"/>
      <w:szCs w:val="21"/>
    </w:rPr>
  </w:style>
  <w:style w:type="paragraph" w:customStyle="1" w:styleId="AnnotationText">
    <w:name w:val="AnnotationText"/>
    <w:basedOn w:val="a"/>
    <w:link w:val="UserStyle4"/>
    <w:semiHidden/>
    <w:qFormat/>
    <w:pPr>
      <w:jc w:val="left"/>
    </w:pPr>
  </w:style>
  <w:style w:type="character" w:customStyle="1" w:styleId="UserStyle4">
    <w:name w:val="UserStyle_4"/>
    <w:basedOn w:val="NormalCharacter"/>
    <w:link w:val="AnnotationText"/>
    <w:semiHidden/>
    <w:qFormat/>
    <w:rPr>
      <w:kern w:val="2"/>
      <w:sz w:val="21"/>
      <w:szCs w:val="22"/>
    </w:rPr>
  </w:style>
  <w:style w:type="paragraph" w:customStyle="1" w:styleId="AnnotationSubject">
    <w:name w:val="AnnotationSubject"/>
    <w:basedOn w:val="AnnotationText"/>
    <w:next w:val="AnnotationText"/>
    <w:link w:val="UserStyle5"/>
    <w:semiHidden/>
    <w:qFormat/>
    <w:rPr>
      <w:b/>
      <w:bCs/>
    </w:rPr>
  </w:style>
  <w:style w:type="character" w:customStyle="1" w:styleId="UserStyle5">
    <w:name w:val="UserStyle_5"/>
    <w:basedOn w:val="UserStyle4"/>
    <w:link w:val="AnnotationSubject"/>
    <w:semiHidden/>
    <w:qFormat/>
    <w:rPr>
      <w:rFonts w:cs="Times New Roman"/>
      <w:b/>
      <w:bCs/>
      <w:kern w:val="2"/>
      <w:sz w:val="21"/>
      <w:szCs w:val="22"/>
    </w:rPr>
  </w:style>
  <w:style w:type="character" w:customStyle="1" w:styleId="Char2">
    <w:name w:val="页眉 Char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kern w:val="2"/>
      <w:sz w:val="18"/>
      <w:szCs w:val="18"/>
    </w:rPr>
  </w:style>
  <w:style w:type="paragraph" w:customStyle="1" w:styleId="2">
    <w:name w:val="正文 首行缩进:  2 字符"/>
    <w:basedOn w:val="a"/>
    <w:qFormat/>
    <w:pPr>
      <w:spacing w:line="360" w:lineRule="auto"/>
      <w:ind w:firstLine="480"/>
    </w:pPr>
    <w:rPr>
      <w:rFonts w:ascii="宋体" w:hAnsi="宋体"/>
      <w:sz w:val="24"/>
      <w:szCs w:val="20"/>
    </w:rPr>
  </w:style>
  <w:style w:type="paragraph" w:customStyle="1" w:styleId="12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20">
    <w:name w:val="无间隔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p0">
    <w:name w:val="p0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9">
    <w:name w:val="List Paragraph"/>
    <w:uiPriority w:val="34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Ydz</dc:creator>
  <cp:lastModifiedBy>lixx-cmd</cp:lastModifiedBy>
  <cp:revision>5</cp:revision>
  <dcterms:created xsi:type="dcterms:W3CDTF">2020-03-01T01:02:00Z</dcterms:created>
  <dcterms:modified xsi:type="dcterms:W3CDTF">2020-09-07T01:58:00Z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