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ascii="宋体" w:hAnsi="宋体"/>
          <w:b/>
          <w:sz w:val="44"/>
          <w:szCs w:val="44"/>
        </w:rPr>
      </w:pPr>
    </w:p>
    <w:p>
      <w:pPr>
        <w:ind w:firstLine="0" w:firstLineChars="0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大兴区公共资源交易平台</w:t>
      </w:r>
    </w:p>
    <w:p>
      <w:pPr>
        <w:ind w:firstLine="0" w:firstLineChars="0"/>
        <w:jc w:val="center"/>
        <w:rPr>
          <w:rFonts w:ascii="宋体" w:hAnsi="宋体"/>
          <w:b/>
          <w:sz w:val="44"/>
          <w:szCs w:val="44"/>
        </w:rPr>
      </w:pPr>
    </w:p>
    <w:p>
      <w:pPr>
        <w:ind w:firstLine="0" w:firstLineChars="0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政府采购</w:t>
      </w:r>
      <w:r>
        <w:rPr>
          <w:rFonts w:ascii="宋体" w:hAnsi="宋体"/>
          <w:b/>
          <w:sz w:val="44"/>
          <w:szCs w:val="44"/>
        </w:rPr>
        <w:t>交易</w:t>
      </w:r>
      <w:r>
        <w:rPr>
          <w:rFonts w:hint="eastAsia" w:ascii="宋体" w:hAnsi="宋体"/>
          <w:b/>
          <w:sz w:val="44"/>
          <w:szCs w:val="44"/>
        </w:rPr>
        <w:t>系统使用手册（供应商）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0" w:firstLineChars="0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广联达科技股份有限公司</w:t>
      </w:r>
    </w:p>
    <w:p>
      <w:pPr>
        <w:ind w:firstLine="228" w:firstLineChars="95"/>
      </w:pPr>
    </w:p>
    <w:p>
      <w:pPr>
        <w:ind w:firstLine="228" w:firstLineChars="95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eastAsia="宋体" w:cstheme="minorBidi"/>
          <w:color w:val="auto"/>
          <w:kern w:val="2"/>
          <w:sz w:val="24"/>
          <w:szCs w:val="22"/>
          <w:lang w:val="zh-CN"/>
        </w:rPr>
        <w:id w:val="-1262227803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20"/>
            <w:jc w:val="center"/>
          </w:pPr>
          <w:r>
            <w:rPr>
              <w:lang w:val="zh-CN"/>
            </w:rPr>
            <w:t>目录</w:t>
          </w:r>
        </w:p>
        <w:p>
          <w:pPr>
            <w:pStyle w:val="11"/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"_Toc10123740" </w:instrText>
          </w:r>
          <w:r>
            <w:fldChar w:fldCharType="separate"/>
          </w:r>
          <w:r>
            <w:rPr>
              <w:rStyle w:val="14"/>
              <w:rFonts w:hint="eastAsia"/>
            </w:rPr>
            <w:t>一．编写目的</w:t>
          </w:r>
          <w:r>
            <w:tab/>
          </w:r>
          <w:r>
            <w:fldChar w:fldCharType="begin"/>
          </w:r>
          <w:r>
            <w:instrText xml:space="preserve"> PAGEREF _Toc10123740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"_Toc10123741" </w:instrText>
          </w:r>
          <w:r>
            <w:fldChar w:fldCharType="separate"/>
          </w:r>
          <w:r>
            <w:rPr>
              <w:rStyle w:val="14"/>
              <w:rFonts w:hint="eastAsia"/>
            </w:rPr>
            <w:t>二．供应商指南</w:t>
          </w:r>
          <w:r>
            <w:tab/>
          </w:r>
          <w:r>
            <w:fldChar w:fldCharType="begin"/>
          </w:r>
          <w:r>
            <w:instrText xml:space="preserve"> PAGEREF _Toc10123741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"_Toc10123742" </w:instrText>
          </w:r>
          <w:r>
            <w:fldChar w:fldCharType="separate"/>
          </w:r>
          <w:r>
            <w:rPr>
              <w:rStyle w:val="14"/>
              <w:rFonts w:hint="eastAsia"/>
            </w:rPr>
            <w:t>1．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系统注册</w:t>
          </w:r>
          <w:r>
            <w:tab/>
          </w:r>
          <w:r>
            <w:fldChar w:fldCharType="begin"/>
          </w:r>
          <w:r>
            <w:instrText xml:space="preserve"> PAGEREF _Toc10123742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96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"_Toc10123743" </w:instrText>
          </w:r>
          <w:r>
            <w:fldChar w:fldCharType="separate"/>
          </w:r>
          <w:r>
            <w:rPr>
              <w:rStyle w:val="14"/>
            </w:rPr>
            <w:t xml:space="preserve">1.1  </w:t>
          </w:r>
          <w:r>
            <w:rPr>
              <w:rStyle w:val="14"/>
              <w:rFonts w:hint="eastAsia"/>
            </w:rPr>
            <w:t>供应商系统账号注册</w:t>
          </w:r>
          <w:r>
            <w:tab/>
          </w:r>
          <w:r>
            <w:fldChar w:fldCharType="begin"/>
          </w:r>
          <w:r>
            <w:instrText xml:space="preserve"> PAGEREF _Toc10123743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ind w:left="96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"_Toc10123744" </w:instrText>
          </w:r>
          <w:r>
            <w:fldChar w:fldCharType="separate"/>
          </w:r>
          <w:r>
            <w:rPr>
              <w:rStyle w:val="14"/>
            </w:rPr>
            <w:t xml:space="preserve">1.2  </w:t>
          </w:r>
          <w:r>
            <w:rPr>
              <w:rStyle w:val="14"/>
              <w:rFonts w:hint="eastAsia"/>
            </w:rPr>
            <w:t>供应商</w:t>
          </w:r>
          <w:r>
            <w:rPr>
              <w:rStyle w:val="14"/>
            </w:rPr>
            <w:t>CA</w:t>
          </w:r>
          <w:r>
            <w:rPr>
              <w:rStyle w:val="14"/>
              <w:rFonts w:hint="eastAsia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_Toc10123744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"_Toc10123745" </w:instrText>
          </w:r>
          <w:r>
            <w:fldChar w:fldCharType="separate"/>
          </w:r>
          <w:r>
            <w:rPr>
              <w:rStyle w:val="14"/>
              <w:rFonts w:hint="eastAsia"/>
            </w:rPr>
            <w:t>2．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_Toc10123745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"_Toc10123746" </w:instrText>
          </w:r>
          <w:r>
            <w:fldChar w:fldCharType="separate"/>
          </w:r>
          <w:r>
            <w:rPr>
              <w:rStyle w:val="14"/>
              <w:rFonts w:hint="eastAsia"/>
            </w:rPr>
            <w:t>3．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投标报名</w:t>
          </w:r>
          <w:r>
            <w:tab/>
          </w:r>
          <w:r>
            <w:fldChar w:fldCharType="begin"/>
          </w:r>
          <w:r>
            <w:instrText xml:space="preserve"> PAGEREF _Toc10123746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"_Toc10123747" </w:instrText>
          </w:r>
          <w:r>
            <w:fldChar w:fldCharType="separate"/>
          </w:r>
          <w:r>
            <w:rPr>
              <w:rStyle w:val="14"/>
              <w:rFonts w:hint="eastAsia"/>
            </w:rPr>
            <w:t>4．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采购（资格预审）文件下载</w:t>
          </w:r>
          <w:r>
            <w:tab/>
          </w:r>
          <w:r>
            <w:fldChar w:fldCharType="begin"/>
          </w:r>
          <w:r>
            <w:instrText xml:space="preserve"> PAGEREF _Toc10123747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"_Toc10123748" </w:instrText>
          </w:r>
          <w:r>
            <w:fldChar w:fldCharType="separate"/>
          </w:r>
          <w:r>
            <w:rPr>
              <w:rStyle w:val="14"/>
              <w:rFonts w:hint="eastAsia"/>
            </w:rPr>
            <w:t>5．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澄清与答疑（资审澄清与答疑）文件文件下载</w:t>
          </w:r>
          <w:r>
            <w:tab/>
          </w:r>
          <w:r>
            <w:fldChar w:fldCharType="begin"/>
          </w:r>
          <w:r>
            <w:instrText xml:space="preserve"> PAGEREF _Toc10123748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"_Toc10123749" </w:instrText>
          </w:r>
          <w:r>
            <w:fldChar w:fldCharType="separate"/>
          </w:r>
          <w:r>
            <w:rPr>
              <w:rStyle w:val="14"/>
              <w:rFonts w:hint="eastAsia"/>
            </w:rPr>
            <w:t>6．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投标</w:t>
          </w:r>
          <w:r>
            <w:rPr>
              <w:rStyle w:val="14"/>
            </w:rPr>
            <w:t>(</w:t>
          </w:r>
          <w:r>
            <w:rPr>
              <w:rStyle w:val="14"/>
              <w:rFonts w:hint="eastAsia"/>
            </w:rPr>
            <w:t>资审申请</w:t>
          </w:r>
          <w:r>
            <w:rPr>
              <w:rStyle w:val="14"/>
            </w:rPr>
            <w:t>)</w:t>
          </w:r>
          <w:r>
            <w:rPr>
              <w:rStyle w:val="14"/>
              <w:rFonts w:hint="eastAsia"/>
            </w:rPr>
            <w:t>文件上传</w:t>
          </w:r>
          <w:r>
            <w:tab/>
          </w:r>
          <w:r>
            <w:fldChar w:fldCharType="begin"/>
          </w:r>
          <w:r>
            <w:instrText xml:space="preserve"> PAGEREF _Toc10123749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"_Toc10123750" </w:instrText>
          </w:r>
          <w:r>
            <w:fldChar w:fldCharType="separate"/>
          </w:r>
          <w:r>
            <w:rPr>
              <w:rStyle w:val="14"/>
              <w:rFonts w:hint="eastAsia"/>
            </w:rPr>
            <w:t>7．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更正公告查看下载</w:t>
          </w:r>
          <w:r>
            <w:tab/>
          </w:r>
          <w:r>
            <w:fldChar w:fldCharType="begin"/>
          </w:r>
          <w:r>
            <w:instrText xml:space="preserve"> PAGEREF _Toc10123750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"_Toc10123751" </w:instrText>
          </w:r>
          <w:r>
            <w:fldChar w:fldCharType="separate"/>
          </w:r>
          <w:r>
            <w:rPr>
              <w:rStyle w:val="14"/>
              <w:rFonts w:hint="eastAsia"/>
            </w:rPr>
            <w:t>8．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查看评标进度</w:t>
          </w:r>
          <w:r>
            <w:tab/>
          </w:r>
          <w:r>
            <w:fldChar w:fldCharType="begin"/>
          </w:r>
          <w:r>
            <w:instrText xml:space="preserve"> PAGEREF _Toc10123751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680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"_Toc10123752" </w:instrText>
          </w:r>
          <w:r>
            <w:fldChar w:fldCharType="separate"/>
          </w:r>
          <w:r>
            <w:rPr>
              <w:rStyle w:val="14"/>
              <w:rFonts w:hint="eastAsia"/>
            </w:rPr>
            <w:t>9．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查看中标结果</w:t>
          </w:r>
          <w:r>
            <w:tab/>
          </w:r>
          <w:r>
            <w:fldChar w:fldCharType="begin"/>
          </w:r>
          <w:r>
            <w:instrText xml:space="preserve"> PAGEREF _Toc10123752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"_Toc10123753" </w:instrText>
          </w:r>
          <w:r>
            <w:fldChar w:fldCharType="separate"/>
          </w:r>
          <w:r>
            <w:rPr>
              <w:rStyle w:val="14"/>
            </w:rPr>
            <w:t>10</w:t>
          </w:r>
          <w:r>
            <w:rPr>
              <w:rStyle w:val="14"/>
              <w:rFonts w:hint="eastAsia"/>
            </w:rPr>
            <w:t>．查看中标</w:t>
          </w:r>
          <w:r>
            <w:rPr>
              <w:rStyle w:val="14"/>
            </w:rPr>
            <w:t>/</w:t>
          </w:r>
          <w:r>
            <w:rPr>
              <w:rStyle w:val="14"/>
              <w:rFonts w:hint="eastAsia"/>
            </w:rPr>
            <w:t>未中标通知书</w:t>
          </w:r>
          <w:r>
            <w:tab/>
          </w:r>
          <w:r>
            <w:fldChar w:fldCharType="begin"/>
          </w:r>
          <w:r>
            <w:instrText xml:space="preserve"> PAGEREF _Toc10123753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480"/>
        <w:jc w:val="left"/>
      </w:pPr>
      <w:r>
        <w:br w:type="page"/>
      </w:r>
    </w:p>
    <w:p>
      <w:pPr>
        <w:pStyle w:val="3"/>
      </w:pPr>
      <w:bookmarkStart w:id="0" w:name="_Toc10123740"/>
      <w:r>
        <w:rPr>
          <w:rFonts w:hint="eastAsia"/>
        </w:rPr>
        <w:t>一．</w:t>
      </w:r>
      <w:r>
        <w:rPr>
          <w:rFonts w:hint="eastAsia"/>
          <w:sz w:val="44"/>
          <w:szCs w:val="44"/>
        </w:rPr>
        <w:t>编写目的</w:t>
      </w:r>
      <w:bookmarkEnd w:id="0"/>
      <w:r>
        <w:rPr>
          <w:rFonts w:hint="eastAsia"/>
          <w:sz w:val="44"/>
          <w:szCs w:val="44"/>
        </w:rPr>
        <w:t xml:space="preserve"> </w:t>
      </w:r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本手册大兴区</w:t>
      </w:r>
      <w:r>
        <w:rPr>
          <w:rFonts w:asciiTheme="minorEastAsia" w:hAnsiTheme="minorEastAsia" w:eastAsiaTheme="minorEastAsia"/>
          <w:szCs w:val="24"/>
        </w:rPr>
        <w:t>政府采购交易系统</w:t>
      </w:r>
      <w:r>
        <w:rPr>
          <w:rFonts w:hint="eastAsia" w:asciiTheme="minorEastAsia" w:hAnsiTheme="minorEastAsia" w:eastAsiaTheme="minorEastAsia"/>
          <w:szCs w:val="24"/>
        </w:rPr>
        <w:t>操作</w:t>
      </w:r>
      <w:r>
        <w:rPr>
          <w:rFonts w:asciiTheme="minorEastAsia" w:hAnsiTheme="minorEastAsia" w:eastAsiaTheme="minorEastAsia"/>
          <w:szCs w:val="24"/>
        </w:rPr>
        <w:t>手册，适用于供应商对</w:t>
      </w:r>
      <w:r>
        <w:rPr>
          <w:rFonts w:hint="eastAsia" w:asciiTheme="minorEastAsia" w:hAnsiTheme="minorEastAsia" w:eastAsiaTheme="minorEastAsia"/>
          <w:szCs w:val="24"/>
        </w:rPr>
        <w:t>大兴区政府</w:t>
      </w:r>
      <w:r>
        <w:rPr>
          <w:rFonts w:asciiTheme="minorEastAsia" w:hAnsiTheme="minorEastAsia" w:eastAsiaTheme="minorEastAsia"/>
          <w:szCs w:val="24"/>
        </w:rPr>
        <w:t>采购的项目</w:t>
      </w:r>
      <w:r>
        <w:rPr>
          <w:rFonts w:hint="eastAsia" w:asciiTheme="minorEastAsia" w:hAnsiTheme="minorEastAsia" w:eastAsiaTheme="minorEastAsia"/>
          <w:szCs w:val="24"/>
        </w:rPr>
        <w:t>操作，目的是</w:t>
      </w:r>
      <w:r>
        <w:rPr>
          <w:rFonts w:asciiTheme="minorEastAsia" w:hAnsiTheme="minorEastAsia" w:eastAsiaTheme="minorEastAsia"/>
          <w:szCs w:val="24"/>
        </w:rPr>
        <w:t>培训</w:t>
      </w:r>
      <w:r>
        <w:rPr>
          <w:rFonts w:hint="eastAsia" w:asciiTheme="minorEastAsia" w:hAnsiTheme="minorEastAsia" w:eastAsiaTheme="minorEastAsia"/>
          <w:szCs w:val="24"/>
        </w:rPr>
        <w:t>教材</w:t>
      </w:r>
      <w:r>
        <w:rPr>
          <w:rFonts w:asciiTheme="minorEastAsia" w:hAnsiTheme="minorEastAsia" w:eastAsiaTheme="minorEastAsia"/>
          <w:szCs w:val="24"/>
        </w:rPr>
        <w:t>和用户</w:t>
      </w:r>
      <w:r>
        <w:rPr>
          <w:rFonts w:hint="eastAsia" w:asciiTheme="minorEastAsia" w:hAnsiTheme="minorEastAsia" w:eastAsiaTheme="minorEastAsia"/>
          <w:szCs w:val="24"/>
        </w:rPr>
        <w:t>熟悉</w:t>
      </w:r>
      <w:r>
        <w:rPr>
          <w:rFonts w:asciiTheme="minorEastAsia" w:hAnsiTheme="minorEastAsia" w:eastAsiaTheme="minorEastAsia"/>
          <w:szCs w:val="24"/>
        </w:rPr>
        <w:t>系统。</w:t>
      </w:r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大兴区</w:t>
      </w:r>
      <w:r>
        <w:rPr>
          <w:rFonts w:asciiTheme="minorEastAsia" w:hAnsiTheme="minorEastAsia" w:eastAsiaTheme="minorEastAsia"/>
          <w:szCs w:val="24"/>
        </w:rPr>
        <w:t>政府采购系统在使用过程中</w:t>
      </w:r>
      <w:r>
        <w:rPr>
          <w:rFonts w:hint="eastAsia" w:asciiTheme="minorEastAsia" w:hAnsiTheme="minorEastAsia" w:eastAsiaTheme="minorEastAsia"/>
          <w:szCs w:val="24"/>
        </w:rPr>
        <w:t>，</w:t>
      </w:r>
      <w:r>
        <w:rPr>
          <w:rFonts w:asciiTheme="minorEastAsia" w:hAnsiTheme="minorEastAsia" w:eastAsiaTheme="minorEastAsia"/>
          <w:szCs w:val="24"/>
        </w:rPr>
        <w:t>根据实际</w:t>
      </w:r>
      <w:r>
        <w:rPr>
          <w:rFonts w:hint="eastAsia" w:asciiTheme="minorEastAsia" w:hAnsiTheme="minorEastAsia" w:eastAsiaTheme="minorEastAsia"/>
          <w:szCs w:val="24"/>
        </w:rPr>
        <w:t>操作</w:t>
      </w:r>
      <w:r>
        <w:rPr>
          <w:rFonts w:asciiTheme="minorEastAsia" w:hAnsiTheme="minorEastAsia" w:eastAsiaTheme="minorEastAsia"/>
          <w:szCs w:val="24"/>
        </w:rPr>
        <w:t>者的反馈及要求会进行微小的改动</w:t>
      </w:r>
      <w:r>
        <w:rPr>
          <w:rFonts w:hint="eastAsia" w:asciiTheme="minorEastAsia" w:hAnsiTheme="minorEastAsia" w:eastAsiaTheme="minorEastAsia"/>
          <w:szCs w:val="24"/>
        </w:rPr>
        <w:t>，</w:t>
      </w:r>
      <w:r>
        <w:rPr>
          <w:rFonts w:asciiTheme="minorEastAsia" w:hAnsiTheme="minorEastAsia" w:eastAsiaTheme="minorEastAsia"/>
          <w:szCs w:val="24"/>
        </w:rPr>
        <w:t>本手册的图文的目的是使用参考</w:t>
      </w:r>
      <w:r>
        <w:rPr>
          <w:rFonts w:hint="eastAsia" w:asciiTheme="minorEastAsia" w:hAnsiTheme="minorEastAsia" w:eastAsiaTheme="minorEastAsia"/>
          <w:szCs w:val="24"/>
        </w:rPr>
        <w:t>。</w:t>
      </w:r>
    </w:p>
    <w:p>
      <w:pPr>
        <w:pStyle w:val="3"/>
      </w:pPr>
      <w:bookmarkStart w:id="1" w:name="_Toc10123741"/>
      <w:r>
        <w:rPr>
          <w:rFonts w:hint="eastAsia"/>
        </w:rPr>
        <w:t>二</w:t>
      </w:r>
      <w:r>
        <w:rPr>
          <w:rFonts w:hint="eastAsia"/>
          <w:sz w:val="44"/>
          <w:szCs w:val="44"/>
        </w:rPr>
        <w:t>．供应商指南</w:t>
      </w:r>
      <w:bookmarkEnd w:id="1"/>
    </w:p>
    <w:p>
      <w:pPr>
        <w:pStyle w:val="3"/>
        <w:numPr>
          <w:ilvl w:val="0"/>
          <w:numId w:val="1"/>
        </w:numPr>
      </w:pPr>
      <w:r>
        <w:rPr>
          <w:rFonts w:hint="eastAsia"/>
        </w:rPr>
        <w:t xml:space="preserve"> </w:t>
      </w:r>
      <w:bookmarkStart w:id="2" w:name="_Toc10123742"/>
      <w:r>
        <w:rPr>
          <w:rFonts w:hint="eastAsia"/>
        </w:rPr>
        <w:t>系统注册</w:t>
      </w:r>
      <w:bookmarkEnd w:id="2"/>
    </w:p>
    <w:p>
      <w:pPr>
        <w:widowControl/>
        <w:spacing w:line="240" w:lineRule="auto"/>
        <w:ind w:firstLine="480"/>
      </w:pPr>
      <w:r>
        <w:rPr>
          <w:rFonts w:hint="eastAsia"/>
        </w:rPr>
        <w:t>输入</w:t>
      </w:r>
      <w:r>
        <w:t>网址</w:t>
      </w:r>
      <w:r>
        <w:rPr>
          <w:rFonts w:hint="eastAsia"/>
        </w:rPr>
        <w:t>(</w:t>
      </w:r>
      <w:r>
        <w:t xml:space="preserve"> </w:t>
      </w:r>
      <w:r>
        <w:fldChar w:fldCharType="begin"/>
      </w:r>
      <w:r>
        <w:instrText xml:space="preserve"> HYPERLINK "http://ggzy.daxing.net/" </w:instrText>
      </w:r>
      <w:r>
        <w:fldChar w:fldCharType="separate"/>
      </w:r>
      <w:r>
        <w:rPr>
          <w:rStyle w:val="14"/>
        </w:rPr>
        <w:t>http://ggzy.daxing.net/</w:t>
      </w:r>
      <w:r>
        <w:rPr>
          <w:rStyle w:val="14"/>
        </w:rPr>
        <w:fldChar w:fldCharType="end"/>
      </w:r>
      <w:r>
        <w:rPr>
          <w:rFonts w:hint="eastAsia"/>
        </w:rPr>
        <w:t>)进入北京市大兴区公共资源交易中心门户网站；</w:t>
      </w:r>
    </w:p>
    <w:p>
      <w:pPr>
        <w:widowControl/>
        <w:spacing w:line="240" w:lineRule="auto"/>
        <w:ind w:firstLine="480"/>
      </w:pPr>
      <w:r>
        <w:drawing>
          <wp:inline distT="0" distB="0" distL="0" distR="0">
            <wp:extent cx="5274310" cy="26562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80"/>
      </w:pPr>
      <w:r>
        <w:rPr>
          <w:rFonts w:hint="eastAsia"/>
        </w:rPr>
        <w:t>点击网上办事栏目，如下图；</w:t>
      </w:r>
    </w:p>
    <w:p>
      <w:pPr>
        <w:widowControl/>
        <w:spacing w:line="240" w:lineRule="auto"/>
        <w:ind w:firstLine="480"/>
      </w:pPr>
      <w:r>
        <w:drawing>
          <wp:inline distT="0" distB="0" distL="0" distR="0">
            <wp:extent cx="5274310" cy="24955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80"/>
      </w:pPr>
      <w:r>
        <w:rPr>
          <w:rFonts w:hint="eastAsia"/>
        </w:rPr>
        <w:t>打开北京市大兴区政府采购交易系统网页，然后选择北京市大兴区政府采购交易系统，如下图：</w:t>
      </w:r>
    </w:p>
    <w:p>
      <w:pPr>
        <w:widowControl/>
        <w:spacing w:line="240" w:lineRule="auto"/>
        <w:ind w:firstLine="480"/>
        <w:rPr>
          <w:rFonts w:hint="eastAsia" w:ascii="宋体" w:hAnsi="宋体" w:cs="宋体"/>
          <w:color w:val="0000FF"/>
          <w:kern w:val="0"/>
          <w:sz w:val="22"/>
          <w:u w:val="single"/>
        </w:rPr>
      </w:pPr>
      <w:r>
        <w:drawing>
          <wp:inline distT="0" distB="0" distL="0" distR="0">
            <wp:extent cx="5274310" cy="27768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10123743"/>
      <w:r>
        <w:rPr>
          <w:rFonts w:hint="eastAsia"/>
        </w:rPr>
        <w:t>1.1</w:t>
      </w:r>
      <w:r>
        <w:t xml:space="preserve">  供应商系统账号注册</w:t>
      </w:r>
      <w:bookmarkEnd w:id="3"/>
    </w:p>
    <w:p>
      <w:pPr>
        <w:pStyle w:val="22"/>
        <w:ind w:left="495" w:firstLine="0" w:firstLineChars="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点击 “新用户注册”，将企业基本信息填写后，成功注册后，需要完善信息。</w:t>
      </w:r>
    </w:p>
    <w:p>
      <w:pPr>
        <w:pStyle w:val="22"/>
        <w:ind w:left="495"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24479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" w:name="_Toc10123744"/>
      <w:r>
        <w:rPr>
          <w:rFonts w:hint="eastAsia"/>
        </w:rPr>
        <w:t>1.</w:t>
      </w:r>
      <w:r>
        <w:t>2  供应商</w:t>
      </w:r>
      <w:r>
        <w:rPr>
          <w:rFonts w:hint="eastAsia"/>
        </w:rPr>
        <w:t>CA</w:t>
      </w:r>
      <w:r>
        <w:t>账号注册</w:t>
      </w:r>
      <w:bookmarkEnd w:id="4"/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使用</w:t>
      </w:r>
      <w:r>
        <w:rPr>
          <w:rFonts w:hint="eastAsia" w:asciiTheme="minorEastAsia" w:hAnsiTheme="minorEastAsia" w:eastAsiaTheme="minorEastAsia"/>
          <w:szCs w:val="24"/>
        </w:rPr>
        <w:t>CA注册账号的首先需要下载证书助手，然后点击下图中“切换使用CA登录”，最后点击“新用户注册”，系统读写CA信息后，完善其他信息</w:t>
      </w:r>
      <w:r>
        <w:rPr>
          <w:rFonts w:hint="eastAsia" w:asciiTheme="minorEastAsia" w:hAnsiTheme="minorEastAsia" w:eastAsiaTheme="minorEastAsia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/>
          <w:szCs w:val="24"/>
          <w:lang w:val="en-US" w:eastAsia="zh-CN"/>
        </w:rPr>
        <w:t>参考《系统CA注册用户手册</w:t>
      </w:r>
      <w:r>
        <w:rPr>
          <w:rFonts w:hint="eastAsia" w:asciiTheme="minorEastAsia" w:hAnsiTheme="minorEastAsia" w:eastAsiaTheme="minorEastAsia"/>
          <w:szCs w:val="24"/>
          <w:lang w:eastAsia="zh-CN"/>
        </w:rPr>
        <w:t>》</w:t>
      </w:r>
      <w:r>
        <w:rPr>
          <w:rFonts w:hint="eastAsia" w:asciiTheme="minorEastAsia" w:hAnsiTheme="minorEastAsia" w:eastAsiaTheme="minorEastAsia"/>
          <w:szCs w:val="24"/>
        </w:rPr>
        <w:t>：</w:t>
      </w:r>
      <w:bookmarkStart w:id="41" w:name="_GoBack"/>
      <w:bookmarkEnd w:id="41"/>
    </w:p>
    <w:p>
      <w:pPr>
        <w:pStyle w:val="22"/>
        <w:ind w:left="495"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25654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注册成功后</w:t>
      </w:r>
      <w:r>
        <w:rPr>
          <w:rFonts w:hint="eastAsia" w:asciiTheme="minorEastAsia" w:hAnsiTheme="minorEastAsia" w:eastAsiaTheme="minorEastAsia"/>
          <w:szCs w:val="24"/>
        </w:rPr>
        <w:t>，完善</w:t>
      </w:r>
      <w:r>
        <w:rPr>
          <w:rFonts w:asciiTheme="minorEastAsia" w:hAnsiTheme="minorEastAsia" w:eastAsiaTheme="minorEastAsia"/>
          <w:szCs w:val="24"/>
        </w:rPr>
        <w:t>下图中必填信息</w:t>
      </w:r>
      <w:r>
        <w:rPr>
          <w:rFonts w:hint="eastAsia" w:asciiTheme="minorEastAsia" w:hAnsiTheme="minorEastAsia" w:eastAsiaTheme="minorEastAsia"/>
          <w:szCs w:val="24"/>
        </w:rPr>
        <w:t>，</w:t>
      </w:r>
      <w:r>
        <w:rPr>
          <w:rFonts w:asciiTheme="minorEastAsia" w:hAnsiTheme="minorEastAsia" w:eastAsiaTheme="minorEastAsia"/>
          <w:szCs w:val="24"/>
        </w:rPr>
        <w:t>企业审核人员通过后</w:t>
      </w:r>
      <w:r>
        <w:rPr>
          <w:rFonts w:hint="eastAsia" w:asciiTheme="minorEastAsia" w:hAnsiTheme="minorEastAsia" w:eastAsiaTheme="minorEastAsia"/>
          <w:szCs w:val="24"/>
        </w:rPr>
        <w:t>，</w:t>
      </w:r>
      <w:r>
        <w:rPr>
          <w:rFonts w:asciiTheme="minorEastAsia" w:hAnsiTheme="minorEastAsia" w:eastAsiaTheme="minorEastAsia"/>
          <w:szCs w:val="24"/>
        </w:rPr>
        <w:t>即可正常使用</w:t>
      </w:r>
      <w:r>
        <w:rPr>
          <w:rFonts w:hint="eastAsia" w:asciiTheme="minorEastAsia" w:hAnsiTheme="minorEastAsia" w:eastAsiaTheme="minorEastAsia"/>
          <w:szCs w:val="24"/>
        </w:rPr>
        <w:t>；</w:t>
      </w:r>
    </w:p>
    <w:p>
      <w:pPr>
        <w:pStyle w:val="22"/>
        <w:ind w:left="495"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25711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495" w:firstLine="0" w:firstLineChars="0"/>
        <w:rPr>
          <w:sz w:val="28"/>
          <w:szCs w:val="28"/>
        </w:rPr>
      </w:pPr>
    </w:p>
    <w:p>
      <w:pPr>
        <w:ind w:firstLine="0" w:firstLineChars="0"/>
      </w:pPr>
    </w:p>
    <w:p>
      <w:pPr>
        <w:pStyle w:val="3"/>
        <w:numPr>
          <w:ilvl w:val="0"/>
          <w:numId w:val="1"/>
        </w:numPr>
      </w:pPr>
      <w:bookmarkStart w:id="5" w:name="_Toc530488868"/>
      <w:bookmarkStart w:id="6" w:name="_Toc527467590"/>
      <w:bookmarkStart w:id="7" w:name="_Toc9408443"/>
      <w:r>
        <w:rPr>
          <w:rFonts w:hint="eastAsia"/>
        </w:rPr>
        <w:t xml:space="preserve"> </w:t>
      </w:r>
      <w:bookmarkStart w:id="8" w:name="_Toc10123745"/>
      <w:r>
        <w:rPr>
          <w:rFonts w:hint="eastAsia"/>
        </w:rPr>
        <w:t>登录系统</w:t>
      </w:r>
      <w:bookmarkEnd w:id="5"/>
      <w:bookmarkEnd w:id="6"/>
      <w:bookmarkEnd w:id="7"/>
      <w:bookmarkEnd w:id="8"/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输入用户名及密码登录（CA用户需要切换登录界面后插入CA锁，输入CA密码即可登录）北京市大兴区政府采购交易系统如下图所示：</w:t>
      </w:r>
    </w:p>
    <w:p>
      <w:pPr>
        <w:ind w:firstLine="480"/>
        <w:rPr>
          <w:sz w:val="28"/>
          <w:szCs w:val="28"/>
        </w:rPr>
      </w:pPr>
      <w:r>
        <w:drawing>
          <wp:inline distT="0" distB="0" distL="0" distR="0">
            <wp:extent cx="5274310" cy="26390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3"/>
        <w:numPr>
          <w:ilvl w:val="0"/>
          <w:numId w:val="1"/>
        </w:numPr>
      </w:pPr>
      <w:bookmarkStart w:id="9" w:name="_Toc530488869"/>
      <w:bookmarkStart w:id="10" w:name="_Toc9408444"/>
      <w:bookmarkStart w:id="11" w:name="_Toc527467591"/>
      <w:r>
        <w:rPr>
          <w:rFonts w:hint="eastAsia"/>
        </w:rPr>
        <w:t xml:space="preserve"> </w:t>
      </w:r>
      <w:bookmarkStart w:id="12" w:name="_Toc10123746"/>
      <w:r>
        <w:rPr>
          <w:rFonts w:hint="eastAsia"/>
        </w:rPr>
        <w:t>投标报名</w:t>
      </w:r>
      <w:bookmarkEnd w:id="9"/>
      <w:bookmarkEnd w:id="10"/>
      <w:bookmarkEnd w:id="11"/>
      <w:bookmarkEnd w:id="12"/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点击【我的投标】栏目中的【关注项目】节点，在【关注项目】节点会看到如下页面：</w:t>
      </w:r>
    </w:p>
    <w:p>
      <w:pPr>
        <w:ind w:firstLine="480"/>
      </w:pPr>
      <w:r>
        <w:drawing>
          <wp:inline distT="0" distB="0" distL="0" distR="0">
            <wp:extent cx="5274310" cy="26390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 xml:space="preserve">直接点击上方的【未关注项目】，此页面会显示出自己所有未报名的项目，找到供应商要报名的项目，点击【操作】按钮，便会进入到报名页面。 </w:t>
      </w:r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在此页面投标人可以点击【预览公告】查看此项目公告内容，如需报名，输入此项目的联系人以及正确的联系电话，点击【关注】按钮，报名成功。报名成功后点击左侧的【我的投标项目】节点，所关注的项目就会在【我的投标项目】中查看。</w:t>
      </w:r>
    </w:p>
    <w:p>
      <w:pPr>
        <w:ind w:firstLine="720" w:firstLineChars="300"/>
        <w:rPr>
          <w:sz w:val="28"/>
          <w:szCs w:val="28"/>
        </w:rPr>
      </w:pPr>
      <w:r>
        <w:drawing>
          <wp:inline distT="0" distB="0" distL="0" distR="0">
            <wp:extent cx="4438650" cy="21996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3676" cy="220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  <w:numPr>
          <w:ilvl w:val="0"/>
          <w:numId w:val="1"/>
        </w:numPr>
      </w:pPr>
      <w:bookmarkStart w:id="13" w:name="_Toc527467592"/>
      <w:bookmarkStart w:id="14" w:name="_Toc530488870"/>
      <w:bookmarkStart w:id="15" w:name="_Toc9408445"/>
      <w:r>
        <w:rPr>
          <w:rFonts w:hint="eastAsia"/>
        </w:rPr>
        <w:t xml:space="preserve"> </w:t>
      </w:r>
      <w:bookmarkStart w:id="16" w:name="_Toc10123747"/>
      <w:r>
        <w:rPr>
          <w:rFonts w:hint="eastAsia"/>
        </w:rPr>
        <w:t>采购（资格预审）文件下载</w:t>
      </w:r>
      <w:bookmarkEnd w:id="13"/>
      <w:bookmarkEnd w:id="14"/>
      <w:bookmarkEnd w:id="15"/>
      <w:bookmarkEnd w:id="16"/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在【我的投标】栏目中点开【我的投标项目】节点，找到要下载采购（资格预审）文件的项目，点击项目后面的【操作】按钮，进入到这个项目后，可以看到这个项目的采购（资格预审）文件，点击后面的【下载】按钮就可以下载采购（资格）文件，如下图所示：</w:t>
      </w:r>
    </w:p>
    <w:p>
      <w:pPr>
        <w:ind w:firstLine="480"/>
      </w:pPr>
      <w:r>
        <w:drawing>
          <wp:inline distT="0" distB="0" distL="0" distR="0">
            <wp:extent cx="5274310" cy="23463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bookmarkStart w:id="17" w:name="_Toc527467593"/>
      <w:bookmarkStart w:id="18" w:name="_Toc530488871"/>
      <w:bookmarkStart w:id="19" w:name="_Toc9408446"/>
      <w:r>
        <w:rPr>
          <w:rFonts w:hint="eastAsia"/>
        </w:rPr>
        <w:t xml:space="preserve"> </w:t>
      </w:r>
      <w:bookmarkStart w:id="20" w:name="_Toc10123748"/>
      <w:r>
        <w:rPr>
          <w:rFonts w:hint="eastAsia"/>
        </w:rPr>
        <w:t>澄清与答疑（资审</w:t>
      </w:r>
      <w:r>
        <w:t>澄清与答疑</w:t>
      </w:r>
      <w:r>
        <w:rPr>
          <w:rFonts w:hint="eastAsia"/>
        </w:rPr>
        <w:t>）文件文件下载</w:t>
      </w:r>
      <w:bookmarkEnd w:id="17"/>
      <w:bookmarkEnd w:id="18"/>
      <w:bookmarkEnd w:id="19"/>
      <w:bookmarkEnd w:id="20"/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在【我的投标】栏目中点开【我的投标项目】节点，找到下载澄清与答疑文件（资审</w:t>
      </w:r>
      <w:r>
        <w:rPr>
          <w:rFonts w:asciiTheme="minorEastAsia" w:hAnsiTheme="minorEastAsia" w:eastAsiaTheme="minorEastAsia"/>
          <w:szCs w:val="24"/>
        </w:rPr>
        <w:t>澄清与答疑</w:t>
      </w:r>
      <w:r>
        <w:rPr>
          <w:rFonts w:hint="eastAsia" w:asciiTheme="minorEastAsia" w:hAnsiTheme="minorEastAsia" w:eastAsiaTheme="minorEastAsia"/>
          <w:szCs w:val="24"/>
        </w:rPr>
        <w:t>）的项目，点击项目后面的【操作】按钮，进入到这个项目后，就可以看到这个项目的澄清与答疑（资审</w:t>
      </w:r>
      <w:r>
        <w:rPr>
          <w:rFonts w:asciiTheme="minorEastAsia" w:hAnsiTheme="minorEastAsia" w:eastAsiaTheme="minorEastAsia"/>
          <w:szCs w:val="24"/>
        </w:rPr>
        <w:t>澄清与答疑</w:t>
      </w:r>
      <w:r>
        <w:rPr>
          <w:rFonts w:hint="eastAsia" w:asciiTheme="minorEastAsia" w:hAnsiTheme="minorEastAsia" w:eastAsiaTheme="minorEastAsia"/>
          <w:szCs w:val="24"/>
        </w:rPr>
        <w:t>）文件，点击后面的【下载】按钮就下载澄清与答疑（资审</w:t>
      </w:r>
      <w:r>
        <w:rPr>
          <w:rFonts w:asciiTheme="minorEastAsia" w:hAnsiTheme="minorEastAsia" w:eastAsiaTheme="minorEastAsia"/>
          <w:szCs w:val="24"/>
        </w:rPr>
        <w:t>澄清与答疑</w:t>
      </w:r>
      <w:r>
        <w:rPr>
          <w:rFonts w:hint="eastAsia" w:asciiTheme="minorEastAsia" w:hAnsiTheme="minorEastAsia" w:eastAsiaTheme="minorEastAsia"/>
          <w:szCs w:val="24"/>
        </w:rPr>
        <w:t>）文件了，如下图所示：</w:t>
      </w:r>
    </w:p>
    <w:p>
      <w:pPr>
        <w:ind w:firstLine="480"/>
      </w:pPr>
      <w:r>
        <w:drawing>
          <wp:inline distT="0" distB="0" distL="0" distR="0">
            <wp:extent cx="5274310" cy="23082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bookmarkStart w:id="21" w:name="_Toc527467594"/>
      <w:bookmarkStart w:id="22" w:name="_Toc9408447"/>
      <w:bookmarkStart w:id="23" w:name="_Toc530488872"/>
      <w:r>
        <w:rPr>
          <w:rFonts w:hint="eastAsia"/>
        </w:rPr>
        <w:t xml:space="preserve"> </w:t>
      </w:r>
      <w:bookmarkStart w:id="24" w:name="_Toc10123749"/>
      <w:r>
        <w:rPr>
          <w:rFonts w:hint="eastAsia"/>
        </w:rPr>
        <w:t>投标(资审</w:t>
      </w:r>
      <w:r>
        <w:t>申请</w:t>
      </w:r>
      <w:r>
        <w:rPr>
          <w:rFonts w:hint="eastAsia"/>
        </w:rPr>
        <w:t>)文件上传</w:t>
      </w:r>
      <w:bookmarkEnd w:id="21"/>
      <w:bookmarkEnd w:id="22"/>
      <w:bookmarkEnd w:id="23"/>
      <w:bookmarkEnd w:id="24"/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在【我的投标】栏目中点开【我的投标项目】节点，找到该项目，点击项目后面的【操作】按钮，进入到这个项目后，可以看到这个项目的要上传的投标（资审申请）文件，点击后面的【递交】按钮可以上传投标（资审申请）文件，如下图所示：</w:t>
      </w:r>
    </w:p>
    <w:p>
      <w:pPr>
        <w:ind w:firstLine="480"/>
      </w:pPr>
      <w:r>
        <w:drawing>
          <wp:inline distT="0" distB="0" distL="0" distR="0">
            <wp:extent cx="5274310" cy="23393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bookmarkStart w:id="25" w:name="_Toc530488873"/>
      <w:bookmarkStart w:id="26" w:name="_Toc9408448"/>
      <w:bookmarkStart w:id="27" w:name="_Toc527467595"/>
      <w:r>
        <w:rPr>
          <w:rFonts w:hint="eastAsia"/>
        </w:rPr>
        <w:t xml:space="preserve"> </w:t>
      </w:r>
      <w:bookmarkStart w:id="28" w:name="_Toc10123750"/>
      <w:r>
        <w:rPr>
          <w:rFonts w:hint="eastAsia"/>
        </w:rPr>
        <w:t>更正公告查看下载</w:t>
      </w:r>
      <w:bookmarkEnd w:id="25"/>
      <w:bookmarkEnd w:id="26"/>
      <w:bookmarkEnd w:id="27"/>
      <w:bookmarkEnd w:id="28"/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在【我的投标】栏目中点开【我的投标项目】节点，找到要更正公告的项目，点击项目后面的【操作】按钮，进入到这个项目后，可以看到这个项目的更正公告，点击后面的【查看】按钮可以查看更正公告，同时也可以点击</w:t>
      </w:r>
      <w:r>
        <w:rPr>
          <w:rFonts w:asciiTheme="minorEastAsia" w:hAnsiTheme="minorEastAsia" w:eastAsiaTheme="minorEastAsia"/>
          <w:szCs w:val="24"/>
        </w:rPr>
        <w:t>下载</w:t>
      </w:r>
      <w:r>
        <w:rPr>
          <w:rFonts w:hint="eastAsia" w:asciiTheme="minorEastAsia" w:hAnsiTheme="minorEastAsia" w:eastAsiaTheme="minorEastAsia"/>
          <w:szCs w:val="24"/>
        </w:rPr>
        <w:t>，如下图所示：</w:t>
      </w:r>
    </w:p>
    <w:p>
      <w:pPr>
        <w:ind w:firstLine="480"/>
      </w:pPr>
      <w:r>
        <w:drawing>
          <wp:inline distT="0" distB="0" distL="0" distR="0">
            <wp:extent cx="5274310" cy="28035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bookmarkStart w:id="29" w:name="_Toc527467596"/>
      <w:bookmarkStart w:id="30" w:name="_Toc9408449"/>
      <w:bookmarkStart w:id="31" w:name="_Toc530488874"/>
      <w:r>
        <w:rPr>
          <w:rFonts w:hint="eastAsia"/>
        </w:rPr>
        <w:t xml:space="preserve"> </w:t>
      </w:r>
      <w:bookmarkStart w:id="32" w:name="_Toc10123751"/>
      <w:r>
        <w:rPr>
          <w:rFonts w:hint="eastAsia"/>
        </w:rPr>
        <w:t>查看评标</w:t>
      </w:r>
      <w:bookmarkEnd w:id="29"/>
      <w:bookmarkEnd w:id="30"/>
      <w:bookmarkEnd w:id="31"/>
      <w:r>
        <w:rPr>
          <w:rFonts w:hint="eastAsia"/>
        </w:rPr>
        <w:t>进度</w:t>
      </w:r>
      <w:bookmarkEnd w:id="32"/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在【我的投标】栏目中点开【我的投标项目】节点，找到要查看评标结果的项目，点击项目后面的【操作】按钮，进入到这个项目后，可以看到这个项目的评标结果，点击后面的【查看】按钮可以查看评标进度，如下图所示：</w:t>
      </w:r>
    </w:p>
    <w:p>
      <w:pPr>
        <w:ind w:firstLine="480"/>
      </w:pPr>
      <w:r>
        <w:drawing>
          <wp:inline distT="0" distB="0" distL="0" distR="0">
            <wp:extent cx="5274310" cy="23901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3"/>
        <w:numPr>
          <w:ilvl w:val="0"/>
          <w:numId w:val="1"/>
        </w:numPr>
      </w:pPr>
      <w:bookmarkStart w:id="33" w:name="_Toc9408450"/>
      <w:bookmarkStart w:id="34" w:name="_Toc530488875"/>
      <w:bookmarkStart w:id="35" w:name="_Toc527467597"/>
      <w:r>
        <w:rPr>
          <w:rFonts w:hint="eastAsia"/>
        </w:rPr>
        <w:t xml:space="preserve"> </w:t>
      </w:r>
      <w:bookmarkStart w:id="36" w:name="_Toc10123752"/>
      <w:r>
        <w:rPr>
          <w:rFonts w:hint="eastAsia"/>
        </w:rPr>
        <w:t>查看中标结果</w:t>
      </w:r>
      <w:bookmarkEnd w:id="33"/>
      <w:bookmarkEnd w:id="34"/>
      <w:bookmarkEnd w:id="35"/>
      <w:bookmarkEnd w:id="36"/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在【我的投标】栏目中点开【我的投标项目】节点，找到要查看中标结果的项目，点击项目后面的【操作】按钮，进入到这个项目后，可以看到这个项目的中标结果，点击后面的【查看】按钮可以查看中标结果，如下图所示：</w:t>
      </w:r>
    </w:p>
    <w:p>
      <w:pPr>
        <w:ind w:firstLine="480"/>
      </w:pPr>
      <w:r>
        <w:drawing>
          <wp:inline distT="0" distB="0" distL="0" distR="0">
            <wp:extent cx="5274310" cy="232791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7" w:name="_Toc530488876"/>
      <w:bookmarkStart w:id="38" w:name="_Toc9408451"/>
      <w:bookmarkStart w:id="39" w:name="_Toc10123753"/>
      <w:bookmarkStart w:id="40" w:name="_Toc527467598"/>
      <w:r>
        <w:t>10</w:t>
      </w:r>
      <w:r>
        <w:rPr>
          <w:rFonts w:hint="eastAsia"/>
        </w:rPr>
        <w:t>．查看中标/未中标通知书</w:t>
      </w:r>
      <w:bookmarkEnd w:id="37"/>
      <w:bookmarkEnd w:id="38"/>
      <w:bookmarkEnd w:id="39"/>
      <w:bookmarkEnd w:id="40"/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在【我的投标】栏目中点开【我的投标项目】节点，找到要查看中标/未中标的项目，点击项目后面的【操作】按钮，进入到这个项目后，可以看到这个项目的中标/未中标通知书，点击后面的【查看】按钮可以查看中标/未中标通知书，如下图所示：</w:t>
      </w:r>
    </w:p>
    <w:p>
      <w:pPr>
        <w:ind w:firstLine="480"/>
      </w:pPr>
      <w:r>
        <w:drawing>
          <wp:inline distT="0" distB="0" distL="0" distR="0">
            <wp:extent cx="5274310" cy="23139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</w:p>
    <w:sectPr>
      <w:headerReference r:id="rId9" w:type="default"/>
      <w:footerReference r:id="rId10" w:type="default"/>
      <w:pgSz w:w="11906" w:h="16838"/>
      <w:pgMar w:top="1440" w:right="1800" w:bottom="1440" w:left="1800" w:header="992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</w:p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3135510"/>
      <w:docPartObj>
        <w:docPartGallery w:val="AutoText"/>
      </w:docPartObj>
    </w:sdtPr>
    <w:sdtContent>
      <w:p>
        <w:pPr>
          <w:pStyle w:val="8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  <w:jc w:val="both"/>
    </w:pPr>
    <w:r>
      <w:rPr>
        <w:rFonts w:hint="eastAsia"/>
      </w:rPr>
      <w:t>大兴</w:t>
    </w:r>
    <w:r>
      <w:t>区公共资源交易平台项目</w:t>
    </w:r>
    <w:r>
      <w:rPr>
        <w:rFonts w:hint="eastAsia"/>
      </w:rPr>
      <w:t xml:space="preserve"> </w:t>
    </w:r>
    <w:r>
      <w:t xml:space="preserve">                                         </w:t>
    </w:r>
    <w:r>
      <w:rPr>
        <w:rFonts w:hint="eastAsia"/>
      </w:rPr>
      <w:t xml:space="preserve"> 政府采购系统使用手册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81B1C"/>
    <w:multiLevelType w:val="multilevel"/>
    <w:tmpl w:val="1FA81B1C"/>
    <w:lvl w:ilvl="0" w:tentative="0">
      <w:start w:val="1"/>
      <w:numFmt w:val="decimal"/>
      <w:lvlText w:val="%1．"/>
      <w:lvlJc w:val="left"/>
      <w:pPr>
        <w:ind w:left="495" w:hanging="49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76"/>
    <w:rsid w:val="000234A2"/>
    <w:rsid w:val="000442B5"/>
    <w:rsid w:val="00065749"/>
    <w:rsid w:val="000B0D67"/>
    <w:rsid w:val="000B4AC0"/>
    <w:rsid w:val="000D350D"/>
    <w:rsid w:val="0010519C"/>
    <w:rsid w:val="00116A43"/>
    <w:rsid w:val="001E30AD"/>
    <w:rsid w:val="001F13C4"/>
    <w:rsid w:val="00211716"/>
    <w:rsid w:val="00237A68"/>
    <w:rsid w:val="00241C7A"/>
    <w:rsid w:val="002517B1"/>
    <w:rsid w:val="002C59B7"/>
    <w:rsid w:val="002D0533"/>
    <w:rsid w:val="002F1B3B"/>
    <w:rsid w:val="00302EC6"/>
    <w:rsid w:val="00310F21"/>
    <w:rsid w:val="003625D1"/>
    <w:rsid w:val="0037360C"/>
    <w:rsid w:val="00385FC9"/>
    <w:rsid w:val="00387A66"/>
    <w:rsid w:val="003A05A8"/>
    <w:rsid w:val="003D39AD"/>
    <w:rsid w:val="003F542F"/>
    <w:rsid w:val="004328A4"/>
    <w:rsid w:val="004E31F2"/>
    <w:rsid w:val="004E61C8"/>
    <w:rsid w:val="0050032F"/>
    <w:rsid w:val="00545BDE"/>
    <w:rsid w:val="0055381E"/>
    <w:rsid w:val="005544E9"/>
    <w:rsid w:val="00580EAB"/>
    <w:rsid w:val="005D7213"/>
    <w:rsid w:val="005E1023"/>
    <w:rsid w:val="005F6983"/>
    <w:rsid w:val="006405C0"/>
    <w:rsid w:val="006424AA"/>
    <w:rsid w:val="00657A49"/>
    <w:rsid w:val="0068797E"/>
    <w:rsid w:val="006957D9"/>
    <w:rsid w:val="006B0B2E"/>
    <w:rsid w:val="006E06B9"/>
    <w:rsid w:val="006E0BBD"/>
    <w:rsid w:val="006E681A"/>
    <w:rsid w:val="006F3A7A"/>
    <w:rsid w:val="00713DA7"/>
    <w:rsid w:val="0072690A"/>
    <w:rsid w:val="00750366"/>
    <w:rsid w:val="00752002"/>
    <w:rsid w:val="007C429A"/>
    <w:rsid w:val="00825A1D"/>
    <w:rsid w:val="00877A62"/>
    <w:rsid w:val="008A43EE"/>
    <w:rsid w:val="008C4755"/>
    <w:rsid w:val="008C7CB9"/>
    <w:rsid w:val="008E2024"/>
    <w:rsid w:val="00945928"/>
    <w:rsid w:val="00981D54"/>
    <w:rsid w:val="00986F76"/>
    <w:rsid w:val="00994E18"/>
    <w:rsid w:val="00A00AC7"/>
    <w:rsid w:val="00A04C0C"/>
    <w:rsid w:val="00A5461A"/>
    <w:rsid w:val="00A757CA"/>
    <w:rsid w:val="00AB149F"/>
    <w:rsid w:val="00AC05C6"/>
    <w:rsid w:val="00B10A0D"/>
    <w:rsid w:val="00B15DC0"/>
    <w:rsid w:val="00B474CC"/>
    <w:rsid w:val="00B70A36"/>
    <w:rsid w:val="00B92FB7"/>
    <w:rsid w:val="00BB33D9"/>
    <w:rsid w:val="00BD0BD2"/>
    <w:rsid w:val="00BD10A8"/>
    <w:rsid w:val="00BD1CC6"/>
    <w:rsid w:val="00C44B5E"/>
    <w:rsid w:val="00C72633"/>
    <w:rsid w:val="00C8128C"/>
    <w:rsid w:val="00C8373D"/>
    <w:rsid w:val="00C92C19"/>
    <w:rsid w:val="00CC065C"/>
    <w:rsid w:val="00CE5CAC"/>
    <w:rsid w:val="00CF3B6A"/>
    <w:rsid w:val="00D14749"/>
    <w:rsid w:val="00D477E4"/>
    <w:rsid w:val="00D521CF"/>
    <w:rsid w:val="00D654E2"/>
    <w:rsid w:val="00D9216D"/>
    <w:rsid w:val="00DC044F"/>
    <w:rsid w:val="00DC5EC9"/>
    <w:rsid w:val="00E02CF2"/>
    <w:rsid w:val="00E32140"/>
    <w:rsid w:val="00E45A51"/>
    <w:rsid w:val="00E6556C"/>
    <w:rsid w:val="00E75276"/>
    <w:rsid w:val="00ED2929"/>
    <w:rsid w:val="00EE38C1"/>
    <w:rsid w:val="00EF2F45"/>
    <w:rsid w:val="00F24CD2"/>
    <w:rsid w:val="00F32AE5"/>
    <w:rsid w:val="00F367CA"/>
    <w:rsid w:val="00F576B7"/>
    <w:rsid w:val="00F66EF9"/>
    <w:rsid w:val="00F8656C"/>
    <w:rsid w:val="00F90AAE"/>
    <w:rsid w:val="00F969C2"/>
    <w:rsid w:val="00FC7B0E"/>
    <w:rsid w:val="00FE00E9"/>
    <w:rsid w:val="13F4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pageBreakBefore/>
      <w:ind w:firstLine="0" w:firstLineChars="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ind w:firstLine="0" w:firstLineChars="0"/>
      <w:outlineLvl w:val="1"/>
    </w:pPr>
    <w:rPr>
      <w:rFonts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ind w:firstLine="0" w:firstLineChars="0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ind w:firstLine="0" w:firstLineChars="0"/>
      <w:outlineLvl w:val="3"/>
    </w:pPr>
    <w:rPr>
      <w:rFonts w:cstheme="majorBidi"/>
      <w:b/>
      <w:bCs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Date"/>
    <w:basedOn w:val="1"/>
    <w:next w:val="1"/>
    <w:link w:val="21"/>
    <w:semiHidden/>
    <w:unhideWhenUsed/>
    <w:uiPriority w:val="99"/>
    <w:pPr>
      <w:ind w:left="100" w:leftChars="2500"/>
    </w:pPr>
  </w:style>
  <w:style w:type="paragraph" w:styleId="8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uiPriority w:val="39"/>
    <w:pPr>
      <w:tabs>
        <w:tab w:val="right" w:leader="dot" w:pos="8296"/>
      </w:tabs>
      <w:ind w:firstLine="420"/>
    </w:pPr>
  </w:style>
  <w:style w:type="paragraph" w:styleId="11">
    <w:name w:val="toc 2"/>
    <w:basedOn w:val="1"/>
    <w:next w:val="1"/>
    <w:unhideWhenUsed/>
    <w:uiPriority w:val="39"/>
    <w:pPr>
      <w:tabs>
        <w:tab w:val="right" w:leader="dot" w:pos="8296"/>
      </w:tabs>
      <w:ind w:left="420" w:leftChars="200" w:firstLine="420"/>
    </w:pPr>
  </w:style>
  <w:style w:type="character" w:styleId="14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3 Char"/>
    <w:basedOn w:val="13"/>
    <w:link w:val="4"/>
    <w:uiPriority w:val="9"/>
    <w:rPr>
      <w:rFonts w:ascii="Times New Roman" w:hAnsi="Times New Roman" w:eastAsia="宋体"/>
      <w:b/>
      <w:bCs/>
      <w:sz w:val="28"/>
      <w:szCs w:val="32"/>
    </w:rPr>
  </w:style>
  <w:style w:type="character" w:customStyle="1" w:styleId="16">
    <w:name w:val="页眉 Char"/>
    <w:basedOn w:val="13"/>
    <w:link w:val="9"/>
    <w:uiPriority w:val="99"/>
    <w:rPr>
      <w:sz w:val="18"/>
      <w:szCs w:val="18"/>
    </w:rPr>
  </w:style>
  <w:style w:type="character" w:customStyle="1" w:styleId="17">
    <w:name w:val="页脚 Char"/>
    <w:basedOn w:val="13"/>
    <w:link w:val="8"/>
    <w:uiPriority w:val="99"/>
    <w:rPr>
      <w:sz w:val="18"/>
      <w:szCs w:val="18"/>
    </w:rPr>
  </w:style>
  <w:style w:type="character" w:customStyle="1" w:styleId="18">
    <w:name w:val="标题 2 Char"/>
    <w:basedOn w:val="13"/>
    <w:link w:val="3"/>
    <w:uiPriority w:val="9"/>
    <w:rPr>
      <w:rFonts w:ascii="Times New Roman" w:hAnsi="Times New Roman" w:eastAsia="宋体" w:cstheme="majorBidi"/>
      <w:b/>
      <w:bCs/>
      <w:sz w:val="32"/>
      <w:szCs w:val="32"/>
    </w:rPr>
  </w:style>
  <w:style w:type="character" w:customStyle="1" w:styleId="19">
    <w:name w:val="标题 1 Char"/>
    <w:basedOn w:val="13"/>
    <w:link w:val="2"/>
    <w:uiPriority w:val="9"/>
    <w:rPr>
      <w:rFonts w:ascii="Times New Roman" w:hAnsi="Times New Roman" w:eastAsia="宋体"/>
      <w:b/>
      <w:bCs/>
      <w:kern w:val="44"/>
      <w:sz w:val="44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日期 Char"/>
    <w:basedOn w:val="13"/>
    <w:link w:val="7"/>
    <w:semiHidden/>
    <w:uiPriority w:val="99"/>
  </w:style>
  <w:style w:type="paragraph" w:styleId="22">
    <w:name w:val="List Paragraph"/>
    <w:basedOn w:val="1"/>
    <w:qFormat/>
    <w:uiPriority w:val="34"/>
    <w:pPr>
      <w:ind w:firstLine="420"/>
    </w:pPr>
  </w:style>
  <w:style w:type="character" w:customStyle="1" w:styleId="23">
    <w:name w:val="标题 4 Char"/>
    <w:basedOn w:val="13"/>
    <w:link w:val="5"/>
    <w:uiPriority w:val="9"/>
    <w:rPr>
      <w:rFonts w:ascii="Times New Roman" w:hAnsi="Times New Roman" w:eastAsia="宋体" w:cstheme="majorBidi"/>
      <w:b/>
      <w:bCs/>
      <w:sz w:val="24"/>
      <w:szCs w:val="28"/>
    </w:rPr>
  </w:style>
  <w:style w:type="paragraph" w:styleId="24">
    <w:name w:val="No Spacing"/>
    <w:qFormat/>
    <w:uiPriority w:val="1"/>
    <w:pPr>
      <w:widowControl w:val="0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6CB365-F464-42ED-B520-7FED602579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418</Words>
  <Characters>2384</Characters>
  <Lines>19</Lines>
  <Paragraphs>5</Paragraphs>
  <TotalTime>1</TotalTime>
  <ScaleCrop>false</ScaleCrop>
  <LinksUpToDate>false</LinksUpToDate>
  <CharactersWithSpaces>2797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2019-05-29T13:34:00Z</dcterms:created>
  <dc:creator>glodon</dc:creator>
  <cp:lastModifiedBy>假行僧丶</cp:lastModifiedBy>
  <dcterms:modified xsi:type="dcterms:W3CDTF">2019-12-04T11:27:14Z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