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 xml:space="preserve"> </w:t>
      </w:r>
      <w:r>
        <w:rPr>
          <w:rFonts w:ascii="仿宋" w:hAnsi="仿宋" w:eastAsia="仿宋" w:cs="仿宋"/>
          <w:b/>
          <w:bCs/>
          <w:sz w:val="48"/>
          <w:szCs w:val="48"/>
        </w:rPr>
        <w:t xml:space="preserve">                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北京市政府采购中心供应商信息库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使用说明</w:t>
      </w:r>
    </w:p>
    <w:p>
      <w:pPr>
        <w:jc w:val="center"/>
        <w:rPr>
          <w:sz w:val="36"/>
          <w:szCs w:val="36"/>
        </w:rPr>
      </w:pPr>
    </w:p>
    <w:p>
      <w:pPr>
        <w:tabs>
          <w:tab w:val="left" w:pos="5428"/>
        </w:tabs>
        <w:jc w:val="left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ab/>
      </w: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020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lang w:val="en-US" w:eastAsia="zh-CN"/>
        </w:rPr>
        <w:t>11</w:t>
      </w:r>
      <w:r>
        <w:rPr>
          <w:rFonts w:hint="eastAsia"/>
          <w:sz w:val="36"/>
          <w:szCs w:val="36"/>
        </w:rPr>
        <w:t>月</w:t>
      </w: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numPr>
          <w:ilvl w:val="0"/>
          <w:numId w:val="2"/>
        </w:numPr>
        <w:jc w:val="left"/>
        <w:rPr>
          <w:rFonts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系统登录</w:t>
      </w:r>
    </w:p>
    <w:p>
      <w:pPr>
        <w:tabs>
          <w:tab w:val="left" w:pos="9540"/>
        </w:tabs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用IE或者谷歌浏览器打开网址:http://</w:t>
      </w:r>
      <w:r>
        <w:rPr>
          <w:rFonts w:ascii="仿宋" w:hAnsi="仿宋" w:eastAsia="仿宋" w:cs="仿宋"/>
          <w:sz w:val="24"/>
          <w:szCs w:val="24"/>
        </w:rPr>
        <w:t>114.255.53.117</w:t>
      </w:r>
      <w:r>
        <w:rPr>
          <w:rFonts w:hint="eastAsia" w:ascii="仿宋" w:hAnsi="仿宋" w:eastAsia="仿宋" w:cs="仿宋"/>
          <w:sz w:val="24"/>
          <w:szCs w:val="24"/>
        </w:rPr>
        <w:t>/login/?next=/，插入公司的CA，输入CA密码登录系统。</w:t>
      </w:r>
    </w:p>
    <w:p>
      <w:pPr>
        <w:jc w:val="left"/>
        <w:rPr>
          <w:b/>
          <w:bCs/>
          <w:szCs w:val="21"/>
        </w:rPr>
      </w:pPr>
      <w:r>
        <w:drawing>
          <wp:inline distT="0" distB="0" distL="0" distR="0">
            <wp:extent cx="5274310" cy="24777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Cs w:val="21"/>
        </w:rPr>
      </w:pPr>
    </w:p>
    <w:p>
      <w:pPr>
        <w:jc w:val="left"/>
        <w:rPr>
          <w:b/>
          <w:bCs/>
          <w:szCs w:val="21"/>
        </w:rPr>
      </w:pPr>
    </w:p>
    <w:p>
      <w:pPr>
        <w:jc w:val="left"/>
        <w:rPr>
          <w:rFonts w:hint="eastAsia"/>
          <w:b/>
          <w:bCs/>
          <w:szCs w:val="21"/>
        </w:rPr>
      </w:pPr>
    </w:p>
    <w:p>
      <w:pPr>
        <w:tabs>
          <w:tab w:val="left" w:pos="9540"/>
        </w:tabs>
        <w:spacing w:line="360" w:lineRule="auto"/>
        <w:ind w:firstLine="420"/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  <w:t>注：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未办理过CA证书的请咨询CA办理点（电话：83916631）办理CA。</w:t>
      </w: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  <w:t>首次使用CA一证通证书，需点击登录页面下的“证书应用环境”安装相关证书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应用环境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  <w:t>。</w:t>
      </w: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numPr>
          <w:ilvl w:val="0"/>
          <w:numId w:val="2"/>
        </w:numPr>
        <w:jc w:val="left"/>
        <w:rPr>
          <w:rFonts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完善信息</w:t>
      </w:r>
    </w:p>
    <w:p>
      <w:pPr>
        <w:tabs>
          <w:tab w:val="left" w:pos="9540"/>
        </w:tabs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2.1基本信息</w:t>
      </w:r>
    </w:p>
    <w:p>
      <w:pPr>
        <w:tabs>
          <w:tab w:val="left" w:pos="9540"/>
        </w:tabs>
        <w:spacing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根据公司实际情况完善基本信息，填写完成后点击保存，保存完成后页面显示出填写的机构信息，如果需要修改可以点击下方的修改按钮进行修改。</w:t>
      </w:r>
    </w:p>
    <w:p>
      <w:pPr>
        <w:tabs>
          <w:tab w:val="left" w:pos="9540"/>
        </w:tabs>
        <w:spacing w:line="360" w:lineRule="auto"/>
        <w:ind w:firstLine="420"/>
        <w:rPr>
          <w:b/>
          <w:bCs/>
          <w:szCs w:val="21"/>
        </w:rPr>
      </w:pPr>
      <w:r>
        <w:drawing>
          <wp:inline distT="0" distB="0" distL="0" distR="0">
            <wp:extent cx="5274310" cy="247777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bCs/>
          <w:szCs w:val="21"/>
        </w:rPr>
      </w:pPr>
    </w:p>
    <w:p>
      <w:pPr>
        <w:tabs>
          <w:tab w:val="left" w:pos="9540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  <w:t>注：联系人、联系电话务必填写项目负责人的信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息，没有的信息可以填写“无”。</w:t>
      </w:r>
    </w:p>
    <w:p>
      <w:pPr>
        <w:tabs>
          <w:tab w:val="left" w:pos="9540"/>
        </w:tabs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</w:p>
    <w:p>
      <w:pPr>
        <w:tabs>
          <w:tab w:val="left" w:pos="9540"/>
        </w:tabs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2.2 工商信息</w:t>
      </w:r>
    </w:p>
    <w:p>
      <w:pPr>
        <w:tabs>
          <w:tab w:val="left" w:pos="9540"/>
        </w:tabs>
        <w:spacing w:line="360" w:lineRule="auto"/>
        <w:ind w:firstLine="420"/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  <w:t>注：此处信息无需填写，可忽略</w:t>
      </w:r>
    </w:p>
    <w:p>
      <w:pPr>
        <w:tabs>
          <w:tab w:val="left" w:pos="9540"/>
        </w:tabs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2.3 商务信息</w:t>
      </w: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点击菜单栏“商务信息”，根据实际情况填写相关信息，填写完成点击保存按钮进行保存。</w:t>
      </w:r>
    </w:p>
    <w:p>
      <w:pPr>
        <w:tabs>
          <w:tab w:val="left" w:pos="9540"/>
        </w:tabs>
        <w:spacing w:line="360" w:lineRule="auto"/>
        <w:ind w:firstLine="420"/>
        <w:rPr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  <w:t>注：供应商登记注册状态务必选择“已办理三证合一手续”或者“已办理五证合一手续”，并上传统一社会信用代码证扫描件图片。</w:t>
      </w:r>
    </w:p>
    <w:p>
      <w:pPr>
        <w:jc w:val="left"/>
        <w:rPr>
          <w:rFonts w:hint="eastAsia"/>
          <w:b/>
          <w:bCs/>
          <w:szCs w:val="21"/>
        </w:rPr>
      </w:pPr>
    </w:p>
    <w:p>
      <w:pPr>
        <w:jc w:val="left"/>
        <w:rPr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3.资格预审报名</w:t>
      </w:r>
    </w:p>
    <w:p>
      <w:pPr>
        <w:pStyle w:val="3"/>
        <w:keepNext w:val="0"/>
        <w:keepLines w:val="0"/>
        <w:widowControl/>
        <w:suppressLineNumbers w:val="0"/>
        <w:spacing w:line="21" w:lineRule="atLeas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en-US" w:eastAsia="zh-CN" w:bidi="ar-SA"/>
        </w:rPr>
        <w:t>点击上方导航栏中的“资格预审”，选择项目列表中“北京市市级行政事业单位2020-2022年度物业定点服务政府采购项目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en-US" w:eastAsia="zh-CN" w:bidi="ar-SA"/>
        </w:rPr>
        <w:t>”，点击“立即报名”完善信息。</w:t>
      </w:r>
    </w:p>
    <w:p>
      <w:pPr>
        <w:jc w:val="left"/>
      </w:pPr>
      <w:r>
        <w:drawing>
          <wp:inline distT="0" distB="0" distL="114300" distR="114300">
            <wp:extent cx="5272405" cy="2108200"/>
            <wp:effectExtent l="0" t="0" r="4445" b="635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0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rFonts w:hint="eastAsia" w:ascii="仿宋" w:hAnsi="仿宋" w:eastAsia="仿宋" w:cs="仿宋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en-US" w:eastAsia="zh-CN" w:bidi="ar-SA"/>
        </w:rPr>
        <w:t>选择“营业执照”点击“去完善”，勾选已上传的营业执照，点击“确定选择”。</w:t>
      </w:r>
    </w:p>
    <w:p>
      <w:pPr>
        <w:jc w:val="left"/>
      </w:pPr>
      <w:r>
        <w:drawing>
          <wp:inline distT="0" distB="0" distL="114300" distR="114300">
            <wp:extent cx="5272405" cy="2410460"/>
            <wp:effectExtent l="0" t="0" r="4445" b="889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991860" cy="2080260"/>
            <wp:effectExtent l="0" t="0" r="8890" b="1524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91860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bCs/>
          <w:szCs w:val="21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再依次选择“承诺书”“授权书”“备案函”的模板进行下载，按照模板要求填写后再点击“去完善”，点击“新增”，上传响应文件，填写资质说明后点击保存。</w:t>
      </w:r>
    </w:p>
    <w:p>
      <w:pPr>
        <w:jc w:val="left"/>
        <w:rPr>
          <w:rFonts w:hint="eastAsia"/>
          <w:b/>
          <w:bCs/>
          <w:szCs w:val="21"/>
          <w:lang w:val="en-US" w:eastAsia="zh-CN"/>
        </w:rPr>
      </w:pPr>
      <w:r>
        <w:drawing>
          <wp:inline distT="0" distB="0" distL="114300" distR="114300">
            <wp:extent cx="5273675" cy="2504440"/>
            <wp:effectExtent l="0" t="0" r="3175" b="1016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04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Cs w:val="21"/>
        </w:rPr>
      </w:pPr>
      <w:r>
        <w:drawing>
          <wp:inline distT="0" distB="0" distL="114300" distR="114300">
            <wp:extent cx="5658485" cy="2981960"/>
            <wp:effectExtent l="0" t="0" r="18415" b="889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58485" cy="2981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返回勾选刚上传的文件，点击“确定选择”。</w:t>
      </w:r>
    </w:p>
    <w:p>
      <w:pPr>
        <w:jc w:val="left"/>
        <w:rPr>
          <w:rFonts w:hint="eastAsia" w:ascii="仿宋" w:hAnsi="仿宋" w:eastAsia="仿宋" w:cs="仿宋"/>
          <w:sz w:val="24"/>
          <w:szCs w:val="24"/>
        </w:rPr>
      </w:pPr>
      <w:r>
        <w:drawing>
          <wp:inline distT="0" distB="0" distL="114300" distR="114300">
            <wp:extent cx="5666740" cy="2343785"/>
            <wp:effectExtent l="0" t="0" r="10160" b="1841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2343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9540"/>
        </w:tabs>
        <w:spacing w:line="360" w:lineRule="auto"/>
        <w:ind w:firstLine="420"/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（注：要求上传的资质信息只能是图片格式，且不超过2M，其他格式一律不行，如：pdf）</w:t>
      </w:r>
    </w:p>
    <w:p>
      <w:pPr>
        <w:jc w:val="left"/>
        <w:rPr>
          <w:b/>
          <w:bCs/>
          <w:szCs w:val="21"/>
        </w:rPr>
      </w:pPr>
    </w:p>
    <w:p>
      <w:pPr>
        <w:ind w:firstLine="480" w:firstLineChars="200"/>
        <w:jc w:val="lef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全部填写完成后点击“立即报名”按钮即可完成资质提交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jc w:val="left"/>
        <w:rPr>
          <w:b/>
          <w:bCs/>
          <w:szCs w:val="21"/>
        </w:rPr>
      </w:pPr>
      <w:r>
        <w:drawing>
          <wp:inline distT="0" distB="0" distL="114300" distR="114300">
            <wp:extent cx="5266055" cy="2573020"/>
            <wp:effectExtent l="0" t="0" r="10795" b="1778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573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9540"/>
        </w:tabs>
        <w:spacing w:line="360" w:lineRule="auto"/>
        <w:ind w:firstLine="420"/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注：如果点击“立即报名”出现提示“系统出错，请重试”，点击左上角退出按钮退出系统重新登录，再点击“立即报名”即可。</w:t>
      </w:r>
    </w:p>
    <w:p>
      <w:pPr>
        <w:jc w:val="left"/>
        <w:rPr>
          <w:b/>
          <w:bCs/>
          <w:szCs w:val="21"/>
        </w:rPr>
      </w:pPr>
    </w:p>
    <w:p>
      <w:pPr>
        <w:ind w:firstLine="240" w:firstLineChars="100"/>
        <w:jc w:val="left"/>
        <w:rPr>
          <w:rFonts w:hint="eastAsia"/>
          <w:b/>
          <w:bCs/>
          <w:szCs w:val="21"/>
        </w:rPr>
      </w:pPr>
      <w:r>
        <w:rPr>
          <w:rFonts w:hint="eastAsia" w:ascii="仿宋" w:hAnsi="仿宋" w:eastAsia="仿宋" w:cs="仿宋"/>
          <w:sz w:val="24"/>
          <w:szCs w:val="24"/>
        </w:rPr>
        <w:t>资质提交后可点击项目列表中的“已参与项目”查看报名项目审核状态。</w:t>
      </w:r>
    </w:p>
    <w:p>
      <w:pPr>
        <w:jc w:val="left"/>
        <w:rPr>
          <w:rFonts w:hint="eastAsia"/>
          <w:b/>
          <w:bCs/>
          <w:szCs w:val="21"/>
        </w:rPr>
      </w:pPr>
      <w:r>
        <w:drawing>
          <wp:inline distT="0" distB="0" distL="114300" distR="114300">
            <wp:extent cx="5266690" cy="1707515"/>
            <wp:effectExtent l="0" t="0" r="10160" b="698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70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9540"/>
        </w:tabs>
        <w:spacing w:line="360" w:lineRule="auto"/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</w:pPr>
    </w:p>
    <w:p>
      <w:pPr>
        <w:tabs>
          <w:tab w:val="left" w:pos="9540"/>
        </w:tabs>
        <w:spacing w:line="360" w:lineRule="auto"/>
        <w:ind w:firstLine="420"/>
        <w:rPr>
          <w:rFonts w:ascii="仿宋" w:hAnsi="仿宋" w:eastAsia="仿宋" w:cs="仿宋"/>
          <w:b/>
          <w:b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  <w:t>注：若资质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审核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</w:rPr>
        <w:t>未通过，可点击“查看原因”按照原因进行修改，在报名截止时间之前点击“重新提交报名”即可。</w:t>
      </w:r>
    </w:p>
    <w:p>
      <w:pPr>
        <w:ind w:firstLine="210" w:firstLineChars="100"/>
        <w:jc w:val="left"/>
        <w:rPr>
          <w:rFonts w:ascii="仿宋" w:hAnsi="仿宋" w:eastAsia="仿宋" w:cs="仿宋"/>
          <w:sz w:val="24"/>
          <w:szCs w:val="24"/>
        </w:rPr>
      </w:pPr>
      <w:r>
        <w:drawing>
          <wp:inline distT="0" distB="0" distL="114300" distR="114300">
            <wp:extent cx="5268595" cy="2169160"/>
            <wp:effectExtent l="0" t="0" r="8255" b="254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6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若项目后显示“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审核</w:t>
      </w:r>
      <w:r>
        <w:rPr>
          <w:rFonts w:hint="eastAsia" w:ascii="仿宋" w:hAnsi="仿宋" w:eastAsia="仿宋" w:cs="仿宋"/>
          <w:sz w:val="24"/>
          <w:szCs w:val="24"/>
        </w:rPr>
        <w:t>通过”，说明审核通过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等待北京市政府采购中心发布公示即可。</w:t>
      </w: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10" w:firstLineChars="100"/>
        <w:jc w:val="left"/>
        <w:rPr>
          <w:rFonts w:ascii="仿宋" w:hAnsi="仿宋" w:eastAsia="仿宋" w:cs="仿宋"/>
          <w:sz w:val="24"/>
          <w:szCs w:val="24"/>
        </w:rPr>
      </w:pPr>
      <w:r>
        <w:drawing>
          <wp:inline distT="0" distB="0" distL="114300" distR="114300">
            <wp:extent cx="5267325" cy="1810385"/>
            <wp:effectExtent l="0" t="0" r="9525" b="18415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10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p>
      <w:pPr>
        <w:pStyle w:val="8"/>
        <w:spacing w:line="360" w:lineRule="auto"/>
        <w:jc w:val="left"/>
        <w:rPr>
          <w:rFonts w:ascii="仿宋" w:hAnsi="仿宋" w:eastAsia="仿宋" w:cs="仿宋"/>
          <w:sz w:val="24"/>
          <w:szCs w:val="24"/>
        </w:rPr>
      </w:pPr>
      <w:bookmarkStart w:id="0" w:name="_Toc327516243"/>
      <w:bookmarkStart w:id="1" w:name="_Toc91570754"/>
    </w:p>
    <w:p>
      <w:pPr>
        <w:pStyle w:val="8"/>
        <w:spacing w:line="360" w:lineRule="auto"/>
        <w:jc w:val="lef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关于本手册</w:t>
      </w:r>
      <w:bookmarkEnd w:id="0"/>
      <w:bookmarkEnd w:id="1"/>
    </w:p>
    <w:p>
      <w:pPr>
        <w:pStyle w:val="22"/>
        <w:spacing w:line="360" w:lineRule="auto"/>
        <w:ind w:left="0" w:leftChars="0" w:right="97" w:firstLine="420" w:firstLineChars="175"/>
        <w:rPr>
          <w:rFonts w:ascii="仿宋" w:hAnsi="仿宋" w:eastAsia="仿宋" w:cs="仿宋"/>
          <w:szCs w:val="24"/>
          <w:lang w:eastAsia="zh-CN"/>
        </w:rPr>
      </w:pPr>
      <w:r>
        <w:rPr>
          <w:rFonts w:hint="eastAsia" w:ascii="仿宋" w:hAnsi="仿宋" w:eastAsia="仿宋" w:cs="仿宋"/>
          <w:szCs w:val="24"/>
          <w:lang w:eastAsia="zh-CN"/>
        </w:rPr>
        <w:t>本手册介绍使用资格预审系统管理需要掌握的重要知识、技能，建议用户通读整本手册。手册详细介绍了使用方法。对于手册中介绍不清楚的问题，或在实际使用中遇到的问题而手册介绍的内容不充分，可联系下方服务电话获取技术支持。</w:t>
      </w:r>
    </w:p>
    <w:p>
      <w:pPr>
        <w:pStyle w:val="4"/>
        <w:spacing w:before="50" w:after="50"/>
        <w:ind w:firstLine="0"/>
        <w:rPr>
          <w:rFonts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服务电话</w:t>
      </w:r>
    </w:p>
    <w:p>
      <w:pPr>
        <w:pStyle w:val="4"/>
        <w:spacing w:before="50" w:after="50"/>
        <w:ind w:firstLine="480" w:firstLineChars="200"/>
        <w:rPr>
          <w:rFonts w:ascii="仿宋" w:hAnsi="仿宋" w:eastAsia="仿宋" w:cs="仿宋"/>
          <w:color w:val="000000"/>
          <w:sz w:val="24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4"/>
          <w:shd w:val="clear" w:color="auto" w:fill="FFFFFF"/>
        </w:rPr>
        <w:t>010-83916633</w:t>
      </w:r>
    </w:p>
    <w:p>
      <w:pPr>
        <w:ind w:firstLine="240" w:firstLineChars="100"/>
        <w:jc w:val="left"/>
        <w:rPr>
          <w:rFonts w:ascii="仿宋" w:hAnsi="仿宋" w:eastAsia="仿宋" w:cs="仿宋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·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A4B4C"/>
    <w:multiLevelType w:val="singleLevel"/>
    <w:tmpl w:val="3A4A4B4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FAE5DAF"/>
    <w:multiLevelType w:val="multilevel"/>
    <w:tmpl w:val="5FAE5DAF"/>
    <w:lvl w:ilvl="0" w:tentative="0">
      <w:start w:val="1"/>
      <w:numFmt w:val="decimal"/>
      <w:lvlText w:val="%1."/>
      <w:lvlJc w:val="left"/>
      <w:pPr>
        <w:tabs>
          <w:tab w:val="left" w:pos="748"/>
        </w:tabs>
        <w:ind w:left="748" w:hanging="748"/>
      </w:pPr>
      <w:rPr>
        <w:rFonts w:hint="eastAsia" w:ascii="黑体" w:eastAsia="黑体"/>
        <w:b/>
        <w:sz w:val="30"/>
        <w:szCs w:val="30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1077"/>
        </w:tabs>
        <w:ind w:left="1077" w:hanging="1077"/>
      </w:pPr>
    </w:lvl>
    <w:lvl w:ilvl="2" w:tentative="0">
      <w:start w:val="1"/>
      <w:numFmt w:val="decimal"/>
      <w:lvlText w:val="%1.%2.%3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rFonts w:hint="default" w:ascii="Times New Roman" w:hAnsi="Times New Roman" w:cs="Times New Roman"/>
        <w:b/>
      </w:rPr>
    </w:lvl>
    <w:lvl w:ilvl="4" w:tentative="0">
      <w:start w:val="1"/>
      <w:numFmt w:val="decimal"/>
      <w:lvlText w:val="%1.%2.%3.%4.%5"/>
      <w:lvlJc w:val="left"/>
      <w:pPr>
        <w:tabs>
          <w:tab w:val="left" w:pos="1247"/>
        </w:tabs>
        <w:ind w:left="1247" w:hanging="124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701"/>
        </w:tabs>
        <w:ind w:left="1701" w:hanging="1701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84"/>
    <w:rsid w:val="000A3CE2"/>
    <w:rsid w:val="000D612F"/>
    <w:rsid w:val="0010468C"/>
    <w:rsid w:val="001B4231"/>
    <w:rsid w:val="002041EC"/>
    <w:rsid w:val="002132C9"/>
    <w:rsid w:val="00366C1E"/>
    <w:rsid w:val="00403940"/>
    <w:rsid w:val="004754AB"/>
    <w:rsid w:val="004F2A58"/>
    <w:rsid w:val="005446A6"/>
    <w:rsid w:val="006A6D51"/>
    <w:rsid w:val="007671F8"/>
    <w:rsid w:val="00853554"/>
    <w:rsid w:val="008E0CCA"/>
    <w:rsid w:val="008E325D"/>
    <w:rsid w:val="0094437F"/>
    <w:rsid w:val="00A3026F"/>
    <w:rsid w:val="00AE3C84"/>
    <w:rsid w:val="00CA7E1E"/>
    <w:rsid w:val="00CF10A5"/>
    <w:rsid w:val="00D00A31"/>
    <w:rsid w:val="00D4183B"/>
    <w:rsid w:val="00D67969"/>
    <w:rsid w:val="00E4411F"/>
    <w:rsid w:val="00E93282"/>
    <w:rsid w:val="00ED06A4"/>
    <w:rsid w:val="00F80641"/>
    <w:rsid w:val="0BC23657"/>
    <w:rsid w:val="0C3313F8"/>
    <w:rsid w:val="1ABF030B"/>
    <w:rsid w:val="25DF49BA"/>
    <w:rsid w:val="2C93661B"/>
    <w:rsid w:val="2E6442A6"/>
    <w:rsid w:val="324852DC"/>
    <w:rsid w:val="383E0FA9"/>
    <w:rsid w:val="3D401D72"/>
    <w:rsid w:val="436F7D02"/>
    <w:rsid w:val="44040A81"/>
    <w:rsid w:val="4EDB17DB"/>
    <w:rsid w:val="7204206D"/>
    <w:rsid w:val="73F62E4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semiHidden="0" w:name="HTML Code"/>
    <w:lsdException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numPr>
        <w:ilvl w:val="1"/>
        <w:numId w:val="1"/>
      </w:numPr>
      <w:spacing w:before="260" w:after="260" w:line="416" w:lineRule="auto"/>
      <w:jc w:val="left"/>
      <w:outlineLvl w:val="1"/>
    </w:pPr>
    <w:rPr>
      <w:rFonts w:ascii="Arial" w:hAnsi="Arial" w:eastAsia="黑体"/>
      <w:b/>
      <w:bCs/>
      <w:kern w:val="0"/>
      <w:sz w:val="28"/>
      <w:szCs w:val="32"/>
    </w:rPr>
  </w:style>
  <w:style w:type="paragraph" w:styleId="3">
    <w:name w:val="heading 5"/>
    <w:basedOn w:val="1"/>
    <w:next w:val="1"/>
    <w:unhideWhenUsed/>
    <w:qFormat/>
    <w:uiPriority w:val="9"/>
    <w:pPr>
      <w:spacing w:before="150" w:beforeAutospacing="0" w:after="150" w:afterAutospacing="0" w:line="17" w:lineRule="atLeast"/>
      <w:jc w:val="left"/>
    </w:pPr>
    <w:rPr>
      <w:rFonts w:hint="eastAsia" w:ascii="宋体" w:hAnsi="宋体" w:eastAsia="宋体" w:cs="宋体"/>
      <w:b/>
      <w:kern w:val="0"/>
      <w:sz w:val="21"/>
      <w:szCs w:val="21"/>
      <w:lang w:val="en-US" w:eastAsia="zh-CN" w:bidi="ar"/>
    </w:rPr>
  </w:style>
  <w:style w:type="character" w:default="1" w:styleId="9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line="360" w:lineRule="auto"/>
      <w:ind w:firstLine="437"/>
    </w:pPr>
    <w:rPr>
      <w:rFonts w:ascii="Times New Roman" w:hAnsi="Times New Roman"/>
      <w:szCs w:val="24"/>
    </w:rPr>
  </w:style>
  <w:style w:type="paragraph" w:styleId="5">
    <w:name w:val="Date"/>
    <w:basedOn w:val="1"/>
    <w:next w:val="1"/>
    <w:link w:val="18"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unhideWhenUsed/>
    <w:uiPriority w:val="99"/>
    <w:rPr>
      <w:color w:val="337AB7"/>
      <w:u w:val="none"/>
    </w:rPr>
  </w:style>
  <w:style w:type="character" w:styleId="12">
    <w:name w:val="HTML Definition"/>
    <w:basedOn w:val="9"/>
    <w:unhideWhenUsed/>
    <w:uiPriority w:val="99"/>
    <w:rPr>
      <w:i/>
    </w:rPr>
  </w:style>
  <w:style w:type="character" w:styleId="13">
    <w:name w:val="Hyperlink"/>
    <w:basedOn w:val="9"/>
    <w:unhideWhenUsed/>
    <w:qFormat/>
    <w:uiPriority w:val="99"/>
    <w:rPr>
      <w:color w:val="337AB7"/>
      <w:u w:val="none"/>
    </w:rPr>
  </w:style>
  <w:style w:type="character" w:styleId="14">
    <w:name w:val="HTML Code"/>
    <w:basedOn w:val="9"/>
    <w:unhideWhenUsed/>
    <w:uiPriority w:val="99"/>
    <w:rPr>
      <w:rFonts w:hint="default" w:ascii="Menlo" w:hAnsi="Menlo" w:eastAsia="Menlo" w:cs="Menlo"/>
      <w:color w:val="C7254E"/>
      <w:sz w:val="21"/>
      <w:szCs w:val="21"/>
      <w:shd w:val="clear" w:fill="F9F2F4"/>
    </w:rPr>
  </w:style>
  <w:style w:type="character" w:styleId="15">
    <w:name w:val="HTML Keyboard"/>
    <w:basedOn w:val="9"/>
    <w:unhideWhenUsed/>
    <w:qFormat/>
    <w:uiPriority w:val="99"/>
    <w:rPr>
      <w:rFonts w:hint="default" w:ascii="Menlo" w:hAnsi="Menlo" w:eastAsia="Menlo" w:cs="Menlo"/>
      <w:color w:val="FFFFFF"/>
      <w:sz w:val="21"/>
      <w:szCs w:val="21"/>
      <w:shd w:val="clear" w:fill="333333"/>
    </w:rPr>
  </w:style>
  <w:style w:type="character" w:styleId="16">
    <w:name w:val="HTML Sample"/>
    <w:basedOn w:val="9"/>
    <w:unhideWhenUsed/>
    <w:qFormat/>
    <w:uiPriority w:val="99"/>
    <w:rPr>
      <w:rFonts w:ascii="Menlo" w:hAnsi="Menlo" w:eastAsia="Menlo" w:cs="Menlo"/>
      <w:sz w:val="21"/>
      <w:szCs w:val="21"/>
    </w:rPr>
  </w:style>
  <w:style w:type="character" w:customStyle="1" w:styleId="18">
    <w:name w:val="日期 字符"/>
    <w:basedOn w:val="9"/>
    <w:link w:val="5"/>
    <w:semiHidden/>
    <w:qFormat/>
    <w:uiPriority w:val="99"/>
  </w:style>
  <w:style w:type="character" w:customStyle="1" w:styleId="19">
    <w:name w:val="label-tit1"/>
    <w:basedOn w:val="9"/>
    <w:qFormat/>
    <w:uiPriority w:val="0"/>
    <w:rPr>
      <w:color w:val="999999"/>
    </w:rPr>
  </w:style>
  <w:style w:type="character" w:customStyle="1" w:styleId="20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21">
    <w:name w:val="页脚 字符"/>
    <w:basedOn w:val="9"/>
    <w:link w:val="6"/>
    <w:qFormat/>
    <w:uiPriority w:val="99"/>
    <w:rPr>
      <w:sz w:val="18"/>
      <w:szCs w:val="18"/>
    </w:rPr>
  </w:style>
  <w:style w:type="paragraph" w:customStyle="1" w:styleId="22">
    <w:name w:val="操作手册正文"/>
    <w:basedOn w:val="23"/>
    <w:qFormat/>
    <w:uiPriority w:val="0"/>
    <w:pPr>
      <w:tabs>
        <w:tab w:val="left" w:pos="9540"/>
      </w:tabs>
      <w:spacing w:line="400" w:lineRule="exact"/>
      <w:ind w:left="771" w:leftChars="771" w:right="46" w:rightChars="46" w:firstLine="200" w:firstLineChars="200"/>
      <w:jc w:val="both"/>
    </w:pPr>
    <w:rPr>
      <w:i w:val="0"/>
      <w:sz w:val="24"/>
    </w:rPr>
  </w:style>
  <w:style w:type="paragraph" w:customStyle="1" w:styleId="23">
    <w:name w:val="Legalese"/>
    <w:basedOn w:val="1"/>
    <w:qFormat/>
    <w:uiPriority w:val="0"/>
    <w:pPr>
      <w:widowControl/>
      <w:spacing w:after="120" w:line="140" w:lineRule="exact"/>
      <w:ind w:left="3742" w:right="-360"/>
      <w:jc w:val="left"/>
    </w:pPr>
    <w:rPr>
      <w:rFonts w:ascii="Arial" w:hAnsi="Arial" w:cs="Arial"/>
      <w:i/>
      <w:kern w:val="0"/>
      <w:sz w:val="16"/>
      <w:szCs w:val="16"/>
      <w:lang w:eastAsia="en-US"/>
    </w:rPr>
  </w:style>
  <w:style w:type="character" w:customStyle="1" w:styleId="24">
    <w:name w:val="hour_pm"/>
    <w:basedOn w:val="9"/>
    <w:qFormat/>
    <w:uiPriority w:val="0"/>
  </w:style>
  <w:style w:type="character" w:customStyle="1" w:styleId="25">
    <w:name w:val="glyphicon2"/>
    <w:basedOn w:val="9"/>
    <w:qFormat/>
    <w:uiPriority w:val="0"/>
  </w:style>
  <w:style w:type="character" w:customStyle="1" w:styleId="26">
    <w:name w:val="hover7"/>
    <w:basedOn w:val="9"/>
    <w:qFormat/>
    <w:uiPriority w:val="0"/>
    <w:rPr>
      <w:shd w:val="clear" w:fill="EEEEEE"/>
    </w:rPr>
  </w:style>
  <w:style w:type="character" w:customStyle="1" w:styleId="27">
    <w:name w:val="hour_am"/>
    <w:basedOn w:val="9"/>
    <w:qFormat/>
    <w:uiPriority w:val="0"/>
  </w:style>
  <w:style w:type="character" w:customStyle="1" w:styleId="28">
    <w:name w:val="old"/>
    <w:basedOn w:val="9"/>
    <w:qFormat/>
    <w:uiPriority w:val="0"/>
    <w:rPr>
      <w:color w:val="999999"/>
    </w:rPr>
  </w:style>
  <w:style w:type="character" w:customStyle="1" w:styleId="29">
    <w:name w:val="jedateymchri"/>
    <w:basedOn w:val="9"/>
    <w:qFormat/>
    <w:uiPriority w:val="0"/>
    <w:rPr>
      <w:color w:val="555555"/>
      <w:sz w:val="24"/>
      <w:szCs w:val="24"/>
      <w:shd w:val="clear" w:fill="F0F0F0"/>
    </w:rPr>
  </w:style>
  <w:style w:type="character" w:customStyle="1" w:styleId="30">
    <w:name w:val="jedateymchri1"/>
    <w:basedOn w:val="9"/>
    <w:uiPriority w:val="0"/>
    <w:rPr>
      <w:color w:val="555555"/>
      <w:sz w:val="24"/>
      <w:szCs w:val="24"/>
      <w:shd w:val="clear" w:fill="F0F0F0"/>
    </w:rPr>
  </w:style>
  <w:style w:type="character" w:customStyle="1" w:styleId="31">
    <w:name w:val="jedateymchri2"/>
    <w:basedOn w:val="9"/>
    <w:uiPriority w:val="0"/>
    <w:rPr>
      <w:color w:val="555555"/>
      <w:sz w:val="24"/>
      <w:szCs w:val="24"/>
      <w:shd w:val="clear" w:fill="F0F0F0"/>
    </w:rPr>
  </w:style>
  <w:style w:type="character" w:customStyle="1" w:styleId="32">
    <w:name w:val="jedateymchok"/>
    <w:basedOn w:val="9"/>
    <w:uiPriority w:val="0"/>
    <w:rPr>
      <w:color w:val="FFFFFF"/>
      <w:sz w:val="18"/>
      <w:szCs w:val="18"/>
      <w:shd w:val="clear" w:fill="00A1CB"/>
    </w:rPr>
  </w:style>
  <w:style w:type="character" w:customStyle="1" w:styleId="33">
    <w:name w:val="jedateymchok1"/>
    <w:basedOn w:val="9"/>
    <w:qFormat/>
    <w:uiPriority w:val="0"/>
    <w:rPr>
      <w:color w:val="FFFFFF"/>
      <w:sz w:val="18"/>
      <w:szCs w:val="18"/>
      <w:shd w:val="clear" w:fill="78BA32"/>
    </w:rPr>
  </w:style>
  <w:style w:type="character" w:customStyle="1" w:styleId="34">
    <w:name w:val="jedateymchok2"/>
    <w:basedOn w:val="9"/>
    <w:qFormat/>
    <w:uiPriority w:val="0"/>
    <w:rPr>
      <w:color w:val="FFFFFF"/>
      <w:sz w:val="18"/>
      <w:szCs w:val="18"/>
      <w:shd w:val="clear" w:fill="D91600"/>
    </w:rPr>
  </w:style>
  <w:style w:type="character" w:customStyle="1" w:styleId="35">
    <w:name w:val="jedateymchle"/>
    <w:basedOn w:val="9"/>
    <w:uiPriority w:val="0"/>
    <w:rPr>
      <w:color w:val="555555"/>
      <w:sz w:val="24"/>
      <w:szCs w:val="24"/>
      <w:shd w:val="clear" w:fill="F0F0F0"/>
    </w:rPr>
  </w:style>
  <w:style w:type="character" w:customStyle="1" w:styleId="36">
    <w:name w:val="jedateymchle1"/>
    <w:basedOn w:val="9"/>
    <w:qFormat/>
    <w:uiPriority w:val="0"/>
    <w:rPr>
      <w:color w:val="555555"/>
      <w:sz w:val="24"/>
      <w:szCs w:val="24"/>
      <w:shd w:val="clear" w:fill="F0F0F0"/>
    </w:rPr>
  </w:style>
  <w:style w:type="character" w:customStyle="1" w:styleId="37">
    <w:name w:val="jedateymchle2"/>
    <w:basedOn w:val="9"/>
    <w:uiPriority w:val="0"/>
    <w:rPr>
      <w:color w:val="555555"/>
      <w:sz w:val="24"/>
      <w:szCs w:val="24"/>
      <w:shd w:val="clear" w:fill="F0F0F0"/>
    </w:rPr>
  </w:style>
  <w:style w:type="character" w:customStyle="1" w:styleId="38">
    <w:name w:val="first-child"/>
    <w:basedOn w:val="9"/>
    <w:qFormat/>
    <w:uiPriority w:val="0"/>
  </w:style>
  <w:style w:type="character" w:customStyle="1" w:styleId="39">
    <w:name w:val="layui-layer-tabnow"/>
    <w:basedOn w:val="9"/>
    <w:qFormat/>
    <w:uiPriority w:val="0"/>
    <w:rPr>
      <w:bdr w:val="single" w:color="CCCCCC" w:sz="6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155</Words>
  <Characters>890</Characters>
  <Lines>7</Lines>
  <Paragraphs>2</Paragraphs>
  <ScaleCrop>false</ScaleCrop>
  <LinksUpToDate>false</LinksUpToDate>
  <CharactersWithSpaces>1043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2020-05-19T03:07:00Z</dcterms:created>
  <dc:creator>Jin Long</dc:creator>
  <cp:lastModifiedBy>姜利</cp:lastModifiedBy>
  <dcterms:modified xsi:type="dcterms:W3CDTF">2020-11-26T09:47:47Z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