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kern w:val="0"/>
          <w:sz w:val="36"/>
          <w:szCs w:val="36"/>
        </w:rPr>
      </w:pPr>
      <w:r>
        <w:rPr>
          <w:rFonts w:hint="eastAsia" w:ascii="黑体" w:hAnsi="黑体" w:eastAsia="黑体" w:cs="宋体"/>
          <w:kern w:val="0"/>
          <w:sz w:val="36"/>
          <w:szCs w:val="36"/>
        </w:rPr>
        <w:t>采购需求</w:t>
      </w:r>
    </w:p>
    <w:p>
      <w:pPr>
        <w:numPr>
          <w:ilvl w:val="0"/>
          <w:numId w:val="1"/>
        </w:numPr>
        <w:adjustRightInd w:val="0"/>
        <w:spacing w:line="360" w:lineRule="atLeast"/>
        <w:jc w:val="left"/>
        <w:textAlignment w:val="baseline"/>
        <w:rPr>
          <w:b/>
          <w:bCs/>
          <w:sz w:val="24"/>
          <w:szCs w:val="24"/>
        </w:rPr>
      </w:pPr>
      <w:r>
        <w:rPr>
          <w:rFonts w:hint="eastAsia" w:ascii="宋体" w:hAnsi="宋体"/>
          <w:b/>
          <w:bCs/>
          <w:sz w:val="24"/>
          <w:szCs w:val="24"/>
        </w:rPr>
        <w:t>技术参数要求（技术指标包括性能、规格、材质等，但不能指定品牌）、服务要求</w:t>
      </w:r>
      <w:r>
        <w:rPr>
          <w:rFonts w:hint="eastAsia" w:ascii="宋体" w:hAnsi="宋体"/>
          <w:b/>
          <w:bCs/>
          <w:sz w:val="24"/>
          <w:szCs w:val="24"/>
          <w:lang w:eastAsia="zh-CN"/>
        </w:rPr>
        <w:t>：</w:t>
      </w:r>
    </w:p>
    <w:p>
      <w:pPr>
        <w:pStyle w:val="12"/>
        <w:numPr>
          <w:ilvl w:val="0"/>
          <w:numId w:val="2"/>
        </w:numPr>
        <w:tabs>
          <w:tab w:val="left" w:pos="583"/>
        </w:tabs>
        <w:spacing w:line="360" w:lineRule="auto"/>
        <w:ind w:left="0" w:firstLine="480"/>
        <w:rPr>
          <w:rFonts w:cs="宋体" w:asciiTheme="minorEastAsia" w:hAnsiTheme="minorEastAsia"/>
          <w:sz w:val="24"/>
          <w:szCs w:val="28"/>
        </w:rPr>
      </w:pPr>
      <w:r>
        <w:rPr>
          <w:rFonts w:cs="宋体" w:asciiTheme="minorEastAsia" w:hAnsiTheme="minorEastAsia"/>
          <w:sz w:val="24"/>
          <w:szCs w:val="28"/>
        </w:rPr>
        <w:t>建立健全的各种内部管理制度和安全生产制度，严格按照国家相关规定执行；</w:t>
      </w:r>
    </w:p>
    <w:p>
      <w:pPr>
        <w:pStyle w:val="12"/>
        <w:numPr>
          <w:ilvl w:val="0"/>
          <w:numId w:val="2"/>
        </w:numPr>
        <w:tabs>
          <w:tab w:val="left" w:pos="583"/>
        </w:tabs>
        <w:spacing w:line="360" w:lineRule="auto"/>
        <w:ind w:left="0" w:firstLine="480"/>
        <w:rPr>
          <w:rFonts w:cs="宋体" w:asciiTheme="minorEastAsia" w:hAnsiTheme="minorEastAsia"/>
          <w:sz w:val="24"/>
          <w:szCs w:val="28"/>
        </w:rPr>
      </w:pPr>
      <w:r>
        <w:rPr>
          <w:rFonts w:cs="宋体" w:asciiTheme="minorEastAsia" w:hAnsiTheme="minorEastAsia"/>
          <w:sz w:val="24"/>
          <w:szCs w:val="28"/>
        </w:rPr>
        <w:t>中标人必须严格按照《城市道路城市照明工程施工及验收规程CJJ89-2001）》《城市夜景照明设计规范》（JGJ/T163-2008)等国家和地方有关法律、法规、标准及规程规范进行维护服务工作，确保维护工作的质量符合有关要求。承包人在维修中所更换的设施须按所在位置原设施的技术指标恢复原状，材料质量参数不低于原标准，并采用国家绿色照明产品，符合国家有关技术要求；如无法更换相同产品，应报采购人同意后，采取不低于原产品功能质量的产品替换；</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建立相应的日常运行台账，具体包括定期或不定期的检查台帐和日常维护台帐；为日常巡查及检修做好日常工作日志记录，随时接受采购人日常工作日志检查，工作日志记录，按月按季按年进行资料归档长期保存；</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hint="eastAsia" w:cs="宋体" w:asciiTheme="minorEastAsia" w:hAnsiTheme="minorEastAsia"/>
          <w:sz w:val="24"/>
          <w:szCs w:val="28"/>
        </w:rPr>
        <w:t>每天</w:t>
      </w:r>
      <w:r>
        <w:rPr>
          <w:rFonts w:cs="宋体" w:asciiTheme="minorEastAsia" w:hAnsiTheme="minorEastAsia"/>
          <w:sz w:val="24"/>
          <w:szCs w:val="28"/>
        </w:rPr>
        <w:t>必须安排人员及车辆进行日常性巡查，对维护亮化设施亮灯、亮化程序变幻及设备完好情况等检查，确保亮化设施亮灯率，对故障设施进行日常维护，收集高空亮化设施运行状况</w:t>
      </w:r>
      <w:r>
        <w:rPr>
          <w:rFonts w:hint="eastAsia" w:cs="宋体" w:asciiTheme="minorEastAsia" w:hAnsiTheme="minorEastAsia"/>
          <w:sz w:val="24"/>
          <w:szCs w:val="28"/>
        </w:rPr>
        <w:t>；</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按照国家相关规范和规程为维护亮化设施分别制定日常检测和试验工作，确保亮化设施安全可靠使用；</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重大节日、活动、灾害性天气等特殊情况，中标人应积极配合采购人开展保障、抢险、救援等相关工作，</w:t>
      </w:r>
      <w:bookmarkStart w:id="3" w:name="_GoBack"/>
      <w:bookmarkEnd w:id="3"/>
      <w:r>
        <w:rPr>
          <w:rFonts w:cs="宋体" w:asciiTheme="minorEastAsia" w:hAnsiTheme="minorEastAsia"/>
          <w:sz w:val="24"/>
          <w:szCs w:val="28"/>
        </w:rPr>
        <w:t>加强亮化设施维护保障，采取相应有效的措施，加强巡查，排除隐患及 24 小时人员值守，制定应急预案，及时处理各类问题；因自然灾害等不可抗力造成损失的，中标人应按采购人要求积极抢修，恢复设施正常运行，费用由采购人承担；</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因中标人责任造成的任何事故，包括人员伤亡、财物损失等一切经济责任和法律责任由中标人负责，并负责事后补救；</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中标人日常维护保养：</w:t>
      </w:r>
    </w:p>
    <w:p>
      <w:pPr>
        <w:widowControl/>
        <w:numPr>
          <w:ilvl w:val="1"/>
          <w:numId w:val="3"/>
        </w:numPr>
        <w:tabs>
          <w:tab w:val="left" w:pos="980"/>
        </w:tabs>
        <w:spacing w:line="360" w:lineRule="auto"/>
        <w:ind w:firstLine="480" w:firstLineChars="200"/>
        <w:jc w:val="left"/>
        <w:rPr>
          <w:rFonts w:asciiTheme="minorEastAsia" w:hAnsiTheme="minorEastAsia" w:eastAsiaTheme="minorEastAsia"/>
          <w:sz w:val="24"/>
          <w:szCs w:val="28"/>
        </w:rPr>
      </w:pPr>
      <w:r>
        <w:rPr>
          <w:rFonts w:cs="宋体" w:asciiTheme="minorEastAsia" w:hAnsiTheme="minorEastAsia" w:eastAsiaTheme="minorEastAsia"/>
          <w:sz w:val="24"/>
          <w:szCs w:val="28"/>
        </w:rPr>
        <w:t>日常维护：对灯杆、灯具、驱动电源、控制设备、低压电箱配电及供电设施（含电缆、保护管线）等亮化设施进行日常维修、修补、检测、损坏更换、破坏更换及被盗修复，对于在巡查维护过程中，若出现群众损坏灯具，粘贴广告在灯杆的情况，中标人</w:t>
      </w:r>
      <w:bookmarkStart w:id="0" w:name="page12"/>
      <w:bookmarkEnd w:id="0"/>
      <w:r>
        <w:rPr>
          <w:rFonts w:cs="宋体" w:asciiTheme="minorEastAsia" w:hAnsiTheme="minorEastAsia" w:eastAsiaTheme="minorEastAsia"/>
          <w:sz w:val="24"/>
          <w:szCs w:val="28"/>
        </w:rPr>
        <w:t>应及时劝阻。</w:t>
      </w:r>
    </w:p>
    <w:p>
      <w:pPr>
        <w:widowControl/>
        <w:numPr>
          <w:ilvl w:val="1"/>
          <w:numId w:val="3"/>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灯具情况：巡查灯具亮灯情况、灯具是否有松动脱落、灯具信号及工作模式是否正常、灯具是否有破损现象；</w:t>
      </w:r>
    </w:p>
    <w:p>
      <w:pPr>
        <w:widowControl/>
        <w:numPr>
          <w:ilvl w:val="1"/>
          <w:numId w:val="3"/>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中标人必须制定</w:t>
      </w:r>
      <w:r>
        <w:rPr>
          <w:rFonts w:hint="eastAsia" w:cs="宋体" w:asciiTheme="minorEastAsia" w:hAnsiTheme="minorEastAsia" w:eastAsiaTheme="minorEastAsia"/>
          <w:strike w:val="0"/>
          <w:dstrike w:val="0"/>
          <w:sz w:val="24"/>
          <w:szCs w:val="28"/>
          <w:lang w:eastAsia="zh-CN"/>
        </w:rPr>
        <w:t>服务期内每月度</w:t>
      </w:r>
      <w:r>
        <w:rPr>
          <w:rFonts w:cs="宋体" w:asciiTheme="minorEastAsia" w:hAnsiTheme="minorEastAsia" w:eastAsiaTheme="minorEastAsia"/>
          <w:sz w:val="24"/>
          <w:szCs w:val="28"/>
        </w:rPr>
        <w:t>亮化设施的清洗计划，有关灯杆、灯具等（高空除外）亮化设施每</w:t>
      </w:r>
      <w:r>
        <w:rPr>
          <w:rFonts w:hint="eastAsia" w:cs="宋体" w:asciiTheme="minorEastAsia" w:hAnsiTheme="minorEastAsia" w:eastAsiaTheme="minorEastAsia"/>
          <w:sz w:val="24"/>
          <w:szCs w:val="28"/>
        </w:rPr>
        <w:t>月</w:t>
      </w:r>
      <w:r>
        <w:rPr>
          <w:rFonts w:cs="宋体" w:asciiTheme="minorEastAsia" w:hAnsiTheme="minorEastAsia" w:eastAsiaTheme="minorEastAsia"/>
          <w:sz w:val="24"/>
          <w:szCs w:val="28"/>
        </w:rPr>
        <w:t>清洗除尘一次，及时清除灯柱等亮化设施上乱张贴及杂物；</w:t>
      </w:r>
    </w:p>
    <w:p>
      <w:pPr>
        <w:widowControl/>
        <w:numPr>
          <w:ilvl w:val="1"/>
          <w:numId w:val="3"/>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电箱及计量箱：巡查电箱是否工作正常、内部电气元件是否运行正常、各开关有无老化现象、各开关是否在正常工作状态，并且每月进行一次箱内清洁、扫尘、除杂物及控制线路紧固；</w:t>
      </w:r>
    </w:p>
    <w:p>
      <w:pPr>
        <w:widowControl/>
        <w:numPr>
          <w:ilvl w:val="1"/>
          <w:numId w:val="3"/>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设施生锈处理：灯杆、箱体、基座及其他影响观瞻的设备表面出现生锈时，应及时进行喷漆防腐处理，防止生锈损坏；</w:t>
      </w:r>
    </w:p>
    <w:p>
      <w:pPr>
        <w:widowControl/>
        <w:numPr>
          <w:ilvl w:val="1"/>
          <w:numId w:val="3"/>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亮化设施检测：中标</w:t>
      </w:r>
      <w:r>
        <w:rPr>
          <w:rFonts w:hint="eastAsia" w:cs="宋体" w:asciiTheme="minorEastAsia" w:hAnsiTheme="minorEastAsia" w:eastAsiaTheme="minorEastAsia"/>
          <w:sz w:val="24"/>
          <w:szCs w:val="28"/>
        </w:rPr>
        <w:t>人</w:t>
      </w:r>
      <w:r>
        <w:rPr>
          <w:rFonts w:cs="宋体" w:asciiTheme="minorEastAsia" w:hAnsiTheme="minorEastAsia" w:eastAsiaTheme="minorEastAsia"/>
          <w:sz w:val="24"/>
          <w:szCs w:val="28"/>
        </w:rPr>
        <w:t>每年至少对每处亮化设施接地、绝缘、送电试运行进行检测</w:t>
      </w:r>
      <w:r>
        <w:rPr>
          <w:rFonts w:hint="eastAsia" w:cs="宋体" w:asciiTheme="minorEastAsia" w:hAnsiTheme="minorEastAsia" w:eastAsiaTheme="minorEastAsia"/>
          <w:sz w:val="24"/>
          <w:szCs w:val="28"/>
        </w:rPr>
        <w:t>两</w:t>
      </w:r>
      <w:r>
        <w:rPr>
          <w:rFonts w:cs="宋体" w:asciiTheme="minorEastAsia" w:hAnsiTheme="minorEastAsia" w:eastAsiaTheme="minorEastAsia"/>
          <w:sz w:val="24"/>
          <w:szCs w:val="28"/>
        </w:rPr>
        <w:t>次，并提交设施检测报告；</w:t>
      </w:r>
    </w:p>
    <w:p>
      <w:pPr>
        <w:pStyle w:val="12"/>
        <w:numPr>
          <w:ilvl w:val="0"/>
          <w:numId w:val="2"/>
        </w:numPr>
        <w:tabs>
          <w:tab w:val="left" w:pos="583"/>
          <w:tab w:val="left" w:pos="698"/>
        </w:tabs>
        <w:spacing w:line="360" w:lineRule="auto"/>
        <w:ind w:left="0" w:firstLine="480"/>
        <w:rPr>
          <w:rFonts w:asciiTheme="minorEastAsia" w:hAnsiTheme="minorEastAsia"/>
          <w:sz w:val="24"/>
          <w:szCs w:val="28"/>
        </w:rPr>
      </w:pPr>
      <w:r>
        <w:rPr>
          <w:rFonts w:cs="宋体" w:asciiTheme="minorEastAsia" w:hAnsiTheme="minorEastAsia"/>
          <w:sz w:val="24"/>
          <w:szCs w:val="28"/>
        </w:rPr>
        <w:t>日常巡查发现亮化设施因绿化树木遮挡影响灯光效果应及时上报采购人或与绿化部门进行相关沟通修剪；</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响应时间要求：在接到采购人的抢修或维修通知时，必须在五分钟内电话响应，三十分钟内到达维修现场，修复工作要求在 2 个日历天内完成；特殊情况不能按时完成修复的，应及时做好安全防护措施，并在采购人允许的延长时限内修复。</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做好安全生产工作，建立安全生产台账，对现有安全工具及消防设施进行定期检修、更新，保证其设施正常使用。</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 xml:space="preserve">中标人应按国家相关规范进行维修工作，按国家有关安全条例的规定对各种作业采取有效的安全保障措施，对于行车道路及高空中的亮化设施维修，必须按规范进行安全防护设置，高空维修应进行安全防护，确保人员、机具、设施的安全，如因维修工作对道路交通造成影响、财物损失或在维修工作的过程中发生安全事故等一概由中标人负责解决，并承担所有相关的经济责任和法律责任； </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bookmarkStart w:id="1" w:name="page13"/>
      <w:bookmarkEnd w:id="1"/>
      <w:r>
        <w:rPr>
          <w:rFonts w:cs="宋体" w:asciiTheme="minorEastAsia" w:hAnsiTheme="minorEastAsia"/>
          <w:sz w:val="24"/>
          <w:szCs w:val="28"/>
        </w:rPr>
        <w:t>由于出现交通肇事、盗窃、人为损坏及野蛮施工等原因造成中标人所维护的亮化设施遭到破坏时，若中标人及时发现，应阻止破坏行为继续发生，</w:t>
      </w:r>
      <w:r>
        <w:rPr>
          <w:rFonts w:hint="eastAsia" w:cs="宋体" w:asciiTheme="minorEastAsia" w:hAnsiTheme="minorEastAsia"/>
          <w:sz w:val="24"/>
          <w:szCs w:val="28"/>
        </w:rPr>
        <w:t>并立即上报采购人，巡视中发现已经造成破坏的，同样立即报告采购人，</w:t>
      </w:r>
      <w:r>
        <w:rPr>
          <w:rFonts w:cs="宋体" w:asciiTheme="minorEastAsia" w:hAnsiTheme="minorEastAsia"/>
          <w:sz w:val="24"/>
          <w:szCs w:val="28"/>
        </w:rPr>
        <w:t>并对破坏现场进行应急处理，消除漏电等安全隐患，同时报告采购人和执法部门进行进一步查处。</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中标人须积极配合采购人及各职能部门的日常巡查及考核工作，对中标人下达的整改通知必须及时响应并按要求进行整改。</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未经采购人及其上级相关主管部门同意，中标人不得擅自拆除维护范围内的亮化设施。</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中标人应加强巡查维护，防止偷电行为。未经采购人及其上级相关主管部门同意，不得擅自接入其它设施到城市照明亮化供电系统内。</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中标人必须设立服务电话，24 小时值班，接受市民来电报障、采购人任务分配及维修通知，配备可全天上路的巡查车辆。</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中标人应在维护期间自觉接受采购人、监督单位和各职能部门的管理，对各级政府职能部门检查考评、大型活动及任务保障等工作应积极响应，主动配合，确保完成；</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中标人的用工要求：须有相应资格的专业技术管理人员和操作技术工人，做到持证上岗，中标人必须遵守国家劳动法规进行用工，与聘用人员签订劳动合同，按有关规定办理的社会保险，并鼓励用人单位购买商业意外险；</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hint="eastAsia" w:cs="宋体" w:asciiTheme="minorEastAsia" w:hAnsiTheme="minorEastAsia"/>
          <w:sz w:val="24"/>
          <w:szCs w:val="28"/>
        </w:rPr>
        <w:t>网络维护、等级保护测评及缴费：</w:t>
      </w:r>
    </w:p>
    <w:p>
      <w:pPr>
        <w:pStyle w:val="12"/>
        <w:widowControl w:val="0"/>
        <w:numPr>
          <w:ilvl w:val="0"/>
          <w:numId w:val="4"/>
        </w:numPr>
        <w:spacing w:line="360" w:lineRule="auto"/>
        <w:ind w:left="0" w:firstLine="480"/>
        <w:jc w:val="both"/>
        <w:rPr>
          <w:rFonts w:asciiTheme="minorEastAsia" w:hAnsiTheme="minorEastAsia"/>
          <w:sz w:val="24"/>
          <w:szCs w:val="28"/>
        </w:rPr>
      </w:pPr>
      <w:r>
        <w:rPr>
          <w:rFonts w:hint="eastAsia" w:asciiTheme="minorEastAsia" w:hAnsiTheme="minorEastAsia"/>
          <w:sz w:val="24"/>
          <w:szCs w:val="28"/>
        </w:rPr>
        <w:t>承担本项目两条专线（联通1</w:t>
      </w:r>
      <w:r>
        <w:rPr>
          <w:rFonts w:asciiTheme="minorEastAsia" w:hAnsiTheme="minorEastAsia"/>
          <w:sz w:val="24"/>
          <w:szCs w:val="28"/>
        </w:rPr>
        <w:t>00M</w:t>
      </w:r>
      <w:r>
        <w:rPr>
          <w:rFonts w:hint="eastAsia" w:asciiTheme="minorEastAsia" w:hAnsiTheme="minorEastAsia"/>
          <w:sz w:val="24"/>
          <w:szCs w:val="28"/>
        </w:rPr>
        <w:t>、联通5</w:t>
      </w:r>
      <w:r>
        <w:rPr>
          <w:rFonts w:asciiTheme="minorEastAsia" w:hAnsiTheme="minorEastAsia"/>
          <w:sz w:val="24"/>
          <w:szCs w:val="28"/>
        </w:rPr>
        <w:t>0M</w:t>
      </w:r>
      <w:r>
        <w:rPr>
          <w:rFonts w:hint="eastAsia" w:asciiTheme="minorEastAsia" w:hAnsiTheme="minorEastAsia"/>
          <w:sz w:val="24"/>
          <w:szCs w:val="28"/>
        </w:rPr>
        <w:t>）及1</w:t>
      </w:r>
      <w:r>
        <w:rPr>
          <w:rFonts w:asciiTheme="minorEastAsia" w:hAnsiTheme="minorEastAsia"/>
          <w:sz w:val="24"/>
          <w:szCs w:val="28"/>
        </w:rPr>
        <w:t>50</w:t>
      </w:r>
      <w:r>
        <w:rPr>
          <w:rFonts w:hint="eastAsia" w:asciiTheme="minorEastAsia" w:hAnsiTheme="minorEastAsia"/>
          <w:sz w:val="24"/>
          <w:szCs w:val="28"/>
        </w:rPr>
        <w:t>张物联网卡的业务对接，网络维护及费用缴纳工作；</w:t>
      </w:r>
    </w:p>
    <w:p>
      <w:pPr>
        <w:pStyle w:val="12"/>
        <w:widowControl w:val="0"/>
        <w:numPr>
          <w:ilvl w:val="0"/>
          <w:numId w:val="4"/>
        </w:numPr>
        <w:spacing w:line="360" w:lineRule="auto"/>
        <w:ind w:left="0" w:firstLine="480"/>
        <w:jc w:val="both"/>
        <w:rPr>
          <w:rFonts w:asciiTheme="minorEastAsia" w:hAnsiTheme="minorEastAsia"/>
          <w:sz w:val="24"/>
          <w:szCs w:val="28"/>
        </w:rPr>
      </w:pPr>
      <w:r>
        <w:rPr>
          <w:rFonts w:hint="eastAsia" w:asciiTheme="minorEastAsia" w:hAnsiTheme="minorEastAsia"/>
          <w:sz w:val="24"/>
          <w:szCs w:val="28"/>
        </w:rPr>
        <w:t>配合管理单位对控制室网络进行等级保护测评，确保取得等级测评证书，并承担相应测评费用。</w:t>
      </w:r>
    </w:p>
    <w:p>
      <w:pPr>
        <w:pStyle w:val="12"/>
        <w:numPr>
          <w:ilvl w:val="0"/>
          <w:numId w:val="2"/>
        </w:numPr>
        <w:tabs>
          <w:tab w:val="left" w:pos="583"/>
          <w:tab w:val="left" w:pos="698"/>
        </w:tabs>
        <w:spacing w:line="360" w:lineRule="auto"/>
        <w:ind w:left="0" w:firstLine="480"/>
        <w:rPr>
          <w:rFonts w:asciiTheme="minorEastAsia" w:hAnsiTheme="minorEastAsia"/>
          <w:sz w:val="24"/>
          <w:szCs w:val="28"/>
        </w:rPr>
      </w:pPr>
      <w:r>
        <w:rPr>
          <w:rFonts w:hint="eastAsia" w:asciiTheme="minorEastAsia" w:hAnsiTheme="minorEastAsia"/>
          <w:sz w:val="24"/>
          <w:szCs w:val="28"/>
        </w:rPr>
        <w:t>动画维护、动画更换及测试</w:t>
      </w:r>
    </w:p>
    <w:p>
      <w:pPr>
        <w:pStyle w:val="12"/>
        <w:widowControl w:val="0"/>
        <w:numPr>
          <w:ilvl w:val="0"/>
          <w:numId w:val="5"/>
        </w:numPr>
        <w:spacing w:line="360" w:lineRule="auto"/>
        <w:ind w:left="0" w:firstLine="480"/>
        <w:jc w:val="both"/>
        <w:rPr>
          <w:rFonts w:asciiTheme="minorEastAsia" w:hAnsiTheme="minorEastAsia"/>
          <w:sz w:val="24"/>
          <w:szCs w:val="28"/>
        </w:rPr>
      </w:pPr>
      <w:r>
        <w:rPr>
          <w:rFonts w:hint="eastAsia" w:asciiTheme="minorEastAsia" w:hAnsiTheme="minorEastAsia"/>
          <w:sz w:val="24"/>
          <w:szCs w:val="28"/>
        </w:rPr>
        <w:t>对目前已有动画进行维护，确保播放正常，对于出现的故障及时进行恢复。</w:t>
      </w:r>
    </w:p>
    <w:p>
      <w:pPr>
        <w:pStyle w:val="12"/>
        <w:widowControl w:val="0"/>
        <w:numPr>
          <w:ilvl w:val="0"/>
          <w:numId w:val="5"/>
        </w:numPr>
        <w:spacing w:line="360" w:lineRule="auto"/>
        <w:ind w:left="0" w:firstLine="480"/>
        <w:jc w:val="both"/>
        <w:rPr>
          <w:rFonts w:asciiTheme="minorEastAsia" w:hAnsiTheme="minorEastAsia"/>
          <w:sz w:val="24"/>
          <w:szCs w:val="28"/>
        </w:rPr>
      </w:pPr>
      <w:r>
        <w:rPr>
          <w:rFonts w:hint="eastAsia" w:asciiTheme="minorEastAsia" w:hAnsiTheme="minorEastAsia"/>
          <w:sz w:val="24"/>
          <w:szCs w:val="28"/>
        </w:rPr>
        <w:t>如管理单位有新动画制作、更换要求，须及时配合管理单位向动画制作单位</w:t>
      </w:r>
      <w:r>
        <w:rPr>
          <w:rFonts w:hint="eastAsia" w:asciiTheme="minorEastAsia" w:hAnsiTheme="minorEastAsia"/>
          <w:sz w:val="24"/>
          <w:szCs w:val="28"/>
          <w:lang w:eastAsia="zh-CN"/>
        </w:rPr>
        <w:t>对接</w:t>
      </w:r>
      <w:r>
        <w:rPr>
          <w:rFonts w:hint="eastAsia" w:asciiTheme="minorEastAsia" w:hAnsiTheme="minorEastAsia"/>
          <w:sz w:val="24"/>
          <w:szCs w:val="28"/>
        </w:rPr>
        <w:t>相应数据，获取新动画后及时进行上传、测试，积极反馈测试结果，确保动画更换顺利。</w:t>
      </w:r>
    </w:p>
    <w:p>
      <w:pPr>
        <w:pStyle w:val="12"/>
        <w:widowControl w:val="0"/>
        <w:numPr>
          <w:ilvl w:val="0"/>
          <w:numId w:val="5"/>
        </w:numPr>
        <w:spacing w:line="360" w:lineRule="auto"/>
        <w:ind w:left="0" w:firstLine="480"/>
        <w:jc w:val="both"/>
        <w:rPr>
          <w:rFonts w:asciiTheme="minorEastAsia" w:hAnsiTheme="minorEastAsia"/>
          <w:sz w:val="24"/>
          <w:szCs w:val="28"/>
        </w:rPr>
      </w:pPr>
      <w:r>
        <w:rPr>
          <w:rFonts w:hint="eastAsia" w:asciiTheme="minorEastAsia" w:hAnsiTheme="minorEastAsia"/>
          <w:sz w:val="24"/>
          <w:szCs w:val="28"/>
        </w:rPr>
        <w:t>如需要运维单位进行新动画制作，则根据建设期间审计单位已审定的单价另行计价。</w:t>
      </w:r>
    </w:p>
    <w:p>
      <w:pPr>
        <w:pStyle w:val="12"/>
        <w:numPr>
          <w:ilvl w:val="0"/>
          <w:numId w:val="2"/>
        </w:numPr>
        <w:tabs>
          <w:tab w:val="left" w:pos="583"/>
          <w:tab w:val="left" w:pos="698"/>
        </w:tabs>
        <w:spacing w:line="360" w:lineRule="auto"/>
        <w:ind w:left="0" w:firstLine="480"/>
        <w:rPr>
          <w:rFonts w:cs="宋体" w:asciiTheme="minorEastAsia" w:hAnsiTheme="minorEastAsia"/>
          <w:sz w:val="24"/>
          <w:szCs w:val="28"/>
        </w:rPr>
      </w:pPr>
      <w:r>
        <w:rPr>
          <w:rFonts w:cs="宋体" w:asciiTheme="minorEastAsia" w:hAnsiTheme="minorEastAsia"/>
          <w:sz w:val="24"/>
          <w:szCs w:val="28"/>
        </w:rPr>
        <w:t>人员要求、设备要求：</w:t>
      </w:r>
    </w:p>
    <w:p>
      <w:pPr>
        <w:widowControl/>
        <w:numPr>
          <w:ilvl w:val="1"/>
          <w:numId w:val="6"/>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人员要求：中标人必须健全本项目实施的组织机构，派出常驻人员在本项目办公地专门为本项目服务，人员须着统一工作服，反光背心、</w:t>
      </w:r>
      <w:r>
        <w:rPr>
          <w:rFonts w:hint="eastAsia" w:cs="宋体" w:asciiTheme="minorEastAsia" w:hAnsiTheme="minorEastAsia" w:eastAsiaTheme="minorEastAsia"/>
          <w:sz w:val="24"/>
          <w:szCs w:val="28"/>
        </w:rPr>
        <w:t>安全帽</w:t>
      </w:r>
      <w:r>
        <w:rPr>
          <w:rFonts w:cs="宋体" w:asciiTheme="minorEastAsia" w:hAnsiTheme="minorEastAsia" w:eastAsiaTheme="minorEastAsia"/>
          <w:sz w:val="24"/>
          <w:szCs w:val="28"/>
        </w:rPr>
        <w:t>、电工鞋、工具袋、高空作业绳、安全扣等。企业常驻项目负责人、工程技术人员、专职安全员、资料员等技术及管理人员数量不少于 4 人，作业人员须取得《特种作业操作证》或《电工进网作业许可证》，作业类别为“电工作业”人数不少于 2 人，其中作业类别为“高处作业”人数不少于 1 人；巡查、清洁人员不少于4 人。各类人员执有效证件，并及时办理年检换证等手续，不得无证（或执无效证件）上岗；中标</w:t>
      </w:r>
      <w:r>
        <w:rPr>
          <w:rFonts w:hint="eastAsia" w:cs="宋体" w:asciiTheme="minorEastAsia" w:hAnsiTheme="minorEastAsia" w:eastAsiaTheme="minorEastAsia"/>
          <w:sz w:val="24"/>
          <w:szCs w:val="28"/>
        </w:rPr>
        <w:t>人</w:t>
      </w:r>
      <w:r>
        <w:rPr>
          <w:rFonts w:cs="宋体" w:asciiTheme="minorEastAsia" w:hAnsiTheme="minorEastAsia" w:eastAsiaTheme="minorEastAsia"/>
          <w:sz w:val="24"/>
          <w:szCs w:val="28"/>
        </w:rPr>
        <w:t>的拟派项目负责人、工程技术人员、专职安全员、资料员在合同实施期间如未经采购人同意，不得擅自更换。</w:t>
      </w:r>
    </w:p>
    <w:p>
      <w:pPr>
        <w:widowControl/>
        <w:numPr>
          <w:ilvl w:val="0"/>
          <w:numId w:val="7"/>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安全防护设备要求：验电笔、绝缘鞋、手套、接地棒、绝缘档板、安全帽、反光背心、安全带、高空蜘蛛人安全绳、交通安全标志牌、交通安全标志桶、铁马或胶马、灭火器；</w:t>
      </w:r>
      <w:bookmarkStart w:id="2" w:name="page14"/>
      <w:bookmarkEnd w:id="2"/>
    </w:p>
    <w:p>
      <w:pPr>
        <w:widowControl/>
        <w:numPr>
          <w:ilvl w:val="0"/>
          <w:numId w:val="7"/>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起重和运输设备等：</w:t>
      </w:r>
      <w:r>
        <w:rPr>
          <w:rFonts w:hint="eastAsia" w:cs="宋体" w:asciiTheme="minorEastAsia" w:hAnsiTheme="minorEastAsia" w:eastAsiaTheme="minorEastAsia"/>
          <w:sz w:val="24"/>
          <w:szCs w:val="28"/>
        </w:rPr>
        <w:t>在维修作业中如需使用起重机械、高空作业处理及运输车辆，中标人可根据实际情况租赁资质、手续齐全的设备配合作业。</w:t>
      </w:r>
    </w:p>
    <w:p>
      <w:pPr>
        <w:widowControl/>
        <w:numPr>
          <w:ilvl w:val="0"/>
          <w:numId w:val="7"/>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焊接、切割、压接设备：</w:t>
      </w:r>
      <w:r>
        <w:rPr>
          <w:rFonts w:hint="eastAsia" w:cs="宋体" w:asciiTheme="minorEastAsia" w:hAnsiTheme="minorEastAsia" w:eastAsiaTheme="minorEastAsia"/>
          <w:sz w:val="24"/>
          <w:szCs w:val="28"/>
        </w:rPr>
        <w:t>中标人应配备</w:t>
      </w:r>
      <w:r>
        <w:rPr>
          <w:rFonts w:cs="宋体" w:asciiTheme="minorEastAsia" w:hAnsiTheme="minorEastAsia" w:eastAsiaTheme="minorEastAsia"/>
          <w:sz w:val="24"/>
          <w:szCs w:val="28"/>
        </w:rPr>
        <w:t>电动手提切割机、导线压接钳、</w:t>
      </w:r>
      <w:r>
        <w:rPr>
          <w:rFonts w:hint="eastAsia" w:cs="宋体" w:asciiTheme="minorEastAsia" w:hAnsiTheme="minorEastAsia" w:eastAsiaTheme="minorEastAsia"/>
          <w:sz w:val="24"/>
          <w:szCs w:val="28"/>
        </w:rPr>
        <w:t>电焊机等设备</w:t>
      </w:r>
      <w:r>
        <w:rPr>
          <w:rFonts w:cs="宋体" w:asciiTheme="minorEastAsia" w:hAnsiTheme="minorEastAsia" w:eastAsiaTheme="minorEastAsia"/>
          <w:sz w:val="24"/>
          <w:szCs w:val="28"/>
        </w:rPr>
        <w:t>；</w:t>
      </w:r>
    </w:p>
    <w:p>
      <w:pPr>
        <w:widowControl/>
        <w:numPr>
          <w:ilvl w:val="0"/>
          <w:numId w:val="7"/>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基本的测量仪表：测光仪、测距仪、电流表、电压表、接地电阻表、</w:t>
      </w:r>
      <w:r>
        <w:rPr>
          <w:rFonts w:hint="eastAsia" w:cs="宋体" w:asciiTheme="minorEastAsia" w:hAnsiTheme="minorEastAsia" w:eastAsiaTheme="minorEastAsia"/>
          <w:sz w:val="24"/>
          <w:szCs w:val="28"/>
        </w:rPr>
        <w:t>万用表等</w:t>
      </w:r>
      <w:r>
        <w:rPr>
          <w:rFonts w:cs="宋体" w:asciiTheme="minorEastAsia" w:hAnsiTheme="minorEastAsia" w:eastAsiaTheme="minorEastAsia"/>
          <w:sz w:val="24"/>
          <w:szCs w:val="28"/>
        </w:rPr>
        <w:t>；</w:t>
      </w:r>
    </w:p>
    <w:p>
      <w:pPr>
        <w:widowControl/>
        <w:numPr>
          <w:ilvl w:val="0"/>
          <w:numId w:val="7"/>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中标人应做好日常维护、保养及安全检查记录的统计汇总，每月上报采购人管理</w:t>
      </w:r>
      <w:r>
        <w:rPr>
          <w:rFonts w:hint="eastAsia" w:cs="宋体" w:asciiTheme="minorEastAsia" w:hAnsiTheme="minorEastAsia" w:eastAsiaTheme="minorEastAsia"/>
          <w:sz w:val="24"/>
          <w:szCs w:val="28"/>
        </w:rPr>
        <w:t>或</w:t>
      </w:r>
      <w:r>
        <w:rPr>
          <w:rFonts w:cs="宋体" w:asciiTheme="minorEastAsia" w:hAnsiTheme="minorEastAsia" w:eastAsiaTheme="minorEastAsia"/>
          <w:sz w:val="24"/>
          <w:szCs w:val="28"/>
        </w:rPr>
        <w:t>监督部门备查。</w:t>
      </w:r>
    </w:p>
    <w:p>
      <w:pPr>
        <w:widowControl/>
        <w:numPr>
          <w:ilvl w:val="0"/>
          <w:numId w:val="7"/>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中标人未经招标人同意不得擅自在亮化设施上设置广告等其他有碍景观或不利亮化设施养护的其他设施；其他单位或人员未经采购人同意在亮化设施上设置其他设施，中标人应予阻止或无条件拆除。</w:t>
      </w:r>
    </w:p>
    <w:p>
      <w:pPr>
        <w:widowControl/>
        <w:numPr>
          <w:ilvl w:val="0"/>
          <w:numId w:val="7"/>
        </w:numPr>
        <w:tabs>
          <w:tab w:val="left" w:pos="980"/>
        </w:tabs>
        <w:spacing w:line="360" w:lineRule="auto"/>
        <w:ind w:firstLine="480" w:firstLineChars="200"/>
        <w:jc w:val="left"/>
        <w:rPr>
          <w:rFonts w:cs="宋体" w:asciiTheme="minorEastAsia" w:hAnsiTheme="minorEastAsia" w:eastAsiaTheme="minorEastAsia"/>
          <w:sz w:val="24"/>
          <w:szCs w:val="28"/>
        </w:rPr>
      </w:pPr>
      <w:r>
        <w:rPr>
          <w:rFonts w:cs="宋体" w:asciiTheme="minorEastAsia" w:hAnsiTheme="minorEastAsia" w:eastAsiaTheme="minorEastAsia"/>
          <w:sz w:val="24"/>
          <w:szCs w:val="28"/>
        </w:rPr>
        <w:t>检查考核：由采购人成立</w:t>
      </w:r>
      <w:r>
        <w:rPr>
          <w:rFonts w:hint="eastAsia" w:cs="宋体" w:asciiTheme="minorEastAsia" w:hAnsiTheme="minorEastAsia" w:eastAsiaTheme="minorEastAsia"/>
          <w:sz w:val="24"/>
          <w:szCs w:val="28"/>
        </w:rPr>
        <w:t>针对该</w:t>
      </w:r>
      <w:r>
        <w:rPr>
          <w:rFonts w:cs="宋体" w:asciiTheme="minorEastAsia" w:hAnsiTheme="minorEastAsia" w:eastAsiaTheme="minorEastAsia"/>
          <w:sz w:val="24"/>
          <w:szCs w:val="28"/>
        </w:rPr>
        <w:t>亮化</w:t>
      </w:r>
      <w:r>
        <w:rPr>
          <w:rFonts w:hint="eastAsia" w:cs="宋体" w:asciiTheme="minorEastAsia" w:hAnsiTheme="minorEastAsia" w:eastAsiaTheme="minorEastAsia"/>
          <w:sz w:val="24"/>
          <w:szCs w:val="28"/>
        </w:rPr>
        <w:t>提升</w:t>
      </w:r>
      <w:r>
        <w:rPr>
          <w:rFonts w:cs="宋体" w:asciiTheme="minorEastAsia" w:hAnsiTheme="minorEastAsia" w:eastAsiaTheme="minorEastAsia"/>
          <w:sz w:val="24"/>
          <w:szCs w:val="28"/>
        </w:rPr>
        <w:t>设施维修养护管理考核小组，对中标人服务质量进行定期或不定期检查考核，每</w:t>
      </w:r>
      <w:r>
        <w:rPr>
          <w:rFonts w:hint="eastAsia" w:cs="宋体" w:asciiTheme="minorEastAsia" w:hAnsiTheme="minorEastAsia" w:eastAsiaTheme="minorEastAsia"/>
          <w:sz w:val="24"/>
          <w:szCs w:val="28"/>
        </w:rPr>
        <w:t>季度</w:t>
      </w:r>
      <w:r>
        <w:rPr>
          <w:rFonts w:cs="宋体" w:asciiTheme="minorEastAsia" w:hAnsiTheme="minorEastAsia" w:eastAsiaTheme="minorEastAsia"/>
          <w:sz w:val="24"/>
          <w:szCs w:val="28"/>
        </w:rPr>
        <w:t>一次；考核评分结果作为维护费用支付依据。</w:t>
      </w:r>
    </w:p>
    <w:p>
      <w:pPr>
        <w:widowControl/>
        <w:numPr>
          <w:ilvl w:val="0"/>
          <w:numId w:val="7"/>
        </w:numPr>
        <w:tabs>
          <w:tab w:val="left" w:pos="1035"/>
        </w:tabs>
        <w:spacing w:line="360" w:lineRule="auto"/>
        <w:ind w:firstLine="480" w:firstLineChars="200"/>
        <w:jc w:val="left"/>
        <w:rPr>
          <w:rFonts w:asciiTheme="minorEastAsia" w:hAnsiTheme="minorEastAsia" w:eastAsiaTheme="minorEastAsia"/>
          <w:sz w:val="24"/>
          <w:szCs w:val="28"/>
        </w:rPr>
      </w:pPr>
      <w:r>
        <w:rPr>
          <w:rFonts w:cs="宋体" w:asciiTheme="minorEastAsia" w:hAnsiTheme="minorEastAsia" w:eastAsiaTheme="minorEastAsia"/>
          <w:sz w:val="24"/>
          <w:szCs w:val="28"/>
        </w:rPr>
        <w:t>中标人未经采购人同意擅自（无故）停止维修工作，采购人有权按损失程度扣减相应养护费，并自停止维修工作之日起每天处以中标人合同总额 3</w:t>
      </w:r>
      <w:r>
        <w:rPr>
          <w:rFonts w:hint="eastAsia" w:cs="宋体" w:asciiTheme="minorEastAsia" w:hAnsiTheme="minorEastAsia" w:eastAsiaTheme="minorEastAsia"/>
          <w:sz w:val="24"/>
          <w:szCs w:val="28"/>
        </w:rPr>
        <w:t>‰</w:t>
      </w:r>
      <w:r>
        <w:rPr>
          <w:rFonts w:cs="宋体" w:asciiTheme="minorEastAsia" w:hAnsiTheme="minorEastAsia" w:eastAsiaTheme="minorEastAsia"/>
          <w:sz w:val="24"/>
          <w:szCs w:val="28"/>
        </w:rPr>
        <w:t>的违约金，若无故停工累计达 10 天，采购人有权单方面终止合同，由此造成的损失由中标人负责。</w:t>
      </w:r>
    </w:p>
    <w:p>
      <w:pPr>
        <w:widowControl/>
        <w:numPr>
          <w:ilvl w:val="0"/>
          <w:numId w:val="7"/>
        </w:numPr>
        <w:tabs>
          <w:tab w:val="left" w:pos="1035"/>
        </w:tabs>
        <w:spacing w:line="360" w:lineRule="auto"/>
        <w:ind w:firstLine="480" w:firstLineChars="200"/>
        <w:jc w:val="left"/>
        <w:rPr>
          <w:rFonts w:asciiTheme="minorEastAsia" w:hAnsiTheme="minorEastAsia" w:eastAsiaTheme="minorEastAsia"/>
          <w:sz w:val="24"/>
          <w:szCs w:val="28"/>
        </w:rPr>
      </w:pPr>
      <w:r>
        <w:rPr>
          <w:rFonts w:hint="eastAsia" w:cs="宋体" w:asciiTheme="minorEastAsia" w:hAnsiTheme="minorEastAsia" w:eastAsiaTheme="minorEastAsia"/>
          <w:sz w:val="24"/>
          <w:szCs w:val="28"/>
        </w:rPr>
        <w:t>服务期内如发生非中标人责任造成的</w:t>
      </w:r>
      <w:r>
        <w:rPr>
          <w:rFonts w:cs="宋体" w:asciiTheme="minorEastAsia" w:hAnsiTheme="minorEastAsia" w:eastAsiaTheme="minorEastAsia"/>
          <w:sz w:val="24"/>
          <w:szCs w:val="28"/>
        </w:rPr>
        <w:t>灯具</w:t>
      </w:r>
      <w:r>
        <w:rPr>
          <w:rFonts w:hint="eastAsia" w:cs="宋体" w:asciiTheme="minorEastAsia" w:hAnsiTheme="minorEastAsia" w:eastAsiaTheme="minorEastAsia"/>
          <w:sz w:val="24"/>
          <w:szCs w:val="28"/>
        </w:rPr>
        <w:t>、设备及配套附属设施更换情况，中标人采购的材料单价</w:t>
      </w:r>
      <w:r>
        <w:rPr>
          <w:rFonts w:cs="宋体" w:asciiTheme="minorEastAsia" w:hAnsiTheme="minorEastAsia" w:eastAsiaTheme="minorEastAsia"/>
          <w:sz w:val="24"/>
          <w:szCs w:val="28"/>
        </w:rPr>
        <w:t>统一按</w:t>
      </w:r>
      <w:r>
        <w:rPr>
          <w:rFonts w:hint="eastAsia" w:cs="宋体" w:asciiTheme="minorEastAsia" w:hAnsiTheme="minorEastAsia" w:eastAsiaTheme="minorEastAsia"/>
          <w:sz w:val="24"/>
          <w:szCs w:val="28"/>
        </w:rPr>
        <w:t>工程结算文件</w:t>
      </w:r>
      <w:r>
        <w:rPr>
          <w:rFonts w:cs="宋体" w:asciiTheme="minorEastAsia" w:hAnsiTheme="minorEastAsia" w:eastAsiaTheme="minorEastAsia"/>
          <w:sz w:val="24"/>
          <w:szCs w:val="28"/>
        </w:rPr>
        <w:t>中的同类</w:t>
      </w:r>
      <w:r>
        <w:rPr>
          <w:rFonts w:hint="eastAsia" w:cs="宋体" w:asciiTheme="minorEastAsia" w:hAnsiTheme="minorEastAsia" w:eastAsiaTheme="minorEastAsia"/>
          <w:sz w:val="24"/>
          <w:szCs w:val="28"/>
        </w:rPr>
        <w:t>材料</w:t>
      </w:r>
      <w:r>
        <w:rPr>
          <w:rFonts w:cs="宋体" w:asciiTheme="minorEastAsia" w:hAnsiTheme="minorEastAsia" w:eastAsiaTheme="minorEastAsia"/>
          <w:sz w:val="24"/>
          <w:szCs w:val="28"/>
        </w:rPr>
        <w:t>综合单价</w:t>
      </w:r>
      <w:r>
        <w:rPr>
          <w:rFonts w:hint="eastAsia" w:cs="宋体" w:asciiTheme="minorEastAsia" w:hAnsiTheme="minorEastAsia" w:eastAsiaTheme="minorEastAsia"/>
          <w:sz w:val="24"/>
          <w:szCs w:val="28"/>
        </w:rPr>
        <w:t>执行。</w:t>
      </w:r>
    </w:p>
    <w:p>
      <w:pPr>
        <w:spacing w:line="360" w:lineRule="auto"/>
        <w:ind w:firstLine="480" w:firstLineChars="200"/>
        <w:rPr>
          <w:rFonts w:asciiTheme="minorEastAsia" w:hAnsiTheme="minorEastAsia" w:eastAsiaTheme="minorEastAsia"/>
          <w:sz w:val="24"/>
          <w:szCs w:val="28"/>
        </w:rPr>
      </w:pPr>
      <w:r>
        <w:rPr>
          <w:rFonts w:cs="宋体" w:asciiTheme="minorEastAsia" w:hAnsiTheme="minorEastAsia" w:eastAsiaTheme="minorEastAsia"/>
          <w:sz w:val="24"/>
          <w:szCs w:val="28"/>
        </w:rPr>
        <w:t>(1</w:t>
      </w:r>
      <w:r>
        <w:rPr>
          <w:rFonts w:hint="eastAsia" w:cs="宋体" w:asciiTheme="minorEastAsia" w:hAnsiTheme="minorEastAsia" w:eastAsiaTheme="minorEastAsia"/>
          <w:sz w:val="24"/>
          <w:szCs w:val="28"/>
        </w:rPr>
        <w:t>2</w:t>
      </w:r>
      <w:r>
        <w:rPr>
          <w:rFonts w:cs="宋体" w:asciiTheme="minorEastAsia" w:hAnsiTheme="minorEastAsia" w:eastAsiaTheme="minorEastAsia"/>
          <w:sz w:val="24"/>
          <w:szCs w:val="28"/>
        </w:rPr>
        <w:t>)服务期满，中标人负责维护服务的所有设备，应经采购人确认符合采购人要求后移交给采购人或采购人指定单位。</w:t>
      </w:r>
    </w:p>
    <w:p>
      <w:pPr>
        <w:numPr>
          <w:ilvl w:val="0"/>
          <w:numId w:val="1"/>
        </w:numPr>
        <w:adjustRightInd w:val="0"/>
        <w:spacing w:line="360" w:lineRule="atLeast"/>
        <w:ind w:left="0" w:leftChars="0" w:firstLine="0" w:firstLineChars="0"/>
        <w:jc w:val="left"/>
        <w:textAlignment w:val="baseline"/>
        <w:rPr>
          <w:rFonts w:hint="eastAsia" w:ascii="宋体" w:hAnsi="宋体"/>
          <w:b/>
          <w:bCs/>
          <w:sz w:val="24"/>
          <w:szCs w:val="24"/>
        </w:rPr>
      </w:pPr>
      <w:r>
        <w:rPr>
          <w:rFonts w:hint="eastAsia" w:ascii="宋体" w:hAnsi="宋体"/>
          <w:b/>
          <w:bCs/>
          <w:sz w:val="24"/>
          <w:szCs w:val="24"/>
        </w:rPr>
        <w:t>评审标准</w:t>
      </w:r>
    </w:p>
    <w:tbl>
      <w:tblPr>
        <w:tblStyle w:val="5"/>
        <w:tblW w:w="5412" w:type="pct"/>
        <w:tblInd w:w="-410" w:type="dxa"/>
        <w:tblLayout w:type="autofit"/>
        <w:tblCellMar>
          <w:top w:w="0" w:type="dxa"/>
          <w:left w:w="108" w:type="dxa"/>
          <w:bottom w:w="0" w:type="dxa"/>
          <w:right w:w="108" w:type="dxa"/>
        </w:tblCellMar>
      </w:tblPr>
      <w:tblGrid>
        <w:gridCol w:w="791"/>
        <w:gridCol w:w="1880"/>
        <w:gridCol w:w="688"/>
        <w:gridCol w:w="6472"/>
      </w:tblGrid>
      <w:tr>
        <w:tblPrEx>
          <w:tblCellMar>
            <w:top w:w="0" w:type="dxa"/>
            <w:left w:w="108" w:type="dxa"/>
            <w:bottom w:w="0" w:type="dxa"/>
            <w:right w:w="108" w:type="dxa"/>
          </w:tblCellMar>
        </w:tblPrEx>
        <w:trPr>
          <w:trHeight w:val="801" w:hRule="atLeast"/>
        </w:trPr>
        <w:tc>
          <w:tcPr>
            <w:tcW w:w="402" w:type="pct"/>
            <w:tcBorders>
              <w:top w:val="single" w:color="auto" w:sz="4" w:space="0"/>
              <w:left w:val="single" w:color="auto" w:sz="4" w:space="0"/>
              <w:bottom w:val="single" w:color="auto" w:sz="6" w:space="0"/>
              <w:right w:val="single" w:color="auto" w:sz="6" w:space="0"/>
            </w:tcBorders>
            <w:vAlign w:val="center"/>
          </w:tcPr>
          <w:p>
            <w:pPr>
              <w:jc w:val="center"/>
              <w:rPr>
                <w:rFonts w:ascii="宋体" w:hAnsi="宋体"/>
                <w:b/>
                <w:bCs/>
                <w:szCs w:val="21"/>
              </w:rPr>
            </w:pPr>
            <w:r>
              <w:rPr>
                <w:rFonts w:hint="eastAsia" w:ascii="宋体" w:hAnsi="宋体"/>
                <w:b/>
                <w:bCs/>
                <w:szCs w:val="21"/>
              </w:rPr>
              <w:t>评审</w:t>
            </w:r>
          </w:p>
          <w:p>
            <w:pPr>
              <w:jc w:val="center"/>
              <w:rPr>
                <w:rFonts w:ascii="宋体" w:hAnsi="宋体" w:cs="Tahoma"/>
                <w:b/>
                <w:bCs/>
                <w:szCs w:val="21"/>
              </w:rPr>
            </w:pPr>
            <w:r>
              <w:rPr>
                <w:rFonts w:hint="eastAsia" w:ascii="宋体" w:hAnsi="宋体"/>
                <w:b/>
                <w:bCs/>
                <w:szCs w:val="21"/>
              </w:rPr>
              <w:t>条款</w:t>
            </w:r>
          </w:p>
        </w:tc>
        <w:tc>
          <w:tcPr>
            <w:tcW w:w="956" w:type="pct"/>
            <w:tcBorders>
              <w:top w:val="single" w:color="auto" w:sz="4" w:space="0"/>
              <w:left w:val="single" w:color="auto" w:sz="6" w:space="0"/>
              <w:bottom w:val="single" w:color="auto" w:sz="6" w:space="0"/>
              <w:right w:val="single" w:color="auto" w:sz="6" w:space="0"/>
            </w:tcBorders>
            <w:vAlign w:val="center"/>
          </w:tcPr>
          <w:p>
            <w:pPr>
              <w:jc w:val="center"/>
              <w:rPr>
                <w:rFonts w:ascii="宋体" w:hAnsi="宋体" w:cs="Tahoma"/>
                <w:b/>
                <w:bCs/>
                <w:szCs w:val="21"/>
              </w:rPr>
            </w:pPr>
            <w:r>
              <w:rPr>
                <w:rFonts w:hint="eastAsia" w:ascii="宋体" w:hAnsi="宋体"/>
                <w:b/>
                <w:bCs/>
                <w:szCs w:val="21"/>
              </w:rPr>
              <w:t>评审内容及分值</w:t>
            </w:r>
          </w:p>
        </w:tc>
        <w:tc>
          <w:tcPr>
            <w:tcW w:w="350" w:type="pct"/>
            <w:tcBorders>
              <w:top w:val="single" w:color="auto" w:sz="4" w:space="0"/>
              <w:left w:val="single" w:color="auto" w:sz="6" w:space="0"/>
              <w:bottom w:val="single" w:color="auto" w:sz="6" w:space="0"/>
              <w:right w:val="single" w:color="auto" w:sz="6" w:space="0"/>
            </w:tcBorders>
            <w:vAlign w:val="center"/>
          </w:tcPr>
          <w:p>
            <w:pPr>
              <w:jc w:val="center"/>
              <w:rPr>
                <w:rFonts w:ascii="宋体" w:hAnsi="宋体" w:cs="Tahoma"/>
                <w:b/>
                <w:bCs/>
                <w:szCs w:val="21"/>
              </w:rPr>
            </w:pPr>
            <w:r>
              <w:rPr>
                <w:rFonts w:hint="eastAsia" w:ascii="宋体" w:hAnsi="宋体"/>
                <w:b/>
                <w:bCs/>
                <w:szCs w:val="21"/>
              </w:rPr>
              <w:t>分值</w:t>
            </w:r>
          </w:p>
        </w:tc>
        <w:tc>
          <w:tcPr>
            <w:tcW w:w="3291" w:type="pct"/>
            <w:tcBorders>
              <w:top w:val="single" w:color="auto" w:sz="4" w:space="0"/>
              <w:left w:val="single" w:color="auto" w:sz="6" w:space="0"/>
              <w:bottom w:val="single" w:color="auto" w:sz="6" w:space="0"/>
              <w:right w:val="single" w:color="auto" w:sz="4" w:space="0"/>
            </w:tcBorders>
            <w:vAlign w:val="center"/>
          </w:tcPr>
          <w:p>
            <w:pPr>
              <w:jc w:val="center"/>
              <w:rPr>
                <w:rFonts w:ascii="宋体" w:hAnsi="宋体" w:cs="Tahoma"/>
                <w:b/>
                <w:bCs/>
                <w:szCs w:val="21"/>
              </w:rPr>
            </w:pPr>
            <w:r>
              <w:rPr>
                <w:rFonts w:hint="eastAsia" w:ascii="宋体" w:hAnsi="宋体"/>
                <w:b/>
                <w:bCs/>
                <w:szCs w:val="21"/>
              </w:rPr>
              <w:t>打分标准</w:t>
            </w:r>
          </w:p>
        </w:tc>
      </w:tr>
      <w:tr>
        <w:tblPrEx>
          <w:tblCellMar>
            <w:top w:w="0" w:type="dxa"/>
            <w:left w:w="108" w:type="dxa"/>
            <w:bottom w:w="0" w:type="dxa"/>
            <w:right w:w="108" w:type="dxa"/>
          </w:tblCellMar>
        </w:tblPrEx>
        <w:trPr>
          <w:trHeight w:val="768" w:hRule="atLeast"/>
        </w:trPr>
        <w:tc>
          <w:tcPr>
            <w:tcW w:w="402" w:type="pct"/>
            <w:tcBorders>
              <w:top w:val="single" w:color="auto" w:sz="6" w:space="0"/>
              <w:left w:val="single" w:color="auto" w:sz="4" w:space="0"/>
              <w:bottom w:val="single" w:color="auto" w:sz="6" w:space="0"/>
              <w:right w:val="single" w:color="auto" w:sz="6" w:space="0"/>
            </w:tcBorders>
            <w:vAlign w:val="center"/>
          </w:tcPr>
          <w:p>
            <w:pPr>
              <w:jc w:val="left"/>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价格</w:t>
            </w:r>
          </w:p>
          <w:p>
            <w:pPr>
              <w:jc w:val="left"/>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(10分)</w:t>
            </w:r>
          </w:p>
        </w:tc>
        <w:tc>
          <w:tcPr>
            <w:tcW w:w="956" w:type="pct"/>
            <w:tcBorders>
              <w:top w:val="single" w:color="auto" w:sz="6" w:space="0"/>
              <w:left w:val="single" w:color="auto" w:sz="6" w:space="0"/>
              <w:bottom w:val="single" w:color="auto" w:sz="6" w:space="0"/>
              <w:right w:val="single" w:color="auto" w:sz="6" w:space="0"/>
            </w:tcBorders>
            <w:vAlign w:val="center"/>
          </w:tcPr>
          <w:p>
            <w:pPr>
              <w:jc w:val="left"/>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价格</w:t>
            </w:r>
          </w:p>
        </w:tc>
        <w:tc>
          <w:tcPr>
            <w:tcW w:w="35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10</w:t>
            </w:r>
          </w:p>
        </w:tc>
        <w:tc>
          <w:tcPr>
            <w:tcW w:w="3291" w:type="pct"/>
            <w:tcBorders>
              <w:top w:val="single" w:color="auto" w:sz="6" w:space="0"/>
              <w:left w:val="single" w:color="auto" w:sz="6" w:space="0"/>
              <w:bottom w:val="single" w:color="auto" w:sz="6" w:space="0"/>
              <w:right w:val="single" w:color="auto" w:sz="4" w:space="0"/>
            </w:tcBorders>
            <w:vAlign w:val="center"/>
          </w:tcPr>
          <w:p>
            <w:pPr>
              <w:jc w:val="left"/>
              <w:rPr>
                <w:rFonts w:ascii="宋体" w:hAnsi="宋体" w:cs="Tahoma"/>
                <w:szCs w:val="21"/>
              </w:rPr>
            </w:pPr>
            <w:r>
              <w:rPr>
                <w:rFonts w:hint="eastAsia" w:ascii="仿宋_GB2312" w:hAnsi="宋体" w:eastAsia="仿宋_GB2312"/>
                <w:color w:val="000000"/>
                <w:szCs w:val="21"/>
              </w:rPr>
              <w:t>报价得分＝1</w:t>
            </w:r>
            <w:r>
              <w:rPr>
                <w:rFonts w:hint="eastAsia" w:ascii="仿宋_GB2312" w:hAnsi="宋体" w:eastAsia="仿宋_GB2312"/>
                <w:color w:val="000000"/>
                <w:szCs w:val="21"/>
                <w:lang w:val="en-US" w:eastAsia="zh-CN"/>
              </w:rPr>
              <w:t>0</w:t>
            </w:r>
            <w:r>
              <w:rPr>
                <w:rFonts w:hint="eastAsia" w:ascii="仿宋_GB2312" w:hAnsi="宋体" w:eastAsia="仿宋_GB2312"/>
                <w:color w:val="000000"/>
                <w:szCs w:val="21"/>
              </w:rPr>
              <w:t>×（评标基准价/投标报价）</w:t>
            </w:r>
            <w:r>
              <w:rPr>
                <w:rFonts w:hint="eastAsia" w:ascii="仿宋_GB2312" w:hAnsi="宋体" w:eastAsia="仿宋_GB2312"/>
                <w:color w:val="auto"/>
                <w:sz w:val="24"/>
                <w:szCs w:val="24"/>
                <w:highlight w:val="none"/>
              </w:rPr>
              <w:t>评标基准价：满足招标文件要求且投标价格最低的投标报价。注:对小型和微型企业产品的价格给予6%的扣除,用扣除后的价格参与评审。</w:t>
            </w:r>
          </w:p>
        </w:tc>
      </w:tr>
      <w:tr>
        <w:tblPrEx>
          <w:tblCellMar>
            <w:top w:w="0" w:type="dxa"/>
            <w:left w:w="108" w:type="dxa"/>
            <w:bottom w:w="0" w:type="dxa"/>
            <w:right w:w="108" w:type="dxa"/>
          </w:tblCellMar>
        </w:tblPrEx>
        <w:trPr>
          <w:trHeight w:val="546" w:hRule="atLeast"/>
        </w:trPr>
        <w:tc>
          <w:tcPr>
            <w:tcW w:w="402" w:type="pct"/>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商务</w:t>
            </w:r>
          </w:p>
          <w:p>
            <w:pPr>
              <w:jc w:val="center"/>
              <w:rPr>
                <w:rFonts w:ascii="宋体" w:hAnsi="宋体" w:cs="Tahoma"/>
                <w:szCs w:val="21"/>
              </w:rPr>
            </w:pPr>
            <w:r>
              <w:rPr>
                <w:rFonts w:hint="eastAsia" w:ascii="宋体" w:hAnsi="宋体"/>
                <w:szCs w:val="21"/>
              </w:rPr>
              <w:t>部分</w:t>
            </w:r>
          </w:p>
          <w:p>
            <w:pPr>
              <w:jc w:val="center"/>
              <w:rPr>
                <w:rFonts w:ascii="宋体" w:hAnsi="宋体" w:cs="Tahoma"/>
                <w:szCs w:val="21"/>
              </w:rPr>
            </w:pPr>
            <w:r>
              <w:rPr>
                <w:rFonts w:hint="eastAsia" w:ascii="宋体" w:hAnsi="宋体"/>
                <w:szCs w:val="21"/>
              </w:rPr>
              <w:t>(</w:t>
            </w:r>
            <w:r>
              <w:rPr>
                <w:rFonts w:ascii="宋体" w:hAnsi="宋体"/>
                <w:szCs w:val="21"/>
              </w:rPr>
              <w:t>23</w:t>
            </w:r>
            <w:r>
              <w:rPr>
                <w:rFonts w:hint="eastAsia" w:ascii="宋体" w:hAnsi="宋体"/>
                <w:szCs w:val="21"/>
              </w:rPr>
              <w:t>分)</w:t>
            </w:r>
          </w:p>
        </w:tc>
        <w:tc>
          <w:tcPr>
            <w:tcW w:w="956" w:type="pct"/>
            <w:tcBorders>
              <w:top w:val="single" w:color="auto" w:sz="4" w:space="0"/>
              <w:left w:val="single" w:color="auto" w:sz="4" w:space="0"/>
              <w:right w:val="single" w:color="auto" w:sz="4" w:space="0"/>
            </w:tcBorders>
            <w:vAlign w:val="center"/>
          </w:tcPr>
          <w:p>
            <w:pPr>
              <w:jc w:val="left"/>
              <w:rPr>
                <w:rFonts w:hint="eastAsia" w:ascii="仿宋_GB2312" w:hAnsi="宋体" w:eastAsia="仿宋_GB2312" w:cs="Times New Roman"/>
                <w:color w:val="000000"/>
                <w:szCs w:val="21"/>
              </w:rPr>
            </w:pPr>
            <w:r>
              <w:rPr>
                <w:rFonts w:hint="eastAsia" w:ascii="仿宋_GB2312" w:hAnsi="宋体" w:eastAsia="仿宋_GB2312" w:cs="Times New Roman"/>
                <w:color w:val="000000"/>
                <w:szCs w:val="21"/>
              </w:rPr>
              <w:t>1.组织机构</w:t>
            </w:r>
          </w:p>
        </w:tc>
        <w:tc>
          <w:tcPr>
            <w:tcW w:w="350" w:type="pc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Times New Roman"/>
                <w:color w:val="000000"/>
                <w:szCs w:val="21"/>
              </w:rPr>
            </w:pPr>
            <w:r>
              <w:rPr>
                <w:rFonts w:hint="eastAsia" w:ascii="仿宋_GB2312" w:hAnsi="宋体" w:eastAsia="仿宋_GB2312" w:cs="Times New Roman"/>
                <w:color w:val="000000"/>
                <w:szCs w:val="21"/>
              </w:rPr>
              <w:t>6</w:t>
            </w:r>
          </w:p>
        </w:tc>
        <w:tc>
          <w:tcPr>
            <w:tcW w:w="3291" w:type="pct"/>
            <w:tcBorders>
              <w:top w:val="single" w:color="auto" w:sz="4" w:space="0"/>
              <w:left w:val="single" w:color="auto" w:sz="4" w:space="0"/>
              <w:right w:val="single" w:color="auto" w:sz="4" w:space="0"/>
            </w:tcBorders>
            <w:vAlign w:val="center"/>
          </w:tcPr>
          <w:p>
            <w:pPr>
              <w:jc w:val="left"/>
              <w:rPr>
                <w:rFonts w:hint="eastAsia" w:ascii="仿宋_GB2312" w:hAnsi="宋体" w:eastAsia="仿宋_GB2312" w:cs="Times New Roman"/>
                <w:color w:val="000000"/>
                <w:szCs w:val="21"/>
              </w:rPr>
            </w:pPr>
            <w:r>
              <w:rPr>
                <w:rFonts w:hint="eastAsia" w:ascii="仿宋_GB2312" w:hAnsi="宋体" w:eastAsia="仿宋_GB2312" w:cs="Times New Roman"/>
                <w:color w:val="000000"/>
                <w:szCs w:val="21"/>
                <w:lang w:eastAsia="zh-CN"/>
              </w:rPr>
              <w:t>根据供应商所报针对本项目</w:t>
            </w:r>
            <w:r>
              <w:rPr>
                <w:rFonts w:hint="eastAsia" w:ascii="仿宋_GB2312" w:hAnsi="宋体" w:eastAsia="仿宋_GB2312" w:cs="Times New Roman"/>
                <w:color w:val="000000"/>
                <w:szCs w:val="21"/>
              </w:rPr>
              <w:t>组织机构设置合理，企业管理层次清晰，管理人员分工合理，得6分</w:t>
            </w:r>
            <w:r>
              <w:rPr>
                <w:rFonts w:hint="eastAsia" w:ascii="仿宋_GB2312" w:hAnsi="宋体" w:eastAsia="仿宋_GB2312" w:cs="Times New Roman"/>
                <w:color w:val="000000"/>
                <w:szCs w:val="21"/>
                <w:lang w:eastAsia="zh-CN"/>
              </w:rPr>
              <w:t>；</w:t>
            </w:r>
            <w:r>
              <w:rPr>
                <w:rFonts w:hint="eastAsia" w:ascii="仿宋_GB2312" w:hAnsi="宋体" w:eastAsia="仿宋_GB2312" w:cs="Times New Roman"/>
                <w:color w:val="000000"/>
                <w:szCs w:val="21"/>
              </w:rPr>
              <w:t>组织机构设置较合理，企业管理层次较清晰，管理人员分工较合理，得4分</w:t>
            </w:r>
            <w:r>
              <w:rPr>
                <w:rFonts w:hint="eastAsia" w:ascii="仿宋_GB2312" w:hAnsi="宋体" w:eastAsia="仿宋_GB2312" w:cs="Times New Roman"/>
                <w:color w:val="000000"/>
                <w:szCs w:val="21"/>
                <w:lang w:eastAsia="zh-CN"/>
              </w:rPr>
              <w:t>；</w:t>
            </w:r>
            <w:r>
              <w:rPr>
                <w:rFonts w:hint="eastAsia" w:ascii="仿宋_GB2312" w:hAnsi="宋体" w:eastAsia="仿宋_GB2312" w:cs="Times New Roman"/>
                <w:color w:val="000000"/>
                <w:szCs w:val="21"/>
              </w:rPr>
              <w:t>组织机构设置</w:t>
            </w:r>
            <w:r>
              <w:rPr>
                <w:rFonts w:hint="eastAsia" w:ascii="仿宋_GB2312" w:hAnsi="宋体" w:eastAsia="仿宋_GB2312" w:cs="Times New Roman"/>
                <w:color w:val="000000"/>
                <w:szCs w:val="21"/>
                <w:lang w:eastAsia="zh-CN"/>
              </w:rPr>
              <w:t>基本</w:t>
            </w:r>
            <w:r>
              <w:rPr>
                <w:rFonts w:hint="eastAsia" w:ascii="仿宋_GB2312" w:hAnsi="宋体" w:eastAsia="仿宋_GB2312" w:cs="Times New Roman"/>
                <w:color w:val="000000"/>
                <w:szCs w:val="21"/>
              </w:rPr>
              <w:t>合理，企业管理层次不够清晰，管理人员分工</w:t>
            </w:r>
            <w:r>
              <w:rPr>
                <w:rFonts w:hint="eastAsia" w:ascii="仿宋_GB2312" w:hAnsi="宋体" w:eastAsia="仿宋_GB2312" w:cs="Times New Roman"/>
                <w:color w:val="000000"/>
                <w:szCs w:val="21"/>
                <w:lang w:eastAsia="zh-CN"/>
              </w:rPr>
              <w:t>混乱</w:t>
            </w:r>
            <w:r>
              <w:rPr>
                <w:rFonts w:hint="eastAsia" w:ascii="仿宋_GB2312" w:hAnsi="宋体" w:eastAsia="仿宋_GB2312" w:cs="Times New Roman"/>
                <w:color w:val="000000"/>
                <w:szCs w:val="21"/>
              </w:rPr>
              <w:t>，得2分</w:t>
            </w:r>
          </w:p>
        </w:tc>
      </w:tr>
      <w:tr>
        <w:tblPrEx>
          <w:tblCellMar>
            <w:top w:w="0" w:type="dxa"/>
            <w:left w:w="108" w:type="dxa"/>
            <w:bottom w:w="0" w:type="dxa"/>
            <w:right w:w="108" w:type="dxa"/>
          </w:tblCellMar>
        </w:tblPrEx>
        <w:trPr>
          <w:trHeight w:val="315" w:hRule="atLeast"/>
        </w:trPr>
        <w:tc>
          <w:tcPr>
            <w:tcW w:w="402" w:type="pct"/>
            <w:vMerge w:val="continue"/>
            <w:tcBorders>
              <w:left w:val="single" w:color="auto" w:sz="4" w:space="0"/>
              <w:right w:val="single" w:color="auto" w:sz="4" w:space="0"/>
            </w:tcBorders>
            <w:vAlign w:val="center"/>
          </w:tcPr>
          <w:p>
            <w:pPr>
              <w:widowControl/>
              <w:jc w:val="center"/>
              <w:rPr>
                <w:rFonts w:ascii="宋体" w:hAnsi="宋体" w:cs="Tahoma"/>
                <w:szCs w:val="21"/>
              </w:rPr>
            </w:pPr>
          </w:p>
        </w:tc>
        <w:tc>
          <w:tcPr>
            <w:tcW w:w="956" w:type="pct"/>
            <w:tcBorders>
              <w:top w:val="single" w:color="auto" w:sz="6" w:space="0"/>
              <w:left w:val="single" w:color="auto" w:sz="4" w:space="0"/>
              <w:right w:val="single" w:color="auto" w:sz="6"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2.企业内部管理制度</w:t>
            </w:r>
          </w:p>
        </w:tc>
        <w:tc>
          <w:tcPr>
            <w:tcW w:w="350" w:type="pct"/>
            <w:tcBorders>
              <w:top w:val="single" w:color="auto" w:sz="6" w:space="0"/>
              <w:left w:val="single" w:color="auto" w:sz="6" w:space="0"/>
              <w:right w:val="single" w:color="auto" w:sz="6" w:space="0"/>
            </w:tcBorders>
            <w:vAlign w:val="center"/>
          </w:tcPr>
          <w:p>
            <w:pPr>
              <w:jc w:val="center"/>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8</w:t>
            </w:r>
          </w:p>
        </w:tc>
        <w:tc>
          <w:tcPr>
            <w:tcW w:w="3291" w:type="pct"/>
            <w:tcBorders>
              <w:top w:val="single" w:color="auto" w:sz="6" w:space="0"/>
              <w:left w:val="single" w:color="auto" w:sz="6" w:space="0"/>
              <w:bottom w:val="single" w:color="auto" w:sz="6" w:space="0"/>
              <w:right w:val="single" w:color="auto" w:sz="6"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根据供应商所提供的企业内部管理制度合理，全面得8分；企业内部管理制度较合理、较全面得5分；企业内部管理制度不够合理、不够全面得</w:t>
            </w:r>
            <w:r>
              <w:rPr>
                <w:rFonts w:hint="eastAsia" w:ascii="仿宋_GB2312" w:hAnsi="宋体" w:eastAsia="仿宋_GB2312" w:cs="Times New Roman"/>
                <w:color w:val="000000"/>
                <w:szCs w:val="21"/>
                <w:lang w:val="en-US" w:eastAsia="zh-CN"/>
              </w:rPr>
              <w:t>3</w:t>
            </w:r>
            <w:r>
              <w:rPr>
                <w:rFonts w:hint="eastAsia" w:ascii="仿宋_GB2312" w:hAnsi="宋体" w:eastAsia="仿宋_GB2312" w:cs="Times New Roman"/>
                <w:color w:val="000000"/>
                <w:szCs w:val="21"/>
                <w:lang w:eastAsia="zh-CN"/>
              </w:rPr>
              <w:t>分</w:t>
            </w:r>
          </w:p>
        </w:tc>
      </w:tr>
      <w:tr>
        <w:tblPrEx>
          <w:tblCellMar>
            <w:top w:w="0" w:type="dxa"/>
            <w:left w:w="108" w:type="dxa"/>
            <w:bottom w:w="0" w:type="dxa"/>
            <w:right w:w="108" w:type="dxa"/>
          </w:tblCellMar>
        </w:tblPrEx>
        <w:trPr>
          <w:trHeight w:val="205" w:hRule="atLeast"/>
        </w:trPr>
        <w:tc>
          <w:tcPr>
            <w:tcW w:w="402"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Tahoma"/>
                <w:szCs w:val="21"/>
              </w:rPr>
            </w:pPr>
          </w:p>
        </w:tc>
        <w:tc>
          <w:tcPr>
            <w:tcW w:w="956"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3.项目业绩</w:t>
            </w:r>
          </w:p>
        </w:tc>
        <w:tc>
          <w:tcPr>
            <w:tcW w:w="3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9</w:t>
            </w:r>
          </w:p>
        </w:tc>
        <w:tc>
          <w:tcPr>
            <w:tcW w:w="329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项目案例：根据供应商所提供的201</w:t>
            </w:r>
            <w:r>
              <w:rPr>
                <w:rFonts w:hint="eastAsia" w:ascii="仿宋_GB2312" w:hAnsi="宋体" w:eastAsia="仿宋_GB2312" w:cs="Times New Roman"/>
                <w:color w:val="000000"/>
                <w:szCs w:val="21"/>
                <w:lang w:val="en-US" w:eastAsia="zh-CN"/>
              </w:rPr>
              <w:t>7</w:t>
            </w:r>
            <w:r>
              <w:rPr>
                <w:rFonts w:hint="eastAsia" w:ascii="仿宋_GB2312" w:hAnsi="宋体" w:eastAsia="仿宋_GB2312" w:cs="Times New Roman"/>
                <w:color w:val="000000"/>
                <w:szCs w:val="21"/>
                <w:lang w:eastAsia="zh-CN"/>
              </w:rPr>
              <w:t>年以来正在开展或已完成的业绩（如PPP项目业绩或含运维内容项目业绩），需提供项目清单，并附运维服务合同复印件（应提供合同包括但不限于首页、服务周期页及签署页复印件，需提供中标通知书复印件）。每提供1个合格业绩得</w:t>
            </w:r>
            <w:r>
              <w:rPr>
                <w:rFonts w:hint="eastAsia" w:ascii="仿宋_GB2312" w:hAnsi="宋体" w:eastAsia="仿宋_GB2312" w:cs="Times New Roman"/>
                <w:color w:val="000000"/>
                <w:szCs w:val="21"/>
                <w:lang w:val="en-US" w:eastAsia="zh-CN"/>
              </w:rPr>
              <w:t>3</w:t>
            </w:r>
            <w:r>
              <w:rPr>
                <w:rFonts w:hint="eastAsia" w:ascii="仿宋_GB2312" w:hAnsi="宋体" w:eastAsia="仿宋_GB2312" w:cs="Times New Roman"/>
                <w:color w:val="000000"/>
                <w:szCs w:val="21"/>
                <w:lang w:eastAsia="zh-CN"/>
              </w:rPr>
              <w:t>分，最高</w:t>
            </w:r>
            <w:r>
              <w:rPr>
                <w:rFonts w:hint="eastAsia" w:ascii="仿宋_GB2312" w:hAnsi="宋体" w:eastAsia="仿宋_GB2312" w:cs="Times New Roman"/>
                <w:color w:val="000000"/>
                <w:szCs w:val="21"/>
                <w:lang w:val="en-US" w:eastAsia="zh-CN"/>
              </w:rPr>
              <w:t>9</w:t>
            </w:r>
            <w:r>
              <w:rPr>
                <w:rFonts w:hint="eastAsia" w:ascii="仿宋_GB2312" w:hAnsi="宋体" w:eastAsia="仿宋_GB2312" w:cs="Times New Roman"/>
                <w:color w:val="000000"/>
                <w:szCs w:val="21"/>
                <w:lang w:eastAsia="zh-CN"/>
              </w:rPr>
              <w:t>分</w:t>
            </w:r>
          </w:p>
        </w:tc>
      </w:tr>
      <w:tr>
        <w:tblPrEx>
          <w:tblCellMar>
            <w:top w:w="0" w:type="dxa"/>
            <w:left w:w="108" w:type="dxa"/>
            <w:bottom w:w="0" w:type="dxa"/>
            <w:right w:w="108" w:type="dxa"/>
          </w:tblCellMar>
        </w:tblPrEx>
        <w:trPr>
          <w:trHeight w:val="415" w:hRule="atLeast"/>
        </w:trPr>
        <w:tc>
          <w:tcPr>
            <w:tcW w:w="402" w:type="pct"/>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技术</w:t>
            </w:r>
          </w:p>
          <w:p>
            <w:pPr>
              <w:jc w:val="center"/>
              <w:rPr>
                <w:rFonts w:ascii="宋体" w:hAnsi="宋体" w:cs="Tahoma"/>
                <w:szCs w:val="21"/>
              </w:rPr>
            </w:pPr>
            <w:r>
              <w:rPr>
                <w:rFonts w:hint="eastAsia" w:ascii="宋体" w:hAnsi="宋体"/>
                <w:szCs w:val="21"/>
              </w:rPr>
              <w:t>部分</w:t>
            </w:r>
          </w:p>
          <w:p>
            <w:pPr>
              <w:widowControl/>
              <w:jc w:val="center"/>
              <w:rPr>
                <w:rFonts w:ascii="宋体" w:hAnsi="宋体" w:cs="Tahoma"/>
                <w:szCs w:val="21"/>
              </w:rPr>
            </w:pPr>
            <w:r>
              <w:rPr>
                <w:rFonts w:hint="eastAsia" w:ascii="宋体" w:hAnsi="宋体"/>
                <w:szCs w:val="21"/>
              </w:rPr>
              <w:t>(</w:t>
            </w:r>
            <w:r>
              <w:rPr>
                <w:rFonts w:ascii="宋体" w:hAnsi="宋体"/>
                <w:szCs w:val="21"/>
              </w:rPr>
              <w:t>67</w:t>
            </w:r>
            <w:r>
              <w:rPr>
                <w:rFonts w:hint="eastAsia" w:ascii="宋体" w:hAnsi="宋体"/>
                <w:szCs w:val="21"/>
              </w:rPr>
              <w:t>分)</w:t>
            </w:r>
          </w:p>
        </w:tc>
        <w:tc>
          <w:tcPr>
            <w:tcW w:w="956" w:type="pct"/>
            <w:tcBorders>
              <w:top w:val="single" w:color="auto" w:sz="4" w:space="0"/>
              <w:left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1.服务方案</w:t>
            </w:r>
          </w:p>
        </w:tc>
        <w:tc>
          <w:tcPr>
            <w:tcW w:w="350" w:type="pc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20</w:t>
            </w:r>
          </w:p>
        </w:tc>
        <w:tc>
          <w:tcPr>
            <w:tcW w:w="329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根据供应商所提供针对本项目的服务方案合理、全面、可行，得20分；服务方案较合理、较全面、基本可行，得14分；服务方案不够合理、不够全面，得7分</w:t>
            </w:r>
          </w:p>
        </w:tc>
      </w:tr>
      <w:tr>
        <w:tblPrEx>
          <w:tblCellMar>
            <w:top w:w="0" w:type="dxa"/>
            <w:left w:w="108" w:type="dxa"/>
            <w:bottom w:w="0" w:type="dxa"/>
            <w:right w:w="108" w:type="dxa"/>
          </w:tblCellMar>
        </w:tblPrEx>
        <w:trPr>
          <w:trHeight w:val="415" w:hRule="atLeast"/>
        </w:trPr>
        <w:tc>
          <w:tcPr>
            <w:tcW w:w="402" w:type="pct"/>
            <w:vMerge w:val="continue"/>
            <w:tcBorders>
              <w:left w:val="single" w:color="auto" w:sz="4" w:space="0"/>
              <w:right w:val="single" w:color="auto" w:sz="4" w:space="0"/>
            </w:tcBorders>
            <w:vAlign w:val="center"/>
          </w:tcPr>
          <w:p>
            <w:pPr>
              <w:jc w:val="center"/>
              <w:rPr>
                <w:rFonts w:ascii="宋体" w:hAnsi="宋体"/>
                <w:szCs w:val="21"/>
              </w:rPr>
            </w:pPr>
          </w:p>
        </w:tc>
        <w:tc>
          <w:tcPr>
            <w:tcW w:w="956" w:type="pct"/>
            <w:tcBorders>
              <w:top w:val="single" w:color="auto" w:sz="4" w:space="0"/>
              <w:left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2.日常管理方案</w:t>
            </w:r>
          </w:p>
        </w:tc>
        <w:tc>
          <w:tcPr>
            <w:tcW w:w="350" w:type="pc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12</w:t>
            </w:r>
          </w:p>
        </w:tc>
        <w:tc>
          <w:tcPr>
            <w:tcW w:w="329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根据供应商所报日常管理方案考虑全面、到位，整体进度合理，得12分；日常管理方案考虑较为全面、较为到位，整体进度较为合理，得9分；日常管理方案考虑不够全面、到位，整体进度欠合理，得5分</w:t>
            </w:r>
          </w:p>
        </w:tc>
      </w:tr>
      <w:tr>
        <w:tblPrEx>
          <w:tblCellMar>
            <w:top w:w="0" w:type="dxa"/>
            <w:left w:w="108" w:type="dxa"/>
            <w:bottom w:w="0" w:type="dxa"/>
            <w:right w:w="108" w:type="dxa"/>
          </w:tblCellMar>
        </w:tblPrEx>
        <w:trPr>
          <w:trHeight w:val="270" w:hRule="atLeast"/>
        </w:trPr>
        <w:tc>
          <w:tcPr>
            <w:tcW w:w="402" w:type="pct"/>
            <w:vMerge w:val="continue"/>
            <w:tcBorders>
              <w:left w:val="single" w:color="auto" w:sz="4" w:space="0"/>
              <w:right w:val="single" w:color="auto" w:sz="4" w:space="0"/>
            </w:tcBorders>
            <w:vAlign w:val="center"/>
          </w:tcPr>
          <w:p>
            <w:pPr>
              <w:widowControl/>
              <w:jc w:val="center"/>
              <w:rPr>
                <w:rFonts w:ascii="宋体" w:hAnsi="宋体" w:cs="Tahoma"/>
                <w:szCs w:val="21"/>
              </w:rPr>
            </w:pPr>
          </w:p>
        </w:tc>
        <w:tc>
          <w:tcPr>
            <w:tcW w:w="956" w:type="pct"/>
            <w:tcBorders>
              <w:top w:val="single" w:color="auto" w:sz="4" w:space="0"/>
              <w:left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3.对项目理解程度</w:t>
            </w:r>
          </w:p>
        </w:tc>
        <w:tc>
          <w:tcPr>
            <w:tcW w:w="350" w:type="pc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10</w:t>
            </w:r>
          </w:p>
        </w:tc>
        <w:tc>
          <w:tcPr>
            <w:tcW w:w="329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根据供应商所报对项目相关信息的了解情况进行综合评审。理解深刻，得10分；理解程度一般，得6分；理解程度较差，得3分</w:t>
            </w:r>
          </w:p>
        </w:tc>
      </w:tr>
      <w:tr>
        <w:tblPrEx>
          <w:tblCellMar>
            <w:top w:w="0" w:type="dxa"/>
            <w:left w:w="108" w:type="dxa"/>
            <w:bottom w:w="0" w:type="dxa"/>
            <w:right w:w="108" w:type="dxa"/>
          </w:tblCellMar>
        </w:tblPrEx>
        <w:trPr>
          <w:trHeight w:val="275" w:hRule="atLeast"/>
        </w:trPr>
        <w:tc>
          <w:tcPr>
            <w:tcW w:w="402" w:type="pct"/>
            <w:vMerge w:val="continue"/>
            <w:tcBorders>
              <w:left w:val="single" w:color="auto" w:sz="4" w:space="0"/>
              <w:right w:val="single" w:color="auto" w:sz="4" w:space="0"/>
            </w:tcBorders>
            <w:vAlign w:val="center"/>
          </w:tcPr>
          <w:p>
            <w:pPr>
              <w:widowControl/>
              <w:jc w:val="center"/>
              <w:rPr>
                <w:rFonts w:ascii="宋体" w:hAnsi="宋体" w:cs="Tahoma"/>
                <w:szCs w:val="21"/>
              </w:rPr>
            </w:pPr>
          </w:p>
        </w:tc>
        <w:tc>
          <w:tcPr>
            <w:tcW w:w="956" w:type="pct"/>
            <w:tcBorders>
              <w:top w:val="single" w:color="auto" w:sz="4" w:space="0"/>
              <w:left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4.人员配备方案</w:t>
            </w:r>
          </w:p>
        </w:tc>
        <w:tc>
          <w:tcPr>
            <w:tcW w:w="350" w:type="pc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10</w:t>
            </w:r>
          </w:p>
        </w:tc>
        <w:tc>
          <w:tcPr>
            <w:tcW w:w="329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根据供应商所报针对本项目团队组织结构及分工合理，人员行业经验丰富，得10分；团队组织结构及分工较为合理，人员行业经验较丰富，得6分；团队组织结构及分工不够合理，人员行业经验少，得3分</w:t>
            </w:r>
          </w:p>
        </w:tc>
      </w:tr>
      <w:tr>
        <w:tblPrEx>
          <w:tblCellMar>
            <w:top w:w="0" w:type="dxa"/>
            <w:left w:w="108" w:type="dxa"/>
            <w:bottom w:w="0" w:type="dxa"/>
            <w:right w:w="108" w:type="dxa"/>
          </w:tblCellMar>
        </w:tblPrEx>
        <w:trPr>
          <w:trHeight w:val="275" w:hRule="atLeast"/>
        </w:trPr>
        <w:tc>
          <w:tcPr>
            <w:tcW w:w="402" w:type="pct"/>
            <w:vMerge w:val="continue"/>
            <w:tcBorders>
              <w:left w:val="single" w:color="auto" w:sz="4" w:space="0"/>
              <w:right w:val="single" w:color="auto" w:sz="4" w:space="0"/>
            </w:tcBorders>
            <w:vAlign w:val="center"/>
          </w:tcPr>
          <w:p>
            <w:pPr>
              <w:widowControl/>
              <w:jc w:val="center"/>
              <w:rPr>
                <w:rFonts w:ascii="宋体" w:hAnsi="宋体" w:cs="Tahoma"/>
                <w:szCs w:val="21"/>
              </w:rPr>
            </w:pPr>
          </w:p>
        </w:tc>
        <w:tc>
          <w:tcPr>
            <w:tcW w:w="956" w:type="pct"/>
            <w:tcBorders>
              <w:top w:val="single" w:color="auto" w:sz="4" w:space="0"/>
              <w:left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5.质量保障体系及措施</w:t>
            </w:r>
          </w:p>
        </w:tc>
        <w:tc>
          <w:tcPr>
            <w:tcW w:w="350" w:type="pc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10</w:t>
            </w:r>
          </w:p>
        </w:tc>
        <w:tc>
          <w:tcPr>
            <w:tcW w:w="329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根据供应商所报针对本项目质量保障体系及措施合理、全面、可行，得10分；质量保障体系及措施较为合理、较为全面、基本可行，得6分；质量保障体系及措施不够合理、不够全面，得3分</w:t>
            </w:r>
          </w:p>
        </w:tc>
      </w:tr>
      <w:tr>
        <w:tblPrEx>
          <w:tblCellMar>
            <w:top w:w="0" w:type="dxa"/>
            <w:left w:w="108" w:type="dxa"/>
            <w:bottom w:w="0" w:type="dxa"/>
            <w:right w:w="108" w:type="dxa"/>
          </w:tblCellMar>
        </w:tblPrEx>
        <w:trPr>
          <w:trHeight w:val="320" w:hRule="atLeast"/>
        </w:trPr>
        <w:tc>
          <w:tcPr>
            <w:tcW w:w="402" w:type="pct"/>
            <w:vMerge w:val="continue"/>
            <w:tcBorders>
              <w:left w:val="single" w:color="auto" w:sz="4" w:space="0"/>
              <w:right w:val="single" w:color="auto" w:sz="4" w:space="0"/>
            </w:tcBorders>
            <w:vAlign w:val="center"/>
          </w:tcPr>
          <w:p>
            <w:pPr>
              <w:widowControl/>
              <w:jc w:val="center"/>
              <w:rPr>
                <w:rFonts w:ascii="宋体" w:hAnsi="宋体" w:cs="Tahoma"/>
                <w:szCs w:val="21"/>
              </w:rPr>
            </w:pPr>
          </w:p>
        </w:tc>
        <w:tc>
          <w:tcPr>
            <w:tcW w:w="956" w:type="pct"/>
            <w:tcBorders>
              <w:top w:val="single" w:color="auto" w:sz="4" w:space="0"/>
              <w:left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6.服务保障与服务承诺</w:t>
            </w:r>
          </w:p>
        </w:tc>
        <w:tc>
          <w:tcPr>
            <w:tcW w:w="350" w:type="pc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5</w:t>
            </w:r>
          </w:p>
        </w:tc>
        <w:tc>
          <w:tcPr>
            <w:tcW w:w="329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根据供应商所报针对本项目的服务保障与服务承诺全面、可行，得5分；服务保障与服务承诺较为全面、基本可行，得3分；服务保障与服务承诺不够全面，得1分</w:t>
            </w:r>
          </w:p>
        </w:tc>
      </w:tr>
    </w:tbl>
    <w:p>
      <w:pPr>
        <w:spacing w:line="360" w:lineRule="auto"/>
        <w:rPr>
          <w:rFonts w:hint="eastAsia"/>
        </w:rPr>
      </w:pPr>
    </w:p>
    <w:sectPr>
      <w:footerReference r:id="rId3" w:type="default"/>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003078"/>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167</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D18"/>
    <w:multiLevelType w:val="multilevel"/>
    <w:tmpl w:val="00001D18"/>
    <w:lvl w:ilvl="0" w:tentative="0">
      <w:start w:val="1"/>
      <w:numFmt w:val="decimal"/>
      <w:lvlText w:val="%1"/>
      <w:lvlJc w:val="left"/>
    </w:lvl>
    <w:lvl w:ilvl="1" w:tentative="0">
      <w:start w:val="1"/>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39CE"/>
    <w:multiLevelType w:val="multilevel"/>
    <w:tmpl w:val="000039CE"/>
    <w:lvl w:ilvl="0" w:tentative="0">
      <w:start w:val="13"/>
      <w:numFmt w:val="decimal"/>
      <w:lvlText w:val="%1"/>
      <w:lvlJc w:val="left"/>
    </w:lvl>
    <w:lvl w:ilvl="1" w:tentative="0">
      <w:start w:val="1"/>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4C85"/>
    <w:multiLevelType w:val="multilevel"/>
    <w:tmpl w:val="00004C85"/>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33C3244"/>
    <w:multiLevelType w:val="multilevel"/>
    <w:tmpl w:val="033C3244"/>
    <w:lvl w:ilvl="0" w:tentative="0">
      <w:start w:val="1"/>
      <w:numFmt w:val="decimal"/>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4">
    <w:nsid w:val="04AC7A6E"/>
    <w:multiLevelType w:val="multilevel"/>
    <w:tmpl w:val="04AC7A6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F385CB4"/>
    <w:multiLevelType w:val="multilevel"/>
    <w:tmpl w:val="4F385CB4"/>
    <w:lvl w:ilvl="0" w:tentative="0">
      <w:start w:val="1"/>
      <w:numFmt w:val="decimal"/>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6">
    <w:nsid w:val="5936425E"/>
    <w:multiLevelType w:val="multilevel"/>
    <w:tmpl w:val="5936425E"/>
    <w:lvl w:ilvl="0" w:tentative="0">
      <w:start w:val="1"/>
      <w:numFmt w:val="decimal"/>
      <w:lvlText w:val="3.%1"/>
      <w:lvlJc w:val="left"/>
      <w:pPr>
        <w:ind w:left="10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C1"/>
    <w:rsid w:val="002A3E9B"/>
    <w:rsid w:val="00330B42"/>
    <w:rsid w:val="003A304D"/>
    <w:rsid w:val="0041555F"/>
    <w:rsid w:val="00455686"/>
    <w:rsid w:val="00672BE6"/>
    <w:rsid w:val="007008C1"/>
    <w:rsid w:val="007D294A"/>
    <w:rsid w:val="00854559"/>
    <w:rsid w:val="00984B82"/>
    <w:rsid w:val="009A2D97"/>
    <w:rsid w:val="00BA6842"/>
    <w:rsid w:val="00C1006B"/>
    <w:rsid w:val="00C757FD"/>
    <w:rsid w:val="00DD42FE"/>
    <w:rsid w:val="00DF273D"/>
    <w:rsid w:val="00E1264C"/>
    <w:rsid w:val="00F25B71"/>
    <w:rsid w:val="00F5791B"/>
    <w:rsid w:val="0AC441EC"/>
    <w:rsid w:val="0D01523E"/>
    <w:rsid w:val="0FBE3005"/>
    <w:rsid w:val="11FE49D9"/>
    <w:rsid w:val="133142AB"/>
    <w:rsid w:val="1779278F"/>
    <w:rsid w:val="1FA67063"/>
    <w:rsid w:val="20456D5B"/>
    <w:rsid w:val="217C20C1"/>
    <w:rsid w:val="2C211DAB"/>
    <w:rsid w:val="2C3E56B5"/>
    <w:rsid w:val="2C4B0571"/>
    <w:rsid w:val="30406D81"/>
    <w:rsid w:val="305C439A"/>
    <w:rsid w:val="31E26A94"/>
    <w:rsid w:val="373A07C8"/>
    <w:rsid w:val="387D0FE3"/>
    <w:rsid w:val="3C7E57AD"/>
    <w:rsid w:val="3FA05BD3"/>
    <w:rsid w:val="3FA07CB4"/>
    <w:rsid w:val="4427473B"/>
    <w:rsid w:val="47AF3CB6"/>
    <w:rsid w:val="4A747E17"/>
    <w:rsid w:val="4ADD02CF"/>
    <w:rsid w:val="4F38209D"/>
    <w:rsid w:val="56D26FE5"/>
    <w:rsid w:val="6189391D"/>
    <w:rsid w:val="68E47FAB"/>
    <w:rsid w:val="690C6AC4"/>
    <w:rsid w:val="6C2C3185"/>
    <w:rsid w:val="7001579F"/>
    <w:rsid w:val="71397346"/>
    <w:rsid w:val="77ED013B"/>
    <w:rsid w:val="78B65E3A"/>
    <w:rsid w:val="7C70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Theme="minorEastAsia" w:cstheme="minorBidi"/>
      <w:szCs w:val="2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_61"/>
    <w:basedOn w:val="1"/>
    <w:qFormat/>
    <w:uiPriority w:val="0"/>
    <w:pPr>
      <w:widowControl/>
      <w:spacing w:before="120" w:after="240"/>
    </w:pPr>
    <w:rPr>
      <w:rFonts w:ascii="Calibri" w:hAnsi="Calibri"/>
      <w:kern w:val="0"/>
      <w:sz w:val="22"/>
      <w:szCs w:val="22"/>
    </w:rPr>
  </w:style>
  <w:style w:type="character" w:customStyle="1" w:styleId="9">
    <w:name w:val="页眉 Char"/>
    <w:basedOn w:val="7"/>
    <w:link w:val="4"/>
    <w:qFormat/>
    <w:uiPriority w:val="99"/>
    <w:rPr>
      <w:rFonts w:ascii="Times New Roman" w:hAnsi="Times New Roman" w:eastAsia="宋体" w:cs="Times New Roman"/>
      <w:kern w:val="2"/>
      <w:sz w:val="18"/>
      <w:szCs w:val="18"/>
    </w:rPr>
  </w:style>
  <w:style w:type="character" w:customStyle="1" w:styleId="10">
    <w:name w:val="页脚 Char"/>
    <w:basedOn w:val="7"/>
    <w:link w:val="3"/>
    <w:qFormat/>
    <w:uiPriority w:val="99"/>
    <w:rPr>
      <w:rFonts w:ascii="Times New Roman" w:hAnsi="Times New Roman" w:eastAsia="宋体" w:cs="Times New Roman"/>
      <w:kern w:val="2"/>
      <w:sz w:val="18"/>
      <w:szCs w:val="18"/>
    </w:rPr>
  </w:style>
  <w:style w:type="table" w:customStyle="1" w:styleId="11">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CellMar>
        <w:top w:w="0" w:type="dxa"/>
        <w:left w:w="0" w:type="dxa"/>
        <w:bottom w:w="0" w:type="dxa"/>
        <w:right w:w="0" w:type="dxa"/>
      </w:tblCellMar>
    </w:tblPr>
  </w:style>
  <w:style w:type="paragraph" w:customStyle="1" w:styleId="12">
    <w:name w:val="列出段落1"/>
    <w:basedOn w:val="1"/>
    <w:qFormat/>
    <w:uiPriority w:val="34"/>
    <w:pPr>
      <w:widowControl/>
      <w:ind w:firstLine="420" w:firstLineChars="200"/>
      <w:jc w:val="left"/>
    </w:pPr>
    <w:rPr>
      <w:rFonts w:eastAsiaTheme="minorEastAsia"/>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167</Pages>
  <Words>28405</Words>
  <Characters>161909</Characters>
  <Lines>1349</Lines>
  <Paragraphs>379</Paragraphs>
  <TotalTime>6</TotalTime>
  <ScaleCrop>false</ScaleCrop>
  <LinksUpToDate>false</LinksUpToDate>
  <CharactersWithSpaces>189935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2020-06-18T01:44:00Z</dcterms:created>
  <dc:creator>AutoBVT</dc:creator>
  <cp:lastModifiedBy>Administrator</cp:lastModifiedBy>
  <dcterms:modified xsi:type="dcterms:W3CDTF">2020-12-03T08:33:02Z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