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26"/>
        <w:adjustRightInd w:val="0"/>
        <w:snapToGrid w:val="0"/>
        <w:spacing w:line="240" w:lineRule="auto"/>
        <w:rPr>
          <w:rFonts w:ascii="宋体" w:hAnsi="宋体"/>
          <w:sz w:val="30"/>
          <w:szCs w:val="30"/>
          <w:lang w:eastAsia="zh-CN"/>
        </w:rPr>
      </w:pPr>
      <w:r>
        <w:rPr>
          <w:rFonts w:hint="eastAsia" w:ascii="宋体" w:hAnsi="宋体"/>
          <w:sz w:val="30"/>
          <w:szCs w:val="30"/>
          <w:lang w:eastAsia="zh-CN"/>
        </w:rPr>
        <w:t>北京市大兴区高米店街道办事处物业服务委托管理项目</w:t>
      </w:r>
    </w:p>
    <w:p>
      <w:pPr>
        <w:pStyle w:val="26"/>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pStyle w:val="18"/>
        <w:numPr>
          <w:ilvl w:val="0"/>
          <w:numId w:val="1"/>
        </w:numPr>
        <w:autoSpaceDE w:val="0"/>
        <w:autoSpaceDN w:val="0"/>
        <w:adjustRightInd w:val="0"/>
        <w:ind w:firstLineChars="0"/>
        <w:jc w:val="left"/>
        <w:rPr>
          <w:rFonts w:hint="eastAsia" w:ascii="微软雅黑" w:hAnsi="Wingdings" w:eastAsia="微软雅黑" w:cs="微软雅黑"/>
          <w:b/>
          <w:bCs/>
          <w:color w:val="000000"/>
          <w:kern w:val="0"/>
          <w:sz w:val="28"/>
          <w:szCs w:val="28"/>
        </w:rPr>
      </w:pPr>
      <w:bookmarkStart w:id="1" w:name="_Toc388940273"/>
      <w:r>
        <w:rPr>
          <w:rFonts w:hint="eastAsia" w:ascii="微软雅黑" w:hAnsi="Wingdings" w:eastAsia="微软雅黑" w:cs="微软雅黑"/>
          <w:b/>
          <w:bCs/>
          <w:color w:val="000000"/>
          <w:kern w:val="0"/>
          <w:sz w:val="28"/>
          <w:szCs w:val="28"/>
        </w:rPr>
        <w:t>采购清单</w:t>
      </w:r>
    </w:p>
    <w:tbl>
      <w:tblPr>
        <w:tblStyle w:val="11"/>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588"/>
        <w:gridCol w:w="2511"/>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vAlign w:val="center"/>
          </w:tcPr>
          <w:p>
            <w:pPr>
              <w:jc w:val="center"/>
              <w:rPr>
                <w:b/>
                <w:sz w:val="24"/>
              </w:rPr>
            </w:pPr>
            <w:r>
              <w:rPr>
                <w:rFonts w:hint="eastAsia"/>
                <w:b/>
                <w:sz w:val="24"/>
              </w:rPr>
              <w:t>序号</w:t>
            </w:r>
          </w:p>
        </w:tc>
        <w:tc>
          <w:tcPr>
            <w:tcW w:w="1588" w:type="dxa"/>
            <w:vAlign w:val="center"/>
          </w:tcPr>
          <w:p>
            <w:pPr>
              <w:jc w:val="center"/>
              <w:rPr>
                <w:b/>
                <w:sz w:val="24"/>
              </w:rPr>
            </w:pPr>
            <w:r>
              <w:rPr>
                <w:rFonts w:hint="eastAsia"/>
                <w:b/>
                <w:sz w:val="24"/>
              </w:rPr>
              <w:t>服务名称</w:t>
            </w:r>
          </w:p>
        </w:tc>
        <w:tc>
          <w:tcPr>
            <w:tcW w:w="2511" w:type="dxa"/>
            <w:vAlign w:val="center"/>
          </w:tcPr>
          <w:p>
            <w:pPr>
              <w:jc w:val="center"/>
              <w:rPr>
                <w:b/>
                <w:sz w:val="24"/>
              </w:rPr>
            </w:pPr>
            <w:r>
              <w:rPr>
                <w:rFonts w:hint="eastAsia"/>
                <w:b/>
                <w:sz w:val="24"/>
              </w:rPr>
              <w:t>数量</w:t>
            </w:r>
          </w:p>
        </w:tc>
        <w:tc>
          <w:tcPr>
            <w:tcW w:w="1908" w:type="dxa"/>
            <w:vAlign w:val="center"/>
          </w:tcPr>
          <w:p>
            <w:pPr>
              <w:jc w:val="center"/>
              <w:rPr>
                <w:b/>
                <w:sz w:val="24"/>
              </w:rPr>
            </w:pPr>
            <w:r>
              <w:rPr>
                <w:rFonts w:hint="eastAsia"/>
                <w:b/>
                <w:sz w:val="24"/>
              </w:rPr>
              <w:t>单位</w:t>
            </w:r>
          </w:p>
        </w:tc>
        <w:tc>
          <w:tcPr>
            <w:tcW w:w="155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72" w:type="dxa"/>
            <w:vAlign w:val="center"/>
          </w:tcPr>
          <w:p>
            <w:pPr>
              <w:jc w:val="center"/>
              <w:rPr>
                <w:sz w:val="24"/>
              </w:rPr>
            </w:pPr>
            <w:r>
              <w:rPr>
                <w:rFonts w:hint="eastAsia"/>
                <w:sz w:val="24"/>
              </w:rPr>
              <w:t>1</w:t>
            </w:r>
          </w:p>
        </w:tc>
        <w:tc>
          <w:tcPr>
            <w:tcW w:w="1588" w:type="dxa"/>
          </w:tcPr>
          <w:p>
            <w:pPr>
              <w:autoSpaceDE w:val="0"/>
              <w:autoSpaceDN w:val="0"/>
              <w:adjustRightInd w:val="0"/>
              <w:spacing w:line="360" w:lineRule="auto"/>
              <w:jc w:val="center"/>
              <w:rPr>
                <w:rFonts w:ascii="宋体" w:hAnsi="宋体"/>
                <w:sz w:val="24"/>
              </w:rPr>
            </w:pPr>
            <w:r>
              <w:rPr>
                <w:rFonts w:hint="eastAsia" w:ascii="宋体" w:hAnsi="宋体"/>
                <w:sz w:val="24"/>
              </w:rPr>
              <w:t>会议服务</w:t>
            </w:r>
          </w:p>
        </w:tc>
        <w:tc>
          <w:tcPr>
            <w:tcW w:w="2511" w:type="dxa"/>
          </w:tcPr>
          <w:p>
            <w:pPr>
              <w:autoSpaceDE w:val="0"/>
              <w:autoSpaceDN w:val="0"/>
              <w:adjustRightInd w:val="0"/>
              <w:spacing w:line="360" w:lineRule="auto"/>
              <w:jc w:val="center"/>
              <w:rPr>
                <w:rFonts w:ascii="宋体" w:hAnsi="宋体"/>
                <w:sz w:val="24"/>
              </w:rPr>
            </w:pPr>
            <w:r>
              <w:rPr>
                <w:rFonts w:hint="eastAsia" w:ascii="宋体" w:hAnsi="宋体"/>
                <w:sz w:val="24"/>
              </w:rPr>
              <w:t>1</w:t>
            </w:r>
            <w:r>
              <w:rPr>
                <w:rFonts w:ascii="宋体" w:hAnsi="宋体"/>
                <w:sz w:val="24"/>
              </w:rPr>
              <w:t>000</w:t>
            </w:r>
          </w:p>
        </w:tc>
        <w:tc>
          <w:tcPr>
            <w:tcW w:w="1908" w:type="dxa"/>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72" w:type="dxa"/>
            <w:vAlign w:val="center"/>
          </w:tcPr>
          <w:p>
            <w:pPr>
              <w:jc w:val="center"/>
              <w:rPr>
                <w:sz w:val="24"/>
              </w:rPr>
            </w:pPr>
            <w:r>
              <w:rPr>
                <w:rFonts w:hint="eastAsia"/>
                <w:sz w:val="24"/>
              </w:rPr>
              <w:t>2</w:t>
            </w:r>
          </w:p>
        </w:tc>
        <w:tc>
          <w:tcPr>
            <w:tcW w:w="1588" w:type="dxa"/>
          </w:tcPr>
          <w:p>
            <w:pPr>
              <w:autoSpaceDE w:val="0"/>
              <w:autoSpaceDN w:val="0"/>
              <w:adjustRightInd w:val="0"/>
              <w:spacing w:line="360" w:lineRule="auto"/>
              <w:jc w:val="center"/>
              <w:rPr>
                <w:rFonts w:ascii="宋体" w:hAnsi="宋体"/>
                <w:sz w:val="24"/>
              </w:rPr>
            </w:pPr>
            <w:r>
              <w:rPr>
                <w:rFonts w:hint="eastAsia" w:ascii="宋体" w:hAnsi="宋体"/>
                <w:sz w:val="24"/>
              </w:rPr>
              <w:t>秩序维护</w:t>
            </w:r>
          </w:p>
        </w:tc>
        <w:tc>
          <w:tcPr>
            <w:tcW w:w="2511" w:type="dxa"/>
          </w:tcPr>
          <w:p>
            <w:pPr>
              <w:autoSpaceDE w:val="0"/>
              <w:autoSpaceDN w:val="0"/>
              <w:adjustRightInd w:val="0"/>
              <w:spacing w:line="360" w:lineRule="auto"/>
              <w:jc w:val="center"/>
              <w:rPr>
                <w:rFonts w:ascii="宋体" w:hAnsi="宋体"/>
                <w:sz w:val="24"/>
              </w:rPr>
            </w:pPr>
            <w:r>
              <w:rPr>
                <w:rFonts w:hint="eastAsia" w:ascii="宋体" w:hAnsi="宋体"/>
                <w:sz w:val="24"/>
              </w:rPr>
              <w:t>1</w:t>
            </w:r>
          </w:p>
        </w:tc>
        <w:tc>
          <w:tcPr>
            <w:tcW w:w="1908" w:type="dxa"/>
          </w:tcPr>
          <w:p>
            <w:pPr>
              <w:autoSpaceDE w:val="0"/>
              <w:autoSpaceDN w:val="0"/>
              <w:adjustRightInd w:val="0"/>
              <w:spacing w:line="360" w:lineRule="auto"/>
              <w:jc w:val="center"/>
              <w:rPr>
                <w:rFonts w:ascii="宋体" w:hAnsi="宋体"/>
                <w:sz w:val="24"/>
              </w:rPr>
            </w:pPr>
            <w:r>
              <w:rPr>
                <w:rFonts w:hint="eastAsia" w:ascii="宋体" w:hAnsi="宋体"/>
                <w:sz w:val="24"/>
              </w:rPr>
              <w:t>年</w:t>
            </w:r>
          </w:p>
        </w:tc>
        <w:tc>
          <w:tcPr>
            <w:tcW w:w="1553" w:type="dxa"/>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72" w:type="dxa"/>
            <w:vAlign w:val="center"/>
          </w:tcPr>
          <w:p>
            <w:pPr>
              <w:jc w:val="center"/>
              <w:rPr>
                <w:sz w:val="24"/>
              </w:rPr>
            </w:pPr>
            <w:r>
              <w:rPr>
                <w:rFonts w:hint="eastAsia"/>
                <w:sz w:val="24"/>
              </w:rPr>
              <w:t>3</w:t>
            </w:r>
          </w:p>
        </w:tc>
        <w:tc>
          <w:tcPr>
            <w:tcW w:w="1588" w:type="dxa"/>
          </w:tcPr>
          <w:p>
            <w:pPr>
              <w:autoSpaceDE w:val="0"/>
              <w:autoSpaceDN w:val="0"/>
              <w:adjustRightInd w:val="0"/>
              <w:spacing w:line="360" w:lineRule="auto"/>
              <w:jc w:val="center"/>
              <w:rPr>
                <w:rFonts w:ascii="宋体" w:hAnsi="宋体"/>
                <w:sz w:val="24"/>
              </w:rPr>
            </w:pPr>
            <w:r>
              <w:rPr>
                <w:rFonts w:hint="eastAsia" w:ascii="宋体" w:hAnsi="宋体"/>
                <w:sz w:val="24"/>
              </w:rPr>
              <w:t>厨房</w:t>
            </w:r>
          </w:p>
        </w:tc>
        <w:tc>
          <w:tcPr>
            <w:tcW w:w="2511" w:type="dxa"/>
          </w:tcPr>
          <w:p>
            <w:pPr>
              <w:autoSpaceDE w:val="0"/>
              <w:autoSpaceDN w:val="0"/>
              <w:adjustRightInd w:val="0"/>
              <w:spacing w:line="360" w:lineRule="auto"/>
              <w:jc w:val="center"/>
              <w:rPr>
                <w:rFonts w:ascii="宋体" w:hAnsi="宋体"/>
                <w:sz w:val="24"/>
              </w:rPr>
            </w:pPr>
            <w:r>
              <w:rPr>
                <w:rFonts w:hint="eastAsia" w:ascii="宋体" w:hAnsi="宋体"/>
                <w:sz w:val="24"/>
              </w:rPr>
              <w:t>2</w:t>
            </w:r>
            <w:r>
              <w:rPr>
                <w:rFonts w:ascii="宋体" w:hAnsi="宋体"/>
                <w:sz w:val="24"/>
              </w:rPr>
              <w:t>20</w:t>
            </w:r>
            <w:r>
              <w:rPr>
                <w:rFonts w:hint="eastAsia" w:ascii="宋体" w:hAnsi="宋体"/>
                <w:sz w:val="24"/>
              </w:rPr>
              <w:t>人次/天（工作日）</w:t>
            </w:r>
          </w:p>
          <w:p>
            <w:pPr>
              <w:autoSpaceDE w:val="0"/>
              <w:autoSpaceDN w:val="0"/>
              <w:adjustRightInd w:val="0"/>
              <w:spacing w:line="360" w:lineRule="auto"/>
              <w:jc w:val="center"/>
              <w:rPr>
                <w:rFonts w:ascii="宋体" w:hAnsi="宋体"/>
                <w:sz w:val="24"/>
              </w:rPr>
            </w:pPr>
            <w:r>
              <w:rPr>
                <w:rFonts w:ascii="宋体" w:hAnsi="宋体"/>
                <w:sz w:val="24"/>
              </w:rPr>
              <w:t>20</w:t>
            </w:r>
            <w:r>
              <w:rPr>
                <w:rFonts w:hint="eastAsia" w:ascii="宋体" w:hAnsi="宋体"/>
                <w:sz w:val="24"/>
              </w:rPr>
              <w:t>人次/天（节假日）</w:t>
            </w:r>
          </w:p>
        </w:tc>
        <w:tc>
          <w:tcPr>
            <w:tcW w:w="1908" w:type="dxa"/>
          </w:tcPr>
          <w:p>
            <w:pPr>
              <w:autoSpaceDE w:val="0"/>
              <w:autoSpaceDN w:val="0"/>
              <w:adjustRightInd w:val="0"/>
              <w:spacing w:line="360" w:lineRule="auto"/>
              <w:jc w:val="center"/>
              <w:rPr>
                <w:rFonts w:ascii="宋体" w:hAnsi="宋体"/>
                <w:sz w:val="24"/>
              </w:rPr>
            </w:pPr>
            <w:r>
              <w:rPr>
                <w:rFonts w:hint="eastAsia" w:ascii="宋体" w:hAnsi="宋体"/>
                <w:sz w:val="24"/>
              </w:rPr>
              <w:t>人次/天</w:t>
            </w:r>
          </w:p>
        </w:tc>
        <w:tc>
          <w:tcPr>
            <w:tcW w:w="1553" w:type="dxa"/>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72" w:type="dxa"/>
            <w:vAlign w:val="center"/>
          </w:tcPr>
          <w:p>
            <w:pPr>
              <w:jc w:val="center"/>
              <w:rPr>
                <w:sz w:val="24"/>
              </w:rPr>
            </w:pPr>
            <w:r>
              <w:rPr>
                <w:sz w:val="24"/>
              </w:rPr>
              <w:t>4</w:t>
            </w:r>
          </w:p>
        </w:tc>
        <w:tc>
          <w:tcPr>
            <w:tcW w:w="1588" w:type="dxa"/>
          </w:tcPr>
          <w:p>
            <w:pPr>
              <w:autoSpaceDE w:val="0"/>
              <w:autoSpaceDN w:val="0"/>
              <w:adjustRightInd w:val="0"/>
              <w:spacing w:line="360" w:lineRule="auto"/>
              <w:jc w:val="center"/>
              <w:rPr>
                <w:rFonts w:ascii="宋体" w:hAnsi="宋体"/>
                <w:sz w:val="24"/>
              </w:rPr>
            </w:pPr>
            <w:r>
              <w:rPr>
                <w:rFonts w:hint="eastAsia" w:ascii="宋体" w:hAnsi="宋体"/>
                <w:sz w:val="24"/>
              </w:rPr>
              <w:t>保洁</w:t>
            </w:r>
          </w:p>
        </w:tc>
        <w:tc>
          <w:tcPr>
            <w:tcW w:w="2511" w:type="dxa"/>
          </w:tcPr>
          <w:p>
            <w:pPr>
              <w:autoSpaceDE w:val="0"/>
              <w:autoSpaceDN w:val="0"/>
              <w:adjustRightInd w:val="0"/>
              <w:spacing w:line="360" w:lineRule="auto"/>
              <w:jc w:val="center"/>
              <w:rPr>
                <w:rFonts w:ascii="宋体" w:hAnsi="宋体"/>
                <w:sz w:val="24"/>
              </w:rPr>
            </w:pPr>
            <w:r>
              <w:rPr>
                <w:rFonts w:hint="eastAsia" w:ascii="宋体" w:hAnsi="宋体"/>
                <w:sz w:val="24"/>
              </w:rPr>
              <w:t>5</w:t>
            </w:r>
            <w:r>
              <w:rPr>
                <w:rFonts w:ascii="宋体" w:hAnsi="宋体"/>
                <w:sz w:val="24"/>
              </w:rPr>
              <w:t>000</w:t>
            </w:r>
          </w:p>
        </w:tc>
        <w:tc>
          <w:tcPr>
            <w:tcW w:w="1908" w:type="dxa"/>
          </w:tcPr>
          <w:p>
            <w:pPr>
              <w:autoSpaceDE w:val="0"/>
              <w:autoSpaceDN w:val="0"/>
              <w:adjustRightInd w:val="0"/>
              <w:spacing w:line="360" w:lineRule="auto"/>
              <w:jc w:val="center"/>
              <w:rPr>
                <w:rFonts w:ascii="宋体" w:hAnsi="宋体"/>
                <w:sz w:val="24"/>
              </w:rPr>
            </w:pPr>
            <w:r>
              <w:rPr>
                <w:rFonts w:hint="eastAsia" w:ascii="宋体" w:hAnsi="宋体"/>
                <w:sz w:val="24"/>
              </w:rPr>
              <w:t>平方米</w:t>
            </w:r>
          </w:p>
        </w:tc>
        <w:tc>
          <w:tcPr>
            <w:tcW w:w="1553" w:type="dxa"/>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2" w:type="dxa"/>
            <w:vAlign w:val="center"/>
          </w:tcPr>
          <w:p>
            <w:pPr>
              <w:jc w:val="center"/>
              <w:rPr>
                <w:sz w:val="24"/>
              </w:rPr>
            </w:pPr>
            <w:r>
              <w:rPr>
                <w:rFonts w:hint="eastAsia"/>
                <w:sz w:val="24"/>
              </w:rPr>
              <w:t>5</w:t>
            </w:r>
          </w:p>
        </w:tc>
        <w:tc>
          <w:tcPr>
            <w:tcW w:w="1588" w:type="dxa"/>
          </w:tcPr>
          <w:p>
            <w:pPr>
              <w:autoSpaceDE w:val="0"/>
              <w:autoSpaceDN w:val="0"/>
              <w:adjustRightInd w:val="0"/>
              <w:spacing w:line="360" w:lineRule="auto"/>
              <w:jc w:val="center"/>
              <w:rPr>
                <w:rFonts w:ascii="宋体" w:hAnsi="宋体"/>
                <w:sz w:val="24"/>
              </w:rPr>
            </w:pPr>
            <w:r>
              <w:rPr>
                <w:rFonts w:hint="eastAsia" w:ascii="宋体" w:hAnsi="宋体"/>
                <w:sz w:val="24"/>
              </w:rPr>
              <w:t>物业服务</w:t>
            </w:r>
          </w:p>
        </w:tc>
        <w:tc>
          <w:tcPr>
            <w:tcW w:w="2511" w:type="dxa"/>
          </w:tcPr>
          <w:p>
            <w:pPr>
              <w:autoSpaceDE w:val="0"/>
              <w:autoSpaceDN w:val="0"/>
              <w:adjustRightInd w:val="0"/>
              <w:spacing w:line="360" w:lineRule="auto"/>
              <w:jc w:val="center"/>
              <w:rPr>
                <w:rFonts w:ascii="宋体" w:hAnsi="宋体"/>
                <w:sz w:val="24"/>
              </w:rPr>
            </w:pPr>
            <w:r>
              <w:rPr>
                <w:rFonts w:hint="eastAsia" w:ascii="宋体" w:hAnsi="宋体"/>
                <w:sz w:val="24"/>
              </w:rPr>
              <w:t>1</w:t>
            </w:r>
          </w:p>
        </w:tc>
        <w:tc>
          <w:tcPr>
            <w:tcW w:w="1908" w:type="dxa"/>
          </w:tcPr>
          <w:p>
            <w:pPr>
              <w:autoSpaceDE w:val="0"/>
              <w:autoSpaceDN w:val="0"/>
              <w:adjustRightInd w:val="0"/>
              <w:spacing w:line="360" w:lineRule="auto"/>
              <w:jc w:val="center"/>
              <w:rPr>
                <w:rFonts w:ascii="宋体" w:hAnsi="宋体"/>
                <w:sz w:val="24"/>
              </w:rPr>
            </w:pPr>
            <w:r>
              <w:rPr>
                <w:rFonts w:hint="eastAsia" w:ascii="宋体" w:hAnsi="宋体"/>
                <w:sz w:val="24"/>
              </w:rPr>
              <w:t>年</w:t>
            </w:r>
          </w:p>
        </w:tc>
        <w:tc>
          <w:tcPr>
            <w:tcW w:w="1553" w:type="dxa"/>
          </w:tcPr>
          <w:p>
            <w:pPr>
              <w:rPr>
                <w:sz w:val="24"/>
              </w:rPr>
            </w:pPr>
          </w:p>
        </w:tc>
      </w:tr>
    </w:tbl>
    <w:p>
      <w:pPr>
        <w:autoSpaceDE w:val="0"/>
        <w:autoSpaceDN w:val="0"/>
        <w:adjustRightInd w:val="0"/>
        <w:spacing w:line="360" w:lineRule="auto"/>
        <w:jc w:val="left"/>
        <w:rPr>
          <w:rFonts w:hint="eastAsia" w:ascii="微软雅黑" w:hAnsi="Wingdings" w:eastAsia="微软雅黑" w:cs="微软雅黑"/>
          <w:b/>
          <w:bCs/>
          <w:color w:val="000000"/>
          <w:kern w:val="0"/>
          <w:sz w:val="28"/>
          <w:szCs w:val="28"/>
        </w:rPr>
      </w:pPr>
      <w:r>
        <w:rPr>
          <w:rFonts w:hint="eastAsia" w:ascii="微软雅黑" w:hAnsi="Wingdings" w:eastAsia="微软雅黑" w:cs="微软雅黑"/>
          <w:b/>
          <w:bCs/>
          <w:color w:val="000000"/>
          <w:kern w:val="0"/>
          <w:sz w:val="28"/>
          <w:szCs w:val="28"/>
        </w:rPr>
        <w:t>二、项目背景</w:t>
      </w:r>
    </w:p>
    <w:p>
      <w:pPr>
        <w:autoSpaceDE w:val="0"/>
        <w:autoSpaceDN w:val="0"/>
        <w:adjustRightInd w:val="0"/>
        <w:spacing w:line="360" w:lineRule="auto"/>
        <w:jc w:val="left"/>
        <w:rPr>
          <w:rFonts w:hint="eastAsia" w:ascii="微软雅黑" w:hAnsi="Wingdings" w:eastAsia="微软雅黑" w:cs="微软雅黑"/>
          <w:color w:val="000000"/>
          <w:kern w:val="0"/>
          <w:szCs w:val="21"/>
        </w:rPr>
      </w:pPr>
      <w:r>
        <w:rPr>
          <w:rFonts w:hint="eastAsia" w:ascii="宋体" w:hAnsi="宋体"/>
          <w:sz w:val="24"/>
        </w:rPr>
        <w:t>项目背景：高米店街道办事处位于北京市大兴区乐园路22号院7号楼，东至兴盛街，西至兴旺路，南至金星西路，北至乐园路金地仰山小区东区与二十一世纪幼儿园相邻。建筑面积5042平米,绿化面积330平米，道路面积1050平米，停车面积560平米，停车位26个。办公楼</w:t>
      </w:r>
      <w:r>
        <w:rPr>
          <w:rFonts w:ascii="宋体" w:hAnsi="宋体"/>
          <w:sz w:val="24"/>
        </w:rPr>
        <w:t>1</w:t>
      </w:r>
      <w:r>
        <w:rPr>
          <w:rFonts w:hint="eastAsia" w:ascii="宋体" w:hAnsi="宋体"/>
          <w:sz w:val="24"/>
        </w:rPr>
        <w:t>栋，地下一层为餐厅，面积约800平米。为高米店街道办事处提供一个安全、舒适、良好的办公环境。</w:t>
      </w:r>
    </w:p>
    <w:p>
      <w:pPr>
        <w:autoSpaceDE w:val="0"/>
        <w:autoSpaceDN w:val="0"/>
        <w:adjustRightInd w:val="0"/>
        <w:jc w:val="left"/>
        <w:rPr>
          <w:rFonts w:hint="eastAsia" w:ascii="微软雅黑" w:hAnsi="Wingdings" w:eastAsia="微软雅黑" w:cs="微软雅黑"/>
          <w:b/>
          <w:bCs/>
          <w:color w:val="000000"/>
          <w:kern w:val="0"/>
          <w:sz w:val="28"/>
          <w:szCs w:val="28"/>
        </w:rPr>
      </w:pPr>
      <w:r>
        <w:rPr>
          <w:rFonts w:hint="eastAsia" w:ascii="微软雅黑" w:hAnsi="Wingdings" w:eastAsia="微软雅黑" w:cs="微软雅黑"/>
          <w:b/>
          <w:bCs/>
          <w:color w:val="000000"/>
          <w:kern w:val="0"/>
          <w:sz w:val="28"/>
          <w:szCs w:val="28"/>
        </w:rPr>
        <w:t>三、技术参数要求</w:t>
      </w:r>
    </w:p>
    <w:p>
      <w:pPr>
        <w:spacing w:line="360" w:lineRule="auto"/>
        <w:ind w:right="224" w:rightChars="107"/>
        <w:rPr>
          <w:rFonts w:ascii="宋体" w:hAnsi="宋体"/>
          <w:b/>
          <w:sz w:val="24"/>
        </w:rPr>
      </w:pPr>
      <w:r>
        <w:rPr>
          <w:rFonts w:hint="eastAsia" w:ascii="宋体" w:hAnsi="宋体"/>
          <w:b/>
          <w:sz w:val="24"/>
        </w:rPr>
        <w:t>1、物业管理服务内容及要求</w:t>
      </w:r>
    </w:p>
    <w:p>
      <w:pPr>
        <w:spacing w:line="360" w:lineRule="auto"/>
        <w:ind w:right="224" w:rightChars="107"/>
        <w:rPr>
          <w:rFonts w:ascii="宋体" w:hAnsi="宋体"/>
          <w:sz w:val="24"/>
        </w:rPr>
      </w:pPr>
      <w:r>
        <w:rPr>
          <w:rFonts w:hint="eastAsia" w:ascii="宋体" w:hAnsi="宋体"/>
          <w:sz w:val="24"/>
        </w:rPr>
        <w:t>1.1负责制订物业管理服务工作计划，并组织实施</w:t>
      </w:r>
    </w:p>
    <w:p>
      <w:pPr>
        <w:spacing w:line="360" w:lineRule="auto"/>
        <w:ind w:right="224" w:rightChars="107" w:firstLine="484" w:firstLineChars="202"/>
        <w:rPr>
          <w:rFonts w:ascii="宋体" w:hAnsi="宋体"/>
          <w:sz w:val="24"/>
        </w:rPr>
      </w:pPr>
      <w:r>
        <w:rPr>
          <w:rFonts w:hint="eastAsia" w:ascii="宋体" w:hAnsi="宋体"/>
          <w:sz w:val="24"/>
        </w:rPr>
        <w:t>1.1.1定期对办公楼设备设施进行检查。</w:t>
      </w:r>
    </w:p>
    <w:p>
      <w:pPr>
        <w:spacing w:line="360" w:lineRule="auto"/>
        <w:ind w:left="420" w:leftChars="200" w:right="224" w:rightChars="107"/>
        <w:rPr>
          <w:rFonts w:ascii="宋体" w:hAnsi="宋体"/>
          <w:sz w:val="24"/>
        </w:rPr>
      </w:pPr>
      <w:r>
        <w:rPr>
          <w:rFonts w:hint="eastAsia" w:ascii="宋体" w:hAnsi="宋体"/>
          <w:sz w:val="24"/>
        </w:rPr>
        <w:t>1.1.2全天24小时有物业服务人员接待客户，处理服务范围内的公共事务，受理用户的咨询、建议和投诉，建立回访制度和记录。</w:t>
      </w:r>
    </w:p>
    <w:p>
      <w:pPr>
        <w:spacing w:line="360" w:lineRule="auto"/>
        <w:ind w:right="224" w:rightChars="107" w:firstLine="484" w:firstLineChars="202"/>
        <w:rPr>
          <w:rFonts w:ascii="宋体" w:hAnsi="宋体"/>
          <w:sz w:val="24"/>
        </w:rPr>
      </w:pPr>
      <w:r>
        <w:rPr>
          <w:rFonts w:hint="eastAsia" w:ascii="宋体" w:hAnsi="宋体"/>
          <w:sz w:val="24"/>
        </w:rPr>
        <w:t>1.1.3处理各类维修，建立并落实维修服务承诺制。</w:t>
      </w:r>
    </w:p>
    <w:p>
      <w:pPr>
        <w:spacing w:line="360" w:lineRule="auto"/>
        <w:ind w:right="224" w:rightChars="107" w:firstLine="484" w:firstLineChars="202"/>
        <w:rPr>
          <w:rFonts w:ascii="宋体" w:hAnsi="宋体"/>
          <w:sz w:val="24"/>
        </w:rPr>
      </w:pPr>
      <w:r>
        <w:rPr>
          <w:rFonts w:hint="eastAsia" w:ascii="宋体" w:hAnsi="宋体"/>
          <w:sz w:val="24"/>
        </w:rPr>
        <w:t>1.1.4管理制度健全，服务质量标准完善，物业管理档案资料齐全。</w:t>
      </w:r>
    </w:p>
    <w:p>
      <w:pPr>
        <w:spacing w:line="360" w:lineRule="auto"/>
        <w:ind w:left="420" w:leftChars="200" w:right="224" w:rightChars="107"/>
        <w:rPr>
          <w:rFonts w:ascii="宋体" w:hAnsi="宋体"/>
          <w:sz w:val="24"/>
        </w:rPr>
      </w:pPr>
      <w:r>
        <w:rPr>
          <w:rFonts w:hint="eastAsia" w:ascii="宋体" w:hAnsi="宋体"/>
          <w:sz w:val="24"/>
        </w:rPr>
        <w:t>1.1.</w:t>
      </w:r>
      <w:r>
        <w:rPr>
          <w:rFonts w:ascii="宋体" w:hAnsi="宋体"/>
          <w:sz w:val="24"/>
        </w:rPr>
        <w:t>5</w:t>
      </w:r>
      <w:r>
        <w:rPr>
          <w:rFonts w:hint="eastAsia" w:ascii="宋体" w:hAnsi="宋体"/>
          <w:sz w:val="24"/>
        </w:rPr>
        <w:t>全体员工着装统一、工作规范，作风严谨，配戴有相片胸卡，按政府相关文件规定持证上岗。</w:t>
      </w:r>
    </w:p>
    <w:p>
      <w:pPr>
        <w:spacing w:line="360" w:lineRule="auto"/>
        <w:ind w:left="420" w:leftChars="200" w:right="224" w:rightChars="107"/>
        <w:rPr>
          <w:rFonts w:ascii="宋体" w:hAnsi="宋体"/>
          <w:sz w:val="24"/>
        </w:rPr>
      </w:pPr>
      <w:r>
        <w:rPr>
          <w:rFonts w:hint="eastAsia" w:ascii="宋体" w:hAnsi="宋体"/>
          <w:sz w:val="24"/>
        </w:rPr>
        <w:t>1.1.</w:t>
      </w:r>
      <w:r>
        <w:rPr>
          <w:rFonts w:ascii="宋体" w:hAnsi="宋体"/>
          <w:sz w:val="24"/>
        </w:rPr>
        <w:t>8</w:t>
      </w:r>
      <w:r>
        <w:rPr>
          <w:rFonts w:hint="eastAsia" w:ascii="宋体" w:hAnsi="宋体"/>
          <w:spacing w:val="4"/>
          <w:sz w:val="24"/>
        </w:rPr>
        <w:t>每年进行不少于两次物业管理服务满意率调查，促进管理服务工作的改进和提高。</w:t>
      </w:r>
    </w:p>
    <w:p>
      <w:pPr>
        <w:spacing w:line="360" w:lineRule="auto"/>
        <w:ind w:right="224" w:rightChars="107" w:firstLine="484" w:firstLineChars="202"/>
        <w:rPr>
          <w:rFonts w:ascii="宋体" w:hAnsi="宋体"/>
          <w:sz w:val="24"/>
        </w:rPr>
      </w:pPr>
      <w:r>
        <w:rPr>
          <w:rFonts w:hint="eastAsia" w:ascii="宋体" w:hAnsi="宋体"/>
          <w:sz w:val="24"/>
        </w:rPr>
        <w:t>1.1.</w:t>
      </w:r>
      <w:r>
        <w:rPr>
          <w:rFonts w:ascii="宋体" w:hAnsi="宋体"/>
          <w:sz w:val="24"/>
        </w:rPr>
        <w:t>9</w:t>
      </w:r>
      <w:r>
        <w:rPr>
          <w:rFonts w:hint="eastAsia" w:ascii="宋体" w:hAnsi="宋体"/>
          <w:sz w:val="24"/>
        </w:rPr>
        <w:t>建立应对各种公共突发事件的处理机制和预案，一旦发生，能随时投入运行。</w:t>
      </w:r>
    </w:p>
    <w:p>
      <w:pPr>
        <w:spacing w:line="360" w:lineRule="auto"/>
        <w:ind w:right="224" w:rightChars="107"/>
        <w:rPr>
          <w:rFonts w:ascii="宋体" w:hAnsi="宋体"/>
          <w:sz w:val="24"/>
        </w:rPr>
      </w:pPr>
    </w:p>
    <w:p>
      <w:pPr>
        <w:spacing w:line="360" w:lineRule="auto"/>
        <w:ind w:right="224" w:rightChars="107"/>
        <w:rPr>
          <w:rFonts w:ascii="宋体" w:hAnsi="宋体"/>
          <w:spacing w:val="4"/>
          <w:sz w:val="24"/>
        </w:rPr>
      </w:pPr>
      <w:r>
        <w:rPr>
          <w:rFonts w:hint="eastAsia" w:ascii="宋体" w:hAnsi="宋体"/>
          <w:sz w:val="24"/>
        </w:rPr>
        <w:t>1.2</w:t>
      </w:r>
      <w:r>
        <w:rPr>
          <w:rFonts w:hint="eastAsia" w:ascii="宋体" w:hAnsi="宋体"/>
          <w:spacing w:val="4"/>
          <w:sz w:val="24"/>
        </w:rPr>
        <w:t>确保本项目公用部位设施设备的正常使用运行和维修养护</w:t>
      </w:r>
    </w:p>
    <w:p>
      <w:pPr>
        <w:spacing w:line="360" w:lineRule="auto"/>
        <w:ind w:left="424" w:leftChars="202" w:right="224" w:rightChars="107"/>
        <w:rPr>
          <w:rFonts w:ascii="宋体" w:hAnsi="宋体"/>
          <w:spacing w:val="4"/>
          <w:sz w:val="24"/>
        </w:rPr>
      </w:pPr>
      <w:r>
        <w:rPr>
          <w:rFonts w:hint="eastAsia" w:ascii="宋体" w:hAnsi="宋体"/>
          <w:spacing w:val="4"/>
          <w:sz w:val="24"/>
        </w:rPr>
        <w:t>1.2.1按政府相关规定制定的相应标准，做好办公楼公用部位设施设备的日常养护和维修。</w:t>
      </w:r>
    </w:p>
    <w:p>
      <w:pPr>
        <w:spacing w:line="360" w:lineRule="auto"/>
        <w:ind w:right="224" w:rightChars="107" w:firstLine="483" w:firstLineChars="195"/>
        <w:rPr>
          <w:rFonts w:ascii="宋体" w:hAnsi="宋体"/>
          <w:spacing w:val="4"/>
          <w:sz w:val="24"/>
        </w:rPr>
      </w:pPr>
      <w:r>
        <w:rPr>
          <w:rFonts w:hint="eastAsia" w:ascii="宋体" w:hAnsi="宋体"/>
          <w:spacing w:val="4"/>
          <w:sz w:val="24"/>
        </w:rPr>
        <w:t>1.2.2保证办公楼公用设施、设备正常使用。</w:t>
      </w:r>
    </w:p>
    <w:p>
      <w:pPr>
        <w:spacing w:line="360" w:lineRule="auto"/>
        <w:ind w:right="224" w:rightChars="107" w:firstLine="483" w:firstLineChars="195"/>
        <w:rPr>
          <w:rFonts w:ascii="宋体" w:hAnsi="宋体"/>
          <w:spacing w:val="4"/>
          <w:sz w:val="24"/>
        </w:rPr>
      </w:pPr>
      <w:r>
        <w:rPr>
          <w:rFonts w:hint="eastAsia" w:ascii="宋体" w:hAnsi="宋体"/>
          <w:spacing w:val="4"/>
          <w:sz w:val="24"/>
        </w:rPr>
        <w:t>1.2.3确保雨水、污水管道保持通畅，定期清掏雨污水井，相关设施保持良好。</w:t>
      </w:r>
    </w:p>
    <w:p>
      <w:pPr>
        <w:spacing w:line="360" w:lineRule="auto"/>
        <w:ind w:right="224" w:rightChars="107" w:firstLine="483" w:firstLineChars="195"/>
        <w:rPr>
          <w:rFonts w:ascii="宋体" w:hAnsi="宋体"/>
          <w:spacing w:val="4"/>
          <w:sz w:val="24"/>
        </w:rPr>
      </w:pPr>
      <w:r>
        <w:rPr>
          <w:rFonts w:hint="eastAsia" w:ascii="宋体" w:hAnsi="宋体"/>
          <w:spacing w:val="4"/>
          <w:sz w:val="24"/>
        </w:rPr>
        <w:t>1.2.4负责办公楼智能化设施设备的日常运行维护。</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1.3维护和保持物业管理区域内的环境维护</w:t>
      </w:r>
    </w:p>
    <w:p>
      <w:pPr>
        <w:spacing w:line="360" w:lineRule="auto"/>
        <w:ind w:firstLine="484" w:firstLineChars="202"/>
        <w:rPr>
          <w:rFonts w:ascii="宋体" w:hAnsi="宋体"/>
          <w:sz w:val="24"/>
        </w:rPr>
      </w:pPr>
      <w:r>
        <w:rPr>
          <w:rFonts w:hint="eastAsia" w:ascii="宋体" w:hAnsi="宋体"/>
          <w:sz w:val="24"/>
        </w:rPr>
        <w:t>1.3.1建立健全的保洁制度，清洁卫生实行责任制，明确分工和责任范围。</w:t>
      </w:r>
    </w:p>
    <w:p>
      <w:pPr>
        <w:spacing w:line="360" w:lineRule="auto"/>
        <w:ind w:firstLine="484" w:firstLineChars="202"/>
        <w:rPr>
          <w:rFonts w:ascii="宋体" w:hAnsi="宋体"/>
          <w:sz w:val="24"/>
        </w:rPr>
      </w:pPr>
      <w:r>
        <w:rPr>
          <w:rFonts w:hint="eastAsia" w:ascii="宋体" w:hAnsi="宋体"/>
          <w:sz w:val="24"/>
        </w:rPr>
        <w:t>1.3.</w:t>
      </w:r>
      <w:r>
        <w:rPr>
          <w:rFonts w:ascii="宋体" w:hAnsi="宋体"/>
          <w:sz w:val="24"/>
        </w:rPr>
        <w:t>2</w:t>
      </w:r>
      <w:r>
        <w:rPr>
          <w:rFonts w:hint="eastAsia" w:ascii="宋体" w:hAnsi="宋体"/>
          <w:sz w:val="24"/>
        </w:rPr>
        <w:t>对于招标人在办公过程中进出的材料、垃圾等进行管控。</w:t>
      </w:r>
    </w:p>
    <w:p>
      <w:pPr>
        <w:spacing w:line="360" w:lineRule="auto"/>
        <w:ind w:firstLine="484" w:firstLineChars="202"/>
        <w:rPr>
          <w:rFonts w:ascii="宋体" w:hAnsi="宋体"/>
          <w:sz w:val="24"/>
        </w:rPr>
      </w:pPr>
      <w:r>
        <w:rPr>
          <w:rFonts w:hint="eastAsia" w:ascii="宋体" w:hAnsi="宋体"/>
          <w:sz w:val="24"/>
        </w:rPr>
        <w:t>1.3.</w:t>
      </w:r>
      <w:r>
        <w:rPr>
          <w:rFonts w:ascii="宋体" w:hAnsi="宋体"/>
          <w:sz w:val="24"/>
        </w:rPr>
        <w:t>3</w:t>
      </w:r>
      <w:r>
        <w:rPr>
          <w:rFonts w:hint="eastAsia" w:ascii="宋体" w:hAnsi="宋体"/>
          <w:sz w:val="24"/>
        </w:rPr>
        <w:t>每日对保洁服务范围内的区域进行定时清扫，随时维护，保持服务范围内无废弃杂物。</w:t>
      </w:r>
    </w:p>
    <w:p>
      <w:pPr>
        <w:spacing w:line="360" w:lineRule="auto"/>
        <w:ind w:left="420" w:leftChars="200"/>
        <w:rPr>
          <w:rFonts w:ascii="宋体" w:hAnsi="宋体"/>
          <w:spacing w:val="4"/>
          <w:sz w:val="24"/>
        </w:rPr>
      </w:pPr>
      <w:r>
        <w:rPr>
          <w:rFonts w:hint="eastAsia" w:ascii="宋体" w:hAnsi="宋体"/>
          <w:sz w:val="24"/>
        </w:rPr>
        <w:t>1.3.</w:t>
      </w:r>
      <w:r>
        <w:rPr>
          <w:rFonts w:ascii="宋体" w:hAnsi="宋体"/>
          <w:sz w:val="24"/>
        </w:rPr>
        <w:t>4</w:t>
      </w:r>
      <w:r>
        <w:rPr>
          <w:rFonts w:hint="eastAsia" w:ascii="宋体" w:hAnsi="宋体"/>
          <w:spacing w:val="4"/>
          <w:sz w:val="24"/>
        </w:rPr>
        <w:t>每日对楼梯间、公共区域等的门、窗、楼梯扶手、栏杆、墙壁饰面等部位进行擦拭、清扫。</w:t>
      </w:r>
    </w:p>
    <w:p>
      <w:pPr>
        <w:spacing w:line="360" w:lineRule="auto"/>
        <w:ind w:left="420" w:leftChars="200"/>
        <w:rPr>
          <w:rFonts w:ascii="宋体" w:hAnsi="宋体"/>
          <w:sz w:val="24"/>
        </w:rPr>
      </w:pPr>
      <w:r>
        <w:rPr>
          <w:rFonts w:hint="eastAsia" w:ascii="宋体" w:hAnsi="宋体"/>
          <w:sz w:val="24"/>
        </w:rPr>
        <w:t>1.3.</w:t>
      </w:r>
      <w:r>
        <w:rPr>
          <w:rFonts w:ascii="宋体" w:hAnsi="宋体"/>
          <w:sz w:val="24"/>
        </w:rPr>
        <w:t>5</w:t>
      </w:r>
      <w:r>
        <w:rPr>
          <w:rFonts w:hint="eastAsia" w:ascii="宋体" w:hAnsi="宋体"/>
          <w:sz w:val="24"/>
        </w:rPr>
        <w:t>制定管理区域内有害生物防治方案，按照政府有关规定，定共用同服务范围内公共区域喷洒、投放灭鼠药、消毒剂、除虫剂等。</w:t>
      </w:r>
    </w:p>
    <w:p>
      <w:pPr>
        <w:spacing w:line="360" w:lineRule="auto"/>
        <w:ind w:firstLine="484" w:firstLineChars="202"/>
        <w:rPr>
          <w:rFonts w:ascii="宋体" w:hAnsi="宋体"/>
          <w:sz w:val="24"/>
        </w:rPr>
      </w:pPr>
      <w:r>
        <w:rPr>
          <w:rFonts w:hint="eastAsia" w:ascii="宋体" w:hAnsi="宋体"/>
          <w:sz w:val="24"/>
        </w:rPr>
        <w:t>1.3.7在雨、雪天气及时对门前“三包”责任区内主路、干路积水、积雪进行清扫；</w:t>
      </w:r>
    </w:p>
    <w:p>
      <w:pPr>
        <w:spacing w:line="360" w:lineRule="auto"/>
        <w:ind w:left="420" w:leftChars="200"/>
        <w:rPr>
          <w:rFonts w:ascii="宋体" w:hAnsi="宋体"/>
          <w:spacing w:val="4"/>
          <w:sz w:val="24"/>
        </w:rPr>
      </w:pPr>
      <w:r>
        <w:rPr>
          <w:rFonts w:hint="eastAsia" w:ascii="宋体" w:hAnsi="宋体"/>
          <w:sz w:val="24"/>
        </w:rPr>
        <w:t>1.3.8</w:t>
      </w:r>
      <w:r>
        <w:rPr>
          <w:rFonts w:hint="eastAsia" w:ascii="宋体" w:hAnsi="宋体"/>
          <w:spacing w:val="4"/>
          <w:sz w:val="24"/>
        </w:rPr>
        <w:t>制定公共卫生事件处置预案，发生突发公共卫生事件时，应迅速组织人员对办公楼进行通风、清洗和消毒，采取有效措施加强对客户的宣传，维持正常秩序。</w:t>
      </w:r>
    </w:p>
    <w:p>
      <w:pPr>
        <w:spacing w:line="360" w:lineRule="auto"/>
        <w:ind w:left="424" w:leftChars="202"/>
        <w:rPr>
          <w:rFonts w:ascii="宋体" w:hAnsi="宋体"/>
          <w:spacing w:val="4"/>
          <w:sz w:val="24"/>
        </w:rPr>
      </w:pPr>
    </w:p>
    <w:p>
      <w:pPr>
        <w:spacing w:line="360" w:lineRule="auto"/>
        <w:rPr>
          <w:rFonts w:ascii="宋体" w:hAnsi="宋体"/>
          <w:sz w:val="24"/>
        </w:rPr>
      </w:pPr>
      <w:r>
        <w:rPr>
          <w:rFonts w:hint="eastAsia" w:ascii="宋体" w:hAnsi="宋体"/>
          <w:sz w:val="24"/>
        </w:rPr>
        <w:t>1.4物业管理区域的秩序维护和公共财产的安全管控</w:t>
      </w:r>
    </w:p>
    <w:p>
      <w:pPr>
        <w:spacing w:line="360" w:lineRule="auto"/>
        <w:ind w:left="420" w:leftChars="200"/>
        <w:rPr>
          <w:rFonts w:ascii="宋体" w:hAnsi="宋体"/>
          <w:spacing w:val="4"/>
          <w:sz w:val="24"/>
        </w:rPr>
      </w:pPr>
      <w:r>
        <w:rPr>
          <w:rFonts w:hint="eastAsia" w:ascii="宋体" w:hAnsi="宋体"/>
          <w:sz w:val="24"/>
        </w:rPr>
        <w:t>1.4.1</w:t>
      </w:r>
      <w:r>
        <w:rPr>
          <w:rFonts w:hint="eastAsia" w:ascii="宋体" w:hAnsi="宋体"/>
          <w:spacing w:val="4"/>
          <w:sz w:val="24"/>
        </w:rPr>
        <w:t>实行封闭式管理，做到办公楼主要出入口和外围广场24小时有专人职守，危及人身安全处有明显警示标志和有效防范措施，对办公楼客户出入进行管理，外来人员询问登记，杜绝安全隐患存在。</w:t>
      </w:r>
    </w:p>
    <w:p>
      <w:pPr>
        <w:spacing w:line="360" w:lineRule="auto"/>
        <w:ind w:left="315" w:leftChars="150" w:firstLine="120" w:firstLineChars="50"/>
        <w:rPr>
          <w:rFonts w:ascii="宋体" w:hAnsi="宋体"/>
          <w:spacing w:val="4"/>
          <w:sz w:val="24"/>
        </w:rPr>
      </w:pPr>
      <w:r>
        <w:rPr>
          <w:rFonts w:hint="eastAsia" w:ascii="宋体" w:hAnsi="宋体"/>
          <w:sz w:val="24"/>
        </w:rPr>
        <w:t>1.4.2</w:t>
      </w:r>
      <w:r>
        <w:rPr>
          <w:rFonts w:hint="eastAsia" w:ascii="宋体" w:hAnsi="宋体"/>
          <w:spacing w:val="4"/>
          <w:sz w:val="24"/>
        </w:rPr>
        <w:t>维护交通秩序：包括对机动车辆和非机动车辆的进出行驶方向、速度、临时停放位置进行疏导管理，保持车场内部车辆行驶通畅。</w:t>
      </w:r>
    </w:p>
    <w:p>
      <w:pPr>
        <w:spacing w:line="360" w:lineRule="auto"/>
        <w:ind w:left="315" w:leftChars="150" w:firstLine="120" w:firstLineChars="50"/>
        <w:rPr>
          <w:rFonts w:ascii="宋体" w:hAnsi="宋体"/>
          <w:sz w:val="24"/>
        </w:rPr>
      </w:pPr>
      <w:r>
        <w:rPr>
          <w:rFonts w:hint="eastAsia" w:ascii="宋体" w:hAnsi="宋体"/>
          <w:sz w:val="24"/>
        </w:rPr>
        <w:t>1.4.3</w:t>
      </w:r>
      <w:r>
        <w:rPr>
          <w:rFonts w:hint="eastAsia" w:ascii="宋体" w:hAnsi="宋体"/>
          <w:spacing w:val="4"/>
          <w:sz w:val="24"/>
        </w:rPr>
        <w:t>公共财产安全管控：包括楼内的门、窗、消防器材及办公楼的表井盖、雨箅子、花、草、树木等。</w:t>
      </w:r>
    </w:p>
    <w:p>
      <w:pPr>
        <w:spacing w:line="360" w:lineRule="auto"/>
        <w:ind w:left="315" w:leftChars="150" w:firstLine="120" w:firstLineChars="50"/>
        <w:rPr>
          <w:rFonts w:ascii="宋体" w:hAnsi="宋体"/>
          <w:spacing w:val="4"/>
          <w:sz w:val="24"/>
        </w:rPr>
      </w:pPr>
      <w:r>
        <w:rPr>
          <w:rFonts w:hint="eastAsia" w:ascii="宋体" w:hAnsi="宋体"/>
          <w:sz w:val="24"/>
        </w:rPr>
        <w:t>1.4.4</w:t>
      </w:r>
      <w:r>
        <w:rPr>
          <w:rFonts w:hint="eastAsia" w:ascii="宋体" w:hAnsi="宋体"/>
          <w:spacing w:val="4"/>
          <w:sz w:val="24"/>
        </w:rPr>
        <w:t>每日24小时对服务范围内进行安全防范检查和巡逻，重点部位、楼层定时巡视，做到有计划、有记录。</w:t>
      </w:r>
    </w:p>
    <w:p>
      <w:pPr>
        <w:spacing w:line="360" w:lineRule="auto"/>
        <w:ind w:left="315" w:leftChars="150" w:right="182" w:rightChars="87" w:firstLine="120" w:firstLineChars="50"/>
        <w:rPr>
          <w:rFonts w:ascii="宋体" w:hAnsi="宋体"/>
          <w:spacing w:val="4"/>
          <w:sz w:val="24"/>
        </w:rPr>
      </w:pPr>
      <w:r>
        <w:rPr>
          <w:rFonts w:hint="eastAsia" w:ascii="宋体" w:hAnsi="宋体"/>
          <w:sz w:val="24"/>
        </w:rPr>
        <w:t>1.4.5</w:t>
      </w:r>
      <w:r>
        <w:rPr>
          <w:rFonts w:hint="eastAsia" w:ascii="宋体" w:hAnsi="宋体"/>
          <w:spacing w:val="4"/>
          <w:sz w:val="24"/>
        </w:rPr>
        <w:t>有发生治安案件、刑事案件、交通事故等突发事件的处置预案；发生时应立即采取有效措施，并及时报警和配合公安部门进行处理。</w:t>
      </w:r>
    </w:p>
    <w:p>
      <w:pPr>
        <w:spacing w:line="360" w:lineRule="auto"/>
        <w:ind w:left="840" w:right="182" w:rightChars="87" w:hanging="420"/>
        <w:rPr>
          <w:rFonts w:ascii="宋体" w:hAnsi="宋体"/>
          <w:spacing w:val="4"/>
          <w:sz w:val="24"/>
        </w:rPr>
      </w:pPr>
    </w:p>
    <w:p>
      <w:pPr>
        <w:spacing w:line="360" w:lineRule="auto"/>
        <w:ind w:right="182" w:rightChars="87"/>
        <w:rPr>
          <w:rFonts w:ascii="宋体" w:hAnsi="宋体"/>
          <w:spacing w:val="4"/>
          <w:sz w:val="24"/>
        </w:rPr>
      </w:pPr>
      <w:r>
        <w:rPr>
          <w:rFonts w:hint="eastAsia" w:ascii="宋体" w:hAnsi="宋体"/>
          <w:spacing w:val="4"/>
          <w:sz w:val="24"/>
        </w:rPr>
        <w:t>1.5停车管理</w:t>
      </w:r>
    </w:p>
    <w:p>
      <w:pPr>
        <w:spacing w:line="360" w:lineRule="auto"/>
        <w:ind w:right="182" w:rightChars="87" w:firstLine="483" w:firstLineChars="195"/>
        <w:rPr>
          <w:rFonts w:ascii="宋体" w:hAnsi="宋体"/>
          <w:sz w:val="24"/>
        </w:rPr>
      </w:pPr>
      <w:r>
        <w:rPr>
          <w:rFonts w:hint="eastAsia" w:ascii="宋体" w:hAnsi="宋体"/>
          <w:spacing w:val="4"/>
          <w:sz w:val="24"/>
        </w:rPr>
        <w:t>1.5.1</w:t>
      </w:r>
      <w:r>
        <w:rPr>
          <w:rFonts w:hint="eastAsia" w:ascii="宋体" w:hAnsi="宋体"/>
          <w:sz w:val="24"/>
        </w:rPr>
        <w:t>有健全的机动车、非机动车停放管理制度和管理方案。</w:t>
      </w:r>
    </w:p>
    <w:p>
      <w:pPr>
        <w:spacing w:line="360" w:lineRule="auto"/>
        <w:ind w:right="182" w:rightChars="87" w:firstLine="468" w:firstLineChars="195"/>
        <w:rPr>
          <w:rFonts w:ascii="宋体" w:hAnsi="宋体"/>
          <w:sz w:val="24"/>
        </w:rPr>
      </w:pPr>
      <w:r>
        <w:rPr>
          <w:rFonts w:hint="eastAsia" w:ascii="宋体" w:hAnsi="宋体"/>
          <w:sz w:val="24"/>
        </w:rPr>
        <w:t>1.5.2对进入办公楼的机动车辆进行登记管理。</w:t>
      </w:r>
    </w:p>
    <w:p>
      <w:pPr>
        <w:spacing w:line="360" w:lineRule="auto"/>
        <w:ind w:right="182" w:rightChars="87" w:firstLine="468" w:firstLineChars="195"/>
        <w:rPr>
          <w:rFonts w:ascii="宋体" w:hAnsi="宋体"/>
          <w:sz w:val="24"/>
        </w:rPr>
      </w:pPr>
      <w:r>
        <w:rPr>
          <w:rFonts w:hint="eastAsia" w:ascii="宋体" w:hAnsi="宋体"/>
          <w:sz w:val="24"/>
        </w:rPr>
        <w:t>1.5.3非机动车辆有集中停放场地，停放整齐，场地整洁。</w:t>
      </w:r>
    </w:p>
    <w:p>
      <w:pPr>
        <w:spacing w:line="360" w:lineRule="auto"/>
        <w:ind w:right="182" w:rightChars="87" w:firstLine="468" w:firstLineChars="195"/>
        <w:rPr>
          <w:rFonts w:ascii="宋体" w:hAnsi="宋体"/>
          <w:sz w:val="24"/>
        </w:rPr>
      </w:pPr>
      <w:r>
        <w:rPr>
          <w:rFonts w:hint="eastAsia" w:ascii="宋体" w:hAnsi="宋体"/>
          <w:sz w:val="24"/>
        </w:rPr>
        <w:t>1.5.4保证停车库24小时设专业人员值守；有发生紧急情况的处置预案。</w:t>
      </w:r>
    </w:p>
    <w:p>
      <w:pPr>
        <w:spacing w:line="360" w:lineRule="auto"/>
        <w:ind w:left="840" w:right="182" w:rightChars="87" w:hanging="420"/>
        <w:rPr>
          <w:rFonts w:ascii="宋体" w:hAnsi="宋体"/>
          <w:sz w:val="24"/>
        </w:rPr>
      </w:pPr>
    </w:p>
    <w:p>
      <w:pPr>
        <w:spacing w:line="360" w:lineRule="auto"/>
        <w:ind w:right="182" w:rightChars="87"/>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电梯：</w:t>
      </w:r>
    </w:p>
    <w:p>
      <w:pPr>
        <w:spacing w:line="360" w:lineRule="auto"/>
        <w:ind w:left="420" w:leftChars="200" w:right="-98" w:rightChars="-47"/>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.1提供电梯保洁、巡查、配合应急处置等服务，轿厢、轿门、厅门、操作面板保持清洁。</w:t>
      </w:r>
    </w:p>
    <w:p>
      <w:pPr>
        <w:spacing w:line="360" w:lineRule="auto"/>
        <w:ind w:left="420" w:leftChars="200" w:right="-98" w:rightChars="-47"/>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.2电梯发生紧急情况时，启动应急处置预案，协助电梯维保人员进行应急处置。</w:t>
      </w:r>
    </w:p>
    <w:p>
      <w:pPr>
        <w:spacing w:line="360" w:lineRule="auto"/>
        <w:ind w:right="-98" w:rightChars="-47" w:firstLine="424" w:firstLineChars="177"/>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.3一旦发生电梯停电关人、夹人等危险情况时，应迅速采取有效措施，组织求助。</w:t>
      </w:r>
    </w:p>
    <w:p>
      <w:pPr>
        <w:spacing w:line="360" w:lineRule="auto"/>
        <w:ind w:left="465" w:leftChars="50" w:right="-98" w:rightChars="-47" w:hanging="360" w:hangingChars="150"/>
        <w:rPr>
          <w:rFonts w:ascii="宋体" w:hAnsi="宋体"/>
          <w:sz w:val="24"/>
        </w:rPr>
      </w:pPr>
    </w:p>
    <w:p>
      <w:pPr>
        <w:spacing w:line="360" w:lineRule="auto"/>
        <w:ind w:right="182" w:rightChars="87"/>
        <w:rPr>
          <w:rFonts w:ascii="宋体" w:hAnsi="宋体"/>
          <w:sz w:val="24"/>
        </w:rPr>
      </w:pPr>
      <w:r>
        <w:rPr>
          <w:rFonts w:hint="eastAsia" w:ascii="宋体" w:hAnsi="宋体"/>
          <w:sz w:val="24"/>
        </w:rPr>
        <w:t>1.7消防管理</w:t>
      </w:r>
    </w:p>
    <w:p>
      <w:pPr>
        <w:spacing w:line="360" w:lineRule="auto"/>
        <w:ind w:left="420" w:leftChars="200" w:right="-98" w:rightChars="-47"/>
        <w:rPr>
          <w:rFonts w:ascii="宋体" w:hAnsi="宋体"/>
          <w:sz w:val="24"/>
        </w:rPr>
      </w:pPr>
      <w:r>
        <w:rPr>
          <w:rFonts w:hint="eastAsia" w:ascii="宋体" w:hAnsi="宋体"/>
          <w:sz w:val="24"/>
        </w:rPr>
        <w:t>1.7.1有健全的消防管理制度，建立消防责任制及火灾消防预案，设立消防疏散示意图，照明设施、引路标志完好，确保消防通道畅通。</w:t>
      </w:r>
    </w:p>
    <w:p>
      <w:pPr>
        <w:spacing w:line="360" w:lineRule="auto"/>
        <w:ind w:left="420" w:leftChars="200" w:right="-98" w:rightChars="-47"/>
        <w:rPr>
          <w:rFonts w:ascii="宋体" w:hAnsi="宋体"/>
          <w:sz w:val="24"/>
        </w:rPr>
      </w:pPr>
      <w:r>
        <w:rPr>
          <w:rFonts w:hint="eastAsia" w:ascii="宋体" w:hAnsi="宋体"/>
          <w:sz w:val="24"/>
        </w:rPr>
        <w:t>1.7.2消防控制中心24小时值班，消防设施齐全，有明显标志，可随时启用；定期对消防设施进行巡视、检查和维护。</w:t>
      </w:r>
    </w:p>
    <w:p>
      <w:pPr>
        <w:spacing w:line="360" w:lineRule="auto"/>
        <w:ind w:left="420" w:leftChars="200" w:right="-98" w:rightChars="-47"/>
        <w:rPr>
          <w:rFonts w:ascii="宋体" w:hAnsi="宋体"/>
          <w:sz w:val="24"/>
        </w:rPr>
      </w:pPr>
      <w:r>
        <w:rPr>
          <w:rFonts w:ascii="宋体" w:hAnsi="宋体"/>
          <w:sz w:val="24"/>
        </w:rPr>
        <w:t>1</w:t>
      </w:r>
      <w:r>
        <w:rPr>
          <w:rFonts w:hint="eastAsia" w:ascii="宋体" w:hAnsi="宋体"/>
          <w:sz w:val="24"/>
        </w:rPr>
        <w:t>.7.3组织成立义务消防队，明确防火责任人，定期进行消防训练，保证有关人员掌握消防基本技能。</w:t>
      </w:r>
    </w:p>
    <w:p>
      <w:pPr>
        <w:spacing w:line="360" w:lineRule="auto"/>
        <w:ind w:right="182" w:rightChars="87" w:firstLine="484" w:firstLineChars="202"/>
        <w:rPr>
          <w:rFonts w:ascii="宋体" w:hAnsi="宋体"/>
          <w:sz w:val="24"/>
        </w:rPr>
      </w:pPr>
      <w:r>
        <w:rPr>
          <w:rFonts w:hint="eastAsia" w:ascii="宋体" w:hAnsi="宋体"/>
          <w:sz w:val="24"/>
        </w:rPr>
        <w:t>1.7.4定期进行安全检查，对火灾安全隐患进行监督整改。</w:t>
      </w:r>
    </w:p>
    <w:p>
      <w:pPr>
        <w:spacing w:line="360" w:lineRule="auto"/>
        <w:ind w:right="182" w:rightChars="87" w:firstLine="484" w:firstLineChars="202"/>
        <w:rPr>
          <w:rFonts w:ascii="宋体" w:hAnsi="宋体"/>
          <w:sz w:val="24"/>
        </w:rPr>
      </w:pPr>
      <w:r>
        <w:rPr>
          <w:rFonts w:hint="eastAsia" w:ascii="宋体" w:hAnsi="宋体"/>
          <w:sz w:val="24"/>
        </w:rPr>
        <w:t>1.7.5发生火灾，及时报警，尽力协助办公楼人员疏散、救助人员等。</w:t>
      </w:r>
    </w:p>
    <w:p>
      <w:pPr>
        <w:spacing w:line="360" w:lineRule="auto"/>
        <w:ind w:left="840" w:right="182" w:rightChars="87" w:hanging="420"/>
        <w:rPr>
          <w:rFonts w:ascii="宋体" w:hAnsi="宋体"/>
          <w:sz w:val="24"/>
        </w:rPr>
      </w:pPr>
    </w:p>
    <w:p>
      <w:pPr>
        <w:spacing w:line="360" w:lineRule="auto"/>
        <w:ind w:right="182" w:rightChars="87"/>
        <w:rPr>
          <w:rFonts w:ascii="宋体" w:hAnsi="宋体"/>
          <w:sz w:val="24"/>
        </w:rPr>
      </w:pPr>
      <w:r>
        <w:rPr>
          <w:rFonts w:hint="eastAsia" w:ascii="宋体" w:hAnsi="宋体"/>
          <w:sz w:val="24"/>
        </w:rPr>
        <w:t>1.8供水系统</w:t>
      </w:r>
    </w:p>
    <w:p>
      <w:pPr>
        <w:spacing w:line="360" w:lineRule="auto"/>
        <w:ind w:left="420" w:leftChars="200" w:right="-98" w:rightChars="-47"/>
        <w:rPr>
          <w:rFonts w:ascii="宋体" w:hAnsi="宋体"/>
          <w:sz w:val="24"/>
        </w:rPr>
      </w:pPr>
      <w:r>
        <w:rPr>
          <w:rFonts w:hint="eastAsia" w:ascii="宋体" w:hAnsi="宋体"/>
          <w:sz w:val="24"/>
        </w:rPr>
        <w:t>1.8.1建立办公楼用水管理制度，制定办公楼节水计划；保证办公楼各区域正常生活用水，有停水处置预案。</w:t>
      </w:r>
    </w:p>
    <w:p>
      <w:pPr>
        <w:spacing w:line="360" w:lineRule="auto"/>
        <w:ind w:right="182" w:rightChars="87" w:firstLine="484" w:firstLineChars="202"/>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按政府相关规定保证维修服务标准。</w:t>
      </w:r>
    </w:p>
    <w:p>
      <w:pPr>
        <w:spacing w:line="360" w:lineRule="auto"/>
        <w:ind w:right="39" w:rightChars="19" w:firstLine="484" w:firstLineChars="202"/>
        <w:rPr>
          <w:rFonts w:ascii="宋体" w:hAnsi="宋体"/>
          <w:sz w:val="24"/>
        </w:rPr>
      </w:pPr>
      <w:r>
        <w:rPr>
          <w:rFonts w:hint="eastAsia" w:ascii="宋体" w:hAnsi="宋体"/>
          <w:sz w:val="24"/>
        </w:rPr>
        <w:t>1.8.</w:t>
      </w:r>
      <w:r>
        <w:rPr>
          <w:rFonts w:ascii="宋体" w:hAnsi="宋体"/>
          <w:sz w:val="24"/>
        </w:rPr>
        <w:t>3</w:t>
      </w:r>
      <w:r>
        <w:rPr>
          <w:rFonts w:hint="eastAsia" w:ascii="宋体" w:hAnsi="宋体"/>
          <w:sz w:val="24"/>
        </w:rPr>
        <w:t>排水系统通畅，汛期道路无积水，设备房无积水、浸泡发生。</w:t>
      </w:r>
    </w:p>
    <w:p>
      <w:pPr>
        <w:spacing w:line="360" w:lineRule="auto"/>
        <w:ind w:left="420" w:leftChars="200" w:right="39" w:rightChars="19"/>
        <w:rPr>
          <w:rFonts w:ascii="宋体" w:hAnsi="宋体"/>
          <w:sz w:val="24"/>
        </w:rPr>
      </w:pPr>
      <w:r>
        <w:rPr>
          <w:rFonts w:hint="eastAsia" w:ascii="宋体" w:hAnsi="宋体"/>
          <w:sz w:val="24"/>
        </w:rPr>
        <w:t>1.8.</w:t>
      </w:r>
      <w:r>
        <w:rPr>
          <w:rFonts w:ascii="宋体" w:hAnsi="宋体"/>
          <w:sz w:val="24"/>
        </w:rPr>
        <w:t>4</w:t>
      </w:r>
      <w:r>
        <w:rPr>
          <w:rFonts w:hint="eastAsia" w:ascii="宋体" w:hAnsi="宋体"/>
          <w:sz w:val="24"/>
        </w:rPr>
        <w:t>制订突发事故处置预案，一旦发生，维修人员在规定时间内进行抢修，无大面积跑水、泛水，长时间停水现象。</w:t>
      </w:r>
    </w:p>
    <w:p>
      <w:pPr>
        <w:spacing w:line="360" w:lineRule="auto"/>
        <w:ind w:right="182" w:rightChars="87"/>
        <w:rPr>
          <w:rFonts w:ascii="宋体" w:hAnsi="宋体"/>
          <w:sz w:val="24"/>
        </w:rPr>
      </w:pPr>
    </w:p>
    <w:p>
      <w:pPr>
        <w:spacing w:line="360" w:lineRule="auto"/>
        <w:ind w:right="182" w:rightChars="87"/>
        <w:rPr>
          <w:rFonts w:ascii="宋体" w:hAnsi="宋体"/>
          <w:b/>
          <w:sz w:val="24"/>
        </w:rPr>
      </w:pPr>
      <w:r>
        <w:rPr>
          <w:rFonts w:hint="eastAsia" w:ascii="宋体" w:hAnsi="宋体"/>
          <w:b/>
          <w:sz w:val="24"/>
        </w:rPr>
        <w:t>2、物业管理的服务范围及标准</w:t>
      </w:r>
    </w:p>
    <w:p>
      <w:pPr>
        <w:spacing w:line="360" w:lineRule="auto"/>
        <w:ind w:right="182" w:rightChars="87"/>
        <w:rPr>
          <w:rFonts w:ascii="宋体" w:hAnsi="宋体"/>
          <w:sz w:val="24"/>
        </w:rPr>
      </w:pPr>
      <w:r>
        <w:rPr>
          <w:rFonts w:hint="eastAsia" w:ascii="宋体" w:hAnsi="宋体"/>
          <w:sz w:val="24"/>
        </w:rPr>
        <w:t>2.1用户服务管理</w:t>
      </w:r>
    </w:p>
    <w:p>
      <w:pPr>
        <w:spacing w:line="360" w:lineRule="auto"/>
        <w:ind w:right="-98" w:rightChars="-47" w:firstLine="420" w:firstLineChars="175"/>
        <w:rPr>
          <w:rFonts w:ascii="宋体" w:hAnsi="宋体"/>
          <w:sz w:val="24"/>
        </w:rPr>
      </w:pPr>
      <w:r>
        <w:rPr>
          <w:rFonts w:hint="eastAsia" w:ascii="宋体" w:hAnsi="宋体"/>
          <w:sz w:val="24"/>
        </w:rPr>
        <w:t>2.1.1服务内容：建立完整、清晰、有效的物业服务档案体系并定期更新；建立投诉处理及回访制度并严格执行；每年进行两次公开的物业服务满意度调查并有统计分析；建立并落实</w:t>
      </w:r>
      <w:r>
        <w:rPr>
          <w:rFonts w:hint="eastAsia"/>
        </w:rPr>
        <w:t>用</w:t>
      </w:r>
      <w:r>
        <w:rPr>
          <w:rFonts w:hint="eastAsia" w:ascii="宋体" w:hAnsi="宋体"/>
          <w:sz w:val="24"/>
        </w:rPr>
        <w:t>户报修服务承诺制度。</w:t>
      </w:r>
    </w:p>
    <w:p>
      <w:pPr>
        <w:spacing w:line="360" w:lineRule="auto"/>
        <w:ind w:right="-98" w:rightChars="-47" w:firstLine="420" w:firstLineChars="175"/>
        <w:rPr>
          <w:rFonts w:ascii="宋体" w:hAnsi="宋体"/>
          <w:sz w:val="24"/>
        </w:rPr>
      </w:pPr>
      <w:r>
        <w:rPr>
          <w:rFonts w:hint="eastAsia" w:ascii="宋体" w:hAnsi="宋体"/>
          <w:sz w:val="24"/>
        </w:rPr>
        <w:t>2.1.2服务标准：物业服务档案分类归档并设置保存期限，档案专人管理，有档案借阅制度。有效投诉处理率100%，投诉受理部门及责任部门24小时内回访，回访率100%，投诉处理满意不低于98%；物业服务满意度调查问卷发放率不低于85%，满意率不低于95%，垂询结果、整改措施及落实情况应向招标人及使用人公示不少于7天；落实维修服务承诺，用户报修20分钟内到场，维修及时率100%，返修率不高于2%并有回访记录。</w:t>
      </w:r>
    </w:p>
    <w:p>
      <w:pPr>
        <w:spacing w:line="360" w:lineRule="auto"/>
        <w:ind w:right="182" w:rightChars="87"/>
        <w:rPr>
          <w:rFonts w:ascii="宋体" w:hAnsi="宋体"/>
          <w:sz w:val="24"/>
        </w:rPr>
      </w:pPr>
      <w:r>
        <w:rPr>
          <w:rFonts w:hint="eastAsia" w:ascii="宋体" w:hAnsi="宋体"/>
          <w:sz w:val="24"/>
        </w:rPr>
        <w:t>2.2项目日常养护维修服务</w:t>
      </w:r>
    </w:p>
    <w:p>
      <w:pPr>
        <w:spacing w:line="360" w:lineRule="auto"/>
        <w:ind w:right="-98" w:rightChars="-47" w:firstLine="420" w:firstLineChars="175"/>
        <w:rPr>
          <w:rFonts w:ascii="宋体" w:hAnsi="宋体"/>
          <w:sz w:val="24"/>
        </w:rPr>
      </w:pPr>
      <w:r>
        <w:rPr>
          <w:rFonts w:hint="eastAsia" w:ascii="宋体" w:hAnsi="宋体"/>
          <w:sz w:val="24"/>
        </w:rPr>
        <w:t xml:space="preserve">2.2.1服务内容：属于物业本体共用部位及共用设施设备的维护范围包括但不限于楼地面、 </w:t>
      </w:r>
      <w:r>
        <w:rPr>
          <w:rFonts w:hint="eastAsia"/>
        </w:rPr>
        <w:t>屋顶、</w:t>
      </w:r>
      <w:r>
        <w:rPr>
          <w:rFonts w:hint="eastAsia" w:ascii="宋体" w:hAnsi="宋体"/>
          <w:sz w:val="24"/>
        </w:rPr>
        <w:t>天花、吊顶、墙台面、门窗、楼梯、扶手、各类敷设的管线、雨水井、雨落管、各类公共标识、各类小五金件（如卫生间水龙头、门把手、阀门等）、照明设备等设备设施的管理与维保。</w:t>
      </w:r>
    </w:p>
    <w:p>
      <w:pPr>
        <w:spacing w:line="360" w:lineRule="auto"/>
        <w:ind w:right="39" w:rightChars="19" w:firstLine="420" w:firstLineChars="175"/>
        <w:rPr>
          <w:rFonts w:ascii="宋体" w:hAnsi="宋体"/>
          <w:sz w:val="24"/>
        </w:rPr>
      </w:pPr>
      <w:r>
        <w:rPr>
          <w:rFonts w:hint="eastAsia" w:ascii="宋体" w:hAnsi="宋体"/>
          <w:sz w:val="24"/>
        </w:rPr>
        <w:t>2.2.2服务标准：及时对出现空鼓、开裂、破损的位置进行修补；门窗应保证其完整性和开启的灵活性；定期清掏雨水井；及时补漆、补漏，保证招标人的正常使用；保养及检修记录完整、连续；小修工作不超过24小时，无返工，维修合格率达到100%。</w:t>
      </w:r>
    </w:p>
    <w:p>
      <w:pPr>
        <w:spacing w:line="360" w:lineRule="auto"/>
        <w:ind w:right="39" w:rightChars="19"/>
        <w:rPr>
          <w:rFonts w:ascii="宋体" w:hAnsi="宋体"/>
          <w:sz w:val="24"/>
        </w:rPr>
      </w:pPr>
    </w:p>
    <w:p>
      <w:pPr>
        <w:spacing w:line="360" w:lineRule="auto"/>
        <w:ind w:right="-98" w:rightChars="-47"/>
        <w:rPr>
          <w:rFonts w:ascii="宋体" w:hAnsi="宋体"/>
          <w:sz w:val="24"/>
        </w:rPr>
      </w:pPr>
      <w:r>
        <w:rPr>
          <w:rFonts w:hint="eastAsia" w:ascii="宋体" w:hAnsi="宋体"/>
          <w:sz w:val="24"/>
        </w:rPr>
        <w:t>2.3给排水系统的维护服务</w:t>
      </w:r>
    </w:p>
    <w:p>
      <w:pPr>
        <w:spacing w:line="360" w:lineRule="auto"/>
        <w:ind w:right="39" w:rightChars="19" w:firstLine="420" w:firstLineChars="175"/>
        <w:rPr>
          <w:rFonts w:ascii="宋体" w:hAnsi="宋体"/>
          <w:sz w:val="24"/>
        </w:rPr>
      </w:pPr>
      <w:r>
        <w:rPr>
          <w:rFonts w:hint="eastAsia" w:ascii="宋体" w:hAnsi="宋体"/>
          <w:sz w:val="24"/>
        </w:rPr>
        <w:t>2.3.1服务内容：属于物业本体的各类给排水设施、设备，包括各种给排水管道、滤油池、排污系统等设施设备的管理与维保。</w:t>
      </w:r>
    </w:p>
    <w:p>
      <w:pPr>
        <w:spacing w:line="360" w:lineRule="auto"/>
        <w:ind w:right="39" w:rightChars="19" w:firstLine="420" w:firstLineChars="175"/>
        <w:rPr>
          <w:rFonts w:ascii="宋体" w:hAnsi="宋体"/>
          <w:sz w:val="24"/>
        </w:rPr>
      </w:pPr>
      <w:r>
        <w:rPr>
          <w:rFonts w:hint="eastAsia" w:ascii="宋体" w:hAnsi="宋体"/>
          <w:sz w:val="24"/>
        </w:rPr>
        <w:t>2.3.2服务标准：维护保养及时，给排畅通，无堵塞现象；滤油池定期除垢，管线无断裂、跑冒滴漏现象；加强用水安全管理，保障用水的安全；抢修及突发事件处理及时、到位，要求在12小时内处理完毕，能最大限度地减少对用户及招标人的影响；各类设备运行状态、保养及检修记录完整、连续；无返工，维修合格率达到100%。</w:t>
      </w:r>
    </w:p>
    <w:p>
      <w:pPr>
        <w:spacing w:line="360" w:lineRule="auto"/>
        <w:ind w:right="39" w:rightChars="19"/>
        <w:rPr>
          <w:rFonts w:ascii="宋体" w:hAnsi="宋体"/>
          <w:sz w:val="24"/>
        </w:rPr>
      </w:pPr>
    </w:p>
    <w:p>
      <w:pPr>
        <w:spacing w:line="360" w:lineRule="auto"/>
        <w:ind w:right="-98" w:rightChars="-47"/>
        <w:rPr>
          <w:rFonts w:ascii="宋体" w:hAnsi="宋体"/>
          <w:sz w:val="24"/>
        </w:rPr>
      </w:pPr>
      <w:r>
        <w:rPr>
          <w:rFonts w:hint="eastAsia" w:ascii="宋体" w:hAnsi="宋体"/>
          <w:sz w:val="24"/>
        </w:rPr>
        <w:t>2.4弱电系统的管理和维护</w:t>
      </w:r>
    </w:p>
    <w:p>
      <w:pPr>
        <w:spacing w:line="360" w:lineRule="auto"/>
        <w:ind w:right="39" w:rightChars="19" w:firstLine="420" w:firstLineChars="175"/>
        <w:rPr>
          <w:rFonts w:ascii="宋体" w:hAnsi="宋体"/>
          <w:sz w:val="24"/>
        </w:rPr>
      </w:pPr>
      <w:r>
        <w:rPr>
          <w:rFonts w:hint="eastAsia" w:ascii="宋体" w:hAnsi="宋体"/>
          <w:sz w:val="24"/>
        </w:rPr>
        <w:t>2.4.1服务内容：包括但不限于项目内楼宇自控、消防中控、闭路监控、门禁、停车场收费、广播、语音、网络、避雷、监控等系统的管理与维保。</w:t>
      </w:r>
    </w:p>
    <w:p>
      <w:pPr>
        <w:spacing w:line="360" w:lineRule="auto"/>
        <w:ind w:right="39" w:rightChars="19" w:firstLine="420" w:firstLineChars="175"/>
        <w:rPr>
          <w:rFonts w:ascii="宋体" w:hAnsi="宋体"/>
          <w:sz w:val="24"/>
        </w:rPr>
      </w:pPr>
      <w:r>
        <w:rPr>
          <w:rFonts w:hint="eastAsia" w:ascii="宋体" w:hAnsi="宋体"/>
          <w:sz w:val="24"/>
        </w:rPr>
        <w:t>2.4.2服务标准：各类信号传输通畅，各类设备设施维护保养到位；无因维护不当而引发的故障；有完善的突发事故处理程序，能在最短时间内恢复信号的传输，属于内部故障的，维修时间不超过6小时；各类设备的型号、运行状态、保养及检修记录完整、连续；维修工作无返工，维修合格率达到100%。</w:t>
      </w:r>
    </w:p>
    <w:p>
      <w:pPr>
        <w:spacing w:line="360" w:lineRule="auto"/>
        <w:ind w:left="840" w:right="39" w:rightChars="19" w:hanging="420"/>
        <w:rPr>
          <w:rFonts w:ascii="宋体" w:hAnsi="宋体"/>
          <w:sz w:val="24"/>
        </w:rPr>
      </w:pPr>
    </w:p>
    <w:p>
      <w:pPr>
        <w:spacing w:line="360" w:lineRule="auto"/>
        <w:ind w:right="-98" w:rightChars="-47"/>
        <w:rPr>
          <w:rFonts w:ascii="宋体" w:hAnsi="宋体"/>
          <w:sz w:val="24"/>
        </w:rPr>
      </w:pPr>
      <w:r>
        <w:rPr>
          <w:rFonts w:hint="eastAsia" w:ascii="宋体" w:hAnsi="宋体"/>
          <w:sz w:val="24"/>
        </w:rPr>
        <w:t>2.5强电系统的管理维护服务</w:t>
      </w:r>
    </w:p>
    <w:p>
      <w:pPr>
        <w:spacing w:line="360" w:lineRule="auto"/>
        <w:ind w:right="-98" w:rightChars="-47" w:firstLine="424" w:firstLineChars="177"/>
        <w:rPr>
          <w:rFonts w:ascii="宋体" w:hAnsi="宋体"/>
          <w:sz w:val="24"/>
        </w:rPr>
      </w:pPr>
      <w:r>
        <w:rPr>
          <w:rFonts w:hint="eastAsia" w:ascii="宋体" w:hAnsi="宋体"/>
          <w:sz w:val="24"/>
        </w:rPr>
        <w:t>2.5.1服务内容：配电、照明、动力电供应等系统的管理与维保。</w:t>
      </w:r>
    </w:p>
    <w:p>
      <w:pPr>
        <w:spacing w:line="360" w:lineRule="auto"/>
        <w:ind w:right="39" w:rightChars="19" w:firstLine="420" w:firstLineChars="175"/>
        <w:rPr>
          <w:rFonts w:ascii="宋体" w:hAnsi="宋体"/>
          <w:sz w:val="24"/>
        </w:rPr>
      </w:pPr>
      <w:r>
        <w:rPr>
          <w:rFonts w:hint="eastAsia" w:ascii="宋体" w:hAnsi="宋体"/>
          <w:sz w:val="24"/>
        </w:rPr>
        <w:t>2.5.2服务标准：保证供电正常，定期检查，无因维修、保养不当而引起停、断电事故，无因接地、绝缘处置不当而引发的人身伤害事故；定期对配电箱、柜进行检修和维保，对设备的运行状态、保养及检修工作有具有持续性的、可追溯的各种记录；操作人员持证上岗，无因操作不当引发的工伤事故；有完善的突发事故处理程序，能在最短时间内保证电力供应，属于内部故障的，维修时间不超过24小时；维修工作无返工，维修合格率达到100%。</w:t>
      </w:r>
    </w:p>
    <w:p>
      <w:pPr>
        <w:spacing w:line="360" w:lineRule="auto"/>
        <w:ind w:left="836" w:right="39" w:rightChars="19" w:hanging="416"/>
        <w:rPr>
          <w:rFonts w:ascii="宋体" w:hAnsi="宋体"/>
          <w:sz w:val="24"/>
        </w:rPr>
      </w:pPr>
    </w:p>
    <w:p>
      <w:pPr>
        <w:spacing w:line="360" w:lineRule="auto"/>
        <w:ind w:right="-98" w:rightChars="-47"/>
        <w:rPr>
          <w:rFonts w:ascii="宋体" w:hAnsi="宋体"/>
          <w:sz w:val="24"/>
        </w:rPr>
      </w:pPr>
      <w:r>
        <w:rPr>
          <w:rFonts w:hint="eastAsia" w:ascii="宋体" w:hAnsi="宋体"/>
          <w:sz w:val="24"/>
        </w:rPr>
        <w:t>2.6各类机电设备运行服务</w:t>
      </w:r>
    </w:p>
    <w:p>
      <w:pPr>
        <w:spacing w:line="360" w:lineRule="auto"/>
        <w:ind w:right="-98" w:rightChars="-47" w:firstLine="424" w:firstLineChars="177"/>
        <w:rPr>
          <w:rFonts w:ascii="宋体" w:hAnsi="宋体"/>
          <w:sz w:val="24"/>
        </w:rPr>
      </w:pPr>
      <w:r>
        <w:rPr>
          <w:rFonts w:hint="eastAsia" w:ascii="宋体" w:hAnsi="宋体"/>
          <w:sz w:val="24"/>
        </w:rPr>
        <w:t>2.6.1服务内容：包括项目内的空调、采暖、通风、机械车位等系统的运行和维保。</w:t>
      </w:r>
    </w:p>
    <w:p>
      <w:pPr>
        <w:pStyle w:val="28"/>
        <w:spacing w:line="360" w:lineRule="auto"/>
        <w:ind w:right="-98" w:rightChars="-47" w:firstLineChars="175"/>
        <w:rPr>
          <w:rFonts w:ascii="宋体" w:hAnsi="宋体"/>
          <w:sz w:val="24"/>
        </w:rPr>
      </w:pPr>
      <w:r>
        <w:rPr>
          <w:rFonts w:hint="eastAsia" w:ascii="宋体" w:hAnsi="宋体"/>
          <w:sz w:val="24"/>
        </w:rPr>
        <w:t>2.6.1服务标准：各类设备运行正常，维护保养及时、到位，无带病运行情况；及时更换填料；定期对构成系统的组件进行专业清洁（包括AHU、VAVBOX、风机盘管、出风口、管线等）；操作人员执证上岗，无因操作不当而引发的设备故障和人身伤害事故；及时办理设备年检；有完善的突发事件处理程序，属于内容故障的，设备维修时间不超过12小时；各类设备运行设备型号、状态、保养及检修记录完整、连续；维修返工率不超过1%。</w:t>
      </w:r>
    </w:p>
    <w:p>
      <w:pPr>
        <w:pStyle w:val="28"/>
        <w:spacing w:line="360" w:lineRule="auto"/>
        <w:ind w:right="-98" w:rightChars="-47" w:firstLineChars="0"/>
        <w:rPr>
          <w:rFonts w:ascii="宋体" w:hAnsi="宋体"/>
          <w:sz w:val="24"/>
        </w:rPr>
      </w:pPr>
    </w:p>
    <w:p>
      <w:pPr>
        <w:spacing w:line="360" w:lineRule="auto"/>
        <w:ind w:right="-98" w:rightChars="-47"/>
        <w:rPr>
          <w:rFonts w:ascii="宋体" w:hAnsi="宋体"/>
          <w:sz w:val="24"/>
        </w:rPr>
      </w:pPr>
      <w:r>
        <w:rPr>
          <w:rFonts w:hint="eastAsia" w:ascii="宋体" w:hAnsi="宋体"/>
          <w:sz w:val="24"/>
        </w:rPr>
        <w:t>2.7消防系统的管理与维保服务</w:t>
      </w:r>
    </w:p>
    <w:p>
      <w:pPr>
        <w:spacing w:line="360" w:lineRule="auto"/>
        <w:ind w:right="-98" w:rightChars="-47" w:firstLine="424" w:firstLineChars="177"/>
        <w:rPr>
          <w:rFonts w:ascii="宋体" w:hAnsi="宋体"/>
          <w:sz w:val="24"/>
        </w:rPr>
      </w:pPr>
      <w:r>
        <w:rPr>
          <w:rFonts w:hint="eastAsia" w:ascii="宋体" w:hAnsi="宋体"/>
          <w:sz w:val="24"/>
        </w:rPr>
        <w:t>2.7.1服务内容：项目内消防系统的管理与值守。</w:t>
      </w:r>
    </w:p>
    <w:p>
      <w:pPr>
        <w:spacing w:line="360" w:lineRule="auto"/>
        <w:ind w:right="-98" w:rightChars="-47" w:firstLine="424" w:firstLineChars="177"/>
        <w:rPr>
          <w:rFonts w:ascii="宋体" w:hAnsi="宋体"/>
          <w:sz w:val="24"/>
        </w:rPr>
      </w:pPr>
      <w:r>
        <w:rPr>
          <w:rFonts w:hint="eastAsia" w:ascii="宋体" w:hAnsi="宋体"/>
          <w:sz w:val="24"/>
        </w:rPr>
        <w:t>2.7.2服务标准：建立消防设备设施及消防器材台帐，定期对消防设备进行巡查、测试和管理；消防系统运行正常，烟感、喷淋等装置可正常启用；灭火器、消防栓和报警器功能状态正常，无缺失、损坏；防火卷帘门、烟感、喷淋、报警系统联动正常；每年至少进行两次管理区域内的消防演习；有完善的突发事件处理程序。发生消防设备故障的，及时联系专业维保厂家并积极配合维修。</w:t>
      </w:r>
    </w:p>
    <w:p>
      <w:pPr>
        <w:spacing w:line="360" w:lineRule="auto"/>
        <w:ind w:right="-98" w:rightChars="-47"/>
        <w:rPr>
          <w:rFonts w:ascii="宋体" w:hAnsi="宋体"/>
          <w:sz w:val="24"/>
        </w:rPr>
      </w:pPr>
    </w:p>
    <w:p>
      <w:pPr>
        <w:spacing w:line="360" w:lineRule="auto"/>
        <w:ind w:right="-98" w:rightChars="-47"/>
        <w:rPr>
          <w:rFonts w:ascii="宋体" w:hAnsi="宋体"/>
          <w:sz w:val="24"/>
        </w:rPr>
      </w:pPr>
      <w:r>
        <w:rPr>
          <w:rFonts w:hint="eastAsia" w:ascii="宋体" w:hAnsi="宋体"/>
          <w:sz w:val="24"/>
        </w:rPr>
        <w:t>2.8保洁服务</w:t>
      </w:r>
    </w:p>
    <w:p>
      <w:pPr>
        <w:spacing w:line="360" w:lineRule="auto"/>
        <w:ind w:right="-98" w:rightChars="-47" w:firstLine="420" w:firstLineChars="175"/>
        <w:rPr>
          <w:rFonts w:ascii="宋体" w:hAnsi="宋体"/>
          <w:sz w:val="24"/>
        </w:rPr>
      </w:pPr>
      <w:r>
        <w:rPr>
          <w:rFonts w:hint="eastAsia" w:ascii="宋体" w:hAnsi="宋体"/>
          <w:sz w:val="24"/>
        </w:rPr>
        <w:t>2.8.1服务内容：项目楼内各公共部位的墙面、地面、天花、沟渠、楼梯、扶手、栏杆、铁艺、五金构件、门窗、踢脚、垃圾筒、标识牌、灯具的清洁；外围保洁区域等部位的清洁、消杀服务。打蜡抛光等特种作业产生的费用计入物业费中。</w:t>
      </w:r>
    </w:p>
    <w:p>
      <w:pPr>
        <w:spacing w:line="360" w:lineRule="auto"/>
        <w:ind w:right="-98" w:rightChars="-47" w:firstLine="420" w:firstLineChars="175"/>
        <w:rPr>
          <w:rFonts w:ascii="宋体" w:hAnsi="宋体"/>
          <w:sz w:val="24"/>
        </w:rPr>
      </w:pPr>
      <w:r>
        <w:rPr>
          <w:rFonts w:hint="eastAsia" w:ascii="宋体" w:hAnsi="宋体"/>
          <w:sz w:val="24"/>
        </w:rPr>
        <w:t>2.8.2服务标准：石材保养得当，定期打蜡和做镜面处理；卫生间无异味，洗手台无积水，镜面与五金件光洁无水印，及时补充纸品；垃圾筒外表干净，杂物存放量不超过总容量的2/3，及时清洁除异味；扶手用白纸巾擦拭，无明显污迹；灯具、标识、门窗上无积尘；金属材料上无手印；墙面、地面、天花无污迹；地面上无纸屑、杂物、烟头等垃圾；栏杆、铁艺见本色，无掉色；协助做好垃圾清运记录；遇雨、雪、大风天气时及时清扫积雪、积水和杂物；蚊、蝇、蟑螂等害虫数量控制在合理范围内；有完整的作业、检查、整改记录。</w:t>
      </w:r>
    </w:p>
    <w:p>
      <w:pPr>
        <w:spacing w:line="360" w:lineRule="auto"/>
        <w:ind w:right="-98" w:rightChars="-47"/>
        <w:rPr>
          <w:rFonts w:ascii="宋体" w:hAnsi="宋体"/>
          <w:sz w:val="24"/>
        </w:rPr>
      </w:pPr>
    </w:p>
    <w:p>
      <w:pPr>
        <w:spacing w:line="360" w:lineRule="auto"/>
        <w:ind w:right="-98" w:rightChars="-47"/>
        <w:rPr>
          <w:rFonts w:ascii="宋体" w:hAnsi="宋体"/>
          <w:sz w:val="24"/>
        </w:rPr>
      </w:pPr>
      <w:r>
        <w:rPr>
          <w:rFonts w:hint="eastAsia" w:ascii="宋体" w:hAnsi="宋体"/>
          <w:sz w:val="24"/>
        </w:rPr>
        <w:t>2.9绿化服务</w:t>
      </w:r>
    </w:p>
    <w:p>
      <w:pPr>
        <w:spacing w:line="360" w:lineRule="auto"/>
        <w:ind w:right="-98" w:rightChars="-47" w:firstLine="424" w:firstLineChars="177"/>
        <w:rPr>
          <w:rFonts w:ascii="宋体" w:hAnsi="宋体"/>
          <w:sz w:val="24"/>
        </w:rPr>
      </w:pPr>
      <w:r>
        <w:rPr>
          <w:rFonts w:hint="eastAsia" w:ascii="宋体" w:hAnsi="宋体"/>
          <w:sz w:val="24"/>
        </w:rPr>
        <w:t>2.9.1服务内容：办公楼外围的绿化带养护。</w:t>
      </w:r>
    </w:p>
    <w:p>
      <w:pPr>
        <w:spacing w:line="360" w:lineRule="auto"/>
        <w:ind w:right="-98" w:rightChars="-47" w:firstLine="424" w:firstLineChars="177"/>
        <w:rPr>
          <w:rFonts w:ascii="宋体" w:hAnsi="宋体"/>
          <w:sz w:val="24"/>
        </w:rPr>
      </w:pPr>
      <w:r>
        <w:rPr>
          <w:rFonts w:hint="eastAsia" w:ascii="宋体" w:hAnsi="宋体"/>
          <w:sz w:val="24"/>
        </w:rPr>
        <w:t>2.9.2服务标准：达到一级绿化标准。包括：绿化带内无杂草；施肥得当，植物生长良好，在生长季内无斑秃、干枯、坏死及病虫害情况；及时清除死株，并予补种；土壤无板结、塌陷，透气性良好；植被成活率在95%以上；草坪、绿篱、各类乔灌木依其树型修剪整齐，高度适宜，搭配错落有致，外形美观；绿植生长健康，叶部无积尘，修剪更换及时，无枯黄、死亡；有完整、连续的作业、检查、整改记录。</w:t>
      </w:r>
    </w:p>
    <w:p>
      <w:pPr>
        <w:spacing w:line="360" w:lineRule="auto"/>
        <w:ind w:right="-98" w:rightChars="-47"/>
        <w:rPr>
          <w:rFonts w:ascii="宋体" w:hAnsi="宋体"/>
          <w:sz w:val="24"/>
        </w:rPr>
      </w:pPr>
    </w:p>
    <w:p>
      <w:pPr>
        <w:spacing w:line="360" w:lineRule="auto"/>
        <w:ind w:right="-98" w:rightChars="-47"/>
        <w:rPr>
          <w:rFonts w:ascii="宋体" w:hAnsi="宋体"/>
          <w:sz w:val="24"/>
        </w:rPr>
      </w:pPr>
      <w:r>
        <w:rPr>
          <w:rFonts w:hint="eastAsia" w:ascii="宋体" w:hAnsi="宋体"/>
          <w:sz w:val="24"/>
        </w:rPr>
        <w:t>2.10秩序维护服务</w:t>
      </w:r>
    </w:p>
    <w:p>
      <w:pPr>
        <w:spacing w:line="360" w:lineRule="auto"/>
        <w:ind w:right="-98" w:rightChars="-47" w:firstLine="566" w:firstLineChars="236"/>
        <w:rPr>
          <w:rFonts w:ascii="宋体" w:hAnsi="宋体"/>
          <w:sz w:val="24"/>
        </w:rPr>
      </w:pPr>
      <w:r>
        <w:rPr>
          <w:rFonts w:hint="eastAsia" w:ascii="宋体" w:hAnsi="宋体"/>
          <w:sz w:val="24"/>
        </w:rPr>
        <w:t>2.10.1服务内容：项目管理范围内24小时门岗及巡逻、消防安全等管理和服务。</w:t>
      </w:r>
    </w:p>
    <w:p>
      <w:pPr>
        <w:spacing w:line="360" w:lineRule="auto"/>
        <w:ind w:right="-98" w:rightChars="-47" w:firstLine="566" w:firstLineChars="236"/>
        <w:rPr>
          <w:rFonts w:ascii="宋体" w:hAnsi="宋体"/>
          <w:sz w:val="24"/>
        </w:rPr>
      </w:pPr>
      <w:r>
        <w:rPr>
          <w:rFonts w:hint="eastAsia" w:ascii="宋体" w:hAnsi="宋体"/>
          <w:sz w:val="24"/>
        </w:rPr>
        <w:t>2.10.2服务标准：能正确地疏导车辆，车场内因引导不当而引发的事故发生率为零；流动巡逻岗与固定岗相结合，有效地管控非工作人员、物品进出，保证项目内的秩序和安全；有针对性地提出重点检查部位，并加强监控力度；在检查中能及时发现、消除各类治安、消防隐患，杜绝因检查、管理不当而引发的治安、消防事故；秩序维护人员能在火灾、治安等突发事件发生时做出及时、恰当的第一反应，最大限度地保证招标人和使用人的利益和安全；有完整、连续的巡逻、检查、整改与事件处理记录。</w:t>
      </w:r>
    </w:p>
    <w:p>
      <w:pPr>
        <w:spacing w:line="360" w:lineRule="auto"/>
        <w:ind w:right="-98" w:rightChars="-47"/>
        <w:rPr>
          <w:rFonts w:ascii="宋体" w:hAnsi="宋体"/>
          <w:sz w:val="24"/>
        </w:rPr>
      </w:pPr>
    </w:p>
    <w:p>
      <w:pPr>
        <w:spacing w:line="360" w:lineRule="auto"/>
        <w:ind w:right="-98" w:rightChars="-47"/>
        <w:rPr>
          <w:rFonts w:ascii="宋体" w:hAnsi="宋体"/>
          <w:sz w:val="24"/>
        </w:rPr>
      </w:pPr>
      <w:r>
        <w:rPr>
          <w:rFonts w:hint="eastAsia" w:ascii="宋体" w:hAnsi="宋体"/>
          <w:sz w:val="24"/>
        </w:rPr>
        <w:t>2.1</w:t>
      </w:r>
      <w:r>
        <w:rPr>
          <w:rFonts w:ascii="宋体" w:hAnsi="宋体"/>
          <w:sz w:val="24"/>
        </w:rPr>
        <w:t>1</w:t>
      </w:r>
      <w:r>
        <w:rPr>
          <w:rFonts w:hint="eastAsia" w:ascii="宋体" w:hAnsi="宋体"/>
          <w:sz w:val="24"/>
        </w:rPr>
        <w:t>节假日装饰、布置服务</w:t>
      </w:r>
    </w:p>
    <w:p>
      <w:pPr>
        <w:spacing w:line="360" w:lineRule="auto"/>
        <w:ind w:right="-98" w:rightChars="-47" w:firstLine="422" w:firstLineChars="176"/>
        <w:rPr>
          <w:rFonts w:ascii="宋体" w:hAnsi="宋体"/>
          <w:sz w:val="24"/>
        </w:rPr>
      </w:pPr>
      <w:r>
        <w:rPr>
          <w:rFonts w:hint="eastAsia" w:ascii="宋体" w:hAnsi="宋体"/>
          <w:sz w:val="24"/>
        </w:rPr>
        <w:t>2.1</w:t>
      </w:r>
      <w:r>
        <w:rPr>
          <w:rFonts w:ascii="宋体" w:hAnsi="宋体"/>
          <w:sz w:val="24"/>
        </w:rPr>
        <w:t>1</w:t>
      </w:r>
      <w:r>
        <w:rPr>
          <w:rFonts w:hint="eastAsia" w:ascii="宋体" w:hAnsi="宋体"/>
          <w:sz w:val="24"/>
        </w:rPr>
        <w:t>.1服务内容：节假日期间环境的装饰、布置服务。</w:t>
      </w:r>
    </w:p>
    <w:p>
      <w:pPr>
        <w:spacing w:line="360" w:lineRule="auto"/>
        <w:ind w:right="-98" w:rightChars="-47" w:firstLine="422" w:firstLineChars="176"/>
        <w:rPr>
          <w:rFonts w:ascii="宋体" w:hAnsi="宋体"/>
          <w:sz w:val="24"/>
        </w:rPr>
      </w:pPr>
      <w:r>
        <w:rPr>
          <w:rFonts w:hint="eastAsia" w:ascii="宋体" w:hAnsi="宋体"/>
          <w:sz w:val="24"/>
        </w:rPr>
        <w:t>2.1</w:t>
      </w:r>
      <w:r>
        <w:rPr>
          <w:rFonts w:ascii="宋体" w:hAnsi="宋体"/>
          <w:sz w:val="24"/>
        </w:rPr>
        <w:t>1</w:t>
      </w:r>
      <w:r>
        <w:rPr>
          <w:rFonts w:hint="eastAsia" w:ascii="宋体" w:hAnsi="宋体"/>
          <w:sz w:val="24"/>
        </w:rPr>
        <w:t>.2服务标准：环境装饰、布置及时，与节日主题相符，能烘托节日气氛；格调与办公楼的氛围及节日气氛相得益彰；装饰及布置的物品安全可靠，不影响办公楼的正常安全使用；有完整的图文、影音记录。</w:t>
      </w:r>
    </w:p>
    <w:p>
      <w:pPr>
        <w:spacing w:line="360" w:lineRule="auto"/>
        <w:ind w:right="-98" w:rightChars="-47"/>
        <w:rPr>
          <w:rFonts w:ascii="宋体" w:hAnsi="宋体"/>
          <w:sz w:val="24"/>
        </w:rPr>
      </w:pPr>
      <w:r>
        <w:rPr>
          <w:rFonts w:hint="eastAsia" w:ascii="宋体" w:hAnsi="宋体"/>
          <w:sz w:val="24"/>
        </w:rPr>
        <w:t>2</w:t>
      </w:r>
      <w:r>
        <w:rPr>
          <w:rFonts w:ascii="宋体" w:hAnsi="宋体"/>
          <w:sz w:val="24"/>
        </w:rPr>
        <w:t>.12</w:t>
      </w:r>
      <w:r>
        <w:rPr>
          <w:rFonts w:hint="eastAsia" w:ascii="宋体" w:hAnsi="宋体"/>
          <w:sz w:val="24"/>
        </w:rPr>
        <w:t>会议服务</w:t>
      </w:r>
    </w:p>
    <w:p>
      <w:pPr>
        <w:spacing w:line="360" w:lineRule="auto"/>
        <w:ind w:right="-98" w:rightChars="-47" w:firstLine="480" w:firstLineChars="200"/>
        <w:rPr>
          <w:rFonts w:ascii="宋体" w:hAnsi="宋体"/>
          <w:sz w:val="24"/>
        </w:rPr>
      </w:pPr>
      <w:r>
        <w:rPr>
          <w:rFonts w:ascii="宋体" w:hAnsi="宋体"/>
          <w:sz w:val="24"/>
        </w:rPr>
        <w:t xml:space="preserve">2.12.1 </w:t>
      </w:r>
      <w:r>
        <w:rPr>
          <w:rFonts w:hint="eastAsia" w:ascii="宋体" w:hAnsi="宋体"/>
          <w:sz w:val="24"/>
        </w:rPr>
        <w:t>服务内容：会场布置、茶水布置、音响布置、器材管理、安全管理、应急管理等。</w:t>
      </w:r>
    </w:p>
    <w:p>
      <w:pPr>
        <w:spacing w:line="360" w:lineRule="auto"/>
        <w:ind w:right="-98" w:rightChars="-47" w:firstLine="480" w:firstLineChars="200"/>
        <w:rPr>
          <w:rFonts w:ascii="宋体" w:hAnsi="宋体"/>
          <w:sz w:val="24"/>
        </w:rPr>
      </w:pPr>
      <w:r>
        <w:rPr>
          <w:rFonts w:hint="eastAsia" w:ascii="宋体" w:hAnsi="宋体"/>
          <w:sz w:val="24"/>
        </w:rPr>
        <w:t>2</w:t>
      </w:r>
      <w:r>
        <w:rPr>
          <w:rFonts w:ascii="宋体" w:hAnsi="宋体"/>
          <w:sz w:val="24"/>
        </w:rPr>
        <w:t xml:space="preserve">.12.2 </w:t>
      </w:r>
      <w:r>
        <w:rPr>
          <w:rFonts w:hint="eastAsia" w:ascii="宋体" w:hAnsi="宋体"/>
          <w:sz w:val="24"/>
        </w:rPr>
        <w:t>服务标准：会场布置合理规范；茶水添加</w:t>
      </w:r>
      <w:r>
        <w:rPr>
          <w:rFonts w:hint="eastAsia"/>
        </w:rPr>
        <w:t>及时，服务热情周到</w:t>
      </w:r>
      <w:r>
        <w:rPr>
          <w:rFonts w:hint="eastAsia" w:ascii="宋体" w:hAnsi="宋体"/>
          <w:sz w:val="24"/>
        </w:rPr>
        <w:t>、音箱</w:t>
      </w:r>
      <w:r>
        <w:rPr>
          <w:rFonts w:hint="eastAsia"/>
        </w:rPr>
        <w:t>效果良好。会议服务人员严格遵守保密制度。</w:t>
      </w:r>
      <w:r>
        <w:rPr>
          <w:rFonts w:hint="eastAsia" w:ascii="宋体" w:hAnsi="宋体"/>
          <w:sz w:val="24"/>
        </w:rPr>
        <w:t xml:space="preserve"> </w:t>
      </w:r>
    </w:p>
    <w:p>
      <w:pPr>
        <w:spacing w:line="360" w:lineRule="auto"/>
        <w:ind w:right="-98" w:rightChars="-47"/>
        <w:rPr>
          <w:rFonts w:ascii="宋体" w:hAnsi="宋体"/>
          <w:sz w:val="24"/>
        </w:rPr>
      </w:pPr>
      <w:r>
        <w:rPr>
          <w:rFonts w:hint="eastAsia" w:ascii="宋体" w:hAnsi="宋体"/>
          <w:sz w:val="24"/>
        </w:rPr>
        <w:t>2</w:t>
      </w:r>
      <w:r>
        <w:rPr>
          <w:rFonts w:ascii="宋体" w:hAnsi="宋体"/>
          <w:sz w:val="24"/>
        </w:rPr>
        <w:t>.13</w:t>
      </w:r>
      <w:r>
        <w:rPr>
          <w:rFonts w:hint="eastAsia" w:ascii="宋体" w:hAnsi="宋体"/>
          <w:sz w:val="24"/>
        </w:rPr>
        <w:t>餐饮服务（内容详见本章第</w:t>
      </w:r>
      <w:r>
        <w:rPr>
          <w:rFonts w:hint="eastAsia"/>
        </w:rPr>
        <w:t>4节</w:t>
      </w:r>
      <w:r>
        <w:rPr>
          <w:rFonts w:hint="eastAsia" w:ascii="宋体" w:hAnsi="宋体"/>
          <w:sz w:val="24"/>
        </w:rPr>
        <w:t xml:space="preserve"> ）</w:t>
      </w:r>
    </w:p>
    <w:p>
      <w:pPr>
        <w:spacing w:line="360" w:lineRule="auto"/>
        <w:ind w:right="-98" w:rightChars="-47" w:firstLine="480" w:firstLineChars="200"/>
        <w:rPr>
          <w:rFonts w:ascii="宋体" w:hAnsi="宋体"/>
          <w:sz w:val="24"/>
        </w:rPr>
      </w:pPr>
      <w:r>
        <w:rPr>
          <w:rFonts w:ascii="宋体" w:hAnsi="宋体"/>
          <w:sz w:val="24"/>
        </w:rPr>
        <w:t xml:space="preserve">2.13.1 </w:t>
      </w:r>
      <w:r>
        <w:rPr>
          <w:rFonts w:hint="eastAsia" w:ascii="宋体" w:hAnsi="宋体"/>
          <w:sz w:val="24"/>
        </w:rPr>
        <w:t>服务内容：按要求提供早餐、中餐、晚餐、一日三餐，具体开餐时间按照贵公司要求</w:t>
      </w:r>
    </w:p>
    <w:p>
      <w:pPr>
        <w:spacing w:line="360" w:lineRule="auto"/>
        <w:ind w:right="-98" w:rightChars="-47" w:firstLine="480" w:firstLineChars="200"/>
        <w:rPr>
          <w:rFonts w:ascii="宋体" w:hAnsi="宋体"/>
          <w:sz w:val="24"/>
        </w:rPr>
      </w:pPr>
      <w:r>
        <w:rPr>
          <w:rFonts w:hint="eastAsia" w:ascii="宋体" w:hAnsi="宋体"/>
          <w:sz w:val="24"/>
        </w:rPr>
        <w:t>2</w:t>
      </w:r>
      <w:r>
        <w:rPr>
          <w:rFonts w:ascii="宋体" w:hAnsi="宋体"/>
          <w:sz w:val="24"/>
        </w:rPr>
        <w:t xml:space="preserve">.13.2 </w:t>
      </w:r>
      <w:r>
        <w:rPr>
          <w:rFonts w:hint="eastAsia" w:ascii="宋体" w:hAnsi="宋体"/>
          <w:sz w:val="24"/>
        </w:rPr>
        <w:t>服务标准：</w:t>
      </w:r>
      <w:r>
        <w:rPr>
          <w:rFonts w:hint="eastAsia"/>
        </w:rPr>
        <w:t>餐饮服务符合食品卫生标准，菜品及主食样式丰富，搭配合理。餐饮从业人员持有健康证，厨师持有厨师证书。</w:t>
      </w:r>
      <w:r>
        <w:rPr>
          <w:rFonts w:hint="eastAsia" w:ascii="宋体" w:hAnsi="宋体"/>
          <w:sz w:val="24"/>
        </w:rPr>
        <w:t>在工作区域内穿戴好统一工作服及工作帽，必须加戴手套、口罩。工作人员对待所有前来的员工要以一种常规的文明用语与和蔼的语气、微笑的服务面对每一位顾客，让员工在就餐的同时体会到一种温馨式的感受，愉悦的心情。</w:t>
      </w:r>
    </w:p>
    <w:p>
      <w:pPr>
        <w:spacing w:line="360" w:lineRule="auto"/>
        <w:ind w:right="-98" w:rightChars="-47"/>
        <w:rPr>
          <w:rFonts w:ascii="宋体" w:hAnsi="宋体"/>
          <w:sz w:val="24"/>
        </w:rPr>
      </w:pPr>
    </w:p>
    <w:p>
      <w:pPr>
        <w:spacing w:line="360" w:lineRule="auto"/>
        <w:ind w:right="-98" w:rightChars="-47"/>
        <w:rPr>
          <w:rFonts w:ascii="宋体" w:hAnsi="宋体"/>
          <w:sz w:val="24"/>
        </w:rPr>
      </w:pPr>
      <w:r>
        <w:rPr>
          <w:rFonts w:hint="eastAsia" w:ascii="宋体" w:hAnsi="宋体"/>
          <w:sz w:val="24"/>
        </w:rPr>
        <w:t>2.1</w:t>
      </w:r>
      <w:r>
        <w:rPr>
          <w:rFonts w:ascii="宋体" w:hAnsi="宋体"/>
          <w:sz w:val="24"/>
        </w:rPr>
        <w:t>4</w:t>
      </w:r>
      <w:r>
        <w:rPr>
          <w:rFonts w:hint="eastAsia" w:ascii="宋体" w:hAnsi="宋体"/>
          <w:sz w:val="24"/>
        </w:rPr>
        <w:t>其它服务要求及说明：</w:t>
      </w:r>
    </w:p>
    <w:p>
      <w:pPr>
        <w:spacing w:line="360" w:lineRule="auto"/>
        <w:ind w:left="424" w:leftChars="202" w:right="-98" w:rightChars="-47"/>
        <w:rPr>
          <w:rFonts w:ascii="宋体" w:hAnsi="宋体"/>
          <w:sz w:val="24"/>
        </w:rPr>
      </w:pPr>
      <w:r>
        <w:rPr>
          <w:rFonts w:hint="eastAsia" w:ascii="宋体" w:hAnsi="宋体"/>
          <w:sz w:val="24"/>
        </w:rPr>
        <w:t>2.1</w:t>
      </w:r>
      <w:r>
        <w:rPr>
          <w:rFonts w:ascii="宋体" w:hAnsi="宋体"/>
          <w:sz w:val="24"/>
        </w:rPr>
        <w:t>4</w:t>
      </w:r>
      <w:r>
        <w:rPr>
          <w:rFonts w:hint="eastAsia" w:ascii="宋体" w:hAnsi="宋体"/>
          <w:sz w:val="24"/>
        </w:rPr>
        <w:t>.1上岗人员形象应与项目的定位及档次相匹配，专业技术过硬，责任心强，特种岗位人员持证上岗（强弱电、空调、电气焊、消防监控等特种作业人员应持有专业资格证书）；礼仪培训到位，要求实现全员“文明服务、礼貌接待”。</w:t>
      </w:r>
    </w:p>
    <w:p>
      <w:pPr>
        <w:spacing w:line="360" w:lineRule="auto"/>
        <w:ind w:left="424" w:leftChars="202" w:right="-98" w:rightChars="-47"/>
        <w:rPr>
          <w:rFonts w:ascii="宋体" w:hAnsi="宋体"/>
          <w:sz w:val="24"/>
        </w:rPr>
      </w:pPr>
      <w:r>
        <w:rPr>
          <w:rFonts w:hint="eastAsia" w:ascii="宋体" w:hAnsi="宋体"/>
          <w:sz w:val="24"/>
        </w:rPr>
        <w:t>2.1</w:t>
      </w:r>
      <w:r>
        <w:rPr>
          <w:rFonts w:ascii="宋体" w:hAnsi="宋体"/>
          <w:sz w:val="24"/>
        </w:rPr>
        <w:t>4</w:t>
      </w:r>
      <w:r>
        <w:rPr>
          <w:rFonts w:hint="eastAsia" w:ascii="宋体" w:hAnsi="宋体"/>
          <w:sz w:val="24"/>
        </w:rPr>
        <w:t>.2本部分所提及的，要求由物业服务企业提供的各项服务，除有特殊说明的，其服务过程中产生的人工费、工作人员服务费和装备费等计入物业管理费中。</w:t>
      </w:r>
    </w:p>
    <w:p>
      <w:pPr>
        <w:spacing w:line="360" w:lineRule="auto"/>
        <w:ind w:left="424" w:leftChars="202" w:right="-98" w:rightChars="-47"/>
        <w:rPr>
          <w:rFonts w:ascii="宋体" w:hAnsi="宋体"/>
          <w:sz w:val="24"/>
        </w:rPr>
      </w:pPr>
      <w:r>
        <w:rPr>
          <w:rFonts w:hint="eastAsia" w:ascii="宋体" w:hAnsi="宋体"/>
          <w:sz w:val="24"/>
        </w:rPr>
        <w:t>2.1</w:t>
      </w:r>
      <w:r>
        <w:rPr>
          <w:rFonts w:ascii="宋体" w:hAnsi="宋体"/>
          <w:sz w:val="24"/>
        </w:rPr>
        <w:t>4</w:t>
      </w:r>
      <w:r>
        <w:rPr>
          <w:rFonts w:hint="eastAsia" w:ascii="宋体" w:hAnsi="宋体"/>
          <w:sz w:val="24"/>
        </w:rPr>
        <w:t>.3对于在本章节中未予强调说明的其它服务内容，中标人应按不低于北京市地方标准《住宅物业服务标准》四级标准的水平提供服务。</w:t>
      </w:r>
    </w:p>
    <w:p>
      <w:pPr>
        <w:spacing w:line="360" w:lineRule="auto"/>
        <w:ind w:right="-98" w:rightChars="-47"/>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全面物业管理服务考核标准：</w:t>
      </w:r>
    </w:p>
    <w:p>
      <w:pPr>
        <w:suppressAutoHyphens/>
        <w:snapToGrid w:val="0"/>
        <w:spacing w:before="240" w:line="360" w:lineRule="auto"/>
        <w:ind w:left="210" w:leftChars="100"/>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w:t>
      </w:r>
      <w:r>
        <w:rPr>
          <w:rFonts w:ascii="宋体" w:hAnsi="宋体"/>
          <w:sz w:val="24"/>
        </w:rPr>
        <w:t>1</w:t>
      </w:r>
      <w:r>
        <w:rPr>
          <w:rFonts w:hint="eastAsia" w:ascii="宋体" w:hAnsi="宋体"/>
          <w:sz w:val="24"/>
        </w:rPr>
        <w:t>全年重大治安案件发案率为零。</w:t>
      </w:r>
    </w:p>
    <w:p>
      <w:pPr>
        <w:suppressAutoHyphens/>
        <w:snapToGrid w:val="0"/>
        <w:spacing w:before="240" w:line="360" w:lineRule="auto"/>
        <w:ind w:left="210" w:leftChars="100"/>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w:t>
      </w:r>
      <w:r>
        <w:rPr>
          <w:rFonts w:ascii="宋体" w:hAnsi="宋体"/>
          <w:sz w:val="24"/>
        </w:rPr>
        <w:t>2</w:t>
      </w:r>
      <w:r>
        <w:rPr>
          <w:rFonts w:hint="eastAsia" w:ascii="宋体" w:hAnsi="宋体"/>
          <w:sz w:val="24"/>
        </w:rPr>
        <w:t>安保、消防安全达标率达100%。</w:t>
      </w:r>
    </w:p>
    <w:p>
      <w:pPr>
        <w:suppressAutoHyphens/>
        <w:snapToGrid w:val="0"/>
        <w:spacing w:before="240" w:line="360" w:lineRule="auto"/>
        <w:ind w:left="210" w:leftChars="100"/>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w:t>
      </w:r>
      <w:r>
        <w:rPr>
          <w:rFonts w:ascii="宋体" w:hAnsi="宋体"/>
          <w:sz w:val="24"/>
        </w:rPr>
        <w:t>3</w:t>
      </w:r>
      <w:r>
        <w:rPr>
          <w:rFonts w:hint="eastAsia" w:ascii="宋体" w:hAnsi="宋体"/>
          <w:sz w:val="24"/>
        </w:rPr>
        <w:t>楼体</w:t>
      </w:r>
      <w:r>
        <w:rPr>
          <w:rFonts w:ascii="宋体" w:hAnsi="宋体"/>
          <w:sz w:val="24"/>
        </w:rPr>
        <w:t>房屋</w:t>
      </w:r>
      <w:r>
        <w:rPr>
          <w:rFonts w:hint="eastAsia" w:ascii="宋体" w:hAnsi="宋体"/>
          <w:sz w:val="24"/>
        </w:rPr>
        <w:t>主</w:t>
      </w:r>
      <w:r>
        <w:rPr>
          <w:rFonts w:ascii="宋体" w:hAnsi="宋体"/>
          <w:sz w:val="24"/>
        </w:rPr>
        <w:t>体完好率100%</w:t>
      </w:r>
      <w:r>
        <w:rPr>
          <w:rFonts w:hint="eastAsia" w:ascii="宋体" w:hAnsi="宋体"/>
          <w:sz w:val="24"/>
        </w:rPr>
        <w:t>。</w:t>
      </w:r>
    </w:p>
    <w:p>
      <w:pPr>
        <w:suppressAutoHyphens/>
        <w:snapToGrid w:val="0"/>
        <w:spacing w:before="240" w:line="360" w:lineRule="auto"/>
        <w:ind w:left="210" w:leftChars="100"/>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w:t>
      </w:r>
      <w:r>
        <w:rPr>
          <w:rFonts w:ascii="宋体" w:hAnsi="宋体"/>
          <w:sz w:val="24"/>
        </w:rPr>
        <w:t>4大型动力设备完好率</w:t>
      </w:r>
      <w:r>
        <w:rPr>
          <w:rFonts w:hint="eastAsia" w:ascii="宋体" w:hAnsi="宋体"/>
          <w:sz w:val="24"/>
        </w:rPr>
        <w:t>99</w:t>
      </w:r>
      <w:r>
        <w:rPr>
          <w:rFonts w:ascii="宋体" w:hAnsi="宋体"/>
          <w:sz w:val="24"/>
        </w:rPr>
        <w:t>%</w:t>
      </w:r>
      <w:r>
        <w:rPr>
          <w:rFonts w:hint="eastAsia" w:ascii="宋体" w:hAnsi="宋体"/>
          <w:sz w:val="24"/>
        </w:rPr>
        <w:t>。</w:t>
      </w:r>
    </w:p>
    <w:p>
      <w:pPr>
        <w:suppressAutoHyphens/>
        <w:snapToGrid w:val="0"/>
        <w:spacing w:before="240" w:line="360" w:lineRule="auto"/>
        <w:ind w:left="210" w:leftChars="100"/>
        <w:rPr>
          <w:rFonts w:ascii="宋体" w:hAnsi="宋体"/>
          <w:sz w:val="24"/>
        </w:rPr>
      </w:pPr>
      <w:r>
        <w:rPr>
          <w:rFonts w:hint="eastAsia" w:ascii="宋体" w:hAnsi="宋体"/>
          <w:sz w:val="24"/>
        </w:rPr>
        <w:t>2.1</w:t>
      </w:r>
      <w:r>
        <w:rPr>
          <w:rFonts w:ascii="宋体" w:hAnsi="宋体"/>
          <w:sz w:val="24"/>
        </w:rPr>
        <w:t>5</w:t>
      </w:r>
      <w:r>
        <w:rPr>
          <w:rFonts w:hint="eastAsia" w:ascii="宋体" w:hAnsi="宋体"/>
          <w:sz w:val="24"/>
        </w:rPr>
        <w:t>.</w:t>
      </w:r>
      <w:r>
        <w:rPr>
          <w:rFonts w:ascii="宋体" w:hAnsi="宋体"/>
          <w:sz w:val="24"/>
        </w:rPr>
        <w:t>5应急需求处理率为100%。</w:t>
      </w:r>
    </w:p>
    <w:p>
      <w:pPr>
        <w:spacing w:line="360" w:lineRule="auto"/>
        <w:ind w:right="-98" w:rightChars="-47"/>
        <w:rPr>
          <w:rFonts w:ascii="宋体" w:hAnsi="宋体"/>
          <w:sz w:val="24"/>
        </w:rPr>
      </w:pPr>
    </w:p>
    <w:p>
      <w:pPr>
        <w:spacing w:before="240"/>
        <w:rPr>
          <w:rFonts w:ascii="宋体" w:hAnsi="宋体"/>
          <w:b/>
          <w:sz w:val="24"/>
        </w:rPr>
      </w:pPr>
      <w:r>
        <w:rPr>
          <w:rFonts w:ascii="宋体" w:hAnsi="宋体"/>
          <w:b/>
          <w:sz w:val="24"/>
        </w:rPr>
        <w:t>3</w:t>
      </w:r>
      <w:r>
        <w:rPr>
          <w:rFonts w:hint="eastAsia" w:ascii="宋体" w:hAnsi="宋体"/>
          <w:b/>
          <w:sz w:val="24"/>
        </w:rPr>
        <w:t>、物业管理服务范围、工作标准、以及关键绩效考核</w:t>
      </w:r>
    </w:p>
    <w:p>
      <w:pPr>
        <w:autoSpaceDE w:val="0"/>
        <w:autoSpaceDN w:val="0"/>
        <w:adjustRightInd w:val="0"/>
        <w:spacing w:before="240" w:line="360" w:lineRule="auto"/>
        <w:ind w:firstLine="424" w:firstLineChars="177"/>
        <w:rPr>
          <w:rFonts w:ascii="宋体" w:hAnsi="宋体"/>
          <w:sz w:val="24"/>
        </w:rPr>
      </w:pPr>
      <w:r>
        <w:rPr>
          <w:rFonts w:ascii="宋体" w:hAnsi="宋体"/>
          <w:sz w:val="24"/>
        </w:rPr>
        <w:t>3</w:t>
      </w:r>
      <w:r>
        <w:rPr>
          <w:rFonts w:hint="eastAsia" w:ascii="宋体" w:hAnsi="宋体"/>
          <w:sz w:val="24"/>
        </w:rPr>
        <w:t>.1 根据本项目的</w:t>
      </w:r>
      <w:r>
        <w:rPr>
          <w:rFonts w:hint="eastAsia" w:ascii="宋体" w:hAnsi="宋体"/>
          <w:sz w:val="24"/>
          <w:shd w:val="clear" w:color="auto" w:fill="FFFFFF"/>
        </w:rPr>
        <w:t>建筑物本体、物业服务、秩序维护服务、保洁服务、设备设施运维服务、财务管理等详细</w:t>
      </w:r>
      <w:r>
        <w:rPr>
          <w:rFonts w:hint="eastAsia" w:ascii="宋体" w:hAnsi="宋体"/>
          <w:sz w:val="24"/>
        </w:rPr>
        <w:t>服务范围、工作标准和关键绩效制定月度考核标准（即KPI考核）。</w:t>
      </w:r>
    </w:p>
    <w:p>
      <w:pPr>
        <w:autoSpaceDE w:val="0"/>
        <w:autoSpaceDN w:val="0"/>
        <w:adjustRightInd w:val="0"/>
        <w:spacing w:before="240" w:line="360" w:lineRule="auto"/>
        <w:ind w:firstLine="424" w:firstLineChars="177"/>
        <w:rPr>
          <w:rFonts w:ascii="宋体" w:hAnsi="宋体"/>
          <w:sz w:val="24"/>
        </w:rPr>
      </w:pPr>
      <w:r>
        <w:rPr>
          <w:rFonts w:ascii="宋体" w:hAnsi="宋体"/>
          <w:sz w:val="24"/>
        </w:rPr>
        <w:t>3</w:t>
      </w:r>
      <w:r>
        <w:rPr>
          <w:rFonts w:hint="eastAsia" w:ascii="宋体" w:hAnsi="宋体"/>
          <w:sz w:val="24"/>
        </w:rPr>
        <w:t>.2 针对具体的项目，根据甲乙双方签署确认的乙方服务考核指标，每月度按考核指标对乙方进行绩效评估考核。</w:t>
      </w:r>
    </w:p>
    <w:p>
      <w:pPr>
        <w:spacing w:line="360" w:lineRule="auto"/>
        <w:ind w:right="-98" w:rightChars="-47"/>
        <w:rPr>
          <w:rFonts w:ascii="宋体" w:hAnsi="宋体"/>
          <w:color w:val="FF0000"/>
          <w:szCs w:val="21"/>
        </w:rPr>
      </w:pPr>
    </w:p>
    <w:p>
      <w:pPr>
        <w:spacing w:line="360" w:lineRule="auto"/>
        <w:ind w:right="-98" w:rightChars="-47"/>
        <w:rPr>
          <w:rFonts w:ascii="宋体" w:hAnsi="宋体"/>
          <w:sz w:val="26"/>
          <w:szCs w:val="26"/>
        </w:rPr>
      </w:pPr>
      <w:r>
        <w:rPr>
          <w:rFonts w:ascii="宋体" w:hAnsi="宋体"/>
          <w:b/>
          <w:szCs w:val="21"/>
        </w:rPr>
        <w:t>4</w:t>
      </w:r>
      <w:r>
        <w:rPr>
          <w:rFonts w:hint="eastAsia" w:ascii="宋体" w:hAnsi="宋体"/>
          <w:b/>
          <w:szCs w:val="21"/>
        </w:rPr>
        <w:t>、食堂餐饮服务</w:t>
      </w:r>
    </w:p>
    <w:p>
      <w:pPr>
        <w:autoSpaceDE w:val="0"/>
        <w:autoSpaceDN w:val="0"/>
        <w:adjustRightInd w:val="0"/>
        <w:spacing w:before="240" w:line="360" w:lineRule="auto"/>
        <w:ind w:firstLine="424" w:firstLineChars="177"/>
        <w:rPr>
          <w:rFonts w:ascii="宋体" w:hAnsi="宋体"/>
          <w:sz w:val="24"/>
        </w:rPr>
      </w:pPr>
      <w:r>
        <w:rPr>
          <w:rFonts w:ascii="宋体" w:hAnsi="宋体"/>
          <w:sz w:val="24"/>
        </w:rPr>
        <w:t>4.1</w:t>
      </w:r>
      <w:r>
        <w:rPr>
          <w:rFonts w:hint="eastAsia" w:ascii="宋体" w:hAnsi="宋体"/>
          <w:sz w:val="24"/>
        </w:rPr>
        <w:t xml:space="preserve"> 场地使用及有关费用</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1）招标人免费向中标人提供目前属于招标人餐厅所有的场地和设备设施、用具的使用权。上述物品经清点（按清单双方签名）后，交中标人使用，承包期满后，中标人应将上述物品交还招标人，如有遗失，损坏，中标人负责赔偿（自然损耗除外）。</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2）承包期内，招标人负责免费提供餐厅的水、电、燃料（气），服务期内所有的耗材、粮油及食材的采购，保管由中标人负责，中标人负责食材的加工、食堂日常管理以及就餐服务等工作。招标人将不定期对食堂卫生及设备设施安全进行检查。</w:t>
      </w:r>
    </w:p>
    <w:p>
      <w:pPr>
        <w:autoSpaceDE w:val="0"/>
        <w:autoSpaceDN w:val="0"/>
        <w:adjustRightInd w:val="0"/>
        <w:spacing w:before="240" w:line="360" w:lineRule="auto"/>
        <w:ind w:firstLine="424" w:firstLineChars="177"/>
        <w:rPr>
          <w:rFonts w:ascii="宋体" w:hAnsi="宋体"/>
          <w:sz w:val="24"/>
        </w:rPr>
      </w:pPr>
      <w:r>
        <w:rPr>
          <w:rFonts w:ascii="宋体" w:hAnsi="宋体"/>
          <w:sz w:val="24"/>
        </w:rPr>
        <w:t>4.2</w:t>
      </w:r>
      <w:r>
        <w:rPr>
          <w:rFonts w:hint="eastAsia" w:ascii="宋体" w:hAnsi="宋体"/>
          <w:sz w:val="24"/>
        </w:rPr>
        <w:t xml:space="preserve"> 膳食供应及服务标准</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（1）招标人可根据工作需要，向中标人提出变更就餐时间、就餐人数，中标人应予积极配合，须准时开餐，做到饭热菜香。</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（2）员工自助餐</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①员工就餐实行自助模式，应采用小锅菜方式供菜，以保证菜肴的美味，自助菜品打完前应及时补充。</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②中餐应包含荤菜不少于4类，素菜不少于2类，鲜美汤1份，水果不少于2类，晚餐应包含荤菜不少于2类，素菜不少于2类，鲜美汤1份；</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③早餐应提供米粉、面食、包子、馒头、豆浆、油条、粥等各类早餐食品，每周品种应不少于10类，每餐品种应不少于6类；</w:t>
      </w:r>
    </w:p>
    <w:p>
      <w:pPr>
        <w:autoSpaceDE w:val="0"/>
        <w:autoSpaceDN w:val="0"/>
        <w:adjustRightInd w:val="0"/>
        <w:spacing w:before="240" w:line="360" w:lineRule="auto"/>
        <w:ind w:firstLine="424" w:firstLineChars="177"/>
        <w:rPr>
          <w:rFonts w:ascii="宋体" w:hAnsi="宋体"/>
          <w:sz w:val="24"/>
        </w:rPr>
      </w:pPr>
      <w:r>
        <w:rPr>
          <w:rFonts w:hint="eastAsia" w:ascii="宋体" w:hAnsi="宋体"/>
          <w:sz w:val="24"/>
        </w:rPr>
        <w:t>④中标人须提前将下一周的用餐菜单拟好，交由招标人餐饮管理委员会审核，通过后方可采用。</w:t>
      </w:r>
    </w:p>
    <w:p>
      <w:pPr>
        <w:spacing w:line="360" w:lineRule="auto"/>
        <w:ind w:right="-98" w:rightChars="-47"/>
        <w:rPr>
          <w:rFonts w:ascii="宋体" w:hAnsi="宋体"/>
          <w:b/>
          <w:szCs w:val="21"/>
        </w:rPr>
      </w:pPr>
    </w:p>
    <w:p>
      <w:pPr>
        <w:spacing w:line="360" w:lineRule="auto"/>
        <w:ind w:right="-98" w:rightChars="-47"/>
        <w:rPr>
          <w:rFonts w:ascii="宋体" w:hAnsi="宋体"/>
          <w:b/>
          <w:szCs w:val="21"/>
        </w:rPr>
      </w:pPr>
      <w:r>
        <w:rPr>
          <w:rFonts w:ascii="宋体" w:hAnsi="宋体"/>
          <w:b/>
          <w:szCs w:val="21"/>
        </w:rPr>
        <w:t>5</w:t>
      </w:r>
      <w:r>
        <w:rPr>
          <w:rFonts w:hint="eastAsia" w:ascii="宋体" w:hAnsi="宋体"/>
          <w:b/>
          <w:szCs w:val="21"/>
        </w:rPr>
        <w:t>、其他</w:t>
      </w:r>
    </w:p>
    <w:p>
      <w:pPr>
        <w:spacing w:line="360" w:lineRule="auto"/>
        <w:ind w:right="-98" w:rightChars="-47" w:firstLine="424" w:firstLineChars="177"/>
        <w:rPr>
          <w:rFonts w:ascii="宋体" w:hAnsi="宋体"/>
          <w:sz w:val="24"/>
        </w:rPr>
      </w:pPr>
      <w:r>
        <w:rPr>
          <w:rFonts w:ascii="宋体" w:hAnsi="宋体"/>
          <w:sz w:val="24"/>
        </w:rPr>
        <w:t>5</w:t>
      </w:r>
      <w:r>
        <w:rPr>
          <w:rFonts w:hint="eastAsia" w:ascii="宋体" w:hAnsi="宋体"/>
          <w:sz w:val="24"/>
        </w:rPr>
        <w:t>.1本文件中所载的一些重点主旨条件和内容将作为物业服务委托合同的重要组成部分。最终条件及条款以其后签订的《物业服务委托合同》为准。</w:t>
      </w:r>
    </w:p>
    <w:p>
      <w:pPr>
        <w:spacing w:line="360" w:lineRule="auto"/>
        <w:rPr>
          <w:b/>
          <w:szCs w:val="21"/>
        </w:rPr>
      </w:pPr>
    </w:p>
    <w:bookmarkEnd w:id="1"/>
    <w:p>
      <w:pPr>
        <w:widowControl/>
        <w:jc w:val="left"/>
        <w:rPr>
          <w:rFonts w:ascii="宋体" w:hAnsi="宋体" w:cstheme="minorBidi"/>
          <w:b/>
          <w:bCs/>
          <w:kern w:val="0"/>
          <w:sz w:val="44"/>
          <w:szCs w:val="44"/>
        </w:rPr>
      </w:pPr>
      <w:r>
        <w:br w:type="page"/>
      </w:r>
    </w:p>
    <w:p>
      <w:pPr>
        <w:pStyle w:val="26"/>
        <w:adjustRightInd w:val="0"/>
        <w:snapToGrid w:val="0"/>
        <w:spacing w:line="240" w:lineRule="auto"/>
        <w:jc w:val="left"/>
        <w:rPr>
          <w:rFonts w:ascii="宋体" w:hAnsi="宋体"/>
          <w:sz w:val="30"/>
          <w:szCs w:val="30"/>
          <w:lang w:eastAsia="zh-CN"/>
        </w:rPr>
      </w:pPr>
      <w:r>
        <w:rPr>
          <w:rFonts w:hint="eastAsia" w:ascii="宋体" w:hAnsi="宋体"/>
          <w:sz w:val="30"/>
          <w:szCs w:val="30"/>
          <w:lang w:eastAsia="zh-CN"/>
        </w:rPr>
        <w:t>附件</w:t>
      </w:r>
      <w:r>
        <w:rPr>
          <w:rFonts w:ascii="宋体" w:hAnsi="宋体"/>
          <w:sz w:val="30"/>
          <w:szCs w:val="30"/>
          <w:lang w:eastAsia="zh-CN"/>
        </w:rPr>
        <w:t>3</w:t>
      </w:r>
    </w:p>
    <w:p>
      <w:pPr>
        <w:pStyle w:val="2"/>
        <w:spacing w:line="539" w:lineRule="exact"/>
        <w:ind w:left="88" w:right="148"/>
        <w:jc w:val="center"/>
        <w:rPr>
          <w:lang w:eastAsia="zh-CN"/>
        </w:rPr>
      </w:pPr>
    </w:p>
    <w:p>
      <w:pPr>
        <w:tabs>
          <w:tab w:val="left" w:pos="660"/>
        </w:tabs>
        <w:spacing w:line="360" w:lineRule="auto"/>
        <w:jc w:val="center"/>
        <w:outlineLvl w:val="0"/>
        <w:rPr>
          <w:rStyle w:val="20"/>
          <w:rFonts w:cs="宋体"/>
          <w:bCs w:val="0"/>
          <w:sz w:val="32"/>
          <w:szCs w:val="32"/>
          <w:lang w:eastAsia="zh-CN"/>
        </w:rPr>
      </w:pPr>
      <w:r>
        <w:rPr>
          <w:rStyle w:val="20"/>
          <w:rFonts w:hint="eastAsia" w:cs="宋体"/>
          <w:bCs w:val="0"/>
          <w:sz w:val="32"/>
          <w:szCs w:val="32"/>
          <w:lang w:eastAsia="zh-CN"/>
        </w:rPr>
        <w:t>评分办法及评分标准</w:t>
      </w:r>
    </w:p>
    <w:p>
      <w:pPr>
        <w:spacing w:line="360" w:lineRule="auto"/>
        <w:rPr>
          <w:rFonts w:ascii="宋体" w:hAnsi="宋体" w:cs="宋体"/>
          <w:sz w:val="24"/>
        </w:rPr>
      </w:pPr>
      <w:bookmarkStart w:id="2" w:name="_Toc263775754"/>
      <w:bookmarkStart w:id="3" w:name="_Toc287450659"/>
      <w:r>
        <w:rPr>
          <w:rFonts w:hint="eastAsia" w:ascii="宋体" w:hAnsi="宋体" w:cs="宋体"/>
          <w:sz w:val="24"/>
        </w:rPr>
        <w:t>一、评标办法</w:t>
      </w:r>
      <w:bookmarkEnd w:id="2"/>
      <w:bookmarkEnd w:id="3"/>
    </w:p>
    <w:p>
      <w:pPr>
        <w:spacing w:line="360" w:lineRule="auto"/>
        <w:rPr>
          <w:rFonts w:ascii="宋体" w:hAnsi="宋体" w:cs="宋体"/>
          <w:sz w:val="24"/>
        </w:rPr>
      </w:pPr>
      <w:r>
        <w:rPr>
          <w:rFonts w:hint="eastAsia" w:ascii="宋体" w:hAnsi="宋体" w:cs="宋体"/>
          <w:sz w:val="24"/>
        </w:rPr>
        <w:t>1、评标委员会评委根据评分标准对照各投标人的投标文件内容进行评分。</w:t>
      </w:r>
    </w:p>
    <w:p>
      <w:pPr>
        <w:spacing w:line="360" w:lineRule="auto"/>
        <w:rPr>
          <w:rFonts w:ascii="宋体" w:hAnsi="宋体" w:cs="宋体"/>
          <w:sz w:val="24"/>
        </w:rPr>
      </w:pPr>
      <w:r>
        <w:rPr>
          <w:rFonts w:hint="eastAsia" w:ascii="宋体" w:hAnsi="宋体" w:cs="宋体"/>
          <w:sz w:val="24"/>
        </w:rPr>
        <w:t>2、计分方法：将各投标单位的得分合计后取平均值，即为该投标单位的最终得分。</w:t>
      </w:r>
    </w:p>
    <w:p>
      <w:pPr>
        <w:spacing w:line="360" w:lineRule="auto"/>
        <w:rPr>
          <w:rFonts w:ascii="宋体" w:hAnsi="宋体" w:cs="宋体"/>
          <w:sz w:val="24"/>
        </w:rPr>
      </w:pPr>
      <w:r>
        <w:rPr>
          <w:rFonts w:hint="eastAsia" w:ascii="宋体" w:hAnsi="宋体" w:cs="宋体"/>
          <w:sz w:val="24"/>
        </w:rPr>
        <w:t>3、若得分有相同的，按投标报价由低到高顺序排列。得分且投标报价相同的，按技术指标优劣顺序排列。</w:t>
      </w:r>
    </w:p>
    <w:p>
      <w:pPr>
        <w:spacing w:line="360" w:lineRule="auto"/>
        <w:rPr>
          <w:rFonts w:ascii="宋体" w:hAnsi="宋体" w:cs="宋体"/>
          <w:sz w:val="24"/>
        </w:rPr>
      </w:pPr>
      <w:r>
        <w:rPr>
          <w:rFonts w:hint="eastAsia" w:ascii="宋体" w:hAnsi="宋体" w:cs="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spacing w:line="360" w:lineRule="auto"/>
        <w:rPr>
          <w:rFonts w:ascii="宋体" w:hAnsi="宋体" w:cs="宋体"/>
          <w:sz w:val="24"/>
        </w:rPr>
      </w:pPr>
    </w:p>
    <w:p>
      <w:pPr>
        <w:widowControl/>
        <w:jc w:val="left"/>
        <w:rPr>
          <w:rFonts w:ascii="宋体" w:hAnsi="宋体"/>
          <w:b/>
          <w:szCs w:val="21"/>
        </w:rPr>
      </w:pPr>
      <w:r>
        <w:rPr>
          <w:rFonts w:ascii="宋体" w:hAnsi="宋体"/>
          <w:b/>
          <w:szCs w:val="21"/>
        </w:rPr>
        <w:br w:type="page"/>
      </w:r>
    </w:p>
    <w:p>
      <w:pPr>
        <w:spacing w:line="400" w:lineRule="exact"/>
        <w:ind w:firstLine="3360" w:firstLineChars="1600"/>
        <w:jc w:val="left"/>
        <w:rPr>
          <w:rFonts w:ascii="宋体" w:hAnsi="宋体"/>
          <w:b/>
          <w:szCs w:val="21"/>
        </w:rPr>
      </w:pPr>
      <w:r>
        <w:rPr>
          <w:rFonts w:hint="eastAsia" w:ascii="宋体" w:hAnsi="宋体"/>
          <w:b/>
          <w:szCs w:val="21"/>
        </w:rPr>
        <w:t>投标报价（1</w:t>
      </w:r>
      <w:r>
        <w:rPr>
          <w:rFonts w:ascii="宋体" w:hAnsi="宋体"/>
          <w:b/>
          <w:szCs w:val="21"/>
        </w:rPr>
        <w:t>0</w:t>
      </w:r>
      <w:r>
        <w:rPr>
          <w:rFonts w:hint="eastAsia" w:ascii="宋体" w:hAnsi="宋体"/>
          <w:b/>
          <w:szCs w:val="21"/>
        </w:rPr>
        <w:t>）</w:t>
      </w:r>
    </w:p>
    <w:p/>
    <w:tbl>
      <w:tblPr>
        <w:tblStyle w:val="11"/>
        <w:tblpPr w:leftFromText="180" w:rightFromText="180" w:vertAnchor="text" w:horzAnchor="page" w:tblpX="1102" w:tblpY="399"/>
        <w:tblOverlap w:val="never"/>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7357"/>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1983" w:type="dxa"/>
            <w:noWrap/>
            <w:vAlign w:val="center"/>
          </w:tcPr>
          <w:p>
            <w:pPr>
              <w:pStyle w:val="6"/>
              <w:adjustRightInd w:val="0"/>
              <w:snapToGrid w:val="0"/>
              <w:jc w:val="center"/>
              <w:rPr>
                <w:rFonts w:hint="default" w:hAnsi="宋体" w:cs="宋体"/>
                <w:sz w:val="18"/>
                <w:szCs w:val="18"/>
              </w:rPr>
            </w:pPr>
            <w:r>
              <w:rPr>
                <w:rFonts w:hAnsi="宋体" w:cs="宋体"/>
                <w:sz w:val="18"/>
                <w:szCs w:val="18"/>
              </w:rPr>
              <w:t>报价（</w:t>
            </w:r>
            <w:r>
              <w:rPr>
                <w:rFonts w:hint="default" w:hAnsi="宋体" w:cs="宋体"/>
                <w:sz w:val="18"/>
                <w:szCs w:val="18"/>
              </w:rPr>
              <w:t>1</w:t>
            </w:r>
            <w:r>
              <w:rPr>
                <w:rFonts w:hAnsi="宋体" w:cs="宋体"/>
                <w:sz w:val="18"/>
                <w:szCs w:val="18"/>
              </w:rPr>
              <w:t>0分）</w:t>
            </w:r>
          </w:p>
        </w:tc>
        <w:tc>
          <w:tcPr>
            <w:tcW w:w="7357" w:type="dxa"/>
            <w:noWrap/>
            <w:vAlign w:val="center"/>
          </w:tcPr>
          <w:p>
            <w:pPr>
              <w:pStyle w:val="6"/>
              <w:adjustRightInd w:val="0"/>
              <w:snapToGrid w:val="0"/>
              <w:rPr>
                <w:rFonts w:hint="default" w:hAnsi="宋体" w:cs="宋体"/>
                <w:sz w:val="18"/>
                <w:szCs w:val="18"/>
                <w:lang w:eastAsia="zh-CN"/>
              </w:rPr>
            </w:pPr>
            <w:r>
              <w:rPr>
                <w:rFonts w:hAnsi="宋体" w:cs="宋体"/>
                <w:sz w:val="18"/>
                <w:szCs w:val="18"/>
                <w:lang w:eastAsia="zh-CN"/>
              </w:rPr>
              <w:t>满足招标文件要求且投标价格最低的投标报价为评标基准价，其价格分为满分，其他投标人的价格分统一按下列公式计算：报价得分=（评标基准价/投标报价）×价格权值</w:t>
            </w:r>
          </w:p>
        </w:tc>
        <w:tc>
          <w:tcPr>
            <w:tcW w:w="701" w:type="dxa"/>
            <w:noWrap/>
            <w:vAlign w:val="center"/>
          </w:tcPr>
          <w:p>
            <w:pPr>
              <w:pStyle w:val="6"/>
              <w:adjustRightInd w:val="0"/>
              <w:snapToGrid w:val="0"/>
              <w:jc w:val="center"/>
              <w:rPr>
                <w:rFonts w:hint="default" w:hAnsi="宋体" w:cs="宋体"/>
                <w:sz w:val="18"/>
                <w:szCs w:val="18"/>
              </w:rPr>
            </w:pPr>
            <w:r>
              <w:rPr>
                <w:rFonts w:hint="default" w:hAnsi="宋体" w:cs="宋体"/>
                <w:sz w:val="18"/>
                <w:szCs w:val="18"/>
              </w:rPr>
              <w:t>1</w:t>
            </w:r>
            <w:r>
              <w:rPr>
                <w:rFonts w:hAnsi="宋体" w:cs="宋体"/>
                <w:sz w:val="18"/>
                <w:szCs w:val="18"/>
              </w:rPr>
              <w:t>0</w:t>
            </w:r>
          </w:p>
        </w:tc>
      </w:tr>
    </w:tbl>
    <w:p/>
    <w:p/>
    <w:p/>
    <w:p/>
    <w:p>
      <w:pPr>
        <w:spacing w:line="400" w:lineRule="exact"/>
        <w:ind w:firstLine="3360" w:firstLineChars="1600"/>
        <w:rPr>
          <w:rFonts w:ascii="宋体" w:hAnsi="宋体"/>
          <w:b/>
          <w:szCs w:val="21"/>
        </w:rPr>
      </w:pPr>
      <w:r>
        <w:rPr>
          <w:rFonts w:hint="eastAsia" w:ascii="宋体" w:hAnsi="宋体"/>
          <w:b/>
          <w:szCs w:val="21"/>
        </w:rPr>
        <w:t>商务部分（2</w:t>
      </w:r>
      <w:r>
        <w:rPr>
          <w:rFonts w:ascii="宋体" w:hAnsi="宋体"/>
          <w:b/>
          <w:szCs w:val="21"/>
        </w:rPr>
        <w:t>0</w:t>
      </w:r>
      <w:r>
        <w:rPr>
          <w:rFonts w:hint="eastAsia" w:ascii="宋体" w:hAnsi="宋体"/>
          <w:b/>
          <w:szCs w:val="21"/>
        </w:rPr>
        <w:t>）</w:t>
      </w:r>
    </w:p>
    <w:p>
      <w:pPr>
        <w:tabs>
          <w:tab w:val="left" w:pos="5250"/>
        </w:tabs>
      </w:pPr>
    </w:p>
    <w:tbl>
      <w:tblPr>
        <w:tblStyle w:val="11"/>
        <w:tblpPr w:leftFromText="180" w:rightFromText="180" w:vertAnchor="text" w:horzAnchor="page" w:tblpX="1102" w:tblpY="399"/>
        <w:tblOverlap w:val="never"/>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054"/>
        <w:gridCol w:w="614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77" w:type="dxa"/>
            <w:vMerge w:val="restart"/>
            <w:noWrap/>
            <w:vAlign w:val="center"/>
          </w:tcPr>
          <w:p>
            <w:pPr>
              <w:pStyle w:val="6"/>
              <w:adjustRightInd w:val="0"/>
              <w:snapToGrid w:val="0"/>
              <w:jc w:val="center"/>
              <w:rPr>
                <w:rFonts w:hint="default" w:hAnsi="宋体" w:cs="宋体"/>
                <w:sz w:val="18"/>
                <w:szCs w:val="18"/>
              </w:rPr>
            </w:pPr>
            <w:r>
              <w:rPr>
                <w:rFonts w:hAnsi="宋体" w:cs="宋体"/>
                <w:sz w:val="18"/>
                <w:szCs w:val="18"/>
                <w:lang w:eastAsia="zh-CN"/>
              </w:rPr>
              <w:t>商务部分（2</w:t>
            </w:r>
            <w:r>
              <w:rPr>
                <w:rFonts w:hint="default" w:hAnsi="宋体" w:cs="宋体"/>
                <w:sz w:val="18"/>
                <w:szCs w:val="18"/>
                <w:lang w:eastAsia="zh-CN"/>
              </w:rPr>
              <w:t>0</w:t>
            </w:r>
            <w:r>
              <w:rPr>
                <w:rFonts w:hAnsi="宋体" w:cs="宋体"/>
                <w:sz w:val="18"/>
                <w:szCs w:val="18"/>
                <w:lang w:eastAsia="zh-CN"/>
              </w:rPr>
              <w:t>分）</w:t>
            </w:r>
          </w:p>
        </w:tc>
        <w:tc>
          <w:tcPr>
            <w:tcW w:w="2054" w:type="dxa"/>
            <w:vMerge w:val="restart"/>
            <w:noWrap/>
            <w:vAlign w:val="center"/>
          </w:tcPr>
          <w:p>
            <w:pPr>
              <w:pStyle w:val="6"/>
              <w:adjustRightInd w:val="0"/>
              <w:snapToGrid w:val="0"/>
              <w:jc w:val="center"/>
              <w:rPr>
                <w:rFonts w:hint="default" w:hAnsi="宋体" w:cs="宋体"/>
                <w:sz w:val="18"/>
                <w:szCs w:val="18"/>
                <w:lang w:eastAsia="zh-CN"/>
              </w:rPr>
            </w:pPr>
            <w:r>
              <w:rPr>
                <w:rFonts w:hAnsi="宋体" w:cs="宋体"/>
                <w:sz w:val="18"/>
                <w:szCs w:val="18"/>
                <w:lang w:eastAsia="zh-CN"/>
              </w:rPr>
              <w:t>企业内部管理制度</w:t>
            </w:r>
            <w:r>
              <w:rPr>
                <w:rFonts w:hAnsi="宋体" w:cs="宋体"/>
                <w:sz w:val="18"/>
                <w:szCs w:val="18"/>
                <w:lang w:eastAsia="zh-CN"/>
              </w:rPr>
              <w:br w:type="textWrapping"/>
            </w:r>
            <w:r>
              <w:rPr>
                <w:rFonts w:hAnsi="宋体" w:cs="宋体"/>
                <w:sz w:val="18"/>
                <w:szCs w:val="18"/>
                <w:lang w:eastAsia="zh-CN"/>
              </w:rPr>
              <w:t>（</w:t>
            </w:r>
            <w:r>
              <w:rPr>
                <w:rFonts w:hint="default" w:hAnsi="宋体" w:cs="宋体"/>
                <w:sz w:val="18"/>
                <w:szCs w:val="18"/>
                <w:lang w:eastAsia="zh-CN"/>
              </w:rPr>
              <w:t>5</w:t>
            </w:r>
            <w:r>
              <w:rPr>
                <w:rFonts w:hAnsi="宋体" w:cs="宋体"/>
                <w:sz w:val="18"/>
                <w:szCs w:val="18"/>
                <w:lang w:eastAsia="zh-CN"/>
              </w:rPr>
              <w:t>分）</w:t>
            </w:r>
          </w:p>
        </w:tc>
        <w:tc>
          <w:tcPr>
            <w:tcW w:w="6148" w:type="dxa"/>
            <w:noWrap/>
            <w:vAlign w:val="center"/>
          </w:tcPr>
          <w:p>
            <w:pPr>
              <w:rPr>
                <w:rFonts w:ascii="宋体" w:hAnsi="宋体" w:cs="宋体"/>
                <w:sz w:val="18"/>
                <w:szCs w:val="18"/>
              </w:rPr>
            </w:pPr>
            <w:r>
              <w:rPr>
                <w:rFonts w:hint="eastAsia" w:ascii="宋体" w:hAnsi="宋体" w:cs="宋体"/>
                <w:sz w:val="18"/>
                <w:szCs w:val="18"/>
              </w:rPr>
              <w:t>评委根据供应商所提供的企业内部管理制度合理，全面。</w:t>
            </w:r>
          </w:p>
        </w:tc>
        <w:tc>
          <w:tcPr>
            <w:tcW w:w="689" w:type="dxa"/>
            <w:noWrap/>
            <w:vAlign w:val="center"/>
          </w:tcPr>
          <w:p>
            <w:pPr>
              <w:pStyle w:val="6"/>
              <w:adjustRightInd w:val="0"/>
              <w:snapToGrid w:val="0"/>
              <w:jc w:val="center"/>
              <w:rPr>
                <w:rFonts w:hint="default" w:hAnsi="宋体" w:cs="宋体"/>
                <w:sz w:val="18"/>
                <w:szCs w:val="18"/>
              </w:rPr>
            </w:pPr>
            <w:r>
              <w:rPr>
                <w:rFonts w:hint="default" w:hAns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77" w:type="dxa"/>
            <w:vMerge w:val="continue"/>
            <w:noWrap/>
            <w:vAlign w:val="center"/>
          </w:tcPr>
          <w:p>
            <w:pPr>
              <w:pStyle w:val="6"/>
              <w:adjustRightInd w:val="0"/>
              <w:snapToGrid w:val="0"/>
              <w:jc w:val="center"/>
              <w:rPr>
                <w:rFonts w:hint="default" w:hAnsi="宋体" w:cs="宋体"/>
                <w:sz w:val="18"/>
                <w:szCs w:val="18"/>
              </w:rPr>
            </w:pPr>
          </w:p>
        </w:tc>
        <w:tc>
          <w:tcPr>
            <w:tcW w:w="2054" w:type="dxa"/>
            <w:vMerge w:val="continue"/>
            <w:noWrap/>
            <w:vAlign w:val="center"/>
          </w:tcPr>
          <w:p>
            <w:pPr>
              <w:pStyle w:val="6"/>
              <w:adjustRightInd w:val="0"/>
              <w:snapToGrid w:val="0"/>
              <w:jc w:val="center"/>
              <w:rPr>
                <w:rFonts w:hint="default" w:hAnsi="宋体" w:cs="宋体"/>
                <w:sz w:val="18"/>
                <w:szCs w:val="18"/>
              </w:rPr>
            </w:pPr>
          </w:p>
        </w:tc>
        <w:tc>
          <w:tcPr>
            <w:tcW w:w="6148" w:type="dxa"/>
            <w:noWrap/>
            <w:vAlign w:val="center"/>
          </w:tcPr>
          <w:p>
            <w:pPr>
              <w:rPr>
                <w:rFonts w:ascii="宋体" w:hAnsi="宋体" w:cs="宋体"/>
                <w:sz w:val="18"/>
                <w:szCs w:val="18"/>
              </w:rPr>
            </w:pPr>
            <w:r>
              <w:rPr>
                <w:rFonts w:hint="eastAsia" w:ascii="宋体" w:hAnsi="宋体" w:cs="宋体"/>
                <w:sz w:val="18"/>
                <w:szCs w:val="18"/>
              </w:rPr>
              <w:t>评委根据供应商所提供的企业内部管理制度较合理、较全面。</w:t>
            </w:r>
          </w:p>
        </w:tc>
        <w:tc>
          <w:tcPr>
            <w:tcW w:w="689" w:type="dxa"/>
            <w:noWrap/>
            <w:vAlign w:val="center"/>
          </w:tcPr>
          <w:p>
            <w:pPr>
              <w:pStyle w:val="6"/>
              <w:adjustRightInd w:val="0"/>
              <w:snapToGrid w:val="0"/>
              <w:jc w:val="center"/>
              <w:rPr>
                <w:rFonts w:hint="default" w:hAnsi="宋体" w:cs="宋体"/>
                <w:sz w:val="18"/>
                <w:szCs w:val="18"/>
              </w:rPr>
            </w:pPr>
            <w:r>
              <w:rPr>
                <w:rFonts w:hint="default"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77" w:type="dxa"/>
            <w:vMerge w:val="continue"/>
            <w:noWrap/>
            <w:vAlign w:val="center"/>
          </w:tcPr>
          <w:p>
            <w:pPr>
              <w:pStyle w:val="6"/>
              <w:adjustRightInd w:val="0"/>
              <w:snapToGrid w:val="0"/>
              <w:jc w:val="center"/>
              <w:rPr>
                <w:rFonts w:hint="default" w:hAnsi="宋体" w:cs="宋体"/>
                <w:sz w:val="18"/>
                <w:szCs w:val="18"/>
              </w:rPr>
            </w:pPr>
          </w:p>
        </w:tc>
        <w:tc>
          <w:tcPr>
            <w:tcW w:w="2054" w:type="dxa"/>
            <w:vMerge w:val="continue"/>
            <w:noWrap/>
            <w:vAlign w:val="center"/>
          </w:tcPr>
          <w:p>
            <w:pPr>
              <w:pStyle w:val="6"/>
              <w:adjustRightInd w:val="0"/>
              <w:snapToGrid w:val="0"/>
              <w:jc w:val="center"/>
              <w:rPr>
                <w:rFonts w:hint="default" w:hAnsi="宋体" w:cs="宋体"/>
                <w:sz w:val="18"/>
                <w:szCs w:val="18"/>
              </w:rPr>
            </w:pPr>
          </w:p>
        </w:tc>
        <w:tc>
          <w:tcPr>
            <w:tcW w:w="6148" w:type="dxa"/>
            <w:noWrap/>
            <w:vAlign w:val="center"/>
          </w:tcPr>
          <w:p>
            <w:pPr>
              <w:rPr>
                <w:rFonts w:ascii="宋体" w:hAnsi="宋体" w:cs="宋体"/>
                <w:sz w:val="18"/>
                <w:szCs w:val="18"/>
              </w:rPr>
            </w:pPr>
            <w:r>
              <w:rPr>
                <w:rFonts w:hint="eastAsia" w:ascii="宋体" w:hAnsi="宋体" w:cs="宋体"/>
                <w:sz w:val="18"/>
                <w:szCs w:val="18"/>
              </w:rPr>
              <w:t>评委根据供应商所提供的企业内部管理制度欠合理、不够全面。</w:t>
            </w:r>
          </w:p>
        </w:tc>
        <w:tc>
          <w:tcPr>
            <w:tcW w:w="689" w:type="dxa"/>
            <w:noWrap/>
            <w:vAlign w:val="center"/>
          </w:tcPr>
          <w:p>
            <w:pPr>
              <w:pStyle w:val="6"/>
              <w:adjustRightInd w:val="0"/>
              <w:snapToGrid w:val="0"/>
              <w:jc w:val="center"/>
              <w:rPr>
                <w:rFonts w:hint="default" w:hAnsi="宋体" w:cs="宋体"/>
                <w:sz w:val="18"/>
                <w:szCs w:val="18"/>
              </w:rPr>
            </w:pPr>
            <w:r>
              <w:rPr>
                <w:rFonts w:hint="default"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7" w:type="dxa"/>
            <w:vMerge w:val="continue"/>
            <w:noWrap/>
            <w:vAlign w:val="center"/>
          </w:tcPr>
          <w:p>
            <w:pPr>
              <w:pStyle w:val="6"/>
              <w:adjustRightInd w:val="0"/>
              <w:snapToGrid w:val="0"/>
              <w:jc w:val="center"/>
              <w:rPr>
                <w:rFonts w:hint="default" w:hAnsi="宋体" w:cs="宋体"/>
                <w:sz w:val="18"/>
                <w:szCs w:val="18"/>
              </w:rPr>
            </w:pPr>
          </w:p>
        </w:tc>
        <w:tc>
          <w:tcPr>
            <w:tcW w:w="2054" w:type="dxa"/>
            <w:vMerge w:val="continue"/>
            <w:noWrap/>
            <w:vAlign w:val="center"/>
          </w:tcPr>
          <w:p>
            <w:pPr>
              <w:pStyle w:val="6"/>
              <w:adjustRightInd w:val="0"/>
              <w:snapToGrid w:val="0"/>
              <w:jc w:val="center"/>
              <w:rPr>
                <w:rFonts w:hint="default" w:hAnsi="宋体" w:cs="宋体"/>
                <w:sz w:val="18"/>
                <w:szCs w:val="18"/>
              </w:rPr>
            </w:pPr>
          </w:p>
        </w:tc>
        <w:tc>
          <w:tcPr>
            <w:tcW w:w="6148" w:type="dxa"/>
            <w:noWrap/>
            <w:vAlign w:val="center"/>
          </w:tcPr>
          <w:p>
            <w:pPr>
              <w:rPr>
                <w:rFonts w:ascii="宋体" w:hAnsi="宋体" w:cs="宋体"/>
                <w:sz w:val="18"/>
                <w:szCs w:val="18"/>
              </w:rPr>
            </w:pPr>
            <w:r>
              <w:rPr>
                <w:rFonts w:hint="eastAsia" w:ascii="宋体" w:hAnsi="宋体" w:cs="宋体"/>
                <w:sz w:val="18"/>
                <w:szCs w:val="18"/>
              </w:rPr>
              <w:t>未提供企业内部管理制度。</w:t>
            </w:r>
          </w:p>
        </w:tc>
        <w:tc>
          <w:tcPr>
            <w:tcW w:w="689" w:type="dxa"/>
            <w:noWrap/>
            <w:vAlign w:val="center"/>
          </w:tcPr>
          <w:p>
            <w:pPr>
              <w:pStyle w:val="6"/>
              <w:adjustRightInd w:val="0"/>
              <w:snapToGrid w:val="0"/>
              <w:jc w:val="center"/>
              <w:rPr>
                <w:rFonts w:hint="default" w:hAnsi="宋体" w:cs="宋体"/>
                <w:sz w:val="18"/>
                <w:szCs w:val="18"/>
              </w:rPr>
            </w:pPr>
            <w:r>
              <w:rPr>
                <w:rFonts w:hAnsi="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trPr>
        <w:tc>
          <w:tcPr>
            <w:tcW w:w="977" w:type="dxa"/>
            <w:vMerge w:val="continue"/>
            <w:noWrap/>
            <w:vAlign w:val="center"/>
          </w:tcPr>
          <w:p>
            <w:pPr>
              <w:pStyle w:val="6"/>
              <w:adjustRightInd w:val="0"/>
              <w:snapToGrid w:val="0"/>
              <w:jc w:val="center"/>
              <w:rPr>
                <w:rFonts w:hint="default" w:hAnsi="宋体" w:cs="宋体"/>
                <w:sz w:val="18"/>
                <w:szCs w:val="18"/>
              </w:rPr>
            </w:pPr>
          </w:p>
        </w:tc>
        <w:tc>
          <w:tcPr>
            <w:tcW w:w="2054" w:type="dxa"/>
            <w:noWrap/>
            <w:vAlign w:val="center"/>
          </w:tcPr>
          <w:p>
            <w:pPr>
              <w:pStyle w:val="6"/>
              <w:adjustRightInd w:val="0"/>
              <w:snapToGrid w:val="0"/>
              <w:jc w:val="center"/>
              <w:rPr>
                <w:rFonts w:hint="default" w:hAnsi="宋体" w:cs="宋体"/>
                <w:sz w:val="18"/>
                <w:szCs w:val="18"/>
              </w:rPr>
            </w:pPr>
            <w:r>
              <w:rPr>
                <w:rFonts w:hAnsi="宋体" w:cs="宋体"/>
                <w:sz w:val="18"/>
                <w:szCs w:val="18"/>
              </w:rPr>
              <w:t>类似项目业绩</w:t>
            </w:r>
            <w:r>
              <w:rPr>
                <w:rFonts w:hAnsi="宋体" w:cs="宋体"/>
                <w:sz w:val="18"/>
                <w:szCs w:val="18"/>
              </w:rPr>
              <w:br w:type="textWrapping"/>
            </w:r>
            <w:r>
              <w:rPr>
                <w:rFonts w:hAnsi="宋体" w:cs="宋体"/>
                <w:sz w:val="18"/>
                <w:szCs w:val="18"/>
              </w:rPr>
              <w:t>（</w:t>
            </w:r>
            <w:r>
              <w:rPr>
                <w:rFonts w:hint="default" w:hAnsi="宋体" w:cs="宋体"/>
                <w:sz w:val="18"/>
                <w:szCs w:val="18"/>
              </w:rPr>
              <w:t>15</w:t>
            </w:r>
            <w:r>
              <w:rPr>
                <w:rFonts w:hAnsi="宋体" w:cs="宋体"/>
                <w:sz w:val="18"/>
                <w:szCs w:val="18"/>
              </w:rPr>
              <w:t>分）</w:t>
            </w:r>
          </w:p>
        </w:tc>
        <w:tc>
          <w:tcPr>
            <w:tcW w:w="6148" w:type="dxa"/>
            <w:noWrap/>
            <w:vAlign w:val="center"/>
          </w:tcPr>
          <w:p>
            <w:pPr>
              <w:adjustRightInd w:val="0"/>
              <w:snapToGrid w:val="0"/>
              <w:rPr>
                <w:rFonts w:ascii="宋体" w:hAnsi="宋体" w:cs="宋体"/>
                <w:sz w:val="18"/>
                <w:szCs w:val="18"/>
              </w:rPr>
            </w:pPr>
            <w:r>
              <w:rPr>
                <w:rFonts w:hint="eastAsia" w:ascii="宋体" w:hAnsi="宋体" w:cs="宋体"/>
                <w:sz w:val="18"/>
                <w:szCs w:val="18"/>
              </w:rPr>
              <w:t>投标人提供类似业绩，每提供一个业绩得</w:t>
            </w:r>
            <w:r>
              <w:rPr>
                <w:rFonts w:ascii="宋体" w:hAnsi="宋体" w:cs="宋体"/>
                <w:sz w:val="18"/>
                <w:szCs w:val="18"/>
              </w:rPr>
              <w:t>5</w:t>
            </w:r>
            <w:r>
              <w:rPr>
                <w:rFonts w:hint="eastAsia" w:ascii="宋体" w:hAnsi="宋体" w:cs="宋体"/>
                <w:sz w:val="18"/>
                <w:szCs w:val="18"/>
              </w:rPr>
              <w:t>分，满分</w:t>
            </w:r>
            <w:r>
              <w:rPr>
                <w:rFonts w:ascii="宋体" w:hAnsi="宋体" w:cs="宋体"/>
                <w:sz w:val="18"/>
                <w:szCs w:val="18"/>
              </w:rPr>
              <w:t>15</w:t>
            </w:r>
            <w:r>
              <w:rPr>
                <w:rFonts w:hint="eastAsia" w:ascii="宋体" w:hAnsi="宋体" w:cs="宋体"/>
                <w:sz w:val="18"/>
                <w:szCs w:val="18"/>
              </w:rPr>
              <w:t>分。</w:t>
            </w:r>
          </w:p>
          <w:p>
            <w:pPr>
              <w:adjustRightInd w:val="0"/>
              <w:snapToGrid w:val="0"/>
              <w:rPr>
                <w:rFonts w:ascii="宋体" w:hAnsi="宋体" w:cs="宋体"/>
                <w:sz w:val="18"/>
                <w:szCs w:val="18"/>
              </w:rPr>
            </w:pPr>
            <w:r>
              <w:rPr>
                <w:rFonts w:hint="eastAsia" w:ascii="宋体" w:hAnsi="宋体" w:cs="宋体"/>
                <w:sz w:val="18"/>
                <w:szCs w:val="18"/>
              </w:rPr>
              <w:t>注：每个有效业绩须包含以下内容：合同复印件（提供合同首页、主要内容页、金额</w:t>
            </w:r>
            <w:r>
              <w:rPr>
                <w:rFonts w:ascii="宋体" w:hAnsi="宋体" w:cs="宋体"/>
                <w:sz w:val="18"/>
                <w:szCs w:val="18"/>
              </w:rPr>
              <w:t>页、</w:t>
            </w:r>
            <w:r>
              <w:rPr>
                <w:rFonts w:hint="eastAsia" w:ascii="宋体" w:hAnsi="宋体" w:cs="宋体"/>
                <w:sz w:val="18"/>
                <w:szCs w:val="18"/>
              </w:rPr>
              <w:t>盖章页等关键页并加盖公章）。</w:t>
            </w:r>
          </w:p>
        </w:tc>
        <w:tc>
          <w:tcPr>
            <w:tcW w:w="689" w:type="dxa"/>
            <w:noWrap/>
            <w:vAlign w:val="center"/>
          </w:tcPr>
          <w:p>
            <w:pPr>
              <w:pStyle w:val="6"/>
              <w:adjustRightInd w:val="0"/>
              <w:snapToGrid w:val="0"/>
              <w:jc w:val="center"/>
              <w:rPr>
                <w:rFonts w:hint="default" w:hAnsi="宋体" w:cs="宋体"/>
                <w:sz w:val="18"/>
                <w:szCs w:val="18"/>
              </w:rPr>
            </w:pPr>
            <w:r>
              <w:rPr>
                <w:rFonts w:hint="default" w:hAnsi="宋体" w:cs="宋体"/>
                <w:sz w:val="18"/>
                <w:szCs w:val="18"/>
              </w:rPr>
              <w:t>15</w:t>
            </w:r>
          </w:p>
        </w:tc>
      </w:tr>
    </w:tbl>
    <w:p>
      <w:pPr>
        <w:tabs>
          <w:tab w:val="left" w:pos="5250"/>
        </w:tabs>
      </w:pPr>
    </w:p>
    <w:p/>
    <w:p>
      <w:pPr>
        <w:sectPr>
          <w:pgSz w:w="11906" w:h="16838"/>
          <w:pgMar w:top="1440" w:right="1797" w:bottom="1418" w:left="1797" w:header="851" w:footer="992" w:gutter="0"/>
          <w:cols w:space="425" w:num="1"/>
          <w:docGrid w:type="linesAndChars" w:linePitch="312" w:charSpace="0"/>
        </w:sectPr>
      </w:pPr>
    </w:p>
    <w:p>
      <w:pPr>
        <w:ind w:firstLine="6510" w:firstLineChars="3100"/>
        <w:rPr>
          <w:b/>
          <w:bCs/>
        </w:rPr>
      </w:pPr>
      <w:r>
        <w:rPr>
          <w:rFonts w:hint="eastAsia"/>
          <w:b/>
          <w:bCs/>
        </w:rPr>
        <w:t>技术部分（7</w:t>
      </w:r>
      <w:r>
        <w:rPr>
          <w:b/>
          <w:bCs/>
        </w:rPr>
        <w:t>0</w:t>
      </w:r>
      <w:r>
        <w:rPr>
          <w:rFonts w:hint="eastAsia"/>
          <w:b/>
          <w:bCs/>
        </w:rPr>
        <w:t>）</w:t>
      </w:r>
    </w:p>
    <w:p/>
    <w:tbl>
      <w:tblPr>
        <w:tblStyle w:val="11"/>
        <w:tblW w:w="139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528"/>
        <w:gridCol w:w="814"/>
        <w:gridCol w:w="6716"/>
        <w:gridCol w:w="709"/>
        <w:gridCol w:w="567"/>
        <w:gridCol w:w="567"/>
        <w:gridCol w:w="626"/>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序号</w:t>
            </w:r>
          </w:p>
        </w:tc>
        <w:tc>
          <w:tcPr>
            <w:tcW w:w="25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评分项目</w:t>
            </w:r>
          </w:p>
        </w:tc>
        <w:tc>
          <w:tcPr>
            <w:tcW w:w="8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标准分</w:t>
            </w:r>
          </w:p>
        </w:tc>
        <w:tc>
          <w:tcPr>
            <w:tcW w:w="67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评分</w:t>
            </w:r>
            <w:bookmarkStart w:id="4" w:name="_GoBack"/>
            <w:bookmarkEnd w:id="4"/>
            <w:r>
              <w:rPr>
                <w:rFonts w:ascii="Arial" w:hAnsi="Arial" w:cs="Arial"/>
                <w:szCs w:val="21"/>
              </w:rPr>
              <w:t>标准</w:t>
            </w:r>
          </w:p>
        </w:tc>
        <w:tc>
          <w:tcPr>
            <w:tcW w:w="24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hint="eastAsia" w:ascii="Arial" w:hAnsi="Arial" w:cs="Arial"/>
                <w:szCs w:val="21"/>
              </w:rPr>
              <w:t>投标人名称</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hint="eastAsia"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p>
        </w:tc>
        <w:tc>
          <w:tcPr>
            <w:tcW w:w="252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81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p>
        </w:tc>
        <w:tc>
          <w:tcPr>
            <w:tcW w:w="67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7" w:hRule="atLeast"/>
        </w:trPr>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hint="eastAsia" w:ascii="Arial" w:hAnsi="Arial" w:cs="Arial"/>
                <w:szCs w:val="21"/>
              </w:rPr>
              <w:t>1</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szCs w:val="21"/>
              </w:rPr>
            </w:pPr>
            <w:r>
              <w:rPr>
                <w:rFonts w:hint="eastAsia" w:ascii="Arial" w:hAnsi="Arial"/>
                <w:szCs w:val="21"/>
              </w:rPr>
              <w:t>物业管理整体设想及策划</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szCs w:val="21"/>
              </w:rPr>
              <w:t>5</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物业管理整体设想及策划完整、合理；方案科学、针对性强</w:t>
            </w:r>
            <w:r>
              <w:rPr>
                <w:rFonts w:ascii="Arial" w:hAnsi="Arial"/>
                <w:szCs w:val="21"/>
              </w:rPr>
              <w:t>5</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物业管理整体设想及策划较完整、合理；方案科学、针对性一般</w:t>
            </w:r>
            <w:r>
              <w:rPr>
                <w:rFonts w:ascii="Arial" w:hAnsi="Arial"/>
                <w:szCs w:val="21"/>
              </w:rPr>
              <w:t>3</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物业管理整体设想及策划一般；方案科学、针对性一般</w:t>
            </w:r>
            <w:r>
              <w:rPr>
                <w:rFonts w:ascii="Arial" w:hAnsi="Arial"/>
                <w:szCs w:val="21"/>
              </w:rPr>
              <w:t>2</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物业管理整体设想及策划较差0分；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7" w:hRule="atLeast"/>
        </w:trPr>
        <w:tc>
          <w:tcPr>
            <w:tcW w:w="5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hint="eastAsia" w:ascii="Arial" w:hAnsi="Arial" w:cs="Arial"/>
                <w:szCs w:val="21"/>
              </w:rPr>
              <w:t>2</w:t>
            </w:r>
          </w:p>
        </w:tc>
        <w:tc>
          <w:tcPr>
            <w:tcW w:w="2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拟建立的组织机构及管理人员配备，人员的培训及管理</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szCs w:val="21"/>
              </w:rPr>
            </w:pPr>
            <w:r>
              <w:rPr>
                <w:rFonts w:hint="eastAsia" w:ascii="Arial" w:hAnsi="Arial"/>
                <w:szCs w:val="21"/>
              </w:rPr>
              <w:t>10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组织机构及管理人员配备合理，人员的培训及管理合理10分；</w:t>
            </w:r>
          </w:p>
          <w:p>
            <w:pPr>
              <w:adjustRightInd w:val="0"/>
              <w:snapToGrid w:val="0"/>
              <w:jc w:val="left"/>
              <w:rPr>
                <w:rFonts w:ascii="Arial" w:hAnsi="Arial"/>
                <w:szCs w:val="21"/>
              </w:rPr>
            </w:pPr>
            <w:r>
              <w:rPr>
                <w:rFonts w:hint="eastAsia" w:ascii="Arial" w:hAnsi="Arial"/>
                <w:szCs w:val="21"/>
              </w:rPr>
              <w:t>组织机构及管理人员配备较合理，人员的培训及管理较合理</w:t>
            </w:r>
            <w:r>
              <w:rPr>
                <w:rFonts w:ascii="Arial" w:hAnsi="Arial"/>
                <w:szCs w:val="21"/>
              </w:rPr>
              <w:t>7</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组织机构及管理人员配备一般，人员的培训及管理一般</w:t>
            </w:r>
            <w:r>
              <w:rPr>
                <w:rFonts w:ascii="Arial" w:hAnsi="Arial"/>
                <w:szCs w:val="21"/>
              </w:rPr>
              <w:t>3</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组织机构及管理人员配备较差，人员的培训及管理较差</w:t>
            </w:r>
            <w:r>
              <w:rPr>
                <w:rFonts w:ascii="Arial" w:hAnsi="Arial"/>
                <w:szCs w:val="21"/>
              </w:rPr>
              <w:t>0</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ascii="Arial" w:hAnsi="Arial" w:cs="Arial"/>
                <w:szCs w:val="21"/>
              </w:rPr>
              <w:t>3</w:t>
            </w:r>
          </w:p>
        </w:tc>
        <w:tc>
          <w:tcPr>
            <w:tcW w:w="2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管理的规章制度及档案的建立与管理</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szCs w:val="21"/>
              </w:rPr>
            </w:pPr>
            <w:r>
              <w:rPr>
                <w:rFonts w:ascii="Arial" w:hAnsi="Arial"/>
                <w:szCs w:val="21"/>
              </w:rPr>
              <w:t>10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管理的规章制度及档案的建立与管理制度齐全、完善、可行10分；</w:t>
            </w:r>
          </w:p>
          <w:p>
            <w:pPr>
              <w:adjustRightInd w:val="0"/>
              <w:snapToGrid w:val="0"/>
              <w:jc w:val="left"/>
              <w:rPr>
                <w:rFonts w:ascii="Arial" w:hAnsi="Arial"/>
                <w:szCs w:val="21"/>
              </w:rPr>
            </w:pPr>
            <w:r>
              <w:rPr>
                <w:rFonts w:hint="eastAsia" w:ascii="Arial" w:hAnsi="Arial"/>
                <w:szCs w:val="21"/>
              </w:rPr>
              <w:t>管理的规章制度及档案的建立与管理制度较齐全、较完善可行</w:t>
            </w:r>
            <w:r>
              <w:rPr>
                <w:rFonts w:ascii="Arial" w:hAnsi="Arial"/>
                <w:szCs w:val="21"/>
              </w:rPr>
              <w:t>7</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管理的规章制度及档案的建立与管理制度较齐全、较完善基本可行</w:t>
            </w:r>
            <w:r>
              <w:rPr>
                <w:rFonts w:ascii="Arial" w:hAnsi="Arial"/>
                <w:szCs w:val="21"/>
              </w:rPr>
              <w:t>3</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管理的规章制度及档案的建立与管理制度不齐全、不完善不可行</w:t>
            </w:r>
            <w:r>
              <w:rPr>
                <w:rFonts w:ascii="Arial" w:hAnsi="Arial"/>
                <w:szCs w:val="21"/>
              </w:rPr>
              <w:t>0</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hint="eastAsia" w:ascii="Arial" w:hAnsi="Arial" w:cs="Arial"/>
                <w:szCs w:val="21"/>
              </w:rPr>
              <w:t>5</w:t>
            </w:r>
          </w:p>
        </w:tc>
        <w:tc>
          <w:tcPr>
            <w:tcW w:w="25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物业服务方案</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szCs w:val="21"/>
              </w:rPr>
            </w:pPr>
            <w:r>
              <w:rPr>
                <w:rFonts w:hint="eastAsia" w:ascii="Arial" w:hAnsi="Arial"/>
                <w:szCs w:val="21"/>
              </w:rPr>
              <w:t>1</w:t>
            </w:r>
            <w:r>
              <w:rPr>
                <w:rFonts w:ascii="Arial" w:hAnsi="Arial"/>
                <w:szCs w:val="21"/>
              </w:rPr>
              <w:t>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物业服务方案详细、完整、针对性强10分；</w:t>
            </w:r>
          </w:p>
          <w:p>
            <w:pPr>
              <w:adjustRightInd w:val="0"/>
              <w:snapToGrid w:val="0"/>
              <w:jc w:val="left"/>
              <w:rPr>
                <w:rFonts w:ascii="Arial" w:hAnsi="Arial"/>
                <w:szCs w:val="21"/>
              </w:rPr>
            </w:pPr>
            <w:r>
              <w:rPr>
                <w:rFonts w:hint="eastAsia" w:ascii="Arial" w:hAnsi="Arial"/>
                <w:szCs w:val="21"/>
              </w:rPr>
              <w:t>物业服务方案较详细、较完整、针对性一般10分；</w:t>
            </w:r>
          </w:p>
          <w:p>
            <w:pPr>
              <w:adjustRightInd w:val="0"/>
              <w:snapToGrid w:val="0"/>
              <w:jc w:val="left"/>
              <w:rPr>
                <w:rFonts w:ascii="Arial" w:hAnsi="Arial"/>
                <w:szCs w:val="21"/>
              </w:rPr>
            </w:pPr>
            <w:r>
              <w:rPr>
                <w:rFonts w:hint="eastAsia" w:ascii="Arial" w:hAnsi="Arial"/>
                <w:szCs w:val="21"/>
              </w:rPr>
              <w:t>物业服务方案一般、较完整、针对性差10分；</w:t>
            </w:r>
          </w:p>
          <w:p>
            <w:pPr>
              <w:adjustRightInd w:val="0"/>
              <w:snapToGrid w:val="0"/>
              <w:jc w:val="left"/>
              <w:rPr>
                <w:rFonts w:ascii="Arial" w:hAnsi="Arial"/>
                <w:szCs w:val="21"/>
              </w:rPr>
            </w:pPr>
            <w:r>
              <w:rPr>
                <w:rFonts w:hint="eastAsia" w:ascii="Arial" w:hAnsi="Arial"/>
                <w:szCs w:val="21"/>
              </w:rPr>
              <w:t>物业服务方案较差、针对性差</w:t>
            </w:r>
            <w:r>
              <w:rPr>
                <w:rFonts w:ascii="Arial" w:hAnsi="Arial"/>
                <w:szCs w:val="21"/>
              </w:rPr>
              <w:t>3</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ascii="Arial" w:hAnsi="Arial" w:cs="Arial"/>
                <w:szCs w:val="21"/>
              </w:rPr>
              <w:t>6</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cs="Arial"/>
                <w:szCs w:val="21"/>
              </w:rPr>
            </w:pPr>
            <w:r>
              <w:rPr>
                <w:rFonts w:hint="eastAsia" w:ascii="Arial" w:hAnsi="Arial"/>
                <w:szCs w:val="21"/>
              </w:rPr>
              <w:t>物业维修养护计划及实施</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10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物业维修养护计划合理、措施合理10分；</w:t>
            </w:r>
          </w:p>
          <w:p>
            <w:pPr>
              <w:adjustRightInd w:val="0"/>
              <w:snapToGrid w:val="0"/>
              <w:jc w:val="left"/>
              <w:rPr>
                <w:rFonts w:ascii="Arial" w:hAnsi="Arial"/>
                <w:szCs w:val="21"/>
              </w:rPr>
            </w:pPr>
            <w:r>
              <w:rPr>
                <w:rFonts w:hint="eastAsia" w:ascii="Arial" w:hAnsi="Arial"/>
                <w:szCs w:val="21"/>
              </w:rPr>
              <w:t>物业维修养护计划较合理、措施较合理</w:t>
            </w:r>
            <w:r>
              <w:rPr>
                <w:rFonts w:ascii="Arial" w:hAnsi="Arial"/>
                <w:szCs w:val="21"/>
              </w:rPr>
              <w:t>7</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物业维修养护计划一般、措施一般</w:t>
            </w:r>
            <w:r>
              <w:rPr>
                <w:rFonts w:ascii="Arial" w:hAnsi="Arial"/>
                <w:szCs w:val="21"/>
              </w:rPr>
              <w:t>3</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物业维修养护计划较差、措施较差</w:t>
            </w:r>
            <w:r>
              <w:rPr>
                <w:rFonts w:ascii="Arial" w:hAnsi="Arial"/>
                <w:szCs w:val="21"/>
              </w:rPr>
              <w:t>0</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ascii="Arial" w:hAnsi="Arial" w:cs="Arial"/>
                <w:szCs w:val="21"/>
              </w:rPr>
              <w:t>7</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szCs w:val="21"/>
              </w:rPr>
            </w:pPr>
            <w:r>
              <w:rPr>
                <w:rFonts w:hint="eastAsia" w:ascii="Arial" w:hAnsi="Arial"/>
                <w:szCs w:val="21"/>
              </w:rPr>
              <w:t>应急预案</w:t>
            </w:r>
          </w:p>
          <w:p>
            <w:pPr>
              <w:widowControl/>
              <w:adjustRightInd w:val="0"/>
              <w:snapToGrid w:val="0"/>
              <w:jc w:val="left"/>
              <w:rPr>
                <w:rFonts w:ascii="Arial" w:hAnsi="Arial" w:cs="Arial"/>
                <w:szCs w:val="21"/>
              </w:rPr>
            </w:pP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10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应急预案的组织机构、应急处理程序明确，对突发紧急事件进行及时、有效地处理10分；</w:t>
            </w:r>
          </w:p>
          <w:p>
            <w:pPr>
              <w:adjustRightInd w:val="0"/>
              <w:snapToGrid w:val="0"/>
              <w:jc w:val="left"/>
              <w:rPr>
                <w:rFonts w:ascii="Arial" w:hAnsi="Arial"/>
                <w:szCs w:val="21"/>
              </w:rPr>
            </w:pPr>
            <w:r>
              <w:rPr>
                <w:rFonts w:hint="eastAsia" w:ascii="Arial" w:hAnsi="Arial"/>
                <w:szCs w:val="21"/>
              </w:rPr>
              <w:t>应急预案的组织机构、应急处理程序明确，对突发紧急事件进行较及时、较有效地处理</w:t>
            </w:r>
            <w:r>
              <w:rPr>
                <w:rFonts w:ascii="Arial" w:hAnsi="Arial"/>
                <w:szCs w:val="21"/>
              </w:rPr>
              <w:t>7</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应急预案的组织机构、应急处理程序较明确，对突发紧急事件处理模糊、不太明确</w:t>
            </w:r>
            <w:r>
              <w:rPr>
                <w:rFonts w:ascii="Arial" w:hAnsi="Arial"/>
                <w:szCs w:val="21"/>
              </w:rPr>
              <w:t>3</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应急预案的组织机构、应急处理程序模糊，对突发紧急事件进行不及时、处理较差</w:t>
            </w:r>
            <w:r>
              <w:rPr>
                <w:rFonts w:ascii="Arial" w:hAnsi="Arial"/>
                <w:szCs w:val="21"/>
              </w:rPr>
              <w:t>0</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0"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ascii="Arial" w:hAnsi="Arial" w:cs="Arial"/>
                <w:szCs w:val="21"/>
              </w:rPr>
              <w:t>8</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szCs w:val="21"/>
              </w:rPr>
            </w:pPr>
            <w:r>
              <w:rPr>
                <w:rFonts w:hint="eastAsia" w:ascii="Arial" w:hAnsi="Arial"/>
                <w:szCs w:val="21"/>
              </w:rPr>
              <w:t>食堂承包服务方案</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szCs w:val="21"/>
              </w:rPr>
            </w:pPr>
            <w:r>
              <w:rPr>
                <w:rFonts w:ascii="Arial" w:hAnsi="Arial"/>
                <w:szCs w:val="21"/>
              </w:rPr>
              <w:t>15</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r>
              <w:rPr>
                <w:rFonts w:hint="eastAsia" w:ascii="Arial" w:hAnsi="Arial"/>
                <w:szCs w:val="21"/>
              </w:rPr>
              <w:t>食堂承包服务方案合理1</w:t>
            </w:r>
            <w:r>
              <w:rPr>
                <w:rFonts w:ascii="Arial" w:hAnsi="Arial"/>
                <w:szCs w:val="21"/>
              </w:rPr>
              <w:t>5</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食堂承包服务方案较合理</w:t>
            </w:r>
            <w:r>
              <w:rPr>
                <w:rFonts w:ascii="Arial" w:hAnsi="Arial"/>
                <w:szCs w:val="21"/>
              </w:rPr>
              <w:t>10</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食堂承包服务方案欠合理</w:t>
            </w:r>
            <w:r>
              <w:rPr>
                <w:rFonts w:ascii="Arial" w:hAnsi="Arial"/>
                <w:szCs w:val="21"/>
              </w:rPr>
              <w:t>5</w:t>
            </w:r>
            <w:r>
              <w:rPr>
                <w:rFonts w:hint="eastAsia" w:ascii="Arial" w:hAnsi="Arial"/>
                <w:szCs w:val="21"/>
              </w:rPr>
              <w:t>分；</w:t>
            </w:r>
          </w:p>
          <w:p>
            <w:pPr>
              <w:adjustRightInd w:val="0"/>
              <w:snapToGrid w:val="0"/>
              <w:jc w:val="left"/>
              <w:rPr>
                <w:rFonts w:ascii="Arial" w:hAnsi="Arial"/>
                <w:szCs w:val="21"/>
              </w:rPr>
            </w:pPr>
            <w:r>
              <w:rPr>
                <w:rFonts w:hint="eastAsia" w:ascii="Arial" w:hAnsi="Arial"/>
                <w:szCs w:val="21"/>
              </w:rPr>
              <w:t>食堂承包服务方案不合理</w:t>
            </w:r>
            <w:r>
              <w:rPr>
                <w:rFonts w:ascii="Arial" w:hAnsi="Arial"/>
                <w:szCs w:val="21"/>
              </w:rPr>
              <w:t>0</w:t>
            </w:r>
            <w:r>
              <w:rPr>
                <w:rFonts w:hint="eastAsia" w:ascii="Arial" w:hAnsi="Arial"/>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trPr>
        <w:tc>
          <w:tcPr>
            <w:tcW w:w="5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Arial" w:hAnsi="Arial" w:cs="Arial"/>
                <w:szCs w:val="21"/>
              </w:rPr>
            </w:pPr>
            <w:r>
              <w:rPr>
                <w:rFonts w:ascii="Arial" w:hAnsi="Arial" w:cs="Arial"/>
                <w:szCs w:val="21"/>
              </w:rPr>
              <w:t>8</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Arial" w:hAnsi="Arial" w:cs="Arial"/>
                <w:szCs w:val="21"/>
              </w:rPr>
            </w:pPr>
            <w:r>
              <w:rPr>
                <w:rFonts w:hint="eastAsia" w:ascii="Arial" w:hAnsi="Arial" w:cs="Arial"/>
                <w:szCs w:val="21"/>
              </w:rPr>
              <w:t>合计</w:t>
            </w:r>
          </w:p>
        </w:tc>
        <w:tc>
          <w:tcPr>
            <w:tcW w:w="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szCs w:val="21"/>
              </w:rPr>
            </w:pPr>
            <w:r>
              <w:rPr>
                <w:rFonts w:ascii="Arial" w:hAnsi="Arial" w:cs="Arial"/>
                <w:szCs w:val="21"/>
              </w:rPr>
              <w:t>70</w:t>
            </w:r>
          </w:p>
        </w:tc>
        <w:tc>
          <w:tcPr>
            <w:tcW w:w="67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Arial" w:hAnsi="Arial" w:cs="Arial"/>
                <w:color w:val="FF0000"/>
                <w:szCs w:val="21"/>
              </w:rPr>
            </w:pPr>
          </w:p>
        </w:tc>
      </w:tr>
    </w:tbl>
    <w:p/>
    <w:p/>
    <w:p/>
    <w:p/>
    <w:p/>
    <w:p/>
    <w:p>
      <w:pPr>
        <w:widowControl/>
        <w:jc w:val="left"/>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83E23"/>
    <w:multiLevelType w:val="multilevel"/>
    <w:tmpl w:val="7BF83E23"/>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20A"/>
    <w:rsid w:val="00020B0B"/>
    <w:rsid w:val="000325D0"/>
    <w:rsid w:val="0003586C"/>
    <w:rsid w:val="0005679F"/>
    <w:rsid w:val="00066EB1"/>
    <w:rsid w:val="0009226C"/>
    <w:rsid w:val="000B7111"/>
    <w:rsid w:val="000F34E7"/>
    <w:rsid w:val="00144068"/>
    <w:rsid w:val="0020684A"/>
    <w:rsid w:val="002C344D"/>
    <w:rsid w:val="002D110C"/>
    <w:rsid w:val="002E61F4"/>
    <w:rsid w:val="002F4FC1"/>
    <w:rsid w:val="00363656"/>
    <w:rsid w:val="00375EEB"/>
    <w:rsid w:val="003F4BD7"/>
    <w:rsid w:val="003F7D47"/>
    <w:rsid w:val="0040292A"/>
    <w:rsid w:val="00421910"/>
    <w:rsid w:val="00430CE9"/>
    <w:rsid w:val="00491EB4"/>
    <w:rsid w:val="004C3219"/>
    <w:rsid w:val="004E6E34"/>
    <w:rsid w:val="00575B88"/>
    <w:rsid w:val="005D313A"/>
    <w:rsid w:val="005F217F"/>
    <w:rsid w:val="00631ED3"/>
    <w:rsid w:val="006515B7"/>
    <w:rsid w:val="00692699"/>
    <w:rsid w:val="006D6C2A"/>
    <w:rsid w:val="0074663E"/>
    <w:rsid w:val="00761355"/>
    <w:rsid w:val="0077078A"/>
    <w:rsid w:val="0078014D"/>
    <w:rsid w:val="00792AC2"/>
    <w:rsid w:val="00794205"/>
    <w:rsid w:val="007C09F5"/>
    <w:rsid w:val="007C12DB"/>
    <w:rsid w:val="007C7B20"/>
    <w:rsid w:val="007D37C2"/>
    <w:rsid w:val="00800E0B"/>
    <w:rsid w:val="00825727"/>
    <w:rsid w:val="00875A3B"/>
    <w:rsid w:val="008769F1"/>
    <w:rsid w:val="00882CAA"/>
    <w:rsid w:val="008B56C2"/>
    <w:rsid w:val="008F4B51"/>
    <w:rsid w:val="00925F10"/>
    <w:rsid w:val="00936AE3"/>
    <w:rsid w:val="009B7E38"/>
    <w:rsid w:val="009C14B3"/>
    <w:rsid w:val="009C1547"/>
    <w:rsid w:val="009C1809"/>
    <w:rsid w:val="00A27A0E"/>
    <w:rsid w:val="00A3220A"/>
    <w:rsid w:val="00A63DEA"/>
    <w:rsid w:val="00A8467D"/>
    <w:rsid w:val="00AB563D"/>
    <w:rsid w:val="00AC1257"/>
    <w:rsid w:val="00B00AE1"/>
    <w:rsid w:val="00B301D6"/>
    <w:rsid w:val="00B5125E"/>
    <w:rsid w:val="00BC250C"/>
    <w:rsid w:val="00C57602"/>
    <w:rsid w:val="00CA22B0"/>
    <w:rsid w:val="00CD3E86"/>
    <w:rsid w:val="00D41632"/>
    <w:rsid w:val="00D95867"/>
    <w:rsid w:val="00DB07FB"/>
    <w:rsid w:val="00DC1956"/>
    <w:rsid w:val="00E051AB"/>
    <w:rsid w:val="00E305E9"/>
    <w:rsid w:val="00E354ED"/>
    <w:rsid w:val="00E6132D"/>
    <w:rsid w:val="00E82672"/>
    <w:rsid w:val="00F03464"/>
    <w:rsid w:val="00F13751"/>
    <w:rsid w:val="00F76A46"/>
    <w:rsid w:val="00F87B12"/>
    <w:rsid w:val="39343A3A"/>
    <w:rsid w:val="59935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jc w:val="left"/>
      <w:outlineLvl w:val="0"/>
    </w:pPr>
    <w:rPr>
      <w:rFonts w:ascii="宋体" w:hAnsi="宋体" w:cstheme="minorBidi"/>
      <w:b/>
      <w:bCs/>
      <w:kern w:val="0"/>
      <w:sz w:val="44"/>
      <w:szCs w:val="44"/>
      <w:lang w:eastAsia="en-US"/>
    </w:rPr>
  </w:style>
  <w:style w:type="paragraph" w:styleId="3">
    <w:name w:val="heading 7"/>
    <w:basedOn w:val="1"/>
    <w:next w:val="1"/>
    <w:link w:val="21"/>
    <w:qFormat/>
    <w:uiPriority w:val="1"/>
    <w:pPr>
      <w:spacing w:before="133"/>
      <w:ind w:left="575"/>
      <w:jc w:val="left"/>
      <w:outlineLvl w:val="6"/>
    </w:pPr>
    <w:rPr>
      <w:rFonts w:ascii="宋体" w:hAnsi="宋体" w:cstheme="minorBidi"/>
      <w:b/>
      <w:bCs/>
      <w:kern w:val="0"/>
      <w:szCs w:val="21"/>
      <w:lang w:eastAsia="en-US"/>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w:basedOn w:val="1"/>
    <w:link w:val="22"/>
    <w:qFormat/>
    <w:uiPriority w:val="1"/>
    <w:pPr>
      <w:ind w:left="152"/>
      <w:jc w:val="left"/>
    </w:pPr>
    <w:rPr>
      <w:rFonts w:ascii="宋体" w:hAnsi="宋体" w:cstheme="minorBidi"/>
      <w:kern w:val="0"/>
      <w:szCs w:val="21"/>
      <w:lang w:eastAsia="en-US"/>
    </w:rPr>
  </w:style>
  <w:style w:type="paragraph" w:styleId="6">
    <w:name w:val="Plain Text"/>
    <w:basedOn w:val="1"/>
    <w:link w:val="19"/>
    <w:unhideWhenUsed/>
    <w:qFormat/>
    <w:uiPriority w:val="0"/>
    <w:pPr>
      <w:jc w:val="left"/>
    </w:pPr>
    <w:rPr>
      <w:rFonts w:hint="eastAsia" w:ascii="宋体" w:hAnsi="Courier New" w:cstheme="minorBidi"/>
      <w:kern w:val="0"/>
      <w:szCs w:val="22"/>
      <w:lang w:eastAsia="en-US"/>
    </w:rPr>
  </w:style>
  <w:style w:type="paragraph" w:styleId="7">
    <w:name w:val="Balloon Text"/>
    <w:basedOn w:val="1"/>
    <w:link w:val="25"/>
    <w:semiHidden/>
    <w:unhideWhenUsed/>
    <w:qFormat/>
    <w:uiPriority w:val="99"/>
    <w:rPr>
      <w:sz w:val="18"/>
      <w:szCs w:val="18"/>
    </w:rPr>
  </w:style>
  <w:style w:type="paragraph" w:styleId="8">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9"/>
    <w:uiPriority w:val="99"/>
    <w:rPr>
      <w:sz w:val="18"/>
      <w:szCs w:val="18"/>
    </w:rPr>
  </w:style>
  <w:style w:type="character" w:customStyle="1" w:styleId="15">
    <w:name w:val="页脚 字符"/>
    <w:basedOn w:val="12"/>
    <w:link w:val="8"/>
    <w:qFormat/>
    <w:uiPriority w:val="99"/>
    <w:rPr>
      <w:sz w:val="18"/>
      <w:szCs w:val="18"/>
    </w:rPr>
  </w:style>
  <w:style w:type="paragraph" w:customStyle="1" w:styleId="16">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7">
    <w:name w:val="Table Normal"/>
    <w:semiHidden/>
    <w:unhideWhenUsed/>
    <w:qFormat/>
    <w:uiPriority w:val="2"/>
    <w:rPr>
      <w:kern w:val="0"/>
      <w:sz w:val="20"/>
      <w:szCs w:val="20"/>
    </w:rPr>
    <w:tblPr>
      <w:tblCellMar>
        <w:top w:w="0" w:type="dxa"/>
        <w:left w:w="0" w:type="dxa"/>
        <w:bottom w:w="0" w:type="dxa"/>
        <w:right w:w="0" w:type="dxa"/>
      </w:tblCellMar>
    </w:tblPr>
  </w:style>
  <w:style w:type="paragraph" w:styleId="18">
    <w:name w:val="List Paragraph"/>
    <w:basedOn w:val="1"/>
    <w:qFormat/>
    <w:uiPriority w:val="34"/>
    <w:pPr>
      <w:ind w:firstLine="420" w:firstLineChars="200"/>
    </w:pPr>
  </w:style>
  <w:style w:type="character" w:customStyle="1" w:styleId="19">
    <w:name w:val="纯文本 字符"/>
    <w:basedOn w:val="12"/>
    <w:link w:val="6"/>
    <w:qFormat/>
    <w:uiPriority w:val="0"/>
    <w:rPr>
      <w:rFonts w:ascii="宋体" w:hAnsi="Courier New" w:eastAsia="宋体"/>
      <w:kern w:val="0"/>
      <w:lang w:eastAsia="en-US"/>
    </w:rPr>
  </w:style>
  <w:style w:type="character" w:customStyle="1" w:styleId="20">
    <w:name w:val="标题 1 字符"/>
    <w:basedOn w:val="12"/>
    <w:link w:val="2"/>
    <w:qFormat/>
    <w:uiPriority w:val="9"/>
    <w:rPr>
      <w:rFonts w:ascii="宋体" w:hAnsi="宋体" w:eastAsia="宋体"/>
      <w:b/>
      <w:bCs/>
      <w:kern w:val="0"/>
      <w:sz w:val="44"/>
      <w:szCs w:val="44"/>
      <w:lang w:eastAsia="en-US"/>
    </w:rPr>
  </w:style>
  <w:style w:type="character" w:customStyle="1" w:styleId="21">
    <w:name w:val="标题 7 字符"/>
    <w:basedOn w:val="12"/>
    <w:link w:val="3"/>
    <w:qFormat/>
    <w:uiPriority w:val="1"/>
    <w:rPr>
      <w:rFonts w:ascii="宋体" w:hAnsi="宋体" w:eastAsia="宋体"/>
      <w:b/>
      <w:bCs/>
      <w:kern w:val="0"/>
      <w:szCs w:val="21"/>
      <w:lang w:eastAsia="en-US"/>
    </w:rPr>
  </w:style>
  <w:style w:type="character" w:customStyle="1" w:styleId="22">
    <w:name w:val="正文文本 字符"/>
    <w:basedOn w:val="12"/>
    <w:link w:val="5"/>
    <w:qFormat/>
    <w:uiPriority w:val="1"/>
    <w:rPr>
      <w:rFonts w:ascii="宋体" w:hAnsi="宋体" w:eastAsia="宋体"/>
      <w:kern w:val="0"/>
      <w:szCs w:val="21"/>
      <w:lang w:eastAsia="en-US"/>
    </w:rPr>
  </w:style>
  <w:style w:type="character" w:customStyle="1" w:styleId="23">
    <w:name w:val="批注文字 字符"/>
    <w:basedOn w:val="12"/>
    <w:link w:val="4"/>
    <w:semiHidden/>
    <w:qFormat/>
    <w:uiPriority w:val="99"/>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character" w:customStyle="1" w:styleId="25">
    <w:name w:val="批注框文本 字符"/>
    <w:basedOn w:val="12"/>
    <w:link w:val="7"/>
    <w:semiHidden/>
    <w:qFormat/>
    <w:uiPriority w:val="99"/>
    <w:rPr>
      <w:rFonts w:ascii="Times New Roman" w:hAnsi="Times New Roman" w:eastAsia="宋体" w:cs="Times New Roman"/>
      <w:sz w:val="18"/>
      <w:szCs w:val="18"/>
    </w:rPr>
  </w:style>
  <w:style w:type="paragraph" w:customStyle="1" w:styleId="26">
    <w:name w:val="章标题"/>
    <w:basedOn w:val="2"/>
    <w:link w:val="27"/>
    <w:qFormat/>
    <w:uiPriority w:val="99"/>
    <w:pPr>
      <w:keepNext/>
      <w:keepLines/>
      <w:spacing w:before="340" w:after="330" w:line="578" w:lineRule="auto"/>
      <w:jc w:val="center"/>
    </w:pPr>
    <w:rPr>
      <w:rFonts w:ascii="Times New Roman" w:hAnsi="Times New Roman" w:cs="Times New Roman"/>
      <w:kern w:val="44"/>
    </w:rPr>
  </w:style>
  <w:style w:type="character" w:customStyle="1" w:styleId="27">
    <w:name w:val="章标题 Char"/>
    <w:basedOn w:val="20"/>
    <w:link w:val="26"/>
    <w:qFormat/>
    <w:locked/>
    <w:uiPriority w:val="99"/>
    <w:rPr>
      <w:rFonts w:ascii="Times New Roman" w:hAnsi="Times New Roman" w:eastAsia="宋体" w:cs="Times New Roman"/>
      <w:kern w:val="44"/>
      <w:sz w:val="44"/>
      <w:szCs w:val="44"/>
      <w:lang w:eastAsia="en-US"/>
    </w:rPr>
  </w:style>
  <w:style w:type="paragraph" w:customStyle="1" w:styleId="28">
    <w:name w:val="列表段落1"/>
    <w:basedOn w:val="1"/>
    <w:link w:val="29"/>
    <w:qFormat/>
    <w:uiPriority w:val="99"/>
    <w:pPr>
      <w:ind w:firstLine="420" w:firstLineChars="200"/>
    </w:pPr>
  </w:style>
  <w:style w:type="character" w:customStyle="1" w:styleId="29">
    <w:name w:val="列出段落 Char"/>
    <w:link w:val="28"/>
    <w:qFormat/>
    <w:locked/>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1507</Words>
  <Characters>8594</Characters>
  <Lines>71</Lines>
  <Paragraphs>20</Paragraphs>
  <TotalTime>322</TotalTime>
  <ScaleCrop>false</ScaleCrop>
  <LinksUpToDate>false</LinksUpToDate>
  <CharactersWithSpaces>10081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2021-03-09T14:26:00Z</dcterms:created>
  <dc:creator>wise</dc:creator>
  <cp:lastModifiedBy>Administrator</cp:lastModifiedBy>
  <dcterms:modified xsi:type="dcterms:W3CDTF">2021-04-02T02:38:13Z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752AD30CDDCD4BA9BC479A95CD29A6BF</vt:lpwstr>
  </property>
</Properties>
</file>