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outlineLvl w:val="0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大峪街道社区硬件设施提升工程-龙山一区社区中标候选人公示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：MTGXM-202105200533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大峪街道社区硬件设施提升工程-龙山一区社区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</w:t>
      </w:r>
      <w:r>
        <w:rPr>
          <w:rFonts w:hint="eastAsia" w:ascii="宋体" w:hAnsi="宋体"/>
          <w:sz w:val="28"/>
          <w:szCs w:val="28"/>
          <w:lang w:val="en-US" w:eastAsia="zh-CN"/>
        </w:rPr>
        <w:t>北京双盈达建设有限公司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/>
          <w:sz w:val="28"/>
          <w:szCs w:val="28"/>
          <w:lang w:val="en-US" w:eastAsia="zh-CN"/>
        </w:rPr>
        <w:t>1368343.95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壹佰叁拾陆万捌仟叁佰肆拾叁元玖角伍分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项目负责人：荣伦峥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京111070812052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第二候选人：北京路桥方舟交通科技发展有限公司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1346537.05</w:t>
      </w:r>
      <w:r>
        <w:rPr>
          <w:rFonts w:hint="eastAsia" w:ascii="宋体" w:hAnsi="宋体" w:cs="Times New Roman"/>
          <w:sz w:val="28"/>
          <w:szCs w:val="28"/>
          <w:lang w:eastAsia="zh-CN"/>
        </w:rPr>
        <w:t>元  大写：壹佰叁拾肆万陆仟伍佰叁拾柒元零伍分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项目负责人：李东波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京121060804966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第三候选人：北京京鸿达建筑工程有限公司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投标价格：￥1373117.07元  大写：壹佰叁拾柒万叁仟壹佰壹拾柒元零柒分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项目负责人：周洪武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bookmarkStart w:id="1" w:name="_GoBack"/>
      <w:r>
        <w:rPr>
          <w:rFonts w:hint="eastAsia" w:ascii="宋体" w:hAnsi="宋体" w:cs="Times New Roman"/>
          <w:sz w:val="28"/>
          <w:szCs w:val="28"/>
          <w:lang w:eastAsia="zh-CN"/>
        </w:rPr>
        <w:t>京2111</w:t>
      </w:r>
      <w:bookmarkEnd w:id="1"/>
      <w:r>
        <w:rPr>
          <w:rFonts w:hint="eastAsia" w:ascii="宋体" w:hAnsi="宋体" w:cs="Times New Roman"/>
          <w:sz w:val="28"/>
          <w:szCs w:val="28"/>
          <w:lang w:eastAsia="zh-CN"/>
        </w:rPr>
        <w:t>31440292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大峪街道社区硬件设施提升工程-龙山一区社区</w:t>
      </w:r>
    </w:p>
    <w:p>
      <w:pPr>
        <w:spacing w:line="24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施工范围：大峪街道社区硬件设施提升工程-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龙山一区</w:t>
      </w:r>
      <w:r>
        <w:rPr>
          <w:rFonts w:hint="eastAsia" w:ascii="宋体" w:hAnsi="宋体"/>
          <w:kern w:val="0"/>
          <w:sz w:val="28"/>
          <w:szCs w:val="28"/>
        </w:rPr>
        <w:t>社区施工图纸和工程量清单及相关文件所示的全部内容。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王贵维、沙会清、李日、李加昌、张海军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0" w:name="_Toc2835902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1、采购人信息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名称：北京市门头沟区人民政府大峪街道办事处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地址：门头沟区滨河路72号   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联系方式：张工 69863987   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2、采购代理机构信息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名称：中科信佳工程项目管理（北京）有限公司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地址：北京市西城区茶马街8号楼12层1212-5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联系方式：王工13141260886  于工52474970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3、项目联方式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项目联系人：王工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电话：13141260886</w:t>
      </w:r>
      <w:bookmarkEnd w:id="0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767C7C"/>
    <w:rsid w:val="05AB77CE"/>
    <w:rsid w:val="06FC3529"/>
    <w:rsid w:val="0B111616"/>
    <w:rsid w:val="0EA03584"/>
    <w:rsid w:val="13E03246"/>
    <w:rsid w:val="16EE4EDA"/>
    <w:rsid w:val="196E00AF"/>
    <w:rsid w:val="1A680D88"/>
    <w:rsid w:val="1C5139A4"/>
    <w:rsid w:val="217C6D52"/>
    <w:rsid w:val="240E600D"/>
    <w:rsid w:val="29230CC9"/>
    <w:rsid w:val="2F000593"/>
    <w:rsid w:val="321B26A6"/>
    <w:rsid w:val="329B69DA"/>
    <w:rsid w:val="403015DF"/>
    <w:rsid w:val="482C41A7"/>
    <w:rsid w:val="4C812568"/>
    <w:rsid w:val="548A32AF"/>
    <w:rsid w:val="588A0A05"/>
    <w:rsid w:val="5E5661BC"/>
    <w:rsid w:val="67BC183B"/>
    <w:rsid w:val="7EC86A86"/>
    <w:rsid w:val="7F017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Normal Indent"/>
    <w:basedOn w:val="1"/>
    <w:unhideWhenUsed/>
    <w:qFormat/>
    <w:uiPriority w:val="0"/>
    <w:pPr>
      <w:ind w:firstLine="420" w:firstLine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7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7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7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7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4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7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7"/>
    <w:qFormat/>
    <w:uiPriority w:val="0"/>
  </w:style>
  <w:style w:type="character" w:customStyle="1" w:styleId="38">
    <w:name w:val="fontstyle01"/>
    <w:basedOn w:val="17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13</TotalTime>
  <ScaleCrop>false</ScaleCrop>
  <LinksUpToDate>false</LinksUpToDate>
  <CharactersWithSpaces>839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Administrator</cp:lastModifiedBy>
  <cp:lastPrinted>2020-03-23T07:37:00Z</cp:lastPrinted>
  <dcterms:modified xsi:type="dcterms:W3CDTF">2021-06-29T11:04:54Z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