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auto"/>
        </w:rPr>
        <w:t>附件1：</w:t>
      </w:r>
    </w:p>
    <w:p>
      <w:pPr>
        <w:pStyle w:val="8"/>
        <w:adjustRightInd w:val="0"/>
        <w:snapToGrid w:val="0"/>
        <w:spacing w:line="240" w:lineRule="auto"/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  <w:t>北京市大兴区中医医院</w:t>
      </w:r>
    </w:p>
    <w:p>
      <w:pPr>
        <w:pStyle w:val="8"/>
        <w:adjustRightInd w:val="0"/>
        <w:snapToGrid w:val="0"/>
        <w:spacing w:line="240" w:lineRule="auto"/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  <w:t>物业服务项目政府采购项目</w:t>
      </w:r>
    </w:p>
    <w:p>
      <w:pPr>
        <w:pStyle w:val="8"/>
        <w:adjustRightInd w:val="0"/>
        <w:snapToGrid w:val="0"/>
        <w:spacing w:line="240" w:lineRule="auto"/>
        <w:rPr>
          <w:rFonts w:ascii="宋体" w:hAnsi="宋体"/>
          <w:color w:val="auto"/>
          <w:sz w:val="52"/>
          <w:szCs w:val="52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  <w:t>技术需求及评分细则</w:t>
      </w:r>
    </w:p>
    <w:p>
      <w:pPr>
        <w:pStyle w:val="8"/>
        <w:adjustRightInd w:val="0"/>
        <w:snapToGrid w:val="0"/>
        <w:spacing w:line="240" w:lineRule="auto"/>
        <w:rPr>
          <w:rFonts w:ascii="宋体" w:hAnsi="宋体"/>
          <w:color w:val="auto"/>
          <w:sz w:val="52"/>
          <w:szCs w:val="52"/>
          <w:shd w:val="clear" w:color="auto" w:fill="auto"/>
          <w:lang w:eastAsia="zh-CN"/>
        </w:rPr>
      </w:pPr>
      <w:r>
        <w:rPr>
          <w:rFonts w:hint="eastAsia" w:ascii="宋体" w:hAnsi="宋体"/>
          <w:color w:val="auto"/>
          <w:sz w:val="52"/>
          <w:szCs w:val="52"/>
          <w:shd w:val="clear" w:color="auto" w:fill="auto"/>
          <w:lang w:eastAsia="zh-CN"/>
        </w:rPr>
        <w:t>（征求意见稿）</w:t>
      </w: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rPr>
          <w:b/>
          <w:color w:val="auto"/>
          <w:sz w:val="52"/>
          <w:szCs w:val="52"/>
          <w:shd w:val="clear" w:color="auto" w:fill="auto"/>
        </w:rPr>
      </w:pPr>
    </w:p>
    <w:p>
      <w:pPr>
        <w:pStyle w:val="3"/>
        <w:spacing w:before="0" w:line="360" w:lineRule="auto"/>
        <w:jc w:val="both"/>
        <w:rPr>
          <w:rFonts w:ascii="仿宋_GB2312" w:eastAsia="仿宋_GB2312"/>
          <w:b/>
          <w:color w:val="auto"/>
          <w:sz w:val="32"/>
          <w:szCs w:val="32"/>
          <w:shd w:val="clear" w:color="auto" w:fill="auto"/>
        </w:rPr>
      </w:pPr>
    </w:p>
    <w:p>
      <w:pPr>
        <w:pStyle w:val="3"/>
        <w:spacing w:before="0" w:line="360" w:lineRule="auto"/>
        <w:jc w:val="center"/>
        <w:rPr>
          <w:rFonts w:hint="eastAsia" w:ascii="仿宋_GB2312" w:eastAsia="仿宋_GB2312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auto"/>
          <w:lang w:eastAsia="zh-CN"/>
        </w:rPr>
        <w:t>北京市大兴区中医医院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auto"/>
        </w:rPr>
        <w:t>物业服务项目</w:t>
      </w:r>
    </w:p>
    <w:p>
      <w:pPr>
        <w:pStyle w:val="3"/>
        <w:spacing w:before="0" w:line="360" w:lineRule="auto"/>
        <w:jc w:val="center"/>
        <w:rPr>
          <w:rFonts w:ascii="仿宋_GB2312" w:eastAsia="仿宋_GB2312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auto"/>
        </w:rPr>
        <w:t>政府采购项目技术需求</w:t>
      </w:r>
    </w:p>
    <w:p>
      <w:pPr>
        <w:rPr>
          <w:rFonts w:ascii="仿宋_GB2312" w:hAnsi="宋体" w:eastAsia="仿宋_GB2312"/>
          <w:b/>
          <w:color w:val="auto"/>
          <w:sz w:val="28"/>
          <w:szCs w:val="28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28"/>
          <w:szCs w:val="28"/>
          <w:shd w:val="clear" w:color="auto" w:fill="auto"/>
        </w:rPr>
      </w:pPr>
    </w:p>
    <w:p>
      <w:pPr>
        <w:tabs>
          <w:tab w:val="left" w:pos="5580"/>
        </w:tabs>
        <w:spacing w:before="156" w:after="156" w:line="360" w:lineRule="auto"/>
        <w:jc w:val="center"/>
        <w:rPr>
          <w:rFonts w:ascii="仿宋_GB2312" w:eastAsia="仿宋_GB2312"/>
          <w:b/>
          <w:color w:val="auto"/>
          <w:sz w:val="28"/>
          <w:shd w:val="clear" w:color="auto" w:fill="auto"/>
        </w:rPr>
      </w:pPr>
      <w:r>
        <w:rPr>
          <w:rFonts w:hint="eastAsia" w:ascii="仿宋_GB2312" w:eastAsia="仿宋_GB2312"/>
          <w:b/>
          <w:color w:val="auto"/>
          <w:sz w:val="28"/>
          <w:shd w:val="clear" w:color="auto" w:fill="auto"/>
        </w:rPr>
        <w:t>目      录</w:t>
      </w:r>
    </w:p>
    <w:p>
      <w:pPr>
        <w:tabs>
          <w:tab w:val="left" w:pos="5580"/>
        </w:tabs>
        <w:spacing w:before="156" w:after="156" w:line="360" w:lineRule="auto"/>
        <w:jc w:val="center"/>
        <w:rPr>
          <w:rFonts w:ascii="仿宋_GB2312" w:eastAsia="仿宋_GB2312"/>
          <w:b/>
          <w:color w:val="auto"/>
          <w:sz w:val="28"/>
          <w:shd w:val="clear" w:color="auto" w:fill="auto"/>
        </w:rPr>
      </w:pPr>
    </w:p>
    <w:p>
      <w:pPr>
        <w:tabs>
          <w:tab w:val="left" w:pos="0"/>
        </w:tabs>
        <w:spacing w:before="156" w:after="156" w:line="360" w:lineRule="auto"/>
        <w:rPr>
          <w:rFonts w:hint="eastAsia" w:ascii="仿宋_GB2312" w:eastAsia="仿宋_GB2312"/>
          <w:color w:val="auto"/>
          <w:sz w:val="28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>采购清单</w:t>
      </w:r>
      <w:r>
        <w:rPr>
          <w:rFonts w:hint="eastAsia" w:ascii="仿宋_GB2312" w:eastAsia="仿宋_GB2312"/>
          <w:color w:val="auto"/>
          <w:sz w:val="28"/>
          <w:shd w:val="clear" w:color="auto" w:fill="auto"/>
        </w:rPr>
        <w:t>…………………………………………………………</w:t>
      </w: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 xml:space="preserve">3   </w:t>
      </w:r>
    </w:p>
    <w:p>
      <w:pPr>
        <w:tabs>
          <w:tab w:val="left" w:pos="0"/>
        </w:tabs>
        <w:spacing w:before="156" w:after="156" w:line="360" w:lineRule="auto"/>
        <w:rPr>
          <w:rFonts w:ascii="仿宋_GB2312" w:eastAsia="仿宋_GB2312"/>
          <w:color w:val="auto"/>
          <w:sz w:val="28"/>
          <w:shd w:val="clear" w:color="auto" w:fill="auto"/>
        </w:rPr>
      </w:pP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>物业服务项目…</w:t>
      </w:r>
      <w:r>
        <w:rPr>
          <w:rFonts w:hint="eastAsia" w:ascii="仿宋_GB2312" w:eastAsia="仿宋_GB2312"/>
          <w:color w:val="auto"/>
          <w:sz w:val="28"/>
          <w:shd w:val="clear" w:color="auto" w:fill="auto"/>
        </w:rPr>
        <w:t>………………………………</w:t>
      </w: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>…</w:t>
      </w:r>
      <w:r>
        <w:rPr>
          <w:rFonts w:hint="eastAsia" w:ascii="仿宋_GB2312" w:eastAsia="仿宋_GB2312"/>
          <w:color w:val="auto"/>
          <w:sz w:val="28"/>
          <w:shd w:val="clear" w:color="auto" w:fill="auto"/>
        </w:rPr>
        <w:t>………………</w:t>
      </w: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hd w:val="clear" w:color="auto" w:fill="auto"/>
        </w:rPr>
        <w:t xml:space="preserve">  </w:t>
      </w:r>
      <w:bookmarkStart w:id="0" w:name="_GoBack"/>
      <w:bookmarkEnd w:id="0"/>
    </w:p>
    <w:p>
      <w:pPr>
        <w:tabs>
          <w:tab w:val="left" w:pos="0"/>
        </w:tabs>
        <w:spacing w:before="156" w:after="156" w:line="360" w:lineRule="auto"/>
        <w:rPr>
          <w:rFonts w:hint="default" w:ascii="仿宋_GB2312" w:eastAsia="仿宋_GB2312"/>
          <w:color w:val="auto"/>
          <w:sz w:val="28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hd w:val="clear" w:color="auto" w:fill="auto"/>
        </w:rPr>
        <w:t>评审标准…………………………………………………………</w:t>
      </w:r>
      <w:r>
        <w:rPr>
          <w:rFonts w:hint="eastAsia" w:ascii="仿宋_GB2312" w:eastAsia="仿宋_GB2312"/>
          <w:color w:val="auto"/>
          <w:sz w:val="28"/>
          <w:shd w:val="clear" w:color="auto" w:fill="auto"/>
          <w:lang w:val="en-US" w:eastAsia="zh-CN"/>
        </w:rPr>
        <w:t>21</w:t>
      </w: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ascii="仿宋_GB2312" w:hAnsi="宋体" w:eastAsia="仿宋_GB2312"/>
          <w:b/>
          <w:color w:val="auto"/>
          <w:sz w:val="44"/>
          <w:szCs w:val="44"/>
          <w:shd w:val="clear" w:color="auto" w:fill="auto"/>
        </w:rPr>
        <w:br w:type="page"/>
      </w:r>
    </w:p>
    <w:p>
      <w:pPr>
        <w:pStyle w:val="9"/>
        <w:numPr>
          <w:numId w:val="0"/>
        </w:numPr>
        <w:autoSpaceDE w:val="0"/>
        <w:autoSpaceDN w:val="0"/>
        <w:adjustRightInd w:val="0"/>
        <w:ind w:leftChars="0"/>
        <w:jc w:val="center"/>
        <w:rPr>
          <w:rFonts w:hint="eastAsia" w:ascii="微软雅黑" w:hAnsi="Wingdings" w:eastAsia="微软雅黑" w:cs="微软雅黑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微软雅黑" w:hAnsi="Wingdings" w:eastAsia="微软雅黑" w:cs="微软雅黑"/>
          <w:b/>
          <w:bCs/>
          <w:color w:val="auto"/>
          <w:kern w:val="0"/>
          <w:sz w:val="28"/>
          <w:szCs w:val="28"/>
          <w:shd w:val="clear" w:color="auto" w:fill="auto"/>
        </w:rPr>
        <w:t>采购清单</w:t>
      </w:r>
    </w:p>
    <w:tbl>
      <w:tblPr>
        <w:tblStyle w:val="6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944"/>
        <w:gridCol w:w="1908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auto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auto"/>
              </w:rPr>
              <w:t>服务名称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auto"/>
              </w:rPr>
              <w:t>数量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auto"/>
              </w:rPr>
              <w:t>单位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保洁服务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55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辅助医疗服务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Theme="minor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55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综合维修服务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55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color w:val="auto"/>
                <w:sz w:val="24"/>
                <w:shd w:val="clear" w:color="auto" w:fill="auto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净化空调服务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55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物业管理</w:t>
            </w: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val="en-US" w:eastAsia="zh-CN"/>
              </w:rPr>
              <w:t>人员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Theme="minor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电梯代维</w:t>
            </w:r>
          </w:p>
        </w:tc>
        <w:tc>
          <w:tcPr>
            <w:tcW w:w="194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hd w:val="clear" w:color="auto" w:fill="auto"/>
                <w:lang w:eastAsia="zh-CN"/>
              </w:rPr>
              <w:t>部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rPr>
          <w:color w:val="auto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/>
          <w:b/>
          <w:color w:val="auto"/>
          <w:sz w:val="30"/>
          <w:szCs w:val="30"/>
          <w:shd w:val="clear" w:color="auto" w:fill="auto"/>
        </w:rPr>
      </w:pPr>
    </w:p>
    <w:p>
      <w:pPr>
        <w:pStyle w:val="3"/>
        <w:spacing w:before="0"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auto"/>
          <w:lang w:eastAsia="zh-CN"/>
        </w:rPr>
        <w:t>北京市大兴区中医医院物业服务项目</w:t>
      </w:r>
    </w:p>
    <w:p>
      <w:pPr>
        <w:pStyle w:val="3"/>
        <w:spacing w:before="0" w:line="360" w:lineRule="auto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spacing w:before="0" w:line="360" w:lineRule="auto"/>
        <w:jc w:val="both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  <w:t>项目名称：北京市大兴区中医医院物业服务项目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北京市大兴区中医医院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(北京市大兴区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黄村镇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兴丰北大街二段138号)建筑面积约3.43万平方米,医疗用房面积2.56万平方米，九大病区，13个护理单元，开放床位407张。医院职工约813人。年出院患者1万余人次，日均门诊量4288人次。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auto"/>
        </w:rPr>
        <w:t>服务内容及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auto"/>
          <w:lang w:eastAsia="zh-CN"/>
        </w:rPr>
        <w:t>日常考核办法</w:t>
      </w:r>
    </w:p>
    <w:p>
      <w:pPr>
        <w:topLinePunct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auto"/>
        </w:rPr>
        <w:t>(一)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  <w:t>：</w:t>
      </w:r>
    </w:p>
    <w:p>
      <w:pPr>
        <w:topLinePunct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按照采购人确定的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全院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保洁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、辅助医疗服务、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工程维修服务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pStyle w:val="10"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(二)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  <w:t>服务范围：</w:t>
      </w:r>
    </w:p>
    <w:p>
      <w:pPr>
        <w:topLinePunct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本院：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核干院西墙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兴丰大街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工商银行北墙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天客隆商场南墙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四至范围内的，以及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8个社区卫生服务站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运行服务。</w:t>
      </w:r>
    </w:p>
    <w:p>
      <w:pPr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auto"/>
        </w:rPr>
        <w:t>（三）服务内容：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保洁服务职责要求</w:t>
      </w:r>
    </w:p>
    <w:p>
      <w:pPr>
        <w:spacing w:line="360" w:lineRule="auto"/>
        <w:ind w:firstLine="562" w:firstLineChars="200"/>
        <w:rPr>
          <w:rFonts w:hint="default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1.1保洁服务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负责辖区内的楼内公共区域、卫生间、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楼道、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病房、病区医、护办公室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、门诊诊室地面卫生（窗台、垃圾）及楼外、地下室公共区域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的保洁服务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并做好垃圾分类、收集工作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>
      <w:pPr>
        <w:pStyle w:val="9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乙方必须按甲方的岗位设置要求配齐在岗服务人员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，保证医院物业工作的质量和顺利运行，按岗位出勤、工作时间，甲方支付相应费用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乙方工作人员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培训后上岗,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手术室、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ICU、血透室岗位需结合科室实际工作，做好卫生保洁工作。工作人员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统一着装,佩戴胸牌,仪表整洁,遵纪守法,文明用语,行为规范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服务热情,遵守甲方的各项规章制度,爱护公物,节水节电,注意防火、防盗,做好各项防护措施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安全作业,拾金不昧,树立良好卫生形象。工作期间,工作人员应坚守岗位,不得脱岗,必须遵守甲方规定的作息时间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（科室负责人可根据科室实际工作与乙方工作人员沟通，安排工作时间）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,发现违纪现象,给予相应处罚。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凡是在服务范围内以目视所能看到、肢体所能触及的所有物体表面、地面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，每天要进行至少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2次擦拭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,随时清扫,地面光洁无污物,垃圾及时清理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洗拖地面时,要有安全警示牌。胶质地面要用洗地机清洗，每二周一次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（做好登记、区域负责人签字）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,门诊诊室的地面、窗台每天至少要做一次保洁工作。保洁工作要做到:眼看无脏乱,手摸无灰尘,卫生无死角。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卫生间要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配备芳香球，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达到无异味、无污垢，垃圾及时清理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，保持清洁状态。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保证管道通畅,出现堵塞时要及时疏通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堵塞严重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员及时报告总务科，由总务维修人员进行专业疏通。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医院内门窗、玻璃、展示牌等做到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洁净、光亮、无灰尘,墙壁无乱贴乱画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现象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墙面粘贴的小广告及与医院无关的宣传内容及时清理。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病房床头桌每日要用消毒液、专用毛巾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（一床一巾）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擦拭。餐桌要保持清洁,病床床体每天擦拭一次,患者出院后要及时做好终末清洁消毒包括床体、床头桌、壁柜、餐桌。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一层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出入口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在雨季、冬季时,要及时铺设防滑垫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及清扫积雪。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灾害性天气及时关门、关窗,确保财产人身安全,保证正常医疗工作。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病区的医生办公室、护士办公室在有医护人员的情况下，保洁员方可进入做保洁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为确保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质量,乙方必须采用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符合行业标准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的清洁原料，工作人员必须熟练掌握使用方法,防止意外发生。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1.1.11各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垃圾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点位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要及时清理，按法规要求,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做好垃圾分类工作，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生活垃圾必须使用黑色垃圾袋包装清运。医疗废物要按规范处理,不许私自处理医疗废物。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乙方在日常工作期间不慎给甲方设施、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设备、物品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及甲方客户造成各种损害、损失的,乙方承担赔偿责任。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1.1.13乙方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及时向甲方汇报保洁工作中的问题,及时改进、消除隐患。及时协助、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完成甲方交给的一般性临时任务,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正常医疗服务工作。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保洁用地拖做到统一清洗、晾晒。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1.1.15配合医院做好控烟工作，佩戴“控烟监督员”袖标上岗，劝阻在室内吸烟的患者及家属，引导其至院内吸烟区吸烟。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保洁人员作息时间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上午:7：00—11：00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下午13:30--17:30,各病区、门诊、急诊科、卫生间、门诊大厅实行中午值班制度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1.1.17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建卡人员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作息时间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:7：00-17：30(随挂号室的服务时日进行调整)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，特殊情况下，配合甲方的工作调度，包括人员、时间等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  <w:t>电梯司机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1.2.1电梯员需持证上岗，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熟悉电梯分布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使用情况，掌握电梯使用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、保洁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消毒知识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特殊情况下要服从值夜班的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安排。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态度认真，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为患者提供优质服务。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每日开启电梯前，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巡视检查内容，如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有非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正常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应立即停机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通知维保负责人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，将结果详细记录备案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保证电梯运行安全。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</w:rPr>
        <w:t>每月检查一次电梯内消防灭火器的压力，是否在标准范围之内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如果发生电梯困人情况，要临危不乱，安抚患者情绪，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并及时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联系电梯维保负责人，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直至解困。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1.2.6扫净及清擦电梯门表面；擦净电梯内壁、门及指示；电梯天花板表面除尘；电梯门缝吸尘；擦净电梯通风吸照明；电梯槽底清理垃圾。</w:t>
      </w:r>
    </w:p>
    <w:p>
      <w:pPr>
        <w:numPr>
          <w:ilvl w:val="-1"/>
          <w:numId w:val="0"/>
        </w:num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  <w:t>洗涤中心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1.3.1熟练操作清洗设备，及时完成清洗任务，提供合格的清洁用品，满足一线人员清洁工作需求。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1.3.2按时维护清洗设备，出现问题及时上报并维修，确保自身及一线保洁人员正常工作。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 xml:space="preserve">1.3.3在院感科的指导及培训下，按要求配置消毒液，做好清洗设备及清洗物品的消毒工作，协助做好医院疫情防控工作。 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  <w:t>物业行政管理人员职责、要求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（1）以身作则，在工作上要和医院管理部门积极沟通、紧密合作，按照合同约定的工作要求，配合医院物业管理部门，积极做好医院物业工作。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（2）带好自己的物业团队，积极学习、按医院物业各科室的不同，制定针对性的工作方案和要求，做好工作人员培训、学习。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（3）物业管理人员值班期间离院，必须与医院物业管理部门沟通，以免工作中出现管理空挡。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（4）要注意自己公司形象，维护医院的集体荣誉，严禁发生吵架、谩骂、斗殴等现象。一旦发现，严肃处理，追究当事人责任。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（5）配合医院做好物业相关数据的采集、统计及上报工作。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（6）物业行政工作人员要严格、合理使用、分配医院提供的物资，如卫生纸、洗手液等，做好登记，严禁物资浪费、流失。发生问题，追究负责人责任。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（7）为了保证医院的正常工作，物业行政工作人员做好员工管理，任何员工离职需提前报备，工作不满自然月的，无特殊情况（各种意外、老人去世等）不得随意离职。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综合维修职责、要求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着装整齐、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持证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上岗、服务主动、热情、周到。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</w:rPr>
        <w:t>服从总务科领导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</w:rPr>
        <w:t>工作安排，工作积极主动，认真负责。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  <w:lang w:val="en-US" w:eastAsia="zh-CN"/>
        </w:rPr>
        <w:t>（3）业务能力强，能够独立完成相关维修工作及夜班值守。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auto"/>
        </w:rPr>
        <w:t>加强学习，努力提高业务水平。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辅助医疗工作职责、要求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内勤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协助护士按规范扫床、整理床单位、更换整理出院患者床单位,及时更换脏病服被服,送洗科室工作人员工装、值班被服并做好清点、记录。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要求着装整齐、按时上岗、服务主动、热情、周到。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负责为患者打开水每天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次，上午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次、下午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次。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协助护士完成当日新入院患者的被服及病号服发放，介绍病区环境。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患者住院期间被服、病服脏污，能够及时更换。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服从护士长的工作安排,协助护士长领取日常使用物资,送领小件维修物品,下班前做好交接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认真负责,做好工作记录。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做好治疗室、处置室、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换药室、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医生护士值班室卫生。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不得从事与医疗专业有关及非本职工作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4.1.8向患者及其家属宣教病区内严禁吸烟，因此发生纠纷，移交医院警务工作站。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4.1.9向患者极其家属指导、督促生活垃圾分类工作。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4.1.10工作时间：上午7:30-12:00  下午：1:30-17:00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4.1.11帮助无家属患者如厕。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外勤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4.2.1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预约检查申请单，取回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住院患者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检查回报结果。做好回报结果的领取、分发、登记、签收工作。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4.2.2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送检住院患者标本时认真做好查对、登记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，注意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标本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防止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标本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丢失，急查标本要严格遵守送检时间。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4.2.3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陪同住院患者做检查、会诊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，陪护病人时不能脱离病人，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保证人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单一致，注意病人保暖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保证病人安全，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要提前检查轮椅、平车是否处于完好的使用状态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4.2.4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送达会诊单、中药处方，取回患者出院带的中药。会诊单送达科室准确及时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并做好记录。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中药方送达、领取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及时，登记、签收准确无误。</w:t>
      </w:r>
    </w:p>
    <w:p>
      <w:pPr>
        <w:spacing w:line="360" w:lineRule="auto"/>
        <w:ind w:firstLine="562" w:firstLineChars="200"/>
        <w:outlineLvl w:val="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  <w:t>手术室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ICU 净化空调的运行要求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乙方根据甲方的委托手术室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/ICU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净化空调管理事项制定“服务方案”。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质量标准:净化空调日常运行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监视及日常维护工作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杜绝跑、冒、滴、漏，并做好运行记录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定期清洗过滤网；系统管路的检查、维修、保养；用水安全管理;排水设备、设施检查、日常维修、应急抢修。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安全生产标准: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必须持证上岗，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岗前进行安全教育和培训;无重大安全生产事故,保证自身及他人不受损伤;保证设备、设施及公共财产不受损坏;工作现场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操作区域周边应设有明显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提示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标志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确保他人生命安全。</w:t>
      </w:r>
    </w:p>
    <w:p>
      <w:pPr>
        <w:spacing w:line="360" w:lineRule="auto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（4）物业公司定期根据净化空调运行情况对需要采买的耗材进行上报，耗材由甲方购买。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  <w:t>日常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  <w:t>考核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eastAsia="zh-CN"/>
        </w:rPr>
        <w:t>办法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</w:rPr>
        <w:t>：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保洁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着装统一,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服装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整洁,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穿着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得体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仪表端庄,精神饱满,佩戴胸卡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服务周到,使用文明用语。不得与他人发生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争吵、打架事件。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严格遵守劳动纪律,不迟到、不早退,服从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分配。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工作认真负责,不许离岗、串岗、扎堆聊天。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严格遵守岗位责任制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落实清洗保洁工具及消毒隔离制度。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熟悉工作流程及质量标准,按规定时间完成工作内容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质量符合标准。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室内清洁整齐、无尘。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墙壁、墙裙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无污迹、无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尘。宣传牌、门牌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、门框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无尘无网。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室内纸篓及时更换垃圾袋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痰盂无污迹。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检查标准扣：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卫生间垃圾筐及时倾倒,便盆消毒及时,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卫生间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及时投放芳香剂。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卫生间地面清洁干燥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，做到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无污垢、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异味,无积水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，马桶内无尿碱。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卫生间保证管道通畅,出现堵塞及时疏通。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阳台、门窗清洁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无尘无网，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玻璃洁净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无污迹、烟头、杂物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窗台、暖气片、空调器、灯具明亮无积灰。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空调通风口无灰尘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无污垢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无蜘蛛网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水池洁白无印记、无污垢、无异味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走廊、楼梯保持清洁整齐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无灰、无屑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无杂物堆积。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杂物间严禁堆放纸板、饮料瓶等各种垃圾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落实病人床头柜、铺位、消毒制度,每日用消毒液擦拭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。病人出院时，及时清理床头柜抽屉。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床栏杆无污迹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床下无积灰、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杂物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氧气管道面罩每天擦拭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清洁无灰尘。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病人出院后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对床单位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做终末处理,彻底消毒。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大厅、走廊、候诊大厅桌椅摆放整齐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椅下无垃圾。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大厅、走廊、候诊大厅地面清洁光亮、无手印、脚印、无痰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扶梯、电梯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等处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洁净光亮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无手印、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脚印、无污迹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地拖、扫把等保洁使用工具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定点、定位放置,标记醒目。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分值：3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建卡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做到坚守岗位,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工作认真负责，做到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无差错、无投诉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1.29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电梯司机持证上岗,坚守岗位,保证梯内卫生,有故障及时报修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爱护公物,节水节电,注意防火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关闭公共区域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开关,注意节约能源。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做好各项防护措施,安全作业,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设置提示牌。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拾金不昧,树立良好形象。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及时处理各种垃圾,流程符合要求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，做好垃圾分类工作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医疗废物储存室工作符合要求,登记齐全,按时消毒、保洁,保证医疗废物不外流。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负责责任区内公用照明灯、空调、水龙头、门窗等常规使的检查、管理。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医院有重大活动时,及时完成相关部门临时指派的保洁工作。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分值：5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项不合格扣0.5分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检查总分值为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100分，每月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检查四次，扣分累计分值在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5分以下（含5分）不扣服务费；5分以上，每分值扣500元。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辅医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全体人员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2.1.1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衣帽整洁、佩戴胸卡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5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无迟到、早退按时上岗,提供服务主动、热情周到，符合办证条件的人做到持证上岗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分值：10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2.1.3执行消毒隔离制度、医用垃圾分类规范。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分值：4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内勤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2.2.1床单位整洁、病服清洁，及时更换，一床一巾一扫，使用处理小毛巾规范，终末消毒彻底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（要求消毒配比正确，小毛巾干净无污物）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.2.2被褥清点并记录准确，与洗衣房员工核对数量。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分值：2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2.2.3打扫四室（护士站、治疗室、处置室、值班室）卫生。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分值：4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为患者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打开水,上下午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两次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4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未做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6分，不准时3分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协助护士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接收新入院患者，及协助护士倒床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5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出院患者终末消毒，协助护士做好基础护理。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检查标准：未做到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2分，投诉5分。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2.2.7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服从护士长的工作安排,送领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物资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好交接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外勤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2.3.1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确保24小时在岗,呼叫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15分钟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到岗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15分钟扣3分；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30分钟扣5分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2.3.2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送检标本准确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，按时（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30分钟内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）、不丢失，记录完整。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每项不合格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.5分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2.3.3全程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陪同住院患者做检查、会诊,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注意安全，以防意外发生。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分值：10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发生意外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2.3.4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送达会诊单、中药处方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、检查预约单，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取回患者各种回报单、出院带的中药及时准确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，有交接记录。</w:t>
      </w:r>
    </w:p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spacing w:line="360" w:lineRule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auto"/>
          <w:lang w:val="en-US" w:eastAsia="zh-CN"/>
        </w:rPr>
        <w:t>2.4辅医管理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2.4.1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辅医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主管每日巡查、有记录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分值：5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检查标准：每项不合格扣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2.4.2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定期与护士长沟通,协调改进工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作，有记录，每月有书面反馈。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分值：5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检查标准：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无书面反馈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扣5分</w:t>
      </w:r>
    </w:p>
    <w:p>
      <w:pPr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检查总分值为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100分，每月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检查四次，扣分累计分值在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5分以下（含5分）不扣服务费；5分以上，每分值扣500元。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outlineLvl w:val="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>（五）项目说明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中标供应商负责电脑、考勤设备和打印机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、纸张、复印机、硒鼓、墨盒、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等办公设备、耗材；负责桌、椅等办公家具和员工更衣柜；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中标供应商各岗位员工要统一服装，并由中标人负责其员工服装配备；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中标供应商的服务人员100﹪经过岗前培训合格才上岗。在岗培训每月进行一次；</w:t>
      </w:r>
    </w:p>
    <w:p>
      <w:pPr>
        <w:pStyle w:val="10"/>
        <w:spacing w:line="360" w:lineRule="auto"/>
        <w:ind w:firstLine="280" w:firstLineChars="1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4、物业公司派驻人员必须按照国家要求注射新冠疫苗。外来及返京人员需按照国家规定并结合我院疫情防控管理要求执行。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未经采购方同意，中标供应商不得在合同期限内将本项目的管理权转让；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中标供应商须提供足够的工作用具，自行解决日常工具和劳保用品，并能根据采购方的行业形象要求及规范，保证服务工作质量；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中标供应商必须严格按照标准化的操作程序、完善的培训体系和质量控制体系完成本项目，以保证整个医院安全、高效、有序和有计划地运转；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中标供应商有责任配合采购方接受上级领导部门的监督、检查，提供必须的资料；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中标供应商自行负责其招聘员工的一切工资、福利；如发生工伤、疾病乃至死亡的一切责任及费用由中标人全部负责；中标人应严格遵守国家有关的法律、法规及行业标准。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中标供应商提供与员工的用工合同和安全生产保障协议。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中标供应商所有员工入院服务前必须体检，体检合格才能上岗。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中标供应商保持员工队伍稳定有效性的措施。</w:t>
      </w:r>
    </w:p>
    <w:p>
      <w:pPr>
        <w:pStyle w:val="10"/>
        <w:spacing w:line="360" w:lineRule="auto"/>
        <w:ind w:firstLine="280" w:firstLineChars="100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中标供应商提供在相关的项目案例，如：医疗服务项目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中标供应商提供项目组织管理机构情况；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中标供应商提供项目组织实施方案；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中标供应商提供管理制度、突发事件应急方案；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中标供应商提供投入设备及工具、消耗材料情况；</w:t>
      </w:r>
    </w:p>
    <w:p>
      <w:pPr>
        <w:pStyle w:val="1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中标供应商提供内部管理考核制度、员工培训计划及质量保证措施；</w:t>
      </w:r>
    </w:p>
    <w:p>
      <w:pPr>
        <w:pStyle w:val="10"/>
        <w:spacing w:line="360" w:lineRule="auto"/>
        <w:ind w:firstLine="280" w:firstLineChars="100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提供处理医疗污染物处理案例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pStyle w:val="10"/>
        <w:spacing w:line="360" w:lineRule="auto"/>
        <w:ind w:firstLine="281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shd w:val="clear" w:color="auto" w:fill="auto"/>
        </w:rPr>
        <w:t>服务期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shd w:val="clear" w:color="auto" w:fill="auto"/>
          <w:lang w:eastAsia="zh-CN"/>
        </w:rPr>
        <w:t>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三年</w:t>
      </w:r>
    </w:p>
    <w:p>
      <w:pPr>
        <w:pStyle w:val="10"/>
        <w:spacing w:line="360" w:lineRule="auto"/>
        <w:ind w:firstLine="281" w:firstLineChars="100"/>
        <w:rPr>
          <w:rFonts w:hint="eastAsia" w:ascii="黑体" w:hAnsi="黑体" w:eastAsia="黑体" w:cs="黑体"/>
          <w:b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shd w:val="clear" w:color="auto" w:fill="auto"/>
          <w:lang w:eastAsia="zh-CN"/>
        </w:rPr>
        <w:t>四、付款方式</w:t>
      </w:r>
    </w:p>
    <w:p>
      <w:pPr>
        <w:pStyle w:val="10"/>
        <w:spacing w:line="360" w:lineRule="auto"/>
        <w:ind w:firstLine="840" w:firstLineChars="300"/>
        <w:rPr>
          <w:rFonts w:hint="eastAsia"/>
          <w:b/>
          <w:color w:val="auto"/>
          <w:sz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采取后付款的方式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，中标公司驻院物业办公室和各科室（社区站）、各区域负责人核对好上月考勤，核对无误后由使用科室签字，中标公司提供等额发票，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甲方向乙方支付上一个月的服务费。</w:t>
      </w:r>
    </w:p>
    <w:p>
      <w:pPr>
        <w:numPr>
          <w:ilvl w:val="0"/>
          <w:numId w:val="0"/>
        </w:numPr>
        <w:adjustRightInd w:val="0"/>
        <w:spacing w:line="360" w:lineRule="atLeast"/>
        <w:ind w:leftChars="0" w:firstLine="281" w:firstLineChars="100"/>
        <w:jc w:val="left"/>
        <w:textAlignment w:val="baseline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shd w:val="clear" w:color="auto" w:fill="auto"/>
          <w:lang w:val="en-US" w:eastAsia="zh-CN" w:bidi="ar-SA"/>
        </w:rPr>
        <w:t>五、项目联系人信息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hd w:val="clear" w:color="auto" w:fill="auto"/>
              </w:rPr>
              <w:t>项目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hd w:val="clear" w:color="auto" w:fill="auto"/>
              </w:rPr>
              <w:t>项目具体联系人信息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  <w:t>王起隆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hd w:val="clear" w:color="auto" w:fill="auto"/>
              </w:rPr>
              <w:t>职务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eastAsia="zh-CN"/>
              </w:rPr>
              <w:t>总务处主任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办公电话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010-60283681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手</w:t>
            </w:r>
            <w:r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机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15601353139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邮</w:t>
            </w:r>
            <w:r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箱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zhangjie83395@163.com</w:t>
            </w:r>
          </w:p>
        </w:tc>
      </w:tr>
    </w:tbl>
    <w:p>
      <w:pPr>
        <w:pStyle w:val="1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</w:p>
    <w:p>
      <w:pPr>
        <w:spacing w:line="360" w:lineRule="auto"/>
        <w:jc w:val="center"/>
        <w:rPr>
          <w:rFonts w:ascii="仿宋" w:hAnsi="仿宋" w:eastAsia="仿宋" w:cs="WBJDSQ+»ªÎÄÏ¸ºÚ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WBJDSQ+»ªÎÄÏ¸ºÚ"/>
          <w:b/>
          <w:color w:val="auto"/>
          <w:sz w:val="32"/>
          <w:szCs w:val="32"/>
          <w:shd w:val="clear" w:color="auto" w:fill="auto"/>
        </w:rPr>
        <w:t>评审标准</w:t>
      </w:r>
    </w:p>
    <w:tbl>
      <w:tblPr>
        <w:tblStyle w:val="6"/>
        <w:tblW w:w="8797" w:type="dxa"/>
        <w:jc w:val="center"/>
        <w:tblBorders>
          <w:top w:val="threeDEmboss" w:color="auto" w:sz="12" w:space="0"/>
          <w:left w:val="threeDEmboss" w:color="auto" w:sz="12" w:space="0"/>
          <w:bottom w:val="threeDEmboss" w:color="auto" w:sz="12" w:space="0"/>
          <w:right w:val="threeDEmboss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15"/>
        <w:gridCol w:w="1340"/>
        <w:gridCol w:w="5382"/>
      </w:tblGrid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评审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细则分类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评审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细则内容</w:t>
            </w:r>
          </w:p>
        </w:tc>
        <w:tc>
          <w:tcPr>
            <w:tcW w:w="53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评审</w:t>
            </w:r>
          </w:p>
          <w:p>
            <w:pPr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细则说明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价格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  <w:t>（10分）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价格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（10分）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价格得分：（基准价/投标价）×价格权重</w:t>
            </w:r>
          </w:p>
          <w:p>
            <w:pPr>
              <w:spacing w:line="300" w:lineRule="auto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（注：1.实质性响应招标文件要求且最低投标价为评标基准价。2.投标人报价低于成本的除外。3.对中小微企业报价给予6%的扣除，用扣除后的价格参与评审。）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2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服务及安全方案（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35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分析（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结合本项目实际情况及物业服务需求特点，提出合理的整体设想、管理模式及管理服务理念，并提出总体服务目标或对目标指标有效分解。合理可行6分；一般4分；较差2分。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方案（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制定项目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各类服务方案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（保洁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、辅助医疗、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工程运行维修服务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）。合理可行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分；一般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分；较差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人员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岗位配备（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5分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针对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本项目合理配备人员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人员配备合理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5分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，一般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3分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，较差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1分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应急预案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针对服务项目应急预案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至少包含医闹应急预案、防疫应急预案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。应急预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案措施合理有效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分；一般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分、较差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保密措施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针对服务项目（办公室）保密措施。保密措施合理5分；一般3分；较差1分。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节能措施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针对服务项目节能措施。节能措施合理可行5分；一般3分；较差1分。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投标人企业情况及业绩（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51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134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具有的体系认证证书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（16分）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具有：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质量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管理体系认证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、环境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管理体系认证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-6"/>
                <w:szCs w:val="21"/>
                <w:shd w:val="clear" w:color="auto" w:fill="auto"/>
                <w:lang w:val="de-DE"/>
              </w:rPr>
              <w:t>职业</w:t>
            </w:r>
            <w:r>
              <w:rPr>
                <w:rFonts w:ascii="宋体" w:hAnsi="宋体" w:cs="宋体"/>
                <w:color w:val="auto"/>
                <w:spacing w:val="-6"/>
                <w:szCs w:val="21"/>
                <w:shd w:val="clear" w:color="auto" w:fill="auto"/>
                <w:lang w:val="de-DE"/>
              </w:rPr>
              <w:t>健康安全管理体系认证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、能源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管理体系认证、信息安全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管理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体系认证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、企业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诚信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管理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体系认证、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企业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社会责任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管理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体系认证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、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商品售后服务体系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每一项2分，最高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16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分（提供证书复印件，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需在有效期内并在年检有效期内，附相关证明，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加盖投标人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公章）。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3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资质证书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具有：劳务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val="de-DE"/>
              </w:rPr>
              <w:t>派遣资质证书、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de-DE"/>
              </w:rPr>
              <w:t>高空清洗悬吊作业企业安全生产证书；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每一项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分，最高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证书（1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项目负责人具有专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科及以上学历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，提供证书复印件，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得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2分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，具有高级工程师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，提供证书复印件，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得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3分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，具有北京市项目负责人证书或全国企业经理人证书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，提供证书复印件，得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具有五年以上三甲医院从业经验得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4分。</w:t>
            </w:r>
          </w:p>
          <w:p>
            <w:pPr>
              <w:numPr>
                <w:ilvl w:val="0"/>
                <w:numId w:val="0"/>
              </w:num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辅医主管具有专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科及以上学历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，提供证书复印件，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得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2分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，具有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年以上三甲医院从业经验得1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分。</w:t>
            </w:r>
          </w:p>
          <w:p>
            <w:pPr>
              <w:spacing w:line="300" w:lineRule="auto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保洁主管具有专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科及以上学历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，提供证书复印件，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得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2分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，具有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  <w:t>年以上三甲医院从业经验得1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40" w:type="dxa"/>
            <w:vAlign w:val="center"/>
          </w:tcPr>
          <w:p>
            <w:pPr>
              <w:tabs>
                <w:tab w:val="left" w:pos="399"/>
              </w:tabs>
              <w:spacing w:line="360" w:lineRule="auto"/>
              <w:jc w:val="center"/>
              <w:rPr>
                <w:rFonts w:ascii="宋体" w:hAnsi="宋体" w:cs="宋体"/>
                <w:b/>
                <w:dstrike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业绩（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分）</w:t>
            </w:r>
          </w:p>
        </w:tc>
        <w:tc>
          <w:tcPr>
            <w:tcW w:w="5382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dstrike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提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供近三年开展或完成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的三甲医院物业服务合同业绩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服务内容至少包含保洁服务、工程维修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每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提供一个得3分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，最高</w:t>
            </w:r>
            <w:r>
              <w:rPr>
                <w:rFonts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分。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4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党建引领</w:t>
            </w:r>
          </w:p>
          <w:p>
            <w:pPr>
              <w:spacing w:line="30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（4分）</w:t>
            </w:r>
          </w:p>
        </w:tc>
        <w:tc>
          <w:tcPr>
            <w:tcW w:w="1340" w:type="dxa"/>
            <w:vAlign w:val="center"/>
          </w:tcPr>
          <w:p>
            <w:pPr>
              <w:tabs>
                <w:tab w:val="left" w:pos="399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党建引领</w:t>
            </w:r>
          </w:p>
          <w:p>
            <w:pPr>
              <w:tabs>
                <w:tab w:val="left" w:pos="399"/>
              </w:tabs>
              <w:spacing w:line="360" w:lineRule="auto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（4分）</w:t>
            </w:r>
          </w:p>
        </w:tc>
        <w:tc>
          <w:tcPr>
            <w:tcW w:w="5382" w:type="dxa"/>
          </w:tcPr>
          <w:p>
            <w:pPr>
              <w:tabs>
                <w:tab w:val="left" w:pos="399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根据供应商所报的目前党建工作开展情况：独立建立党支部，并获得先进党组织荣誉，得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分；建立临时或联合党支部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或未获得先进党组织荣誉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打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  <w:t>分；未建立党支部打0分</w:t>
            </w:r>
          </w:p>
        </w:tc>
      </w:tr>
      <w:tr>
        <w:tblPrEx>
          <w:tblBorders>
            <w:top w:val="threeDEmboss" w:color="auto" w:sz="12" w:space="0"/>
            <w:left w:val="threeDEmboss" w:color="auto" w:sz="12" w:space="0"/>
            <w:bottom w:val="threeDEmboss" w:color="auto" w:sz="12" w:space="0"/>
            <w:right w:val="threeDEmboss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合  计</w:t>
            </w: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shd w:val="clear" w:color="auto" w:fill="auto"/>
              </w:rPr>
              <w:t>100</w:t>
            </w:r>
          </w:p>
        </w:tc>
        <w:tc>
          <w:tcPr>
            <w:tcW w:w="5382" w:type="dxa"/>
          </w:tcPr>
          <w:p>
            <w:pPr>
              <w:spacing w:line="360" w:lineRule="auto"/>
              <w:jc w:val="right"/>
              <w:rPr>
                <w:rFonts w:ascii="宋体" w:hAnsi="宋体" w:cs="宋体"/>
                <w:b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color w:val="auto"/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BJDSQ+»ªÎÄÏ¸ºÚ">
    <w:altName w:val="微软雅黑"/>
    <w:panose1 w:val="00000000000000000000"/>
    <w:charset w:val="01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A2FB7"/>
    <w:multiLevelType w:val="singleLevel"/>
    <w:tmpl w:val="387A2F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23E7"/>
    <w:rsid w:val="00350768"/>
    <w:rsid w:val="00673682"/>
    <w:rsid w:val="00684678"/>
    <w:rsid w:val="00690642"/>
    <w:rsid w:val="007028DF"/>
    <w:rsid w:val="00773835"/>
    <w:rsid w:val="00EB5B8E"/>
    <w:rsid w:val="01B575E6"/>
    <w:rsid w:val="02234982"/>
    <w:rsid w:val="02506A0B"/>
    <w:rsid w:val="02F32A4F"/>
    <w:rsid w:val="031838C5"/>
    <w:rsid w:val="03AF7256"/>
    <w:rsid w:val="03E35E13"/>
    <w:rsid w:val="04284E92"/>
    <w:rsid w:val="04553430"/>
    <w:rsid w:val="04B42C83"/>
    <w:rsid w:val="04DE12C8"/>
    <w:rsid w:val="062444BA"/>
    <w:rsid w:val="06B269F2"/>
    <w:rsid w:val="07086C35"/>
    <w:rsid w:val="076A47A5"/>
    <w:rsid w:val="078647E4"/>
    <w:rsid w:val="07A52390"/>
    <w:rsid w:val="082362E8"/>
    <w:rsid w:val="08654FD7"/>
    <w:rsid w:val="08862F81"/>
    <w:rsid w:val="08897DFC"/>
    <w:rsid w:val="088B128D"/>
    <w:rsid w:val="08E76CEF"/>
    <w:rsid w:val="09793DE2"/>
    <w:rsid w:val="099C29D9"/>
    <w:rsid w:val="09E32C86"/>
    <w:rsid w:val="0A041D6D"/>
    <w:rsid w:val="0A0C4AD2"/>
    <w:rsid w:val="0B1222F2"/>
    <w:rsid w:val="0B3B6638"/>
    <w:rsid w:val="0BCC3122"/>
    <w:rsid w:val="0BEC3FEC"/>
    <w:rsid w:val="0C5726EA"/>
    <w:rsid w:val="0CEC23E4"/>
    <w:rsid w:val="0D0B41AE"/>
    <w:rsid w:val="0D283F53"/>
    <w:rsid w:val="0D367E2C"/>
    <w:rsid w:val="0E0A033C"/>
    <w:rsid w:val="0E1014A4"/>
    <w:rsid w:val="0E5C0AD6"/>
    <w:rsid w:val="0E6745CE"/>
    <w:rsid w:val="0E811589"/>
    <w:rsid w:val="0E9E19C3"/>
    <w:rsid w:val="0F12515D"/>
    <w:rsid w:val="0F150318"/>
    <w:rsid w:val="0F7041B4"/>
    <w:rsid w:val="102748C1"/>
    <w:rsid w:val="102B0CF5"/>
    <w:rsid w:val="103D1BEA"/>
    <w:rsid w:val="104F267F"/>
    <w:rsid w:val="10AD64E4"/>
    <w:rsid w:val="11A27A67"/>
    <w:rsid w:val="125619A2"/>
    <w:rsid w:val="12772425"/>
    <w:rsid w:val="13600AAB"/>
    <w:rsid w:val="13A54BAC"/>
    <w:rsid w:val="141A7C78"/>
    <w:rsid w:val="153311EF"/>
    <w:rsid w:val="1537517C"/>
    <w:rsid w:val="156C22D3"/>
    <w:rsid w:val="15A2449F"/>
    <w:rsid w:val="160E5349"/>
    <w:rsid w:val="165B6CB4"/>
    <w:rsid w:val="16C03A2C"/>
    <w:rsid w:val="170940EB"/>
    <w:rsid w:val="1743120F"/>
    <w:rsid w:val="176D07F7"/>
    <w:rsid w:val="17CD66E4"/>
    <w:rsid w:val="17EE3394"/>
    <w:rsid w:val="183E575D"/>
    <w:rsid w:val="18785915"/>
    <w:rsid w:val="18936153"/>
    <w:rsid w:val="18AA66C2"/>
    <w:rsid w:val="192F2BF4"/>
    <w:rsid w:val="195E15DB"/>
    <w:rsid w:val="19602BFA"/>
    <w:rsid w:val="199C0C82"/>
    <w:rsid w:val="19AA332B"/>
    <w:rsid w:val="1B526543"/>
    <w:rsid w:val="1BEA5E11"/>
    <w:rsid w:val="1BF42F55"/>
    <w:rsid w:val="1C191D9E"/>
    <w:rsid w:val="1C601016"/>
    <w:rsid w:val="1C720126"/>
    <w:rsid w:val="1C870451"/>
    <w:rsid w:val="1D1F1F90"/>
    <w:rsid w:val="1D2715CA"/>
    <w:rsid w:val="1D8364F9"/>
    <w:rsid w:val="1EF3057E"/>
    <w:rsid w:val="1F077F25"/>
    <w:rsid w:val="1FB2156F"/>
    <w:rsid w:val="1FF71A35"/>
    <w:rsid w:val="203D161E"/>
    <w:rsid w:val="2083545B"/>
    <w:rsid w:val="21706BE5"/>
    <w:rsid w:val="226E5BCA"/>
    <w:rsid w:val="22A521E4"/>
    <w:rsid w:val="23AB1F88"/>
    <w:rsid w:val="24D90D55"/>
    <w:rsid w:val="24E56802"/>
    <w:rsid w:val="252479AF"/>
    <w:rsid w:val="25327A35"/>
    <w:rsid w:val="259E7012"/>
    <w:rsid w:val="261F33B0"/>
    <w:rsid w:val="26584787"/>
    <w:rsid w:val="268512AA"/>
    <w:rsid w:val="273149B4"/>
    <w:rsid w:val="2755356D"/>
    <w:rsid w:val="27B14F4D"/>
    <w:rsid w:val="27C07782"/>
    <w:rsid w:val="27C633A2"/>
    <w:rsid w:val="27D10A04"/>
    <w:rsid w:val="282E23E7"/>
    <w:rsid w:val="284A77C1"/>
    <w:rsid w:val="28913198"/>
    <w:rsid w:val="289F201C"/>
    <w:rsid w:val="28C83EC3"/>
    <w:rsid w:val="28E86FD3"/>
    <w:rsid w:val="29265EA0"/>
    <w:rsid w:val="29C339BB"/>
    <w:rsid w:val="29DF5DF2"/>
    <w:rsid w:val="29F04AE7"/>
    <w:rsid w:val="29F74302"/>
    <w:rsid w:val="2A590D5A"/>
    <w:rsid w:val="2A6F5F02"/>
    <w:rsid w:val="2AC66A8A"/>
    <w:rsid w:val="2B8F1FAD"/>
    <w:rsid w:val="2BB01F19"/>
    <w:rsid w:val="2BFB1037"/>
    <w:rsid w:val="2CFB2C76"/>
    <w:rsid w:val="2E262D89"/>
    <w:rsid w:val="2E843088"/>
    <w:rsid w:val="2E9C6C92"/>
    <w:rsid w:val="2F492373"/>
    <w:rsid w:val="2F62795B"/>
    <w:rsid w:val="2FBE04EE"/>
    <w:rsid w:val="2FDF3C34"/>
    <w:rsid w:val="30531B16"/>
    <w:rsid w:val="30CD45AF"/>
    <w:rsid w:val="30D83091"/>
    <w:rsid w:val="31DA2A4E"/>
    <w:rsid w:val="31E45704"/>
    <w:rsid w:val="3246085A"/>
    <w:rsid w:val="32A66133"/>
    <w:rsid w:val="32F13727"/>
    <w:rsid w:val="33560072"/>
    <w:rsid w:val="33660F4E"/>
    <w:rsid w:val="33A10545"/>
    <w:rsid w:val="33E10626"/>
    <w:rsid w:val="34A9289A"/>
    <w:rsid w:val="34FC42D2"/>
    <w:rsid w:val="350F0877"/>
    <w:rsid w:val="36226F6D"/>
    <w:rsid w:val="36286844"/>
    <w:rsid w:val="36815283"/>
    <w:rsid w:val="36A54F27"/>
    <w:rsid w:val="36B56F00"/>
    <w:rsid w:val="376615B8"/>
    <w:rsid w:val="37747DD4"/>
    <w:rsid w:val="37AC3654"/>
    <w:rsid w:val="37BD3AFC"/>
    <w:rsid w:val="37C345A7"/>
    <w:rsid w:val="37C42A14"/>
    <w:rsid w:val="37D11FB8"/>
    <w:rsid w:val="37D86855"/>
    <w:rsid w:val="37E034DA"/>
    <w:rsid w:val="38080695"/>
    <w:rsid w:val="38B611EB"/>
    <w:rsid w:val="390D23D3"/>
    <w:rsid w:val="39443D94"/>
    <w:rsid w:val="39863CC7"/>
    <w:rsid w:val="39B9092A"/>
    <w:rsid w:val="39C723C5"/>
    <w:rsid w:val="3A0023BD"/>
    <w:rsid w:val="3A6B6733"/>
    <w:rsid w:val="3AFF44FC"/>
    <w:rsid w:val="3B076392"/>
    <w:rsid w:val="3C343971"/>
    <w:rsid w:val="3CA91EF8"/>
    <w:rsid w:val="3CB716AF"/>
    <w:rsid w:val="3D840077"/>
    <w:rsid w:val="3D975630"/>
    <w:rsid w:val="3DCB4C25"/>
    <w:rsid w:val="3E0654B7"/>
    <w:rsid w:val="3E5C1690"/>
    <w:rsid w:val="3E8770CF"/>
    <w:rsid w:val="3EDD50A5"/>
    <w:rsid w:val="3F073407"/>
    <w:rsid w:val="3F183E9A"/>
    <w:rsid w:val="3F585CD5"/>
    <w:rsid w:val="3F60217A"/>
    <w:rsid w:val="3FD259E4"/>
    <w:rsid w:val="405362B8"/>
    <w:rsid w:val="40765883"/>
    <w:rsid w:val="41507C40"/>
    <w:rsid w:val="41EC1D9F"/>
    <w:rsid w:val="41EC5790"/>
    <w:rsid w:val="41FD4E10"/>
    <w:rsid w:val="422C5E3F"/>
    <w:rsid w:val="426329AA"/>
    <w:rsid w:val="426A3041"/>
    <w:rsid w:val="431308AE"/>
    <w:rsid w:val="43564FA7"/>
    <w:rsid w:val="43A83638"/>
    <w:rsid w:val="440E277B"/>
    <w:rsid w:val="443124AD"/>
    <w:rsid w:val="44D67571"/>
    <w:rsid w:val="44E8422B"/>
    <w:rsid w:val="455B7359"/>
    <w:rsid w:val="45656BB8"/>
    <w:rsid w:val="45AC63AB"/>
    <w:rsid w:val="45D0357F"/>
    <w:rsid w:val="465923B6"/>
    <w:rsid w:val="46C703C9"/>
    <w:rsid w:val="473764D4"/>
    <w:rsid w:val="477470BB"/>
    <w:rsid w:val="47A17B05"/>
    <w:rsid w:val="480D59B8"/>
    <w:rsid w:val="48973A4D"/>
    <w:rsid w:val="48D1701C"/>
    <w:rsid w:val="49EA4BFF"/>
    <w:rsid w:val="4A701188"/>
    <w:rsid w:val="4C7F087B"/>
    <w:rsid w:val="4D057AE9"/>
    <w:rsid w:val="4D591D5A"/>
    <w:rsid w:val="4D636AFA"/>
    <w:rsid w:val="4D717F09"/>
    <w:rsid w:val="4D991E72"/>
    <w:rsid w:val="4D9D63ED"/>
    <w:rsid w:val="4DE81C05"/>
    <w:rsid w:val="4E9C62FD"/>
    <w:rsid w:val="4ECD0730"/>
    <w:rsid w:val="4EF52165"/>
    <w:rsid w:val="4F4E3786"/>
    <w:rsid w:val="501F3761"/>
    <w:rsid w:val="50453C1F"/>
    <w:rsid w:val="504D35C4"/>
    <w:rsid w:val="50D37DB6"/>
    <w:rsid w:val="50D908EF"/>
    <w:rsid w:val="511A48EA"/>
    <w:rsid w:val="5195264E"/>
    <w:rsid w:val="51C641AE"/>
    <w:rsid w:val="51FD7C60"/>
    <w:rsid w:val="52022920"/>
    <w:rsid w:val="52760EE7"/>
    <w:rsid w:val="527A6C10"/>
    <w:rsid w:val="5293673A"/>
    <w:rsid w:val="52A656C9"/>
    <w:rsid w:val="52EA5EDE"/>
    <w:rsid w:val="533D73C8"/>
    <w:rsid w:val="536F29A8"/>
    <w:rsid w:val="537335DD"/>
    <w:rsid w:val="53F657E5"/>
    <w:rsid w:val="549A5EC0"/>
    <w:rsid w:val="54D74C38"/>
    <w:rsid w:val="55071D94"/>
    <w:rsid w:val="55523D1C"/>
    <w:rsid w:val="556E4938"/>
    <w:rsid w:val="55D06275"/>
    <w:rsid w:val="55F822F8"/>
    <w:rsid w:val="561C6CDE"/>
    <w:rsid w:val="561E2998"/>
    <w:rsid w:val="56EE7D9A"/>
    <w:rsid w:val="57023763"/>
    <w:rsid w:val="57030BB0"/>
    <w:rsid w:val="572D29F8"/>
    <w:rsid w:val="5735068C"/>
    <w:rsid w:val="57BA4C65"/>
    <w:rsid w:val="58125B14"/>
    <w:rsid w:val="581D2E4A"/>
    <w:rsid w:val="582C76D2"/>
    <w:rsid w:val="58AE276D"/>
    <w:rsid w:val="58C3279F"/>
    <w:rsid w:val="58E14D37"/>
    <w:rsid w:val="58E27959"/>
    <w:rsid w:val="59241FE5"/>
    <w:rsid w:val="593A2D6E"/>
    <w:rsid w:val="597F6A5B"/>
    <w:rsid w:val="5A503217"/>
    <w:rsid w:val="5AA72A1F"/>
    <w:rsid w:val="5ACE5663"/>
    <w:rsid w:val="5AE735AC"/>
    <w:rsid w:val="5B140BE2"/>
    <w:rsid w:val="5B2F232B"/>
    <w:rsid w:val="5B6E6C69"/>
    <w:rsid w:val="5B741995"/>
    <w:rsid w:val="5BDF7880"/>
    <w:rsid w:val="5BE20A55"/>
    <w:rsid w:val="5C607561"/>
    <w:rsid w:val="5C6C7A01"/>
    <w:rsid w:val="5C701655"/>
    <w:rsid w:val="5C8E5B89"/>
    <w:rsid w:val="5C94425F"/>
    <w:rsid w:val="5CF12FBE"/>
    <w:rsid w:val="5D012429"/>
    <w:rsid w:val="5D0471DA"/>
    <w:rsid w:val="5DB85CB2"/>
    <w:rsid w:val="5E357F4B"/>
    <w:rsid w:val="5EE4444F"/>
    <w:rsid w:val="5F346D71"/>
    <w:rsid w:val="5FA675CF"/>
    <w:rsid w:val="5FE306AD"/>
    <w:rsid w:val="60182383"/>
    <w:rsid w:val="6231449E"/>
    <w:rsid w:val="627A7B41"/>
    <w:rsid w:val="628724F4"/>
    <w:rsid w:val="628942AD"/>
    <w:rsid w:val="62BA3AEE"/>
    <w:rsid w:val="62DD0DA0"/>
    <w:rsid w:val="62F86C5D"/>
    <w:rsid w:val="63142997"/>
    <w:rsid w:val="631754C5"/>
    <w:rsid w:val="63333345"/>
    <w:rsid w:val="63361789"/>
    <w:rsid w:val="63851638"/>
    <w:rsid w:val="6392632D"/>
    <w:rsid w:val="640E2DC6"/>
    <w:rsid w:val="641B71CB"/>
    <w:rsid w:val="64BD5A58"/>
    <w:rsid w:val="64C326AE"/>
    <w:rsid w:val="64D83065"/>
    <w:rsid w:val="65063776"/>
    <w:rsid w:val="6547206F"/>
    <w:rsid w:val="663F0CC4"/>
    <w:rsid w:val="664F2918"/>
    <w:rsid w:val="66A53035"/>
    <w:rsid w:val="66A85A1E"/>
    <w:rsid w:val="66B16606"/>
    <w:rsid w:val="670112C3"/>
    <w:rsid w:val="679413D5"/>
    <w:rsid w:val="67D0033E"/>
    <w:rsid w:val="687B4C68"/>
    <w:rsid w:val="68885064"/>
    <w:rsid w:val="68A95CD4"/>
    <w:rsid w:val="68B61751"/>
    <w:rsid w:val="68BE7B0D"/>
    <w:rsid w:val="69117AFC"/>
    <w:rsid w:val="693D2001"/>
    <w:rsid w:val="69713DB1"/>
    <w:rsid w:val="69717941"/>
    <w:rsid w:val="6AA52276"/>
    <w:rsid w:val="6ABD16CF"/>
    <w:rsid w:val="6AD6716F"/>
    <w:rsid w:val="6B18685E"/>
    <w:rsid w:val="6B204A9B"/>
    <w:rsid w:val="6B4F68D6"/>
    <w:rsid w:val="6B7C7931"/>
    <w:rsid w:val="6B7E6913"/>
    <w:rsid w:val="6C3C7306"/>
    <w:rsid w:val="6C445C2F"/>
    <w:rsid w:val="6C9B48A1"/>
    <w:rsid w:val="6CE66F85"/>
    <w:rsid w:val="6D045BB5"/>
    <w:rsid w:val="6DDE0624"/>
    <w:rsid w:val="6EEC4862"/>
    <w:rsid w:val="6F012CC3"/>
    <w:rsid w:val="6F065057"/>
    <w:rsid w:val="6F361906"/>
    <w:rsid w:val="6F63760E"/>
    <w:rsid w:val="6F790E48"/>
    <w:rsid w:val="6FE244C4"/>
    <w:rsid w:val="704C1E61"/>
    <w:rsid w:val="70916544"/>
    <w:rsid w:val="70AD6269"/>
    <w:rsid w:val="70C36523"/>
    <w:rsid w:val="70F62505"/>
    <w:rsid w:val="713A4856"/>
    <w:rsid w:val="718B4536"/>
    <w:rsid w:val="72047482"/>
    <w:rsid w:val="730B2E6A"/>
    <w:rsid w:val="74735556"/>
    <w:rsid w:val="749A60F3"/>
    <w:rsid w:val="74B61599"/>
    <w:rsid w:val="74F47ECF"/>
    <w:rsid w:val="75E73D61"/>
    <w:rsid w:val="76414EDD"/>
    <w:rsid w:val="765D4A52"/>
    <w:rsid w:val="76745542"/>
    <w:rsid w:val="76C70500"/>
    <w:rsid w:val="770D4A4D"/>
    <w:rsid w:val="772A6470"/>
    <w:rsid w:val="77394C00"/>
    <w:rsid w:val="77E25EE2"/>
    <w:rsid w:val="78400ABB"/>
    <w:rsid w:val="788644A2"/>
    <w:rsid w:val="78C116FB"/>
    <w:rsid w:val="790A480F"/>
    <w:rsid w:val="79135653"/>
    <w:rsid w:val="791C6694"/>
    <w:rsid w:val="792B7BF2"/>
    <w:rsid w:val="794165A7"/>
    <w:rsid w:val="79E40C26"/>
    <w:rsid w:val="7A382D5C"/>
    <w:rsid w:val="7A57412F"/>
    <w:rsid w:val="7AA87EE7"/>
    <w:rsid w:val="7AC44661"/>
    <w:rsid w:val="7ACB6EE3"/>
    <w:rsid w:val="7ACD772F"/>
    <w:rsid w:val="7B310541"/>
    <w:rsid w:val="7B6C0296"/>
    <w:rsid w:val="7B7D4CC9"/>
    <w:rsid w:val="7C8F70B4"/>
    <w:rsid w:val="7C91481A"/>
    <w:rsid w:val="7D9A5756"/>
    <w:rsid w:val="7DBA2EFA"/>
    <w:rsid w:val="7E5B7E97"/>
    <w:rsid w:val="7EBC652B"/>
    <w:rsid w:val="7EF81667"/>
    <w:rsid w:val="7EFB19A8"/>
    <w:rsid w:val="7F175B74"/>
    <w:rsid w:val="7F485A12"/>
    <w:rsid w:val="7F6A5C5B"/>
    <w:rsid w:val="7F92777C"/>
    <w:rsid w:val="7FDD511A"/>
    <w:rsid w:val="7FE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宋体" w:hAnsi="宋体"/>
      <w:b/>
      <w:bCs/>
      <w:kern w:val="0"/>
      <w:sz w:val="44"/>
      <w:szCs w:val="44"/>
      <w:lang w:eastAsia="en-US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章标题"/>
    <w:basedOn w:val="2"/>
    <w:qFormat/>
    <w:uiPriority w:val="99"/>
    <w:pPr>
      <w:keepNext/>
      <w:keepLines/>
      <w:spacing w:before="340" w:after="330" w:line="578" w:lineRule="auto"/>
      <w:jc w:val="center"/>
    </w:pPr>
    <w:rPr>
      <w:rFonts w:ascii="Times New Roman" w:hAnsi="Times New Roman" w:cs="Times New Roman"/>
      <w:kern w:val="4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968</Words>
  <Characters>5520</Characters>
  <Lines>46</Lines>
  <Paragraphs>12</Paragraphs>
  <TotalTime>0</TotalTime>
  <ScaleCrop>false</ScaleCrop>
  <LinksUpToDate>false</LinksUpToDate>
  <CharactersWithSpaces>6476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2021-08-19T23:00:00Z</dcterms:created>
  <dc:creator>王盛富</dc:creator>
  <cp:lastModifiedBy>Administrator</cp:lastModifiedBy>
  <cp:lastPrinted>2021-10-14T07:50:00Z</cp:lastPrinted>
  <dcterms:modified xsi:type="dcterms:W3CDTF">2021-10-14T08:06:05Z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01E1333D27E8418B93E88DDDFECCE2E8</vt:lpwstr>
  </property>
</Properties>
</file>